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26FF1">
      <w:pPr>
        <w:spacing w:line="360" w:lineRule="auto"/>
        <w:ind w:left="0" w:leftChars="0" w:firstLine="0"/>
        <w:jc w:val="both"/>
        <w:rPr>
          <w:rFonts w:hint="default" w:ascii="Times New Roman" w:hAnsi="Times New Roman" w:eastAsia="宋体" w:cs="Times New Roman"/>
          <w:b/>
          <w:bCs w:val="0"/>
          <w:sz w:val="32"/>
          <w:szCs w:val="32"/>
          <w:highlight w:val="none"/>
          <w:lang w:val="en-US" w:eastAsia="zh-CN"/>
        </w:rPr>
      </w:pPr>
    </w:p>
    <w:p w14:paraId="2A011EA9">
      <w:pPr>
        <w:spacing w:line="360" w:lineRule="auto"/>
        <w:jc w:val="both"/>
        <w:rPr>
          <w:rFonts w:hint="default" w:ascii="Times New Roman" w:hAnsi="Times New Roman" w:cs="Times New Roman"/>
          <w:bCs/>
          <w:sz w:val="32"/>
          <w:szCs w:val="32"/>
          <w:highlight w:val="none"/>
        </w:rPr>
      </w:pPr>
    </w:p>
    <w:p w14:paraId="6BEE1CE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jc w:val="center"/>
        <w:textAlignment w:val="auto"/>
        <w:rPr>
          <w:rFonts w:hint="eastAsia" w:ascii="Times New Roman" w:hAnsi="Times New Roman" w:eastAsia="方正小标宋_GBK" w:cs="Times New Roman"/>
          <w:bCs/>
          <w:color w:val="auto"/>
          <w:spacing w:val="0"/>
          <w:w w:val="100"/>
          <w:position w:val="0"/>
          <w:sz w:val="48"/>
          <w:szCs w:val="48"/>
          <w:highlight w:val="none"/>
          <w:lang w:val="en-US" w:eastAsia="zh-CN"/>
          <w14:textOutline w14:w="5791" w14:cap="sq" w14:cmpd="sng" w14:algn="ctr">
            <w14:solidFill>
              <w14:srgbClr w14:val="000000"/>
            </w14:solidFill>
            <w14:prstDash w14:val="solid"/>
            <w14:bevel/>
          </w14:textOutline>
        </w:rPr>
      </w:pPr>
      <w:r>
        <w:rPr>
          <w:rFonts w:hint="eastAsia" w:eastAsia="方正小标宋_GBK" w:cs="Times New Roman"/>
          <w:bCs/>
          <w:color w:val="auto"/>
          <w:spacing w:val="0"/>
          <w:w w:val="100"/>
          <w:position w:val="0"/>
          <w:sz w:val="40"/>
          <w:szCs w:val="40"/>
          <w:highlight w:val="none"/>
          <w:lang w:val="en-US" w:eastAsia="zh-CN"/>
          <w14:textOutline w14:w="5791" w14:cap="sq" w14:cmpd="sng" w14:algn="ctr">
            <w14:solidFill>
              <w14:srgbClr w14:val="000000"/>
            </w14:solidFill>
            <w14:prstDash w14:val="solid"/>
            <w14:bevel/>
          </w14:textOutline>
        </w:rPr>
        <w:t>若羌县中学食堂设备采购项目</w:t>
      </w:r>
    </w:p>
    <w:p w14:paraId="5F70FC2D">
      <w:pPr>
        <w:pStyle w:val="3"/>
        <w:spacing w:line="360" w:lineRule="auto"/>
        <w:rPr>
          <w:rFonts w:hint="default"/>
        </w:rPr>
      </w:pPr>
    </w:p>
    <w:p w14:paraId="484B849E">
      <w:pPr>
        <w:pStyle w:val="14"/>
        <w:rPr>
          <w:rFonts w:hint="default"/>
        </w:rPr>
      </w:pPr>
    </w:p>
    <w:p w14:paraId="4F086879">
      <w:pPr>
        <w:spacing w:line="360" w:lineRule="auto"/>
        <w:jc w:val="center"/>
        <w:rPr>
          <w:rFonts w:hint="default" w:ascii="Times New Roman" w:hAnsi="Times New Roman" w:eastAsia="方正小标宋_GBK" w:cs="Times New Roman"/>
          <w:bCs/>
          <w:sz w:val="40"/>
          <w:szCs w:val="40"/>
          <w:highlight w:val="none"/>
          <w:lang w:eastAsia="zh-CN"/>
        </w:rPr>
      </w:pPr>
      <w:r>
        <w:rPr>
          <w:rFonts w:hint="default" w:ascii="Times New Roman" w:hAnsi="Times New Roman" w:eastAsia="方正小标宋_GBK" w:cs="Times New Roman"/>
          <w:bCs/>
          <w:sz w:val="40"/>
          <w:szCs w:val="40"/>
          <w:highlight w:val="none"/>
        </w:rPr>
        <w:t>公开招标</w:t>
      </w:r>
      <w:r>
        <w:rPr>
          <w:rFonts w:hint="default" w:ascii="Times New Roman" w:hAnsi="Times New Roman" w:eastAsia="方正小标宋_GBK" w:cs="Times New Roman"/>
          <w:bCs/>
          <w:sz w:val="40"/>
          <w:szCs w:val="40"/>
          <w:highlight w:val="none"/>
          <w:lang w:eastAsia="zh-CN"/>
        </w:rPr>
        <w:t>文件</w:t>
      </w:r>
    </w:p>
    <w:p w14:paraId="3952827A">
      <w:pPr>
        <w:spacing w:line="360" w:lineRule="auto"/>
        <w:jc w:val="center"/>
        <w:rPr>
          <w:rFonts w:hint="default" w:ascii="Times New Roman" w:hAnsi="Times New Roman" w:eastAsia="方正小标宋_GBK" w:cs="Times New Roman"/>
          <w:bCs/>
          <w:sz w:val="40"/>
          <w:szCs w:val="40"/>
          <w:highlight w:val="none"/>
          <w:lang w:eastAsia="zh-CN"/>
        </w:rPr>
      </w:pPr>
      <w:r>
        <w:rPr>
          <w:rFonts w:hint="eastAsia" w:eastAsia="方正小标宋_GBK" w:cs="Times New Roman"/>
          <w:bCs/>
          <w:sz w:val="40"/>
          <w:szCs w:val="40"/>
          <w:highlight w:val="none"/>
          <w:lang w:eastAsia="zh-CN"/>
        </w:rPr>
        <w:t>（货物）</w:t>
      </w:r>
    </w:p>
    <w:p w14:paraId="07AC505F">
      <w:pPr>
        <w:pStyle w:val="2"/>
        <w:spacing w:line="360" w:lineRule="auto"/>
        <w:ind w:left="0" w:leftChars="0" w:firstLine="0" w:firstLineChars="0"/>
        <w:rPr>
          <w:rFonts w:hint="default" w:ascii="Times New Roman" w:hAnsi="Times New Roman" w:cs="Times New Roman"/>
          <w:bCs/>
          <w:sz w:val="32"/>
          <w:szCs w:val="32"/>
          <w:highlight w:val="none"/>
        </w:rPr>
      </w:pPr>
    </w:p>
    <w:p w14:paraId="50AC7715">
      <w:pPr>
        <w:keepNext w:val="0"/>
        <w:keepLines w:val="0"/>
        <w:pageBreakBefore w:val="0"/>
        <w:kinsoku/>
        <w:wordWrap/>
        <w:overflowPunct/>
        <w:topLinePunct w:val="0"/>
        <w:autoSpaceDE/>
        <w:autoSpaceDN/>
        <w:bidi w:val="0"/>
        <w:adjustRightInd/>
        <w:snapToGrid/>
        <w:spacing w:before="101" w:line="800" w:lineRule="exact"/>
        <w:textAlignment w:val="auto"/>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37100AE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2316" w:leftChars="257" w:hanging="1776" w:hangingChars="555"/>
        <w:jc w:val="left"/>
        <w:textAlignment w:val="auto"/>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项目名称：</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若羌县中学食堂设备采购项目</w:t>
      </w:r>
    </w:p>
    <w:p w14:paraId="3D896B84">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采</w:t>
      </w: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购人：</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若羌县教育和科学技术局</w:t>
      </w:r>
    </w:p>
    <w:p w14:paraId="4655979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采购代理机构：</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巴州聚诚项目管理</w:t>
      </w: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有限</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责任</w:t>
      </w: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公司</w:t>
      </w:r>
    </w:p>
    <w:p w14:paraId="3C25C12E">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招标文件编号：</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BZJCXMGLYXZRGS202</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6</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09</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号</w:t>
      </w:r>
    </w:p>
    <w:p w14:paraId="556849E8">
      <w:pPr>
        <w:keepNext w:val="0"/>
        <w:keepLines w:val="0"/>
        <w:pageBreakBefore w:val="0"/>
        <w:widowControl/>
        <w:kinsoku/>
        <w:wordWrap/>
        <w:overflowPunct/>
        <w:topLinePunct w:val="0"/>
        <w:autoSpaceDE/>
        <w:autoSpaceDN/>
        <w:bidi w:val="0"/>
        <w:adjustRightInd/>
        <w:snapToGrid/>
        <w:spacing w:beforeLines="0" w:afterLines="0" w:line="800" w:lineRule="exact"/>
        <w:jc w:val="left"/>
        <w:textAlignment w:val="auto"/>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br w:type="page"/>
      </w:r>
    </w:p>
    <w:p w14:paraId="4CC829C0">
      <w:pPr>
        <w:spacing w:line="360" w:lineRule="auto"/>
        <w:jc w:val="center"/>
        <w:rPr>
          <w:rFonts w:hint="default" w:ascii="Times New Roman" w:hAnsi="Times New Roman" w:cs="Times New Roman" w:eastAsiaTheme="minorEastAsia"/>
          <w:b/>
          <w:bCs/>
          <w:sz w:val="44"/>
          <w:szCs w:val="44"/>
          <w:highlight w:val="none"/>
        </w:rPr>
      </w:pPr>
    </w:p>
    <w:p w14:paraId="3D842764">
      <w:pPr>
        <w:spacing w:line="360" w:lineRule="auto"/>
        <w:jc w:val="center"/>
        <w:rPr>
          <w:rFonts w:hint="default" w:ascii="Times New Roman" w:hAnsi="Times New Roman" w:cs="Times New Roman" w:eastAsiaTheme="minorEastAsia"/>
          <w:b/>
          <w:bCs/>
          <w:sz w:val="44"/>
          <w:szCs w:val="44"/>
          <w:highlight w:val="none"/>
        </w:rPr>
      </w:pPr>
    </w:p>
    <w:p w14:paraId="6467E56D">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t>目</w:t>
      </w:r>
      <w:r>
        <w:rPr>
          <w:rFonts w:hint="default" w:ascii="Times New Roman" w:hAnsi="Times New Roman" w:cs="Times New Roman" w:eastAsiaTheme="minorEastAsia"/>
          <w:b/>
          <w:bCs/>
          <w:sz w:val="44"/>
          <w:szCs w:val="44"/>
          <w:highlight w:val="none"/>
          <w:lang w:val="en-US" w:eastAsia="zh-CN"/>
        </w:rPr>
        <w:t xml:space="preserve">  </w:t>
      </w:r>
      <w:r>
        <w:rPr>
          <w:rFonts w:hint="default" w:ascii="Times New Roman" w:hAnsi="Times New Roman" w:cs="Times New Roman" w:eastAsiaTheme="minorEastAsia"/>
          <w:b/>
          <w:bCs/>
          <w:sz w:val="44"/>
          <w:szCs w:val="44"/>
          <w:highlight w:val="none"/>
        </w:rPr>
        <w:t>录</w:t>
      </w:r>
    </w:p>
    <w:p w14:paraId="2CE8D9D1">
      <w:pPr>
        <w:spacing w:line="360" w:lineRule="auto"/>
        <w:rPr>
          <w:rFonts w:hint="default" w:ascii="Times New Roman" w:hAnsi="Times New Roman" w:cs="Times New Roman"/>
          <w:sz w:val="32"/>
          <w:szCs w:val="32"/>
          <w:highlight w:val="none"/>
        </w:rPr>
      </w:pPr>
    </w:p>
    <w:p w14:paraId="5CA7E35C">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第一章 投标邀请…………………………………………………</w:t>
      </w:r>
    </w:p>
    <w:p w14:paraId="073EDBE2">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xml:space="preserve">第二章 </w:t>
      </w:r>
      <w:r>
        <w:rPr>
          <w:rFonts w:hint="eastAsia" w:ascii="Times New Roman" w:hAnsi="Times New Roman" w:cs="Times New Roman"/>
          <w:sz w:val="32"/>
          <w:szCs w:val="32"/>
          <w:highlight w:val="none"/>
          <w:lang w:eastAsia="zh-CN"/>
        </w:rPr>
        <w:t>投标人</w:t>
      </w:r>
      <w:r>
        <w:rPr>
          <w:rFonts w:hint="default" w:ascii="Times New Roman" w:hAnsi="Times New Roman" w:cs="Times New Roman"/>
          <w:sz w:val="32"/>
          <w:szCs w:val="32"/>
          <w:highlight w:val="none"/>
        </w:rPr>
        <w:t>须知………………………………………………</w:t>
      </w:r>
    </w:p>
    <w:p w14:paraId="097762A8">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三</w:t>
      </w:r>
      <w:r>
        <w:rPr>
          <w:rFonts w:hint="default" w:ascii="Times New Roman" w:hAnsi="Times New Roman" w:cs="Times New Roman"/>
          <w:sz w:val="32"/>
          <w:szCs w:val="32"/>
          <w:highlight w:val="none"/>
        </w:rPr>
        <w:t>章 采购需求…………………………………………………</w:t>
      </w:r>
    </w:p>
    <w:p w14:paraId="16E44349">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四</w:t>
      </w:r>
      <w:r>
        <w:rPr>
          <w:rFonts w:hint="default" w:ascii="Times New Roman" w:hAnsi="Times New Roman" w:cs="Times New Roman"/>
          <w:sz w:val="32"/>
          <w:szCs w:val="32"/>
          <w:highlight w:val="none"/>
        </w:rPr>
        <w:t>章 资格审查…………………………………………………</w:t>
      </w:r>
    </w:p>
    <w:p w14:paraId="3D85DDC1">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章 评标</w:t>
      </w:r>
      <w:r>
        <w:rPr>
          <w:rFonts w:hint="default" w:ascii="Times New Roman" w:hAnsi="Times New Roman" w:cs="Times New Roman"/>
          <w:sz w:val="32"/>
          <w:szCs w:val="32"/>
          <w:highlight w:val="none"/>
          <w:lang w:eastAsia="zh-CN"/>
        </w:rPr>
        <w:t>程序</w:t>
      </w:r>
      <w:r>
        <w:rPr>
          <w:rFonts w:hint="default" w:ascii="Times New Roman" w:hAnsi="Times New Roman" w:cs="Times New Roman"/>
          <w:sz w:val="32"/>
          <w:szCs w:val="32"/>
          <w:highlight w:val="none"/>
        </w:rPr>
        <w:t>…………………………………………………</w:t>
      </w:r>
    </w:p>
    <w:p w14:paraId="6038BAFE">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rFonts w:hint="default" w:ascii="Times New Roman" w:hAnsi="Times New Roman" w:cs="Times New Roman"/>
          <w:sz w:val="32"/>
          <w:szCs w:val="32"/>
          <w:highlight w:val="none"/>
          <w:lang w:eastAsia="zh-CN"/>
        </w:rPr>
        <w:t>拟签订的合同文本</w:t>
      </w:r>
      <w:r>
        <w:rPr>
          <w:rFonts w:hint="default" w:ascii="Times New Roman" w:hAnsi="Times New Roman" w:cs="Times New Roman"/>
          <w:sz w:val="32"/>
          <w:szCs w:val="32"/>
          <w:highlight w:val="none"/>
        </w:rPr>
        <w:t>………………………………………</w:t>
      </w:r>
    </w:p>
    <w:p w14:paraId="3D0E8806">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p>
    <w:p w14:paraId="55A180C1">
      <w:pPr>
        <w:widowControl/>
        <w:spacing w:line="360" w:lineRule="auto"/>
        <w:jc w:val="lef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2B35BBBD">
      <w:pPr>
        <w:pStyle w:val="4"/>
        <w:spacing w:before="0" w:beforeLines="0" w:after="0" w:afterLines="0"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第一章  投标邀请</w:t>
      </w:r>
    </w:p>
    <w:p w14:paraId="64591981">
      <w:pPr>
        <w:spacing w:beforeLines="0" w:afterLines="0" w:line="360" w:lineRule="auto"/>
        <w:rPr>
          <w:rFonts w:hint="default" w:ascii="Times New Roman" w:hAnsi="Times New Roman" w:eastAsia="黑体" w:cs="Times New Roman"/>
          <w:sz w:val="28"/>
          <w:szCs w:val="28"/>
          <w:highlight w:val="none"/>
        </w:rPr>
      </w:pPr>
    </w:p>
    <w:p w14:paraId="5E6FF83F">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一、项目基本情况</w:t>
      </w:r>
    </w:p>
    <w:p w14:paraId="56D10A6F">
      <w:pPr>
        <w:adjustRightInd w:val="0"/>
        <w:snapToGrid w:val="0"/>
        <w:spacing w:beforeLines="0" w:afterLines="0" w:line="360" w:lineRule="auto"/>
        <w:ind w:firstLine="560" w:firstLineChars="200"/>
        <w:rPr>
          <w:rStyle w:val="26"/>
          <w:rFonts w:hint="default" w:cs="Times New Roman"/>
          <w:b w:val="0"/>
          <w:sz w:val="28"/>
          <w:szCs w:val="28"/>
          <w:highlight w:val="none"/>
          <w:u w:val="none"/>
          <w:lang w:val="en-US" w:eastAsia="zh-CN"/>
        </w:rPr>
      </w:pPr>
      <w:r>
        <w:rPr>
          <w:rStyle w:val="26"/>
          <w:rFonts w:hint="default" w:cs="Times New Roman"/>
          <w:b w:val="0"/>
          <w:sz w:val="28"/>
          <w:szCs w:val="28"/>
          <w:highlight w:val="none"/>
          <w:u w:val="none"/>
          <w:lang w:val="en-US" w:eastAsia="zh-CN"/>
        </w:rPr>
        <w:t>1.政府采购计划编号：</w:t>
      </w:r>
    </w:p>
    <w:p w14:paraId="577F4A82">
      <w:pPr>
        <w:adjustRightInd w:val="0"/>
        <w:snapToGrid w:val="0"/>
        <w:spacing w:beforeLines="0" w:afterLines="0" w:line="360" w:lineRule="auto"/>
        <w:ind w:firstLine="560" w:firstLineChars="200"/>
        <w:rPr>
          <w:rStyle w:val="26"/>
          <w:rFonts w:hint="eastAsia" w:cs="Times New Roman"/>
          <w:b w:val="0"/>
          <w:sz w:val="28"/>
          <w:szCs w:val="28"/>
          <w:highlight w:val="none"/>
          <w:u w:val="none"/>
          <w:lang w:val="en-US" w:eastAsia="zh-CN"/>
        </w:rPr>
      </w:pPr>
      <w:r>
        <w:rPr>
          <w:rStyle w:val="26"/>
          <w:rFonts w:hint="default" w:cs="Times New Roman"/>
          <w:b w:val="0"/>
          <w:sz w:val="28"/>
          <w:szCs w:val="28"/>
          <w:highlight w:val="none"/>
          <w:u w:val="none"/>
          <w:lang w:val="en-US" w:eastAsia="zh-CN"/>
        </w:rPr>
        <w:t>2.项目名称：</w:t>
      </w:r>
      <w:r>
        <w:rPr>
          <w:rStyle w:val="26"/>
          <w:rFonts w:hint="eastAsia" w:cs="Times New Roman"/>
          <w:b w:val="0"/>
          <w:sz w:val="28"/>
          <w:szCs w:val="28"/>
          <w:highlight w:val="none"/>
          <w:u w:val="none"/>
          <w:lang w:val="en-US" w:eastAsia="zh-CN"/>
        </w:rPr>
        <w:t>若羌县中学食堂设备采购项目</w:t>
      </w:r>
    </w:p>
    <w:p w14:paraId="71A47296">
      <w:pPr>
        <w:adjustRightInd w:val="0"/>
        <w:snapToGrid w:val="0"/>
        <w:spacing w:beforeLines="0" w:afterLines="0" w:line="360" w:lineRule="auto"/>
        <w:ind w:firstLine="560" w:firstLineChars="200"/>
        <w:rPr>
          <w:rStyle w:val="26"/>
          <w:rFonts w:hint="default" w:cs="Times New Roman"/>
          <w:b w:val="0"/>
          <w:sz w:val="28"/>
          <w:szCs w:val="28"/>
          <w:highlight w:val="none"/>
          <w:u w:val="none"/>
          <w:lang w:val="en-US" w:eastAsia="zh-CN"/>
        </w:rPr>
      </w:pPr>
      <w:r>
        <w:rPr>
          <w:rStyle w:val="26"/>
          <w:rFonts w:hint="default" w:cs="Times New Roman"/>
          <w:b w:val="0"/>
          <w:sz w:val="28"/>
          <w:szCs w:val="28"/>
          <w:highlight w:val="none"/>
          <w:u w:val="none"/>
          <w:lang w:val="en-US" w:eastAsia="zh-CN"/>
        </w:rPr>
        <w:t>3.采购方式：公开招标</w:t>
      </w:r>
    </w:p>
    <w:p w14:paraId="4B0845D4">
      <w:pPr>
        <w:adjustRightInd w:val="0"/>
        <w:snapToGrid w:val="0"/>
        <w:spacing w:beforeLines="0" w:afterLines="0" w:line="360" w:lineRule="auto"/>
        <w:ind w:firstLine="560" w:firstLineChars="200"/>
        <w:rPr>
          <w:rStyle w:val="26"/>
          <w:rFonts w:hint="default" w:cs="Times New Roman"/>
          <w:b w:val="0"/>
          <w:sz w:val="28"/>
          <w:szCs w:val="28"/>
          <w:highlight w:val="none"/>
          <w:u w:val="none"/>
          <w:lang w:val="en-US" w:eastAsia="zh-CN"/>
        </w:rPr>
      </w:pPr>
      <w:r>
        <w:rPr>
          <w:rStyle w:val="26"/>
          <w:rFonts w:hint="default" w:cs="Times New Roman"/>
          <w:b w:val="0"/>
          <w:sz w:val="28"/>
          <w:szCs w:val="28"/>
          <w:highlight w:val="none"/>
          <w:u w:val="none"/>
          <w:lang w:val="en-US" w:eastAsia="zh-CN"/>
        </w:rPr>
        <w:t xml:space="preserve">4.预算金额： </w:t>
      </w:r>
      <w:r>
        <w:rPr>
          <w:rStyle w:val="26"/>
          <w:rFonts w:hint="eastAsia" w:cs="Times New Roman"/>
          <w:b w:val="0"/>
          <w:sz w:val="28"/>
          <w:szCs w:val="28"/>
          <w:highlight w:val="none"/>
          <w:u w:val="none"/>
          <w:lang w:val="en-US" w:eastAsia="zh-CN"/>
        </w:rPr>
        <w:t>75万</w:t>
      </w:r>
      <w:r>
        <w:rPr>
          <w:rStyle w:val="26"/>
          <w:rFonts w:hint="default" w:cs="Times New Roman"/>
          <w:b w:val="0"/>
          <w:sz w:val="28"/>
          <w:szCs w:val="28"/>
          <w:highlight w:val="none"/>
          <w:u w:val="none"/>
          <w:lang w:val="en-US" w:eastAsia="zh-CN"/>
        </w:rPr>
        <w:t>元人民币</w:t>
      </w:r>
    </w:p>
    <w:p w14:paraId="44F3D548">
      <w:pPr>
        <w:adjustRightInd w:val="0"/>
        <w:snapToGrid w:val="0"/>
        <w:spacing w:beforeLines="0" w:afterLines="0" w:line="360" w:lineRule="auto"/>
        <w:ind w:firstLine="560" w:firstLineChars="200"/>
        <w:rPr>
          <w:rStyle w:val="26"/>
          <w:rFonts w:hint="default" w:ascii="Times New Roman" w:hAnsi="Times New Roman" w:cs="Times New Roman"/>
          <w:b w:val="0"/>
          <w:sz w:val="28"/>
          <w:szCs w:val="28"/>
          <w:highlight w:val="none"/>
        </w:rPr>
      </w:pPr>
      <w:r>
        <w:rPr>
          <w:rStyle w:val="26"/>
          <w:rFonts w:hint="default" w:cs="Times New Roman"/>
          <w:b w:val="0"/>
          <w:sz w:val="28"/>
          <w:szCs w:val="28"/>
          <w:highlight w:val="none"/>
          <w:u w:val="none"/>
          <w:lang w:val="en-US" w:eastAsia="zh-CN"/>
        </w:rPr>
        <w:t>5.最高限价：</w:t>
      </w:r>
      <w:r>
        <w:rPr>
          <w:rStyle w:val="26"/>
          <w:rFonts w:hint="eastAsia" w:cs="Times New Roman"/>
          <w:b w:val="0"/>
          <w:sz w:val="28"/>
          <w:szCs w:val="28"/>
          <w:highlight w:val="none"/>
          <w:u w:val="none"/>
          <w:lang w:val="en-US" w:eastAsia="zh-CN"/>
        </w:rPr>
        <w:t xml:space="preserve"> 75万</w:t>
      </w:r>
      <w:r>
        <w:rPr>
          <w:rStyle w:val="26"/>
          <w:rFonts w:hint="default" w:cs="Times New Roman"/>
          <w:b w:val="0"/>
          <w:sz w:val="28"/>
          <w:szCs w:val="28"/>
          <w:highlight w:val="none"/>
          <w:u w:val="none"/>
          <w:lang w:val="en-US" w:eastAsia="zh-CN"/>
        </w:rPr>
        <w:t>元人</w:t>
      </w:r>
      <w:r>
        <w:rPr>
          <w:rStyle w:val="26"/>
          <w:rFonts w:hint="default" w:cs="Times New Roman"/>
          <w:b w:val="0"/>
          <w:sz w:val="28"/>
          <w:szCs w:val="28"/>
          <w:highlight w:val="none"/>
          <w:lang w:val="en-US" w:eastAsia="zh-CN"/>
        </w:rPr>
        <w:t>民币</w:t>
      </w:r>
    </w:p>
    <w:p w14:paraId="7491D7F6">
      <w:pPr>
        <w:adjustRightInd w:val="0"/>
        <w:snapToGrid w:val="0"/>
        <w:spacing w:beforeLines="0" w:afterLines="0" w:line="360" w:lineRule="auto"/>
        <w:ind w:firstLine="560" w:firstLineChars="200"/>
        <w:rPr>
          <w:rStyle w:val="26"/>
          <w:rFonts w:hint="default" w:ascii="Times New Roman" w:hAnsi="Times New Roman" w:cs="Times New Roman"/>
          <w:b w:val="0"/>
          <w:sz w:val="28"/>
          <w:szCs w:val="28"/>
          <w:highlight w:val="none"/>
        </w:rPr>
      </w:pPr>
      <w:r>
        <w:rPr>
          <w:rStyle w:val="26"/>
          <w:rFonts w:hint="default" w:ascii="Times New Roman" w:hAnsi="Times New Roman" w:cs="Times New Roman"/>
          <w:b w:val="0"/>
          <w:sz w:val="28"/>
          <w:szCs w:val="28"/>
          <w:highlight w:val="none"/>
          <w:lang w:val="en-US" w:eastAsia="zh-CN"/>
        </w:rPr>
        <w:t>6</w:t>
      </w:r>
      <w:r>
        <w:rPr>
          <w:rStyle w:val="26"/>
          <w:rFonts w:hint="default" w:ascii="Times New Roman" w:hAnsi="Times New Roman" w:cs="Times New Roman"/>
          <w:b w:val="0"/>
          <w:sz w:val="28"/>
          <w:szCs w:val="28"/>
          <w:highlight w:val="none"/>
        </w:rPr>
        <w:t>.采购需求</w:t>
      </w:r>
      <w:r>
        <w:rPr>
          <w:rStyle w:val="26"/>
          <w:rFonts w:hint="eastAsia" w:ascii="Times New Roman" w:hAnsi="Times New Roman" w:cs="Times New Roman"/>
          <w:b w:val="0"/>
          <w:sz w:val="28"/>
          <w:szCs w:val="28"/>
          <w:highlight w:val="none"/>
          <w:lang w:val="en-US" w:eastAsia="zh-CN"/>
        </w:rPr>
        <w:t>:</w:t>
      </w:r>
      <w:r>
        <w:rPr>
          <w:rStyle w:val="26"/>
          <w:rFonts w:hint="eastAsia" w:cs="Times New Roman"/>
          <w:b w:val="0"/>
          <w:sz w:val="28"/>
          <w:szCs w:val="28"/>
          <w:highlight w:val="none"/>
          <w:lang w:val="en-US" w:eastAsia="zh-CN"/>
        </w:rPr>
        <w:t xml:space="preserve"> </w:t>
      </w:r>
      <w:r>
        <w:rPr>
          <w:rStyle w:val="26"/>
          <w:rFonts w:hint="default" w:cs="Times New Roman"/>
          <w:b w:val="0"/>
          <w:sz w:val="28"/>
          <w:szCs w:val="28"/>
          <w:highlight w:val="none"/>
          <w:u w:val="none"/>
          <w:lang w:val="en-US" w:eastAsia="zh-CN"/>
        </w:rPr>
        <w:t>若羌县中学食堂设备采购，</w:t>
      </w:r>
      <w:r>
        <w:rPr>
          <w:rStyle w:val="26"/>
          <w:rFonts w:hint="default" w:ascii="Times New Roman" w:hAnsi="Times New Roman" w:eastAsia="宋体" w:cs="Times New Roman"/>
          <w:b w:val="0"/>
          <w:sz w:val="28"/>
          <w:szCs w:val="28"/>
          <w:highlight w:val="none"/>
          <w:lang w:eastAsia="zh-CN"/>
        </w:rPr>
        <w:t>具体见第三章《</w:t>
      </w:r>
      <w:r>
        <w:rPr>
          <w:rStyle w:val="26"/>
          <w:rFonts w:hint="default" w:ascii="Times New Roman" w:hAnsi="Times New Roman" w:cs="Times New Roman"/>
          <w:b w:val="0"/>
          <w:sz w:val="28"/>
          <w:szCs w:val="28"/>
          <w:highlight w:val="none"/>
          <w:lang w:eastAsia="zh-CN"/>
        </w:rPr>
        <w:t>采购需求》</w:t>
      </w:r>
      <w:r>
        <w:rPr>
          <w:rStyle w:val="26"/>
          <w:rFonts w:hint="default" w:ascii="Times New Roman" w:hAnsi="Times New Roman" w:cs="Times New Roman"/>
          <w:b w:val="0"/>
          <w:sz w:val="28"/>
          <w:szCs w:val="28"/>
          <w:highlight w:val="none"/>
        </w:rPr>
        <w:t>：</w:t>
      </w:r>
    </w:p>
    <w:p w14:paraId="3DBB19D7">
      <w:pPr>
        <w:adjustRightInd w:val="0"/>
        <w:snapToGrid w:val="0"/>
        <w:spacing w:beforeLines="0" w:afterLines="0" w:line="360" w:lineRule="auto"/>
        <w:ind w:firstLine="560" w:firstLineChars="200"/>
        <w:rPr>
          <w:rStyle w:val="26"/>
          <w:rFonts w:hint="default" w:ascii="Times New Roman" w:hAnsi="Times New Roman" w:eastAsia="宋体" w:cs="Times New Roman"/>
          <w:b w:val="0"/>
          <w:sz w:val="28"/>
          <w:szCs w:val="28"/>
          <w:highlight w:val="none"/>
          <w:u w:val="single"/>
          <w:lang w:val="en-US" w:eastAsia="zh-CN"/>
        </w:rPr>
      </w:pPr>
      <w:r>
        <w:rPr>
          <w:rStyle w:val="26"/>
          <w:rFonts w:hint="default" w:ascii="Times New Roman" w:hAnsi="Times New Roman" w:cs="Times New Roman"/>
          <w:b w:val="0"/>
          <w:sz w:val="28"/>
          <w:szCs w:val="28"/>
          <w:highlight w:val="none"/>
          <w:lang w:eastAsia="zh-CN"/>
        </w:rPr>
        <w:t>7</w:t>
      </w:r>
      <w:r>
        <w:rPr>
          <w:rStyle w:val="26"/>
          <w:rFonts w:hint="default" w:ascii="Times New Roman" w:hAnsi="Times New Roman" w:cs="Times New Roman"/>
          <w:b w:val="0"/>
          <w:sz w:val="28"/>
          <w:szCs w:val="28"/>
          <w:highlight w:val="none"/>
        </w:rPr>
        <w:t>.</w:t>
      </w:r>
      <w:r>
        <w:rPr>
          <w:rStyle w:val="26"/>
          <w:rFonts w:hint="eastAsia" w:cs="Times New Roman"/>
          <w:b w:val="0"/>
          <w:sz w:val="28"/>
          <w:szCs w:val="28"/>
          <w:highlight w:val="none"/>
          <w:lang w:eastAsia="zh-CN"/>
        </w:rPr>
        <w:t>交货期限：</w:t>
      </w:r>
      <w:r>
        <w:rPr>
          <w:rStyle w:val="26"/>
          <w:rFonts w:hint="default" w:ascii="Times New Roman" w:hAnsi="Times New Roman" w:cs="Times New Roman"/>
          <w:b w:val="0"/>
          <w:sz w:val="28"/>
          <w:szCs w:val="28"/>
          <w:highlight w:val="none"/>
        </w:rPr>
        <w:t>合同签订之日起</w:t>
      </w:r>
      <w:r>
        <w:rPr>
          <w:rStyle w:val="26"/>
          <w:rFonts w:hint="eastAsia" w:cs="Times New Roman"/>
          <w:b w:val="0"/>
          <w:sz w:val="28"/>
          <w:szCs w:val="28"/>
          <w:highlight w:val="none"/>
          <w:lang w:val="en-US" w:eastAsia="zh-CN"/>
        </w:rPr>
        <w:t>40个工作日内。</w:t>
      </w:r>
    </w:p>
    <w:p w14:paraId="1D944256">
      <w:pPr>
        <w:adjustRightInd w:val="0"/>
        <w:snapToGrid w:val="0"/>
        <w:spacing w:beforeLines="0" w:afterLines="0" w:line="360" w:lineRule="auto"/>
        <w:ind w:firstLine="560" w:firstLineChars="200"/>
        <w:rPr>
          <w:rStyle w:val="26"/>
          <w:rFonts w:hint="default" w:ascii="Times New Roman" w:hAnsi="Times New Roman" w:cs="Times New Roman"/>
          <w:b w:val="0"/>
          <w:sz w:val="28"/>
          <w:szCs w:val="28"/>
          <w:highlight w:val="none"/>
        </w:rPr>
      </w:pPr>
      <w:r>
        <w:rPr>
          <w:rStyle w:val="26"/>
          <w:rFonts w:hint="default" w:ascii="Times New Roman" w:hAnsi="Times New Roman" w:cs="Times New Roman"/>
          <w:b w:val="0"/>
          <w:sz w:val="28"/>
          <w:szCs w:val="28"/>
          <w:highlight w:val="none"/>
          <w:lang w:val="en-US" w:eastAsia="zh-CN"/>
        </w:rPr>
        <w:t>8</w:t>
      </w:r>
      <w:r>
        <w:rPr>
          <w:rStyle w:val="26"/>
          <w:rFonts w:hint="default" w:ascii="Times New Roman" w:hAnsi="Times New Roman" w:cs="Times New Roman"/>
          <w:b w:val="0"/>
          <w:sz w:val="28"/>
          <w:szCs w:val="28"/>
          <w:highlight w:val="none"/>
        </w:rPr>
        <w:t>.本项目</w:t>
      </w:r>
      <w:r>
        <w:rPr>
          <w:rStyle w:val="26"/>
          <w:rFonts w:hint="default" w:ascii="Times New Roman" w:hAnsi="Times New Roman" w:cs="Times New Roman"/>
          <w:b w:val="0"/>
          <w:sz w:val="28"/>
          <w:szCs w:val="28"/>
          <w:highlight w:val="none"/>
          <w:lang w:eastAsia="zh-CN"/>
        </w:rPr>
        <w:t>是否</w:t>
      </w:r>
      <w:r>
        <w:rPr>
          <w:rStyle w:val="26"/>
          <w:rFonts w:hint="default" w:ascii="Times New Roman" w:hAnsi="Times New Roman" w:cs="Times New Roman"/>
          <w:b w:val="0"/>
          <w:sz w:val="28"/>
          <w:szCs w:val="28"/>
          <w:highlight w:val="none"/>
        </w:rPr>
        <w:t>接受联合体投标:</w:t>
      </w:r>
      <w:r>
        <w:rPr>
          <w:rStyle w:val="26"/>
          <w:rFonts w:hint="default" w:ascii="Times New Roman" w:hAnsi="Times New Roman" w:cs="Times New Roman"/>
          <w:b w:val="0"/>
          <w:sz w:val="28"/>
          <w:szCs w:val="28"/>
          <w:highlight w:val="none"/>
        </w:rPr>
        <w:sym w:font="Wingdings 2" w:char="00A3"/>
      </w:r>
      <w:r>
        <w:rPr>
          <w:rStyle w:val="26"/>
          <w:rFonts w:hint="default" w:ascii="Times New Roman" w:hAnsi="Times New Roman" w:cs="Times New Roman"/>
          <w:b w:val="0"/>
          <w:sz w:val="28"/>
          <w:szCs w:val="28"/>
          <w:highlight w:val="none"/>
          <w:lang w:eastAsia="zh-CN"/>
        </w:rPr>
        <w:t>是</w:t>
      </w:r>
      <w:r>
        <w:rPr>
          <w:rStyle w:val="26"/>
          <w:rFonts w:hint="default" w:ascii="Times New Roman" w:hAnsi="Times New Roman" w:cs="Times New Roman"/>
          <w:b w:val="0"/>
          <w:sz w:val="28"/>
          <w:szCs w:val="28"/>
          <w:highlight w:val="none"/>
          <w:lang w:val="en-US" w:eastAsia="zh-CN"/>
        </w:rPr>
        <w:t xml:space="preserve">  </w:t>
      </w:r>
      <w:r>
        <w:rPr>
          <w:rStyle w:val="26"/>
          <w:rFonts w:hint="default" w:ascii="Times New Roman" w:hAnsi="Times New Roman" w:cs="Times New Roman"/>
          <w:b w:val="0"/>
          <w:sz w:val="28"/>
          <w:szCs w:val="28"/>
          <w:highlight w:val="none"/>
        </w:rPr>
        <w:sym w:font="Wingdings 2" w:char="0052"/>
      </w:r>
      <w:r>
        <w:rPr>
          <w:rStyle w:val="26"/>
          <w:rFonts w:hint="default" w:ascii="Times New Roman" w:hAnsi="Times New Roman" w:cs="Times New Roman"/>
          <w:b w:val="0"/>
          <w:sz w:val="28"/>
          <w:szCs w:val="28"/>
          <w:highlight w:val="none"/>
          <w:lang w:eastAsia="zh-CN"/>
        </w:rPr>
        <w:t>否。</w:t>
      </w:r>
    </w:p>
    <w:p w14:paraId="31A1E82C">
      <w:pPr>
        <w:spacing w:beforeLines="0" w:afterLines="0" w:line="360" w:lineRule="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t>二、</w:t>
      </w:r>
      <w:r>
        <w:rPr>
          <w:rFonts w:hint="default" w:ascii="Times New Roman" w:hAnsi="Times New Roman" w:eastAsia="黑体" w:cs="Times New Roman"/>
          <w:sz w:val="28"/>
          <w:szCs w:val="28"/>
          <w:highlight w:val="none"/>
          <w:lang w:eastAsia="zh-CN"/>
        </w:rPr>
        <w:t>申请人</w:t>
      </w:r>
      <w:r>
        <w:rPr>
          <w:rFonts w:hint="default" w:ascii="Times New Roman" w:hAnsi="Times New Roman" w:eastAsia="黑体" w:cs="Times New Roman"/>
          <w:sz w:val="28"/>
          <w:szCs w:val="28"/>
          <w:highlight w:val="none"/>
        </w:rPr>
        <w:t>的资格要求</w:t>
      </w:r>
    </w:p>
    <w:p w14:paraId="55BCF2B8">
      <w:pPr>
        <w:widowControl/>
        <w:spacing w:beforeLines="0" w:afterLines="0" w:line="360" w:lineRule="auto"/>
        <w:jc w:val="left"/>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lang w:val="en-US" w:eastAsia="zh-CN"/>
        </w:rPr>
        <w:t xml:space="preserve">    </w:t>
      </w:r>
      <w:r>
        <w:rPr>
          <w:rFonts w:hint="default" w:ascii="Times New Roman" w:hAnsi="Times New Roman" w:cs="Times New Roman"/>
          <w:kern w:val="0"/>
          <w:sz w:val="28"/>
          <w:szCs w:val="28"/>
          <w:highlight w:val="none"/>
        </w:rPr>
        <w:t>1.满足《中华人民共和国政府采购法》第二十一条、第二十二条规定</w:t>
      </w:r>
      <w:r>
        <w:rPr>
          <w:rFonts w:hint="default" w:ascii="Times New Roman" w:hAnsi="Times New Roman" w:cs="Times New Roman"/>
          <w:kern w:val="0"/>
          <w:sz w:val="28"/>
          <w:szCs w:val="28"/>
          <w:highlight w:val="none"/>
          <w:lang w:eastAsia="zh-CN"/>
        </w:rPr>
        <w:t>；</w:t>
      </w:r>
    </w:p>
    <w:p w14:paraId="76B454CF">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2.落实政府采购政策需满足的资格要求：</w:t>
      </w:r>
    </w:p>
    <w:p w14:paraId="450F1FDC">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2.1 中小企业政策</w:t>
      </w:r>
    </w:p>
    <w:p w14:paraId="0F0FE314">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eastAsia" w:ascii="Times New Roman" w:hAnsi="Times New Roman" w:cs="Times New Roman"/>
          <w:b w:val="0"/>
          <w:sz w:val="28"/>
          <w:szCs w:val="28"/>
          <w:highlight w:val="none"/>
          <w:u w:val="single"/>
          <w:lang w:val="en-US" w:eastAsia="zh-CN"/>
        </w:rPr>
        <w:t>本项目专门面向</w:t>
      </w:r>
      <w:r>
        <w:rPr>
          <w:rStyle w:val="26"/>
          <w:rFonts w:hint="eastAsia" w:cs="Times New Roman"/>
          <w:b w:val="0"/>
          <w:sz w:val="28"/>
          <w:szCs w:val="28"/>
          <w:highlight w:val="none"/>
          <w:u w:val="single"/>
          <w:lang w:val="en-US" w:eastAsia="zh-CN"/>
        </w:rPr>
        <w:t>小微企业</w:t>
      </w:r>
      <w:r>
        <w:rPr>
          <w:rStyle w:val="26"/>
          <w:rFonts w:hint="eastAsia" w:ascii="Times New Roman" w:hAnsi="Times New Roman" w:cs="Times New Roman"/>
          <w:b w:val="0"/>
          <w:sz w:val="28"/>
          <w:szCs w:val="28"/>
          <w:highlight w:val="none"/>
          <w:lang w:val="en-US" w:eastAsia="zh-CN"/>
        </w:rPr>
        <w:t>。</w:t>
      </w:r>
    </w:p>
    <w:p w14:paraId="62496E80">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（1）本项目采购标的对应的中小企业划分标准所属行业：</w:t>
      </w:r>
      <w:r>
        <w:rPr>
          <w:rStyle w:val="26"/>
          <w:rFonts w:hint="default" w:ascii="Times New Roman" w:hAnsi="Times New Roman" w:cs="Times New Roman"/>
          <w:b w:val="0"/>
          <w:sz w:val="28"/>
          <w:szCs w:val="28"/>
          <w:highlight w:val="none"/>
          <w:u w:val="single"/>
          <w:lang w:val="en-US" w:eastAsia="zh-CN"/>
        </w:rPr>
        <w:t>工业。</w:t>
      </w:r>
      <w:r>
        <w:rPr>
          <w:rStyle w:val="26"/>
          <w:rFonts w:hint="default" w:ascii="Times New Roman" w:hAnsi="Times New Roman" w:cs="Times New Roman"/>
          <w:b w:val="0"/>
          <w:sz w:val="28"/>
          <w:szCs w:val="28"/>
          <w:highlight w:val="none"/>
          <w:lang w:val="en-US" w:eastAsia="zh-CN"/>
        </w:rPr>
        <w:t xml:space="preserve"> </w:t>
      </w:r>
    </w:p>
    <w:p w14:paraId="38589B5A">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中小企业声明函（本项目采购标的对应的中小企业划分标准所属行业：</w:t>
      </w:r>
      <w:r>
        <w:rPr>
          <w:rStyle w:val="26"/>
          <w:rFonts w:hint="default" w:ascii="Times New Roman" w:hAnsi="Times New Roman" w:cs="Times New Roman"/>
          <w:b w:val="0"/>
          <w:sz w:val="28"/>
          <w:szCs w:val="28"/>
          <w:highlight w:val="none"/>
          <w:u w:val="single"/>
          <w:lang w:val="en-US" w:eastAsia="zh-CN"/>
        </w:rPr>
        <w:t>工业</w:t>
      </w:r>
      <w:r>
        <w:rPr>
          <w:rStyle w:val="26"/>
          <w:rFonts w:hint="default" w:ascii="Times New Roman" w:hAnsi="Times New Roman" w:cs="Times New Roman"/>
          <w:b w:val="0"/>
          <w:sz w:val="28"/>
          <w:szCs w:val="28"/>
          <w:highlight w:val="none"/>
          <w:lang w:val="en-US" w:eastAsia="zh-CN"/>
        </w:rPr>
        <w:t>，供应商须符合《关于印发中小企业划型标准规定的通知》工信部联企业（2011）300号文件中关于中小企业划型标准的规定，如实填写《中小企业声明函》，并对其出具的《中小企业声明函》真实性负责。</w:t>
      </w:r>
    </w:p>
    <w:p w14:paraId="7DE87955">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备注：供应商按照本办法规定提供声明函内容不实的，属于提供虚假材料谋取中标，成交，依照《中华人民共和国政府采购法》等国家有关规定追究响应责任。</w:t>
      </w:r>
    </w:p>
    <w:p w14:paraId="1D7436FC">
      <w:pPr>
        <w:adjustRightInd w:val="0"/>
        <w:snapToGrid w:val="0"/>
        <w:spacing w:beforeLines="0" w:afterLines="0" w:line="480" w:lineRule="exact"/>
        <w:ind w:firstLine="560"/>
        <w:rPr>
          <w:rStyle w:val="25"/>
          <w:rFonts w:hint="default" w:ascii="Times New Roman" w:hAnsi="Times New Roman" w:eastAsia="仿宋" w:cs="Times New Roman"/>
          <w:b/>
          <w:bCs/>
          <w:i/>
          <w:iCs/>
          <w:sz w:val="28"/>
          <w:szCs w:val="28"/>
          <w:u w:val="single"/>
          <w:lang w:eastAsia="zh-CN"/>
        </w:rPr>
      </w:pPr>
      <w:r>
        <w:rPr>
          <w:rStyle w:val="26"/>
          <w:rFonts w:hint="default" w:ascii="Times New Roman" w:hAnsi="Times New Roman" w:cs="Times New Roman"/>
          <w:b w:val="0"/>
          <w:sz w:val="28"/>
          <w:szCs w:val="28"/>
        </w:rPr>
        <w:sym w:font="Wingdings 2" w:char="00A3"/>
      </w:r>
      <w:r>
        <w:rPr>
          <w:rStyle w:val="26"/>
          <w:rFonts w:hint="default" w:ascii="Times New Roman" w:hAnsi="Times New Roman" w:cs="Times New Roman"/>
          <w:b w:val="0"/>
          <w:sz w:val="28"/>
          <w:szCs w:val="28"/>
          <w:lang w:eastAsia="zh-CN"/>
        </w:rPr>
        <w:t>本项目不专门面向中小企业预留采购份额。具体情况符合以下情形</w:t>
      </w:r>
    </w:p>
    <w:p w14:paraId="327A72E0">
      <w:pPr>
        <w:adjustRightInd w:val="0"/>
        <w:snapToGrid w:val="0"/>
        <w:spacing w:beforeLines="0" w:afterLines="0" w:line="480" w:lineRule="exact"/>
        <w:ind w:firstLine="560"/>
        <w:rPr>
          <w:rStyle w:val="26"/>
          <w:rFonts w:hint="default" w:ascii="Times New Roman" w:hAnsi="Times New Roman" w:cs="Times New Roman"/>
          <w:b w:val="0"/>
          <w:sz w:val="28"/>
          <w:szCs w:val="28"/>
          <w:lang w:eastAsia="zh-CN"/>
        </w:rPr>
      </w:pPr>
      <w:r>
        <w:rPr>
          <w:rStyle w:val="26"/>
          <w:rFonts w:hint="default" w:ascii="Times New Roman" w:hAnsi="Times New Roman" w:cs="Times New Roman"/>
          <w:b w:val="0"/>
          <w:sz w:val="28"/>
          <w:szCs w:val="28"/>
        </w:rPr>
        <w:sym w:font="Wingdings 2" w:char="00A3"/>
      </w:r>
      <w:r>
        <w:rPr>
          <w:rStyle w:val="26"/>
          <w:rFonts w:hint="default" w:ascii="Times New Roman" w:hAnsi="Times New Roman" w:cs="Times New Roman"/>
          <w:b w:val="0"/>
          <w:sz w:val="28"/>
          <w:szCs w:val="28"/>
          <w:lang w:eastAsia="zh-CN"/>
        </w:rPr>
        <w:t>按照《政府采购促进中小企业发展管理办法》（财库</w:t>
      </w:r>
      <w:r>
        <w:rPr>
          <w:rStyle w:val="26"/>
          <w:rFonts w:hint="default" w:ascii="Times New Roman" w:hAnsi="Times New Roman" w:eastAsia="仿宋_GB2312" w:cs="Times New Roman"/>
          <w:b w:val="0"/>
          <w:sz w:val="28"/>
          <w:szCs w:val="28"/>
          <w:lang w:eastAsia="zh-CN"/>
        </w:rPr>
        <w:t>〔</w:t>
      </w:r>
      <w:r>
        <w:rPr>
          <w:rStyle w:val="26"/>
          <w:rFonts w:hint="default" w:ascii="Times New Roman" w:hAnsi="Times New Roman" w:eastAsia="仿宋_GB2312" w:cs="Times New Roman"/>
          <w:b w:val="0"/>
          <w:sz w:val="28"/>
          <w:szCs w:val="28"/>
          <w:lang w:val="en-US" w:eastAsia="zh-CN"/>
        </w:rPr>
        <w:t>2020</w:t>
      </w:r>
      <w:r>
        <w:rPr>
          <w:rStyle w:val="26"/>
          <w:rFonts w:hint="default" w:ascii="Times New Roman" w:hAnsi="Times New Roman" w:eastAsia="仿宋_GB2312" w:cs="Times New Roman"/>
          <w:b w:val="0"/>
          <w:sz w:val="28"/>
          <w:szCs w:val="28"/>
          <w:lang w:eastAsia="zh-CN"/>
        </w:rPr>
        <w:t>〕</w:t>
      </w:r>
      <w:r>
        <w:rPr>
          <w:rStyle w:val="26"/>
          <w:rFonts w:hint="default" w:ascii="Times New Roman" w:hAnsi="Times New Roman" w:eastAsia="仿宋_GB2312" w:cs="Times New Roman"/>
          <w:b w:val="0"/>
          <w:sz w:val="28"/>
          <w:szCs w:val="28"/>
          <w:lang w:val="en-US" w:eastAsia="zh-CN"/>
        </w:rPr>
        <w:t>46号</w:t>
      </w:r>
      <w:r>
        <w:rPr>
          <w:rStyle w:val="26"/>
          <w:rFonts w:hint="default" w:ascii="Times New Roman" w:hAnsi="Times New Roman" w:cs="Times New Roman"/>
          <w:b w:val="0"/>
          <w:sz w:val="28"/>
          <w:szCs w:val="28"/>
          <w:lang w:eastAsia="zh-CN"/>
        </w:rPr>
        <w:t>）规定预留采购份额无法确保充分供应、充分竞争，或者存在可能影响政府采购目标实现的情形；</w:t>
      </w:r>
    </w:p>
    <w:p w14:paraId="3BE5878F">
      <w:pPr>
        <w:adjustRightInd w:val="0"/>
        <w:snapToGrid w:val="0"/>
        <w:spacing w:beforeLines="0" w:afterLines="0" w:line="480" w:lineRule="exact"/>
        <w:ind w:firstLine="560"/>
        <w:rPr>
          <w:rStyle w:val="26"/>
          <w:rFonts w:hint="default" w:ascii="Times New Roman" w:hAnsi="Times New Roman" w:cs="Times New Roman"/>
          <w:b w:val="0"/>
          <w:sz w:val="28"/>
          <w:szCs w:val="28"/>
          <w:lang w:val="en-US" w:eastAsia="zh-CN"/>
        </w:rPr>
      </w:pPr>
      <w:r>
        <w:rPr>
          <w:rStyle w:val="26"/>
          <w:rFonts w:hint="default" w:ascii="Times New Roman" w:hAnsi="Times New Roman" w:cs="Times New Roman"/>
          <w:b w:val="0"/>
          <w:sz w:val="28"/>
          <w:szCs w:val="28"/>
          <w:lang w:eastAsia="zh-CN"/>
        </w:rPr>
        <w:t>对未预留份额专门面向中小企业采购的采购项目，以及预留份额项目中的非预留部分采购包，对小微企业报价给予</w:t>
      </w:r>
      <w:r>
        <w:rPr>
          <w:rStyle w:val="26"/>
          <w:rFonts w:hint="default" w:ascii="Times New Roman" w:hAnsi="Times New Roman" w:cs="Times New Roman"/>
          <w:b w:val="0"/>
          <w:sz w:val="28"/>
          <w:szCs w:val="28"/>
          <w:u w:val="single"/>
          <w:lang w:val="en-US" w:eastAsia="zh-CN"/>
        </w:rPr>
        <w:t xml:space="preserve"> </w:t>
      </w:r>
      <w:r>
        <w:rPr>
          <w:rStyle w:val="26"/>
          <w:rFonts w:hint="eastAsia" w:cs="Times New Roman"/>
          <w:b w:val="0"/>
          <w:sz w:val="28"/>
          <w:szCs w:val="28"/>
          <w:u w:val="single"/>
          <w:lang w:val="en-US" w:eastAsia="zh-CN"/>
        </w:rPr>
        <w:t xml:space="preserve">  </w:t>
      </w:r>
      <w:r>
        <w:rPr>
          <w:rStyle w:val="26"/>
          <w:rFonts w:hint="default" w:ascii="Times New Roman" w:hAnsi="Times New Roman" w:cs="Times New Roman"/>
          <w:b w:val="0"/>
          <w:sz w:val="28"/>
          <w:szCs w:val="28"/>
          <w:u w:val="single"/>
          <w:lang w:val="en-US" w:eastAsia="zh-CN"/>
        </w:rPr>
        <w:t xml:space="preserve"> </w:t>
      </w:r>
      <w:r>
        <w:rPr>
          <w:rStyle w:val="26"/>
          <w:rFonts w:hint="default" w:ascii="Times New Roman" w:hAnsi="Times New Roman" w:cs="Times New Roman"/>
          <w:b w:val="0"/>
          <w:sz w:val="28"/>
          <w:szCs w:val="28"/>
          <w:lang w:val="en-US" w:eastAsia="zh-CN"/>
        </w:rPr>
        <w:t>%的扣除，用扣除后的价格参加评审。</w:t>
      </w:r>
    </w:p>
    <w:p w14:paraId="343EFC13">
      <w:pPr>
        <w:pStyle w:val="3"/>
        <w:rPr>
          <w:rFonts w:hint="default"/>
          <w:lang w:val="en-US" w:eastAsia="zh-CN"/>
        </w:rPr>
      </w:pPr>
    </w:p>
    <w:p w14:paraId="1BF3DD6B">
      <w:pPr>
        <w:adjustRightInd w:val="0"/>
        <w:snapToGrid w:val="0"/>
        <w:spacing w:beforeLines="0" w:afterLines="0" w:line="360" w:lineRule="auto"/>
        <w:ind w:firstLine="560"/>
        <w:rPr>
          <w:rStyle w:val="26"/>
          <w:rFonts w:hint="eastAsia"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2.2 其他落实政府采购政策的资格要求</w:t>
      </w:r>
      <w:r>
        <w:rPr>
          <w:rStyle w:val="26"/>
          <w:rFonts w:hint="eastAsia" w:cs="Times New Roman"/>
          <w:b w:val="0"/>
          <w:sz w:val="28"/>
          <w:szCs w:val="28"/>
          <w:highlight w:val="none"/>
          <w:lang w:val="en-US" w:eastAsia="zh-CN"/>
        </w:rPr>
        <w:t>：</w:t>
      </w:r>
    </w:p>
    <w:p w14:paraId="67F2B036">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（1）财政部、国家发展改革委、生态环境部、市场监管总局《关于调整优化节能产品、环境标志产品政府采购执行机制的通知》（财库[2019]9号文）； </w:t>
      </w:r>
    </w:p>
    <w:p w14:paraId="11D4C211">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（2）财政部、生态环境部《关于印发环境标志产品政府采购品目清单的通知》（财库[2019]18号文）； </w:t>
      </w:r>
    </w:p>
    <w:p w14:paraId="6C367B7F">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（3）财政部、发展改革委《关于印发节能产品政府采购品目清单的通知》（财库[2019]19号文）； </w:t>
      </w:r>
    </w:p>
    <w:p w14:paraId="136E1BC0">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（4）市场监管总局《市场监管总局关于发布参与实施政府采购节能产品、环境标志产品认证机构名录的公告》（2019年第16号）； </w:t>
      </w:r>
    </w:p>
    <w:p w14:paraId="4B97191A">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（5）财政部、工业和信息化部《关于印发《政府采购促进中小企业发展管理办法》的通知》（财库[2020]46号文）； </w:t>
      </w:r>
    </w:p>
    <w:p w14:paraId="6E4FCC0A">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（6）财政部、民政部、中国残疾人联合会《关于促进残疾人就业政府采购政策的通知》（财库[2017]141号）； </w:t>
      </w:r>
    </w:p>
    <w:p w14:paraId="7C5A71EC">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(7）财政部、司法部《关于政府采购支持监狱企业发展有关问题的通知》（财库[2014]68号文）。（中小企业优惠、监狱企业、节能产品、环境标志产品等）。</w:t>
      </w:r>
    </w:p>
    <w:p w14:paraId="7570432B">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3、投标人未被“信用中国”网站（www.creditchina.gov.cn）、“中国政府采购网"(www.ccgp.gov.cn)列入失信被执行人、重大税收违法案件当事人名单、政府采购严重失信行为记录名单）：             </w:t>
      </w:r>
    </w:p>
    <w:p w14:paraId="233AC569">
      <w:pPr>
        <w:adjustRightInd w:val="0"/>
        <w:snapToGrid w:val="0"/>
        <w:spacing w:beforeLines="0" w:afterLines="0" w:line="360" w:lineRule="auto"/>
        <w:ind w:firstLine="0"/>
        <w:rPr>
          <w:rStyle w:val="26"/>
          <w:rFonts w:hint="eastAsia"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    3.</w:t>
      </w:r>
      <w:r>
        <w:rPr>
          <w:rStyle w:val="26"/>
          <w:rFonts w:hint="default" w:ascii="Times New Roman" w:hAnsi="Times New Roman" w:cs="Times New Roman"/>
          <w:b w:val="0"/>
          <w:sz w:val="28"/>
          <w:szCs w:val="28"/>
          <w:highlight w:val="none"/>
          <w:lang w:eastAsia="zh-CN"/>
        </w:rPr>
        <w:t>本项目的特定资格要求：</w:t>
      </w:r>
      <w:r>
        <w:rPr>
          <w:rStyle w:val="26"/>
          <w:rFonts w:hint="eastAsia" w:cs="Times New Roman"/>
          <w:b w:val="0"/>
          <w:sz w:val="28"/>
          <w:szCs w:val="28"/>
          <w:highlight w:val="none"/>
          <w:lang w:val="en-US" w:eastAsia="zh-CN"/>
        </w:rPr>
        <w:t>无</w:t>
      </w:r>
      <w:r>
        <w:rPr>
          <w:rStyle w:val="26"/>
          <w:rFonts w:hint="default" w:ascii="Times New Roman" w:hAnsi="Times New Roman" w:cs="Times New Roman"/>
          <w:b w:val="0"/>
          <w:sz w:val="28"/>
          <w:szCs w:val="28"/>
          <w:highlight w:val="none"/>
          <w:lang w:val="en-US" w:eastAsia="zh-CN"/>
        </w:rPr>
        <w:t>；</w:t>
      </w:r>
    </w:p>
    <w:p w14:paraId="2D049E28">
      <w:pPr>
        <w:adjustRightInd w:val="0"/>
        <w:snapToGrid w:val="0"/>
        <w:spacing w:beforeLines="0" w:afterLines="0" w:line="360" w:lineRule="auto"/>
        <w:ind w:firstLine="0"/>
        <w:rPr>
          <w:rStyle w:val="26"/>
          <w:rFonts w:hint="default" w:ascii="Times New Roman" w:hAnsi="Times New Roman" w:cs="Times New Roman"/>
          <w:b w:val="0"/>
          <w:sz w:val="28"/>
          <w:szCs w:val="28"/>
          <w:highlight w:val="none"/>
          <w:lang w:eastAsia="zh-CN"/>
        </w:rPr>
      </w:pPr>
      <w:r>
        <w:rPr>
          <w:rStyle w:val="26"/>
          <w:rFonts w:hint="default" w:ascii="Times New Roman" w:hAnsi="Times New Roman" w:cs="Times New Roman"/>
          <w:b w:val="0"/>
          <w:sz w:val="28"/>
          <w:szCs w:val="28"/>
          <w:highlight w:val="none"/>
          <w:lang w:val="en-US" w:eastAsia="zh-CN"/>
        </w:rPr>
        <w:t xml:space="preserve">    4.</w:t>
      </w:r>
      <w:r>
        <w:rPr>
          <w:rStyle w:val="26"/>
          <w:rFonts w:hint="default" w:ascii="Times New Roman" w:hAnsi="Times New Roman" w:cs="Times New Roman"/>
          <w:b w:val="0"/>
          <w:sz w:val="28"/>
          <w:szCs w:val="28"/>
          <w:highlight w:val="none"/>
          <w:lang w:eastAsia="zh-CN"/>
        </w:rPr>
        <w:t>单位负责人为同一人或者存在直接控股、管理关系的不同供应商，不得参加同一合同项下（同一包号）的政府采购活动。</w:t>
      </w:r>
    </w:p>
    <w:p w14:paraId="2E6F5C35">
      <w:pPr>
        <w:adjustRightInd w:val="0"/>
        <w:snapToGrid w:val="0"/>
        <w:spacing w:beforeLines="0" w:afterLines="0" w:line="360" w:lineRule="auto"/>
        <w:ind w:firstLine="0"/>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 xml:space="preserve">    5.</w:t>
      </w:r>
      <w:r>
        <w:rPr>
          <w:rStyle w:val="26"/>
          <w:rFonts w:hint="default" w:ascii="Times New Roman" w:hAnsi="Times New Roman" w:cs="Times New Roman"/>
          <w:b w:val="0"/>
          <w:sz w:val="28"/>
          <w:szCs w:val="28"/>
          <w:highlight w:val="none"/>
          <w:lang w:eastAsia="zh-CN"/>
        </w:rPr>
        <w:t>除单一来源采购项目外，为采购项目提供整体设计、规范编制或者项目管理、监理、检测等服务的供应商，不得再参加该采购项目的其他采购活动。</w:t>
      </w:r>
    </w:p>
    <w:p w14:paraId="529712F5">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 xml:space="preserve">三、获取招标文件 </w:t>
      </w:r>
    </w:p>
    <w:p w14:paraId="6D6C0BE7">
      <w:pPr>
        <w:adjustRightInd w:val="0"/>
        <w:snapToGrid w:val="0"/>
        <w:spacing w:beforeLines="0" w:afterLines="0" w:line="360" w:lineRule="auto"/>
        <w:ind w:firstLine="560"/>
        <w:rPr>
          <w:rStyle w:val="26"/>
          <w:rFonts w:hint="default" w:ascii="Times New Roman" w:hAnsi="Times New Roman" w:cs="Times New Roman"/>
          <w:b w:val="0"/>
          <w:sz w:val="28"/>
          <w:szCs w:val="28"/>
          <w:highlight w:val="none"/>
          <w:lang w:eastAsia="zh-CN"/>
        </w:rPr>
      </w:pPr>
      <w:r>
        <w:rPr>
          <w:rStyle w:val="26"/>
          <w:rFonts w:hint="default" w:ascii="Times New Roman" w:hAnsi="Times New Roman" w:cs="Times New Roman"/>
          <w:b w:val="0"/>
          <w:sz w:val="28"/>
          <w:szCs w:val="28"/>
          <w:highlight w:val="none"/>
        </w:rPr>
        <w:t>时间</w:t>
      </w:r>
      <w:r>
        <w:rPr>
          <w:rFonts w:hint="default" w:ascii="Times New Roman" w:hAnsi="Times New Roman" w:cs="Times New Roman"/>
          <w:sz w:val="28"/>
          <w:szCs w:val="28"/>
          <w:highlight w:val="none"/>
        </w:rPr>
        <w:t>：</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04</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17</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日至</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04</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24</w:t>
      </w:r>
      <w:r>
        <w:rPr>
          <w:rFonts w:hint="default" w:ascii="Times New Roman" w:hAnsi="Times New Roman" w:cs="Times New Roman"/>
          <w:sz w:val="28"/>
          <w:szCs w:val="28"/>
          <w:highlight w:val="none"/>
        </w:rPr>
        <w:t>日，</w:t>
      </w:r>
      <w:r>
        <w:rPr>
          <w:rStyle w:val="26"/>
          <w:rFonts w:hint="default" w:ascii="Times New Roman" w:hAnsi="Times New Roman" w:cs="Times New Roman"/>
          <w:b w:val="0"/>
          <w:sz w:val="28"/>
          <w:szCs w:val="28"/>
          <w:highlight w:val="none"/>
          <w:lang w:eastAsia="zh-CN"/>
        </w:rPr>
        <w:t>每天上午</w:t>
      </w:r>
      <w:r>
        <w:rPr>
          <w:rStyle w:val="26"/>
          <w:rFonts w:hint="default" w:ascii="Times New Roman" w:hAnsi="Times New Roman" w:cs="Times New Roman"/>
          <w:b w:val="0"/>
          <w:sz w:val="28"/>
          <w:szCs w:val="28"/>
          <w:highlight w:val="none"/>
          <w:u w:val="single"/>
          <w:lang w:eastAsia="zh-CN"/>
        </w:rPr>
        <w:t>00:00至12:00，下午12:00至23:59</w:t>
      </w:r>
      <w:r>
        <w:rPr>
          <w:rStyle w:val="26"/>
          <w:rFonts w:hint="default" w:ascii="Times New Roman" w:hAnsi="Times New Roman" w:cs="Times New Roman"/>
          <w:b w:val="0"/>
          <w:sz w:val="28"/>
          <w:szCs w:val="28"/>
          <w:highlight w:val="none"/>
          <w:lang w:eastAsia="zh-CN"/>
        </w:rPr>
        <w:t>（北京时间，法定节假日除外）</w:t>
      </w:r>
    </w:p>
    <w:p w14:paraId="576F1273">
      <w:pPr>
        <w:adjustRightInd w:val="0"/>
        <w:snapToGrid w:val="0"/>
        <w:spacing w:beforeLines="0" w:afterLines="0" w:line="360" w:lineRule="auto"/>
        <w:ind w:firstLine="560"/>
        <w:rPr>
          <w:rFonts w:hint="default" w:ascii="Times New Roman" w:hAnsi="Times New Roman" w:cs="Times New Roman"/>
          <w:b w:val="0"/>
          <w:bCs w:val="0"/>
          <w:sz w:val="28"/>
          <w:szCs w:val="28"/>
          <w:highlight w:val="none"/>
        </w:rPr>
      </w:pP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地点</w:t>
      </w:r>
      <w:r>
        <w:rPr>
          <w:rFonts w:hint="default" w:ascii="Times New Roman" w:hAnsi="Times New Roman" w:cs="Times New Roman"/>
          <w:sz w:val="28"/>
          <w:szCs w:val="28"/>
          <w:highlight w:val="none"/>
        </w:rPr>
        <w:t>：政采云平台</w:t>
      </w:r>
    </w:p>
    <w:p w14:paraId="3D36EAC8">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方式</w:t>
      </w:r>
      <w:r>
        <w:rPr>
          <w:rFonts w:hint="default" w:ascii="Times New Roman" w:hAnsi="Times New Roman" w:cs="Times New Roman"/>
          <w:sz w:val="28"/>
          <w:szCs w:val="28"/>
          <w:highlight w:val="none"/>
        </w:rPr>
        <w:t>：供应商登录政采云平台https://www.zcygov.cn/在线申请获取采购文件（进入“项目采购”应用，在获取采购文件菜单中选择项目，申请获取采购文件）</w:t>
      </w:r>
    </w:p>
    <w:p w14:paraId="456103B0">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 xml:space="preserve">    售价：0元</w:t>
      </w:r>
    </w:p>
    <w:p w14:paraId="6D035863">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四、提交投标文件截止时间、开标时间和地点</w:t>
      </w:r>
    </w:p>
    <w:p w14:paraId="70F323D8">
      <w:pPr>
        <w:adjustRightInd w:val="0"/>
        <w:snapToGrid w:val="0"/>
        <w:spacing w:beforeLines="0" w:afterLines="0" w:line="360" w:lineRule="auto"/>
        <w:ind w:firstLine="560" w:firstLineChars="200"/>
        <w:rPr>
          <w:rStyle w:val="26"/>
          <w:rFonts w:hint="default" w:ascii="Times New Roman" w:hAnsi="Times New Roman" w:cs="Times New Roman"/>
          <w:b/>
          <w:bCs/>
          <w:sz w:val="28"/>
          <w:szCs w:val="28"/>
          <w:highlight w:val="none"/>
          <w:lang w:val="en-US" w:eastAsia="zh-CN"/>
        </w:rPr>
      </w:pPr>
      <w:r>
        <w:rPr>
          <w:rFonts w:hint="default" w:cs="Times New Roman"/>
          <w:sz w:val="28"/>
          <w:szCs w:val="28"/>
          <w:highlight w:val="none"/>
          <w:u w:val="none"/>
          <w:lang w:val="en-US" w:eastAsia="zh-CN"/>
        </w:rPr>
        <w:t>时间：</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eastAsia" w:cs="Times New Roman"/>
          <w:sz w:val="28"/>
          <w:szCs w:val="28"/>
          <w:highlight w:val="none"/>
          <w:u w:val="single"/>
          <w:lang w:val="en-US" w:eastAsia="zh-CN"/>
        </w:rPr>
        <w:t>05</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11</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10</w:t>
      </w:r>
      <w:r>
        <w:rPr>
          <w:rFonts w:hint="default" w:ascii="Times New Roman" w:hAnsi="Times New Roman" w:cs="Times New Roman"/>
          <w:sz w:val="28"/>
          <w:szCs w:val="28"/>
          <w:highlight w:val="none"/>
        </w:rPr>
        <w:t>点</w:t>
      </w:r>
      <w:r>
        <w:rPr>
          <w:rFonts w:hint="eastAsia" w:cs="Times New Roman"/>
          <w:sz w:val="28"/>
          <w:szCs w:val="28"/>
          <w:highlight w:val="none"/>
          <w:u w:val="single"/>
          <w:lang w:val="en-US" w:eastAsia="zh-CN"/>
        </w:rPr>
        <w:t>30</w:t>
      </w:r>
      <w:r>
        <w:rPr>
          <w:rFonts w:hint="default" w:ascii="Times New Roman" w:hAnsi="Times New Roman" w:cs="Times New Roman"/>
          <w:sz w:val="28"/>
          <w:szCs w:val="28"/>
          <w:highlight w:val="none"/>
        </w:rPr>
        <w:t>分（北京时间）</w:t>
      </w:r>
    </w:p>
    <w:p w14:paraId="64F80141">
      <w:pPr>
        <w:adjustRightInd w:val="0"/>
        <w:snapToGrid w:val="0"/>
        <w:spacing w:beforeLines="0" w:afterLines="0" w:line="360" w:lineRule="auto"/>
        <w:rPr>
          <w:rFonts w:hint="default" w:ascii="Times New Roman" w:hAnsi="Times New Roman" w:cs="Times New Roman"/>
          <w:sz w:val="28"/>
          <w:szCs w:val="28"/>
          <w:highlight w:val="none"/>
        </w:rPr>
      </w:pPr>
      <w:r>
        <w:rPr>
          <w:rStyle w:val="26"/>
          <w:rFonts w:hint="default" w:ascii="Times New Roman" w:hAnsi="Times New Roman" w:cs="Times New Roman"/>
          <w:b w:val="0"/>
          <w:sz w:val="28"/>
          <w:szCs w:val="28"/>
          <w:highlight w:val="none"/>
          <w:lang w:val="en-US" w:eastAsia="zh-CN"/>
        </w:rPr>
        <w:t xml:space="preserve">    </w:t>
      </w:r>
      <w:r>
        <w:rPr>
          <w:rStyle w:val="26"/>
          <w:rFonts w:hint="default" w:ascii="Times New Roman" w:hAnsi="Times New Roman" w:cs="Times New Roman"/>
          <w:b w:val="0"/>
          <w:sz w:val="28"/>
          <w:szCs w:val="28"/>
          <w:highlight w:val="none"/>
        </w:rPr>
        <w:t>地点：</w:t>
      </w:r>
      <w:r>
        <w:rPr>
          <w:rStyle w:val="26"/>
          <w:rFonts w:hint="default" w:ascii="Times New Roman" w:hAnsi="Times New Roman" w:cs="Times New Roman"/>
          <w:b w:val="0"/>
          <w:i w:val="0"/>
          <w:iCs w:val="0"/>
          <w:sz w:val="28"/>
          <w:szCs w:val="28"/>
          <w:highlight w:val="none"/>
          <w:u w:val="single"/>
          <w:lang w:val="en-US" w:eastAsia="zh-CN"/>
        </w:rPr>
        <w:t>政采云平台。</w:t>
      </w:r>
    </w:p>
    <w:p w14:paraId="5CD55B66">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五、公告期限</w:t>
      </w:r>
    </w:p>
    <w:p w14:paraId="39D58FF0">
      <w:pPr>
        <w:pStyle w:val="6"/>
        <w:spacing w:beforeLines="0" w:afterLines="0" w:line="360" w:lineRule="auto"/>
        <w:ind w:firstLine="0"/>
        <w:rPr>
          <w:rFonts w:hint="default" w:ascii="Times New Roman" w:hAnsi="Times New Roman" w:cs="Times New Roman"/>
          <w:sz w:val="28"/>
          <w:szCs w:val="28"/>
          <w:highlight w:val="none"/>
        </w:rPr>
      </w:pPr>
      <w:r>
        <w:rPr>
          <w:rStyle w:val="26"/>
          <w:rFonts w:hint="default" w:ascii="Times New Roman" w:hAnsi="Times New Roman" w:cs="Times New Roman"/>
          <w:b w:val="0"/>
          <w:sz w:val="28"/>
          <w:szCs w:val="28"/>
          <w:highlight w:val="none"/>
          <w:lang w:val="en-US" w:eastAsia="zh-CN"/>
        </w:rPr>
        <w:t xml:space="preserve">    </w:t>
      </w:r>
      <w:r>
        <w:rPr>
          <w:rStyle w:val="26"/>
          <w:rFonts w:hint="default" w:ascii="Times New Roman" w:hAnsi="Times New Roman" w:cs="Times New Roman"/>
          <w:b w:val="0"/>
          <w:sz w:val="28"/>
          <w:szCs w:val="28"/>
          <w:highlight w:val="none"/>
        </w:rPr>
        <w:t>自本公告发布之日起5个工作日</w:t>
      </w:r>
      <w:r>
        <w:rPr>
          <w:rStyle w:val="26"/>
          <w:rFonts w:hint="default" w:ascii="Times New Roman" w:hAnsi="Times New Roman" w:cs="Times New Roman"/>
          <w:b w:val="0"/>
          <w:sz w:val="28"/>
          <w:szCs w:val="28"/>
          <w:highlight w:val="none"/>
          <w:lang w:eastAsia="zh-CN"/>
        </w:rPr>
        <w:t>。</w:t>
      </w:r>
    </w:p>
    <w:p w14:paraId="1732D702">
      <w:pPr>
        <w:numPr>
          <w:ilvl w:val="0"/>
          <w:numId w:val="1"/>
        </w:num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其他补充事宜</w:t>
      </w:r>
    </w:p>
    <w:p w14:paraId="1704632E">
      <w:pPr>
        <w:widowControl/>
        <w:spacing w:beforeLines="0" w:afterLines="0" w:line="360" w:lineRule="auto"/>
        <w:ind w:firstLine="560"/>
        <w:jc w:val="left"/>
        <w:rPr>
          <w:rStyle w:val="26"/>
          <w:rFonts w:hint="default" w:ascii="Times New Roman" w:hAnsi="Times New Roman" w:cs="Times New Roman" w:eastAsiaTheme="minorEastAsia"/>
          <w:b w:val="0"/>
          <w:sz w:val="28"/>
          <w:szCs w:val="28"/>
          <w:highlight w:val="none"/>
          <w:lang w:val="en-US" w:eastAsia="zh-CN"/>
        </w:rPr>
      </w:pPr>
      <w:r>
        <w:rPr>
          <w:rStyle w:val="26"/>
          <w:rFonts w:hint="default" w:ascii="Times New Roman" w:hAnsi="Times New Roman" w:cs="Times New Roman" w:eastAsiaTheme="minorEastAsia"/>
          <w:b w:val="0"/>
          <w:kern w:val="0"/>
          <w:sz w:val="28"/>
          <w:szCs w:val="28"/>
          <w:highlight w:val="none"/>
        </w:rPr>
        <w:t>1.本项目采用全流程不见面电子开评标，投标供应商需要使用CA加密设备，供应商可通过新疆政府采购网-办理指南—供应商—CA证书办理操作指南-进入CA办理界面，按需选择办理任意一家CA厂商的数字证书，CA证书办理操作指南链接：http://u3v.cn/5F3afc。</w:t>
      </w:r>
      <w:r>
        <w:rPr>
          <w:rStyle w:val="26"/>
          <w:rFonts w:hint="default" w:ascii="Times New Roman" w:hAnsi="Times New Roman" w:cs="Times New Roman" w:eastAsiaTheme="minorEastAsia"/>
          <w:b w:val="0"/>
          <w:sz w:val="28"/>
          <w:szCs w:val="28"/>
          <w:highlight w:val="none"/>
          <w:lang w:val="en-US" w:eastAsia="zh-CN"/>
        </w:rPr>
        <w:t xml:space="preserve">  </w:t>
      </w:r>
    </w:p>
    <w:p w14:paraId="56CBB38C">
      <w:pPr>
        <w:widowControl w:val="0"/>
        <w:adjustRightInd w:val="0"/>
        <w:snapToGrid w:val="0"/>
        <w:spacing w:beforeLines="0" w:afterLines="0" w:line="360" w:lineRule="auto"/>
        <w:jc w:val="both"/>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eastAsiaTheme="minorEastAsia"/>
          <w:b w:val="0"/>
          <w:sz w:val="28"/>
          <w:szCs w:val="28"/>
          <w:highlight w:val="none"/>
          <w:lang w:val="en-US" w:eastAsia="zh-CN"/>
        </w:rPr>
        <w:t xml:space="preserve">    </w:t>
      </w:r>
      <w:r>
        <w:rPr>
          <w:rStyle w:val="26"/>
          <w:rFonts w:hint="default" w:ascii="Times New Roman" w:hAnsi="Times New Roman" w:cs="Times New Roman" w:eastAsiaTheme="minorEastAsia"/>
          <w:b w:val="0"/>
          <w:sz w:val="28"/>
          <w:szCs w:val="28"/>
          <w:highlight w:val="none"/>
        </w:rPr>
        <w:t>2.</w:t>
      </w:r>
      <w:r>
        <w:rPr>
          <w:rStyle w:val="26"/>
          <w:rFonts w:hint="default" w:ascii="Times New Roman" w:hAnsi="Times New Roman" w:cs="Times New Roman"/>
          <w:b w:val="0"/>
          <w:sz w:val="28"/>
          <w:szCs w:val="28"/>
          <w:highlight w:val="none"/>
          <w:lang w:val="en-US" w:eastAsia="zh-CN"/>
        </w:rPr>
        <w:t xml:space="preserve"> 本项目实行网上投标，采用加密电子投标文件(投标人须使用CA加密设备通过政采云电子投标客户端制作投标文件)。若投标人参与投标，自行承担投标一切费用。</w:t>
      </w:r>
    </w:p>
    <w:p w14:paraId="5A1163C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4015124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luban/detail?categoryCode=xjcgdownloadarea&amp;articleId=2413305&amp;utm=sites_group_front.7f23f967.0.0.320d7210c4da11ed8ad74fac6f0cc4b0）下载专区查看，如有问题可拨打政采云客户服务热线95763进行咨询。</w:t>
      </w:r>
    </w:p>
    <w:p w14:paraId="14F29AB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5、投标人在开标时须使用制作加密电子投标文件所使用的CA锁及电脑，电脑须提前配置好浏览器（建议使用谷歌浏览器或360游览器），以便开标时解锁。</w:t>
      </w:r>
    </w:p>
    <w:p w14:paraId="3991EAF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一群：44303812（如已加入1-20群，无需重复加入，二十一个群联动直播），钉钉工具软件具有回放功能，直播培训结束后可在钉钉群中回放观看学习。</w:t>
      </w:r>
    </w:p>
    <w:p w14:paraId="4BAB4F1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7、为了保证开评标顺利进行，政采云线上开标功能完全实现，供应商开标所使用的电脑设备须具有视频及语音功能。</w:t>
      </w:r>
    </w:p>
    <w:p w14:paraId="07CC611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2" w:firstLineChars="200"/>
        <w:jc w:val="both"/>
        <w:textAlignment w:val="auto"/>
        <w:rPr>
          <w:rStyle w:val="26"/>
          <w:rFonts w:hint="default" w:ascii="Times New Roman" w:hAnsi="Times New Roman" w:cs="Times New Roman"/>
          <w:b/>
          <w:bCs/>
          <w:sz w:val="28"/>
          <w:szCs w:val="28"/>
          <w:highlight w:val="none"/>
          <w:lang w:val="en-US" w:eastAsia="zh-CN"/>
        </w:rPr>
      </w:pPr>
      <w:r>
        <w:rPr>
          <w:rStyle w:val="26"/>
          <w:rFonts w:hint="default" w:ascii="Times New Roman" w:hAnsi="Times New Roman" w:cs="Times New Roman"/>
          <w:b/>
          <w:bCs/>
          <w:sz w:val="28"/>
          <w:szCs w:val="28"/>
          <w:highlight w:val="none"/>
          <w:lang w:val="en-US" w:eastAsia="zh-CN"/>
        </w:rPr>
        <w:t>特别提示：</w:t>
      </w:r>
    </w:p>
    <w:p w14:paraId="496A62B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1、采购限额标准以上，200万元以下的货物和服务采购项目、400万元以下的工程采购项目，适宜由中小企业提供的，采购人应当专门面向中小企业采购。</w:t>
      </w:r>
    </w:p>
    <w:p w14:paraId="3E7CD0C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2、超过200万元的货物和服务采购项目，预留该部分采购项目预算总额的30%以上专门面向中小企业采购，其中预留给小微企业的比例不低于60%。</w:t>
      </w:r>
    </w:p>
    <w:p w14:paraId="666C3819">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3、超过400万元的工程采购项目中适宜由中小企业提供的，预留该部分采购项目预算总额的40%以上专门面向中小企业采购，其中预留给小微企业的比例不低于60%。</w:t>
      </w:r>
    </w:p>
    <w:p w14:paraId="742BB306">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F89196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r>
        <w:rPr>
          <w:rStyle w:val="26"/>
          <w:rFonts w:hint="default" w:ascii="Times New Roman" w:hAnsi="Times New Roman" w:cs="Times New Roman"/>
          <w:b w:val="0"/>
          <w:sz w:val="28"/>
          <w:szCs w:val="28"/>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D6F026F">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6"/>
          <w:rFonts w:hint="default" w:ascii="Times New Roman" w:hAnsi="Times New Roman" w:cs="Times New Roman"/>
          <w:b w:val="0"/>
          <w:sz w:val="28"/>
          <w:szCs w:val="28"/>
          <w:highlight w:val="none"/>
          <w:lang w:val="en-US" w:eastAsia="zh-CN"/>
        </w:rPr>
      </w:pPr>
    </w:p>
    <w:p w14:paraId="5E585C7B">
      <w:pPr>
        <w:spacing w:beforeLines="0" w:afterLines="0" w:line="360" w:lineRule="auto"/>
        <w:rPr>
          <w:rStyle w:val="26"/>
          <w:rFonts w:hint="default" w:ascii="Times New Roman" w:hAnsi="Times New Roman" w:eastAsia="黑体" w:cs="Times New Roman"/>
          <w:bCs/>
          <w:sz w:val="28"/>
          <w:szCs w:val="28"/>
          <w:highlight w:val="none"/>
        </w:rPr>
      </w:pPr>
      <w:r>
        <w:rPr>
          <w:rFonts w:hint="default" w:ascii="Times New Roman" w:hAnsi="Times New Roman" w:eastAsia="黑体" w:cs="Times New Roman"/>
          <w:sz w:val="28"/>
          <w:szCs w:val="28"/>
          <w:highlight w:val="none"/>
        </w:rPr>
        <w:t>七、对本次招标提出询问，请按以下方式联系</w:t>
      </w:r>
    </w:p>
    <w:p w14:paraId="38DC24EE">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rPr>
        <w:t>1.采</w:t>
      </w:r>
      <w:r>
        <w:rPr>
          <w:rFonts w:hint="default" w:ascii="Times New Roman" w:hAnsi="Times New Roman" w:eastAsia="宋体" w:cs="Times New Roman"/>
          <w:sz w:val="28"/>
          <w:szCs w:val="28"/>
          <w:highlight w:val="none"/>
          <w:lang w:val="en-US" w:eastAsia="zh-CN"/>
        </w:rPr>
        <w:t>购人信息</w:t>
      </w:r>
    </w:p>
    <w:p w14:paraId="7689CDC9">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名称：</w:t>
      </w:r>
      <w:r>
        <w:rPr>
          <w:rFonts w:hint="eastAsia" w:ascii="Times New Roman" w:hAnsi="Times New Roman" w:eastAsia="宋体" w:cs="Times New Roman"/>
          <w:sz w:val="28"/>
          <w:szCs w:val="28"/>
          <w:highlight w:val="none"/>
          <w:lang w:val="en-US" w:eastAsia="zh-CN"/>
        </w:rPr>
        <w:t>若羌县教育和科学技术局 </w:t>
      </w:r>
      <w:r>
        <w:rPr>
          <w:rFonts w:hint="default" w:ascii="Times New Roman" w:hAnsi="Times New Roman" w:eastAsia="宋体" w:cs="Times New Roman"/>
          <w:sz w:val="28"/>
          <w:szCs w:val="28"/>
          <w:highlight w:val="none"/>
          <w:lang w:val="en-US" w:eastAsia="zh-CN"/>
        </w:rPr>
        <w:t xml:space="preserve">                                                   </w:t>
      </w:r>
    </w:p>
    <w:p w14:paraId="27269499">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地址：</w:t>
      </w:r>
      <w:r>
        <w:rPr>
          <w:rFonts w:hint="eastAsia" w:ascii="Times New Roman" w:hAnsi="Times New Roman" w:eastAsia="宋体" w:cs="Times New Roman"/>
          <w:sz w:val="28"/>
          <w:szCs w:val="28"/>
          <w:highlight w:val="none"/>
          <w:lang w:val="en-US" w:eastAsia="zh-CN"/>
        </w:rPr>
        <w:t>若羌县文化路教育和科学技术局</w:t>
      </w:r>
      <w:r>
        <w:rPr>
          <w:rFonts w:hint="default" w:ascii="Times New Roman" w:hAnsi="Times New Roman" w:eastAsia="宋体" w:cs="Times New Roman"/>
          <w:sz w:val="28"/>
          <w:szCs w:val="28"/>
          <w:highlight w:val="none"/>
          <w:lang w:val="en-US" w:eastAsia="zh-CN"/>
        </w:rPr>
        <w:t xml:space="preserve">                     </w:t>
      </w:r>
    </w:p>
    <w:p w14:paraId="2F390382">
      <w:pPr>
        <w:numPr>
          <w:ilvl w:val="0"/>
          <w:numId w:val="0"/>
        </w:numPr>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联系方式：</w:t>
      </w:r>
      <w:r>
        <w:rPr>
          <w:rFonts w:hint="eastAsia" w:ascii="Times New Roman" w:hAnsi="Times New Roman" w:eastAsia="宋体" w:cs="Times New Roman"/>
          <w:sz w:val="28"/>
          <w:szCs w:val="28"/>
          <w:highlight w:val="none"/>
          <w:lang w:val="en-US" w:eastAsia="zh-CN"/>
        </w:rPr>
        <w:t>18699620566</w:t>
      </w:r>
    </w:p>
    <w:p w14:paraId="2CBC1CE2">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u w:val="single"/>
        </w:rPr>
        <w:t xml:space="preserve">                </w:t>
      </w:r>
    </w:p>
    <w:p w14:paraId="5260ED05">
      <w:pPr>
        <w:numPr>
          <w:ilvl w:val="0"/>
          <w:numId w:val="2"/>
        </w:num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采购代理机构信息</w:t>
      </w:r>
    </w:p>
    <w:p w14:paraId="71E98CE3">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cs="Times New Roman"/>
          <w:sz w:val="28"/>
          <w:szCs w:val="28"/>
          <w:highlight w:val="none"/>
        </w:rPr>
        <w:t>名称</w:t>
      </w:r>
      <w:r>
        <w:rPr>
          <w:rFonts w:hint="default"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巴州聚诚项目管理有限责任公司</w:t>
      </w:r>
      <w:r>
        <w:rPr>
          <w:rFonts w:hint="default" w:ascii="Times New Roman" w:hAnsi="Times New Roman" w:eastAsia="宋体" w:cs="Times New Roman"/>
          <w:sz w:val="28"/>
          <w:szCs w:val="28"/>
          <w:highlight w:val="none"/>
        </w:rPr>
        <w:t xml:space="preserve">                                  </w:t>
      </w:r>
    </w:p>
    <w:p w14:paraId="4370272A">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地址：</w:t>
      </w:r>
      <w:r>
        <w:rPr>
          <w:rFonts w:hint="eastAsia" w:ascii="Times New Roman" w:hAnsi="Times New Roman" w:eastAsia="宋体" w:cs="Times New Roman"/>
          <w:sz w:val="28"/>
          <w:szCs w:val="28"/>
          <w:highlight w:val="none"/>
          <w:lang w:val="en-US" w:eastAsia="zh-CN"/>
        </w:rPr>
        <w:t>巴州库尔勒市塔指西路天河美镇办公楼一楼</w:t>
      </w:r>
      <w:r>
        <w:rPr>
          <w:rFonts w:hint="default" w:ascii="Times New Roman" w:hAnsi="Times New Roman" w:eastAsia="宋体" w:cs="Times New Roman"/>
          <w:sz w:val="28"/>
          <w:szCs w:val="28"/>
          <w:highlight w:val="none"/>
        </w:rPr>
        <w:t xml:space="preserve">                                 </w:t>
      </w:r>
    </w:p>
    <w:p w14:paraId="520F4ACA">
      <w:pPr>
        <w:numPr>
          <w:ilvl w:val="0"/>
          <w:numId w:val="0"/>
        </w:num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联系方式：</w:t>
      </w:r>
      <w:r>
        <w:rPr>
          <w:rFonts w:hint="eastAsia" w:cs="Times New Roman"/>
          <w:sz w:val="28"/>
          <w:szCs w:val="28"/>
          <w:highlight w:val="none"/>
          <w:lang w:val="en-US" w:eastAsia="zh-CN"/>
        </w:rPr>
        <w:t>17397503266</w:t>
      </w:r>
      <w:r>
        <w:rPr>
          <w:rFonts w:hint="default" w:ascii="Times New Roman" w:hAnsi="Times New Roman" w:eastAsia="宋体" w:cs="Times New Roman"/>
          <w:sz w:val="28"/>
          <w:szCs w:val="28"/>
          <w:highlight w:val="none"/>
        </w:rPr>
        <w:t xml:space="preserve">                               </w:t>
      </w:r>
    </w:p>
    <w:p w14:paraId="70EC8160">
      <w:pPr>
        <w:numPr>
          <w:ilvl w:val="0"/>
          <w:numId w:val="0"/>
        </w:numPr>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rPr>
        <w:t>3.项目联系方式</w:t>
      </w:r>
      <w:r>
        <w:rPr>
          <w:rFonts w:hint="eastAsia" w:ascii="Times New Roman" w:hAnsi="Times New Roman" w:eastAsia="宋体" w:cs="Times New Roman"/>
          <w:sz w:val="28"/>
          <w:szCs w:val="28"/>
          <w:highlight w:val="none"/>
          <w:lang w:eastAsia="zh-CN"/>
        </w:rPr>
        <w:tab/>
      </w:r>
    </w:p>
    <w:p w14:paraId="49A446D6">
      <w:pPr>
        <w:numPr>
          <w:ilvl w:val="0"/>
          <w:numId w:val="0"/>
        </w:numPr>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项目联系人：刘琼</w:t>
      </w:r>
    </w:p>
    <w:p w14:paraId="2D2ACE8C">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电 话：</w:t>
      </w:r>
      <w:r>
        <w:rPr>
          <w:rFonts w:hint="eastAsia" w:cs="Times New Roman"/>
          <w:sz w:val="28"/>
          <w:szCs w:val="28"/>
          <w:highlight w:val="none"/>
          <w:lang w:val="en-US" w:eastAsia="zh-CN"/>
        </w:rPr>
        <w:t>17397503266</w:t>
      </w:r>
      <w:r>
        <w:rPr>
          <w:rFonts w:hint="default" w:ascii="Times New Roman" w:hAnsi="Times New Roman" w:eastAsia="宋体" w:cs="Times New Roman"/>
          <w:sz w:val="28"/>
          <w:szCs w:val="28"/>
          <w:highlight w:val="none"/>
        </w:rPr>
        <w:t>　　</w:t>
      </w:r>
      <w:r>
        <w:rPr>
          <w:rFonts w:hint="default" w:ascii="Times New Roman" w:hAnsi="Times New Roman" w:eastAsia="宋体" w:cs="Times New Roman"/>
          <w:sz w:val="28"/>
          <w:szCs w:val="28"/>
          <w:highlight w:val="none"/>
          <w:u w:val="none"/>
        </w:rPr>
        <w:t>　　　</w:t>
      </w:r>
      <w:r>
        <w:rPr>
          <w:rFonts w:hint="default" w:ascii="Times New Roman" w:hAnsi="Times New Roman" w:eastAsia="宋体" w:cs="Times New Roman"/>
          <w:sz w:val="28"/>
          <w:szCs w:val="28"/>
          <w:highlight w:val="none"/>
        </w:rPr>
        <w:t>　　　　　　</w:t>
      </w:r>
    </w:p>
    <w:p w14:paraId="51ECE8DE">
      <w:pPr>
        <w:adjustRightInd w:val="0"/>
        <w:snapToGrid w:val="0"/>
        <w:spacing w:beforeLines="0" w:afterLines="0" w:line="360" w:lineRule="auto"/>
        <w:ind w:firstLine="560" w:firstLineChars="200"/>
        <w:jc w:val="both"/>
        <w:rPr>
          <w:rFonts w:hint="default" w:ascii="Times New Roman" w:hAnsi="Times New Roman" w:cs="Times New Roman"/>
          <w:color w:val="FF0000"/>
          <w:sz w:val="28"/>
          <w:szCs w:val="28"/>
          <w:highlight w:val="none"/>
        </w:rPr>
      </w:pPr>
    </w:p>
    <w:p w14:paraId="0F4E27B1">
      <w:pPr>
        <w:adjustRightInd w:val="0"/>
        <w:snapToGrid w:val="0"/>
        <w:spacing w:line="360" w:lineRule="auto"/>
        <w:ind w:firstLine="6160" w:firstLineChars="2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485258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第二章</w:t>
      </w:r>
      <w:r>
        <w:rPr>
          <w:rFonts w:hint="default" w:ascii="Times New Roman" w:hAnsi="Times New Roman" w:cs="Times New Roman"/>
          <w:b/>
          <w:bCs/>
          <w:sz w:val="32"/>
          <w:szCs w:val="32"/>
          <w:highlight w:val="none"/>
          <w:lang w:val="en-US" w:eastAsia="zh-CN"/>
        </w:rPr>
        <w:t xml:space="preserve"> </w:t>
      </w:r>
      <w:r>
        <w:rPr>
          <w:rFonts w:hint="eastAsia" w:ascii="Times New Roman" w:hAnsi="Times New Roman" w:cs="Times New Roman"/>
          <w:b/>
          <w:bCs/>
          <w:sz w:val="32"/>
          <w:szCs w:val="32"/>
          <w:highlight w:val="none"/>
          <w:lang w:eastAsia="zh-CN"/>
        </w:rPr>
        <w:t>投标人</w:t>
      </w:r>
      <w:r>
        <w:rPr>
          <w:rFonts w:hint="default" w:ascii="Times New Roman" w:hAnsi="Times New Roman" w:cs="Times New Roman"/>
          <w:b/>
          <w:bCs/>
          <w:sz w:val="32"/>
          <w:szCs w:val="32"/>
          <w:highlight w:val="none"/>
        </w:rPr>
        <w:t>须知</w:t>
      </w:r>
    </w:p>
    <w:p w14:paraId="0D854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sz w:val="28"/>
          <w:szCs w:val="28"/>
          <w:highlight w:val="none"/>
        </w:rPr>
      </w:pPr>
    </w:p>
    <w:p w14:paraId="31D985F7">
      <w:pPr>
        <w:pStyle w:val="22"/>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textAlignment w:val="auto"/>
        <w:outlineLvl w:val="9"/>
        <w:rPr>
          <w:rFonts w:hint="default" w:ascii="Times New Roman" w:hAnsi="Times New Roman" w:cs="Times New Roman" w:eastAsiaTheme="minorEastAsia"/>
          <w:b/>
          <w:bCs/>
          <w:sz w:val="28"/>
          <w:szCs w:val="36"/>
          <w:highlight w:val="none"/>
          <w:lang w:eastAsia="zh-CN"/>
        </w:rPr>
      </w:pPr>
      <w:r>
        <w:rPr>
          <w:rFonts w:hint="default" w:ascii="Times New Roman" w:hAnsi="Times New Roman" w:cs="Times New Roman" w:eastAsiaTheme="minorEastAsia"/>
          <w:b/>
          <w:bCs/>
          <w:sz w:val="28"/>
          <w:szCs w:val="36"/>
          <w:highlight w:val="none"/>
          <w:lang w:eastAsia="zh-CN"/>
        </w:rPr>
        <w:t>一、</w:t>
      </w:r>
      <w:r>
        <w:rPr>
          <w:rFonts w:hint="eastAsia" w:ascii="Times New Roman" w:hAnsi="Times New Roman" w:cs="Times New Roman" w:eastAsiaTheme="minorEastAsia"/>
          <w:b/>
          <w:bCs/>
          <w:sz w:val="28"/>
          <w:szCs w:val="36"/>
          <w:highlight w:val="none"/>
          <w:lang w:eastAsia="zh-CN"/>
        </w:rPr>
        <w:t>投标人</w:t>
      </w:r>
      <w:r>
        <w:rPr>
          <w:rFonts w:hint="default" w:ascii="Times New Roman" w:hAnsi="Times New Roman" w:cs="Times New Roman" w:eastAsiaTheme="minorEastAsia"/>
          <w:b/>
          <w:bCs/>
          <w:sz w:val="28"/>
          <w:szCs w:val="36"/>
          <w:highlight w:val="none"/>
          <w:lang w:eastAsia="zh-CN"/>
        </w:rPr>
        <w:t>须知前附表</w:t>
      </w:r>
    </w:p>
    <w:p w14:paraId="27B242C3">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360" w:lineRule="auto"/>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highlight w:val="none"/>
          <w:lang w:val="en-US" w:eastAsia="zh-CN" w:bidi="ar-SA"/>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本表是对</w:t>
      </w:r>
      <w:r>
        <w:rPr>
          <w:rFonts w:hint="eastAsia" w:ascii="Times New Roman" w:hAnsi="Times New Roman" w:cs="Times New Roman"/>
          <w:snapToGrid/>
          <w:spacing w:val="0"/>
          <w:w w:val="100"/>
          <w:kern w:val="2"/>
          <w:position w:val="0"/>
          <w:sz w:val="28"/>
          <w:szCs w:val="28"/>
          <w:highlight w:val="none"/>
          <w:lang w:val="en-US" w:eastAsia="zh-CN" w:bidi="ar-SA"/>
        </w:rPr>
        <w:t>投标人</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须知的具体补充和修改，如有矛盾，均以本表为准。</w:t>
      </w:r>
    </w:p>
    <w:p w14:paraId="1F595FDB">
      <w:pPr>
        <w:spacing w:beforeLines="0" w:afterLines="0" w:line="360" w:lineRule="auto"/>
        <w:rPr>
          <w:rFonts w:hint="default"/>
          <w:highlight w:val="none"/>
          <w:lang w:eastAsia="zh-CN"/>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的选项意为不适用于本项目。</w:t>
      </w:r>
    </w:p>
    <w:tbl>
      <w:tblPr>
        <w:tblStyle w:val="23"/>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4AEE6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35E3C9A8">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rPr>
              <w:t>序号</w:t>
            </w:r>
          </w:p>
        </w:tc>
        <w:tc>
          <w:tcPr>
            <w:tcW w:w="1626" w:type="dxa"/>
            <w:vAlign w:val="center"/>
          </w:tcPr>
          <w:p w14:paraId="3A575453">
            <w:pPr>
              <w:spacing w:beforeLines="0" w:afterLines="0" w:line="360" w:lineRule="auto"/>
              <w:ind w:left="-48" w:leftChars="-23" w:firstLine="50"/>
              <w:jc w:val="center"/>
              <w:rPr>
                <w:rFonts w:hint="default" w:ascii="Times New Roman" w:hAnsi="Times New Roman" w:cs="Times New Roman" w:eastAsiaTheme="minorEastAsia"/>
                <w:b/>
                <w:sz w:val="28"/>
                <w:szCs w:val="28"/>
                <w:highlight w:val="none"/>
                <w:lang w:eastAsia="zh-CN"/>
              </w:rPr>
            </w:pPr>
            <w:r>
              <w:rPr>
                <w:rFonts w:hint="default" w:ascii="Times New Roman" w:hAnsi="Times New Roman" w:cs="Times New Roman" w:eastAsiaTheme="minorEastAsia"/>
                <w:b/>
                <w:sz w:val="28"/>
                <w:szCs w:val="28"/>
                <w:highlight w:val="none"/>
                <w:lang w:eastAsia="zh-CN"/>
              </w:rPr>
              <w:t>事项</w:t>
            </w:r>
          </w:p>
        </w:tc>
        <w:tc>
          <w:tcPr>
            <w:tcW w:w="6766" w:type="dxa"/>
            <w:vAlign w:val="center"/>
          </w:tcPr>
          <w:p w14:paraId="2DCF51A7">
            <w:pPr>
              <w:spacing w:beforeLines="0" w:afterLines="0" w:line="360" w:lineRule="auto"/>
              <w:ind w:left="-48" w:leftChars="-23" w:firstLine="50"/>
              <w:jc w:val="cente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lang w:eastAsia="zh-CN"/>
              </w:rPr>
              <w:t>说明和要求</w:t>
            </w:r>
          </w:p>
        </w:tc>
      </w:tr>
      <w:tr w14:paraId="1DEC6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324EE122">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p>
        </w:tc>
        <w:tc>
          <w:tcPr>
            <w:tcW w:w="1626" w:type="dxa"/>
            <w:vAlign w:val="center"/>
          </w:tcPr>
          <w:p w14:paraId="7491175D">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核心产品</w:t>
            </w:r>
          </w:p>
          <w:p w14:paraId="78D1079F">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5383F7B8">
            <w:pPr>
              <w:widowControl/>
              <w:spacing w:beforeLines="0" w:afterLines="0" w:line="360" w:lineRule="auto"/>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是否属于单一产品采购项目：</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rPr>
              <w:t>否</w:t>
            </w:r>
          </w:p>
          <w:p w14:paraId="2D131EA3">
            <w:pPr>
              <w:pStyle w:val="2"/>
              <w:ind w:left="0" w:leftChars="0" w:firstLine="0" w:firstLineChars="0"/>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eastAsiaTheme="minorEastAsia"/>
                <w:sz w:val="28"/>
                <w:szCs w:val="28"/>
                <w:highlight w:val="none"/>
                <w:lang w:eastAsia="zh-CN"/>
              </w:rPr>
              <w:t>（若选择“否”）核心产品为：</w:t>
            </w:r>
            <w:r>
              <w:rPr>
                <w:rFonts w:hint="eastAsia" w:ascii="Times New Roman" w:hAnsi="Times New Roman" w:cs="Times New Roman" w:eastAsiaTheme="minorEastAsia"/>
                <w:sz w:val="28"/>
                <w:szCs w:val="28"/>
                <w:highlight w:val="none"/>
                <w:lang w:val="en-US" w:eastAsia="zh-CN"/>
              </w:rPr>
              <w:t>厨房灭火系统、洗碗机</w:t>
            </w:r>
          </w:p>
        </w:tc>
      </w:tr>
      <w:tr w14:paraId="32DB7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5AC983EF">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2</w:t>
            </w:r>
          </w:p>
        </w:tc>
        <w:tc>
          <w:tcPr>
            <w:tcW w:w="1626" w:type="dxa"/>
            <w:vAlign w:val="center"/>
          </w:tcPr>
          <w:p w14:paraId="4FB0DE34">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进口产品</w:t>
            </w:r>
          </w:p>
          <w:p w14:paraId="6A081E01">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3EDE947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是否允许采购进口产品：</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rPr>
              <w:t>否</w:t>
            </w:r>
          </w:p>
          <w:p w14:paraId="2F023C4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（若选择“是”，需明确允许采购进口产品的具体标的）其中允许采购进口产品的采购标的：</w:t>
            </w:r>
          </w:p>
          <w:p w14:paraId="6555C50F">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（其他采购标的不允许采购进口产品）</w:t>
            </w:r>
          </w:p>
        </w:tc>
      </w:tr>
      <w:tr w14:paraId="22AFB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47AA17BE">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3</w:t>
            </w:r>
          </w:p>
        </w:tc>
        <w:tc>
          <w:tcPr>
            <w:tcW w:w="1626" w:type="dxa"/>
            <w:vAlign w:val="center"/>
          </w:tcPr>
          <w:p w14:paraId="4C81A1E5">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科研仪器设备</w:t>
            </w:r>
            <w:r>
              <w:rPr>
                <w:rFonts w:hint="default" w:cs="Times New Roman" w:eastAsiaTheme="minorEastAsia"/>
                <w:sz w:val="28"/>
                <w:szCs w:val="28"/>
                <w:highlight w:val="none"/>
                <w:lang w:eastAsia="zh-CN"/>
              </w:rPr>
              <w:t>（适用货物）</w:t>
            </w:r>
          </w:p>
        </w:tc>
        <w:tc>
          <w:tcPr>
            <w:tcW w:w="6766" w:type="dxa"/>
            <w:vAlign w:val="center"/>
          </w:tcPr>
          <w:p w14:paraId="08673F69">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是否属于科研仪器设备采购项目：</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tc>
      </w:tr>
      <w:tr w14:paraId="3E3DC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207677C">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4</w:t>
            </w:r>
          </w:p>
        </w:tc>
        <w:tc>
          <w:tcPr>
            <w:tcW w:w="1626" w:type="dxa"/>
            <w:vAlign w:val="center"/>
          </w:tcPr>
          <w:p w14:paraId="6D8E41FA">
            <w:pPr>
              <w:widowControl/>
              <w:spacing w:beforeLines="0" w:afterLines="0" w:line="360" w:lineRule="auto"/>
              <w:ind w:left="280" w:hanging="280" w:hangingChars="100"/>
              <w:jc w:val="center"/>
              <w:rPr>
                <w:rStyle w:val="26"/>
                <w:rFonts w:hint="default" w:ascii="Times New Roman" w:hAnsi="Times New Roman" w:cs="Times New Roman" w:eastAsiaTheme="minorEastAsia"/>
                <w:b w:val="0"/>
                <w:sz w:val="28"/>
                <w:szCs w:val="28"/>
                <w:highlight w:val="none"/>
                <w:lang w:eastAsia="zh-CN"/>
              </w:rPr>
            </w:pPr>
            <w:r>
              <w:rPr>
                <w:rStyle w:val="26"/>
                <w:rFonts w:hint="default" w:ascii="Times New Roman" w:hAnsi="Times New Roman" w:cs="Times New Roman" w:eastAsiaTheme="minorEastAsia"/>
                <w:b w:val="0"/>
                <w:sz w:val="28"/>
                <w:szCs w:val="28"/>
                <w:highlight w:val="none"/>
                <w:lang w:eastAsia="zh-CN"/>
              </w:rPr>
              <w:t>现场考察</w:t>
            </w:r>
          </w:p>
        </w:tc>
        <w:tc>
          <w:tcPr>
            <w:tcW w:w="6766" w:type="dxa"/>
            <w:vAlign w:val="center"/>
          </w:tcPr>
          <w:p w14:paraId="7F2AB533">
            <w:pPr>
              <w:widowControl/>
              <w:spacing w:beforeLines="0" w:afterLines="0" w:line="360" w:lineRule="auto"/>
              <w:ind w:firstLine="0" w:firstLineChars="0"/>
              <w:jc w:val="left"/>
              <w:rPr>
                <w:rFonts w:hint="default" w:eastAsiaTheme="minorEastAsia"/>
                <w:sz w:val="28"/>
                <w:szCs w:val="28"/>
                <w:highlight w:val="none"/>
                <w:lang w:eastAsia="zh-CN"/>
              </w:rPr>
            </w:pPr>
            <w:r>
              <w:rPr>
                <w:rFonts w:hint="default" w:eastAsiaTheme="minorEastAsia"/>
                <w:sz w:val="28"/>
                <w:szCs w:val="28"/>
                <w:highlight w:val="none"/>
                <w:lang w:eastAsia="zh-CN"/>
              </w:rPr>
              <w:t>是否组织现场考察：</w:t>
            </w:r>
            <w:r>
              <w:rPr>
                <w:rFonts w:hint="default" w:eastAsiaTheme="minorEastAsia"/>
                <w:sz w:val="28"/>
                <w:szCs w:val="28"/>
                <w:highlight w:val="none"/>
                <w:lang w:eastAsia="zh-CN"/>
              </w:rPr>
              <w:sym w:font="Wingdings 2" w:char="00A3"/>
            </w:r>
            <w:r>
              <w:rPr>
                <w:rFonts w:hint="default" w:eastAsiaTheme="minorEastAsia"/>
                <w:sz w:val="28"/>
                <w:szCs w:val="28"/>
                <w:highlight w:val="none"/>
                <w:lang w:eastAsia="zh-CN"/>
              </w:rPr>
              <w:t>是</w:t>
            </w:r>
            <w:r>
              <w:rPr>
                <w:rFonts w:hint="default" w:eastAsiaTheme="minorEastAsia"/>
                <w:sz w:val="28"/>
                <w:szCs w:val="28"/>
                <w:highlight w:val="none"/>
                <w:lang w:val="en-US" w:eastAsia="zh-CN"/>
              </w:rPr>
              <w:t xml:space="preserve">  </w:t>
            </w:r>
            <w:r>
              <w:rPr>
                <w:rFonts w:hint="default" w:eastAsiaTheme="minorEastAsia"/>
                <w:sz w:val="28"/>
                <w:szCs w:val="28"/>
                <w:highlight w:val="none"/>
                <w:lang w:eastAsia="zh-CN"/>
              </w:rPr>
              <w:sym w:font="Wingdings 2" w:char="0052"/>
            </w:r>
            <w:r>
              <w:rPr>
                <w:rFonts w:hint="default" w:eastAsiaTheme="minorEastAsia"/>
                <w:sz w:val="28"/>
                <w:szCs w:val="28"/>
                <w:highlight w:val="none"/>
                <w:lang w:eastAsia="zh-CN"/>
              </w:rPr>
              <w:t>否</w:t>
            </w:r>
          </w:p>
          <w:p w14:paraId="2F9B8B72">
            <w:pPr>
              <w:widowControl/>
              <w:spacing w:beforeLines="0" w:afterLines="0" w:line="360" w:lineRule="auto"/>
              <w:ind w:left="0" w:firstLine="0" w:firstLineChars="0"/>
              <w:jc w:val="left"/>
              <w:rPr>
                <w:rFonts w:hint="default"/>
                <w:highlight w:val="none"/>
              </w:rPr>
            </w:pPr>
            <w:r>
              <w:rPr>
                <w:rFonts w:hint="default" w:eastAsiaTheme="minorEastAsia"/>
                <w:sz w:val="28"/>
                <w:szCs w:val="28"/>
                <w:highlight w:val="none"/>
                <w:lang w:eastAsia="zh-CN"/>
              </w:rPr>
              <w:t>（若选择“是”）</w:t>
            </w:r>
            <w:r>
              <w:rPr>
                <w:rStyle w:val="26"/>
                <w:rFonts w:hint="default" w:ascii="Times New Roman" w:hAnsi="Times New Roman" w:cs="Times New Roman"/>
                <w:b w:val="0"/>
                <w:sz w:val="28"/>
                <w:szCs w:val="28"/>
                <w:highlight w:val="none"/>
                <w:u w:val="none"/>
                <w:lang w:val="en-US" w:eastAsia="zh-CN"/>
              </w:rPr>
              <w:t xml:space="preserve">     </w:t>
            </w:r>
          </w:p>
        </w:tc>
      </w:tr>
      <w:tr w14:paraId="7736F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vAlign w:val="center"/>
          </w:tcPr>
          <w:p w14:paraId="012E05B3">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5</w:t>
            </w:r>
          </w:p>
        </w:tc>
        <w:tc>
          <w:tcPr>
            <w:tcW w:w="1626" w:type="dxa"/>
            <w:vAlign w:val="center"/>
          </w:tcPr>
          <w:p w14:paraId="7702AA10">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开标前答疑会</w:t>
            </w:r>
          </w:p>
        </w:tc>
        <w:tc>
          <w:tcPr>
            <w:tcW w:w="6766" w:type="dxa"/>
            <w:vAlign w:val="center"/>
          </w:tcPr>
          <w:p w14:paraId="3C72A68E">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是否召开开标前答疑会：</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64A333DA">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w:t>
            </w:r>
          </w:p>
          <w:p w14:paraId="581F2072">
            <w:pPr>
              <w:spacing w:beforeLines="0" w:afterLines="0" w:line="360" w:lineRule="auto"/>
              <w:rPr>
                <w:rFonts w:hint="default" w:ascii="Times New Roman" w:hAnsi="Times New Roman" w:cs="Times New Roman" w:eastAsiaTheme="minorEastAsia"/>
                <w:sz w:val="28"/>
                <w:szCs w:val="28"/>
                <w:highlight w:val="none"/>
              </w:rPr>
            </w:pPr>
            <w:r>
              <w:rPr>
                <w:rFonts w:hint="default" w:eastAsiaTheme="minorEastAsia"/>
                <w:sz w:val="28"/>
                <w:szCs w:val="28"/>
                <w:highlight w:val="none"/>
                <w:lang w:val="en-US" w:eastAsia="zh-CN"/>
              </w:rPr>
              <w:t>相关要求：</w:t>
            </w:r>
            <w:r>
              <w:rPr>
                <w:rStyle w:val="26"/>
                <w:rFonts w:hint="default" w:ascii="Times New Roman" w:hAnsi="Times New Roman" w:cs="Times New Roman"/>
                <w:b w:val="0"/>
                <w:sz w:val="28"/>
                <w:szCs w:val="28"/>
                <w:highlight w:val="none"/>
                <w:u w:val="none"/>
                <w:lang w:val="en-US" w:eastAsia="zh-CN"/>
              </w:rPr>
              <w:t xml:space="preserve"> </w:t>
            </w:r>
          </w:p>
        </w:tc>
      </w:tr>
      <w:tr w14:paraId="40CEB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14:paraId="76BC2A02">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6</w:t>
            </w:r>
          </w:p>
        </w:tc>
        <w:tc>
          <w:tcPr>
            <w:tcW w:w="1626" w:type="dxa"/>
            <w:vAlign w:val="center"/>
          </w:tcPr>
          <w:p w14:paraId="200D75F9">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w:t>
            </w:r>
          </w:p>
          <w:p w14:paraId="5DEB57FE">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04F7CDE9">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是否需要提交样品：</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5831D1DB">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（若选择“是”）样品具体要求如下：</w:t>
            </w:r>
          </w:p>
          <w:p w14:paraId="179F1611">
            <w:pPr>
              <w:pStyle w:val="22"/>
              <w:numPr>
                <w:ilvl w:val="0"/>
                <w:numId w:val="3"/>
              </w:numPr>
              <w:spacing w:beforeLines="0" w:after="0" w:afterLines="0" w:line="360" w:lineRule="auto"/>
              <w:ind w:left="0" w:leftChars="0"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样品制作的标准和要求：</w:t>
            </w:r>
          </w:p>
          <w:p w14:paraId="706907E9">
            <w:pPr>
              <w:pStyle w:val="22"/>
              <w:numPr>
                <w:ilvl w:val="0"/>
                <w:numId w:val="3"/>
              </w:numPr>
              <w:spacing w:beforeLines="0" w:after="0" w:afterLines="0" w:line="360" w:lineRule="auto"/>
              <w:ind w:left="0" w:leftChars="0"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是否需要随样品提交相关检测报告：</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否（若选择“是”，还需明确检测机构的要求、检测内容等）</w:t>
            </w:r>
          </w:p>
          <w:p w14:paraId="6099C767">
            <w:pPr>
              <w:pStyle w:val="15"/>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样品提交要求：</w:t>
            </w:r>
          </w:p>
          <w:p w14:paraId="69BBDF29">
            <w:pPr>
              <w:pStyle w:val="15"/>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b/>
                <w:bCs/>
                <w:i/>
                <w:iCs/>
                <w:sz w:val="28"/>
                <w:szCs w:val="28"/>
                <w:highlight w:val="none"/>
                <w:lang w:eastAsia="zh-CN"/>
              </w:rPr>
            </w:pPr>
            <w:r>
              <w:rPr>
                <w:rFonts w:hint="default" w:ascii="Times New Roman" w:hAnsi="Times New Roman" w:cs="Times New Roman" w:eastAsiaTheme="minorEastAsia"/>
                <w:sz w:val="28"/>
                <w:szCs w:val="28"/>
                <w:highlight w:val="none"/>
                <w:lang w:eastAsia="zh-CN"/>
              </w:rPr>
              <w:t>未中标人样品</w:t>
            </w:r>
            <w:r>
              <w:rPr>
                <w:rFonts w:hint="default" w:ascii="Times New Roman" w:hAnsi="Times New Roman" w:cs="Times New Roman" w:eastAsiaTheme="minorEastAsia"/>
                <w:b/>
                <w:bCs/>
                <w:i/>
                <w:iCs/>
                <w:sz w:val="28"/>
                <w:szCs w:val="28"/>
                <w:highlight w:val="none"/>
                <w:lang w:eastAsia="zh-CN"/>
              </w:rPr>
              <w:t>：</w:t>
            </w:r>
          </w:p>
          <w:p w14:paraId="58CA5A2B">
            <w:pPr>
              <w:pStyle w:val="15"/>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中标人样品保管、封存：</w:t>
            </w:r>
          </w:p>
          <w:p w14:paraId="6BD3901C">
            <w:pPr>
              <w:pStyle w:val="15"/>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其他要求（如有）：</w:t>
            </w:r>
          </w:p>
        </w:tc>
      </w:tr>
      <w:tr w14:paraId="14E74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restart"/>
            <w:vAlign w:val="center"/>
          </w:tcPr>
          <w:p w14:paraId="2E8B9F8E">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7</w:t>
            </w:r>
          </w:p>
        </w:tc>
        <w:tc>
          <w:tcPr>
            <w:tcW w:w="1626" w:type="dxa"/>
            <w:vAlign w:val="center"/>
          </w:tcPr>
          <w:p w14:paraId="2B9D0141">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报价方式</w:t>
            </w:r>
          </w:p>
        </w:tc>
        <w:tc>
          <w:tcPr>
            <w:tcW w:w="6766" w:type="dxa"/>
            <w:vAlign w:val="center"/>
          </w:tcPr>
          <w:p w14:paraId="195D333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rPr>
              <w:t xml:space="preserve">总价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 xml:space="preserve">单价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 xml:space="preserve">费率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折扣</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eastAsia="zh-CN"/>
              </w:rPr>
              <w:sym w:font="Wingdings 2" w:char="00A3"/>
            </w:r>
            <w:r>
              <w:rPr>
                <w:rFonts w:hint="default" w:cs="Times New Roman" w:eastAsiaTheme="minorEastAsia"/>
                <w:sz w:val="28"/>
                <w:szCs w:val="28"/>
                <w:highlight w:val="none"/>
                <w:lang w:val="en-US" w:eastAsia="zh-CN"/>
              </w:rPr>
              <w:t>优惠率</w:t>
            </w:r>
          </w:p>
        </w:tc>
      </w:tr>
      <w:tr w14:paraId="0EC75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7A0E644C">
            <w:pPr>
              <w:spacing w:beforeLines="0" w:afterLines="0" w:line="360" w:lineRule="auto"/>
              <w:jc w:val="center"/>
              <w:rPr>
                <w:rFonts w:hint="default" w:ascii="Times New Roman" w:hAnsi="Times New Roman" w:cs="Times New Roman" w:eastAsiaTheme="minorEastAsia"/>
                <w:sz w:val="28"/>
                <w:szCs w:val="28"/>
                <w:highlight w:val="none"/>
                <w:lang w:eastAsia="zh-CN"/>
              </w:rPr>
            </w:pPr>
          </w:p>
        </w:tc>
        <w:tc>
          <w:tcPr>
            <w:tcW w:w="1626" w:type="dxa"/>
            <w:vAlign w:val="center"/>
          </w:tcPr>
          <w:p w14:paraId="10FE35A4">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最高限价</w:t>
            </w:r>
          </w:p>
        </w:tc>
        <w:tc>
          <w:tcPr>
            <w:tcW w:w="6766" w:type="dxa"/>
            <w:vAlign w:val="center"/>
          </w:tcPr>
          <w:p w14:paraId="1B6E2EC8">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本次采购总预算：</w:t>
            </w:r>
            <w:r>
              <w:rPr>
                <w:rFonts w:hint="eastAsia" w:cs="Times New Roman" w:eastAsiaTheme="minorEastAsia"/>
                <w:sz w:val="28"/>
                <w:szCs w:val="28"/>
                <w:highlight w:val="none"/>
                <w:u w:val="single"/>
                <w:lang w:val="en-US" w:eastAsia="zh-CN"/>
              </w:rPr>
              <w:t xml:space="preserve"> 75万</w:t>
            </w:r>
            <w:r>
              <w:rPr>
                <w:rFonts w:hint="default" w:ascii="Times New Roman" w:hAnsi="Times New Roman" w:cs="Times New Roman" w:eastAsiaTheme="minorEastAsia"/>
                <w:sz w:val="28"/>
                <w:szCs w:val="28"/>
                <w:highlight w:val="none"/>
              </w:rPr>
              <w:t>元。最高限价：</w:t>
            </w:r>
            <w:r>
              <w:rPr>
                <w:rFonts w:hint="eastAsia" w:cs="Times New Roman" w:eastAsiaTheme="minorEastAsia"/>
                <w:sz w:val="28"/>
                <w:szCs w:val="28"/>
                <w:highlight w:val="none"/>
                <w:u w:val="single"/>
                <w:lang w:val="en-US" w:eastAsia="zh-CN"/>
              </w:rPr>
              <w:t>75万</w:t>
            </w:r>
            <w:r>
              <w:rPr>
                <w:rFonts w:hint="default" w:ascii="Times New Roman" w:hAnsi="Times New Roman" w:cs="Times New Roman" w:eastAsiaTheme="minorEastAsia"/>
                <w:sz w:val="28"/>
                <w:szCs w:val="28"/>
                <w:highlight w:val="none"/>
              </w:rPr>
              <w:t>元。各供应商的报价一览表超出此范围将作废标处理。</w:t>
            </w:r>
          </w:p>
        </w:tc>
      </w:tr>
      <w:tr w14:paraId="778BF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2AD34325">
            <w:pPr>
              <w:spacing w:beforeLines="0" w:afterLines="0" w:line="360" w:lineRule="auto"/>
              <w:jc w:val="center"/>
              <w:rPr>
                <w:rFonts w:hint="default" w:ascii="Times New Roman" w:hAnsi="Times New Roman" w:cs="Times New Roman" w:eastAsiaTheme="minorEastAsia"/>
                <w:sz w:val="28"/>
                <w:szCs w:val="28"/>
                <w:highlight w:val="none"/>
                <w:lang w:eastAsia="zh-CN"/>
              </w:rPr>
            </w:pPr>
          </w:p>
        </w:tc>
        <w:tc>
          <w:tcPr>
            <w:tcW w:w="1626" w:type="dxa"/>
            <w:vAlign w:val="center"/>
          </w:tcPr>
          <w:p w14:paraId="28319C42">
            <w:pPr>
              <w:spacing w:beforeLines="0" w:afterLines="0" w:line="360" w:lineRule="auto"/>
              <w:jc w:val="center"/>
              <w:rPr>
                <w:rFonts w:hint="eastAsia"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投标人报价明显低于其他通过符合性审查投标人的报价</w:t>
            </w:r>
          </w:p>
        </w:tc>
        <w:tc>
          <w:tcPr>
            <w:tcW w:w="6766" w:type="dxa"/>
            <w:vAlign w:val="center"/>
          </w:tcPr>
          <w:p w14:paraId="1D374AC3">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 xml:space="preserve">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5EFE99B">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报价合理性说明：评标委员会认为投标人的报价明显低于其他通过符合性审查投标人的报价，有可能影响货物质量或者不能诚信履约的，评审委员会应当启动异常低价投标（响应）审查程序：</w:t>
            </w:r>
          </w:p>
          <w:p w14:paraId="02081B08">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（1）投标（响应）报价低于全部通过符合性审查供应商投标（响应）报价平均值50%的，即投标（响应）报价&lt;全部通过符合性审查供应商投标（响应）报价平均值×50%；</w:t>
            </w:r>
          </w:p>
          <w:p w14:paraId="0ACFA197">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（2）投标（响应）报价低于通过符合性审查的次低报价供应商投标（响应）报价50%的，即投标（响应）报价&lt;通过符合性审查的次低报价供应商投标（响应）报价×50%；</w:t>
            </w:r>
          </w:p>
          <w:p w14:paraId="55C65FD4">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（3）投标（响应）报价低于采购项目最高限价45%的，即投标（响应）报价&lt;采购项目最高限价×45%；</w:t>
            </w:r>
          </w:p>
          <w:p w14:paraId="730CB687">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（4）评审委员会基于专业判断，认为供应商报价过低，有可能影响产品质量或者不能诚信履约的其他情形。</w:t>
            </w:r>
          </w:p>
          <w:p w14:paraId="16685072">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采购人可以结合具体项目实际情况，提高上述第1项至第3项中启动异常低价投标（响应）审查的数值标准，但是最高不得超过65%。</w:t>
            </w:r>
          </w:p>
          <w:p w14:paraId="1DEBF18A">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相关法律法规对供应商报价有规定的，从其规定。</w:t>
            </w:r>
          </w:p>
          <w:p w14:paraId="44C7A5E4">
            <w:p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5480934">
            <w:pPr>
              <w:spacing w:beforeLines="0" w:afterLines="0" w:line="360" w:lineRule="auto"/>
              <w:rPr>
                <w:rFonts w:hint="default" w:ascii="Times New Roman" w:hAnsi="Times New Roman" w:cs="Times New Roman" w:eastAsiaTheme="minorEastAsia"/>
                <w:sz w:val="28"/>
                <w:szCs w:val="28"/>
                <w:highlight w:val="none"/>
              </w:rPr>
            </w:pPr>
            <w:r>
              <w:rPr>
                <w:rFonts w:hint="eastAsia" w:ascii="仿宋" w:hAnsi="仿宋" w:eastAsia="仿宋" w:cs="仿宋"/>
                <w:b/>
                <w:bCs/>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154C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4FE983AD">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8</w:t>
            </w:r>
          </w:p>
        </w:tc>
        <w:tc>
          <w:tcPr>
            <w:tcW w:w="1626" w:type="dxa"/>
            <w:vAlign w:val="center"/>
          </w:tcPr>
          <w:p w14:paraId="03E21EA9">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投标保证金</w:t>
            </w:r>
          </w:p>
        </w:tc>
        <w:tc>
          <w:tcPr>
            <w:tcW w:w="6766" w:type="dxa"/>
            <w:vAlign w:val="center"/>
          </w:tcPr>
          <w:p w14:paraId="0CA1DEF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是否需要缴纳保证金：</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14DDDB15">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投标保证金金额：</w:t>
            </w:r>
            <w:r>
              <w:rPr>
                <w:rFonts w:hint="eastAsia" w:cs="Times New Roman" w:eastAsiaTheme="minorEastAsia"/>
                <w:sz w:val="28"/>
                <w:szCs w:val="28"/>
                <w:highlight w:val="none"/>
                <w:lang w:val="en-US" w:eastAsia="zh-CN"/>
              </w:rPr>
              <w:t>15</w:t>
            </w:r>
            <w:r>
              <w:rPr>
                <w:rFonts w:hint="eastAsia" w:ascii="Times New Roman" w:hAnsi="Times New Roman" w:cs="Times New Roman" w:eastAsiaTheme="minorEastAsia"/>
                <w:sz w:val="28"/>
                <w:szCs w:val="28"/>
                <w:highlight w:val="none"/>
                <w:lang w:val="en-US" w:eastAsia="zh-CN"/>
              </w:rPr>
              <w:t>000元（</w:t>
            </w:r>
            <w:r>
              <w:rPr>
                <w:rFonts w:hint="eastAsia" w:cs="Times New Roman" w:eastAsiaTheme="minorEastAsia"/>
                <w:sz w:val="28"/>
                <w:szCs w:val="28"/>
                <w:highlight w:val="none"/>
                <w:lang w:val="en-US" w:eastAsia="zh-CN"/>
              </w:rPr>
              <w:t>壹</w:t>
            </w:r>
            <w:r>
              <w:rPr>
                <w:rFonts w:hint="eastAsia" w:ascii="Times New Roman" w:hAnsi="Times New Roman" w:cs="Times New Roman" w:eastAsiaTheme="minorEastAsia"/>
                <w:sz w:val="28"/>
                <w:szCs w:val="28"/>
                <w:highlight w:val="none"/>
                <w:lang w:val="en-US" w:eastAsia="zh-CN"/>
              </w:rPr>
              <w:t>万</w:t>
            </w:r>
            <w:r>
              <w:rPr>
                <w:rFonts w:hint="eastAsia" w:cs="Times New Roman" w:eastAsiaTheme="minorEastAsia"/>
                <w:sz w:val="28"/>
                <w:szCs w:val="28"/>
                <w:highlight w:val="none"/>
                <w:lang w:val="en-US" w:eastAsia="zh-CN"/>
              </w:rPr>
              <w:t>伍仟</w:t>
            </w:r>
            <w:r>
              <w:rPr>
                <w:rFonts w:hint="eastAsia" w:ascii="Times New Roman" w:hAnsi="Times New Roman" w:cs="Times New Roman" w:eastAsiaTheme="minorEastAsia"/>
                <w:sz w:val="28"/>
                <w:szCs w:val="28"/>
                <w:highlight w:val="none"/>
                <w:lang w:val="en-US" w:eastAsia="zh-CN"/>
              </w:rPr>
              <w:t>元整）</w:t>
            </w:r>
          </w:p>
          <w:p w14:paraId="361344CB">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 xml:space="preserve">投标保证金缴纳方式：网上银行转账、保函、支票、汇票、本票 </w:t>
            </w:r>
          </w:p>
          <w:p w14:paraId="5846CBE1">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27B2747D">
            <w:pPr>
              <w:spacing w:beforeLines="0" w:afterLines="0" w:line="360" w:lineRule="auto"/>
              <w:rPr>
                <w:rFonts w:hint="eastAsia"/>
                <w:lang w:val="en-US" w:eastAsia="zh-CN"/>
              </w:rPr>
            </w:pPr>
            <w:r>
              <w:rPr>
                <w:rFonts w:hint="eastAsia" w:ascii="Times New Roman" w:hAnsi="Times New Roman" w:cs="Times New Roman" w:eastAsiaTheme="minorEastAsia"/>
                <w:sz w:val="28"/>
                <w:szCs w:val="28"/>
                <w:highlight w:val="none"/>
                <w:lang w:val="en-US" w:eastAsia="zh-CN"/>
              </w:rPr>
              <w:t>注：1、投标保证金缴纳截止时间同开标时间。递交投标保证金时请务必注明项目名称或项目编号。 保证金以到账信息为准，应充分考虑在途时间，未按照招标文件要求提交保证金的，响应文件将按无效标处理。</w:t>
            </w:r>
          </w:p>
          <w:p w14:paraId="4AC77D27">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公开招标保证金不予退还的情形：</w:t>
            </w:r>
          </w:p>
          <w:p w14:paraId="26353494">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□无</w:t>
            </w:r>
          </w:p>
          <w:p w14:paraId="605307EA">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☑有，具体情形：</w:t>
            </w:r>
          </w:p>
          <w:p w14:paraId="02A43B96">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根据《政府采购非招标采购方式管理办法》（财政部令第74号）第二十条、《政府采购货物和服务招标投标管理办法》（财政部令第87号）第二十三条等相关规定，政府采购中投标保证金不予退还的法定情形主要有以下几种：</w:t>
            </w:r>
          </w:p>
          <w:p w14:paraId="2C32C0A1">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投标截止后撤回响应文件：供应商在提交投标（响应）文件截止时间后撤回投标（响应）文件，破坏了投标的严肃性和稳定性，影响采购活动正常进行，其投标保证金不予退还。</w:t>
            </w:r>
          </w:p>
          <w:p w14:paraId="604A847C">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提供虚假材料：若供应商在投标（响应）文件中提供虚假材料，企图以不正当手段谋取中标，这种行为违反了诚实信用原则，投标保证金将不予退还</w:t>
            </w:r>
          </w:p>
          <w:p w14:paraId="41CF11BE">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中标后不签订合同：除因不可抗力或采购文件认可的情形外，成交供应商应与采购人签订合同。若成交供应商无正当理由不与采购人签订合同，损害了采购人利益，干扰了采购秩序，其投标保证金不予退还。</w:t>
            </w:r>
          </w:p>
          <w:p w14:paraId="7C15A87E">
            <w:pPr>
              <w:spacing w:beforeLines="0" w:afterLines="0" w:line="360" w:lineRule="auto"/>
              <w:rPr>
                <w:rFonts w:hint="default" w:ascii="Times New Roman" w:hAnsi="Times New Roman" w:cs="Times New Roman" w:eastAsiaTheme="minorEastAsia"/>
                <w:sz w:val="28"/>
                <w:szCs w:val="28"/>
                <w:highlight w:val="none"/>
              </w:rPr>
            </w:pPr>
            <w:r>
              <w:rPr>
                <w:rFonts w:hint="eastAsia" w:ascii="Times New Roman" w:hAnsi="Times New Roman" w:cs="Times New Roman" w:eastAsiaTheme="minorEastAsia"/>
                <w:sz w:val="28"/>
                <w:szCs w:val="28"/>
                <w:highlight w:val="none"/>
                <w:lang w:eastAsia="zh-CN"/>
              </w:rPr>
              <w:t>• 恶意串通：供应商与采购人、其他供应商或者采购代理机构恶意串通，属于严重的违规行为，破坏了公平竞争的市场环境，一旦查实，投标保证金将不予退还。</w:t>
            </w:r>
          </w:p>
        </w:tc>
      </w:tr>
      <w:tr w14:paraId="19BF9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77A634A5">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9</w:t>
            </w:r>
          </w:p>
        </w:tc>
        <w:tc>
          <w:tcPr>
            <w:tcW w:w="1626" w:type="dxa"/>
            <w:vAlign w:val="center"/>
          </w:tcPr>
          <w:p w14:paraId="030DFD70">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投标有效期</w:t>
            </w:r>
          </w:p>
        </w:tc>
        <w:tc>
          <w:tcPr>
            <w:tcW w:w="6766" w:type="dxa"/>
            <w:vAlign w:val="center"/>
          </w:tcPr>
          <w:p w14:paraId="671C3A97">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自</w:t>
            </w:r>
            <w:r>
              <w:rPr>
                <w:rFonts w:hint="default" w:ascii="Times New Roman" w:hAnsi="Times New Roman" w:cs="Times New Roman" w:eastAsiaTheme="minorEastAsia"/>
                <w:sz w:val="28"/>
                <w:szCs w:val="28"/>
                <w:highlight w:val="none"/>
              </w:rPr>
              <w:t>提交投标文件</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截止之日起</w:t>
            </w:r>
            <w:r>
              <w:rPr>
                <w:rFonts w:hint="default" w:ascii="Times New Roman" w:hAnsi="Times New Roman" w:cs="Times New Roman" w:eastAsiaTheme="minorEastAsia"/>
                <w:sz w:val="28"/>
                <w:szCs w:val="28"/>
                <w:highlight w:val="none"/>
                <w:lang w:eastAsia="zh-CN"/>
              </w:rPr>
              <w:t>不少于</w:t>
            </w:r>
            <w:r>
              <w:rPr>
                <w:rFonts w:hint="eastAsia" w:cs="Times New Roman" w:eastAsiaTheme="minorEastAsia"/>
                <w:sz w:val="28"/>
                <w:szCs w:val="28"/>
                <w:highlight w:val="none"/>
                <w:u w:val="single"/>
                <w:lang w:val="en-US" w:eastAsia="zh-CN"/>
              </w:rPr>
              <w:t>90个</w:t>
            </w:r>
            <w:r>
              <w:rPr>
                <w:rFonts w:hint="default" w:ascii="Times New Roman" w:hAnsi="Times New Roman" w:cs="Times New Roman" w:eastAsiaTheme="minorEastAsia"/>
                <w:sz w:val="28"/>
                <w:szCs w:val="28"/>
                <w:highlight w:val="none"/>
              </w:rPr>
              <w:t>自然日</w:t>
            </w:r>
            <w:r>
              <w:rPr>
                <w:rFonts w:hint="default" w:ascii="Times New Roman" w:hAnsi="Times New Roman" w:cs="Times New Roman" w:eastAsiaTheme="minorEastAsia"/>
                <w:sz w:val="28"/>
                <w:szCs w:val="28"/>
                <w:highlight w:val="none"/>
                <w:lang w:eastAsia="zh-CN"/>
              </w:rPr>
              <w:t>。</w:t>
            </w:r>
          </w:p>
        </w:tc>
      </w:tr>
      <w:tr w14:paraId="64009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2E7199DB">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0</w:t>
            </w:r>
          </w:p>
        </w:tc>
        <w:tc>
          <w:tcPr>
            <w:tcW w:w="1626" w:type="dxa"/>
            <w:vAlign w:val="center"/>
          </w:tcPr>
          <w:p w14:paraId="7D879A81">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资格审查</w:t>
            </w:r>
          </w:p>
        </w:tc>
        <w:tc>
          <w:tcPr>
            <w:tcW w:w="6766" w:type="dxa"/>
            <w:vAlign w:val="center"/>
          </w:tcPr>
          <w:p w14:paraId="0FF9FBB5">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sym w:font="Wingdings 2" w:char="0052"/>
            </w:r>
            <w:r>
              <w:rPr>
                <w:rFonts w:hint="default" w:cs="Times New Roman" w:eastAsiaTheme="minorEastAsia"/>
                <w:sz w:val="28"/>
                <w:szCs w:val="28"/>
                <w:highlight w:val="none"/>
                <w:lang w:eastAsia="zh-CN"/>
              </w:rPr>
              <w:t>采购人审查</w:t>
            </w:r>
            <w:r>
              <w:rPr>
                <w:rFonts w:hint="default" w:ascii="Times New Roman" w:hAnsi="Times New Roman" w:cs="Times New Roman" w:eastAsiaTheme="minorEastAsia"/>
                <w:sz w:val="28"/>
                <w:szCs w:val="28"/>
                <w:highlight w:val="none"/>
              </w:rPr>
              <w:t xml:space="preserve">  </w:t>
            </w:r>
          </w:p>
          <w:p w14:paraId="6671224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A3"/>
            </w:r>
            <w:r>
              <w:rPr>
                <w:rFonts w:hint="default" w:cs="Times New Roman" w:eastAsiaTheme="minorEastAsia"/>
                <w:sz w:val="28"/>
                <w:szCs w:val="28"/>
                <w:highlight w:val="none"/>
                <w:lang w:eastAsia="zh-CN"/>
              </w:rPr>
              <w:t>采购人和采购代理机构共同审查</w:t>
            </w:r>
          </w:p>
          <w:p w14:paraId="1354B1E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A3"/>
            </w:r>
            <w:r>
              <w:rPr>
                <w:rFonts w:hint="default" w:cs="Times New Roman" w:eastAsiaTheme="minorEastAsia"/>
                <w:sz w:val="28"/>
                <w:szCs w:val="28"/>
                <w:highlight w:val="none"/>
                <w:lang w:eastAsia="zh-CN"/>
              </w:rPr>
              <w:t>采购人委托采购代理机构审查</w:t>
            </w:r>
          </w:p>
        </w:tc>
      </w:tr>
      <w:tr w14:paraId="2BC9C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5553FF00">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11</w:t>
            </w:r>
          </w:p>
        </w:tc>
        <w:tc>
          <w:tcPr>
            <w:tcW w:w="1626" w:type="dxa"/>
            <w:vAlign w:val="center"/>
          </w:tcPr>
          <w:p w14:paraId="4DCED675">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评标方法</w:t>
            </w:r>
          </w:p>
        </w:tc>
        <w:tc>
          <w:tcPr>
            <w:tcW w:w="6766" w:type="dxa"/>
            <w:vAlign w:val="center"/>
          </w:tcPr>
          <w:p w14:paraId="1F66B7C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lang w:eastAsia="zh-CN"/>
              </w:rPr>
              <w:t>综合评分法</w:t>
            </w:r>
            <w:r>
              <w:rPr>
                <w:rFonts w:hint="default" w:ascii="Times New Roman" w:hAnsi="Times New Roman" w:cs="Times New Roman" w:eastAsiaTheme="minorEastAsia"/>
                <w:sz w:val="28"/>
                <w:szCs w:val="28"/>
                <w:highlight w:val="none"/>
              </w:rPr>
              <w:t xml:space="preserve">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lang w:eastAsia="zh-CN"/>
              </w:rPr>
              <w:t>最低评标价法</w:t>
            </w:r>
          </w:p>
          <w:p w14:paraId="1C6D918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（具体评标标准详见第</w:t>
            </w:r>
            <w:r>
              <w:rPr>
                <w:rFonts w:hint="default"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lang w:eastAsia="zh-CN"/>
              </w:rPr>
              <w:t>章）</w:t>
            </w:r>
          </w:p>
        </w:tc>
      </w:tr>
      <w:tr w14:paraId="369F0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14:paraId="75E2E1CE">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12</w:t>
            </w:r>
          </w:p>
        </w:tc>
        <w:tc>
          <w:tcPr>
            <w:tcW w:w="1626" w:type="dxa"/>
            <w:vAlign w:val="center"/>
          </w:tcPr>
          <w:p w14:paraId="21002AD5">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确定中标人</w:t>
            </w:r>
          </w:p>
        </w:tc>
        <w:tc>
          <w:tcPr>
            <w:tcW w:w="6766" w:type="dxa"/>
            <w:vAlign w:val="center"/>
          </w:tcPr>
          <w:p w14:paraId="02A5F80A">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是否委托评标委员会</w:t>
            </w:r>
            <w:r>
              <w:rPr>
                <w:rFonts w:hint="eastAsia" w:ascii="Times New Roman" w:hAnsi="Times New Roman" w:cs="Times New Roman" w:eastAsiaTheme="minorEastAsia"/>
                <w:sz w:val="28"/>
                <w:szCs w:val="28"/>
                <w:highlight w:val="none"/>
                <w:lang w:eastAsia="zh-CN"/>
              </w:rPr>
              <w:t>直接</w:t>
            </w:r>
            <w:r>
              <w:rPr>
                <w:rFonts w:hint="default" w:ascii="Times New Roman" w:hAnsi="Times New Roman" w:cs="Times New Roman" w:eastAsiaTheme="minorEastAsia"/>
                <w:sz w:val="28"/>
                <w:szCs w:val="28"/>
                <w:highlight w:val="none"/>
                <w:lang w:eastAsia="zh-CN"/>
              </w:rPr>
              <w:t>确定中标人：</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713BE26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中标候选人并列的，由</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采购人</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采购人委托评标委员会</w:t>
            </w:r>
            <w:r>
              <w:rPr>
                <w:rFonts w:hint="default"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按照以下方式确定中标人</w:t>
            </w:r>
            <w:r>
              <w:rPr>
                <w:rFonts w:hint="eastAsia" w:cs="Times New Roman" w:eastAsiaTheme="minorEastAsia"/>
                <w:sz w:val="28"/>
                <w:szCs w:val="28"/>
                <w:highlight w:val="none"/>
                <w:lang w:eastAsia="zh-CN"/>
              </w:rPr>
              <w:t>：</w:t>
            </w:r>
          </w:p>
          <w:p w14:paraId="60AE7237">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u w:val="single"/>
                <w:lang w:val="en-US" w:eastAsia="zh-CN"/>
              </w:rPr>
              <w:t>得分相同的，按投标报价由低到高顺序排列。得分且投标报价相同的并列。投标文件满足招标文件全部实质性要求，且按照评审因素的量化指标评审得分最高的投标人为排名第一的中标候选人</w:t>
            </w:r>
            <w:r>
              <w:rPr>
                <w:rFonts w:hint="eastAsia" w:cs="Times New Roman" w:eastAsiaTheme="minorEastAsia"/>
                <w:sz w:val="28"/>
                <w:szCs w:val="28"/>
                <w:highlight w:val="none"/>
                <w:u w:val="single"/>
                <w:lang w:val="en-US" w:eastAsia="zh-CN"/>
              </w:rPr>
              <w:t>。</w:t>
            </w:r>
          </w:p>
          <w:p w14:paraId="04489DE3">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随机抽取确定中标人。</w:t>
            </w:r>
          </w:p>
        </w:tc>
      </w:tr>
      <w:tr w14:paraId="16BBF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14:paraId="5D70E7C5">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3</w:t>
            </w:r>
          </w:p>
        </w:tc>
        <w:tc>
          <w:tcPr>
            <w:tcW w:w="1626" w:type="dxa"/>
            <w:vAlign w:val="center"/>
          </w:tcPr>
          <w:p w14:paraId="58C4138A">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分包</w:t>
            </w:r>
          </w:p>
        </w:tc>
        <w:tc>
          <w:tcPr>
            <w:tcW w:w="6766" w:type="dxa"/>
            <w:vAlign w:val="center"/>
          </w:tcPr>
          <w:p w14:paraId="680905B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本项目的非主体、非关键性工作是否允许分包：</w:t>
            </w:r>
          </w:p>
          <w:p w14:paraId="5D490015">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eastAsia"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4D6BF29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（如选择“是”）分包具体要求：</w:t>
            </w:r>
          </w:p>
          <w:p w14:paraId="0FC7CD9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）可以分包履行的具体内容：</w:t>
            </w:r>
          </w:p>
          <w:p w14:paraId="0AD514A7">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）允许分包的金额或者比例：</w:t>
            </w:r>
          </w:p>
          <w:p w14:paraId="4412C03E">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）其他要求（如有）：</w:t>
            </w:r>
          </w:p>
        </w:tc>
      </w:tr>
      <w:tr w14:paraId="15254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14:paraId="27788848">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4</w:t>
            </w:r>
          </w:p>
        </w:tc>
        <w:tc>
          <w:tcPr>
            <w:tcW w:w="1626" w:type="dxa"/>
            <w:vAlign w:val="center"/>
          </w:tcPr>
          <w:p w14:paraId="1734D033">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w:t>
            </w:r>
          </w:p>
        </w:tc>
        <w:tc>
          <w:tcPr>
            <w:tcW w:w="6766" w:type="dxa"/>
            <w:vAlign w:val="center"/>
          </w:tcPr>
          <w:p w14:paraId="448C4E31">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询问送达形式：投标人对政府采购活动事项有疑问的，可依法提出询问，并按《投标人须知资料表》载明的形式送达采购人或采购代理机构。</w:t>
            </w:r>
          </w:p>
          <w:p w14:paraId="35111320">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采购人或采购代理机构对供应商依法提出的询问，在3个工作日内作出答复，但答复的内容不得涉及商业秘密。</w:t>
            </w:r>
          </w:p>
          <w:p w14:paraId="1BC3D62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询问联系部门及人员：</w:t>
            </w:r>
            <w:r>
              <w:rPr>
                <w:rFonts w:hint="eastAsia" w:ascii="Times New Roman" w:hAnsi="Times New Roman" w:cs="Times New Roman" w:eastAsiaTheme="minorEastAsia"/>
                <w:sz w:val="28"/>
                <w:szCs w:val="28"/>
                <w:highlight w:val="none"/>
                <w:lang w:eastAsia="zh-CN"/>
              </w:rPr>
              <w:t>巴州聚诚项目管理有限责任公司</w:t>
            </w:r>
          </w:p>
          <w:p w14:paraId="29EDCE9E">
            <w:pPr>
              <w:widowControl/>
              <w:spacing w:beforeLines="0" w:afterLines="0" w:line="360" w:lineRule="auto"/>
              <w:jc w:val="left"/>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eastAsia="zh-CN"/>
              </w:rPr>
              <w:t>询问联系电话：</w:t>
            </w:r>
            <w:r>
              <w:rPr>
                <w:rFonts w:hint="eastAsia" w:cs="Times New Roman" w:eastAsiaTheme="minorEastAsia"/>
                <w:sz w:val="28"/>
                <w:szCs w:val="28"/>
                <w:highlight w:val="none"/>
                <w:lang w:val="en-US" w:eastAsia="zh-CN"/>
              </w:rPr>
              <w:t>17397503266</w:t>
            </w:r>
          </w:p>
          <w:p w14:paraId="79D924D0">
            <w:pPr>
              <w:widowControl/>
              <w:spacing w:beforeLines="0" w:afterLines="0" w:line="360" w:lineRule="auto"/>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询问联系地址：</w:t>
            </w:r>
            <w:r>
              <w:rPr>
                <w:rFonts w:hint="eastAsia" w:ascii="Times New Roman" w:hAnsi="Times New Roman" w:cs="Times New Roman" w:eastAsiaTheme="minorEastAsia"/>
                <w:sz w:val="28"/>
                <w:szCs w:val="28"/>
                <w:highlight w:val="none"/>
                <w:lang w:val="en-US" w:eastAsia="zh-CN"/>
              </w:rPr>
              <w:t>巴州库尔勒市塔指西路天河美镇办公楼一楼</w:t>
            </w:r>
          </w:p>
        </w:tc>
      </w:tr>
      <w:tr w14:paraId="2EC2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14:paraId="33E1BFE8">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15</w:t>
            </w:r>
          </w:p>
        </w:tc>
        <w:tc>
          <w:tcPr>
            <w:tcW w:w="1626" w:type="dxa"/>
            <w:vAlign w:val="center"/>
          </w:tcPr>
          <w:p w14:paraId="79F5C798">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质疑</w:t>
            </w:r>
          </w:p>
        </w:tc>
        <w:tc>
          <w:tcPr>
            <w:tcW w:w="6766" w:type="dxa"/>
            <w:vAlign w:val="center"/>
          </w:tcPr>
          <w:p w14:paraId="417F585E">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是否要求投标人</w:t>
            </w:r>
            <w:r>
              <w:rPr>
                <w:rFonts w:hint="default" w:ascii="Times New Roman" w:hAnsi="Times New Roman" w:cs="Times New Roman" w:eastAsiaTheme="minorEastAsia"/>
                <w:b/>
                <w:bCs/>
                <w:sz w:val="28"/>
                <w:szCs w:val="28"/>
                <w:highlight w:val="none"/>
                <w:lang w:eastAsia="zh-CN"/>
              </w:rPr>
              <w:t>在法定质疑期内一次性提出针对同一采购程序环节</w:t>
            </w:r>
            <w:r>
              <w:rPr>
                <w:rFonts w:hint="default" w:ascii="Times New Roman" w:hAnsi="Times New Roman" w:cs="Times New Roman" w:eastAsiaTheme="minorEastAsia"/>
                <w:sz w:val="28"/>
                <w:szCs w:val="28"/>
                <w:highlight w:val="none"/>
                <w:lang w:eastAsia="zh-CN"/>
              </w:rPr>
              <w:t>的质疑：</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1637B1F5">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1、供应商认为采购文件、采购过程、中标或者成交结果使自己的权益受到损害的，可以在知道或者应知其权益受到损害之日起7个工作日内，以书面形式向采购人、采购代理机构提出质疑。</w:t>
            </w:r>
          </w:p>
          <w:p w14:paraId="55D12F52">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2、提出质疑的供应商（以下简称质疑供应商）应当是参与所质疑项目采购活动的供应商。</w:t>
            </w:r>
          </w:p>
          <w:p w14:paraId="0231AAB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3、对采购文件提出质疑的，应当在获取采购文件或者采购文件公告期限届满之日起7个工作日内提出。</w:t>
            </w:r>
          </w:p>
          <w:p w14:paraId="52F4E548">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4、供应商提出质疑应当提交质疑函和必要的证明材料。质疑函应当包括下列内容：</w:t>
            </w:r>
          </w:p>
          <w:p w14:paraId="1E6AB449">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（一）供应商的姓名或者名称、地址、邮编、联系人及联系电话；</w:t>
            </w:r>
          </w:p>
          <w:p w14:paraId="6A320ABF">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（二）质疑项目的名称、编号；</w:t>
            </w:r>
          </w:p>
          <w:p w14:paraId="168F7427">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（三）具体、明确的质疑事项和与质疑事项相关的请求；</w:t>
            </w:r>
          </w:p>
          <w:p w14:paraId="6183AF0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（四）事实依据；</w:t>
            </w:r>
          </w:p>
          <w:p w14:paraId="69CB436E">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（五）必要的法律依据；</w:t>
            </w:r>
          </w:p>
          <w:p w14:paraId="210E1945">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（六）提出质疑的日期。</w:t>
            </w:r>
          </w:p>
          <w:p w14:paraId="4E1AE4B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供应商为自然人的，应当由本人签字；供应商为法人或者其他组织的，应当由法定代表人、主要负责人，或者其授权代表签字或者盖章，并加盖公章。</w:t>
            </w:r>
          </w:p>
          <w:p w14:paraId="15E3C305">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采购人、采购代理机构应当在收到质疑函后7个工作日内作出答复，并以书面形式通知质疑供应商和其他有关供应商。</w:t>
            </w:r>
          </w:p>
          <w:p w14:paraId="79AF6989">
            <w:pPr>
              <w:widowControl/>
              <w:spacing w:beforeLines="0" w:afterLines="0" w:line="360" w:lineRule="auto"/>
              <w:jc w:val="left"/>
              <w:rPr>
                <w:rFonts w:hint="default"/>
                <w:lang w:eastAsia="zh-CN"/>
              </w:rPr>
            </w:pPr>
            <w:r>
              <w:rPr>
                <w:rFonts w:hint="default" w:ascii="Times New Roman" w:hAnsi="Times New Roman" w:cs="Times New Roman" w:eastAsiaTheme="minorEastAsia"/>
                <w:sz w:val="28"/>
                <w:szCs w:val="28"/>
                <w:highlight w:val="none"/>
                <w:lang w:eastAsia="zh-CN"/>
              </w:rPr>
              <w:t>5、接受质疑函的方式：书面形式递交（书面形式包括：纸质版或电子邮件等方式）。</w:t>
            </w:r>
          </w:p>
        </w:tc>
      </w:tr>
      <w:tr w14:paraId="5020C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6" w:hRule="atLeast"/>
        </w:trPr>
        <w:tc>
          <w:tcPr>
            <w:tcW w:w="789" w:type="dxa"/>
            <w:vAlign w:val="center"/>
          </w:tcPr>
          <w:p w14:paraId="330A0646">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6</w:t>
            </w:r>
          </w:p>
        </w:tc>
        <w:tc>
          <w:tcPr>
            <w:tcW w:w="1626" w:type="dxa"/>
            <w:vAlign w:val="center"/>
          </w:tcPr>
          <w:p w14:paraId="4271D076">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代理费用</w:t>
            </w:r>
          </w:p>
        </w:tc>
        <w:tc>
          <w:tcPr>
            <w:tcW w:w="6766" w:type="dxa"/>
            <w:vAlign w:val="center"/>
          </w:tcPr>
          <w:p w14:paraId="666A938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是否收取代理费用：</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1B3DB61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（如选择“是”）代理费用收费对象：</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采购人</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中标人</w:t>
            </w:r>
          </w:p>
          <w:p w14:paraId="097CE9E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收取标准：</w:t>
            </w:r>
          </w:p>
          <w:p w14:paraId="2B3F270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代理报酬的计算方法：参照原国家计委《招标代理服务收费管理暂行办法》（计加盖[2002]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中标金额在5亿元以上的代理服务费实行收费上限，服务类代理服务费上限为300万元。</w:t>
            </w:r>
          </w:p>
          <w:p w14:paraId="4F817187">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2、代理报酬的收取金额：中标金额的1.5%；</w:t>
            </w:r>
          </w:p>
          <w:p w14:paraId="4572806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3、代理报酬支付方式：由中标人支付</w:t>
            </w:r>
          </w:p>
          <w:p w14:paraId="7464535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4、代理报酬的支付时间：由中标人领取中标通知书时支付</w:t>
            </w:r>
            <w:r>
              <w:rPr>
                <w:rFonts w:hint="eastAsia" w:cs="Times New Roman" w:eastAsiaTheme="minorEastAsia"/>
                <w:sz w:val="28"/>
                <w:szCs w:val="28"/>
                <w:highlight w:val="none"/>
                <w:lang w:eastAsia="zh-CN"/>
              </w:rPr>
              <w:t>。</w:t>
            </w:r>
          </w:p>
          <w:p w14:paraId="04BED62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14:paraId="570CC81A">
            <w:pPr>
              <w:spacing w:beforeLines="0" w:afterLines="0"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招标代理费缴纳账户：</w:t>
            </w:r>
          </w:p>
          <w:p w14:paraId="4DB356E2">
            <w:pPr>
              <w:spacing w:beforeLines="0" w:afterLines="0"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账户名称：巴州聚诚项目管理有限责任公司</w:t>
            </w:r>
          </w:p>
          <w:p w14:paraId="140CEDF4">
            <w:pPr>
              <w:spacing w:beforeLines="0" w:afterLines="0"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开户银行：中国建设银行股份有限公司巴音郭楞蒙古自治州分行营业部</w:t>
            </w:r>
          </w:p>
          <w:p w14:paraId="5A92EA45">
            <w:pPr>
              <w:spacing w:beforeLines="0" w:afterLines="0"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账号：65050170608600002227</w:t>
            </w:r>
          </w:p>
          <w:p w14:paraId="3F8D7CC7">
            <w:pPr>
              <w:spacing w:beforeLines="0" w:afterLines="0" w:line="360" w:lineRule="auto"/>
              <w:rPr>
                <w:rFonts w:hint="default"/>
              </w:rPr>
            </w:pPr>
            <w:r>
              <w:rPr>
                <w:rFonts w:hint="eastAsia" w:ascii="宋体" w:hAnsi="宋体" w:eastAsia="宋体" w:cs="宋体"/>
                <w:b/>
                <w:bCs/>
                <w:color w:val="auto"/>
                <w:kern w:val="2"/>
                <w:sz w:val="24"/>
                <w:szCs w:val="24"/>
                <w:highlight w:val="none"/>
                <w:lang w:val="en-US" w:eastAsia="zh-CN" w:bidi="ar-SA"/>
              </w:rPr>
              <w:t>行号：105888000217</w:t>
            </w:r>
          </w:p>
        </w:tc>
      </w:tr>
      <w:tr w14:paraId="7C18F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14:paraId="7FBE74AD">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7</w:t>
            </w:r>
          </w:p>
        </w:tc>
        <w:tc>
          <w:tcPr>
            <w:tcW w:w="1626" w:type="dxa"/>
            <w:vAlign w:val="center"/>
          </w:tcPr>
          <w:p w14:paraId="4C18F803">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履约保证金</w:t>
            </w:r>
          </w:p>
        </w:tc>
        <w:tc>
          <w:tcPr>
            <w:tcW w:w="6766" w:type="dxa"/>
            <w:vAlign w:val="center"/>
          </w:tcPr>
          <w:p w14:paraId="7DB305C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履约保证金：</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28B5B4B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（若选择“是”）履约保证金</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要求：</w:t>
            </w:r>
          </w:p>
          <w:p w14:paraId="25DD85B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eastAsia="zh-CN"/>
              </w:rPr>
              <w:t>缴纳金额：</w:t>
            </w:r>
          </w:p>
          <w:p w14:paraId="2CF1C4A4">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2</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时间：</w:t>
            </w:r>
          </w:p>
          <w:p w14:paraId="40AE816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方式：</w:t>
            </w:r>
          </w:p>
          <w:p w14:paraId="5D0BE1F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）退还方式：</w:t>
            </w:r>
          </w:p>
          <w:p w14:paraId="74011474">
            <w:pPr>
              <w:spacing w:beforeLines="0" w:afterLines="0" w:line="360" w:lineRule="auto"/>
              <w:rPr>
                <w:rFonts w:hint="default" w:ascii="Times New Roman" w:hAnsi="Times New Roman" w:cs="Times New Roman" w:eastAsiaTheme="minorEastAsia"/>
                <w:i/>
                <w:sz w:val="28"/>
                <w:szCs w:val="28"/>
                <w:highlight w:val="none"/>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）其他要求（如有）：</w:t>
            </w:r>
          </w:p>
        </w:tc>
      </w:tr>
      <w:tr w14:paraId="3559E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14:paraId="6297F6E5">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18</w:t>
            </w:r>
          </w:p>
        </w:tc>
        <w:tc>
          <w:tcPr>
            <w:tcW w:w="1626" w:type="dxa"/>
            <w:shd w:val="clear" w:color="auto" w:fill="auto"/>
            <w:vAlign w:val="center"/>
          </w:tcPr>
          <w:p w14:paraId="166FF94F">
            <w:pPr>
              <w:spacing w:beforeLines="0" w:afterLines="0" w:line="360" w:lineRule="auto"/>
              <w:jc w:val="center"/>
              <w:rPr>
                <w:rFonts w:hint="default" w:ascii="Times New Roman" w:hAnsi="Times New Roman" w:cs="Times New Roman" w:eastAsiaTheme="minorEastAsia"/>
                <w:kern w:val="2"/>
                <w:sz w:val="28"/>
                <w:szCs w:val="28"/>
                <w:highlight w:val="none"/>
                <w:lang w:val="en-US" w:eastAsia="zh-CN" w:bidi="ar-SA"/>
              </w:rPr>
            </w:pPr>
            <w:r>
              <w:rPr>
                <w:rFonts w:hint="default" w:ascii="Times New Roman" w:hAnsi="Times New Roman" w:cs="Times New Roman" w:eastAsiaTheme="minorEastAsia"/>
                <w:sz w:val="28"/>
                <w:szCs w:val="28"/>
                <w:highlight w:val="none"/>
                <w:lang w:eastAsia="zh-CN"/>
              </w:rPr>
              <w:t>投标文件上传</w:t>
            </w:r>
          </w:p>
        </w:tc>
        <w:tc>
          <w:tcPr>
            <w:tcW w:w="6766" w:type="dxa"/>
            <w:shd w:val="clear" w:color="auto" w:fill="auto"/>
            <w:vAlign w:val="center"/>
          </w:tcPr>
          <w:p w14:paraId="4D6E3784">
            <w:pPr>
              <w:spacing w:beforeLines="0" w:afterLines="0" w:line="360" w:lineRule="auto"/>
              <w:rPr>
                <w:rFonts w:hint="default" w:ascii="Times New Roman" w:hAnsi="Times New Roman" w:cs="Times New Roman" w:eastAsiaTheme="minorEastAsia"/>
                <w:kern w:val="2"/>
                <w:sz w:val="28"/>
                <w:szCs w:val="28"/>
                <w:highlight w:val="none"/>
                <w:lang w:val="en-US" w:eastAsia="zh-CN" w:bidi="ar-SA"/>
              </w:rPr>
            </w:pPr>
            <w:r>
              <w:rPr>
                <w:rFonts w:hint="default" w:ascii="Times New Roman" w:hAnsi="Times New Roman" w:cs="Times New Roman" w:eastAsiaTheme="minorEastAsia"/>
                <w:sz w:val="28"/>
                <w:szCs w:val="28"/>
                <w:highlight w:val="none"/>
                <w:lang w:eastAsia="zh-CN"/>
              </w:rPr>
              <w:t>使用政府采购云平台投标文件制作工具，制作完成需将加密投标文件在投标截止时间前上传至政采云平台对应位置。</w:t>
            </w:r>
          </w:p>
        </w:tc>
      </w:tr>
      <w:tr w14:paraId="5239C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1126E4C5">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1</w:t>
            </w:r>
            <w:r>
              <w:rPr>
                <w:rFonts w:hint="default" w:ascii="Times New Roman" w:hAnsi="Times New Roman" w:cs="Times New Roman" w:eastAsiaTheme="minorEastAsia"/>
                <w:sz w:val="28"/>
                <w:szCs w:val="28"/>
                <w:highlight w:val="none"/>
                <w:lang w:val="en-US" w:eastAsia="zh-CN"/>
              </w:rPr>
              <w:t>9</w:t>
            </w:r>
          </w:p>
        </w:tc>
        <w:tc>
          <w:tcPr>
            <w:tcW w:w="1626" w:type="dxa"/>
            <w:shd w:val="clear" w:color="auto" w:fill="auto"/>
            <w:vAlign w:val="center"/>
          </w:tcPr>
          <w:p w14:paraId="7CD6B371">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投标文件</w:t>
            </w:r>
          </w:p>
          <w:p w14:paraId="4DA37623">
            <w:pPr>
              <w:spacing w:beforeLines="0" w:afterLines="0" w:line="360" w:lineRule="auto"/>
              <w:jc w:val="center"/>
              <w:rPr>
                <w:rFonts w:hint="default" w:ascii="Times New Roman" w:hAnsi="Times New Roman" w:cs="Times New Roman" w:eastAsiaTheme="minorEastAsia"/>
                <w:kern w:val="2"/>
                <w:sz w:val="28"/>
                <w:szCs w:val="28"/>
                <w:highlight w:val="none"/>
                <w:lang w:val="en-US" w:eastAsia="zh-CN" w:bidi="ar-SA"/>
              </w:rPr>
            </w:pPr>
            <w:r>
              <w:rPr>
                <w:rFonts w:hint="default" w:ascii="Times New Roman" w:hAnsi="Times New Roman" w:cs="Times New Roman" w:eastAsiaTheme="minorEastAsia"/>
                <w:sz w:val="28"/>
                <w:szCs w:val="28"/>
                <w:highlight w:val="none"/>
                <w:lang w:eastAsia="zh-CN"/>
              </w:rPr>
              <w:t>递交地点</w:t>
            </w:r>
          </w:p>
        </w:tc>
        <w:tc>
          <w:tcPr>
            <w:tcW w:w="6766" w:type="dxa"/>
            <w:shd w:val="clear" w:color="auto" w:fill="auto"/>
            <w:vAlign w:val="center"/>
          </w:tcPr>
          <w:p w14:paraId="5E10856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1、本项目采用不见面开标，投标文件上传：政采云平台</w:t>
            </w:r>
          </w:p>
          <w:p w14:paraId="3E11CAA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2、地址：政采云平台</w:t>
            </w:r>
          </w:p>
          <w:p w14:paraId="70B9AFF9">
            <w:pPr>
              <w:spacing w:beforeLines="0" w:afterLines="0" w:line="360" w:lineRule="auto"/>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lang w:eastAsia="zh-CN"/>
              </w:rPr>
              <w:t>3、供应商备份文件可自愿在</w:t>
            </w:r>
            <w:r>
              <w:rPr>
                <w:rFonts w:hint="default" w:ascii="Times New Roman" w:hAnsi="Times New Roman" w:cs="Times New Roman" w:eastAsiaTheme="minorEastAsia"/>
                <w:sz w:val="28"/>
                <w:szCs w:val="28"/>
                <w:highlight w:val="none"/>
                <w:u w:val="single"/>
                <w:lang w:eastAsia="zh-CN"/>
              </w:rPr>
              <w:t>202</w:t>
            </w:r>
            <w:r>
              <w:rPr>
                <w:rFonts w:hint="eastAsia" w:cs="Times New Roman" w:eastAsiaTheme="minorEastAsia"/>
                <w:sz w:val="28"/>
                <w:szCs w:val="28"/>
                <w:highlight w:val="none"/>
                <w:u w:val="single"/>
                <w:lang w:val="en-US" w:eastAsia="zh-CN"/>
              </w:rPr>
              <w:t>6</w:t>
            </w:r>
            <w:r>
              <w:rPr>
                <w:rFonts w:hint="default" w:ascii="Times New Roman" w:hAnsi="Times New Roman" w:cs="Times New Roman" w:eastAsiaTheme="minorEastAsia"/>
                <w:sz w:val="28"/>
                <w:szCs w:val="28"/>
                <w:highlight w:val="none"/>
                <w:u w:val="single"/>
                <w:lang w:eastAsia="zh-CN"/>
              </w:rPr>
              <w:t>年</w:t>
            </w:r>
            <w:r>
              <w:rPr>
                <w:rFonts w:hint="eastAsia" w:cs="Times New Roman" w:eastAsiaTheme="minorEastAsia"/>
                <w:sz w:val="28"/>
                <w:szCs w:val="28"/>
                <w:highlight w:val="none"/>
                <w:u w:val="single"/>
                <w:lang w:val="en-US" w:eastAsia="zh-CN"/>
              </w:rPr>
              <w:t>05</w:t>
            </w:r>
            <w:r>
              <w:rPr>
                <w:rFonts w:hint="default" w:ascii="Times New Roman" w:hAnsi="Times New Roman" w:cs="Times New Roman" w:eastAsiaTheme="minorEastAsia"/>
                <w:sz w:val="28"/>
                <w:szCs w:val="28"/>
                <w:highlight w:val="none"/>
                <w:u w:val="single"/>
                <w:lang w:eastAsia="zh-CN"/>
              </w:rPr>
              <w:t>月</w:t>
            </w:r>
            <w:r>
              <w:rPr>
                <w:rFonts w:hint="eastAsia" w:cs="Times New Roman" w:eastAsiaTheme="minorEastAsia"/>
                <w:sz w:val="28"/>
                <w:szCs w:val="28"/>
                <w:highlight w:val="none"/>
                <w:u w:val="single"/>
                <w:lang w:val="en-US" w:eastAsia="zh-CN"/>
              </w:rPr>
              <w:t>11</w:t>
            </w:r>
            <w:r>
              <w:rPr>
                <w:rFonts w:hint="default" w:ascii="Times New Roman" w:hAnsi="Times New Roman" w:cs="Times New Roman" w:eastAsiaTheme="minorEastAsia"/>
                <w:sz w:val="28"/>
                <w:szCs w:val="28"/>
                <w:highlight w:val="none"/>
                <w:u w:val="single"/>
                <w:lang w:eastAsia="zh-CN"/>
              </w:rPr>
              <w:t>日1</w:t>
            </w:r>
            <w:r>
              <w:rPr>
                <w:rFonts w:hint="eastAsia" w:cs="Times New Roman" w:eastAsiaTheme="minorEastAsia"/>
                <w:sz w:val="28"/>
                <w:szCs w:val="28"/>
                <w:highlight w:val="none"/>
                <w:u w:val="single"/>
                <w:lang w:val="en-US" w:eastAsia="zh-CN"/>
              </w:rPr>
              <w:t>0</w:t>
            </w:r>
            <w:r>
              <w:rPr>
                <w:rFonts w:hint="default" w:ascii="Times New Roman" w:hAnsi="Times New Roman" w:cs="Times New Roman" w:eastAsiaTheme="minorEastAsia"/>
                <w:sz w:val="28"/>
                <w:szCs w:val="28"/>
                <w:highlight w:val="none"/>
                <w:u w:val="single"/>
                <w:lang w:eastAsia="zh-CN"/>
              </w:rPr>
              <w:t>时</w:t>
            </w:r>
            <w:r>
              <w:rPr>
                <w:rFonts w:hint="eastAsia" w:cs="Times New Roman" w:eastAsiaTheme="minorEastAsia"/>
                <w:sz w:val="28"/>
                <w:szCs w:val="28"/>
                <w:highlight w:val="none"/>
                <w:u w:val="single"/>
                <w:lang w:val="en-US" w:eastAsia="zh-CN"/>
              </w:rPr>
              <w:t>3</w:t>
            </w:r>
            <w:r>
              <w:rPr>
                <w:rFonts w:hint="default" w:ascii="Times New Roman" w:hAnsi="Times New Roman" w:cs="Times New Roman" w:eastAsiaTheme="minorEastAsia"/>
                <w:sz w:val="28"/>
                <w:szCs w:val="28"/>
                <w:highlight w:val="none"/>
                <w:u w:val="single"/>
                <w:lang w:eastAsia="zh-CN"/>
              </w:rPr>
              <w:t>0分前（北京时间）</w:t>
            </w:r>
          </w:p>
          <w:p w14:paraId="57EA63C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以U盘邮寄或电子邮件方式提供给代理机构（具体联系人：</w:t>
            </w:r>
            <w:r>
              <w:rPr>
                <w:rFonts w:hint="eastAsia" w:ascii="Times New Roman" w:hAnsi="Times New Roman" w:cs="Times New Roman" w:eastAsiaTheme="minorEastAsia"/>
                <w:sz w:val="28"/>
                <w:szCs w:val="28"/>
                <w:highlight w:val="none"/>
                <w:lang w:val="en-US" w:eastAsia="zh-CN"/>
              </w:rPr>
              <w:t>刘琼</w:t>
            </w:r>
            <w:r>
              <w:rPr>
                <w:rFonts w:hint="eastAsia" w:ascii="Times New Roman" w:hAnsi="Times New Roman" w:cs="Times New Roman" w:eastAsiaTheme="minorEastAsia"/>
                <w:sz w:val="28"/>
                <w:szCs w:val="28"/>
                <w:highlight w:val="none"/>
                <w:lang w:eastAsia="zh-CN"/>
              </w:rPr>
              <w:t>，邮箱号：</w:t>
            </w:r>
            <w:r>
              <w:rPr>
                <w:rFonts w:hint="eastAsia" w:ascii="Times New Roman" w:hAnsi="Times New Roman" w:cs="Times New Roman" w:eastAsiaTheme="minorEastAsia"/>
                <w:sz w:val="28"/>
                <w:szCs w:val="28"/>
                <w:highlight w:val="none"/>
                <w:lang w:val="en-US" w:eastAsia="zh-CN"/>
              </w:rPr>
              <w:t>1270049997</w:t>
            </w:r>
            <w:r>
              <w:rPr>
                <w:rFonts w:hint="eastAsia" w:ascii="Times New Roman" w:hAnsi="Times New Roman" w:cs="Times New Roman" w:eastAsiaTheme="minorEastAsia"/>
                <w:sz w:val="28"/>
                <w:szCs w:val="28"/>
                <w:highlight w:val="none"/>
                <w:lang w:eastAsia="zh-CN"/>
              </w:rPr>
              <w:t>@qq.com</w:t>
            </w:r>
            <w:r>
              <w:rPr>
                <w:rFonts w:hint="default" w:ascii="Times New Roman" w:hAnsi="Times New Roman" w:cs="Times New Roman" w:eastAsiaTheme="minorEastAsia"/>
                <w:sz w:val="28"/>
                <w:szCs w:val="28"/>
                <w:highlight w:val="none"/>
                <w:lang w:eastAsia="zh-CN"/>
              </w:rPr>
              <w:t>）。</w:t>
            </w:r>
          </w:p>
          <w:p w14:paraId="16B9986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注：</w:t>
            </w:r>
          </w:p>
          <w:p w14:paraId="0CD0471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（1）与加密标书同时生成的备份标书，在出现异常情况进行异常处理时使用。比如当加密标书无法正常解密时，可以在开启标书信息前，通过异常处理上传备份标书。</w:t>
            </w:r>
          </w:p>
          <w:p w14:paraId="1CF7095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（2）平台会校验标书一致性及标书身份识别，切勿手动修改标书。</w:t>
            </w:r>
          </w:p>
          <w:p w14:paraId="1F36803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（3）供应商生成的后缀格式为.bfbs的备份标书是无法查看的，主要是为了在开标解密时异常处理使用。</w:t>
            </w:r>
          </w:p>
          <w:p w14:paraId="4BBBD9F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（4）凡因个人原因无法正常解密投标文件（且没提供备份文件至采购代理机构），致使供应商无法参与评标，供应商自行承担后果。</w:t>
            </w:r>
          </w:p>
          <w:p w14:paraId="6392977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电报、电话、传真、电子邮件等形式的投标概不接受。</w:t>
            </w:r>
          </w:p>
          <w:p w14:paraId="2CA8709F">
            <w:pPr>
              <w:spacing w:beforeLines="0" w:afterLines="0" w:line="360" w:lineRule="auto"/>
              <w:rPr>
                <w:rFonts w:hint="default" w:ascii="Times New Roman" w:hAnsi="Times New Roman" w:cs="Times New Roman" w:eastAsiaTheme="minorEastAsia"/>
                <w:kern w:val="2"/>
                <w:sz w:val="28"/>
                <w:szCs w:val="28"/>
                <w:highlight w:val="none"/>
                <w:lang w:val="en-US" w:eastAsia="zh-CN" w:bidi="ar-SA"/>
              </w:rPr>
            </w:pPr>
            <w:r>
              <w:rPr>
                <w:rFonts w:hint="default" w:ascii="Times New Roman" w:hAnsi="Times New Roman" w:cs="Times New Roman" w:eastAsiaTheme="minorEastAsia"/>
                <w:sz w:val="28"/>
                <w:szCs w:val="28"/>
                <w:highlight w:val="none"/>
                <w:lang w:eastAsia="zh-CN"/>
              </w:rPr>
              <w:t>4、开标结束后五天内将纸制文件按要求，一式2份，邮寄至：</w:t>
            </w:r>
            <w:r>
              <w:rPr>
                <w:rFonts w:hint="eastAsia" w:ascii="Times New Roman" w:hAnsi="Times New Roman" w:cs="Times New Roman" w:eastAsiaTheme="minorEastAsia"/>
                <w:sz w:val="28"/>
                <w:szCs w:val="28"/>
                <w:highlight w:val="none"/>
                <w:lang w:eastAsia="zh-CN"/>
              </w:rPr>
              <w:t>巴州聚诚项目管理有限责任公司</w:t>
            </w:r>
            <w:r>
              <w:rPr>
                <w:rFonts w:hint="default" w:ascii="Times New Roman" w:hAnsi="Times New Roman" w:cs="Times New Roman" w:eastAsiaTheme="minorEastAsia"/>
                <w:sz w:val="28"/>
                <w:szCs w:val="28"/>
                <w:highlight w:val="none"/>
                <w:lang w:eastAsia="zh-CN"/>
              </w:rPr>
              <w:t>。</w:t>
            </w:r>
          </w:p>
        </w:tc>
      </w:tr>
      <w:tr w14:paraId="53678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7B06F629">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20</w:t>
            </w:r>
          </w:p>
        </w:tc>
        <w:tc>
          <w:tcPr>
            <w:tcW w:w="1626" w:type="dxa"/>
            <w:shd w:val="clear" w:color="auto" w:fill="auto"/>
            <w:vAlign w:val="center"/>
          </w:tcPr>
          <w:p w14:paraId="2D616C2E">
            <w:pPr>
              <w:spacing w:beforeLines="0" w:afterLines="0" w:line="360" w:lineRule="auto"/>
              <w:jc w:val="center"/>
              <w:rPr>
                <w:rFonts w:hint="default" w:ascii="Times New Roman" w:hAnsi="Times New Roman" w:cs="Times New Roman" w:eastAsiaTheme="minorEastAsia"/>
                <w:kern w:val="2"/>
                <w:sz w:val="28"/>
                <w:szCs w:val="28"/>
                <w:highlight w:val="none"/>
                <w:lang w:val="en-US" w:eastAsia="zh-CN" w:bidi="ar-SA"/>
              </w:rPr>
            </w:pPr>
            <w:r>
              <w:rPr>
                <w:rFonts w:hint="default" w:ascii="Times New Roman" w:hAnsi="Times New Roman" w:cs="Times New Roman" w:eastAsiaTheme="minorEastAsia"/>
                <w:sz w:val="28"/>
                <w:szCs w:val="28"/>
                <w:highlight w:val="none"/>
                <w:lang w:eastAsia="zh-CN"/>
              </w:rPr>
              <w:t>是否适用本国产品标准</w:t>
            </w:r>
          </w:p>
        </w:tc>
        <w:tc>
          <w:tcPr>
            <w:tcW w:w="6766" w:type="dxa"/>
            <w:shd w:val="clear" w:color="auto" w:fill="auto"/>
            <w:vAlign w:val="center"/>
          </w:tcPr>
          <w:p w14:paraId="0730F89C">
            <w:pPr>
              <w:spacing w:beforeLines="0" w:afterLines="0" w:line="360" w:lineRule="auto"/>
              <w:jc w:val="both"/>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55996C45">
            <w:pPr>
              <w:spacing w:beforeLines="0" w:afterLines="0" w:line="360" w:lineRule="auto"/>
              <w:jc w:val="center"/>
              <w:rPr>
                <w:rFonts w:hint="default" w:ascii="Times New Roman" w:hAnsi="Times New Roman" w:cs="Times New Roman" w:eastAsiaTheme="minorEastAsia"/>
                <w:kern w:val="2"/>
                <w:sz w:val="28"/>
                <w:szCs w:val="28"/>
                <w:highlight w:val="none"/>
                <w:lang w:val="en-US" w:eastAsia="zh-CN" w:bidi="ar-SA"/>
              </w:rPr>
            </w:pPr>
            <w:r>
              <w:rPr>
                <w:rFonts w:hint="eastAsia" w:ascii="Times New Roman" w:hAnsi="Times New Roman" w:cs="Times New Roman" w:eastAsiaTheme="minorEastAsia"/>
                <w:sz w:val="28"/>
                <w:szCs w:val="28"/>
                <w:highlight w:val="none"/>
                <w:lang w:val="en-US" w:eastAsia="zh-CN"/>
              </w:rPr>
              <w:t>价格评审优惠对本国产品的报价给予20%的价格扣除</w:t>
            </w:r>
            <w:r>
              <w:rPr>
                <w:rFonts w:hint="eastAsia" w:cs="Times New Roman" w:eastAsiaTheme="minorEastAsia"/>
                <w:sz w:val="28"/>
                <w:szCs w:val="28"/>
                <w:highlight w:val="none"/>
                <w:lang w:val="en-US" w:eastAsia="zh-CN"/>
              </w:rPr>
              <w:t>。</w:t>
            </w:r>
          </w:p>
        </w:tc>
      </w:tr>
      <w:tr w14:paraId="39E5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0EDAA467">
            <w:pPr>
              <w:spacing w:beforeLines="0" w:afterLines="0" w:line="360" w:lineRule="auto"/>
              <w:jc w:val="center"/>
              <w:rPr>
                <w:rFonts w:hint="eastAsia"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备注</w:t>
            </w:r>
          </w:p>
        </w:tc>
        <w:tc>
          <w:tcPr>
            <w:tcW w:w="8392" w:type="dxa"/>
            <w:gridSpan w:val="2"/>
            <w:vAlign w:val="center"/>
          </w:tcPr>
          <w:p w14:paraId="7FDF809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14:paraId="5F260184">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2、招标文件中采购清单、技术需求等如有偏差，如有疑义请澄清中及时提出；否则视为充分理解招标文件各项要求。</w:t>
            </w:r>
          </w:p>
          <w:p w14:paraId="6CE8140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06D2A9D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4、投标文件中有弄虚作假的内容，其投标文件作废。</w:t>
            </w:r>
          </w:p>
          <w:p w14:paraId="7993CEA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5、招标文件中如有内容冲突的地方，以投标</w:t>
            </w:r>
            <w:r>
              <w:rPr>
                <w:rFonts w:hint="eastAsia" w:cs="Times New Roman" w:eastAsiaTheme="minorEastAsia"/>
                <w:sz w:val="28"/>
                <w:szCs w:val="28"/>
                <w:highlight w:val="none"/>
                <w:lang w:val="en-US" w:eastAsia="zh-CN"/>
              </w:rPr>
              <w:t>人</w:t>
            </w:r>
            <w:r>
              <w:rPr>
                <w:rFonts w:hint="default" w:ascii="Times New Roman" w:hAnsi="Times New Roman" w:cs="Times New Roman" w:eastAsiaTheme="minorEastAsia"/>
                <w:sz w:val="28"/>
                <w:szCs w:val="28"/>
                <w:highlight w:val="none"/>
                <w:lang w:eastAsia="zh-CN"/>
              </w:rPr>
              <w:t>须知要求为准。</w:t>
            </w:r>
          </w:p>
        </w:tc>
      </w:tr>
    </w:tbl>
    <w:p w14:paraId="3A84FE4F">
      <w:p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br w:type="page"/>
      </w:r>
    </w:p>
    <w:p w14:paraId="1DBAFDDE">
      <w:pPr>
        <w:pStyle w:val="22"/>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二、</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lang w:eastAsia="zh-CN"/>
        </w:rPr>
        <w:t>须知</w:t>
      </w:r>
    </w:p>
    <w:p w14:paraId="7ED91947">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（一）</w:t>
      </w:r>
      <w:r>
        <w:rPr>
          <w:rFonts w:hint="default" w:ascii="Times New Roman" w:hAnsi="Times New Roman" w:cs="Times New Roman" w:eastAsiaTheme="minorEastAsia"/>
          <w:b/>
          <w:bCs/>
          <w:sz w:val="28"/>
          <w:szCs w:val="28"/>
          <w:highlight w:val="none"/>
        </w:rPr>
        <w:t>总则</w:t>
      </w:r>
    </w:p>
    <w:p w14:paraId="1DA38DE5">
      <w:pPr>
        <w:spacing w:beforeLines="0" w:afterLines="0" w:line="360" w:lineRule="auto"/>
        <w:jc w:val="left"/>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1.采购人、采购代理机构</w:t>
      </w:r>
      <w:r>
        <w:rPr>
          <w:rFonts w:hint="default"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投标</w:t>
      </w:r>
      <w:r>
        <w:rPr>
          <w:rFonts w:hint="default" w:ascii="Times New Roman" w:hAnsi="Times New Roman" w:cs="Times New Roman" w:eastAsiaTheme="minorEastAsia"/>
          <w:b/>
          <w:bCs/>
          <w:sz w:val="28"/>
          <w:szCs w:val="28"/>
          <w:highlight w:val="none"/>
          <w:lang w:eastAsia="zh-CN"/>
        </w:rPr>
        <w:t>人、联合体</w:t>
      </w:r>
    </w:p>
    <w:p w14:paraId="1B309238">
      <w:pPr>
        <w:tabs>
          <w:tab w:val="left" w:pos="142"/>
        </w:tabs>
        <w:spacing w:beforeLines="0" w:afterLines="0" w:line="360" w:lineRule="auto"/>
        <w:ind w:left="0" w:hanging="826" w:hangingChars="295"/>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采购人是指依法进行政府采购的国家机关、事业单位、团体组织。</w:t>
      </w:r>
    </w:p>
    <w:p w14:paraId="0542FF3F">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采购代理机构是指集中采购机构或从事采购代理业务的社会中介机构。</w:t>
      </w:r>
    </w:p>
    <w:p w14:paraId="4B0AFA48">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人（也称“供应商”“投标供应商”“申请人”等）</w:t>
      </w:r>
      <w:r>
        <w:rPr>
          <w:rFonts w:hint="default" w:ascii="Times New Roman" w:hAnsi="Times New Roman" w:cs="Times New Roman" w:eastAsiaTheme="minorEastAsia"/>
          <w:sz w:val="28"/>
          <w:szCs w:val="28"/>
          <w:highlight w:val="none"/>
        </w:rPr>
        <w:t>是指</w:t>
      </w:r>
      <w:r>
        <w:rPr>
          <w:rFonts w:hint="default" w:ascii="Times New Roman" w:hAnsi="Times New Roman" w:cs="Times New Roman" w:eastAsiaTheme="minorEastAsia"/>
          <w:sz w:val="28"/>
          <w:szCs w:val="28"/>
          <w:highlight w:val="none"/>
          <w:lang w:eastAsia="zh-CN"/>
        </w:rPr>
        <w:t>向采购人提供货物、工程或者服务的</w:t>
      </w:r>
      <w:r>
        <w:rPr>
          <w:rFonts w:hint="default" w:ascii="Times New Roman" w:hAnsi="Times New Roman" w:cs="Times New Roman" w:eastAsiaTheme="minorEastAsia"/>
          <w:sz w:val="28"/>
          <w:szCs w:val="28"/>
          <w:highlight w:val="none"/>
        </w:rPr>
        <w:t>的法人、</w:t>
      </w:r>
      <w:r>
        <w:rPr>
          <w:rFonts w:hint="default" w:ascii="Times New Roman" w:hAnsi="Times New Roman" w:cs="Times New Roman" w:eastAsiaTheme="minorEastAsia"/>
          <w:sz w:val="28"/>
          <w:szCs w:val="28"/>
          <w:highlight w:val="none"/>
          <w:lang w:eastAsia="zh-CN"/>
        </w:rPr>
        <w:t>其他</w:t>
      </w:r>
      <w:r>
        <w:rPr>
          <w:rFonts w:hint="default" w:ascii="Times New Roman" w:hAnsi="Times New Roman" w:cs="Times New Roman" w:eastAsiaTheme="minorEastAsia"/>
          <w:sz w:val="28"/>
          <w:szCs w:val="28"/>
          <w:highlight w:val="none"/>
        </w:rPr>
        <w:t>组织或者自然人。</w:t>
      </w:r>
    </w:p>
    <w:p w14:paraId="4CE3C168">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 联合体是指两个以上的自然人、法人或者其他组织组成一个联合体，以一个供应商的身份共同参与政府采购。</w:t>
      </w:r>
    </w:p>
    <w:p w14:paraId="0A431EFE">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2.政府采购政策</w:t>
      </w:r>
      <w:r>
        <w:rPr>
          <w:rFonts w:hint="default" w:ascii="Times New Roman" w:hAnsi="Times New Roman" w:cs="Times New Roman" w:eastAsiaTheme="minorEastAsia"/>
          <w:b/>
          <w:bCs/>
          <w:i/>
          <w:iCs/>
          <w:sz w:val="28"/>
          <w:szCs w:val="28"/>
          <w:highlight w:val="none"/>
          <w:lang w:val="en-US" w:eastAsia="zh-CN"/>
        </w:rPr>
        <w:t>（包括但不限于下列具体政策要求）</w:t>
      </w:r>
    </w:p>
    <w:p w14:paraId="15424A2B">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2.1 采购本国货物、工程和服务</w:t>
      </w:r>
    </w:p>
    <w:p w14:paraId="419DE41F">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2.1.1 政府采购应当采购本国货物、工程和服务。但有《中华人民共和国政府采购法》第十条规定情形的除外。</w:t>
      </w:r>
    </w:p>
    <w:p w14:paraId="1EDED8A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14:paraId="1E0A5F3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14:paraId="000AFC7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2.1.4 采购人及其委托的采购代理机构在采购进口产品的采购文件中应当载明优先采购向我国企业转让技术、与我国企业签订消化吸收再创新方案的供应商的进口产品。</w:t>
      </w:r>
    </w:p>
    <w:p w14:paraId="27E815BF">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2.2 中小企业、监狱企业及残疾人福利性单位</w:t>
      </w:r>
    </w:p>
    <w:p w14:paraId="41E23FF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8A06F2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2.2.1.1 供应商提供的货物、工程或者服务符合下列情形的，享受中小企业扶持政策：</w:t>
      </w:r>
    </w:p>
    <w:p w14:paraId="0E5424A5">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（1）在货物采购项目中，货物由中小企业制造，即货物由中小企业生产且使用该中小企业商号或者注册商标；</w:t>
      </w:r>
    </w:p>
    <w:p w14:paraId="099C36BA">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（2）在工程采购项目中，工程由中小企业承建，即工程施工单位为中小企业；</w:t>
      </w:r>
    </w:p>
    <w:p w14:paraId="1CBEA1B5">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（3）在服务采购项目中，服务由中小企业承接，即提供服务的人员为中小企业依照《中华人民共和国劳动合同法》订立劳动合同的从业人员。</w:t>
      </w:r>
    </w:p>
    <w:p w14:paraId="63C3C3A5">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2.2.1.2 在货物采购项目中，供应商提供的货物既有中小企业制造货物，也有大型企业制造货物的，不享受中小企业扶持政策。</w:t>
      </w:r>
    </w:p>
    <w:p w14:paraId="03E0CD08">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2.2.1.3 以联合体形式参加政府采购活动，联合体各方均为中小企业的，联合体视同中小企业。其中，联合体各方均为小微企业的，联合体视同小微企业。</w:t>
      </w:r>
    </w:p>
    <w:p w14:paraId="7129C147">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highlight w:val="none"/>
          <w:lang w:val="en-US" w:eastAsia="zh-CN"/>
        </w:rPr>
        <w:t>〔2020〕46号</w:t>
      </w:r>
      <w:r>
        <w:rPr>
          <w:rFonts w:hint="default" w:ascii="Times New Roman" w:hAnsi="Times New Roman" w:cs="Times New Roman" w:eastAsiaTheme="minorEastAsia"/>
          <w:sz w:val="28"/>
          <w:szCs w:val="28"/>
          <w:highlight w:val="none"/>
          <w:lang w:val="en-US" w:eastAsia="zh-CN"/>
        </w:rPr>
        <w:t>）规定的《中小企业声明函》，否则不得享受相关中小企业扶持政策。任何单位和个人不得要求供应商提供《中小企业声明函》之外的中小企业身份证明文件。</w:t>
      </w:r>
    </w:p>
    <w:p w14:paraId="2A40708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551674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就业政府采购政策的通知》（财库</w:t>
      </w:r>
      <w:r>
        <w:rPr>
          <w:rFonts w:hint="default" w:ascii="Times New Roman" w:hAnsi="Times New Roman" w:eastAsia="仿宋_GB2312" w:cs="Times New Roman"/>
          <w:sz w:val="28"/>
          <w:szCs w:val="28"/>
          <w:highlight w:val="none"/>
          <w:lang w:val="en-US" w:eastAsia="zh-CN"/>
        </w:rPr>
        <w:t>〔2017〕141号</w:t>
      </w:r>
      <w:r>
        <w:rPr>
          <w:rFonts w:hint="default" w:ascii="Times New Roman" w:hAnsi="Times New Roman" w:cs="Times New Roman" w:eastAsiaTheme="minorEastAsia"/>
          <w:sz w:val="28"/>
          <w:szCs w:val="28"/>
          <w:highlight w:val="none"/>
          <w:lang w:val="en-US" w:eastAsia="zh-CN"/>
        </w:rPr>
        <w:t>）规定的《</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福利性单位声明函》，并对声明的真实性负责。任何单位或者个人在政府采购活动中均不得要求</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福利性单位提供其他证明声明函内容的材料。</w:t>
      </w:r>
    </w:p>
    <w:p w14:paraId="1B4C7AC4">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2.3 政府采购节能产品、环境标志产品</w:t>
      </w:r>
    </w:p>
    <w:p w14:paraId="75B53D2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14:paraId="1AFC217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0D63C86">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16C1FED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2.4 采购需求标准</w:t>
      </w:r>
    </w:p>
    <w:p w14:paraId="25E9894D">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2.4.1 </w:t>
      </w:r>
      <w:r>
        <w:rPr>
          <w:rFonts w:hint="default" w:ascii="Times New Roman" w:hAnsi="Times New Roman" w:cs="Times New Roman" w:eastAsiaTheme="minorEastAsia"/>
          <w:b w:val="0"/>
          <w:bCs w:val="0"/>
          <w:sz w:val="28"/>
          <w:szCs w:val="28"/>
          <w:highlight w:val="none"/>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14:paraId="0BA3C6E3">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highlight w:val="none"/>
          <w:lang w:val="en-US" w:eastAsia="zh-CN"/>
        </w:rPr>
        <w:t>》（财办库</w:t>
      </w:r>
      <w:r>
        <w:rPr>
          <w:rFonts w:hint="default" w:ascii="Times New Roman" w:hAnsi="Times New Roman" w:eastAsia="仿宋_GB2312" w:cs="Times New Roman"/>
          <w:sz w:val="28"/>
          <w:szCs w:val="28"/>
          <w:highlight w:val="none"/>
          <w:lang w:val="en-US" w:eastAsia="zh-CN"/>
        </w:rPr>
        <w:t>〔2024〕113号</w:t>
      </w:r>
      <w:r>
        <w:rPr>
          <w:rFonts w:hint="default" w:ascii="Times New Roman" w:hAnsi="Times New Roman" w:cs="Times New Roman" w:eastAsiaTheme="minorEastAsia"/>
          <w:sz w:val="28"/>
          <w:szCs w:val="28"/>
          <w:highlight w:val="none"/>
          <w:lang w:val="en-US" w:eastAsia="zh-CN"/>
        </w:rPr>
        <w:t>）。</w:t>
      </w:r>
    </w:p>
    <w:p w14:paraId="2CB9EED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highlight w:val="none"/>
          <w:lang w:val="en-US" w:eastAsia="zh-CN"/>
        </w:rPr>
        <w:t>〔2023〕7号</w:t>
      </w:r>
      <w:r>
        <w:rPr>
          <w:rFonts w:hint="default" w:ascii="Times New Roman" w:hAnsi="Times New Roman" w:cs="Times New Roman" w:eastAsiaTheme="minorEastAsia"/>
          <w:sz w:val="28"/>
          <w:szCs w:val="28"/>
          <w:highlight w:val="none"/>
          <w:lang w:val="en-US" w:eastAsia="zh-CN"/>
        </w:rPr>
        <w:t>）实施相关采购活动。</w:t>
      </w:r>
    </w:p>
    <w:p w14:paraId="2DA464C2">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2.4.4 本项目如涉及商品包装和快递包装采购的，可参考《商品包装政府采购需求标准（试行）》和《快递包装政府采购需求标准（试行）》（财办库</w:t>
      </w:r>
      <w:r>
        <w:rPr>
          <w:rFonts w:hint="default" w:ascii="Times New Roman" w:hAnsi="Times New Roman" w:eastAsia="仿宋_GB2312" w:cs="Times New Roman"/>
          <w:sz w:val="28"/>
          <w:szCs w:val="28"/>
          <w:highlight w:val="none"/>
          <w:lang w:val="en-US" w:eastAsia="zh-CN"/>
        </w:rPr>
        <w:t>〔2020〕123号</w:t>
      </w:r>
      <w:r>
        <w:rPr>
          <w:rFonts w:hint="default" w:ascii="Times New Roman" w:hAnsi="Times New Roman" w:cs="Times New Roman" w:eastAsiaTheme="minorEastAsia"/>
          <w:sz w:val="28"/>
          <w:szCs w:val="28"/>
          <w:highlight w:val="none"/>
          <w:lang w:val="en-US" w:eastAsia="zh-CN"/>
        </w:rPr>
        <w:t>），积极推广应用。</w:t>
      </w:r>
    </w:p>
    <w:p w14:paraId="7D16C455">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highlight w:val="none"/>
          <w:lang w:val="en-US" w:eastAsia="zh-CN"/>
        </w:rPr>
        <w:t>〔2024〕275号</w:t>
      </w:r>
      <w:r>
        <w:rPr>
          <w:rFonts w:hint="default" w:ascii="Times New Roman" w:hAnsi="Times New Roman" w:cs="Times New Roman" w:eastAsiaTheme="minorEastAsia"/>
          <w:sz w:val="28"/>
          <w:szCs w:val="28"/>
          <w:highlight w:val="none"/>
          <w:lang w:val="en-US" w:eastAsia="zh-CN"/>
        </w:rPr>
        <w:t>）。</w:t>
      </w:r>
    </w:p>
    <w:p w14:paraId="2A6EFF86">
      <w:pPr>
        <w:spacing w:beforeLines="0" w:afterLines="0" w:line="360" w:lineRule="auto"/>
        <w:ind w:firstLine="0"/>
        <w:rPr>
          <w:rFonts w:hint="default" w:eastAsiaTheme="minorEastAsia"/>
          <w:sz w:val="28"/>
          <w:szCs w:val="28"/>
          <w:highlight w:val="none"/>
          <w:lang w:val="en-US" w:eastAsia="zh-CN"/>
        </w:rPr>
      </w:pPr>
      <w:r>
        <w:rPr>
          <w:rFonts w:hint="default" w:eastAsiaTheme="minorEastAsia"/>
          <w:sz w:val="28"/>
          <w:szCs w:val="28"/>
          <w:highlight w:val="none"/>
          <w:lang w:val="en-US" w:eastAsia="zh-CN"/>
        </w:rPr>
        <w:t xml:space="preserve">    2.4.</w:t>
      </w:r>
      <w:r>
        <w:rPr>
          <w:rFonts w:hint="default" w:ascii="Times New Roman" w:hAnsi="Times New Roman" w:cs="Times New Roman" w:eastAsiaTheme="minorEastAsia"/>
          <w:sz w:val="28"/>
          <w:szCs w:val="28"/>
          <w:highlight w:val="none"/>
          <w:lang w:val="en-US" w:eastAsia="zh-CN"/>
        </w:rPr>
        <w:t>6</w:t>
      </w:r>
      <w:r>
        <w:rPr>
          <w:rFonts w:hint="default" w:eastAsiaTheme="minorEastAsia"/>
          <w:sz w:val="28"/>
          <w:szCs w:val="28"/>
          <w:highlight w:val="none"/>
          <w:lang w:val="en-US" w:eastAsia="zh-CN"/>
        </w:rPr>
        <w:t xml:space="preserve"> 本项目涉及的采购标的，如有应当或者可参考的政府采购需求标准，应按照相关政策要求执行。</w:t>
      </w:r>
    </w:p>
    <w:p w14:paraId="17F943C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3.投标费用</w:t>
      </w:r>
    </w:p>
    <w:p w14:paraId="128BF37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无论</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结果如何，</w:t>
      </w:r>
      <w:r>
        <w:rPr>
          <w:rFonts w:hint="default" w:ascii="Times New Roman" w:hAnsi="Times New Roman" w:cs="Times New Roman" w:eastAsiaTheme="minorEastAsia"/>
          <w:sz w:val="28"/>
          <w:szCs w:val="28"/>
          <w:highlight w:val="none"/>
          <w:lang w:val="en-US" w:eastAsia="zh-CN"/>
        </w:rPr>
        <w:t>投标人应自行承担其所有与准备和参加投标有关的费用</w:t>
      </w:r>
      <w:r>
        <w:rPr>
          <w:rFonts w:hint="default" w:ascii="Times New Roman" w:hAnsi="Times New Roman" w:cs="Times New Roman" w:eastAsiaTheme="minorEastAsia"/>
          <w:sz w:val="28"/>
          <w:szCs w:val="28"/>
          <w:highlight w:val="none"/>
        </w:rPr>
        <w:t>。</w:t>
      </w:r>
    </w:p>
    <w:p w14:paraId="1BD8ECFB">
      <w:pPr>
        <w:spacing w:beforeLines="0" w:afterLines="0" w:line="360" w:lineRule="auto"/>
        <w:jc w:val="center"/>
        <w:rPr>
          <w:rFonts w:hint="default" w:ascii="Times New Roman" w:hAnsi="Times New Roman" w:cs="Times New Roman" w:eastAsiaTheme="minorEastAsia"/>
          <w:sz w:val="28"/>
          <w:szCs w:val="28"/>
          <w:highlight w:val="none"/>
        </w:rPr>
      </w:pPr>
    </w:p>
    <w:p w14:paraId="10ABD88B">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（二）招标文件</w:t>
      </w:r>
    </w:p>
    <w:p w14:paraId="790798CE">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4.招标文件构成</w:t>
      </w:r>
    </w:p>
    <w:p w14:paraId="770B159B">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4.1 招标文件包括以下部分：</w:t>
      </w:r>
    </w:p>
    <w:p w14:paraId="6F3B0567">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第一章 投标邀请</w:t>
      </w:r>
    </w:p>
    <w:p w14:paraId="27C077AA">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第二章 </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rPr>
        <w:t>须知</w:t>
      </w:r>
    </w:p>
    <w:p w14:paraId="5F15C27A">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三</w:t>
      </w:r>
      <w:r>
        <w:rPr>
          <w:rFonts w:hint="default" w:ascii="Times New Roman" w:hAnsi="Times New Roman" w:cs="Times New Roman" w:eastAsiaTheme="minorEastAsia"/>
          <w:sz w:val="28"/>
          <w:szCs w:val="28"/>
          <w:highlight w:val="none"/>
        </w:rPr>
        <w:t>章 采购需求</w:t>
      </w:r>
    </w:p>
    <w:p w14:paraId="16C14589">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 资格审查</w:t>
      </w:r>
    </w:p>
    <w:p w14:paraId="039E6A1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rPr>
        <w:t>章 评标</w:t>
      </w:r>
      <w:r>
        <w:rPr>
          <w:rFonts w:hint="default" w:ascii="Times New Roman" w:hAnsi="Times New Roman" w:cs="Times New Roman" w:eastAsiaTheme="minorEastAsia"/>
          <w:sz w:val="28"/>
          <w:szCs w:val="28"/>
          <w:highlight w:val="none"/>
          <w:lang w:eastAsia="zh-CN"/>
        </w:rPr>
        <w:t>程序</w:t>
      </w:r>
    </w:p>
    <w:p w14:paraId="7DBF9E5F">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六</w:t>
      </w:r>
      <w:r>
        <w:rPr>
          <w:rFonts w:hint="default" w:ascii="Times New Roman" w:hAnsi="Times New Roman" w:cs="Times New Roman" w:eastAsiaTheme="minorEastAsia"/>
          <w:sz w:val="28"/>
          <w:szCs w:val="28"/>
          <w:highlight w:val="none"/>
        </w:rPr>
        <w:t xml:space="preserve">章 </w:t>
      </w:r>
      <w:r>
        <w:rPr>
          <w:rFonts w:hint="default" w:ascii="Times New Roman" w:hAnsi="Times New Roman" w:cs="Times New Roman" w:eastAsiaTheme="minorEastAsia"/>
          <w:sz w:val="28"/>
          <w:szCs w:val="28"/>
          <w:highlight w:val="none"/>
          <w:lang w:eastAsia="zh-CN"/>
        </w:rPr>
        <w:t>拟签订的合同文本</w:t>
      </w:r>
    </w:p>
    <w:p w14:paraId="3151A5FD">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rPr>
        <w:t>章 投标文件格式</w:t>
      </w:r>
    </w:p>
    <w:p w14:paraId="0DDBF3B1">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4.2 投标人应认真阅读招标文件的全部内容</w:t>
      </w:r>
      <w:r>
        <w:rPr>
          <w:rFonts w:hint="default" w:cs="Times New Roman" w:eastAsiaTheme="minorEastAsia"/>
          <w:sz w:val="28"/>
          <w:szCs w:val="28"/>
          <w:highlight w:val="none"/>
          <w:lang w:val="en-US" w:eastAsia="zh-CN"/>
        </w:rPr>
        <w:t>，并</w:t>
      </w:r>
      <w:r>
        <w:rPr>
          <w:rFonts w:hint="default" w:ascii="Times New Roman" w:hAnsi="Times New Roman" w:cs="Times New Roman" w:eastAsiaTheme="minorEastAsia"/>
          <w:sz w:val="28"/>
          <w:szCs w:val="28"/>
          <w:highlight w:val="none"/>
          <w:lang w:val="en-US" w:eastAsia="zh-CN"/>
        </w:rPr>
        <w:t>按照招标文件要求提交投标文件并保证所提供的全体资料的合法性和真实性</w:t>
      </w:r>
      <w:r>
        <w:rPr>
          <w:rFonts w:hint="default" w:cs="Times New Roman" w:eastAsiaTheme="minorEastAsia"/>
          <w:sz w:val="28"/>
          <w:szCs w:val="28"/>
          <w:highlight w:val="none"/>
          <w:lang w:val="en-US" w:eastAsia="zh-CN"/>
        </w:rPr>
        <w:t>。投标人应</w:t>
      </w:r>
      <w:r>
        <w:rPr>
          <w:rFonts w:hint="default" w:ascii="Times New Roman" w:hAnsi="Times New Roman" w:cs="Times New Roman" w:eastAsiaTheme="minorEastAsia"/>
          <w:sz w:val="28"/>
          <w:szCs w:val="28"/>
          <w:highlight w:val="none"/>
          <w:lang w:val="en-US" w:eastAsia="zh-CN"/>
        </w:rPr>
        <w:t>对招标文件做出实质性响应，否则</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27A916B5">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14:paraId="71F57FA4">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4.4 招标文件应落实性别平等政策要求，不得设置任何形式的性别歧视。</w:t>
      </w:r>
    </w:p>
    <w:p w14:paraId="49EDBB7A">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5.招标文件的澄清与修改</w:t>
      </w:r>
    </w:p>
    <w:p w14:paraId="468FBFAE">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w:t>
      </w:r>
      <w:r>
        <w:rPr>
          <w:rFonts w:hint="default" w:ascii="Times New Roman" w:hAnsi="Times New Roman" w:cs="Times New Roman" w:eastAsiaTheme="minorEastAsia"/>
          <w:sz w:val="28"/>
          <w:szCs w:val="28"/>
          <w:highlight w:val="none"/>
          <w:lang w:eastAsia="zh-CN"/>
        </w:rPr>
        <w:t>及其委托的</w:t>
      </w:r>
      <w:r>
        <w:rPr>
          <w:rFonts w:hint="default" w:ascii="Times New Roman" w:hAnsi="Times New Roman" w:cs="Times New Roman" w:eastAsiaTheme="minorEastAsia"/>
          <w:sz w:val="28"/>
          <w:szCs w:val="28"/>
          <w:highlight w:val="none"/>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及时关注本项目原公告发布媒体上发布的澄清公告或修改内容。</w:t>
      </w:r>
    </w:p>
    <w:p w14:paraId="4603EEEF">
      <w:pPr>
        <w:spacing w:beforeLines="0" w:afterLines="0" w:line="360" w:lineRule="auto"/>
        <w:ind w:left="0" w:firstLine="0" w:firstLineChars="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5.2</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招标文件中有不一致的，有澄清的部分以最终的澄清更正内容为准；未澄清的，以</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为准；</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不涉及的内容，以编排在后的最后描述为准。</w:t>
      </w:r>
    </w:p>
    <w:p w14:paraId="222F0F77">
      <w:pPr>
        <w:pStyle w:val="22"/>
        <w:spacing w:beforeLines="0" w:after="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5.3</w:t>
      </w:r>
      <w:r>
        <w:rPr>
          <w:rFonts w:hint="default" w:ascii="Times New Roman" w:hAnsi="Times New Roman" w:cs="Times New Roman" w:eastAsiaTheme="minorEastAsia"/>
          <w:sz w:val="28"/>
          <w:szCs w:val="28"/>
          <w:highlight w:val="none"/>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14:paraId="570354D3">
      <w:pPr>
        <w:spacing w:beforeLines="0" w:afterLines="0" w:line="360" w:lineRule="auto"/>
        <w:rPr>
          <w:rFonts w:hint="default" w:ascii="Times New Roman" w:hAnsi="Times New Roman" w:cs="Times New Roman" w:eastAsiaTheme="minorEastAsia"/>
          <w:sz w:val="28"/>
          <w:szCs w:val="28"/>
          <w:highlight w:val="none"/>
        </w:rPr>
      </w:pPr>
    </w:p>
    <w:p w14:paraId="098DF14B">
      <w:pPr>
        <w:spacing w:beforeLines="0" w:afterLines="0" w:line="360" w:lineRule="auto"/>
        <w:rPr>
          <w:rFonts w:hint="default" w:ascii="Times New Roman" w:hAnsi="Times New Roman" w:cs="Times New Roman" w:eastAsiaTheme="minorEastAsia"/>
          <w:sz w:val="28"/>
          <w:szCs w:val="28"/>
          <w:highlight w:val="none"/>
        </w:rPr>
      </w:pPr>
    </w:p>
    <w:p w14:paraId="0735B9D5">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（三）投标文件的编制</w:t>
      </w:r>
    </w:p>
    <w:p w14:paraId="2558D5F1">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6</w:t>
      </w:r>
      <w:r>
        <w:rPr>
          <w:rFonts w:hint="default" w:ascii="Times New Roman" w:hAnsi="Times New Roman" w:cs="Times New Roman" w:eastAsiaTheme="minorEastAsia"/>
          <w:b/>
          <w:bCs/>
          <w:sz w:val="28"/>
          <w:szCs w:val="28"/>
          <w:highlight w:val="none"/>
        </w:rPr>
        <w:t>.投标范围及文字、计量单位要求</w:t>
      </w:r>
    </w:p>
    <w:p w14:paraId="479E5709">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应当</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highlight w:val="none"/>
        </w:rPr>
        <w:t>如仅响应部分内容，</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rPr>
        <w:t>。</w:t>
      </w:r>
    </w:p>
    <w:p w14:paraId="59340236">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无论招标文件中是否</w:t>
      </w:r>
      <w:r>
        <w:rPr>
          <w:rFonts w:hint="default" w:ascii="Times New Roman" w:hAnsi="Times New Roman" w:cs="Times New Roman" w:eastAsiaTheme="minorEastAsia"/>
          <w:b/>
          <w:bCs/>
          <w:sz w:val="28"/>
          <w:szCs w:val="28"/>
          <w:highlight w:val="none"/>
          <w:lang w:eastAsia="zh-CN"/>
        </w:rPr>
        <w:t>有明确</w:t>
      </w:r>
      <w:r>
        <w:rPr>
          <w:rFonts w:hint="default" w:ascii="Times New Roman" w:hAnsi="Times New Roman" w:cs="Times New Roman" w:eastAsiaTheme="minorEastAsia"/>
          <w:b/>
          <w:bCs/>
          <w:sz w:val="28"/>
          <w:szCs w:val="28"/>
          <w:highlight w:val="none"/>
        </w:rPr>
        <w:t>要求，投标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所投货物</w:t>
      </w:r>
      <w:r>
        <w:rPr>
          <w:rFonts w:hint="default" w:ascii="Times New Roman" w:hAnsi="Times New Roman" w:cs="Times New Roman" w:eastAsiaTheme="minorEastAsia"/>
          <w:b/>
          <w:bCs/>
          <w:sz w:val="28"/>
          <w:szCs w:val="28"/>
          <w:highlight w:val="none"/>
          <w:lang w:eastAsia="zh-CN"/>
        </w:rPr>
        <w:t>、提供的</w:t>
      </w:r>
      <w:r>
        <w:rPr>
          <w:rFonts w:hint="default" w:ascii="Times New Roman" w:hAnsi="Times New Roman" w:cs="Times New Roman" w:eastAsiaTheme="minorEastAsia"/>
          <w:b/>
          <w:bCs/>
          <w:sz w:val="28"/>
          <w:szCs w:val="28"/>
          <w:highlight w:val="none"/>
        </w:rPr>
        <w:t>服务</w:t>
      </w:r>
      <w:r>
        <w:rPr>
          <w:rFonts w:hint="default" w:ascii="Times New Roman" w:hAnsi="Times New Roman" w:cs="Times New Roman" w:eastAsiaTheme="minorEastAsia"/>
          <w:b/>
          <w:bCs/>
          <w:sz w:val="28"/>
          <w:szCs w:val="28"/>
          <w:highlight w:val="none"/>
          <w:lang w:eastAsia="zh-CN"/>
        </w:rPr>
        <w:t>或</w:t>
      </w:r>
      <w:r>
        <w:rPr>
          <w:rFonts w:hint="default" w:ascii="Times New Roman" w:hAnsi="Times New Roman" w:cs="Times New Roman" w:eastAsiaTheme="minorEastAsia"/>
          <w:b/>
          <w:bCs/>
          <w:sz w:val="28"/>
          <w:szCs w:val="28"/>
          <w:highlight w:val="none"/>
        </w:rPr>
        <w:t>工程均应符合国家强制性标准</w:t>
      </w:r>
      <w:r>
        <w:rPr>
          <w:rFonts w:hint="default" w:ascii="Times New Roman" w:hAnsi="Times New Roman" w:cs="Times New Roman" w:eastAsiaTheme="minorEastAsia"/>
          <w:b/>
          <w:bCs/>
          <w:sz w:val="28"/>
          <w:szCs w:val="28"/>
          <w:highlight w:val="none"/>
          <w:lang w:eastAsia="zh-CN"/>
        </w:rPr>
        <w:t>或规定</w:t>
      </w:r>
      <w:r>
        <w:rPr>
          <w:rFonts w:hint="default" w:ascii="Times New Roman" w:hAnsi="Times New Roman" w:cs="Times New Roman" w:eastAsiaTheme="minorEastAsia"/>
          <w:sz w:val="28"/>
          <w:szCs w:val="28"/>
          <w:highlight w:val="none"/>
        </w:rPr>
        <w:t>。</w:t>
      </w:r>
    </w:p>
    <w:p w14:paraId="5E9BFC39">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除专用术语外，</w:t>
      </w:r>
      <w:r>
        <w:rPr>
          <w:rFonts w:hint="default" w:ascii="Times New Roman" w:hAnsi="Times New Roman" w:cs="Times New Roman" w:eastAsiaTheme="minorEastAsia"/>
          <w:sz w:val="28"/>
          <w:szCs w:val="28"/>
          <w:highlight w:val="none"/>
        </w:rPr>
        <w:t>投标文件应使用</w:t>
      </w:r>
      <w:r>
        <w:rPr>
          <w:rFonts w:hint="default" w:ascii="Times New Roman" w:hAnsi="Times New Roman" w:cs="Times New Roman" w:eastAsiaTheme="minorEastAsia"/>
          <w:sz w:val="28"/>
          <w:szCs w:val="28"/>
          <w:highlight w:val="none"/>
          <w:lang w:eastAsia="zh-CN"/>
        </w:rPr>
        <w:t>中文</w:t>
      </w:r>
      <w:r>
        <w:rPr>
          <w:rFonts w:hint="default" w:ascii="Times New Roman" w:hAnsi="Times New Roman" w:cs="Times New Roman" w:eastAsiaTheme="minorEastAsia"/>
          <w:sz w:val="28"/>
          <w:szCs w:val="28"/>
          <w:highlight w:val="none"/>
        </w:rPr>
        <w:t>书写(</w:t>
      </w:r>
      <w:r>
        <w:rPr>
          <w:rFonts w:hint="default" w:ascii="Times New Roman" w:hAnsi="Times New Roman" w:cs="Times New Roman" w:eastAsiaTheme="minorEastAsia"/>
          <w:sz w:val="28"/>
          <w:szCs w:val="28"/>
          <w:highlight w:val="none"/>
          <w:lang w:eastAsia="zh-CN"/>
        </w:rPr>
        <w:t>必要时，</w:t>
      </w:r>
      <w:r>
        <w:rPr>
          <w:rFonts w:hint="default" w:ascii="Times New Roman" w:hAnsi="Times New Roman" w:cs="Times New Roman" w:eastAsiaTheme="minorEastAsia"/>
          <w:sz w:val="28"/>
          <w:szCs w:val="28"/>
          <w:highlight w:val="none"/>
        </w:rPr>
        <w:t>专有</w:t>
      </w:r>
      <w:r>
        <w:rPr>
          <w:rFonts w:hint="default" w:ascii="Times New Roman" w:hAnsi="Times New Roman" w:cs="Times New Roman" w:eastAsiaTheme="minorEastAsia"/>
          <w:sz w:val="28"/>
          <w:szCs w:val="28"/>
          <w:highlight w:val="none"/>
          <w:lang w:eastAsia="zh-CN"/>
        </w:rPr>
        <w:t>术语应附有</w:t>
      </w:r>
      <w:r>
        <w:rPr>
          <w:rFonts w:hint="default" w:ascii="Times New Roman" w:hAnsi="Times New Roman" w:cs="Times New Roman" w:eastAsiaTheme="minorEastAsia"/>
          <w:sz w:val="28"/>
          <w:szCs w:val="28"/>
          <w:highlight w:val="none"/>
        </w:rPr>
        <w:t>中文解释)，并采用通用的图形符号，不得出现与常规书写格式不符的内容。</w:t>
      </w:r>
    </w:p>
    <w:p w14:paraId="41FB76D9">
      <w:pPr>
        <w:tabs>
          <w:tab w:val="left" w:pos="0"/>
        </w:tabs>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.4</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除招标文件有特殊要求外，投标文件中所使用的计量单位，应采用中华人民共和国法定计量单位。</w:t>
      </w:r>
    </w:p>
    <w:p w14:paraId="11FF5549">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7</w:t>
      </w:r>
      <w:r>
        <w:rPr>
          <w:rFonts w:hint="default" w:ascii="Times New Roman" w:hAnsi="Times New Roman" w:cs="Times New Roman" w:eastAsiaTheme="minorEastAsia"/>
          <w:b/>
          <w:bCs/>
          <w:sz w:val="28"/>
          <w:szCs w:val="28"/>
          <w:highlight w:val="none"/>
        </w:rPr>
        <w:t>.投标文件</w:t>
      </w:r>
      <w:r>
        <w:rPr>
          <w:rFonts w:hint="default" w:ascii="Times New Roman" w:hAnsi="Times New Roman" w:cs="Times New Roman" w:eastAsiaTheme="minorEastAsia"/>
          <w:b/>
          <w:bCs/>
          <w:sz w:val="28"/>
          <w:szCs w:val="28"/>
          <w:highlight w:val="none"/>
          <w:lang w:eastAsia="zh-CN"/>
        </w:rPr>
        <w:t>构成</w:t>
      </w:r>
    </w:p>
    <w:p w14:paraId="7CBFB063">
      <w:pPr>
        <w:tabs>
          <w:tab w:val="left" w:pos="900"/>
          <w:tab w:val="left" w:pos="5580"/>
        </w:tabs>
        <w:spacing w:beforeLines="0" w:afterLines="0" w:line="360" w:lineRule="auto"/>
        <w:ind w:firstLine="56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7.1 </w:t>
      </w:r>
      <w:r>
        <w:rPr>
          <w:rFonts w:hint="default" w:ascii="Times New Roman" w:hAnsi="Times New Roman" w:cs="Times New Roman" w:eastAsiaTheme="minorEastAsia"/>
          <w:sz w:val="28"/>
          <w:szCs w:val="28"/>
          <w:highlight w:val="none"/>
          <w:lang w:eastAsia="zh-CN"/>
        </w:rPr>
        <w:t>投标文件的格式要求，详见第</w:t>
      </w:r>
      <w:r>
        <w:rPr>
          <w:rFonts w:hint="default"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lang w:eastAsia="zh-CN"/>
        </w:rPr>
        <w:t>章《投标文件格式》。</w:t>
      </w:r>
      <w:r>
        <w:rPr>
          <w:rFonts w:hint="default" w:ascii="Times New Roman" w:hAnsi="Times New Roman" w:cs="Times New Roman" w:eastAsiaTheme="minorEastAsia"/>
          <w:sz w:val="28"/>
          <w:szCs w:val="28"/>
          <w:highlight w:val="none"/>
          <w:lang w:eastAsia="zh-CN"/>
        </w:rPr>
        <w:br w:type="textWrapping"/>
      </w:r>
      <w:r>
        <w:rPr>
          <w:rFonts w:hint="default" w:ascii="Times New Roman" w:hAnsi="Times New Roman" w:cs="Times New Roman" w:eastAsiaTheme="minorEastAsia"/>
          <w:sz w:val="28"/>
          <w:szCs w:val="28"/>
          <w:highlight w:val="none"/>
          <w:lang w:val="en-US" w:eastAsia="zh-CN"/>
        </w:rPr>
        <w:t xml:space="preserve">    7.2 投标文件应由资格证明文件、商务技术文件等部分组成，投标人应对照招标文件要求提交涉及的相关材料及投标人认为应附的其他材料。</w:t>
      </w:r>
    </w:p>
    <w:p w14:paraId="79AAC16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8.</w:t>
      </w:r>
      <w:r>
        <w:rPr>
          <w:rFonts w:hint="default" w:ascii="Times New Roman" w:hAnsi="Times New Roman" w:cs="Times New Roman" w:eastAsiaTheme="minorEastAsia"/>
          <w:b/>
          <w:bCs/>
          <w:sz w:val="28"/>
          <w:szCs w:val="28"/>
          <w:highlight w:val="none"/>
        </w:rPr>
        <w:t>投标报价</w:t>
      </w:r>
    </w:p>
    <w:p w14:paraId="36E6792D">
      <w:pPr>
        <w:spacing w:beforeLines="0" w:afterLines="0" w:line="360" w:lineRule="auto"/>
        <w:ind w:left="0" w:hanging="1050" w:hangingChars="37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8.1 所有投标均以人民币报价。</w:t>
      </w:r>
    </w:p>
    <w:p w14:paraId="087ABA6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8.2 投标人的报价应包括为完成本项目所发生的一切费用和税费，采购人将不再支付报价以外的任何费用。</w:t>
      </w:r>
    </w:p>
    <w:p w14:paraId="769826AB">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8.3 </w:t>
      </w:r>
      <w:r>
        <w:rPr>
          <w:rFonts w:hint="default" w:ascii="Times New Roman" w:hAnsi="Times New Roman" w:cs="Times New Roman" w:eastAsiaTheme="minorEastAsia"/>
          <w:sz w:val="28"/>
          <w:szCs w:val="28"/>
          <w:highlight w:val="none"/>
          <w:lang w:eastAsia="zh-CN"/>
        </w:rPr>
        <w:t>采购人不得向供应商索要或者接受其给</w:t>
      </w:r>
      <w:r>
        <w:rPr>
          <w:rStyle w:val="26"/>
          <w:rFonts w:hint="default" w:ascii="Times New Roman" w:hAnsi="Times New Roman" w:cs="Times New Roman"/>
          <w:b w:val="0"/>
          <w:sz w:val="28"/>
          <w:szCs w:val="28"/>
          <w:highlight w:val="none"/>
          <w:lang w:eastAsia="zh-CN"/>
        </w:rPr>
        <w:t>予</w:t>
      </w:r>
      <w:r>
        <w:rPr>
          <w:rFonts w:hint="default" w:ascii="Times New Roman" w:hAnsi="Times New Roman" w:cs="Times New Roman" w:eastAsiaTheme="minorEastAsia"/>
          <w:sz w:val="28"/>
          <w:szCs w:val="28"/>
          <w:highlight w:val="none"/>
          <w:lang w:eastAsia="zh-CN"/>
        </w:rPr>
        <w:t>的赠品、回扣或者与采购无关的其他商品、服务。</w:t>
      </w:r>
    </w:p>
    <w:p w14:paraId="0673F63E">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rPr>
        <w:t>.投标保证金</w:t>
      </w:r>
    </w:p>
    <w:p w14:paraId="7B87AB57">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9.1 投标人应按《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须知前附表》中规定的金额及要求</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w:t>
      </w:r>
    </w:p>
    <w:p w14:paraId="6E844591">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9.2 </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04BFAA86">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9.3 投标保证金到账（保函提交）截止时间同投标截止时间。</w:t>
      </w:r>
    </w:p>
    <w:p w14:paraId="4905067A">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6AD61B28">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14:paraId="12341A06">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9.6 采购人或者采购代理机构逾期退还投标保证金的，除应当退还投标保证金本金外，还应当按中国人民银行同期贷款基准利率/市场报价利率LPR上浮20%后的利率支付超期资金占用费，但因投标人自身原因导致无法及时退还的除外。</w:t>
      </w:r>
    </w:p>
    <w:p w14:paraId="5B8DA1E6">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10.</w:t>
      </w:r>
      <w:r>
        <w:rPr>
          <w:rFonts w:hint="default" w:ascii="Times New Roman" w:hAnsi="Times New Roman" w:cs="Times New Roman" w:eastAsiaTheme="minorEastAsia"/>
          <w:b/>
          <w:bCs/>
          <w:sz w:val="28"/>
          <w:szCs w:val="28"/>
          <w:highlight w:val="none"/>
        </w:rPr>
        <w:t>投标有效期</w:t>
      </w:r>
    </w:p>
    <w:p w14:paraId="0990604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文件应在本招标文件《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须知前附表》中规定的投标有效期内保持有效，</w:t>
      </w:r>
      <w:r>
        <w:rPr>
          <w:rFonts w:hint="default" w:ascii="Times New Roman" w:hAnsi="Times New Roman" w:cs="Times New Roman" w:eastAsiaTheme="minorEastAsia"/>
          <w:sz w:val="28"/>
          <w:szCs w:val="28"/>
          <w:highlight w:val="none"/>
        </w:rPr>
        <w:t>投标有效期</w:t>
      </w:r>
      <w:r>
        <w:rPr>
          <w:rFonts w:hint="default" w:ascii="Times New Roman" w:hAnsi="Times New Roman" w:cs="Times New Roman" w:eastAsiaTheme="minorEastAsia"/>
          <w:sz w:val="28"/>
          <w:szCs w:val="28"/>
          <w:highlight w:val="none"/>
          <w:lang w:eastAsia="zh-CN"/>
        </w:rPr>
        <w:t>少于招标文件规定期限的</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6FDF439F">
      <w:pPr>
        <w:spacing w:beforeLines="0" w:afterLines="0" w:line="360" w:lineRule="auto"/>
        <w:rPr>
          <w:rFonts w:hint="default" w:ascii="Times New Roman" w:hAnsi="Times New Roman" w:cs="Times New Roman" w:eastAsiaTheme="minorEastAsia"/>
          <w:sz w:val="28"/>
          <w:szCs w:val="28"/>
          <w:highlight w:val="none"/>
        </w:rPr>
      </w:pPr>
    </w:p>
    <w:p w14:paraId="4FAED07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（四）投标文件的</w:t>
      </w:r>
      <w:r>
        <w:rPr>
          <w:rFonts w:hint="default" w:ascii="Times New Roman" w:hAnsi="Times New Roman" w:cs="Times New Roman" w:eastAsiaTheme="minorEastAsia"/>
          <w:b/>
          <w:bCs/>
          <w:sz w:val="28"/>
          <w:szCs w:val="28"/>
          <w:highlight w:val="none"/>
          <w:lang w:eastAsia="zh-CN"/>
        </w:rPr>
        <w:t>递交</w:t>
      </w:r>
    </w:p>
    <w:p w14:paraId="320F52E6">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1</w:t>
      </w:r>
      <w:r>
        <w:rPr>
          <w:rFonts w:hint="default" w:ascii="Times New Roman" w:hAnsi="Times New Roman" w:cs="Times New Roman" w:eastAsiaTheme="minorEastAsia"/>
          <w:b/>
          <w:bCs/>
          <w:sz w:val="28"/>
          <w:szCs w:val="28"/>
          <w:highlight w:val="none"/>
        </w:rPr>
        <w:t>.投标文件的密封和</w:t>
      </w:r>
      <w:r>
        <w:rPr>
          <w:rFonts w:hint="default" w:ascii="Times New Roman" w:hAnsi="Times New Roman" w:cs="Times New Roman" w:eastAsiaTheme="minorEastAsia"/>
          <w:b/>
          <w:bCs/>
          <w:sz w:val="28"/>
          <w:szCs w:val="28"/>
          <w:highlight w:val="none"/>
          <w:lang w:eastAsia="zh-CN"/>
        </w:rPr>
        <w:t>递交</w:t>
      </w:r>
    </w:p>
    <w:p w14:paraId="3F17EBC1">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highlight w:val="none"/>
        </w:rPr>
        <w:t>采购人和采购代理机构将拒绝接收在投标截止时间后</w:t>
      </w:r>
      <w:r>
        <w:rPr>
          <w:rFonts w:hint="default" w:ascii="Times New Roman" w:hAnsi="Times New Roman" w:cs="Times New Roman" w:eastAsiaTheme="minorEastAsia"/>
          <w:sz w:val="28"/>
          <w:szCs w:val="28"/>
          <w:highlight w:val="none"/>
          <w:lang w:eastAsia="zh-CN"/>
        </w:rPr>
        <w:t>递交的</w:t>
      </w:r>
      <w:r>
        <w:rPr>
          <w:rFonts w:hint="default" w:ascii="Times New Roman" w:hAnsi="Times New Roman" w:cs="Times New Roman" w:eastAsiaTheme="minorEastAsia"/>
          <w:sz w:val="28"/>
          <w:szCs w:val="28"/>
          <w:highlight w:val="none"/>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highlight w:val="none"/>
          <w:lang w:eastAsia="zh-CN"/>
        </w:rPr>
        <w:t>。</w:t>
      </w:r>
    </w:p>
    <w:p w14:paraId="75D8F10A">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11.2 投标人在投标截止时间前，可以对所递交的投标文件进行补充、修改或者撤回。补充、修改的内容作为投标文件的组成部分。</w:t>
      </w:r>
    </w:p>
    <w:p w14:paraId="05F9940B">
      <w:pPr>
        <w:spacing w:beforeLines="0" w:afterLines="0" w:line="360" w:lineRule="auto"/>
        <w:ind w:left="0" w:hanging="1050" w:hangingChars="37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11.3 任何单位和个人不得在开标前开启投标文件。</w:t>
      </w:r>
    </w:p>
    <w:p w14:paraId="17BECD4C">
      <w:pPr>
        <w:spacing w:beforeLines="0" w:afterLines="0" w:line="360" w:lineRule="auto"/>
        <w:ind w:left="0" w:hanging="1050" w:hangingChars="375"/>
        <w:rPr>
          <w:rFonts w:hint="default" w:ascii="Times New Roman" w:hAnsi="Times New Roman" w:cs="Times New Roman" w:eastAsiaTheme="minorEastAsia"/>
          <w:sz w:val="28"/>
          <w:szCs w:val="28"/>
          <w:highlight w:val="none"/>
        </w:rPr>
      </w:pPr>
    </w:p>
    <w:p w14:paraId="643A9CAD">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（五）开标</w:t>
      </w:r>
      <w:r>
        <w:rPr>
          <w:rFonts w:hint="default" w:ascii="Times New Roman" w:hAnsi="Times New Roman" w:cs="Times New Roman" w:eastAsiaTheme="minorEastAsia"/>
          <w:b/>
          <w:bCs/>
          <w:sz w:val="28"/>
          <w:szCs w:val="28"/>
          <w:highlight w:val="none"/>
          <w:lang w:eastAsia="zh-CN"/>
        </w:rPr>
        <w:t>、资格审查</w:t>
      </w:r>
      <w:r>
        <w:rPr>
          <w:rFonts w:hint="default" w:ascii="Times New Roman" w:hAnsi="Times New Roman" w:cs="Times New Roman" w:eastAsiaTheme="minorEastAsia"/>
          <w:b/>
          <w:bCs/>
          <w:sz w:val="28"/>
          <w:szCs w:val="28"/>
          <w:highlight w:val="none"/>
        </w:rPr>
        <w:t>及评标</w:t>
      </w:r>
    </w:p>
    <w:p w14:paraId="0040BDDE">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2.</w:t>
      </w:r>
      <w:r>
        <w:rPr>
          <w:rFonts w:hint="default" w:ascii="Times New Roman" w:hAnsi="Times New Roman" w:cs="Times New Roman" w:eastAsiaTheme="minorEastAsia"/>
          <w:b/>
          <w:bCs/>
          <w:sz w:val="28"/>
          <w:szCs w:val="28"/>
          <w:highlight w:val="none"/>
        </w:rPr>
        <w:t>开标</w:t>
      </w:r>
    </w:p>
    <w:p w14:paraId="497CB663">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1</w:t>
      </w:r>
      <w:r>
        <w:rPr>
          <w:rFonts w:hint="default" w:ascii="Times New Roman" w:hAnsi="Times New Roman" w:cs="Times New Roman" w:eastAsiaTheme="minorEastAsia"/>
          <w:sz w:val="28"/>
          <w:szCs w:val="28"/>
          <w:highlight w:val="none"/>
          <w:lang w:val="en-US" w:eastAsia="zh-CN"/>
        </w:rPr>
        <w:t xml:space="preserve">2.1 </w:t>
      </w:r>
      <w:r>
        <w:rPr>
          <w:rFonts w:hint="default" w:ascii="Times New Roman" w:hAnsi="Times New Roman" w:cs="Times New Roman" w:eastAsiaTheme="minorEastAsia"/>
          <w:sz w:val="28"/>
          <w:szCs w:val="28"/>
          <w:highlight w:val="none"/>
          <w:lang w:eastAsia="zh-CN"/>
        </w:rPr>
        <w:t>开标应当在招标文件确定的提交投标文件截止时间的同一时间进行，投标文件的递交不得迟于规定时间。投标文件以加密形式上传至招标方指定的开标地点。截止时间之后上传的，将为无效投标，其投标将一律被拒绝</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开标由采购人或者采购代理机构主持，</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不足3家的，</w:t>
      </w:r>
      <w:r>
        <w:rPr>
          <w:rFonts w:hint="default" w:ascii="Times New Roman" w:hAnsi="Times New Roman" w:cs="Times New Roman" w:eastAsiaTheme="minorEastAsia"/>
          <w:sz w:val="28"/>
          <w:szCs w:val="28"/>
          <w:highlight w:val="none"/>
          <w:lang w:eastAsia="zh-CN"/>
        </w:rPr>
        <w:t>不得</w:t>
      </w:r>
      <w:r>
        <w:rPr>
          <w:rFonts w:hint="default" w:ascii="Times New Roman" w:hAnsi="Times New Roman" w:cs="Times New Roman" w:eastAsiaTheme="minorEastAsia"/>
          <w:sz w:val="28"/>
          <w:szCs w:val="28"/>
          <w:highlight w:val="none"/>
        </w:rPr>
        <w:t>开标。评标委员会成员不得参加开标活动。</w:t>
      </w:r>
    </w:p>
    <w:p w14:paraId="03EF8516">
      <w:pPr>
        <w:spacing w:beforeLines="0" w:afterLines="0" w:line="360" w:lineRule="auto"/>
        <w:ind w:left="0" w:leftChars="0" w:hanging="1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12.2 </w:t>
      </w:r>
      <w:r>
        <w:rPr>
          <w:rFonts w:hint="default" w:ascii="Times New Roman" w:hAnsi="Times New Roman" w:cs="Times New Roman" w:eastAsiaTheme="minorEastAsia"/>
          <w:sz w:val="28"/>
          <w:szCs w:val="28"/>
          <w:highlight w:val="none"/>
        </w:rPr>
        <w:t>开标时，采购人或者采购代理机构</w:t>
      </w:r>
      <w:r>
        <w:rPr>
          <w:rFonts w:hint="default" w:ascii="Times New Roman" w:hAnsi="Times New Roman" w:cs="Times New Roman" w:eastAsiaTheme="minorEastAsia"/>
          <w:sz w:val="28"/>
          <w:szCs w:val="28"/>
          <w:highlight w:val="none"/>
          <w:lang w:eastAsia="zh-CN"/>
        </w:rPr>
        <w:t>宣布</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人名称</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投标</w:t>
      </w:r>
      <w:r>
        <w:rPr>
          <w:rFonts w:hint="default" w:cs="Times New Roman" w:eastAsiaTheme="minorEastAsia"/>
          <w:sz w:val="28"/>
          <w:szCs w:val="28"/>
          <w:highlight w:val="none"/>
          <w:lang w:eastAsia="zh-CN"/>
        </w:rPr>
        <w:t>价格</w:t>
      </w:r>
      <w:r>
        <w:rPr>
          <w:rFonts w:hint="default" w:ascii="Times New Roman" w:hAnsi="Times New Roman" w:cs="Times New Roman" w:eastAsiaTheme="minorEastAsia"/>
          <w:sz w:val="28"/>
          <w:szCs w:val="28"/>
          <w:highlight w:val="none"/>
          <w:lang w:eastAsia="zh-CN"/>
        </w:rPr>
        <w:t>和招标文件规定的需要宣布的其他内容。开标过程由</w:t>
      </w:r>
      <w:r>
        <w:rPr>
          <w:rFonts w:hint="default" w:ascii="Times New Roman" w:hAnsi="Times New Roman" w:cs="Times New Roman" w:eastAsiaTheme="minorEastAsia"/>
          <w:sz w:val="28"/>
          <w:szCs w:val="28"/>
          <w:highlight w:val="none"/>
        </w:rPr>
        <w:t>采购</w:t>
      </w:r>
      <w:r>
        <w:rPr>
          <w:rFonts w:hint="default" w:ascii="Times New Roman" w:hAnsi="Times New Roman" w:cs="Times New Roman" w:eastAsiaTheme="minorEastAsia"/>
          <w:sz w:val="28"/>
          <w:szCs w:val="28"/>
          <w:highlight w:val="none"/>
          <w:lang w:eastAsia="zh-CN"/>
        </w:rPr>
        <w:t>人或者</w:t>
      </w:r>
      <w:r>
        <w:rPr>
          <w:rFonts w:hint="default" w:ascii="Times New Roman" w:hAnsi="Times New Roman" w:cs="Times New Roman" w:eastAsiaTheme="minorEastAsia"/>
          <w:sz w:val="28"/>
          <w:szCs w:val="28"/>
          <w:highlight w:val="none"/>
        </w:rPr>
        <w:t>采购代理机构</w:t>
      </w:r>
      <w:r>
        <w:rPr>
          <w:rFonts w:hint="default" w:ascii="Times New Roman" w:hAnsi="Times New Roman" w:cs="Times New Roman" w:eastAsiaTheme="minorEastAsia"/>
          <w:sz w:val="28"/>
          <w:szCs w:val="28"/>
          <w:highlight w:val="none"/>
          <w:lang w:eastAsia="zh-CN"/>
        </w:rPr>
        <w:t>负责记录</w:t>
      </w:r>
      <w:r>
        <w:rPr>
          <w:rFonts w:hint="eastAsia" w:cs="Times New Roman" w:eastAsiaTheme="minorEastAsia"/>
          <w:sz w:val="28"/>
          <w:szCs w:val="28"/>
          <w:highlight w:val="none"/>
          <w:lang w:eastAsia="zh-CN"/>
        </w:rPr>
        <w:t>。</w:t>
      </w:r>
    </w:p>
    <w:p w14:paraId="675242A9">
      <w:pPr>
        <w:spacing w:beforeLines="0" w:afterLines="0" w:line="360" w:lineRule="auto"/>
        <w:ind w:left="0" w:hanging="10" w:firstLineChars="0"/>
        <w:rPr>
          <w:rFonts w:hint="eastAsia"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12.3</w:t>
      </w:r>
      <w:r>
        <w:rPr>
          <w:rFonts w:hint="default" w:ascii="Times New Roman" w:hAnsi="Times New Roman" w:cs="Times New Roman" w:eastAsiaTheme="minorEastAsia"/>
          <w:sz w:val="28"/>
          <w:szCs w:val="28"/>
          <w:highlight w:val="none"/>
        </w:rPr>
        <w:t xml:space="preserve"> 为了体现投标人的合法权益，和确保评标工作的公平、公正</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代表对开标过程和开标记录有疑义，以及认为采购人、采购代理机构相关工作人员有需要回避的情形的，应当场提出询问或者回避申请。如现场不提请招标方申请其回避的，则视同无利害关系</w:t>
      </w:r>
      <w:r>
        <w:rPr>
          <w:rFonts w:hint="eastAsia" w:cs="Times New Roman" w:eastAsiaTheme="minorEastAsia"/>
          <w:sz w:val="28"/>
          <w:szCs w:val="28"/>
          <w:highlight w:val="none"/>
          <w:lang w:eastAsia="zh-CN"/>
        </w:rPr>
        <w:t>。</w:t>
      </w:r>
    </w:p>
    <w:p w14:paraId="335B31DB">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lang w:val="en-US" w:eastAsia="zh-CN"/>
        </w:rPr>
        <w:t>13.资格审查</w:t>
      </w:r>
      <w:r>
        <w:rPr>
          <w:rFonts w:hint="default" w:ascii="Times New Roman" w:hAnsi="Times New Roman" w:cs="Times New Roman" w:eastAsiaTheme="minorEastAsia"/>
          <w:b/>
          <w:bCs/>
          <w:sz w:val="28"/>
          <w:szCs w:val="28"/>
          <w:highlight w:val="none"/>
        </w:rPr>
        <w:t xml:space="preserve">  </w:t>
      </w:r>
      <w:r>
        <w:rPr>
          <w:rFonts w:hint="default" w:ascii="Times New Roman" w:hAnsi="Times New Roman" w:cs="Times New Roman" w:eastAsiaTheme="minorEastAsia"/>
          <w:sz w:val="28"/>
          <w:szCs w:val="28"/>
          <w:highlight w:val="none"/>
        </w:rPr>
        <w:t xml:space="preserve">    </w:t>
      </w:r>
    </w:p>
    <w:p w14:paraId="47C9A6C3">
      <w:pPr>
        <w:spacing w:beforeLines="0" w:afterLines="0" w:line="360" w:lineRule="auto"/>
        <w:ind w:firstLine="56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13.1 开标结束后，采购人或者采购代理机构应当依法对投标人的资格进行审查，具体详见</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资格审查</w:t>
      </w:r>
      <w:r>
        <w:rPr>
          <w:rFonts w:hint="default" w:ascii="Times New Roman" w:hAnsi="Times New Roman" w:cs="Times New Roman" w:eastAsiaTheme="minorEastAsia"/>
          <w:sz w:val="28"/>
          <w:szCs w:val="28"/>
          <w:highlight w:val="none"/>
          <w:lang w:eastAsia="zh-CN"/>
        </w:rPr>
        <w:t>》。</w:t>
      </w:r>
    </w:p>
    <w:p w14:paraId="60D9FC8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13.2 采购人、采购代理机构应</w:t>
      </w:r>
      <w:r>
        <w:rPr>
          <w:rStyle w:val="26"/>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6"/>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F98575">
      <w:pPr>
        <w:tabs>
          <w:tab w:val="left" w:pos="2940"/>
        </w:tabs>
        <w:spacing w:beforeLines="0" w:afterLines="0" w:line="360" w:lineRule="auto"/>
        <w:ind w:left="0" w:leftChars="0" w:firstLine="280" w:firstLineChars="1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bCs w:val="0"/>
          <w:sz w:val="28"/>
          <w:szCs w:val="28"/>
          <w:highlight w:val="none"/>
          <w:lang w:val="en-US" w:eastAsia="zh-CN"/>
        </w:rPr>
        <w:t xml:space="preserve">  13.3 </w:t>
      </w:r>
      <w:r>
        <w:rPr>
          <w:rFonts w:hint="default" w:ascii="Times New Roman" w:hAnsi="Times New Roman" w:cs="Times New Roman" w:eastAsiaTheme="minorEastAsia"/>
          <w:sz w:val="28"/>
          <w:szCs w:val="28"/>
          <w:highlight w:val="none"/>
        </w:rPr>
        <w:t>合格投标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不足三家的，不得评标。</w:t>
      </w:r>
    </w:p>
    <w:p w14:paraId="69FF3C77">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14.评标委员会</w:t>
      </w:r>
    </w:p>
    <w:p w14:paraId="1D29AA69">
      <w:pPr>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14.1 评标委员会根据政府采购有关规定和本次采购项目的特点进行组建，并负责具体评标事务，独立履行职责。评标委员会的成员，从</w:t>
      </w:r>
      <w:r>
        <w:rPr>
          <w:rFonts w:hint="eastAsia" w:cs="Times New Roman" w:eastAsiaTheme="minorEastAsia"/>
          <w:sz w:val="28"/>
          <w:szCs w:val="28"/>
          <w:highlight w:val="none"/>
          <w:lang w:val="en-US" w:eastAsia="zh-CN"/>
        </w:rPr>
        <w:t>政采云</w:t>
      </w:r>
      <w:r>
        <w:rPr>
          <w:rFonts w:hint="default" w:ascii="Times New Roman" w:hAnsi="Times New Roman" w:cs="Times New Roman" w:eastAsiaTheme="minorEastAsia"/>
          <w:sz w:val="28"/>
          <w:szCs w:val="28"/>
          <w:highlight w:val="none"/>
          <w:lang w:val="en-US" w:eastAsia="zh-CN"/>
        </w:rPr>
        <w:t>专家库中采取随机抽取的方式确定。</w:t>
      </w:r>
      <w:r>
        <w:rPr>
          <w:rFonts w:hint="eastAsia" w:ascii="Times New Roman" w:hAnsi="Times New Roman" w:cs="Times New Roman" w:eastAsiaTheme="minorEastAsia"/>
          <w:sz w:val="28"/>
          <w:szCs w:val="28"/>
          <w:highlight w:val="none"/>
          <w:lang w:val="en-US" w:eastAsia="zh-CN"/>
        </w:rPr>
        <w:t>评标委员会由有关技术、经济等方面的专家和采购人熟悉相关业务的代表人员组成，成员为五人及以上的单数，其中技术、经济等方面的成员人数不少于成员总数的三分之二。</w:t>
      </w:r>
      <w:r>
        <w:rPr>
          <w:rFonts w:hint="default" w:ascii="Times New Roman" w:hAnsi="Times New Roman" w:cs="Times New Roman" w:eastAsiaTheme="minorEastAsia"/>
          <w:sz w:val="28"/>
          <w:szCs w:val="28"/>
          <w:highlight w:val="none"/>
          <w:lang w:val="en-US" w:eastAsia="zh-CN"/>
        </w:rPr>
        <w:t>对于技术复杂、专业性要求较高或者国家有特殊要求的招标项目，抽取的专家不能满足评标工作需要时，将采取直接确定的方式选定评标委员会的人选。</w:t>
      </w:r>
    </w:p>
    <w:p w14:paraId="6DB31448">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14.2 依法自行选定评审专家的，采购人或者采购代理机构应当查询有关信用记录，不得选定具有行贿、受贿、欺诈等不良信用记录的人员。</w:t>
      </w:r>
    </w:p>
    <w:p w14:paraId="79D3BEAA">
      <w:pPr>
        <w:pStyle w:val="6"/>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14.3 </w:t>
      </w:r>
      <w:r>
        <w:rPr>
          <w:rFonts w:hint="default" w:ascii="Times New Roman" w:hAnsi="Times New Roman" w:cs="Times New Roman" w:eastAsiaTheme="minorEastAsia"/>
          <w:kern w:val="2"/>
          <w:sz w:val="28"/>
          <w:szCs w:val="28"/>
          <w:highlight w:val="none"/>
        </w:rPr>
        <w:t>评标委员会成员名称在评标结果公告前应当保密。</w:t>
      </w:r>
    </w:p>
    <w:p w14:paraId="7378BC7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15.评标程序</w:t>
      </w:r>
    </w:p>
    <w:p w14:paraId="05D82B0F">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详见第</w:t>
      </w:r>
      <w:r>
        <w:rPr>
          <w:rFonts w:hint="default" w:cs="Times New Roman" w:eastAsiaTheme="minorEastAsia"/>
          <w:sz w:val="28"/>
          <w:szCs w:val="28"/>
          <w:highlight w:val="none"/>
          <w:lang w:val="en-US" w:eastAsia="zh-CN"/>
        </w:rPr>
        <w:t>五</w:t>
      </w:r>
      <w:r>
        <w:rPr>
          <w:rFonts w:hint="default" w:ascii="Times New Roman" w:hAnsi="Times New Roman" w:cs="Times New Roman" w:eastAsiaTheme="minorEastAsia"/>
          <w:sz w:val="28"/>
          <w:szCs w:val="28"/>
          <w:highlight w:val="none"/>
          <w:lang w:val="en-US" w:eastAsia="zh-CN"/>
        </w:rPr>
        <w:t>章《评标程序》。</w:t>
      </w:r>
    </w:p>
    <w:p w14:paraId="694A4A9B">
      <w:pPr>
        <w:spacing w:beforeLines="0" w:afterLines="0" w:line="360" w:lineRule="auto"/>
        <w:rPr>
          <w:rFonts w:hint="default" w:ascii="Times New Roman" w:hAnsi="Times New Roman" w:cs="Times New Roman" w:eastAsiaTheme="minorEastAsia"/>
          <w:sz w:val="28"/>
          <w:szCs w:val="28"/>
          <w:highlight w:val="none"/>
        </w:rPr>
      </w:pPr>
    </w:p>
    <w:p w14:paraId="36F1BE80">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（六）确定中标</w:t>
      </w:r>
      <w:r>
        <w:rPr>
          <w:rFonts w:hint="default" w:ascii="Times New Roman" w:hAnsi="Times New Roman" w:cs="Times New Roman" w:eastAsiaTheme="minorEastAsia"/>
          <w:b/>
          <w:bCs/>
          <w:sz w:val="28"/>
          <w:szCs w:val="28"/>
          <w:highlight w:val="none"/>
          <w:lang w:eastAsia="zh-CN"/>
        </w:rPr>
        <w:t>和签订合同</w:t>
      </w:r>
    </w:p>
    <w:p w14:paraId="424710D7">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16.确定中标人</w:t>
      </w:r>
    </w:p>
    <w:p w14:paraId="1580137E">
      <w:pPr>
        <w:spacing w:beforeLines="0" w:afterLines="0" w:line="360" w:lineRule="auto"/>
        <w:ind w:firstLine="560"/>
        <w:rPr>
          <w:rFonts w:hint="default"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16</w:t>
      </w: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14:paraId="3B3AB95E">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16.2 </w:t>
      </w:r>
      <w:r>
        <w:rPr>
          <w:rFonts w:hint="default" w:ascii="Times New Roman" w:hAnsi="Times New Roman" w:cs="Times New Roman" w:eastAsiaTheme="minorEastAsia"/>
          <w:sz w:val="28"/>
          <w:szCs w:val="28"/>
          <w:highlight w:val="none"/>
        </w:rPr>
        <w:t>评标报告由评标委员会全体成员签字。</w:t>
      </w:r>
      <w:r>
        <w:rPr>
          <w:rFonts w:hint="default" w:cs="Times New Roman" w:eastAsiaTheme="minorEastAsia"/>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2C4A82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14:paraId="04CBF804">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17.中标公告与中标通知书</w:t>
      </w:r>
    </w:p>
    <w:p w14:paraId="2919B750">
      <w:pPr>
        <w:spacing w:beforeLines="0" w:afterLines="0" w:line="360" w:lineRule="auto"/>
        <w:ind w:hanging="11"/>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17.1 采购人或者采购代理机构应当自中标人确定之日起2个工作日内公告中标结果，</w:t>
      </w:r>
      <w:r>
        <w:rPr>
          <w:rFonts w:hint="default" w:cs="Times New Roman" w:eastAsiaTheme="minorEastAsia"/>
          <w:b w:val="0"/>
          <w:bCs w:val="0"/>
          <w:sz w:val="28"/>
          <w:szCs w:val="28"/>
          <w:highlight w:val="none"/>
          <w:lang w:val="en-US" w:eastAsia="zh-CN"/>
        </w:rPr>
        <w:t>同时</w:t>
      </w:r>
      <w:r>
        <w:rPr>
          <w:rFonts w:hint="default" w:ascii="Times New Roman" w:hAnsi="Times New Roman" w:cs="Times New Roman" w:eastAsiaTheme="minorEastAsia"/>
          <w:b w:val="0"/>
          <w:bCs w:val="0"/>
          <w:sz w:val="28"/>
          <w:szCs w:val="28"/>
          <w:highlight w:val="none"/>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highlight w:val="none"/>
          <w:lang w:val="en-US" w:eastAsia="zh-CN"/>
        </w:rPr>
        <w:t>告知</w:t>
      </w:r>
      <w:r>
        <w:rPr>
          <w:rFonts w:hint="default" w:ascii="Times New Roman" w:hAnsi="Times New Roman" w:cs="Times New Roman" w:eastAsiaTheme="minorEastAsia"/>
          <w:b w:val="0"/>
          <w:bCs w:val="0"/>
          <w:sz w:val="28"/>
          <w:szCs w:val="28"/>
          <w:highlight w:val="none"/>
          <w:lang w:val="en-US" w:eastAsia="zh-CN"/>
        </w:rPr>
        <w:t>未中标人本人的评审得分与排序。</w:t>
      </w:r>
    </w:p>
    <w:p w14:paraId="22A81794">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17.2 中标通知书对采购人和中标人均具有法律效力。中标通知书发出后，采购人不得违法改变中标结果，中标人无正当理由不得放弃中标。</w:t>
      </w:r>
    </w:p>
    <w:p w14:paraId="40D5B412">
      <w:pPr>
        <w:spacing w:beforeLines="0" w:afterLines="0" w:line="360" w:lineRule="auto"/>
        <w:ind w:hanging="11"/>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18.废标</w:t>
      </w:r>
    </w:p>
    <w:p w14:paraId="39856039">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18.1 在招标采购中，出现下列情形之一的，应予废标：</w:t>
      </w:r>
    </w:p>
    <w:p w14:paraId="252FC630">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（1）符合专业条件的供应商或者对招标文件作实质响应的供应商不足三家的；</w:t>
      </w:r>
    </w:p>
    <w:p w14:paraId="4673E988">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（2）出现影响采购公正的违法、违规行为的；</w:t>
      </w:r>
    </w:p>
    <w:p w14:paraId="2241935E">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（3）投标人的报价均超过了采购预算，采购人不能支付的；</w:t>
      </w:r>
    </w:p>
    <w:p w14:paraId="663970F7">
      <w:pPr>
        <w:spacing w:beforeLines="0" w:after="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）因重大变故，采购任务取消的。</w:t>
      </w:r>
    </w:p>
    <w:p w14:paraId="15BF1EE9">
      <w:pPr>
        <w:spacing w:beforeLines="0" w:afterLines="0" w:line="360" w:lineRule="auto"/>
        <w:ind w:left="0" w:left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18.2 废标后，采购人应将废标理由通知所有投标人。</w:t>
      </w:r>
    </w:p>
    <w:p w14:paraId="24EB08D5">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19</w:t>
      </w:r>
      <w:r>
        <w:rPr>
          <w:rFonts w:hint="default" w:ascii="Times New Roman" w:hAnsi="Times New Roman" w:cs="Times New Roman" w:eastAsiaTheme="minorEastAsia"/>
          <w:b/>
          <w:bCs/>
          <w:sz w:val="28"/>
          <w:szCs w:val="28"/>
          <w:highlight w:val="none"/>
        </w:rPr>
        <w:t>.签订合同</w:t>
      </w:r>
    </w:p>
    <w:p w14:paraId="47F909A4">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14:paraId="530339D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14:paraId="5DF203B3">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19.3 中标人拒绝与采购人签订合同的，采购人可以按照评审报告推荐的中标候选人名单排序，确定下一候选人为中标人，也可以重新开展政府采购活动。中标人无正当理由拒不与采购人签订政府采购合同的，依法承担法律责任。</w:t>
      </w:r>
    </w:p>
    <w:p w14:paraId="72ECBAC3">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19.4 中标人应遵守《中华人民共和国</w:t>
      </w:r>
      <w:r>
        <w:rPr>
          <w:rFonts w:hint="default" w:cs="Times New Roman" w:eastAsiaTheme="minorEastAsia"/>
          <w:sz w:val="28"/>
          <w:szCs w:val="28"/>
          <w:highlight w:val="none"/>
          <w:lang w:val="en-US" w:eastAsia="zh-CN"/>
        </w:rPr>
        <w:t>劳动</w:t>
      </w:r>
      <w:r>
        <w:rPr>
          <w:rFonts w:hint="default" w:ascii="Times New Roman" w:hAnsi="Times New Roman" w:cs="Times New Roman" w:eastAsiaTheme="minorEastAsia"/>
          <w:sz w:val="28"/>
          <w:szCs w:val="28"/>
          <w:highlight w:val="none"/>
          <w:lang w:val="en-US" w:eastAsia="zh-CN"/>
        </w:rPr>
        <w:t>合同法》有关规定和《中华人民共和国妇女权益保障法》有关要求。</w:t>
      </w:r>
    </w:p>
    <w:p w14:paraId="5F3B7817">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val="en-US" w:eastAsia="zh-CN"/>
        </w:rPr>
        <w:t xml:space="preserve"> 采购项目涉及采购标的的知识产权归属、处理的，如订购、涉及、定制开发的信息化建设项目等，应当约定知识产权的归属和处理方式。</w:t>
      </w:r>
    </w:p>
    <w:p w14:paraId="5F3A9F3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6</w:t>
      </w:r>
      <w:r>
        <w:rPr>
          <w:rFonts w:hint="default" w:ascii="Times New Roman" w:hAnsi="Times New Roman" w:cs="Times New Roman" w:eastAsiaTheme="minorEastAsia"/>
          <w:sz w:val="28"/>
          <w:szCs w:val="28"/>
          <w:highlight w:val="none"/>
          <w:lang w:val="en-US" w:eastAsia="zh-CN"/>
        </w:rPr>
        <w:t xml:space="preserve"> 履约验收方案应当在合同中约定。履约验收方案要明确履约验收的主体、时间、方式、程序、内容和验收标准等事项。</w:t>
      </w:r>
    </w:p>
    <w:p w14:paraId="3261521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20.合同公告</w:t>
      </w:r>
    </w:p>
    <w:p w14:paraId="21C2FB7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20.1 采购人应当自政府采购合同签订之日起2个工作日内，将政府采购合同予以公告，但政府采购合同中涉及国家秘密、商业秘密</w:t>
      </w:r>
      <w:r>
        <w:rPr>
          <w:rFonts w:hint="default" w:cs="Times New Roman" w:eastAsiaTheme="minorEastAsia"/>
          <w:sz w:val="28"/>
          <w:szCs w:val="28"/>
          <w:highlight w:val="none"/>
          <w:lang w:val="en-US" w:eastAsia="zh-CN"/>
        </w:rPr>
        <w:t>和</w:t>
      </w:r>
      <w:r>
        <w:rPr>
          <w:rFonts w:hint="default" w:ascii="Times New Roman" w:hAnsi="Times New Roman" w:cs="Times New Roman" w:eastAsiaTheme="minorEastAsia"/>
          <w:sz w:val="28"/>
          <w:szCs w:val="28"/>
          <w:highlight w:val="none"/>
          <w:lang w:val="en-US" w:eastAsia="zh-CN"/>
        </w:rPr>
        <w:t>其他依法不得公开的的内容除外。</w:t>
      </w:r>
    </w:p>
    <w:p w14:paraId="72F9505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20.2 政府采购合同的双方当事人不得擅自变更、中止或者终止合同。政府采购合同继续履行将损害国家利益和社会公共利益的，双方当事人应当变更、中止或终止合同。</w:t>
      </w:r>
    </w:p>
    <w:p w14:paraId="52DBA04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20.3 依照政府采购法确需变更政府采购合同内容的，采购人应当自合同变更之日起2个工作日内发布政府采购合同变更公告，但涉及国家秘密、商业秘密和其他依法不得公开的</w:t>
      </w:r>
      <w:r>
        <w:rPr>
          <w:rFonts w:hint="default" w:cs="Times New Roman" w:eastAsiaTheme="minorEastAsia"/>
          <w:sz w:val="28"/>
          <w:szCs w:val="28"/>
          <w:highlight w:val="none"/>
          <w:lang w:val="en-US" w:eastAsia="zh-CN"/>
        </w:rPr>
        <w:t>内容</w:t>
      </w:r>
      <w:r>
        <w:rPr>
          <w:rFonts w:hint="default" w:ascii="Times New Roman" w:hAnsi="Times New Roman" w:cs="Times New Roman" w:eastAsiaTheme="minorEastAsia"/>
          <w:sz w:val="28"/>
          <w:szCs w:val="28"/>
          <w:highlight w:val="none"/>
          <w:lang w:val="en-US" w:eastAsia="zh-CN"/>
        </w:rPr>
        <w:t>除外。</w:t>
      </w:r>
    </w:p>
    <w:p w14:paraId="0FF87474">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20.4 采购人应当在政府采购合同中约定资金支付的方式、时间和条件，明确逾期支付资金的违约责任。对于有预付安排的合同，鼓励采购人将合同预付款比例提高到30%以上。</w:t>
      </w:r>
    </w:p>
    <w:p w14:paraId="7E8FDAFA">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21.</w:t>
      </w:r>
      <w:r>
        <w:rPr>
          <w:rFonts w:hint="default" w:ascii="Times New Roman" w:hAnsi="Times New Roman" w:cs="Times New Roman" w:eastAsiaTheme="minorEastAsia"/>
          <w:b/>
          <w:bCs/>
          <w:sz w:val="28"/>
          <w:szCs w:val="28"/>
          <w:highlight w:val="none"/>
        </w:rPr>
        <w:t>政府采购合同信用融资</w:t>
      </w:r>
    </w:p>
    <w:p w14:paraId="096E9F6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中标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为中小微企业的，可以在取得中标通知书后，向相关金融机构、担保机构申请政府采购融资服务。</w:t>
      </w:r>
    </w:p>
    <w:p w14:paraId="23069CEB">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22</w:t>
      </w:r>
      <w:r>
        <w:rPr>
          <w:rFonts w:hint="default" w:ascii="Times New Roman" w:hAnsi="Times New Roman" w:cs="Times New Roman" w:eastAsiaTheme="minorEastAsia"/>
          <w:b/>
          <w:bCs/>
          <w:sz w:val="28"/>
          <w:szCs w:val="28"/>
          <w:highlight w:val="none"/>
        </w:rPr>
        <w:t>.</w:t>
      </w:r>
      <w:r>
        <w:rPr>
          <w:rFonts w:hint="default" w:ascii="Times New Roman" w:hAnsi="Times New Roman" w:cs="Times New Roman" w:eastAsiaTheme="minorEastAsia"/>
          <w:b/>
          <w:bCs/>
          <w:sz w:val="28"/>
          <w:szCs w:val="28"/>
          <w:highlight w:val="none"/>
          <w:lang w:eastAsia="zh-CN"/>
        </w:rPr>
        <w:t>代理费用</w:t>
      </w:r>
    </w:p>
    <w:p w14:paraId="2C18C6AF">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22.1 </w:t>
      </w:r>
      <w:r>
        <w:rPr>
          <w:rFonts w:hint="default" w:cs="Times New Roman" w:eastAsiaTheme="minorEastAsia"/>
          <w:sz w:val="28"/>
          <w:szCs w:val="28"/>
          <w:highlight w:val="none"/>
          <w:lang w:val="en-US" w:eastAsia="zh-CN"/>
        </w:rPr>
        <w:t>代理费用可以由中标供应商支付，也可由采购人支付。</w:t>
      </w:r>
      <w:r>
        <w:rPr>
          <w:rFonts w:hint="default" w:ascii="Times New Roman" w:hAnsi="Times New Roman" w:cs="Times New Roman" w:eastAsiaTheme="minorEastAsia"/>
          <w:sz w:val="28"/>
          <w:szCs w:val="28"/>
          <w:highlight w:val="none"/>
          <w:lang w:val="en-US" w:eastAsia="zh-CN"/>
        </w:rPr>
        <w:t>代理费用收取对象、收取方式及标准详见《</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代理费用由中标供应商支付的，供应商报价应当包含代理费用。代理费用超过分散采购限额标准的，原则上由中标供应商支付。</w:t>
      </w:r>
    </w:p>
    <w:p w14:paraId="67CBB553">
      <w:pPr>
        <w:pStyle w:val="22"/>
        <w:spacing w:beforeLines="0" w:after="0" w:afterLines="0" w:line="360" w:lineRule="auto"/>
        <w:ind w:left="0" w:left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22.2 代理机构应当在采购文件中明示代理费用收取方式及标准，随中标结果一并公开本项目收费情况，包括具体收费标准及收费金额等。</w:t>
      </w:r>
    </w:p>
    <w:p w14:paraId="05D71D41">
      <w:pPr>
        <w:spacing w:beforeLines="0" w:afterLines="0" w:line="360" w:lineRule="auto"/>
        <w:ind w:left="490" w:leftChars="0" w:hanging="490" w:hangingChars="175"/>
        <w:rPr>
          <w:rFonts w:hint="default" w:ascii="Times New Roman" w:hAnsi="Times New Roman" w:cs="Times New Roman" w:eastAsiaTheme="minorEastAsia"/>
          <w:sz w:val="28"/>
          <w:szCs w:val="28"/>
          <w:highlight w:val="none"/>
        </w:rPr>
      </w:pPr>
    </w:p>
    <w:p w14:paraId="577F97CC">
      <w:pPr>
        <w:spacing w:beforeLines="0" w:afterLines="0" w:line="360" w:lineRule="auto"/>
        <w:ind w:left="0" w:leftChars="0" w:firstLine="0" w:firstLineChars="0"/>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（七）合同履行、验收、资金支付和档案保管</w:t>
      </w:r>
    </w:p>
    <w:p w14:paraId="1E665AE3">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23.合同履行</w:t>
      </w:r>
    </w:p>
    <w:p w14:paraId="2484FA5E">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val="en-US" w:eastAsia="zh-CN"/>
        </w:rPr>
        <w:t xml:space="preserve">  23.1 采购人与中标人应当根据合同的约定依法履行合同义务。</w:t>
      </w:r>
    </w:p>
    <w:p w14:paraId="74CB48D2">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F9A0D5A">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23.3 政府采购合同的履行、违约责任和解决争议的方法等适用《中华人民共和国民法典》等法律法规。</w:t>
      </w:r>
    </w:p>
    <w:p w14:paraId="4502AED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24.履约验收</w:t>
      </w:r>
    </w:p>
    <w:p w14:paraId="38BC43F8">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24.1 采购人应当根据采购项目的具体情况，自行组织项目验收或者委托采购代理机构验收。采购人委托采购代理机构进行履约验收的，应当对验收结果进行书面确认。</w:t>
      </w:r>
    </w:p>
    <w:p w14:paraId="4946F86D">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14:paraId="7BEEDFA1">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1971AFB7">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25.资金支付</w:t>
      </w:r>
    </w:p>
    <w:p w14:paraId="461938B0">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14:paraId="42CD2B4D">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25.2 采购人和供应商对资金支付产生争议的，应当按照法律规定和合同约定及时解决，保证资金支付效率。</w:t>
      </w:r>
    </w:p>
    <w:p w14:paraId="324D418A">
      <w:pPr>
        <w:spacing w:beforeLines="0" w:afterLines="0" w:line="360" w:lineRule="auto"/>
        <w:ind w:left="0" w:leftChars="0" w:firstLine="0" w:firstLineChars="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26.档案保管 </w:t>
      </w:r>
      <w:r>
        <w:rPr>
          <w:rFonts w:hint="default" w:ascii="Times New Roman" w:hAnsi="Times New Roman" w:cs="Times New Roman" w:eastAsiaTheme="minorEastAsia"/>
          <w:b w:val="0"/>
          <w:bCs w:val="0"/>
          <w:sz w:val="28"/>
          <w:szCs w:val="28"/>
          <w:highlight w:val="none"/>
          <w:lang w:val="en-US" w:eastAsia="zh-CN"/>
        </w:rPr>
        <w:t xml:space="preserve">   </w:t>
      </w:r>
    </w:p>
    <w:p w14:paraId="09E54C83">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eastAsia="zh-CN"/>
        </w:rPr>
        <w:t>采购人、采购代理机构对政</w:t>
      </w:r>
      <w:r>
        <w:rPr>
          <w:rFonts w:hint="default" w:ascii="Times New Roman" w:hAnsi="Times New Roman" w:cs="Times New Roman" w:eastAsiaTheme="minorEastAsia"/>
          <w:sz w:val="28"/>
          <w:szCs w:val="28"/>
          <w:highlight w:val="none"/>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14:paraId="32C091BB">
      <w:pPr>
        <w:spacing w:line="360" w:lineRule="auto"/>
        <w:rPr>
          <w:rFonts w:hint="default" w:ascii="Times New Roman" w:hAnsi="Times New Roman" w:cs="Times New Roman"/>
          <w:highlight w:val="none"/>
        </w:rPr>
      </w:pPr>
    </w:p>
    <w:p w14:paraId="5AAF7649">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（八）</w:t>
      </w:r>
      <w:r>
        <w:rPr>
          <w:rFonts w:hint="default" w:ascii="Times New Roman" w:hAnsi="Times New Roman" w:cs="Times New Roman" w:eastAsiaTheme="minorEastAsia"/>
          <w:b/>
          <w:bCs/>
          <w:sz w:val="28"/>
          <w:szCs w:val="28"/>
          <w:highlight w:val="none"/>
          <w:lang w:eastAsia="zh-CN"/>
        </w:rPr>
        <w:t>询问、</w:t>
      </w:r>
      <w:r>
        <w:rPr>
          <w:rFonts w:hint="default" w:ascii="Times New Roman" w:hAnsi="Times New Roman" w:cs="Times New Roman" w:eastAsiaTheme="minorEastAsia"/>
          <w:b/>
          <w:bCs/>
          <w:sz w:val="28"/>
          <w:szCs w:val="28"/>
          <w:highlight w:val="none"/>
        </w:rPr>
        <w:t>质疑和投诉</w:t>
      </w:r>
    </w:p>
    <w:p w14:paraId="579ADEFB">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27.询问</w:t>
      </w:r>
    </w:p>
    <w:p w14:paraId="40DE7FAE">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27.1 投标人对政府采购活动事项有疑问的，可依法提出询问，并按《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须知前附表》载明的形式送达采购人或者采购代理机构。</w:t>
      </w:r>
    </w:p>
    <w:p w14:paraId="143411E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27.2 采购人或者采购代理机构对供应商依法提出的询问，应当在3个工作日内作出答复，但答复的内容不得涉及商业秘密。</w:t>
      </w:r>
    </w:p>
    <w:p w14:paraId="20EA75F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28</w:t>
      </w:r>
      <w:r>
        <w:rPr>
          <w:rFonts w:hint="default" w:ascii="Times New Roman" w:hAnsi="Times New Roman" w:cs="Times New Roman" w:eastAsiaTheme="minorEastAsia"/>
          <w:b/>
          <w:bCs/>
          <w:sz w:val="28"/>
          <w:szCs w:val="28"/>
          <w:highlight w:val="none"/>
        </w:rPr>
        <w:t>.质疑</w:t>
      </w:r>
    </w:p>
    <w:p w14:paraId="6D094DD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28.1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认为采购文件、采购过程</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highlight w:val="none"/>
          <w:lang w:eastAsia="zh-CN"/>
        </w:rPr>
        <w:t>采购人、采购代理机构在收到质疑函后</w:t>
      </w:r>
      <w:r>
        <w:rPr>
          <w:rFonts w:hint="default" w:ascii="Times New Roman" w:hAnsi="Times New Roman" w:cs="Times New Roman" w:eastAsiaTheme="minorEastAsia"/>
          <w:sz w:val="28"/>
          <w:szCs w:val="28"/>
          <w:highlight w:val="none"/>
          <w:lang w:val="en-US" w:eastAsia="zh-CN"/>
        </w:rPr>
        <w:t>7个工作日内作出答复。</w:t>
      </w:r>
    </w:p>
    <w:p w14:paraId="39CFB07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28.2 </w:t>
      </w:r>
      <w:r>
        <w:rPr>
          <w:rFonts w:hint="default" w:ascii="Times New Roman" w:hAnsi="Times New Roman" w:eastAsia="宋体" w:cs="Times New Roman"/>
          <w:sz w:val="28"/>
          <w:szCs w:val="28"/>
          <w:highlight w:val="none"/>
        </w:rPr>
        <w:t>提出质疑的供应商应当是</w:t>
      </w:r>
      <w:r>
        <w:rPr>
          <w:rFonts w:hint="eastAsia" w:cs="Times New Roman"/>
          <w:sz w:val="28"/>
          <w:szCs w:val="28"/>
          <w:highlight w:val="none"/>
          <w:lang w:eastAsia="zh-CN"/>
        </w:rPr>
        <w:t>参与</w:t>
      </w:r>
      <w:r>
        <w:rPr>
          <w:rFonts w:hint="default" w:ascii="Times New Roman" w:hAnsi="Times New Roman" w:eastAsia="宋体" w:cs="Times New Roman"/>
          <w:sz w:val="28"/>
          <w:szCs w:val="28"/>
          <w:highlight w:val="none"/>
        </w:rPr>
        <w:t>所</w:t>
      </w:r>
      <w:r>
        <w:rPr>
          <w:rFonts w:hint="eastAsia" w:cs="Times New Roman"/>
          <w:sz w:val="28"/>
          <w:szCs w:val="28"/>
          <w:highlight w:val="none"/>
          <w:lang w:eastAsia="zh-CN"/>
        </w:rPr>
        <w:t>质疑</w:t>
      </w:r>
      <w:r>
        <w:rPr>
          <w:rFonts w:hint="default" w:ascii="Times New Roman" w:hAnsi="Times New Roman" w:eastAsia="宋体" w:cs="Times New Roman"/>
          <w:sz w:val="28"/>
          <w:szCs w:val="28"/>
          <w:highlight w:val="none"/>
        </w:rPr>
        <w:t>项目采购活动的供应商。潜在供应商</w:t>
      </w:r>
      <w:r>
        <w:rPr>
          <w:rFonts w:hint="eastAsia" w:cs="Times New Roman"/>
          <w:sz w:val="28"/>
          <w:szCs w:val="28"/>
          <w:highlight w:val="none"/>
          <w:lang w:eastAsia="zh-CN"/>
        </w:rPr>
        <w:t>已</w:t>
      </w:r>
      <w:r>
        <w:rPr>
          <w:rFonts w:hint="default" w:ascii="Times New Roman" w:hAnsi="Times New Roman" w:eastAsia="宋体" w:cs="Times New Roman"/>
          <w:sz w:val="28"/>
          <w:szCs w:val="28"/>
          <w:highlight w:val="none"/>
        </w:rPr>
        <w:t>依法获取</w:t>
      </w:r>
      <w:r>
        <w:rPr>
          <w:rFonts w:hint="eastAsia" w:cs="Times New Roman"/>
          <w:sz w:val="28"/>
          <w:szCs w:val="28"/>
          <w:highlight w:val="none"/>
          <w:lang w:eastAsia="zh-CN"/>
        </w:rPr>
        <w:t>其</w:t>
      </w:r>
      <w:r>
        <w:rPr>
          <w:rFonts w:hint="default" w:ascii="Times New Roman" w:hAnsi="Times New Roman" w:eastAsia="宋体" w:cs="Times New Roman"/>
          <w:sz w:val="28"/>
          <w:szCs w:val="28"/>
          <w:highlight w:val="none"/>
        </w:rPr>
        <w:t>可质疑</w:t>
      </w:r>
      <w:r>
        <w:rPr>
          <w:rFonts w:hint="eastAsia" w:cs="Times New Roman"/>
          <w:sz w:val="28"/>
          <w:szCs w:val="28"/>
          <w:highlight w:val="none"/>
          <w:lang w:eastAsia="zh-CN"/>
        </w:rPr>
        <w:t>的</w:t>
      </w:r>
      <w:r>
        <w:rPr>
          <w:rFonts w:hint="default" w:ascii="Times New Roman" w:hAnsi="Times New Roman" w:eastAsia="宋体" w:cs="Times New Roman"/>
          <w:sz w:val="28"/>
          <w:szCs w:val="28"/>
          <w:highlight w:val="none"/>
        </w:rPr>
        <w:t>采购文件的</w:t>
      </w:r>
      <w:r>
        <w:rPr>
          <w:rFonts w:hint="eastAsia" w:cs="Times New Roman"/>
          <w:sz w:val="28"/>
          <w:szCs w:val="28"/>
          <w:highlight w:val="none"/>
          <w:lang w:eastAsia="zh-CN"/>
        </w:rPr>
        <w:t>，</w:t>
      </w:r>
      <w:r>
        <w:rPr>
          <w:rFonts w:hint="default" w:ascii="Times New Roman" w:hAnsi="Times New Roman" w:eastAsia="宋体" w:cs="Times New Roman"/>
          <w:sz w:val="28"/>
          <w:szCs w:val="28"/>
          <w:highlight w:val="none"/>
        </w:rPr>
        <w:t>可以</w:t>
      </w:r>
      <w:r>
        <w:rPr>
          <w:rFonts w:hint="eastAsia" w:cs="Times New Roman"/>
          <w:sz w:val="28"/>
          <w:szCs w:val="28"/>
          <w:highlight w:val="none"/>
          <w:lang w:eastAsia="zh-CN"/>
        </w:rPr>
        <w:t>对该文件</w:t>
      </w:r>
      <w:r>
        <w:rPr>
          <w:rFonts w:hint="default" w:ascii="Times New Roman" w:hAnsi="Times New Roman" w:eastAsia="宋体" w:cs="Times New Roman"/>
          <w:sz w:val="28"/>
          <w:szCs w:val="28"/>
          <w:highlight w:val="none"/>
        </w:rPr>
        <w:t>提出质疑。</w:t>
      </w:r>
    </w:p>
    <w:p w14:paraId="0506485D">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28.3 </w:t>
      </w:r>
      <w:r>
        <w:rPr>
          <w:rFonts w:hint="default" w:ascii="Times New Roman" w:hAnsi="Times New Roman" w:cs="Times New Roman" w:eastAsiaTheme="minorEastAsia"/>
          <w:sz w:val="28"/>
          <w:szCs w:val="28"/>
          <w:highlight w:val="none"/>
        </w:rPr>
        <w:t>质疑供应商在法定质疑期内</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针对同一采购程序环节的质疑次数应符合</w:t>
      </w:r>
      <w:r>
        <w:rPr>
          <w:rFonts w:hint="default"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u w:val="none"/>
          <w:lang w:eastAsia="zh-CN"/>
        </w:rPr>
        <w:t>投标人</w:t>
      </w:r>
      <w:r>
        <w:rPr>
          <w:rFonts w:hint="default" w:ascii="Times New Roman" w:hAnsi="Times New Roman" w:cs="Times New Roman" w:eastAsiaTheme="minorEastAsia"/>
          <w:sz w:val="28"/>
          <w:szCs w:val="28"/>
          <w:highlight w:val="none"/>
          <w:u w:val="none"/>
        </w:rPr>
        <w:t>须知前附表</w:t>
      </w:r>
      <w:r>
        <w:rPr>
          <w:rFonts w:hint="default" w:ascii="Times New Roman" w:hAnsi="Times New Roman" w:cs="Times New Roman" w:eastAsiaTheme="minorEastAsia"/>
          <w:sz w:val="28"/>
          <w:szCs w:val="28"/>
          <w:highlight w:val="none"/>
          <w:u w:val="none"/>
          <w:lang w:eastAsia="zh-CN"/>
        </w:rPr>
        <w:t>》</w:t>
      </w:r>
      <w:r>
        <w:rPr>
          <w:rFonts w:hint="default" w:ascii="Times New Roman" w:hAnsi="Times New Roman" w:cs="Times New Roman" w:eastAsiaTheme="minorEastAsia"/>
          <w:sz w:val="28"/>
          <w:szCs w:val="28"/>
          <w:highlight w:val="none"/>
        </w:rPr>
        <w:t>的规定。</w:t>
      </w:r>
    </w:p>
    <w:p w14:paraId="16722A1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29.</w:t>
      </w:r>
      <w:r>
        <w:rPr>
          <w:rFonts w:hint="default" w:ascii="Times New Roman" w:hAnsi="Times New Roman" w:cs="Times New Roman" w:eastAsiaTheme="minorEastAsia"/>
          <w:b/>
          <w:bCs/>
          <w:sz w:val="28"/>
          <w:szCs w:val="28"/>
          <w:highlight w:val="none"/>
        </w:rPr>
        <w:t>投诉</w:t>
      </w:r>
    </w:p>
    <w:p w14:paraId="2288FB13">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29.1 </w:t>
      </w:r>
      <w:r>
        <w:rPr>
          <w:rFonts w:hint="default" w:ascii="Times New Roman" w:hAnsi="Times New Roman" w:cs="Times New Roman" w:eastAsiaTheme="minorEastAsia"/>
          <w:sz w:val="28"/>
          <w:szCs w:val="28"/>
          <w:highlight w:val="none"/>
        </w:rPr>
        <w:t>质疑供应商对采购人、采购代理机构的答复不满意，或者采购人、采购代理机构未在规定时间内作出答复的，可以在答复期满后15个工作日内向同级财政部门提起投诉。</w:t>
      </w:r>
    </w:p>
    <w:p w14:paraId="7C46D0A7">
      <w:pPr>
        <w:spacing w:beforeLines="0" w:afterLines="0" w:line="360" w:lineRule="auto"/>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p>
    <w:p w14:paraId="42C71FAE">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（九）保密及回避要求</w:t>
      </w:r>
    </w:p>
    <w:p w14:paraId="4304B21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30.保密要求</w:t>
      </w:r>
    </w:p>
    <w:p w14:paraId="21A0A69F">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30.1 </w:t>
      </w:r>
      <w:r>
        <w:rPr>
          <w:rFonts w:hint="default" w:ascii="Times New Roman" w:hAnsi="Times New Roman" w:cs="Times New Roman" w:eastAsiaTheme="minorEastAsia"/>
          <w:sz w:val="28"/>
          <w:szCs w:val="28"/>
          <w:highlight w:val="none"/>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highlight w:val="none"/>
        </w:rPr>
        <w:t>。</w:t>
      </w:r>
    </w:p>
    <w:p w14:paraId="112E5DA2">
      <w:pPr>
        <w:spacing w:beforeLines="0" w:afterLines="0" w:line="360" w:lineRule="auto"/>
        <w:jc w:val="both"/>
        <w:rPr>
          <w:rFonts w:hint="default" w:ascii="Times New Roman" w:hAnsi="Times New Roman" w:cs="Times New Roman"/>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30.2 </w:t>
      </w:r>
      <w:r>
        <w:rPr>
          <w:rFonts w:hint="default" w:ascii="Times New Roman" w:hAnsi="Times New Roman" w:cs="Times New Roman" w:eastAsiaTheme="minorEastAsia"/>
          <w:sz w:val="28"/>
          <w:szCs w:val="28"/>
          <w:highlight w:val="none"/>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highlight w:val="none"/>
        </w:rPr>
        <w:t>。</w:t>
      </w:r>
    </w:p>
    <w:p w14:paraId="38BC7DE9">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31.回避要求</w:t>
      </w:r>
    </w:p>
    <w:p w14:paraId="2B1405A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31.1 </w:t>
      </w:r>
      <w:r>
        <w:rPr>
          <w:rFonts w:hint="default" w:ascii="Times New Roman" w:hAnsi="Times New Roman" w:cs="Times New Roman" w:eastAsiaTheme="minorEastAsia"/>
          <w:sz w:val="28"/>
          <w:szCs w:val="28"/>
          <w:highlight w:val="none"/>
          <w:lang w:eastAsia="zh-CN"/>
        </w:rPr>
        <w:t>政府采购活动中，采购人员及相关人员与投标人有下列利害关系之一的，应当回避：</w:t>
      </w:r>
    </w:p>
    <w:p w14:paraId="07DB31C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（1）参加采购活动前3年内与投标人存在劳动关系；</w:t>
      </w:r>
    </w:p>
    <w:p w14:paraId="102C282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（2）参加采购活动前3年内担任投标人的董事、监事；</w:t>
      </w:r>
    </w:p>
    <w:p w14:paraId="7C82B5E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）参加采购活动前3年内是投标人的控股股东或者实际控制人；</w:t>
      </w:r>
    </w:p>
    <w:p w14:paraId="71B69E2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）与投标人的法定代表人或者负责人有夫妻、直系血亲、三代以内旁系血亲或者近姻亲关系；</w:t>
      </w:r>
    </w:p>
    <w:p w14:paraId="26531DB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）与投标人有其他可能影响政府采购活动公平、公正进行的关系。</w:t>
      </w:r>
    </w:p>
    <w:p w14:paraId="6051C741">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投标人认为采购人员及相关人员与其他投标人有利害关系的，可以向代理机构书面提出回避申请，并说明理由。代理机构应及时询问被申请回避人员，有利害关系的被申请回避人员应当回避。</w:t>
      </w:r>
    </w:p>
    <w:p w14:paraId="2CCA88B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31.2 </w:t>
      </w:r>
      <w:r>
        <w:rPr>
          <w:rFonts w:hint="default" w:ascii="Times New Roman" w:hAnsi="Times New Roman" w:cs="Times New Roman" w:eastAsiaTheme="minorEastAsia"/>
          <w:sz w:val="28"/>
          <w:szCs w:val="28"/>
          <w:highlight w:val="none"/>
          <w:lang w:eastAsia="zh-CN"/>
        </w:rPr>
        <w:t>评审专家与参加采购活动的供应商存在下列利害关系之一的,应当回避:</w:t>
      </w:r>
    </w:p>
    <w:p w14:paraId="74DA00F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）参加采购活动前三年内,与供应商存在劳动关系,或者担任过供应商的董事、监事,或者是供应商的控股股东或实际控制人;</w:t>
      </w:r>
    </w:p>
    <w:p w14:paraId="528F70E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与供应商的法定代表人或者负责人有夫妻、直系血亲、三代以内旁系血亲或者近姻亲关系;</w:t>
      </w:r>
    </w:p>
    <w:p w14:paraId="6FEA1DA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lang w:eastAsia="zh-CN"/>
        </w:rPr>
        <w:t>与供应商有其他可能影响政府采购活动公平、公正进行的关系。</w:t>
      </w:r>
    </w:p>
    <w:p w14:paraId="1E6A3E0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评审专家发现本人与参加采购活动的供应商有利害关系的,应当主动提出回避。采购人或者采购代理机构发现评审专家与参加采购活动的供应商有利害关系的,应当要求其回避。</w:t>
      </w:r>
    </w:p>
    <w:p w14:paraId="4D02F78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31.3 </w:t>
      </w:r>
      <w:r>
        <w:rPr>
          <w:rFonts w:hint="default" w:ascii="Times New Roman" w:hAnsi="Times New Roman" w:cs="Times New Roman" w:eastAsiaTheme="minorEastAsia"/>
          <w:sz w:val="28"/>
          <w:szCs w:val="28"/>
          <w:highlight w:val="none"/>
          <w:lang w:eastAsia="zh-CN"/>
        </w:rPr>
        <w:t>各级财政部门政府采购监督管理工作人员,不得作为评审专家参与政府采购项目的评审活动。</w:t>
      </w:r>
    </w:p>
    <w:p w14:paraId="1DB60772">
      <w:pPr>
        <w:spacing w:beforeLines="0" w:afterLines="0" w:line="360" w:lineRule="auto"/>
        <w:jc w:val="both"/>
        <w:rPr>
          <w:rFonts w:hint="default" w:ascii="Times New Roman" w:hAnsi="Times New Roman" w:cs="Times New Roman" w:eastAsiaTheme="minorEastAsia"/>
          <w:sz w:val="28"/>
          <w:szCs w:val="28"/>
          <w:highlight w:val="none"/>
          <w:lang w:eastAsia="zh-CN"/>
        </w:rPr>
      </w:pPr>
    </w:p>
    <w:p w14:paraId="1A76C9B5">
      <w:pPr>
        <w:spacing w:beforeLines="0" w:afterLines="0" w:line="360" w:lineRule="auto"/>
        <w:jc w:val="both"/>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br w:type="page"/>
      </w:r>
    </w:p>
    <w:p w14:paraId="74967016">
      <w:pPr>
        <w:spacing w:beforeLines="0" w:afterLines="0" w:line="360" w:lineRule="auto"/>
        <w:jc w:val="cente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第</w:t>
      </w:r>
      <w:r>
        <w:rPr>
          <w:rFonts w:hint="default"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章 采购需求</w:t>
      </w:r>
    </w:p>
    <w:p w14:paraId="05AB2BE1">
      <w:pPr>
        <w:spacing w:line="360" w:lineRule="auto"/>
        <w:rPr>
          <w:rFonts w:hint="default" w:ascii="Times New Roman" w:hAnsi="Times New Roman" w:cs="Times New Roman"/>
          <w:sz w:val="32"/>
          <w:szCs w:val="32"/>
          <w:highlight w:val="none"/>
        </w:rPr>
      </w:pPr>
    </w:p>
    <w:p w14:paraId="56F5E67D">
      <w:pPr>
        <w:numPr>
          <w:ilvl w:val="0"/>
          <w:numId w:val="0"/>
        </w:numPr>
        <w:spacing w:beforeLines="0" w:afterLines="0" w:line="360" w:lineRule="auto"/>
        <w:ind w:firstLine="562" w:firstLineChars="200"/>
        <w:rPr>
          <w:rFonts w:hint="eastAsia" w:eastAsia="宋体" w:cs="Times New Roman"/>
          <w:b/>
          <w:bCs/>
          <w:sz w:val="28"/>
          <w:szCs w:val="28"/>
          <w:highlight w:val="none"/>
          <w:lang w:val="en-US" w:eastAsia="zh-CN"/>
        </w:rPr>
      </w:pPr>
      <w:r>
        <w:rPr>
          <w:rFonts w:hint="eastAsia" w:eastAsia="宋体" w:cs="Times New Roman"/>
          <w:b/>
          <w:bCs/>
          <w:sz w:val="28"/>
          <w:szCs w:val="28"/>
          <w:highlight w:val="none"/>
          <w:lang w:val="en-US" w:eastAsia="zh-CN"/>
        </w:rPr>
        <w:t>一、</w:t>
      </w:r>
      <w:r>
        <w:rPr>
          <w:rFonts w:hint="default" w:ascii="Times New Roman" w:hAnsi="Times New Roman" w:eastAsia="宋体" w:cs="Times New Roman"/>
          <w:b/>
          <w:bCs/>
          <w:sz w:val="28"/>
          <w:szCs w:val="28"/>
          <w:highlight w:val="none"/>
          <w:lang w:val="en-US" w:eastAsia="zh-CN"/>
        </w:rPr>
        <w:t>项目背景或项目概述</w:t>
      </w:r>
      <w:r>
        <w:rPr>
          <w:rFonts w:hint="eastAsia" w:eastAsia="宋体" w:cs="Times New Roman"/>
          <w:b/>
          <w:bCs/>
          <w:sz w:val="28"/>
          <w:szCs w:val="28"/>
          <w:highlight w:val="none"/>
          <w:lang w:val="en-US" w:eastAsia="zh-CN"/>
        </w:rPr>
        <w:t>：</w:t>
      </w:r>
      <w:r>
        <w:rPr>
          <w:rStyle w:val="26"/>
          <w:rFonts w:hint="eastAsia" w:ascii="Times New Roman" w:hAnsi="Times New Roman" w:eastAsia="宋体" w:cs="Times New Roman"/>
          <w:b w:val="0"/>
          <w:sz w:val="28"/>
          <w:szCs w:val="28"/>
          <w:highlight w:val="none"/>
          <w:lang w:eastAsia="zh-CN"/>
        </w:rPr>
        <w:t>若羌县义务教育信息化教室改造</w:t>
      </w:r>
      <w:r>
        <w:rPr>
          <w:rFonts w:hint="default" w:ascii="Times New Roman" w:hAnsi="Times New Roman" w:eastAsia="宋体" w:cs="Times New Roman"/>
          <w:iCs w:val="0"/>
          <w:sz w:val="28"/>
          <w:szCs w:val="28"/>
          <w:highlight w:val="none"/>
          <w:lang w:val="en-US" w:eastAsia="zh-CN"/>
        </w:rPr>
        <w:t xml:space="preserve"> </w:t>
      </w:r>
      <w:r>
        <w:rPr>
          <w:rFonts w:hint="default" w:eastAsia="宋体" w:cs="Times New Roman"/>
          <w:b/>
          <w:bCs/>
          <w:sz w:val="28"/>
          <w:szCs w:val="28"/>
          <w:highlight w:val="none"/>
          <w:lang w:val="en-US" w:eastAsia="zh-CN"/>
        </w:rPr>
        <w:t xml:space="preserve">   </w:t>
      </w:r>
      <w:r>
        <w:rPr>
          <w:rFonts w:hint="eastAsia" w:eastAsia="宋体" w:cs="Times New Roman"/>
          <w:b/>
          <w:bCs/>
          <w:sz w:val="28"/>
          <w:szCs w:val="28"/>
          <w:highlight w:val="none"/>
          <w:lang w:val="en-US" w:eastAsia="zh-CN"/>
        </w:rPr>
        <w:t xml:space="preserve">       </w:t>
      </w:r>
    </w:p>
    <w:p w14:paraId="2F68BA5A">
      <w:pPr>
        <w:numPr>
          <w:ilvl w:val="0"/>
          <w:numId w:val="0"/>
        </w:numPr>
        <w:spacing w:beforeLines="0" w:afterLines="0" w:line="360" w:lineRule="auto"/>
        <w:ind w:left="560" w:leftChars="0"/>
        <w:rPr>
          <w:rFonts w:hint="default" w:ascii="Times New Roman" w:hAnsi="Times New Roman" w:eastAsia="宋体" w:cs="Times New Roman"/>
          <w:b/>
          <w:bCs/>
          <w:i/>
          <w:iCs/>
          <w:sz w:val="28"/>
          <w:szCs w:val="28"/>
          <w:highlight w:val="none"/>
        </w:rPr>
      </w:pPr>
      <w:r>
        <w:rPr>
          <w:rFonts w:hint="default" w:ascii="Times New Roman" w:hAnsi="Times New Roman" w:eastAsia="宋体" w:cs="Times New Roman"/>
          <w:b/>
          <w:bCs/>
          <w:sz w:val="28"/>
          <w:szCs w:val="28"/>
          <w:highlight w:val="none"/>
          <w:lang w:eastAsia="zh-CN"/>
        </w:rPr>
        <w:t>二</w:t>
      </w:r>
      <w:r>
        <w:rPr>
          <w:rFonts w:hint="default" w:ascii="Times New Roman" w:hAnsi="Times New Roman" w:eastAsia="宋体" w:cs="Times New Roman"/>
          <w:b/>
          <w:bCs/>
          <w:sz w:val="28"/>
          <w:szCs w:val="28"/>
          <w:highlight w:val="none"/>
        </w:rPr>
        <w:t>、商务</w:t>
      </w:r>
      <w:r>
        <w:rPr>
          <w:rFonts w:hint="default" w:ascii="Times New Roman" w:hAnsi="Times New Roman" w:eastAsia="宋体" w:cs="Times New Roman"/>
          <w:b/>
          <w:bCs/>
          <w:sz w:val="28"/>
          <w:szCs w:val="28"/>
          <w:highlight w:val="none"/>
          <w:lang w:eastAsia="zh-CN"/>
        </w:rPr>
        <w:t>要求</w:t>
      </w:r>
    </w:p>
    <w:p w14:paraId="77A3104D">
      <w:pPr>
        <w:spacing w:beforeLines="0" w:afterLines="0" w:line="360" w:lineRule="auto"/>
        <w:ind w:firstLine="0" w:firstLineChars="0"/>
        <w:jc w:val="both"/>
        <w:rPr>
          <w:rFonts w:hint="default" w:ascii="Times New Roman" w:hAnsi="Times New Roman" w:eastAsia="宋体" w:cs="Times New Roman"/>
          <w:iCs w:val="0"/>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采购标的交付（实施）的时间（期限）：合同签订之日起</w:t>
      </w:r>
      <w:r>
        <w:rPr>
          <w:rFonts w:hint="eastAsia" w:cs="Times New Roman"/>
          <w:iCs w:val="0"/>
          <w:sz w:val="28"/>
          <w:szCs w:val="28"/>
          <w:highlight w:val="none"/>
          <w:lang w:val="en-US" w:eastAsia="zh-CN"/>
        </w:rPr>
        <w:t>40</w:t>
      </w:r>
      <w:r>
        <w:rPr>
          <w:rFonts w:hint="eastAsia" w:eastAsia="宋体" w:cs="Times New Roman"/>
          <w:iCs w:val="0"/>
          <w:sz w:val="28"/>
          <w:szCs w:val="28"/>
          <w:highlight w:val="none"/>
          <w:lang w:val="en-US" w:eastAsia="zh-CN"/>
        </w:rPr>
        <w:t>个工作日内</w:t>
      </w:r>
      <w:r>
        <w:rPr>
          <w:rFonts w:hint="default" w:ascii="Times New Roman" w:hAnsi="Times New Roman" w:eastAsia="宋体" w:cs="Times New Roman"/>
          <w:iCs w:val="0"/>
          <w:sz w:val="28"/>
          <w:szCs w:val="28"/>
          <w:highlight w:val="none"/>
        </w:rPr>
        <w:t xml:space="preserve">       </w:t>
      </w:r>
    </w:p>
    <w:p w14:paraId="53E2E0BE">
      <w:pPr>
        <w:spacing w:beforeLines="0" w:afterLines="0" w:line="360" w:lineRule="auto"/>
        <w:ind w:firstLine="0" w:firstLineChars="0"/>
        <w:jc w:val="both"/>
        <w:rPr>
          <w:rFonts w:hint="default" w:ascii="Times New Roman" w:hAnsi="Times New Roman" w:eastAsia="宋体" w:cs="Times New Roman"/>
          <w:iCs w:val="0"/>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采购标的交付</w:t>
      </w:r>
      <w:r>
        <w:rPr>
          <w:rFonts w:hint="eastAsia" w:eastAsia="宋体" w:cs="Times New Roman"/>
          <w:iCs w:val="0"/>
          <w:sz w:val="28"/>
          <w:szCs w:val="28"/>
          <w:highlight w:val="none"/>
          <w:lang w:eastAsia="zh-CN"/>
        </w:rPr>
        <w:t>完成</w:t>
      </w:r>
      <w:r>
        <w:rPr>
          <w:rFonts w:hint="default" w:ascii="Times New Roman" w:hAnsi="Times New Roman" w:eastAsia="宋体" w:cs="Times New Roman"/>
          <w:iCs w:val="0"/>
          <w:sz w:val="28"/>
          <w:szCs w:val="28"/>
          <w:highlight w:val="none"/>
        </w:rPr>
        <w:t>地点（范围）：</w:t>
      </w:r>
      <w:r>
        <w:rPr>
          <w:rFonts w:hint="eastAsia" w:eastAsia="宋体" w:cs="Times New Roman"/>
          <w:iCs w:val="0"/>
          <w:sz w:val="28"/>
          <w:szCs w:val="28"/>
          <w:highlight w:val="none"/>
          <w:lang w:val="en-US" w:eastAsia="zh-CN"/>
        </w:rPr>
        <w:t>采购单位指定地点</w:t>
      </w:r>
      <w:r>
        <w:rPr>
          <w:rFonts w:hint="default" w:ascii="Times New Roman" w:hAnsi="Times New Roman" w:eastAsia="宋体" w:cs="Times New Roman"/>
          <w:iCs w:val="0"/>
          <w:sz w:val="28"/>
          <w:szCs w:val="28"/>
          <w:highlight w:val="none"/>
        </w:rPr>
        <w:t xml:space="preserve">                 </w:t>
      </w:r>
    </w:p>
    <w:p w14:paraId="60688801">
      <w:pPr>
        <w:spacing w:beforeLines="0" w:afterLines="0" w:line="360" w:lineRule="auto"/>
        <w:ind w:firstLine="0" w:firstLineChars="0"/>
        <w:jc w:val="both"/>
        <w:rPr>
          <w:rFonts w:hint="default" w:eastAsia="宋体" w:cs="Times New Roman"/>
          <w:iCs w:val="0"/>
          <w:sz w:val="28"/>
          <w:szCs w:val="28"/>
          <w:highlight w:val="none"/>
          <w:lang w:val="en-US" w:eastAsia="zh-CN"/>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付款条件（进度和方式）：合同签订后支付合同金额的</w:t>
      </w:r>
      <w:r>
        <w:rPr>
          <w:rFonts w:hint="eastAsia" w:eastAsia="宋体" w:cs="Times New Roman"/>
          <w:iCs w:val="0"/>
          <w:sz w:val="28"/>
          <w:szCs w:val="28"/>
          <w:highlight w:val="none"/>
          <w:lang w:val="en-US" w:eastAsia="zh-CN"/>
        </w:rPr>
        <w:t>30</w:t>
      </w:r>
      <w:r>
        <w:rPr>
          <w:rFonts w:hint="default" w:ascii="Times New Roman" w:hAnsi="Times New Roman" w:eastAsia="宋体" w:cs="Times New Roman"/>
          <w:iCs w:val="0"/>
          <w:sz w:val="28"/>
          <w:szCs w:val="28"/>
          <w:highlight w:val="none"/>
        </w:rPr>
        <w:t>%，货到验收合格后支付合同金额的</w:t>
      </w:r>
      <w:r>
        <w:rPr>
          <w:rFonts w:hint="eastAsia" w:cs="Times New Roman"/>
          <w:iCs w:val="0"/>
          <w:sz w:val="28"/>
          <w:szCs w:val="28"/>
          <w:highlight w:val="none"/>
          <w:lang w:val="en-US" w:eastAsia="zh-CN"/>
        </w:rPr>
        <w:t>40</w:t>
      </w:r>
      <w:r>
        <w:rPr>
          <w:rFonts w:hint="default" w:ascii="Times New Roman" w:hAnsi="Times New Roman" w:eastAsia="宋体" w:cs="Times New Roman"/>
          <w:iCs w:val="0"/>
          <w:sz w:val="28"/>
          <w:szCs w:val="28"/>
          <w:highlight w:val="none"/>
        </w:rPr>
        <w:t>%</w:t>
      </w:r>
      <w:r>
        <w:rPr>
          <w:rFonts w:hint="eastAsia" w:eastAsia="宋体" w:cs="Times New Roman"/>
          <w:iCs w:val="0"/>
          <w:sz w:val="28"/>
          <w:szCs w:val="28"/>
          <w:highlight w:val="none"/>
          <w:lang w:eastAsia="zh-CN"/>
        </w:rPr>
        <w:t>，</w:t>
      </w:r>
      <w:r>
        <w:rPr>
          <w:rFonts w:hint="eastAsia" w:cs="Times New Roman"/>
          <w:iCs w:val="0"/>
          <w:sz w:val="28"/>
          <w:szCs w:val="28"/>
          <w:highlight w:val="none"/>
          <w:lang w:val="en-US" w:eastAsia="zh-CN"/>
        </w:rPr>
        <w:t>设备安装调试完毕并最终验收合格后支付合同金额的27%，</w:t>
      </w:r>
      <w:r>
        <w:rPr>
          <w:rFonts w:hint="eastAsia" w:eastAsia="宋体" w:cs="Times New Roman"/>
          <w:iCs w:val="0"/>
          <w:sz w:val="28"/>
          <w:szCs w:val="28"/>
          <w:highlight w:val="none"/>
          <w:lang w:eastAsia="zh-CN"/>
        </w:rPr>
        <w:t>质保期结束后支付合同金额的</w:t>
      </w:r>
      <w:r>
        <w:rPr>
          <w:rFonts w:hint="eastAsia" w:cs="Times New Roman"/>
          <w:iCs w:val="0"/>
          <w:sz w:val="28"/>
          <w:szCs w:val="28"/>
          <w:highlight w:val="none"/>
          <w:lang w:val="en-US" w:eastAsia="zh-CN"/>
        </w:rPr>
        <w:t>3</w:t>
      </w:r>
      <w:r>
        <w:rPr>
          <w:rFonts w:hint="eastAsia" w:eastAsia="宋体" w:cs="Times New Roman"/>
          <w:iCs w:val="0"/>
          <w:sz w:val="28"/>
          <w:szCs w:val="28"/>
          <w:highlight w:val="none"/>
          <w:lang w:val="en-US" w:eastAsia="zh-CN"/>
        </w:rPr>
        <w:t>%。</w:t>
      </w:r>
    </w:p>
    <w:p w14:paraId="0BAF4F24">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rPr>
        <w:t>□履约保证金：</w:t>
      </w:r>
      <w:r>
        <w:rPr>
          <w:rFonts w:hint="eastAsia" w:eastAsia="宋体" w:cs="Times New Roman"/>
          <w:sz w:val="28"/>
          <w:szCs w:val="28"/>
          <w:highlight w:val="none"/>
          <w:lang w:eastAsia="zh-CN"/>
        </w:rPr>
        <w:t>无</w:t>
      </w:r>
      <w:r>
        <w:rPr>
          <w:rFonts w:hint="default" w:ascii="Times New Roman" w:hAnsi="Times New Roman" w:eastAsia="宋体" w:cs="Times New Roman"/>
          <w:iCs w:val="0"/>
          <w:sz w:val="28"/>
          <w:szCs w:val="28"/>
          <w:highlight w:val="none"/>
        </w:rPr>
        <w:t xml:space="preserve">          </w:t>
      </w:r>
    </w:p>
    <w:p w14:paraId="58D561A3">
      <w:pPr>
        <w:spacing w:beforeLines="0" w:afterLines="0" w:line="360" w:lineRule="auto"/>
        <w:ind w:firstLine="0" w:firstLineChars="0"/>
        <w:jc w:val="both"/>
        <w:rPr>
          <w:rFonts w:hint="default" w:ascii="Times New Roman" w:hAnsi="Times New Roman" w:eastAsia="宋体" w:cs="Times New Roman"/>
          <w:iCs w:val="0"/>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 xml:space="preserve">包装和运输：须满足《关于印发〈商品包装政府采购需求标准（试行）〉、〈快递包装政府采购需求标准（试行）〉的通知》（财办库﹝2020﹞123 号）                           </w:t>
      </w:r>
    </w:p>
    <w:p w14:paraId="4C6B6949">
      <w:pPr>
        <w:spacing w:beforeLines="0" w:afterLines="0" w:line="360" w:lineRule="auto"/>
        <w:ind w:firstLine="0" w:firstLineChars="0"/>
        <w:jc w:val="both"/>
        <w:rPr>
          <w:rFonts w:hint="default" w:ascii="Times New Roman" w:hAnsi="Times New Roman" w:eastAsia="宋体" w:cs="Times New Roman"/>
          <w:iCs w:val="0"/>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售后服务：从验收合格并正常使用之日起算：质保期</w:t>
      </w:r>
      <w:r>
        <w:rPr>
          <w:rFonts w:hint="eastAsia" w:cs="Times New Roman"/>
          <w:iCs w:val="0"/>
          <w:sz w:val="28"/>
          <w:szCs w:val="28"/>
          <w:highlight w:val="none"/>
          <w:lang w:val="en-US" w:eastAsia="zh-CN"/>
        </w:rPr>
        <w:t>1</w:t>
      </w:r>
      <w:r>
        <w:rPr>
          <w:rFonts w:hint="default" w:ascii="Times New Roman" w:hAnsi="Times New Roman" w:eastAsia="宋体" w:cs="Times New Roman"/>
          <w:iCs w:val="0"/>
          <w:sz w:val="28"/>
          <w:szCs w:val="28"/>
          <w:highlight w:val="none"/>
        </w:rPr>
        <w:t xml:space="preserve">年                                </w:t>
      </w:r>
    </w:p>
    <w:p w14:paraId="6D1D0F88">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安装调试：</w:t>
      </w:r>
      <w:r>
        <w:rPr>
          <w:rFonts w:hint="eastAsia" w:eastAsia="宋体" w:cs="Times New Roman"/>
          <w:iCs w:val="0"/>
          <w:sz w:val="28"/>
          <w:szCs w:val="28"/>
          <w:highlight w:val="none"/>
          <w:lang w:eastAsia="zh-CN"/>
        </w:rPr>
        <w:t>到货后</w:t>
      </w:r>
      <w:r>
        <w:rPr>
          <w:rFonts w:hint="eastAsia" w:cs="Times New Roman"/>
          <w:iCs w:val="0"/>
          <w:sz w:val="28"/>
          <w:szCs w:val="28"/>
          <w:highlight w:val="none"/>
          <w:lang w:val="en-US" w:eastAsia="zh-CN"/>
        </w:rPr>
        <w:t>40</w:t>
      </w:r>
      <w:r>
        <w:rPr>
          <w:rFonts w:hint="eastAsia" w:eastAsia="宋体" w:cs="Times New Roman"/>
          <w:iCs w:val="0"/>
          <w:sz w:val="28"/>
          <w:szCs w:val="28"/>
          <w:highlight w:val="none"/>
          <w:lang w:val="en-US" w:eastAsia="zh-CN"/>
        </w:rPr>
        <w:t>个工作日内完成安装调试</w:t>
      </w:r>
      <w:r>
        <w:rPr>
          <w:rFonts w:hint="default" w:ascii="Times New Roman" w:hAnsi="Times New Roman" w:eastAsia="宋体" w:cs="Times New Roman"/>
          <w:iCs w:val="0"/>
          <w:sz w:val="28"/>
          <w:szCs w:val="28"/>
          <w:highlight w:val="none"/>
        </w:rPr>
        <w:t xml:space="preserve">                                </w:t>
      </w:r>
    </w:p>
    <w:p w14:paraId="6AF564B3">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交付标准和方法（验收标准）：</w:t>
      </w:r>
      <w:r>
        <w:rPr>
          <w:rFonts w:hint="eastAsia" w:eastAsia="宋体" w:cs="Times New Roman"/>
          <w:sz w:val="28"/>
          <w:szCs w:val="28"/>
          <w:highlight w:val="none"/>
          <w:lang w:eastAsia="zh-CN"/>
        </w:rPr>
        <w:t>①品牌型号规格参数及数量与合同一致；②质量合格证明；③外观与包装完整性，外观无破损、变形、划痕、锈蚀等，包装须符合运输要求（防潮、防震、防压、防尘）</w:t>
      </w:r>
      <w:r>
        <w:rPr>
          <w:rFonts w:hint="default" w:ascii="Times New Roman" w:hAnsi="Times New Roman" w:eastAsia="宋体" w:cs="Times New Roman"/>
          <w:sz w:val="28"/>
          <w:szCs w:val="28"/>
          <w:highlight w:val="none"/>
        </w:rPr>
        <w:t xml:space="preserve">              </w:t>
      </w:r>
    </w:p>
    <w:p w14:paraId="05FB0E28">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质量保修范围和保修期：</w:t>
      </w:r>
      <w:r>
        <w:rPr>
          <w:rFonts w:hint="eastAsia" w:eastAsia="宋体" w:cs="Times New Roman"/>
          <w:sz w:val="28"/>
          <w:szCs w:val="28"/>
          <w:highlight w:val="none"/>
          <w:lang w:eastAsia="zh-CN"/>
        </w:rPr>
        <w:t>该项目清单中包含的所有内容</w:t>
      </w:r>
      <w:r>
        <w:rPr>
          <w:rFonts w:hint="eastAsia" w:eastAsia="宋体" w:cs="Times New Roman"/>
          <w:sz w:val="28"/>
          <w:szCs w:val="28"/>
          <w:highlight w:val="none"/>
          <w:lang w:val="en-US" w:eastAsia="zh-CN"/>
        </w:rPr>
        <w:t>。</w:t>
      </w:r>
      <w:r>
        <w:rPr>
          <w:rFonts w:hint="default" w:ascii="Times New Roman" w:hAnsi="Times New Roman" w:eastAsia="宋体" w:cs="Times New Roman"/>
          <w:sz w:val="28"/>
          <w:szCs w:val="28"/>
          <w:highlight w:val="none"/>
        </w:rPr>
        <w:t xml:space="preserve">                     </w:t>
      </w:r>
    </w:p>
    <w:p w14:paraId="6CF1C345">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iCs w:val="0"/>
          <w:sz w:val="28"/>
          <w:szCs w:val="28"/>
          <w:highlight w:val="none"/>
        </w:rPr>
        <w:t>培训：</w:t>
      </w:r>
      <w:r>
        <w:rPr>
          <w:rFonts w:hint="eastAsia" w:eastAsia="宋体" w:cs="Times New Roman"/>
          <w:iCs w:val="0"/>
          <w:sz w:val="28"/>
          <w:szCs w:val="28"/>
          <w:highlight w:val="none"/>
          <w:lang w:eastAsia="zh-CN"/>
        </w:rPr>
        <w:t>安装调试完成后进行一次设备操作的培训、每季度进行一次日常维护、确保买方人员能正常使用。</w:t>
      </w:r>
      <w:r>
        <w:rPr>
          <w:rFonts w:hint="default" w:ascii="Times New Roman" w:hAnsi="Times New Roman" w:eastAsia="宋体" w:cs="Times New Roman"/>
          <w:iCs w:val="0"/>
          <w:sz w:val="28"/>
          <w:szCs w:val="28"/>
          <w:highlight w:val="none"/>
        </w:rPr>
        <w:t xml:space="preserve">                                        </w:t>
      </w:r>
      <w:r>
        <w:rPr>
          <w:rFonts w:hint="default" w:ascii="Times New Roman" w:hAnsi="Times New Roman" w:eastAsia="宋体" w:cs="Times New Roman"/>
          <w:sz w:val="28"/>
          <w:szCs w:val="28"/>
          <w:highlight w:val="none"/>
        </w:rPr>
        <w:t xml:space="preserve">         </w:t>
      </w:r>
    </w:p>
    <w:p w14:paraId="10A0B445">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国家标准、行业标准、地方标准等标准、规范：</w:t>
      </w:r>
      <w:r>
        <w:rPr>
          <w:rFonts w:hint="eastAsia" w:eastAsia="宋体" w:cs="Times New Roman"/>
          <w:sz w:val="28"/>
          <w:szCs w:val="28"/>
          <w:highlight w:val="none"/>
          <w:lang w:eastAsia="zh-CN"/>
        </w:rPr>
        <w:t>符合国家、行业、地方标准</w:t>
      </w:r>
      <w:r>
        <w:rPr>
          <w:rFonts w:hint="default" w:ascii="Times New Roman" w:hAnsi="Times New Roman" w:eastAsia="宋体" w:cs="Times New Roman"/>
          <w:sz w:val="28"/>
          <w:szCs w:val="28"/>
          <w:highlight w:val="none"/>
        </w:rPr>
        <w:t xml:space="preserve">     </w:t>
      </w:r>
    </w:p>
    <w:p w14:paraId="3951E9D9">
      <w:pPr>
        <w:spacing w:beforeLines="0" w:afterLines="0" w:line="360" w:lineRule="auto"/>
        <w:ind w:firstLine="0" w:firstLineChars="0"/>
        <w:jc w:val="both"/>
        <w:rPr>
          <w:rFonts w:hint="default" w:ascii="Times New Roman" w:hAnsi="Times New Roman" w:eastAsia="宋体" w:cs="Times New Roman"/>
          <w:sz w:val="28"/>
          <w:szCs w:val="28"/>
          <w:highlight w:val="none"/>
        </w:rPr>
      </w:pPr>
      <w:r>
        <w:rPr>
          <w:rFonts w:hint="default" w:eastAsia="宋体" w:cs="Times New Roman"/>
          <w:sz w:val="28"/>
          <w:szCs w:val="28"/>
          <w:highlight w:val="none"/>
          <w:lang w:val="en-US" w:eastAsia="zh-CN"/>
        </w:rPr>
        <w:t xml:space="preserve">    </w:t>
      </w: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涉及运行维护、升级更新、备品备件及耗材等要求：</w:t>
      </w:r>
      <w:r>
        <w:rPr>
          <w:rFonts w:hint="eastAsia" w:eastAsia="宋体" w:cs="Times New Roman"/>
          <w:sz w:val="28"/>
          <w:szCs w:val="28"/>
          <w:highlight w:val="none"/>
          <w:lang w:eastAsia="zh-CN"/>
        </w:rPr>
        <w:t>保证质保期内提供备件，关键设备储备一定数量的应急备件，确保快速更换。</w:t>
      </w:r>
    </w:p>
    <w:p w14:paraId="23DD234C">
      <w:pPr>
        <w:spacing w:beforeLines="0" w:afterLines="0" w:line="360" w:lineRule="auto"/>
        <w:ind w:firstLine="560" w:firstLineChars="0"/>
        <w:jc w:val="both"/>
        <w:rPr>
          <w:rFonts w:hint="default" w:ascii="Times New Roman" w:hAnsi="Times New Roman" w:eastAsia="宋体" w:cs="Times New Roman"/>
          <w:sz w:val="28"/>
          <w:szCs w:val="28"/>
          <w:highlight w:val="none"/>
        </w:rPr>
      </w:pPr>
      <w:r>
        <w:rPr>
          <w:rFonts w:hint="eastAsia" w:eastAsia="宋体" w:cs="Times New Roman"/>
          <w:sz w:val="28"/>
          <w:szCs w:val="28"/>
          <w:highlight w:val="none"/>
          <w:lang w:eastAsia="zh-CN"/>
        </w:rPr>
        <w:t>☑</w:t>
      </w:r>
      <w:r>
        <w:rPr>
          <w:rFonts w:hint="default" w:ascii="Times New Roman" w:hAnsi="Times New Roman" w:eastAsia="宋体" w:cs="Times New Roman"/>
          <w:sz w:val="28"/>
          <w:szCs w:val="28"/>
          <w:highlight w:val="none"/>
        </w:rPr>
        <w:t>其他商务</w:t>
      </w:r>
      <w:r>
        <w:rPr>
          <w:rFonts w:hint="default" w:ascii="Times New Roman" w:hAnsi="Times New Roman" w:eastAsia="宋体" w:cs="Times New Roman"/>
          <w:sz w:val="28"/>
          <w:szCs w:val="28"/>
          <w:highlight w:val="none"/>
          <w:lang w:eastAsia="zh-CN"/>
        </w:rPr>
        <w:t>要求</w:t>
      </w:r>
      <w:r>
        <w:rPr>
          <w:rFonts w:hint="default" w:ascii="Times New Roman" w:hAnsi="Times New Roman" w:eastAsia="宋体" w:cs="Times New Roman"/>
          <w:sz w:val="28"/>
          <w:szCs w:val="28"/>
          <w:highlight w:val="none"/>
        </w:rPr>
        <w:t>：</w:t>
      </w:r>
    </w:p>
    <w:p w14:paraId="268D7371">
      <w:pPr>
        <w:spacing w:beforeLines="0" w:afterLines="0" w:line="360" w:lineRule="auto"/>
        <w:ind w:firstLine="560" w:firstLineChars="200"/>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1</w:t>
      </w:r>
      <w:r>
        <w:rPr>
          <w:rFonts w:hint="default" w:ascii="Times New Roman" w:hAnsi="Times New Roman" w:eastAsia="宋体" w:cs="Times New Roman"/>
          <w:sz w:val="28"/>
          <w:szCs w:val="28"/>
          <w:highlight w:val="none"/>
          <w:lang w:eastAsia="zh-CN"/>
        </w:rPr>
        <w:t>、任何以没有看清楚招标文件或将不符合采购方要求的产品篡改功能、参数后参与投标的供应商均视为恶意报价，并上报监管部门严肃处理。</w:t>
      </w:r>
    </w:p>
    <w:p w14:paraId="44C61463">
      <w:pPr>
        <w:spacing w:beforeLines="0" w:afterLines="0" w:line="360" w:lineRule="auto"/>
        <w:ind w:firstLine="560" w:firstLineChars="200"/>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2</w:t>
      </w:r>
      <w:r>
        <w:rPr>
          <w:rFonts w:hint="default" w:ascii="Times New Roman" w:hAnsi="Times New Roman" w:eastAsia="宋体" w:cs="Times New Roman"/>
          <w:sz w:val="28"/>
          <w:szCs w:val="28"/>
          <w:highlight w:val="none"/>
          <w:lang w:eastAsia="zh-CN"/>
        </w:rPr>
        <w:t>、成交供应商产品交付时，需对技术参数各项功能逐条进行验收并且达到合格标准，若有不符合项，采购人拒绝签收，供应商向采购人支付赔偿，采购人上报采购活动监督部门该供应商虚假响应，并取消中标资格。</w:t>
      </w:r>
    </w:p>
    <w:p w14:paraId="74670473">
      <w:pPr>
        <w:spacing w:beforeLines="0" w:afterLines="0" w:line="360" w:lineRule="auto"/>
        <w:ind w:firstLine="560" w:firstLineChars="200"/>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3</w:t>
      </w:r>
      <w:r>
        <w:rPr>
          <w:rFonts w:hint="default" w:ascii="Times New Roman" w:hAnsi="Times New Roman" w:eastAsia="宋体" w:cs="Times New Roman"/>
          <w:sz w:val="28"/>
          <w:szCs w:val="28"/>
          <w:highlight w:val="none"/>
          <w:lang w:eastAsia="zh-CN"/>
        </w:rPr>
        <w:t>、投标人承诺中标后签订合同前，须提供所投产品实物、技术参数中要求的检测报告和相关证明文件的原件备查、测试，同时投标人对已提交的材料的真实性负责，如投标人提供虚假材料谋取中标，根据招投标法，没收投标保证金并承担相应法律责任。</w:t>
      </w:r>
    </w:p>
    <w:p w14:paraId="471AA614">
      <w:pPr>
        <w:spacing w:beforeLines="0" w:afterLines="0" w:line="360" w:lineRule="auto"/>
        <w:ind w:firstLine="560" w:firstLineChars="200"/>
        <w:rPr>
          <w:rFonts w:hint="default" w:ascii="Times New Roman" w:hAnsi="Times New Roman" w:eastAsia="宋体" w:cs="Times New Roman"/>
          <w:sz w:val="28"/>
          <w:szCs w:val="28"/>
          <w:highlight w:val="none"/>
          <w:lang w:eastAsia="zh-CN"/>
        </w:rPr>
      </w:pPr>
      <w:r>
        <w:rPr>
          <w:rFonts w:hint="eastAsia" w:eastAsia="宋体" w:cs="Times New Roman"/>
          <w:sz w:val="28"/>
          <w:szCs w:val="28"/>
          <w:highlight w:val="none"/>
          <w:lang w:val="en-US" w:eastAsia="zh-CN"/>
        </w:rPr>
        <w:t>4</w:t>
      </w:r>
      <w:r>
        <w:rPr>
          <w:rFonts w:hint="default" w:ascii="Times New Roman" w:hAnsi="Times New Roman" w:eastAsia="宋体" w:cs="Times New Roman"/>
          <w:sz w:val="28"/>
          <w:szCs w:val="28"/>
          <w:highlight w:val="none"/>
          <w:lang w:eastAsia="zh-CN"/>
        </w:rPr>
        <w:t>、质保责任范围：覆盖内容：需明确包含“因材料缺陷、工艺问题、设计漏洞导致的性能不达标或故障”，排除“人为损坏、不可抗力、正常磨损”等情况；</w:t>
      </w:r>
    </w:p>
    <w:p w14:paraId="1764F2DE">
      <w:pPr>
        <w:pStyle w:val="2"/>
        <w:ind w:left="0" w:leftChars="0" w:firstLine="0" w:firstLineChars="0"/>
        <w:rPr>
          <w:rFonts w:hint="eastAsia" w:ascii="宋体" w:hAnsi="宋体" w:eastAsia="宋体" w:cs="宋体"/>
          <w:highlight w:val="none"/>
        </w:rPr>
      </w:pPr>
    </w:p>
    <w:p w14:paraId="379E5357">
      <w:pPr>
        <w:spacing w:beforeLines="0" w:afterLines="0" w:line="360" w:lineRule="auto"/>
        <w:ind w:firstLine="560" w:firstLineChars="200"/>
        <w:rPr>
          <w:rFonts w:hint="default" w:ascii="Times New Roman" w:hAnsi="Times New Roman" w:eastAsia="宋体" w:cs="Times New Roman"/>
          <w:sz w:val="28"/>
          <w:szCs w:val="28"/>
          <w:highlight w:val="none"/>
          <w:lang w:eastAsia="zh-CN"/>
        </w:rPr>
      </w:pPr>
    </w:p>
    <w:p w14:paraId="1804BD7A">
      <w:pPr>
        <w:spacing w:beforeLines="0" w:afterLines="0" w:line="360" w:lineRule="auto"/>
        <w:ind w:firstLine="560" w:firstLineChars="0"/>
        <w:jc w:val="both"/>
        <w:rPr>
          <w:rFonts w:hint="default" w:ascii="Times New Roman" w:hAnsi="Times New Roman" w:eastAsia="宋体" w:cs="Times New Roman"/>
          <w:sz w:val="28"/>
          <w:szCs w:val="28"/>
          <w:highlight w:val="none"/>
        </w:rPr>
      </w:pPr>
    </w:p>
    <w:p w14:paraId="4C282DBA">
      <w:pPr>
        <w:pStyle w:val="6"/>
        <w:rPr>
          <w:rFonts w:hint="default" w:ascii="Times New Roman" w:hAnsi="Times New Roman" w:eastAsia="宋体" w:cs="Times New Roman"/>
          <w:sz w:val="28"/>
          <w:szCs w:val="28"/>
          <w:highlight w:val="none"/>
        </w:rPr>
      </w:pPr>
    </w:p>
    <w:p w14:paraId="14DBD3A2">
      <w:pPr>
        <w:rPr>
          <w:rFonts w:hint="default" w:ascii="Times New Roman" w:hAnsi="Times New Roman" w:eastAsia="宋体" w:cs="Times New Roman"/>
          <w:sz w:val="28"/>
          <w:szCs w:val="28"/>
          <w:highlight w:val="none"/>
        </w:rPr>
      </w:pPr>
    </w:p>
    <w:p w14:paraId="58674BA4">
      <w:pPr>
        <w:pStyle w:val="6"/>
        <w:rPr>
          <w:rFonts w:hint="default" w:ascii="Times New Roman" w:hAnsi="Times New Roman" w:eastAsia="宋体" w:cs="Times New Roman"/>
          <w:sz w:val="28"/>
          <w:szCs w:val="28"/>
          <w:highlight w:val="none"/>
        </w:rPr>
      </w:pPr>
    </w:p>
    <w:p w14:paraId="1A1D4BA9">
      <w:pPr>
        <w:rPr>
          <w:rFonts w:hint="default" w:ascii="Times New Roman" w:hAnsi="Times New Roman" w:eastAsia="宋体" w:cs="Times New Roman"/>
          <w:sz w:val="28"/>
          <w:szCs w:val="28"/>
          <w:highlight w:val="none"/>
        </w:rPr>
      </w:pPr>
    </w:p>
    <w:p w14:paraId="6B2A7E76">
      <w:pPr>
        <w:pStyle w:val="6"/>
        <w:rPr>
          <w:rFonts w:hint="default" w:ascii="Times New Roman" w:hAnsi="Times New Roman" w:eastAsia="宋体" w:cs="Times New Roman"/>
          <w:sz w:val="28"/>
          <w:szCs w:val="28"/>
          <w:highlight w:val="none"/>
        </w:rPr>
      </w:pPr>
    </w:p>
    <w:p w14:paraId="6C6A7C13">
      <w:pPr>
        <w:rPr>
          <w:rFonts w:hint="default" w:ascii="Times New Roman" w:hAnsi="Times New Roman" w:eastAsia="宋体" w:cs="Times New Roman"/>
          <w:sz w:val="28"/>
          <w:szCs w:val="28"/>
          <w:highlight w:val="none"/>
        </w:rPr>
      </w:pPr>
    </w:p>
    <w:p w14:paraId="4F1A5430">
      <w:pPr>
        <w:pStyle w:val="6"/>
        <w:rPr>
          <w:rFonts w:hint="default" w:ascii="Times New Roman" w:hAnsi="Times New Roman" w:eastAsia="宋体" w:cs="Times New Roman"/>
          <w:sz w:val="28"/>
          <w:szCs w:val="28"/>
          <w:highlight w:val="none"/>
        </w:rPr>
      </w:pPr>
    </w:p>
    <w:p w14:paraId="56471981">
      <w:pPr>
        <w:rPr>
          <w:rFonts w:hint="default" w:ascii="Times New Roman" w:hAnsi="Times New Roman" w:eastAsia="宋体" w:cs="Times New Roman"/>
          <w:sz w:val="28"/>
          <w:szCs w:val="28"/>
          <w:highlight w:val="none"/>
        </w:rPr>
      </w:pPr>
    </w:p>
    <w:p w14:paraId="63EFAF82">
      <w:pPr>
        <w:pStyle w:val="6"/>
        <w:rPr>
          <w:rFonts w:hint="default" w:ascii="Times New Roman" w:hAnsi="Times New Roman" w:eastAsia="宋体" w:cs="Times New Roman"/>
          <w:sz w:val="28"/>
          <w:szCs w:val="28"/>
          <w:highlight w:val="none"/>
        </w:rPr>
      </w:pPr>
    </w:p>
    <w:p w14:paraId="5EBD0CBE">
      <w:pPr>
        <w:rPr>
          <w:rFonts w:hint="default" w:ascii="Times New Roman" w:hAnsi="Times New Roman" w:eastAsia="宋体" w:cs="Times New Roman"/>
          <w:sz w:val="28"/>
          <w:szCs w:val="28"/>
          <w:highlight w:val="none"/>
        </w:rPr>
      </w:pPr>
    </w:p>
    <w:p w14:paraId="40B2E879">
      <w:pPr>
        <w:pStyle w:val="6"/>
        <w:rPr>
          <w:rFonts w:hint="default" w:ascii="Times New Roman" w:hAnsi="Times New Roman" w:eastAsia="宋体" w:cs="Times New Roman"/>
          <w:sz w:val="28"/>
          <w:szCs w:val="28"/>
          <w:highlight w:val="none"/>
        </w:rPr>
      </w:pPr>
    </w:p>
    <w:p w14:paraId="46DA1BEF">
      <w:pPr>
        <w:rPr>
          <w:rFonts w:hint="default" w:ascii="Times New Roman" w:hAnsi="Times New Roman" w:eastAsia="宋体" w:cs="Times New Roman"/>
          <w:sz w:val="28"/>
          <w:szCs w:val="28"/>
          <w:highlight w:val="none"/>
        </w:rPr>
      </w:pPr>
    </w:p>
    <w:p w14:paraId="5AEAC16F">
      <w:pPr>
        <w:pStyle w:val="6"/>
        <w:rPr>
          <w:rFonts w:hint="default" w:ascii="Times New Roman" w:hAnsi="Times New Roman" w:eastAsia="宋体" w:cs="Times New Roman"/>
          <w:sz w:val="28"/>
          <w:szCs w:val="28"/>
          <w:highlight w:val="none"/>
        </w:rPr>
      </w:pPr>
    </w:p>
    <w:p w14:paraId="3DD69AC6">
      <w:pPr>
        <w:rPr>
          <w:rFonts w:hint="default" w:ascii="Times New Roman" w:hAnsi="Times New Roman" w:eastAsia="宋体" w:cs="Times New Roman"/>
          <w:sz w:val="28"/>
          <w:szCs w:val="28"/>
          <w:highlight w:val="none"/>
        </w:rPr>
      </w:pPr>
    </w:p>
    <w:p w14:paraId="5A447B44">
      <w:pPr>
        <w:pStyle w:val="6"/>
        <w:rPr>
          <w:rFonts w:hint="default" w:ascii="Times New Roman" w:hAnsi="Times New Roman" w:eastAsia="宋体" w:cs="Times New Roman"/>
          <w:sz w:val="28"/>
          <w:szCs w:val="28"/>
          <w:highlight w:val="none"/>
        </w:rPr>
      </w:pPr>
    </w:p>
    <w:p w14:paraId="47CBA096">
      <w:pPr>
        <w:rPr>
          <w:rFonts w:hint="default" w:ascii="Times New Roman" w:hAnsi="Times New Roman" w:eastAsia="宋体" w:cs="Times New Roman"/>
          <w:sz w:val="28"/>
          <w:szCs w:val="28"/>
          <w:highlight w:val="none"/>
        </w:rPr>
      </w:pPr>
    </w:p>
    <w:p w14:paraId="57B4D632">
      <w:pPr>
        <w:pStyle w:val="6"/>
        <w:rPr>
          <w:rFonts w:hint="default" w:ascii="Times New Roman" w:hAnsi="Times New Roman" w:eastAsia="宋体" w:cs="Times New Roman"/>
          <w:sz w:val="28"/>
          <w:szCs w:val="28"/>
          <w:highlight w:val="none"/>
        </w:rPr>
      </w:pPr>
    </w:p>
    <w:p w14:paraId="69D6AD60">
      <w:pPr>
        <w:rPr>
          <w:rFonts w:hint="default" w:ascii="Times New Roman" w:hAnsi="Times New Roman" w:eastAsia="宋体" w:cs="Times New Roman"/>
          <w:sz w:val="28"/>
          <w:szCs w:val="28"/>
          <w:highlight w:val="none"/>
        </w:rPr>
      </w:pPr>
    </w:p>
    <w:p w14:paraId="165707B4">
      <w:pPr>
        <w:pStyle w:val="6"/>
        <w:rPr>
          <w:rFonts w:hint="default" w:ascii="Times New Roman" w:hAnsi="Times New Roman" w:eastAsia="宋体" w:cs="Times New Roman"/>
          <w:sz w:val="28"/>
          <w:szCs w:val="28"/>
          <w:highlight w:val="none"/>
        </w:rPr>
      </w:pPr>
    </w:p>
    <w:p w14:paraId="4527BB9E">
      <w:pPr>
        <w:rPr>
          <w:rFonts w:hint="default"/>
        </w:rPr>
      </w:pPr>
    </w:p>
    <w:p w14:paraId="34A03616">
      <w:pPr>
        <w:spacing w:beforeLines="0" w:afterLines="0" w:line="360" w:lineRule="auto"/>
        <w:rPr>
          <w:rFonts w:hint="default" w:ascii="Times New Roman" w:hAnsi="Times New Roman" w:eastAsia="宋体" w:cs="Times New Roman"/>
          <w:b/>
          <w:bCs/>
          <w:sz w:val="28"/>
          <w:szCs w:val="28"/>
          <w:highlight w:val="none"/>
        </w:rPr>
      </w:pPr>
      <w:r>
        <w:rPr>
          <w:rFonts w:hint="default" w:eastAsia="宋体" w:cs="Times New Roman"/>
          <w:b/>
          <w:bCs/>
          <w:sz w:val="28"/>
          <w:szCs w:val="28"/>
          <w:highlight w:val="none"/>
          <w:lang w:val="en-US" w:eastAsia="zh-CN"/>
        </w:rPr>
        <w:t xml:space="preserve">    </w:t>
      </w:r>
      <w:r>
        <w:rPr>
          <w:rFonts w:hint="default" w:ascii="Times New Roman" w:hAnsi="Times New Roman" w:eastAsia="宋体" w:cs="Times New Roman"/>
          <w:b/>
          <w:bCs/>
          <w:sz w:val="28"/>
          <w:szCs w:val="28"/>
          <w:highlight w:val="none"/>
          <w:lang w:eastAsia="zh-CN"/>
        </w:rPr>
        <w:t>三</w:t>
      </w:r>
      <w:r>
        <w:rPr>
          <w:rFonts w:hint="default" w:ascii="Times New Roman" w:hAnsi="Times New Roman" w:eastAsia="宋体" w:cs="Times New Roman"/>
          <w:b/>
          <w:bCs/>
          <w:sz w:val="28"/>
          <w:szCs w:val="28"/>
          <w:highlight w:val="none"/>
        </w:rPr>
        <w:t>、技术</w:t>
      </w:r>
      <w:r>
        <w:rPr>
          <w:rFonts w:hint="default" w:ascii="Times New Roman" w:hAnsi="Times New Roman" w:eastAsia="宋体" w:cs="Times New Roman"/>
          <w:b/>
          <w:bCs/>
          <w:sz w:val="28"/>
          <w:szCs w:val="28"/>
          <w:highlight w:val="none"/>
          <w:lang w:eastAsia="zh-CN"/>
        </w:rPr>
        <w:t>要求</w:t>
      </w:r>
    </w:p>
    <w:tbl>
      <w:tblPr>
        <w:tblStyle w:val="23"/>
        <w:tblW w:w="10659" w:type="dxa"/>
        <w:tblInd w:w="-1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927"/>
        <w:gridCol w:w="5617"/>
        <w:gridCol w:w="700"/>
        <w:gridCol w:w="475"/>
        <w:gridCol w:w="1575"/>
        <w:gridCol w:w="825"/>
      </w:tblGrid>
      <w:tr w14:paraId="6BF8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802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27" w:type="dxa"/>
            <w:tcBorders>
              <w:top w:val="single" w:color="000000" w:sz="4" w:space="0"/>
              <w:left w:val="nil"/>
              <w:bottom w:val="single" w:color="000000" w:sz="4" w:space="0"/>
              <w:right w:val="single" w:color="000000" w:sz="4" w:space="0"/>
            </w:tcBorders>
            <w:noWrap w:val="0"/>
            <w:vAlign w:val="center"/>
          </w:tcPr>
          <w:p w14:paraId="0D524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3611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主要技术说明</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49B6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89C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161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参考图片</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4152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备注</w:t>
            </w:r>
          </w:p>
        </w:tc>
      </w:tr>
      <w:tr w14:paraId="16A3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4"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F33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7" w:type="dxa"/>
            <w:tcBorders>
              <w:top w:val="single" w:color="000000" w:sz="4" w:space="0"/>
              <w:left w:val="nil"/>
              <w:bottom w:val="single" w:color="000000" w:sz="4" w:space="0"/>
              <w:right w:val="single" w:color="000000" w:sz="4" w:space="0"/>
            </w:tcBorders>
            <w:noWrap w:val="0"/>
            <w:vAlign w:val="center"/>
          </w:tcPr>
          <w:p w14:paraId="6A90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双炒单温灶</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45E18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1：尺寸≥：1800*1000*800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2：燃料：天然气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3：电压：50Hz/220V；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4：功率：220v/250W+250W；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5：炉面均采用1.2㎜ SUS201不锈钢板材；水围基1.2㎜不锈钢板材；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6：炉面背面由不锈钢碰钉加固在骨架3㎜铁板上，中间添加耐火材料，起到良好的隔热效果；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7：炉身及炉背板1.2㎜不锈钢板材；炉体骨架50*50*5㎜国标角铁，黑铁炉膛结构3㎜铁板；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8：炉通脚采用Φ50㎜镀锌管外套1.2㎜不锈钢管以及可调炉身高度的不锈钢子弹脚；炉膛内采用耐火隔热棉以及耐火水泥结构；配备气阀、安全阀、风阀、风管等部件。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★整机性能符合GB35848-2024强制标准，通过CCC强制认证,取得CCC认证证书；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B57F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2FB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101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30480</wp:posOffset>
                  </wp:positionH>
                  <wp:positionV relativeFrom="paragraph">
                    <wp:posOffset>175895</wp:posOffset>
                  </wp:positionV>
                  <wp:extent cx="836930" cy="781050"/>
                  <wp:effectExtent l="0" t="0" r="1270" b="0"/>
                  <wp:wrapNone/>
                  <wp:docPr id="17" name="图片_1"/>
                  <wp:cNvGraphicFramePr/>
                  <a:graphic xmlns:a="http://schemas.openxmlformats.org/drawingml/2006/main">
                    <a:graphicData uri="http://schemas.openxmlformats.org/drawingml/2006/picture">
                      <pic:pic xmlns:pic="http://schemas.openxmlformats.org/drawingml/2006/picture">
                        <pic:nvPicPr>
                          <pic:cNvPr id="17" name="图片_1"/>
                          <pic:cNvPicPr/>
                        </pic:nvPicPr>
                        <pic:blipFill>
                          <a:blip r:embed="rId15"/>
                          <a:stretch>
                            <a:fillRect/>
                          </a:stretch>
                        </pic:blipFill>
                        <pic:spPr>
                          <a:xfrm>
                            <a:off x="0" y="0"/>
                            <a:ext cx="836930" cy="78105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80A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42C7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5B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2A5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800双大锅灶</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07FC85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1：尺寸≥：2000*1200*800，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2：燃料：天然气；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3：电压：50Hz/220V；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4：功率：220v/250W+250W；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5：炉面均采用1.2㎜ SUS201不锈钢板材；水围基1.2㎜不锈钢板材；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6：炉面背面由不锈钢碰钉加固在骨架3㎜铁板上，中间添加耐火材料，起到良好的隔热效果；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7：炉身及炉背板1.2㎜不锈钢板材；炉体骨架50*50*5㎜国标角铁，黑铁炉膛结构3㎜铁板；炉通脚采用Φ50㎜镀锌管外套1.2㎜不锈钢管以及可调炉身高度的不锈钢子弹脚；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8：炉膛内采用耐火隔热棉以及耐火水泥结构；配备气阀、安全阀、风阀、风管等部件。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★整机性能符合GB35848-2024强制标准，通过CCC强制认证,取得CCC认证证书；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A22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A9DD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994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-29845</wp:posOffset>
                  </wp:positionH>
                  <wp:positionV relativeFrom="paragraph">
                    <wp:posOffset>-234315</wp:posOffset>
                  </wp:positionV>
                  <wp:extent cx="923925" cy="797560"/>
                  <wp:effectExtent l="0" t="0" r="9525" b="2540"/>
                  <wp:wrapNone/>
                  <wp:docPr id="18" name="图片_6"/>
                  <wp:cNvGraphicFramePr/>
                  <a:graphic xmlns:a="http://schemas.openxmlformats.org/drawingml/2006/main">
                    <a:graphicData uri="http://schemas.openxmlformats.org/drawingml/2006/picture">
                      <pic:pic xmlns:pic="http://schemas.openxmlformats.org/drawingml/2006/picture">
                        <pic:nvPicPr>
                          <pic:cNvPr id="18" name="图片_6"/>
                          <pic:cNvPicPr/>
                        </pic:nvPicPr>
                        <pic:blipFill>
                          <a:blip r:embed="rId15"/>
                          <a:stretch>
                            <a:fillRect/>
                          </a:stretch>
                        </pic:blipFill>
                        <pic:spPr>
                          <a:xfrm>
                            <a:off x="0" y="0"/>
                            <a:ext cx="923925" cy="79756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248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A96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4"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4A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27" w:type="dxa"/>
            <w:tcBorders>
              <w:top w:val="single" w:color="000000" w:sz="4" w:space="0"/>
              <w:left w:val="nil"/>
              <w:bottom w:val="single" w:color="000000" w:sz="4" w:space="0"/>
              <w:right w:val="single" w:color="000000" w:sz="4" w:space="0"/>
            </w:tcBorders>
            <w:noWrap w:val="0"/>
            <w:vAlign w:val="center"/>
          </w:tcPr>
          <w:p w14:paraId="3A06D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1米单大锅燃气灶</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736913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1：尺寸≥：1300*1300*800，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2：燃料：天然气；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3：电压：50Hz/220V；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5：炉面均采用1.2㎜ SUS201不锈钢板材；水围基1.2㎜不锈钢板材；炉面背面由不锈钢碰钉加固在骨架3㎜铁板上，中间添加耐火材料，起到良好的隔热效果；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6：炉身及炉背板1.2㎜不锈钢板材；炉体骨架50*50*5㎜国标角铁，黑铁炉膛结构3㎜铁板；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7：炉通脚采用Φ50㎜镀锌管外套1.2㎜不锈钢管以及可调炉身高度的不锈钢子弹脚；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8：炉膛内采用耐火隔热棉以及耐火水泥结构；配备气阀、安全阀、风阀、风管等部件。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9：★整机性能符合GB35848-2024强制标准，通过CCC强制认证,取得CCC认证证书；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5800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4230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8854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1905</wp:posOffset>
                  </wp:positionH>
                  <wp:positionV relativeFrom="paragraph">
                    <wp:posOffset>389255</wp:posOffset>
                  </wp:positionV>
                  <wp:extent cx="871220" cy="648335"/>
                  <wp:effectExtent l="0" t="0" r="5080" b="18415"/>
                  <wp:wrapNone/>
                  <wp:docPr id="19" name="图片_2"/>
                  <wp:cNvGraphicFramePr/>
                  <a:graphic xmlns:a="http://schemas.openxmlformats.org/drawingml/2006/main">
                    <a:graphicData uri="http://schemas.openxmlformats.org/drawingml/2006/picture">
                      <pic:pic xmlns:pic="http://schemas.openxmlformats.org/drawingml/2006/picture">
                        <pic:nvPicPr>
                          <pic:cNvPr id="19" name="图片_2"/>
                          <pic:cNvPicPr/>
                        </pic:nvPicPr>
                        <pic:blipFill>
                          <a:blip r:embed="rId16"/>
                          <a:stretch>
                            <a:fillRect/>
                          </a:stretch>
                        </pic:blipFill>
                        <pic:spPr>
                          <a:xfrm>
                            <a:off x="0" y="0"/>
                            <a:ext cx="871220" cy="64833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6D3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68A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9D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7" w:type="dxa"/>
            <w:tcBorders>
              <w:top w:val="single" w:color="000000" w:sz="4" w:space="0"/>
              <w:left w:val="nil"/>
              <w:bottom w:val="single" w:color="000000" w:sz="4" w:space="0"/>
              <w:right w:val="single" w:color="000000" w:sz="4" w:space="0"/>
            </w:tcBorders>
            <w:noWrap w:val="0"/>
            <w:vAlign w:val="center"/>
          </w:tcPr>
          <w:p w14:paraId="60C1A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炉间平台</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4B022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1、材质：304不锈钢磨砂板；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2、台面：采用厚度为1.2mm不锈钢板制作，底部用1.2mm优质不锈钢U形材作加强筋；</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4F5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EB1A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291A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191135</wp:posOffset>
                  </wp:positionH>
                  <wp:positionV relativeFrom="paragraph">
                    <wp:posOffset>85725</wp:posOffset>
                  </wp:positionV>
                  <wp:extent cx="572135" cy="610235"/>
                  <wp:effectExtent l="0" t="0" r="18415" b="18415"/>
                  <wp:wrapNone/>
                  <wp:docPr id="20" name="图片_3"/>
                  <wp:cNvGraphicFramePr/>
                  <a:graphic xmlns:a="http://schemas.openxmlformats.org/drawingml/2006/main">
                    <a:graphicData uri="http://schemas.openxmlformats.org/drawingml/2006/picture">
                      <pic:pic xmlns:pic="http://schemas.openxmlformats.org/drawingml/2006/picture">
                        <pic:nvPicPr>
                          <pic:cNvPr id="20" name="图片_3"/>
                          <pic:cNvPicPr/>
                        </pic:nvPicPr>
                        <pic:blipFill>
                          <a:blip r:embed="rId17"/>
                          <a:stretch>
                            <a:fillRect/>
                          </a:stretch>
                        </pic:blipFill>
                        <pic:spPr>
                          <a:xfrm>
                            <a:off x="0" y="0"/>
                            <a:ext cx="572135" cy="61023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9F1D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346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735B451">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927" w:type="dxa"/>
            <w:tcBorders>
              <w:top w:val="single" w:color="000000" w:sz="4" w:space="0"/>
              <w:left w:val="nil"/>
              <w:bottom w:val="single" w:color="000000" w:sz="4" w:space="0"/>
              <w:right w:val="single" w:color="000000" w:sz="4" w:space="0"/>
            </w:tcBorders>
            <w:noWrap w:val="0"/>
            <w:vAlign w:val="center"/>
          </w:tcPr>
          <w:p w14:paraId="0635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长方形铁板烧</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74F161E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1：尺寸≥：2000*900*800；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2：电压：50Hz/</w:t>
            </w:r>
            <w:r>
              <w:rPr>
                <w:rFonts w:hint="eastAsia" w:ascii="宋体" w:hAnsi="宋体" w:cs="宋体"/>
                <w:i w:val="0"/>
                <w:iCs w:val="0"/>
                <w:color w:val="000000"/>
                <w:kern w:val="0"/>
                <w:sz w:val="18"/>
                <w:szCs w:val="18"/>
                <w:u w:val="none"/>
                <w:lang w:val="en-US" w:eastAsia="zh-CN" w:bidi="ar"/>
              </w:rPr>
              <w:t>220</w:t>
            </w:r>
            <w:r>
              <w:rPr>
                <w:rFonts w:hint="eastAsia" w:ascii="宋体" w:hAnsi="宋体" w:eastAsia="宋体" w:cs="宋体"/>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3：台面采用1.2mm SUS304不锈钢板材，厚度≥10mm，耐高温不变形；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阀自带安全熄火装置，确保用户使用安全，带电子点火功能，方便快捷扒板表面温度可根据不同的食材设定不同的温度配置抽拉式活动的盛油盆，易于油脂收集及清洁内设置隔热板，提高热效率，防止外部过热仅需20分钟扒板表面温度可达到300℃的使用温度，烤区表面最高温度可达到320℃左右扒板坑，平可任意挑选，扒板表面镀铬，不镀铬可任意挑选使用过程中，禁止手触摸扒板，以免造成烫伤</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EB7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AB8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931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108585</wp:posOffset>
                  </wp:positionH>
                  <wp:positionV relativeFrom="paragraph">
                    <wp:posOffset>143510</wp:posOffset>
                  </wp:positionV>
                  <wp:extent cx="757555" cy="579120"/>
                  <wp:effectExtent l="0" t="0" r="4445" b="11430"/>
                  <wp:wrapNone/>
                  <wp:docPr id="21" name="图片_21"/>
                  <wp:cNvGraphicFramePr/>
                  <a:graphic xmlns:a="http://schemas.openxmlformats.org/drawingml/2006/main">
                    <a:graphicData uri="http://schemas.openxmlformats.org/drawingml/2006/picture">
                      <pic:pic xmlns:pic="http://schemas.openxmlformats.org/drawingml/2006/picture">
                        <pic:nvPicPr>
                          <pic:cNvPr id="21" name="图片_21"/>
                          <pic:cNvPicPr/>
                        </pic:nvPicPr>
                        <pic:blipFill>
                          <a:blip r:embed="rId18"/>
                          <a:stretch>
                            <a:fillRect/>
                          </a:stretch>
                        </pic:blipFill>
                        <pic:spPr>
                          <a:xfrm>
                            <a:off x="0" y="0"/>
                            <a:ext cx="757555" cy="57912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850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1F36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9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w:t>
            </w:r>
          </w:p>
        </w:tc>
        <w:tc>
          <w:tcPr>
            <w:tcW w:w="927" w:type="dxa"/>
            <w:tcBorders>
              <w:top w:val="single" w:color="000000" w:sz="4" w:space="0"/>
              <w:left w:val="nil"/>
              <w:bottom w:val="single" w:color="000000" w:sz="4" w:space="0"/>
              <w:right w:val="single" w:color="000000" w:sz="4" w:space="0"/>
            </w:tcBorders>
            <w:noWrap w:val="0"/>
            <w:vAlign w:val="center"/>
          </w:tcPr>
          <w:p w14:paraId="78BF3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冷藏工作台</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547C0B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1、尺寸（长*宽*高）：≥1800*760*800（mm）；温度（指可设定温度）：+10℃～-1℃；电源220V/50Hz，功率：≥200W；                          2、台面、门板、侧板、内板均为不锈钢材质，耐腐蚀、高硬度；配可调节可拆卸网架2个，可放置1/1或2/1GN盆；带可刹停万向脚轮；带除霜水自蒸发系统，无需接地漏；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3、在实验室零上38度的极端温度环境下也能正常制冷；稳定的制冷系统；使用环保冷媒，使用冷媒用量体积容积更小，更节能；箱体整体发泡，柜体厚度≥50mm，保温效果更好； 前置出风口，确保散热效果，保证设备性能；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4、▲产品符合（包括但不限于）：依据GB/T 17626.2-2018、GB/T 17626.3-2023、GB/T 17626.4-2018、GB/T 17626.5-2019、GB/T 17626.6-2017、GB/T 17626.11-2023、GB/T 17626.12-2023等标准进行电磁兼容检测，检测结果合格；按GB/T2423.3-2016标准进行持续时间为24h的恒定湿热试验，温度（40±2）℃，相对湿度（93±3）％RH，试验结束后样品应能正常工作；按GB/T2423.4-2008 标准进行（12h+12h 循环）的交变湿热试验，试验结束后样品应能正常工作；提供第三方检测机构出具的至少带CMA标识的检验（测）报告佐证本条参数；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5、▲蒸发器类型：风冷；净容积：≥400L；冷柜间室温度等级不低于H2级（+10℃～-1℃）标准下，总能量消耗：≤2kwh/24h，能效等级达到1级，提供能源效率检测报告佐证参数；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07E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F642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3E6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161925</wp:posOffset>
                  </wp:positionH>
                  <wp:positionV relativeFrom="paragraph">
                    <wp:posOffset>-180975</wp:posOffset>
                  </wp:positionV>
                  <wp:extent cx="639445" cy="561975"/>
                  <wp:effectExtent l="0" t="0" r="8255" b="9525"/>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19"/>
                          <a:stretch>
                            <a:fillRect/>
                          </a:stretch>
                        </pic:blipFill>
                        <pic:spPr>
                          <a:xfrm>
                            <a:off x="0" y="0"/>
                            <a:ext cx="639445" cy="56197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26A2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2280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B8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7</w:t>
            </w:r>
          </w:p>
        </w:tc>
        <w:tc>
          <w:tcPr>
            <w:tcW w:w="927" w:type="dxa"/>
            <w:tcBorders>
              <w:top w:val="single" w:color="000000" w:sz="4" w:space="0"/>
              <w:left w:val="nil"/>
              <w:bottom w:val="single" w:color="000000" w:sz="4" w:space="0"/>
              <w:right w:val="single" w:color="000000" w:sz="4" w:space="0"/>
            </w:tcBorders>
            <w:noWrap w:val="0"/>
            <w:vAlign w:val="center"/>
          </w:tcPr>
          <w:p w14:paraId="4985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矮汤燃气灶</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0A7F0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1：尺寸≥：1200*700*550，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2：燃料：天然气；电压：50Hz/220V；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3：功率：220v/250W+250W；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4：中间添加耐火材料，起到良好的隔热效果；炉身及炉背板1.2㎜不锈钢板材；炉体骨架50*50*5㎜国标角铁，黑铁炉膛结构3㎜铁板；炉通脚采用Φ50㎜镀锌管外套1.2㎜不锈钢管以及可调炉身高度的不锈钢子弹脚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5：炉膛内采用耐火隔热棉以及耐火水泥结构；配备气阀、安全阀、风阀、风管等部件。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6：★整机性能符合GB35848-2024强制标准，通过CCC强制认证,取得CCC认证证书；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A56C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9C4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B69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116840</wp:posOffset>
                  </wp:positionH>
                  <wp:positionV relativeFrom="paragraph">
                    <wp:posOffset>340995</wp:posOffset>
                  </wp:positionV>
                  <wp:extent cx="676275" cy="730885"/>
                  <wp:effectExtent l="0" t="0" r="9525" b="12065"/>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20"/>
                          <a:stretch>
                            <a:fillRect/>
                          </a:stretch>
                        </pic:blipFill>
                        <pic:spPr>
                          <a:xfrm>
                            <a:off x="0" y="0"/>
                            <a:ext cx="676275" cy="73088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B61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40E4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09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8</w:t>
            </w:r>
          </w:p>
        </w:tc>
        <w:tc>
          <w:tcPr>
            <w:tcW w:w="927" w:type="dxa"/>
            <w:tcBorders>
              <w:top w:val="single" w:color="000000" w:sz="4" w:space="0"/>
              <w:left w:val="nil"/>
              <w:bottom w:val="single" w:color="000000" w:sz="4" w:space="0"/>
              <w:right w:val="single" w:color="000000" w:sz="4" w:space="0"/>
            </w:tcBorders>
            <w:noWrap w:val="0"/>
            <w:vAlign w:val="center"/>
          </w:tcPr>
          <w:p w14:paraId="763A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双通道打荷台</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0668B6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1、材质：304不锈钢磨砂板；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2、台面：采用厚度≥1.2mm不锈钢板制作，底部用≥1.0mm不锈钢U形材作加强筋；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3、层板：采用厚度为≥1.0mm不锈钢板制作，底部用≥1.0mm不锈钢U形材作加强筋；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4、围板：采用厚度为≥1.0mm不锈钢板制作；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5、配全钢可调重力脚；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6、尺寸：1800mm*800mm*800mm（±50mm）。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B6F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60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DCEA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85725</wp:posOffset>
                  </wp:positionH>
                  <wp:positionV relativeFrom="paragraph">
                    <wp:posOffset>-133350</wp:posOffset>
                  </wp:positionV>
                  <wp:extent cx="620395" cy="628650"/>
                  <wp:effectExtent l="0" t="0" r="8255" b="0"/>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21"/>
                          <a:stretch>
                            <a:fillRect/>
                          </a:stretch>
                        </pic:blipFill>
                        <pic:spPr>
                          <a:xfrm>
                            <a:off x="0" y="0"/>
                            <a:ext cx="620395" cy="62865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4500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DD3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15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w:t>
            </w:r>
          </w:p>
        </w:tc>
        <w:tc>
          <w:tcPr>
            <w:tcW w:w="927" w:type="dxa"/>
            <w:tcBorders>
              <w:top w:val="single" w:color="000000" w:sz="4" w:space="0"/>
              <w:left w:val="nil"/>
              <w:bottom w:val="single" w:color="000000" w:sz="4" w:space="0"/>
              <w:right w:val="single" w:color="000000" w:sz="4" w:space="0"/>
            </w:tcBorders>
            <w:noWrap/>
            <w:vAlign w:val="center"/>
          </w:tcPr>
          <w:p w14:paraId="7BE09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双门蒸饭车</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0C4E6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1：外形尺寸： 1</w:t>
            </w:r>
            <w:r>
              <w:rPr>
                <w:rFonts w:hint="eastAsia" w:ascii="宋体" w:hAnsi="宋体" w:cs="宋体"/>
                <w:i w:val="0"/>
                <w:iCs w:val="0"/>
                <w:color w:val="000000"/>
                <w:kern w:val="0"/>
                <w:sz w:val="18"/>
                <w:szCs w:val="18"/>
                <w:u w:val="none"/>
                <w:lang w:val="en-US" w:eastAsia="zh-CN" w:bidi="ar"/>
              </w:rPr>
              <w:t>39</w:t>
            </w:r>
            <w:r>
              <w:rPr>
                <w:rFonts w:hint="eastAsia" w:ascii="宋体" w:hAnsi="宋体" w:eastAsia="宋体" w:cs="宋体"/>
                <w:i w:val="0"/>
                <w:iCs w:val="0"/>
                <w:color w:val="000000"/>
                <w:kern w:val="0"/>
                <w:sz w:val="18"/>
                <w:szCs w:val="18"/>
                <w:u w:val="none"/>
                <w:lang w:val="en-US" w:eastAsia="zh-CN" w:bidi="ar"/>
              </w:rPr>
              <w:t>0*700*17</w:t>
            </w:r>
            <w:r>
              <w:rPr>
                <w:rFonts w:hint="eastAsia" w:ascii="宋体" w:hAnsi="宋体" w:cs="宋体"/>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门24盘燃气蒸饭柜，可换底，便于维修，采用优质不锈钢制作,清洁卫生,坚固耐用;特殊整机全封闭式发泡工艺、保温、节能、高效；不锈钢饭盆采用一次性冲压成形的特殊工艺,新款优质耐温、耐压、高弹性硅胶门封，密封牢固；采用名厂元件，用燃气愤更节省、更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3：独特设计的自动式门体锁紧装置，方便实用；全自动浮球进水功能，缺水自给，满水自停；安全卸压汽阀，保障柜体安使配有12个不锈钢蒸饭盘、12个不锈钢馒头盘。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4、★整机性能符合GB35848-2024强制标准，通过CCC强制认证,取得CCC认证证书；</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A6F9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ign w:val="center"/>
          </w:tcPr>
          <w:p w14:paraId="2EFD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2F8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259080</wp:posOffset>
                  </wp:positionH>
                  <wp:positionV relativeFrom="paragraph">
                    <wp:posOffset>642620</wp:posOffset>
                  </wp:positionV>
                  <wp:extent cx="538480" cy="802005"/>
                  <wp:effectExtent l="0" t="0" r="13970" b="17145"/>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22"/>
                          <a:stretch>
                            <a:fillRect/>
                          </a:stretch>
                        </pic:blipFill>
                        <pic:spPr>
                          <a:xfrm>
                            <a:off x="0" y="0"/>
                            <a:ext cx="538480" cy="80200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C63F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F15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D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10</w:t>
            </w:r>
          </w:p>
        </w:tc>
        <w:tc>
          <w:tcPr>
            <w:tcW w:w="927" w:type="dxa"/>
            <w:tcBorders>
              <w:top w:val="single" w:color="000000" w:sz="4" w:space="0"/>
              <w:left w:val="nil"/>
              <w:bottom w:val="single" w:color="000000" w:sz="4" w:space="0"/>
              <w:right w:val="single" w:color="000000" w:sz="4" w:space="0"/>
            </w:tcBorders>
            <w:noWrap w:val="0"/>
            <w:vAlign w:val="center"/>
          </w:tcPr>
          <w:p w14:paraId="55809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电烤箱</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392C3E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1、采用微电脑控制，面火加装均火网款，使上层受热更均匀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2、不锈钢拉丝板，品质保证，全玻璃炉门带大视窗设计配有照明灯，可随时了解烘烤情况。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3、全封闭式整体环保耐高温材料，保温性能优越。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4、数字显示温控器，配有数显定时报警装置，超温安全保护。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5、炉面火、炉底火温度独立控制、使食物烘烤更均匀。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6、万象脚轮设计，移动更便捷、更省力。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7、功率：≤19.8KW，规格：≥1340*950*1690mm。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▲8、产品质量安全：提供所投产品（电热食品加工设备)全国工业产品生产许可证,提供所投产品食品接触产品安全认证证书并经全国认证认可信息公共服务平台证书查询截图。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9BA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2C9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D0BE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22225</wp:posOffset>
                  </wp:positionH>
                  <wp:positionV relativeFrom="paragraph">
                    <wp:posOffset>133985</wp:posOffset>
                  </wp:positionV>
                  <wp:extent cx="862965" cy="1031875"/>
                  <wp:effectExtent l="0" t="0" r="13335" b="15875"/>
                  <wp:wrapNone/>
                  <wp:docPr id="5" name="图片_43"/>
                  <wp:cNvGraphicFramePr/>
                  <a:graphic xmlns:a="http://schemas.openxmlformats.org/drawingml/2006/main">
                    <a:graphicData uri="http://schemas.openxmlformats.org/drawingml/2006/picture">
                      <pic:pic xmlns:pic="http://schemas.openxmlformats.org/drawingml/2006/picture">
                        <pic:nvPicPr>
                          <pic:cNvPr id="5" name="图片_43"/>
                          <pic:cNvPicPr/>
                        </pic:nvPicPr>
                        <pic:blipFill>
                          <a:blip r:embed="rId23"/>
                          <a:stretch>
                            <a:fillRect/>
                          </a:stretch>
                        </pic:blipFill>
                        <pic:spPr>
                          <a:xfrm>
                            <a:off x="0" y="0"/>
                            <a:ext cx="862965" cy="103187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E8D98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4E23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0D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927" w:type="dxa"/>
            <w:tcBorders>
              <w:top w:val="single" w:color="000000" w:sz="4" w:space="0"/>
              <w:left w:val="nil"/>
              <w:bottom w:val="single" w:color="000000" w:sz="4" w:space="0"/>
              <w:right w:val="single" w:color="000000" w:sz="4" w:space="0"/>
            </w:tcBorders>
            <w:noWrap w:val="0"/>
            <w:vAlign w:val="center"/>
          </w:tcPr>
          <w:p w14:paraId="1688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滚动式和面机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5ADBF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1：功率：380V/2.2KW，250kg/h，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2：缸体采用双蜗轮变速传动，结构紧凑，传动平稳，噪声小，面缸、搅拌器、刮刀、缸圈均采用不锈钢浇铸而成，经精心加工，表面处理，光亮洁滑，美观实用。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3：尺寸≥：920×820×850mm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2E7AD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E9A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F5F6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104775</wp:posOffset>
                  </wp:positionH>
                  <wp:positionV relativeFrom="paragraph">
                    <wp:posOffset>92075</wp:posOffset>
                  </wp:positionV>
                  <wp:extent cx="676910" cy="737235"/>
                  <wp:effectExtent l="0" t="0" r="8890" b="5715"/>
                  <wp:wrapNone/>
                  <wp:docPr id="6" name="图片_2_SpCnt_1"/>
                  <wp:cNvGraphicFramePr/>
                  <a:graphic xmlns:a="http://schemas.openxmlformats.org/drawingml/2006/main">
                    <a:graphicData uri="http://schemas.openxmlformats.org/drawingml/2006/picture">
                      <pic:pic xmlns:pic="http://schemas.openxmlformats.org/drawingml/2006/picture">
                        <pic:nvPicPr>
                          <pic:cNvPr id="6" name="图片_2_SpCnt_1"/>
                          <pic:cNvPicPr/>
                        </pic:nvPicPr>
                        <pic:blipFill>
                          <a:blip r:embed="rId24"/>
                          <a:stretch>
                            <a:fillRect/>
                          </a:stretch>
                        </pic:blipFill>
                        <pic:spPr>
                          <a:xfrm>
                            <a:off x="0" y="0"/>
                            <a:ext cx="676910" cy="73723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08C7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E3A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C5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927" w:type="dxa"/>
            <w:tcBorders>
              <w:top w:val="single" w:color="000000" w:sz="4" w:space="0"/>
              <w:left w:val="nil"/>
              <w:bottom w:val="single" w:color="000000" w:sz="4" w:space="0"/>
              <w:right w:val="single" w:color="000000" w:sz="4" w:space="0"/>
            </w:tcBorders>
            <w:noWrap w:val="0"/>
            <w:vAlign w:val="center"/>
          </w:tcPr>
          <w:p w14:paraId="5E0A5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工程款压面机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4B5B4E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1：不锈钢压面机，用时打开，用完关闭，密封严实，安全卫生。</w:t>
            </w:r>
          </w:p>
          <w:p w14:paraId="1CF04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2：链条传动，经久耐用，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3：可调节面皮厚度，可压宽、细面条。操作方便、简单</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C288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3EAE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445E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151765</wp:posOffset>
                  </wp:positionH>
                  <wp:positionV relativeFrom="paragraph">
                    <wp:posOffset>76835</wp:posOffset>
                  </wp:positionV>
                  <wp:extent cx="627380" cy="575310"/>
                  <wp:effectExtent l="0" t="0" r="1270" b="15240"/>
                  <wp:wrapNone/>
                  <wp:docPr id="11" name="图片_9"/>
                  <wp:cNvGraphicFramePr/>
                  <a:graphic xmlns:a="http://schemas.openxmlformats.org/drawingml/2006/main">
                    <a:graphicData uri="http://schemas.openxmlformats.org/drawingml/2006/picture">
                      <pic:pic xmlns:pic="http://schemas.openxmlformats.org/drawingml/2006/picture">
                        <pic:nvPicPr>
                          <pic:cNvPr id="11" name="图片_9"/>
                          <pic:cNvPicPr/>
                        </pic:nvPicPr>
                        <pic:blipFill>
                          <a:blip r:embed="rId25"/>
                          <a:stretch>
                            <a:fillRect/>
                          </a:stretch>
                        </pic:blipFill>
                        <pic:spPr>
                          <a:xfrm>
                            <a:off x="0" y="0"/>
                            <a:ext cx="627380" cy="57531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CA2B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AF2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C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927" w:type="dxa"/>
            <w:tcBorders>
              <w:top w:val="single" w:color="000000" w:sz="4" w:space="0"/>
              <w:left w:val="nil"/>
              <w:bottom w:val="single" w:color="000000" w:sz="4" w:space="0"/>
              <w:right w:val="single" w:color="000000" w:sz="4" w:space="0"/>
            </w:tcBorders>
            <w:noWrap w:val="0"/>
            <w:vAlign w:val="center"/>
          </w:tcPr>
          <w:p w14:paraId="1A479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开水器(带底座）</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6F9BB43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1.功率：12kW</w:t>
            </w:r>
          </w:p>
          <w:p w14:paraId="730744A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2.电压：380V</w:t>
            </w:r>
          </w:p>
          <w:p w14:paraId="13155A7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3.电流：18.2A</w:t>
            </w:r>
          </w:p>
          <w:p w14:paraId="2BBBF5E4">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4.首沸时间：30-35min</w:t>
            </w:r>
          </w:p>
          <w:p w14:paraId="5DC75D8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5.水箱容量：60L</w:t>
            </w:r>
          </w:p>
          <w:p w14:paraId="7504601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6.开水量：150L/h</w:t>
            </w:r>
          </w:p>
          <w:p w14:paraId="550986D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7.水压：0.05-0.3MPa</w:t>
            </w:r>
          </w:p>
          <w:p w14:paraId="7FECEE2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8.外形尺寸：480*400*910mm</w:t>
            </w:r>
          </w:p>
          <w:p w14:paraId="4B10DD8E">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9.底座外形尺寸：530*540*430mm</w:t>
            </w:r>
          </w:p>
          <w:p w14:paraId="34F3ECE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10.整机内胆采用食品级304不锈钢板材，安全合规，适配饮用水场景使用要求</w:t>
            </w:r>
          </w:p>
          <w:p w14:paraId="0EDB5D8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11.配备自制加粗纯铜含镍加热管，具备自动脱落水垢功能，减少水垢堆积，延长设备使用寿命</w:t>
            </w:r>
          </w:p>
          <w:p w14:paraId="34E8268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12.采用整体聚氨酯发泡工艺，保温效果优异，机身不烫手，节能效率可达60%以上</w:t>
            </w:r>
          </w:p>
          <w:p w14:paraId="75AC1777">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13.具备缺水断电防干烧功能，水位到达最低值时自动关闭加热功能，大幅提升使用安全性</w:t>
            </w:r>
          </w:p>
          <w:p w14:paraId="07FEF8F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14.配备纯铜防漏水水龙头，结构稳固，安全耐用，出水稳定</w:t>
            </w:r>
          </w:p>
          <w:p w14:paraId="3E8995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15.电器元件由国内知名企业提供，设备运行性能稳定可靠，适配长期高频商用场景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E3A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3D75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5C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263525</wp:posOffset>
                  </wp:positionH>
                  <wp:positionV relativeFrom="paragraph">
                    <wp:posOffset>299720</wp:posOffset>
                  </wp:positionV>
                  <wp:extent cx="579755" cy="533400"/>
                  <wp:effectExtent l="0" t="0" r="10795" b="0"/>
                  <wp:wrapNone/>
                  <wp:docPr id="15" name="图片_10"/>
                  <wp:cNvGraphicFramePr/>
                  <a:graphic xmlns:a="http://schemas.openxmlformats.org/drawingml/2006/main">
                    <a:graphicData uri="http://schemas.openxmlformats.org/drawingml/2006/picture">
                      <pic:pic xmlns:pic="http://schemas.openxmlformats.org/drawingml/2006/picture">
                        <pic:nvPicPr>
                          <pic:cNvPr id="15" name="图片_10"/>
                          <pic:cNvPicPr/>
                        </pic:nvPicPr>
                        <pic:blipFill>
                          <a:blip r:embed="rId26"/>
                          <a:stretch>
                            <a:fillRect/>
                          </a:stretch>
                        </pic:blipFill>
                        <pic:spPr>
                          <a:xfrm>
                            <a:off x="0" y="0"/>
                            <a:ext cx="579755" cy="53340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3F5A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926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5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927" w:type="dxa"/>
            <w:tcBorders>
              <w:top w:val="single" w:color="000000" w:sz="4" w:space="0"/>
              <w:left w:val="nil"/>
              <w:bottom w:val="single" w:color="000000" w:sz="4" w:space="0"/>
              <w:right w:val="single" w:color="000000" w:sz="4" w:space="0"/>
            </w:tcBorders>
            <w:noWrap w:val="0"/>
            <w:vAlign w:val="center"/>
          </w:tcPr>
          <w:p w14:paraId="25AE2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不锈钢油网烟罩</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5DC5E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1：罩体必须焊接组装成一整体，装配不锈钢网型过滤板。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2：油槽接口不得漏油，配备接油盒及烟罩防雾灯，烟罩内装不锈钢可调节钢丝吊绳。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3：隔油网工艺要求S型，隔油网工艺要求折死角边，所有连接处必须段焊，背面U型边压死角边形成加强筋，连接处为满焊。</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7E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18F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5556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166370</wp:posOffset>
                  </wp:positionH>
                  <wp:positionV relativeFrom="paragraph">
                    <wp:posOffset>260985</wp:posOffset>
                  </wp:positionV>
                  <wp:extent cx="664210" cy="637540"/>
                  <wp:effectExtent l="0" t="0" r="2540" b="10160"/>
                  <wp:wrapNone/>
                  <wp:docPr id="22" name="图片_11"/>
                  <wp:cNvGraphicFramePr/>
                  <a:graphic xmlns:a="http://schemas.openxmlformats.org/drawingml/2006/main">
                    <a:graphicData uri="http://schemas.openxmlformats.org/drawingml/2006/picture">
                      <pic:pic xmlns:pic="http://schemas.openxmlformats.org/drawingml/2006/picture">
                        <pic:nvPicPr>
                          <pic:cNvPr id="22" name="图片_11"/>
                          <pic:cNvPicPr/>
                        </pic:nvPicPr>
                        <pic:blipFill>
                          <a:blip r:embed="rId27"/>
                          <a:stretch>
                            <a:fillRect/>
                          </a:stretch>
                        </pic:blipFill>
                        <pic:spPr>
                          <a:xfrm>
                            <a:off x="0" y="0"/>
                            <a:ext cx="664210" cy="63754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82A0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2F7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AF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927" w:type="dxa"/>
            <w:tcBorders>
              <w:top w:val="single" w:color="000000" w:sz="4" w:space="0"/>
              <w:left w:val="nil"/>
              <w:bottom w:val="single" w:color="000000" w:sz="4" w:space="0"/>
              <w:right w:val="single" w:color="000000" w:sz="4" w:space="0"/>
            </w:tcBorders>
            <w:noWrap w:val="0"/>
            <w:vAlign w:val="center"/>
          </w:tcPr>
          <w:p w14:paraId="21F2D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不锈钢装饰扣板</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6617D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1：扣板采用不锈钢材质201板材，1.0厚度。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34DE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969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A299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90170</wp:posOffset>
                  </wp:positionH>
                  <wp:positionV relativeFrom="paragraph">
                    <wp:posOffset>77470</wp:posOffset>
                  </wp:positionV>
                  <wp:extent cx="819150" cy="666115"/>
                  <wp:effectExtent l="0" t="0" r="0" b="635"/>
                  <wp:wrapNone/>
                  <wp:docPr id="23" name="图片_12"/>
                  <wp:cNvGraphicFramePr/>
                  <a:graphic xmlns:a="http://schemas.openxmlformats.org/drawingml/2006/main">
                    <a:graphicData uri="http://schemas.openxmlformats.org/drawingml/2006/picture">
                      <pic:pic xmlns:pic="http://schemas.openxmlformats.org/drawingml/2006/picture">
                        <pic:nvPicPr>
                          <pic:cNvPr id="23" name="图片_12"/>
                          <pic:cNvPicPr/>
                        </pic:nvPicPr>
                        <pic:blipFill>
                          <a:blip r:embed="rId28"/>
                          <a:stretch>
                            <a:fillRect/>
                          </a:stretch>
                        </pic:blipFill>
                        <pic:spPr>
                          <a:xfrm>
                            <a:off x="0" y="0"/>
                            <a:ext cx="819150" cy="66611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765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C36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1E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927" w:type="dxa"/>
            <w:tcBorders>
              <w:top w:val="single" w:color="000000" w:sz="4" w:space="0"/>
              <w:left w:val="nil"/>
              <w:bottom w:val="single" w:color="000000" w:sz="4" w:space="0"/>
              <w:right w:val="single" w:color="000000" w:sz="4" w:space="0"/>
            </w:tcBorders>
            <w:noWrap w:val="0"/>
            <w:vAlign w:val="center"/>
          </w:tcPr>
          <w:p w14:paraId="15A6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柜式变频保护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控制箱</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0CC6E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1：变频式控制箱具有限制用电负荷的功能，同时对电机过载具有保护作用，避免电动机起动时过大的起动电流对供电线路影响，并且对风</w:t>
            </w:r>
          </w:p>
          <w:p w14:paraId="4979CF1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机电动机起到短路、缺相、过载、失压等保护作用。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45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05F6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A75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19050</wp:posOffset>
                  </wp:positionH>
                  <wp:positionV relativeFrom="paragraph">
                    <wp:posOffset>37465</wp:posOffset>
                  </wp:positionV>
                  <wp:extent cx="833755" cy="464820"/>
                  <wp:effectExtent l="0" t="0" r="4445" b="11430"/>
                  <wp:wrapNone/>
                  <wp:docPr id="24" name="图片_13"/>
                  <wp:cNvGraphicFramePr/>
                  <a:graphic xmlns:a="http://schemas.openxmlformats.org/drawingml/2006/main">
                    <a:graphicData uri="http://schemas.openxmlformats.org/drawingml/2006/picture">
                      <pic:pic xmlns:pic="http://schemas.openxmlformats.org/drawingml/2006/picture">
                        <pic:nvPicPr>
                          <pic:cNvPr id="24" name="图片_13"/>
                          <pic:cNvPicPr/>
                        </pic:nvPicPr>
                        <pic:blipFill>
                          <a:blip r:embed="rId29"/>
                          <a:stretch>
                            <a:fillRect/>
                          </a:stretch>
                        </pic:blipFill>
                        <pic:spPr>
                          <a:xfrm>
                            <a:off x="0" y="0"/>
                            <a:ext cx="833755" cy="46482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57D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r>
              <w:rPr>
                <w:rFonts w:hint="eastAsia" w:ascii="宋体" w:hAnsi="宋体" w:eastAsia="宋体" w:cs="宋体"/>
                <w:i w:val="0"/>
                <w:iCs w:val="0"/>
                <w:color w:val="000000"/>
                <w:kern w:val="0"/>
                <w:sz w:val="18"/>
                <w:szCs w:val="18"/>
                <w:u w:val="none"/>
                <w:lang w:val="en-US" w:eastAsia="zh-CN" w:bidi="ar"/>
              </w:rPr>
              <w:t>与风机配套</w:t>
            </w:r>
          </w:p>
        </w:tc>
      </w:tr>
      <w:tr w14:paraId="6C3C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1E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927" w:type="dxa"/>
            <w:tcBorders>
              <w:top w:val="single" w:color="000000" w:sz="4" w:space="0"/>
              <w:left w:val="nil"/>
              <w:bottom w:val="single" w:color="000000" w:sz="4" w:space="0"/>
              <w:right w:val="single" w:color="000000" w:sz="4" w:space="0"/>
            </w:tcBorders>
            <w:noWrap w:val="0"/>
            <w:vAlign w:val="center"/>
          </w:tcPr>
          <w:p w14:paraId="5296C0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多翼式低噪音双吸抽风机</w:t>
            </w:r>
          </w:p>
          <w:p w14:paraId="22A053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24F0297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适配电机电压：380V、功率:22KW。  柜体尺寸 ≥1420*1520*1460                                                                           2.技术参数指标：风量（49000-62000m³/h） ；转速（r/min）≤（725）；全压（Pa）：（690-820）。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3.该风机箱体采用彩钢板折边成型为可拆装结构 ；                                                                   4.根据安装位置不同，可分为A型电机外置和B型电机内置两种；                                                         5.本系列风机全压和风量较大，可根据所需风量和全压不同，在电机功率和叶轮线性速度的允许下，调整风柜的转速，达到所需的效果；</w:t>
            </w:r>
          </w:p>
          <w:p w14:paraId="6124D70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▲产品风机依据GB/T 8196-2018机械安全、GB/T 2651-2023《金属材料焊缝破坏性试验 横向拉伸试验》对产品焊接部位应牢固，焊纹均匀一致，不应有未焊透、裂纹等缺陷，形位公差垂直度应≤5mm，整体破坏载荷≥50kN，水平受力试验去除作用力后，框架变形量检测结果≤1.7mm，拉伸试验依据GB/T 228.2-2015对抗拉强度进行焊接接头横向拉伸试验上的试验力直至试样断裂，行拉强度达到≧580Mpa。（需提供具有CMA或CNAS标识的检测报告复印件）</w:t>
            </w:r>
          </w:p>
          <w:p w14:paraId="77A7EADC">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7.▲产品风机依据GB/T 16916.1-2014《家用和类似用途的不带过电流保护的剩余电流动作断路器 第1部分: 一般规则》进行7层电气元件绝缘测试，电动机定子绕组冷态绝缘电阻（MΩ）最终≥460判定为合格，每分钟启停 30次(常规要求≤10次)，持续1万次循环后效率衰减≤2%，风机效率测试值风速（26.8m/s）得出噪声≤55，振动速度有效值≤4.6，风机负载特性测试对塔底侧向力矩、法向力矩、塔顶扭矩风机在各种负载条件下，均可以运作正常；80.5kPa内，压力的变化对其性能无影响。（需提供具有CMA或CNAS标识的检测报告复印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09BC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A1F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720A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31750</wp:posOffset>
                  </wp:positionH>
                  <wp:positionV relativeFrom="paragraph">
                    <wp:posOffset>-1054735</wp:posOffset>
                  </wp:positionV>
                  <wp:extent cx="810260" cy="885190"/>
                  <wp:effectExtent l="0" t="0" r="8890" b="10160"/>
                  <wp:wrapNone/>
                  <wp:docPr id="25" name="图片_14"/>
                  <wp:cNvGraphicFramePr/>
                  <a:graphic xmlns:a="http://schemas.openxmlformats.org/drawingml/2006/main">
                    <a:graphicData uri="http://schemas.openxmlformats.org/drawingml/2006/picture">
                      <pic:pic xmlns:pic="http://schemas.openxmlformats.org/drawingml/2006/picture">
                        <pic:nvPicPr>
                          <pic:cNvPr id="25" name="图片_14"/>
                          <pic:cNvPicPr/>
                        </pic:nvPicPr>
                        <pic:blipFill>
                          <a:blip r:embed="rId30"/>
                          <a:stretch>
                            <a:fillRect/>
                          </a:stretch>
                        </pic:blipFill>
                        <pic:spPr>
                          <a:xfrm>
                            <a:off x="0" y="0"/>
                            <a:ext cx="810260" cy="88519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962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4D07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9E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927" w:type="dxa"/>
            <w:tcBorders>
              <w:top w:val="single" w:color="000000" w:sz="4" w:space="0"/>
              <w:left w:val="nil"/>
              <w:bottom w:val="single" w:color="000000" w:sz="4" w:space="0"/>
              <w:right w:val="single" w:color="000000" w:sz="4" w:space="0"/>
            </w:tcBorders>
            <w:noWrap w:val="0"/>
            <w:vAlign w:val="center"/>
          </w:tcPr>
          <w:p w14:paraId="63FAA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多翼式低噪音双吸抽风机</w:t>
            </w:r>
          </w:p>
          <w:p w14:paraId="7A06B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3EAEE2E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适配电机电压：380V、功率:7.5KW。柜台尺寸≥1120*1220*1160                                                                              2.技术参数指标：风量（21000-26000m³/h） ；转速（r/min）≤（810）；全压（Pa）：（550-600）。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3.该风机箱体采用彩钢板折边成型为可拆装结构 ；                                                                   4.根据安装位置不同，可分为A型电机外置和B型电机内置两种；                                                         5.本系列风机全压和风量较大，可根据所需风量和全压不同，在电机功率和叶轮线性速度的允许下，调整风柜的转速，达到所需的效果；</w:t>
            </w:r>
          </w:p>
          <w:p w14:paraId="4CEE1AB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▲产品风机依据GB/T 8196-2018机械安全、GB/T 2651-2023《金属材料焊缝破坏性试验 横向拉伸试验》对产品焊接部位应牢固，焊纹均匀一致，不应有未焊透、裂纹等缺陷，形位公差垂直度应≤5mm，整体破坏载荷≥50kN，水平受力试验去除作用力后，框架变形量检测结果≤1.7mm，拉伸试验依据GB/T 228.2-2015对抗拉强度进行焊接接头横向拉伸试验上的试验力直至试样断裂，行拉强度达到≧580Mpa。（需提供具有CMA或CNAS标识的检测报告复印件）</w:t>
            </w:r>
          </w:p>
          <w:p w14:paraId="071E45E9">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7.▲产品风机依据GB/T 16916.1-2014《家用和类似用途的不带过电流保护的剩余电流动作断路器 第1部分: 一般规则》进行7层电气元件绝缘测试，电动机定子绕组冷态绝缘电阻（MΩ）最终≥460判定为合格，每分钟启停 30次(常规要求≤10次)，持续1万次循环后效率衰减≤2%，风机效率测试值风速（26.8m/s）得出噪声≤55，振动速度有效值≤4.6，风机负载特性测试对塔底侧向力矩、法向力矩、塔顶扭矩风机在各种负载条件下，均可以运作正常；80.5kPa内，压力的变化对其性能无影响。（需提供具有CMA或CNAS标识的检测报告复印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119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672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10AB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47625</wp:posOffset>
                  </wp:positionH>
                  <wp:positionV relativeFrom="paragraph">
                    <wp:posOffset>-674370</wp:posOffset>
                  </wp:positionV>
                  <wp:extent cx="857885" cy="885190"/>
                  <wp:effectExtent l="0" t="0" r="18415" b="10160"/>
                  <wp:wrapNone/>
                  <wp:docPr id="26" name="图片_15"/>
                  <wp:cNvGraphicFramePr/>
                  <a:graphic xmlns:a="http://schemas.openxmlformats.org/drawingml/2006/main">
                    <a:graphicData uri="http://schemas.openxmlformats.org/drawingml/2006/picture">
                      <pic:pic xmlns:pic="http://schemas.openxmlformats.org/drawingml/2006/picture">
                        <pic:nvPicPr>
                          <pic:cNvPr id="26" name="图片_15"/>
                          <pic:cNvPicPr/>
                        </pic:nvPicPr>
                        <pic:blipFill>
                          <a:blip r:embed="rId30"/>
                          <a:stretch>
                            <a:fillRect/>
                          </a:stretch>
                        </pic:blipFill>
                        <pic:spPr>
                          <a:xfrm>
                            <a:off x="0" y="0"/>
                            <a:ext cx="857885" cy="88519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D93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20A2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F0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p>
        </w:tc>
        <w:tc>
          <w:tcPr>
            <w:tcW w:w="927" w:type="dxa"/>
            <w:tcBorders>
              <w:top w:val="single" w:color="000000" w:sz="4" w:space="0"/>
              <w:left w:val="nil"/>
              <w:bottom w:val="single" w:color="000000" w:sz="4" w:space="0"/>
              <w:right w:val="single" w:color="000000" w:sz="4" w:space="0"/>
            </w:tcBorders>
            <w:noWrap w:val="0"/>
            <w:vAlign w:val="center"/>
          </w:tcPr>
          <w:p w14:paraId="03F4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低空静电油烟净化器</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1A7B2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1.适配电机电压：220V、功率:1600W；                                                                              2.技术参数指标：风量:40000m³/h；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00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139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32D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142875</wp:posOffset>
                  </wp:positionH>
                  <wp:positionV relativeFrom="paragraph">
                    <wp:posOffset>57150</wp:posOffset>
                  </wp:positionV>
                  <wp:extent cx="647700" cy="557530"/>
                  <wp:effectExtent l="0" t="0" r="0" b="13970"/>
                  <wp:wrapNone/>
                  <wp:docPr id="27" name="图片_16"/>
                  <wp:cNvGraphicFramePr/>
                  <a:graphic xmlns:a="http://schemas.openxmlformats.org/drawingml/2006/main">
                    <a:graphicData uri="http://schemas.openxmlformats.org/drawingml/2006/picture">
                      <pic:pic xmlns:pic="http://schemas.openxmlformats.org/drawingml/2006/picture">
                        <pic:nvPicPr>
                          <pic:cNvPr id="27" name="图片_16"/>
                          <pic:cNvPicPr/>
                        </pic:nvPicPr>
                        <pic:blipFill>
                          <a:blip r:embed="rId31"/>
                          <a:stretch>
                            <a:fillRect/>
                          </a:stretch>
                        </pic:blipFill>
                        <pic:spPr>
                          <a:xfrm>
                            <a:off x="0" y="0"/>
                            <a:ext cx="647700" cy="55753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59DE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575D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41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20</w:t>
            </w:r>
          </w:p>
        </w:tc>
        <w:tc>
          <w:tcPr>
            <w:tcW w:w="927" w:type="dxa"/>
            <w:tcBorders>
              <w:top w:val="single" w:color="000000" w:sz="4" w:space="0"/>
              <w:left w:val="nil"/>
              <w:bottom w:val="single" w:color="000000" w:sz="4" w:space="0"/>
              <w:right w:val="single" w:color="000000" w:sz="4" w:space="0"/>
            </w:tcBorders>
            <w:noWrap w:val="0"/>
            <w:vAlign w:val="center"/>
          </w:tcPr>
          <w:p w14:paraId="2396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镀锌支管烟管</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5FC98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1、采用≥1.2mm镀锌板制作，烟管内连接处用玻璃硅胶密封，双面压筋加强处理。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8EC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891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E1C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111125</wp:posOffset>
                  </wp:positionH>
                  <wp:positionV relativeFrom="paragraph">
                    <wp:posOffset>216535</wp:posOffset>
                  </wp:positionV>
                  <wp:extent cx="692150" cy="454660"/>
                  <wp:effectExtent l="0" t="0" r="12700" b="2540"/>
                  <wp:wrapNone/>
                  <wp:docPr id="28" name="图片_17"/>
                  <wp:cNvGraphicFramePr/>
                  <a:graphic xmlns:a="http://schemas.openxmlformats.org/drawingml/2006/main">
                    <a:graphicData uri="http://schemas.openxmlformats.org/drawingml/2006/picture">
                      <pic:pic xmlns:pic="http://schemas.openxmlformats.org/drawingml/2006/picture">
                        <pic:nvPicPr>
                          <pic:cNvPr id="28" name="图片_17"/>
                          <pic:cNvPicPr/>
                        </pic:nvPicPr>
                        <pic:blipFill>
                          <a:blip r:embed="rId32"/>
                          <a:stretch>
                            <a:fillRect/>
                          </a:stretch>
                        </pic:blipFill>
                        <pic:spPr>
                          <a:xfrm>
                            <a:off x="0" y="0"/>
                            <a:ext cx="692150" cy="45466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56A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1430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710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w:t>
            </w:r>
          </w:p>
        </w:tc>
        <w:tc>
          <w:tcPr>
            <w:tcW w:w="927" w:type="dxa"/>
            <w:tcBorders>
              <w:top w:val="single" w:color="000000" w:sz="4" w:space="0"/>
              <w:left w:val="nil"/>
              <w:bottom w:val="single" w:color="000000" w:sz="4" w:space="0"/>
              <w:right w:val="single" w:color="000000" w:sz="4" w:space="0"/>
            </w:tcBorders>
            <w:noWrap w:val="0"/>
            <w:vAlign w:val="center"/>
          </w:tcPr>
          <w:p w14:paraId="20108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镀锌立管烟管</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3A0E7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1、采用≥1.2mm镀锌板制作，烟管内连接处用玻璃硅胶密封，双面压筋加强处理。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5A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CF6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728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38100</wp:posOffset>
                  </wp:positionH>
                  <wp:positionV relativeFrom="paragraph">
                    <wp:posOffset>-57150</wp:posOffset>
                  </wp:positionV>
                  <wp:extent cx="789305" cy="685800"/>
                  <wp:effectExtent l="0" t="0" r="10795" b="0"/>
                  <wp:wrapNone/>
                  <wp:docPr id="29" name="图片_18"/>
                  <wp:cNvGraphicFramePr/>
                  <a:graphic xmlns:a="http://schemas.openxmlformats.org/drawingml/2006/main">
                    <a:graphicData uri="http://schemas.openxmlformats.org/drawingml/2006/picture">
                      <pic:pic xmlns:pic="http://schemas.openxmlformats.org/drawingml/2006/picture">
                        <pic:nvPicPr>
                          <pic:cNvPr id="29" name="图片_18"/>
                          <pic:cNvPicPr/>
                        </pic:nvPicPr>
                        <pic:blipFill>
                          <a:blip r:embed="rId32"/>
                          <a:stretch>
                            <a:fillRect/>
                          </a:stretch>
                        </pic:blipFill>
                        <pic:spPr>
                          <a:xfrm>
                            <a:off x="0" y="0"/>
                            <a:ext cx="789305" cy="68580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FD2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7CAB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0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w:t>
            </w:r>
          </w:p>
        </w:tc>
        <w:tc>
          <w:tcPr>
            <w:tcW w:w="927" w:type="dxa"/>
            <w:tcBorders>
              <w:top w:val="single" w:color="000000" w:sz="4" w:space="0"/>
              <w:left w:val="nil"/>
              <w:bottom w:val="single" w:color="000000" w:sz="4" w:space="0"/>
              <w:right w:val="single" w:color="000000" w:sz="4" w:space="0"/>
            </w:tcBorders>
            <w:noWrap w:val="0"/>
            <w:vAlign w:val="center"/>
          </w:tcPr>
          <w:p w14:paraId="093A9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风机底座及减震器</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7A7C3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采用国标槽钢与角铁焊接而成，刷防锈漆。根据现场情况制作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60E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6C62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88D32CF">
            <w:pPr>
              <w:jc w:val="center"/>
              <w:rPr>
                <w:rFonts w:hint="eastAsia" w:ascii="宋体" w:hAnsi="宋体" w:eastAsia="宋体" w:cs="宋体"/>
                <w:i w:val="0"/>
                <w:iCs w:val="0"/>
                <w:color w:val="000000"/>
                <w:sz w:val="18"/>
                <w:szCs w:val="18"/>
                <w:u w:val="none"/>
              </w:rPr>
            </w:pPr>
            <w:r>
              <w:drawing>
                <wp:inline distT="0" distB="0" distL="114300" distR="114300">
                  <wp:extent cx="438150" cy="378460"/>
                  <wp:effectExtent l="0" t="0" r="0" b="254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33"/>
                          <a:stretch>
                            <a:fillRect/>
                          </a:stretch>
                        </pic:blipFill>
                        <pic:spPr>
                          <a:xfrm>
                            <a:off x="0" y="0"/>
                            <a:ext cx="438150" cy="378460"/>
                          </a:xfrm>
                          <a:prstGeom prst="rect">
                            <a:avLst/>
                          </a:prstGeom>
                          <a:noFill/>
                          <a:ln>
                            <a:noFill/>
                          </a:ln>
                        </pic:spPr>
                      </pic:pic>
                    </a:graphicData>
                  </a:graphic>
                </wp:inline>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369CF3">
            <w:pPr>
              <w:jc w:val="center"/>
              <w:rPr>
                <w:rFonts w:hint="eastAsia" w:ascii="宋体" w:hAnsi="宋体" w:eastAsia="宋体" w:cs="宋体"/>
                <w:i w:val="0"/>
                <w:iCs w:val="0"/>
                <w:color w:val="000000"/>
                <w:sz w:val="18"/>
                <w:szCs w:val="18"/>
                <w:u w:val="none"/>
              </w:rPr>
            </w:pPr>
          </w:p>
        </w:tc>
      </w:tr>
      <w:tr w14:paraId="7E1B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CC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3</w:t>
            </w:r>
          </w:p>
        </w:tc>
        <w:tc>
          <w:tcPr>
            <w:tcW w:w="927" w:type="dxa"/>
            <w:tcBorders>
              <w:top w:val="single" w:color="000000" w:sz="4" w:space="0"/>
              <w:left w:val="nil"/>
              <w:bottom w:val="single" w:color="000000" w:sz="4" w:space="0"/>
              <w:right w:val="single" w:color="000000" w:sz="4" w:space="0"/>
            </w:tcBorders>
            <w:noWrap w:val="0"/>
            <w:vAlign w:val="center"/>
          </w:tcPr>
          <w:p w14:paraId="12308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低噪音送新风风机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1D8AD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外壳采用民用镀锌板，铜芯电机，低噪音、环保式，含送风管道。</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3585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2A6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7D85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66675</wp:posOffset>
                  </wp:positionH>
                  <wp:positionV relativeFrom="paragraph">
                    <wp:posOffset>38100</wp:posOffset>
                  </wp:positionV>
                  <wp:extent cx="698500" cy="523240"/>
                  <wp:effectExtent l="0" t="0" r="6350" b="10160"/>
                  <wp:wrapNone/>
                  <wp:docPr id="31" name="图片_19"/>
                  <wp:cNvGraphicFramePr/>
                  <a:graphic xmlns:a="http://schemas.openxmlformats.org/drawingml/2006/main">
                    <a:graphicData uri="http://schemas.openxmlformats.org/drawingml/2006/picture">
                      <pic:pic xmlns:pic="http://schemas.openxmlformats.org/drawingml/2006/picture">
                        <pic:nvPicPr>
                          <pic:cNvPr id="31" name="图片_19"/>
                          <pic:cNvPicPr/>
                        </pic:nvPicPr>
                        <pic:blipFill>
                          <a:blip r:embed="rId34"/>
                          <a:stretch>
                            <a:fillRect/>
                          </a:stretch>
                        </pic:blipFill>
                        <pic:spPr>
                          <a:xfrm>
                            <a:off x="0" y="0"/>
                            <a:ext cx="698500" cy="52324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3C7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8A8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33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927" w:type="dxa"/>
            <w:tcBorders>
              <w:top w:val="single" w:color="000000" w:sz="4" w:space="0"/>
              <w:left w:val="nil"/>
              <w:bottom w:val="single" w:color="000000" w:sz="4" w:space="0"/>
              <w:right w:val="single" w:color="000000" w:sz="4" w:space="0"/>
            </w:tcBorders>
            <w:noWrap w:val="0"/>
            <w:vAlign w:val="center"/>
          </w:tcPr>
          <w:p w14:paraId="6AD58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厨房灭火系统</w:t>
            </w:r>
          </w:p>
          <w:p w14:paraId="085D7EBD">
            <w:pPr>
              <w:pStyle w:val="2"/>
              <w:ind w:left="0" w:leftChars="0" w:firstLine="0" w:firstLineChars="0"/>
              <w:rPr>
                <w:rFonts w:hint="eastAsia"/>
              </w:rPr>
            </w:pPr>
            <w:r>
              <w:rPr>
                <w:rFonts w:hint="eastAsia" w:ascii="宋体" w:hAnsi="宋体" w:eastAsia="宋体" w:cs="宋体"/>
                <w:i w:val="0"/>
                <w:iCs w:val="0"/>
                <w:color w:val="000000"/>
                <w:kern w:val="0"/>
                <w:sz w:val="18"/>
                <w:szCs w:val="18"/>
                <w:highlight w:val="none"/>
                <w:u w:val="none"/>
                <w:lang w:val="en-US" w:eastAsia="zh-CN" w:bidi="ar"/>
              </w:rPr>
              <w:t>（核心产品）</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5AA409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1、控制箱(双瓶组)尺寸≥：700*650*240                                                                          2、主要配件：驱动瓶、药剂罐、水流控制阀、感温装置、控制箱厨房专用灭火剂量及释放机构                                             3、工作原理： A 厨房灶台油锅因为温度过高着火时，火焰发出的巨大热能使安装在烟罩上的易熔感温金属熔化。连接启动装置的拉索变得松驰，系统启动。B 释放机构启动后，氮气驱动瓶内的高压气体向药剂罐内加压，驱动液体灭火剂沿药剂管路喷向着火点，并同时启动所有辅助的切断装置和报警连动装置。 C 系统的厨房专用灭火剂不同于一般的灭火剂，其主要原理是通过药剂与高温油脂反应，产生覆盖物覆盖在油脂的表面，从而达到快速灭火的效果，且不易复燃。D 当药剂喷完后，药剂罐内的压力下降到自来水供水压力时，水流控制阀自动打开，水流也通过灭火剂管路和喷嘴喷洒迅速冷却设备，同时也起到清洗设备的作用。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4、灭火剂有效期≥8年，灭火剂充装质量≥24升，驱动气体充装压力不低于13MPa，                                                                                                                                                                                                                                                                                                                                                                                                                                                                               5、连接喷嘴的安装管路全部使用SUS304不锈钢管，全部使用螺纹连接，可永久使用，无需更换。不得使用卡压的连接方式（避免因长时间高温高热的工作环境产生管路变形、泄漏等情况产生）连接喷嘴的安装管路SUS304的不锈钢管，3分管壁厚度不低于1.5mm；4分管壁厚度不低于2.0mm。不锈钢弯头、直接均为SUS304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6、▲机械式水流控制阀化学成份分析检测依据 YS/T482-2022  测试铜（Cu）≥55%、铅(Pb)≤1.7%、铁（Fe）≤0.6%，报告并具有CMA  CNAS 标志（提供检测报告加盖生产企业鲜章）</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11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BA0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9A69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-45085</wp:posOffset>
                  </wp:positionH>
                  <wp:positionV relativeFrom="paragraph">
                    <wp:posOffset>-677545</wp:posOffset>
                  </wp:positionV>
                  <wp:extent cx="868045" cy="844550"/>
                  <wp:effectExtent l="0" t="0" r="8255" b="12700"/>
                  <wp:wrapNone/>
                  <wp:docPr id="32" name="图片_37"/>
                  <wp:cNvGraphicFramePr/>
                  <a:graphic xmlns:a="http://schemas.openxmlformats.org/drawingml/2006/main">
                    <a:graphicData uri="http://schemas.openxmlformats.org/drawingml/2006/picture">
                      <pic:pic xmlns:pic="http://schemas.openxmlformats.org/drawingml/2006/picture">
                        <pic:nvPicPr>
                          <pic:cNvPr id="32" name="图片_37"/>
                          <pic:cNvPicPr/>
                        </pic:nvPicPr>
                        <pic:blipFill>
                          <a:blip r:embed="rId35"/>
                          <a:stretch>
                            <a:fillRect/>
                          </a:stretch>
                        </pic:blipFill>
                        <pic:spPr>
                          <a:xfrm>
                            <a:off x="0" y="0"/>
                            <a:ext cx="868045" cy="84455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5D6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r>
              <w:rPr>
                <w:rFonts w:hint="eastAsia" w:ascii="宋体" w:hAnsi="宋体" w:eastAsia="宋体" w:cs="宋体"/>
                <w:i w:val="0"/>
                <w:iCs w:val="0"/>
                <w:color w:val="000000"/>
                <w:kern w:val="0"/>
                <w:sz w:val="18"/>
                <w:szCs w:val="18"/>
                <w:u w:val="none"/>
                <w:lang w:val="en-US" w:eastAsia="zh-CN" w:bidi="ar"/>
              </w:rPr>
              <w:t>双瓶</w:t>
            </w:r>
          </w:p>
        </w:tc>
      </w:tr>
      <w:tr w14:paraId="191F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DE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bookmarkStart w:id="16" w:name="_GoBack" w:colFirst="0" w:colLast="1"/>
            <w:r>
              <w:rPr>
                <w:rFonts w:hint="eastAsia" w:ascii="宋体" w:hAnsi="宋体" w:cs="宋体"/>
                <w:i w:val="0"/>
                <w:iCs w:val="0"/>
                <w:color w:val="000000"/>
                <w:kern w:val="0"/>
                <w:sz w:val="22"/>
                <w:szCs w:val="22"/>
                <w:highlight w:val="none"/>
                <w:u w:val="none"/>
                <w:lang w:val="en-US" w:eastAsia="zh-CN" w:bidi="ar"/>
              </w:rPr>
              <w:t>25</w:t>
            </w:r>
          </w:p>
        </w:tc>
        <w:tc>
          <w:tcPr>
            <w:tcW w:w="927" w:type="dxa"/>
            <w:tcBorders>
              <w:top w:val="single" w:color="000000" w:sz="4" w:space="0"/>
              <w:left w:val="nil"/>
              <w:bottom w:val="single" w:color="000000" w:sz="4" w:space="0"/>
              <w:right w:val="single" w:color="000000" w:sz="4" w:space="0"/>
            </w:tcBorders>
            <w:noWrap w:val="0"/>
            <w:vAlign w:val="center"/>
          </w:tcPr>
          <w:p w14:paraId="61FCD0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商用冷柜（高身柜）</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29DE78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1、尺寸（长*宽*高）：≥1200*760*1900（mm）；冷藏可设定温度范围至少满足：+10℃～-1℃；冷冻可设定温度范围至少满足：-10℃～-18℃；电源220V/50Hz，功率：≥660W；门数：四门或者双门；                                                                                     2、门板、侧板、内板均为不锈钢材质，耐腐蚀、高硬度；配可调节可拆卸网架6个，可放置1/1或2/1GN盆；带可刹停万向脚轮；带除霜水自蒸发系统，无需接地漏；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在实验室零上38度的极端温度环境下也能正常制冷；稳定的制冷系统；使用环保冷媒，使用冷媒用量体积容积更小，更节能；箱体整体发泡，柜体厚度≥50mm，保温效果更好；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4、▲产品符合（包括但不限于）：依据GB/T 17626.2-2018、GB/T 17626.3-2023、GB/T 17626.4-2018、GB/T 17626.5-2019、GB/T 17626.6-2017、GB/T 17626.11-2023、GB/T 17626.12-2023等标准进行电磁兼容检测，检测结果合格；按GB/T2423.3-2016标准进行持续时间为24h的恒定湿热试验，温度（40±2）℃，相对湿度（93±3）％RH，试验结束后样品应能正常工作；提供第三方检测机构出具的至少带CMA标识的检验（测）报告佐证本条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蒸发器类型：风冷；净容积：≥830L；融霜方式：自动加热融霜系统；双机双温，冷冻室温度等级不低于L3级（-12℃～-15℃）、冷藏室温度等级不低于H2级（+10℃～-1℃）标准下，总能量消耗：≤68kwh/24h，能效等级达到1级，提供能源效率检测报告佐证参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33F6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7EA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56B5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155575</wp:posOffset>
                  </wp:positionH>
                  <wp:positionV relativeFrom="paragraph">
                    <wp:posOffset>-417195</wp:posOffset>
                  </wp:positionV>
                  <wp:extent cx="743585" cy="907415"/>
                  <wp:effectExtent l="0" t="0" r="18415" b="6985"/>
                  <wp:wrapNone/>
                  <wp:docPr id="33" name="图片_20"/>
                  <wp:cNvGraphicFramePr/>
                  <a:graphic xmlns:a="http://schemas.openxmlformats.org/drawingml/2006/main">
                    <a:graphicData uri="http://schemas.openxmlformats.org/drawingml/2006/picture">
                      <pic:pic xmlns:pic="http://schemas.openxmlformats.org/drawingml/2006/picture">
                        <pic:nvPicPr>
                          <pic:cNvPr id="33" name="图片_20"/>
                          <pic:cNvPicPr/>
                        </pic:nvPicPr>
                        <pic:blipFill>
                          <a:blip r:embed="rId36"/>
                          <a:stretch>
                            <a:fillRect/>
                          </a:stretch>
                        </pic:blipFill>
                        <pic:spPr>
                          <a:xfrm>
                            <a:off x="0" y="0"/>
                            <a:ext cx="743585" cy="90741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9CE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bookmarkEnd w:id="16"/>
      <w:tr w14:paraId="71A1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DF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w:t>
            </w:r>
          </w:p>
        </w:tc>
        <w:tc>
          <w:tcPr>
            <w:tcW w:w="927" w:type="dxa"/>
            <w:tcBorders>
              <w:top w:val="single" w:color="000000" w:sz="4" w:space="0"/>
              <w:left w:val="nil"/>
              <w:bottom w:val="single" w:color="000000" w:sz="4" w:space="0"/>
              <w:right w:val="single" w:color="000000" w:sz="4" w:space="0"/>
            </w:tcBorders>
            <w:noWrap w:val="0"/>
            <w:vAlign w:val="center"/>
          </w:tcPr>
          <w:p w14:paraId="19220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多功能涡流式清洗机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3052A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1：效率蔬菜清洗160kg/h以上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2：304加厚不锈钢材质，智能调节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3：尺寸≥：1800*800*950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710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B34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9B50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114300</wp:posOffset>
                  </wp:positionH>
                  <wp:positionV relativeFrom="paragraph">
                    <wp:posOffset>15875</wp:posOffset>
                  </wp:positionV>
                  <wp:extent cx="715645" cy="579755"/>
                  <wp:effectExtent l="0" t="0" r="8255" b="10795"/>
                  <wp:wrapNone/>
                  <wp:docPr id="34" name="图片_30"/>
                  <wp:cNvGraphicFramePr/>
                  <a:graphic xmlns:a="http://schemas.openxmlformats.org/drawingml/2006/main">
                    <a:graphicData uri="http://schemas.openxmlformats.org/drawingml/2006/picture">
                      <pic:pic xmlns:pic="http://schemas.openxmlformats.org/drawingml/2006/picture">
                        <pic:nvPicPr>
                          <pic:cNvPr id="34" name="图片_30"/>
                          <pic:cNvPicPr/>
                        </pic:nvPicPr>
                        <pic:blipFill>
                          <a:blip r:embed="rId37"/>
                          <a:stretch>
                            <a:fillRect/>
                          </a:stretch>
                        </pic:blipFill>
                        <pic:spPr>
                          <a:xfrm>
                            <a:off x="0" y="0"/>
                            <a:ext cx="715645" cy="57975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F513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54CC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BA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w:t>
            </w:r>
          </w:p>
        </w:tc>
        <w:tc>
          <w:tcPr>
            <w:tcW w:w="927" w:type="dxa"/>
            <w:tcBorders>
              <w:top w:val="single" w:color="000000" w:sz="4" w:space="0"/>
              <w:left w:val="nil"/>
              <w:bottom w:val="single" w:color="000000" w:sz="4" w:space="0"/>
              <w:right w:val="single" w:color="000000" w:sz="4" w:space="0"/>
            </w:tcBorders>
            <w:noWrap w:val="0"/>
            <w:vAlign w:val="center"/>
          </w:tcPr>
          <w:p w14:paraId="70739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毛刷是土豆削皮机清洗一体机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24967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1：容量60-70kg，效率750-1000kg/h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2：机器尺寸 1770X740X1150mm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3：功率380V/1.5KW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4：将土豆、胡萝卜、生姜等根茎蔬菜清洗去皮处理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5：采用进口毛刷材料使用寿命更长，轴承选择UCF系列不锈钢轴承，更耐用。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C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CEE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B42A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76200</wp:posOffset>
                  </wp:positionH>
                  <wp:positionV relativeFrom="paragraph">
                    <wp:posOffset>34925</wp:posOffset>
                  </wp:positionV>
                  <wp:extent cx="687070" cy="549910"/>
                  <wp:effectExtent l="0" t="0" r="17780" b="2540"/>
                  <wp:wrapNone/>
                  <wp:docPr id="35" name="图片_22"/>
                  <wp:cNvGraphicFramePr/>
                  <a:graphic xmlns:a="http://schemas.openxmlformats.org/drawingml/2006/main">
                    <a:graphicData uri="http://schemas.openxmlformats.org/drawingml/2006/picture">
                      <pic:pic xmlns:pic="http://schemas.openxmlformats.org/drawingml/2006/picture">
                        <pic:nvPicPr>
                          <pic:cNvPr id="35" name="图片_22"/>
                          <pic:cNvPicPr/>
                        </pic:nvPicPr>
                        <pic:blipFill>
                          <a:blip r:embed="rId38"/>
                          <a:stretch>
                            <a:fillRect/>
                          </a:stretch>
                        </pic:blipFill>
                        <pic:spPr>
                          <a:xfrm>
                            <a:off x="0" y="0"/>
                            <a:ext cx="687070" cy="54991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F98D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8C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00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8</w:t>
            </w:r>
          </w:p>
        </w:tc>
        <w:tc>
          <w:tcPr>
            <w:tcW w:w="927" w:type="dxa"/>
            <w:tcBorders>
              <w:top w:val="single" w:color="000000" w:sz="4" w:space="0"/>
              <w:left w:val="nil"/>
              <w:bottom w:val="single" w:color="000000" w:sz="4" w:space="0"/>
              <w:right w:val="single" w:color="000000" w:sz="4" w:space="0"/>
            </w:tcBorders>
            <w:noWrap w:val="0"/>
            <w:vAlign w:val="center"/>
          </w:tcPr>
          <w:p w14:paraId="45CE3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不锈钢全自动切肉块机</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32468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1：尺寸≥：1300×600×680mm，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2：效率800-100kg/h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3：可定制刀片，鲜鸡切块机 ，重量300公斤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4：电机功率3.0kw。</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966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A4F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E9E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114300</wp:posOffset>
                  </wp:positionH>
                  <wp:positionV relativeFrom="paragraph">
                    <wp:posOffset>57150</wp:posOffset>
                  </wp:positionV>
                  <wp:extent cx="695325" cy="598170"/>
                  <wp:effectExtent l="0" t="0" r="9525" b="11430"/>
                  <wp:wrapNone/>
                  <wp:docPr id="36" name="图片_23"/>
                  <wp:cNvGraphicFramePr/>
                  <a:graphic xmlns:a="http://schemas.openxmlformats.org/drawingml/2006/main">
                    <a:graphicData uri="http://schemas.openxmlformats.org/drawingml/2006/picture">
                      <pic:pic xmlns:pic="http://schemas.openxmlformats.org/drawingml/2006/picture">
                        <pic:nvPicPr>
                          <pic:cNvPr id="36" name="图片_23"/>
                          <pic:cNvPicPr/>
                        </pic:nvPicPr>
                        <pic:blipFill>
                          <a:blip r:embed="rId39"/>
                          <a:stretch>
                            <a:fillRect/>
                          </a:stretch>
                        </pic:blipFill>
                        <pic:spPr>
                          <a:xfrm>
                            <a:off x="0" y="0"/>
                            <a:ext cx="695325" cy="59817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883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50BE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55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9</w:t>
            </w:r>
          </w:p>
        </w:tc>
        <w:tc>
          <w:tcPr>
            <w:tcW w:w="927" w:type="dxa"/>
            <w:tcBorders>
              <w:top w:val="single" w:color="000000" w:sz="4" w:space="0"/>
              <w:left w:val="nil"/>
              <w:bottom w:val="single" w:color="000000" w:sz="4" w:space="0"/>
              <w:right w:val="single" w:color="000000" w:sz="4" w:space="0"/>
            </w:tcBorders>
            <w:noWrap w:val="0"/>
            <w:vAlign w:val="center"/>
          </w:tcPr>
          <w:p w14:paraId="15E8D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刀具菜板肉墩消毒工作台</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4EFA0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1尺寸≥：1800*800*800，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2：消毒方式：热风循环紫外线消毒，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3：外箱材质食品级不锈钢装载数量刀具20把，9个10公分厚的粘板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86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1441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8D5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47625</wp:posOffset>
                  </wp:positionH>
                  <wp:positionV relativeFrom="paragraph">
                    <wp:posOffset>-88900</wp:posOffset>
                  </wp:positionV>
                  <wp:extent cx="743585" cy="672465"/>
                  <wp:effectExtent l="0" t="0" r="18415" b="13335"/>
                  <wp:wrapNone/>
                  <wp:docPr id="37" name="图片_24"/>
                  <wp:cNvGraphicFramePr/>
                  <a:graphic xmlns:a="http://schemas.openxmlformats.org/drawingml/2006/main">
                    <a:graphicData uri="http://schemas.openxmlformats.org/drawingml/2006/picture">
                      <pic:pic xmlns:pic="http://schemas.openxmlformats.org/drawingml/2006/picture">
                        <pic:nvPicPr>
                          <pic:cNvPr id="37" name="图片_24"/>
                          <pic:cNvPicPr/>
                        </pic:nvPicPr>
                        <pic:blipFill>
                          <a:blip r:embed="rId40"/>
                          <a:stretch>
                            <a:fillRect/>
                          </a:stretch>
                        </pic:blipFill>
                        <pic:spPr>
                          <a:xfrm>
                            <a:off x="0" y="0"/>
                            <a:ext cx="743585" cy="67246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1BD46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59A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E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w:t>
            </w:r>
          </w:p>
        </w:tc>
        <w:tc>
          <w:tcPr>
            <w:tcW w:w="927" w:type="dxa"/>
            <w:tcBorders>
              <w:top w:val="single" w:color="000000" w:sz="4" w:space="0"/>
              <w:left w:val="nil"/>
              <w:bottom w:val="single" w:color="000000" w:sz="4" w:space="0"/>
              <w:right w:val="single" w:color="000000" w:sz="4" w:space="0"/>
            </w:tcBorders>
            <w:noWrap w:val="0"/>
            <w:vAlign w:val="center"/>
          </w:tcPr>
          <w:p w14:paraId="5CC9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洗碗机</w:t>
            </w:r>
            <w:r>
              <w:rPr>
                <w:rFonts w:hint="eastAsia" w:ascii="宋体" w:hAnsi="宋体" w:eastAsia="宋体" w:cs="宋体"/>
                <w:i w:val="0"/>
                <w:iCs w:val="0"/>
                <w:color w:val="000000"/>
                <w:kern w:val="0"/>
                <w:sz w:val="18"/>
                <w:szCs w:val="18"/>
                <w:highlight w:val="none"/>
                <w:u w:val="none"/>
                <w:lang w:val="en-US" w:eastAsia="zh-CN" w:bidi="ar"/>
              </w:rPr>
              <w:t>（核心产品）</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041BF4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1.整机外形尺寸≥6400*910*1990，由入口区、预洗区、主洗区、双喷淋区、双烘干区、出口区组成；.电加热型总配电量≥93KW ；电源要求：380V/50HZ/3N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2.传送带速度：1.4-2米/分钟；洗涤量：4500-6400 碟/小时（8寸碟）；耗水量：≤350 升/小时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3.洗碗机连续清洗时清洗温度：55-65℃、喷淋温度：82-90℃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4.洗碗机尺寸要求：传送履带有效宽度≥613mm、入口可通过最大高度≥440mm，入口区操作平台高度≤860mm，入口区长度≥850mm，喷淋区长度≥600mm；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5.洗碗机采用顶置电箱和控制面板，机械式按钮及高亮LED数字温度显示，一键启动自动进水/停水/补水/溢水/升温/清洗、操作简单、维护方便，控制面板上有2档速度选择按钮，方便调整机器洗涤速度；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6.整机全部采用SUS304不锈钢板制作（包含链接用螺丝钉），板材厚度：箱体≥1.5mm，轨道机架≥2.5mm，外盖板≥1.0mm，电机支架≥3mm，喷淋加热包≥4mm；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7.洗碗机清洗通道的前、上、后三面包含门板均采用双层不锈钢板制作工艺，洗碗机运行过程中触碰机体不烫手，整机更加隔热保温节能；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8.可拆卸大容量自冲式不锈钢过滤盘和大型深过滤篮洗涤缸配备排水管，具有自动溢流功能，且有开关保护。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9.洗碗机传送电机设计有两级防护功能，电机过载、缺相、卡位故障设备会自动停止运行，保障使用安全和设备使用寿命。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10.内凹防堵广角水刀式清洗喷臂，主洗清洗臂数量采用上4下4组合，形成强力水幕布满清洗室，洗涤效果稳定高效，上下清洗喷臂可拆装且安装简单。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11.喷淋区配置双水箱双喷淋设计，采用上2下2扇形高压喷嘴，确保餐具经过喷淋区无死角覆盖,稳定高温清水漂洗餐具，干净消毒杀菌；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12.传送履带为双鹰嘴立齿，餐具斜插式摆放，采用耐高温、耐腐蚀材料制成，承重≥100公斤；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13.配置进口排风口和烘干区排风口，减少蒸汽溢出；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14.360度环绕烘干设计，配置强力不锈钢烘干风机，餐具受热无死角、餐具表面各个部位通过均匀的高速气流，促使餐具快速干燥。。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15.▲洗碗机应依据GB/T 5080.4-1985、GB/T 5080.7-1986标准，对洗碗机进行可靠性试验，要求试验温度：  (40±3)℃，试验方案：区间估计法，可接受的平均无故障时间的倍数：1.1，鉴别比Dm：5，MTTF≥1000h时，试验结果判定为合格。须提供近3年内由具备CMA/CNAS资质的检测机构出具的、完整覆盖上述试验条件与结果的检测报告复印件，报告须加盖检测机构公章及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16.▲提供洗碗机依据GB/T 2423.22-2012《环境试验第2部分：试验方法试验N:温度变化》标准，对洗碗机进行快速温变试验，要求低温温度值:-48°C ，高温温度值:150°C ，温度变化速率:18°C/min ，低温阶段驻留时间:49min ，高温阶段驻留时间:49min ，循环次数≥</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0次，共试验≥100小时后，样品能正常通电工作。提供近3年内由具备CMA/CNAS资质的检测机构出具的、完整覆盖上述试验条件与结果的检测报告复印件，报告须加盖检测机构公章及投标人公章；</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6C3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2E6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9D33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123825</wp:posOffset>
                  </wp:positionH>
                  <wp:positionV relativeFrom="paragraph">
                    <wp:posOffset>-917575</wp:posOffset>
                  </wp:positionV>
                  <wp:extent cx="782955" cy="1053465"/>
                  <wp:effectExtent l="0" t="0" r="17145" b="13335"/>
                  <wp:wrapNone/>
                  <wp:docPr id="38" name="图片_25"/>
                  <wp:cNvGraphicFramePr/>
                  <a:graphic xmlns:a="http://schemas.openxmlformats.org/drawingml/2006/main">
                    <a:graphicData uri="http://schemas.openxmlformats.org/drawingml/2006/picture">
                      <pic:pic xmlns:pic="http://schemas.openxmlformats.org/drawingml/2006/picture">
                        <pic:nvPicPr>
                          <pic:cNvPr id="38" name="图片_25"/>
                          <pic:cNvPicPr/>
                        </pic:nvPicPr>
                        <pic:blipFill>
                          <a:blip r:embed="rId41"/>
                          <a:stretch>
                            <a:fillRect/>
                          </a:stretch>
                        </pic:blipFill>
                        <pic:spPr>
                          <a:xfrm>
                            <a:off x="0" y="0"/>
                            <a:ext cx="782955" cy="105346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A7A1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18A1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B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1</w:t>
            </w:r>
          </w:p>
        </w:tc>
        <w:tc>
          <w:tcPr>
            <w:tcW w:w="927" w:type="dxa"/>
            <w:tcBorders>
              <w:top w:val="single" w:color="000000" w:sz="4" w:space="0"/>
              <w:left w:val="nil"/>
              <w:bottom w:val="single" w:color="000000" w:sz="4" w:space="0"/>
              <w:right w:val="single" w:color="000000" w:sz="4" w:space="0"/>
            </w:tcBorders>
            <w:noWrap w:val="0"/>
            <w:vAlign w:val="center"/>
          </w:tcPr>
          <w:p w14:paraId="01811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开水器(带底座）</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7FB6E3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1.功率：12kW</w:t>
            </w:r>
          </w:p>
          <w:p w14:paraId="5D350C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2.电压：380V</w:t>
            </w:r>
          </w:p>
          <w:p w14:paraId="013221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3.电流：18.2A</w:t>
            </w:r>
          </w:p>
          <w:p w14:paraId="5B23FC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4.首沸时间：30-35min</w:t>
            </w:r>
          </w:p>
          <w:p w14:paraId="0794EF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5.水箱容量：60L</w:t>
            </w:r>
          </w:p>
          <w:p w14:paraId="205D8A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6.开水量：150L/h</w:t>
            </w:r>
          </w:p>
          <w:p w14:paraId="30133B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7.水压：0.05-0.3MPa</w:t>
            </w:r>
          </w:p>
          <w:p w14:paraId="64D193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8.外形尺寸：480*400*910mm</w:t>
            </w:r>
          </w:p>
          <w:p w14:paraId="675C6F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9.底座外形尺寸：530*540*430mm</w:t>
            </w:r>
          </w:p>
          <w:p w14:paraId="7DF52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10.整机内胆采用食品级304不锈钢板材，安全合规，适配饮用水场景使用要求</w:t>
            </w:r>
          </w:p>
          <w:p w14:paraId="67EDC9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11.配备自制加粗纯铜含镍加热管，具备自动脱落水垢功能，减少水垢堆积，延长设备使用寿命</w:t>
            </w:r>
          </w:p>
          <w:p w14:paraId="4CFBB1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12.采用整体聚氨酯发泡工艺，保温效果优异，机身不烫手，节能效率可达60%以上</w:t>
            </w:r>
          </w:p>
          <w:p w14:paraId="3F8BCD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13.具备缺水断电防干烧功能，水位到达最低值时自动关闭加热功能，大幅提升使用安全性</w:t>
            </w:r>
          </w:p>
          <w:p w14:paraId="3F0327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14.配备纯铜防漏水水龙头，结构稳固，安全耐用，出水稳定</w:t>
            </w:r>
          </w:p>
          <w:p w14:paraId="4B98F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15.电器元件由国内知名企业提供，设备运行性能稳定可靠，适配长期高频商用场景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F48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17F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DBE7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152400</wp:posOffset>
                  </wp:positionH>
                  <wp:positionV relativeFrom="paragraph">
                    <wp:posOffset>-31750</wp:posOffset>
                  </wp:positionV>
                  <wp:extent cx="579755" cy="828675"/>
                  <wp:effectExtent l="0" t="0" r="10795" b="9525"/>
                  <wp:wrapNone/>
                  <wp:docPr id="39" name="图片_39"/>
                  <wp:cNvGraphicFramePr/>
                  <a:graphic xmlns:a="http://schemas.openxmlformats.org/drawingml/2006/main">
                    <a:graphicData uri="http://schemas.openxmlformats.org/drawingml/2006/picture">
                      <pic:pic xmlns:pic="http://schemas.openxmlformats.org/drawingml/2006/picture">
                        <pic:nvPicPr>
                          <pic:cNvPr id="39" name="图片_39"/>
                          <pic:cNvPicPr/>
                        </pic:nvPicPr>
                        <pic:blipFill>
                          <a:blip r:embed="rId26"/>
                          <a:stretch>
                            <a:fillRect/>
                          </a:stretch>
                        </pic:blipFill>
                        <pic:spPr>
                          <a:xfrm>
                            <a:off x="0" y="0"/>
                            <a:ext cx="579755" cy="82867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605A1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2DDA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C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2</w:t>
            </w:r>
          </w:p>
        </w:tc>
        <w:tc>
          <w:tcPr>
            <w:tcW w:w="927" w:type="dxa"/>
            <w:tcBorders>
              <w:top w:val="single" w:color="000000" w:sz="4" w:space="0"/>
              <w:left w:val="nil"/>
              <w:bottom w:val="single" w:color="000000" w:sz="4" w:space="0"/>
              <w:right w:val="single" w:color="000000" w:sz="4" w:space="0"/>
            </w:tcBorders>
            <w:noWrap w:val="0"/>
            <w:vAlign w:val="center"/>
          </w:tcPr>
          <w:p w14:paraId="630026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热水器</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686A5318">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 产品容量：60L，机身尺寸：φ390×833mm</w:t>
            </w:r>
          </w:p>
          <w:p w14:paraId="251DBF8B">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 包装尺寸：525×455×925mm</w:t>
            </w:r>
          </w:p>
          <w:p w14:paraId="2F105D6D">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 功率</w:t>
            </w:r>
            <w:r>
              <w:rPr>
                <w:rFonts w:hint="eastAsia" w:ascii="宋体" w:hAnsi="宋体" w:eastAsia="宋体" w:cs="宋体"/>
                <w:i w:val="0"/>
                <w:iCs w:val="0"/>
                <w:color w:val="000000"/>
                <w:kern w:val="0"/>
                <w:sz w:val="18"/>
                <w:szCs w:val="18"/>
                <w:highlight w:val="none"/>
                <w:u w:val="none"/>
                <w:lang w:val="en-US" w:eastAsia="zh-CN" w:bidi="ar"/>
              </w:rPr>
              <w:t>≥2000</w:t>
            </w:r>
            <w:r>
              <w:rPr>
                <w:rFonts w:hint="eastAsia" w:ascii="宋体" w:hAnsi="宋体" w:cs="宋体"/>
                <w:i w:val="0"/>
                <w:iCs w:val="0"/>
                <w:color w:val="000000"/>
                <w:kern w:val="0"/>
                <w:sz w:val="18"/>
                <w:szCs w:val="18"/>
                <w:highlight w:val="none"/>
                <w:u w:val="none"/>
                <w:lang w:val="en-US" w:eastAsia="zh-CN" w:bidi="ar"/>
              </w:rPr>
              <w:t>W</w:t>
            </w:r>
            <w:r>
              <w:rPr>
                <w:rFonts w:hint="eastAsia" w:ascii="宋体" w:hAnsi="宋体" w:eastAsia="宋体" w:cs="宋体"/>
                <w:i w:val="0"/>
                <w:iCs w:val="0"/>
                <w:color w:val="000000"/>
                <w:sz w:val="18"/>
                <w:szCs w:val="18"/>
                <w:highlight w:val="none"/>
                <w:u w:val="none"/>
              </w:rPr>
              <w:t>，白光LED大屏显示</w:t>
            </w:r>
          </w:p>
          <w:p w14:paraId="47EF2C93">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 一级能效，蓝晶硅五层内胆</w:t>
            </w:r>
          </w:p>
          <w:p w14:paraId="5C992F9E">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 带有出水断电功能，洗澡不带电</w:t>
            </w:r>
          </w:p>
          <w:p w14:paraId="7BA7A126">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 铠甲防电，三重防护更胜一筹</w:t>
            </w:r>
          </w:p>
          <w:p w14:paraId="7DD99748">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 内置防电墙技术</w:t>
            </w:r>
          </w:p>
          <w:p w14:paraId="7ECA3B81">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 100%防漏电的安全保障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1328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147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C3D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85725</wp:posOffset>
                  </wp:positionH>
                  <wp:positionV relativeFrom="paragraph">
                    <wp:posOffset>-157480</wp:posOffset>
                  </wp:positionV>
                  <wp:extent cx="730250" cy="626745"/>
                  <wp:effectExtent l="0" t="0" r="12700" b="1905"/>
                  <wp:wrapNone/>
                  <wp:docPr id="40" name="图片_28"/>
                  <wp:cNvGraphicFramePr/>
                  <a:graphic xmlns:a="http://schemas.openxmlformats.org/drawingml/2006/main">
                    <a:graphicData uri="http://schemas.openxmlformats.org/drawingml/2006/picture">
                      <pic:pic xmlns:pic="http://schemas.openxmlformats.org/drawingml/2006/picture">
                        <pic:nvPicPr>
                          <pic:cNvPr id="40" name="图片_28"/>
                          <pic:cNvPicPr/>
                        </pic:nvPicPr>
                        <pic:blipFill>
                          <a:blip r:embed="rId42"/>
                          <a:stretch>
                            <a:fillRect/>
                          </a:stretch>
                        </pic:blipFill>
                        <pic:spPr>
                          <a:xfrm>
                            <a:off x="0" y="0"/>
                            <a:ext cx="730250" cy="62674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1022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190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C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3</w:t>
            </w:r>
          </w:p>
        </w:tc>
        <w:tc>
          <w:tcPr>
            <w:tcW w:w="927" w:type="dxa"/>
            <w:tcBorders>
              <w:top w:val="single" w:color="000000" w:sz="4" w:space="0"/>
              <w:left w:val="nil"/>
              <w:bottom w:val="single" w:color="000000" w:sz="4" w:space="0"/>
              <w:right w:val="single" w:color="000000" w:sz="4" w:space="0"/>
            </w:tcBorders>
            <w:noWrap w:val="0"/>
            <w:vAlign w:val="center"/>
          </w:tcPr>
          <w:p w14:paraId="34445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2724E5F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1、内胆材质: 搪瓷内胆(钢板厚度≥1.5mm) </w:t>
            </w:r>
          </w:p>
          <w:p w14:paraId="2905D518">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 额定容量:100L</w:t>
            </w:r>
          </w:p>
          <w:p w14:paraId="573431A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3、功率:≥2000</w:t>
            </w:r>
          </w:p>
          <w:p w14:paraId="518530F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4、核定压力:0.8（常规0.75）</w:t>
            </w:r>
          </w:p>
          <w:p w14:paraId="0886C9D6">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5、超温保护:≥93℃</w:t>
            </w:r>
          </w:p>
          <w:p w14:paraId="7C483A98">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6、一级能效</w:t>
            </w:r>
          </w:p>
          <w:p w14:paraId="5D2106E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7、额定电压：220VAC/50Hz</w:t>
            </w:r>
          </w:p>
          <w:p w14:paraId="20343D9F">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8、带节能证书</w:t>
            </w:r>
          </w:p>
          <w:p w14:paraId="264DE0A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9、带活水装置，清洗内胆更便捷！</w:t>
            </w:r>
          </w:p>
          <w:p w14:paraId="21283339">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10、抑菌管路，杀灭有害细菌（带检验报告佐证）</w:t>
            </w:r>
          </w:p>
          <w:p w14:paraId="72253F3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11、机械旋钮控制，带数字显示，告别指针传统式</w:t>
            </w:r>
          </w:p>
          <w:p w14:paraId="62EAF9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12、三重漏电防护，（内置防电墙、漏保插头、漏电指示灯）；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197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618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0C62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76200</wp:posOffset>
                  </wp:positionH>
                  <wp:positionV relativeFrom="paragraph">
                    <wp:posOffset>-225425</wp:posOffset>
                  </wp:positionV>
                  <wp:extent cx="730250" cy="596900"/>
                  <wp:effectExtent l="0" t="0" r="12700" b="12700"/>
                  <wp:wrapNone/>
                  <wp:docPr id="41" name="图片_29"/>
                  <wp:cNvGraphicFramePr/>
                  <a:graphic xmlns:a="http://schemas.openxmlformats.org/drawingml/2006/main">
                    <a:graphicData uri="http://schemas.openxmlformats.org/drawingml/2006/picture">
                      <pic:pic xmlns:pic="http://schemas.openxmlformats.org/drawingml/2006/picture">
                        <pic:nvPicPr>
                          <pic:cNvPr id="41" name="图片_29"/>
                          <pic:cNvPicPr/>
                        </pic:nvPicPr>
                        <pic:blipFill>
                          <a:blip r:embed="rId43"/>
                          <a:stretch>
                            <a:fillRect/>
                          </a:stretch>
                        </pic:blipFill>
                        <pic:spPr>
                          <a:xfrm>
                            <a:off x="0" y="0"/>
                            <a:ext cx="730250" cy="59690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8F36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A71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B5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4</w:t>
            </w:r>
          </w:p>
        </w:tc>
        <w:tc>
          <w:tcPr>
            <w:tcW w:w="927" w:type="dxa"/>
            <w:tcBorders>
              <w:top w:val="single" w:color="000000" w:sz="4" w:space="0"/>
              <w:left w:val="nil"/>
              <w:bottom w:val="single" w:color="000000" w:sz="4" w:space="0"/>
              <w:right w:val="single" w:color="000000" w:sz="4" w:space="0"/>
            </w:tcBorders>
            <w:noWrap w:val="0"/>
            <w:vAlign w:val="center"/>
          </w:tcPr>
          <w:p w14:paraId="5B5D6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单长槽水池</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35B7CC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1、台面板采用δ=1.2mm 拉丝复膜304#不锈钢板，配25*25矩管做加力筋；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2、星盆采用δ=1.0mm 拉丝复膜304#不锈钢板；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3、台脚采用¢38*1.0mm不锈钢圆通；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4、横通采用¢25*1.0mm不锈钢结构管焊接；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5、配可调性不锈钢子弹脚；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6、尺寸≥：2100mm*600mm*800mm（±50mm），台面上背板高度：≥120mm。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424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E49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89A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19050</wp:posOffset>
                  </wp:positionH>
                  <wp:positionV relativeFrom="paragraph">
                    <wp:posOffset>-95250</wp:posOffset>
                  </wp:positionV>
                  <wp:extent cx="820420" cy="640080"/>
                  <wp:effectExtent l="0" t="0" r="17780" b="7620"/>
                  <wp:wrapNone/>
                  <wp:docPr id="42" name="图片_26"/>
                  <wp:cNvGraphicFramePr/>
                  <a:graphic xmlns:a="http://schemas.openxmlformats.org/drawingml/2006/main">
                    <a:graphicData uri="http://schemas.openxmlformats.org/drawingml/2006/picture">
                      <pic:pic xmlns:pic="http://schemas.openxmlformats.org/drawingml/2006/picture">
                        <pic:nvPicPr>
                          <pic:cNvPr id="42" name="图片_26"/>
                          <pic:cNvPicPr/>
                        </pic:nvPicPr>
                        <pic:blipFill>
                          <a:blip r:embed="rId44"/>
                          <a:stretch>
                            <a:fillRect/>
                          </a:stretch>
                        </pic:blipFill>
                        <pic:spPr>
                          <a:xfrm>
                            <a:off x="0" y="0"/>
                            <a:ext cx="820420" cy="64008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DF6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9B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A0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5</w:t>
            </w:r>
          </w:p>
        </w:tc>
        <w:tc>
          <w:tcPr>
            <w:tcW w:w="927" w:type="dxa"/>
            <w:tcBorders>
              <w:top w:val="single" w:color="000000" w:sz="4" w:space="0"/>
              <w:left w:val="nil"/>
              <w:bottom w:val="single" w:color="000000" w:sz="4" w:space="0"/>
              <w:right w:val="single" w:color="000000" w:sz="4" w:space="0"/>
            </w:tcBorders>
            <w:noWrap w:val="0"/>
            <w:vAlign w:val="center"/>
          </w:tcPr>
          <w:p w14:paraId="26DF3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0C03E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1：用加厚1.0厚金属喷漆，表面平整光滑、产品美观大方、用料考究，经久耐用。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2：防蛀，防潮、耐热、无毒、无辐射，可以分成六门存放衣物，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3：门上带有锁位、拉把、可挂衣服。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076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2BB7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3737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-9525</wp:posOffset>
                  </wp:positionH>
                  <wp:positionV relativeFrom="paragraph">
                    <wp:posOffset>66040</wp:posOffset>
                  </wp:positionV>
                  <wp:extent cx="818515" cy="678180"/>
                  <wp:effectExtent l="0" t="0" r="635" b="7620"/>
                  <wp:wrapNone/>
                  <wp:docPr id="43" name="图片_27"/>
                  <wp:cNvGraphicFramePr/>
                  <a:graphic xmlns:a="http://schemas.openxmlformats.org/drawingml/2006/main">
                    <a:graphicData uri="http://schemas.openxmlformats.org/drawingml/2006/picture">
                      <pic:pic xmlns:pic="http://schemas.openxmlformats.org/drawingml/2006/picture">
                        <pic:nvPicPr>
                          <pic:cNvPr id="43" name="图片_27"/>
                          <pic:cNvPicPr/>
                        </pic:nvPicPr>
                        <pic:blipFill>
                          <a:blip r:embed="rId45"/>
                          <a:stretch>
                            <a:fillRect/>
                          </a:stretch>
                        </pic:blipFill>
                        <pic:spPr>
                          <a:xfrm>
                            <a:off x="0" y="0"/>
                            <a:ext cx="818515" cy="67818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0BA1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6DED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23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6</w:t>
            </w:r>
          </w:p>
        </w:tc>
        <w:tc>
          <w:tcPr>
            <w:tcW w:w="927" w:type="dxa"/>
            <w:tcBorders>
              <w:top w:val="single" w:color="000000" w:sz="4" w:space="0"/>
              <w:left w:val="nil"/>
              <w:bottom w:val="single" w:color="000000" w:sz="4" w:space="0"/>
              <w:right w:val="single" w:color="000000" w:sz="4" w:space="0"/>
            </w:tcBorders>
            <w:noWrap w:val="0"/>
            <w:vAlign w:val="center"/>
          </w:tcPr>
          <w:p w14:paraId="2A426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五格保温台</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23168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1、尺寸：1800*700*800mm；整体为201不锈钢材质；支架横通应采用直径≥25毫米的圆形或矩形不锈钢管焊接成型，不锈钢管壁厚≥1.2 毫米；支腿材料采用≥38 毫米的圆形或方形不锈钢管焊接成型；焊接接头处采用加强筋板，不锈钢管壁厚≥1.2 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支脚采用金属外包不锈钢可调子弹脚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 mm、侧板为1.0mm厚不锈钢板制造；台面应向内折边成 U 型，高度为40～50 毫米，折边处应平整光滑；台面的刃口必须倒成圆角，不允许有毛刺，折边内外部容易进行卫生清洁；</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022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405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1E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123825</wp:posOffset>
                  </wp:positionH>
                  <wp:positionV relativeFrom="paragraph">
                    <wp:posOffset>245745</wp:posOffset>
                  </wp:positionV>
                  <wp:extent cx="683895" cy="1082040"/>
                  <wp:effectExtent l="0" t="0" r="1905" b="3810"/>
                  <wp:wrapNone/>
                  <wp:docPr id="44" name="图片_36"/>
                  <wp:cNvGraphicFramePr/>
                  <a:graphic xmlns:a="http://schemas.openxmlformats.org/drawingml/2006/main">
                    <a:graphicData uri="http://schemas.openxmlformats.org/drawingml/2006/picture">
                      <pic:pic xmlns:pic="http://schemas.openxmlformats.org/drawingml/2006/picture">
                        <pic:nvPicPr>
                          <pic:cNvPr id="44" name="图片_36"/>
                          <pic:cNvPicPr/>
                        </pic:nvPicPr>
                        <pic:blipFill>
                          <a:blip r:embed="rId46"/>
                          <a:stretch>
                            <a:fillRect/>
                          </a:stretch>
                        </pic:blipFill>
                        <pic:spPr>
                          <a:xfrm>
                            <a:off x="0" y="0"/>
                            <a:ext cx="683895" cy="108204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D208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F57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2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7</w:t>
            </w:r>
          </w:p>
        </w:tc>
        <w:tc>
          <w:tcPr>
            <w:tcW w:w="927" w:type="dxa"/>
            <w:tcBorders>
              <w:top w:val="single" w:color="000000" w:sz="4" w:space="0"/>
              <w:left w:val="nil"/>
              <w:bottom w:val="single" w:color="000000" w:sz="4" w:space="0"/>
              <w:right w:val="single" w:color="000000" w:sz="4" w:space="0"/>
            </w:tcBorders>
            <w:noWrap w:val="0"/>
            <w:vAlign w:val="center"/>
          </w:tcPr>
          <w:p w14:paraId="5951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三槽水池</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2FFD7D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1、台面板采用δ=1.2mm 拉丝复膜304#不锈钢板，配25*25矩管做加力筋；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2、星盆采用δ=1.0mm 拉丝复膜304#不锈钢板；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3、台脚采用¢38*1.0mm不锈钢圆通；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4、横通采用¢25*1.0mm不锈钢结构管焊接；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5、配可调性不锈钢子弹脚；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6、尺寸≥：1800mm*700mm*800mm（±50mm），台面上背板高度：≥120mm。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10F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4A8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0D06B01">
            <w:pPr>
              <w:jc w:val="center"/>
              <w:rPr>
                <w:rFonts w:hint="eastAsia" w:ascii="宋体" w:hAnsi="宋体" w:eastAsia="宋体" w:cs="宋体"/>
                <w:i w:val="0"/>
                <w:iCs w:val="0"/>
                <w:color w:val="000000"/>
                <w:sz w:val="18"/>
                <w:szCs w:val="18"/>
                <w:u w:val="none"/>
              </w:rPr>
            </w:pPr>
            <w:r>
              <w:drawing>
                <wp:inline distT="0" distB="0" distL="114300" distR="114300">
                  <wp:extent cx="672465" cy="472440"/>
                  <wp:effectExtent l="0" t="0" r="13335" b="3810"/>
                  <wp:docPr id="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
                          <pic:cNvPicPr>
                            <a:picLocks noChangeAspect="1"/>
                          </pic:cNvPicPr>
                        </pic:nvPicPr>
                        <pic:blipFill>
                          <a:blip r:embed="rId47"/>
                          <a:stretch>
                            <a:fillRect/>
                          </a:stretch>
                        </pic:blipFill>
                        <pic:spPr>
                          <a:xfrm>
                            <a:off x="0" y="0"/>
                            <a:ext cx="672465" cy="472440"/>
                          </a:xfrm>
                          <a:prstGeom prst="rect">
                            <a:avLst/>
                          </a:prstGeom>
                          <a:noFill/>
                          <a:ln>
                            <a:noFill/>
                          </a:ln>
                        </pic:spPr>
                      </pic:pic>
                    </a:graphicData>
                  </a:graphic>
                </wp:inline>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D5A220A">
            <w:pPr>
              <w:jc w:val="center"/>
              <w:rPr>
                <w:rFonts w:hint="eastAsia" w:ascii="宋体" w:hAnsi="宋体" w:eastAsia="宋体" w:cs="宋体"/>
                <w:i w:val="0"/>
                <w:iCs w:val="0"/>
                <w:color w:val="000000"/>
                <w:sz w:val="18"/>
                <w:szCs w:val="18"/>
                <w:u w:val="none"/>
              </w:rPr>
            </w:pPr>
          </w:p>
        </w:tc>
      </w:tr>
      <w:tr w14:paraId="4532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C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8</w:t>
            </w:r>
          </w:p>
        </w:tc>
        <w:tc>
          <w:tcPr>
            <w:tcW w:w="927" w:type="dxa"/>
            <w:tcBorders>
              <w:top w:val="single" w:color="000000" w:sz="4" w:space="0"/>
              <w:left w:val="nil"/>
              <w:bottom w:val="single" w:color="000000" w:sz="4" w:space="0"/>
              <w:right w:val="single" w:color="000000" w:sz="4" w:space="0"/>
            </w:tcBorders>
            <w:noWrap w:val="0"/>
            <w:vAlign w:val="center"/>
          </w:tcPr>
          <w:p w14:paraId="4F896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单长槽水池</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0A6794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1、台面板采用δ=1.2mm 拉丝复膜304#不锈钢板，配25*25矩管做加力筋；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2、星盆采用δ=1.0mm 拉丝复膜304#不锈钢板；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3、台脚采用¢38*1.0mm不锈钢圆通；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4、横通采用¢25*1.0mm不锈钢结构管焊接；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5、配可调性不锈钢子弹脚；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6、尺寸≥：2500mm*620mm*800mm（±50mm），台面上背板高度：≥120mm。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E88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7018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C7E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2540</wp:posOffset>
                  </wp:positionH>
                  <wp:positionV relativeFrom="paragraph">
                    <wp:posOffset>205105</wp:posOffset>
                  </wp:positionV>
                  <wp:extent cx="868045" cy="640080"/>
                  <wp:effectExtent l="0" t="0" r="8255" b="7620"/>
                  <wp:wrapNone/>
                  <wp:docPr id="46" name="图片_32"/>
                  <wp:cNvGraphicFramePr/>
                  <a:graphic xmlns:a="http://schemas.openxmlformats.org/drawingml/2006/main">
                    <a:graphicData uri="http://schemas.openxmlformats.org/drawingml/2006/picture">
                      <pic:pic xmlns:pic="http://schemas.openxmlformats.org/drawingml/2006/picture">
                        <pic:nvPicPr>
                          <pic:cNvPr id="46" name="图片_32"/>
                          <pic:cNvPicPr/>
                        </pic:nvPicPr>
                        <pic:blipFill>
                          <a:blip r:embed="rId48"/>
                          <a:stretch>
                            <a:fillRect/>
                          </a:stretch>
                        </pic:blipFill>
                        <pic:spPr>
                          <a:xfrm>
                            <a:off x="0" y="0"/>
                            <a:ext cx="868045" cy="64008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9FB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3921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BF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9</w:t>
            </w:r>
          </w:p>
        </w:tc>
        <w:tc>
          <w:tcPr>
            <w:tcW w:w="927" w:type="dxa"/>
            <w:tcBorders>
              <w:top w:val="single" w:color="000000" w:sz="4" w:space="0"/>
              <w:left w:val="nil"/>
              <w:bottom w:val="single" w:color="000000" w:sz="4" w:space="0"/>
              <w:right w:val="single" w:color="000000" w:sz="4" w:space="0"/>
            </w:tcBorders>
            <w:noWrap/>
            <w:vAlign w:val="center"/>
          </w:tcPr>
          <w:p w14:paraId="3A5C2B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米面架</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79AF61E3">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1、台面板采用δ=1.2mm 拉丝复膜304#不锈钢板，配25*25矩管做加力筋；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2、台脚采用¢38*1.0mm不锈钢圆通；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3、横通采用¢25*1.0mm不锈钢结构管焊接；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4、配可调性不锈钢子弹脚；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5、尺寸：1800mm*700mm*300mm（±50mm）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5E50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5" w:type="dxa"/>
            <w:tcBorders>
              <w:top w:val="single" w:color="000000" w:sz="4" w:space="0"/>
              <w:left w:val="single" w:color="000000" w:sz="4" w:space="0"/>
              <w:bottom w:val="single" w:color="000000" w:sz="4" w:space="0"/>
              <w:right w:val="single" w:color="000000" w:sz="4" w:space="0"/>
            </w:tcBorders>
            <w:noWrap/>
            <w:vAlign w:val="center"/>
          </w:tcPr>
          <w:p w14:paraId="59A40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44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221615</wp:posOffset>
                  </wp:positionH>
                  <wp:positionV relativeFrom="paragraph">
                    <wp:posOffset>161290</wp:posOffset>
                  </wp:positionV>
                  <wp:extent cx="608330" cy="495300"/>
                  <wp:effectExtent l="0" t="0" r="1270" b="0"/>
                  <wp:wrapNone/>
                  <wp:docPr id="47" name="图片_33"/>
                  <wp:cNvGraphicFramePr/>
                  <a:graphic xmlns:a="http://schemas.openxmlformats.org/drawingml/2006/main">
                    <a:graphicData uri="http://schemas.openxmlformats.org/drawingml/2006/picture">
                      <pic:pic xmlns:pic="http://schemas.openxmlformats.org/drawingml/2006/picture">
                        <pic:nvPicPr>
                          <pic:cNvPr id="47" name="图片_33"/>
                          <pic:cNvPicPr/>
                        </pic:nvPicPr>
                        <pic:blipFill>
                          <a:blip r:embed="rId49"/>
                          <a:stretch>
                            <a:fillRect/>
                          </a:stretch>
                        </pic:blipFill>
                        <pic:spPr>
                          <a:xfrm>
                            <a:off x="0" y="0"/>
                            <a:ext cx="608330" cy="49530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1AD2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2F1B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94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40</w:t>
            </w:r>
          </w:p>
        </w:tc>
        <w:tc>
          <w:tcPr>
            <w:tcW w:w="927" w:type="dxa"/>
            <w:tcBorders>
              <w:top w:val="single" w:color="000000" w:sz="4" w:space="0"/>
              <w:left w:val="nil"/>
              <w:bottom w:val="single" w:color="000000" w:sz="4" w:space="0"/>
              <w:right w:val="single" w:color="000000" w:sz="4" w:space="0"/>
            </w:tcBorders>
            <w:noWrap w:val="0"/>
            <w:vAlign w:val="center"/>
          </w:tcPr>
          <w:p w14:paraId="10CF1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单长槽水池</w:t>
            </w:r>
          </w:p>
        </w:tc>
        <w:tc>
          <w:tcPr>
            <w:tcW w:w="5617" w:type="dxa"/>
            <w:tcBorders>
              <w:top w:val="single" w:color="000000" w:sz="4" w:space="0"/>
              <w:left w:val="single" w:color="000000" w:sz="4" w:space="0"/>
              <w:bottom w:val="single" w:color="000000" w:sz="4" w:space="0"/>
              <w:right w:val="single" w:color="000000" w:sz="4" w:space="0"/>
            </w:tcBorders>
            <w:noWrap w:val="0"/>
            <w:vAlign w:val="top"/>
          </w:tcPr>
          <w:p w14:paraId="3A57E3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1、台面板采用δ=1.2mm 拉丝复膜304#不锈钢板，配25*25矩管做加力筋；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2、星盆采用δ=1.0mm 拉丝复膜304#不锈钢板；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3、台脚采用¢38*1.0mm不锈钢圆通；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4、横通采用¢25*1.0mm不锈钢结构管焊接；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5、配可调性不锈钢子弹脚；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6、尺寸≥：2500mm*620mm*800mm（±50mm），台面上背板高度：≥120mm。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82C0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445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27DC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66675</wp:posOffset>
                  </wp:positionH>
                  <wp:positionV relativeFrom="paragraph">
                    <wp:posOffset>144780</wp:posOffset>
                  </wp:positionV>
                  <wp:extent cx="753745" cy="483870"/>
                  <wp:effectExtent l="0" t="0" r="8255" b="11430"/>
                  <wp:wrapNone/>
                  <wp:docPr id="48" name="图片_34"/>
                  <wp:cNvGraphicFramePr/>
                  <a:graphic xmlns:a="http://schemas.openxmlformats.org/drawingml/2006/main">
                    <a:graphicData uri="http://schemas.openxmlformats.org/drawingml/2006/picture">
                      <pic:pic xmlns:pic="http://schemas.openxmlformats.org/drawingml/2006/picture">
                        <pic:nvPicPr>
                          <pic:cNvPr id="48" name="图片_34"/>
                          <pic:cNvPicPr/>
                        </pic:nvPicPr>
                        <pic:blipFill>
                          <a:blip r:embed="rId50"/>
                          <a:stretch>
                            <a:fillRect/>
                          </a:stretch>
                        </pic:blipFill>
                        <pic:spPr>
                          <a:xfrm>
                            <a:off x="0" y="0"/>
                            <a:ext cx="753745" cy="48387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FC1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7F80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20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1</w:t>
            </w:r>
          </w:p>
        </w:tc>
        <w:tc>
          <w:tcPr>
            <w:tcW w:w="927" w:type="dxa"/>
            <w:tcBorders>
              <w:top w:val="single" w:color="000000" w:sz="4" w:space="0"/>
              <w:left w:val="nil"/>
              <w:bottom w:val="nil"/>
              <w:right w:val="single" w:color="000000" w:sz="4" w:space="0"/>
            </w:tcBorders>
            <w:noWrap w:val="0"/>
            <w:vAlign w:val="center"/>
          </w:tcPr>
          <w:p w14:paraId="090F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不锈钢平板推车</w:t>
            </w:r>
          </w:p>
        </w:tc>
        <w:tc>
          <w:tcPr>
            <w:tcW w:w="5617" w:type="dxa"/>
            <w:tcBorders>
              <w:top w:val="single" w:color="000000" w:sz="4" w:space="0"/>
              <w:left w:val="single" w:color="000000" w:sz="4" w:space="0"/>
              <w:bottom w:val="nil"/>
              <w:right w:val="single" w:color="000000" w:sz="4" w:space="0"/>
            </w:tcBorders>
            <w:noWrap w:val="0"/>
            <w:vAlign w:val="top"/>
          </w:tcPr>
          <w:p w14:paraId="3C463C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1、采用304#不锈钢板制作,台面δ1.2mm，辅板厚度≥1.0mm，配4只承重脚轮；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2、尺寸≥：1000mm*630mm*800mm（±50mm）。</w:t>
            </w:r>
          </w:p>
        </w:tc>
        <w:tc>
          <w:tcPr>
            <w:tcW w:w="700" w:type="dxa"/>
            <w:tcBorders>
              <w:top w:val="single" w:color="000000" w:sz="4" w:space="0"/>
              <w:left w:val="single" w:color="000000" w:sz="4" w:space="0"/>
              <w:bottom w:val="nil"/>
              <w:right w:val="single" w:color="000000" w:sz="4" w:space="0"/>
            </w:tcBorders>
            <w:noWrap/>
            <w:vAlign w:val="center"/>
          </w:tcPr>
          <w:p w14:paraId="564C2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5" w:type="dxa"/>
            <w:tcBorders>
              <w:top w:val="single" w:color="000000" w:sz="4" w:space="0"/>
              <w:left w:val="single" w:color="000000" w:sz="4" w:space="0"/>
              <w:bottom w:val="nil"/>
              <w:right w:val="single" w:color="000000" w:sz="4" w:space="0"/>
            </w:tcBorders>
            <w:noWrap/>
            <w:vAlign w:val="center"/>
          </w:tcPr>
          <w:p w14:paraId="41FB7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004E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152400</wp:posOffset>
                  </wp:positionH>
                  <wp:positionV relativeFrom="paragraph">
                    <wp:posOffset>123825</wp:posOffset>
                  </wp:positionV>
                  <wp:extent cx="594360" cy="571500"/>
                  <wp:effectExtent l="0" t="0" r="15240" b="0"/>
                  <wp:wrapNone/>
                  <wp:docPr id="49" name="Picture_16"/>
                  <wp:cNvGraphicFramePr/>
                  <a:graphic xmlns:a="http://schemas.openxmlformats.org/drawingml/2006/main">
                    <a:graphicData uri="http://schemas.openxmlformats.org/drawingml/2006/picture">
                      <pic:pic xmlns:pic="http://schemas.openxmlformats.org/drawingml/2006/picture">
                        <pic:nvPicPr>
                          <pic:cNvPr id="49" name="Picture_16"/>
                          <pic:cNvPicPr/>
                        </pic:nvPicPr>
                        <pic:blipFill>
                          <a:blip r:embed="rId51"/>
                          <a:stretch>
                            <a:fillRect/>
                          </a:stretch>
                        </pic:blipFill>
                        <pic:spPr>
                          <a:xfrm>
                            <a:off x="0" y="0"/>
                            <a:ext cx="594360" cy="57150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9A7F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4BBB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4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2</w:t>
            </w:r>
          </w:p>
        </w:tc>
        <w:tc>
          <w:tcPr>
            <w:tcW w:w="927" w:type="dxa"/>
            <w:tcBorders>
              <w:top w:val="single" w:color="000000" w:sz="4" w:space="0"/>
              <w:left w:val="nil"/>
              <w:bottom w:val="single" w:color="000000" w:sz="4" w:space="0"/>
              <w:right w:val="single" w:color="000000" w:sz="4" w:space="0"/>
            </w:tcBorders>
            <w:noWrap w:val="0"/>
            <w:vAlign w:val="center"/>
          </w:tcPr>
          <w:p w14:paraId="4EE70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汤匙</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0CD3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不锈钢材质，镜面抛光设计，防腐防锈。一体成型，不易藏污，结实耐用。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438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FDE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AEA8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266700</wp:posOffset>
                  </wp:positionH>
                  <wp:positionV relativeFrom="paragraph">
                    <wp:posOffset>264795</wp:posOffset>
                  </wp:positionV>
                  <wp:extent cx="457200" cy="307975"/>
                  <wp:effectExtent l="0" t="0" r="0" b="15875"/>
                  <wp:wrapNone/>
                  <wp:docPr id="50" name="图片_38"/>
                  <wp:cNvGraphicFramePr/>
                  <a:graphic xmlns:a="http://schemas.openxmlformats.org/drawingml/2006/main">
                    <a:graphicData uri="http://schemas.openxmlformats.org/drawingml/2006/picture">
                      <pic:pic xmlns:pic="http://schemas.openxmlformats.org/drawingml/2006/picture">
                        <pic:nvPicPr>
                          <pic:cNvPr id="50" name="图片_38"/>
                          <pic:cNvPicPr/>
                        </pic:nvPicPr>
                        <pic:blipFill>
                          <a:blip r:embed="rId52"/>
                          <a:stretch>
                            <a:fillRect/>
                          </a:stretch>
                        </pic:blipFill>
                        <pic:spPr>
                          <a:xfrm>
                            <a:off x="0" y="0"/>
                            <a:ext cx="457200" cy="307975"/>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7F5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r>
              <w:rPr>
                <w:rFonts w:hint="eastAsia" w:ascii="宋体" w:hAnsi="宋体" w:eastAsia="宋体" w:cs="宋体"/>
                <w:i w:val="0"/>
                <w:iCs w:val="0"/>
                <w:color w:val="000000"/>
                <w:kern w:val="0"/>
                <w:sz w:val="18"/>
                <w:szCs w:val="18"/>
                <w:u w:val="none"/>
                <w:lang w:val="en-US" w:eastAsia="zh-CN" w:bidi="ar"/>
              </w:rPr>
              <w:t>不锈钢普通</w:t>
            </w:r>
          </w:p>
        </w:tc>
      </w:tr>
      <w:tr w14:paraId="2359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09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3</w:t>
            </w:r>
          </w:p>
        </w:tc>
        <w:tc>
          <w:tcPr>
            <w:tcW w:w="927" w:type="dxa"/>
            <w:tcBorders>
              <w:top w:val="single" w:color="000000" w:sz="4" w:space="0"/>
              <w:left w:val="nil"/>
              <w:bottom w:val="single" w:color="000000" w:sz="4" w:space="0"/>
              <w:right w:val="single" w:color="000000" w:sz="4" w:space="0"/>
            </w:tcBorders>
            <w:noWrap w:val="0"/>
            <w:vAlign w:val="center"/>
          </w:tcPr>
          <w:p w14:paraId="50DC3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抓饭盘子</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4AD91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22CM，加厚不锈钢一次性成型制作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953F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1F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1283B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CD7DB8D">
            <w:pPr>
              <w:jc w:val="center"/>
              <w:rPr>
                <w:rFonts w:hint="eastAsia" w:ascii="宋体" w:hAnsi="宋体" w:eastAsia="宋体" w:cs="宋体"/>
                <w:i w:val="0"/>
                <w:iCs w:val="0"/>
                <w:color w:val="000000"/>
                <w:sz w:val="18"/>
                <w:szCs w:val="18"/>
                <w:u w:val="none"/>
              </w:rPr>
            </w:pPr>
          </w:p>
        </w:tc>
      </w:tr>
      <w:tr w14:paraId="4708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4D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4</w:t>
            </w:r>
          </w:p>
        </w:tc>
        <w:tc>
          <w:tcPr>
            <w:tcW w:w="927" w:type="dxa"/>
            <w:tcBorders>
              <w:top w:val="single" w:color="000000" w:sz="4" w:space="0"/>
              <w:left w:val="nil"/>
              <w:bottom w:val="single" w:color="000000" w:sz="4" w:space="0"/>
              <w:right w:val="single" w:color="000000" w:sz="4" w:space="0"/>
            </w:tcBorders>
            <w:noWrap w:val="0"/>
            <w:vAlign w:val="center"/>
          </w:tcPr>
          <w:p w14:paraId="56E18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面碗</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3151A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16CM双层碗，加厚不锈钢双层隔热，一次性成型制作。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362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1E2E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937C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304800</wp:posOffset>
                  </wp:positionH>
                  <wp:positionV relativeFrom="paragraph">
                    <wp:posOffset>79375</wp:posOffset>
                  </wp:positionV>
                  <wp:extent cx="408940" cy="308610"/>
                  <wp:effectExtent l="0" t="0" r="10160" b="15240"/>
                  <wp:wrapNone/>
                  <wp:docPr id="51" name="图片_40"/>
                  <wp:cNvGraphicFramePr/>
                  <a:graphic xmlns:a="http://schemas.openxmlformats.org/drawingml/2006/main">
                    <a:graphicData uri="http://schemas.openxmlformats.org/drawingml/2006/picture">
                      <pic:pic xmlns:pic="http://schemas.openxmlformats.org/drawingml/2006/picture">
                        <pic:nvPicPr>
                          <pic:cNvPr id="51" name="图片_40"/>
                          <pic:cNvPicPr/>
                        </pic:nvPicPr>
                        <pic:blipFill>
                          <a:blip r:embed="rId53"/>
                          <a:stretch>
                            <a:fillRect/>
                          </a:stretch>
                        </pic:blipFill>
                        <pic:spPr>
                          <a:xfrm>
                            <a:off x="0" y="0"/>
                            <a:ext cx="408940" cy="30861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3DF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77BA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AB68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927" w:type="dxa"/>
            <w:tcBorders>
              <w:top w:val="single" w:color="000000" w:sz="4" w:space="0"/>
              <w:left w:val="nil"/>
              <w:bottom w:val="single" w:color="000000" w:sz="4" w:space="0"/>
              <w:right w:val="single" w:color="000000" w:sz="4" w:space="0"/>
            </w:tcBorders>
            <w:noWrap w:val="0"/>
            <w:vAlign w:val="center"/>
          </w:tcPr>
          <w:p w14:paraId="758C9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茶碗</w:t>
            </w:r>
          </w:p>
        </w:tc>
        <w:tc>
          <w:tcPr>
            <w:tcW w:w="5617" w:type="dxa"/>
            <w:tcBorders>
              <w:top w:val="single" w:color="000000" w:sz="4" w:space="0"/>
              <w:left w:val="single" w:color="000000" w:sz="4" w:space="0"/>
              <w:bottom w:val="single" w:color="000000" w:sz="4" w:space="0"/>
              <w:right w:val="single" w:color="000000" w:sz="4" w:space="0"/>
            </w:tcBorders>
            <w:noWrap w:val="0"/>
            <w:vAlign w:val="center"/>
          </w:tcPr>
          <w:p w14:paraId="6E78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14CM双层碗，加厚不锈钢双层隔热，一次性成型制作。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5FC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107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BAC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333375</wp:posOffset>
                  </wp:positionH>
                  <wp:positionV relativeFrom="paragraph">
                    <wp:posOffset>38100</wp:posOffset>
                  </wp:positionV>
                  <wp:extent cx="408940" cy="308610"/>
                  <wp:effectExtent l="0" t="0" r="10160" b="15240"/>
                  <wp:wrapNone/>
                  <wp:docPr id="52" name="图片_41"/>
                  <wp:cNvGraphicFramePr/>
                  <a:graphic xmlns:a="http://schemas.openxmlformats.org/drawingml/2006/main">
                    <a:graphicData uri="http://schemas.openxmlformats.org/drawingml/2006/picture">
                      <pic:pic xmlns:pic="http://schemas.openxmlformats.org/drawingml/2006/picture">
                        <pic:nvPicPr>
                          <pic:cNvPr id="52" name="图片_41"/>
                          <pic:cNvPicPr/>
                        </pic:nvPicPr>
                        <pic:blipFill>
                          <a:blip r:embed="rId53"/>
                          <a:stretch>
                            <a:fillRect/>
                          </a:stretch>
                        </pic:blipFill>
                        <pic:spPr>
                          <a:xfrm>
                            <a:off x="0" y="0"/>
                            <a:ext cx="408940" cy="308610"/>
                          </a:xfrm>
                          <a:prstGeom prst="rect">
                            <a:avLst/>
                          </a:prstGeom>
                          <a:noFill/>
                          <a:ln>
                            <a:noFill/>
                          </a:ln>
                        </pic:spPr>
                      </pic:pic>
                    </a:graphicData>
                  </a:graphic>
                </wp:anchor>
              </w:drawing>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9E57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p>
        </w:tc>
      </w:tr>
      <w:tr w14:paraId="06D1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659" w:type="dxa"/>
            <w:gridSpan w:val="7"/>
            <w:tcBorders>
              <w:top w:val="single" w:color="000000" w:sz="4" w:space="0"/>
              <w:left w:val="single" w:color="000000" w:sz="4" w:space="0"/>
              <w:bottom w:val="single" w:color="000000" w:sz="4" w:space="0"/>
              <w:right w:val="single" w:color="000000" w:sz="4" w:space="0"/>
            </w:tcBorders>
            <w:noWrap/>
            <w:vAlign w:val="center"/>
          </w:tcPr>
          <w:p w14:paraId="690CBEA2">
            <w:pPr>
              <w:keepNext w:val="0"/>
              <w:keepLines w:val="0"/>
              <w:widowControl/>
              <w:suppressLineNumbers w:val="0"/>
              <w:spacing w:after="220" w:afterAutospacing="0"/>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注：</w:t>
            </w:r>
          </w:p>
          <w:p w14:paraId="466C6D63">
            <w:pPr>
              <w:tabs>
                <w:tab w:val="left" w:pos="4045"/>
              </w:tabs>
              <w:bidi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参考图片:所附图片仅辅助理解采购意图，不作为评审依据。图片与文字参数不一致的，以文字参数为准，以确保采购需求的明确性与可行性。</w:t>
            </w:r>
          </w:p>
        </w:tc>
      </w:tr>
    </w:tbl>
    <w:p w14:paraId="38CBA0B7">
      <w:pPr>
        <w:pStyle w:val="6"/>
        <w:ind w:left="0" w:leftChars="0" w:firstLine="0" w:firstLineChars="0"/>
        <w:rPr>
          <w:rFonts w:hint="default" w:ascii="宋体" w:hAnsi="宋体" w:eastAsia="宋体"/>
          <w:b/>
          <w:bCs/>
          <w:sz w:val="20"/>
          <w:szCs w:val="20"/>
          <w:lang w:val="en-US" w:eastAsia="zh-CN"/>
        </w:rPr>
      </w:pPr>
    </w:p>
    <w:p w14:paraId="3DEF3652">
      <w:pPr>
        <w:rPr>
          <w:rFonts w:hint="default" w:ascii="Times New Roman" w:hAnsi="Times New Roman" w:cs="Times New Roman" w:eastAsiaTheme="minorEastAsia"/>
          <w:sz w:val="32"/>
          <w:szCs w:val="32"/>
          <w:highlight w:val="none"/>
        </w:rPr>
      </w:pPr>
    </w:p>
    <w:p w14:paraId="6B725CD6">
      <w:pPr>
        <w:rPr>
          <w:rFonts w:hint="default" w:ascii="Times New Roman" w:hAnsi="Times New Roman" w:cs="Times New Roman" w:eastAsiaTheme="minorEastAsia"/>
          <w:sz w:val="32"/>
          <w:szCs w:val="32"/>
          <w:highlight w:val="none"/>
        </w:rPr>
      </w:pPr>
    </w:p>
    <w:p w14:paraId="2D0F4E4F">
      <w:pPr>
        <w:pStyle w:val="2"/>
        <w:rPr>
          <w:rFonts w:hint="default" w:ascii="Times New Roman" w:hAnsi="Times New Roman" w:cs="Times New Roman" w:eastAsiaTheme="minorEastAsia"/>
          <w:sz w:val="32"/>
          <w:szCs w:val="32"/>
          <w:highlight w:val="none"/>
        </w:rPr>
      </w:pPr>
    </w:p>
    <w:p w14:paraId="59A1A49C">
      <w:pPr>
        <w:rPr>
          <w:rFonts w:hint="default" w:ascii="Times New Roman" w:hAnsi="Times New Roman" w:cs="Times New Roman" w:eastAsiaTheme="minorEastAsia"/>
          <w:sz w:val="32"/>
          <w:szCs w:val="32"/>
          <w:highlight w:val="none"/>
        </w:rPr>
      </w:pPr>
    </w:p>
    <w:p w14:paraId="09187F23">
      <w:pPr>
        <w:pStyle w:val="2"/>
        <w:rPr>
          <w:rFonts w:hint="default" w:ascii="Times New Roman" w:hAnsi="Times New Roman" w:cs="Times New Roman" w:eastAsiaTheme="minorEastAsia"/>
          <w:sz w:val="32"/>
          <w:szCs w:val="32"/>
          <w:highlight w:val="none"/>
        </w:rPr>
      </w:pPr>
    </w:p>
    <w:p w14:paraId="79A220A9">
      <w:pPr>
        <w:rPr>
          <w:rFonts w:hint="default" w:ascii="Times New Roman" w:hAnsi="Times New Roman" w:cs="Times New Roman" w:eastAsiaTheme="minorEastAsia"/>
          <w:sz w:val="32"/>
          <w:szCs w:val="32"/>
          <w:highlight w:val="none"/>
        </w:rPr>
      </w:pPr>
    </w:p>
    <w:p w14:paraId="48E20C58">
      <w:pPr>
        <w:pStyle w:val="2"/>
        <w:rPr>
          <w:rFonts w:hint="default"/>
        </w:rPr>
      </w:pPr>
    </w:p>
    <w:p w14:paraId="65C07950">
      <w:pPr>
        <w:pStyle w:val="4"/>
        <w:spacing w:before="0" w:beforeLines="0" w:after="0" w:afterLines="0" w:line="360" w:lineRule="auto"/>
        <w:jc w:val="center"/>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四</w:t>
      </w:r>
      <w:r>
        <w:rPr>
          <w:rFonts w:hint="default" w:ascii="Times New Roman" w:hAnsi="Times New Roman" w:cs="Times New Roman" w:eastAsiaTheme="minorEastAsia"/>
          <w:sz w:val="32"/>
          <w:szCs w:val="32"/>
          <w:highlight w:val="none"/>
        </w:rPr>
        <w:t>章 资格审查</w:t>
      </w:r>
    </w:p>
    <w:p w14:paraId="5938F6CB">
      <w:pPr>
        <w:spacing w:beforeLines="0" w:afterLines="0" w:line="360" w:lineRule="auto"/>
        <w:ind w:firstLine="0"/>
        <w:rPr>
          <w:rFonts w:hint="default" w:ascii="Times New Roman" w:hAnsi="Times New Roman" w:cs="Times New Roman" w:eastAsiaTheme="minorEastAsia"/>
          <w:bCs/>
          <w:sz w:val="28"/>
          <w:szCs w:val="28"/>
          <w:highlight w:val="none"/>
          <w:lang w:val="zh-CN"/>
        </w:rPr>
      </w:pPr>
    </w:p>
    <w:p w14:paraId="71510998">
      <w:pPr>
        <w:spacing w:beforeLines="0" w:afterLines="0" w:line="360" w:lineRule="auto"/>
        <w:ind w:firstLine="0"/>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一、资格审查程序</w:t>
      </w:r>
    </w:p>
    <w:p w14:paraId="308AFDCF">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1.开标结束后，根据《资格审查要求》依法对投标人的资格进行审查。</w:t>
      </w:r>
    </w:p>
    <w:p w14:paraId="4AFB45E6">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highlight w:val="none"/>
          <w:lang w:val="en-US" w:eastAsia="zh-CN"/>
        </w:rPr>
        <w:t>投标无效</w:t>
      </w:r>
      <w:r>
        <w:rPr>
          <w:rFonts w:hint="default" w:ascii="Times New Roman" w:hAnsi="Times New Roman" w:cs="Times New Roman" w:eastAsiaTheme="minorEastAsia"/>
          <w:bCs/>
          <w:sz w:val="28"/>
          <w:szCs w:val="28"/>
          <w:highlight w:val="none"/>
          <w:lang w:val="en-US" w:eastAsia="zh-CN"/>
        </w:rPr>
        <w:t>。</w:t>
      </w:r>
    </w:p>
    <w:p w14:paraId="58433C4C">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3.资格审查合格的投标人不足3家的，不得评标。</w:t>
      </w:r>
    </w:p>
    <w:p w14:paraId="3B213494">
      <w:pPr>
        <w:spacing w:beforeLines="0" w:afterLines="0" w:line="360" w:lineRule="auto"/>
        <w:ind w:firstLine="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二、资格审查要求</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2311"/>
        <w:gridCol w:w="6289"/>
      </w:tblGrid>
      <w:tr w14:paraId="471E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54E56BCD">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序号</w:t>
            </w:r>
          </w:p>
        </w:tc>
        <w:tc>
          <w:tcPr>
            <w:tcW w:w="2311" w:type="dxa"/>
            <w:noWrap w:val="0"/>
            <w:vAlign w:val="center"/>
          </w:tcPr>
          <w:p w14:paraId="6C24261D">
            <w:pPr>
              <w:spacing w:beforeLines="0" w:afterLines="0" w:line="360" w:lineRule="auto"/>
              <w:ind w:firstLine="0"/>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审查因素</w:t>
            </w:r>
          </w:p>
        </w:tc>
        <w:tc>
          <w:tcPr>
            <w:tcW w:w="6289" w:type="dxa"/>
            <w:noWrap w:val="0"/>
            <w:vAlign w:val="center"/>
          </w:tcPr>
          <w:p w14:paraId="5C1798C4">
            <w:pPr>
              <w:spacing w:beforeLines="0" w:afterLines="0" w:line="360" w:lineRule="auto"/>
              <w:ind w:firstLine="0"/>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审查内容</w:t>
            </w:r>
          </w:p>
        </w:tc>
      </w:tr>
      <w:tr w14:paraId="2366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44D74AA4">
            <w:pPr>
              <w:spacing w:beforeLines="0" w:afterLines="0" w:line="360" w:lineRule="auto"/>
              <w:ind w:firstLine="0"/>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w:t>
            </w:r>
          </w:p>
        </w:tc>
        <w:tc>
          <w:tcPr>
            <w:tcW w:w="2311" w:type="dxa"/>
            <w:noWrap w:val="0"/>
            <w:vAlign w:val="center"/>
          </w:tcPr>
          <w:p w14:paraId="0D1BED25">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具有独立承担民事责任的能力</w:t>
            </w:r>
          </w:p>
        </w:tc>
        <w:tc>
          <w:tcPr>
            <w:tcW w:w="6289" w:type="dxa"/>
            <w:noWrap w:val="0"/>
            <w:vAlign w:val="center"/>
          </w:tcPr>
          <w:p w14:paraId="0CE9C3F2">
            <w:pPr>
              <w:spacing w:beforeLines="0" w:afterLines="0" w:line="360" w:lineRule="auto"/>
              <w:ind w:firstLine="0"/>
              <w:rPr>
                <w:rFonts w:hint="default" w:eastAsia="宋体"/>
                <w:bCs/>
                <w:sz w:val="24"/>
                <w:szCs w:val="24"/>
                <w:highlight w:val="none"/>
                <w:lang w:val="zh-CN"/>
              </w:rPr>
            </w:pPr>
            <w:r>
              <w:rPr>
                <w:rFonts w:hint="default" w:eastAsia="宋体"/>
                <w:bCs/>
                <w:sz w:val="24"/>
                <w:szCs w:val="24"/>
                <w:highlight w:val="none"/>
                <w:lang w:val="zh-CN"/>
              </w:rPr>
              <w:t>（</w:t>
            </w:r>
            <w:r>
              <w:rPr>
                <w:rFonts w:hint="default" w:eastAsia="宋体"/>
                <w:bCs/>
                <w:sz w:val="24"/>
                <w:szCs w:val="24"/>
                <w:highlight w:val="none"/>
                <w:lang w:val="zh-CN" w:eastAsia="zh-CN"/>
              </w:rPr>
              <w:t>1</w:t>
            </w:r>
            <w:r>
              <w:rPr>
                <w:rFonts w:hint="default" w:eastAsia="宋体"/>
                <w:bCs/>
                <w:sz w:val="24"/>
                <w:szCs w:val="24"/>
                <w:highlight w:val="none"/>
                <w:lang w:val="zh-CN"/>
              </w:rPr>
              <w:t>）投标人为企业（包括合伙企业）的，应提供有效的“营业执照”；</w:t>
            </w:r>
          </w:p>
          <w:p w14:paraId="422F3739">
            <w:pPr>
              <w:spacing w:beforeLines="0" w:afterLines="0" w:line="360" w:lineRule="auto"/>
              <w:ind w:firstLine="0"/>
              <w:rPr>
                <w:rFonts w:hint="default" w:eastAsia="宋体"/>
                <w:bCs/>
                <w:sz w:val="24"/>
                <w:szCs w:val="24"/>
                <w:highlight w:val="none"/>
                <w:lang w:val="zh-CN"/>
              </w:rPr>
            </w:pPr>
            <w:r>
              <w:rPr>
                <w:rFonts w:hint="default" w:eastAsia="宋体"/>
                <w:bCs/>
                <w:sz w:val="24"/>
                <w:szCs w:val="24"/>
                <w:highlight w:val="none"/>
                <w:lang w:val="zh-CN"/>
              </w:rPr>
              <w:t>（</w:t>
            </w:r>
            <w:r>
              <w:rPr>
                <w:rFonts w:hint="default" w:eastAsia="宋体"/>
                <w:bCs/>
                <w:sz w:val="24"/>
                <w:szCs w:val="24"/>
                <w:highlight w:val="none"/>
                <w:lang w:val="zh-CN" w:eastAsia="zh-CN"/>
              </w:rPr>
              <w:t>2</w:t>
            </w:r>
            <w:r>
              <w:rPr>
                <w:rFonts w:hint="default" w:eastAsia="宋体"/>
                <w:bCs/>
                <w:sz w:val="24"/>
                <w:szCs w:val="24"/>
                <w:highlight w:val="none"/>
                <w:lang w:val="zh-CN"/>
              </w:rPr>
              <w:t>）投标人为事业单位的，应提供有效的“事业单位法人证书”；</w:t>
            </w:r>
          </w:p>
          <w:p w14:paraId="1C8BBDDD">
            <w:pPr>
              <w:spacing w:beforeLines="0" w:afterLines="0" w:line="360" w:lineRule="auto"/>
              <w:ind w:firstLine="0"/>
              <w:rPr>
                <w:rFonts w:hint="default" w:eastAsia="宋体"/>
                <w:bCs/>
                <w:sz w:val="24"/>
                <w:szCs w:val="24"/>
                <w:highlight w:val="none"/>
                <w:lang w:val="zh-CN"/>
              </w:rPr>
            </w:pPr>
            <w:r>
              <w:rPr>
                <w:rFonts w:hint="default" w:eastAsia="宋体"/>
                <w:bCs/>
                <w:sz w:val="24"/>
                <w:szCs w:val="24"/>
                <w:highlight w:val="none"/>
                <w:lang w:val="zh-CN"/>
              </w:rPr>
              <w:t>（</w:t>
            </w:r>
            <w:r>
              <w:rPr>
                <w:rFonts w:hint="default" w:eastAsia="宋体"/>
                <w:bCs/>
                <w:sz w:val="24"/>
                <w:szCs w:val="24"/>
                <w:highlight w:val="none"/>
                <w:lang w:val="zh-CN" w:eastAsia="zh-CN"/>
              </w:rPr>
              <w:t>3</w:t>
            </w:r>
            <w:r>
              <w:rPr>
                <w:rFonts w:hint="default" w:eastAsia="宋体"/>
                <w:bCs/>
                <w:sz w:val="24"/>
                <w:szCs w:val="24"/>
                <w:highlight w:val="none"/>
                <w:lang w:val="zh-CN"/>
              </w:rPr>
              <w:t>）投标人是非企业机构的，应提供有效的“执业许可证”、“登记证书”等证明文件；</w:t>
            </w:r>
          </w:p>
          <w:p w14:paraId="6E0BCC5B">
            <w:pPr>
              <w:spacing w:beforeLines="0" w:afterLines="0" w:line="360" w:lineRule="auto"/>
              <w:ind w:firstLine="0"/>
              <w:rPr>
                <w:rFonts w:hint="default" w:eastAsia="宋体"/>
                <w:bCs/>
                <w:sz w:val="24"/>
                <w:szCs w:val="24"/>
                <w:highlight w:val="none"/>
                <w:lang w:val="zh-CN"/>
              </w:rPr>
            </w:pPr>
            <w:r>
              <w:rPr>
                <w:rFonts w:hint="default" w:eastAsia="宋体"/>
                <w:bCs/>
                <w:sz w:val="24"/>
                <w:szCs w:val="24"/>
                <w:highlight w:val="none"/>
                <w:lang w:val="zh-CN"/>
              </w:rPr>
              <w:t>（</w:t>
            </w:r>
            <w:r>
              <w:rPr>
                <w:rFonts w:hint="default" w:eastAsia="宋体"/>
                <w:bCs/>
                <w:sz w:val="24"/>
                <w:szCs w:val="24"/>
                <w:highlight w:val="none"/>
                <w:lang w:val="zh-CN" w:eastAsia="zh-CN"/>
              </w:rPr>
              <w:t>4</w:t>
            </w:r>
            <w:r>
              <w:rPr>
                <w:rFonts w:hint="default" w:eastAsia="宋体"/>
                <w:bCs/>
                <w:sz w:val="24"/>
                <w:szCs w:val="24"/>
                <w:highlight w:val="none"/>
                <w:lang w:val="zh-CN"/>
              </w:rPr>
              <w:t>）投标人是个体工商户的，应提供有效的“个体工商户营业执照”；</w:t>
            </w:r>
          </w:p>
          <w:p w14:paraId="08803591">
            <w:pPr>
              <w:spacing w:beforeLines="0" w:afterLines="0" w:line="360" w:lineRule="auto"/>
              <w:ind w:firstLine="0"/>
              <w:rPr>
                <w:rFonts w:hint="default"/>
                <w:sz w:val="24"/>
                <w:szCs w:val="24"/>
                <w:highlight w:val="none"/>
                <w:lang w:val="zh-CN"/>
              </w:rPr>
            </w:pPr>
            <w:r>
              <w:rPr>
                <w:rFonts w:hint="default" w:eastAsia="宋体"/>
                <w:bCs/>
                <w:sz w:val="24"/>
                <w:szCs w:val="24"/>
                <w:highlight w:val="none"/>
                <w:lang w:val="zh-CN"/>
              </w:rPr>
              <w:t>（</w:t>
            </w:r>
            <w:r>
              <w:rPr>
                <w:rFonts w:hint="default" w:eastAsia="宋体"/>
                <w:bCs/>
                <w:sz w:val="24"/>
                <w:szCs w:val="24"/>
                <w:highlight w:val="none"/>
                <w:lang w:val="zh-CN" w:eastAsia="zh-CN"/>
              </w:rPr>
              <w:t>5</w:t>
            </w:r>
            <w:r>
              <w:rPr>
                <w:rFonts w:hint="default" w:eastAsia="宋体"/>
                <w:bCs/>
                <w:sz w:val="24"/>
                <w:szCs w:val="24"/>
                <w:highlight w:val="none"/>
                <w:lang w:val="zh-CN"/>
              </w:rPr>
              <w:t>）投标人是自然人的，应提供有效的自然人身份证明。</w:t>
            </w:r>
          </w:p>
        </w:tc>
      </w:tr>
      <w:tr w14:paraId="571E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4487CB76">
            <w:pPr>
              <w:spacing w:beforeLines="0" w:afterLines="0" w:line="360" w:lineRule="auto"/>
              <w:ind w:firstLine="0"/>
              <w:jc w:val="center"/>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2</w:t>
            </w:r>
          </w:p>
        </w:tc>
        <w:tc>
          <w:tcPr>
            <w:tcW w:w="2311" w:type="dxa"/>
            <w:noWrap w:val="0"/>
            <w:vAlign w:val="center"/>
          </w:tcPr>
          <w:p w14:paraId="0AFC6081">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具有良好的商业信誉和健全的财务会计制度</w:t>
            </w:r>
          </w:p>
        </w:tc>
        <w:tc>
          <w:tcPr>
            <w:tcW w:w="6289" w:type="dxa"/>
            <w:noWrap w:val="0"/>
            <w:vAlign w:val="center"/>
          </w:tcPr>
          <w:p w14:paraId="129FD6DF">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具有良好的商业信誉和健全的财务会计制度：提供2023年度或2024年度经审计过的财务审计报告或财务报表（财务报表应至少包括资产负债表、利润表、现金流量表或财务状况变动表等）或银行出具的近三个月的资信证明，新成立不足一年的投标人无法提供审计报告，则需提供开户银行出具的有效的资信证明</w:t>
            </w:r>
          </w:p>
        </w:tc>
      </w:tr>
      <w:tr w14:paraId="1D9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30B2ECA1">
            <w:pPr>
              <w:spacing w:beforeLines="0" w:afterLines="0" w:line="360" w:lineRule="auto"/>
              <w:ind w:firstLine="0"/>
              <w:jc w:val="center"/>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3</w:t>
            </w:r>
          </w:p>
        </w:tc>
        <w:tc>
          <w:tcPr>
            <w:tcW w:w="2311" w:type="dxa"/>
            <w:noWrap w:val="0"/>
            <w:vAlign w:val="center"/>
          </w:tcPr>
          <w:p w14:paraId="6DC80317">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具有履行合同所必需的设备和专业技术能力</w:t>
            </w:r>
          </w:p>
        </w:tc>
        <w:tc>
          <w:tcPr>
            <w:tcW w:w="6289" w:type="dxa"/>
            <w:noWrap w:val="0"/>
            <w:vAlign w:val="center"/>
          </w:tcPr>
          <w:p w14:paraId="6A50CCE3">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提供具有履行合同所必需的设备和专业技术能力的书面承诺函（可根据采购项目特点自行填写）</w:t>
            </w:r>
          </w:p>
        </w:tc>
      </w:tr>
      <w:tr w14:paraId="500B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61" w:hRule="atLeast"/>
          <w:jc w:val="center"/>
        </w:trPr>
        <w:tc>
          <w:tcPr>
            <w:tcW w:w="914" w:type="dxa"/>
            <w:noWrap w:val="0"/>
            <w:vAlign w:val="center"/>
          </w:tcPr>
          <w:p w14:paraId="7982F508">
            <w:pPr>
              <w:spacing w:beforeLines="0" w:afterLines="0" w:line="360" w:lineRule="auto"/>
              <w:ind w:firstLine="0"/>
              <w:jc w:val="center"/>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4</w:t>
            </w:r>
          </w:p>
        </w:tc>
        <w:tc>
          <w:tcPr>
            <w:tcW w:w="2311" w:type="dxa"/>
            <w:noWrap w:val="0"/>
            <w:vAlign w:val="center"/>
          </w:tcPr>
          <w:p w14:paraId="2D5C282D">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有依法缴纳税收和社会保障资金的良好记录</w:t>
            </w:r>
          </w:p>
        </w:tc>
        <w:tc>
          <w:tcPr>
            <w:tcW w:w="6289" w:type="dxa"/>
            <w:noWrap w:val="0"/>
            <w:vAlign w:val="center"/>
          </w:tcPr>
          <w:p w14:paraId="79F07F1E">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①供应商须提供响应截止日前六个月（近半年）内任意3个月的纳税证明资料（税收部门出具的完成税收缴纳证明）（注意：申报表、征集单、银行的缴纳回执单等不予认可）如依法免税或无需纳税的，应提供税收部门开具的相关证明材料证明其依法免税。（加盖单位公章）;</w:t>
            </w:r>
          </w:p>
          <w:p w14:paraId="6A49C351">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②供应商须提供响应截止日前六个月（近半年）内任意3个月的税收部门或社保机构出具的完成社保缴纳证明。如依法不需要缴纳社会保险费或拟缴纳暂未缴纳的，应提供相应文件予以证明。（注意：申报表、征集单、银行的缴纳回执单等不予认可。如委托其他机构代缴代扣，还需同时提供供应商与机构签署的服务合同或代缴协议，其中应明确写明第三方为供应商代缴其社会保险，否则不予认可）（加盖单位公章）</w:t>
            </w:r>
          </w:p>
        </w:tc>
      </w:tr>
      <w:tr w14:paraId="0A5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71D5579D">
            <w:pPr>
              <w:spacing w:beforeLines="0" w:afterLines="0" w:line="360" w:lineRule="auto"/>
              <w:ind w:firstLine="0"/>
              <w:jc w:val="center"/>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5</w:t>
            </w:r>
          </w:p>
        </w:tc>
        <w:tc>
          <w:tcPr>
            <w:tcW w:w="2311" w:type="dxa"/>
            <w:noWrap w:val="0"/>
            <w:vAlign w:val="center"/>
          </w:tcPr>
          <w:p w14:paraId="4DF12D11">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参加政府采购活动前三年内，在经营活动中没有重大违法记录</w:t>
            </w:r>
          </w:p>
        </w:tc>
        <w:tc>
          <w:tcPr>
            <w:tcW w:w="6289" w:type="dxa"/>
            <w:noWrap w:val="0"/>
            <w:vAlign w:val="center"/>
          </w:tcPr>
          <w:p w14:paraId="04B43A70">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提供符合招标文件要求的《资格承诺函》，或提供相应的证明材料。参加政府采购活动前3年内在经营活动中没有重大违法记录的书面承诺函;</w:t>
            </w:r>
          </w:p>
        </w:tc>
      </w:tr>
      <w:tr w14:paraId="0AC7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43F6EAC5">
            <w:pPr>
              <w:spacing w:beforeLines="0" w:afterLines="0" w:line="360" w:lineRule="auto"/>
              <w:ind w:firstLine="0"/>
              <w:jc w:val="center"/>
              <w:rPr>
                <w:rFonts w:hint="default" w:ascii="Times New Roman" w:hAnsi="Times New Roman" w:eastAsia="宋体" w:cs="Times New Roman"/>
                <w:bCs/>
                <w:sz w:val="24"/>
                <w:szCs w:val="24"/>
                <w:highlight w:val="none"/>
                <w:lang w:val="en-US"/>
              </w:rPr>
            </w:pPr>
            <w:r>
              <w:rPr>
                <w:rFonts w:hint="default" w:ascii="Times New Roman" w:hAnsi="Times New Roman" w:eastAsia="宋体" w:cs="Times New Roman"/>
                <w:bCs/>
                <w:sz w:val="24"/>
                <w:szCs w:val="24"/>
                <w:highlight w:val="none"/>
                <w:lang w:val="en-US" w:eastAsia="zh-CN"/>
              </w:rPr>
              <w:t>6</w:t>
            </w:r>
          </w:p>
        </w:tc>
        <w:tc>
          <w:tcPr>
            <w:tcW w:w="2311" w:type="dxa"/>
            <w:noWrap w:val="0"/>
            <w:vAlign w:val="center"/>
          </w:tcPr>
          <w:p w14:paraId="200B4793">
            <w:pPr>
              <w:spacing w:beforeLines="0" w:afterLines="0" w:line="360" w:lineRule="auto"/>
              <w:ind w:firstLine="0"/>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投标人信用记录</w:t>
            </w:r>
          </w:p>
        </w:tc>
        <w:tc>
          <w:tcPr>
            <w:tcW w:w="6289" w:type="dxa"/>
            <w:noWrap w:val="0"/>
            <w:vAlign w:val="center"/>
          </w:tcPr>
          <w:p w14:paraId="6837BB20">
            <w:pPr>
              <w:spacing w:beforeLines="0" w:afterLines="0" w:line="360" w:lineRule="auto"/>
              <w:ind w:firstLine="0"/>
              <w:rPr>
                <w:rFonts w:hint="default" w:ascii="Times New Roman" w:hAnsi="Times New Roman" w:eastAsia="宋体" w:cs="Times New Roman"/>
                <w:b w:val="0"/>
                <w:bCs/>
                <w:sz w:val="24"/>
                <w:szCs w:val="24"/>
                <w:highlight w:val="none"/>
                <w:lang w:val="zh-CN" w:eastAsia="zh-CN"/>
              </w:rPr>
            </w:pPr>
            <w:r>
              <w:rPr>
                <w:rFonts w:hint="default" w:ascii="Times New Roman" w:hAnsi="Times New Roman" w:eastAsia="宋体" w:cs="Times New Roman"/>
                <w:bCs/>
                <w:sz w:val="24"/>
                <w:szCs w:val="24"/>
                <w:highlight w:val="none"/>
                <w:lang w:val="zh-CN"/>
              </w:rPr>
              <w:t>查询渠道：</w:t>
            </w:r>
            <w:r>
              <w:rPr>
                <w:rStyle w:val="25"/>
                <w:rFonts w:hint="default" w:ascii="Times New Roman" w:hAnsi="Times New Roman" w:eastAsia="宋体" w:cs="Times New Roman"/>
                <w:b w:val="0"/>
                <w:bCs/>
                <w:sz w:val="24"/>
                <w:szCs w:val="24"/>
                <w:highlight w:val="none"/>
                <w:lang w:val="zh-CN" w:eastAsia="zh-CN"/>
              </w:rPr>
              <w:t>“信用中国”网站、中国政府采购网</w:t>
            </w:r>
            <w:r>
              <w:rPr>
                <w:rStyle w:val="25"/>
                <w:rFonts w:hint="default" w:eastAsia="宋体" w:cs="Times New Roman"/>
                <w:b w:val="0"/>
                <w:bCs/>
                <w:sz w:val="24"/>
                <w:szCs w:val="24"/>
                <w:highlight w:val="none"/>
                <w:lang w:val="zh-CN" w:eastAsia="zh-CN"/>
              </w:rPr>
              <w:t>等渠道</w:t>
            </w:r>
            <w:r>
              <w:rPr>
                <w:rFonts w:hint="default" w:ascii="Times New Roman" w:hAnsi="Times New Roman" w:eastAsia="宋体" w:cs="Times New Roman"/>
                <w:b w:val="0"/>
                <w:bCs/>
                <w:sz w:val="24"/>
                <w:szCs w:val="24"/>
                <w:highlight w:val="none"/>
                <w:lang w:val="zh-CN" w:eastAsia="zh-CN"/>
              </w:rPr>
              <w:t>；</w:t>
            </w:r>
          </w:p>
          <w:p w14:paraId="00FDE752">
            <w:pPr>
              <w:spacing w:beforeLines="0" w:afterLines="0" w:line="360" w:lineRule="auto"/>
              <w:ind w:firstLine="0"/>
              <w:rPr>
                <w:rFonts w:hint="default" w:ascii="Times New Roman" w:hAnsi="Times New Roman" w:eastAsia="宋体" w:cs="Times New Roman"/>
                <w:b w:val="0"/>
                <w:bCs/>
                <w:sz w:val="24"/>
                <w:szCs w:val="24"/>
                <w:highlight w:val="none"/>
                <w:lang w:val="zh-CN" w:eastAsia="zh-CN"/>
              </w:rPr>
            </w:pPr>
            <w:r>
              <w:rPr>
                <w:rFonts w:hint="default" w:ascii="Times New Roman" w:hAnsi="Times New Roman" w:eastAsia="宋体" w:cs="Times New Roman"/>
                <w:b w:val="0"/>
                <w:bCs/>
                <w:sz w:val="24"/>
                <w:szCs w:val="24"/>
                <w:highlight w:val="none"/>
                <w:lang w:val="zh-CN" w:eastAsia="zh-CN"/>
              </w:rPr>
              <w:t>查询时点：投标截止时间以后、资格审查阶段采购人或采购代理机构的实际查询时间；</w:t>
            </w:r>
          </w:p>
          <w:p w14:paraId="4DDE8607">
            <w:pPr>
              <w:spacing w:beforeLines="0" w:afterLines="0" w:line="360" w:lineRule="auto"/>
              <w:ind w:firstLine="0"/>
              <w:rPr>
                <w:rFonts w:hint="default" w:ascii="Times New Roman" w:hAnsi="Times New Roman" w:eastAsia="宋体" w:cs="Times New Roman"/>
                <w:b w:val="0"/>
                <w:bCs/>
                <w:sz w:val="24"/>
                <w:szCs w:val="24"/>
                <w:highlight w:val="none"/>
                <w:lang w:val="zh-CN" w:eastAsia="zh-CN"/>
              </w:rPr>
            </w:pPr>
            <w:r>
              <w:rPr>
                <w:rFonts w:hint="default" w:ascii="Times New Roman" w:hAnsi="Times New Roman" w:eastAsia="宋体" w:cs="Times New Roman"/>
                <w:b w:val="0"/>
                <w:bCs/>
                <w:sz w:val="24"/>
                <w:szCs w:val="24"/>
                <w:highlight w:val="none"/>
                <w:lang w:val="zh-CN" w:eastAsia="zh-CN"/>
              </w:rPr>
              <w:t>信用信息查询记录和证据留存具体方式：查询结果网页打印页作为查询记录和证据，与其他采购文件一并保存；</w:t>
            </w:r>
          </w:p>
          <w:p w14:paraId="467B3305">
            <w:pPr>
              <w:spacing w:beforeLines="0" w:afterLines="0" w:line="360" w:lineRule="auto"/>
              <w:ind w:firstLine="0"/>
              <w:rPr>
                <w:rFonts w:hint="default" w:ascii="Times New Roman" w:hAnsi="Times New Roman" w:eastAsia="宋体" w:cs="Times New Roman"/>
                <w:b w:val="0"/>
                <w:bCs/>
                <w:sz w:val="24"/>
                <w:szCs w:val="24"/>
                <w:highlight w:val="none"/>
                <w:lang w:val="zh-CN" w:eastAsia="zh-CN"/>
              </w:rPr>
            </w:pPr>
            <w:r>
              <w:rPr>
                <w:rFonts w:hint="default" w:ascii="Times New Roman" w:hAnsi="Times New Roman" w:eastAsia="宋体" w:cs="Times New Roman"/>
                <w:b w:val="0"/>
                <w:bCs/>
                <w:sz w:val="24"/>
                <w:szCs w:val="24"/>
                <w:highlight w:val="none"/>
                <w:lang w:val="zh-CN" w:eastAsia="zh-CN"/>
              </w:rPr>
              <w:t>信用信息的使用原则：</w:t>
            </w:r>
            <w:r>
              <w:rPr>
                <w:rStyle w:val="25"/>
                <w:rFonts w:hint="default" w:ascii="Times New Roman" w:hAnsi="Times New Roman" w:eastAsia="宋体" w:cs="Times New Roman"/>
                <w:b w:val="0"/>
                <w:bCs/>
                <w:sz w:val="24"/>
                <w:szCs w:val="24"/>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eastAsia="宋体" w:cs="Times New Roman"/>
                <w:b/>
                <w:bCs w:val="0"/>
                <w:sz w:val="24"/>
                <w:szCs w:val="24"/>
                <w:highlight w:val="none"/>
                <w:lang w:val="zh-CN" w:eastAsia="zh-CN"/>
              </w:rPr>
              <w:t>其投标无效</w:t>
            </w:r>
            <w:r>
              <w:rPr>
                <w:rFonts w:hint="default" w:ascii="Times New Roman" w:hAnsi="Times New Roman" w:eastAsia="宋体" w:cs="Times New Roman"/>
                <w:b w:val="0"/>
                <w:bCs/>
                <w:sz w:val="24"/>
                <w:szCs w:val="24"/>
                <w:highlight w:val="none"/>
                <w:lang w:val="zh-CN" w:eastAsia="zh-CN"/>
              </w:rPr>
              <w:t>。</w:t>
            </w:r>
            <w:r>
              <w:rPr>
                <w:rStyle w:val="25"/>
                <w:rFonts w:hint="default" w:ascii="Times New Roman" w:hAnsi="Times New Roman" w:eastAsia="宋体" w:cs="Times New Roman"/>
                <w:b w:val="0"/>
                <w:bCs/>
                <w:sz w:val="24"/>
                <w:szCs w:val="24"/>
                <w:highlight w:val="none"/>
                <w:lang w:val="zh-CN" w:eastAsia="zh-CN"/>
              </w:rPr>
              <w:t>联合体</w:t>
            </w:r>
            <w:r>
              <w:rPr>
                <w:rFonts w:hint="default" w:ascii="Times New Roman" w:hAnsi="Times New Roman" w:eastAsia="宋体" w:cs="Times New Roman"/>
                <w:b w:val="0"/>
                <w:bCs/>
                <w:sz w:val="24"/>
                <w:szCs w:val="24"/>
                <w:highlight w:val="none"/>
                <w:lang w:val="zh-CN" w:eastAsia="zh-CN"/>
              </w:rPr>
              <w:t>形式投标的</w:t>
            </w:r>
            <w:r>
              <w:rPr>
                <w:rStyle w:val="25"/>
                <w:rFonts w:hint="default" w:ascii="Times New Roman" w:hAnsi="Times New Roman" w:eastAsia="宋体" w:cs="Times New Roman"/>
                <w:b w:val="0"/>
                <w:bCs/>
                <w:sz w:val="24"/>
                <w:szCs w:val="24"/>
                <w:highlight w:val="none"/>
                <w:lang w:val="zh-CN" w:eastAsia="zh-CN"/>
              </w:rPr>
              <w:t>，联合体成员存在不良信用记录的，视同联合体存在不良信用记录</w:t>
            </w:r>
            <w:r>
              <w:rPr>
                <w:rFonts w:hint="default" w:ascii="Times New Roman" w:hAnsi="Times New Roman" w:eastAsia="宋体" w:cs="Times New Roman"/>
                <w:b w:val="0"/>
                <w:bCs/>
                <w:sz w:val="24"/>
                <w:szCs w:val="24"/>
                <w:highlight w:val="none"/>
                <w:lang w:val="zh-CN" w:eastAsia="zh-CN"/>
              </w:rPr>
              <w:t>，</w:t>
            </w:r>
            <w:r>
              <w:rPr>
                <w:rFonts w:hint="default" w:ascii="Times New Roman" w:hAnsi="Times New Roman" w:eastAsia="宋体" w:cs="Times New Roman"/>
                <w:b/>
                <w:bCs w:val="0"/>
                <w:sz w:val="24"/>
                <w:szCs w:val="24"/>
                <w:highlight w:val="none"/>
                <w:lang w:val="zh-CN" w:eastAsia="zh-CN"/>
              </w:rPr>
              <w:t>其投标无效</w:t>
            </w:r>
            <w:r>
              <w:rPr>
                <w:rFonts w:hint="default" w:ascii="Times New Roman" w:hAnsi="Times New Roman" w:eastAsia="宋体" w:cs="Times New Roman"/>
                <w:b w:val="0"/>
                <w:bCs/>
                <w:sz w:val="24"/>
                <w:szCs w:val="24"/>
                <w:highlight w:val="none"/>
                <w:lang w:val="zh-CN" w:eastAsia="zh-CN"/>
              </w:rPr>
              <w:t>。</w:t>
            </w:r>
          </w:p>
          <w:p w14:paraId="6D130E8D">
            <w:pPr>
              <w:spacing w:beforeLines="0" w:afterLines="0" w:line="360" w:lineRule="auto"/>
              <w:ind w:firstLine="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
                <w:bCs w:val="0"/>
                <w:sz w:val="24"/>
                <w:szCs w:val="24"/>
                <w:highlight w:val="none"/>
                <w:lang w:val="zh-CN" w:eastAsia="zh-CN"/>
              </w:rPr>
              <w:t>（此项资格条件无须投标人提供，由采购人或采购代理机构查询）</w:t>
            </w:r>
          </w:p>
        </w:tc>
      </w:tr>
      <w:tr w14:paraId="2196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115569C8">
            <w:pPr>
              <w:spacing w:beforeLines="0" w:afterLines="0" w:line="360" w:lineRule="auto"/>
              <w:ind w:firstLine="0"/>
              <w:jc w:val="center"/>
              <w:rPr>
                <w:rFonts w:hint="default" w:ascii="Times New Roman" w:hAnsi="Times New Roman" w:eastAsia="宋体" w:cs="Times New Roman"/>
                <w:bCs/>
                <w:sz w:val="24"/>
                <w:szCs w:val="24"/>
                <w:highlight w:val="none"/>
                <w:lang w:val="en-US"/>
              </w:rPr>
            </w:pPr>
            <w:r>
              <w:rPr>
                <w:rFonts w:hint="default" w:ascii="Times New Roman" w:hAnsi="Times New Roman" w:eastAsia="宋体" w:cs="Times New Roman"/>
                <w:bCs/>
                <w:sz w:val="24"/>
                <w:szCs w:val="24"/>
                <w:highlight w:val="none"/>
                <w:lang w:val="en-US" w:eastAsia="zh-CN"/>
              </w:rPr>
              <w:t>7</w:t>
            </w:r>
          </w:p>
        </w:tc>
        <w:tc>
          <w:tcPr>
            <w:tcW w:w="2311" w:type="dxa"/>
            <w:noWrap w:val="0"/>
            <w:vAlign w:val="center"/>
          </w:tcPr>
          <w:p w14:paraId="6AD2C8CB">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bookmarkStart w:id="0" w:name="OLE_LINK33"/>
            <w:r>
              <w:rPr>
                <w:rFonts w:hint="default" w:ascii="Times New Roman" w:hAnsi="Times New Roman" w:eastAsia="宋体" w:cs="Times New Roman"/>
                <w:bCs/>
                <w:sz w:val="24"/>
                <w:szCs w:val="24"/>
                <w:highlight w:val="none"/>
                <w:lang w:val="zh-CN"/>
              </w:rPr>
              <w:t>法律、行政法规规定的其他条件</w:t>
            </w:r>
            <w:bookmarkEnd w:id="0"/>
          </w:p>
        </w:tc>
        <w:tc>
          <w:tcPr>
            <w:tcW w:w="6289" w:type="dxa"/>
            <w:noWrap w:val="0"/>
            <w:vAlign w:val="center"/>
          </w:tcPr>
          <w:p w14:paraId="1B45DD8D">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eastAsia" w:ascii="Times New Roman" w:hAnsi="Times New Roman" w:eastAsia="宋体" w:cs="Times New Roman"/>
                <w:b/>
                <w:bCs w:val="0"/>
                <w:sz w:val="24"/>
                <w:szCs w:val="24"/>
                <w:highlight w:val="none"/>
                <w:lang w:val="zh-CN"/>
              </w:rPr>
              <w:t>无</w:t>
            </w:r>
          </w:p>
        </w:tc>
      </w:tr>
      <w:tr w14:paraId="3E76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2DB807CF">
            <w:pPr>
              <w:spacing w:beforeLines="0" w:afterLines="0" w:line="360" w:lineRule="auto"/>
              <w:ind w:firstLine="0"/>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eastAsia="zh-CN"/>
              </w:rPr>
              <w:t>8</w:t>
            </w:r>
          </w:p>
        </w:tc>
        <w:tc>
          <w:tcPr>
            <w:tcW w:w="2311" w:type="dxa"/>
            <w:noWrap w:val="0"/>
            <w:vAlign w:val="center"/>
          </w:tcPr>
          <w:p w14:paraId="34BD6F1F">
            <w:pPr>
              <w:spacing w:beforeLines="0" w:afterLines="0" w:line="360" w:lineRule="auto"/>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落实政府采购政策需满足的资格要求</w:t>
            </w:r>
          </w:p>
        </w:tc>
        <w:tc>
          <w:tcPr>
            <w:tcW w:w="6289" w:type="dxa"/>
            <w:noWrap w:val="0"/>
            <w:vAlign w:val="center"/>
          </w:tcPr>
          <w:p w14:paraId="6D3560E2">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kern w:val="2"/>
                <w:sz w:val="24"/>
                <w:szCs w:val="24"/>
                <w:highlight w:val="none"/>
                <w:lang w:val="zh-CN" w:eastAsia="zh-CN" w:bidi="ar-SA"/>
              </w:rPr>
              <w:t>（1）</w:t>
            </w:r>
            <w:r>
              <w:rPr>
                <w:rFonts w:hint="eastAsia" w:eastAsia="宋体" w:cs="Times New Roman"/>
                <w:b/>
                <w:bCs w:val="0"/>
                <w:sz w:val="24"/>
                <w:szCs w:val="24"/>
                <w:highlight w:val="none"/>
                <w:lang w:val="zh-CN"/>
              </w:rPr>
              <w:t>供应商为中小企业，请根据要求单独上传《中小企业声明函》。格式以采购文件要求为准</w:t>
            </w:r>
            <w:r>
              <w:rPr>
                <w:rFonts w:hint="default" w:ascii="Times New Roman" w:hAnsi="Times New Roman" w:eastAsia="宋体" w:cs="Times New Roman"/>
                <w:b/>
                <w:bCs w:val="0"/>
                <w:sz w:val="24"/>
                <w:szCs w:val="24"/>
                <w:highlight w:val="none"/>
                <w:lang w:val="zh-CN"/>
              </w:rPr>
              <w:t>。</w:t>
            </w:r>
          </w:p>
          <w:p w14:paraId="6D22DBCF">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若本项目或采购包涉及预留份额专门面向中小企业或小微企业采购，此时建议在《资格证明文件》中提供</w:t>
            </w:r>
            <w:r>
              <w:rPr>
                <w:rFonts w:hint="eastAsia" w:eastAsia="宋体" w:cs="Times New Roman"/>
                <w:bCs/>
                <w:sz w:val="24"/>
                <w:szCs w:val="24"/>
                <w:highlight w:val="none"/>
                <w:lang w:val="zh-CN"/>
              </w:rPr>
              <w:t>，</w:t>
            </w:r>
            <w:r>
              <w:rPr>
                <w:rFonts w:hint="default" w:ascii="Times New Roman" w:hAnsi="Times New Roman" w:eastAsia="宋体" w:cs="Times New Roman"/>
                <w:bCs/>
                <w:sz w:val="24"/>
                <w:szCs w:val="24"/>
                <w:highlight w:val="none"/>
                <w:lang w:val="zh-CN"/>
              </w:rPr>
              <w:t>其中：若投标人单独投标的，应提供符合要求的《中小企业声明函》或《残疾人福利性单位声明函》或由省级以上监狱管理局、戒毒管理局（含新疆生产建设兵团）出具的属于监狱企业的证明文件。</w:t>
            </w:r>
          </w:p>
          <w:p w14:paraId="1A31F5DE">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kern w:val="2"/>
                <w:sz w:val="24"/>
                <w:szCs w:val="24"/>
                <w:highlight w:val="none"/>
                <w:lang w:val="zh-CN" w:eastAsia="zh-CN" w:bidi="ar-SA"/>
              </w:rPr>
              <w:t>（2）</w:t>
            </w:r>
            <w:r>
              <w:rPr>
                <w:rFonts w:hint="default" w:ascii="Times New Roman" w:hAnsi="Times New Roman" w:eastAsia="宋体" w:cs="Times New Roman"/>
                <w:bCs/>
                <w:sz w:val="24"/>
                <w:szCs w:val="24"/>
                <w:highlight w:val="none"/>
                <w:lang w:val="zh-CN"/>
              </w:rPr>
              <w:t>若本项目或采购包接受联合体形式参加或者允许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r>
      <w:tr w14:paraId="263F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43E11BA8">
            <w:pPr>
              <w:spacing w:line="360" w:lineRule="auto"/>
              <w:jc w:val="center"/>
              <w:rPr>
                <w:rFonts w:hint="default" w:ascii="Times New Roman" w:hAnsi="Times New Roman" w:eastAsia="宋体"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9</w:t>
            </w:r>
          </w:p>
        </w:tc>
        <w:tc>
          <w:tcPr>
            <w:tcW w:w="2311" w:type="dxa"/>
            <w:noWrap w:val="0"/>
            <w:vAlign w:val="top"/>
          </w:tcPr>
          <w:p w14:paraId="296AF112">
            <w:pPr>
              <w:spacing w:beforeLines="0" w:afterLines="0" w:line="360" w:lineRule="auto"/>
              <w:ind w:firstLine="0" w:firstLineChars="0"/>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投标保证金</w:t>
            </w:r>
          </w:p>
        </w:tc>
        <w:tc>
          <w:tcPr>
            <w:tcW w:w="6289" w:type="dxa"/>
            <w:noWrap w:val="0"/>
            <w:vAlign w:val="center"/>
          </w:tcPr>
          <w:p w14:paraId="43D69C1B">
            <w:p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投标保证金缴纳凭证或金融机构、担保机构出具的保函</w:t>
            </w:r>
          </w:p>
        </w:tc>
      </w:tr>
      <w:tr w14:paraId="1F89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noWrap w:val="0"/>
            <w:vAlign w:val="center"/>
          </w:tcPr>
          <w:p w14:paraId="31157444">
            <w:pPr>
              <w:spacing w:beforeLines="0" w:afterLines="0" w:line="360" w:lineRule="auto"/>
              <w:ind w:firstLine="0" w:firstLineChars="0"/>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1</w:t>
            </w:r>
            <w:r>
              <w:rPr>
                <w:rFonts w:hint="eastAsia" w:cs="Times New Roman"/>
                <w:bCs/>
                <w:sz w:val="24"/>
                <w:szCs w:val="24"/>
                <w:highlight w:val="none"/>
                <w:lang w:val="en-US" w:eastAsia="zh-CN"/>
              </w:rPr>
              <w:t>0</w:t>
            </w:r>
          </w:p>
        </w:tc>
        <w:tc>
          <w:tcPr>
            <w:tcW w:w="2311" w:type="dxa"/>
            <w:noWrap w:val="0"/>
            <w:vAlign w:val="top"/>
          </w:tcPr>
          <w:p w14:paraId="66B8AF89">
            <w:pPr>
              <w:spacing w:beforeLines="0" w:afterLines="0" w:line="360" w:lineRule="auto"/>
              <w:ind w:firstLine="0" w:firstLineChars="0"/>
              <w:jc w:val="center"/>
              <w:rPr>
                <w:rFonts w:hint="default" w:ascii="Times New Roman" w:hAnsi="Times New Roman" w:eastAsia="宋体" w:cs="Times New Roman"/>
                <w:bCs/>
                <w:sz w:val="24"/>
                <w:szCs w:val="24"/>
                <w:highlight w:val="none"/>
                <w:lang w:val="zh-CN"/>
              </w:rPr>
            </w:pPr>
          </w:p>
          <w:p w14:paraId="27A9DD68">
            <w:pPr>
              <w:spacing w:beforeLines="0" w:afterLines="0" w:line="360" w:lineRule="auto"/>
              <w:ind w:firstLine="0" w:firstLineChars="0"/>
              <w:jc w:val="center"/>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其他</w:t>
            </w:r>
          </w:p>
        </w:tc>
        <w:tc>
          <w:tcPr>
            <w:tcW w:w="6289" w:type="dxa"/>
            <w:noWrap w:val="0"/>
            <w:vAlign w:val="center"/>
          </w:tcPr>
          <w:p w14:paraId="6B82C2CE">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法人参加需提供：</w:t>
            </w:r>
            <w:r>
              <w:rPr>
                <w:rFonts w:hint="eastAsia" w:eastAsia="宋体" w:cs="Times New Roman"/>
                <w:bCs/>
                <w:sz w:val="24"/>
                <w:szCs w:val="24"/>
                <w:highlight w:val="none"/>
                <w:lang w:val="zh-CN"/>
              </w:rPr>
              <w:t>法定代表人身份证明</w:t>
            </w:r>
            <w:r>
              <w:rPr>
                <w:rFonts w:hint="default" w:ascii="Times New Roman" w:hAnsi="Times New Roman" w:eastAsia="宋体" w:cs="Times New Roman"/>
                <w:bCs/>
                <w:sz w:val="24"/>
                <w:szCs w:val="24"/>
                <w:highlight w:val="none"/>
                <w:lang w:val="zh-CN"/>
              </w:rPr>
              <w:t>原件及本人身份证原件扫描件；</w:t>
            </w:r>
          </w:p>
          <w:p w14:paraId="26505469">
            <w:pPr>
              <w:numPr>
                <w:ilvl w:val="0"/>
                <w:numId w:val="0"/>
              </w:numPr>
              <w:spacing w:beforeLines="0" w:afterLines="0" w:line="360" w:lineRule="auto"/>
              <w:ind w:firstLine="0" w:firstLineChars="0"/>
              <w:rPr>
                <w:rFonts w:hint="default" w:ascii="Times New Roman" w:hAnsi="Times New Roman" w:eastAsia="宋体" w:cs="Times New Roman"/>
                <w:bCs/>
                <w:sz w:val="24"/>
                <w:szCs w:val="24"/>
                <w:highlight w:val="none"/>
                <w:lang w:val="zh-CN"/>
              </w:rPr>
            </w:pPr>
            <w:r>
              <w:rPr>
                <w:rFonts w:hint="default" w:ascii="Times New Roman" w:hAnsi="Times New Roman" w:eastAsia="宋体" w:cs="Times New Roman"/>
                <w:bCs/>
                <w:sz w:val="24"/>
                <w:szCs w:val="24"/>
                <w:highlight w:val="none"/>
                <w:lang w:val="zh-CN"/>
              </w:rPr>
              <w:t>被授权人参加需提供：法人代表授权委托书原件及被授权人《居民身份证》原件扫描件；</w:t>
            </w:r>
          </w:p>
        </w:tc>
      </w:tr>
    </w:tbl>
    <w:p w14:paraId="0C890899">
      <w:pPr>
        <w:widowControl/>
        <w:spacing w:beforeLines="0" w:afterLines="0" w:line="360" w:lineRule="auto"/>
        <w:jc w:val="left"/>
        <w:rPr>
          <w:rFonts w:hint="default" w:ascii="Times New Roman" w:hAnsi="Times New Roman" w:cs="Times New Roman" w:eastAsiaTheme="minorEastAsia"/>
          <w:b/>
          <w:sz w:val="28"/>
          <w:szCs w:val="28"/>
          <w:highlight w:val="none"/>
          <w:lang w:val="zh-CN"/>
        </w:rPr>
      </w:pPr>
      <w:r>
        <w:rPr>
          <w:rFonts w:hint="default" w:ascii="Times New Roman" w:hAnsi="Times New Roman" w:cs="Times New Roman" w:eastAsiaTheme="minorEastAsia"/>
          <w:b/>
          <w:sz w:val="28"/>
          <w:szCs w:val="28"/>
          <w:highlight w:val="none"/>
          <w:lang w:val="zh-CN"/>
        </w:rPr>
        <w:br w:type="page"/>
      </w:r>
    </w:p>
    <w:p w14:paraId="2ABF7D51">
      <w:pPr>
        <w:pStyle w:val="4"/>
        <w:spacing w:before="0" w:beforeLines="0" w:after="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五</w:t>
      </w:r>
      <w:r>
        <w:rPr>
          <w:rFonts w:hint="default" w:ascii="Times New Roman" w:hAnsi="Times New Roman" w:cs="Times New Roman" w:eastAsiaTheme="minorEastAsia"/>
          <w:sz w:val="32"/>
          <w:szCs w:val="32"/>
          <w:highlight w:val="none"/>
        </w:rPr>
        <w:t xml:space="preserve">章 </w:t>
      </w:r>
      <w:r>
        <w:rPr>
          <w:rFonts w:hint="default" w:ascii="Times New Roman" w:hAnsi="Times New Roman" w:cs="Times New Roman" w:eastAsiaTheme="minorEastAsia"/>
          <w:sz w:val="32"/>
          <w:szCs w:val="32"/>
          <w:highlight w:val="none"/>
          <w:lang w:eastAsia="zh-CN"/>
        </w:rPr>
        <w:t>评标程序</w:t>
      </w:r>
    </w:p>
    <w:p w14:paraId="7E531AEB">
      <w:pPr>
        <w:pStyle w:val="3"/>
        <w:tabs>
          <w:tab w:val="clear" w:pos="567"/>
        </w:tabs>
        <w:spacing w:before="0"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一、投标文件的符合性审查</w:t>
      </w:r>
    </w:p>
    <w:p w14:paraId="59772B0F">
      <w:pPr>
        <w:pStyle w:val="3"/>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1.评标委员会对资格审查合格的投标人的投标文件进行符合性审查，以确定其是否满足招标文件的实质性要求。</w:t>
      </w:r>
    </w:p>
    <w:p w14:paraId="19E60238">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412021AF">
      <w:pPr>
        <w:spacing w:beforeLines="0" w:afterLines="0" w:line="360" w:lineRule="auto"/>
        <w:rPr>
          <w:rFonts w:hint="default" w:ascii="Times New Roman" w:hAnsi="Times New Roman" w:cs="Times New Roman" w:eastAsiaTheme="minorEastAsia"/>
          <w:b/>
          <w:bCs/>
          <w:i/>
          <w:iCs/>
          <w:sz w:val="28"/>
          <w:szCs w:val="28"/>
          <w:highlight w:val="none"/>
        </w:rPr>
      </w:pPr>
      <w:r>
        <w:rPr>
          <w:rFonts w:hint="default" w:ascii="Times New Roman" w:hAnsi="Times New Roman" w:cs="Times New Roman" w:eastAsiaTheme="minorEastAsia"/>
          <w:sz w:val="28"/>
          <w:szCs w:val="28"/>
          <w:highlight w:val="none"/>
          <w:lang w:val="en-US" w:eastAsia="zh-CN"/>
        </w:rPr>
        <w:t xml:space="preserve">    3.符合性审查要求</w:t>
      </w:r>
    </w:p>
    <w:tbl>
      <w:tblPr>
        <w:tblStyle w:val="24"/>
        <w:tblpPr w:leftFromText="180" w:rightFromText="180" w:vertAnchor="text" w:horzAnchor="page" w:tblpX="815" w:tblpY="288"/>
        <w:tblOverlap w:val="never"/>
        <w:tblW w:w="10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007"/>
        <w:gridCol w:w="1983"/>
      </w:tblGrid>
      <w:tr w14:paraId="120D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B43758A">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序号</w:t>
            </w:r>
          </w:p>
        </w:tc>
        <w:tc>
          <w:tcPr>
            <w:tcW w:w="8007" w:type="dxa"/>
            <w:noWrap w:val="0"/>
            <w:vAlign w:val="center"/>
          </w:tcPr>
          <w:p w14:paraId="74CBEBC0">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审查项目</w:t>
            </w:r>
          </w:p>
        </w:tc>
        <w:tc>
          <w:tcPr>
            <w:tcW w:w="1983" w:type="dxa"/>
            <w:noWrap w:val="0"/>
            <w:vAlign w:val="center"/>
          </w:tcPr>
          <w:p w14:paraId="1A4FC6DB">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审查情况</w:t>
            </w:r>
          </w:p>
          <w:p w14:paraId="6C053B6F">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（是否符合）</w:t>
            </w:r>
          </w:p>
        </w:tc>
      </w:tr>
      <w:tr w14:paraId="2D19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66AFA91">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1</w:t>
            </w:r>
          </w:p>
        </w:tc>
        <w:tc>
          <w:tcPr>
            <w:tcW w:w="8007" w:type="dxa"/>
            <w:noWrap w:val="0"/>
            <w:vAlign w:val="center"/>
          </w:tcPr>
          <w:p w14:paraId="46AE79B1">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投标文件载明的采购项目</w:t>
            </w:r>
            <w:r>
              <w:rPr>
                <w:rFonts w:hint="eastAsia" w:cs="Times New Roman" w:eastAsiaTheme="minorEastAsia"/>
                <w:bCs/>
                <w:sz w:val="24"/>
                <w:szCs w:val="24"/>
                <w:highlight w:val="none"/>
                <w:lang w:val="en-US" w:eastAsia="zh-CN"/>
              </w:rPr>
              <w:t>交货期限</w:t>
            </w:r>
            <w:r>
              <w:rPr>
                <w:rFonts w:hint="eastAsia" w:ascii="Times New Roman" w:hAnsi="Times New Roman" w:cs="Times New Roman" w:eastAsiaTheme="minorEastAsia"/>
                <w:bCs/>
                <w:sz w:val="24"/>
                <w:szCs w:val="24"/>
                <w:highlight w:val="none"/>
                <w:lang w:val="zh-CN" w:eastAsia="zh-CN"/>
              </w:rPr>
              <w:t>未超过招标文件规定期限的；</w:t>
            </w:r>
          </w:p>
        </w:tc>
        <w:tc>
          <w:tcPr>
            <w:tcW w:w="1983" w:type="dxa"/>
            <w:noWrap w:val="0"/>
            <w:vAlign w:val="center"/>
          </w:tcPr>
          <w:p w14:paraId="11D9F57D">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p>
        </w:tc>
      </w:tr>
      <w:tr w14:paraId="7328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7DA63E1">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en-US" w:eastAsia="zh-CN"/>
              </w:rPr>
              <w:t>2</w:t>
            </w:r>
          </w:p>
        </w:tc>
        <w:tc>
          <w:tcPr>
            <w:tcW w:w="8007" w:type="dxa"/>
            <w:noWrap w:val="0"/>
            <w:vAlign w:val="center"/>
          </w:tcPr>
          <w:p w14:paraId="3F290C26">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投标文件中投标报价</w:t>
            </w:r>
            <w:r>
              <w:rPr>
                <w:rFonts w:hint="default" w:ascii="Times New Roman" w:hAnsi="Times New Roman" w:cs="Times New Roman" w:eastAsiaTheme="minorEastAsia"/>
                <w:bCs/>
                <w:sz w:val="24"/>
                <w:szCs w:val="24"/>
                <w:highlight w:val="none"/>
                <w:lang w:val="zh-CN" w:eastAsia="zh-CN"/>
              </w:rPr>
              <w:t>未超出最高限价</w:t>
            </w:r>
            <w:r>
              <w:rPr>
                <w:rFonts w:hint="eastAsia" w:ascii="Times New Roman" w:hAnsi="Times New Roman" w:cs="Times New Roman" w:eastAsiaTheme="minorEastAsia"/>
                <w:bCs/>
                <w:sz w:val="24"/>
                <w:szCs w:val="24"/>
                <w:highlight w:val="none"/>
                <w:lang w:val="zh-CN" w:eastAsia="zh-CN"/>
              </w:rPr>
              <w:t>；</w:t>
            </w:r>
          </w:p>
        </w:tc>
        <w:tc>
          <w:tcPr>
            <w:tcW w:w="1983" w:type="dxa"/>
            <w:noWrap w:val="0"/>
            <w:vAlign w:val="center"/>
          </w:tcPr>
          <w:p w14:paraId="2685A22B">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p>
        </w:tc>
      </w:tr>
      <w:tr w14:paraId="0764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DAE417">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en-US" w:eastAsia="zh-CN"/>
              </w:rPr>
              <w:t>3</w:t>
            </w:r>
          </w:p>
        </w:tc>
        <w:tc>
          <w:tcPr>
            <w:tcW w:w="8007" w:type="dxa"/>
            <w:noWrap w:val="0"/>
            <w:vAlign w:val="center"/>
          </w:tcPr>
          <w:p w14:paraId="5F5E61C0">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投标文件未附有采购人和招标方不能接受的条件的；</w:t>
            </w:r>
          </w:p>
        </w:tc>
        <w:tc>
          <w:tcPr>
            <w:tcW w:w="1983" w:type="dxa"/>
            <w:noWrap w:val="0"/>
            <w:vAlign w:val="center"/>
          </w:tcPr>
          <w:p w14:paraId="1728516F">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p>
        </w:tc>
      </w:tr>
      <w:tr w14:paraId="7503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FC81629">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en-US" w:eastAsia="zh-CN"/>
              </w:rPr>
              <w:t>4</w:t>
            </w:r>
          </w:p>
        </w:tc>
        <w:tc>
          <w:tcPr>
            <w:tcW w:w="8007" w:type="dxa"/>
            <w:noWrap w:val="0"/>
            <w:vAlign w:val="center"/>
          </w:tcPr>
          <w:p w14:paraId="110358FC">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en-US" w:eastAsia="zh-CN"/>
              </w:rPr>
              <w:t>在评标过程中，未发现投标人以他人名义投标、串通投标、以行贿手段谋取成交或者以其他弄虚作假方式投标的；</w:t>
            </w:r>
          </w:p>
        </w:tc>
        <w:tc>
          <w:tcPr>
            <w:tcW w:w="1983" w:type="dxa"/>
            <w:noWrap w:val="0"/>
            <w:vAlign w:val="center"/>
          </w:tcPr>
          <w:p w14:paraId="52618F88">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p>
        </w:tc>
      </w:tr>
      <w:tr w14:paraId="3FF0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1E3BA83">
            <w:pPr>
              <w:numPr>
                <w:ilvl w:val="0"/>
                <w:numId w:val="0"/>
              </w:numPr>
              <w:spacing w:beforeLines="0" w:afterLines="0" w:line="360" w:lineRule="auto"/>
              <w:ind w:firstLine="0" w:firstLineChars="0"/>
              <w:jc w:val="center"/>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en-US" w:eastAsia="zh-CN"/>
              </w:rPr>
              <w:t>5</w:t>
            </w:r>
          </w:p>
        </w:tc>
        <w:tc>
          <w:tcPr>
            <w:tcW w:w="8007" w:type="dxa"/>
            <w:noWrap w:val="0"/>
            <w:vAlign w:val="center"/>
          </w:tcPr>
          <w:p w14:paraId="4F313C0F">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r>
              <w:rPr>
                <w:rFonts w:hint="eastAsia" w:ascii="Times New Roman" w:hAnsi="Times New Roman" w:cs="Times New Roman" w:eastAsiaTheme="minorEastAsia"/>
                <w:bCs/>
                <w:sz w:val="24"/>
                <w:szCs w:val="24"/>
                <w:highlight w:val="none"/>
                <w:lang w:val="zh-CN" w:eastAsia="zh-CN"/>
              </w:rPr>
              <w:t>其他</w:t>
            </w:r>
            <w:r>
              <w:rPr>
                <w:rFonts w:hint="eastAsia" w:ascii="Times New Roman" w:hAnsi="Times New Roman" w:cs="Times New Roman" w:eastAsiaTheme="minorEastAsia"/>
                <w:bCs/>
                <w:sz w:val="24"/>
                <w:szCs w:val="24"/>
                <w:highlight w:val="none"/>
                <w:lang w:val="en-US" w:eastAsia="zh-CN"/>
              </w:rPr>
              <w:t>是否</w:t>
            </w:r>
            <w:r>
              <w:rPr>
                <w:rFonts w:hint="eastAsia" w:ascii="Times New Roman" w:hAnsi="Times New Roman" w:cs="Times New Roman" w:eastAsiaTheme="minorEastAsia"/>
                <w:bCs/>
                <w:sz w:val="24"/>
                <w:szCs w:val="24"/>
                <w:highlight w:val="none"/>
                <w:lang w:val="zh-CN" w:eastAsia="zh-CN"/>
              </w:rPr>
              <w:t>符合法律、规章、规范性文件和招标文件规定的；</w:t>
            </w:r>
          </w:p>
        </w:tc>
        <w:tc>
          <w:tcPr>
            <w:tcW w:w="1983" w:type="dxa"/>
            <w:noWrap w:val="0"/>
            <w:vAlign w:val="center"/>
          </w:tcPr>
          <w:p w14:paraId="00C1B485">
            <w:pPr>
              <w:numPr>
                <w:ilvl w:val="0"/>
                <w:numId w:val="0"/>
              </w:numPr>
              <w:spacing w:beforeLines="0" w:afterLines="0" w:line="360" w:lineRule="auto"/>
              <w:ind w:firstLine="0" w:firstLineChars="0"/>
              <w:rPr>
                <w:rFonts w:hint="eastAsia" w:ascii="Times New Roman" w:hAnsi="Times New Roman" w:cs="Times New Roman" w:eastAsiaTheme="minorEastAsia"/>
                <w:bCs/>
                <w:sz w:val="24"/>
                <w:szCs w:val="24"/>
                <w:highlight w:val="none"/>
                <w:lang w:val="zh-CN" w:eastAsia="zh-CN"/>
              </w:rPr>
            </w:pPr>
          </w:p>
        </w:tc>
      </w:tr>
    </w:tbl>
    <w:p w14:paraId="29BDCA2E">
      <w:pPr>
        <w:pStyle w:val="22"/>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p>
    <w:p w14:paraId="1CC48D52">
      <w:pPr>
        <w:pStyle w:val="22"/>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二、投标文件的澄清、说明或补正</w:t>
      </w:r>
    </w:p>
    <w:p w14:paraId="34B82196">
      <w:pPr>
        <w:pStyle w:val="22"/>
        <w:spacing w:beforeLines="0" w:after="0" w:afterLines="0" w:line="360" w:lineRule="auto"/>
        <w:ind w:left="0" w:leftChars="0" w:firstLine="0" w:firstLineChars="0"/>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highlight w:val="none"/>
          <w:lang w:val="en-US" w:eastAsia="zh-CN"/>
        </w:rPr>
        <w:t>补正不得超出投标文件的范围或者改变投标文件的实质性内容。</w:t>
      </w:r>
    </w:p>
    <w:p w14:paraId="6E4A29C1">
      <w:pPr>
        <w:tabs>
          <w:tab w:val="left" w:pos="567"/>
        </w:tabs>
        <w:spacing w:beforeLines="0" w:afterLines="0" w:line="360" w:lineRule="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highlight w:val="none"/>
          <w:lang w:val="en-US" w:eastAsia="zh-CN"/>
        </w:rPr>
        <w:t>无效投标</w:t>
      </w:r>
      <w:r>
        <w:rPr>
          <w:rFonts w:hint="default" w:ascii="Times New Roman" w:hAnsi="Times New Roman" w:cs="Times New Roman" w:eastAsiaTheme="minorEastAsia"/>
          <w:color w:val="auto"/>
          <w:sz w:val="28"/>
          <w:szCs w:val="28"/>
          <w:highlight w:val="none"/>
          <w:lang w:val="en-US" w:eastAsia="zh-CN"/>
        </w:rPr>
        <w:t>处理。</w:t>
      </w:r>
    </w:p>
    <w:p w14:paraId="65579D1A">
      <w:pPr>
        <w:tabs>
          <w:tab w:val="left" w:pos="1050"/>
        </w:tabs>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rPr>
        <w:t>投标文件报价出现前后不一致的，</w:t>
      </w:r>
      <w:r>
        <w:rPr>
          <w:rFonts w:hint="default" w:ascii="Times New Roman" w:hAnsi="Times New Roman" w:cs="Times New Roman" w:eastAsiaTheme="minorEastAsia"/>
          <w:sz w:val="28"/>
          <w:szCs w:val="28"/>
          <w:highlight w:val="none"/>
          <w:lang w:eastAsia="zh-CN"/>
        </w:rPr>
        <w:t>除招标文件《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须知前附表》另有规定外，</w:t>
      </w:r>
      <w:r>
        <w:rPr>
          <w:rFonts w:hint="default" w:ascii="Times New Roman" w:hAnsi="Times New Roman" w:cs="Times New Roman" w:eastAsiaTheme="minorEastAsia"/>
          <w:sz w:val="28"/>
          <w:szCs w:val="28"/>
          <w:highlight w:val="none"/>
        </w:rPr>
        <w:t>按照下列规定修正：</w:t>
      </w:r>
    </w:p>
    <w:p w14:paraId="7FDC9188">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（1）投标文件中开标一览表（报价表）内容与投标文件中相应内容不一致的，以开标一览表（报价表）为准；</w:t>
      </w:r>
    </w:p>
    <w:p w14:paraId="543378C0">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（2）大写金额和小写金额不一致的，以大写金额为准；</w:t>
      </w:r>
    </w:p>
    <w:p w14:paraId="4DA20A79">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（3）单价金额小数点或者百分比有明显错位的，以开标一览表的总价为准，并修改单价；</w:t>
      </w:r>
    </w:p>
    <w:p w14:paraId="7896D71C">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（4）总价金额与按单价汇总金额不一致的，以单价金额计算结果为准。</w:t>
      </w:r>
    </w:p>
    <w:p w14:paraId="3003C515">
      <w:pPr>
        <w:spacing w:beforeLines="0" w:afterLines="0" w:line="360" w:lineRule="auto"/>
        <w:ind w:left="11" w:leftChars="0" w:hanging="11" w:hangingChars="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同时出现两种以上不一致的，按照前款规定的顺序修正。</w:t>
      </w:r>
      <w:r>
        <w:rPr>
          <w:rFonts w:hint="default" w:ascii="Times New Roman" w:hAnsi="Times New Roman" w:cs="Times New Roman" w:eastAsiaTheme="minorEastAsia"/>
          <w:sz w:val="28"/>
          <w:szCs w:val="28"/>
          <w:highlight w:val="none"/>
          <w:lang w:eastAsia="zh-CN"/>
        </w:rPr>
        <w:t>修正后的报价经投标人确认后产生约束力，投标人不确认的，其</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lang w:eastAsia="zh-CN"/>
        </w:rPr>
        <w:t>。</w:t>
      </w:r>
    </w:p>
    <w:p w14:paraId="0B88226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三、投标文件的</w:t>
      </w:r>
      <w:r>
        <w:rPr>
          <w:rFonts w:hint="default" w:ascii="Times New Roman" w:hAnsi="Times New Roman" w:cs="Times New Roman" w:eastAsiaTheme="minorEastAsia"/>
          <w:b/>
          <w:bCs/>
          <w:sz w:val="28"/>
          <w:szCs w:val="28"/>
          <w:highlight w:val="none"/>
        </w:rPr>
        <w:t>比较与评价</w:t>
      </w:r>
    </w:p>
    <w:p w14:paraId="1D81EC24">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w:t>
      </w:r>
      <w:r>
        <w:rPr>
          <w:rFonts w:hint="default" w:ascii="Times New Roman" w:hAnsi="Times New Roman" w:cs="Times New Roman" w:eastAsiaTheme="minorEastAsia"/>
          <w:sz w:val="28"/>
          <w:szCs w:val="28"/>
          <w:highlight w:val="none"/>
        </w:rPr>
        <w:t>评标委员会将</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规定</w:t>
      </w:r>
      <w:r>
        <w:rPr>
          <w:rFonts w:hint="default" w:ascii="Times New Roman" w:hAnsi="Times New Roman" w:cs="Times New Roman" w:eastAsiaTheme="minorEastAsia"/>
          <w:sz w:val="28"/>
          <w:szCs w:val="28"/>
          <w:highlight w:val="none"/>
        </w:rPr>
        <w:t>的评标方法和标准，对</w:t>
      </w:r>
      <w:r>
        <w:rPr>
          <w:rFonts w:hint="default" w:ascii="Times New Roman" w:hAnsi="Times New Roman" w:cs="Times New Roman" w:eastAsiaTheme="minorEastAsia"/>
          <w:sz w:val="28"/>
          <w:szCs w:val="28"/>
          <w:highlight w:val="none"/>
          <w:lang w:eastAsia="zh-CN"/>
        </w:rPr>
        <w:t>符合性审查合格的投标文件进行商务和技术评估，综合比较与评价；未通过符合性审查的投标文件不得进入比较与评价。</w:t>
      </w:r>
    </w:p>
    <w:p w14:paraId="43117875">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2.评标方法和评标标准</w:t>
      </w:r>
    </w:p>
    <w:p w14:paraId="3FE0DA3D">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（1）本项目采用的评标方法为：</w:t>
      </w:r>
    </w:p>
    <w:p w14:paraId="4B4ECB5E">
      <w:pPr>
        <w:spacing w:beforeLines="0" w:afterLines="0" w:line="360" w:lineRule="auto"/>
        <w:ind w:hanging="1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1" w:name="OLE_LINK5"/>
      <w:r>
        <w:rPr>
          <w:rFonts w:hint="default" w:ascii="Times New Roman" w:hAnsi="Times New Roman" w:cs="Times New Roman" w:eastAsiaTheme="minorEastAsia"/>
          <w:b/>
          <w:bCs/>
          <w:sz w:val="28"/>
          <w:szCs w:val="28"/>
          <w:highlight w:val="none"/>
          <w:lang w:val="en-US" w:eastAsia="zh-CN"/>
        </w:rPr>
        <w:t xml:space="preserve"> </w:t>
      </w:r>
      <w:bookmarkEnd w:id="1"/>
      <w:r>
        <w:rPr>
          <w:rFonts w:hint="default" w:ascii="Times New Roman" w:hAnsi="Times New Roman" w:cs="Times New Roman" w:eastAsiaTheme="minorEastAsia"/>
          <w:b/>
          <w:bCs/>
          <w:sz w:val="28"/>
          <w:szCs w:val="28"/>
          <w:highlight w:val="none"/>
          <w:lang w:val="en-US" w:eastAsia="zh-CN"/>
        </w:rPr>
        <w:sym w:font="Wingdings 2" w:char="0052"/>
      </w:r>
      <w:r>
        <w:rPr>
          <w:rFonts w:hint="default" w:ascii="Times New Roman" w:hAnsi="Times New Roman" w:cs="Times New Roman" w:eastAsiaTheme="minorEastAsia"/>
          <w:b/>
          <w:bCs/>
          <w:sz w:val="28"/>
          <w:szCs w:val="28"/>
          <w:highlight w:val="none"/>
          <w:lang w:val="en-US" w:eastAsia="zh-CN"/>
        </w:rPr>
        <w:t>综合评分法，指投标文件满足</w:t>
      </w:r>
      <w:r>
        <w:rPr>
          <w:rFonts w:hint="default" w:ascii="Times New Roman" w:hAnsi="Times New Roman" w:cs="Times New Roman" w:eastAsiaTheme="minorEastAsia"/>
          <w:b/>
          <w:bCs/>
          <w:sz w:val="28"/>
          <w:szCs w:val="28"/>
          <w:highlight w:val="none"/>
        </w:rPr>
        <w:t>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要求，且按照评审因素的量化指标评审得分最高的投标</w:t>
      </w:r>
      <w:r>
        <w:rPr>
          <w:rFonts w:hint="default" w:ascii="Times New Roman" w:hAnsi="Times New Roman" w:cs="Times New Roman" w:eastAsiaTheme="minorEastAsia"/>
          <w:b/>
          <w:bCs/>
          <w:sz w:val="28"/>
          <w:szCs w:val="28"/>
          <w:highlight w:val="none"/>
          <w:u w:val="none"/>
          <w:lang w:eastAsia="zh-CN"/>
        </w:rPr>
        <w:t>人为</w:t>
      </w:r>
      <w:r>
        <w:rPr>
          <w:rFonts w:hint="default" w:ascii="Times New Roman" w:hAnsi="Times New Roman" w:cs="Times New Roman" w:eastAsiaTheme="minorEastAsia"/>
          <w:b/>
          <w:bCs/>
          <w:sz w:val="28"/>
          <w:szCs w:val="28"/>
          <w:highlight w:val="none"/>
        </w:rPr>
        <w:t>中标候选人的评标方法。</w:t>
      </w:r>
    </w:p>
    <w:p w14:paraId="5B6F6486">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sym w:font="Wingdings 2" w:char="00A3"/>
      </w:r>
      <w:r>
        <w:rPr>
          <w:rFonts w:hint="default" w:ascii="Times New Roman" w:hAnsi="Times New Roman" w:cs="Times New Roman" w:eastAsiaTheme="minorEastAsia"/>
          <w:b/>
          <w:bCs/>
          <w:sz w:val="28"/>
          <w:szCs w:val="28"/>
          <w:highlight w:val="none"/>
        </w:rPr>
        <w:t>最低评标价法，是指投标文件满足招标文件全部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要求，且投标报价最低的投标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为中标候选人的评标方法。</w:t>
      </w:r>
    </w:p>
    <w:p w14:paraId="69C5CE73">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bookmarkStart w:id="2" w:name="OLE_LINK6"/>
      <w:r>
        <w:rPr>
          <w:rFonts w:hint="default" w:ascii="Times New Roman" w:hAnsi="Times New Roman" w:cs="Times New Roman" w:eastAsiaTheme="minorEastAsia"/>
          <w:sz w:val="28"/>
          <w:szCs w:val="28"/>
          <w:highlight w:val="none"/>
          <w:lang w:eastAsia="zh-CN"/>
        </w:rPr>
        <w:t>（单一产品或核心产品品牌相同）</w:t>
      </w:r>
      <w:bookmarkEnd w:id="2"/>
      <w:r>
        <w:rPr>
          <w:rFonts w:hint="default" w:ascii="Times New Roman" w:hAnsi="Times New Roman" w:cs="Times New Roman" w:eastAsiaTheme="minorEastAsia"/>
          <w:sz w:val="28"/>
          <w:szCs w:val="28"/>
          <w:highlight w:val="none"/>
        </w:rPr>
        <w:t>的不同投标</w:t>
      </w:r>
      <w:r>
        <w:rPr>
          <w:rFonts w:hint="default" w:ascii="Times New Roman" w:hAnsi="Times New Roman" w:cs="Times New Roman" w:eastAsiaTheme="minorEastAsia"/>
          <w:sz w:val="28"/>
          <w:szCs w:val="28"/>
          <w:highlight w:val="none"/>
          <w:u w:val="none"/>
          <w:lang w:eastAsia="zh-CN"/>
        </w:rPr>
        <w:t>人参加同一</w:t>
      </w:r>
      <w:r>
        <w:rPr>
          <w:rFonts w:hint="default" w:cs="Times New Roman" w:eastAsiaTheme="minorEastAsia"/>
          <w:sz w:val="28"/>
          <w:szCs w:val="28"/>
          <w:highlight w:val="none"/>
          <w:u w:val="none"/>
          <w:lang w:eastAsia="zh-CN"/>
        </w:rPr>
        <w:t>合同项下投标</w:t>
      </w:r>
      <w:r>
        <w:rPr>
          <w:rFonts w:hint="default" w:ascii="Times New Roman" w:hAnsi="Times New Roman" w:cs="Times New Roman" w:eastAsiaTheme="minorEastAsia"/>
          <w:sz w:val="28"/>
          <w:szCs w:val="28"/>
          <w:highlight w:val="none"/>
          <w:u w:val="none"/>
          <w:lang w:val="en-US" w:eastAsia="zh-CN"/>
        </w:rPr>
        <w:t>的，</w:t>
      </w:r>
      <w:r>
        <w:rPr>
          <w:rFonts w:hint="default" w:ascii="Times New Roman" w:hAnsi="Times New Roman" w:cs="Times New Roman" w:eastAsiaTheme="minorEastAsia"/>
          <w:sz w:val="28"/>
          <w:szCs w:val="28"/>
          <w:highlight w:val="none"/>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highlight w:val="none"/>
          <w:lang w:eastAsia="zh-CN"/>
        </w:rPr>
        <w:t>下述方法确定一个参加评标的投标人，其他</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0D9EEAD6">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3" w:name="OLE_LINK7"/>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3AD198F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其他方式，具体要求：</w:t>
      </w:r>
      <w:bookmarkEnd w:id="3"/>
      <w:r>
        <w:rPr>
          <w:rFonts w:hint="default" w:ascii="Times New Roman" w:hAnsi="Times New Roman" w:cs="Times New Roman" w:eastAsiaTheme="minorEastAsia"/>
          <w:sz w:val="28"/>
          <w:szCs w:val="28"/>
          <w:highlight w:val="none"/>
          <w:lang w:val="en-US" w:eastAsia="zh-CN"/>
        </w:rPr>
        <w:t xml:space="preserve"> </w:t>
      </w:r>
    </w:p>
    <w:p w14:paraId="0FC26B03">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cs="Times New Roman" w:eastAsiaTheme="minorEastAsia"/>
          <w:sz w:val="28"/>
          <w:szCs w:val="28"/>
          <w:highlight w:val="none"/>
          <w:lang w:val="en-US" w:eastAsia="zh-CN"/>
        </w:rPr>
        <w:t>使用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r>
        <w:rPr>
          <w:rFonts w:hint="default" w:ascii="Times New Roman" w:hAnsi="Times New Roman" w:cs="Times New Roman" w:eastAsiaTheme="minorEastAsia"/>
          <w:sz w:val="28"/>
          <w:szCs w:val="28"/>
          <w:highlight w:val="none"/>
          <w:lang w:eastAsia="zh-CN"/>
        </w:rPr>
        <w:t>（单一产品或核心产品品牌相同）</w:t>
      </w:r>
      <w:r>
        <w:rPr>
          <w:rFonts w:hint="default" w:ascii="Times New Roman" w:hAnsi="Times New Roman" w:cs="Times New Roman" w:eastAsiaTheme="minorEastAsia"/>
          <w:sz w:val="28"/>
          <w:szCs w:val="28"/>
          <w:highlight w:val="none"/>
        </w:rPr>
        <w:t>且通过资格审查、符合性审查的不同投标</w:t>
      </w:r>
      <w:r>
        <w:rPr>
          <w:rFonts w:hint="default"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，按一家投标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计算，评审后得分最高的同品牌投标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推荐资格；评审得分相同的，由采购人或者采购人委托评标委员会按照</w:t>
      </w:r>
      <w:r>
        <w:rPr>
          <w:rFonts w:hint="default" w:ascii="Times New Roman" w:hAnsi="Times New Roman" w:cs="Times New Roman" w:eastAsiaTheme="minorEastAsia"/>
          <w:sz w:val="28"/>
          <w:szCs w:val="28"/>
          <w:highlight w:val="none"/>
          <w:lang w:eastAsia="zh-CN"/>
        </w:rPr>
        <w:t>下述方法</w:t>
      </w:r>
      <w:r>
        <w:rPr>
          <w:rFonts w:hint="default" w:ascii="Times New Roman" w:hAnsi="Times New Roman" w:cs="Times New Roman" w:eastAsiaTheme="minorEastAsia"/>
          <w:sz w:val="28"/>
          <w:szCs w:val="28"/>
          <w:highlight w:val="none"/>
        </w:rPr>
        <w:t>确定一个投标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推荐资格；未规定的采取随机抽取方式确定，其他同品牌投标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不作为中标候选人。</w:t>
      </w:r>
    </w:p>
    <w:p w14:paraId="5902BF7E">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6B3E46DE">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52"/>
      </w:r>
      <w:r>
        <w:rPr>
          <w:rFonts w:hint="default" w:ascii="Times New Roman" w:hAnsi="Times New Roman" w:cs="Times New Roman" w:eastAsiaTheme="minorEastAsia"/>
          <w:sz w:val="28"/>
          <w:szCs w:val="28"/>
          <w:highlight w:val="none"/>
          <w:lang w:val="en-US" w:eastAsia="zh-CN"/>
        </w:rPr>
        <w:t>其他方式，具体要求：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cs="Times New Roman" w:eastAsiaTheme="minorEastAsia"/>
          <w:sz w:val="28"/>
          <w:szCs w:val="28"/>
          <w:highlight w:val="none"/>
          <w:lang w:val="en-US" w:eastAsia="zh-CN"/>
        </w:rPr>
        <w:t>。</w:t>
      </w:r>
    </w:p>
    <w:p w14:paraId="18E34742">
      <w:pPr>
        <w:spacing w:beforeLines="0" w:afterLines="0" w:line="360" w:lineRule="auto"/>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四、确定中标候选人名单</w:t>
      </w:r>
    </w:p>
    <w:p w14:paraId="5F8A4FDE">
      <w:pPr>
        <w:spacing w:before="0" w:beforeLines="0" w:afterLines="0" w:line="360" w:lineRule="auto"/>
        <w:ind w:firstLine="560" w:firstLineChars="20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1.采用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，评标委员会在审查投标文件满足招标文件全部实质性要求后，按投标报价从低到高顺序确定中标候选人。</w:t>
      </w:r>
      <w:bookmarkStart w:id="4" w:name="OLE_LINK8"/>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bookmarkEnd w:id="4"/>
    <w:p w14:paraId="5DAD6331">
      <w:pPr>
        <w:spacing w:before="0"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p w14:paraId="1336D55E">
      <w:pPr>
        <w:pStyle w:val="3"/>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评标委员会每位成员独立对每个有效投标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的投标文件进行评价、打分；然后汇总每个投标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的得分，计算得分平均值，以平均值由高到低进行排序，按排序顺序推荐中标候选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。分值计算保留小数点后两位，第三位四舍五入。</w:t>
      </w:r>
    </w:p>
    <w:p w14:paraId="43B8EA51">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五</w:t>
      </w:r>
      <w:r>
        <w:rPr>
          <w:rFonts w:hint="default" w:ascii="Times New Roman" w:hAnsi="Times New Roman" w:cs="Times New Roman" w:eastAsiaTheme="minorEastAsia"/>
          <w:b/>
          <w:bCs/>
          <w:sz w:val="28"/>
          <w:szCs w:val="28"/>
          <w:highlight w:val="none"/>
        </w:rPr>
        <w:t>、采购人或者采购代理机构核对评标结果</w:t>
      </w:r>
    </w:p>
    <w:p w14:paraId="001ADC33">
      <w:pPr>
        <w:spacing w:beforeLines="0" w:afterLines="0" w:line="360" w:lineRule="auto"/>
        <w:ind w:firstLine="640"/>
        <w:rPr>
          <w:rFonts w:hint="default" w:ascii="Times New Roman" w:hAnsi="Times New Roman" w:cs="Times New Roman"/>
          <w:sz w:val="32"/>
          <w:szCs w:val="32"/>
          <w:highlight w:val="none"/>
        </w:rPr>
      </w:pPr>
      <w:r>
        <w:rPr>
          <w:rFonts w:hint="default" w:ascii="Times New Roman" w:hAnsi="Times New Roman" w:cs="Times New Roman" w:eastAsiaTheme="minorEastAsia"/>
          <w:sz w:val="28"/>
          <w:szCs w:val="28"/>
          <w:highlight w:val="none"/>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14:paraId="443DD4E5">
      <w:pPr>
        <w:numPr>
          <w:ilvl w:val="0"/>
          <w:numId w:val="1"/>
        </w:num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rPr>
        <w:t>评审标准</w:t>
      </w:r>
      <w:r>
        <w:rPr>
          <w:rFonts w:hint="default" w:ascii="Times New Roman" w:hAnsi="Times New Roman" w:cs="Times New Roman" w:eastAsiaTheme="minorEastAsia"/>
          <w:b/>
          <w:bCs/>
          <w:sz w:val="28"/>
          <w:szCs w:val="28"/>
          <w:highlight w:val="none"/>
          <w:lang w:eastAsia="zh-CN"/>
        </w:rPr>
        <w:t>（适用综合评分法）</w:t>
      </w:r>
    </w:p>
    <w:tbl>
      <w:tblPr>
        <w:tblStyle w:val="23"/>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42"/>
        <w:gridCol w:w="935"/>
        <w:gridCol w:w="6981"/>
        <w:gridCol w:w="546"/>
      </w:tblGrid>
      <w:tr w14:paraId="260A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5" w:type="dxa"/>
            <w:noWrap w:val="0"/>
            <w:vAlign w:val="center"/>
          </w:tcPr>
          <w:p w14:paraId="02617499">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序号</w:t>
            </w:r>
          </w:p>
        </w:tc>
        <w:tc>
          <w:tcPr>
            <w:tcW w:w="1142" w:type="dxa"/>
            <w:noWrap w:val="0"/>
            <w:vAlign w:val="center"/>
          </w:tcPr>
          <w:p w14:paraId="07ECEAA9">
            <w:pPr>
              <w:spacing w:line="360" w:lineRule="auto"/>
              <w:ind w:firstLine="28"/>
              <w:jc w:val="both"/>
              <w:rPr>
                <w:rFonts w:hint="eastAsia" w:ascii="宋体" w:hAnsi="宋体" w:eastAsia="宋体" w:cs="宋体"/>
                <w:b/>
                <w:sz w:val="21"/>
                <w:szCs w:val="21"/>
              </w:rPr>
            </w:pPr>
            <w:r>
              <w:rPr>
                <w:rFonts w:hint="eastAsia" w:ascii="宋体" w:hAnsi="宋体" w:eastAsia="宋体" w:cs="宋体"/>
                <w:b/>
                <w:sz w:val="21"/>
                <w:szCs w:val="21"/>
              </w:rPr>
              <w:t>评分因素</w:t>
            </w:r>
          </w:p>
          <w:p w14:paraId="32CB50E4">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及权重</w:t>
            </w:r>
          </w:p>
        </w:tc>
        <w:tc>
          <w:tcPr>
            <w:tcW w:w="935" w:type="dxa"/>
            <w:noWrap w:val="0"/>
            <w:vAlign w:val="center"/>
          </w:tcPr>
          <w:p w14:paraId="07604D0D">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分值</w:t>
            </w:r>
          </w:p>
        </w:tc>
        <w:tc>
          <w:tcPr>
            <w:tcW w:w="6981" w:type="dxa"/>
            <w:noWrap w:val="0"/>
            <w:vAlign w:val="center"/>
          </w:tcPr>
          <w:p w14:paraId="5BFAC5A3">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评分标准</w:t>
            </w:r>
          </w:p>
        </w:tc>
        <w:tc>
          <w:tcPr>
            <w:tcW w:w="546" w:type="dxa"/>
            <w:noWrap w:val="0"/>
            <w:vAlign w:val="center"/>
          </w:tcPr>
          <w:p w14:paraId="23867D74">
            <w:pPr>
              <w:pStyle w:val="42"/>
              <w:spacing w:line="360" w:lineRule="auto"/>
              <w:jc w:val="both"/>
              <w:rPr>
                <w:rFonts w:hint="eastAsia" w:ascii="宋体" w:hAnsi="宋体" w:eastAsia="宋体" w:cs="宋体"/>
                <w:sz w:val="18"/>
                <w:szCs w:val="18"/>
              </w:rPr>
            </w:pPr>
            <w:r>
              <w:rPr>
                <w:rFonts w:hint="eastAsia" w:ascii="宋体" w:hAnsi="宋体" w:eastAsia="宋体" w:cs="宋体"/>
                <w:sz w:val="21"/>
                <w:szCs w:val="21"/>
              </w:rPr>
              <w:t>说明</w:t>
            </w:r>
          </w:p>
        </w:tc>
      </w:tr>
      <w:tr w14:paraId="26D7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5" w:type="dxa"/>
            <w:noWrap w:val="0"/>
            <w:vAlign w:val="center"/>
          </w:tcPr>
          <w:p w14:paraId="6FE56722">
            <w:pPr>
              <w:spacing w:line="360" w:lineRule="auto"/>
              <w:ind w:firstLine="28" w:firstLineChars="0"/>
              <w:jc w:val="both"/>
              <w:rPr>
                <w:rFonts w:hint="eastAsia" w:ascii="宋体" w:hAnsi="宋体" w:eastAsia="宋体" w:cs="宋体"/>
                <w:sz w:val="18"/>
                <w:szCs w:val="18"/>
              </w:rPr>
            </w:pPr>
            <w:r>
              <w:rPr>
                <w:rFonts w:hint="eastAsia" w:ascii="宋体" w:hAnsi="宋体" w:eastAsia="宋体" w:cs="宋体"/>
                <w:sz w:val="21"/>
                <w:szCs w:val="21"/>
              </w:rPr>
              <w:t>1</w:t>
            </w:r>
          </w:p>
        </w:tc>
        <w:tc>
          <w:tcPr>
            <w:tcW w:w="1142" w:type="dxa"/>
            <w:noWrap w:val="0"/>
            <w:vAlign w:val="center"/>
          </w:tcPr>
          <w:p w14:paraId="797933CF">
            <w:pPr>
              <w:spacing w:line="360" w:lineRule="auto"/>
              <w:ind w:firstLine="28"/>
              <w:jc w:val="both"/>
              <w:rPr>
                <w:rFonts w:hint="eastAsia" w:ascii="宋体" w:hAnsi="宋体" w:eastAsia="宋体" w:cs="宋体"/>
                <w:sz w:val="21"/>
                <w:szCs w:val="21"/>
              </w:rPr>
            </w:pPr>
            <w:r>
              <w:rPr>
                <w:rFonts w:hint="eastAsia" w:ascii="宋体" w:hAnsi="宋体" w:eastAsia="宋体" w:cs="宋体"/>
                <w:sz w:val="21"/>
                <w:szCs w:val="21"/>
              </w:rPr>
              <w:t>投标报价</w:t>
            </w:r>
          </w:p>
          <w:p w14:paraId="4E310F55">
            <w:pPr>
              <w:spacing w:line="360" w:lineRule="auto"/>
              <w:ind w:firstLine="28" w:firstLineChars="0"/>
              <w:jc w:val="both"/>
              <w:rPr>
                <w:rFonts w:hint="eastAsia" w:ascii="宋体" w:hAnsi="宋体" w:eastAsia="宋体" w:cs="宋体"/>
                <w:kern w:val="0"/>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935" w:type="dxa"/>
            <w:noWrap w:val="0"/>
            <w:vAlign w:val="center"/>
          </w:tcPr>
          <w:p w14:paraId="504093FC">
            <w:pPr>
              <w:spacing w:line="360" w:lineRule="auto"/>
              <w:jc w:val="both"/>
              <w:rPr>
                <w:rFonts w:hint="eastAsia" w:ascii="宋体" w:hAnsi="宋体" w:eastAsia="宋体" w:cs="宋体"/>
                <w:kern w:val="0"/>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6981" w:type="dxa"/>
            <w:noWrap w:val="0"/>
            <w:vAlign w:val="center"/>
          </w:tcPr>
          <w:p w14:paraId="565E6F8B">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各供应商的价格得分的计算公式：价格分应当采用低价优先法计算，即满足招标文件要求且投标价格最低的投标报价为评标基准价，其价格分为满分。其他投标人的价格分统一按照下列公式计算：</w:t>
            </w:r>
          </w:p>
          <w:p w14:paraId="3CCC4A0E">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投标报价得分=(评标基准价／投标报价)×100×30%</w:t>
            </w:r>
          </w:p>
          <w:p w14:paraId="00E1A640">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评标总得分＝F1×A1＋F2×A2＋……＋Fn×An</w:t>
            </w:r>
          </w:p>
          <w:p w14:paraId="6F399428">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F1、F2……Fn分别为各项评审因素的得分；</w:t>
            </w:r>
          </w:p>
          <w:p w14:paraId="2E536DF0">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A1、A2、……An 分别为各项评审因素所占的权重(A1＋A2＋……＋An＝1)。</w:t>
            </w:r>
          </w:p>
          <w:p w14:paraId="6AFC2899">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评标过程中，不得去掉报价中的最高报价和最低报价。</w:t>
            </w:r>
          </w:p>
          <w:p w14:paraId="185A2842">
            <w:pPr>
              <w:spacing w:line="360" w:lineRule="auto"/>
              <w:jc w:val="both"/>
              <w:rPr>
                <w:rFonts w:hint="eastAsia" w:ascii="宋体" w:hAnsi="宋体" w:eastAsia="宋体" w:cs="宋体"/>
                <w:sz w:val="18"/>
                <w:szCs w:val="18"/>
              </w:rPr>
            </w:pPr>
            <w:r>
              <w:rPr>
                <w:rFonts w:hint="eastAsia" w:ascii="宋体" w:hAnsi="宋体" w:eastAsia="宋体" w:cs="宋体"/>
                <w:kern w:val="0"/>
                <w:sz w:val="21"/>
                <w:szCs w:val="21"/>
              </w:rPr>
              <w:t>因落实政府采购政策进行价格调整的，以调整后的价格计算评标基准价和投标报价。</w:t>
            </w:r>
          </w:p>
        </w:tc>
        <w:tc>
          <w:tcPr>
            <w:tcW w:w="546" w:type="dxa"/>
            <w:noWrap w:val="0"/>
            <w:vAlign w:val="center"/>
          </w:tcPr>
          <w:p w14:paraId="53521031">
            <w:pPr>
              <w:spacing w:line="360" w:lineRule="auto"/>
              <w:jc w:val="both"/>
              <w:rPr>
                <w:rFonts w:hint="eastAsia" w:ascii="宋体" w:hAnsi="宋体" w:eastAsia="宋体" w:cs="宋体"/>
                <w:sz w:val="18"/>
                <w:szCs w:val="18"/>
              </w:rPr>
            </w:pPr>
          </w:p>
        </w:tc>
      </w:tr>
      <w:tr w14:paraId="4126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55" w:type="dxa"/>
            <w:vMerge w:val="restart"/>
            <w:noWrap w:val="0"/>
            <w:vAlign w:val="center"/>
          </w:tcPr>
          <w:p w14:paraId="0AFBAB12">
            <w:pPr>
              <w:spacing w:line="360" w:lineRule="auto"/>
              <w:ind w:firstLine="28"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142" w:type="dxa"/>
            <w:vMerge w:val="restart"/>
            <w:noWrap w:val="0"/>
            <w:vAlign w:val="center"/>
          </w:tcPr>
          <w:p w14:paraId="7AB46A15">
            <w:pPr>
              <w:spacing w:line="360" w:lineRule="auto"/>
              <w:ind w:firstLine="28" w:firstLineChars="0"/>
              <w:jc w:val="both"/>
              <w:rPr>
                <w:rFonts w:hint="eastAsia" w:ascii="宋体" w:hAnsi="宋体" w:eastAsia="宋体" w:cs="宋体"/>
                <w:kern w:val="0"/>
                <w:szCs w:val="21"/>
              </w:rPr>
            </w:pPr>
            <w:r>
              <w:rPr>
                <w:rFonts w:hint="eastAsia" w:ascii="宋体" w:hAnsi="宋体" w:eastAsia="宋体" w:cs="宋体"/>
                <w:kern w:val="0"/>
                <w:szCs w:val="21"/>
                <w:lang w:val="en-US" w:eastAsia="zh-CN"/>
              </w:rPr>
              <w:t>技术部分（</w:t>
            </w:r>
            <w:r>
              <w:rPr>
                <w:rFonts w:hint="eastAsia" w:ascii="宋体" w:hAnsi="宋体" w:cs="宋体"/>
                <w:kern w:val="0"/>
                <w:szCs w:val="21"/>
                <w:lang w:val="en-US" w:eastAsia="zh-CN"/>
              </w:rPr>
              <w:t>38分</w:t>
            </w:r>
            <w:r>
              <w:rPr>
                <w:rFonts w:hint="eastAsia" w:ascii="宋体" w:hAnsi="宋体" w:eastAsia="宋体" w:cs="宋体"/>
                <w:kern w:val="0"/>
                <w:szCs w:val="21"/>
                <w:lang w:val="en-US" w:eastAsia="zh-CN"/>
              </w:rPr>
              <w:t>）</w:t>
            </w:r>
          </w:p>
        </w:tc>
        <w:tc>
          <w:tcPr>
            <w:tcW w:w="935" w:type="dxa"/>
            <w:noWrap w:val="0"/>
            <w:vAlign w:val="center"/>
          </w:tcPr>
          <w:p w14:paraId="63F5FD5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981" w:type="dxa"/>
            <w:noWrap w:val="0"/>
            <w:vAlign w:val="center"/>
          </w:tcPr>
          <w:p w14:paraId="0E557901">
            <w:pPr>
              <w:pStyle w:val="6"/>
              <w:adjustRightInd/>
              <w:spacing w:line="360" w:lineRule="auto"/>
              <w:ind w:left="0" w:leftChars="0" w:firstLine="0" w:firstLineChars="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技术参数：</w:t>
            </w:r>
          </w:p>
          <w:p w14:paraId="0FE85BDE">
            <w:pPr>
              <w:spacing w:line="360" w:lineRule="auto"/>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技术指标基础分为</w:t>
            </w:r>
            <w:r>
              <w:rPr>
                <w:rFonts w:hint="eastAsia" w:ascii="宋体" w:hAnsi="宋体" w:cs="宋体"/>
                <w:kern w:val="0"/>
                <w:sz w:val="21"/>
                <w:szCs w:val="21"/>
                <w:lang w:val="en-US" w:eastAsia="zh-CN"/>
              </w:rPr>
              <w:t>25</w:t>
            </w:r>
            <w:r>
              <w:rPr>
                <w:rFonts w:hint="eastAsia" w:ascii="宋体" w:hAnsi="宋体" w:eastAsia="宋体" w:cs="宋体"/>
                <w:kern w:val="0"/>
                <w:sz w:val="21"/>
                <w:szCs w:val="21"/>
                <w:lang w:val="en-US" w:eastAsia="zh-CN"/>
              </w:rPr>
              <w:t>分。满足招标文件技术要求的，计</w:t>
            </w:r>
            <w:r>
              <w:rPr>
                <w:rFonts w:hint="eastAsia" w:ascii="宋体" w:hAnsi="宋体" w:cs="宋体"/>
                <w:kern w:val="0"/>
                <w:sz w:val="21"/>
                <w:szCs w:val="21"/>
                <w:lang w:val="en-US" w:eastAsia="zh-CN"/>
              </w:rPr>
              <w:t>25</w:t>
            </w:r>
            <w:r>
              <w:rPr>
                <w:rFonts w:hint="eastAsia" w:ascii="宋体" w:hAnsi="宋体" w:eastAsia="宋体" w:cs="宋体"/>
                <w:kern w:val="0"/>
                <w:sz w:val="21"/>
                <w:szCs w:val="21"/>
                <w:lang w:val="en-US" w:eastAsia="zh-CN"/>
              </w:rPr>
              <w:t>分。</w:t>
            </w:r>
          </w:p>
          <w:p w14:paraId="0F55A854">
            <w:pPr>
              <w:numPr>
                <w:ilvl w:val="0"/>
                <w:numId w:val="0"/>
              </w:numPr>
              <w:spacing w:line="360" w:lineRule="auto"/>
              <w:jc w:val="both"/>
              <w:rPr>
                <w:rFonts w:hint="default" w:ascii="宋体" w:hAnsi="宋体" w:eastAsia="宋体" w:cs="宋体"/>
                <w:kern w:val="0"/>
                <w:sz w:val="21"/>
                <w:szCs w:val="21"/>
                <w:lang w:val="en-US" w:eastAsia="zh-CN"/>
              </w:rPr>
            </w:pPr>
            <w:r>
              <w:rPr>
                <w:rFonts w:hint="eastAsia" w:ascii="宋体" w:hAnsi="宋体" w:eastAsia="宋体" w:cs="宋体"/>
                <w:color w:val="auto"/>
                <w:kern w:val="0"/>
                <w:szCs w:val="21"/>
                <w:lang w:val="en-US" w:eastAsia="zh-CN"/>
              </w:rPr>
              <w:t>1、</w:t>
            </w:r>
            <w:r>
              <w:rPr>
                <w:rFonts w:hint="default" w:ascii="宋体" w:hAnsi="宋体" w:eastAsia="宋体" w:cs="宋体"/>
                <w:kern w:val="0"/>
                <w:sz w:val="21"/>
                <w:szCs w:val="21"/>
                <w:lang w:val="en-US" w:eastAsia="zh-CN"/>
              </w:rPr>
              <w:t>本项目采购文件采购需求中标记</w:t>
            </w:r>
            <w:r>
              <w:rPr>
                <w:rFonts w:hint="eastAsia" w:ascii="宋体" w:hAnsi="宋体" w:eastAsia="宋体" w:cs="宋体"/>
                <w:color w:val="auto"/>
                <w:kern w:val="0"/>
                <w:szCs w:val="21"/>
                <w:lang w:val="en-US" w:eastAsia="zh-CN"/>
              </w:rPr>
              <w:t>“★”的技术参数属于核心参数</w:t>
            </w:r>
            <w:r>
              <w:rPr>
                <w:rFonts w:hint="eastAsia" w:ascii="宋体" w:hAnsi="宋体" w:cs="宋体"/>
                <w:color w:val="auto"/>
                <w:kern w:val="0"/>
                <w:szCs w:val="21"/>
                <w:lang w:val="en-US" w:eastAsia="zh-CN"/>
              </w:rPr>
              <w:t>（共计5项），</w:t>
            </w:r>
            <w:r>
              <w:rPr>
                <w:rFonts w:hint="eastAsia" w:ascii="宋体" w:hAnsi="宋体" w:eastAsia="宋体" w:cs="宋体"/>
                <w:kern w:val="0"/>
                <w:sz w:val="21"/>
                <w:szCs w:val="21"/>
                <w:lang w:val="en-US" w:eastAsia="zh-CN"/>
              </w:rPr>
              <w:t>要求逐条响应并提供证明材料。每出现一条不响应且未提供证明材料的扣5分，扣完为止。</w:t>
            </w:r>
            <w:r>
              <w:rPr>
                <w:rFonts w:hint="default" w:ascii="宋体" w:hAnsi="宋体" w:eastAsia="宋体" w:cs="宋体"/>
                <w:kern w:val="0"/>
                <w:sz w:val="21"/>
                <w:szCs w:val="21"/>
                <w:lang w:val="en-US" w:eastAsia="zh-CN"/>
              </w:rPr>
              <w:t xml:space="preserve">    </w:t>
            </w:r>
          </w:p>
          <w:p w14:paraId="47C4B707">
            <w:pPr>
              <w:numPr>
                <w:ilvl w:val="0"/>
                <w:numId w:val="0"/>
              </w:numPr>
              <w:spacing w:line="360" w:lineRule="auto"/>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default" w:ascii="宋体" w:hAnsi="宋体" w:eastAsia="宋体" w:cs="宋体"/>
                <w:kern w:val="0"/>
                <w:sz w:val="21"/>
                <w:szCs w:val="21"/>
                <w:lang w:val="en-US" w:eastAsia="zh-CN"/>
              </w:rPr>
              <w:t>本项目采购文件采购需求中标记“▲”的为重要参数（共计</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2</w:t>
            </w:r>
            <w:r>
              <w:rPr>
                <w:rFonts w:hint="default" w:ascii="宋体" w:hAnsi="宋体" w:eastAsia="宋体" w:cs="宋体"/>
                <w:kern w:val="0"/>
                <w:sz w:val="21"/>
                <w:szCs w:val="21"/>
                <w:lang w:val="en-US" w:eastAsia="zh-CN"/>
              </w:rPr>
              <w:t>项），</w:t>
            </w:r>
            <w:r>
              <w:rPr>
                <w:rFonts w:hint="eastAsia" w:ascii="宋体" w:hAnsi="宋体" w:eastAsia="宋体" w:cs="宋体"/>
                <w:kern w:val="0"/>
                <w:sz w:val="21"/>
                <w:szCs w:val="21"/>
                <w:lang w:val="en-US" w:eastAsia="zh-CN"/>
              </w:rPr>
              <w:t>属于重要参数，要求逐条响应并提供证明材料。每出现一条不响应且未提供证明材料的扣1分，扣完为止。</w:t>
            </w:r>
            <w:r>
              <w:rPr>
                <w:rFonts w:hint="default" w:ascii="宋体" w:hAnsi="宋体" w:eastAsia="宋体" w:cs="宋体"/>
                <w:kern w:val="0"/>
                <w:sz w:val="21"/>
                <w:szCs w:val="21"/>
                <w:lang w:val="en-US" w:eastAsia="zh-CN"/>
              </w:rPr>
              <w:t xml:space="preserve">    </w:t>
            </w:r>
          </w:p>
          <w:p w14:paraId="2B5354DC">
            <w:pPr>
              <w:numPr>
                <w:ilvl w:val="0"/>
                <w:numId w:val="0"/>
              </w:numPr>
              <w:spacing w:line="360" w:lineRule="auto"/>
              <w:jc w:val="both"/>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注：投标人所提供的资料必须真实有效，标记“▲”的为重要参数</w:t>
            </w:r>
            <w:r>
              <w:rPr>
                <w:rFonts w:hint="default" w:ascii="宋体" w:hAnsi="宋体" w:eastAsia="宋体" w:cs="宋体"/>
                <w:kern w:val="0"/>
                <w:sz w:val="21"/>
                <w:szCs w:val="21"/>
                <w:lang w:val="en" w:eastAsia="zh-CN"/>
              </w:rPr>
              <w:t>,</w:t>
            </w:r>
            <w:r>
              <w:rPr>
                <w:rFonts w:hint="eastAsia" w:ascii="宋体" w:hAnsi="宋体" w:eastAsia="宋体" w:cs="宋体"/>
                <w:kern w:val="0"/>
                <w:sz w:val="21"/>
                <w:szCs w:val="21"/>
                <w:lang w:val="en-US" w:eastAsia="zh-CN"/>
              </w:rPr>
              <w:t>需提供具有</w:t>
            </w:r>
            <w:r>
              <w:rPr>
                <w:rFonts w:hint="default" w:ascii="宋体" w:hAnsi="宋体" w:eastAsia="宋体" w:cs="宋体"/>
                <w:kern w:val="0"/>
                <w:sz w:val="21"/>
                <w:szCs w:val="21"/>
                <w:lang w:val="en-US" w:eastAsia="zh-CN"/>
              </w:rPr>
              <w:t>“CMA”或“CNAS”</w:t>
            </w:r>
            <w:r>
              <w:rPr>
                <w:rFonts w:hint="eastAsia" w:ascii="宋体" w:hAnsi="宋体" w:eastAsia="宋体" w:cs="宋体"/>
                <w:kern w:val="0"/>
                <w:sz w:val="21"/>
                <w:szCs w:val="21"/>
                <w:lang w:val="en-US" w:eastAsia="zh-CN"/>
              </w:rPr>
              <w:t>标识的国家认可机构出具的检测报告，并附国家市场监督管理局检测报告真伪查询截图</w:t>
            </w:r>
            <w:r>
              <w:rPr>
                <w:rFonts w:hint="default" w:ascii="宋体" w:hAnsi="宋体" w:eastAsia="宋体" w:cs="宋体"/>
                <w:kern w:val="0"/>
                <w:sz w:val="21"/>
                <w:szCs w:val="21"/>
                <w:lang w:val="en-US" w:eastAsia="zh-CN"/>
              </w:rPr>
              <w:t xml:space="preserve">。                      </w:t>
            </w:r>
          </w:p>
          <w:p w14:paraId="44A4BC2A">
            <w:pPr>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w:t>
            </w:r>
            <w:r>
              <w:rPr>
                <w:rFonts w:hint="default" w:ascii="宋体" w:hAnsi="宋体" w:eastAsia="宋体" w:cs="宋体"/>
                <w:kern w:val="0"/>
                <w:sz w:val="21"/>
                <w:szCs w:val="21"/>
                <w:lang w:val="en-US" w:eastAsia="zh-CN"/>
              </w:rPr>
              <w:t>对招标文件采购需求中未标“▲”号的一般性规格参数，供应商所投产品技术参数全部满足本项目采购文件采购需求中的技术参数，</w:t>
            </w:r>
            <w:r>
              <w:rPr>
                <w:rFonts w:hint="eastAsia" w:ascii="宋体" w:hAnsi="宋体" w:eastAsia="宋体" w:cs="宋体"/>
                <w:kern w:val="0"/>
                <w:sz w:val="21"/>
                <w:szCs w:val="21"/>
                <w:lang w:val="en-US" w:eastAsia="zh-CN"/>
              </w:rPr>
              <w:t>每偏离一条扣 0.</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分，扣完为止。</w:t>
            </w:r>
          </w:p>
        </w:tc>
        <w:tc>
          <w:tcPr>
            <w:tcW w:w="546" w:type="dxa"/>
            <w:noWrap w:val="0"/>
            <w:vAlign w:val="center"/>
          </w:tcPr>
          <w:p w14:paraId="382493B2">
            <w:pPr>
              <w:spacing w:line="360" w:lineRule="auto"/>
              <w:jc w:val="both"/>
              <w:rPr>
                <w:rFonts w:hint="eastAsia" w:ascii="宋体" w:hAnsi="宋体" w:eastAsia="宋体" w:cs="宋体"/>
                <w:sz w:val="18"/>
                <w:szCs w:val="18"/>
              </w:rPr>
            </w:pPr>
          </w:p>
        </w:tc>
      </w:tr>
      <w:tr w14:paraId="7FCF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455" w:type="dxa"/>
            <w:vMerge w:val="continue"/>
            <w:noWrap w:val="0"/>
            <w:vAlign w:val="center"/>
          </w:tcPr>
          <w:p w14:paraId="28318C57">
            <w:pPr>
              <w:spacing w:line="360" w:lineRule="auto"/>
              <w:ind w:firstLine="28" w:firstLineChars="0"/>
              <w:jc w:val="both"/>
              <w:rPr>
                <w:rFonts w:hint="eastAsia" w:ascii="宋体" w:hAnsi="宋体" w:eastAsia="宋体" w:cs="宋体"/>
                <w:sz w:val="18"/>
                <w:szCs w:val="18"/>
                <w:lang w:val="en-US" w:eastAsia="zh-CN"/>
              </w:rPr>
            </w:pPr>
          </w:p>
        </w:tc>
        <w:tc>
          <w:tcPr>
            <w:tcW w:w="1142" w:type="dxa"/>
            <w:vMerge w:val="continue"/>
            <w:noWrap w:val="0"/>
            <w:vAlign w:val="center"/>
          </w:tcPr>
          <w:p w14:paraId="18B1ADD4">
            <w:pPr>
              <w:spacing w:line="360" w:lineRule="auto"/>
              <w:ind w:firstLine="28" w:firstLineChars="0"/>
              <w:jc w:val="both"/>
              <w:rPr>
                <w:rFonts w:hint="eastAsia" w:ascii="宋体" w:hAnsi="宋体" w:eastAsia="宋体" w:cs="宋体"/>
                <w:kern w:val="0"/>
                <w:szCs w:val="21"/>
                <w:lang w:val="en-US" w:eastAsia="zh-CN"/>
              </w:rPr>
            </w:pPr>
          </w:p>
        </w:tc>
        <w:tc>
          <w:tcPr>
            <w:tcW w:w="935" w:type="dxa"/>
            <w:noWrap w:val="0"/>
            <w:vAlign w:val="center"/>
          </w:tcPr>
          <w:p w14:paraId="68F1C7EF">
            <w:pPr>
              <w:spacing w:line="360" w:lineRule="auto"/>
              <w:ind w:firstLine="210" w:firstLineChars="1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981" w:type="dxa"/>
            <w:noWrap w:val="0"/>
            <w:vAlign w:val="center"/>
          </w:tcPr>
          <w:p w14:paraId="644FC5C2">
            <w:pPr>
              <w:keepNext w:val="0"/>
              <w:keepLines w:val="0"/>
              <w:widowControl/>
              <w:suppressLineNumbers w:val="0"/>
              <w:spacing w:line="360" w:lineRule="auto"/>
              <w:jc w:val="both"/>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p>
          <w:p w14:paraId="0653DE43">
            <w:pPr>
              <w:keepNext w:val="0"/>
              <w:keepLines w:val="0"/>
              <w:widowControl/>
              <w:numPr>
                <w:ilvl w:val="0"/>
                <w:numId w:val="0"/>
              </w:numPr>
              <w:suppressLineNumbers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根据投标人针对本项目提供的实施方案：</w:t>
            </w:r>
          </w:p>
          <w:p w14:paraId="176198BE">
            <w:pPr>
              <w:keepNext w:val="0"/>
              <w:keepLines w:val="0"/>
              <w:widowControl/>
              <w:numPr>
                <w:ilvl w:val="0"/>
                <w:numId w:val="0"/>
              </w:numPr>
              <w:suppressLineNumbers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①实施人员分工及配置；②供货保证方案；③运输保障方案；④产品交验前的调试方案；⑤交付验收方案；</w:t>
            </w:r>
          </w:p>
          <w:p w14:paraId="558AACC7">
            <w:pPr>
              <w:keepNext w:val="0"/>
              <w:keepLines w:val="0"/>
              <w:widowControl/>
              <w:numPr>
                <w:ilvl w:val="0"/>
                <w:numId w:val="0"/>
              </w:numPr>
              <w:suppressLineNumbers w:val="0"/>
              <w:spacing w:line="360" w:lineRule="auto"/>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TW" w:bidi="ar-SA"/>
              </w:rPr>
              <w:t>以上内容都包含且满足采购需求的得</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TW" w:eastAsia="zh-TW" w:bidi="ar-SA"/>
              </w:rPr>
              <w:t>分；每缺少一项内容的扣</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TW" w:eastAsia="zh-TW" w:bidi="ar-SA"/>
              </w:rPr>
              <w:t>分；每有一处</w:t>
            </w:r>
            <w:r>
              <w:rPr>
                <w:rFonts w:hint="eastAsia" w:ascii="宋体" w:hAnsi="宋体" w:eastAsia="宋体" w:cs="宋体"/>
                <w:color w:val="auto"/>
                <w:kern w:val="0"/>
                <w:sz w:val="21"/>
                <w:szCs w:val="21"/>
                <w:highlight w:val="none"/>
                <w:lang w:val="en-US" w:eastAsia="zh-CN" w:bidi="ar-SA"/>
              </w:rPr>
              <w:t>内容未进行详细说明或内容存在缺陷或不适用本项目</w:t>
            </w:r>
            <w:r>
              <w:rPr>
                <w:rFonts w:hint="eastAsia" w:ascii="宋体" w:hAnsi="宋体" w:eastAsia="宋体" w:cs="宋体"/>
                <w:color w:val="auto"/>
                <w:kern w:val="0"/>
                <w:sz w:val="21"/>
                <w:szCs w:val="21"/>
                <w:highlight w:val="none"/>
                <w:lang w:val="zh-TW" w:eastAsia="zh-TW" w:bidi="ar-SA"/>
              </w:rPr>
              <w:t>的扣</w:t>
            </w:r>
            <w:r>
              <w:rPr>
                <w:rFonts w:hint="eastAsia" w:ascii="宋体" w:hAnsi="宋体" w:eastAsia="宋体" w:cs="宋体"/>
                <w:color w:val="auto"/>
                <w:kern w:val="0"/>
                <w:sz w:val="21"/>
                <w:szCs w:val="21"/>
                <w:highlight w:val="none"/>
                <w:lang w:val="en-US" w:eastAsia="zh-CN" w:bidi="ar-SA"/>
              </w:rPr>
              <w:t>0.2</w:t>
            </w:r>
            <w:r>
              <w:rPr>
                <w:rFonts w:hint="eastAsia" w:ascii="宋体" w:hAnsi="宋体" w:eastAsia="宋体" w:cs="宋体"/>
                <w:color w:val="auto"/>
                <w:kern w:val="0"/>
                <w:sz w:val="21"/>
                <w:szCs w:val="21"/>
                <w:highlight w:val="none"/>
                <w:lang w:val="zh-TW" w:eastAsia="zh-TW" w:bidi="ar-SA"/>
              </w:rPr>
              <w:t>分；扣完为止，未提供不得分。</w:t>
            </w:r>
          </w:p>
          <w:p w14:paraId="0D1A843A">
            <w:pPr>
              <w:keepNext w:val="0"/>
              <w:keepLines w:val="0"/>
              <w:widowControl/>
              <w:numPr>
                <w:ilvl w:val="0"/>
                <w:numId w:val="0"/>
              </w:numPr>
              <w:suppressLineNumbers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TW" w:eastAsia="zh-TW" w:bidi="ar-SA"/>
              </w:rPr>
              <w:t>（</w:t>
            </w:r>
            <w:r>
              <w:rPr>
                <w:rFonts w:hint="eastAsia" w:ascii="宋体" w:hAnsi="宋体" w:eastAsia="宋体" w:cs="宋体"/>
                <w:color w:val="auto"/>
                <w:kern w:val="0"/>
                <w:sz w:val="21"/>
                <w:szCs w:val="21"/>
                <w:highlight w:val="none"/>
                <w:lang w:val="en-US" w:eastAsia="zh-CN" w:bidi="ar-SA"/>
              </w:rPr>
              <w:t>未进行详细说明或内容存在缺陷或不适用本项目的</w:t>
            </w:r>
            <w:r>
              <w:rPr>
                <w:rFonts w:hint="eastAsia" w:ascii="宋体" w:hAnsi="宋体" w:eastAsia="宋体" w:cs="宋体"/>
                <w:color w:val="auto"/>
                <w:kern w:val="0"/>
                <w:sz w:val="21"/>
                <w:szCs w:val="21"/>
                <w:highlight w:val="none"/>
                <w:lang w:val="zh-TW" w:eastAsia="zh-TW" w:bidi="ar-SA"/>
              </w:rPr>
              <w:t>是指：</w:t>
            </w:r>
            <w:r>
              <w:rPr>
                <w:rFonts w:hint="eastAsia" w:ascii="宋体" w:hAnsi="宋体" w:eastAsia="宋体" w:cs="宋体"/>
                <w:color w:val="auto"/>
                <w:kern w:val="0"/>
                <w:sz w:val="21"/>
                <w:szCs w:val="21"/>
                <w:highlight w:val="none"/>
                <w:lang w:val="en-US" w:eastAsia="zh-CN" w:bidi="ar-SA"/>
              </w:rPr>
              <w:t>①只有单纯的文件描述，前后内容无法连贯，内容脱离了实际情况，不具备实施的可能性；②套用其他项目方案，前后内容互相矛盾， 存在与本项目无关的内容；③内容不满足项目要求、与本项目无关或与本项目不匹配、项目涉及的名 称、地点不一致；④不符合采购需求、项目相关的规范及标准任一情形等。</w:t>
            </w:r>
            <w:r>
              <w:rPr>
                <w:rFonts w:hint="eastAsia" w:ascii="宋体" w:hAnsi="宋体" w:eastAsia="宋体" w:cs="宋体"/>
                <w:color w:val="auto"/>
                <w:kern w:val="0"/>
                <w:sz w:val="21"/>
                <w:szCs w:val="21"/>
                <w:highlight w:val="none"/>
                <w:lang w:val="zh-TW" w:eastAsia="zh-TW" w:bidi="ar-SA"/>
              </w:rPr>
              <w:t>）</w:t>
            </w:r>
          </w:p>
        </w:tc>
        <w:tc>
          <w:tcPr>
            <w:tcW w:w="546" w:type="dxa"/>
            <w:noWrap w:val="0"/>
            <w:vAlign w:val="center"/>
          </w:tcPr>
          <w:p w14:paraId="4B0D8800">
            <w:pPr>
              <w:spacing w:line="360" w:lineRule="auto"/>
              <w:jc w:val="both"/>
              <w:rPr>
                <w:rFonts w:hint="eastAsia" w:ascii="宋体" w:hAnsi="宋体" w:eastAsia="宋体" w:cs="宋体"/>
                <w:sz w:val="18"/>
                <w:szCs w:val="18"/>
              </w:rPr>
            </w:pPr>
          </w:p>
        </w:tc>
      </w:tr>
      <w:tr w14:paraId="0F17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455" w:type="dxa"/>
            <w:vMerge w:val="continue"/>
            <w:noWrap w:val="0"/>
            <w:vAlign w:val="center"/>
          </w:tcPr>
          <w:p w14:paraId="0BA5A3A2">
            <w:pPr>
              <w:spacing w:line="360" w:lineRule="auto"/>
              <w:ind w:firstLine="28" w:firstLineChars="0"/>
              <w:jc w:val="both"/>
              <w:rPr>
                <w:rFonts w:hint="eastAsia" w:ascii="宋体" w:hAnsi="宋体" w:eastAsia="宋体" w:cs="宋体"/>
                <w:sz w:val="18"/>
                <w:szCs w:val="18"/>
                <w:lang w:val="en-US" w:eastAsia="zh-CN"/>
              </w:rPr>
            </w:pPr>
          </w:p>
        </w:tc>
        <w:tc>
          <w:tcPr>
            <w:tcW w:w="1142" w:type="dxa"/>
            <w:vMerge w:val="continue"/>
            <w:noWrap w:val="0"/>
            <w:vAlign w:val="center"/>
          </w:tcPr>
          <w:p w14:paraId="007538CD">
            <w:pPr>
              <w:spacing w:line="360" w:lineRule="auto"/>
              <w:ind w:firstLine="28" w:firstLineChars="0"/>
              <w:jc w:val="both"/>
              <w:rPr>
                <w:rFonts w:hint="eastAsia" w:ascii="宋体" w:hAnsi="宋体" w:eastAsia="宋体" w:cs="宋体"/>
                <w:kern w:val="0"/>
                <w:szCs w:val="21"/>
                <w:lang w:val="en-US" w:eastAsia="zh-CN"/>
              </w:rPr>
            </w:pPr>
          </w:p>
        </w:tc>
        <w:tc>
          <w:tcPr>
            <w:tcW w:w="935" w:type="dxa"/>
            <w:noWrap w:val="0"/>
            <w:vAlign w:val="center"/>
          </w:tcPr>
          <w:p w14:paraId="0246CD1F">
            <w:pPr>
              <w:spacing w:line="360" w:lineRule="auto"/>
              <w:ind w:firstLine="210" w:firstLineChars="1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6981" w:type="dxa"/>
            <w:noWrap w:val="0"/>
            <w:vAlign w:val="center"/>
          </w:tcPr>
          <w:p w14:paraId="210F6522">
            <w:pPr>
              <w:numPr>
                <w:ilvl w:val="0"/>
                <w:numId w:val="0"/>
              </w:numPr>
              <w:spacing w:line="360" w:lineRule="auto"/>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highlight w:val="none"/>
                <w:lang w:val="en-US" w:eastAsia="zh-CN" w:bidi="ar-SA"/>
              </w:rPr>
              <w:t>质保期：</w:t>
            </w:r>
          </w:p>
          <w:p w14:paraId="5EE53188">
            <w:pPr>
              <w:keepNext w:val="0"/>
              <w:keepLines w:val="0"/>
              <w:widowControl/>
              <w:numPr>
                <w:ilvl w:val="0"/>
                <w:numId w:val="0"/>
              </w:numPr>
              <w:suppressLineNumbers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lang w:val="en-US" w:eastAsia="zh-CN"/>
              </w:rPr>
              <w:t>产品质保期1年，得1分，质保期低于1年的此项不得分，每延长一年多得1分，最多可得3分；</w:t>
            </w:r>
          </w:p>
        </w:tc>
        <w:tc>
          <w:tcPr>
            <w:tcW w:w="546" w:type="dxa"/>
            <w:noWrap w:val="0"/>
            <w:vAlign w:val="center"/>
          </w:tcPr>
          <w:p w14:paraId="0500D2FF">
            <w:pPr>
              <w:spacing w:line="360" w:lineRule="auto"/>
              <w:jc w:val="both"/>
              <w:rPr>
                <w:rFonts w:hint="eastAsia" w:ascii="宋体" w:hAnsi="宋体" w:eastAsia="宋体" w:cs="宋体"/>
                <w:sz w:val="18"/>
                <w:szCs w:val="18"/>
              </w:rPr>
            </w:pPr>
          </w:p>
        </w:tc>
      </w:tr>
      <w:tr w14:paraId="3C8D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455" w:type="dxa"/>
            <w:vMerge w:val="continue"/>
            <w:noWrap w:val="0"/>
            <w:vAlign w:val="center"/>
          </w:tcPr>
          <w:p w14:paraId="13389F10">
            <w:pPr>
              <w:spacing w:line="360" w:lineRule="auto"/>
              <w:jc w:val="both"/>
              <w:rPr>
                <w:rFonts w:hint="eastAsia" w:ascii="宋体" w:hAnsi="宋体" w:eastAsia="宋体" w:cs="宋体"/>
                <w:sz w:val="21"/>
                <w:szCs w:val="21"/>
              </w:rPr>
            </w:pPr>
          </w:p>
        </w:tc>
        <w:tc>
          <w:tcPr>
            <w:tcW w:w="1142" w:type="dxa"/>
            <w:vMerge w:val="continue"/>
            <w:noWrap w:val="0"/>
            <w:vAlign w:val="center"/>
          </w:tcPr>
          <w:p w14:paraId="2DB55294">
            <w:pPr>
              <w:spacing w:line="360" w:lineRule="auto"/>
              <w:jc w:val="both"/>
              <w:rPr>
                <w:rFonts w:hint="eastAsia" w:ascii="宋体" w:hAnsi="宋体" w:eastAsia="宋体" w:cs="宋体"/>
                <w:sz w:val="21"/>
                <w:szCs w:val="21"/>
              </w:rPr>
            </w:pPr>
          </w:p>
        </w:tc>
        <w:tc>
          <w:tcPr>
            <w:tcW w:w="935" w:type="dxa"/>
            <w:tcBorders>
              <w:left w:val="single" w:color="auto" w:sz="4" w:space="0"/>
              <w:right w:val="single" w:color="auto" w:sz="4" w:space="0"/>
            </w:tcBorders>
            <w:noWrap w:val="0"/>
            <w:vAlign w:val="center"/>
          </w:tcPr>
          <w:p w14:paraId="58F9AEE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981" w:type="dxa"/>
            <w:tcBorders>
              <w:top w:val="single" w:color="auto" w:sz="4" w:space="0"/>
              <w:left w:val="single" w:color="auto" w:sz="4" w:space="0"/>
              <w:right w:val="single" w:color="auto" w:sz="4" w:space="0"/>
            </w:tcBorders>
            <w:noWrap w:val="0"/>
            <w:vAlign w:val="center"/>
          </w:tcPr>
          <w:p w14:paraId="580AEAA8">
            <w:pPr>
              <w:keepNext w:val="0"/>
              <w:keepLines w:val="0"/>
              <w:widowControl/>
              <w:suppressLineNumbers w:val="0"/>
              <w:spacing w:line="360" w:lineRule="auto"/>
              <w:jc w:val="both"/>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项目团队：</w:t>
            </w:r>
          </w:p>
          <w:p w14:paraId="0C3B2858">
            <w:pPr>
              <w:keepNext w:val="0"/>
              <w:keepLines w:val="0"/>
              <w:widowControl/>
              <w:suppressLineNumbers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投标人安装及配套服务人员：至少3人（少于3人此项不得分，3人得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p w14:paraId="47ED81A7">
            <w:pPr>
              <w:keepNext w:val="0"/>
              <w:keepLines w:val="0"/>
              <w:widowControl/>
              <w:suppressLineNumbers w:val="0"/>
              <w:spacing w:line="360" w:lineRule="auto"/>
              <w:jc w:val="both"/>
              <w:rPr>
                <w:rFonts w:hint="eastAsia" w:ascii="仿宋" w:hAnsi="仿宋" w:eastAsia="仿宋" w:cs="仿宋"/>
                <w:bCs/>
                <w:spacing w:val="-6"/>
                <w:sz w:val="24"/>
                <w:szCs w:val="24"/>
                <w:highlight w:val="none"/>
                <w:lang w:val="en-US" w:eastAsia="zh-CN"/>
              </w:rPr>
            </w:pPr>
            <w:r>
              <w:rPr>
                <w:rFonts w:hint="eastAsia" w:ascii="宋体" w:hAnsi="宋体" w:eastAsia="宋体" w:cs="宋体"/>
                <w:color w:val="auto"/>
                <w:kern w:val="0"/>
                <w:sz w:val="21"/>
                <w:szCs w:val="21"/>
                <w:highlight w:val="none"/>
                <w:lang w:val="en-US" w:eastAsia="zh-CN"/>
              </w:rPr>
              <w:t>（需提供证明材料：人员名单、身份证信息、在职单位为其缴纳的近</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 xml:space="preserve">个月社保证明材料等） </w:t>
            </w:r>
          </w:p>
        </w:tc>
        <w:tc>
          <w:tcPr>
            <w:tcW w:w="546" w:type="dxa"/>
            <w:tcBorders>
              <w:left w:val="single" w:color="auto" w:sz="4" w:space="0"/>
              <w:right w:val="single" w:color="auto" w:sz="4" w:space="0"/>
            </w:tcBorders>
            <w:noWrap w:val="0"/>
            <w:vAlign w:val="center"/>
          </w:tcPr>
          <w:p w14:paraId="3E29C717">
            <w:pPr>
              <w:spacing w:line="360" w:lineRule="auto"/>
              <w:jc w:val="both"/>
              <w:rPr>
                <w:rFonts w:hint="eastAsia" w:ascii="宋体" w:hAnsi="宋体" w:eastAsia="宋体" w:cs="宋体"/>
                <w:sz w:val="18"/>
                <w:szCs w:val="18"/>
              </w:rPr>
            </w:pPr>
          </w:p>
        </w:tc>
      </w:tr>
      <w:tr w14:paraId="26CE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restart"/>
            <w:tcBorders>
              <w:left w:val="single" w:color="auto" w:sz="4" w:space="0"/>
              <w:right w:val="single" w:color="auto" w:sz="4" w:space="0"/>
            </w:tcBorders>
            <w:noWrap w:val="0"/>
            <w:vAlign w:val="center"/>
          </w:tcPr>
          <w:p w14:paraId="0755FA85">
            <w:pPr>
              <w:spacing w:line="360" w:lineRule="auto"/>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142" w:type="dxa"/>
            <w:vMerge w:val="restart"/>
            <w:tcBorders>
              <w:left w:val="single" w:color="auto" w:sz="4" w:space="0"/>
              <w:right w:val="single" w:color="auto" w:sz="4" w:space="0"/>
            </w:tcBorders>
            <w:noWrap w:val="0"/>
            <w:vAlign w:val="center"/>
          </w:tcPr>
          <w:p w14:paraId="39B47C07">
            <w:pPr>
              <w:spacing w:line="360" w:lineRule="auto"/>
              <w:jc w:val="both"/>
              <w:rPr>
                <w:rFonts w:hint="default" w:ascii="宋体" w:hAnsi="宋体" w:eastAsia="宋体" w:cs="宋体"/>
                <w:kern w:val="0"/>
                <w:szCs w:val="21"/>
                <w:lang w:val="en-US" w:eastAsia="zh-CN"/>
              </w:rPr>
            </w:pPr>
            <w:r>
              <w:rPr>
                <w:rFonts w:hint="eastAsia" w:ascii="宋体" w:hAnsi="宋体" w:cs="宋体"/>
                <w:kern w:val="0"/>
                <w:szCs w:val="21"/>
                <w:lang w:val="en-US" w:eastAsia="zh-CN"/>
              </w:rPr>
              <w:t>商务部分（32分）</w:t>
            </w:r>
          </w:p>
        </w:tc>
        <w:tc>
          <w:tcPr>
            <w:tcW w:w="935" w:type="dxa"/>
            <w:tcBorders>
              <w:left w:val="single" w:color="auto" w:sz="4" w:space="0"/>
              <w:right w:val="single" w:color="auto" w:sz="4" w:space="0"/>
            </w:tcBorders>
            <w:noWrap w:val="0"/>
            <w:vAlign w:val="center"/>
          </w:tcPr>
          <w:p w14:paraId="4E116C65">
            <w:pPr>
              <w:kinsoku w:val="0"/>
              <w:overflowPunct w:val="0"/>
              <w:spacing w:line="360" w:lineRule="auto"/>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981" w:type="dxa"/>
            <w:tcBorders>
              <w:top w:val="single" w:color="auto" w:sz="4" w:space="0"/>
              <w:left w:val="single" w:color="auto" w:sz="4" w:space="0"/>
              <w:bottom w:val="single" w:color="auto" w:sz="4" w:space="0"/>
              <w:right w:val="single" w:color="auto" w:sz="4" w:space="0"/>
            </w:tcBorders>
            <w:noWrap w:val="0"/>
            <w:vAlign w:val="center"/>
          </w:tcPr>
          <w:p w14:paraId="445BC4AD">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售后服务方案：</w:t>
            </w:r>
          </w:p>
          <w:p w14:paraId="6EDB1DE6">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根据投标人提供的售后服务方案进行综合评审，内容包含但不限于：①组织机构；②服务流程（包括故障处理、上门维护、紧急维护、重要服务、电话回访维护以及巡检服务周期及维护措施等）；③保修期内服务方案；④保修期外服务方案（含使用、维护成本）；⑤技术更新和产品升级措施。 </w:t>
            </w:r>
          </w:p>
          <w:p w14:paraId="18FBE269">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en-US" w:eastAsia="zh-CN" w:bidi="ar-SA"/>
              </w:rPr>
              <w:t>针对以上四项内容进行评审，逐项打分，每项1分，共5分：每缺一项的扣1分</w:t>
            </w:r>
            <w:r>
              <w:rPr>
                <w:rFonts w:hint="eastAsia" w:ascii="宋体" w:hAnsi="宋体" w:eastAsia="宋体" w:cs="宋体"/>
                <w:color w:val="auto"/>
                <w:kern w:val="0"/>
                <w:sz w:val="21"/>
                <w:szCs w:val="21"/>
                <w:highlight w:val="none"/>
                <w:lang w:val="zh-TW" w:eastAsia="zh-TW" w:bidi="ar-SA"/>
              </w:rPr>
              <w:t>；每有一处</w:t>
            </w:r>
            <w:r>
              <w:rPr>
                <w:rFonts w:hint="eastAsia" w:ascii="宋体" w:hAnsi="宋体" w:eastAsia="宋体" w:cs="宋体"/>
                <w:color w:val="auto"/>
                <w:kern w:val="0"/>
                <w:sz w:val="21"/>
                <w:szCs w:val="21"/>
                <w:highlight w:val="none"/>
                <w:lang w:val="en-US" w:eastAsia="zh-CN" w:bidi="ar-SA"/>
              </w:rPr>
              <w:t>内容未进行详细说明或内容存在缺陷或不适用本项目</w:t>
            </w:r>
            <w:r>
              <w:rPr>
                <w:rFonts w:hint="eastAsia" w:ascii="宋体" w:hAnsi="宋体" w:eastAsia="宋体" w:cs="宋体"/>
                <w:color w:val="auto"/>
                <w:kern w:val="0"/>
                <w:sz w:val="21"/>
                <w:szCs w:val="21"/>
                <w:highlight w:val="none"/>
                <w:lang w:val="zh-TW" w:eastAsia="zh-TW" w:bidi="ar-SA"/>
              </w:rPr>
              <w:t>的扣</w:t>
            </w:r>
            <w:r>
              <w:rPr>
                <w:rFonts w:hint="eastAsia" w:ascii="宋体" w:hAnsi="宋体" w:eastAsia="宋体" w:cs="宋体"/>
                <w:color w:val="auto"/>
                <w:kern w:val="0"/>
                <w:sz w:val="21"/>
                <w:szCs w:val="21"/>
                <w:highlight w:val="none"/>
                <w:lang w:val="en-US" w:eastAsia="zh-CN" w:bidi="ar-SA"/>
              </w:rPr>
              <w:t>0.2</w:t>
            </w:r>
            <w:r>
              <w:rPr>
                <w:rFonts w:hint="eastAsia" w:ascii="宋体" w:hAnsi="宋体" w:eastAsia="宋体" w:cs="宋体"/>
                <w:color w:val="auto"/>
                <w:kern w:val="0"/>
                <w:sz w:val="21"/>
                <w:szCs w:val="21"/>
                <w:highlight w:val="none"/>
                <w:lang w:val="zh-TW" w:eastAsia="zh-TW" w:bidi="ar-SA"/>
              </w:rPr>
              <w:t>分；扣完为止，未提供不得分。</w:t>
            </w:r>
          </w:p>
          <w:p w14:paraId="4B0D39AF">
            <w:pPr>
              <w:numPr>
                <w:ilvl w:val="0"/>
                <w:numId w:val="0"/>
              </w:numPr>
              <w:spacing w:line="360" w:lineRule="auto"/>
              <w:ind w:left="0" w:leftChars="0" w:firstLine="0" w:firstLineChars="0"/>
              <w:jc w:val="both"/>
              <w:textAlignment w:val="center"/>
              <w:rPr>
                <w:rFonts w:hint="eastAsia"/>
                <w:lang w:val="en-US" w:eastAsia="zh-CN"/>
              </w:rPr>
            </w:pPr>
            <w:r>
              <w:rPr>
                <w:rFonts w:hint="eastAsia" w:ascii="宋体" w:hAnsi="宋体" w:eastAsia="宋体" w:cs="宋体"/>
                <w:color w:val="auto"/>
                <w:kern w:val="0"/>
                <w:sz w:val="21"/>
                <w:szCs w:val="21"/>
                <w:highlight w:val="none"/>
                <w:lang w:val="zh-TW" w:eastAsia="zh-TW" w:bidi="ar-SA"/>
              </w:rPr>
              <w:t>（</w:t>
            </w:r>
            <w:r>
              <w:rPr>
                <w:rFonts w:hint="eastAsia" w:ascii="宋体" w:hAnsi="宋体" w:eastAsia="宋体" w:cs="宋体"/>
                <w:color w:val="auto"/>
                <w:kern w:val="0"/>
                <w:sz w:val="21"/>
                <w:szCs w:val="21"/>
                <w:highlight w:val="none"/>
                <w:lang w:val="en-US" w:eastAsia="zh-CN" w:bidi="ar-SA"/>
              </w:rPr>
              <w:t>未进行详细说明或内容存在缺陷或不适用本项目的</w:t>
            </w:r>
            <w:r>
              <w:rPr>
                <w:rFonts w:hint="eastAsia" w:ascii="宋体" w:hAnsi="宋体" w:eastAsia="宋体" w:cs="宋体"/>
                <w:color w:val="auto"/>
                <w:kern w:val="0"/>
                <w:sz w:val="21"/>
                <w:szCs w:val="21"/>
                <w:highlight w:val="none"/>
                <w:lang w:val="zh-TW" w:eastAsia="zh-TW" w:bidi="ar-SA"/>
              </w:rPr>
              <w:t>是指：</w:t>
            </w:r>
            <w:r>
              <w:rPr>
                <w:rFonts w:hint="eastAsia" w:ascii="宋体" w:hAnsi="宋体" w:eastAsia="宋体" w:cs="宋体"/>
                <w:color w:val="auto"/>
                <w:kern w:val="0"/>
                <w:sz w:val="21"/>
                <w:szCs w:val="21"/>
                <w:highlight w:val="none"/>
                <w:lang w:val="en-US" w:eastAsia="zh-CN" w:bidi="ar-SA"/>
              </w:rPr>
              <w:t>①只有单纯的文件描述，前后内容无法连贯，内容脱离了实际情况，不具备实施的可能性；②套用其他项目方案，前后内容互相矛盾， 存在与本项目无关的内容；③内容不满足项目要求、与本项目无关或与本项目不匹配、项目涉及的名 称、地点不一致；④不符合采购需求、项目相关的规范及标准任一情形等。</w:t>
            </w:r>
            <w:r>
              <w:rPr>
                <w:rFonts w:hint="eastAsia" w:ascii="宋体" w:hAnsi="宋体" w:eastAsia="宋体" w:cs="宋体"/>
                <w:color w:val="auto"/>
                <w:kern w:val="0"/>
                <w:sz w:val="21"/>
                <w:szCs w:val="21"/>
                <w:highlight w:val="none"/>
                <w:lang w:val="zh-TW" w:eastAsia="zh-TW" w:bidi="ar-SA"/>
              </w:rPr>
              <w:t>）</w:t>
            </w:r>
          </w:p>
        </w:tc>
        <w:tc>
          <w:tcPr>
            <w:tcW w:w="546" w:type="dxa"/>
            <w:tcBorders>
              <w:left w:val="single" w:color="auto" w:sz="4" w:space="0"/>
              <w:right w:val="single" w:color="auto" w:sz="4" w:space="0"/>
            </w:tcBorders>
            <w:noWrap w:val="0"/>
            <w:vAlign w:val="center"/>
          </w:tcPr>
          <w:p w14:paraId="5F0EA444">
            <w:pPr>
              <w:spacing w:line="360" w:lineRule="auto"/>
              <w:jc w:val="both"/>
              <w:rPr>
                <w:rFonts w:hint="eastAsia" w:ascii="宋体" w:hAnsi="宋体" w:eastAsia="宋体" w:cs="宋体"/>
                <w:sz w:val="18"/>
                <w:szCs w:val="18"/>
              </w:rPr>
            </w:pPr>
          </w:p>
        </w:tc>
      </w:tr>
      <w:tr w14:paraId="3DA1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left w:val="single" w:color="auto" w:sz="4" w:space="0"/>
              <w:right w:val="single" w:color="auto" w:sz="4" w:space="0"/>
            </w:tcBorders>
            <w:noWrap w:val="0"/>
            <w:vAlign w:val="center"/>
          </w:tcPr>
          <w:p w14:paraId="25D40B3C">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098CED62">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15391D7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13分</w:t>
            </w:r>
          </w:p>
        </w:tc>
        <w:tc>
          <w:tcPr>
            <w:tcW w:w="6981" w:type="dxa"/>
            <w:tcBorders>
              <w:top w:val="single" w:color="auto" w:sz="4" w:space="0"/>
              <w:left w:val="single" w:color="auto" w:sz="4" w:space="0"/>
              <w:bottom w:val="single" w:color="auto" w:sz="4" w:space="0"/>
              <w:right w:val="single" w:color="auto" w:sz="4" w:space="0"/>
            </w:tcBorders>
            <w:noWrap w:val="0"/>
            <w:vAlign w:val="center"/>
          </w:tcPr>
          <w:p w14:paraId="2EDD247B">
            <w:pPr>
              <w:numPr>
                <w:ilvl w:val="0"/>
                <w:numId w:val="0"/>
              </w:numPr>
              <w:spacing w:line="360" w:lineRule="auto"/>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highlight w:val="none"/>
                <w:lang w:val="en-US" w:eastAsia="zh-CN"/>
              </w:rPr>
              <w:t>服务响应及承诺：</w:t>
            </w:r>
          </w:p>
          <w:p w14:paraId="2C0A25F0">
            <w:pPr>
              <w:numPr>
                <w:ilvl w:val="0"/>
                <w:numId w:val="0"/>
              </w:numPr>
              <w:spacing w:line="360" w:lineRule="auto"/>
              <w:ind w:left="0" w:leftChars="0" w:firstLine="0" w:firstLineChars="0"/>
              <w:jc w:val="both"/>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0"/>
                <w:sz w:val="21"/>
                <w:szCs w:val="21"/>
                <w:lang w:val="en-US" w:eastAsia="zh-CN"/>
              </w:rPr>
              <w:t>供应商承诺质保期内：</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 xml:space="preserve">  (1)承诺提供7×24小时售后服务热线的得3分。未进行承诺的不得分。（承诺函格式自拟）</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 xml:space="preserve">  (2)承诺接到故障通知后，维修人员应在 【2小时】 内响应，【12小时】 内抵达现场处理问题的得4分，未进行承诺或承诺超时到达的，不得分。（承诺函格式自拟）</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 xml:space="preserve">  (3)承诺一般故障应在 【12小时】 内修复；严重故障若无法在48小时内修复，须提供备用设备或解决方案。得3分。未进行承诺或承诺超过时到达的，不得分。 （承诺函格式自拟） </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 xml:space="preserve">  (4)承诺在保修期内，每 【6个月】 提供一次免费的全面巡检和保养服务的得3分。未进行承诺的不得分。（承诺函格式自拟）</w:t>
            </w:r>
          </w:p>
        </w:tc>
        <w:tc>
          <w:tcPr>
            <w:tcW w:w="546" w:type="dxa"/>
            <w:tcBorders>
              <w:left w:val="single" w:color="auto" w:sz="4" w:space="0"/>
              <w:right w:val="single" w:color="auto" w:sz="4" w:space="0"/>
            </w:tcBorders>
            <w:noWrap w:val="0"/>
            <w:vAlign w:val="center"/>
          </w:tcPr>
          <w:p w14:paraId="4A194D10">
            <w:pPr>
              <w:spacing w:line="360" w:lineRule="auto"/>
              <w:jc w:val="both"/>
              <w:rPr>
                <w:rFonts w:hint="eastAsia" w:ascii="宋体" w:hAnsi="宋体" w:eastAsia="宋体" w:cs="宋体"/>
                <w:sz w:val="18"/>
                <w:szCs w:val="18"/>
              </w:rPr>
            </w:pPr>
          </w:p>
        </w:tc>
      </w:tr>
      <w:tr w14:paraId="150A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left w:val="single" w:color="auto" w:sz="4" w:space="0"/>
              <w:right w:val="single" w:color="auto" w:sz="4" w:space="0"/>
            </w:tcBorders>
            <w:noWrap w:val="0"/>
            <w:vAlign w:val="center"/>
          </w:tcPr>
          <w:p w14:paraId="28748E15">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1B4268AF">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54BDC85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981" w:type="dxa"/>
            <w:tcBorders>
              <w:top w:val="single" w:color="auto" w:sz="4" w:space="0"/>
              <w:left w:val="single" w:color="auto" w:sz="4" w:space="0"/>
              <w:bottom w:val="single" w:color="auto" w:sz="4" w:space="0"/>
              <w:right w:val="single" w:color="auto" w:sz="4" w:space="0"/>
            </w:tcBorders>
            <w:noWrap w:val="0"/>
            <w:vAlign w:val="center"/>
          </w:tcPr>
          <w:p w14:paraId="324A3D49">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技术培训方案评价：</w:t>
            </w:r>
          </w:p>
          <w:p w14:paraId="79238688">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根据供应商提供的项目技术培训方案进行评分：</w:t>
            </w:r>
          </w:p>
          <w:p w14:paraId="1BBC31FF">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①培训方式、时间、培训地点、培训对象（包含：明确制定培训方式线上还是线下，拟计划培训时间、地点的安排和计划面向的培训对象及受培人员测试成果的检验方案）；</w:t>
            </w:r>
          </w:p>
          <w:p w14:paraId="14C15C38">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②培训产品基本原理（包含拟培训产品的产品定义与核心功能、技术原理与工作机制及主要应用场地）；</w:t>
            </w:r>
          </w:p>
          <w:p w14:paraId="14A0E8F1">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③操作使用和保养维修（包含拟培训产品如何操作使用和保养维修）；</w:t>
            </w:r>
          </w:p>
          <w:p w14:paraId="7877D420">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④培训讲师配置及培训课程安排（包含讲师人员配备情况、讲师人员信息、工作履历及培训课程安排、培训周期和频次）。</w:t>
            </w:r>
          </w:p>
          <w:p w14:paraId="105DC51B">
            <w:pPr>
              <w:numPr>
                <w:ilvl w:val="0"/>
                <w:numId w:val="0"/>
              </w:numPr>
              <w:spacing w:line="360" w:lineRule="auto"/>
              <w:ind w:left="0" w:leftChars="0" w:firstLine="0" w:firstLineChars="0"/>
              <w:jc w:val="both"/>
              <w:textAlignment w:val="center"/>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en-US" w:eastAsia="zh-CN" w:bidi="ar-SA"/>
              </w:rPr>
              <w:t>针对以上四项内容进行评审，逐项打分，每项</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分，共</w:t>
            </w: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分：每缺一项的扣</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lang w:val="zh-TW" w:eastAsia="zh-TW" w:bidi="ar-SA"/>
              </w:rPr>
              <w:t>；每有一处</w:t>
            </w:r>
            <w:r>
              <w:rPr>
                <w:rFonts w:hint="eastAsia" w:ascii="宋体" w:hAnsi="宋体" w:eastAsia="宋体" w:cs="宋体"/>
                <w:color w:val="auto"/>
                <w:kern w:val="0"/>
                <w:sz w:val="21"/>
                <w:szCs w:val="21"/>
                <w:highlight w:val="none"/>
                <w:lang w:val="en-US" w:eastAsia="zh-CN" w:bidi="ar-SA"/>
              </w:rPr>
              <w:t>内容未进行详细说明或内容存在缺陷或不适用本项目</w:t>
            </w:r>
            <w:r>
              <w:rPr>
                <w:rFonts w:hint="eastAsia" w:ascii="宋体" w:hAnsi="宋体" w:eastAsia="宋体" w:cs="宋体"/>
                <w:color w:val="auto"/>
                <w:kern w:val="0"/>
                <w:sz w:val="21"/>
                <w:szCs w:val="21"/>
                <w:highlight w:val="none"/>
                <w:lang w:val="zh-TW" w:eastAsia="zh-TW" w:bidi="ar-SA"/>
              </w:rPr>
              <w:t>的扣</w:t>
            </w:r>
            <w:r>
              <w:rPr>
                <w:rFonts w:hint="eastAsia" w:ascii="宋体" w:hAnsi="宋体" w:eastAsia="宋体" w:cs="宋体"/>
                <w:color w:val="auto"/>
                <w:kern w:val="0"/>
                <w:sz w:val="21"/>
                <w:szCs w:val="21"/>
                <w:highlight w:val="none"/>
                <w:lang w:val="en-US" w:eastAsia="zh-CN" w:bidi="ar-SA"/>
              </w:rPr>
              <w:t>0.2</w:t>
            </w:r>
            <w:r>
              <w:rPr>
                <w:rFonts w:hint="eastAsia" w:ascii="宋体" w:hAnsi="宋体" w:eastAsia="宋体" w:cs="宋体"/>
                <w:color w:val="auto"/>
                <w:kern w:val="0"/>
                <w:sz w:val="21"/>
                <w:szCs w:val="21"/>
                <w:highlight w:val="none"/>
                <w:lang w:val="zh-TW" w:eastAsia="zh-TW" w:bidi="ar-SA"/>
              </w:rPr>
              <w:t>分；扣完为止，未提供不得分。</w:t>
            </w:r>
          </w:p>
          <w:p w14:paraId="5B11E291">
            <w:pPr>
              <w:numPr>
                <w:ilvl w:val="0"/>
                <w:numId w:val="0"/>
              </w:numPr>
              <w:spacing w:line="360" w:lineRule="auto"/>
              <w:ind w:left="0" w:leftChars="0" w:firstLine="0" w:firstLineChars="0"/>
              <w:jc w:val="both"/>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0"/>
                <w:sz w:val="21"/>
                <w:szCs w:val="21"/>
                <w:highlight w:val="none"/>
                <w:lang w:val="zh-TW" w:eastAsia="zh-TW" w:bidi="ar-SA"/>
              </w:rPr>
              <w:t>（</w:t>
            </w:r>
            <w:r>
              <w:rPr>
                <w:rFonts w:hint="eastAsia" w:ascii="宋体" w:hAnsi="宋体" w:eastAsia="宋体" w:cs="宋体"/>
                <w:color w:val="auto"/>
                <w:kern w:val="0"/>
                <w:sz w:val="21"/>
                <w:szCs w:val="21"/>
                <w:highlight w:val="none"/>
                <w:lang w:val="en-US" w:eastAsia="zh-CN" w:bidi="ar-SA"/>
              </w:rPr>
              <w:t>未进行详细说明或内容存在缺陷或不适用本项目的</w:t>
            </w:r>
            <w:r>
              <w:rPr>
                <w:rFonts w:hint="eastAsia" w:ascii="宋体" w:hAnsi="宋体" w:eastAsia="宋体" w:cs="宋体"/>
                <w:color w:val="auto"/>
                <w:kern w:val="0"/>
                <w:sz w:val="21"/>
                <w:szCs w:val="21"/>
                <w:highlight w:val="none"/>
                <w:lang w:val="zh-TW" w:eastAsia="zh-TW" w:bidi="ar-SA"/>
              </w:rPr>
              <w:t>是指：</w:t>
            </w:r>
            <w:r>
              <w:rPr>
                <w:rFonts w:hint="eastAsia" w:ascii="宋体" w:hAnsi="宋体" w:eastAsia="宋体" w:cs="宋体"/>
                <w:color w:val="auto"/>
                <w:kern w:val="0"/>
                <w:sz w:val="21"/>
                <w:szCs w:val="21"/>
                <w:highlight w:val="none"/>
                <w:lang w:val="en-US" w:eastAsia="zh-CN" w:bidi="ar-SA"/>
              </w:rPr>
              <w:t>①只有单纯的文件描述，前后内容无法连贯，内容脱离了实际情况，不具备实施的可能性；②套用其他项目方案，前后内容互相矛盾， 存在与本项目无关的内容；③内容不满足项目要求、与本项目无关或与本项目不匹配、项目涉及的名 称、地点不一致；④不符合采购需求、项目相关的规范及标准任一情形等。</w:t>
            </w:r>
            <w:r>
              <w:rPr>
                <w:rFonts w:hint="eastAsia" w:ascii="宋体" w:hAnsi="宋体" w:eastAsia="宋体" w:cs="宋体"/>
                <w:color w:val="auto"/>
                <w:kern w:val="0"/>
                <w:sz w:val="21"/>
                <w:szCs w:val="21"/>
                <w:highlight w:val="none"/>
                <w:lang w:val="zh-TW" w:eastAsia="zh-TW" w:bidi="ar-SA"/>
              </w:rPr>
              <w:t>）</w:t>
            </w:r>
          </w:p>
        </w:tc>
        <w:tc>
          <w:tcPr>
            <w:tcW w:w="546" w:type="dxa"/>
            <w:tcBorders>
              <w:left w:val="single" w:color="auto" w:sz="4" w:space="0"/>
              <w:right w:val="single" w:color="auto" w:sz="4" w:space="0"/>
            </w:tcBorders>
            <w:noWrap w:val="0"/>
            <w:vAlign w:val="center"/>
          </w:tcPr>
          <w:p w14:paraId="21F4EB12">
            <w:pPr>
              <w:spacing w:line="360" w:lineRule="auto"/>
              <w:jc w:val="both"/>
              <w:rPr>
                <w:rFonts w:hint="eastAsia" w:ascii="宋体" w:hAnsi="宋体" w:eastAsia="宋体" w:cs="宋体"/>
                <w:sz w:val="18"/>
                <w:szCs w:val="18"/>
              </w:rPr>
            </w:pPr>
          </w:p>
        </w:tc>
      </w:tr>
      <w:tr w14:paraId="0BAE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left w:val="single" w:color="auto" w:sz="4" w:space="0"/>
              <w:right w:val="single" w:color="auto" w:sz="4" w:space="0"/>
            </w:tcBorders>
            <w:noWrap w:val="0"/>
            <w:vAlign w:val="center"/>
          </w:tcPr>
          <w:p w14:paraId="50FF93B2">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6AE1D671">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414D58EB">
            <w:pPr>
              <w:kinsoku w:val="0"/>
              <w:overflowPunct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981" w:type="dxa"/>
            <w:tcBorders>
              <w:top w:val="single" w:color="auto" w:sz="4" w:space="0"/>
              <w:left w:val="single" w:color="auto" w:sz="4" w:space="0"/>
              <w:right w:val="single" w:color="auto" w:sz="4" w:space="0"/>
            </w:tcBorders>
            <w:noWrap w:val="0"/>
            <w:vAlign w:val="center"/>
          </w:tcPr>
          <w:p w14:paraId="20880EA5">
            <w:pPr>
              <w:spacing w:line="360" w:lineRule="auto"/>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履约能力：</w:t>
            </w:r>
          </w:p>
          <w:p w14:paraId="3FCD464D">
            <w:pPr>
              <w:keepNext w:val="0"/>
              <w:keepLines w:val="0"/>
              <w:widowControl/>
              <w:suppressLineNumbers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投标供应商近三年独立承担的类似项目 ((2021 年 1 月 1日至投标截止日之前)，每个</w:t>
            </w:r>
            <w:r>
              <w:rPr>
                <w:rFonts w:hint="eastAsia" w:ascii="宋体" w:hAnsi="宋体"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分，满分</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注：须提供业绩合同或中标通知书，业绩合同须提供合同关键页（含：首页、货物和服务内容信息页、合同金额页、签字盖章页）。扫描件加盖公章，时间以合同签订日期为准。如经评标委员会认定所提供业绩合同或中标通知书残缺不全、模糊难辨或未提供的不得分。提供原件彩色扫描件加盖公章。</w:t>
            </w:r>
          </w:p>
        </w:tc>
        <w:tc>
          <w:tcPr>
            <w:tcW w:w="546" w:type="dxa"/>
            <w:tcBorders>
              <w:left w:val="single" w:color="auto" w:sz="4" w:space="0"/>
              <w:right w:val="single" w:color="auto" w:sz="4" w:space="0"/>
            </w:tcBorders>
            <w:noWrap w:val="0"/>
            <w:vAlign w:val="center"/>
          </w:tcPr>
          <w:p w14:paraId="3E85EAD7">
            <w:pPr>
              <w:spacing w:line="360" w:lineRule="auto"/>
              <w:jc w:val="both"/>
              <w:rPr>
                <w:rFonts w:hint="eastAsia" w:ascii="宋体" w:hAnsi="宋体" w:eastAsia="宋体" w:cs="宋体"/>
                <w:sz w:val="18"/>
                <w:szCs w:val="18"/>
              </w:rPr>
            </w:pPr>
          </w:p>
        </w:tc>
      </w:tr>
    </w:tbl>
    <w:p w14:paraId="035DB50A">
      <w:pPr>
        <w:pStyle w:val="3"/>
        <w:numPr>
          <w:ilvl w:val="0"/>
          <w:numId w:val="0"/>
        </w:numPr>
        <w:ind w:leftChars="0"/>
        <w:rPr>
          <w:rFonts w:hint="default"/>
        </w:rPr>
      </w:pPr>
    </w:p>
    <w:p w14:paraId="6A7111A9">
      <w:pPr>
        <w:pStyle w:val="22"/>
        <w:spacing w:line="360" w:lineRule="auto"/>
        <w:ind w:left="0" w:leftChars="0" w:firstLine="0" w:firstLineChars="0"/>
        <w:jc w:val="center"/>
        <w:rPr>
          <w:rFonts w:hint="default" w:ascii="Times New Roman" w:hAnsi="Times New Roman" w:cs="Times New Roman"/>
          <w:b/>
          <w:bCs/>
          <w:sz w:val="32"/>
          <w:szCs w:val="32"/>
          <w:highlight w:val="none"/>
        </w:rPr>
      </w:pPr>
    </w:p>
    <w:p w14:paraId="2417BA2F">
      <w:pPr>
        <w:pStyle w:val="22"/>
        <w:spacing w:line="360" w:lineRule="auto"/>
        <w:ind w:left="0" w:leftChars="0" w:firstLine="0" w:firstLineChars="0"/>
        <w:jc w:val="center"/>
        <w:rPr>
          <w:rFonts w:hint="default" w:ascii="Times New Roman" w:hAnsi="Times New Roman" w:cs="Times New Roman"/>
          <w:b/>
          <w:bCs/>
          <w:sz w:val="32"/>
          <w:szCs w:val="32"/>
          <w:highlight w:val="none"/>
        </w:rPr>
      </w:pPr>
    </w:p>
    <w:p w14:paraId="0A8EB614">
      <w:pPr>
        <w:pStyle w:val="22"/>
        <w:spacing w:line="360" w:lineRule="auto"/>
        <w:ind w:left="0" w:leftChars="0" w:firstLine="0" w:firstLineChars="0"/>
        <w:jc w:val="center"/>
        <w:rPr>
          <w:rFonts w:hint="default" w:ascii="Times New Roman" w:hAnsi="Times New Roman" w:cs="Times New Roman"/>
          <w:b/>
          <w:bCs/>
          <w:sz w:val="32"/>
          <w:szCs w:val="32"/>
          <w:highlight w:val="none"/>
        </w:rPr>
      </w:pPr>
    </w:p>
    <w:p w14:paraId="4F9ECDFA">
      <w:pPr>
        <w:rPr>
          <w:rFonts w:hint="default" w:ascii="Times New Roman" w:hAnsi="Times New Roman" w:cs="Times New Roman"/>
          <w:b/>
          <w:bCs/>
          <w:sz w:val="32"/>
          <w:szCs w:val="32"/>
          <w:highlight w:val="none"/>
        </w:rPr>
      </w:pPr>
    </w:p>
    <w:p w14:paraId="4C8171BF">
      <w:pPr>
        <w:pStyle w:val="2"/>
        <w:rPr>
          <w:rFonts w:hint="default" w:ascii="Times New Roman" w:hAnsi="Times New Roman" w:cs="Times New Roman"/>
          <w:b/>
          <w:bCs/>
          <w:sz w:val="32"/>
          <w:szCs w:val="32"/>
          <w:highlight w:val="none"/>
        </w:rPr>
      </w:pPr>
    </w:p>
    <w:p w14:paraId="697E4E5A">
      <w:pPr>
        <w:rPr>
          <w:rFonts w:hint="default" w:ascii="Times New Roman" w:hAnsi="Times New Roman" w:cs="Times New Roman"/>
          <w:b/>
          <w:bCs/>
          <w:sz w:val="32"/>
          <w:szCs w:val="32"/>
          <w:highlight w:val="none"/>
        </w:rPr>
      </w:pPr>
    </w:p>
    <w:p w14:paraId="3DB5B3B8">
      <w:pPr>
        <w:pStyle w:val="2"/>
        <w:rPr>
          <w:rFonts w:hint="default" w:ascii="Times New Roman" w:hAnsi="Times New Roman" w:cs="Times New Roman"/>
          <w:b/>
          <w:bCs/>
          <w:sz w:val="32"/>
          <w:szCs w:val="32"/>
          <w:highlight w:val="none"/>
        </w:rPr>
      </w:pPr>
    </w:p>
    <w:p w14:paraId="7D9B619E">
      <w:pPr>
        <w:rPr>
          <w:rFonts w:hint="default" w:ascii="Times New Roman" w:hAnsi="Times New Roman" w:cs="Times New Roman"/>
          <w:b/>
          <w:bCs/>
          <w:sz w:val="32"/>
          <w:szCs w:val="32"/>
          <w:highlight w:val="none"/>
        </w:rPr>
      </w:pPr>
    </w:p>
    <w:p w14:paraId="1011F3C2">
      <w:pPr>
        <w:pStyle w:val="2"/>
        <w:rPr>
          <w:rFonts w:hint="default" w:ascii="Times New Roman" w:hAnsi="Times New Roman" w:cs="Times New Roman"/>
          <w:b/>
          <w:bCs/>
          <w:sz w:val="32"/>
          <w:szCs w:val="32"/>
          <w:highlight w:val="none"/>
        </w:rPr>
      </w:pPr>
    </w:p>
    <w:p w14:paraId="056F9929">
      <w:pPr>
        <w:rPr>
          <w:rFonts w:hint="default" w:ascii="Times New Roman" w:hAnsi="Times New Roman" w:cs="Times New Roman"/>
          <w:b/>
          <w:bCs/>
          <w:sz w:val="32"/>
          <w:szCs w:val="32"/>
          <w:highlight w:val="none"/>
        </w:rPr>
      </w:pPr>
    </w:p>
    <w:p w14:paraId="44339D0F">
      <w:pPr>
        <w:pStyle w:val="2"/>
        <w:rPr>
          <w:rFonts w:hint="default" w:ascii="Times New Roman" w:hAnsi="Times New Roman" w:cs="Times New Roman"/>
          <w:b/>
          <w:bCs/>
          <w:sz w:val="32"/>
          <w:szCs w:val="32"/>
          <w:highlight w:val="none"/>
        </w:rPr>
      </w:pPr>
    </w:p>
    <w:p w14:paraId="358476C8">
      <w:pPr>
        <w:rPr>
          <w:rFonts w:hint="default" w:ascii="Times New Roman" w:hAnsi="Times New Roman" w:cs="Times New Roman"/>
          <w:b/>
          <w:bCs/>
          <w:sz w:val="32"/>
          <w:szCs w:val="32"/>
          <w:highlight w:val="none"/>
        </w:rPr>
      </w:pPr>
    </w:p>
    <w:p w14:paraId="755181F9">
      <w:pPr>
        <w:pStyle w:val="2"/>
        <w:rPr>
          <w:rFonts w:hint="default" w:ascii="Times New Roman" w:hAnsi="Times New Roman" w:cs="Times New Roman"/>
          <w:b/>
          <w:bCs/>
          <w:sz w:val="32"/>
          <w:szCs w:val="32"/>
          <w:highlight w:val="none"/>
        </w:rPr>
      </w:pPr>
    </w:p>
    <w:p w14:paraId="63964DA9">
      <w:pPr>
        <w:rPr>
          <w:rFonts w:hint="default" w:ascii="Times New Roman" w:hAnsi="Times New Roman" w:cs="Times New Roman"/>
          <w:b/>
          <w:bCs/>
          <w:sz w:val="32"/>
          <w:szCs w:val="32"/>
          <w:highlight w:val="none"/>
        </w:rPr>
      </w:pPr>
    </w:p>
    <w:p w14:paraId="39483468">
      <w:pPr>
        <w:pStyle w:val="2"/>
        <w:rPr>
          <w:rFonts w:hint="default" w:ascii="Times New Roman" w:hAnsi="Times New Roman" w:cs="Times New Roman"/>
          <w:b/>
          <w:bCs/>
          <w:sz w:val="32"/>
          <w:szCs w:val="32"/>
          <w:highlight w:val="none"/>
        </w:rPr>
      </w:pPr>
    </w:p>
    <w:p w14:paraId="16B828BD">
      <w:pPr>
        <w:rPr>
          <w:rFonts w:hint="default" w:ascii="Times New Roman" w:hAnsi="Times New Roman" w:cs="Times New Roman"/>
          <w:b/>
          <w:bCs/>
          <w:sz w:val="32"/>
          <w:szCs w:val="32"/>
          <w:highlight w:val="none"/>
        </w:rPr>
      </w:pPr>
    </w:p>
    <w:p w14:paraId="0168A9E8">
      <w:pPr>
        <w:pStyle w:val="2"/>
        <w:rPr>
          <w:rFonts w:hint="default" w:ascii="Times New Roman" w:hAnsi="Times New Roman" w:cs="Times New Roman"/>
          <w:b/>
          <w:bCs/>
          <w:sz w:val="32"/>
          <w:szCs w:val="32"/>
          <w:highlight w:val="none"/>
        </w:rPr>
      </w:pPr>
    </w:p>
    <w:p w14:paraId="32B27045">
      <w:pPr>
        <w:rPr>
          <w:rFonts w:hint="default" w:ascii="Times New Roman" w:hAnsi="Times New Roman" w:cs="Times New Roman"/>
          <w:b/>
          <w:bCs/>
          <w:sz w:val="32"/>
          <w:szCs w:val="32"/>
          <w:highlight w:val="none"/>
        </w:rPr>
      </w:pPr>
    </w:p>
    <w:p w14:paraId="745A0E13">
      <w:pPr>
        <w:pStyle w:val="2"/>
        <w:rPr>
          <w:rFonts w:hint="default" w:ascii="Times New Roman" w:hAnsi="Times New Roman" w:cs="Times New Roman"/>
          <w:b/>
          <w:bCs/>
          <w:sz w:val="32"/>
          <w:szCs w:val="32"/>
          <w:highlight w:val="none"/>
        </w:rPr>
      </w:pPr>
    </w:p>
    <w:p w14:paraId="6C4A8287">
      <w:pPr>
        <w:rPr>
          <w:rFonts w:hint="default" w:ascii="Times New Roman" w:hAnsi="Times New Roman" w:cs="Times New Roman"/>
          <w:b/>
          <w:bCs/>
          <w:sz w:val="32"/>
          <w:szCs w:val="32"/>
          <w:highlight w:val="none"/>
        </w:rPr>
      </w:pPr>
    </w:p>
    <w:p w14:paraId="5E6F6C17">
      <w:pPr>
        <w:pStyle w:val="2"/>
        <w:rPr>
          <w:rFonts w:hint="default" w:ascii="Times New Roman" w:hAnsi="Times New Roman" w:cs="Times New Roman"/>
          <w:b/>
          <w:bCs/>
          <w:sz w:val="32"/>
          <w:szCs w:val="32"/>
          <w:highlight w:val="none"/>
        </w:rPr>
      </w:pPr>
    </w:p>
    <w:p w14:paraId="7EBE973C">
      <w:pPr>
        <w:rPr>
          <w:rFonts w:hint="default" w:ascii="Times New Roman" w:hAnsi="Times New Roman" w:cs="Times New Roman"/>
          <w:b/>
          <w:bCs/>
          <w:sz w:val="32"/>
          <w:szCs w:val="32"/>
          <w:highlight w:val="none"/>
        </w:rPr>
      </w:pPr>
    </w:p>
    <w:p w14:paraId="117066E1">
      <w:pPr>
        <w:pStyle w:val="2"/>
        <w:rPr>
          <w:rFonts w:hint="default" w:ascii="Times New Roman" w:hAnsi="Times New Roman" w:cs="Times New Roman"/>
          <w:b/>
          <w:bCs/>
          <w:sz w:val="32"/>
          <w:szCs w:val="32"/>
          <w:highlight w:val="none"/>
        </w:rPr>
      </w:pPr>
    </w:p>
    <w:p w14:paraId="7FFB9E34">
      <w:pPr>
        <w:rPr>
          <w:rFonts w:hint="default"/>
        </w:rPr>
      </w:pPr>
    </w:p>
    <w:p w14:paraId="5114AED6">
      <w:pPr>
        <w:pStyle w:val="22"/>
        <w:spacing w:line="360" w:lineRule="auto"/>
        <w:ind w:left="0" w:leftChars="0" w:firstLine="0" w:firstLineChars="0"/>
        <w:jc w:val="center"/>
        <w:rPr>
          <w:rFonts w:hint="default" w:ascii="Times New Roman" w:hAnsi="Times New Roman" w:cs="Times New Roman"/>
          <w:b/>
          <w:bCs/>
          <w:sz w:val="32"/>
          <w:szCs w:val="32"/>
          <w:highlight w:val="none"/>
        </w:rPr>
      </w:pPr>
    </w:p>
    <w:p w14:paraId="1DAFFD62">
      <w:pPr>
        <w:pStyle w:val="22"/>
        <w:spacing w:line="360" w:lineRule="auto"/>
        <w:ind w:left="0" w:leftChars="0" w:firstLine="0" w:firstLineChars="0"/>
        <w:jc w:val="center"/>
        <w:rPr>
          <w:rFonts w:hint="default" w:ascii="Times New Roman" w:hAnsi="Times New Roman" w:eastAsia="宋体" w:cs="Times New Roman"/>
          <w:sz w:val="32"/>
          <w:szCs w:val="32"/>
          <w:highlight w:val="none"/>
        </w:rPr>
      </w:pPr>
      <w:r>
        <w:rPr>
          <w:rFonts w:hint="default" w:ascii="Times New Roman" w:hAnsi="Times New Roman" w:cs="Times New Roman"/>
          <w:b/>
          <w:bCs/>
          <w:sz w:val="32"/>
          <w:szCs w:val="32"/>
          <w:highlight w:val="none"/>
        </w:rPr>
        <w:t>第</w:t>
      </w:r>
      <w:r>
        <w:rPr>
          <w:rFonts w:hint="default" w:ascii="Times New Roman" w:hAnsi="Times New Roman" w:cs="Times New Roman"/>
          <w:b/>
          <w:bCs/>
          <w:sz w:val="32"/>
          <w:szCs w:val="32"/>
          <w:highlight w:val="none"/>
          <w:lang w:eastAsia="zh-CN"/>
        </w:rPr>
        <w:t>六</w:t>
      </w:r>
      <w:r>
        <w:rPr>
          <w:rFonts w:hint="default" w:ascii="Times New Roman" w:hAnsi="Times New Roman" w:cs="Times New Roman"/>
          <w:b/>
          <w:bCs/>
          <w:sz w:val="32"/>
          <w:szCs w:val="32"/>
          <w:highlight w:val="none"/>
        </w:rPr>
        <w:t xml:space="preserve">章 </w:t>
      </w:r>
      <w:r>
        <w:rPr>
          <w:b/>
          <w:bCs/>
          <w:spacing w:val="-3"/>
          <w:sz w:val="36"/>
          <w:szCs w:val="36"/>
        </w:rPr>
        <w:t xml:space="preserve"> </w:t>
      </w:r>
      <w:r>
        <w:rPr>
          <w:rFonts w:hint="default" w:ascii="Times New Roman" w:hAnsi="Times New Roman" w:eastAsia="宋体" w:cs="Times New Roman"/>
          <w:b/>
          <w:bCs/>
          <w:sz w:val="32"/>
          <w:szCs w:val="32"/>
          <w:highlight w:val="none"/>
        </w:rPr>
        <w:t>拟签订的合同文本</w:t>
      </w:r>
    </w:p>
    <w:p w14:paraId="209E692F">
      <w:pPr>
        <w:spacing w:line="296" w:lineRule="auto"/>
        <w:rPr>
          <w:rFonts w:ascii="Arial"/>
          <w:sz w:val="21"/>
        </w:rPr>
      </w:pPr>
    </w:p>
    <w:p w14:paraId="59E929F0">
      <w:pPr>
        <w:spacing w:line="296" w:lineRule="auto"/>
        <w:rPr>
          <w:rFonts w:ascii="Arial"/>
          <w:sz w:val="21"/>
        </w:rPr>
      </w:pPr>
    </w:p>
    <w:p w14:paraId="35FF9DD4">
      <w:pPr>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仅供参考</w:t>
      </w:r>
      <w:r>
        <w:rPr>
          <w:rFonts w:hint="eastAsia" w:ascii="宋体" w:hAnsi="宋体" w:eastAsia="宋体" w:cs="宋体"/>
          <w:b/>
          <w:sz w:val="24"/>
          <w:szCs w:val="24"/>
          <w:highlight w:val="none"/>
        </w:rPr>
        <w:t>）</w:t>
      </w:r>
    </w:p>
    <w:p w14:paraId="0223CC21">
      <w:pPr>
        <w:pStyle w:val="8"/>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z w:val="24"/>
          <w:szCs w:val="24"/>
        </w:rPr>
      </w:pPr>
    </w:p>
    <w:p w14:paraId="38C9FE4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甲方（采购方）：                        合同编号：</w:t>
      </w:r>
    </w:p>
    <w:p w14:paraId="3D97DCC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乙方（供应方）：                        签约地点：</w:t>
      </w:r>
    </w:p>
    <w:p w14:paraId="716E342D">
      <w:pPr>
        <w:keepNext w:val="0"/>
        <w:keepLines w:val="0"/>
        <w:pageBreakBefore w:val="0"/>
        <w:widowControl/>
        <w:kinsoku w:val="0"/>
        <w:wordWrap/>
        <w:overflowPunct/>
        <w:topLinePunct w:val="0"/>
        <w:autoSpaceDE w:val="0"/>
        <w:autoSpaceDN w:val="0"/>
        <w:bidi w:val="0"/>
        <w:adjustRightInd w:val="0"/>
        <w:snapToGrid w:val="0"/>
        <w:spacing w:line="288" w:lineRule="auto"/>
        <w:ind w:left="1879" w:leftChars="228" w:hanging="1400" w:hangingChars="5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根据《中华人民共和国政府采购法》、《中华人民共和国合同法》及  年 月 日</w:t>
      </w:r>
      <w:r>
        <w:rPr>
          <w:rFonts w:hint="eastAsia" w:ascii="宋体" w:hAnsi="宋体" w:eastAsia="宋体" w:cs="宋体"/>
          <w:kern w:val="2"/>
          <w:sz w:val="28"/>
          <w:szCs w:val="28"/>
          <w:highlight w:val="none"/>
          <w:lang w:val="en-US" w:eastAsia="zh-CN" w:bidi="ar-SA"/>
        </w:rPr>
        <w:t>项目</w:t>
      </w:r>
      <w:r>
        <w:rPr>
          <w:rFonts w:hint="eastAsia" w:ascii="宋体" w:hAnsi="宋体" w:eastAsia="宋体" w:cs="宋体"/>
          <w:sz w:val="28"/>
          <w:szCs w:val="28"/>
          <w:highlight w:val="none"/>
        </w:rPr>
        <w:t>招标文件的要求，</w:t>
      </w:r>
    </w:p>
    <w:p w14:paraId="51426EA6">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经双方协商一致，签订本合同。</w:t>
      </w:r>
    </w:p>
    <w:p w14:paraId="440E5A8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合同货物</w:t>
      </w:r>
    </w:p>
    <w:p w14:paraId="6AC88D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1039" w:leftChars="228" w:hanging="560" w:hanging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乙方负责向甲方供应下表中所列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及负责安装调试。</w:t>
      </w:r>
    </w:p>
    <w:tbl>
      <w:tblPr>
        <w:tblStyle w:val="23"/>
        <w:tblpPr w:leftFromText="180" w:rightFromText="180" w:vertAnchor="text" w:horzAnchor="page" w:tblpX="1195" w:tblpY="452"/>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470"/>
        <w:gridCol w:w="915"/>
        <w:gridCol w:w="945"/>
        <w:gridCol w:w="855"/>
        <w:gridCol w:w="840"/>
        <w:gridCol w:w="765"/>
        <w:gridCol w:w="1200"/>
        <w:gridCol w:w="1305"/>
      </w:tblGrid>
      <w:tr w14:paraId="4D61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center"/>
          </w:tcPr>
          <w:p w14:paraId="23C684E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货物名称</w:t>
            </w:r>
          </w:p>
        </w:tc>
        <w:tc>
          <w:tcPr>
            <w:tcW w:w="1470" w:type="dxa"/>
            <w:noWrap w:val="0"/>
            <w:vAlign w:val="center"/>
          </w:tcPr>
          <w:p w14:paraId="287E2FA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规格型号</w:t>
            </w:r>
          </w:p>
        </w:tc>
        <w:tc>
          <w:tcPr>
            <w:tcW w:w="915" w:type="dxa"/>
            <w:noWrap w:val="0"/>
            <w:vAlign w:val="center"/>
          </w:tcPr>
          <w:p w14:paraId="71D89CD4">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产地</w:t>
            </w:r>
          </w:p>
        </w:tc>
        <w:tc>
          <w:tcPr>
            <w:tcW w:w="945" w:type="dxa"/>
            <w:noWrap w:val="0"/>
            <w:vAlign w:val="center"/>
          </w:tcPr>
          <w:p w14:paraId="6D0454F4">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单位</w:t>
            </w:r>
          </w:p>
        </w:tc>
        <w:tc>
          <w:tcPr>
            <w:tcW w:w="855" w:type="dxa"/>
            <w:noWrap w:val="0"/>
            <w:vAlign w:val="center"/>
          </w:tcPr>
          <w:p w14:paraId="2BB0BE7A">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数量</w:t>
            </w:r>
          </w:p>
        </w:tc>
        <w:tc>
          <w:tcPr>
            <w:tcW w:w="840" w:type="dxa"/>
            <w:noWrap w:val="0"/>
            <w:vAlign w:val="center"/>
          </w:tcPr>
          <w:p w14:paraId="0555D71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单价</w:t>
            </w:r>
          </w:p>
        </w:tc>
        <w:tc>
          <w:tcPr>
            <w:tcW w:w="765" w:type="dxa"/>
            <w:noWrap w:val="0"/>
            <w:vAlign w:val="center"/>
          </w:tcPr>
          <w:p w14:paraId="309A4E5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总价</w:t>
            </w:r>
          </w:p>
        </w:tc>
        <w:tc>
          <w:tcPr>
            <w:tcW w:w="1200" w:type="dxa"/>
            <w:noWrap w:val="0"/>
            <w:vAlign w:val="center"/>
          </w:tcPr>
          <w:p w14:paraId="7B8B328D">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交货地点</w:t>
            </w:r>
          </w:p>
        </w:tc>
        <w:tc>
          <w:tcPr>
            <w:tcW w:w="1305" w:type="dxa"/>
            <w:noWrap w:val="0"/>
            <w:vAlign w:val="center"/>
          </w:tcPr>
          <w:p w14:paraId="54AED11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交货时间</w:t>
            </w:r>
          </w:p>
        </w:tc>
      </w:tr>
      <w:tr w14:paraId="5DC8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33A7C7F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446F760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6D826AB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36020AD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389AFC3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2E3C8D3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047748E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0EE47393">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11A4D9D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r w14:paraId="2B4E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409C1942">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7952C8DD">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3002C47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4532486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563472B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34B784E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2228C92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798F6B4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45911B43">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r w14:paraId="6615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226E268B">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460AE113">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7C9685F3">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39FDA93D">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3E725BA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39E011B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2DA6016F">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7B38986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7B6F4C6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bl>
    <w:p w14:paraId="49A58BC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lang w:val="en-US" w:eastAsia="zh-CN"/>
        </w:rPr>
      </w:pPr>
    </w:p>
    <w:p w14:paraId="61287C25">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lang w:val="en-US" w:eastAsia="zh-CN" w:bidi="ar-SA"/>
        </w:rPr>
        <w:t>2、合同总价和支付方式</w:t>
      </w:r>
    </w:p>
    <w:p w14:paraId="48E63A0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2.1合同总价：总价为人民币（大写）：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，即RMB￥</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元，该合同总金额是设计、</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制造、包装、仓储、运输、安装及验收合格之前及保修期与备品备件发生的所有含税费用。本合同执行期间合同总金额不变。</w:t>
      </w:r>
    </w:p>
    <w:p w14:paraId="49B628D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2.2支付方式：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63846DA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2.3 乙方开户银行：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；乙方账号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539CC6FE">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3、合同组成</w:t>
      </w:r>
    </w:p>
    <w:p w14:paraId="4975169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详细价格、技术说明及其它有关合同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的特定信息由合同附件说明。所有附件及本项目的招投标文件、会议纪要、协议等均为本合同不可分割之一部分。</w:t>
      </w:r>
    </w:p>
    <w:p w14:paraId="09054624">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4、技术要求</w:t>
      </w:r>
    </w:p>
    <w:p w14:paraId="3343D77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乙方所提供</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，必须符合国家有关规范和环保要求及甲方的技术要求，并提供</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的出厂测试报告。</w:t>
      </w:r>
    </w:p>
    <w:p w14:paraId="0329E084">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5、合同货物包装、交货、安装、调试及验收</w:t>
      </w:r>
    </w:p>
    <w:p w14:paraId="2632D62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5.1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的包装：</w:t>
      </w:r>
    </w:p>
    <w:p w14:paraId="3061EBD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的包装均应有良好的防湿、防锈、防潮、防雨、防腐及防碰撞的措施。凡由于包装不良造成的损失和由此产生的费用均由乙方承担。</w:t>
      </w:r>
    </w:p>
    <w:p w14:paraId="6A24F28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5.2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的交货：</w:t>
      </w:r>
    </w:p>
    <w:p w14:paraId="657665EE">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5.2.1 乙方交货时间：                    。</w:t>
      </w:r>
    </w:p>
    <w:p w14:paraId="2777A0BE">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5.2.2 乙方交货地点：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      。</w:t>
      </w:r>
    </w:p>
    <w:p w14:paraId="1A5A94B8">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的安装调试：</w:t>
      </w:r>
    </w:p>
    <w:p w14:paraId="25C829B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5.3.1 乙方负责合同项下的安装调试，一切费用由乙方负责。</w:t>
      </w:r>
    </w:p>
    <w:p w14:paraId="459241E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5.3.2 乙方安装时须对各安装场地内的其它</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、设施有良好保护措施。</w:t>
      </w:r>
    </w:p>
    <w:p w14:paraId="7709D4A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5.4  </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的验收：</w:t>
      </w:r>
    </w:p>
    <w:p w14:paraId="66B4150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5.4.1中标</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安装调试，试运行一个月后组织验收，如中标</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在试运行期间出现故障，则应相应延长试运行时间,验收应在甲乙双方共同参加下进行。</w:t>
      </w:r>
    </w:p>
    <w:p w14:paraId="72FC017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5.4.2 验收按国家有关的规定、规范进行。验收时如发现所交付的</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68949344">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5.4.3 如果合同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运输和安装调试过程中因事故造成货物短缺、损坏，乙方应及时安排换装，以保证合同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安装调试的成功完成。换货的相关费用由乙方承担。</w:t>
      </w:r>
    </w:p>
    <w:p w14:paraId="6DEFBFC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5.4.4 国内产品产品必须具备出厂合格证。</w:t>
      </w:r>
    </w:p>
    <w:p w14:paraId="051814A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5.5  乙方保证合同项下提供的</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不侵犯任何第三方的专利、商标或版权。否则，乙方须承担对第三方的专利或版权的侵权责任并承担因此而发生的所有费用。</w:t>
      </w:r>
    </w:p>
    <w:p w14:paraId="32ACD380">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lang w:val="en-US" w:eastAsia="zh-CN" w:bidi="ar-SA"/>
        </w:rPr>
        <w:t>6、质量保证及售后服务</w:t>
      </w:r>
    </w:p>
    <w:p w14:paraId="0A7D7D5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6.1 乙方保证合同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是全新、未曾使用过的，其质量、规格及技术特征符合合同附件的要求。</w:t>
      </w:r>
    </w:p>
    <w:p w14:paraId="55B270A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6.2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保质保用期按生产厂家的标准执行，但不得少于</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年（用户单位验收之日起计算）。</w:t>
      </w:r>
    </w:p>
    <w:p w14:paraId="5FEAA94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保质保用期内非甲方的人为原因而出现产品质量及安装问题，由乙方负责包修、包换或包退，并承担因此而产生的一切费用。乙方应在收到甲方通知后</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小时内派员到现场维修。</w:t>
      </w:r>
    </w:p>
    <w:p w14:paraId="435048C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下列情况乙方不负责免费保修：</w:t>
      </w:r>
    </w:p>
    <w:p w14:paraId="62775D4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1）甲方不按照乙方提供的正确使用方法而引致</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故障损坏；</w:t>
      </w:r>
    </w:p>
    <w:p w14:paraId="4464A44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2）甲方擅自改装</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w:t>
      </w:r>
    </w:p>
    <w:p w14:paraId="755CBA44">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3）各种人为因素或天灾等外来因素造成的损坏。</w:t>
      </w:r>
    </w:p>
    <w:p w14:paraId="331D973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6.3 因</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的质量问题而发生争议，由省级质检部门进行质量鉴定。</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符合质量标准的，鉴定费用由甲方承担；</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不符合质量标准的，鉴定费用由乙方承担。</w:t>
      </w:r>
    </w:p>
    <w:p w14:paraId="6838E4A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6.4 乙方为甲方提供操作及维护培训，主要内容为</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的基本结构、性能、主要部件的构造及原理，日常使用操作、保养与管理，常见故障的排除，紧急情况的处理等，培训地点主要在</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安装现场或按甲乙双方协商安排。</w:t>
      </w:r>
    </w:p>
    <w:p w14:paraId="04D36C3D">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7、技术服务</w:t>
      </w:r>
    </w:p>
    <w:p w14:paraId="063ADA2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7.1 乙方应派员到甲方指定地点配合工作。</w:t>
      </w:r>
    </w:p>
    <w:p w14:paraId="788C795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7.2 乙方按甲方提供的合同执行进度计划，再配合甲方及有关单位，做好合同执行进度上的配合工作。</w:t>
      </w:r>
    </w:p>
    <w:p w14:paraId="4B55C4FC">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8、不可抗力</w:t>
      </w:r>
    </w:p>
    <w:p w14:paraId="573C509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8.1  不可抗力指战争、严重火灾、洪水、台风、地震等或其它双方认定的不可抗力事件。</w:t>
      </w:r>
    </w:p>
    <w:p w14:paraId="585DC7C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14:paraId="35875696">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9、索赔</w:t>
      </w:r>
    </w:p>
    <w:p w14:paraId="1DBC138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9.1 如有异议，甲方有权根据有关政府部门的检验结果向乙方提出索赔。</w:t>
      </w:r>
    </w:p>
    <w:p w14:paraId="3146583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9.2 在合同执行期间，如果乙方对甲方提出的索赔和差异负有责任，乙方应按照甲方同意的下列一种或多种方式解决索赔事宜：</w:t>
      </w:r>
    </w:p>
    <w:p w14:paraId="16C7825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1）乙方同意退货，并按合同规定的同种货币将货款退还给甲方，并承担由此发生的一切损失和费用。</w:t>
      </w:r>
    </w:p>
    <w:p w14:paraId="3085DD9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2）根据货物低劣程度、损坏程度以及甲方所遭受损失的数额甲乙双方商定降低货物的价格。</w:t>
      </w:r>
    </w:p>
    <w:p w14:paraId="09C12F3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3）用符合规格、质量和性能要求的新零件、部件或货物来更换有缺陷的部分或修补缺陷的部分，乙方应承担一切费用和风险并负有甲方所发生的一切直接费用。同时，相应延长质量保证期。</w:t>
      </w:r>
    </w:p>
    <w:p w14:paraId="120C4CD8">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9.3 如果在甲方发出索赔通知后30天内，乙方未作答复，上述索赔应视为已被乙方接受。甲方将从合同款项中扣回索赔金额。如果这些金额不足以补偿索赔金额，甲方有权向乙方提出不足部分的补偿。</w:t>
      </w:r>
    </w:p>
    <w:p w14:paraId="02CFDD5A">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10、违约与处罚</w:t>
      </w:r>
    </w:p>
    <w:p w14:paraId="1DAEE70F">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10.1 甲方应依合同规定时间内，向乙方支付货款，每拖延一天乙方可向甲方加收合同金额的3‰的违约金。</w:t>
      </w:r>
    </w:p>
    <w:p w14:paraId="5669E12B">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10.2 乙方未能按时交货，每拖延一天，须向甲方支付合同金额的3‰的违约金，此部份金额从乙方履约保证金中扣除，不足部份，甲方有权向乙方提出追偿。</w:t>
      </w:r>
    </w:p>
    <w:p w14:paraId="4599B71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10.3 乙方交付的货物不符合合同规定的，甲方有权拒收，乙方向甲方支付合同金额的5%的违约金，此部份金额从乙方履约保证金中扣除。</w:t>
      </w:r>
    </w:p>
    <w:p w14:paraId="2D676D0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10.4 甲方无正当理由拒收货物的，甲方向乙方支付合同金额的5%的违约金。</w:t>
      </w:r>
    </w:p>
    <w:p w14:paraId="4480521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10.5 乙方未能交付货物，则须向甲方支付合同采购金额5%的违约金，此部份金额从乙方履约保证金中扣除。在乙方未能交货   天后，视为其不能交付货物，甲方将有权终止合同并提出进一步索赔的权力。</w:t>
      </w:r>
    </w:p>
    <w:p w14:paraId="1A060E42">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11、合同终止</w:t>
      </w:r>
    </w:p>
    <w:p w14:paraId="381688C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如果一方严重违反合同，并在收到对方违约通知书后在30天内仍未能改正违约的，另一方可立即终止本合同。</w:t>
      </w:r>
    </w:p>
    <w:p w14:paraId="260E4C43">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12、法律诉讼</w:t>
      </w:r>
    </w:p>
    <w:p w14:paraId="12AFD77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签约双方在履约中发生争执和分歧，双方应通过友好协商解决，若经协商不能达成协议时，则由合同签订地或招标人所在地人民法院提起诉讼。受理期间，双方应继续执行合同其余部分。</w:t>
      </w:r>
    </w:p>
    <w:p w14:paraId="5DAA786A">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13、其它</w:t>
      </w:r>
    </w:p>
    <w:p w14:paraId="09CDF63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13.1 本合同正本四份，具有同等法律效力，甲、乙双方各执一份，财政局一份，采购代理机构一份。合同自签字之日起即时生效。</w:t>
      </w:r>
    </w:p>
    <w:p w14:paraId="5CF474C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13.2下列文件是本合同的一部分，并与本合同一起阅读和解释</w:t>
      </w:r>
    </w:p>
    <w:p w14:paraId="3F21553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13.2.1 中标人提交的投标函和投标一览表；</w:t>
      </w:r>
    </w:p>
    <w:p w14:paraId="0F6F985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13.2.2 资格声明函；</w:t>
      </w:r>
    </w:p>
    <w:p w14:paraId="6290C45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13.2.3 中标通知书；</w:t>
      </w:r>
    </w:p>
    <w:p w14:paraId="15422DC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13.2.4 其他相关投标文件。 </w:t>
      </w:r>
    </w:p>
    <w:p w14:paraId="6CD9051F">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13.3 本合同未尽事宜，由双方协商处理。</w:t>
      </w:r>
    </w:p>
    <w:p w14:paraId="1E81FFA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甲方：                               乙方：</w:t>
      </w:r>
    </w:p>
    <w:p w14:paraId="520DD2A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单位                                 公司</w:t>
      </w:r>
    </w:p>
    <w:p w14:paraId="3573F2C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签约代表：                           签约代表：</w:t>
      </w:r>
    </w:p>
    <w:p w14:paraId="6E8865E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地址：                               地址：</w:t>
      </w:r>
    </w:p>
    <w:p w14:paraId="14328758">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电话：　　　                         电话：</w:t>
      </w:r>
    </w:p>
    <w:p w14:paraId="6BDD4C6B">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传真：　　　                        传真：</w:t>
      </w:r>
    </w:p>
    <w:p w14:paraId="2B055C94">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jc w:val="center"/>
        <w:textAlignment w:val="baseline"/>
        <w:rPr>
          <w:sz w:val="28"/>
          <w:szCs w:val="28"/>
        </w:rPr>
        <w:sectPr>
          <w:headerReference r:id="rId3" w:type="default"/>
          <w:footerReference r:id="rId4" w:type="default"/>
          <w:pgSz w:w="11907" w:h="16840"/>
          <w:pgMar w:top="1165" w:right="1130" w:bottom="1060" w:left="1700" w:header="830" w:footer="886" w:gutter="0"/>
          <w:pgNumType w:fmt="decimal"/>
          <w:cols w:space="720" w:num="1"/>
        </w:sectPr>
      </w:pPr>
      <w:r>
        <w:rPr>
          <w:rFonts w:hint="eastAsia" w:ascii="宋体" w:hAnsi="宋体" w:eastAsia="宋体" w:cs="宋体"/>
          <w:sz w:val="28"/>
          <w:szCs w:val="28"/>
          <w:highlight w:val="none"/>
        </w:rPr>
        <w:t>签约日期：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年   月   日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签约日期：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w:t>
      </w:r>
    </w:p>
    <w:p w14:paraId="4AA6650F">
      <w:pPr>
        <w:pStyle w:val="4"/>
        <w:spacing w:line="360" w:lineRule="auto"/>
        <w:jc w:val="center"/>
        <w:rPr>
          <w:rFonts w:hint="eastAsia" w:ascii="Times New Roman" w:hAnsi="Times New Roman" w:eastAsia="宋体" w:cs="Times New Roman"/>
          <w:sz w:val="32"/>
          <w:szCs w:val="32"/>
          <w:highlight w:val="none"/>
          <w:lang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r>
        <w:rPr>
          <w:rFonts w:hint="eastAsia" w:ascii="Times New Roman" w:cs="Times New Roman"/>
          <w:sz w:val="32"/>
          <w:szCs w:val="32"/>
          <w:highlight w:val="none"/>
          <w:lang w:eastAsia="zh-CN"/>
        </w:rPr>
        <w:t>（参考）</w:t>
      </w:r>
    </w:p>
    <w:p w14:paraId="52777E9D">
      <w:pPr>
        <w:spacing w:line="360" w:lineRule="auto"/>
        <w:jc w:val="both"/>
        <w:rPr>
          <w:rFonts w:hint="default" w:ascii="Times New Roman" w:hAnsi="Times New Roman" w:cs="Times New Roman"/>
          <w:bCs/>
          <w:sz w:val="32"/>
          <w:szCs w:val="32"/>
          <w:highlight w:val="none"/>
        </w:rPr>
      </w:pPr>
    </w:p>
    <w:p w14:paraId="49E6F2FD">
      <w:pPr>
        <w:spacing w:line="360" w:lineRule="auto"/>
        <w:rPr>
          <w:rFonts w:hint="default" w:ascii="Times New Roman" w:hAnsi="Times New Roman" w:cs="Times New Roman"/>
          <w:b/>
          <w:sz w:val="32"/>
          <w:szCs w:val="32"/>
          <w:highlight w:val="none"/>
        </w:rPr>
      </w:pPr>
      <w:r>
        <w:rPr>
          <w:rFonts w:hint="default" w:ascii="Times New Roman" w:hAnsi="Times New Roman" w:cs="Times New Roman"/>
          <w:highlight w:val="none"/>
        </w:rPr>
        <w:t xml:space="preserve">     </w:t>
      </w:r>
      <w:r>
        <w:rPr>
          <w:rFonts w:hint="default" w:ascii="Times New Roman" w:hAnsi="Times New Roman" w:cs="Times New Roman"/>
          <w:b/>
          <w:sz w:val="32"/>
          <w:szCs w:val="32"/>
          <w:highlight w:val="none"/>
        </w:rPr>
        <w:t xml:space="preserve">                                       </w:t>
      </w:r>
    </w:p>
    <w:p w14:paraId="06D0972C">
      <w:pPr>
        <w:spacing w:line="360" w:lineRule="auto"/>
        <w:jc w:val="center"/>
        <w:rPr>
          <w:rFonts w:hint="default" w:ascii="Times New Roman" w:hAnsi="Times New Roman" w:cs="Times New Roman"/>
          <w:b/>
          <w:sz w:val="84"/>
          <w:highlight w:val="none"/>
        </w:rPr>
      </w:pPr>
      <w:r>
        <w:rPr>
          <w:rFonts w:hint="default" w:ascii="Times New Roman" w:hAnsi="Times New Roman" w:cs="Times New Roman"/>
          <w:b/>
          <w:sz w:val="84"/>
          <w:highlight w:val="none"/>
        </w:rPr>
        <w:t>投标文件</w:t>
      </w:r>
    </w:p>
    <w:p w14:paraId="5E5CEC46">
      <w:pPr>
        <w:spacing w:line="360" w:lineRule="auto"/>
        <w:jc w:val="center"/>
        <w:rPr>
          <w:rFonts w:hint="default" w:ascii="Times New Roman" w:hAnsi="Times New Roman" w:cs="Times New Roman"/>
          <w:b/>
          <w:sz w:val="84"/>
          <w:highlight w:val="none"/>
        </w:rPr>
      </w:pPr>
    </w:p>
    <w:p w14:paraId="787A1D4B">
      <w:pPr>
        <w:spacing w:line="360" w:lineRule="auto"/>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采购</w:t>
      </w:r>
      <w:r>
        <w:rPr>
          <w:rFonts w:hint="default" w:ascii="Times New Roman" w:hAnsi="Times New Roman" w:eastAsia="仿宋" w:cs="Times New Roman"/>
          <w:color w:val="auto"/>
          <w:sz w:val="32"/>
          <w:szCs w:val="32"/>
          <w:lang w:eastAsia="zh-CN"/>
        </w:rPr>
        <w:t>项目</w:t>
      </w:r>
      <w:r>
        <w:rPr>
          <w:rFonts w:hint="default" w:ascii="Times New Roman" w:hAnsi="Times New Roman" w:eastAsia="仿宋" w:cs="Times New Roman"/>
          <w:color w:val="auto"/>
          <w:sz w:val="32"/>
          <w:szCs w:val="32"/>
        </w:rPr>
        <w:t xml:space="preserve">编号： </w:t>
      </w:r>
    </w:p>
    <w:p w14:paraId="468F570F">
      <w:pPr>
        <w:pStyle w:val="3"/>
        <w:rPr>
          <w:rFonts w:hint="default" w:ascii="Times New Roman" w:hAnsi="Times New Roman" w:eastAsia="仿宋" w:cs="Times New Roman"/>
          <w:color w:val="auto"/>
          <w:sz w:val="44"/>
        </w:rPr>
      </w:pPr>
    </w:p>
    <w:p w14:paraId="7DD27E7D">
      <w:pPr>
        <w:pStyle w:val="3"/>
        <w:rPr>
          <w:rFonts w:hint="default" w:ascii="Times New Roman" w:hAnsi="Times New Roman" w:eastAsia="仿宋" w:cs="Times New Roman"/>
          <w:color w:val="auto"/>
          <w:sz w:val="44"/>
        </w:rPr>
      </w:pPr>
    </w:p>
    <w:p w14:paraId="0E5A840C">
      <w:pPr>
        <w:spacing w:line="360" w:lineRule="auto"/>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color w:val="auto"/>
          <w:sz w:val="28"/>
          <w:szCs w:val="28"/>
        </w:rPr>
        <w:t>投标公司名称（盖章）:</w:t>
      </w:r>
      <w:r>
        <w:rPr>
          <w:rFonts w:hint="default" w:ascii="Times New Roman" w:hAnsi="Times New Roman" w:eastAsia="仿宋" w:cs="Times New Roman"/>
          <w:b/>
          <w:color w:val="auto"/>
          <w:sz w:val="28"/>
          <w:szCs w:val="28"/>
          <w:u w:val="single"/>
        </w:rPr>
        <w:t xml:space="preserve">               </w:t>
      </w:r>
      <w:r>
        <w:rPr>
          <w:rFonts w:hint="default" w:ascii="Times New Roman" w:hAnsi="Times New Roman" w:eastAsia="仿宋" w:cs="Times New Roman"/>
          <w:b/>
          <w:color w:val="auto"/>
          <w:sz w:val="28"/>
          <w:szCs w:val="28"/>
          <w:u w:val="single"/>
          <w:lang w:val="en-US" w:eastAsia="zh-CN"/>
        </w:rPr>
        <w:t xml:space="preserve">            </w:t>
      </w:r>
      <w:r>
        <w:rPr>
          <w:rFonts w:hint="default" w:ascii="Times New Roman" w:hAnsi="Times New Roman" w:eastAsia="仿宋" w:cs="Times New Roman"/>
          <w:b/>
          <w:color w:val="auto"/>
          <w:sz w:val="28"/>
          <w:szCs w:val="28"/>
          <w:u w:val="single"/>
        </w:rPr>
        <w:t xml:space="preserve">        </w:t>
      </w:r>
    </w:p>
    <w:p w14:paraId="4645A522">
      <w:pPr>
        <w:spacing w:line="360" w:lineRule="auto"/>
        <w:rPr>
          <w:rFonts w:hint="default" w:ascii="Times New Roman" w:hAnsi="Times New Roman" w:eastAsia="仿宋" w:cs="Times New Roman"/>
          <w:b/>
          <w:color w:val="auto"/>
          <w:sz w:val="28"/>
          <w:szCs w:val="28"/>
          <w:highlight w:val="none"/>
          <w:u w:val="single"/>
        </w:rPr>
      </w:pPr>
      <w:r>
        <w:rPr>
          <w:rFonts w:hint="default" w:ascii="Times New Roman" w:hAnsi="Times New Roman" w:eastAsia="仿宋" w:cs="Times New Roman"/>
          <w:b/>
          <w:color w:val="auto"/>
          <w:sz w:val="28"/>
          <w:szCs w:val="28"/>
          <w:highlight w:val="none"/>
        </w:rPr>
        <w:t>公司法定代表人（签字）:</w:t>
      </w:r>
      <w:r>
        <w:rPr>
          <w:rFonts w:hint="default" w:ascii="Times New Roman" w:hAnsi="Times New Roman" w:eastAsia="仿宋" w:cs="Times New Roman"/>
          <w:b/>
          <w:color w:val="auto"/>
          <w:sz w:val="28"/>
          <w:szCs w:val="28"/>
          <w:highlight w:val="none"/>
          <w:u w:val="single"/>
        </w:rPr>
        <w:t xml:space="preserve">            </w:t>
      </w:r>
      <w:r>
        <w:rPr>
          <w:rFonts w:hint="default" w:ascii="Times New Roman" w:hAnsi="Times New Roman" w:eastAsia="仿宋" w:cs="Times New Roman"/>
          <w:b/>
          <w:color w:val="auto"/>
          <w:sz w:val="28"/>
          <w:szCs w:val="28"/>
          <w:highlight w:val="none"/>
          <w:u w:val="single"/>
          <w:lang w:val="en-US" w:eastAsia="zh-CN"/>
        </w:rPr>
        <w:t xml:space="preserve">            </w:t>
      </w:r>
      <w:r>
        <w:rPr>
          <w:rFonts w:hint="default" w:ascii="Times New Roman" w:hAnsi="Times New Roman" w:eastAsia="仿宋" w:cs="Times New Roman"/>
          <w:b/>
          <w:color w:val="auto"/>
          <w:sz w:val="28"/>
          <w:szCs w:val="28"/>
          <w:highlight w:val="none"/>
          <w:u w:val="single"/>
        </w:rPr>
        <w:t xml:space="preserve">         </w:t>
      </w:r>
    </w:p>
    <w:p w14:paraId="0002A7BA">
      <w:pPr>
        <w:spacing w:line="360" w:lineRule="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公司法人授权代表人（签字）：</w:t>
      </w:r>
      <w:r>
        <w:rPr>
          <w:rFonts w:hint="default" w:ascii="Times New Roman" w:hAnsi="Times New Roman" w:eastAsia="仿宋" w:cs="Times New Roman"/>
          <w:b/>
          <w:color w:val="auto"/>
          <w:sz w:val="28"/>
          <w:szCs w:val="28"/>
          <w:u w:val="single"/>
        </w:rPr>
        <w:t xml:space="preserve">       </w:t>
      </w:r>
      <w:r>
        <w:rPr>
          <w:rFonts w:hint="default" w:ascii="Times New Roman" w:hAnsi="Times New Roman" w:eastAsia="仿宋" w:cs="Times New Roman"/>
          <w:b/>
          <w:color w:val="auto"/>
          <w:sz w:val="28"/>
          <w:szCs w:val="28"/>
          <w:u w:val="single"/>
          <w:lang w:val="en-US" w:eastAsia="zh-CN"/>
        </w:rPr>
        <w:t xml:space="preserve">           </w:t>
      </w:r>
      <w:r>
        <w:rPr>
          <w:rFonts w:hint="default" w:ascii="Times New Roman" w:hAnsi="Times New Roman" w:eastAsia="仿宋" w:cs="Times New Roman"/>
          <w:b/>
          <w:color w:val="auto"/>
          <w:sz w:val="28"/>
          <w:szCs w:val="28"/>
          <w:u w:val="single"/>
        </w:rPr>
        <w:t xml:space="preserve">          </w:t>
      </w:r>
    </w:p>
    <w:p w14:paraId="76CED993">
      <w:pPr>
        <w:spacing w:line="360" w:lineRule="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 xml:space="preserve">    郑重申明：本公司将对本</w:t>
      </w:r>
      <w:r>
        <w:rPr>
          <w:rFonts w:hint="default" w:ascii="Times New Roman" w:hAnsi="Times New Roman" w:eastAsia="仿宋" w:cs="Times New Roman"/>
          <w:b/>
          <w:color w:val="auto"/>
          <w:sz w:val="28"/>
          <w:szCs w:val="28"/>
          <w:lang w:eastAsia="zh-CN"/>
        </w:rPr>
        <w:t>竞争性磋商文件</w:t>
      </w:r>
      <w:r>
        <w:rPr>
          <w:rFonts w:hint="default" w:ascii="Times New Roman" w:hAnsi="Times New Roman" w:eastAsia="仿宋" w:cs="Times New Roman"/>
          <w:b/>
          <w:color w:val="auto"/>
          <w:sz w:val="28"/>
          <w:szCs w:val="28"/>
        </w:rPr>
        <w:t>所有内容的真实性和有效性负责，并为此承担全部法律责任</w:t>
      </w:r>
    </w:p>
    <w:p w14:paraId="1A7A1454">
      <w:pPr>
        <w:spacing w:line="360" w:lineRule="auto"/>
        <w:jc w:val="center"/>
        <w:rPr>
          <w:rFonts w:hint="default" w:ascii="Times New Roman" w:hAnsi="Times New Roman" w:eastAsia="仿宋" w:cs="Times New Roman"/>
          <w:b/>
          <w:color w:val="auto"/>
          <w:sz w:val="28"/>
          <w:szCs w:val="28"/>
        </w:rPr>
      </w:pPr>
    </w:p>
    <w:p w14:paraId="49D0029E">
      <w:pPr>
        <w:spacing w:line="360" w:lineRule="auto"/>
        <w:jc w:val="center"/>
        <w:rPr>
          <w:rFonts w:hint="default" w:ascii="Times New Roman" w:hAnsi="Times New Roman" w:eastAsia="仿宋" w:cs="Times New Roman"/>
          <w:b/>
          <w:sz w:val="44"/>
          <w:szCs w:val="44"/>
        </w:rPr>
      </w:pPr>
      <w:r>
        <w:rPr>
          <w:rFonts w:hint="default" w:ascii="Times New Roman" w:hAnsi="Times New Roman" w:eastAsia="仿宋" w:cs="Times New Roman"/>
          <w:b/>
          <w:color w:val="auto"/>
          <w:sz w:val="28"/>
          <w:szCs w:val="28"/>
        </w:rPr>
        <w:t xml:space="preserve"> 年  月  日</w:t>
      </w:r>
    </w:p>
    <w:p w14:paraId="0ED99AA3">
      <w:pPr>
        <w:spacing w:beforeLines="0" w:afterLines="0" w:line="360" w:lineRule="auto"/>
        <w:ind w:firstLine="1124" w:firstLineChars="400"/>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u w:val="single"/>
        </w:rPr>
        <w:t xml:space="preserve">        </w:t>
      </w:r>
    </w:p>
    <w:p w14:paraId="6ED7107A">
      <w:pPr>
        <w:spacing w:beforeLines="0" w:afterLines="0" w:line="360" w:lineRule="auto"/>
        <w:rPr>
          <w:rFonts w:hint="default" w:ascii="Times New Roman" w:hAnsi="Times New Roman" w:cs="Times New Roman" w:eastAsiaTheme="minorEastAsia"/>
          <w:b/>
          <w:sz w:val="28"/>
          <w:szCs w:val="28"/>
          <w:highlight w:val="none"/>
        </w:rPr>
      </w:pPr>
    </w:p>
    <w:p w14:paraId="1EC3B562">
      <w:pPr>
        <w:pStyle w:val="5"/>
        <w:spacing w:before="0" w:beforeLines="0" w:after="0" w:afterLines="0" w:line="360" w:lineRule="auto"/>
        <w:jc w:val="center"/>
        <w:rPr>
          <w:rFonts w:hint="default" w:ascii="Times New Roman" w:hAnsi="Times New Roman" w:cs="Times New Roman" w:eastAsiaTheme="minorEastAsia"/>
          <w:b/>
          <w:bCs w:val="0"/>
          <w:sz w:val="28"/>
          <w:szCs w:val="28"/>
          <w:highlight w:val="none"/>
        </w:rPr>
      </w:pPr>
      <w:r>
        <w:rPr>
          <w:rFonts w:hint="default" w:ascii="Times New Roman" w:hAnsi="Times New Roman" w:cs="Times New Roman" w:eastAsiaTheme="minorEastAsia"/>
          <w:b/>
          <w:bCs w:val="0"/>
          <w:sz w:val="28"/>
          <w:szCs w:val="28"/>
          <w:highlight w:val="none"/>
        </w:rPr>
        <w:br w:type="page"/>
      </w:r>
    </w:p>
    <w:p w14:paraId="03BD17CD">
      <w:pPr>
        <w:pStyle w:val="5"/>
        <w:spacing w:before="0" w:beforeLines="0" w:after="0" w:afterLines="0" w:line="360" w:lineRule="auto"/>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一</w:t>
      </w:r>
      <w:r>
        <w:rPr>
          <w:rFonts w:hint="default" w:ascii="Times New Roman" w:hAnsi="Times New Roman" w:cs="Times New Roman" w:eastAsiaTheme="minorEastAsia"/>
          <w:sz w:val="28"/>
          <w:szCs w:val="28"/>
          <w:highlight w:val="none"/>
        </w:rPr>
        <w:t>、资格证明文件</w:t>
      </w:r>
    </w:p>
    <w:p w14:paraId="6083A0C3">
      <w:pPr>
        <w:pStyle w:val="7"/>
        <w:spacing w:before="0" w:beforeLines="0" w:after="0" w:afterLines="0" w:line="360" w:lineRule="auto"/>
        <w:jc w:val="both"/>
        <w:rPr>
          <w:rFonts w:hint="default" w:ascii="Times New Roman" w:hAnsi="Times New Roman" w:cs="Times New Roman" w:eastAsiaTheme="minorEastAsia"/>
          <w:sz w:val="28"/>
          <w:szCs w:val="28"/>
          <w:highlight w:val="none"/>
          <w:u w:val="none"/>
          <w:lang w:val="en-US" w:eastAsia="zh-CN"/>
        </w:rPr>
      </w:pPr>
      <w:r>
        <w:rPr>
          <w:rFonts w:hint="default" w:ascii="Times New Roman" w:hAnsi="Times New Roman" w:cs="Times New Roman" w:eastAsiaTheme="minorEastAsia"/>
          <w:sz w:val="28"/>
          <w:szCs w:val="28"/>
          <w:highlight w:val="none"/>
          <w:u w:val="none"/>
          <w:lang w:val="en-US" w:eastAsia="zh-CN"/>
        </w:rPr>
        <w:t>1.具有独立承担民事责任的能力的证明文件</w:t>
      </w:r>
    </w:p>
    <w:p w14:paraId="1EC07891">
      <w:pPr>
        <w:pStyle w:val="13"/>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bookmarkStart w:id="5" w:name="OLE_LINK12"/>
    </w:p>
    <w:p w14:paraId="4E913391">
      <w:pPr>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br w:type="page"/>
      </w:r>
    </w:p>
    <w:p w14:paraId="14201E4C">
      <w:pPr>
        <w:pStyle w:val="13"/>
        <w:spacing w:before="0" w:beforeLines="0" w:after="0" w:afterLines="0" w:line="360" w:lineRule="auto"/>
        <w:jc w:val="both"/>
        <w:rPr>
          <w:rFonts w:hint="default" w:ascii="Times New Roman" w:hAnsi="Times New Roman" w:cs="Times New Roman" w:eastAsiaTheme="minorEastAsia"/>
          <w:b/>
          <w:kern w:val="0"/>
          <w:sz w:val="28"/>
          <w:szCs w:val="28"/>
          <w:highlight w:val="none"/>
          <w:u w:val="none"/>
          <w:lang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t>2.</w:t>
      </w:r>
      <w:r>
        <w:rPr>
          <w:rFonts w:hint="default" w:ascii="Times New Roman" w:hAnsi="Times New Roman" w:cs="Times New Roman" w:eastAsiaTheme="minorEastAsia"/>
          <w:b/>
          <w:kern w:val="0"/>
          <w:sz w:val="28"/>
          <w:szCs w:val="28"/>
          <w:highlight w:val="none"/>
          <w:u w:val="none"/>
          <w:shd w:val="clear"/>
          <w:lang w:val="en-US" w:eastAsia="zh-CN"/>
        </w:rPr>
        <w:t>投标人资格承诺书</w:t>
      </w:r>
    </w:p>
    <w:bookmarkEnd w:id="5"/>
    <w:p w14:paraId="4E9C7D80">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bookmarkStart w:id="6" w:name="OLE_LINK13"/>
    </w:p>
    <w:p w14:paraId="73006FBE">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投标人资格承诺书</w:t>
      </w:r>
      <w:r>
        <w:rPr>
          <w:rFonts w:hint="default" w:ascii="Times New Roman" w:hAnsi="Times New Roman" w:cs="Times New Roman" w:eastAsiaTheme="minorEastAsia"/>
          <w:b/>
          <w:bCs/>
          <w:sz w:val="28"/>
          <w:szCs w:val="28"/>
          <w:highlight w:val="none"/>
          <w:u w:val="single"/>
          <w:lang w:val="en-US" w:eastAsia="zh-CN"/>
        </w:rPr>
        <w:t>（仅供参考）</w:t>
      </w:r>
    </w:p>
    <w:bookmarkEnd w:id="6"/>
    <w:p w14:paraId="3F35EBD9">
      <w:pPr>
        <w:spacing w:line="360" w:lineRule="auto"/>
        <w:rPr>
          <w:rFonts w:hint="default" w:ascii="Times New Roman" w:hAnsi="Times New Roman" w:cs="Times New Roman"/>
          <w:highlight w:val="none"/>
        </w:rPr>
      </w:pPr>
    </w:p>
    <w:p w14:paraId="23AEE5E7">
      <w:pPr>
        <w:spacing w:beforeLines="0" w:afterLines="0" w:line="360" w:lineRule="auto"/>
        <w:rPr>
          <w:rFonts w:hint="default" w:ascii="Times New Roman" w:hAnsi="Times New Roman" w:cs="Times New Roman" w:eastAsiaTheme="minorEastAsia"/>
          <w:sz w:val="28"/>
          <w:szCs w:val="28"/>
          <w:highlight w:val="none"/>
          <w:u w:val="single"/>
        </w:rPr>
      </w:pPr>
      <w:bookmarkStart w:id="7" w:name="OLE_LINK17"/>
      <w:r>
        <w:rPr>
          <w:rFonts w:hint="default" w:ascii="Times New Roman" w:hAnsi="Times New Roman" w:cs="Times New Roman" w:eastAsiaTheme="minorEastAsia"/>
          <w:sz w:val="28"/>
          <w:szCs w:val="28"/>
          <w:highlight w:val="none"/>
          <w:u w:val="single"/>
        </w:rPr>
        <w:t>致：（采购人/采购代理机构）</w:t>
      </w:r>
    </w:p>
    <w:p w14:paraId="12BE15F1">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在参与本次（项目名称）</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投标中，我单位承诺：</w:t>
      </w:r>
    </w:p>
    <w:p w14:paraId="2AE3D83A">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（一）</w:t>
      </w:r>
      <w:r>
        <w:rPr>
          <w:rFonts w:hint="default" w:ascii="Times New Roman" w:hAnsi="Times New Roman" w:cs="Times New Roman" w:eastAsiaTheme="minorEastAsia"/>
          <w:sz w:val="28"/>
          <w:szCs w:val="28"/>
          <w:highlight w:val="none"/>
          <w:u w:val="single"/>
          <w:lang w:eastAsia="zh-CN"/>
        </w:rPr>
        <w:t>具有良好的商业信誉和健全的财务会计制度；</w:t>
      </w:r>
    </w:p>
    <w:p w14:paraId="524BE91D">
      <w:pPr>
        <w:spacing w:beforeLines="0" w:afterLines="0" w:line="360" w:lineRule="auto"/>
        <w:rPr>
          <w:rFonts w:hint="default" w:ascii="Times New Roman" w:hAnsi="Times New Roman" w:cs="Times New Roman" w:eastAsiaTheme="minorEastAsia"/>
          <w:b/>
          <w:bCs/>
          <w:i/>
          <w:iCs/>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（二）</w:t>
      </w:r>
      <w:r>
        <w:rPr>
          <w:rFonts w:hint="default" w:ascii="Times New Roman" w:hAnsi="Times New Roman" w:cs="Times New Roman" w:eastAsiaTheme="minorEastAsia"/>
          <w:sz w:val="28"/>
          <w:szCs w:val="28"/>
          <w:highlight w:val="none"/>
          <w:u w:val="single"/>
          <w:lang w:eastAsia="zh-CN"/>
        </w:rPr>
        <w:t>具有履行合同所必需的设备和专业技术能力</w:t>
      </w:r>
      <w:r>
        <w:rPr>
          <w:rFonts w:hint="default" w:ascii="Times New Roman" w:hAnsi="Times New Roman" w:cs="Times New Roman" w:eastAsiaTheme="minorEastAsia"/>
          <w:b/>
          <w:bCs/>
          <w:i/>
          <w:iCs/>
          <w:sz w:val="28"/>
          <w:szCs w:val="28"/>
          <w:highlight w:val="none"/>
          <w:u w:val="single"/>
          <w:lang w:eastAsia="zh-CN"/>
        </w:rPr>
        <w:t>；</w:t>
      </w:r>
    </w:p>
    <w:p w14:paraId="2C84776D">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（三）有依法缴纳税收和社会保障资金的良好记录；</w:t>
      </w:r>
    </w:p>
    <w:p w14:paraId="7B8A8ACF">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14:paraId="14EC0A7D">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u w:val="single"/>
          <w:lang w:val="en-US" w:eastAsia="zh-CN"/>
        </w:rPr>
        <w:t xml:space="preserve">    （五）我单位不属于政府采购法律、行政法规规定的公益一类事业单位、或使用事业编制且由财政拨款保障的群团组织（仅适用于政府购买服务项目）；</w:t>
      </w:r>
    </w:p>
    <w:p w14:paraId="2A85F3B3">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（六）我单位不存在为采购项目提供整体设计、规范编制或者项目管理、监理、检测等服务后，再参加该采购项目的其他采购活动的情形（单一来源采购项目除外）；</w:t>
      </w:r>
    </w:p>
    <w:p w14:paraId="5B78777F">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（七）与我单位存在“单位负责人为同一人或者存在直接控股、管理关系”的其他法人单位信息如下：</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7C87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CB650E8">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序号</w:t>
            </w:r>
          </w:p>
        </w:tc>
        <w:tc>
          <w:tcPr>
            <w:tcW w:w="3096" w:type="dxa"/>
            <w:vAlign w:val="center"/>
          </w:tcPr>
          <w:p w14:paraId="68528C60">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单位名称</w:t>
            </w:r>
          </w:p>
        </w:tc>
        <w:tc>
          <w:tcPr>
            <w:tcW w:w="3096" w:type="dxa"/>
            <w:vAlign w:val="center"/>
          </w:tcPr>
          <w:p w14:paraId="2BC752FF">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相互管理</w:t>
            </w:r>
          </w:p>
        </w:tc>
      </w:tr>
      <w:tr w14:paraId="57E2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6AACA32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val="en-US" w:eastAsia="zh-CN"/>
              </w:rPr>
            </w:pPr>
            <w:r>
              <w:rPr>
                <w:rFonts w:hint="default" w:ascii="Times New Roman" w:hAnsi="Times New Roman" w:cs="Times New Roman" w:eastAsiaTheme="minorEastAsia"/>
                <w:sz w:val="28"/>
                <w:szCs w:val="28"/>
                <w:highlight w:val="none"/>
                <w:u w:val="single"/>
                <w:vertAlign w:val="baseline"/>
                <w:lang w:val="en-US" w:eastAsia="zh-CN"/>
              </w:rPr>
              <w:t>1</w:t>
            </w:r>
          </w:p>
        </w:tc>
        <w:tc>
          <w:tcPr>
            <w:tcW w:w="3096" w:type="dxa"/>
            <w:vAlign w:val="center"/>
          </w:tcPr>
          <w:p w14:paraId="72159FBB">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5938299F">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r w14:paraId="2637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F5A691F">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bookmarkStart w:id="8" w:name="OLE_LINK18"/>
            <w:r>
              <w:rPr>
                <w:rFonts w:hint="default" w:ascii="Times New Roman" w:hAnsi="Times New Roman" w:cs="Times New Roman" w:eastAsiaTheme="minorEastAsia"/>
                <w:sz w:val="28"/>
                <w:szCs w:val="28"/>
                <w:highlight w:val="none"/>
                <w:u w:val="single"/>
                <w:vertAlign w:val="baseline"/>
              </w:rPr>
              <w:t>…</w:t>
            </w:r>
            <w:bookmarkEnd w:id="8"/>
            <w:r>
              <w:rPr>
                <w:rFonts w:hint="default" w:ascii="Times New Roman" w:hAnsi="Times New Roman" w:cs="Times New Roman" w:eastAsiaTheme="minorEastAsia"/>
                <w:sz w:val="28"/>
                <w:szCs w:val="28"/>
                <w:highlight w:val="none"/>
                <w:u w:val="single"/>
                <w:vertAlign w:val="baseline"/>
              </w:rPr>
              <w:t>…</w:t>
            </w:r>
          </w:p>
        </w:tc>
        <w:tc>
          <w:tcPr>
            <w:tcW w:w="3096" w:type="dxa"/>
            <w:vAlign w:val="center"/>
          </w:tcPr>
          <w:p w14:paraId="6C9E9620">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7BEBA4AE">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bl>
    <w:p w14:paraId="34920BBC">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u w:val="single"/>
          <w:lang w:val="en-US" w:eastAsia="zh-CN"/>
        </w:rPr>
        <w:t xml:space="preserve">    上述承诺真实有效，否则我方负全部责任。</w:t>
      </w:r>
    </w:p>
    <w:p w14:paraId="4303FDD9">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9" w:name="OLE_LINK14"/>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w:t>
      </w:r>
    </w:p>
    <w:p w14:paraId="11CE7948">
      <w:pPr>
        <w:spacing w:beforeLines="0" w:afterLines="0" w:line="360" w:lineRule="auto"/>
        <w:rPr>
          <w:rFonts w:hint="default" w:ascii="Times New Roman" w:hAnsi="Times New Roman" w:cs="Times New Roman" w:eastAsiaTheme="minorEastAsia"/>
          <w:i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日期：</w:t>
      </w:r>
      <w:bookmarkEnd w:id="7"/>
    </w:p>
    <w:bookmarkEnd w:id="9"/>
    <w:p w14:paraId="58CFD869">
      <w:pPr>
        <w:widowControl/>
        <w:numPr>
          <w:ilvl w:val="-1"/>
          <w:numId w:val="0"/>
        </w:numPr>
        <w:spacing w:beforeLines="-2147483648" w:afterLines="-2147483648" w:line="360" w:lineRule="auto"/>
        <w:jc w:val="left"/>
        <w:outlineLvl w:val="9"/>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br w:type="page"/>
      </w:r>
    </w:p>
    <w:p w14:paraId="2E20F683">
      <w:pPr>
        <w:widowControl/>
        <w:numPr>
          <w:ilvl w:val="-1"/>
          <w:numId w:val="0"/>
        </w:numPr>
        <w:spacing w:beforeLines="0" w:afterLines="0" w:line="360" w:lineRule="auto"/>
        <w:jc w:val="left"/>
        <w:outlineLvl w:val="2"/>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t>3.落实政府采购政策需满足的资格要求（如有，如中小企业声明函、残疾人福利性单位声明函、属于监狱企业的证明文件、政府强制采购等）</w:t>
      </w:r>
    </w:p>
    <w:p w14:paraId="6FB9A567">
      <w:pPr>
        <w:spacing w:beforeLines="0" w:afterLines="0" w:line="360" w:lineRule="auto"/>
        <w:jc w:val="center"/>
        <w:rPr>
          <w:rFonts w:hint="default" w:ascii="Times New Roman" w:hAnsi="Times New Roman" w:cs="Times New Roman" w:eastAsiaTheme="minorEastAsia"/>
          <w:b/>
          <w:sz w:val="28"/>
          <w:szCs w:val="28"/>
          <w:highlight w:val="none"/>
        </w:rPr>
      </w:pPr>
    </w:p>
    <w:p w14:paraId="406B5B10">
      <w:pPr>
        <w:spacing w:beforeLines="0" w:afterLines="0" w:line="360" w:lineRule="auto"/>
        <w:jc w:val="cente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rPr>
        <w:t>中小企业声明函（货物）</w:t>
      </w:r>
    </w:p>
    <w:p w14:paraId="3FD8E072">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5F4F552C">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highlight w:val="none"/>
          <w:u w:val="single"/>
        </w:rPr>
        <w:t>（单位名称）</w:t>
      </w:r>
      <w:r>
        <w:rPr>
          <w:rFonts w:hint="default" w:ascii="Times New Roman" w:hAnsi="Times New Roman" w:cs="Times New Roman" w:eastAsiaTheme="minorEastAsia"/>
          <w:sz w:val="28"/>
          <w:szCs w:val="28"/>
          <w:highlight w:val="none"/>
        </w:rPr>
        <w:t>的</w:t>
      </w:r>
      <w:r>
        <w:rPr>
          <w:rFonts w:hint="default" w:ascii="Times New Roman" w:hAnsi="Times New Roman" w:cs="Times New Roman" w:eastAsiaTheme="minorEastAsia"/>
          <w:i/>
          <w:iCs/>
          <w:sz w:val="28"/>
          <w:szCs w:val="28"/>
          <w:highlight w:val="none"/>
          <w:u w:val="single"/>
        </w:rPr>
        <w:t>（项目名称）</w:t>
      </w:r>
      <w:r>
        <w:rPr>
          <w:rFonts w:hint="default" w:ascii="Times New Roman" w:hAnsi="Times New Roman" w:cs="Times New Roman" w:eastAsiaTheme="minorEastAsia"/>
          <w:sz w:val="28"/>
          <w:szCs w:val="28"/>
          <w:highlight w:val="none"/>
        </w:rPr>
        <w:t>采购活动，提供的货物全部由符合政策要求的中小企业制造。相关企业（含联合体中的中小企业、签订分包意向协议的中小企业）的具体情况如下：</w:t>
      </w:r>
    </w:p>
    <w:p w14:paraId="6950277C">
      <w:pPr>
        <w:spacing w:beforeLines="0" w:afterLines="0" w:line="360" w:lineRule="auto"/>
        <w:ind w:firstLine="560" w:firstLineChars="200"/>
        <w:rPr>
          <w:rFonts w:hint="default" w:ascii="Times New Roman" w:hAnsi="Times New Roman" w:cs="Times New Roman" w:eastAsiaTheme="minorEastAsia"/>
          <w:i w:val="0"/>
          <w:iCs/>
          <w:sz w:val="28"/>
          <w:szCs w:val="28"/>
          <w:highlight w:val="none"/>
        </w:rPr>
      </w:pPr>
      <w:bookmarkStart w:id="10" w:name="OLE_LINK15"/>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b/>
          <w:bCs/>
          <w:i w:val="0"/>
          <w:iCs/>
          <w:sz w:val="28"/>
          <w:szCs w:val="28"/>
          <w:highlight w:val="none"/>
          <w:u w:val="single"/>
        </w:rPr>
        <w:t>（</w:t>
      </w:r>
      <w:r>
        <w:rPr>
          <w:rFonts w:hint="eastAsia" w:ascii="Times New Roman" w:hAnsi="Times New Roman" w:cs="Times New Roman" w:eastAsiaTheme="minorEastAsia"/>
          <w:b/>
          <w:i w:val="0"/>
          <w:iCs/>
          <w:sz w:val="28"/>
          <w:szCs w:val="28"/>
          <w:highlight w:val="none"/>
          <w:u w:val="single"/>
          <w:lang w:val="en-US" w:eastAsia="zh-CN"/>
        </w:rPr>
        <w:t>教师演示台</w:t>
      </w:r>
      <w:r>
        <w:rPr>
          <w:rFonts w:hint="default" w:ascii="Times New Roman" w:hAnsi="Times New Roman" w:cs="Times New Roman" w:eastAsiaTheme="minorEastAsia"/>
          <w:b/>
          <w:i w:val="0"/>
          <w:iCs/>
          <w:sz w:val="28"/>
          <w:szCs w:val="28"/>
          <w:highlight w:val="none"/>
          <w:u w:val="single"/>
        </w:rPr>
        <w:t>）</w:t>
      </w:r>
      <w:r>
        <w:rPr>
          <w:rFonts w:hint="default" w:ascii="Times New Roman" w:hAnsi="Times New Roman" w:cs="Times New Roman" w:eastAsiaTheme="minorEastAsia"/>
          <w:i w:val="0"/>
          <w:iCs/>
          <w:sz w:val="28"/>
          <w:szCs w:val="28"/>
          <w:highlight w:val="none"/>
        </w:rPr>
        <w:t>，属于</w:t>
      </w:r>
      <w:r>
        <w:rPr>
          <w:rFonts w:hint="default" w:ascii="Times New Roman" w:hAnsi="Times New Roman" w:cs="Times New Roman" w:eastAsiaTheme="minorEastAsia"/>
          <w:b/>
          <w:i w:val="0"/>
          <w:iCs/>
          <w:sz w:val="28"/>
          <w:szCs w:val="28"/>
          <w:highlight w:val="none"/>
          <w:u w:val="single"/>
        </w:rPr>
        <w:t>（</w:t>
      </w:r>
      <w:r>
        <w:rPr>
          <w:rFonts w:hint="eastAsia" w:cs="Times New Roman" w:eastAsiaTheme="minorEastAsia"/>
          <w:b/>
          <w:i w:val="0"/>
          <w:iCs/>
          <w:sz w:val="28"/>
          <w:szCs w:val="28"/>
          <w:highlight w:val="none"/>
          <w:u w:val="single"/>
          <w:lang w:val="en-US" w:eastAsia="zh-CN"/>
        </w:rPr>
        <w:t>工业</w:t>
      </w:r>
      <w:r>
        <w:rPr>
          <w:rFonts w:hint="default" w:ascii="Times New Roman" w:hAnsi="Times New Roman" w:cs="Times New Roman" w:eastAsiaTheme="minorEastAsia"/>
          <w:b/>
          <w:i w:val="0"/>
          <w:iCs/>
          <w:sz w:val="28"/>
          <w:szCs w:val="28"/>
          <w:highlight w:val="none"/>
          <w:u w:val="single"/>
        </w:rPr>
        <w:t>）</w:t>
      </w:r>
      <w:r>
        <w:rPr>
          <w:rFonts w:hint="default" w:ascii="Times New Roman" w:hAnsi="Times New Roman" w:cs="Times New Roman" w:eastAsiaTheme="minorEastAsia"/>
          <w:i w:val="0"/>
          <w:iCs/>
          <w:sz w:val="28"/>
          <w:szCs w:val="28"/>
          <w:highlight w:val="none"/>
        </w:rPr>
        <w:t>；制造商为</w:t>
      </w:r>
      <w:r>
        <w:rPr>
          <w:rFonts w:hint="default" w:ascii="Times New Roman" w:hAnsi="Times New Roman" w:cs="Times New Roman" w:eastAsiaTheme="minorEastAsia"/>
          <w:i w:val="0"/>
          <w:iCs/>
          <w:sz w:val="28"/>
          <w:szCs w:val="28"/>
          <w:highlight w:val="none"/>
          <w:u w:val="single"/>
        </w:rPr>
        <w:t>（企业名称）</w:t>
      </w:r>
      <w:r>
        <w:rPr>
          <w:rFonts w:hint="default" w:ascii="Times New Roman" w:hAnsi="Times New Roman" w:cs="Times New Roman" w:eastAsiaTheme="minorEastAsia"/>
          <w:i w:val="0"/>
          <w:iCs/>
          <w:sz w:val="28"/>
          <w:szCs w:val="28"/>
          <w:highlight w:val="none"/>
        </w:rPr>
        <w:t>，从业人员</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人，营业收入为</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万元，资产总额为</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万元，属于</w:t>
      </w:r>
      <w:r>
        <w:rPr>
          <w:rFonts w:hint="eastAsia" w:cs="Times New Roman" w:eastAsiaTheme="minorEastAsia"/>
          <w:i w:val="0"/>
          <w:iCs/>
          <w:sz w:val="28"/>
          <w:szCs w:val="28"/>
          <w:highlight w:val="none"/>
          <w:u w:val="single"/>
          <w:lang w:val="en-US" w:eastAsia="zh-CN"/>
        </w:rPr>
        <w:t xml:space="preserve">   </w:t>
      </w:r>
      <w:r>
        <w:rPr>
          <w:rFonts w:hint="default" w:ascii="Times New Roman" w:hAnsi="Times New Roman" w:cs="Times New Roman" w:eastAsiaTheme="minorEastAsia"/>
          <w:b/>
          <w:i w:val="0"/>
          <w:iCs/>
          <w:sz w:val="28"/>
          <w:szCs w:val="28"/>
          <w:highlight w:val="none"/>
          <w:u w:val="single"/>
        </w:rPr>
        <w:t>（中型企业、小型企业、微型企业）</w:t>
      </w:r>
      <w:r>
        <w:rPr>
          <w:rFonts w:hint="default" w:ascii="Times New Roman" w:hAnsi="Times New Roman" w:cs="Times New Roman" w:eastAsiaTheme="minorEastAsia"/>
          <w:i w:val="0"/>
          <w:iCs/>
          <w:sz w:val="28"/>
          <w:szCs w:val="28"/>
          <w:highlight w:val="none"/>
        </w:rPr>
        <w:t>；</w:t>
      </w:r>
    </w:p>
    <w:bookmarkEnd w:id="10"/>
    <w:p w14:paraId="26C6F7F7">
      <w:pPr>
        <w:spacing w:beforeLines="0" w:afterLines="0" w:line="360" w:lineRule="auto"/>
        <w:ind w:firstLine="560" w:firstLineChars="200"/>
        <w:rPr>
          <w:rFonts w:hint="default" w:ascii="Times New Roman" w:hAnsi="Times New Roman" w:cs="Times New Roman" w:eastAsiaTheme="minorEastAsia"/>
          <w:i w:val="0"/>
          <w:iCs/>
          <w:sz w:val="28"/>
          <w:szCs w:val="28"/>
          <w:highlight w:val="none"/>
        </w:rPr>
      </w:pPr>
      <w:r>
        <w:rPr>
          <w:rFonts w:hint="default" w:ascii="Times New Roman" w:hAnsi="Times New Roman" w:cs="Times New Roman" w:eastAsiaTheme="minorEastAsia"/>
          <w:i w:val="0"/>
          <w:iCs/>
          <w:sz w:val="28"/>
          <w:szCs w:val="28"/>
          <w:highlight w:val="none"/>
          <w:lang w:val="en-US" w:eastAsia="zh-CN"/>
        </w:rPr>
        <w:t>2</w:t>
      </w:r>
      <w:r>
        <w:rPr>
          <w:rFonts w:hint="default" w:ascii="Times New Roman" w:hAnsi="Times New Roman" w:cs="Times New Roman" w:eastAsiaTheme="minorEastAsia"/>
          <w:i w:val="0"/>
          <w:iCs/>
          <w:sz w:val="28"/>
          <w:szCs w:val="28"/>
          <w:highlight w:val="none"/>
        </w:rPr>
        <w:t>.</w:t>
      </w:r>
      <w:r>
        <w:rPr>
          <w:rFonts w:hint="default" w:ascii="Times New Roman" w:hAnsi="Times New Roman" w:cs="Times New Roman" w:eastAsiaTheme="minorEastAsia"/>
          <w:b/>
          <w:bCs/>
          <w:i w:val="0"/>
          <w:iCs/>
          <w:sz w:val="28"/>
          <w:szCs w:val="28"/>
          <w:highlight w:val="none"/>
          <w:u w:val="single"/>
        </w:rPr>
        <w:t>（标的名称）</w:t>
      </w:r>
      <w:r>
        <w:rPr>
          <w:rFonts w:hint="default" w:ascii="Times New Roman" w:hAnsi="Times New Roman" w:cs="Times New Roman" w:eastAsiaTheme="minorEastAsia"/>
          <w:i w:val="0"/>
          <w:iCs/>
          <w:sz w:val="28"/>
          <w:szCs w:val="28"/>
          <w:highlight w:val="none"/>
        </w:rPr>
        <w:t>，属于</w:t>
      </w:r>
      <w:r>
        <w:rPr>
          <w:rFonts w:hint="default" w:ascii="Times New Roman" w:hAnsi="Times New Roman" w:cs="Times New Roman" w:eastAsiaTheme="minorEastAsia"/>
          <w:b/>
          <w:i w:val="0"/>
          <w:iCs/>
          <w:sz w:val="28"/>
          <w:szCs w:val="28"/>
          <w:highlight w:val="none"/>
          <w:u w:val="single"/>
        </w:rPr>
        <w:t>（采购文件中明确的所属行业）</w:t>
      </w:r>
      <w:r>
        <w:rPr>
          <w:rFonts w:hint="default" w:ascii="Times New Roman" w:hAnsi="Times New Roman" w:cs="Times New Roman" w:eastAsiaTheme="minorEastAsia"/>
          <w:i w:val="0"/>
          <w:iCs/>
          <w:sz w:val="28"/>
          <w:szCs w:val="28"/>
          <w:highlight w:val="none"/>
        </w:rPr>
        <w:t>；制造商为</w:t>
      </w:r>
      <w:r>
        <w:rPr>
          <w:rFonts w:hint="default" w:ascii="Times New Roman" w:hAnsi="Times New Roman" w:cs="Times New Roman" w:eastAsiaTheme="minorEastAsia"/>
          <w:i w:val="0"/>
          <w:iCs/>
          <w:sz w:val="28"/>
          <w:szCs w:val="28"/>
          <w:highlight w:val="none"/>
          <w:u w:val="single"/>
        </w:rPr>
        <w:t>（企业名称）</w:t>
      </w:r>
      <w:r>
        <w:rPr>
          <w:rFonts w:hint="default" w:ascii="Times New Roman" w:hAnsi="Times New Roman" w:cs="Times New Roman" w:eastAsiaTheme="minorEastAsia"/>
          <w:i w:val="0"/>
          <w:iCs/>
          <w:sz w:val="28"/>
          <w:szCs w:val="28"/>
          <w:highlight w:val="none"/>
        </w:rPr>
        <w:t>，从业人员</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人，营业收入为</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万元，资产总额为</w:t>
      </w:r>
      <w:r>
        <w:rPr>
          <w:rFonts w:hint="default" w:ascii="Times New Roman" w:hAnsi="Times New Roman" w:cs="Times New Roman" w:eastAsiaTheme="minorEastAsia"/>
          <w:i w:val="0"/>
          <w:iCs/>
          <w:sz w:val="28"/>
          <w:szCs w:val="28"/>
          <w:highlight w:val="none"/>
          <w:u w:val="single"/>
        </w:rPr>
        <w:t>（    ）</w:t>
      </w:r>
      <w:r>
        <w:rPr>
          <w:rFonts w:hint="default" w:ascii="Times New Roman" w:hAnsi="Times New Roman" w:cs="Times New Roman" w:eastAsiaTheme="minorEastAsia"/>
          <w:i w:val="0"/>
          <w:iCs/>
          <w:sz w:val="28"/>
          <w:szCs w:val="28"/>
          <w:highlight w:val="none"/>
        </w:rPr>
        <w:t>万元，属于</w:t>
      </w:r>
      <w:r>
        <w:rPr>
          <w:rFonts w:hint="eastAsia" w:cs="Times New Roman" w:eastAsiaTheme="minorEastAsia"/>
          <w:i w:val="0"/>
          <w:iCs/>
          <w:sz w:val="28"/>
          <w:szCs w:val="28"/>
          <w:highlight w:val="none"/>
          <w:u w:val="single"/>
          <w:lang w:val="en-US" w:eastAsia="zh-CN"/>
        </w:rPr>
        <w:t xml:space="preserve">   </w:t>
      </w:r>
      <w:r>
        <w:rPr>
          <w:rFonts w:hint="default" w:ascii="Times New Roman" w:hAnsi="Times New Roman" w:cs="Times New Roman" w:eastAsiaTheme="minorEastAsia"/>
          <w:b/>
          <w:i w:val="0"/>
          <w:iCs/>
          <w:sz w:val="28"/>
          <w:szCs w:val="28"/>
          <w:highlight w:val="none"/>
          <w:u w:val="single"/>
        </w:rPr>
        <w:t>（中型企业、小型企业、微型企业）</w:t>
      </w:r>
      <w:r>
        <w:rPr>
          <w:rFonts w:hint="default" w:ascii="Times New Roman" w:hAnsi="Times New Roman" w:cs="Times New Roman" w:eastAsiaTheme="minorEastAsia"/>
          <w:i w:val="0"/>
          <w:iCs/>
          <w:sz w:val="28"/>
          <w:szCs w:val="28"/>
          <w:highlight w:val="none"/>
        </w:rPr>
        <w:t>；</w:t>
      </w:r>
    </w:p>
    <w:p w14:paraId="121C21DF">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w:t>
      </w:r>
    </w:p>
    <w:p w14:paraId="047CC30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以上企业，不属于大企业的分支机构，不存在控股股东为大企业的情形，也不存在与大企业的负责人为同一人的情形。</w:t>
      </w:r>
    </w:p>
    <w:p w14:paraId="17377798">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本企业对上述声明内容的真实性负责。如有虚假，将依法承担相应责任。</w:t>
      </w:r>
    </w:p>
    <w:p w14:paraId="2ECAB03D">
      <w:pPr>
        <w:spacing w:beforeLines="0" w:afterLines="0" w:line="360" w:lineRule="auto"/>
        <w:rPr>
          <w:rFonts w:hint="default" w:ascii="Times New Roman" w:hAnsi="Times New Roman" w:cs="Times New Roman" w:eastAsiaTheme="minorEastAsia"/>
          <w:sz w:val="28"/>
          <w:szCs w:val="28"/>
          <w:highlight w:val="none"/>
        </w:rPr>
      </w:pPr>
    </w:p>
    <w:p w14:paraId="6FBD1389">
      <w:pPr>
        <w:pStyle w:val="22"/>
        <w:spacing w:line="360" w:lineRule="auto"/>
        <w:rPr>
          <w:rFonts w:hint="default" w:ascii="Times New Roman" w:hAnsi="Times New Roman" w:cs="Times New Roman"/>
          <w:highlight w:val="none"/>
        </w:rPr>
      </w:pPr>
    </w:p>
    <w:p w14:paraId="16AE91DC">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11" w:name="OLE_LINK16"/>
      <w:r>
        <w:rPr>
          <w:rFonts w:hint="default" w:ascii="Times New Roman" w:hAnsi="Times New Roman" w:cs="Times New Roman" w:eastAsiaTheme="minorEastAsia"/>
          <w:sz w:val="28"/>
          <w:szCs w:val="28"/>
          <w:highlight w:val="none"/>
          <w:lang w:eastAsia="zh-CN"/>
        </w:rPr>
        <w:t>企业名称（盖章）：</w:t>
      </w:r>
    </w:p>
    <w:p w14:paraId="3B64F0B3">
      <w:pPr>
        <w:pStyle w:val="22"/>
        <w:spacing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p w14:paraId="64065101">
      <w:pPr>
        <w:numPr>
          <w:ilvl w:val="0"/>
          <w:numId w:val="5"/>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14:paraId="77EA36A1">
      <w:pPr>
        <w:numPr>
          <w:ilvl w:val="0"/>
          <w:numId w:val="5"/>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14:paraId="01771B8B">
      <w:pPr>
        <w:numPr>
          <w:ilvl w:val="0"/>
          <w:numId w:val="5"/>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14:paraId="37972687">
      <w:pPr>
        <w:spacing w:beforeLines="0" w:afterLines="0" w:line="360" w:lineRule="auto"/>
        <w:jc w:val="center"/>
        <w:rPr>
          <w:rFonts w:hint="default" w:ascii="Times New Roman" w:hAnsi="Times New Roman" w:cs="Times New Roman" w:eastAsiaTheme="minorEastAsia"/>
          <w:b/>
          <w:sz w:val="28"/>
          <w:szCs w:val="28"/>
          <w:highlight w:val="none"/>
        </w:rPr>
      </w:pPr>
    </w:p>
    <w:bookmarkEnd w:id="11"/>
    <w:p w14:paraId="0DF0229C">
      <w:pPr>
        <w:spacing w:beforeLines="0" w:afterLines="0" w:line="360" w:lineRule="auto"/>
        <w:jc w:val="center"/>
        <w:rPr>
          <w:rFonts w:hint="default" w:ascii="Times New Roman" w:hAnsi="Times New Roman" w:cs="Times New Roman" w:eastAsiaTheme="minorEastAsia"/>
          <w:b/>
          <w:spacing w:val="6"/>
          <w:sz w:val="28"/>
          <w:szCs w:val="28"/>
          <w:highlight w:val="none"/>
        </w:rPr>
      </w:pPr>
      <w:r>
        <w:rPr>
          <w:rFonts w:hint="default" w:ascii="Times New Roman" w:hAnsi="Times New Roman" w:cs="Times New Roman" w:eastAsiaTheme="minorEastAsia"/>
          <w:b/>
          <w:sz w:val="28"/>
          <w:szCs w:val="28"/>
          <w:highlight w:val="none"/>
        </w:rPr>
        <w:t>残疾人福利性单位声明函</w:t>
      </w:r>
    </w:p>
    <w:p w14:paraId="2F015469">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77DB4CD8">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rPr>
        <w:t>单位的______项目采购活动提供本单位制造的货物，或者提供其他残疾人福利性单位制造的货物（不包括使用非残疾人福利性单位注册商标的货物）。</w:t>
      </w:r>
    </w:p>
    <w:p w14:paraId="126AC7DE">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本单位对上述声明的真实性负责。如有虚假，将依法承担相应责任。</w:t>
      </w:r>
    </w:p>
    <w:p w14:paraId="7D6C4455">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2208FB52">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1951D705">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12" w:name="OLE_LINK20"/>
      <w:r>
        <w:rPr>
          <w:rFonts w:hint="default" w:ascii="Times New Roman" w:hAnsi="Times New Roman" w:cs="Times New Roman" w:eastAsiaTheme="minorEastAsia"/>
          <w:sz w:val="28"/>
          <w:szCs w:val="28"/>
          <w:highlight w:val="none"/>
          <w:lang w:eastAsia="zh-CN"/>
        </w:rPr>
        <w:t>单位名称（盖章）：</w:t>
      </w:r>
    </w:p>
    <w:p w14:paraId="41118908">
      <w:pPr>
        <w:pStyle w:val="22"/>
        <w:spacing w:beforeLines="0" w:after="0" w:afterLines="0" w:line="360" w:lineRule="auto"/>
        <w:ind w:left="0" w:leftChars="0"/>
        <w:rPr>
          <w:rFonts w:hint="default" w:ascii="Times New Roman" w:hAnsi="Times New Roman" w:cs="Times New Roman"/>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bookmarkEnd w:id="12"/>
    <w:p w14:paraId="58028B1C">
      <w:pPr>
        <w:spacing w:line="360" w:lineRule="auto"/>
        <w:jc w:val="both"/>
        <w:outlineLvl w:val="2"/>
        <w:rPr>
          <w:rFonts w:hint="default" w:ascii="Times New Roman" w:hAnsi="Times New Roman" w:cs="Times New Roman"/>
          <w:highlight w:val="none"/>
        </w:rPr>
      </w:pPr>
    </w:p>
    <w:p w14:paraId="722CDFB9">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4.其他落实政府采购政策资格要求（如有）</w:t>
      </w:r>
    </w:p>
    <w:p w14:paraId="1C60678A">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5.</w:t>
      </w:r>
      <w:r>
        <w:rPr>
          <w:rFonts w:hint="default" w:ascii="Times New Roman" w:hAnsi="Times New Roman" w:cs="Times New Roman" w:eastAsiaTheme="minorEastAsia"/>
          <w:b/>
          <w:bCs/>
          <w:sz w:val="28"/>
          <w:szCs w:val="28"/>
          <w:highlight w:val="none"/>
          <w:u w:val="single"/>
          <w:lang w:val="en-US"/>
        </w:rPr>
        <w:t>法律、行政法规规定的其他条件</w:t>
      </w:r>
    </w:p>
    <w:p w14:paraId="639D6C70">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6.本项目的特定资格要求</w:t>
      </w:r>
    </w:p>
    <w:p w14:paraId="046535D1">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7.投标保证金证明</w:t>
      </w:r>
    </w:p>
    <w:p w14:paraId="62789418">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eastAsia" w:ascii="Times New Roman" w:hAnsi="Times New Roman" w:cs="Times New Roman" w:eastAsiaTheme="minorEastAsia"/>
          <w:b/>
          <w:bCs/>
          <w:sz w:val="28"/>
          <w:szCs w:val="28"/>
          <w:highlight w:val="none"/>
          <w:u w:val="single"/>
          <w:lang w:val="en-US" w:eastAsia="zh-CN"/>
        </w:rPr>
        <w:t>8</w:t>
      </w:r>
      <w:r>
        <w:rPr>
          <w:rFonts w:hint="default" w:ascii="Times New Roman" w:hAnsi="Times New Roman" w:cs="Times New Roman" w:eastAsiaTheme="minorEastAsia"/>
          <w:b/>
          <w:bCs/>
          <w:sz w:val="28"/>
          <w:szCs w:val="28"/>
          <w:highlight w:val="none"/>
          <w:u w:val="single"/>
          <w:lang w:val="en-US" w:eastAsia="zh-CN"/>
        </w:rPr>
        <w:t>.其他（如有）</w:t>
      </w:r>
    </w:p>
    <w:p w14:paraId="7DB762CD">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p>
    <w:p w14:paraId="4375043B">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br w:type="page"/>
      </w:r>
    </w:p>
    <w:p w14:paraId="0C2942E6">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t>二、符合性审查证明文件</w:t>
      </w:r>
      <w:r>
        <w:rPr>
          <w:rFonts w:hint="eastAsia" w:cs="Times New Roman" w:eastAsiaTheme="minorEastAsia"/>
          <w:b/>
          <w:bCs/>
          <w:sz w:val="28"/>
          <w:szCs w:val="28"/>
          <w:highlight w:val="none"/>
          <w:shd w:val="clear"/>
          <w:lang w:eastAsia="zh-CN"/>
        </w:rPr>
        <w:t>（</w:t>
      </w:r>
      <w:r>
        <w:rPr>
          <w:rFonts w:hint="eastAsia" w:ascii="Times New Roman" w:hAnsi="Times New Roman" w:cs="Times New Roman" w:eastAsiaTheme="minorEastAsia"/>
          <w:b/>
          <w:bCs/>
          <w:sz w:val="28"/>
          <w:szCs w:val="28"/>
          <w:highlight w:val="none"/>
          <w:shd w:val="clear"/>
          <w:lang w:eastAsia="zh-CN"/>
        </w:rPr>
        <w:t>格式</w:t>
      </w:r>
      <w:r>
        <w:rPr>
          <w:rFonts w:hint="default" w:ascii="Times New Roman" w:hAnsi="Times New Roman" w:cs="Times New Roman" w:eastAsiaTheme="minorEastAsia"/>
          <w:b/>
          <w:bCs/>
          <w:sz w:val="28"/>
          <w:szCs w:val="28"/>
          <w:highlight w:val="none"/>
          <w:shd w:val="clear"/>
          <w:lang w:val="zh-CN" w:eastAsia="zh-CN"/>
        </w:rPr>
        <w:t>可根据</w:t>
      </w:r>
      <w:r>
        <w:rPr>
          <w:rFonts w:hint="eastAsia" w:ascii="Times New Roman" w:hAnsi="Times New Roman" w:cs="Times New Roman" w:eastAsiaTheme="minorEastAsia"/>
          <w:b/>
          <w:bCs/>
          <w:sz w:val="28"/>
          <w:szCs w:val="28"/>
          <w:highlight w:val="none"/>
          <w:shd w:val="clear"/>
          <w:lang w:val="zh-CN" w:eastAsia="zh-CN"/>
        </w:rPr>
        <w:t>符合性审查内容自行提供并进行关联</w:t>
      </w:r>
      <w:r>
        <w:rPr>
          <w:rFonts w:hint="eastAsia" w:cs="Times New Roman" w:eastAsiaTheme="minorEastAsia"/>
          <w:b/>
          <w:bCs/>
          <w:sz w:val="28"/>
          <w:szCs w:val="28"/>
          <w:highlight w:val="none"/>
          <w:shd w:val="clear"/>
          <w:lang w:eastAsia="zh-CN"/>
        </w:rPr>
        <w:t>）</w:t>
      </w:r>
    </w:p>
    <w:p w14:paraId="50BDFB4F">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2CDAA5F6">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18BF4AB6">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64CDCA97">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63B43F07">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38B07881">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785E63F5">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5A76EFE3">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3A6AC13F">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1A0114BA">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5966A0F3">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1070DE48">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6D0200E5">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5D028259">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3A6E7D02">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1550A480">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43E7D10A">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5F8604E8">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0B594078">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7AC208CA">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399D29B6">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0956ADD1">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71A20391">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3D7D2096">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217AFFCB">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6696CF13">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48709CE2">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4F0FD968">
      <w:pPr>
        <w:spacing w:beforeLines="0" w:afterLines="0" w:line="360" w:lineRule="auto"/>
        <w:jc w:val="both"/>
        <w:outlineLvl w:val="2"/>
        <w:rPr>
          <w:rFonts w:hint="eastAsia" w:cs="Times New Roman" w:eastAsiaTheme="minorEastAsia"/>
          <w:b/>
          <w:bCs/>
          <w:sz w:val="28"/>
          <w:szCs w:val="28"/>
          <w:highlight w:val="none"/>
          <w:shd w:val="clear"/>
          <w:lang w:val="en-US" w:eastAsia="zh-CN"/>
        </w:rPr>
      </w:pPr>
    </w:p>
    <w:p w14:paraId="50C58B81">
      <w:pPr>
        <w:spacing w:beforeLines="0" w:afterLines="0" w:line="360" w:lineRule="auto"/>
        <w:jc w:val="both"/>
        <w:outlineLvl w:val="2"/>
        <w:rPr>
          <w:rFonts w:hint="eastAsia" w:ascii="Times New Roman" w:hAnsi="Times New Roman" w:cs="Times New Roman" w:eastAsiaTheme="minorEastAsia"/>
          <w:b/>
          <w:bCs/>
          <w:sz w:val="28"/>
          <w:szCs w:val="28"/>
          <w:highlight w:val="none"/>
          <w:shd w:val="clear"/>
          <w:lang w:val="en-US" w:eastAsia="zh-CN"/>
        </w:rPr>
      </w:pPr>
      <w:r>
        <w:rPr>
          <w:rFonts w:hint="eastAsia" w:cs="Times New Roman" w:eastAsiaTheme="minorEastAsia"/>
          <w:b/>
          <w:bCs/>
          <w:sz w:val="28"/>
          <w:szCs w:val="28"/>
          <w:highlight w:val="none"/>
          <w:shd w:val="clear"/>
          <w:lang w:val="en-US" w:eastAsia="zh-CN"/>
        </w:rPr>
        <w:t>三、</w:t>
      </w:r>
      <w:r>
        <w:rPr>
          <w:rFonts w:hint="eastAsia" w:ascii="Times New Roman" w:hAnsi="Times New Roman" w:cs="Times New Roman" w:eastAsiaTheme="minorEastAsia"/>
          <w:b/>
          <w:bCs/>
          <w:sz w:val="28"/>
          <w:szCs w:val="28"/>
          <w:highlight w:val="none"/>
          <w:shd w:val="clear"/>
          <w:lang w:eastAsia="zh-CN"/>
        </w:rPr>
        <w:t>投标文件编制和装订顺序（参考）</w:t>
      </w:r>
    </w:p>
    <w:p w14:paraId="42D84997">
      <w:pPr>
        <w:spacing w:beforeLines="0" w:afterLines="0" w:line="360" w:lineRule="auto"/>
        <w:jc w:val="both"/>
        <w:outlineLvl w:val="2"/>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shd w:val="clear"/>
          <w:lang w:val="en-US" w:eastAsia="zh-CN"/>
        </w:rPr>
        <w:t>1.投标函</w:t>
      </w:r>
    </w:p>
    <w:p w14:paraId="487802D1">
      <w:pPr>
        <w:pStyle w:val="5"/>
        <w:spacing w:before="0" w:beforeLines="0" w:after="0" w:afterLines="0" w:line="360" w:lineRule="auto"/>
        <w:jc w:val="center"/>
        <w:rPr>
          <w:rFonts w:hint="default" w:ascii="Times New Roman" w:hAnsi="Times New Roman" w:cs="Times New Roman" w:eastAsiaTheme="minorEastAsia"/>
          <w:i/>
          <w:iCs/>
          <w:sz w:val="28"/>
          <w:szCs w:val="28"/>
          <w:highlight w:val="none"/>
          <w:u w:val="single"/>
          <w:lang w:eastAsia="zh-CN"/>
        </w:rPr>
      </w:pPr>
      <w:r>
        <w:rPr>
          <w:rFonts w:hint="default" w:ascii="Times New Roman" w:hAnsi="Times New Roman" w:cs="Times New Roman" w:eastAsiaTheme="minorEastAsia"/>
          <w:sz w:val="28"/>
          <w:szCs w:val="28"/>
          <w:highlight w:val="none"/>
        </w:rPr>
        <w:t>投标函</w:t>
      </w:r>
    </w:p>
    <w:p w14:paraId="13EF76A3">
      <w:pPr>
        <w:spacing w:beforeLines="0" w:afterLines="0" w:line="360" w:lineRule="auto"/>
        <w:rPr>
          <w:rFonts w:hint="default" w:ascii="Times New Roman" w:hAnsi="Times New Roman" w:cs="Times New Roman" w:eastAsiaTheme="minorEastAsia"/>
          <w:sz w:val="28"/>
          <w:szCs w:val="28"/>
          <w:highlight w:val="none"/>
        </w:rPr>
      </w:pPr>
      <w:bookmarkStart w:id="13" w:name="OLE_LINK35"/>
      <w:r>
        <w:rPr>
          <w:rFonts w:hint="default" w:ascii="Times New Roman" w:hAnsi="Times New Roman" w:cs="Times New Roman" w:eastAsiaTheme="minorEastAsia"/>
          <w:sz w:val="28"/>
          <w:szCs w:val="28"/>
          <w:highlight w:val="none"/>
        </w:rPr>
        <w:t>致：（采购人/采购代理机构）</w:t>
      </w:r>
    </w:p>
    <w:p w14:paraId="041ED5F2">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我方</w:t>
      </w:r>
      <w:r>
        <w:rPr>
          <w:rFonts w:hint="default" w:ascii="Times New Roman" w:hAnsi="Times New Roman" w:cs="Times New Roman" w:eastAsiaTheme="minorEastAsia"/>
          <w:sz w:val="28"/>
          <w:szCs w:val="28"/>
          <w:highlight w:val="none"/>
          <w:lang w:eastAsia="zh-CN"/>
        </w:rPr>
        <w:t>已详细审查全部招标文件和采购公告，自愿</w:t>
      </w:r>
      <w:r>
        <w:rPr>
          <w:rFonts w:hint="default" w:ascii="Times New Roman" w:hAnsi="Times New Roman" w:cs="Times New Roman" w:eastAsiaTheme="minorEastAsia"/>
          <w:sz w:val="28"/>
          <w:szCs w:val="28"/>
          <w:highlight w:val="none"/>
        </w:rPr>
        <w:t>参加（项目名称）    的投标,并做出如下承诺：</w:t>
      </w:r>
    </w:p>
    <w:p w14:paraId="50989FA1">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一、</w:t>
      </w:r>
      <w:r>
        <w:rPr>
          <w:rFonts w:hint="default" w:ascii="Times New Roman" w:hAnsi="Times New Roman" w:cs="Times New Roman" w:eastAsiaTheme="minorEastAsia"/>
          <w:sz w:val="28"/>
          <w:szCs w:val="28"/>
          <w:highlight w:val="none"/>
          <w:lang w:eastAsia="zh-CN"/>
        </w:rPr>
        <w:t>本投标有效期为自提交投标文件的截止之日起</w:t>
      </w:r>
      <w:r>
        <w:rPr>
          <w:rFonts w:hint="default" w:ascii="Times New Roman" w:hAnsi="Times New Roman" w:cs="Times New Roman" w:eastAsiaTheme="minorEastAsia"/>
          <w:sz w:val="28"/>
          <w:szCs w:val="28"/>
          <w:highlight w:val="none"/>
          <w:lang w:val="en-US" w:eastAsia="zh-CN"/>
        </w:rPr>
        <w:t xml:space="preserve">    个日历日。</w:t>
      </w:r>
    </w:p>
    <w:p w14:paraId="3067B94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二、</w:t>
      </w:r>
      <w:r>
        <w:rPr>
          <w:rFonts w:hint="default" w:ascii="Times New Roman" w:hAnsi="Times New Roman" w:cs="Times New Roman" w:eastAsiaTheme="minorEastAsia"/>
          <w:bCs/>
          <w:sz w:val="28"/>
          <w:szCs w:val="28"/>
          <w:highlight w:val="none"/>
        </w:rPr>
        <w:t>我方授权(姓名和职务)代表我方（投标</w:t>
      </w:r>
      <w:r>
        <w:rPr>
          <w:rFonts w:hint="default" w:ascii="Times New Roman" w:hAnsi="Times New Roman" w:cs="Times New Roman" w:eastAsiaTheme="minorEastAsia"/>
          <w:bCs/>
          <w:sz w:val="28"/>
          <w:szCs w:val="28"/>
          <w:highlight w:val="none"/>
          <w:lang w:eastAsia="zh-CN"/>
        </w:rPr>
        <w:t>人</w:t>
      </w:r>
      <w:r>
        <w:rPr>
          <w:rFonts w:hint="default" w:ascii="Times New Roman" w:hAnsi="Times New Roman" w:cs="Times New Roman" w:eastAsiaTheme="minorEastAsia"/>
          <w:bCs/>
          <w:sz w:val="28"/>
          <w:szCs w:val="28"/>
          <w:highlight w:val="none"/>
        </w:rPr>
        <w:t>名称）全权处理本项目投标的有关事宜。</w:t>
      </w:r>
    </w:p>
    <w:p w14:paraId="0931C26E">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三、我方提供的全部文件资料均是真实、准确的，并对此承担一切法律后果。</w:t>
      </w:r>
    </w:p>
    <w:p w14:paraId="2F98F659">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14:paraId="513F922D">
      <w:pPr>
        <w:spacing w:beforeLines="0" w:afterLines="0" w:line="360" w:lineRule="auto"/>
        <w:ind w:firstLine="560" w:firstLineChars="200"/>
        <w:rPr>
          <w:rFonts w:hint="eastAsia"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eastAsia="zh-CN"/>
        </w:rPr>
        <w:t>五、</w:t>
      </w:r>
      <w:r>
        <w:rPr>
          <w:rFonts w:hint="eastAsia" w:ascii="Times New Roman" w:hAnsi="Times New Roman" w:cs="Times New Roman" w:eastAsiaTheme="minorEastAsia"/>
          <w:sz w:val="28"/>
          <w:szCs w:val="28"/>
          <w:highlight w:val="none"/>
          <w:lang w:val="en-US" w:eastAsia="zh-CN"/>
        </w:rPr>
        <w:t>投标方已详细阅读并理解了招标文件的全部，包括修改文件。我们完全理解并同意放弃对这方面有不明及误解的权利。</w:t>
      </w:r>
    </w:p>
    <w:p w14:paraId="455E70D3">
      <w:pPr>
        <w:spacing w:beforeLines="0" w:afterLines="0" w:line="360" w:lineRule="auto"/>
        <w:ind w:firstLine="560" w:firstLineChars="200"/>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六、在规定的开标时间后，如果在投标有效期内撤回投标，同意投标保证金将被贵方没收。</w:t>
      </w:r>
    </w:p>
    <w:p w14:paraId="077CCE85">
      <w:pPr>
        <w:spacing w:beforeLines="0" w:afterLines="0" w:line="360" w:lineRule="auto"/>
        <w:ind w:firstLine="560" w:firstLineChars="200"/>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七、投标人同意提供按照贵方可能要求的与其投标有关的一切数据或资料，完全理解贵方不一定接受最低价的投标或收到的任何投标的约定。</w:t>
      </w:r>
    </w:p>
    <w:p w14:paraId="1FC7A583">
      <w:pPr>
        <w:pStyle w:val="3"/>
        <w:spacing w:line="360" w:lineRule="auto"/>
        <w:rPr>
          <w:rFonts w:hint="default" w:ascii="Times New Roman" w:hAnsi="Times New Roman"/>
          <w:highlight w:val="none"/>
        </w:rPr>
      </w:pPr>
    </w:p>
    <w:p w14:paraId="5109E3D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67072C43">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地址：                </w:t>
      </w:r>
    </w:p>
    <w:p w14:paraId="7C0E0830">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电话：                    </w:t>
      </w:r>
      <w:r>
        <w:rPr>
          <w:rFonts w:hint="default" w:ascii="Times New Roman" w:hAnsi="Times New Roman" w:cs="Times New Roman" w:eastAsiaTheme="minorEastAsia"/>
          <w:sz w:val="28"/>
          <w:szCs w:val="28"/>
          <w:highlight w:val="none"/>
          <w:lang w:eastAsia="zh-CN"/>
        </w:rPr>
        <w:t>电子</w:t>
      </w:r>
      <w:r>
        <w:rPr>
          <w:rFonts w:hint="default" w:ascii="Times New Roman" w:hAnsi="Times New Roman" w:cs="Times New Roman" w:eastAsiaTheme="minorEastAsia"/>
          <w:sz w:val="28"/>
          <w:szCs w:val="28"/>
          <w:highlight w:val="none"/>
        </w:rPr>
        <w:t xml:space="preserve">传真：                </w:t>
      </w:r>
    </w:p>
    <w:p w14:paraId="4505AA14">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电子邮件：                </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邮政编码</w:t>
      </w:r>
      <w:r>
        <w:rPr>
          <w:rFonts w:hint="default" w:ascii="Times New Roman" w:hAnsi="Times New Roman" w:cs="Times New Roman" w:eastAsiaTheme="minorEastAsia"/>
          <w:sz w:val="28"/>
          <w:szCs w:val="28"/>
          <w:highlight w:val="none"/>
        </w:rPr>
        <w:t xml:space="preserve">：                </w:t>
      </w:r>
    </w:p>
    <w:p w14:paraId="274C53DA">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bookmarkEnd w:id="13"/>
    <w:p w14:paraId="63912829">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3A03ECF6">
      <w:pPr>
        <w:widowControl w:val="0"/>
        <w:spacing w:beforeLines="0" w:afterLines="0" w:line="360" w:lineRule="auto"/>
        <w:jc w:val="both"/>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2.授权委托书</w:t>
      </w:r>
      <w:r>
        <w:rPr>
          <w:rFonts w:hint="default" w:ascii="Times New Roman" w:hAnsi="Times New Roman" w:cs="Times New Roman" w:eastAsiaTheme="minorEastAsia"/>
          <w:b/>
          <w:bCs/>
          <w:i/>
          <w:iCs/>
          <w:sz w:val="28"/>
          <w:szCs w:val="28"/>
          <w:highlight w:val="none"/>
          <w:lang w:val="en-US" w:eastAsia="zh-CN"/>
        </w:rPr>
        <w:t>（法人参加需提供：</w:t>
      </w:r>
      <w:r>
        <w:rPr>
          <w:rFonts w:hint="eastAsia" w:cs="Times New Roman" w:eastAsiaTheme="minorEastAsia"/>
          <w:b/>
          <w:bCs/>
          <w:i/>
          <w:iCs/>
          <w:sz w:val="28"/>
          <w:szCs w:val="28"/>
          <w:highlight w:val="none"/>
          <w:lang w:val="en-US" w:eastAsia="zh-CN"/>
        </w:rPr>
        <w:t>法定代表人身份证明</w:t>
      </w:r>
      <w:r>
        <w:rPr>
          <w:rFonts w:hint="default" w:ascii="Times New Roman" w:hAnsi="Times New Roman" w:cs="Times New Roman" w:eastAsiaTheme="minorEastAsia"/>
          <w:b/>
          <w:bCs/>
          <w:i/>
          <w:iCs/>
          <w:sz w:val="28"/>
          <w:szCs w:val="28"/>
          <w:highlight w:val="none"/>
          <w:lang w:val="en-US" w:eastAsia="zh-CN"/>
        </w:rPr>
        <w:t>原件及本人身份证原件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0ADA304D">
      <w:pPr>
        <w:widowControl w:val="0"/>
        <w:spacing w:beforeLines="0" w:afterLines="0" w:line="360" w:lineRule="auto"/>
        <w:jc w:val="both"/>
        <w:rPr>
          <w:rFonts w:hint="default" w:ascii="Times New Roman" w:hAnsi="Times New Roman" w:cs="Times New Roman" w:eastAsiaTheme="minorEastAsia"/>
          <w:i/>
          <w:iCs/>
          <w:sz w:val="28"/>
          <w:szCs w:val="28"/>
          <w:highlight w:val="none"/>
        </w:rPr>
      </w:pPr>
      <w:r>
        <w:rPr>
          <w:rFonts w:hint="default" w:ascii="Times New Roman" w:hAnsi="Times New Roman" w:cs="Times New Roman" w:eastAsiaTheme="minorEastAsia"/>
          <w:b/>
          <w:bCs/>
          <w:i/>
          <w:iCs/>
          <w:sz w:val="28"/>
          <w:szCs w:val="28"/>
          <w:highlight w:val="none"/>
          <w:lang w:val="en-US" w:eastAsia="zh-CN"/>
        </w:rPr>
        <w:t>被授权人参加需提供：法人代表授权委托书原件及被授权人《居民身份证》原件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FD28B5D">
      <w:pPr>
        <w:spacing w:beforeLines="0" w:afterLines="0" w:line="360" w:lineRule="auto"/>
        <w:ind w:firstLine="0"/>
        <w:jc w:val="center"/>
        <w:outlineLvl w:val="2"/>
        <w:rPr>
          <w:rFonts w:hint="default" w:ascii="Times New Roman" w:hAnsi="Times New Roman" w:cs="Times New Roman" w:eastAsiaTheme="minorEastAsia"/>
          <w:b/>
          <w:bCs/>
          <w:i/>
          <w:iCs/>
          <w:sz w:val="28"/>
          <w:szCs w:val="28"/>
          <w:highlight w:val="none"/>
          <w:u w:val="single"/>
          <w:shd w:val="clear"/>
          <w:lang w:eastAsia="zh-CN"/>
        </w:rPr>
      </w:pPr>
      <w:r>
        <w:rPr>
          <w:rFonts w:hint="default" w:ascii="Times New Roman" w:hAnsi="Times New Roman" w:cs="Times New Roman" w:eastAsiaTheme="minorEastAsia"/>
          <w:b/>
          <w:bCs/>
          <w:sz w:val="28"/>
          <w:szCs w:val="28"/>
          <w:highlight w:val="none"/>
          <w:u w:val="single"/>
          <w:shd w:val="clear"/>
          <w:lang w:eastAsia="zh-CN"/>
        </w:rPr>
        <w:t>授权委托书</w:t>
      </w:r>
    </w:p>
    <w:p w14:paraId="546FB2A7">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eastAsia="zh-CN"/>
        </w:rPr>
      </w:pPr>
    </w:p>
    <w:p w14:paraId="12640479">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val="en-US" w:eastAsia="zh-CN"/>
        </w:rPr>
      </w:pPr>
      <w:r>
        <w:rPr>
          <w:rFonts w:hint="default" w:ascii="Times New Roman" w:hAnsi="Times New Roman" w:cs="Times New Roman" w:eastAsiaTheme="minorEastAsia"/>
          <w:b w:val="0"/>
          <w:sz w:val="28"/>
          <w:szCs w:val="28"/>
          <w:highlight w:val="none"/>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14:paraId="140D1DDA">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委托期限：自本授权委托书签署之日起至投标有效期届满之日止。</w:t>
      </w:r>
    </w:p>
    <w:p w14:paraId="23ACD439">
      <w:pPr>
        <w:spacing w:beforeLines="0" w:afterLines="0" w:line="360" w:lineRule="auto"/>
        <w:ind w:firstLine="0"/>
        <w:jc w:val="left"/>
        <w:outlineLvl w:val="2"/>
        <w:rPr>
          <w:rFonts w:hint="default" w:ascii="Times New Roman" w:hAnsi="Times New Roman" w:cs="Times New Roman" w:eastAsiaTheme="minorEastAsia"/>
          <w:sz w:val="28"/>
          <w:szCs w:val="28"/>
          <w:highlight w:val="none"/>
          <w:u w:val="single"/>
          <w:lang w:val="en-US" w:eastAsia="zh-CN"/>
        </w:rPr>
      </w:pPr>
    </w:p>
    <w:p w14:paraId="24EDFBDC">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投标人（加盖公章）：</w:t>
      </w:r>
    </w:p>
    <w:p w14:paraId="73073073">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法定代表人（单位负责人等）（签字或签章）：</w:t>
      </w:r>
    </w:p>
    <w:p w14:paraId="32F46218">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委托代理人（签字或签章）：</w:t>
      </w:r>
    </w:p>
    <w:p w14:paraId="7CDA701E">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w:t>
      </w:r>
    </w:p>
    <w:p w14:paraId="42DD5DC8">
      <w:pPr>
        <w:spacing w:beforeLines="0" w:afterLines="0" w:line="360" w:lineRule="auto"/>
        <w:jc w:val="left"/>
        <w:outlineLvl w:val="2"/>
        <w:rPr>
          <w:rFonts w:hint="default" w:ascii="Times New Roman" w:hAnsi="Times New Roman" w:cs="Times New Roman" w:eastAsiaTheme="minorEastAsia"/>
          <w:b w:val="0"/>
          <w:sz w:val="28"/>
          <w:szCs w:val="28"/>
          <w:highlight w:val="none"/>
          <w:u w:val="single"/>
          <w:shd w:val="clear"/>
          <w:lang w:eastAsia="zh-CN"/>
        </w:rPr>
      </w:pPr>
    </w:p>
    <w:p w14:paraId="63ECE703">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bookmarkStart w:id="14" w:name="OLE_LINK36"/>
      <w:bookmarkStart w:id="15" w:name="OLE_LINK37"/>
      <w:r>
        <w:rPr>
          <w:rFonts w:hint="default" w:ascii="Times New Roman" w:hAnsi="Times New Roman" w:cs="Times New Roman" w:eastAsiaTheme="minorEastAsia"/>
          <w:b w:val="0"/>
          <w:sz w:val="28"/>
          <w:szCs w:val="28"/>
          <w:highlight w:val="none"/>
          <w:shd w:val="clear"/>
          <w:lang w:val="en-US" w:eastAsia="zh-CN"/>
        </w:rPr>
        <w:t>附：法定代表人（单位负责人等）及委托代理人身份证明文</w:t>
      </w:r>
      <w:bookmarkEnd w:id="14"/>
      <w:r>
        <w:rPr>
          <w:rFonts w:hint="default" w:ascii="Times New Roman" w:hAnsi="Times New Roman" w:cs="Times New Roman" w:eastAsiaTheme="minorEastAsia"/>
          <w:b w:val="0"/>
          <w:sz w:val="28"/>
          <w:szCs w:val="28"/>
          <w:highlight w:val="none"/>
          <w:shd w:val="clear"/>
          <w:lang w:val="en-US" w:eastAsia="zh-CN"/>
        </w:rPr>
        <w:t>件</w:t>
      </w:r>
    </w:p>
    <w:p w14:paraId="411CA16F">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36ECB9D8">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25970D91">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6E89F4F2">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4678E3C2">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48AD3C47">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7B45602F">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0846D160">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2394190B">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69D67F6D">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bookmarkEnd w:id="15"/>
    <w:p w14:paraId="4FB66EE9">
      <w:pPr>
        <w:pStyle w:val="13"/>
        <w:spacing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p>
    <w:p w14:paraId="7D0F04F8">
      <w:pPr>
        <w:pStyle w:val="13"/>
        <w:spacing w:beforeLines="0" w:afterLines="0" w:line="360" w:lineRule="auto"/>
        <w:ind w:firstLine="0" w:firstLineChars="0"/>
        <w:jc w:val="center"/>
        <w:rPr>
          <w:rFonts w:hint="default" w:ascii="Times New Roman" w:hAnsi="Times New Roman" w:cs="Times New Roman" w:eastAsiaTheme="minorEastAsia"/>
          <w:b/>
          <w:bCs/>
          <w:i/>
          <w:iCs/>
          <w:sz w:val="28"/>
          <w:szCs w:val="28"/>
          <w:highlight w:val="none"/>
          <w:lang w:eastAsia="zh-CN"/>
        </w:rPr>
      </w:pPr>
      <w:r>
        <w:rPr>
          <w:rFonts w:hint="default" w:ascii="Times New Roman" w:hAnsi="Times New Roman" w:cs="Times New Roman" w:eastAsiaTheme="minorEastAsia"/>
          <w:b/>
          <w:bCs/>
          <w:sz w:val="28"/>
          <w:szCs w:val="28"/>
          <w:highlight w:val="none"/>
          <w:lang w:eastAsia="zh-CN"/>
        </w:rPr>
        <w:t>法定代表人（单位负责人等）</w:t>
      </w:r>
      <w:r>
        <w:rPr>
          <w:rFonts w:hint="eastAsia" w:ascii="Times New Roman" w:hAnsi="Times New Roman" w:cs="Times New Roman" w:eastAsiaTheme="minorEastAsia"/>
          <w:b/>
          <w:bCs/>
          <w:sz w:val="28"/>
          <w:szCs w:val="28"/>
          <w:highlight w:val="none"/>
          <w:lang w:eastAsia="zh-CN"/>
        </w:rPr>
        <w:t>身份</w:t>
      </w:r>
      <w:r>
        <w:rPr>
          <w:rFonts w:hint="default" w:ascii="Times New Roman" w:hAnsi="Times New Roman" w:cs="Times New Roman" w:eastAsiaTheme="minorEastAsia"/>
          <w:b/>
          <w:bCs/>
          <w:sz w:val="28"/>
          <w:szCs w:val="28"/>
          <w:highlight w:val="none"/>
          <w:lang w:eastAsia="zh-CN"/>
        </w:rPr>
        <w:t>证明</w:t>
      </w:r>
      <w:r>
        <w:rPr>
          <w:rFonts w:hint="default" w:ascii="Times New Roman" w:hAnsi="Times New Roman" w:cs="Times New Roman" w:eastAsiaTheme="minorEastAsia"/>
          <w:b/>
          <w:bCs/>
          <w:i/>
          <w:iCs/>
          <w:sz w:val="28"/>
          <w:szCs w:val="28"/>
          <w:highlight w:val="none"/>
          <w:lang w:eastAsia="zh-CN"/>
        </w:rPr>
        <w:t>（仅供参考）</w:t>
      </w:r>
    </w:p>
    <w:p w14:paraId="44A68117">
      <w:pPr>
        <w:pStyle w:val="22"/>
        <w:spacing w:line="360" w:lineRule="auto"/>
        <w:jc w:val="center"/>
        <w:outlineLvl w:val="2"/>
        <w:rPr>
          <w:rFonts w:hint="default" w:ascii="Times New Roman" w:hAnsi="Times New Roman" w:eastAsia="仿宋_GB2312" w:cs="Times New Roman"/>
          <w:b w:val="0"/>
          <w:sz w:val="21"/>
          <w:szCs w:val="24"/>
          <w:highlight w:val="none"/>
          <w:shd w:val="clear"/>
          <w:lang w:eastAsia="zh-CN"/>
        </w:rPr>
      </w:pPr>
    </w:p>
    <w:p w14:paraId="3D6945A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致：（采购人/采购代理机构）</w:t>
      </w:r>
    </w:p>
    <w:p w14:paraId="5682DFFB">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兹证明，姓名：      性别：       年龄：     职务：    ，系（投标人名称）           的法定代表人（单位负责人等）。</w:t>
      </w:r>
    </w:p>
    <w:p w14:paraId="3CC9EA16">
      <w:pPr>
        <w:spacing w:beforeLines="0" w:afterLines="0" w:line="360" w:lineRule="auto"/>
        <w:ind w:firstLine="600"/>
        <w:rPr>
          <w:rFonts w:hint="default" w:ascii="Times New Roman" w:hAnsi="Times New Roman" w:cs="Times New Roman" w:eastAsiaTheme="minorEastAsia"/>
          <w:sz w:val="28"/>
          <w:szCs w:val="28"/>
          <w:highlight w:val="none"/>
          <w:lang w:eastAsia="zh-CN"/>
        </w:rPr>
      </w:pPr>
    </w:p>
    <w:p w14:paraId="1D610F72">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sz w:val="28"/>
          <w:szCs w:val="28"/>
          <w:highlight w:val="none"/>
          <w:shd w:val="clear"/>
          <w:lang w:val="en-US" w:eastAsia="zh-CN"/>
        </w:rPr>
        <w:t xml:space="preserve">    附：法定代表人（单位负责人等）身份证明文件</w:t>
      </w:r>
    </w:p>
    <w:p w14:paraId="71A197F6">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p>
    <w:p w14:paraId="5E2398E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4AECA079">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法定代表人（单位负责人等）（签字或盖章）</w:t>
      </w:r>
      <w:r>
        <w:rPr>
          <w:rFonts w:hint="default" w:ascii="Times New Roman" w:hAnsi="Times New Roman" w:cs="Times New Roman" w:eastAsiaTheme="minorEastAsia"/>
          <w:sz w:val="28"/>
          <w:szCs w:val="28"/>
          <w:highlight w:val="none"/>
        </w:rPr>
        <w:t xml:space="preserve"> </w:t>
      </w:r>
    </w:p>
    <w:p w14:paraId="3EF6A75F">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p w14:paraId="4B445F1A">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br w:type="page"/>
      </w:r>
    </w:p>
    <w:p w14:paraId="63CBAACF">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3.开标一览表</w:t>
      </w:r>
    </w:p>
    <w:p w14:paraId="6689E92C">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p>
    <w:p w14:paraId="7F064B90">
      <w:pPr>
        <w:pStyle w:val="3"/>
        <w:spacing w:before="124" w:line="221" w:lineRule="auto"/>
        <w:ind w:left="3647"/>
        <w:rPr>
          <w:sz w:val="36"/>
          <w:szCs w:val="36"/>
        </w:rPr>
      </w:pPr>
      <w:r>
        <w:rPr>
          <w:b/>
          <w:bCs/>
          <w:spacing w:val="-6"/>
          <w:sz w:val="36"/>
          <w:szCs w:val="36"/>
        </w:rPr>
        <w:t>开标一览表</w:t>
      </w:r>
    </w:p>
    <w:p w14:paraId="6F752912">
      <w:pPr>
        <w:spacing w:line="321" w:lineRule="auto"/>
        <w:rPr>
          <w:rFonts w:ascii="Arial"/>
          <w:sz w:val="21"/>
        </w:rPr>
      </w:pPr>
    </w:p>
    <w:p w14:paraId="0EC413DF">
      <w:pPr>
        <w:pStyle w:val="3"/>
        <w:spacing w:before="81" w:line="211" w:lineRule="auto"/>
        <w:ind w:left="34"/>
        <w:rPr>
          <w:sz w:val="25"/>
          <w:szCs w:val="25"/>
        </w:rPr>
      </w:pPr>
    </w:p>
    <w:p w14:paraId="16D90920">
      <w:pPr>
        <w:pStyle w:val="3"/>
        <w:spacing w:before="182" w:line="217" w:lineRule="auto"/>
        <w:ind w:left="253"/>
        <w:rPr>
          <w:rFonts w:ascii="Arial" w:hAnsi="Arial" w:eastAsia="Arial" w:cs="Arial"/>
          <w:sz w:val="24"/>
          <w:szCs w:val="24"/>
        </w:rPr>
      </w:pPr>
      <w:r>
        <w:rPr>
          <w:spacing w:val="-1"/>
          <w:sz w:val="24"/>
          <w:szCs w:val="24"/>
        </w:rPr>
        <w:t>项目编号：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w:t>
      </w:r>
    </w:p>
    <w:tbl>
      <w:tblPr>
        <w:tblStyle w:val="37"/>
        <w:tblpPr w:leftFromText="180" w:rightFromText="180" w:vertAnchor="text" w:horzAnchor="page" w:tblpX="1521" w:tblpY="139"/>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10"/>
        <w:gridCol w:w="1800"/>
        <w:gridCol w:w="1680"/>
        <w:gridCol w:w="2122"/>
      </w:tblGrid>
      <w:tr w14:paraId="5044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46" w:type="dxa"/>
            <w:vMerge w:val="restart"/>
            <w:tcBorders>
              <w:bottom w:val="nil"/>
            </w:tcBorders>
            <w:vAlign w:val="top"/>
          </w:tcPr>
          <w:p w14:paraId="5FADCBAC">
            <w:pPr>
              <w:pStyle w:val="40"/>
              <w:spacing w:line="410" w:lineRule="auto"/>
            </w:pPr>
          </w:p>
          <w:p w14:paraId="278B503C">
            <w:pPr>
              <w:spacing w:before="78" w:line="222" w:lineRule="auto"/>
              <w:ind w:left="113"/>
              <w:rPr>
                <w:rFonts w:ascii="宋体" w:hAnsi="宋体" w:eastAsia="宋体" w:cs="宋体"/>
                <w:sz w:val="24"/>
                <w:szCs w:val="24"/>
              </w:rPr>
            </w:pPr>
            <w:r>
              <w:rPr>
                <w:rFonts w:hint="eastAsia" w:ascii="宋体" w:hAnsi="宋体" w:cs="宋体"/>
                <w:b/>
                <w:bCs/>
                <w:spacing w:val="-5"/>
                <w:sz w:val="24"/>
                <w:szCs w:val="24"/>
                <w:lang w:eastAsia="zh-CN"/>
              </w:rPr>
              <w:t>序</w:t>
            </w:r>
            <w:r>
              <w:rPr>
                <w:rFonts w:ascii="宋体" w:hAnsi="宋体" w:eastAsia="宋体" w:cs="宋体"/>
                <w:b/>
                <w:bCs/>
                <w:spacing w:val="-5"/>
                <w:sz w:val="24"/>
                <w:szCs w:val="24"/>
              </w:rPr>
              <w:t>号</w:t>
            </w:r>
          </w:p>
        </w:tc>
        <w:tc>
          <w:tcPr>
            <w:tcW w:w="2610" w:type="dxa"/>
            <w:vMerge w:val="restart"/>
            <w:tcBorders>
              <w:bottom w:val="nil"/>
            </w:tcBorders>
            <w:vAlign w:val="top"/>
          </w:tcPr>
          <w:p w14:paraId="68D07505">
            <w:pPr>
              <w:pStyle w:val="40"/>
              <w:spacing w:line="410" w:lineRule="auto"/>
            </w:pPr>
          </w:p>
          <w:p w14:paraId="1F2F013A">
            <w:pPr>
              <w:spacing w:before="78" w:line="221" w:lineRule="auto"/>
              <w:jc w:val="center"/>
              <w:rPr>
                <w:rFonts w:ascii="宋体" w:hAnsi="宋体" w:eastAsia="宋体" w:cs="宋体"/>
                <w:sz w:val="24"/>
                <w:szCs w:val="24"/>
              </w:rPr>
            </w:pPr>
            <w:r>
              <w:rPr>
                <w:rFonts w:ascii="宋体" w:hAnsi="宋体" w:eastAsia="宋体" w:cs="宋体"/>
                <w:b/>
                <w:bCs/>
                <w:spacing w:val="-4"/>
                <w:sz w:val="24"/>
                <w:szCs w:val="24"/>
              </w:rPr>
              <w:t>投标人名称</w:t>
            </w:r>
          </w:p>
        </w:tc>
        <w:tc>
          <w:tcPr>
            <w:tcW w:w="3480" w:type="dxa"/>
            <w:gridSpan w:val="2"/>
            <w:vAlign w:val="top"/>
          </w:tcPr>
          <w:p w14:paraId="06125E66">
            <w:pPr>
              <w:spacing w:before="150" w:line="219" w:lineRule="auto"/>
              <w:ind w:left="1516"/>
              <w:rPr>
                <w:rFonts w:ascii="宋体" w:hAnsi="宋体" w:eastAsia="宋体" w:cs="宋体"/>
                <w:sz w:val="24"/>
                <w:szCs w:val="24"/>
              </w:rPr>
            </w:pPr>
            <w:r>
              <w:rPr>
                <w:rFonts w:ascii="宋体" w:hAnsi="宋体" w:eastAsia="宋体" w:cs="宋体"/>
                <w:b/>
                <w:bCs/>
                <w:spacing w:val="-5"/>
                <w:sz w:val="24"/>
                <w:szCs w:val="24"/>
              </w:rPr>
              <w:t>投标报价</w:t>
            </w:r>
          </w:p>
        </w:tc>
        <w:tc>
          <w:tcPr>
            <w:tcW w:w="2122" w:type="dxa"/>
            <w:vAlign w:val="top"/>
          </w:tcPr>
          <w:p w14:paraId="3C3B3DB0">
            <w:pPr>
              <w:spacing w:before="150" w:line="219" w:lineRule="auto"/>
              <w:jc w:val="center"/>
              <w:rPr>
                <w:rFonts w:ascii="宋体" w:hAnsi="宋体" w:eastAsia="宋体" w:cs="宋体"/>
                <w:b/>
                <w:bCs/>
                <w:spacing w:val="-5"/>
                <w:sz w:val="24"/>
                <w:szCs w:val="24"/>
              </w:rPr>
            </w:pPr>
            <w:r>
              <w:rPr>
                <w:rFonts w:hint="eastAsia" w:ascii="宋体" w:hAnsi="宋体" w:eastAsia="宋体" w:cs="宋体"/>
                <w:b/>
                <w:bCs/>
                <w:spacing w:val="-5"/>
                <w:sz w:val="24"/>
                <w:szCs w:val="24"/>
                <w:lang w:eastAsia="zh-CN"/>
              </w:rPr>
              <w:t>交货期限</w:t>
            </w:r>
          </w:p>
        </w:tc>
      </w:tr>
      <w:tr w14:paraId="4F74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46" w:type="dxa"/>
            <w:vMerge w:val="continue"/>
            <w:tcBorders>
              <w:top w:val="nil"/>
            </w:tcBorders>
            <w:vAlign w:val="top"/>
          </w:tcPr>
          <w:p w14:paraId="4F1618DF">
            <w:pPr>
              <w:pStyle w:val="40"/>
            </w:pPr>
          </w:p>
        </w:tc>
        <w:tc>
          <w:tcPr>
            <w:tcW w:w="2610" w:type="dxa"/>
            <w:vMerge w:val="continue"/>
            <w:tcBorders>
              <w:top w:val="nil"/>
            </w:tcBorders>
            <w:vAlign w:val="top"/>
          </w:tcPr>
          <w:p w14:paraId="4EFAC8B5">
            <w:pPr>
              <w:pStyle w:val="40"/>
            </w:pPr>
          </w:p>
        </w:tc>
        <w:tc>
          <w:tcPr>
            <w:tcW w:w="1800" w:type="dxa"/>
            <w:vAlign w:val="top"/>
          </w:tcPr>
          <w:p w14:paraId="63B4BDA3">
            <w:pPr>
              <w:spacing w:before="217" w:line="221" w:lineRule="auto"/>
              <w:ind w:left="765"/>
              <w:rPr>
                <w:rFonts w:ascii="宋体" w:hAnsi="宋体" w:eastAsia="宋体" w:cs="宋体"/>
                <w:sz w:val="24"/>
                <w:szCs w:val="24"/>
              </w:rPr>
            </w:pPr>
            <w:r>
              <w:rPr>
                <w:rFonts w:ascii="宋体" w:hAnsi="宋体" w:eastAsia="宋体" w:cs="宋体"/>
                <w:b/>
                <w:bCs/>
                <w:spacing w:val="-6"/>
                <w:sz w:val="24"/>
                <w:szCs w:val="24"/>
              </w:rPr>
              <w:t>大写</w:t>
            </w:r>
          </w:p>
        </w:tc>
        <w:tc>
          <w:tcPr>
            <w:tcW w:w="1680" w:type="dxa"/>
            <w:vAlign w:val="top"/>
          </w:tcPr>
          <w:p w14:paraId="286EF6F2">
            <w:pPr>
              <w:spacing w:before="217" w:line="222" w:lineRule="auto"/>
              <w:ind w:left="768"/>
              <w:rPr>
                <w:rFonts w:ascii="宋体" w:hAnsi="宋体" w:eastAsia="宋体" w:cs="宋体"/>
                <w:sz w:val="24"/>
                <w:szCs w:val="24"/>
              </w:rPr>
            </w:pPr>
            <w:r>
              <w:rPr>
                <w:rFonts w:ascii="宋体" w:hAnsi="宋体" w:eastAsia="宋体" w:cs="宋体"/>
                <w:b/>
                <w:bCs/>
                <w:spacing w:val="-7"/>
                <w:sz w:val="24"/>
                <w:szCs w:val="24"/>
              </w:rPr>
              <w:t>小写</w:t>
            </w:r>
          </w:p>
        </w:tc>
        <w:tc>
          <w:tcPr>
            <w:tcW w:w="2122" w:type="dxa"/>
            <w:vAlign w:val="top"/>
          </w:tcPr>
          <w:p w14:paraId="2A8E75AF">
            <w:pPr>
              <w:spacing w:before="217" w:line="222" w:lineRule="auto"/>
              <w:ind w:left="768"/>
              <w:rPr>
                <w:rFonts w:ascii="宋体" w:hAnsi="宋体" w:eastAsia="宋体" w:cs="宋体"/>
                <w:b/>
                <w:bCs/>
                <w:spacing w:val="-7"/>
                <w:sz w:val="24"/>
                <w:szCs w:val="24"/>
              </w:rPr>
            </w:pPr>
          </w:p>
        </w:tc>
      </w:tr>
      <w:tr w14:paraId="34E9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46" w:type="dxa"/>
            <w:vAlign w:val="top"/>
          </w:tcPr>
          <w:p w14:paraId="55B682C9">
            <w:pPr>
              <w:pStyle w:val="40"/>
            </w:pPr>
          </w:p>
        </w:tc>
        <w:tc>
          <w:tcPr>
            <w:tcW w:w="2610" w:type="dxa"/>
            <w:vAlign w:val="top"/>
          </w:tcPr>
          <w:p w14:paraId="59ADEB46">
            <w:pPr>
              <w:pStyle w:val="40"/>
            </w:pPr>
          </w:p>
        </w:tc>
        <w:tc>
          <w:tcPr>
            <w:tcW w:w="1800" w:type="dxa"/>
            <w:vAlign w:val="top"/>
          </w:tcPr>
          <w:p w14:paraId="272F1076">
            <w:pPr>
              <w:pStyle w:val="40"/>
            </w:pPr>
          </w:p>
        </w:tc>
        <w:tc>
          <w:tcPr>
            <w:tcW w:w="1680" w:type="dxa"/>
            <w:vAlign w:val="top"/>
          </w:tcPr>
          <w:p w14:paraId="6DE3B2C6">
            <w:pPr>
              <w:pStyle w:val="40"/>
            </w:pPr>
          </w:p>
        </w:tc>
        <w:tc>
          <w:tcPr>
            <w:tcW w:w="2122" w:type="dxa"/>
            <w:vAlign w:val="top"/>
          </w:tcPr>
          <w:p w14:paraId="453F6100">
            <w:pPr>
              <w:pStyle w:val="40"/>
            </w:pPr>
          </w:p>
        </w:tc>
      </w:tr>
    </w:tbl>
    <w:p w14:paraId="64D0ACDD">
      <w:pPr>
        <w:spacing w:line="147" w:lineRule="exact"/>
      </w:pPr>
    </w:p>
    <w:p w14:paraId="6F299B57">
      <w:pPr>
        <w:pStyle w:val="3"/>
        <w:keepNext w:val="0"/>
        <w:keepLines w:val="0"/>
        <w:pageBreakBefore w:val="0"/>
        <w:widowControl w:val="0"/>
        <w:kinsoku/>
        <w:wordWrap/>
        <w:overflowPunct/>
        <w:topLinePunct w:val="0"/>
        <w:autoSpaceDE/>
        <w:autoSpaceDN/>
        <w:bidi w:val="0"/>
        <w:adjustRightInd/>
        <w:snapToGrid/>
        <w:spacing w:before="315" w:line="520" w:lineRule="exact"/>
        <w:ind w:left="9"/>
        <w:textAlignment w:val="auto"/>
        <w:rPr>
          <w:rFonts w:ascii="宋体" w:hAnsi="宋体" w:eastAsia="宋体" w:cs="宋体"/>
          <w:b/>
          <w:bCs/>
          <w:kern w:val="2"/>
          <w:sz w:val="24"/>
          <w:szCs w:val="24"/>
          <w:lang w:val="en-US" w:eastAsia="en-US" w:bidi="ar-SA"/>
        </w:rPr>
      </w:pPr>
      <w:r>
        <w:rPr>
          <w:b/>
          <w:bCs/>
          <w:sz w:val="24"/>
          <w:szCs w:val="24"/>
        </w:rPr>
        <w:t>注：</w:t>
      </w:r>
      <w:r>
        <w:rPr>
          <w:rFonts w:ascii="宋体" w:hAnsi="宋体" w:eastAsia="宋体" w:cs="宋体"/>
          <w:b/>
          <w:bCs/>
          <w:kern w:val="2"/>
          <w:sz w:val="24"/>
          <w:szCs w:val="24"/>
          <w:lang w:val="en-US" w:eastAsia="en-US" w:bidi="ar-SA"/>
        </w:rPr>
        <w:t>1</w:t>
      </w:r>
      <w:r>
        <w:rPr>
          <w:rFonts w:hint="eastAsia" w:ascii="宋体" w:hAnsi="宋体" w:eastAsia="宋体" w:cs="宋体"/>
          <w:b/>
          <w:bCs/>
          <w:kern w:val="2"/>
          <w:sz w:val="24"/>
          <w:szCs w:val="24"/>
          <w:lang w:val="en-US" w:eastAsia="zh-CN" w:bidi="ar-SA"/>
        </w:rPr>
        <w:t>、</w:t>
      </w:r>
      <w:r>
        <w:rPr>
          <w:rFonts w:ascii="宋体" w:hAnsi="宋体" w:eastAsia="宋体" w:cs="宋体"/>
          <w:b/>
          <w:bCs/>
          <w:kern w:val="2"/>
          <w:sz w:val="24"/>
          <w:szCs w:val="24"/>
          <w:lang w:val="en-US" w:eastAsia="en-US" w:bidi="ar-SA"/>
        </w:rPr>
        <w:t>此表中，投标报价应和《投标分项报价表》中的总价相一致。</w:t>
      </w:r>
    </w:p>
    <w:p w14:paraId="34C4F6D3">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2、对含糊不清或不确定的报价将视为无效报价。报价表述限于中文大写或阿拉伯数字小写，均已核定准确无误，若投标报价大小写不一致，以大写金额为准。</w:t>
      </w:r>
    </w:p>
    <w:p w14:paraId="10B2F4A5">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3、如果我方中标，我方将在采购文件规定的时间内签订合同。如果我方违约，除没收投标保证金外，贵方有权终止我方中标并选择其它中标供应商。</w:t>
      </w:r>
    </w:p>
    <w:p w14:paraId="1964037B">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4、贵方的中标通知书和本采购投标文件将构成约束双方的合同。</w:t>
      </w:r>
    </w:p>
    <w:p w14:paraId="29ADD17C">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ascii="宋体" w:hAnsi="宋体" w:eastAsia="宋体" w:cs="宋体"/>
          <w:b/>
          <w:bCs/>
          <w:kern w:val="2"/>
          <w:sz w:val="24"/>
          <w:szCs w:val="24"/>
          <w:lang w:val="en-US" w:eastAsia="en-US" w:bidi="ar-SA"/>
        </w:rPr>
      </w:pPr>
      <w:r>
        <w:rPr>
          <w:rFonts w:hint="eastAsia" w:ascii="宋体" w:hAnsi="宋体" w:eastAsia="宋体" w:cs="宋体"/>
          <w:b/>
          <w:bCs/>
          <w:kern w:val="2"/>
          <w:sz w:val="24"/>
          <w:szCs w:val="24"/>
          <w:lang w:val="en-US" w:eastAsia="zh-CN" w:bidi="ar-SA"/>
        </w:rPr>
        <w:t>5、如果我方未中标，贵方没有必要对我方做出任何解释和说明，我方将充分尊重和理解贵方的选择。</w:t>
      </w:r>
    </w:p>
    <w:p w14:paraId="199DFE90">
      <w:pPr>
        <w:spacing w:line="285" w:lineRule="auto"/>
        <w:rPr>
          <w:rFonts w:ascii="Arial"/>
          <w:sz w:val="21"/>
        </w:rPr>
      </w:pPr>
    </w:p>
    <w:p w14:paraId="2BF3FEAB">
      <w:pPr>
        <w:spacing w:line="285" w:lineRule="auto"/>
        <w:rPr>
          <w:rFonts w:ascii="Arial"/>
          <w:sz w:val="21"/>
        </w:rPr>
      </w:pPr>
    </w:p>
    <w:p w14:paraId="37419925">
      <w:pPr>
        <w:pStyle w:val="3"/>
        <w:spacing w:before="79" w:line="217" w:lineRule="auto"/>
        <w:ind w:left="12"/>
        <w:rPr>
          <w:rFonts w:ascii="Arial" w:hAnsi="Arial" w:eastAsia="Arial" w:cs="Arial"/>
          <w:sz w:val="24"/>
          <w:szCs w:val="24"/>
        </w:rPr>
      </w:pPr>
      <w:r>
        <w:rPr>
          <w:spacing w:val="-7"/>
          <w:sz w:val="24"/>
          <w:szCs w:val="24"/>
        </w:rPr>
        <w:t>投标人名称（加盖公章</w:t>
      </w:r>
      <w:r>
        <w:rPr>
          <w:sz w:val="24"/>
          <w:szCs w:val="24"/>
        </w:rPr>
        <w:t>）：</w:t>
      </w:r>
      <w:r>
        <w:rPr>
          <w:rFonts w:ascii="Arial" w:hAnsi="Arial" w:eastAsia="Arial" w:cs="Arial"/>
          <w:spacing w:val="-7"/>
          <w:sz w:val="24"/>
          <w:szCs w:val="24"/>
        </w:rPr>
        <w:t>___________</w:t>
      </w:r>
    </w:p>
    <w:p w14:paraId="4A3FABCB">
      <w:pPr>
        <w:pStyle w:val="3"/>
        <w:spacing w:before="210" w:line="217" w:lineRule="auto"/>
        <w:ind w:left="51"/>
        <w:rPr>
          <w:sz w:val="24"/>
          <w:szCs w:val="24"/>
        </w:rPr>
        <w:sectPr>
          <w:headerReference r:id="rId5" w:type="default"/>
          <w:footerReference r:id="rId6" w:type="default"/>
          <w:pgSz w:w="11907" w:h="16840"/>
          <w:pgMar w:top="1165" w:right="1133" w:bottom="1057" w:left="1700" w:header="830" w:footer="886" w:gutter="0"/>
          <w:pgNumType w:fmt="decimal"/>
          <w:cols w:space="720" w:num="1"/>
        </w:sect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p>
    <w:p w14:paraId="18CBF9CA">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p>
    <w:p w14:paraId="4DCE6D68">
      <w:pPr>
        <w:pStyle w:val="3"/>
        <w:spacing w:before="78" w:line="219" w:lineRule="auto"/>
        <w:ind w:left="124"/>
        <w:rPr>
          <w:rFonts w:hint="default" w:ascii="Times New Roman" w:hAnsi="Times New Roman" w:cs="Times New Roman" w:eastAsiaTheme="minorEastAsia"/>
          <w:b/>
          <w:bCs/>
          <w:kern w:val="2"/>
          <w:sz w:val="28"/>
          <w:szCs w:val="28"/>
          <w:highlight w:val="none"/>
          <w:shd w:val="clear"/>
          <w:lang w:val="en-US" w:eastAsia="zh-CN" w:bidi="ar-SA"/>
        </w:rPr>
      </w:pPr>
      <w:r>
        <w:rPr>
          <w:rFonts w:hint="default" w:ascii="Times New Roman" w:hAnsi="Times New Roman" w:cs="Times New Roman" w:eastAsiaTheme="minorEastAsia"/>
          <w:b/>
          <w:bCs/>
          <w:kern w:val="2"/>
          <w:sz w:val="28"/>
          <w:szCs w:val="28"/>
          <w:highlight w:val="none"/>
          <w:shd w:val="clear"/>
          <w:lang w:val="en-US" w:eastAsia="zh-CN" w:bidi="ar-SA"/>
        </w:rPr>
        <w:t>4</w:t>
      </w:r>
      <w:r>
        <w:rPr>
          <w:rFonts w:hint="eastAsia" w:ascii="Times New Roman" w:hAnsi="Times New Roman" w:cs="Times New Roman" w:eastAsiaTheme="minorEastAsia"/>
          <w:b/>
          <w:bCs/>
          <w:kern w:val="2"/>
          <w:sz w:val="28"/>
          <w:szCs w:val="28"/>
          <w:highlight w:val="none"/>
          <w:shd w:val="clear"/>
          <w:lang w:val="en-US" w:eastAsia="zh-CN" w:bidi="ar-SA"/>
        </w:rPr>
        <w:t>.</w:t>
      </w:r>
      <w:r>
        <w:rPr>
          <w:rFonts w:hint="default" w:ascii="Times New Roman" w:hAnsi="Times New Roman" w:cs="Times New Roman" w:eastAsiaTheme="minorEastAsia"/>
          <w:b/>
          <w:bCs/>
          <w:kern w:val="2"/>
          <w:sz w:val="28"/>
          <w:szCs w:val="28"/>
          <w:highlight w:val="none"/>
          <w:shd w:val="clear"/>
          <w:lang w:val="en-US" w:eastAsia="zh-CN" w:bidi="ar-SA"/>
        </w:rPr>
        <w:t>投标分项报价表</w:t>
      </w:r>
    </w:p>
    <w:p w14:paraId="69AB34FA">
      <w:pPr>
        <w:spacing w:line="363" w:lineRule="auto"/>
        <w:rPr>
          <w:rFonts w:ascii="Arial"/>
          <w:sz w:val="21"/>
        </w:rPr>
      </w:pPr>
    </w:p>
    <w:p w14:paraId="3F767199">
      <w:pPr>
        <w:pStyle w:val="3"/>
        <w:spacing w:before="117" w:line="219" w:lineRule="auto"/>
        <w:ind w:left="5869"/>
        <w:rPr>
          <w:sz w:val="36"/>
          <w:szCs w:val="36"/>
        </w:rPr>
      </w:pPr>
      <w:r>
        <w:rPr>
          <w:b/>
          <w:bCs/>
          <w:spacing w:val="-5"/>
          <w:sz w:val="36"/>
          <w:szCs w:val="36"/>
        </w:rPr>
        <w:t>投标分项报价表</w:t>
      </w:r>
    </w:p>
    <w:p w14:paraId="211079D7">
      <w:pPr>
        <w:spacing w:line="408" w:lineRule="auto"/>
        <w:rPr>
          <w:rFonts w:ascii="Arial"/>
          <w:sz w:val="21"/>
        </w:rPr>
      </w:pPr>
    </w:p>
    <w:p w14:paraId="5251E922">
      <w:pPr>
        <w:pStyle w:val="3"/>
        <w:spacing w:before="81" w:line="212" w:lineRule="auto"/>
        <w:ind w:left="146"/>
        <w:rPr>
          <w:sz w:val="25"/>
          <w:szCs w:val="25"/>
        </w:rPr>
      </w:pPr>
      <w:r>
        <w:rPr>
          <w:b/>
          <w:bCs/>
          <w:i/>
          <w:iCs/>
          <w:color w:val="FF0000"/>
          <w:spacing w:val="-12"/>
          <w:sz w:val="25"/>
          <w:szCs w:val="25"/>
        </w:rPr>
        <w:t>（格式示例一，适用于设备采购）</w:t>
      </w:r>
    </w:p>
    <w:p w14:paraId="1DDD2270">
      <w:pPr>
        <w:pStyle w:val="3"/>
        <w:spacing w:before="264"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37"/>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209"/>
        <w:gridCol w:w="1115"/>
        <w:gridCol w:w="1229"/>
        <w:gridCol w:w="1412"/>
        <w:gridCol w:w="1412"/>
        <w:gridCol w:w="1412"/>
        <w:gridCol w:w="1413"/>
        <w:gridCol w:w="961"/>
        <w:gridCol w:w="971"/>
        <w:gridCol w:w="1203"/>
      </w:tblGrid>
      <w:tr w14:paraId="77C0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88" w:type="dxa"/>
            <w:vAlign w:val="top"/>
          </w:tcPr>
          <w:p w14:paraId="497CCCD3">
            <w:pPr>
              <w:pStyle w:val="40"/>
              <w:spacing w:line="301" w:lineRule="auto"/>
            </w:pPr>
          </w:p>
          <w:p w14:paraId="7E0C6803">
            <w:pPr>
              <w:spacing w:before="78" w:line="222" w:lineRule="auto"/>
              <w:ind w:left="210"/>
              <w:rPr>
                <w:rFonts w:ascii="宋体" w:hAnsi="宋体" w:eastAsia="宋体" w:cs="宋体"/>
                <w:sz w:val="24"/>
                <w:szCs w:val="24"/>
              </w:rPr>
            </w:pPr>
            <w:r>
              <w:rPr>
                <w:rFonts w:ascii="宋体" w:hAnsi="宋体" w:eastAsia="宋体" w:cs="宋体"/>
                <w:b/>
                <w:bCs/>
                <w:spacing w:val="-5"/>
                <w:sz w:val="24"/>
                <w:szCs w:val="24"/>
              </w:rPr>
              <w:t>序号</w:t>
            </w:r>
          </w:p>
        </w:tc>
        <w:tc>
          <w:tcPr>
            <w:tcW w:w="2209" w:type="dxa"/>
            <w:vAlign w:val="top"/>
          </w:tcPr>
          <w:p w14:paraId="1B312CC5">
            <w:pPr>
              <w:pStyle w:val="40"/>
              <w:spacing w:line="302" w:lineRule="auto"/>
            </w:pPr>
            <w:r>
              <w:drawing>
                <wp:anchor distT="0" distB="0" distL="0" distR="0" simplePos="0" relativeHeight="251660288" behindDoc="0" locked="0" layoutInCell="1" allowOverlap="1">
                  <wp:simplePos x="0" y="0"/>
                  <wp:positionH relativeFrom="rightMargin">
                    <wp:posOffset>-778510</wp:posOffset>
                  </wp:positionH>
                  <wp:positionV relativeFrom="topMargin">
                    <wp:posOffset>-3175</wp:posOffset>
                  </wp:positionV>
                  <wp:extent cx="839470" cy="1016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54"/>
                          <a:stretch>
                            <a:fillRect/>
                          </a:stretch>
                        </pic:blipFill>
                        <pic:spPr>
                          <a:xfrm>
                            <a:off x="0" y="0"/>
                            <a:ext cx="839613" cy="10363"/>
                          </a:xfrm>
                          <a:prstGeom prst="rect">
                            <a:avLst/>
                          </a:prstGeom>
                        </pic:spPr>
                      </pic:pic>
                    </a:graphicData>
                  </a:graphic>
                </wp:anchor>
              </w:drawing>
            </w:r>
          </w:p>
          <w:p w14:paraId="123E683B">
            <w:pPr>
              <w:spacing w:before="78" w:line="221" w:lineRule="auto"/>
              <w:ind w:left="634"/>
              <w:rPr>
                <w:rFonts w:ascii="宋体" w:hAnsi="宋体" w:eastAsia="宋体" w:cs="宋体"/>
                <w:sz w:val="24"/>
                <w:szCs w:val="24"/>
              </w:rPr>
            </w:pPr>
            <w:r>
              <w:rPr>
                <w:rFonts w:ascii="宋体" w:hAnsi="宋体" w:eastAsia="宋体" w:cs="宋体"/>
                <w:b/>
                <w:bCs/>
                <w:spacing w:val="-5"/>
                <w:sz w:val="24"/>
                <w:szCs w:val="24"/>
              </w:rPr>
              <w:t>分项名称</w:t>
            </w:r>
          </w:p>
        </w:tc>
        <w:tc>
          <w:tcPr>
            <w:tcW w:w="1115" w:type="dxa"/>
            <w:vAlign w:val="top"/>
          </w:tcPr>
          <w:p w14:paraId="52F76E5D">
            <w:pPr>
              <w:pStyle w:val="40"/>
              <w:spacing w:line="302" w:lineRule="auto"/>
            </w:pPr>
          </w:p>
          <w:p w14:paraId="542E3206">
            <w:pPr>
              <w:spacing w:before="78" w:line="221" w:lineRule="auto"/>
              <w:ind w:left="203"/>
              <w:rPr>
                <w:rFonts w:ascii="宋体" w:hAnsi="宋体" w:eastAsia="宋体" w:cs="宋体"/>
                <w:sz w:val="24"/>
                <w:szCs w:val="24"/>
              </w:rPr>
            </w:pPr>
            <w:r>
              <w:rPr>
                <w:rFonts w:ascii="宋体" w:hAnsi="宋体" w:eastAsia="宋体" w:cs="宋体"/>
                <w:b/>
                <w:bCs/>
                <w:spacing w:val="-6"/>
                <w:sz w:val="24"/>
                <w:szCs w:val="24"/>
              </w:rPr>
              <w:t>制造商</w:t>
            </w:r>
          </w:p>
        </w:tc>
        <w:tc>
          <w:tcPr>
            <w:tcW w:w="1229" w:type="dxa"/>
            <w:vAlign w:val="top"/>
          </w:tcPr>
          <w:p w14:paraId="2C352D76">
            <w:pPr>
              <w:pStyle w:val="40"/>
              <w:spacing w:before="226" w:line="220" w:lineRule="auto"/>
              <w:ind w:left="215"/>
              <w:rPr>
                <w:rFonts w:ascii="宋体" w:hAnsi="宋体" w:eastAsia="宋体" w:cs="宋体"/>
                <w:sz w:val="24"/>
                <w:szCs w:val="24"/>
              </w:rPr>
            </w:pPr>
            <w:r>
              <w:drawing>
                <wp:anchor distT="0" distB="0" distL="0" distR="0" simplePos="0" relativeHeight="251661312" behindDoc="0" locked="0" layoutInCell="1" allowOverlap="1">
                  <wp:simplePos x="0" y="0"/>
                  <wp:positionH relativeFrom="rightMargin">
                    <wp:posOffset>-590550</wp:posOffset>
                  </wp:positionH>
                  <wp:positionV relativeFrom="topMargin">
                    <wp:posOffset>-3175</wp:posOffset>
                  </wp:positionV>
                  <wp:extent cx="610870" cy="1016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55"/>
                          <a:stretch>
                            <a:fillRect/>
                          </a:stretch>
                        </pic:blipFill>
                        <pic:spPr>
                          <a:xfrm>
                            <a:off x="0" y="0"/>
                            <a:ext cx="611002"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p>
          <w:p w14:paraId="3E602CB8">
            <w:pPr>
              <w:spacing w:before="25" w:line="221" w:lineRule="auto"/>
              <w:ind w:left="501"/>
              <w:rPr>
                <w:rFonts w:ascii="宋体" w:hAnsi="宋体" w:eastAsia="宋体" w:cs="宋体"/>
                <w:sz w:val="24"/>
                <w:szCs w:val="24"/>
              </w:rPr>
            </w:pPr>
            <w:r>
              <w:rPr>
                <w:rFonts w:ascii="宋体" w:hAnsi="宋体" w:eastAsia="宋体" w:cs="宋体"/>
                <w:b/>
                <w:bCs/>
                <w:spacing w:val="-3"/>
                <w:sz w:val="24"/>
                <w:szCs w:val="24"/>
              </w:rPr>
              <w:t>别</w:t>
            </w:r>
          </w:p>
        </w:tc>
        <w:tc>
          <w:tcPr>
            <w:tcW w:w="1412" w:type="dxa"/>
            <w:vAlign w:val="top"/>
          </w:tcPr>
          <w:p w14:paraId="3D82E8AD">
            <w:pPr>
              <w:pStyle w:val="40"/>
              <w:spacing w:before="1" w:line="150" w:lineRule="auto"/>
              <w:ind w:left="237" w:right="221" w:hanging="216"/>
              <w:rPr>
                <w:rFonts w:ascii="宋体" w:hAnsi="宋体" w:eastAsia="宋体" w:cs="宋体"/>
                <w:sz w:val="24"/>
                <w:szCs w:val="24"/>
              </w:rPr>
            </w:pPr>
            <w:r>
              <w:rPr>
                <w:spacing w:val="-8"/>
                <w:position w:val="32"/>
                <w:sz w:val="24"/>
                <w:szCs w:val="24"/>
              </w:rPr>
              <w:t>__</w:t>
            </w:r>
            <w:r>
              <w:rPr>
                <w:spacing w:val="21"/>
                <w:position w:val="32"/>
                <w:sz w:val="24"/>
                <w:szCs w:val="24"/>
              </w:rPr>
              <w:t xml:space="preserve"> </w:t>
            </w:r>
            <w:r>
              <w:rPr>
                <w:rFonts w:ascii="宋体" w:hAnsi="宋体" w:eastAsia="宋体" w:cs="宋体"/>
                <w:b/>
                <w:bCs/>
                <w:spacing w:val="-8"/>
                <w:sz w:val="24"/>
                <w:szCs w:val="24"/>
              </w:rPr>
              <w:t>制造商</w:t>
            </w:r>
            <w:r>
              <w:rPr>
                <w:rFonts w:ascii="宋体" w:hAnsi="宋体" w:eastAsia="宋体" w:cs="宋体"/>
                <w:sz w:val="24"/>
                <w:szCs w:val="24"/>
              </w:rPr>
              <w:t xml:space="preserve">  </w:t>
            </w:r>
            <w:r>
              <w:rPr>
                <w:rFonts w:ascii="宋体" w:hAnsi="宋体" w:eastAsia="宋体" w:cs="宋体"/>
                <w:b/>
                <w:bCs/>
                <w:spacing w:val="-6"/>
                <w:sz w:val="24"/>
                <w:szCs w:val="24"/>
              </w:rPr>
              <w:t>统一信用</w:t>
            </w:r>
          </w:p>
          <w:p w14:paraId="6E1415AC">
            <w:pPr>
              <w:spacing w:line="206" w:lineRule="auto"/>
              <w:ind w:left="471"/>
              <w:rPr>
                <w:rFonts w:ascii="宋体" w:hAnsi="宋体" w:eastAsia="宋体" w:cs="宋体"/>
                <w:sz w:val="24"/>
                <w:szCs w:val="24"/>
              </w:rPr>
            </w:pPr>
            <w:r>
              <w:rPr>
                <w:rFonts w:ascii="宋体" w:hAnsi="宋体" w:eastAsia="宋体" w:cs="宋体"/>
                <w:b/>
                <w:bCs/>
                <w:spacing w:val="-5"/>
                <w:sz w:val="24"/>
                <w:szCs w:val="24"/>
              </w:rPr>
              <w:t>代码</w:t>
            </w:r>
          </w:p>
        </w:tc>
        <w:tc>
          <w:tcPr>
            <w:tcW w:w="1412" w:type="dxa"/>
            <w:vAlign w:val="top"/>
          </w:tcPr>
          <w:p w14:paraId="7135B587">
            <w:pPr>
              <w:spacing w:before="226" w:line="242" w:lineRule="auto"/>
              <w:ind w:left="474" w:right="339" w:hanging="119"/>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412" w:type="dxa"/>
            <w:vAlign w:val="top"/>
          </w:tcPr>
          <w:p w14:paraId="63B54F65">
            <w:pPr>
              <w:pStyle w:val="40"/>
              <w:spacing w:line="302" w:lineRule="auto"/>
            </w:pPr>
          </w:p>
          <w:p w14:paraId="566E0326">
            <w:pPr>
              <w:spacing w:before="78" w:line="220" w:lineRule="auto"/>
              <w:ind w:left="492"/>
              <w:rPr>
                <w:rFonts w:ascii="宋体" w:hAnsi="宋体" w:eastAsia="宋体" w:cs="宋体"/>
                <w:sz w:val="24"/>
                <w:szCs w:val="24"/>
              </w:rPr>
            </w:pPr>
            <w:r>
              <w:rPr>
                <w:rFonts w:ascii="宋体" w:hAnsi="宋体" w:eastAsia="宋体" w:cs="宋体"/>
                <w:b/>
                <w:bCs/>
                <w:spacing w:val="-10"/>
                <w:sz w:val="24"/>
                <w:szCs w:val="24"/>
              </w:rPr>
              <w:t>品牌</w:t>
            </w:r>
          </w:p>
        </w:tc>
        <w:tc>
          <w:tcPr>
            <w:tcW w:w="1413" w:type="dxa"/>
            <w:vAlign w:val="top"/>
          </w:tcPr>
          <w:p w14:paraId="1D898975">
            <w:pPr>
              <w:pStyle w:val="40"/>
              <w:spacing w:line="302" w:lineRule="auto"/>
            </w:pPr>
          </w:p>
          <w:p w14:paraId="120E3E09">
            <w:pPr>
              <w:spacing w:before="78" w:line="220" w:lineRule="auto"/>
              <w:ind w:left="120"/>
              <w:rPr>
                <w:rFonts w:ascii="宋体" w:hAnsi="宋体" w:eastAsia="宋体" w:cs="宋体"/>
                <w:sz w:val="24"/>
                <w:szCs w:val="24"/>
              </w:rPr>
            </w:pPr>
            <w:r>
              <w:rPr>
                <w:rFonts w:ascii="宋体" w:hAnsi="宋体" w:eastAsia="宋体" w:cs="宋体"/>
                <w:b/>
                <w:bCs/>
                <w:spacing w:val="-6"/>
                <w:sz w:val="24"/>
                <w:szCs w:val="24"/>
              </w:rPr>
              <w:t>规格、型号</w:t>
            </w:r>
          </w:p>
        </w:tc>
        <w:tc>
          <w:tcPr>
            <w:tcW w:w="961" w:type="dxa"/>
            <w:vAlign w:val="top"/>
          </w:tcPr>
          <w:p w14:paraId="2E083EAF">
            <w:pPr>
              <w:spacing w:before="225" w:line="219" w:lineRule="auto"/>
              <w:ind w:left="251"/>
              <w:rPr>
                <w:rFonts w:ascii="宋体" w:hAnsi="宋体" w:eastAsia="宋体" w:cs="宋体"/>
                <w:sz w:val="24"/>
                <w:szCs w:val="24"/>
              </w:rPr>
            </w:pPr>
            <w:r>
              <w:rPr>
                <w:rFonts w:ascii="宋体" w:hAnsi="宋体" w:eastAsia="宋体" w:cs="宋体"/>
                <w:b/>
                <w:bCs/>
                <w:spacing w:val="-6"/>
                <w:sz w:val="24"/>
                <w:szCs w:val="24"/>
              </w:rPr>
              <w:t>单价</w:t>
            </w:r>
          </w:p>
          <w:p w14:paraId="7D5F1993">
            <w:pPr>
              <w:spacing w:before="27" w:line="221" w:lineRule="auto"/>
              <w:ind w:left="136"/>
              <w:rPr>
                <w:rFonts w:ascii="宋体" w:hAnsi="宋体" w:eastAsia="宋体" w:cs="宋体"/>
                <w:sz w:val="24"/>
                <w:szCs w:val="24"/>
              </w:rPr>
            </w:pPr>
            <w:r>
              <w:rPr>
                <w:rFonts w:ascii="宋体" w:hAnsi="宋体" w:eastAsia="宋体" w:cs="宋体"/>
                <w:b/>
                <w:bCs/>
                <w:spacing w:val="-12"/>
                <w:sz w:val="24"/>
                <w:szCs w:val="24"/>
              </w:rPr>
              <w:t>（元）</w:t>
            </w:r>
          </w:p>
        </w:tc>
        <w:tc>
          <w:tcPr>
            <w:tcW w:w="971" w:type="dxa"/>
            <w:vAlign w:val="top"/>
          </w:tcPr>
          <w:p w14:paraId="54BA015F">
            <w:pPr>
              <w:pStyle w:val="40"/>
              <w:spacing w:line="302" w:lineRule="auto"/>
            </w:pPr>
          </w:p>
          <w:p w14:paraId="77BB7057">
            <w:pPr>
              <w:spacing w:before="78" w:line="220" w:lineRule="auto"/>
              <w:ind w:left="255"/>
              <w:rPr>
                <w:rFonts w:ascii="宋体" w:hAnsi="宋体" w:eastAsia="宋体" w:cs="宋体"/>
                <w:sz w:val="24"/>
                <w:szCs w:val="24"/>
              </w:rPr>
            </w:pPr>
            <w:r>
              <w:rPr>
                <w:rFonts w:ascii="宋体" w:hAnsi="宋体" w:eastAsia="宋体" w:cs="宋体"/>
                <w:b/>
                <w:bCs/>
                <w:spacing w:val="-6"/>
                <w:sz w:val="24"/>
                <w:szCs w:val="24"/>
              </w:rPr>
              <w:t>数量</w:t>
            </w:r>
          </w:p>
        </w:tc>
        <w:tc>
          <w:tcPr>
            <w:tcW w:w="1203" w:type="dxa"/>
            <w:vAlign w:val="top"/>
          </w:tcPr>
          <w:p w14:paraId="7C9F3D57">
            <w:pPr>
              <w:pStyle w:val="40"/>
              <w:spacing w:line="302" w:lineRule="auto"/>
            </w:pPr>
          </w:p>
          <w:p w14:paraId="0DA4D133">
            <w:pPr>
              <w:spacing w:before="78" w:line="219" w:lineRule="auto"/>
              <w:ind w:right="3"/>
              <w:jc w:val="right"/>
              <w:rPr>
                <w:rFonts w:ascii="宋体" w:hAnsi="宋体" w:eastAsia="宋体" w:cs="宋体"/>
                <w:sz w:val="24"/>
                <w:szCs w:val="24"/>
              </w:rPr>
            </w:pPr>
            <w:r>
              <w:rPr>
                <w:rFonts w:ascii="宋体" w:hAnsi="宋体" w:eastAsia="宋体" w:cs="宋体"/>
                <w:b/>
                <w:bCs/>
                <w:spacing w:val="-28"/>
                <w:sz w:val="24"/>
                <w:szCs w:val="24"/>
              </w:rPr>
              <w:t>合价（元）</w:t>
            </w:r>
          </w:p>
        </w:tc>
      </w:tr>
      <w:tr w14:paraId="7BE4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8" w:type="dxa"/>
            <w:vAlign w:val="top"/>
          </w:tcPr>
          <w:p w14:paraId="41CE5B99">
            <w:pPr>
              <w:pStyle w:val="40"/>
              <w:spacing w:before="217" w:line="199" w:lineRule="auto"/>
              <w:ind w:left="391"/>
              <w:rPr>
                <w:sz w:val="24"/>
                <w:szCs w:val="24"/>
              </w:rPr>
            </w:pPr>
            <w:r>
              <w:rPr>
                <w:sz w:val="24"/>
                <w:szCs w:val="24"/>
              </w:rPr>
              <w:t>1</w:t>
            </w:r>
          </w:p>
        </w:tc>
        <w:tc>
          <w:tcPr>
            <w:tcW w:w="2209" w:type="dxa"/>
            <w:vAlign w:val="top"/>
          </w:tcPr>
          <w:p w14:paraId="509CFDC2">
            <w:pPr>
              <w:pStyle w:val="40"/>
              <w:spacing w:before="37" w:line="223" w:lineRule="auto"/>
              <w:ind w:left="752" w:right="223" w:hanging="520"/>
              <w:rPr>
                <w:rFonts w:ascii="宋体" w:hAnsi="宋体" w:eastAsia="宋体" w:cs="宋体"/>
                <w:sz w:val="24"/>
                <w:szCs w:val="24"/>
              </w:rPr>
            </w:pPr>
            <w:r>
              <w:rPr>
                <w:rFonts w:ascii="宋体" w:hAnsi="宋体" w:eastAsia="宋体" w:cs="宋体"/>
                <w:sz w:val="24"/>
                <w:szCs w:val="24"/>
              </w:rPr>
              <w:t>主设备</w:t>
            </w:r>
            <w:r>
              <w:rPr>
                <w:sz w:val="24"/>
                <w:szCs w:val="24"/>
              </w:rPr>
              <w:t>/</w:t>
            </w:r>
            <w:r>
              <w:rPr>
                <w:rFonts w:ascii="宋体" w:hAnsi="宋体" w:eastAsia="宋体" w:cs="宋体"/>
                <w:sz w:val="24"/>
                <w:szCs w:val="24"/>
              </w:rPr>
              <w:t xml:space="preserve">系统及标 </w:t>
            </w:r>
            <w:r>
              <w:rPr>
                <w:rFonts w:ascii="宋体" w:hAnsi="宋体" w:eastAsia="宋体" w:cs="宋体"/>
                <w:spacing w:val="-3"/>
                <w:sz w:val="24"/>
                <w:szCs w:val="24"/>
              </w:rPr>
              <w:t>准附件</w:t>
            </w:r>
          </w:p>
        </w:tc>
        <w:tc>
          <w:tcPr>
            <w:tcW w:w="1115" w:type="dxa"/>
            <w:vAlign w:val="top"/>
          </w:tcPr>
          <w:p w14:paraId="01E1FC10">
            <w:pPr>
              <w:pStyle w:val="40"/>
            </w:pPr>
          </w:p>
        </w:tc>
        <w:tc>
          <w:tcPr>
            <w:tcW w:w="1229" w:type="dxa"/>
            <w:vAlign w:val="top"/>
          </w:tcPr>
          <w:p w14:paraId="49B8F3A5">
            <w:pPr>
              <w:pStyle w:val="40"/>
            </w:pPr>
          </w:p>
        </w:tc>
        <w:tc>
          <w:tcPr>
            <w:tcW w:w="1412" w:type="dxa"/>
            <w:vAlign w:val="top"/>
          </w:tcPr>
          <w:p w14:paraId="2EF913AC">
            <w:pPr>
              <w:pStyle w:val="40"/>
            </w:pPr>
          </w:p>
        </w:tc>
        <w:tc>
          <w:tcPr>
            <w:tcW w:w="1412" w:type="dxa"/>
            <w:vAlign w:val="top"/>
          </w:tcPr>
          <w:p w14:paraId="06A72BA6">
            <w:pPr>
              <w:pStyle w:val="40"/>
            </w:pPr>
          </w:p>
        </w:tc>
        <w:tc>
          <w:tcPr>
            <w:tcW w:w="1412" w:type="dxa"/>
            <w:vAlign w:val="top"/>
          </w:tcPr>
          <w:p w14:paraId="5D1030A6">
            <w:pPr>
              <w:pStyle w:val="40"/>
            </w:pPr>
          </w:p>
        </w:tc>
        <w:tc>
          <w:tcPr>
            <w:tcW w:w="1413" w:type="dxa"/>
            <w:vAlign w:val="top"/>
          </w:tcPr>
          <w:p w14:paraId="270CA813">
            <w:pPr>
              <w:pStyle w:val="40"/>
            </w:pPr>
          </w:p>
        </w:tc>
        <w:tc>
          <w:tcPr>
            <w:tcW w:w="961" w:type="dxa"/>
            <w:vAlign w:val="top"/>
          </w:tcPr>
          <w:p w14:paraId="69A1FB0B">
            <w:pPr>
              <w:pStyle w:val="40"/>
            </w:pPr>
          </w:p>
        </w:tc>
        <w:tc>
          <w:tcPr>
            <w:tcW w:w="971" w:type="dxa"/>
            <w:vAlign w:val="top"/>
          </w:tcPr>
          <w:p w14:paraId="22ED786A">
            <w:pPr>
              <w:pStyle w:val="40"/>
            </w:pPr>
          </w:p>
        </w:tc>
        <w:tc>
          <w:tcPr>
            <w:tcW w:w="1203" w:type="dxa"/>
            <w:vAlign w:val="top"/>
          </w:tcPr>
          <w:p w14:paraId="11FDBA5B">
            <w:pPr>
              <w:pStyle w:val="40"/>
            </w:pPr>
          </w:p>
        </w:tc>
      </w:tr>
      <w:tr w14:paraId="3F69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5CB4701D">
            <w:pPr>
              <w:pStyle w:val="40"/>
              <w:spacing w:before="46" w:line="198" w:lineRule="auto"/>
              <w:ind w:left="278"/>
              <w:rPr>
                <w:sz w:val="24"/>
                <w:szCs w:val="24"/>
              </w:rPr>
            </w:pPr>
            <w:r>
              <w:rPr>
                <w:spacing w:val="6"/>
                <w:sz w:val="24"/>
                <w:szCs w:val="24"/>
              </w:rPr>
              <w:t>1.1</w:t>
            </w:r>
          </w:p>
        </w:tc>
        <w:tc>
          <w:tcPr>
            <w:tcW w:w="2209" w:type="dxa"/>
            <w:vAlign w:val="top"/>
          </w:tcPr>
          <w:p w14:paraId="14D6CFC1">
            <w:pPr>
              <w:pStyle w:val="40"/>
              <w:spacing w:before="194" w:line="80" w:lineRule="exact"/>
              <w:ind w:left="889"/>
              <w:rPr>
                <w:sz w:val="24"/>
                <w:szCs w:val="24"/>
              </w:rPr>
            </w:pPr>
            <w:r>
              <w:rPr>
                <w:spacing w:val="-14"/>
                <w:position w:val="1"/>
                <w:sz w:val="24"/>
                <w:szCs w:val="24"/>
              </w:rPr>
              <w:t>……</w:t>
            </w:r>
          </w:p>
        </w:tc>
        <w:tc>
          <w:tcPr>
            <w:tcW w:w="1115" w:type="dxa"/>
            <w:vAlign w:val="top"/>
          </w:tcPr>
          <w:p w14:paraId="5D0F429B">
            <w:pPr>
              <w:pStyle w:val="40"/>
            </w:pPr>
          </w:p>
        </w:tc>
        <w:tc>
          <w:tcPr>
            <w:tcW w:w="1229" w:type="dxa"/>
            <w:vAlign w:val="top"/>
          </w:tcPr>
          <w:p w14:paraId="487B1F1C">
            <w:pPr>
              <w:pStyle w:val="40"/>
            </w:pPr>
          </w:p>
        </w:tc>
        <w:tc>
          <w:tcPr>
            <w:tcW w:w="1412" w:type="dxa"/>
            <w:vAlign w:val="top"/>
          </w:tcPr>
          <w:p w14:paraId="73854316">
            <w:pPr>
              <w:pStyle w:val="40"/>
            </w:pPr>
          </w:p>
        </w:tc>
        <w:tc>
          <w:tcPr>
            <w:tcW w:w="1412" w:type="dxa"/>
            <w:vAlign w:val="top"/>
          </w:tcPr>
          <w:p w14:paraId="2D7E7228">
            <w:pPr>
              <w:pStyle w:val="40"/>
            </w:pPr>
          </w:p>
        </w:tc>
        <w:tc>
          <w:tcPr>
            <w:tcW w:w="1412" w:type="dxa"/>
            <w:vAlign w:val="top"/>
          </w:tcPr>
          <w:p w14:paraId="745F0E66">
            <w:pPr>
              <w:pStyle w:val="40"/>
            </w:pPr>
          </w:p>
        </w:tc>
        <w:tc>
          <w:tcPr>
            <w:tcW w:w="1413" w:type="dxa"/>
            <w:vAlign w:val="top"/>
          </w:tcPr>
          <w:p w14:paraId="535D33EC">
            <w:pPr>
              <w:pStyle w:val="40"/>
            </w:pPr>
          </w:p>
        </w:tc>
        <w:tc>
          <w:tcPr>
            <w:tcW w:w="961" w:type="dxa"/>
            <w:vAlign w:val="top"/>
          </w:tcPr>
          <w:p w14:paraId="2E9ACD89">
            <w:pPr>
              <w:pStyle w:val="40"/>
            </w:pPr>
          </w:p>
        </w:tc>
        <w:tc>
          <w:tcPr>
            <w:tcW w:w="971" w:type="dxa"/>
            <w:vAlign w:val="top"/>
          </w:tcPr>
          <w:p w14:paraId="594C5852">
            <w:pPr>
              <w:pStyle w:val="40"/>
            </w:pPr>
          </w:p>
        </w:tc>
        <w:tc>
          <w:tcPr>
            <w:tcW w:w="1203" w:type="dxa"/>
            <w:vAlign w:val="top"/>
          </w:tcPr>
          <w:p w14:paraId="534EAF30">
            <w:pPr>
              <w:pStyle w:val="40"/>
            </w:pPr>
          </w:p>
        </w:tc>
      </w:tr>
      <w:tr w14:paraId="7C416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65155022">
            <w:pPr>
              <w:pStyle w:val="40"/>
              <w:spacing w:before="45" w:line="199" w:lineRule="auto"/>
              <w:ind w:left="278"/>
              <w:rPr>
                <w:sz w:val="24"/>
                <w:szCs w:val="24"/>
              </w:rPr>
            </w:pPr>
            <w:r>
              <w:rPr>
                <w:spacing w:val="6"/>
                <w:sz w:val="24"/>
                <w:szCs w:val="24"/>
              </w:rPr>
              <w:t>1.2</w:t>
            </w:r>
          </w:p>
        </w:tc>
        <w:tc>
          <w:tcPr>
            <w:tcW w:w="2209" w:type="dxa"/>
            <w:vAlign w:val="top"/>
          </w:tcPr>
          <w:p w14:paraId="13CA5F74">
            <w:pPr>
              <w:pStyle w:val="40"/>
              <w:spacing w:before="195" w:line="79" w:lineRule="exact"/>
              <w:ind w:left="889"/>
              <w:rPr>
                <w:sz w:val="24"/>
                <w:szCs w:val="24"/>
              </w:rPr>
            </w:pPr>
            <w:r>
              <w:rPr>
                <w:spacing w:val="-14"/>
                <w:position w:val="1"/>
                <w:sz w:val="24"/>
                <w:szCs w:val="24"/>
              </w:rPr>
              <w:t>……</w:t>
            </w:r>
          </w:p>
        </w:tc>
        <w:tc>
          <w:tcPr>
            <w:tcW w:w="1115" w:type="dxa"/>
            <w:vAlign w:val="top"/>
          </w:tcPr>
          <w:p w14:paraId="766CE7A6">
            <w:pPr>
              <w:pStyle w:val="40"/>
            </w:pPr>
          </w:p>
        </w:tc>
        <w:tc>
          <w:tcPr>
            <w:tcW w:w="1229" w:type="dxa"/>
            <w:vAlign w:val="top"/>
          </w:tcPr>
          <w:p w14:paraId="2F2F069D">
            <w:pPr>
              <w:pStyle w:val="40"/>
            </w:pPr>
          </w:p>
        </w:tc>
        <w:tc>
          <w:tcPr>
            <w:tcW w:w="1412" w:type="dxa"/>
            <w:vAlign w:val="top"/>
          </w:tcPr>
          <w:p w14:paraId="4459C75A">
            <w:pPr>
              <w:pStyle w:val="40"/>
            </w:pPr>
          </w:p>
        </w:tc>
        <w:tc>
          <w:tcPr>
            <w:tcW w:w="1412" w:type="dxa"/>
            <w:vAlign w:val="top"/>
          </w:tcPr>
          <w:p w14:paraId="025A610D">
            <w:pPr>
              <w:pStyle w:val="40"/>
            </w:pPr>
          </w:p>
        </w:tc>
        <w:tc>
          <w:tcPr>
            <w:tcW w:w="1412" w:type="dxa"/>
            <w:vAlign w:val="top"/>
          </w:tcPr>
          <w:p w14:paraId="404B9485">
            <w:pPr>
              <w:pStyle w:val="40"/>
            </w:pPr>
          </w:p>
        </w:tc>
        <w:tc>
          <w:tcPr>
            <w:tcW w:w="1413" w:type="dxa"/>
            <w:vAlign w:val="top"/>
          </w:tcPr>
          <w:p w14:paraId="488B8C1A">
            <w:pPr>
              <w:pStyle w:val="40"/>
            </w:pPr>
          </w:p>
        </w:tc>
        <w:tc>
          <w:tcPr>
            <w:tcW w:w="961" w:type="dxa"/>
            <w:vAlign w:val="top"/>
          </w:tcPr>
          <w:p w14:paraId="6C88B61F">
            <w:pPr>
              <w:pStyle w:val="40"/>
            </w:pPr>
          </w:p>
        </w:tc>
        <w:tc>
          <w:tcPr>
            <w:tcW w:w="971" w:type="dxa"/>
            <w:vAlign w:val="top"/>
          </w:tcPr>
          <w:p w14:paraId="792CF4F1">
            <w:pPr>
              <w:pStyle w:val="40"/>
            </w:pPr>
          </w:p>
        </w:tc>
        <w:tc>
          <w:tcPr>
            <w:tcW w:w="1203" w:type="dxa"/>
            <w:vAlign w:val="top"/>
          </w:tcPr>
          <w:p w14:paraId="5E06AEE6">
            <w:pPr>
              <w:pStyle w:val="40"/>
            </w:pPr>
          </w:p>
        </w:tc>
      </w:tr>
      <w:tr w14:paraId="1FD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2A7421EE">
            <w:pPr>
              <w:pStyle w:val="40"/>
              <w:spacing w:before="58" w:line="201" w:lineRule="auto"/>
              <w:ind w:left="382"/>
              <w:rPr>
                <w:sz w:val="24"/>
                <w:szCs w:val="24"/>
              </w:rPr>
            </w:pPr>
            <w:r>
              <w:rPr>
                <w:spacing w:val="1"/>
                <w:sz w:val="24"/>
                <w:szCs w:val="24"/>
              </w:rPr>
              <w:t>2</w:t>
            </w:r>
          </w:p>
        </w:tc>
        <w:tc>
          <w:tcPr>
            <w:tcW w:w="2209" w:type="dxa"/>
            <w:vAlign w:val="top"/>
          </w:tcPr>
          <w:p w14:paraId="14E3C151">
            <w:pPr>
              <w:spacing w:before="36" w:line="207" w:lineRule="auto"/>
              <w:ind w:left="634"/>
              <w:rPr>
                <w:rFonts w:ascii="宋体" w:hAnsi="宋体" w:eastAsia="宋体" w:cs="宋体"/>
                <w:sz w:val="24"/>
                <w:szCs w:val="24"/>
              </w:rPr>
            </w:pPr>
            <w:r>
              <w:rPr>
                <w:rFonts w:ascii="宋体" w:hAnsi="宋体" w:eastAsia="宋体" w:cs="宋体"/>
                <w:spacing w:val="-3"/>
                <w:sz w:val="24"/>
                <w:szCs w:val="24"/>
              </w:rPr>
              <w:t>备品备件</w:t>
            </w:r>
          </w:p>
        </w:tc>
        <w:tc>
          <w:tcPr>
            <w:tcW w:w="1115" w:type="dxa"/>
            <w:vAlign w:val="top"/>
          </w:tcPr>
          <w:p w14:paraId="1FFB98B8">
            <w:pPr>
              <w:pStyle w:val="40"/>
            </w:pPr>
          </w:p>
        </w:tc>
        <w:tc>
          <w:tcPr>
            <w:tcW w:w="1229" w:type="dxa"/>
            <w:vAlign w:val="top"/>
          </w:tcPr>
          <w:p w14:paraId="26C4A5FB">
            <w:pPr>
              <w:pStyle w:val="40"/>
            </w:pPr>
          </w:p>
        </w:tc>
        <w:tc>
          <w:tcPr>
            <w:tcW w:w="1412" w:type="dxa"/>
            <w:vAlign w:val="top"/>
          </w:tcPr>
          <w:p w14:paraId="0DB4C5E1">
            <w:pPr>
              <w:pStyle w:val="40"/>
            </w:pPr>
          </w:p>
        </w:tc>
        <w:tc>
          <w:tcPr>
            <w:tcW w:w="1412" w:type="dxa"/>
            <w:vAlign w:val="top"/>
          </w:tcPr>
          <w:p w14:paraId="4D6DBB1E">
            <w:pPr>
              <w:pStyle w:val="40"/>
            </w:pPr>
          </w:p>
        </w:tc>
        <w:tc>
          <w:tcPr>
            <w:tcW w:w="1412" w:type="dxa"/>
            <w:vAlign w:val="top"/>
          </w:tcPr>
          <w:p w14:paraId="680259AA">
            <w:pPr>
              <w:pStyle w:val="40"/>
            </w:pPr>
          </w:p>
        </w:tc>
        <w:tc>
          <w:tcPr>
            <w:tcW w:w="1413" w:type="dxa"/>
            <w:vAlign w:val="top"/>
          </w:tcPr>
          <w:p w14:paraId="52263AA7">
            <w:pPr>
              <w:pStyle w:val="40"/>
            </w:pPr>
          </w:p>
        </w:tc>
        <w:tc>
          <w:tcPr>
            <w:tcW w:w="961" w:type="dxa"/>
            <w:vAlign w:val="top"/>
          </w:tcPr>
          <w:p w14:paraId="4B012C76">
            <w:pPr>
              <w:pStyle w:val="40"/>
            </w:pPr>
          </w:p>
        </w:tc>
        <w:tc>
          <w:tcPr>
            <w:tcW w:w="971" w:type="dxa"/>
            <w:vAlign w:val="top"/>
          </w:tcPr>
          <w:p w14:paraId="5A9D22AA">
            <w:pPr>
              <w:pStyle w:val="40"/>
            </w:pPr>
          </w:p>
        </w:tc>
        <w:tc>
          <w:tcPr>
            <w:tcW w:w="1203" w:type="dxa"/>
            <w:vAlign w:val="top"/>
          </w:tcPr>
          <w:p w14:paraId="6CD04910">
            <w:pPr>
              <w:pStyle w:val="40"/>
            </w:pPr>
          </w:p>
        </w:tc>
      </w:tr>
      <w:tr w14:paraId="574A1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2508525C">
            <w:pPr>
              <w:pStyle w:val="40"/>
              <w:spacing w:before="59" w:line="201" w:lineRule="auto"/>
              <w:ind w:left="383"/>
              <w:rPr>
                <w:sz w:val="24"/>
                <w:szCs w:val="24"/>
              </w:rPr>
            </w:pPr>
            <w:r>
              <w:rPr>
                <w:sz w:val="24"/>
                <w:szCs w:val="24"/>
              </w:rPr>
              <w:t>3</w:t>
            </w:r>
          </w:p>
        </w:tc>
        <w:tc>
          <w:tcPr>
            <w:tcW w:w="2209" w:type="dxa"/>
            <w:vAlign w:val="top"/>
          </w:tcPr>
          <w:p w14:paraId="4D5E8B73">
            <w:pPr>
              <w:spacing w:before="38" w:line="206" w:lineRule="auto"/>
              <w:ind w:left="632"/>
              <w:rPr>
                <w:rFonts w:ascii="宋体" w:hAnsi="宋体" w:eastAsia="宋体" w:cs="宋体"/>
                <w:sz w:val="24"/>
                <w:szCs w:val="24"/>
              </w:rPr>
            </w:pPr>
            <w:r>
              <w:rPr>
                <w:rFonts w:ascii="宋体" w:hAnsi="宋体" w:eastAsia="宋体" w:cs="宋体"/>
                <w:spacing w:val="-2"/>
                <w:sz w:val="24"/>
                <w:szCs w:val="24"/>
              </w:rPr>
              <w:t>专用工具</w:t>
            </w:r>
          </w:p>
        </w:tc>
        <w:tc>
          <w:tcPr>
            <w:tcW w:w="1115" w:type="dxa"/>
            <w:vAlign w:val="top"/>
          </w:tcPr>
          <w:p w14:paraId="0BBB15F0">
            <w:pPr>
              <w:pStyle w:val="40"/>
            </w:pPr>
          </w:p>
        </w:tc>
        <w:tc>
          <w:tcPr>
            <w:tcW w:w="1229" w:type="dxa"/>
            <w:vAlign w:val="top"/>
          </w:tcPr>
          <w:p w14:paraId="259FD643">
            <w:pPr>
              <w:pStyle w:val="40"/>
            </w:pPr>
          </w:p>
        </w:tc>
        <w:tc>
          <w:tcPr>
            <w:tcW w:w="1412" w:type="dxa"/>
            <w:vAlign w:val="top"/>
          </w:tcPr>
          <w:p w14:paraId="27DF8FC7">
            <w:pPr>
              <w:pStyle w:val="40"/>
            </w:pPr>
          </w:p>
        </w:tc>
        <w:tc>
          <w:tcPr>
            <w:tcW w:w="1412" w:type="dxa"/>
            <w:vAlign w:val="top"/>
          </w:tcPr>
          <w:p w14:paraId="1757C237">
            <w:pPr>
              <w:pStyle w:val="40"/>
            </w:pPr>
          </w:p>
        </w:tc>
        <w:tc>
          <w:tcPr>
            <w:tcW w:w="1412" w:type="dxa"/>
            <w:vAlign w:val="top"/>
          </w:tcPr>
          <w:p w14:paraId="6560C1D5">
            <w:pPr>
              <w:pStyle w:val="40"/>
            </w:pPr>
          </w:p>
        </w:tc>
        <w:tc>
          <w:tcPr>
            <w:tcW w:w="1413" w:type="dxa"/>
            <w:vAlign w:val="top"/>
          </w:tcPr>
          <w:p w14:paraId="7D819A89">
            <w:pPr>
              <w:pStyle w:val="40"/>
            </w:pPr>
          </w:p>
        </w:tc>
        <w:tc>
          <w:tcPr>
            <w:tcW w:w="961" w:type="dxa"/>
            <w:vAlign w:val="top"/>
          </w:tcPr>
          <w:p w14:paraId="48454FF8">
            <w:pPr>
              <w:pStyle w:val="40"/>
            </w:pPr>
          </w:p>
        </w:tc>
        <w:tc>
          <w:tcPr>
            <w:tcW w:w="971" w:type="dxa"/>
            <w:vAlign w:val="top"/>
          </w:tcPr>
          <w:p w14:paraId="39D5C7B0">
            <w:pPr>
              <w:pStyle w:val="40"/>
            </w:pPr>
          </w:p>
        </w:tc>
        <w:tc>
          <w:tcPr>
            <w:tcW w:w="1203" w:type="dxa"/>
            <w:vAlign w:val="top"/>
          </w:tcPr>
          <w:p w14:paraId="4D70BFF3">
            <w:pPr>
              <w:pStyle w:val="40"/>
            </w:pPr>
          </w:p>
        </w:tc>
      </w:tr>
      <w:tr w14:paraId="4D9E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08B44F87">
            <w:pPr>
              <w:pStyle w:val="40"/>
              <w:spacing w:before="62" w:line="199" w:lineRule="auto"/>
              <w:ind w:left="376"/>
              <w:rPr>
                <w:sz w:val="24"/>
                <w:szCs w:val="24"/>
              </w:rPr>
            </w:pPr>
            <w:r>
              <w:rPr>
                <w:spacing w:val="7"/>
                <w:sz w:val="24"/>
                <w:szCs w:val="24"/>
              </w:rPr>
              <w:t>4</w:t>
            </w:r>
          </w:p>
        </w:tc>
        <w:tc>
          <w:tcPr>
            <w:tcW w:w="2209" w:type="dxa"/>
            <w:vAlign w:val="top"/>
          </w:tcPr>
          <w:p w14:paraId="361E6219">
            <w:pPr>
              <w:spacing w:before="38" w:line="206" w:lineRule="auto"/>
              <w:ind w:left="155"/>
              <w:rPr>
                <w:rFonts w:ascii="宋体" w:hAnsi="宋体" w:eastAsia="宋体" w:cs="宋体"/>
                <w:sz w:val="24"/>
                <w:szCs w:val="24"/>
              </w:rPr>
            </w:pPr>
            <w:r>
              <w:rPr>
                <w:rFonts w:ascii="宋体" w:hAnsi="宋体" w:eastAsia="宋体" w:cs="宋体"/>
                <w:spacing w:val="-2"/>
                <w:sz w:val="24"/>
                <w:szCs w:val="24"/>
              </w:rPr>
              <w:t>安装、调试、检验</w:t>
            </w:r>
          </w:p>
        </w:tc>
        <w:tc>
          <w:tcPr>
            <w:tcW w:w="1115" w:type="dxa"/>
            <w:vAlign w:val="top"/>
          </w:tcPr>
          <w:p w14:paraId="5D9AB3D7">
            <w:pPr>
              <w:pStyle w:val="40"/>
            </w:pPr>
          </w:p>
        </w:tc>
        <w:tc>
          <w:tcPr>
            <w:tcW w:w="1229" w:type="dxa"/>
            <w:vAlign w:val="top"/>
          </w:tcPr>
          <w:p w14:paraId="0B773BF1">
            <w:pPr>
              <w:pStyle w:val="40"/>
            </w:pPr>
          </w:p>
        </w:tc>
        <w:tc>
          <w:tcPr>
            <w:tcW w:w="1412" w:type="dxa"/>
            <w:vAlign w:val="top"/>
          </w:tcPr>
          <w:p w14:paraId="57F9E8A4">
            <w:pPr>
              <w:pStyle w:val="40"/>
            </w:pPr>
          </w:p>
        </w:tc>
        <w:tc>
          <w:tcPr>
            <w:tcW w:w="1412" w:type="dxa"/>
            <w:vAlign w:val="top"/>
          </w:tcPr>
          <w:p w14:paraId="3BE1C53F">
            <w:pPr>
              <w:pStyle w:val="40"/>
            </w:pPr>
          </w:p>
        </w:tc>
        <w:tc>
          <w:tcPr>
            <w:tcW w:w="1412" w:type="dxa"/>
            <w:vAlign w:val="top"/>
          </w:tcPr>
          <w:p w14:paraId="46F1423C">
            <w:pPr>
              <w:pStyle w:val="40"/>
            </w:pPr>
          </w:p>
        </w:tc>
        <w:tc>
          <w:tcPr>
            <w:tcW w:w="1413" w:type="dxa"/>
            <w:vAlign w:val="top"/>
          </w:tcPr>
          <w:p w14:paraId="44F61176">
            <w:pPr>
              <w:pStyle w:val="40"/>
            </w:pPr>
          </w:p>
        </w:tc>
        <w:tc>
          <w:tcPr>
            <w:tcW w:w="961" w:type="dxa"/>
            <w:vAlign w:val="top"/>
          </w:tcPr>
          <w:p w14:paraId="3508411D">
            <w:pPr>
              <w:pStyle w:val="40"/>
            </w:pPr>
          </w:p>
        </w:tc>
        <w:tc>
          <w:tcPr>
            <w:tcW w:w="971" w:type="dxa"/>
            <w:vAlign w:val="top"/>
          </w:tcPr>
          <w:p w14:paraId="41D26335">
            <w:pPr>
              <w:pStyle w:val="40"/>
            </w:pPr>
          </w:p>
        </w:tc>
        <w:tc>
          <w:tcPr>
            <w:tcW w:w="1203" w:type="dxa"/>
            <w:vAlign w:val="top"/>
          </w:tcPr>
          <w:p w14:paraId="5408136A">
            <w:pPr>
              <w:pStyle w:val="40"/>
            </w:pPr>
          </w:p>
        </w:tc>
      </w:tr>
      <w:tr w14:paraId="34B38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2459D1CE">
            <w:pPr>
              <w:pStyle w:val="40"/>
              <w:spacing w:before="62" w:line="199" w:lineRule="auto"/>
              <w:ind w:left="383"/>
              <w:rPr>
                <w:sz w:val="24"/>
                <w:szCs w:val="24"/>
              </w:rPr>
            </w:pPr>
            <w:r>
              <w:rPr>
                <w:sz w:val="24"/>
                <w:szCs w:val="24"/>
              </w:rPr>
              <w:t>5</w:t>
            </w:r>
          </w:p>
        </w:tc>
        <w:tc>
          <w:tcPr>
            <w:tcW w:w="2209" w:type="dxa"/>
            <w:vAlign w:val="top"/>
          </w:tcPr>
          <w:p w14:paraId="6550DBF2">
            <w:pPr>
              <w:spacing w:before="39" w:line="205" w:lineRule="auto"/>
              <w:ind w:left="872"/>
              <w:rPr>
                <w:rFonts w:ascii="宋体" w:hAnsi="宋体" w:eastAsia="宋体" w:cs="宋体"/>
                <w:sz w:val="24"/>
                <w:szCs w:val="24"/>
              </w:rPr>
            </w:pPr>
            <w:r>
              <w:rPr>
                <w:rFonts w:ascii="宋体" w:hAnsi="宋体" w:eastAsia="宋体" w:cs="宋体"/>
                <w:spacing w:val="-3"/>
                <w:sz w:val="24"/>
                <w:szCs w:val="24"/>
              </w:rPr>
              <w:t>培训</w:t>
            </w:r>
          </w:p>
        </w:tc>
        <w:tc>
          <w:tcPr>
            <w:tcW w:w="1115" w:type="dxa"/>
            <w:vAlign w:val="top"/>
          </w:tcPr>
          <w:p w14:paraId="3F781589">
            <w:pPr>
              <w:pStyle w:val="40"/>
            </w:pPr>
          </w:p>
        </w:tc>
        <w:tc>
          <w:tcPr>
            <w:tcW w:w="1229" w:type="dxa"/>
            <w:vAlign w:val="top"/>
          </w:tcPr>
          <w:p w14:paraId="1339DBF7">
            <w:pPr>
              <w:pStyle w:val="40"/>
            </w:pPr>
          </w:p>
        </w:tc>
        <w:tc>
          <w:tcPr>
            <w:tcW w:w="1412" w:type="dxa"/>
            <w:vAlign w:val="top"/>
          </w:tcPr>
          <w:p w14:paraId="2A1E7FCF">
            <w:pPr>
              <w:pStyle w:val="40"/>
            </w:pPr>
          </w:p>
        </w:tc>
        <w:tc>
          <w:tcPr>
            <w:tcW w:w="1412" w:type="dxa"/>
            <w:vAlign w:val="top"/>
          </w:tcPr>
          <w:p w14:paraId="327ED625">
            <w:pPr>
              <w:pStyle w:val="40"/>
            </w:pPr>
          </w:p>
        </w:tc>
        <w:tc>
          <w:tcPr>
            <w:tcW w:w="1412" w:type="dxa"/>
            <w:vAlign w:val="top"/>
          </w:tcPr>
          <w:p w14:paraId="16F331B5">
            <w:pPr>
              <w:pStyle w:val="40"/>
            </w:pPr>
          </w:p>
        </w:tc>
        <w:tc>
          <w:tcPr>
            <w:tcW w:w="1413" w:type="dxa"/>
            <w:vAlign w:val="top"/>
          </w:tcPr>
          <w:p w14:paraId="2AB1E27B">
            <w:pPr>
              <w:pStyle w:val="40"/>
            </w:pPr>
          </w:p>
        </w:tc>
        <w:tc>
          <w:tcPr>
            <w:tcW w:w="961" w:type="dxa"/>
            <w:vAlign w:val="top"/>
          </w:tcPr>
          <w:p w14:paraId="51E4D10F">
            <w:pPr>
              <w:pStyle w:val="40"/>
            </w:pPr>
          </w:p>
        </w:tc>
        <w:tc>
          <w:tcPr>
            <w:tcW w:w="971" w:type="dxa"/>
            <w:vAlign w:val="top"/>
          </w:tcPr>
          <w:p w14:paraId="5093D09F">
            <w:pPr>
              <w:pStyle w:val="40"/>
            </w:pPr>
          </w:p>
        </w:tc>
        <w:tc>
          <w:tcPr>
            <w:tcW w:w="1203" w:type="dxa"/>
            <w:vAlign w:val="top"/>
          </w:tcPr>
          <w:p w14:paraId="79BB5EEC">
            <w:pPr>
              <w:pStyle w:val="40"/>
            </w:pPr>
          </w:p>
        </w:tc>
      </w:tr>
      <w:tr w14:paraId="6501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D74F6E4">
            <w:pPr>
              <w:pStyle w:val="40"/>
              <w:spacing w:before="60" w:line="202" w:lineRule="auto"/>
              <w:ind w:left="381"/>
              <w:rPr>
                <w:sz w:val="24"/>
                <w:szCs w:val="24"/>
              </w:rPr>
            </w:pPr>
            <w:r>
              <w:rPr>
                <w:spacing w:val="2"/>
                <w:sz w:val="24"/>
                <w:szCs w:val="24"/>
              </w:rPr>
              <w:t>6</w:t>
            </w:r>
          </w:p>
        </w:tc>
        <w:tc>
          <w:tcPr>
            <w:tcW w:w="2209" w:type="dxa"/>
            <w:vAlign w:val="top"/>
          </w:tcPr>
          <w:p w14:paraId="13F216CB">
            <w:pPr>
              <w:spacing w:before="39" w:line="205" w:lineRule="auto"/>
              <w:ind w:left="631"/>
              <w:rPr>
                <w:rFonts w:ascii="宋体" w:hAnsi="宋体" w:eastAsia="宋体" w:cs="宋体"/>
                <w:sz w:val="24"/>
                <w:szCs w:val="24"/>
              </w:rPr>
            </w:pPr>
            <w:r>
              <w:rPr>
                <w:rFonts w:ascii="宋体" w:hAnsi="宋体" w:eastAsia="宋体" w:cs="宋体"/>
                <w:spacing w:val="-2"/>
                <w:sz w:val="24"/>
                <w:szCs w:val="24"/>
              </w:rPr>
              <w:t>售后服务</w:t>
            </w:r>
          </w:p>
        </w:tc>
        <w:tc>
          <w:tcPr>
            <w:tcW w:w="1115" w:type="dxa"/>
            <w:vAlign w:val="top"/>
          </w:tcPr>
          <w:p w14:paraId="3B732397">
            <w:pPr>
              <w:pStyle w:val="40"/>
            </w:pPr>
          </w:p>
        </w:tc>
        <w:tc>
          <w:tcPr>
            <w:tcW w:w="1229" w:type="dxa"/>
            <w:vAlign w:val="top"/>
          </w:tcPr>
          <w:p w14:paraId="7B8028A0">
            <w:pPr>
              <w:pStyle w:val="40"/>
            </w:pPr>
          </w:p>
        </w:tc>
        <w:tc>
          <w:tcPr>
            <w:tcW w:w="1412" w:type="dxa"/>
            <w:vAlign w:val="top"/>
          </w:tcPr>
          <w:p w14:paraId="5FD353BA">
            <w:pPr>
              <w:pStyle w:val="40"/>
            </w:pPr>
          </w:p>
        </w:tc>
        <w:tc>
          <w:tcPr>
            <w:tcW w:w="1412" w:type="dxa"/>
            <w:vAlign w:val="top"/>
          </w:tcPr>
          <w:p w14:paraId="6D2F94B5">
            <w:pPr>
              <w:pStyle w:val="40"/>
            </w:pPr>
          </w:p>
        </w:tc>
        <w:tc>
          <w:tcPr>
            <w:tcW w:w="1412" w:type="dxa"/>
            <w:vAlign w:val="top"/>
          </w:tcPr>
          <w:p w14:paraId="63ACAC92">
            <w:pPr>
              <w:pStyle w:val="40"/>
            </w:pPr>
          </w:p>
        </w:tc>
        <w:tc>
          <w:tcPr>
            <w:tcW w:w="1413" w:type="dxa"/>
            <w:vAlign w:val="top"/>
          </w:tcPr>
          <w:p w14:paraId="21F809ED">
            <w:pPr>
              <w:pStyle w:val="40"/>
            </w:pPr>
          </w:p>
        </w:tc>
        <w:tc>
          <w:tcPr>
            <w:tcW w:w="961" w:type="dxa"/>
            <w:vAlign w:val="top"/>
          </w:tcPr>
          <w:p w14:paraId="482BBC11">
            <w:pPr>
              <w:pStyle w:val="40"/>
            </w:pPr>
          </w:p>
        </w:tc>
        <w:tc>
          <w:tcPr>
            <w:tcW w:w="971" w:type="dxa"/>
            <w:vAlign w:val="top"/>
          </w:tcPr>
          <w:p w14:paraId="78C5D90F">
            <w:pPr>
              <w:pStyle w:val="40"/>
            </w:pPr>
          </w:p>
        </w:tc>
        <w:tc>
          <w:tcPr>
            <w:tcW w:w="1203" w:type="dxa"/>
            <w:vAlign w:val="top"/>
          </w:tcPr>
          <w:p w14:paraId="72E6FE14">
            <w:pPr>
              <w:pStyle w:val="40"/>
            </w:pPr>
          </w:p>
        </w:tc>
      </w:tr>
      <w:tr w14:paraId="67A76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2C8ABB90">
            <w:pPr>
              <w:pStyle w:val="40"/>
              <w:spacing w:before="61" w:line="199" w:lineRule="auto"/>
              <w:ind w:left="384"/>
              <w:rPr>
                <w:sz w:val="24"/>
                <w:szCs w:val="24"/>
              </w:rPr>
            </w:pPr>
            <w:r>
              <w:rPr>
                <w:sz w:val="24"/>
                <w:szCs w:val="24"/>
              </w:rPr>
              <w:t>7</w:t>
            </w:r>
          </w:p>
        </w:tc>
        <w:tc>
          <w:tcPr>
            <w:tcW w:w="2209" w:type="dxa"/>
            <w:vAlign w:val="top"/>
          </w:tcPr>
          <w:p w14:paraId="05C24BA3">
            <w:pPr>
              <w:spacing w:before="38" w:line="206" w:lineRule="auto"/>
              <w:ind w:left="872"/>
              <w:rPr>
                <w:rFonts w:ascii="宋体" w:hAnsi="宋体" w:eastAsia="宋体" w:cs="宋体"/>
                <w:sz w:val="24"/>
                <w:szCs w:val="24"/>
              </w:rPr>
            </w:pPr>
            <w:r>
              <w:rPr>
                <w:rFonts w:ascii="宋体" w:hAnsi="宋体" w:eastAsia="宋体" w:cs="宋体"/>
                <w:spacing w:val="-3"/>
                <w:sz w:val="24"/>
                <w:szCs w:val="24"/>
              </w:rPr>
              <w:t>其他</w:t>
            </w:r>
          </w:p>
        </w:tc>
        <w:tc>
          <w:tcPr>
            <w:tcW w:w="1115" w:type="dxa"/>
            <w:vAlign w:val="top"/>
          </w:tcPr>
          <w:p w14:paraId="6532C191">
            <w:pPr>
              <w:pStyle w:val="40"/>
            </w:pPr>
          </w:p>
        </w:tc>
        <w:tc>
          <w:tcPr>
            <w:tcW w:w="1229" w:type="dxa"/>
            <w:vAlign w:val="top"/>
          </w:tcPr>
          <w:p w14:paraId="2A1D53B8">
            <w:pPr>
              <w:pStyle w:val="40"/>
            </w:pPr>
          </w:p>
        </w:tc>
        <w:tc>
          <w:tcPr>
            <w:tcW w:w="1412" w:type="dxa"/>
            <w:vAlign w:val="top"/>
          </w:tcPr>
          <w:p w14:paraId="34109254">
            <w:pPr>
              <w:pStyle w:val="40"/>
            </w:pPr>
          </w:p>
        </w:tc>
        <w:tc>
          <w:tcPr>
            <w:tcW w:w="1412" w:type="dxa"/>
            <w:vAlign w:val="top"/>
          </w:tcPr>
          <w:p w14:paraId="04E49899">
            <w:pPr>
              <w:pStyle w:val="40"/>
            </w:pPr>
          </w:p>
        </w:tc>
        <w:tc>
          <w:tcPr>
            <w:tcW w:w="1412" w:type="dxa"/>
            <w:vAlign w:val="top"/>
          </w:tcPr>
          <w:p w14:paraId="2DA8D0B6">
            <w:pPr>
              <w:pStyle w:val="40"/>
            </w:pPr>
          </w:p>
        </w:tc>
        <w:tc>
          <w:tcPr>
            <w:tcW w:w="1413" w:type="dxa"/>
            <w:vAlign w:val="top"/>
          </w:tcPr>
          <w:p w14:paraId="6DEDBAA6">
            <w:pPr>
              <w:pStyle w:val="40"/>
            </w:pPr>
          </w:p>
        </w:tc>
        <w:tc>
          <w:tcPr>
            <w:tcW w:w="961" w:type="dxa"/>
            <w:vAlign w:val="top"/>
          </w:tcPr>
          <w:p w14:paraId="5B379CC2">
            <w:pPr>
              <w:pStyle w:val="40"/>
            </w:pPr>
          </w:p>
        </w:tc>
        <w:tc>
          <w:tcPr>
            <w:tcW w:w="971" w:type="dxa"/>
            <w:vAlign w:val="top"/>
          </w:tcPr>
          <w:p w14:paraId="1AC28A7E">
            <w:pPr>
              <w:pStyle w:val="40"/>
            </w:pPr>
          </w:p>
        </w:tc>
        <w:tc>
          <w:tcPr>
            <w:tcW w:w="1203" w:type="dxa"/>
            <w:vAlign w:val="top"/>
          </w:tcPr>
          <w:p w14:paraId="5107677B">
            <w:pPr>
              <w:pStyle w:val="40"/>
            </w:pPr>
          </w:p>
        </w:tc>
      </w:tr>
      <w:tr w14:paraId="51AD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8" w:type="dxa"/>
            <w:vAlign w:val="top"/>
          </w:tcPr>
          <w:p w14:paraId="3347FD7B">
            <w:pPr>
              <w:pStyle w:val="40"/>
              <w:spacing w:before="214" w:line="202" w:lineRule="auto"/>
              <w:ind w:left="381"/>
              <w:rPr>
                <w:sz w:val="24"/>
                <w:szCs w:val="24"/>
              </w:rPr>
            </w:pPr>
            <w:r>
              <w:rPr>
                <w:spacing w:val="2"/>
                <w:sz w:val="24"/>
                <w:szCs w:val="24"/>
              </w:rPr>
              <w:t>8</w:t>
            </w:r>
          </w:p>
        </w:tc>
        <w:tc>
          <w:tcPr>
            <w:tcW w:w="2209" w:type="dxa"/>
            <w:vAlign w:val="top"/>
          </w:tcPr>
          <w:p w14:paraId="52191FF6">
            <w:pPr>
              <w:spacing w:before="38" w:line="220" w:lineRule="auto"/>
              <w:ind w:left="153"/>
              <w:rPr>
                <w:rFonts w:ascii="宋体" w:hAnsi="宋体" w:eastAsia="宋体" w:cs="宋体"/>
                <w:sz w:val="24"/>
                <w:szCs w:val="24"/>
              </w:rPr>
            </w:pPr>
            <w:r>
              <w:rPr>
                <w:rFonts w:ascii="宋体" w:hAnsi="宋体" w:eastAsia="宋体" w:cs="宋体"/>
                <w:spacing w:val="-2"/>
                <w:sz w:val="24"/>
                <w:szCs w:val="24"/>
              </w:rPr>
              <w:t>至最终目的地运保</w:t>
            </w:r>
          </w:p>
          <w:p w14:paraId="4C61CD7E">
            <w:pPr>
              <w:spacing w:before="26" w:line="204" w:lineRule="auto"/>
              <w:ind w:left="1004"/>
              <w:rPr>
                <w:rFonts w:ascii="宋体" w:hAnsi="宋体" w:eastAsia="宋体" w:cs="宋体"/>
                <w:sz w:val="24"/>
                <w:szCs w:val="24"/>
              </w:rPr>
            </w:pPr>
            <w:r>
              <w:rPr>
                <w:rFonts w:ascii="宋体" w:hAnsi="宋体" w:eastAsia="宋体" w:cs="宋体"/>
                <w:sz w:val="24"/>
                <w:szCs w:val="24"/>
              </w:rPr>
              <w:t>费</w:t>
            </w:r>
          </w:p>
        </w:tc>
        <w:tc>
          <w:tcPr>
            <w:tcW w:w="1115" w:type="dxa"/>
            <w:vAlign w:val="top"/>
          </w:tcPr>
          <w:p w14:paraId="3D965DB1">
            <w:pPr>
              <w:pStyle w:val="40"/>
            </w:pPr>
          </w:p>
        </w:tc>
        <w:tc>
          <w:tcPr>
            <w:tcW w:w="1229" w:type="dxa"/>
            <w:vAlign w:val="top"/>
          </w:tcPr>
          <w:p w14:paraId="6F3CD0CC">
            <w:pPr>
              <w:pStyle w:val="40"/>
            </w:pPr>
          </w:p>
        </w:tc>
        <w:tc>
          <w:tcPr>
            <w:tcW w:w="1412" w:type="dxa"/>
            <w:vAlign w:val="top"/>
          </w:tcPr>
          <w:p w14:paraId="470335E7">
            <w:pPr>
              <w:pStyle w:val="40"/>
            </w:pPr>
          </w:p>
        </w:tc>
        <w:tc>
          <w:tcPr>
            <w:tcW w:w="1412" w:type="dxa"/>
            <w:vAlign w:val="top"/>
          </w:tcPr>
          <w:p w14:paraId="484500BF">
            <w:pPr>
              <w:pStyle w:val="40"/>
            </w:pPr>
          </w:p>
        </w:tc>
        <w:tc>
          <w:tcPr>
            <w:tcW w:w="1412" w:type="dxa"/>
            <w:vAlign w:val="top"/>
          </w:tcPr>
          <w:p w14:paraId="15C9E825">
            <w:pPr>
              <w:pStyle w:val="40"/>
            </w:pPr>
          </w:p>
        </w:tc>
        <w:tc>
          <w:tcPr>
            <w:tcW w:w="1413" w:type="dxa"/>
            <w:vAlign w:val="top"/>
          </w:tcPr>
          <w:p w14:paraId="7EC226CA">
            <w:pPr>
              <w:pStyle w:val="40"/>
            </w:pPr>
          </w:p>
        </w:tc>
        <w:tc>
          <w:tcPr>
            <w:tcW w:w="961" w:type="dxa"/>
            <w:vAlign w:val="top"/>
          </w:tcPr>
          <w:p w14:paraId="6BE58DE6">
            <w:pPr>
              <w:pStyle w:val="40"/>
            </w:pPr>
          </w:p>
        </w:tc>
        <w:tc>
          <w:tcPr>
            <w:tcW w:w="971" w:type="dxa"/>
            <w:vAlign w:val="top"/>
          </w:tcPr>
          <w:p w14:paraId="437A729F">
            <w:pPr>
              <w:pStyle w:val="40"/>
            </w:pPr>
          </w:p>
        </w:tc>
        <w:tc>
          <w:tcPr>
            <w:tcW w:w="1203" w:type="dxa"/>
            <w:vAlign w:val="top"/>
          </w:tcPr>
          <w:p w14:paraId="78D4017C">
            <w:pPr>
              <w:pStyle w:val="40"/>
            </w:pPr>
          </w:p>
        </w:tc>
      </w:tr>
      <w:tr w14:paraId="41B16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22" w:type="dxa"/>
            <w:gridSpan w:val="10"/>
            <w:vAlign w:val="top"/>
          </w:tcPr>
          <w:p w14:paraId="76A13EFE">
            <w:pPr>
              <w:spacing w:before="41" w:line="207" w:lineRule="auto"/>
              <w:ind w:left="5923"/>
              <w:rPr>
                <w:rFonts w:ascii="宋体" w:hAnsi="宋体" w:eastAsia="宋体" w:cs="宋体"/>
                <w:sz w:val="24"/>
                <w:szCs w:val="24"/>
              </w:rPr>
            </w:pPr>
            <w:r>
              <w:rPr>
                <w:rFonts w:ascii="宋体" w:hAnsi="宋体" w:eastAsia="宋体" w:cs="宋体"/>
                <w:b/>
                <w:bCs/>
                <w:spacing w:val="-7"/>
                <w:sz w:val="24"/>
                <w:szCs w:val="24"/>
              </w:rPr>
              <w:t>总价（元）</w:t>
            </w:r>
          </w:p>
        </w:tc>
        <w:tc>
          <w:tcPr>
            <w:tcW w:w="1203" w:type="dxa"/>
            <w:vAlign w:val="top"/>
          </w:tcPr>
          <w:p w14:paraId="7D394C3D">
            <w:pPr>
              <w:pStyle w:val="40"/>
            </w:pPr>
          </w:p>
        </w:tc>
      </w:tr>
    </w:tbl>
    <w:p w14:paraId="5D0070D2">
      <w:pPr>
        <w:pStyle w:val="3"/>
        <w:spacing w:before="276" w:line="212" w:lineRule="auto"/>
        <w:ind w:left="151"/>
        <w:rPr>
          <w:sz w:val="25"/>
          <w:szCs w:val="25"/>
        </w:r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6CBC345B">
      <w:pPr>
        <w:spacing w:line="212" w:lineRule="auto"/>
        <w:rPr>
          <w:sz w:val="25"/>
          <w:szCs w:val="25"/>
        </w:rPr>
      </w:pPr>
    </w:p>
    <w:p w14:paraId="5DB94599">
      <w:pPr>
        <w:spacing w:line="212" w:lineRule="auto"/>
        <w:rPr>
          <w:sz w:val="25"/>
          <w:szCs w:val="25"/>
        </w:rPr>
      </w:pPr>
    </w:p>
    <w:p w14:paraId="245C0D07">
      <w:pPr>
        <w:spacing w:line="212" w:lineRule="auto"/>
        <w:rPr>
          <w:sz w:val="25"/>
          <w:szCs w:val="25"/>
        </w:rPr>
      </w:pPr>
    </w:p>
    <w:p w14:paraId="64B6A109">
      <w:pPr>
        <w:spacing w:line="212" w:lineRule="auto"/>
        <w:rPr>
          <w:sz w:val="25"/>
          <w:szCs w:val="25"/>
        </w:rPr>
      </w:pPr>
    </w:p>
    <w:p w14:paraId="3CD5A01F">
      <w:pPr>
        <w:spacing w:line="212" w:lineRule="auto"/>
        <w:rPr>
          <w:sz w:val="25"/>
          <w:szCs w:val="25"/>
        </w:rPr>
      </w:pPr>
    </w:p>
    <w:p w14:paraId="75B7749A">
      <w:pPr>
        <w:pStyle w:val="3"/>
        <w:spacing w:before="81" w:line="211" w:lineRule="auto"/>
        <w:ind w:left="146"/>
        <w:rPr>
          <w:sz w:val="25"/>
          <w:szCs w:val="25"/>
        </w:rPr>
      </w:pPr>
      <w:r>
        <w:rPr>
          <w:b/>
          <w:bCs/>
          <w:i/>
          <w:iCs/>
          <w:color w:val="FF0000"/>
          <w:spacing w:val="-12"/>
          <w:sz w:val="25"/>
          <w:szCs w:val="25"/>
        </w:rPr>
        <w:t>（格式示例二，适用于多种设备报价）</w:t>
      </w:r>
    </w:p>
    <w:p w14:paraId="0EBDD034">
      <w:pPr>
        <w:pStyle w:val="3"/>
        <w:spacing w:before="265"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37"/>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276"/>
        <w:gridCol w:w="1608"/>
        <w:gridCol w:w="1146"/>
        <w:gridCol w:w="1521"/>
        <w:gridCol w:w="1521"/>
        <w:gridCol w:w="1521"/>
        <w:gridCol w:w="1521"/>
        <w:gridCol w:w="1243"/>
        <w:gridCol w:w="1007"/>
        <w:gridCol w:w="1254"/>
      </w:tblGrid>
      <w:tr w14:paraId="3A1D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07" w:type="dxa"/>
            <w:textDirection w:val="tbRlV"/>
            <w:vAlign w:val="top"/>
          </w:tcPr>
          <w:p w14:paraId="1E7414A4">
            <w:pPr>
              <w:spacing w:before="253" w:line="210" w:lineRule="auto"/>
              <w:ind w:left="226"/>
              <w:rPr>
                <w:rFonts w:ascii="宋体" w:hAnsi="宋体" w:eastAsia="宋体" w:cs="宋体"/>
                <w:sz w:val="24"/>
                <w:szCs w:val="24"/>
              </w:rPr>
            </w:pPr>
            <w:r>
              <w:rPr>
                <w:rFonts w:ascii="宋体" w:hAnsi="宋体" w:eastAsia="宋体" w:cs="宋体"/>
                <w:b/>
                <w:bCs/>
                <w:spacing w:val="33"/>
                <w:sz w:val="24"/>
                <w:szCs w:val="24"/>
              </w:rPr>
              <w:t>序号</w:t>
            </w:r>
          </w:p>
        </w:tc>
        <w:tc>
          <w:tcPr>
            <w:tcW w:w="1276" w:type="dxa"/>
            <w:vAlign w:val="top"/>
          </w:tcPr>
          <w:p w14:paraId="26664590">
            <w:pPr>
              <w:pStyle w:val="40"/>
              <w:spacing w:line="302" w:lineRule="auto"/>
            </w:pPr>
          </w:p>
          <w:p w14:paraId="5E0EFDCB">
            <w:pPr>
              <w:spacing w:before="78" w:line="220" w:lineRule="auto"/>
              <w:ind w:left="115"/>
              <w:rPr>
                <w:rFonts w:ascii="宋体" w:hAnsi="宋体" w:eastAsia="宋体" w:cs="宋体"/>
                <w:sz w:val="24"/>
                <w:szCs w:val="24"/>
              </w:rPr>
            </w:pPr>
            <w:r>
              <w:rPr>
                <w:rFonts w:ascii="宋体" w:hAnsi="宋体" w:eastAsia="宋体" w:cs="宋体"/>
                <w:b/>
                <w:bCs/>
                <w:spacing w:val="-5"/>
                <w:sz w:val="24"/>
                <w:szCs w:val="24"/>
              </w:rPr>
              <w:t>分项名称</w:t>
            </w:r>
          </w:p>
        </w:tc>
        <w:tc>
          <w:tcPr>
            <w:tcW w:w="1608" w:type="dxa"/>
            <w:vAlign w:val="top"/>
          </w:tcPr>
          <w:p w14:paraId="7B41CCF3">
            <w:pPr>
              <w:pStyle w:val="40"/>
              <w:spacing w:line="302" w:lineRule="auto"/>
            </w:pPr>
            <w:r>
              <w:drawing>
                <wp:anchor distT="0" distB="0" distL="0" distR="0" simplePos="0" relativeHeight="251663360" behindDoc="0" locked="0" layoutInCell="1" allowOverlap="1">
                  <wp:simplePos x="0" y="0"/>
                  <wp:positionH relativeFrom="rightMargin">
                    <wp:posOffset>-1028700</wp:posOffset>
                  </wp:positionH>
                  <wp:positionV relativeFrom="topMargin">
                    <wp:posOffset>-3175</wp:posOffset>
                  </wp:positionV>
                  <wp:extent cx="610870" cy="1016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56"/>
                          <a:stretch>
                            <a:fillRect/>
                          </a:stretch>
                        </pic:blipFill>
                        <pic:spPr>
                          <a:xfrm>
                            <a:off x="0" y="0"/>
                            <a:ext cx="611002" cy="10363"/>
                          </a:xfrm>
                          <a:prstGeom prst="rect">
                            <a:avLst/>
                          </a:prstGeom>
                        </pic:spPr>
                      </pic:pic>
                    </a:graphicData>
                  </a:graphic>
                </wp:anchor>
              </w:drawing>
            </w:r>
          </w:p>
          <w:p w14:paraId="231FB542">
            <w:pPr>
              <w:spacing w:before="78" w:line="221" w:lineRule="auto"/>
              <w:ind w:left="112"/>
              <w:rPr>
                <w:rFonts w:ascii="宋体" w:hAnsi="宋体" w:eastAsia="宋体" w:cs="宋体"/>
                <w:sz w:val="24"/>
                <w:szCs w:val="24"/>
              </w:rPr>
            </w:pPr>
            <w:r>
              <w:rPr>
                <w:rFonts w:ascii="宋体" w:hAnsi="宋体" w:eastAsia="宋体" w:cs="宋体"/>
                <w:b/>
                <w:bCs/>
                <w:spacing w:val="-6"/>
                <w:sz w:val="24"/>
                <w:szCs w:val="24"/>
              </w:rPr>
              <w:t>制造商</w:t>
            </w:r>
          </w:p>
        </w:tc>
        <w:tc>
          <w:tcPr>
            <w:tcW w:w="1146" w:type="dxa"/>
            <w:vAlign w:val="top"/>
          </w:tcPr>
          <w:p w14:paraId="30F584DC">
            <w:pPr>
              <w:pStyle w:val="40"/>
              <w:spacing w:before="227" w:line="242" w:lineRule="auto"/>
              <w:ind w:left="115" w:right="227" w:hanging="2"/>
              <w:rPr>
                <w:rFonts w:ascii="宋体" w:hAnsi="宋体" w:eastAsia="宋体" w:cs="宋体"/>
                <w:sz w:val="24"/>
                <w:szCs w:val="24"/>
              </w:rPr>
            </w:pPr>
            <w:r>
              <w:drawing>
                <wp:anchor distT="0" distB="0" distL="0" distR="0" simplePos="0" relativeHeight="251665408" behindDoc="0" locked="0" layoutInCell="1" allowOverlap="1">
                  <wp:simplePos x="0" y="0"/>
                  <wp:positionH relativeFrom="rightMargin">
                    <wp:posOffset>-308610</wp:posOffset>
                  </wp:positionH>
                  <wp:positionV relativeFrom="topMargin">
                    <wp:posOffset>-3175</wp:posOffset>
                  </wp:positionV>
                  <wp:extent cx="306070" cy="1016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57"/>
                          <a:stretch>
                            <a:fillRect/>
                          </a:stretch>
                        </pic:blipFill>
                        <pic:spPr>
                          <a:xfrm>
                            <a:off x="0" y="0"/>
                            <a:ext cx="306186"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r>
              <w:rPr>
                <w:rFonts w:ascii="宋体" w:hAnsi="宋体" w:eastAsia="宋体" w:cs="宋体"/>
                <w:sz w:val="24"/>
                <w:szCs w:val="24"/>
              </w:rPr>
              <w:t xml:space="preserve"> </w:t>
            </w:r>
            <w:r>
              <w:rPr>
                <w:rFonts w:ascii="宋体" w:hAnsi="宋体" w:eastAsia="宋体" w:cs="宋体"/>
                <w:b/>
                <w:bCs/>
                <w:spacing w:val="-3"/>
                <w:sz w:val="24"/>
                <w:szCs w:val="24"/>
              </w:rPr>
              <w:t>别</w:t>
            </w:r>
          </w:p>
        </w:tc>
        <w:tc>
          <w:tcPr>
            <w:tcW w:w="1521" w:type="dxa"/>
            <w:vAlign w:val="top"/>
          </w:tcPr>
          <w:p w14:paraId="0C2AD4F7">
            <w:pPr>
              <w:spacing w:before="70" w:line="221" w:lineRule="auto"/>
              <w:ind w:left="406"/>
              <w:rPr>
                <w:rFonts w:ascii="宋体" w:hAnsi="宋体" w:eastAsia="宋体" w:cs="宋体"/>
                <w:sz w:val="24"/>
                <w:szCs w:val="24"/>
              </w:rPr>
            </w:pPr>
            <w:r>
              <w:drawing>
                <wp:anchor distT="0" distB="0" distL="0" distR="0" simplePos="0" relativeHeight="251664384" behindDoc="0" locked="0" layoutInCell="1" allowOverlap="1">
                  <wp:simplePos x="0" y="0"/>
                  <wp:positionH relativeFrom="rightMargin">
                    <wp:posOffset>-971550</wp:posOffset>
                  </wp:positionH>
                  <wp:positionV relativeFrom="topMargin">
                    <wp:posOffset>-3175</wp:posOffset>
                  </wp:positionV>
                  <wp:extent cx="460375" cy="1016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58"/>
                          <a:stretch>
                            <a:fillRect/>
                          </a:stretch>
                        </pic:blipFill>
                        <pic:spPr>
                          <a:xfrm>
                            <a:off x="0" y="0"/>
                            <a:ext cx="460118" cy="10363"/>
                          </a:xfrm>
                          <a:prstGeom prst="rect">
                            <a:avLst/>
                          </a:prstGeom>
                        </pic:spPr>
                      </pic:pic>
                    </a:graphicData>
                  </a:graphic>
                </wp:anchor>
              </w:drawing>
            </w:r>
            <w:r>
              <w:rPr>
                <w:rFonts w:ascii="宋体" w:hAnsi="宋体" w:eastAsia="宋体" w:cs="宋体"/>
                <w:b/>
                <w:bCs/>
                <w:spacing w:val="-6"/>
                <w:sz w:val="24"/>
                <w:szCs w:val="24"/>
              </w:rPr>
              <w:t>制造商</w:t>
            </w:r>
          </w:p>
          <w:p w14:paraId="16F16DAE">
            <w:pPr>
              <w:spacing w:before="24" w:line="219" w:lineRule="auto"/>
              <w:ind w:left="171"/>
              <w:rPr>
                <w:rFonts w:ascii="宋体" w:hAnsi="宋体" w:eastAsia="宋体" w:cs="宋体"/>
                <w:sz w:val="24"/>
                <w:szCs w:val="24"/>
              </w:rPr>
            </w:pPr>
            <w:r>
              <w:rPr>
                <w:rFonts w:ascii="宋体" w:hAnsi="宋体" w:eastAsia="宋体" w:cs="宋体"/>
                <w:b/>
                <w:bCs/>
                <w:spacing w:val="-5"/>
                <w:sz w:val="24"/>
                <w:szCs w:val="24"/>
              </w:rPr>
              <w:t>统一信用代</w:t>
            </w:r>
          </w:p>
          <w:p w14:paraId="3AED3592">
            <w:pPr>
              <w:spacing w:before="27" w:line="206" w:lineRule="auto"/>
              <w:ind w:left="644"/>
              <w:rPr>
                <w:rFonts w:ascii="宋体" w:hAnsi="宋体" w:eastAsia="宋体" w:cs="宋体"/>
                <w:sz w:val="24"/>
                <w:szCs w:val="24"/>
              </w:rPr>
            </w:pPr>
            <w:r>
              <w:rPr>
                <w:rFonts w:ascii="宋体" w:hAnsi="宋体" w:eastAsia="宋体" w:cs="宋体"/>
                <w:b/>
                <w:bCs/>
                <w:spacing w:val="-3"/>
                <w:sz w:val="24"/>
                <w:szCs w:val="24"/>
              </w:rPr>
              <w:t>码</w:t>
            </w:r>
          </w:p>
        </w:tc>
        <w:tc>
          <w:tcPr>
            <w:tcW w:w="1521" w:type="dxa"/>
            <w:vAlign w:val="top"/>
          </w:tcPr>
          <w:p w14:paraId="53F2B5F8">
            <w:pPr>
              <w:spacing w:before="226" w:line="242" w:lineRule="auto"/>
              <w:ind w:left="526" w:right="397" w:hanging="120"/>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521" w:type="dxa"/>
            <w:vAlign w:val="top"/>
          </w:tcPr>
          <w:p w14:paraId="0131091A">
            <w:pPr>
              <w:pStyle w:val="40"/>
              <w:spacing w:line="302" w:lineRule="auto"/>
            </w:pPr>
          </w:p>
          <w:p w14:paraId="2B9720E9">
            <w:pPr>
              <w:spacing w:before="78" w:line="220" w:lineRule="auto"/>
              <w:ind w:left="548"/>
              <w:rPr>
                <w:rFonts w:ascii="宋体" w:hAnsi="宋体" w:eastAsia="宋体" w:cs="宋体"/>
                <w:sz w:val="24"/>
                <w:szCs w:val="24"/>
              </w:rPr>
            </w:pPr>
            <w:r>
              <w:rPr>
                <w:rFonts w:ascii="宋体" w:hAnsi="宋体" w:eastAsia="宋体" w:cs="宋体"/>
                <w:b/>
                <w:bCs/>
                <w:spacing w:val="-10"/>
                <w:sz w:val="24"/>
                <w:szCs w:val="24"/>
              </w:rPr>
              <w:t>品牌</w:t>
            </w:r>
          </w:p>
        </w:tc>
        <w:tc>
          <w:tcPr>
            <w:tcW w:w="1521" w:type="dxa"/>
            <w:vAlign w:val="top"/>
          </w:tcPr>
          <w:p w14:paraId="2B3CA7DA">
            <w:pPr>
              <w:pStyle w:val="40"/>
              <w:spacing w:line="302" w:lineRule="auto"/>
            </w:pPr>
          </w:p>
          <w:p w14:paraId="11382807">
            <w:pPr>
              <w:spacing w:before="78" w:line="220" w:lineRule="auto"/>
              <w:ind w:left="117"/>
              <w:rPr>
                <w:rFonts w:ascii="宋体" w:hAnsi="宋体" w:eastAsia="宋体" w:cs="宋体"/>
                <w:sz w:val="24"/>
                <w:szCs w:val="24"/>
              </w:rPr>
            </w:pPr>
            <w:r>
              <w:rPr>
                <w:rFonts w:ascii="宋体" w:hAnsi="宋体" w:eastAsia="宋体" w:cs="宋体"/>
                <w:b/>
                <w:bCs/>
                <w:spacing w:val="-4"/>
                <w:sz w:val="24"/>
                <w:szCs w:val="24"/>
              </w:rPr>
              <w:t>规格、型号</w:t>
            </w:r>
          </w:p>
        </w:tc>
        <w:tc>
          <w:tcPr>
            <w:tcW w:w="1243" w:type="dxa"/>
            <w:vAlign w:val="top"/>
          </w:tcPr>
          <w:p w14:paraId="0610D092">
            <w:pPr>
              <w:pStyle w:val="40"/>
              <w:spacing w:line="302" w:lineRule="auto"/>
            </w:pPr>
          </w:p>
          <w:p w14:paraId="4C4B7AEF">
            <w:pPr>
              <w:spacing w:before="78" w:line="219" w:lineRule="auto"/>
              <w:jc w:val="right"/>
              <w:rPr>
                <w:rFonts w:ascii="宋体" w:hAnsi="宋体" w:eastAsia="宋体" w:cs="宋体"/>
                <w:sz w:val="24"/>
                <w:szCs w:val="24"/>
              </w:rPr>
            </w:pPr>
            <w:r>
              <w:rPr>
                <w:rFonts w:ascii="宋体" w:hAnsi="宋体" w:eastAsia="宋体" w:cs="宋体"/>
                <w:b/>
                <w:bCs/>
                <w:spacing w:val="-19"/>
                <w:sz w:val="24"/>
                <w:szCs w:val="24"/>
              </w:rPr>
              <w:t>单价（元）</w:t>
            </w:r>
          </w:p>
        </w:tc>
        <w:tc>
          <w:tcPr>
            <w:tcW w:w="1007" w:type="dxa"/>
            <w:vAlign w:val="top"/>
          </w:tcPr>
          <w:p w14:paraId="2C75D13A">
            <w:pPr>
              <w:pStyle w:val="40"/>
              <w:spacing w:line="302" w:lineRule="auto"/>
            </w:pPr>
          </w:p>
          <w:p w14:paraId="22E155A2">
            <w:pPr>
              <w:spacing w:before="78" w:line="220" w:lineRule="auto"/>
              <w:ind w:left="119"/>
              <w:rPr>
                <w:rFonts w:ascii="宋体" w:hAnsi="宋体" w:eastAsia="宋体" w:cs="宋体"/>
                <w:sz w:val="24"/>
                <w:szCs w:val="24"/>
              </w:rPr>
            </w:pPr>
            <w:r>
              <w:rPr>
                <w:rFonts w:ascii="宋体" w:hAnsi="宋体" w:eastAsia="宋体" w:cs="宋体"/>
                <w:b/>
                <w:bCs/>
                <w:spacing w:val="-6"/>
                <w:sz w:val="24"/>
                <w:szCs w:val="24"/>
              </w:rPr>
              <w:t>数量</w:t>
            </w:r>
          </w:p>
        </w:tc>
        <w:tc>
          <w:tcPr>
            <w:tcW w:w="1254" w:type="dxa"/>
            <w:vAlign w:val="top"/>
          </w:tcPr>
          <w:p w14:paraId="1C4526A3">
            <w:pPr>
              <w:pStyle w:val="40"/>
              <w:spacing w:line="302" w:lineRule="auto"/>
            </w:pPr>
          </w:p>
          <w:p w14:paraId="3604C0B1">
            <w:pPr>
              <w:spacing w:before="78" w:line="219" w:lineRule="auto"/>
              <w:jc w:val="right"/>
              <w:rPr>
                <w:rFonts w:ascii="宋体" w:hAnsi="宋体" w:eastAsia="宋体" w:cs="宋体"/>
                <w:sz w:val="24"/>
                <w:szCs w:val="24"/>
              </w:rPr>
            </w:pPr>
            <w:r>
              <w:rPr>
                <w:rFonts w:ascii="宋体" w:hAnsi="宋体" w:eastAsia="宋体" w:cs="宋体"/>
                <w:b/>
                <w:bCs/>
                <w:spacing w:val="-18"/>
                <w:sz w:val="24"/>
                <w:szCs w:val="24"/>
              </w:rPr>
              <w:t>合价（元）</w:t>
            </w:r>
          </w:p>
        </w:tc>
      </w:tr>
      <w:tr w14:paraId="3EC7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100EA6BE">
            <w:pPr>
              <w:pStyle w:val="40"/>
              <w:spacing w:before="46" w:line="198" w:lineRule="auto"/>
              <w:ind w:left="134"/>
              <w:rPr>
                <w:sz w:val="24"/>
                <w:szCs w:val="24"/>
              </w:rPr>
            </w:pPr>
            <w:r>
              <w:rPr>
                <w:sz w:val="24"/>
                <w:szCs w:val="24"/>
              </w:rPr>
              <w:t>1</w:t>
            </w:r>
          </w:p>
        </w:tc>
        <w:tc>
          <w:tcPr>
            <w:tcW w:w="1276" w:type="dxa"/>
            <w:vAlign w:val="top"/>
          </w:tcPr>
          <w:p w14:paraId="772C0876">
            <w:pPr>
              <w:pStyle w:val="40"/>
            </w:pPr>
          </w:p>
        </w:tc>
        <w:tc>
          <w:tcPr>
            <w:tcW w:w="1608" w:type="dxa"/>
            <w:vAlign w:val="top"/>
          </w:tcPr>
          <w:p w14:paraId="38FE4BCC">
            <w:pPr>
              <w:pStyle w:val="40"/>
            </w:pPr>
          </w:p>
        </w:tc>
        <w:tc>
          <w:tcPr>
            <w:tcW w:w="1146" w:type="dxa"/>
            <w:vAlign w:val="top"/>
          </w:tcPr>
          <w:p w14:paraId="5A050905">
            <w:pPr>
              <w:pStyle w:val="40"/>
            </w:pPr>
          </w:p>
        </w:tc>
        <w:tc>
          <w:tcPr>
            <w:tcW w:w="1521" w:type="dxa"/>
            <w:vAlign w:val="top"/>
          </w:tcPr>
          <w:p w14:paraId="733307EC">
            <w:pPr>
              <w:pStyle w:val="40"/>
            </w:pPr>
          </w:p>
        </w:tc>
        <w:tc>
          <w:tcPr>
            <w:tcW w:w="1521" w:type="dxa"/>
            <w:vAlign w:val="top"/>
          </w:tcPr>
          <w:p w14:paraId="164DE3B4">
            <w:pPr>
              <w:pStyle w:val="40"/>
            </w:pPr>
          </w:p>
        </w:tc>
        <w:tc>
          <w:tcPr>
            <w:tcW w:w="1521" w:type="dxa"/>
            <w:vAlign w:val="top"/>
          </w:tcPr>
          <w:p w14:paraId="799EAF0C">
            <w:pPr>
              <w:pStyle w:val="40"/>
            </w:pPr>
          </w:p>
        </w:tc>
        <w:tc>
          <w:tcPr>
            <w:tcW w:w="1521" w:type="dxa"/>
            <w:vAlign w:val="top"/>
          </w:tcPr>
          <w:p w14:paraId="21A44749">
            <w:pPr>
              <w:pStyle w:val="40"/>
            </w:pPr>
          </w:p>
        </w:tc>
        <w:tc>
          <w:tcPr>
            <w:tcW w:w="1243" w:type="dxa"/>
            <w:vAlign w:val="top"/>
          </w:tcPr>
          <w:p w14:paraId="2BEAAD36">
            <w:pPr>
              <w:pStyle w:val="40"/>
            </w:pPr>
          </w:p>
        </w:tc>
        <w:tc>
          <w:tcPr>
            <w:tcW w:w="1007" w:type="dxa"/>
            <w:vAlign w:val="top"/>
          </w:tcPr>
          <w:p w14:paraId="388B60F0">
            <w:pPr>
              <w:pStyle w:val="40"/>
            </w:pPr>
          </w:p>
        </w:tc>
        <w:tc>
          <w:tcPr>
            <w:tcW w:w="1254" w:type="dxa"/>
            <w:vAlign w:val="top"/>
          </w:tcPr>
          <w:p w14:paraId="3C820163">
            <w:pPr>
              <w:pStyle w:val="40"/>
            </w:pPr>
          </w:p>
        </w:tc>
      </w:tr>
      <w:tr w14:paraId="55C4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44AA2DCE">
            <w:pPr>
              <w:pStyle w:val="40"/>
              <w:spacing w:before="44" w:line="199" w:lineRule="auto"/>
              <w:ind w:left="125"/>
              <w:rPr>
                <w:sz w:val="24"/>
                <w:szCs w:val="24"/>
              </w:rPr>
            </w:pPr>
            <w:r>
              <w:rPr>
                <w:spacing w:val="1"/>
                <w:sz w:val="24"/>
                <w:szCs w:val="24"/>
              </w:rPr>
              <w:t>2</w:t>
            </w:r>
          </w:p>
        </w:tc>
        <w:tc>
          <w:tcPr>
            <w:tcW w:w="1276" w:type="dxa"/>
            <w:vAlign w:val="top"/>
          </w:tcPr>
          <w:p w14:paraId="385E987A">
            <w:pPr>
              <w:pStyle w:val="40"/>
            </w:pPr>
          </w:p>
        </w:tc>
        <w:tc>
          <w:tcPr>
            <w:tcW w:w="1608" w:type="dxa"/>
            <w:vAlign w:val="top"/>
          </w:tcPr>
          <w:p w14:paraId="7D1EE1EE">
            <w:pPr>
              <w:pStyle w:val="40"/>
            </w:pPr>
          </w:p>
        </w:tc>
        <w:tc>
          <w:tcPr>
            <w:tcW w:w="1146" w:type="dxa"/>
            <w:vAlign w:val="top"/>
          </w:tcPr>
          <w:p w14:paraId="681AC556">
            <w:pPr>
              <w:pStyle w:val="40"/>
            </w:pPr>
          </w:p>
        </w:tc>
        <w:tc>
          <w:tcPr>
            <w:tcW w:w="1521" w:type="dxa"/>
            <w:vAlign w:val="top"/>
          </w:tcPr>
          <w:p w14:paraId="6F1EDD7C">
            <w:pPr>
              <w:pStyle w:val="40"/>
            </w:pPr>
          </w:p>
        </w:tc>
        <w:tc>
          <w:tcPr>
            <w:tcW w:w="1521" w:type="dxa"/>
            <w:vAlign w:val="top"/>
          </w:tcPr>
          <w:p w14:paraId="5B618768">
            <w:pPr>
              <w:pStyle w:val="40"/>
            </w:pPr>
          </w:p>
        </w:tc>
        <w:tc>
          <w:tcPr>
            <w:tcW w:w="1521" w:type="dxa"/>
            <w:vAlign w:val="top"/>
          </w:tcPr>
          <w:p w14:paraId="54B57CBE">
            <w:pPr>
              <w:pStyle w:val="40"/>
            </w:pPr>
          </w:p>
        </w:tc>
        <w:tc>
          <w:tcPr>
            <w:tcW w:w="1521" w:type="dxa"/>
            <w:vAlign w:val="top"/>
          </w:tcPr>
          <w:p w14:paraId="25EFFFEA">
            <w:pPr>
              <w:pStyle w:val="40"/>
            </w:pPr>
          </w:p>
        </w:tc>
        <w:tc>
          <w:tcPr>
            <w:tcW w:w="1243" w:type="dxa"/>
            <w:vAlign w:val="top"/>
          </w:tcPr>
          <w:p w14:paraId="0862B4A7">
            <w:pPr>
              <w:pStyle w:val="40"/>
            </w:pPr>
          </w:p>
        </w:tc>
        <w:tc>
          <w:tcPr>
            <w:tcW w:w="1007" w:type="dxa"/>
            <w:vAlign w:val="top"/>
          </w:tcPr>
          <w:p w14:paraId="3D18DC44">
            <w:pPr>
              <w:pStyle w:val="40"/>
            </w:pPr>
          </w:p>
        </w:tc>
        <w:tc>
          <w:tcPr>
            <w:tcW w:w="1254" w:type="dxa"/>
            <w:vAlign w:val="top"/>
          </w:tcPr>
          <w:p w14:paraId="1AE84A94">
            <w:pPr>
              <w:pStyle w:val="40"/>
            </w:pPr>
          </w:p>
        </w:tc>
      </w:tr>
      <w:tr w14:paraId="03B9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6C3D6428">
            <w:pPr>
              <w:pStyle w:val="40"/>
              <w:spacing w:before="46" w:line="198" w:lineRule="auto"/>
              <w:ind w:left="126"/>
              <w:rPr>
                <w:sz w:val="24"/>
                <w:szCs w:val="24"/>
              </w:rPr>
            </w:pPr>
            <w:r>
              <w:rPr>
                <w:sz w:val="24"/>
                <w:szCs w:val="24"/>
              </w:rPr>
              <w:t>3</w:t>
            </w:r>
          </w:p>
        </w:tc>
        <w:tc>
          <w:tcPr>
            <w:tcW w:w="1276" w:type="dxa"/>
            <w:vAlign w:val="top"/>
          </w:tcPr>
          <w:p w14:paraId="639F53D4">
            <w:pPr>
              <w:pStyle w:val="40"/>
            </w:pPr>
          </w:p>
        </w:tc>
        <w:tc>
          <w:tcPr>
            <w:tcW w:w="1608" w:type="dxa"/>
            <w:vAlign w:val="top"/>
          </w:tcPr>
          <w:p w14:paraId="02718A66">
            <w:pPr>
              <w:pStyle w:val="40"/>
            </w:pPr>
          </w:p>
        </w:tc>
        <w:tc>
          <w:tcPr>
            <w:tcW w:w="1146" w:type="dxa"/>
            <w:vAlign w:val="top"/>
          </w:tcPr>
          <w:p w14:paraId="0237B5E3">
            <w:pPr>
              <w:pStyle w:val="40"/>
            </w:pPr>
          </w:p>
        </w:tc>
        <w:tc>
          <w:tcPr>
            <w:tcW w:w="1521" w:type="dxa"/>
            <w:vAlign w:val="top"/>
          </w:tcPr>
          <w:p w14:paraId="481EB164">
            <w:pPr>
              <w:pStyle w:val="40"/>
            </w:pPr>
          </w:p>
        </w:tc>
        <w:tc>
          <w:tcPr>
            <w:tcW w:w="1521" w:type="dxa"/>
            <w:vAlign w:val="top"/>
          </w:tcPr>
          <w:p w14:paraId="7BED3213">
            <w:pPr>
              <w:pStyle w:val="40"/>
            </w:pPr>
          </w:p>
        </w:tc>
        <w:tc>
          <w:tcPr>
            <w:tcW w:w="1521" w:type="dxa"/>
            <w:vAlign w:val="top"/>
          </w:tcPr>
          <w:p w14:paraId="6CC98B86">
            <w:pPr>
              <w:pStyle w:val="40"/>
            </w:pPr>
          </w:p>
        </w:tc>
        <w:tc>
          <w:tcPr>
            <w:tcW w:w="1521" w:type="dxa"/>
            <w:vAlign w:val="top"/>
          </w:tcPr>
          <w:p w14:paraId="4EA113DE">
            <w:pPr>
              <w:pStyle w:val="40"/>
            </w:pPr>
          </w:p>
        </w:tc>
        <w:tc>
          <w:tcPr>
            <w:tcW w:w="1243" w:type="dxa"/>
            <w:vAlign w:val="top"/>
          </w:tcPr>
          <w:p w14:paraId="5B2C8D3B">
            <w:pPr>
              <w:pStyle w:val="40"/>
            </w:pPr>
          </w:p>
        </w:tc>
        <w:tc>
          <w:tcPr>
            <w:tcW w:w="1007" w:type="dxa"/>
            <w:vAlign w:val="top"/>
          </w:tcPr>
          <w:p w14:paraId="18A20264">
            <w:pPr>
              <w:pStyle w:val="40"/>
            </w:pPr>
          </w:p>
        </w:tc>
        <w:tc>
          <w:tcPr>
            <w:tcW w:w="1254" w:type="dxa"/>
            <w:vAlign w:val="top"/>
          </w:tcPr>
          <w:p w14:paraId="034DC5CF">
            <w:pPr>
              <w:pStyle w:val="40"/>
            </w:pPr>
          </w:p>
        </w:tc>
      </w:tr>
      <w:tr w14:paraId="1A4E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07" w:type="dxa"/>
            <w:vAlign w:val="top"/>
          </w:tcPr>
          <w:p w14:paraId="4AA128D7">
            <w:pPr>
              <w:pStyle w:val="40"/>
              <w:spacing w:before="48" w:line="197" w:lineRule="auto"/>
              <w:ind w:left="119"/>
              <w:rPr>
                <w:sz w:val="24"/>
                <w:szCs w:val="24"/>
              </w:rPr>
            </w:pPr>
            <w:r>
              <w:rPr>
                <w:spacing w:val="7"/>
                <w:sz w:val="24"/>
                <w:szCs w:val="24"/>
              </w:rPr>
              <w:t>4</w:t>
            </w:r>
          </w:p>
        </w:tc>
        <w:tc>
          <w:tcPr>
            <w:tcW w:w="1276" w:type="dxa"/>
            <w:vAlign w:val="top"/>
          </w:tcPr>
          <w:p w14:paraId="3CF2CE17">
            <w:pPr>
              <w:pStyle w:val="40"/>
            </w:pPr>
          </w:p>
        </w:tc>
        <w:tc>
          <w:tcPr>
            <w:tcW w:w="1608" w:type="dxa"/>
            <w:vAlign w:val="top"/>
          </w:tcPr>
          <w:p w14:paraId="49F8FC87">
            <w:pPr>
              <w:pStyle w:val="40"/>
            </w:pPr>
          </w:p>
        </w:tc>
        <w:tc>
          <w:tcPr>
            <w:tcW w:w="1146" w:type="dxa"/>
            <w:vAlign w:val="top"/>
          </w:tcPr>
          <w:p w14:paraId="015D7719">
            <w:pPr>
              <w:pStyle w:val="40"/>
            </w:pPr>
          </w:p>
        </w:tc>
        <w:tc>
          <w:tcPr>
            <w:tcW w:w="1521" w:type="dxa"/>
            <w:vAlign w:val="top"/>
          </w:tcPr>
          <w:p w14:paraId="5A39EEC1">
            <w:pPr>
              <w:pStyle w:val="40"/>
            </w:pPr>
          </w:p>
        </w:tc>
        <w:tc>
          <w:tcPr>
            <w:tcW w:w="1521" w:type="dxa"/>
            <w:vAlign w:val="top"/>
          </w:tcPr>
          <w:p w14:paraId="36DC85C6">
            <w:pPr>
              <w:pStyle w:val="40"/>
            </w:pPr>
          </w:p>
        </w:tc>
        <w:tc>
          <w:tcPr>
            <w:tcW w:w="1521" w:type="dxa"/>
            <w:vAlign w:val="top"/>
          </w:tcPr>
          <w:p w14:paraId="3B4E8621">
            <w:pPr>
              <w:pStyle w:val="40"/>
            </w:pPr>
          </w:p>
        </w:tc>
        <w:tc>
          <w:tcPr>
            <w:tcW w:w="1521" w:type="dxa"/>
            <w:vAlign w:val="top"/>
          </w:tcPr>
          <w:p w14:paraId="2916521D">
            <w:pPr>
              <w:pStyle w:val="40"/>
            </w:pPr>
          </w:p>
        </w:tc>
        <w:tc>
          <w:tcPr>
            <w:tcW w:w="1243" w:type="dxa"/>
            <w:vAlign w:val="top"/>
          </w:tcPr>
          <w:p w14:paraId="0D0628EC">
            <w:pPr>
              <w:pStyle w:val="40"/>
            </w:pPr>
          </w:p>
        </w:tc>
        <w:tc>
          <w:tcPr>
            <w:tcW w:w="1007" w:type="dxa"/>
            <w:vAlign w:val="top"/>
          </w:tcPr>
          <w:p w14:paraId="24192550">
            <w:pPr>
              <w:pStyle w:val="40"/>
            </w:pPr>
          </w:p>
        </w:tc>
        <w:tc>
          <w:tcPr>
            <w:tcW w:w="1254" w:type="dxa"/>
            <w:vAlign w:val="top"/>
          </w:tcPr>
          <w:p w14:paraId="6C529C36">
            <w:pPr>
              <w:pStyle w:val="40"/>
            </w:pPr>
          </w:p>
        </w:tc>
      </w:tr>
      <w:tr w14:paraId="1671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3F23A9AD">
            <w:pPr>
              <w:pStyle w:val="40"/>
              <w:spacing w:before="196" w:line="76" w:lineRule="exact"/>
              <w:ind w:left="135"/>
              <w:rPr>
                <w:sz w:val="24"/>
                <w:szCs w:val="24"/>
              </w:rPr>
            </w:pPr>
            <w:r>
              <w:rPr>
                <w:position w:val="1"/>
                <w:sz w:val="24"/>
                <w:szCs w:val="24"/>
              </w:rPr>
              <w:t>…</w:t>
            </w:r>
          </w:p>
        </w:tc>
        <w:tc>
          <w:tcPr>
            <w:tcW w:w="1276" w:type="dxa"/>
            <w:vAlign w:val="top"/>
          </w:tcPr>
          <w:p w14:paraId="2C0FA4D3">
            <w:pPr>
              <w:pStyle w:val="40"/>
            </w:pPr>
          </w:p>
        </w:tc>
        <w:tc>
          <w:tcPr>
            <w:tcW w:w="1608" w:type="dxa"/>
            <w:vAlign w:val="top"/>
          </w:tcPr>
          <w:p w14:paraId="1ECBC4B4">
            <w:pPr>
              <w:pStyle w:val="40"/>
            </w:pPr>
          </w:p>
        </w:tc>
        <w:tc>
          <w:tcPr>
            <w:tcW w:w="1146" w:type="dxa"/>
            <w:vAlign w:val="top"/>
          </w:tcPr>
          <w:p w14:paraId="13AA420D">
            <w:pPr>
              <w:pStyle w:val="40"/>
            </w:pPr>
          </w:p>
        </w:tc>
        <w:tc>
          <w:tcPr>
            <w:tcW w:w="1521" w:type="dxa"/>
            <w:vAlign w:val="top"/>
          </w:tcPr>
          <w:p w14:paraId="5630F743">
            <w:pPr>
              <w:pStyle w:val="40"/>
            </w:pPr>
          </w:p>
        </w:tc>
        <w:tc>
          <w:tcPr>
            <w:tcW w:w="1521" w:type="dxa"/>
            <w:vAlign w:val="top"/>
          </w:tcPr>
          <w:p w14:paraId="3A9E2F08">
            <w:pPr>
              <w:pStyle w:val="40"/>
            </w:pPr>
          </w:p>
        </w:tc>
        <w:tc>
          <w:tcPr>
            <w:tcW w:w="1521" w:type="dxa"/>
            <w:vAlign w:val="top"/>
          </w:tcPr>
          <w:p w14:paraId="3EB4834A">
            <w:pPr>
              <w:pStyle w:val="40"/>
            </w:pPr>
          </w:p>
        </w:tc>
        <w:tc>
          <w:tcPr>
            <w:tcW w:w="1521" w:type="dxa"/>
            <w:vAlign w:val="top"/>
          </w:tcPr>
          <w:p w14:paraId="68853C0B">
            <w:pPr>
              <w:pStyle w:val="40"/>
            </w:pPr>
          </w:p>
        </w:tc>
        <w:tc>
          <w:tcPr>
            <w:tcW w:w="1243" w:type="dxa"/>
            <w:vAlign w:val="top"/>
          </w:tcPr>
          <w:p w14:paraId="1FC93A35">
            <w:pPr>
              <w:pStyle w:val="40"/>
            </w:pPr>
          </w:p>
        </w:tc>
        <w:tc>
          <w:tcPr>
            <w:tcW w:w="1007" w:type="dxa"/>
            <w:vAlign w:val="top"/>
          </w:tcPr>
          <w:p w14:paraId="081AA4B6">
            <w:pPr>
              <w:pStyle w:val="40"/>
            </w:pPr>
          </w:p>
        </w:tc>
        <w:tc>
          <w:tcPr>
            <w:tcW w:w="1254" w:type="dxa"/>
            <w:vAlign w:val="top"/>
          </w:tcPr>
          <w:p w14:paraId="0D19C963">
            <w:pPr>
              <w:pStyle w:val="40"/>
            </w:pPr>
          </w:p>
        </w:tc>
      </w:tr>
      <w:tr w14:paraId="00837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971" w:type="dxa"/>
            <w:gridSpan w:val="10"/>
            <w:vAlign w:val="top"/>
          </w:tcPr>
          <w:p w14:paraId="2547BE44">
            <w:pPr>
              <w:spacing w:before="42" w:line="206" w:lineRule="auto"/>
              <w:ind w:left="11673"/>
              <w:rPr>
                <w:rFonts w:ascii="宋体" w:hAnsi="宋体" w:eastAsia="宋体" w:cs="宋体"/>
                <w:sz w:val="24"/>
                <w:szCs w:val="24"/>
              </w:rPr>
            </w:pPr>
            <w:r>
              <w:rPr>
                <w:rFonts w:ascii="宋体" w:hAnsi="宋体" w:eastAsia="宋体" w:cs="宋体"/>
                <w:b/>
                <w:bCs/>
                <w:spacing w:val="-7"/>
                <w:sz w:val="24"/>
                <w:szCs w:val="24"/>
              </w:rPr>
              <w:t>总价（元）</w:t>
            </w:r>
          </w:p>
        </w:tc>
        <w:tc>
          <w:tcPr>
            <w:tcW w:w="1254" w:type="dxa"/>
            <w:vAlign w:val="top"/>
          </w:tcPr>
          <w:p w14:paraId="5BC5E9B6">
            <w:pPr>
              <w:pStyle w:val="40"/>
            </w:pPr>
          </w:p>
        </w:tc>
      </w:tr>
    </w:tbl>
    <w:p w14:paraId="2D4B9B3B">
      <w:pPr>
        <w:pStyle w:val="3"/>
        <w:spacing w:before="275" w:line="212" w:lineRule="auto"/>
        <w:ind w:left="151"/>
        <w:rPr>
          <w:sz w:val="25"/>
          <w:szCs w:val="25"/>
        </w:rPr>
        <w:sectPr>
          <w:footerReference r:id="rId7" w:type="default"/>
          <w:pgSz w:w="16840" w:h="11907"/>
          <w:pgMar w:top="1165" w:right="1304" w:bottom="1059" w:left="1305" w:header="830" w:footer="885" w:gutter="0"/>
          <w:pgNumType w:fmt="decimal"/>
          <w:cols w:space="720" w:num="1"/>
        </w:sect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41338011">
      <w:pPr>
        <w:pStyle w:val="3"/>
        <w:spacing w:before="78" w:line="219" w:lineRule="auto"/>
        <w:ind w:left="124"/>
        <w:rPr>
          <w:rFonts w:hint="default" w:ascii="Times New Roman" w:hAnsi="Times New Roman" w:cs="Times New Roman" w:eastAsiaTheme="minorEastAsia"/>
          <w:b/>
          <w:bCs/>
          <w:kern w:val="2"/>
          <w:sz w:val="28"/>
          <w:szCs w:val="28"/>
          <w:highlight w:val="none"/>
          <w:shd w:val="clear"/>
          <w:lang w:val="en-US" w:eastAsia="zh-CN" w:bidi="ar-SA"/>
        </w:rPr>
      </w:pPr>
      <w:r>
        <w:rPr>
          <w:rFonts w:hint="default" w:ascii="Times New Roman" w:hAnsi="Times New Roman" w:cs="Times New Roman" w:eastAsiaTheme="minorEastAsia"/>
          <w:b/>
          <w:bCs/>
          <w:kern w:val="2"/>
          <w:sz w:val="28"/>
          <w:szCs w:val="28"/>
          <w:highlight w:val="none"/>
          <w:shd w:val="clear"/>
          <w:lang w:val="en-US" w:eastAsia="zh-CN" w:bidi="ar-SA"/>
        </w:rPr>
        <w:t>5</w:t>
      </w:r>
      <w:r>
        <w:rPr>
          <w:rFonts w:hint="eastAsia" w:ascii="Times New Roman" w:hAnsi="Times New Roman" w:cs="Times New Roman" w:eastAsiaTheme="minorEastAsia"/>
          <w:b/>
          <w:bCs/>
          <w:kern w:val="2"/>
          <w:sz w:val="28"/>
          <w:szCs w:val="28"/>
          <w:highlight w:val="none"/>
          <w:shd w:val="clear"/>
          <w:lang w:val="en-US" w:eastAsia="zh-CN" w:bidi="ar-SA"/>
        </w:rPr>
        <w:t>.</w:t>
      </w:r>
      <w:r>
        <w:rPr>
          <w:rFonts w:hint="default" w:ascii="Times New Roman" w:hAnsi="Times New Roman" w:cs="Times New Roman" w:eastAsiaTheme="minorEastAsia"/>
          <w:b/>
          <w:bCs/>
          <w:kern w:val="2"/>
          <w:sz w:val="28"/>
          <w:szCs w:val="28"/>
          <w:highlight w:val="none"/>
          <w:shd w:val="clear"/>
          <w:lang w:val="en-US" w:eastAsia="zh-CN" w:bidi="ar-SA"/>
        </w:rPr>
        <w:t>合同条款偏离表</w:t>
      </w:r>
    </w:p>
    <w:p w14:paraId="1572D929">
      <w:pPr>
        <w:spacing w:line="248" w:lineRule="auto"/>
        <w:rPr>
          <w:rFonts w:ascii="Arial"/>
          <w:sz w:val="21"/>
        </w:rPr>
      </w:pPr>
    </w:p>
    <w:p w14:paraId="138ECE71">
      <w:pPr>
        <w:spacing w:line="248" w:lineRule="auto"/>
        <w:rPr>
          <w:rFonts w:ascii="Arial"/>
          <w:sz w:val="21"/>
        </w:rPr>
      </w:pPr>
    </w:p>
    <w:p w14:paraId="25748FA1">
      <w:pPr>
        <w:pStyle w:val="3"/>
        <w:spacing w:before="117" w:line="220" w:lineRule="auto"/>
        <w:ind w:left="3400"/>
        <w:rPr>
          <w:sz w:val="36"/>
          <w:szCs w:val="36"/>
        </w:rPr>
      </w:pPr>
      <w:r>
        <w:rPr>
          <w:b/>
          <w:bCs/>
          <w:spacing w:val="-5"/>
          <w:sz w:val="36"/>
          <w:szCs w:val="36"/>
        </w:rPr>
        <w:t>合同条款偏离表</w:t>
      </w:r>
    </w:p>
    <w:p w14:paraId="00C10607">
      <w:pPr>
        <w:spacing w:line="296" w:lineRule="auto"/>
        <w:rPr>
          <w:rFonts w:ascii="Arial"/>
          <w:sz w:val="21"/>
        </w:rPr>
      </w:pPr>
    </w:p>
    <w:p w14:paraId="320CE8FE">
      <w:pPr>
        <w:spacing w:line="297" w:lineRule="auto"/>
        <w:rPr>
          <w:rFonts w:ascii="Arial"/>
          <w:sz w:val="21"/>
        </w:rPr>
      </w:pPr>
    </w:p>
    <w:p w14:paraId="5131588A">
      <w:pPr>
        <w:pStyle w:val="3"/>
        <w:spacing w:before="78" w:line="217" w:lineRule="auto"/>
        <w:ind w:left="486"/>
        <w:rPr>
          <w:rFonts w:ascii="Arial" w:hAnsi="Arial" w:eastAsia="Arial" w:cs="Arial"/>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w:t>
      </w:r>
    </w:p>
    <w:p w14:paraId="0F0808C9">
      <w:pPr>
        <w:spacing w:line="147" w:lineRule="exact"/>
      </w:pPr>
    </w:p>
    <w:tbl>
      <w:tblPr>
        <w:tblStyle w:val="3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090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5C4A1A50">
            <w:pPr>
              <w:pStyle w:val="40"/>
              <w:spacing w:line="270" w:lineRule="auto"/>
            </w:pPr>
          </w:p>
          <w:p w14:paraId="40324E32">
            <w:pPr>
              <w:spacing w:before="78" w:line="222" w:lineRule="auto"/>
              <w:ind w:left="344"/>
              <w:rPr>
                <w:rFonts w:ascii="宋体" w:hAnsi="宋体" w:eastAsia="宋体" w:cs="宋体"/>
                <w:sz w:val="24"/>
                <w:szCs w:val="24"/>
              </w:rPr>
            </w:pPr>
            <w:r>
              <w:rPr>
                <w:rFonts w:ascii="宋体" w:hAnsi="宋体" w:eastAsia="宋体" w:cs="宋体"/>
                <w:spacing w:val="-3"/>
                <w:sz w:val="24"/>
                <w:szCs w:val="24"/>
              </w:rPr>
              <w:t>序号</w:t>
            </w:r>
          </w:p>
        </w:tc>
        <w:tc>
          <w:tcPr>
            <w:tcW w:w="1771" w:type="dxa"/>
            <w:vAlign w:val="top"/>
          </w:tcPr>
          <w:p w14:paraId="1B9A8945">
            <w:pPr>
              <w:spacing w:before="193" w:line="243" w:lineRule="auto"/>
              <w:ind w:left="296" w:right="163" w:hanging="124"/>
              <w:rPr>
                <w:rFonts w:ascii="宋体" w:hAnsi="宋体" w:eastAsia="宋体" w:cs="宋体"/>
                <w:sz w:val="24"/>
                <w:szCs w:val="24"/>
              </w:rPr>
            </w:pPr>
            <w:r>
              <w:rPr>
                <w:rFonts w:ascii="宋体" w:hAnsi="宋体" w:eastAsia="宋体" w:cs="宋体"/>
                <w:spacing w:val="-2"/>
                <w:sz w:val="24"/>
                <w:szCs w:val="24"/>
              </w:rPr>
              <w:t>招标文件条目</w:t>
            </w:r>
            <w:r>
              <w:rPr>
                <w:rFonts w:ascii="宋体" w:hAnsi="宋体" w:eastAsia="宋体" w:cs="宋体"/>
                <w:sz w:val="24"/>
                <w:szCs w:val="24"/>
              </w:rPr>
              <w:t xml:space="preserve"> </w:t>
            </w:r>
            <w:r>
              <w:rPr>
                <w:rFonts w:ascii="宋体" w:hAnsi="宋体" w:eastAsia="宋体" w:cs="宋体"/>
                <w:spacing w:val="-5"/>
                <w:sz w:val="24"/>
                <w:szCs w:val="24"/>
              </w:rPr>
              <w:t>号（页码）</w:t>
            </w:r>
          </w:p>
        </w:tc>
        <w:tc>
          <w:tcPr>
            <w:tcW w:w="1675" w:type="dxa"/>
            <w:vAlign w:val="top"/>
          </w:tcPr>
          <w:p w14:paraId="056A030F">
            <w:pPr>
              <w:pStyle w:val="40"/>
              <w:spacing w:line="270" w:lineRule="auto"/>
            </w:pPr>
          </w:p>
          <w:p w14:paraId="26C90219">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招标文件要求</w:t>
            </w:r>
          </w:p>
        </w:tc>
        <w:tc>
          <w:tcPr>
            <w:tcW w:w="1675" w:type="dxa"/>
            <w:vAlign w:val="top"/>
          </w:tcPr>
          <w:p w14:paraId="25E00E73">
            <w:pPr>
              <w:pStyle w:val="40"/>
              <w:spacing w:line="270" w:lineRule="auto"/>
            </w:pPr>
          </w:p>
          <w:p w14:paraId="224A60C5">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投标文件内容</w:t>
            </w:r>
          </w:p>
        </w:tc>
        <w:tc>
          <w:tcPr>
            <w:tcW w:w="1876" w:type="dxa"/>
            <w:vAlign w:val="top"/>
          </w:tcPr>
          <w:p w14:paraId="2E2E0634">
            <w:pPr>
              <w:pStyle w:val="40"/>
              <w:spacing w:line="270" w:lineRule="auto"/>
            </w:pPr>
          </w:p>
          <w:p w14:paraId="0461CCF7">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138" w:type="dxa"/>
            <w:vAlign w:val="top"/>
          </w:tcPr>
          <w:p w14:paraId="56E8FD08">
            <w:pPr>
              <w:pStyle w:val="40"/>
              <w:spacing w:line="270" w:lineRule="auto"/>
            </w:pPr>
          </w:p>
          <w:p w14:paraId="50E5081F">
            <w:pPr>
              <w:spacing w:before="78" w:line="220" w:lineRule="auto"/>
              <w:ind w:left="336"/>
              <w:rPr>
                <w:rFonts w:ascii="宋体" w:hAnsi="宋体" w:eastAsia="宋体" w:cs="宋体"/>
                <w:sz w:val="24"/>
                <w:szCs w:val="24"/>
              </w:rPr>
            </w:pPr>
            <w:r>
              <w:rPr>
                <w:rFonts w:ascii="宋体" w:hAnsi="宋体" w:eastAsia="宋体" w:cs="宋体"/>
                <w:spacing w:val="-4"/>
                <w:sz w:val="24"/>
                <w:szCs w:val="24"/>
              </w:rPr>
              <w:t>说明</w:t>
            </w:r>
          </w:p>
        </w:tc>
      </w:tr>
      <w:tr w14:paraId="6DE6B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vAlign w:val="top"/>
          </w:tcPr>
          <w:p w14:paraId="61C09468">
            <w:pPr>
              <w:spacing w:before="38" w:line="219" w:lineRule="auto"/>
              <w:ind w:left="116"/>
              <w:rPr>
                <w:rFonts w:ascii="宋体" w:hAnsi="宋体" w:eastAsia="宋体" w:cs="宋体"/>
                <w:sz w:val="24"/>
                <w:szCs w:val="24"/>
              </w:rPr>
            </w:pPr>
            <w:r>
              <w:rPr>
                <w:rFonts w:ascii="宋体" w:hAnsi="宋体" w:eastAsia="宋体" w:cs="宋体"/>
                <w:b/>
                <w:bCs/>
                <w:spacing w:val="-2"/>
                <w:sz w:val="24"/>
                <w:szCs w:val="24"/>
              </w:rPr>
              <w:t>对本项目合同条款的偏离情况</w:t>
            </w:r>
            <w:r>
              <w:rPr>
                <w:rFonts w:ascii="宋体" w:hAnsi="宋体" w:eastAsia="宋体" w:cs="宋体"/>
                <w:spacing w:val="-2"/>
                <w:sz w:val="24"/>
                <w:szCs w:val="24"/>
              </w:rPr>
              <w:t>（应进行选择，未选择</w:t>
            </w:r>
            <w:r>
              <w:rPr>
                <w:rFonts w:ascii="宋体" w:hAnsi="宋体" w:eastAsia="宋体" w:cs="宋体"/>
                <w:b/>
                <w:bCs/>
                <w:spacing w:val="-2"/>
                <w:sz w:val="24"/>
                <w:szCs w:val="24"/>
              </w:rPr>
              <w:t>投标无效</w:t>
            </w:r>
            <w:r>
              <w:rPr>
                <w:rFonts w:ascii="宋体" w:hAnsi="宋体" w:eastAsia="宋体" w:cs="宋体"/>
                <w:spacing w:val="-60"/>
                <w:sz w:val="24"/>
                <w:szCs w:val="24"/>
              </w:rPr>
              <w:t>）：</w:t>
            </w:r>
          </w:p>
          <w:p w14:paraId="677A2DC0">
            <w:pPr>
              <w:pStyle w:val="40"/>
              <w:spacing w:before="26" w:line="229" w:lineRule="auto"/>
              <w:ind w:left="118" w:right="115" w:firstLine="11"/>
              <w:rPr>
                <w:rFonts w:ascii="宋体" w:hAnsi="宋体" w:eastAsia="宋体" w:cs="宋体"/>
                <w:sz w:val="24"/>
                <w:szCs w:val="24"/>
              </w:rPr>
            </w:pPr>
            <w:r>
              <w:rPr>
                <w:rFonts w:hint="eastAsia" w:eastAsia="宋体"/>
                <w:b/>
                <w:bCs/>
                <w:sz w:val="24"/>
                <w:szCs w:val="24"/>
                <w:lang w:eastAsia="zh-CN"/>
              </w:rPr>
              <w:t>☑</w:t>
            </w:r>
            <w:r>
              <w:rPr>
                <w:rFonts w:ascii="宋体" w:hAnsi="宋体" w:eastAsia="宋体" w:cs="宋体"/>
                <w:b/>
                <w:bCs/>
                <w:sz w:val="24"/>
                <w:szCs w:val="24"/>
              </w:rPr>
              <w:t>无偏离</w:t>
            </w:r>
            <w:r>
              <w:rPr>
                <w:rFonts w:ascii="宋体" w:hAnsi="宋体" w:eastAsia="宋体" w:cs="宋体"/>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14:paraId="72E24F71">
            <w:pPr>
              <w:pStyle w:val="40"/>
              <w:spacing w:before="25" w:line="223" w:lineRule="auto"/>
              <w:ind w:left="137" w:right="133" w:hanging="7"/>
              <w:rPr>
                <w:rFonts w:ascii="宋体" w:hAnsi="宋体" w:eastAsia="宋体" w:cs="宋体"/>
                <w:sz w:val="24"/>
                <w:szCs w:val="24"/>
              </w:rPr>
            </w:pPr>
            <w:r>
              <w:rPr>
                <w:rFonts w:hint="eastAsia" w:eastAsia="宋体"/>
                <w:b/>
                <w:bCs/>
                <w:spacing w:val="-1"/>
                <w:sz w:val="24"/>
                <w:szCs w:val="24"/>
                <w:lang w:eastAsia="zh-CN"/>
              </w:rPr>
              <w:t>☑</w:t>
            </w:r>
            <w:r>
              <w:rPr>
                <w:rFonts w:ascii="宋体" w:hAnsi="宋体" w:eastAsia="宋体" w:cs="宋体"/>
                <w:b/>
                <w:bCs/>
                <w:spacing w:val="-1"/>
                <w:sz w:val="24"/>
                <w:szCs w:val="24"/>
              </w:rPr>
              <w:t>有偏离</w:t>
            </w:r>
            <w:r>
              <w:rPr>
                <w:rFonts w:ascii="宋体" w:hAnsi="宋体" w:eastAsia="宋体" w:cs="宋体"/>
                <w:spacing w:val="-1"/>
                <w:sz w:val="24"/>
                <w:szCs w:val="24"/>
              </w:rPr>
              <w:t>（如有偏离，则应在本表中对偏离项逐一列明，否则</w:t>
            </w:r>
            <w:r>
              <w:rPr>
                <w:rFonts w:ascii="宋体" w:hAnsi="宋体" w:eastAsia="宋体" w:cs="宋体"/>
                <w:b/>
                <w:bCs/>
                <w:spacing w:val="-1"/>
                <w:sz w:val="24"/>
                <w:szCs w:val="24"/>
              </w:rPr>
              <w:t>投标无效</w:t>
            </w:r>
            <w:r>
              <w:rPr>
                <w:rFonts w:ascii="宋体" w:hAnsi="宋体" w:eastAsia="宋体" w:cs="宋体"/>
                <w:spacing w:val="-1"/>
                <w:sz w:val="24"/>
                <w:szCs w:val="24"/>
              </w:rPr>
              <w:t>；对合同条款中</w:t>
            </w:r>
            <w:r>
              <w:rPr>
                <w:rFonts w:ascii="宋体" w:hAnsi="宋体" w:eastAsia="宋体" w:cs="宋体"/>
                <w:spacing w:val="-5"/>
                <w:sz w:val="24"/>
                <w:szCs w:val="24"/>
              </w:rPr>
              <w:t>的所有要求，除本表列明的偏离外，均视作供应商已对之理</w:t>
            </w:r>
            <w:r>
              <w:rPr>
                <w:rFonts w:ascii="宋体" w:hAnsi="宋体" w:eastAsia="宋体" w:cs="宋体"/>
                <w:spacing w:val="-6"/>
                <w:sz w:val="24"/>
                <w:szCs w:val="24"/>
              </w:rPr>
              <w:t>解和响应。）</w:t>
            </w:r>
          </w:p>
        </w:tc>
      </w:tr>
      <w:tr w14:paraId="3D114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37235DCF">
            <w:pPr>
              <w:pStyle w:val="40"/>
            </w:pPr>
          </w:p>
        </w:tc>
        <w:tc>
          <w:tcPr>
            <w:tcW w:w="1771" w:type="dxa"/>
            <w:vAlign w:val="top"/>
          </w:tcPr>
          <w:p w14:paraId="2137143B">
            <w:pPr>
              <w:pStyle w:val="40"/>
            </w:pPr>
          </w:p>
        </w:tc>
        <w:tc>
          <w:tcPr>
            <w:tcW w:w="1675" w:type="dxa"/>
            <w:vAlign w:val="top"/>
          </w:tcPr>
          <w:p w14:paraId="5048FCBF">
            <w:pPr>
              <w:pStyle w:val="40"/>
            </w:pPr>
          </w:p>
        </w:tc>
        <w:tc>
          <w:tcPr>
            <w:tcW w:w="1675" w:type="dxa"/>
            <w:vAlign w:val="top"/>
          </w:tcPr>
          <w:p w14:paraId="2C4E9C6D">
            <w:pPr>
              <w:pStyle w:val="40"/>
            </w:pPr>
          </w:p>
        </w:tc>
        <w:tc>
          <w:tcPr>
            <w:tcW w:w="1876" w:type="dxa"/>
            <w:vAlign w:val="top"/>
          </w:tcPr>
          <w:p w14:paraId="02D9B0F3">
            <w:pPr>
              <w:pStyle w:val="40"/>
            </w:pPr>
          </w:p>
        </w:tc>
        <w:tc>
          <w:tcPr>
            <w:tcW w:w="1138" w:type="dxa"/>
            <w:vAlign w:val="top"/>
          </w:tcPr>
          <w:p w14:paraId="639652DC">
            <w:pPr>
              <w:pStyle w:val="40"/>
            </w:pPr>
          </w:p>
        </w:tc>
      </w:tr>
      <w:tr w14:paraId="263B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47909863">
            <w:pPr>
              <w:pStyle w:val="40"/>
            </w:pPr>
          </w:p>
        </w:tc>
        <w:tc>
          <w:tcPr>
            <w:tcW w:w="1771" w:type="dxa"/>
            <w:vAlign w:val="top"/>
          </w:tcPr>
          <w:p w14:paraId="00441198">
            <w:pPr>
              <w:pStyle w:val="40"/>
            </w:pPr>
          </w:p>
        </w:tc>
        <w:tc>
          <w:tcPr>
            <w:tcW w:w="1675" w:type="dxa"/>
            <w:vAlign w:val="top"/>
          </w:tcPr>
          <w:p w14:paraId="016BF299">
            <w:pPr>
              <w:pStyle w:val="40"/>
            </w:pPr>
          </w:p>
        </w:tc>
        <w:tc>
          <w:tcPr>
            <w:tcW w:w="1675" w:type="dxa"/>
            <w:vAlign w:val="top"/>
          </w:tcPr>
          <w:p w14:paraId="0F60C723">
            <w:pPr>
              <w:pStyle w:val="40"/>
            </w:pPr>
          </w:p>
        </w:tc>
        <w:tc>
          <w:tcPr>
            <w:tcW w:w="1876" w:type="dxa"/>
            <w:vAlign w:val="top"/>
          </w:tcPr>
          <w:p w14:paraId="6959626F">
            <w:pPr>
              <w:pStyle w:val="40"/>
            </w:pPr>
          </w:p>
        </w:tc>
        <w:tc>
          <w:tcPr>
            <w:tcW w:w="1138" w:type="dxa"/>
            <w:vAlign w:val="top"/>
          </w:tcPr>
          <w:p w14:paraId="12EC6879">
            <w:pPr>
              <w:pStyle w:val="40"/>
            </w:pPr>
          </w:p>
        </w:tc>
      </w:tr>
      <w:tr w14:paraId="258C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0E367BDE">
            <w:pPr>
              <w:pStyle w:val="40"/>
            </w:pPr>
          </w:p>
        </w:tc>
        <w:tc>
          <w:tcPr>
            <w:tcW w:w="1771" w:type="dxa"/>
            <w:vAlign w:val="top"/>
          </w:tcPr>
          <w:p w14:paraId="32BB9731">
            <w:pPr>
              <w:pStyle w:val="40"/>
            </w:pPr>
          </w:p>
        </w:tc>
        <w:tc>
          <w:tcPr>
            <w:tcW w:w="1675" w:type="dxa"/>
            <w:vAlign w:val="top"/>
          </w:tcPr>
          <w:p w14:paraId="0E0516D7">
            <w:pPr>
              <w:pStyle w:val="40"/>
            </w:pPr>
          </w:p>
        </w:tc>
        <w:tc>
          <w:tcPr>
            <w:tcW w:w="1675" w:type="dxa"/>
            <w:vAlign w:val="top"/>
          </w:tcPr>
          <w:p w14:paraId="1A164085">
            <w:pPr>
              <w:pStyle w:val="40"/>
            </w:pPr>
          </w:p>
        </w:tc>
        <w:tc>
          <w:tcPr>
            <w:tcW w:w="1876" w:type="dxa"/>
            <w:vAlign w:val="top"/>
          </w:tcPr>
          <w:p w14:paraId="77EC2F80">
            <w:pPr>
              <w:pStyle w:val="40"/>
            </w:pPr>
          </w:p>
        </w:tc>
        <w:tc>
          <w:tcPr>
            <w:tcW w:w="1138" w:type="dxa"/>
            <w:vAlign w:val="top"/>
          </w:tcPr>
          <w:p w14:paraId="6B182D83">
            <w:pPr>
              <w:pStyle w:val="40"/>
            </w:pPr>
          </w:p>
        </w:tc>
      </w:tr>
      <w:tr w14:paraId="6C42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72973A53">
            <w:pPr>
              <w:pStyle w:val="40"/>
            </w:pPr>
          </w:p>
        </w:tc>
        <w:tc>
          <w:tcPr>
            <w:tcW w:w="1771" w:type="dxa"/>
            <w:vAlign w:val="top"/>
          </w:tcPr>
          <w:p w14:paraId="568F48DC">
            <w:pPr>
              <w:pStyle w:val="40"/>
            </w:pPr>
          </w:p>
        </w:tc>
        <w:tc>
          <w:tcPr>
            <w:tcW w:w="1675" w:type="dxa"/>
            <w:vAlign w:val="top"/>
          </w:tcPr>
          <w:p w14:paraId="7EFC0764">
            <w:pPr>
              <w:pStyle w:val="40"/>
            </w:pPr>
          </w:p>
        </w:tc>
        <w:tc>
          <w:tcPr>
            <w:tcW w:w="1675" w:type="dxa"/>
            <w:vAlign w:val="top"/>
          </w:tcPr>
          <w:p w14:paraId="0FCFE119">
            <w:pPr>
              <w:pStyle w:val="40"/>
            </w:pPr>
          </w:p>
        </w:tc>
        <w:tc>
          <w:tcPr>
            <w:tcW w:w="1876" w:type="dxa"/>
            <w:vAlign w:val="top"/>
          </w:tcPr>
          <w:p w14:paraId="002ED85D">
            <w:pPr>
              <w:pStyle w:val="40"/>
            </w:pPr>
          </w:p>
        </w:tc>
        <w:tc>
          <w:tcPr>
            <w:tcW w:w="1138" w:type="dxa"/>
            <w:vAlign w:val="top"/>
          </w:tcPr>
          <w:p w14:paraId="61CE1D0B">
            <w:pPr>
              <w:pStyle w:val="40"/>
            </w:pPr>
          </w:p>
        </w:tc>
      </w:tr>
    </w:tbl>
    <w:p w14:paraId="1B823FC5">
      <w:pPr>
        <w:pStyle w:val="3"/>
        <w:spacing w:before="314" w:line="220" w:lineRule="auto"/>
        <w:ind w:left="122"/>
        <w:rPr>
          <w:sz w:val="24"/>
          <w:szCs w:val="24"/>
        </w:rPr>
      </w:pPr>
      <w:r>
        <w:rPr>
          <w:spacing w:val="9"/>
          <w:sz w:val="24"/>
          <w:szCs w:val="24"/>
        </w:rPr>
        <w:t>注：</w:t>
      </w:r>
      <w:r>
        <w:rPr>
          <w:rFonts w:ascii="Arial" w:hAnsi="Arial" w:eastAsia="Arial" w:cs="Arial"/>
          <w:spacing w:val="9"/>
          <w:sz w:val="24"/>
          <w:szCs w:val="24"/>
        </w:rPr>
        <w:t>“</w:t>
      </w:r>
      <w:r>
        <w:rPr>
          <w:spacing w:val="9"/>
          <w:sz w:val="24"/>
          <w:szCs w:val="24"/>
        </w:rPr>
        <w:t>偏离情况</w:t>
      </w:r>
      <w:r>
        <w:rPr>
          <w:rFonts w:ascii="Arial" w:hAnsi="Arial" w:eastAsia="Arial" w:cs="Arial"/>
          <w:spacing w:val="9"/>
          <w:sz w:val="24"/>
          <w:szCs w:val="24"/>
        </w:rPr>
        <w:t>”</w:t>
      </w:r>
      <w:r>
        <w:rPr>
          <w:spacing w:val="9"/>
          <w:sz w:val="24"/>
          <w:szCs w:val="24"/>
        </w:rPr>
        <w:t>列应据实填写</w:t>
      </w:r>
      <w:r>
        <w:rPr>
          <w:rFonts w:ascii="Arial" w:hAnsi="Arial" w:eastAsia="Arial" w:cs="Arial"/>
          <w:spacing w:val="9"/>
          <w:sz w:val="24"/>
          <w:szCs w:val="24"/>
        </w:rPr>
        <w:t>“</w:t>
      </w:r>
      <w:r>
        <w:rPr>
          <w:spacing w:val="9"/>
          <w:sz w:val="24"/>
          <w:szCs w:val="24"/>
        </w:rPr>
        <w:t>正偏离</w:t>
      </w:r>
      <w:r>
        <w:rPr>
          <w:rFonts w:ascii="Arial" w:hAnsi="Arial" w:eastAsia="Arial" w:cs="Arial"/>
          <w:spacing w:val="9"/>
          <w:sz w:val="24"/>
          <w:szCs w:val="24"/>
        </w:rPr>
        <w:t>”</w:t>
      </w:r>
      <w:r>
        <w:rPr>
          <w:spacing w:val="9"/>
          <w:sz w:val="24"/>
          <w:szCs w:val="24"/>
        </w:rPr>
        <w:t>或</w:t>
      </w:r>
      <w:r>
        <w:rPr>
          <w:rFonts w:ascii="Arial" w:hAnsi="Arial" w:eastAsia="Arial" w:cs="Arial"/>
          <w:spacing w:val="9"/>
          <w:sz w:val="24"/>
          <w:szCs w:val="24"/>
        </w:rPr>
        <w:t>“</w:t>
      </w:r>
      <w:r>
        <w:rPr>
          <w:rFonts w:ascii="Arial" w:hAnsi="Arial" w:eastAsia="Arial" w:cs="Arial"/>
          <w:spacing w:val="-48"/>
          <w:sz w:val="24"/>
          <w:szCs w:val="24"/>
        </w:rPr>
        <w:t xml:space="preserve"> </w:t>
      </w:r>
      <w:r>
        <w:rPr>
          <w:spacing w:val="9"/>
          <w:sz w:val="24"/>
          <w:szCs w:val="24"/>
        </w:rPr>
        <w:t>负偏离</w:t>
      </w:r>
      <w:r>
        <w:rPr>
          <w:rFonts w:ascii="Arial" w:hAnsi="Arial" w:eastAsia="Arial" w:cs="Arial"/>
          <w:spacing w:val="9"/>
          <w:sz w:val="24"/>
          <w:szCs w:val="24"/>
        </w:rPr>
        <w:t>”</w:t>
      </w:r>
      <w:r>
        <w:rPr>
          <w:spacing w:val="9"/>
          <w:sz w:val="24"/>
          <w:szCs w:val="24"/>
        </w:rPr>
        <w:t>。</w:t>
      </w:r>
    </w:p>
    <w:p w14:paraId="33C7E5DE">
      <w:pPr>
        <w:spacing w:line="277" w:lineRule="auto"/>
        <w:rPr>
          <w:rFonts w:ascii="Arial"/>
          <w:sz w:val="21"/>
        </w:rPr>
      </w:pPr>
    </w:p>
    <w:p w14:paraId="5A22E1F9">
      <w:pPr>
        <w:spacing w:line="277" w:lineRule="auto"/>
        <w:rPr>
          <w:rFonts w:ascii="Arial"/>
          <w:sz w:val="21"/>
        </w:rPr>
      </w:pPr>
    </w:p>
    <w:p w14:paraId="44F5CA34">
      <w:pPr>
        <w:spacing w:line="277" w:lineRule="auto"/>
        <w:rPr>
          <w:rFonts w:ascii="Arial"/>
          <w:sz w:val="21"/>
        </w:rPr>
      </w:pPr>
    </w:p>
    <w:p w14:paraId="22E98811">
      <w:pPr>
        <w:pStyle w:val="3"/>
        <w:spacing w:before="78" w:line="189" w:lineRule="auto"/>
        <w:ind w:left="125"/>
        <w:rPr>
          <w:sz w:val="24"/>
          <w:szCs w:val="24"/>
        </w:rPr>
      </w:pPr>
      <w:r>
        <w:rPr>
          <w:spacing w:val="-14"/>
          <w:sz w:val="24"/>
          <w:szCs w:val="24"/>
        </w:rPr>
        <w:t>投标人名称（加盖公章</w:t>
      </w:r>
      <w:r>
        <w:rPr>
          <w:spacing w:val="-5"/>
          <w:sz w:val="24"/>
          <w:szCs w:val="24"/>
        </w:rPr>
        <w:t>）：</w:t>
      </w:r>
    </w:p>
    <w:p w14:paraId="30D8C70D">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76A76526">
      <w:pPr>
        <w:pStyle w:val="3"/>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9B97EEC">
      <w:pPr>
        <w:spacing w:line="219" w:lineRule="auto"/>
        <w:rPr>
          <w:sz w:val="24"/>
          <w:szCs w:val="24"/>
        </w:rPr>
        <w:sectPr>
          <w:headerReference r:id="rId8" w:type="default"/>
          <w:footerReference r:id="rId9" w:type="default"/>
          <w:pgSz w:w="11907" w:h="16840"/>
          <w:pgMar w:top="1165" w:right="1020" w:bottom="1060" w:left="1588" w:header="830" w:footer="886" w:gutter="0"/>
          <w:pgNumType w:fmt="decimal"/>
          <w:cols w:space="720" w:num="1"/>
        </w:sectPr>
      </w:pPr>
    </w:p>
    <w:p w14:paraId="575AAE42">
      <w:pPr>
        <w:pStyle w:val="3"/>
        <w:spacing w:before="78" w:line="219" w:lineRule="auto"/>
        <w:ind w:left="124"/>
        <w:rPr>
          <w:rFonts w:hint="default" w:ascii="Times New Roman" w:hAnsi="Times New Roman" w:cs="Times New Roman" w:eastAsiaTheme="minorEastAsia"/>
          <w:b/>
          <w:bCs/>
          <w:kern w:val="2"/>
          <w:sz w:val="28"/>
          <w:szCs w:val="28"/>
          <w:highlight w:val="none"/>
          <w:shd w:val="clear"/>
          <w:lang w:val="en-US" w:eastAsia="zh-CN" w:bidi="ar-SA"/>
        </w:rPr>
      </w:pPr>
      <w:r>
        <w:rPr>
          <w:rFonts w:hint="default" w:ascii="Times New Roman" w:hAnsi="Times New Roman" w:cs="Times New Roman" w:eastAsiaTheme="minorEastAsia"/>
          <w:b/>
          <w:bCs/>
          <w:kern w:val="2"/>
          <w:sz w:val="28"/>
          <w:szCs w:val="28"/>
          <w:highlight w:val="none"/>
          <w:shd w:val="clear"/>
          <w:lang w:val="en-US" w:eastAsia="zh-CN" w:bidi="ar-SA"/>
        </w:rPr>
        <w:t>6</w:t>
      </w:r>
      <w:r>
        <w:rPr>
          <w:rFonts w:hint="eastAsia" w:ascii="Times New Roman" w:hAnsi="Times New Roman" w:cs="Times New Roman" w:eastAsiaTheme="minorEastAsia"/>
          <w:b/>
          <w:bCs/>
          <w:kern w:val="2"/>
          <w:sz w:val="28"/>
          <w:szCs w:val="28"/>
          <w:highlight w:val="none"/>
          <w:shd w:val="clear"/>
          <w:lang w:val="en-US" w:eastAsia="zh-CN" w:bidi="ar-SA"/>
        </w:rPr>
        <w:t>.</w:t>
      </w:r>
      <w:r>
        <w:rPr>
          <w:rFonts w:hint="default" w:ascii="Times New Roman" w:hAnsi="Times New Roman" w:cs="Times New Roman" w:eastAsiaTheme="minorEastAsia"/>
          <w:b/>
          <w:bCs/>
          <w:kern w:val="2"/>
          <w:sz w:val="28"/>
          <w:szCs w:val="28"/>
          <w:highlight w:val="none"/>
          <w:shd w:val="clear"/>
          <w:lang w:val="en-US" w:eastAsia="zh-CN" w:bidi="ar-SA"/>
        </w:rPr>
        <w:t>采购需求偏离表</w:t>
      </w:r>
    </w:p>
    <w:p w14:paraId="1781AD3C">
      <w:pPr>
        <w:pStyle w:val="3"/>
        <w:spacing w:before="198" w:line="219" w:lineRule="auto"/>
        <w:ind w:left="3579"/>
        <w:rPr>
          <w:sz w:val="36"/>
          <w:szCs w:val="36"/>
        </w:rPr>
      </w:pPr>
      <w:r>
        <w:rPr>
          <w:b/>
          <w:bCs/>
          <w:spacing w:val="-5"/>
          <w:sz w:val="36"/>
          <w:szCs w:val="36"/>
        </w:rPr>
        <w:t>采购需求偏离表</w:t>
      </w:r>
    </w:p>
    <w:p w14:paraId="15548FD3">
      <w:pPr>
        <w:pStyle w:val="3"/>
        <w:spacing w:before="256" w:line="219" w:lineRule="auto"/>
        <w:ind w:left="668"/>
        <w:rPr>
          <w:rFonts w:ascii="Arial" w:hAnsi="Arial" w:eastAsia="Arial" w:cs="Arial"/>
          <w:sz w:val="24"/>
          <w:szCs w:val="24"/>
        </w:rPr>
      </w:pPr>
      <w:r>
        <w:rPr>
          <w:sz w:val="24"/>
          <w:szCs w:val="24"/>
        </w:rPr>
        <w:t>项目编号</w:t>
      </w:r>
      <w:r>
        <w:rPr>
          <w:rFonts w:ascii="Arial" w:hAnsi="Arial" w:eastAsia="Arial" w:cs="Arial"/>
          <w:sz w:val="24"/>
          <w:szCs w:val="24"/>
        </w:rPr>
        <w:t>/</w:t>
      </w:r>
      <w:r>
        <w:rPr>
          <w:sz w:val="24"/>
          <w:szCs w:val="24"/>
        </w:rPr>
        <w:t>包号：</w:t>
      </w:r>
      <w:r>
        <w:rPr>
          <w:rFonts w:ascii="Arial" w:hAnsi="Arial" w:eastAsia="Arial" w:cs="Arial"/>
          <w:sz w:val="24"/>
          <w:szCs w:val="24"/>
        </w:rPr>
        <w:t>___________</w:t>
      </w:r>
      <w:r>
        <w:rPr>
          <w:rFonts w:ascii="Arial" w:hAnsi="Arial" w:eastAsia="Arial" w:cs="Arial"/>
          <w:spacing w:val="-1"/>
          <w:sz w:val="24"/>
          <w:szCs w:val="24"/>
        </w:rPr>
        <w:t xml:space="preserve">________         </w:t>
      </w:r>
      <w:r>
        <w:rPr>
          <w:spacing w:val="-1"/>
          <w:sz w:val="24"/>
          <w:szCs w:val="24"/>
        </w:rPr>
        <w:t>项目名称：</w:t>
      </w:r>
      <w:r>
        <w:rPr>
          <w:rFonts w:ascii="Arial" w:hAnsi="Arial" w:eastAsia="Arial" w:cs="Arial"/>
          <w:spacing w:val="-1"/>
          <w:sz w:val="24"/>
          <w:szCs w:val="24"/>
        </w:rPr>
        <w:t>___________</w:t>
      </w:r>
    </w:p>
    <w:p w14:paraId="1D54629E">
      <w:pPr>
        <w:spacing w:line="146" w:lineRule="exact"/>
      </w:pPr>
    </w:p>
    <w:tbl>
      <w:tblPr>
        <w:tblStyle w:val="3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6081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top"/>
          </w:tcPr>
          <w:p w14:paraId="472965C9">
            <w:pPr>
              <w:pStyle w:val="40"/>
              <w:spacing w:line="330" w:lineRule="auto"/>
            </w:pPr>
          </w:p>
          <w:p w14:paraId="268C8865">
            <w:pPr>
              <w:spacing w:before="78" w:line="222" w:lineRule="auto"/>
              <w:ind w:left="154"/>
              <w:rPr>
                <w:rFonts w:ascii="宋体" w:hAnsi="宋体" w:eastAsia="宋体" w:cs="宋体"/>
                <w:sz w:val="24"/>
                <w:szCs w:val="24"/>
              </w:rPr>
            </w:pPr>
            <w:r>
              <w:rPr>
                <w:rFonts w:ascii="宋体" w:hAnsi="宋体" w:eastAsia="宋体" w:cs="宋体"/>
                <w:spacing w:val="-3"/>
                <w:sz w:val="24"/>
                <w:szCs w:val="24"/>
              </w:rPr>
              <w:t>序号</w:t>
            </w:r>
          </w:p>
        </w:tc>
        <w:tc>
          <w:tcPr>
            <w:tcW w:w="1481" w:type="dxa"/>
            <w:vAlign w:val="top"/>
          </w:tcPr>
          <w:p w14:paraId="61319399">
            <w:pPr>
              <w:pStyle w:val="40"/>
              <w:spacing w:before="257" w:line="230" w:lineRule="auto"/>
              <w:ind w:left="219" w:right="138" w:hanging="71"/>
              <w:rPr>
                <w:sz w:val="24"/>
                <w:szCs w:val="24"/>
              </w:rPr>
            </w:pPr>
            <w:r>
              <w:rPr>
                <w:rFonts w:ascii="宋体" w:hAnsi="宋体" w:eastAsia="宋体" w:cs="宋体"/>
                <w:spacing w:val="-3"/>
                <w:sz w:val="24"/>
                <w:szCs w:val="24"/>
              </w:rPr>
              <w:t>招标文件条</w:t>
            </w:r>
            <w:r>
              <w:rPr>
                <w:rFonts w:ascii="宋体" w:hAnsi="宋体" w:eastAsia="宋体" w:cs="宋体"/>
                <w:spacing w:val="3"/>
                <w:sz w:val="24"/>
                <w:szCs w:val="24"/>
              </w:rPr>
              <w:t xml:space="preserve"> </w:t>
            </w:r>
            <w:r>
              <w:rPr>
                <w:rFonts w:ascii="宋体" w:hAnsi="宋体" w:eastAsia="宋体" w:cs="宋体"/>
                <w:spacing w:val="-5"/>
                <w:sz w:val="24"/>
                <w:szCs w:val="24"/>
              </w:rPr>
              <w:t>目号</w:t>
            </w:r>
            <w:r>
              <w:rPr>
                <w:spacing w:val="-5"/>
                <w:sz w:val="24"/>
                <w:szCs w:val="24"/>
              </w:rPr>
              <w:t>(</w:t>
            </w:r>
            <w:r>
              <w:rPr>
                <w:rFonts w:ascii="宋体" w:hAnsi="宋体" w:eastAsia="宋体" w:cs="宋体"/>
                <w:spacing w:val="-5"/>
                <w:sz w:val="24"/>
                <w:szCs w:val="24"/>
              </w:rPr>
              <w:t>页码</w:t>
            </w:r>
            <w:r>
              <w:rPr>
                <w:spacing w:val="-5"/>
                <w:sz w:val="24"/>
                <w:szCs w:val="24"/>
              </w:rPr>
              <w:t>)</w:t>
            </w:r>
          </w:p>
        </w:tc>
        <w:tc>
          <w:tcPr>
            <w:tcW w:w="2383" w:type="dxa"/>
            <w:vAlign w:val="top"/>
          </w:tcPr>
          <w:p w14:paraId="2D762640">
            <w:pPr>
              <w:pStyle w:val="40"/>
              <w:spacing w:line="330" w:lineRule="auto"/>
            </w:pPr>
          </w:p>
          <w:p w14:paraId="4553A1CD">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招标文件要求</w:t>
            </w:r>
          </w:p>
        </w:tc>
        <w:tc>
          <w:tcPr>
            <w:tcW w:w="2125" w:type="dxa"/>
            <w:vAlign w:val="top"/>
          </w:tcPr>
          <w:p w14:paraId="5103A040">
            <w:pPr>
              <w:pStyle w:val="40"/>
              <w:spacing w:line="330" w:lineRule="auto"/>
            </w:pPr>
          </w:p>
          <w:p w14:paraId="715FE9D1">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投标响应内容</w:t>
            </w:r>
          </w:p>
        </w:tc>
        <w:tc>
          <w:tcPr>
            <w:tcW w:w="1874" w:type="dxa"/>
            <w:vAlign w:val="top"/>
          </w:tcPr>
          <w:p w14:paraId="09B8321F">
            <w:pPr>
              <w:pStyle w:val="40"/>
              <w:spacing w:line="330" w:lineRule="auto"/>
            </w:pPr>
          </w:p>
          <w:p w14:paraId="2F367786">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014" w:type="dxa"/>
            <w:vAlign w:val="top"/>
          </w:tcPr>
          <w:p w14:paraId="1FF4B013">
            <w:pPr>
              <w:pStyle w:val="40"/>
              <w:spacing w:line="330" w:lineRule="auto"/>
            </w:pPr>
          </w:p>
          <w:p w14:paraId="68EDA91F">
            <w:pPr>
              <w:spacing w:before="78" w:line="220" w:lineRule="auto"/>
              <w:ind w:left="276"/>
              <w:rPr>
                <w:rFonts w:ascii="宋体" w:hAnsi="宋体" w:eastAsia="宋体" w:cs="宋体"/>
                <w:sz w:val="24"/>
                <w:szCs w:val="24"/>
              </w:rPr>
            </w:pPr>
            <w:r>
              <w:rPr>
                <w:rFonts w:ascii="宋体" w:hAnsi="宋体" w:eastAsia="宋体" w:cs="宋体"/>
                <w:spacing w:val="-4"/>
                <w:sz w:val="24"/>
                <w:szCs w:val="24"/>
              </w:rPr>
              <w:t>说明</w:t>
            </w:r>
          </w:p>
        </w:tc>
      </w:tr>
      <w:tr w14:paraId="036D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AA81CAB">
            <w:pPr>
              <w:pStyle w:val="40"/>
            </w:pPr>
          </w:p>
        </w:tc>
        <w:tc>
          <w:tcPr>
            <w:tcW w:w="1481" w:type="dxa"/>
            <w:vAlign w:val="top"/>
          </w:tcPr>
          <w:p w14:paraId="439926D5">
            <w:pPr>
              <w:pStyle w:val="40"/>
            </w:pPr>
          </w:p>
        </w:tc>
        <w:tc>
          <w:tcPr>
            <w:tcW w:w="2383" w:type="dxa"/>
            <w:vAlign w:val="top"/>
          </w:tcPr>
          <w:p w14:paraId="1C1EDCD1">
            <w:pPr>
              <w:pStyle w:val="40"/>
            </w:pPr>
          </w:p>
        </w:tc>
        <w:tc>
          <w:tcPr>
            <w:tcW w:w="2125" w:type="dxa"/>
            <w:vAlign w:val="top"/>
          </w:tcPr>
          <w:p w14:paraId="414F3015">
            <w:pPr>
              <w:pStyle w:val="40"/>
            </w:pPr>
          </w:p>
        </w:tc>
        <w:tc>
          <w:tcPr>
            <w:tcW w:w="1874" w:type="dxa"/>
            <w:vAlign w:val="top"/>
          </w:tcPr>
          <w:p w14:paraId="3BDC15BB">
            <w:pPr>
              <w:pStyle w:val="40"/>
            </w:pPr>
          </w:p>
        </w:tc>
        <w:tc>
          <w:tcPr>
            <w:tcW w:w="1014" w:type="dxa"/>
            <w:vAlign w:val="top"/>
          </w:tcPr>
          <w:p w14:paraId="1275A618">
            <w:pPr>
              <w:pStyle w:val="40"/>
            </w:pPr>
          </w:p>
        </w:tc>
      </w:tr>
      <w:tr w14:paraId="7BAA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D9672C3">
            <w:pPr>
              <w:pStyle w:val="40"/>
            </w:pPr>
          </w:p>
        </w:tc>
        <w:tc>
          <w:tcPr>
            <w:tcW w:w="1481" w:type="dxa"/>
            <w:vAlign w:val="top"/>
          </w:tcPr>
          <w:p w14:paraId="6AB339B3">
            <w:pPr>
              <w:pStyle w:val="40"/>
            </w:pPr>
          </w:p>
        </w:tc>
        <w:tc>
          <w:tcPr>
            <w:tcW w:w="2383" w:type="dxa"/>
            <w:vAlign w:val="top"/>
          </w:tcPr>
          <w:p w14:paraId="6D77A000">
            <w:pPr>
              <w:pStyle w:val="40"/>
            </w:pPr>
          </w:p>
        </w:tc>
        <w:tc>
          <w:tcPr>
            <w:tcW w:w="2125" w:type="dxa"/>
            <w:vAlign w:val="top"/>
          </w:tcPr>
          <w:p w14:paraId="775309D3">
            <w:pPr>
              <w:pStyle w:val="40"/>
            </w:pPr>
          </w:p>
        </w:tc>
        <w:tc>
          <w:tcPr>
            <w:tcW w:w="1874" w:type="dxa"/>
            <w:vAlign w:val="top"/>
          </w:tcPr>
          <w:p w14:paraId="3EDA4EC5">
            <w:pPr>
              <w:pStyle w:val="40"/>
            </w:pPr>
          </w:p>
        </w:tc>
        <w:tc>
          <w:tcPr>
            <w:tcW w:w="1014" w:type="dxa"/>
            <w:vAlign w:val="top"/>
          </w:tcPr>
          <w:p w14:paraId="0B4535F7">
            <w:pPr>
              <w:pStyle w:val="40"/>
            </w:pPr>
          </w:p>
        </w:tc>
      </w:tr>
      <w:tr w14:paraId="32A1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519948D">
            <w:pPr>
              <w:pStyle w:val="40"/>
            </w:pPr>
          </w:p>
        </w:tc>
        <w:tc>
          <w:tcPr>
            <w:tcW w:w="1481" w:type="dxa"/>
            <w:vAlign w:val="top"/>
          </w:tcPr>
          <w:p w14:paraId="3F283639">
            <w:pPr>
              <w:pStyle w:val="40"/>
            </w:pPr>
          </w:p>
        </w:tc>
        <w:tc>
          <w:tcPr>
            <w:tcW w:w="2383" w:type="dxa"/>
            <w:vAlign w:val="top"/>
          </w:tcPr>
          <w:p w14:paraId="31BC6295">
            <w:pPr>
              <w:pStyle w:val="40"/>
            </w:pPr>
          </w:p>
        </w:tc>
        <w:tc>
          <w:tcPr>
            <w:tcW w:w="2125" w:type="dxa"/>
            <w:vAlign w:val="top"/>
          </w:tcPr>
          <w:p w14:paraId="6BD60366">
            <w:pPr>
              <w:pStyle w:val="40"/>
            </w:pPr>
          </w:p>
        </w:tc>
        <w:tc>
          <w:tcPr>
            <w:tcW w:w="1874" w:type="dxa"/>
            <w:vAlign w:val="top"/>
          </w:tcPr>
          <w:p w14:paraId="1B1C7413">
            <w:pPr>
              <w:pStyle w:val="40"/>
            </w:pPr>
          </w:p>
        </w:tc>
        <w:tc>
          <w:tcPr>
            <w:tcW w:w="1014" w:type="dxa"/>
            <w:vAlign w:val="top"/>
          </w:tcPr>
          <w:p w14:paraId="0E87F8EA">
            <w:pPr>
              <w:pStyle w:val="40"/>
            </w:pPr>
          </w:p>
        </w:tc>
      </w:tr>
      <w:tr w14:paraId="25BB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1936A61">
            <w:pPr>
              <w:pStyle w:val="40"/>
            </w:pPr>
          </w:p>
        </w:tc>
        <w:tc>
          <w:tcPr>
            <w:tcW w:w="1481" w:type="dxa"/>
            <w:vAlign w:val="top"/>
          </w:tcPr>
          <w:p w14:paraId="5B0735ED">
            <w:pPr>
              <w:pStyle w:val="40"/>
            </w:pPr>
          </w:p>
        </w:tc>
        <w:tc>
          <w:tcPr>
            <w:tcW w:w="2383" w:type="dxa"/>
            <w:vAlign w:val="top"/>
          </w:tcPr>
          <w:p w14:paraId="4E18C195">
            <w:pPr>
              <w:pStyle w:val="40"/>
            </w:pPr>
          </w:p>
        </w:tc>
        <w:tc>
          <w:tcPr>
            <w:tcW w:w="2125" w:type="dxa"/>
            <w:vAlign w:val="top"/>
          </w:tcPr>
          <w:p w14:paraId="53DEBA0D">
            <w:pPr>
              <w:pStyle w:val="40"/>
            </w:pPr>
          </w:p>
        </w:tc>
        <w:tc>
          <w:tcPr>
            <w:tcW w:w="1874" w:type="dxa"/>
            <w:vAlign w:val="top"/>
          </w:tcPr>
          <w:p w14:paraId="767CB9E4">
            <w:pPr>
              <w:pStyle w:val="40"/>
            </w:pPr>
          </w:p>
        </w:tc>
        <w:tc>
          <w:tcPr>
            <w:tcW w:w="1014" w:type="dxa"/>
            <w:vAlign w:val="top"/>
          </w:tcPr>
          <w:p w14:paraId="4513008D">
            <w:pPr>
              <w:pStyle w:val="40"/>
            </w:pPr>
          </w:p>
        </w:tc>
      </w:tr>
      <w:tr w14:paraId="3CAF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05C173D">
            <w:pPr>
              <w:pStyle w:val="40"/>
            </w:pPr>
          </w:p>
        </w:tc>
        <w:tc>
          <w:tcPr>
            <w:tcW w:w="1481" w:type="dxa"/>
            <w:vAlign w:val="top"/>
          </w:tcPr>
          <w:p w14:paraId="1244EBBC">
            <w:pPr>
              <w:pStyle w:val="40"/>
            </w:pPr>
          </w:p>
        </w:tc>
        <w:tc>
          <w:tcPr>
            <w:tcW w:w="2383" w:type="dxa"/>
            <w:vAlign w:val="top"/>
          </w:tcPr>
          <w:p w14:paraId="4EA61550">
            <w:pPr>
              <w:pStyle w:val="40"/>
            </w:pPr>
          </w:p>
        </w:tc>
        <w:tc>
          <w:tcPr>
            <w:tcW w:w="2125" w:type="dxa"/>
            <w:vAlign w:val="top"/>
          </w:tcPr>
          <w:p w14:paraId="6FE5BEB2">
            <w:pPr>
              <w:pStyle w:val="40"/>
            </w:pPr>
          </w:p>
        </w:tc>
        <w:tc>
          <w:tcPr>
            <w:tcW w:w="1874" w:type="dxa"/>
            <w:vAlign w:val="top"/>
          </w:tcPr>
          <w:p w14:paraId="771A9F62">
            <w:pPr>
              <w:pStyle w:val="40"/>
            </w:pPr>
          </w:p>
        </w:tc>
        <w:tc>
          <w:tcPr>
            <w:tcW w:w="1014" w:type="dxa"/>
            <w:vAlign w:val="top"/>
          </w:tcPr>
          <w:p w14:paraId="48779137">
            <w:pPr>
              <w:pStyle w:val="40"/>
            </w:pPr>
          </w:p>
        </w:tc>
      </w:tr>
      <w:tr w14:paraId="10053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6D88F198">
            <w:pPr>
              <w:pStyle w:val="40"/>
            </w:pPr>
          </w:p>
        </w:tc>
        <w:tc>
          <w:tcPr>
            <w:tcW w:w="1481" w:type="dxa"/>
            <w:vAlign w:val="top"/>
          </w:tcPr>
          <w:p w14:paraId="6A553218">
            <w:pPr>
              <w:pStyle w:val="40"/>
            </w:pPr>
          </w:p>
        </w:tc>
        <w:tc>
          <w:tcPr>
            <w:tcW w:w="2383" w:type="dxa"/>
            <w:vAlign w:val="top"/>
          </w:tcPr>
          <w:p w14:paraId="012C7416">
            <w:pPr>
              <w:pStyle w:val="40"/>
            </w:pPr>
          </w:p>
        </w:tc>
        <w:tc>
          <w:tcPr>
            <w:tcW w:w="2125" w:type="dxa"/>
            <w:vAlign w:val="top"/>
          </w:tcPr>
          <w:p w14:paraId="28FC71B5">
            <w:pPr>
              <w:pStyle w:val="40"/>
            </w:pPr>
          </w:p>
        </w:tc>
        <w:tc>
          <w:tcPr>
            <w:tcW w:w="1874" w:type="dxa"/>
            <w:vAlign w:val="top"/>
          </w:tcPr>
          <w:p w14:paraId="3CD08FF1">
            <w:pPr>
              <w:pStyle w:val="40"/>
            </w:pPr>
          </w:p>
        </w:tc>
        <w:tc>
          <w:tcPr>
            <w:tcW w:w="1014" w:type="dxa"/>
            <w:vAlign w:val="top"/>
          </w:tcPr>
          <w:p w14:paraId="0420D040">
            <w:pPr>
              <w:pStyle w:val="40"/>
            </w:pPr>
          </w:p>
        </w:tc>
      </w:tr>
    </w:tbl>
    <w:p w14:paraId="2FFE72DA">
      <w:pPr>
        <w:spacing w:line="264" w:lineRule="auto"/>
        <w:rPr>
          <w:rFonts w:ascii="Arial"/>
          <w:sz w:val="21"/>
        </w:rPr>
      </w:pPr>
    </w:p>
    <w:p w14:paraId="017669DA">
      <w:pPr>
        <w:spacing w:line="264" w:lineRule="auto"/>
        <w:rPr>
          <w:rFonts w:ascii="Arial"/>
          <w:sz w:val="21"/>
        </w:rPr>
      </w:pPr>
    </w:p>
    <w:p w14:paraId="5BFBB33F">
      <w:pPr>
        <w:spacing w:line="264" w:lineRule="auto"/>
        <w:rPr>
          <w:rFonts w:ascii="Arial"/>
          <w:sz w:val="21"/>
        </w:rPr>
      </w:pPr>
    </w:p>
    <w:p w14:paraId="6B794F21">
      <w:pPr>
        <w:pStyle w:val="3"/>
        <w:spacing w:before="78" w:line="224" w:lineRule="auto"/>
        <w:ind w:left="304"/>
        <w:rPr>
          <w:sz w:val="24"/>
          <w:szCs w:val="24"/>
        </w:rPr>
      </w:pPr>
      <w:r>
        <w:rPr>
          <w:spacing w:val="-17"/>
          <w:sz w:val="24"/>
          <w:szCs w:val="24"/>
        </w:rPr>
        <w:t>注：</w:t>
      </w:r>
    </w:p>
    <w:p w14:paraId="074A3C27">
      <w:pPr>
        <w:pStyle w:val="3"/>
        <w:spacing w:before="20" w:line="229" w:lineRule="auto"/>
        <w:ind w:left="330" w:right="377" w:hanging="9"/>
        <w:rPr>
          <w:sz w:val="24"/>
          <w:szCs w:val="24"/>
        </w:rPr>
      </w:pPr>
      <w:r>
        <w:rPr>
          <w:rFonts w:ascii="Arial" w:hAnsi="Arial" w:eastAsia="Arial" w:cs="Arial"/>
          <w:sz w:val="24"/>
          <w:szCs w:val="24"/>
        </w:rPr>
        <w:t>1.</w:t>
      </w:r>
      <w:r>
        <w:rPr>
          <w:rFonts w:ascii="Arial" w:hAnsi="Arial" w:eastAsia="Arial" w:cs="Arial"/>
          <w:spacing w:val="63"/>
          <w:sz w:val="24"/>
          <w:szCs w:val="24"/>
        </w:rPr>
        <w:t xml:space="preserve"> </w:t>
      </w:r>
      <w:r>
        <w:rPr>
          <w:sz w:val="24"/>
          <w:szCs w:val="24"/>
        </w:rPr>
        <w:t>对招标文件中的所有商务、技术要求，除本表所列明的所有偏</w:t>
      </w:r>
      <w:r>
        <w:rPr>
          <w:spacing w:val="-1"/>
          <w:sz w:val="24"/>
          <w:szCs w:val="24"/>
        </w:rPr>
        <w:t>离外，均视作供应商</w:t>
      </w:r>
      <w:r>
        <w:rPr>
          <w:sz w:val="24"/>
          <w:szCs w:val="24"/>
        </w:rPr>
        <w:t xml:space="preserve"> </w:t>
      </w:r>
      <w:r>
        <w:rPr>
          <w:spacing w:val="-1"/>
          <w:sz w:val="24"/>
          <w:szCs w:val="24"/>
        </w:rPr>
        <w:t>已对之理解和响应。此表中若无任何文字说</w:t>
      </w:r>
      <w:r>
        <w:rPr>
          <w:spacing w:val="-2"/>
          <w:sz w:val="24"/>
          <w:szCs w:val="24"/>
        </w:rPr>
        <w:t>明，内容为空白的，</w:t>
      </w:r>
      <w:r>
        <w:rPr>
          <w:b/>
          <w:bCs/>
          <w:spacing w:val="-2"/>
          <w:sz w:val="24"/>
          <w:szCs w:val="24"/>
        </w:rPr>
        <w:t>投标无效。</w:t>
      </w:r>
    </w:p>
    <w:p w14:paraId="3ADF1254">
      <w:pPr>
        <w:pStyle w:val="3"/>
        <w:spacing w:before="25" w:line="220" w:lineRule="auto"/>
        <w:ind w:left="312"/>
        <w:rPr>
          <w:sz w:val="24"/>
          <w:szCs w:val="24"/>
        </w:rPr>
      </w:pPr>
      <w:r>
        <w:rPr>
          <w:rFonts w:ascii="Arial" w:hAnsi="Arial" w:eastAsia="Arial" w:cs="Arial"/>
          <w:spacing w:val="10"/>
          <w:sz w:val="24"/>
          <w:szCs w:val="24"/>
        </w:rPr>
        <w:t>2.“</w:t>
      </w:r>
      <w:r>
        <w:rPr>
          <w:spacing w:val="10"/>
          <w:sz w:val="24"/>
          <w:szCs w:val="24"/>
        </w:rPr>
        <w:t>偏离情况</w:t>
      </w:r>
      <w:r>
        <w:rPr>
          <w:rFonts w:ascii="Arial" w:hAnsi="Arial" w:eastAsia="Arial" w:cs="Arial"/>
          <w:spacing w:val="10"/>
          <w:sz w:val="24"/>
          <w:szCs w:val="24"/>
        </w:rPr>
        <w:t>”</w:t>
      </w:r>
      <w:r>
        <w:rPr>
          <w:spacing w:val="10"/>
          <w:sz w:val="24"/>
          <w:szCs w:val="24"/>
        </w:rPr>
        <w:t>列应据实填写</w:t>
      </w:r>
      <w:r>
        <w:rPr>
          <w:rFonts w:ascii="Arial" w:hAnsi="Arial" w:eastAsia="Arial" w:cs="Arial"/>
          <w:spacing w:val="10"/>
          <w:sz w:val="24"/>
          <w:szCs w:val="24"/>
        </w:rPr>
        <w:t>“</w:t>
      </w:r>
      <w:r>
        <w:rPr>
          <w:spacing w:val="10"/>
          <w:sz w:val="24"/>
          <w:szCs w:val="24"/>
        </w:rPr>
        <w:t>无偏离</w:t>
      </w:r>
      <w:r>
        <w:rPr>
          <w:rFonts w:ascii="Arial" w:hAnsi="Arial" w:eastAsia="Arial" w:cs="Arial"/>
          <w:spacing w:val="10"/>
          <w:sz w:val="24"/>
          <w:szCs w:val="24"/>
        </w:rPr>
        <w:t>”</w:t>
      </w:r>
      <w:r>
        <w:rPr>
          <w:rFonts w:ascii="Arial" w:hAnsi="Arial" w:eastAsia="Arial" w:cs="Arial"/>
          <w:spacing w:val="-41"/>
          <w:sz w:val="24"/>
          <w:szCs w:val="24"/>
        </w:rPr>
        <w:t xml:space="preserve"> </w:t>
      </w:r>
      <w:r>
        <w:rPr>
          <w:spacing w:val="10"/>
          <w:sz w:val="24"/>
          <w:szCs w:val="24"/>
        </w:rPr>
        <w:t>、</w:t>
      </w:r>
      <w:r>
        <w:rPr>
          <w:rFonts w:ascii="Arial" w:hAnsi="Arial" w:eastAsia="Arial" w:cs="Arial"/>
          <w:spacing w:val="10"/>
          <w:sz w:val="24"/>
          <w:szCs w:val="24"/>
        </w:rPr>
        <w:t>“</w:t>
      </w:r>
      <w:r>
        <w:rPr>
          <w:spacing w:val="10"/>
          <w:sz w:val="24"/>
          <w:szCs w:val="24"/>
        </w:rPr>
        <w:t>正偏离</w:t>
      </w:r>
      <w:r>
        <w:rPr>
          <w:rFonts w:ascii="Arial" w:hAnsi="Arial" w:eastAsia="Arial" w:cs="Arial"/>
          <w:spacing w:val="10"/>
          <w:sz w:val="24"/>
          <w:szCs w:val="24"/>
        </w:rPr>
        <w:t>”</w:t>
      </w:r>
      <w:r>
        <w:rPr>
          <w:spacing w:val="10"/>
          <w:sz w:val="24"/>
          <w:szCs w:val="24"/>
        </w:rPr>
        <w:t>或</w:t>
      </w:r>
      <w:r>
        <w:rPr>
          <w:rFonts w:ascii="Arial" w:hAnsi="Arial" w:eastAsia="Arial" w:cs="Arial"/>
          <w:spacing w:val="10"/>
          <w:sz w:val="24"/>
          <w:szCs w:val="24"/>
        </w:rPr>
        <w:t>“</w:t>
      </w:r>
      <w:r>
        <w:rPr>
          <w:rFonts w:ascii="Arial" w:hAnsi="Arial" w:eastAsia="Arial" w:cs="Arial"/>
          <w:spacing w:val="-47"/>
          <w:sz w:val="24"/>
          <w:szCs w:val="24"/>
        </w:rPr>
        <w:t xml:space="preserve"> </w:t>
      </w:r>
      <w:r>
        <w:rPr>
          <w:spacing w:val="10"/>
          <w:sz w:val="24"/>
          <w:szCs w:val="24"/>
        </w:rPr>
        <w:t>负偏离</w:t>
      </w:r>
      <w:r>
        <w:rPr>
          <w:rFonts w:ascii="Arial" w:hAnsi="Arial" w:eastAsia="Arial" w:cs="Arial"/>
          <w:spacing w:val="10"/>
          <w:sz w:val="24"/>
          <w:szCs w:val="24"/>
        </w:rPr>
        <w:t>”</w:t>
      </w:r>
      <w:r>
        <w:rPr>
          <w:spacing w:val="10"/>
          <w:sz w:val="24"/>
          <w:szCs w:val="24"/>
        </w:rPr>
        <w:t>。</w:t>
      </w:r>
    </w:p>
    <w:p w14:paraId="79C7A97C">
      <w:pPr>
        <w:spacing w:line="249" w:lineRule="auto"/>
        <w:rPr>
          <w:rFonts w:ascii="Arial"/>
          <w:sz w:val="21"/>
        </w:rPr>
      </w:pPr>
    </w:p>
    <w:p w14:paraId="4408A9F8">
      <w:pPr>
        <w:spacing w:line="249" w:lineRule="auto"/>
        <w:rPr>
          <w:rFonts w:ascii="Arial"/>
          <w:sz w:val="21"/>
        </w:rPr>
      </w:pPr>
    </w:p>
    <w:p w14:paraId="5D8500CC">
      <w:pPr>
        <w:spacing w:line="249" w:lineRule="auto"/>
        <w:rPr>
          <w:rFonts w:ascii="Arial"/>
          <w:sz w:val="21"/>
        </w:rPr>
      </w:pPr>
    </w:p>
    <w:p w14:paraId="7B6C5B01">
      <w:pPr>
        <w:spacing w:line="250" w:lineRule="auto"/>
        <w:rPr>
          <w:rFonts w:ascii="Arial"/>
          <w:sz w:val="21"/>
        </w:rPr>
      </w:pPr>
    </w:p>
    <w:p w14:paraId="18B111D5">
      <w:pPr>
        <w:spacing w:line="250" w:lineRule="auto"/>
        <w:rPr>
          <w:rFonts w:ascii="Arial"/>
          <w:sz w:val="21"/>
        </w:rPr>
      </w:pPr>
    </w:p>
    <w:p w14:paraId="35214ECD">
      <w:pPr>
        <w:pStyle w:val="3"/>
        <w:spacing w:before="79" w:line="188" w:lineRule="auto"/>
        <w:ind w:left="307"/>
        <w:rPr>
          <w:sz w:val="24"/>
          <w:szCs w:val="24"/>
        </w:rPr>
      </w:pPr>
      <w:r>
        <w:rPr>
          <w:spacing w:val="-14"/>
          <w:sz w:val="24"/>
          <w:szCs w:val="24"/>
        </w:rPr>
        <w:t>投标人名称（加盖公章</w:t>
      </w:r>
      <w:r>
        <w:rPr>
          <w:spacing w:val="-5"/>
          <w:sz w:val="24"/>
          <w:szCs w:val="24"/>
        </w:rPr>
        <w:t>）：</w:t>
      </w:r>
    </w:p>
    <w:p w14:paraId="00970488">
      <w:pPr>
        <w:spacing w:line="19" w:lineRule="exact"/>
        <w:ind w:left="3533"/>
        <w:rPr>
          <w:rFonts w:ascii="Arial" w:hAnsi="Arial" w:eastAsia="Arial" w:cs="Arial"/>
          <w:sz w:val="24"/>
          <w:szCs w:val="24"/>
        </w:rPr>
      </w:pPr>
      <w:r>
        <w:rPr>
          <w:rFonts w:ascii="Arial" w:hAnsi="Arial" w:eastAsia="Arial" w:cs="Arial"/>
          <w:spacing w:val="-2"/>
          <w:position w:val="5"/>
          <w:sz w:val="24"/>
          <w:szCs w:val="24"/>
        </w:rPr>
        <w:t>___________</w:t>
      </w:r>
    </w:p>
    <w:p w14:paraId="1C19531A">
      <w:pPr>
        <w:pStyle w:val="3"/>
        <w:spacing w:before="229" w:line="217" w:lineRule="auto"/>
        <w:ind w:left="346"/>
        <w:rPr>
          <w:sz w:val="24"/>
          <w:szCs w:val="24"/>
        </w:rPr>
        <w:sectPr>
          <w:headerReference r:id="rId10" w:type="default"/>
          <w:footerReference r:id="rId11" w:type="default"/>
          <w:pgSz w:w="11907" w:h="16840"/>
          <w:pgMar w:top="1165" w:right="839" w:bottom="1060" w:left="1406" w:header="830" w:footer="886" w:gutter="0"/>
          <w:pgNumType w:fmt="decimal"/>
          <w:cols w:space="720" w:num="1"/>
        </w:sect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p>
    <w:p w14:paraId="7E0FE6F7">
      <w:pPr>
        <w:pStyle w:val="13"/>
        <w:numPr>
          <w:ilvl w:val="0"/>
          <w:numId w:val="0"/>
        </w:numPr>
        <w:spacing w:before="156" w:beforeLines="0" w:after="0" w:afterLines="0" w:line="360" w:lineRule="auto"/>
        <w:jc w:val="both"/>
        <w:rPr>
          <w:rFonts w:hint="default" w:ascii="Times New Roman" w:hAnsi="Times New Roman" w:cs="Times New Roman" w:eastAsiaTheme="minorEastAsia"/>
          <w:b/>
          <w:bCs/>
          <w:sz w:val="28"/>
          <w:szCs w:val="28"/>
          <w:highlight w:val="none"/>
          <w:shd w:val="clear" w:color="auto" w:fill="FFFFFF"/>
          <w:lang w:val="en-US" w:eastAsia="zh-CN"/>
        </w:rPr>
      </w:pPr>
      <w:r>
        <w:rPr>
          <w:rFonts w:hint="eastAsia" w:ascii="Times New Roman" w:hAnsi="Times New Roman" w:cs="Times New Roman" w:eastAsiaTheme="minorEastAsia"/>
          <w:b/>
          <w:bCs/>
          <w:kern w:val="2"/>
          <w:sz w:val="28"/>
          <w:szCs w:val="28"/>
          <w:shd w:val="clear" w:fill="FFFFFF"/>
          <w:lang w:val="en-US" w:eastAsia="zh-CN" w:bidi="ar-SA"/>
        </w:rPr>
        <w:t>7</w:t>
      </w:r>
      <w:r>
        <w:rPr>
          <w:rFonts w:hint="default" w:ascii="Times New Roman" w:hAnsi="Times New Roman" w:cs="Times New Roman" w:eastAsiaTheme="minorEastAsia"/>
          <w:b/>
          <w:bCs/>
          <w:kern w:val="2"/>
          <w:sz w:val="28"/>
          <w:szCs w:val="28"/>
          <w:shd w:val="clear" w:fill="FFFFFF"/>
          <w:lang w:val="en-US" w:eastAsia="zh-CN" w:bidi="ar-SA"/>
        </w:rPr>
        <w:t>.</w:t>
      </w:r>
      <w:r>
        <w:rPr>
          <w:rFonts w:hint="default" w:ascii="Times New Roman" w:hAnsi="Times New Roman" w:cs="Times New Roman" w:eastAsiaTheme="minorEastAsia"/>
          <w:b/>
          <w:bCs/>
          <w:sz w:val="28"/>
          <w:szCs w:val="28"/>
          <w:highlight w:val="none"/>
          <w:shd w:val="clear" w:color="auto" w:fill="FFFFFF"/>
          <w:lang w:val="en-US" w:eastAsia="zh-CN"/>
        </w:rPr>
        <w:t>其他符合性审查证明文件（如符合实质性要求有的证明文件等）</w:t>
      </w:r>
    </w:p>
    <w:p w14:paraId="0E577039">
      <w:pPr>
        <w:pStyle w:val="13"/>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p>
    <w:p w14:paraId="0D00AEE2">
      <w:pPr>
        <w:spacing w:line="360" w:lineRule="auto"/>
        <w:ind w:firstLine="703" w:firstLineChars="250"/>
        <w:rPr>
          <w:rFonts w:hint="eastAsia" w:ascii="Times New Roman" w:hAnsi="Times New Roman" w:cs="Times New Roman" w:eastAsiaTheme="minorEastAsia"/>
          <w:b/>
          <w:bCs/>
          <w:sz w:val="28"/>
          <w:szCs w:val="28"/>
          <w:highlight w:val="none"/>
          <w:lang w:val="en-US" w:eastAsia="zh-CN"/>
        </w:rPr>
      </w:pPr>
      <w:r>
        <w:rPr>
          <w:rFonts w:hint="eastAsia" w:ascii="Times New Roman" w:hAnsi="Times New Roman" w:cs="Times New Roman" w:eastAsiaTheme="minorEastAsia"/>
          <w:b/>
          <w:bCs/>
          <w:sz w:val="28"/>
          <w:szCs w:val="28"/>
          <w:highlight w:val="none"/>
          <w:shd w:val="clear"/>
          <w:lang w:val="en-US" w:eastAsia="zh-CN"/>
        </w:rPr>
        <w:t>四</w:t>
      </w:r>
      <w:r>
        <w:rPr>
          <w:rFonts w:hint="default" w:ascii="Times New Roman" w:hAnsi="Times New Roman" w:cs="Times New Roman" w:eastAsiaTheme="minorEastAsia"/>
          <w:b/>
          <w:bCs/>
          <w:sz w:val="28"/>
          <w:szCs w:val="28"/>
          <w:highlight w:val="none"/>
          <w:shd w:val="clear"/>
          <w:lang w:val="en-US" w:eastAsia="zh-CN"/>
        </w:rPr>
        <w:t>、</w:t>
      </w:r>
      <w:r>
        <w:rPr>
          <w:rFonts w:hint="default" w:ascii="Times New Roman" w:hAnsi="Times New Roman" w:cs="Times New Roman" w:eastAsiaTheme="minorEastAsia"/>
          <w:b/>
          <w:bCs/>
          <w:sz w:val="28"/>
          <w:szCs w:val="28"/>
          <w:highlight w:val="none"/>
          <w:lang w:val="en-US" w:eastAsia="zh-CN"/>
        </w:rPr>
        <w:t>招标文件要求提供或投标人认为应附的其他材料</w:t>
      </w:r>
      <w:r>
        <w:rPr>
          <w:rFonts w:hint="eastAsia" w:ascii="Times New Roman" w:hAnsi="Times New Roman" w:cs="Times New Roman" w:eastAsiaTheme="minorEastAsia"/>
          <w:b/>
          <w:bCs/>
          <w:sz w:val="28"/>
          <w:szCs w:val="28"/>
          <w:highlight w:val="none"/>
          <w:lang w:val="en-US" w:eastAsia="zh-CN"/>
        </w:rPr>
        <w:t>（根据评审标准技术商务评审因素）格式自拟</w:t>
      </w:r>
    </w:p>
    <w:p w14:paraId="6435D677">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4C5EAF57">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060A0901">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306E6891">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09635152">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3ED15357">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0686C6B7">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19BD58A5">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2DF34EBF">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5582558D">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1138BCEF">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0A3DAFD7">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5901E29C">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3E4AAEE5">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7CD43575">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33E12C68">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244D6783">
      <w:pPr>
        <w:spacing w:line="360" w:lineRule="auto"/>
        <w:ind w:firstLine="703" w:firstLineChars="250"/>
        <w:rPr>
          <w:rFonts w:hint="default" w:ascii="Times New Roman" w:hAnsi="Times New Roman" w:cs="Times New Roman" w:eastAsiaTheme="minorEastAsia"/>
          <w:b/>
          <w:bCs/>
          <w:sz w:val="28"/>
          <w:szCs w:val="28"/>
          <w:highlight w:val="none"/>
          <w:lang w:val="en-US" w:eastAsia="zh-CN"/>
        </w:rPr>
      </w:pPr>
    </w:p>
    <w:p w14:paraId="13A927DA">
      <w:pPr>
        <w:spacing w:line="360" w:lineRule="auto"/>
        <w:rPr>
          <w:rFonts w:hint="default" w:ascii="Times New Roman" w:hAnsi="Times New Roman" w:cs="Times New Roman" w:eastAsiaTheme="minorEastAsia"/>
          <w:b/>
          <w:bCs/>
          <w:sz w:val="28"/>
          <w:szCs w:val="28"/>
          <w:highlight w:val="none"/>
          <w:lang w:val="en-US" w:eastAsia="zh-CN"/>
        </w:rPr>
      </w:pPr>
    </w:p>
    <w:sectPr>
      <w:headerReference r:id="rId12" w:type="default"/>
      <w:footerReference r:id="rId13" w:type="default"/>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57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171D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6171D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7964">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371FB">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6371FB">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1E56">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73620">
                          <w:pPr>
                            <w:pStyle w:val="1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F73620">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B257">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2C638">
                          <w:pPr>
                            <w:pStyle w:val="1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1B2C638">
                    <w:pPr>
                      <w:pStyle w:val="1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6127">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7E2C1">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17E2C1">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DCC1">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07DED">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C407DED">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32E6">
    <w:pPr>
      <w:pStyle w:val="3"/>
      <w:pBdr>
        <w:bottom w:val="none" w:color="auto" w:sz="0" w:space="0"/>
      </w:pBdr>
      <w:spacing w:before="48" w:line="219" w:lineRule="auto"/>
      <w:jc w:val="right"/>
      <w:rPr>
        <w:rFonts w:hint="eastAsia" w:eastAsia="宋体"/>
        <w:sz w:val="18"/>
        <w:szCs w:val="18"/>
        <w:lang w:eastAsia="zh-CN"/>
      </w:rPr>
    </w:pPr>
    <w:r>
      <w:rPr>
        <w:rFonts w:hint="eastAsia"/>
        <w:spacing w:val="-1"/>
        <w:sz w:val="18"/>
        <w:szCs w:val="18"/>
        <w:lang w:eastAsia="zh-CN"/>
      </w:rPr>
      <w:t>政府采购公开招标</w:t>
    </w:r>
    <w:r>
      <w:rPr>
        <w:spacing w:val="-1"/>
        <w:sz w:val="18"/>
        <w:szCs w:val="18"/>
      </w:rPr>
      <w:t>文件</w:t>
    </w:r>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760627" cy="844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5AE1">
    <w:pPr>
      <w:pStyle w:val="3"/>
      <w:pBdr>
        <w:bottom w:val="none" w:color="auto" w:sz="0" w:space="0"/>
      </w:pBdr>
      <w:spacing w:before="48" w:line="219" w:lineRule="auto"/>
      <w:jc w:val="right"/>
      <w:rPr>
        <w:sz w:val="18"/>
        <w:szCs w:val="18"/>
      </w:rPr>
    </w:pPr>
    <w:r>
      <w:rPr>
        <w:rFonts w:hint="default"/>
        <w:spacing w:val="-1"/>
        <w:sz w:val="18"/>
        <w:szCs w:val="18"/>
        <w:lang w:val="en-US"/>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val="en-US" w:eastAsia="zh-CN"/>
      </w:rPr>
      <w:t>若羌县教育和科学技术局</w:t>
    </w:r>
    <w:r>
      <w:rPr>
        <w:rFonts w:hint="eastAsia"/>
        <w:spacing w:val="-1"/>
        <w:sz w:val="18"/>
        <w:szCs w:val="18"/>
        <w:lang w:eastAsia="zh-CN"/>
      </w:rPr>
      <w:t>政府采购公开招标</w:t>
    </w:r>
    <w:r>
      <w:rPr>
        <w:spacing w:val="-1"/>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FFBD">
    <w:pPr>
      <w:pStyle w:val="3"/>
      <w:spacing w:before="48" w:line="219" w:lineRule="auto"/>
      <w:jc w:val="right"/>
      <w:rPr>
        <w:rFonts w:hint="eastAsia" w:eastAsia="宋体"/>
        <w:sz w:val="18"/>
        <w:szCs w:val="18"/>
        <w:lang w:eastAsia="zh-CN"/>
      </w:rPr>
    </w:pPr>
    <w:r>
      <w:drawing>
        <wp:anchor distT="0" distB="0" distL="0" distR="0" simplePos="0" relativeHeight="25167257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0" name="IM 44"/>
          <wp:cNvGraphicFramePr/>
          <a:graphic xmlns:a="http://schemas.openxmlformats.org/drawingml/2006/main">
            <a:graphicData uri="http://schemas.openxmlformats.org/drawingml/2006/picture">
              <pic:pic xmlns:pic="http://schemas.openxmlformats.org/drawingml/2006/picture">
                <pic:nvPicPr>
                  <pic:cNvPr id="10" name="IM 44"/>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若羌县教育和科学技术局政府采购公开招标文件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6D8F">
    <w:pPr>
      <w:pStyle w:val="3"/>
      <w:spacing w:before="48" w:line="219" w:lineRule="auto"/>
      <w:jc w:val="right"/>
      <w:rPr>
        <w:rFonts w:hint="eastAsia" w:eastAsia="宋体"/>
        <w:sz w:val="18"/>
        <w:szCs w:val="18"/>
        <w:lang w:eastAsia="zh-CN"/>
      </w:rPr>
    </w:pPr>
    <w:r>
      <w:drawing>
        <wp:anchor distT="0" distB="0" distL="0" distR="0" simplePos="0" relativeHeight="25167360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若羌县教育和科学技术局政府采购公开招标文件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ACD8">
    <w:pPr>
      <w:pStyle w:val="17"/>
    </w:pPr>
    <w:r>
      <w:rPr>
        <w:rFonts w:hint="eastAsia"/>
        <w:spacing w:val="-1"/>
        <w:sz w:val="18"/>
        <w:szCs w:val="18"/>
        <w:lang w:val="en-US" w:eastAsia="zh-CN"/>
      </w:rPr>
      <w:t xml:space="preserve">                                                      </w:t>
    </w:r>
    <w:r>
      <w:rPr>
        <w:rFonts w:hint="eastAsia"/>
        <w:spacing w:val="-1"/>
        <w:sz w:val="18"/>
        <w:szCs w:val="18"/>
        <w:lang w:eastAsia="zh-CN"/>
      </w:rPr>
      <w:t>若羌县教育和科学技术局政府采购公开招标文件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D1AB9947"/>
    <w:multiLevelType w:val="singleLevel"/>
    <w:tmpl w:val="D1AB9947"/>
    <w:lvl w:ilvl="0" w:tentative="0">
      <w:start w:val="6"/>
      <w:numFmt w:val="chineseCounting"/>
      <w:suff w:val="nothing"/>
      <w:lvlText w:val="%1、"/>
      <w:lvlJc w:val="left"/>
      <w:rPr>
        <w:rFonts w:hint="eastAsia"/>
      </w:rPr>
    </w:lvl>
  </w:abstractNum>
  <w:abstractNum w:abstractNumId="2">
    <w:nsid w:val="190A4B78"/>
    <w:multiLevelType w:val="singleLevel"/>
    <w:tmpl w:val="190A4B78"/>
    <w:lvl w:ilvl="0" w:tentative="0">
      <w:start w:val="1"/>
      <w:numFmt w:val="decimal"/>
      <w:suff w:val="nothing"/>
      <w:lvlText w:val="%1、"/>
      <w:lvlJc w:val="left"/>
    </w:lvl>
  </w:abstractNum>
  <w:abstractNum w:abstractNumId="3">
    <w:nsid w:val="67469E83"/>
    <w:multiLevelType w:val="singleLevel"/>
    <w:tmpl w:val="67469E83"/>
    <w:lvl w:ilvl="0" w:tentative="0">
      <w:start w:val="1"/>
      <w:numFmt w:val="decimal"/>
      <w:suff w:val="nothing"/>
      <w:lvlText w:val="（%1）"/>
      <w:lvlJc w:val="left"/>
    </w:lvl>
  </w:abstractNum>
  <w:abstractNum w:abstractNumId="4">
    <w:nsid w:val="6789B3D8"/>
    <w:multiLevelType w:val="singleLevel"/>
    <w:tmpl w:val="6789B3D8"/>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86BF0"/>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3BE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0507A"/>
    <w:rsid w:val="00B22B8A"/>
    <w:rsid w:val="00B41DEE"/>
    <w:rsid w:val="00B65511"/>
    <w:rsid w:val="00B73AC8"/>
    <w:rsid w:val="00B866D6"/>
    <w:rsid w:val="00B9225C"/>
    <w:rsid w:val="00BA4488"/>
    <w:rsid w:val="00BE4837"/>
    <w:rsid w:val="00BF0B73"/>
    <w:rsid w:val="00C25585"/>
    <w:rsid w:val="00C65FE3"/>
    <w:rsid w:val="00C823C4"/>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0827C0"/>
    <w:rsid w:val="011265D4"/>
    <w:rsid w:val="013E6E1F"/>
    <w:rsid w:val="0147778C"/>
    <w:rsid w:val="01536131"/>
    <w:rsid w:val="01677BE2"/>
    <w:rsid w:val="018823E2"/>
    <w:rsid w:val="018C152A"/>
    <w:rsid w:val="018F6A3E"/>
    <w:rsid w:val="0197670B"/>
    <w:rsid w:val="01A06E9D"/>
    <w:rsid w:val="01A544B3"/>
    <w:rsid w:val="01C901A1"/>
    <w:rsid w:val="01D12DF8"/>
    <w:rsid w:val="01DD41C2"/>
    <w:rsid w:val="01F340A4"/>
    <w:rsid w:val="01F93068"/>
    <w:rsid w:val="0224362A"/>
    <w:rsid w:val="02467A44"/>
    <w:rsid w:val="027D172A"/>
    <w:rsid w:val="027F0C8A"/>
    <w:rsid w:val="0288005D"/>
    <w:rsid w:val="02975C2C"/>
    <w:rsid w:val="02B26E88"/>
    <w:rsid w:val="02B31439"/>
    <w:rsid w:val="02CF57C0"/>
    <w:rsid w:val="02E4100B"/>
    <w:rsid w:val="02E64D83"/>
    <w:rsid w:val="030557CC"/>
    <w:rsid w:val="030E51FC"/>
    <w:rsid w:val="0332621A"/>
    <w:rsid w:val="03451AAA"/>
    <w:rsid w:val="034F7FF4"/>
    <w:rsid w:val="035C5045"/>
    <w:rsid w:val="036C34DA"/>
    <w:rsid w:val="037B54CB"/>
    <w:rsid w:val="039D18E6"/>
    <w:rsid w:val="03AD28E2"/>
    <w:rsid w:val="03AF33C7"/>
    <w:rsid w:val="03C31BA3"/>
    <w:rsid w:val="03CC65BF"/>
    <w:rsid w:val="03D746CC"/>
    <w:rsid w:val="03F04E05"/>
    <w:rsid w:val="03F60FF6"/>
    <w:rsid w:val="040C0819"/>
    <w:rsid w:val="040E27E3"/>
    <w:rsid w:val="04126E2F"/>
    <w:rsid w:val="04153AA4"/>
    <w:rsid w:val="04243DB5"/>
    <w:rsid w:val="044A4F10"/>
    <w:rsid w:val="04520BEF"/>
    <w:rsid w:val="04534146"/>
    <w:rsid w:val="04730898"/>
    <w:rsid w:val="04754611"/>
    <w:rsid w:val="04797268"/>
    <w:rsid w:val="0482288A"/>
    <w:rsid w:val="04874344"/>
    <w:rsid w:val="04934A97"/>
    <w:rsid w:val="04A62A1C"/>
    <w:rsid w:val="04A87A50"/>
    <w:rsid w:val="04B54A0D"/>
    <w:rsid w:val="04B70785"/>
    <w:rsid w:val="04C14DAD"/>
    <w:rsid w:val="04C307C7"/>
    <w:rsid w:val="04C53E4B"/>
    <w:rsid w:val="04CA6D21"/>
    <w:rsid w:val="04EE7963"/>
    <w:rsid w:val="04FA2D68"/>
    <w:rsid w:val="052E6465"/>
    <w:rsid w:val="05397915"/>
    <w:rsid w:val="05432019"/>
    <w:rsid w:val="054E2A1E"/>
    <w:rsid w:val="055108BB"/>
    <w:rsid w:val="056D52E8"/>
    <w:rsid w:val="05777F14"/>
    <w:rsid w:val="05804295"/>
    <w:rsid w:val="05836A03"/>
    <w:rsid w:val="05A72BE0"/>
    <w:rsid w:val="05AC22B4"/>
    <w:rsid w:val="05AF5AB7"/>
    <w:rsid w:val="05C70C5A"/>
    <w:rsid w:val="05CD5D86"/>
    <w:rsid w:val="05D215EF"/>
    <w:rsid w:val="05EC37DD"/>
    <w:rsid w:val="05ED1043"/>
    <w:rsid w:val="05F257ED"/>
    <w:rsid w:val="06255A88"/>
    <w:rsid w:val="062736E9"/>
    <w:rsid w:val="066421C7"/>
    <w:rsid w:val="06654211"/>
    <w:rsid w:val="0667442D"/>
    <w:rsid w:val="066F1F5D"/>
    <w:rsid w:val="069C7C11"/>
    <w:rsid w:val="069F7723"/>
    <w:rsid w:val="06A05249"/>
    <w:rsid w:val="06C90C44"/>
    <w:rsid w:val="06CF0F7F"/>
    <w:rsid w:val="06D14BB8"/>
    <w:rsid w:val="06D33870"/>
    <w:rsid w:val="06DE5C00"/>
    <w:rsid w:val="07027CB2"/>
    <w:rsid w:val="0714287C"/>
    <w:rsid w:val="073E6F3C"/>
    <w:rsid w:val="07405339"/>
    <w:rsid w:val="07441979"/>
    <w:rsid w:val="075336DE"/>
    <w:rsid w:val="07671ACA"/>
    <w:rsid w:val="07687960"/>
    <w:rsid w:val="078C182C"/>
    <w:rsid w:val="0793326B"/>
    <w:rsid w:val="07A50D69"/>
    <w:rsid w:val="07AA2823"/>
    <w:rsid w:val="07B40FAC"/>
    <w:rsid w:val="07C644D1"/>
    <w:rsid w:val="07E55609"/>
    <w:rsid w:val="07E75618"/>
    <w:rsid w:val="07EA0E72"/>
    <w:rsid w:val="07FF02EE"/>
    <w:rsid w:val="08135A38"/>
    <w:rsid w:val="08167EB9"/>
    <w:rsid w:val="08404F36"/>
    <w:rsid w:val="08597DA5"/>
    <w:rsid w:val="085D7896"/>
    <w:rsid w:val="086302C4"/>
    <w:rsid w:val="086C1A35"/>
    <w:rsid w:val="087E15BA"/>
    <w:rsid w:val="08832305"/>
    <w:rsid w:val="08AC24CE"/>
    <w:rsid w:val="08DC7725"/>
    <w:rsid w:val="08E07822"/>
    <w:rsid w:val="08ED62FB"/>
    <w:rsid w:val="08F5187C"/>
    <w:rsid w:val="08FF26FB"/>
    <w:rsid w:val="090146C5"/>
    <w:rsid w:val="09187C60"/>
    <w:rsid w:val="091D21CC"/>
    <w:rsid w:val="091F4B4B"/>
    <w:rsid w:val="09212671"/>
    <w:rsid w:val="092B5268"/>
    <w:rsid w:val="09391199"/>
    <w:rsid w:val="09645F3F"/>
    <w:rsid w:val="096F17B4"/>
    <w:rsid w:val="097F55EA"/>
    <w:rsid w:val="09972933"/>
    <w:rsid w:val="09A03EDE"/>
    <w:rsid w:val="09AC33EF"/>
    <w:rsid w:val="09E75808"/>
    <w:rsid w:val="0A043E59"/>
    <w:rsid w:val="0A0855DF"/>
    <w:rsid w:val="0A0A73CC"/>
    <w:rsid w:val="0A107ED7"/>
    <w:rsid w:val="0A12645E"/>
    <w:rsid w:val="0A216BB3"/>
    <w:rsid w:val="0A2A3A6B"/>
    <w:rsid w:val="0A363205"/>
    <w:rsid w:val="0A4520A0"/>
    <w:rsid w:val="0A4E6440"/>
    <w:rsid w:val="0A544CC8"/>
    <w:rsid w:val="0A5D3B7D"/>
    <w:rsid w:val="0A5F652B"/>
    <w:rsid w:val="0A686C9B"/>
    <w:rsid w:val="0A6D7B38"/>
    <w:rsid w:val="0A8D01BA"/>
    <w:rsid w:val="0A9D041D"/>
    <w:rsid w:val="0AB241FB"/>
    <w:rsid w:val="0AC736EC"/>
    <w:rsid w:val="0AD520B3"/>
    <w:rsid w:val="0B114967"/>
    <w:rsid w:val="0B1775DA"/>
    <w:rsid w:val="0B1F7084"/>
    <w:rsid w:val="0B2226D0"/>
    <w:rsid w:val="0B2D61F5"/>
    <w:rsid w:val="0B310B66"/>
    <w:rsid w:val="0B457ECA"/>
    <w:rsid w:val="0B552993"/>
    <w:rsid w:val="0B59666F"/>
    <w:rsid w:val="0B9F3D21"/>
    <w:rsid w:val="0BA92503"/>
    <w:rsid w:val="0BD9237C"/>
    <w:rsid w:val="0BDB744F"/>
    <w:rsid w:val="0BF56037"/>
    <w:rsid w:val="0C112E71"/>
    <w:rsid w:val="0C3923C8"/>
    <w:rsid w:val="0C7A1229"/>
    <w:rsid w:val="0C8A75A3"/>
    <w:rsid w:val="0C9F186A"/>
    <w:rsid w:val="0CA2050C"/>
    <w:rsid w:val="0CA60ED7"/>
    <w:rsid w:val="0CA84E57"/>
    <w:rsid w:val="0CAA625A"/>
    <w:rsid w:val="0CAB755A"/>
    <w:rsid w:val="0CB87DFC"/>
    <w:rsid w:val="0CCD5339"/>
    <w:rsid w:val="0CF27873"/>
    <w:rsid w:val="0D006A41"/>
    <w:rsid w:val="0D1129FD"/>
    <w:rsid w:val="0D1644B7"/>
    <w:rsid w:val="0D224C0A"/>
    <w:rsid w:val="0D5279EB"/>
    <w:rsid w:val="0D5A25F6"/>
    <w:rsid w:val="0D6E071F"/>
    <w:rsid w:val="0D725B91"/>
    <w:rsid w:val="0D870F11"/>
    <w:rsid w:val="0D8B0A01"/>
    <w:rsid w:val="0D921B4A"/>
    <w:rsid w:val="0DA970D9"/>
    <w:rsid w:val="0DB14818"/>
    <w:rsid w:val="0DB735A4"/>
    <w:rsid w:val="0DC95E8B"/>
    <w:rsid w:val="0DDE3227"/>
    <w:rsid w:val="0DFE7E9F"/>
    <w:rsid w:val="0E0464E0"/>
    <w:rsid w:val="0E415DA1"/>
    <w:rsid w:val="0E440BB0"/>
    <w:rsid w:val="0E543124"/>
    <w:rsid w:val="0E6F48A6"/>
    <w:rsid w:val="0E707BF7"/>
    <w:rsid w:val="0E7C2FD9"/>
    <w:rsid w:val="0EA21BDD"/>
    <w:rsid w:val="0EB50F32"/>
    <w:rsid w:val="0EB87144"/>
    <w:rsid w:val="0EC0482A"/>
    <w:rsid w:val="0EE303C9"/>
    <w:rsid w:val="0EE505E5"/>
    <w:rsid w:val="0EEE7499"/>
    <w:rsid w:val="0EF6634E"/>
    <w:rsid w:val="0F0721DA"/>
    <w:rsid w:val="0F1862C4"/>
    <w:rsid w:val="0F3341F4"/>
    <w:rsid w:val="0F3E6E18"/>
    <w:rsid w:val="0F5D63CD"/>
    <w:rsid w:val="0F6307F3"/>
    <w:rsid w:val="0F6634D4"/>
    <w:rsid w:val="0F73799F"/>
    <w:rsid w:val="0F9D1A23"/>
    <w:rsid w:val="0FA63AAE"/>
    <w:rsid w:val="0FA67D74"/>
    <w:rsid w:val="0FC365A2"/>
    <w:rsid w:val="0FC4644C"/>
    <w:rsid w:val="0FC760A3"/>
    <w:rsid w:val="0FD02A96"/>
    <w:rsid w:val="0FD348E1"/>
    <w:rsid w:val="0FE73EE9"/>
    <w:rsid w:val="0FED3BB2"/>
    <w:rsid w:val="0FFA4FC9"/>
    <w:rsid w:val="101F6E5E"/>
    <w:rsid w:val="10475ACA"/>
    <w:rsid w:val="105B0B5E"/>
    <w:rsid w:val="105F391B"/>
    <w:rsid w:val="10635C65"/>
    <w:rsid w:val="10686EC2"/>
    <w:rsid w:val="10771710"/>
    <w:rsid w:val="108C51BC"/>
    <w:rsid w:val="10A110B4"/>
    <w:rsid w:val="10B61896"/>
    <w:rsid w:val="10B65D95"/>
    <w:rsid w:val="10C1325E"/>
    <w:rsid w:val="10CD7582"/>
    <w:rsid w:val="10DB1C9F"/>
    <w:rsid w:val="10DF26A3"/>
    <w:rsid w:val="10E21D72"/>
    <w:rsid w:val="10E33830"/>
    <w:rsid w:val="10E458CA"/>
    <w:rsid w:val="11205904"/>
    <w:rsid w:val="11344FBA"/>
    <w:rsid w:val="11475A92"/>
    <w:rsid w:val="1164596F"/>
    <w:rsid w:val="11B06C88"/>
    <w:rsid w:val="11DD37F5"/>
    <w:rsid w:val="11EC7608"/>
    <w:rsid w:val="12042B30"/>
    <w:rsid w:val="120B2110"/>
    <w:rsid w:val="120C0F58"/>
    <w:rsid w:val="121216F1"/>
    <w:rsid w:val="12152F8F"/>
    <w:rsid w:val="12212740"/>
    <w:rsid w:val="12486EC1"/>
    <w:rsid w:val="1249414E"/>
    <w:rsid w:val="12614426"/>
    <w:rsid w:val="129B31C9"/>
    <w:rsid w:val="12A62454"/>
    <w:rsid w:val="12C21D05"/>
    <w:rsid w:val="12CF75E2"/>
    <w:rsid w:val="12F17558"/>
    <w:rsid w:val="12F47048"/>
    <w:rsid w:val="12FB3D0F"/>
    <w:rsid w:val="13051003"/>
    <w:rsid w:val="131B635F"/>
    <w:rsid w:val="136E2BA5"/>
    <w:rsid w:val="13963C5C"/>
    <w:rsid w:val="13990439"/>
    <w:rsid w:val="139D148E"/>
    <w:rsid w:val="13B668C3"/>
    <w:rsid w:val="13C54541"/>
    <w:rsid w:val="13D9323B"/>
    <w:rsid w:val="13DF1289"/>
    <w:rsid w:val="13DF3855"/>
    <w:rsid w:val="13EA35C5"/>
    <w:rsid w:val="13EC7D20"/>
    <w:rsid w:val="13EE3A98"/>
    <w:rsid w:val="13FA068E"/>
    <w:rsid w:val="14050106"/>
    <w:rsid w:val="141259D8"/>
    <w:rsid w:val="141F1EA3"/>
    <w:rsid w:val="1425602A"/>
    <w:rsid w:val="14261483"/>
    <w:rsid w:val="142A7E88"/>
    <w:rsid w:val="142B6A9A"/>
    <w:rsid w:val="1438617E"/>
    <w:rsid w:val="143F0797"/>
    <w:rsid w:val="145B57FC"/>
    <w:rsid w:val="14710FC6"/>
    <w:rsid w:val="147246C9"/>
    <w:rsid w:val="1473140B"/>
    <w:rsid w:val="14740441"/>
    <w:rsid w:val="14816EF4"/>
    <w:rsid w:val="148646E7"/>
    <w:rsid w:val="14916BA5"/>
    <w:rsid w:val="14A8037D"/>
    <w:rsid w:val="14BA5827"/>
    <w:rsid w:val="14BE482C"/>
    <w:rsid w:val="14E16E52"/>
    <w:rsid w:val="14E60C13"/>
    <w:rsid w:val="14ED1B04"/>
    <w:rsid w:val="14F7697C"/>
    <w:rsid w:val="14FE784E"/>
    <w:rsid w:val="153C0833"/>
    <w:rsid w:val="153F78A7"/>
    <w:rsid w:val="154E022A"/>
    <w:rsid w:val="15567B46"/>
    <w:rsid w:val="155E69FB"/>
    <w:rsid w:val="157062A4"/>
    <w:rsid w:val="15804BC3"/>
    <w:rsid w:val="158521DA"/>
    <w:rsid w:val="15B47667"/>
    <w:rsid w:val="15BB3E4D"/>
    <w:rsid w:val="15C54CCC"/>
    <w:rsid w:val="15CB499D"/>
    <w:rsid w:val="15E11B06"/>
    <w:rsid w:val="15F24D42"/>
    <w:rsid w:val="15F6718A"/>
    <w:rsid w:val="15FB473D"/>
    <w:rsid w:val="15FF1F8C"/>
    <w:rsid w:val="16096967"/>
    <w:rsid w:val="16110B93"/>
    <w:rsid w:val="161E5E30"/>
    <w:rsid w:val="163D4862"/>
    <w:rsid w:val="166B7621"/>
    <w:rsid w:val="168E50BE"/>
    <w:rsid w:val="169C5A2D"/>
    <w:rsid w:val="169D71E8"/>
    <w:rsid w:val="16A900BB"/>
    <w:rsid w:val="16B35411"/>
    <w:rsid w:val="16C259D6"/>
    <w:rsid w:val="16D178F5"/>
    <w:rsid w:val="16D35CC0"/>
    <w:rsid w:val="16DB3138"/>
    <w:rsid w:val="16DF4A38"/>
    <w:rsid w:val="16ED0036"/>
    <w:rsid w:val="16F564C3"/>
    <w:rsid w:val="16F75359"/>
    <w:rsid w:val="17013AE2"/>
    <w:rsid w:val="170B670F"/>
    <w:rsid w:val="170D3106"/>
    <w:rsid w:val="17141A67"/>
    <w:rsid w:val="17290094"/>
    <w:rsid w:val="172F2B7E"/>
    <w:rsid w:val="174D31CB"/>
    <w:rsid w:val="179B7A92"/>
    <w:rsid w:val="17A87E47"/>
    <w:rsid w:val="17C23110"/>
    <w:rsid w:val="17C23271"/>
    <w:rsid w:val="17C4348D"/>
    <w:rsid w:val="17ED4E8E"/>
    <w:rsid w:val="17F20599"/>
    <w:rsid w:val="17F378CF"/>
    <w:rsid w:val="17FA6D4D"/>
    <w:rsid w:val="180A7985"/>
    <w:rsid w:val="181B7ED6"/>
    <w:rsid w:val="183049C9"/>
    <w:rsid w:val="18567E5D"/>
    <w:rsid w:val="188350F6"/>
    <w:rsid w:val="188B534B"/>
    <w:rsid w:val="18905905"/>
    <w:rsid w:val="18B47385"/>
    <w:rsid w:val="18CB25F9"/>
    <w:rsid w:val="18CC77BD"/>
    <w:rsid w:val="18E84F59"/>
    <w:rsid w:val="19035452"/>
    <w:rsid w:val="190F0738"/>
    <w:rsid w:val="1917314C"/>
    <w:rsid w:val="191D2361"/>
    <w:rsid w:val="19297EBB"/>
    <w:rsid w:val="194505FE"/>
    <w:rsid w:val="19466124"/>
    <w:rsid w:val="195014AA"/>
    <w:rsid w:val="19670574"/>
    <w:rsid w:val="19766A09"/>
    <w:rsid w:val="1977008B"/>
    <w:rsid w:val="197B1F90"/>
    <w:rsid w:val="197F766C"/>
    <w:rsid w:val="198B3B37"/>
    <w:rsid w:val="19923117"/>
    <w:rsid w:val="19A60971"/>
    <w:rsid w:val="19B45B4F"/>
    <w:rsid w:val="19B5733A"/>
    <w:rsid w:val="19C57C95"/>
    <w:rsid w:val="19F3263E"/>
    <w:rsid w:val="19F623FE"/>
    <w:rsid w:val="1A071055"/>
    <w:rsid w:val="1A165AF6"/>
    <w:rsid w:val="1A1E6CC4"/>
    <w:rsid w:val="1A3F5F9B"/>
    <w:rsid w:val="1A667BFA"/>
    <w:rsid w:val="1AF10274"/>
    <w:rsid w:val="1B096EF5"/>
    <w:rsid w:val="1B197D8B"/>
    <w:rsid w:val="1B293607"/>
    <w:rsid w:val="1B371B06"/>
    <w:rsid w:val="1B3853CA"/>
    <w:rsid w:val="1B665EBA"/>
    <w:rsid w:val="1B8A66C7"/>
    <w:rsid w:val="1B8D01A7"/>
    <w:rsid w:val="1BA55384"/>
    <w:rsid w:val="1BAD6152"/>
    <w:rsid w:val="1BD071F5"/>
    <w:rsid w:val="1BF12290"/>
    <w:rsid w:val="1BF34C27"/>
    <w:rsid w:val="1BF613CE"/>
    <w:rsid w:val="1C09740B"/>
    <w:rsid w:val="1C1C325F"/>
    <w:rsid w:val="1C1F5136"/>
    <w:rsid w:val="1C20344D"/>
    <w:rsid w:val="1C27223D"/>
    <w:rsid w:val="1C4D11BA"/>
    <w:rsid w:val="1C4D129D"/>
    <w:rsid w:val="1C4F52EF"/>
    <w:rsid w:val="1C6B037B"/>
    <w:rsid w:val="1C9135A4"/>
    <w:rsid w:val="1CA17753"/>
    <w:rsid w:val="1CB03FE0"/>
    <w:rsid w:val="1CDB6B83"/>
    <w:rsid w:val="1CDC4DD5"/>
    <w:rsid w:val="1CE65A14"/>
    <w:rsid w:val="1CFE521E"/>
    <w:rsid w:val="1D045D16"/>
    <w:rsid w:val="1D101429"/>
    <w:rsid w:val="1D3C246B"/>
    <w:rsid w:val="1D3C5874"/>
    <w:rsid w:val="1D3C768A"/>
    <w:rsid w:val="1D4806BC"/>
    <w:rsid w:val="1D513F6B"/>
    <w:rsid w:val="1D556936"/>
    <w:rsid w:val="1D6E48D2"/>
    <w:rsid w:val="1D7C032C"/>
    <w:rsid w:val="1D85546D"/>
    <w:rsid w:val="1D892C79"/>
    <w:rsid w:val="1D8B05A9"/>
    <w:rsid w:val="1D954F84"/>
    <w:rsid w:val="1DAF4298"/>
    <w:rsid w:val="1DD2442A"/>
    <w:rsid w:val="1DFF7BBC"/>
    <w:rsid w:val="1E036392"/>
    <w:rsid w:val="1E1D56A5"/>
    <w:rsid w:val="1E2B73DD"/>
    <w:rsid w:val="1E5B61CE"/>
    <w:rsid w:val="1E5F67A8"/>
    <w:rsid w:val="1E605592"/>
    <w:rsid w:val="1E6826AB"/>
    <w:rsid w:val="1E80114A"/>
    <w:rsid w:val="1E93220F"/>
    <w:rsid w:val="1E9D1A25"/>
    <w:rsid w:val="1EE2244B"/>
    <w:rsid w:val="1EE53CE9"/>
    <w:rsid w:val="1EF53F2C"/>
    <w:rsid w:val="1F0C1276"/>
    <w:rsid w:val="1F212F73"/>
    <w:rsid w:val="1F443106"/>
    <w:rsid w:val="1F552C1D"/>
    <w:rsid w:val="1F664E2A"/>
    <w:rsid w:val="1F6B7FA1"/>
    <w:rsid w:val="1F826B41"/>
    <w:rsid w:val="1FA72182"/>
    <w:rsid w:val="1FAC5786"/>
    <w:rsid w:val="1FCB7909"/>
    <w:rsid w:val="1FCF6E73"/>
    <w:rsid w:val="1FDC0AC8"/>
    <w:rsid w:val="1FDC2058"/>
    <w:rsid w:val="1FE12702"/>
    <w:rsid w:val="1FE62B24"/>
    <w:rsid w:val="1FF025B6"/>
    <w:rsid w:val="1FF64400"/>
    <w:rsid w:val="1FFC2999"/>
    <w:rsid w:val="20031C3F"/>
    <w:rsid w:val="200563F1"/>
    <w:rsid w:val="200D4F69"/>
    <w:rsid w:val="200F7270"/>
    <w:rsid w:val="20106605"/>
    <w:rsid w:val="20167FA8"/>
    <w:rsid w:val="2039253E"/>
    <w:rsid w:val="203C5FDD"/>
    <w:rsid w:val="20416343"/>
    <w:rsid w:val="20466FF7"/>
    <w:rsid w:val="20692E24"/>
    <w:rsid w:val="206F7868"/>
    <w:rsid w:val="20735A50"/>
    <w:rsid w:val="209459C7"/>
    <w:rsid w:val="20994D8B"/>
    <w:rsid w:val="20A7403F"/>
    <w:rsid w:val="20E468E3"/>
    <w:rsid w:val="20EF7337"/>
    <w:rsid w:val="20F85F56"/>
    <w:rsid w:val="210B3804"/>
    <w:rsid w:val="212913C1"/>
    <w:rsid w:val="21336F8E"/>
    <w:rsid w:val="21511E4F"/>
    <w:rsid w:val="215869F4"/>
    <w:rsid w:val="21635AC5"/>
    <w:rsid w:val="21AC0FAC"/>
    <w:rsid w:val="21B225A8"/>
    <w:rsid w:val="21B87493"/>
    <w:rsid w:val="21BF0821"/>
    <w:rsid w:val="21D04698"/>
    <w:rsid w:val="21F07200"/>
    <w:rsid w:val="21F221C9"/>
    <w:rsid w:val="21F62EBD"/>
    <w:rsid w:val="220402FD"/>
    <w:rsid w:val="220C4CDC"/>
    <w:rsid w:val="221A5FC5"/>
    <w:rsid w:val="221B5C2F"/>
    <w:rsid w:val="221E7C3E"/>
    <w:rsid w:val="222E1C63"/>
    <w:rsid w:val="22356F92"/>
    <w:rsid w:val="223A10C5"/>
    <w:rsid w:val="22525B39"/>
    <w:rsid w:val="225673D8"/>
    <w:rsid w:val="229972C4"/>
    <w:rsid w:val="22A77705"/>
    <w:rsid w:val="22BE6D2B"/>
    <w:rsid w:val="22D12F02"/>
    <w:rsid w:val="22D327D6"/>
    <w:rsid w:val="23046E34"/>
    <w:rsid w:val="23221C49"/>
    <w:rsid w:val="2326370F"/>
    <w:rsid w:val="23442129"/>
    <w:rsid w:val="234611FA"/>
    <w:rsid w:val="23511E39"/>
    <w:rsid w:val="23571659"/>
    <w:rsid w:val="23627FFE"/>
    <w:rsid w:val="23637918"/>
    <w:rsid w:val="23664A1C"/>
    <w:rsid w:val="23700025"/>
    <w:rsid w:val="23724C32"/>
    <w:rsid w:val="239E3A26"/>
    <w:rsid w:val="23A17E51"/>
    <w:rsid w:val="23B01A4A"/>
    <w:rsid w:val="23C14C3E"/>
    <w:rsid w:val="23C95987"/>
    <w:rsid w:val="23ED78C8"/>
    <w:rsid w:val="24013373"/>
    <w:rsid w:val="241443C1"/>
    <w:rsid w:val="241E3F25"/>
    <w:rsid w:val="24294678"/>
    <w:rsid w:val="242C5960"/>
    <w:rsid w:val="2444412B"/>
    <w:rsid w:val="244D0366"/>
    <w:rsid w:val="248E1AB7"/>
    <w:rsid w:val="24AC1531"/>
    <w:rsid w:val="24E54A43"/>
    <w:rsid w:val="24F37DA3"/>
    <w:rsid w:val="24F53213"/>
    <w:rsid w:val="25034EC9"/>
    <w:rsid w:val="251E295E"/>
    <w:rsid w:val="2527505B"/>
    <w:rsid w:val="25587434"/>
    <w:rsid w:val="25616BF7"/>
    <w:rsid w:val="25656BFC"/>
    <w:rsid w:val="25897AC4"/>
    <w:rsid w:val="25900E53"/>
    <w:rsid w:val="259A582D"/>
    <w:rsid w:val="25B863E4"/>
    <w:rsid w:val="25CB59E7"/>
    <w:rsid w:val="25CE3729"/>
    <w:rsid w:val="25CE54D7"/>
    <w:rsid w:val="25D83D42"/>
    <w:rsid w:val="25F0369F"/>
    <w:rsid w:val="25F478CC"/>
    <w:rsid w:val="25F5515A"/>
    <w:rsid w:val="2604714B"/>
    <w:rsid w:val="26103D41"/>
    <w:rsid w:val="26136E9E"/>
    <w:rsid w:val="261C6242"/>
    <w:rsid w:val="261F5032"/>
    <w:rsid w:val="26324D1C"/>
    <w:rsid w:val="2657371E"/>
    <w:rsid w:val="265E4AAD"/>
    <w:rsid w:val="26907B25"/>
    <w:rsid w:val="26AA5F44"/>
    <w:rsid w:val="26BD6B08"/>
    <w:rsid w:val="26C66091"/>
    <w:rsid w:val="26D74864"/>
    <w:rsid w:val="26E1123A"/>
    <w:rsid w:val="26EFA9FA"/>
    <w:rsid w:val="26FB67A0"/>
    <w:rsid w:val="26FD2518"/>
    <w:rsid w:val="27035654"/>
    <w:rsid w:val="27085698"/>
    <w:rsid w:val="27301857"/>
    <w:rsid w:val="274E31B1"/>
    <w:rsid w:val="276E6F72"/>
    <w:rsid w:val="277D0F63"/>
    <w:rsid w:val="277F8B19"/>
    <w:rsid w:val="278850B6"/>
    <w:rsid w:val="27983FEE"/>
    <w:rsid w:val="279D33B3"/>
    <w:rsid w:val="279F738C"/>
    <w:rsid w:val="27BB7CDD"/>
    <w:rsid w:val="27D663B3"/>
    <w:rsid w:val="27DB5705"/>
    <w:rsid w:val="27E65454"/>
    <w:rsid w:val="27EE1E60"/>
    <w:rsid w:val="27EF4BF5"/>
    <w:rsid w:val="280671AA"/>
    <w:rsid w:val="281E645D"/>
    <w:rsid w:val="28237BC7"/>
    <w:rsid w:val="286B1971"/>
    <w:rsid w:val="2878467C"/>
    <w:rsid w:val="2879797C"/>
    <w:rsid w:val="28834023"/>
    <w:rsid w:val="28B01215"/>
    <w:rsid w:val="28B03C18"/>
    <w:rsid w:val="28BF3AB9"/>
    <w:rsid w:val="28C01E2B"/>
    <w:rsid w:val="28C46940"/>
    <w:rsid w:val="28CD5F1A"/>
    <w:rsid w:val="28DB0637"/>
    <w:rsid w:val="28E6363A"/>
    <w:rsid w:val="28F11C08"/>
    <w:rsid w:val="29046EDC"/>
    <w:rsid w:val="291E7391"/>
    <w:rsid w:val="294B4E6E"/>
    <w:rsid w:val="29583A35"/>
    <w:rsid w:val="297A7E50"/>
    <w:rsid w:val="297E7214"/>
    <w:rsid w:val="29AA0009"/>
    <w:rsid w:val="29B449E4"/>
    <w:rsid w:val="29BE1E27"/>
    <w:rsid w:val="29D357B2"/>
    <w:rsid w:val="29D37560"/>
    <w:rsid w:val="29E21551"/>
    <w:rsid w:val="2A0E67EA"/>
    <w:rsid w:val="2A155EC2"/>
    <w:rsid w:val="2A286C31"/>
    <w:rsid w:val="2A2C6C70"/>
    <w:rsid w:val="2A442896"/>
    <w:rsid w:val="2A683FD1"/>
    <w:rsid w:val="2A9E191C"/>
    <w:rsid w:val="2AA50EFC"/>
    <w:rsid w:val="2AAB228B"/>
    <w:rsid w:val="2ADB7170"/>
    <w:rsid w:val="2AE112B3"/>
    <w:rsid w:val="2AE9366F"/>
    <w:rsid w:val="2AEB029F"/>
    <w:rsid w:val="2AFC6642"/>
    <w:rsid w:val="2B0760E4"/>
    <w:rsid w:val="2B0A5203"/>
    <w:rsid w:val="2B221916"/>
    <w:rsid w:val="2B762899"/>
    <w:rsid w:val="2B9A4D4C"/>
    <w:rsid w:val="2BA2543C"/>
    <w:rsid w:val="2BB227A2"/>
    <w:rsid w:val="2BCE70A3"/>
    <w:rsid w:val="2BEE6525"/>
    <w:rsid w:val="2BEE78FB"/>
    <w:rsid w:val="2C002302"/>
    <w:rsid w:val="2C251BC9"/>
    <w:rsid w:val="2C317389"/>
    <w:rsid w:val="2C5A021C"/>
    <w:rsid w:val="2C9A4365"/>
    <w:rsid w:val="2CA60F5C"/>
    <w:rsid w:val="2CB36F3E"/>
    <w:rsid w:val="2CC30841"/>
    <w:rsid w:val="2CD02638"/>
    <w:rsid w:val="2CE81CFA"/>
    <w:rsid w:val="2CEB4BC0"/>
    <w:rsid w:val="2CF2794B"/>
    <w:rsid w:val="2D014005"/>
    <w:rsid w:val="2D053ED4"/>
    <w:rsid w:val="2D216834"/>
    <w:rsid w:val="2D295360"/>
    <w:rsid w:val="2D350E15"/>
    <w:rsid w:val="2D4349FC"/>
    <w:rsid w:val="2D546C0A"/>
    <w:rsid w:val="2D551D95"/>
    <w:rsid w:val="2D684463"/>
    <w:rsid w:val="2D6B7AAF"/>
    <w:rsid w:val="2D7623B6"/>
    <w:rsid w:val="2D8363D0"/>
    <w:rsid w:val="2D90387C"/>
    <w:rsid w:val="2D917516"/>
    <w:rsid w:val="2DA855FF"/>
    <w:rsid w:val="2DAA682A"/>
    <w:rsid w:val="2DBE5E99"/>
    <w:rsid w:val="2DBF0527"/>
    <w:rsid w:val="2DDC1CCB"/>
    <w:rsid w:val="2DF91630"/>
    <w:rsid w:val="2E4D3017"/>
    <w:rsid w:val="2E9F30A1"/>
    <w:rsid w:val="2EC13E2B"/>
    <w:rsid w:val="2ED24AAD"/>
    <w:rsid w:val="2EF97E0E"/>
    <w:rsid w:val="2EFA733D"/>
    <w:rsid w:val="2F340AA1"/>
    <w:rsid w:val="2F46365E"/>
    <w:rsid w:val="2F4A3E20"/>
    <w:rsid w:val="2F4E3708"/>
    <w:rsid w:val="2F7B66D0"/>
    <w:rsid w:val="2F807842"/>
    <w:rsid w:val="2F8A52E3"/>
    <w:rsid w:val="2FD00FEB"/>
    <w:rsid w:val="2FD44E34"/>
    <w:rsid w:val="2FEC3129"/>
    <w:rsid w:val="2FF33398"/>
    <w:rsid w:val="2FFB03B1"/>
    <w:rsid w:val="2FFF709B"/>
    <w:rsid w:val="3049300A"/>
    <w:rsid w:val="304F5466"/>
    <w:rsid w:val="305024F2"/>
    <w:rsid w:val="305D413A"/>
    <w:rsid w:val="309B1C14"/>
    <w:rsid w:val="30AA08EF"/>
    <w:rsid w:val="30FE1366"/>
    <w:rsid w:val="30FF50DE"/>
    <w:rsid w:val="311C34A8"/>
    <w:rsid w:val="31292D3A"/>
    <w:rsid w:val="312A382C"/>
    <w:rsid w:val="312D45A2"/>
    <w:rsid w:val="31344D88"/>
    <w:rsid w:val="3143321D"/>
    <w:rsid w:val="31457719"/>
    <w:rsid w:val="3155215F"/>
    <w:rsid w:val="31556AAC"/>
    <w:rsid w:val="31596B1C"/>
    <w:rsid w:val="31763FCB"/>
    <w:rsid w:val="31764F04"/>
    <w:rsid w:val="31CA36BD"/>
    <w:rsid w:val="31D65E3F"/>
    <w:rsid w:val="31D81ADA"/>
    <w:rsid w:val="31E3230A"/>
    <w:rsid w:val="31E61F25"/>
    <w:rsid w:val="31EB4ECF"/>
    <w:rsid w:val="31F43832"/>
    <w:rsid w:val="31F77B64"/>
    <w:rsid w:val="320F1351"/>
    <w:rsid w:val="321C4287"/>
    <w:rsid w:val="324F174E"/>
    <w:rsid w:val="3251196A"/>
    <w:rsid w:val="325F4087"/>
    <w:rsid w:val="3285463F"/>
    <w:rsid w:val="32AE7E18"/>
    <w:rsid w:val="32C5265C"/>
    <w:rsid w:val="32EE3061"/>
    <w:rsid w:val="32FD73FC"/>
    <w:rsid w:val="33464251"/>
    <w:rsid w:val="335D54C4"/>
    <w:rsid w:val="335E2586"/>
    <w:rsid w:val="337376BE"/>
    <w:rsid w:val="338709C6"/>
    <w:rsid w:val="338813BB"/>
    <w:rsid w:val="339029A4"/>
    <w:rsid w:val="33A15FD9"/>
    <w:rsid w:val="33A8380B"/>
    <w:rsid w:val="33B91574"/>
    <w:rsid w:val="33CA1115"/>
    <w:rsid w:val="33E34B07"/>
    <w:rsid w:val="33EC2F20"/>
    <w:rsid w:val="33FD65A8"/>
    <w:rsid w:val="3421711A"/>
    <w:rsid w:val="3422536C"/>
    <w:rsid w:val="342444CB"/>
    <w:rsid w:val="342A1F36"/>
    <w:rsid w:val="343DAEEE"/>
    <w:rsid w:val="343E5F1E"/>
    <w:rsid w:val="344F6642"/>
    <w:rsid w:val="34502F77"/>
    <w:rsid w:val="347A51A8"/>
    <w:rsid w:val="347E631A"/>
    <w:rsid w:val="34821566"/>
    <w:rsid w:val="349719F9"/>
    <w:rsid w:val="34B921F7"/>
    <w:rsid w:val="34C446EB"/>
    <w:rsid w:val="34C603ED"/>
    <w:rsid w:val="34DA79F4"/>
    <w:rsid w:val="34F605A6"/>
    <w:rsid w:val="3538296D"/>
    <w:rsid w:val="35613C72"/>
    <w:rsid w:val="356F7390"/>
    <w:rsid w:val="357C0AAC"/>
    <w:rsid w:val="358A766C"/>
    <w:rsid w:val="359758E5"/>
    <w:rsid w:val="35B46497"/>
    <w:rsid w:val="35CF507F"/>
    <w:rsid w:val="35E3397E"/>
    <w:rsid w:val="35E95CB0"/>
    <w:rsid w:val="35ED3C8B"/>
    <w:rsid w:val="35F745D6"/>
    <w:rsid w:val="35FE2075"/>
    <w:rsid w:val="360176FC"/>
    <w:rsid w:val="360D4480"/>
    <w:rsid w:val="363E3FB3"/>
    <w:rsid w:val="36624F0A"/>
    <w:rsid w:val="366A124C"/>
    <w:rsid w:val="367D2D2D"/>
    <w:rsid w:val="367E011C"/>
    <w:rsid w:val="369938DF"/>
    <w:rsid w:val="36D13079"/>
    <w:rsid w:val="36DD37CC"/>
    <w:rsid w:val="37033819"/>
    <w:rsid w:val="37165CDA"/>
    <w:rsid w:val="3725028A"/>
    <w:rsid w:val="37813898"/>
    <w:rsid w:val="378D51F2"/>
    <w:rsid w:val="37A8186B"/>
    <w:rsid w:val="37C16C4A"/>
    <w:rsid w:val="37C30C14"/>
    <w:rsid w:val="37D20E57"/>
    <w:rsid w:val="37DF5322"/>
    <w:rsid w:val="37F7266B"/>
    <w:rsid w:val="37F81519"/>
    <w:rsid w:val="37FC4126"/>
    <w:rsid w:val="380D1E8F"/>
    <w:rsid w:val="380F4F4D"/>
    <w:rsid w:val="381C20D2"/>
    <w:rsid w:val="381D7640"/>
    <w:rsid w:val="38206066"/>
    <w:rsid w:val="38426396"/>
    <w:rsid w:val="385201EA"/>
    <w:rsid w:val="385C4BC4"/>
    <w:rsid w:val="3862715F"/>
    <w:rsid w:val="38685317"/>
    <w:rsid w:val="387A4053"/>
    <w:rsid w:val="38AC16A8"/>
    <w:rsid w:val="38B22A36"/>
    <w:rsid w:val="38C03B65"/>
    <w:rsid w:val="38CF183A"/>
    <w:rsid w:val="38E62DEF"/>
    <w:rsid w:val="38E803A4"/>
    <w:rsid w:val="38EA6674"/>
    <w:rsid w:val="38F26EA2"/>
    <w:rsid w:val="38F372D7"/>
    <w:rsid w:val="39070FD4"/>
    <w:rsid w:val="39131727"/>
    <w:rsid w:val="39186D3D"/>
    <w:rsid w:val="391D4903"/>
    <w:rsid w:val="39322FCA"/>
    <w:rsid w:val="394A1585"/>
    <w:rsid w:val="394A7201"/>
    <w:rsid w:val="394F1572"/>
    <w:rsid w:val="3962605C"/>
    <w:rsid w:val="39673821"/>
    <w:rsid w:val="397321C6"/>
    <w:rsid w:val="398A4489"/>
    <w:rsid w:val="3991089E"/>
    <w:rsid w:val="39932928"/>
    <w:rsid w:val="39A95DA7"/>
    <w:rsid w:val="39AC484E"/>
    <w:rsid w:val="39AE77D7"/>
    <w:rsid w:val="39CB0253"/>
    <w:rsid w:val="39DE350D"/>
    <w:rsid w:val="39EB4452"/>
    <w:rsid w:val="3A086DB2"/>
    <w:rsid w:val="3A1F40FB"/>
    <w:rsid w:val="3A234547"/>
    <w:rsid w:val="3A341637"/>
    <w:rsid w:val="3A3E3010"/>
    <w:rsid w:val="3A486714"/>
    <w:rsid w:val="3A72247D"/>
    <w:rsid w:val="3A9D7939"/>
    <w:rsid w:val="3AF55386"/>
    <w:rsid w:val="3B106ED1"/>
    <w:rsid w:val="3B120FE1"/>
    <w:rsid w:val="3B136D3B"/>
    <w:rsid w:val="3B1B2B15"/>
    <w:rsid w:val="3B385475"/>
    <w:rsid w:val="3B464036"/>
    <w:rsid w:val="3B604216"/>
    <w:rsid w:val="3B640BBC"/>
    <w:rsid w:val="3B6B4851"/>
    <w:rsid w:val="3B6B6389"/>
    <w:rsid w:val="3B8561E0"/>
    <w:rsid w:val="3B89264E"/>
    <w:rsid w:val="3BB70A8F"/>
    <w:rsid w:val="3BCE07F5"/>
    <w:rsid w:val="3BD21BC3"/>
    <w:rsid w:val="3BD23926"/>
    <w:rsid w:val="3BD312AB"/>
    <w:rsid w:val="3C043F9B"/>
    <w:rsid w:val="3C123F18"/>
    <w:rsid w:val="3C3814A4"/>
    <w:rsid w:val="3C4B2BBB"/>
    <w:rsid w:val="3C500FA6"/>
    <w:rsid w:val="3C527533"/>
    <w:rsid w:val="3C6A50E3"/>
    <w:rsid w:val="3C6F45F5"/>
    <w:rsid w:val="3C777E46"/>
    <w:rsid w:val="3C7F70D3"/>
    <w:rsid w:val="3CAD1E92"/>
    <w:rsid w:val="3CBB2DD0"/>
    <w:rsid w:val="3CCD7E3F"/>
    <w:rsid w:val="3CD12DB5"/>
    <w:rsid w:val="3CEC78A9"/>
    <w:rsid w:val="3D0C6BB9"/>
    <w:rsid w:val="3D536596"/>
    <w:rsid w:val="3D5D7415"/>
    <w:rsid w:val="3D5E4F3B"/>
    <w:rsid w:val="3D853E18"/>
    <w:rsid w:val="3D8E52AA"/>
    <w:rsid w:val="3D981CB9"/>
    <w:rsid w:val="3DA05553"/>
    <w:rsid w:val="3DA26F90"/>
    <w:rsid w:val="3DAA5DD4"/>
    <w:rsid w:val="3DB159B2"/>
    <w:rsid w:val="3DBC7C53"/>
    <w:rsid w:val="3DD11BB1"/>
    <w:rsid w:val="3DFA2393"/>
    <w:rsid w:val="3DFC009D"/>
    <w:rsid w:val="3E073FF4"/>
    <w:rsid w:val="3E2E3D2D"/>
    <w:rsid w:val="3E530E10"/>
    <w:rsid w:val="3E6622F9"/>
    <w:rsid w:val="3E7F49A7"/>
    <w:rsid w:val="3E8409D1"/>
    <w:rsid w:val="3E8971C7"/>
    <w:rsid w:val="3E9A1FA2"/>
    <w:rsid w:val="3EA64DEB"/>
    <w:rsid w:val="3EB65C36"/>
    <w:rsid w:val="3ED543B5"/>
    <w:rsid w:val="3EDF5787"/>
    <w:rsid w:val="3EE6343A"/>
    <w:rsid w:val="3EE651E8"/>
    <w:rsid w:val="3EEB606C"/>
    <w:rsid w:val="3EF21DDE"/>
    <w:rsid w:val="3F147FA7"/>
    <w:rsid w:val="3F163D1F"/>
    <w:rsid w:val="3F2008D9"/>
    <w:rsid w:val="3F312907"/>
    <w:rsid w:val="3F3B19D7"/>
    <w:rsid w:val="3F4C14EF"/>
    <w:rsid w:val="3F5879C6"/>
    <w:rsid w:val="3F6C7DE3"/>
    <w:rsid w:val="3F732F1F"/>
    <w:rsid w:val="3FA0183A"/>
    <w:rsid w:val="3FB05F21"/>
    <w:rsid w:val="3FC27A03"/>
    <w:rsid w:val="3FC45529"/>
    <w:rsid w:val="3FC6535B"/>
    <w:rsid w:val="3FCA3298"/>
    <w:rsid w:val="3FDA4D4C"/>
    <w:rsid w:val="3FE3021B"/>
    <w:rsid w:val="3FFD4EDF"/>
    <w:rsid w:val="400224F5"/>
    <w:rsid w:val="40046D4C"/>
    <w:rsid w:val="400718BA"/>
    <w:rsid w:val="401364B0"/>
    <w:rsid w:val="402A69BE"/>
    <w:rsid w:val="40373B7D"/>
    <w:rsid w:val="40385F17"/>
    <w:rsid w:val="403B1067"/>
    <w:rsid w:val="403D7C34"/>
    <w:rsid w:val="404C551E"/>
    <w:rsid w:val="40667434"/>
    <w:rsid w:val="406E1CA9"/>
    <w:rsid w:val="40804579"/>
    <w:rsid w:val="408C3F57"/>
    <w:rsid w:val="409273D5"/>
    <w:rsid w:val="40A8726B"/>
    <w:rsid w:val="40C44B57"/>
    <w:rsid w:val="40D12ACA"/>
    <w:rsid w:val="411425A0"/>
    <w:rsid w:val="411A73CB"/>
    <w:rsid w:val="413501A4"/>
    <w:rsid w:val="4158761D"/>
    <w:rsid w:val="415A7BC3"/>
    <w:rsid w:val="415F7725"/>
    <w:rsid w:val="4162149D"/>
    <w:rsid w:val="416C3E2A"/>
    <w:rsid w:val="41720FB5"/>
    <w:rsid w:val="41722A91"/>
    <w:rsid w:val="418C0DF0"/>
    <w:rsid w:val="41AF2209"/>
    <w:rsid w:val="41C9151C"/>
    <w:rsid w:val="41E20DBB"/>
    <w:rsid w:val="420F5E8F"/>
    <w:rsid w:val="42114C71"/>
    <w:rsid w:val="421B789E"/>
    <w:rsid w:val="42264802"/>
    <w:rsid w:val="42383FAC"/>
    <w:rsid w:val="423A5154"/>
    <w:rsid w:val="42641245"/>
    <w:rsid w:val="42647EE0"/>
    <w:rsid w:val="42772D26"/>
    <w:rsid w:val="42C41CEC"/>
    <w:rsid w:val="42E72782"/>
    <w:rsid w:val="43022720"/>
    <w:rsid w:val="43090AF7"/>
    <w:rsid w:val="432B3EF8"/>
    <w:rsid w:val="434A3F97"/>
    <w:rsid w:val="434F77FF"/>
    <w:rsid w:val="435412BA"/>
    <w:rsid w:val="435661B0"/>
    <w:rsid w:val="435D72A6"/>
    <w:rsid w:val="43727992"/>
    <w:rsid w:val="4379487C"/>
    <w:rsid w:val="438A6A89"/>
    <w:rsid w:val="43B945E4"/>
    <w:rsid w:val="43DC2617"/>
    <w:rsid w:val="43EF2D90"/>
    <w:rsid w:val="43F54230"/>
    <w:rsid w:val="440343FF"/>
    <w:rsid w:val="4416305A"/>
    <w:rsid w:val="441F3676"/>
    <w:rsid w:val="44325EE6"/>
    <w:rsid w:val="44344EA9"/>
    <w:rsid w:val="445168C1"/>
    <w:rsid w:val="445E1615"/>
    <w:rsid w:val="44703ED1"/>
    <w:rsid w:val="44736E22"/>
    <w:rsid w:val="44801C3A"/>
    <w:rsid w:val="448E4357"/>
    <w:rsid w:val="44974D76"/>
    <w:rsid w:val="44A771C7"/>
    <w:rsid w:val="44A93977"/>
    <w:rsid w:val="44B3525B"/>
    <w:rsid w:val="44DD0A3D"/>
    <w:rsid w:val="44DE662D"/>
    <w:rsid w:val="44EE129A"/>
    <w:rsid w:val="44FE09FA"/>
    <w:rsid w:val="4502744F"/>
    <w:rsid w:val="45316909"/>
    <w:rsid w:val="453A003B"/>
    <w:rsid w:val="453D6639"/>
    <w:rsid w:val="45543180"/>
    <w:rsid w:val="45605CF4"/>
    <w:rsid w:val="45633A36"/>
    <w:rsid w:val="4570263D"/>
    <w:rsid w:val="458C7E7F"/>
    <w:rsid w:val="45997458"/>
    <w:rsid w:val="45B222C8"/>
    <w:rsid w:val="45B95404"/>
    <w:rsid w:val="45CF2E79"/>
    <w:rsid w:val="45E23B5A"/>
    <w:rsid w:val="45E85A95"/>
    <w:rsid w:val="45ED8FBB"/>
    <w:rsid w:val="45F054E5"/>
    <w:rsid w:val="45F4468E"/>
    <w:rsid w:val="45FE550D"/>
    <w:rsid w:val="46050649"/>
    <w:rsid w:val="46081EE8"/>
    <w:rsid w:val="461D76DD"/>
    <w:rsid w:val="46243BE7"/>
    <w:rsid w:val="462E5DF2"/>
    <w:rsid w:val="465D2233"/>
    <w:rsid w:val="46641DBB"/>
    <w:rsid w:val="466E2692"/>
    <w:rsid w:val="46A20A89"/>
    <w:rsid w:val="46D87B0C"/>
    <w:rsid w:val="46D911A3"/>
    <w:rsid w:val="470A0C21"/>
    <w:rsid w:val="471274C2"/>
    <w:rsid w:val="47134FE8"/>
    <w:rsid w:val="47226FD9"/>
    <w:rsid w:val="472D60AA"/>
    <w:rsid w:val="472E597E"/>
    <w:rsid w:val="474225B0"/>
    <w:rsid w:val="47474B1C"/>
    <w:rsid w:val="474779FD"/>
    <w:rsid w:val="474D694B"/>
    <w:rsid w:val="47543636"/>
    <w:rsid w:val="47653A95"/>
    <w:rsid w:val="476C2E00"/>
    <w:rsid w:val="47805554"/>
    <w:rsid w:val="479559FD"/>
    <w:rsid w:val="479B06F0"/>
    <w:rsid w:val="47A65E5C"/>
    <w:rsid w:val="47AA14A8"/>
    <w:rsid w:val="47B16CDB"/>
    <w:rsid w:val="47B95DF9"/>
    <w:rsid w:val="47CF0F0F"/>
    <w:rsid w:val="47DE602A"/>
    <w:rsid w:val="47E56984"/>
    <w:rsid w:val="47EA7AF7"/>
    <w:rsid w:val="47ECAF80"/>
    <w:rsid w:val="47F44E19"/>
    <w:rsid w:val="47F837F7"/>
    <w:rsid w:val="48195519"/>
    <w:rsid w:val="48233577"/>
    <w:rsid w:val="48313978"/>
    <w:rsid w:val="483C7BA6"/>
    <w:rsid w:val="484336AB"/>
    <w:rsid w:val="484A4A39"/>
    <w:rsid w:val="4862077F"/>
    <w:rsid w:val="48702B41"/>
    <w:rsid w:val="48876B23"/>
    <w:rsid w:val="489E1623"/>
    <w:rsid w:val="48B9571B"/>
    <w:rsid w:val="48E704DA"/>
    <w:rsid w:val="48E72B46"/>
    <w:rsid w:val="48F51616"/>
    <w:rsid w:val="49084785"/>
    <w:rsid w:val="491017DF"/>
    <w:rsid w:val="49196E8E"/>
    <w:rsid w:val="491C63D6"/>
    <w:rsid w:val="49241BD3"/>
    <w:rsid w:val="4933371F"/>
    <w:rsid w:val="49690EEF"/>
    <w:rsid w:val="496B4C67"/>
    <w:rsid w:val="497E0E3E"/>
    <w:rsid w:val="49871E26"/>
    <w:rsid w:val="498D2E30"/>
    <w:rsid w:val="49942410"/>
    <w:rsid w:val="49A168DB"/>
    <w:rsid w:val="49A870A3"/>
    <w:rsid w:val="49BE520E"/>
    <w:rsid w:val="49ED38CE"/>
    <w:rsid w:val="49EF440A"/>
    <w:rsid w:val="49F96717"/>
    <w:rsid w:val="49FB6308"/>
    <w:rsid w:val="49FE1F7F"/>
    <w:rsid w:val="4A4F6337"/>
    <w:rsid w:val="4A871F75"/>
    <w:rsid w:val="4A900E74"/>
    <w:rsid w:val="4AA2659E"/>
    <w:rsid w:val="4AAE12AF"/>
    <w:rsid w:val="4AAF5028"/>
    <w:rsid w:val="4AB4263E"/>
    <w:rsid w:val="4AB921AD"/>
    <w:rsid w:val="4ABA5EA6"/>
    <w:rsid w:val="4ACA1E61"/>
    <w:rsid w:val="4AD3627A"/>
    <w:rsid w:val="4AE7656F"/>
    <w:rsid w:val="4AF33C1D"/>
    <w:rsid w:val="4AF869CF"/>
    <w:rsid w:val="4AF9142F"/>
    <w:rsid w:val="4AFD3FE5"/>
    <w:rsid w:val="4B0C433A"/>
    <w:rsid w:val="4B1834B6"/>
    <w:rsid w:val="4B2E0F3D"/>
    <w:rsid w:val="4B531E57"/>
    <w:rsid w:val="4B5A31E5"/>
    <w:rsid w:val="4B6D2F19"/>
    <w:rsid w:val="4B920BD1"/>
    <w:rsid w:val="4BB949C8"/>
    <w:rsid w:val="4BD42F98"/>
    <w:rsid w:val="4BE03B21"/>
    <w:rsid w:val="4BE9687B"/>
    <w:rsid w:val="4C0513A3"/>
    <w:rsid w:val="4C101AF6"/>
    <w:rsid w:val="4C160AFB"/>
    <w:rsid w:val="4C1930A0"/>
    <w:rsid w:val="4C26756B"/>
    <w:rsid w:val="4C577725"/>
    <w:rsid w:val="4C5C34DD"/>
    <w:rsid w:val="4C6E1A57"/>
    <w:rsid w:val="4C727458"/>
    <w:rsid w:val="4C7B59CC"/>
    <w:rsid w:val="4CB86415"/>
    <w:rsid w:val="4CB92217"/>
    <w:rsid w:val="4CDF5D99"/>
    <w:rsid w:val="4CE60F89"/>
    <w:rsid w:val="4CE627DD"/>
    <w:rsid w:val="4D090A1F"/>
    <w:rsid w:val="4D16138E"/>
    <w:rsid w:val="4D1F6494"/>
    <w:rsid w:val="4D227D33"/>
    <w:rsid w:val="4D38421E"/>
    <w:rsid w:val="4D3865AB"/>
    <w:rsid w:val="4D5036C3"/>
    <w:rsid w:val="4D686CC6"/>
    <w:rsid w:val="4D6EFFE4"/>
    <w:rsid w:val="4D890357"/>
    <w:rsid w:val="4D936409"/>
    <w:rsid w:val="4D941335"/>
    <w:rsid w:val="4DA407B0"/>
    <w:rsid w:val="4DB30ADD"/>
    <w:rsid w:val="4DD30CB1"/>
    <w:rsid w:val="4DF125F8"/>
    <w:rsid w:val="4E173610"/>
    <w:rsid w:val="4E1C4782"/>
    <w:rsid w:val="4E1E499E"/>
    <w:rsid w:val="4E381E3D"/>
    <w:rsid w:val="4E5E2FEC"/>
    <w:rsid w:val="4E685132"/>
    <w:rsid w:val="4E7E61B9"/>
    <w:rsid w:val="4E834801"/>
    <w:rsid w:val="4EA00700"/>
    <w:rsid w:val="4EA03605"/>
    <w:rsid w:val="4EA34327"/>
    <w:rsid w:val="4EAD187E"/>
    <w:rsid w:val="4EC372F3"/>
    <w:rsid w:val="4ECD188D"/>
    <w:rsid w:val="4ED67027"/>
    <w:rsid w:val="4ED824E8"/>
    <w:rsid w:val="4EE334F2"/>
    <w:rsid w:val="4EE57E01"/>
    <w:rsid w:val="4EEC23A6"/>
    <w:rsid w:val="4F073684"/>
    <w:rsid w:val="4F140DA5"/>
    <w:rsid w:val="4F334479"/>
    <w:rsid w:val="4F592159"/>
    <w:rsid w:val="4F98252E"/>
    <w:rsid w:val="4F9842DC"/>
    <w:rsid w:val="4F9F235C"/>
    <w:rsid w:val="4FB01626"/>
    <w:rsid w:val="4FD25A40"/>
    <w:rsid w:val="4FDC3661"/>
    <w:rsid w:val="5005604B"/>
    <w:rsid w:val="50277BFE"/>
    <w:rsid w:val="50463D38"/>
    <w:rsid w:val="5055599B"/>
    <w:rsid w:val="505B3C87"/>
    <w:rsid w:val="50682A22"/>
    <w:rsid w:val="507E1724"/>
    <w:rsid w:val="50845547"/>
    <w:rsid w:val="508A1E77"/>
    <w:rsid w:val="50B62B5F"/>
    <w:rsid w:val="50B74C36"/>
    <w:rsid w:val="50BD6A7A"/>
    <w:rsid w:val="50C860AF"/>
    <w:rsid w:val="50D17AA6"/>
    <w:rsid w:val="50D907D2"/>
    <w:rsid w:val="50FE0903"/>
    <w:rsid w:val="510A2FB8"/>
    <w:rsid w:val="512A0A9E"/>
    <w:rsid w:val="51711289"/>
    <w:rsid w:val="517D19DC"/>
    <w:rsid w:val="51A01DEB"/>
    <w:rsid w:val="51A653CF"/>
    <w:rsid w:val="51BA094C"/>
    <w:rsid w:val="51BA7767"/>
    <w:rsid w:val="51FA302C"/>
    <w:rsid w:val="52043EAB"/>
    <w:rsid w:val="521757D0"/>
    <w:rsid w:val="52192A1A"/>
    <w:rsid w:val="521C7446"/>
    <w:rsid w:val="52262073"/>
    <w:rsid w:val="523F67CC"/>
    <w:rsid w:val="524D13AE"/>
    <w:rsid w:val="527C7EE5"/>
    <w:rsid w:val="52AA100F"/>
    <w:rsid w:val="52C234C4"/>
    <w:rsid w:val="52CD24EF"/>
    <w:rsid w:val="52D15F58"/>
    <w:rsid w:val="52E361B6"/>
    <w:rsid w:val="52E95517"/>
    <w:rsid w:val="52EB7081"/>
    <w:rsid w:val="52F51D6F"/>
    <w:rsid w:val="53031BA9"/>
    <w:rsid w:val="53096F47"/>
    <w:rsid w:val="534266D4"/>
    <w:rsid w:val="53487DC7"/>
    <w:rsid w:val="534D4075"/>
    <w:rsid w:val="53542877"/>
    <w:rsid w:val="537F7C8D"/>
    <w:rsid w:val="5392138D"/>
    <w:rsid w:val="53964FD7"/>
    <w:rsid w:val="53B06098"/>
    <w:rsid w:val="53B316E5"/>
    <w:rsid w:val="53C95448"/>
    <w:rsid w:val="53CB30B0"/>
    <w:rsid w:val="53D26D34"/>
    <w:rsid w:val="53DC50DF"/>
    <w:rsid w:val="54085ED4"/>
    <w:rsid w:val="54127159"/>
    <w:rsid w:val="54293073"/>
    <w:rsid w:val="54316AAD"/>
    <w:rsid w:val="544D1B39"/>
    <w:rsid w:val="544D7D8B"/>
    <w:rsid w:val="546A5122"/>
    <w:rsid w:val="546E45C8"/>
    <w:rsid w:val="548B3542"/>
    <w:rsid w:val="548B440F"/>
    <w:rsid w:val="54975AD9"/>
    <w:rsid w:val="549D01C5"/>
    <w:rsid w:val="54A148D9"/>
    <w:rsid w:val="54A84FC1"/>
    <w:rsid w:val="54BF230B"/>
    <w:rsid w:val="54CE1930"/>
    <w:rsid w:val="54CE2E6E"/>
    <w:rsid w:val="550003BB"/>
    <w:rsid w:val="551144DB"/>
    <w:rsid w:val="552D196B"/>
    <w:rsid w:val="554F368F"/>
    <w:rsid w:val="55652EB2"/>
    <w:rsid w:val="557405D2"/>
    <w:rsid w:val="558A2919"/>
    <w:rsid w:val="558C043F"/>
    <w:rsid w:val="558D3998"/>
    <w:rsid w:val="55A0196B"/>
    <w:rsid w:val="55A25EB5"/>
    <w:rsid w:val="55AA2FBB"/>
    <w:rsid w:val="55C73392"/>
    <w:rsid w:val="55CF5712"/>
    <w:rsid w:val="55D55173"/>
    <w:rsid w:val="55F66200"/>
    <w:rsid w:val="56033763"/>
    <w:rsid w:val="560501F2"/>
    <w:rsid w:val="5606767B"/>
    <w:rsid w:val="56075B94"/>
    <w:rsid w:val="56175763"/>
    <w:rsid w:val="562B40FC"/>
    <w:rsid w:val="563C00B7"/>
    <w:rsid w:val="564D4072"/>
    <w:rsid w:val="567D5B8A"/>
    <w:rsid w:val="56821842"/>
    <w:rsid w:val="569C1BD0"/>
    <w:rsid w:val="56A143BE"/>
    <w:rsid w:val="56A43446"/>
    <w:rsid w:val="56A91FD0"/>
    <w:rsid w:val="56B379BE"/>
    <w:rsid w:val="56BA5480"/>
    <w:rsid w:val="56C836F9"/>
    <w:rsid w:val="56D93FE2"/>
    <w:rsid w:val="56F55413"/>
    <w:rsid w:val="57062473"/>
    <w:rsid w:val="574D4690"/>
    <w:rsid w:val="57550FB5"/>
    <w:rsid w:val="57573528"/>
    <w:rsid w:val="575B6A87"/>
    <w:rsid w:val="576424DD"/>
    <w:rsid w:val="577105B3"/>
    <w:rsid w:val="577C51AA"/>
    <w:rsid w:val="5789732C"/>
    <w:rsid w:val="57936D9A"/>
    <w:rsid w:val="57AA1051"/>
    <w:rsid w:val="57BE598B"/>
    <w:rsid w:val="57C9597B"/>
    <w:rsid w:val="57D12A81"/>
    <w:rsid w:val="5800267C"/>
    <w:rsid w:val="581C3A31"/>
    <w:rsid w:val="581D1822"/>
    <w:rsid w:val="5853793A"/>
    <w:rsid w:val="586E6522"/>
    <w:rsid w:val="58721CF1"/>
    <w:rsid w:val="587F428B"/>
    <w:rsid w:val="5886243F"/>
    <w:rsid w:val="588C54C6"/>
    <w:rsid w:val="588F4582"/>
    <w:rsid w:val="58A11F60"/>
    <w:rsid w:val="58B008E9"/>
    <w:rsid w:val="58BD6B62"/>
    <w:rsid w:val="58EF3626"/>
    <w:rsid w:val="590B3D71"/>
    <w:rsid w:val="59172746"/>
    <w:rsid w:val="591E4C5E"/>
    <w:rsid w:val="59231526"/>
    <w:rsid w:val="592D44A4"/>
    <w:rsid w:val="5932754F"/>
    <w:rsid w:val="5960230F"/>
    <w:rsid w:val="596C0CB3"/>
    <w:rsid w:val="596C2A61"/>
    <w:rsid w:val="5997069B"/>
    <w:rsid w:val="599C0E6D"/>
    <w:rsid w:val="599C1071"/>
    <w:rsid w:val="59B83EF9"/>
    <w:rsid w:val="59D275CB"/>
    <w:rsid w:val="59EC3EFC"/>
    <w:rsid w:val="59EF5441"/>
    <w:rsid w:val="5A040EEC"/>
    <w:rsid w:val="5A262AF2"/>
    <w:rsid w:val="5A294338"/>
    <w:rsid w:val="5A386DE8"/>
    <w:rsid w:val="5A4408B4"/>
    <w:rsid w:val="5A443BC9"/>
    <w:rsid w:val="5A4A2677"/>
    <w:rsid w:val="5A4D6DDA"/>
    <w:rsid w:val="5A631A46"/>
    <w:rsid w:val="5A655703"/>
    <w:rsid w:val="5A717841"/>
    <w:rsid w:val="5A813F6F"/>
    <w:rsid w:val="5A88507C"/>
    <w:rsid w:val="5AA81722"/>
    <w:rsid w:val="5ABC1D3D"/>
    <w:rsid w:val="5AC02181"/>
    <w:rsid w:val="5AE34FA5"/>
    <w:rsid w:val="5B0122A1"/>
    <w:rsid w:val="5B0614B2"/>
    <w:rsid w:val="5B1974D3"/>
    <w:rsid w:val="5B28211D"/>
    <w:rsid w:val="5B345801"/>
    <w:rsid w:val="5B487198"/>
    <w:rsid w:val="5B505B2C"/>
    <w:rsid w:val="5B523A71"/>
    <w:rsid w:val="5B6360E6"/>
    <w:rsid w:val="5B682E38"/>
    <w:rsid w:val="5B6B4F9B"/>
    <w:rsid w:val="5B903A80"/>
    <w:rsid w:val="5B947393"/>
    <w:rsid w:val="5BAA7871"/>
    <w:rsid w:val="5BAD375B"/>
    <w:rsid w:val="5BB21A87"/>
    <w:rsid w:val="5BB701E0"/>
    <w:rsid w:val="5BC36B85"/>
    <w:rsid w:val="5BC70423"/>
    <w:rsid w:val="5BF44F90"/>
    <w:rsid w:val="5BFC3B20"/>
    <w:rsid w:val="5C0E3BCB"/>
    <w:rsid w:val="5C277114"/>
    <w:rsid w:val="5C2E04A2"/>
    <w:rsid w:val="5C2E4C8F"/>
    <w:rsid w:val="5C4001D5"/>
    <w:rsid w:val="5C4952DC"/>
    <w:rsid w:val="5C49708A"/>
    <w:rsid w:val="5C6E742D"/>
    <w:rsid w:val="5C7559A0"/>
    <w:rsid w:val="5C8D270B"/>
    <w:rsid w:val="5CD050B5"/>
    <w:rsid w:val="5CDD53FD"/>
    <w:rsid w:val="5CE11008"/>
    <w:rsid w:val="5CF029A4"/>
    <w:rsid w:val="5CFF490E"/>
    <w:rsid w:val="5D211C7A"/>
    <w:rsid w:val="5D290C69"/>
    <w:rsid w:val="5D2C42B6"/>
    <w:rsid w:val="5D35760E"/>
    <w:rsid w:val="5D570AB1"/>
    <w:rsid w:val="5D7D61D4"/>
    <w:rsid w:val="5D8772F7"/>
    <w:rsid w:val="5D916F3A"/>
    <w:rsid w:val="5D957D0C"/>
    <w:rsid w:val="5DA00667"/>
    <w:rsid w:val="5DA36C6E"/>
    <w:rsid w:val="5DA622BA"/>
    <w:rsid w:val="5DC851C2"/>
    <w:rsid w:val="5DD469F2"/>
    <w:rsid w:val="5DE765F7"/>
    <w:rsid w:val="5DF179D9"/>
    <w:rsid w:val="5E0B0912"/>
    <w:rsid w:val="5E3873B6"/>
    <w:rsid w:val="5E4135CD"/>
    <w:rsid w:val="5E522932"/>
    <w:rsid w:val="5E79352B"/>
    <w:rsid w:val="5E911DC4"/>
    <w:rsid w:val="5EB22C42"/>
    <w:rsid w:val="5EB97DCB"/>
    <w:rsid w:val="5EDD7F5D"/>
    <w:rsid w:val="5EDF003D"/>
    <w:rsid w:val="5EE66E12"/>
    <w:rsid w:val="5EEE084A"/>
    <w:rsid w:val="5EEF64E5"/>
    <w:rsid w:val="5EF5E5F9"/>
    <w:rsid w:val="5F1020E1"/>
    <w:rsid w:val="5F25CA5C"/>
    <w:rsid w:val="5F6146EB"/>
    <w:rsid w:val="5F6B8C57"/>
    <w:rsid w:val="5F70492E"/>
    <w:rsid w:val="5F876ADF"/>
    <w:rsid w:val="5F9F5A26"/>
    <w:rsid w:val="5FA57075"/>
    <w:rsid w:val="5FB52C88"/>
    <w:rsid w:val="5FB7255D"/>
    <w:rsid w:val="5FC67B8D"/>
    <w:rsid w:val="5FCF4F74"/>
    <w:rsid w:val="5FD45774"/>
    <w:rsid w:val="5FD6437E"/>
    <w:rsid w:val="5FE97712"/>
    <w:rsid w:val="5FF27A39"/>
    <w:rsid w:val="5FF67529"/>
    <w:rsid w:val="60033CCE"/>
    <w:rsid w:val="600532C8"/>
    <w:rsid w:val="60057733"/>
    <w:rsid w:val="603314FC"/>
    <w:rsid w:val="603D6F06"/>
    <w:rsid w:val="603E4A2C"/>
    <w:rsid w:val="606C0D9C"/>
    <w:rsid w:val="607C6FD9"/>
    <w:rsid w:val="607E12CC"/>
    <w:rsid w:val="608E76FF"/>
    <w:rsid w:val="60B10A9B"/>
    <w:rsid w:val="60B3541A"/>
    <w:rsid w:val="60CB31F0"/>
    <w:rsid w:val="60F87065"/>
    <w:rsid w:val="60FF41BB"/>
    <w:rsid w:val="611117F9"/>
    <w:rsid w:val="61216D71"/>
    <w:rsid w:val="613167C1"/>
    <w:rsid w:val="61325AF6"/>
    <w:rsid w:val="61483DB4"/>
    <w:rsid w:val="615949C4"/>
    <w:rsid w:val="6164392E"/>
    <w:rsid w:val="619C5EAE"/>
    <w:rsid w:val="619D39D4"/>
    <w:rsid w:val="61A44D62"/>
    <w:rsid w:val="61AA48CA"/>
    <w:rsid w:val="61AA7508"/>
    <w:rsid w:val="61B251CE"/>
    <w:rsid w:val="61C176C2"/>
    <w:rsid w:val="61C80A51"/>
    <w:rsid w:val="61C91735"/>
    <w:rsid w:val="61CD6067"/>
    <w:rsid w:val="61E91E30"/>
    <w:rsid w:val="61FF01EB"/>
    <w:rsid w:val="62015D11"/>
    <w:rsid w:val="62042C5C"/>
    <w:rsid w:val="621674EE"/>
    <w:rsid w:val="62182044"/>
    <w:rsid w:val="62283FE9"/>
    <w:rsid w:val="622A34BA"/>
    <w:rsid w:val="622B0FE0"/>
    <w:rsid w:val="62312A9A"/>
    <w:rsid w:val="624002F3"/>
    <w:rsid w:val="624301C7"/>
    <w:rsid w:val="62465E1A"/>
    <w:rsid w:val="625642AF"/>
    <w:rsid w:val="62705A52"/>
    <w:rsid w:val="6284369F"/>
    <w:rsid w:val="629E5C56"/>
    <w:rsid w:val="62D653F0"/>
    <w:rsid w:val="62D84B61"/>
    <w:rsid w:val="63063677"/>
    <w:rsid w:val="630755A9"/>
    <w:rsid w:val="630E6937"/>
    <w:rsid w:val="63131CF3"/>
    <w:rsid w:val="63253C81"/>
    <w:rsid w:val="63275C4B"/>
    <w:rsid w:val="63375A83"/>
    <w:rsid w:val="63414F5F"/>
    <w:rsid w:val="63584057"/>
    <w:rsid w:val="63A859DC"/>
    <w:rsid w:val="63AE3C76"/>
    <w:rsid w:val="63B079EF"/>
    <w:rsid w:val="63BE65AF"/>
    <w:rsid w:val="63CC3D7A"/>
    <w:rsid w:val="63EB09A3"/>
    <w:rsid w:val="63ED0C43"/>
    <w:rsid w:val="63F773CC"/>
    <w:rsid w:val="642503DD"/>
    <w:rsid w:val="64337180"/>
    <w:rsid w:val="64395C36"/>
    <w:rsid w:val="64412D3D"/>
    <w:rsid w:val="644338BB"/>
    <w:rsid w:val="644D7933"/>
    <w:rsid w:val="646627A3"/>
    <w:rsid w:val="646709F5"/>
    <w:rsid w:val="647153D0"/>
    <w:rsid w:val="64815144"/>
    <w:rsid w:val="64966BE4"/>
    <w:rsid w:val="64B71356"/>
    <w:rsid w:val="64CD45D0"/>
    <w:rsid w:val="64FB0BF5"/>
    <w:rsid w:val="650C50F9"/>
    <w:rsid w:val="652A335A"/>
    <w:rsid w:val="65384140"/>
    <w:rsid w:val="65442AE4"/>
    <w:rsid w:val="65474AD0"/>
    <w:rsid w:val="654900FB"/>
    <w:rsid w:val="656211BC"/>
    <w:rsid w:val="658951C3"/>
    <w:rsid w:val="658A426F"/>
    <w:rsid w:val="65A25C2E"/>
    <w:rsid w:val="65C9123C"/>
    <w:rsid w:val="65DF280D"/>
    <w:rsid w:val="66083B12"/>
    <w:rsid w:val="66240220"/>
    <w:rsid w:val="662621EA"/>
    <w:rsid w:val="662A7F2C"/>
    <w:rsid w:val="663E14A5"/>
    <w:rsid w:val="66421990"/>
    <w:rsid w:val="66482160"/>
    <w:rsid w:val="66552ACF"/>
    <w:rsid w:val="665E7BD6"/>
    <w:rsid w:val="666112BC"/>
    <w:rsid w:val="6686712D"/>
    <w:rsid w:val="66B477F6"/>
    <w:rsid w:val="66D17D0C"/>
    <w:rsid w:val="66FF548B"/>
    <w:rsid w:val="6717678D"/>
    <w:rsid w:val="671D5DB9"/>
    <w:rsid w:val="6731565A"/>
    <w:rsid w:val="6740552D"/>
    <w:rsid w:val="6751631F"/>
    <w:rsid w:val="675C5FA0"/>
    <w:rsid w:val="67666951"/>
    <w:rsid w:val="677B2AD6"/>
    <w:rsid w:val="679D64DC"/>
    <w:rsid w:val="679F2254"/>
    <w:rsid w:val="67AA4CC9"/>
    <w:rsid w:val="67D233CD"/>
    <w:rsid w:val="67D60943"/>
    <w:rsid w:val="67E55DF3"/>
    <w:rsid w:val="680227E3"/>
    <w:rsid w:val="680E2F36"/>
    <w:rsid w:val="6865081C"/>
    <w:rsid w:val="687436E1"/>
    <w:rsid w:val="68C64CC0"/>
    <w:rsid w:val="68CA1553"/>
    <w:rsid w:val="68D83F4F"/>
    <w:rsid w:val="68E53078"/>
    <w:rsid w:val="68FF9CFD"/>
    <w:rsid w:val="690F51B7"/>
    <w:rsid w:val="691D668F"/>
    <w:rsid w:val="691E2D99"/>
    <w:rsid w:val="692E65A9"/>
    <w:rsid w:val="692F7608"/>
    <w:rsid w:val="6935E3FF"/>
    <w:rsid w:val="693C5675"/>
    <w:rsid w:val="697414BE"/>
    <w:rsid w:val="699925C6"/>
    <w:rsid w:val="69A91D3B"/>
    <w:rsid w:val="69F557BF"/>
    <w:rsid w:val="69FE33CB"/>
    <w:rsid w:val="6A0B4E3E"/>
    <w:rsid w:val="6A136F29"/>
    <w:rsid w:val="6A246A40"/>
    <w:rsid w:val="6A403639"/>
    <w:rsid w:val="6A5A6906"/>
    <w:rsid w:val="6A5B616F"/>
    <w:rsid w:val="6A681023"/>
    <w:rsid w:val="6A70612A"/>
    <w:rsid w:val="6A767EB0"/>
    <w:rsid w:val="6A7E12E7"/>
    <w:rsid w:val="6A8E65B0"/>
    <w:rsid w:val="6A927E4E"/>
    <w:rsid w:val="6AAD4C88"/>
    <w:rsid w:val="6AB468B2"/>
    <w:rsid w:val="6ABE1C62"/>
    <w:rsid w:val="6AE61F48"/>
    <w:rsid w:val="6B064398"/>
    <w:rsid w:val="6B0A7CDD"/>
    <w:rsid w:val="6B0B082E"/>
    <w:rsid w:val="6B1B42E7"/>
    <w:rsid w:val="6B217424"/>
    <w:rsid w:val="6B2807B2"/>
    <w:rsid w:val="6B4F25BD"/>
    <w:rsid w:val="6B543355"/>
    <w:rsid w:val="6B5628C0"/>
    <w:rsid w:val="6B5F4416"/>
    <w:rsid w:val="6B601CFA"/>
    <w:rsid w:val="6B89D77C"/>
    <w:rsid w:val="6B8A6D77"/>
    <w:rsid w:val="6B8F6870"/>
    <w:rsid w:val="6B916358"/>
    <w:rsid w:val="6B96396E"/>
    <w:rsid w:val="6B9E74FB"/>
    <w:rsid w:val="6BB41665"/>
    <w:rsid w:val="6BB82A0C"/>
    <w:rsid w:val="6BB97B5D"/>
    <w:rsid w:val="6BCE4EB6"/>
    <w:rsid w:val="6BCF5A5D"/>
    <w:rsid w:val="6BD050D2"/>
    <w:rsid w:val="6BD36970"/>
    <w:rsid w:val="6BDF1A3A"/>
    <w:rsid w:val="6BE871E4"/>
    <w:rsid w:val="6BF07522"/>
    <w:rsid w:val="6C007039"/>
    <w:rsid w:val="6C045086"/>
    <w:rsid w:val="6C1A459F"/>
    <w:rsid w:val="6C213C41"/>
    <w:rsid w:val="6C2911BA"/>
    <w:rsid w:val="6C320541"/>
    <w:rsid w:val="6C360CAD"/>
    <w:rsid w:val="6C613F7C"/>
    <w:rsid w:val="6C621AA2"/>
    <w:rsid w:val="6C674B5D"/>
    <w:rsid w:val="6C7D68DC"/>
    <w:rsid w:val="6CAC317F"/>
    <w:rsid w:val="6CAD5413"/>
    <w:rsid w:val="6CD72490"/>
    <w:rsid w:val="6CF622E4"/>
    <w:rsid w:val="6D0F39D8"/>
    <w:rsid w:val="6D1645CB"/>
    <w:rsid w:val="6D21195D"/>
    <w:rsid w:val="6D301BA0"/>
    <w:rsid w:val="6D3A645A"/>
    <w:rsid w:val="6D5034E2"/>
    <w:rsid w:val="6D5D3185"/>
    <w:rsid w:val="6D7101EF"/>
    <w:rsid w:val="6D7F27D8"/>
    <w:rsid w:val="6D881C30"/>
    <w:rsid w:val="6DA700B4"/>
    <w:rsid w:val="6DB93296"/>
    <w:rsid w:val="6DD32D72"/>
    <w:rsid w:val="6DD8201C"/>
    <w:rsid w:val="6DDB402E"/>
    <w:rsid w:val="6DFB3F5C"/>
    <w:rsid w:val="6E044415"/>
    <w:rsid w:val="6E3B07FD"/>
    <w:rsid w:val="6E3DACCC"/>
    <w:rsid w:val="6E3F02ED"/>
    <w:rsid w:val="6E510020"/>
    <w:rsid w:val="6E6B2E90"/>
    <w:rsid w:val="6E6C6E8D"/>
    <w:rsid w:val="6E7B6E4B"/>
    <w:rsid w:val="6E8E4DD0"/>
    <w:rsid w:val="6EBA07C6"/>
    <w:rsid w:val="6EBD7464"/>
    <w:rsid w:val="6EC1180A"/>
    <w:rsid w:val="6ED529FF"/>
    <w:rsid w:val="6EF833B6"/>
    <w:rsid w:val="6F0357BE"/>
    <w:rsid w:val="6F092237"/>
    <w:rsid w:val="6F374EF2"/>
    <w:rsid w:val="6F3911E0"/>
    <w:rsid w:val="6F7264A0"/>
    <w:rsid w:val="6F7C10CD"/>
    <w:rsid w:val="6F7F7A45"/>
    <w:rsid w:val="6FA541DE"/>
    <w:rsid w:val="6FA56875"/>
    <w:rsid w:val="6FBD4503"/>
    <w:rsid w:val="6FC7059A"/>
    <w:rsid w:val="6FDA2CCF"/>
    <w:rsid w:val="6FEF5D43"/>
    <w:rsid w:val="70294DB1"/>
    <w:rsid w:val="7030431E"/>
    <w:rsid w:val="70364D64"/>
    <w:rsid w:val="7037034D"/>
    <w:rsid w:val="703F45D4"/>
    <w:rsid w:val="70497201"/>
    <w:rsid w:val="705F4C76"/>
    <w:rsid w:val="706E4EB9"/>
    <w:rsid w:val="70903082"/>
    <w:rsid w:val="709366CE"/>
    <w:rsid w:val="70A02B99"/>
    <w:rsid w:val="70B2124A"/>
    <w:rsid w:val="70B623BC"/>
    <w:rsid w:val="70D146FF"/>
    <w:rsid w:val="70F97914"/>
    <w:rsid w:val="71347EB1"/>
    <w:rsid w:val="7135597E"/>
    <w:rsid w:val="713F488B"/>
    <w:rsid w:val="713FBCD3"/>
    <w:rsid w:val="71453E6C"/>
    <w:rsid w:val="714D7E0C"/>
    <w:rsid w:val="715C5648"/>
    <w:rsid w:val="716B13F9"/>
    <w:rsid w:val="71702B61"/>
    <w:rsid w:val="717113A2"/>
    <w:rsid w:val="71761774"/>
    <w:rsid w:val="717830DE"/>
    <w:rsid w:val="717F1AE1"/>
    <w:rsid w:val="71802A62"/>
    <w:rsid w:val="71956476"/>
    <w:rsid w:val="719646C8"/>
    <w:rsid w:val="71E14BC5"/>
    <w:rsid w:val="71F53BE0"/>
    <w:rsid w:val="72060785"/>
    <w:rsid w:val="720853C5"/>
    <w:rsid w:val="721455EC"/>
    <w:rsid w:val="72190E55"/>
    <w:rsid w:val="723143F0"/>
    <w:rsid w:val="724C4D86"/>
    <w:rsid w:val="724E41C2"/>
    <w:rsid w:val="724E7767"/>
    <w:rsid w:val="724F2AC9"/>
    <w:rsid w:val="72637CF4"/>
    <w:rsid w:val="726613A4"/>
    <w:rsid w:val="72691DDC"/>
    <w:rsid w:val="727918F3"/>
    <w:rsid w:val="727D5888"/>
    <w:rsid w:val="72807126"/>
    <w:rsid w:val="72987FCC"/>
    <w:rsid w:val="72A526E9"/>
    <w:rsid w:val="72B868C0"/>
    <w:rsid w:val="72C139C6"/>
    <w:rsid w:val="72D54D7C"/>
    <w:rsid w:val="72EE5E3E"/>
    <w:rsid w:val="72EF28EB"/>
    <w:rsid w:val="7303695D"/>
    <w:rsid w:val="7306587D"/>
    <w:rsid w:val="731018FE"/>
    <w:rsid w:val="731E721E"/>
    <w:rsid w:val="734B3290"/>
    <w:rsid w:val="735A0468"/>
    <w:rsid w:val="735A1725"/>
    <w:rsid w:val="736B748E"/>
    <w:rsid w:val="737B753A"/>
    <w:rsid w:val="737C169B"/>
    <w:rsid w:val="7380242B"/>
    <w:rsid w:val="738A61FB"/>
    <w:rsid w:val="73B250BD"/>
    <w:rsid w:val="73B40E35"/>
    <w:rsid w:val="73B726D3"/>
    <w:rsid w:val="73CA0659"/>
    <w:rsid w:val="73FF850F"/>
    <w:rsid w:val="74247931"/>
    <w:rsid w:val="74303698"/>
    <w:rsid w:val="74516EE3"/>
    <w:rsid w:val="74565543"/>
    <w:rsid w:val="745E0948"/>
    <w:rsid w:val="745F5B50"/>
    <w:rsid w:val="747D86D8"/>
    <w:rsid w:val="747F5FF7"/>
    <w:rsid w:val="74856C75"/>
    <w:rsid w:val="7496678D"/>
    <w:rsid w:val="749C03BF"/>
    <w:rsid w:val="74BA6B1C"/>
    <w:rsid w:val="74C27582"/>
    <w:rsid w:val="74C72DEA"/>
    <w:rsid w:val="74CF1C9F"/>
    <w:rsid w:val="74F04129"/>
    <w:rsid w:val="74F07FEF"/>
    <w:rsid w:val="750A0E63"/>
    <w:rsid w:val="751E2665"/>
    <w:rsid w:val="751F49D4"/>
    <w:rsid w:val="752062B5"/>
    <w:rsid w:val="753366D1"/>
    <w:rsid w:val="753B5BA7"/>
    <w:rsid w:val="753D216C"/>
    <w:rsid w:val="75564988"/>
    <w:rsid w:val="75707339"/>
    <w:rsid w:val="757271FA"/>
    <w:rsid w:val="75887F9D"/>
    <w:rsid w:val="758D7B90"/>
    <w:rsid w:val="75C6130A"/>
    <w:rsid w:val="75F23E97"/>
    <w:rsid w:val="76127D6E"/>
    <w:rsid w:val="761F52E4"/>
    <w:rsid w:val="76284EA7"/>
    <w:rsid w:val="76385C45"/>
    <w:rsid w:val="7641171E"/>
    <w:rsid w:val="766528BB"/>
    <w:rsid w:val="76685F07"/>
    <w:rsid w:val="768371E5"/>
    <w:rsid w:val="76944474"/>
    <w:rsid w:val="7698298C"/>
    <w:rsid w:val="76A12CDB"/>
    <w:rsid w:val="76B37ACA"/>
    <w:rsid w:val="76C021E7"/>
    <w:rsid w:val="76C43A85"/>
    <w:rsid w:val="76F23AC1"/>
    <w:rsid w:val="76F6685F"/>
    <w:rsid w:val="770A4F84"/>
    <w:rsid w:val="770C1201"/>
    <w:rsid w:val="7747AA4A"/>
    <w:rsid w:val="775F37AE"/>
    <w:rsid w:val="7769462C"/>
    <w:rsid w:val="77768023"/>
    <w:rsid w:val="777A2396"/>
    <w:rsid w:val="777E2AB0"/>
    <w:rsid w:val="778255A2"/>
    <w:rsid w:val="77AD4519"/>
    <w:rsid w:val="77B92EBE"/>
    <w:rsid w:val="77BC475C"/>
    <w:rsid w:val="77C41687"/>
    <w:rsid w:val="77CD4BBB"/>
    <w:rsid w:val="77DC6BAC"/>
    <w:rsid w:val="77DF4603"/>
    <w:rsid w:val="77EB390A"/>
    <w:rsid w:val="77F0353E"/>
    <w:rsid w:val="77F7D2F0"/>
    <w:rsid w:val="77FF8832"/>
    <w:rsid w:val="781E299D"/>
    <w:rsid w:val="784D3606"/>
    <w:rsid w:val="78545B4C"/>
    <w:rsid w:val="7856695F"/>
    <w:rsid w:val="785D3E5E"/>
    <w:rsid w:val="7865310C"/>
    <w:rsid w:val="787364E6"/>
    <w:rsid w:val="78760DAF"/>
    <w:rsid w:val="7879089F"/>
    <w:rsid w:val="788C05D2"/>
    <w:rsid w:val="788F69B6"/>
    <w:rsid w:val="789E0306"/>
    <w:rsid w:val="789E4170"/>
    <w:rsid w:val="78A340B1"/>
    <w:rsid w:val="78BE2F29"/>
    <w:rsid w:val="78E0447A"/>
    <w:rsid w:val="78E07D79"/>
    <w:rsid w:val="78EF46BD"/>
    <w:rsid w:val="78F543CA"/>
    <w:rsid w:val="78FD502C"/>
    <w:rsid w:val="7924080B"/>
    <w:rsid w:val="7937060A"/>
    <w:rsid w:val="793E41EE"/>
    <w:rsid w:val="795D1F6F"/>
    <w:rsid w:val="795D5ACB"/>
    <w:rsid w:val="79600FC2"/>
    <w:rsid w:val="79613412"/>
    <w:rsid w:val="796230E1"/>
    <w:rsid w:val="7996392F"/>
    <w:rsid w:val="79A8143C"/>
    <w:rsid w:val="79AE6327"/>
    <w:rsid w:val="79B31B8F"/>
    <w:rsid w:val="79D815F5"/>
    <w:rsid w:val="79E42E76"/>
    <w:rsid w:val="79FA5A10"/>
    <w:rsid w:val="7A013EC0"/>
    <w:rsid w:val="7A0A24E6"/>
    <w:rsid w:val="7A2C32EF"/>
    <w:rsid w:val="7A54262F"/>
    <w:rsid w:val="7A5C2227"/>
    <w:rsid w:val="7A613399"/>
    <w:rsid w:val="7A752EEF"/>
    <w:rsid w:val="7A792EE6"/>
    <w:rsid w:val="7A7E254E"/>
    <w:rsid w:val="7AA64004"/>
    <w:rsid w:val="7AAB73BC"/>
    <w:rsid w:val="7AB14320"/>
    <w:rsid w:val="7AC8601E"/>
    <w:rsid w:val="7ACB4CB6"/>
    <w:rsid w:val="7AD223DF"/>
    <w:rsid w:val="7AD24297"/>
    <w:rsid w:val="7AE91805"/>
    <w:rsid w:val="7AF375C9"/>
    <w:rsid w:val="7AF41C4A"/>
    <w:rsid w:val="7B007056"/>
    <w:rsid w:val="7B076C5D"/>
    <w:rsid w:val="7B2965AD"/>
    <w:rsid w:val="7B32705A"/>
    <w:rsid w:val="7B38059E"/>
    <w:rsid w:val="7B454A69"/>
    <w:rsid w:val="7B6426FB"/>
    <w:rsid w:val="7B694BFB"/>
    <w:rsid w:val="7B755AFC"/>
    <w:rsid w:val="7B7A2288"/>
    <w:rsid w:val="7B7D4202"/>
    <w:rsid w:val="7B7FDDF2"/>
    <w:rsid w:val="7B9F061D"/>
    <w:rsid w:val="7BA615A2"/>
    <w:rsid w:val="7BB67714"/>
    <w:rsid w:val="7BBE2843"/>
    <w:rsid w:val="7BDF4EBD"/>
    <w:rsid w:val="7BEB1AB4"/>
    <w:rsid w:val="7BF2DA0A"/>
    <w:rsid w:val="7BF40D0B"/>
    <w:rsid w:val="7BFFE6B3"/>
    <w:rsid w:val="7C037670"/>
    <w:rsid w:val="7C144B8B"/>
    <w:rsid w:val="7C262AEC"/>
    <w:rsid w:val="7C2D5C29"/>
    <w:rsid w:val="7C302B37"/>
    <w:rsid w:val="7C343506"/>
    <w:rsid w:val="7C4D62CB"/>
    <w:rsid w:val="7C502B4E"/>
    <w:rsid w:val="7C574A54"/>
    <w:rsid w:val="7C6A0F66"/>
    <w:rsid w:val="7C7C0244"/>
    <w:rsid w:val="7C8F0691"/>
    <w:rsid w:val="7CD43374"/>
    <w:rsid w:val="7CD460A4"/>
    <w:rsid w:val="7CD58213"/>
    <w:rsid w:val="7CE7227B"/>
    <w:rsid w:val="7CF91954"/>
    <w:rsid w:val="7CFDCF4F"/>
    <w:rsid w:val="7CFF06D7"/>
    <w:rsid w:val="7D104476"/>
    <w:rsid w:val="7D1110A6"/>
    <w:rsid w:val="7D127334"/>
    <w:rsid w:val="7D256900"/>
    <w:rsid w:val="7D52198F"/>
    <w:rsid w:val="7D58777C"/>
    <w:rsid w:val="7D603DDC"/>
    <w:rsid w:val="7D624BF2"/>
    <w:rsid w:val="7D9330EC"/>
    <w:rsid w:val="7DAE4EA7"/>
    <w:rsid w:val="7DC93C6B"/>
    <w:rsid w:val="7DCA74A7"/>
    <w:rsid w:val="7DCC7DEE"/>
    <w:rsid w:val="7DCD20BE"/>
    <w:rsid w:val="7DD3DF10"/>
    <w:rsid w:val="7DD56C01"/>
    <w:rsid w:val="7DDFC1BB"/>
    <w:rsid w:val="7DED1A9A"/>
    <w:rsid w:val="7DED5D95"/>
    <w:rsid w:val="7DFDBCF2"/>
    <w:rsid w:val="7E064983"/>
    <w:rsid w:val="7E10135E"/>
    <w:rsid w:val="7E160E13"/>
    <w:rsid w:val="7E2369FE"/>
    <w:rsid w:val="7E4F632A"/>
    <w:rsid w:val="7E665422"/>
    <w:rsid w:val="7E6D4A02"/>
    <w:rsid w:val="7E751475"/>
    <w:rsid w:val="7E872C80"/>
    <w:rsid w:val="7EB20667"/>
    <w:rsid w:val="7EB4618D"/>
    <w:rsid w:val="7ED7B5EA"/>
    <w:rsid w:val="7EDC7492"/>
    <w:rsid w:val="7EEA7E01"/>
    <w:rsid w:val="7F032C71"/>
    <w:rsid w:val="7F0864D9"/>
    <w:rsid w:val="7F25708B"/>
    <w:rsid w:val="7F376DBE"/>
    <w:rsid w:val="7F451F89"/>
    <w:rsid w:val="7F5D77C4"/>
    <w:rsid w:val="7F6000C3"/>
    <w:rsid w:val="7F862AB0"/>
    <w:rsid w:val="7F9E16B9"/>
    <w:rsid w:val="7FB47354"/>
    <w:rsid w:val="7FC71EF0"/>
    <w:rsid w:val="7FD070D3"/>
    <w:rsid w:val="7FE64A6C"/>
    <w:rsid w:val="7FEC4B73"/>
    <w:rsid w:val="7FEF3DA5"/>
    <w:rsid w:val="7FF151BF"/>
    <w:rsid w:val="7FF6C021"/>
    <w:rsid w:val="7FF9A6DA"/>
    <w:rsid w:val="7FFB6C9E"/>
    <w:rsid w:val="7FFDCDF3"/>
    <w:rsid w:val="7FFE5188"/>
    <w:rsid w:val="86EE5EB7"/>
    <w:rsid w:val="9FFF9D58"/>
    <w:rsid w:val="A2FE80EA"/>
    <w:rsid w:val="A74E1550"/>
    <w:rsid w:val="AC4EB4CC"/>
    <w:rsid w:val="BA7B23C6"/>
    <w:rsid w:val="BDD177E2"/>
    <w:rsid w:val="BDEF5959"/>
    <w:rsid w:val="BE2FAC69"/>
    <w:rsid w:val="BEEF1076"/>
    <w:rsid w:val="BF670674"/>
    <w:rsid w:val="D1FE44EE"/>
    <w:rsid w:val="D3BBE141"/>
    <w:rsid w:val="D77FF384"/>
    <w:rsid w:val="D7B67769"/>
    <w:rsid w:val="D7FF0D12"/>
    <w:rsid w:val="D97C9267"/>
    <w:rsid w:val="DBD7461E"/>
    <w:rsid w:val="DD4F59B7"/>
    <w:rsid w:val="DFFF301F"/>
    <w:rsid w:val="E2A3E5E9"/>
    <w:rsid w:val="E6FF9275"/>
    <w:rsid w:val="ED77B0BB"/>
    <w:rsid w:val="EFBDFE73"/>
    <w:rsid w:val="EFDEB4D9"/>
    <w:rsid w:val="EFFD8E31"/>
    <w:rsid w:val="EFFF8EEF"/>
    <w:rsid w:val="F4F61BFB"/>
    <w:rsid w:val="F53F8D14"/>
    <w:rsid w:val="F767AC95"/>
    <w:rsid w:val="F77F9883"/>
    <w:rsid w:val="F7A7BADF"/>
    <w:rsid w:val="F97C87AE"/>
    <w:rsid w:val="F9FF8FCE"/>
    <w:rsid w:val="FA292A99"/>
    <w:rsid w:val="FA64EAD0"/>
    <w:rsid w:val="FA747CC0"/>
    <w:rsid w:val="FDB3E2CD"/>
    <w:rsid w:val="FE734873"/>
    <w:rsid w:val="FEDCA17C"/>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ind w:firstLine="420"/>
    </w:pPr>
    <w:rPr>
      <w:rFonts w:eastAsia="楷体_GB2312"/>
      <w:sz w:val="32"/>
      <w:szCs w:val="20"/>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ind w:firstLine="420"/>
    </w:pPr>
    <w:rPr>
      <w:kern w:val="0"/>
      <w:sz w:val="20"/>
    </w:rPr>
  </w:style>
  <w:style w:type="paragraph" w:styleId="9">
    <w:name w:val="index 5"/>
    <w:basedOn w:val="1"/>
    <w:next w:val="1"/>
    <w:qFormat/>
    <w:uiPriority w:val="0"/>
    <w:pPr>
      <w:ind w:left="1680"/>
    </w:pPr>
  </w:style>
  <w:style w:type="paragraph" w:styleId="10">
    <w:name w:val="annotation text"/>
    <w:basedOn w:val="1"/>
    <w:link w:val="38"/>
    <w:qFormat/>
    <w:uiPriority w:val="0"/>
    <w:pPr>
      <w:jc w:val="left"/>
    </w:pPr>
  </w:style>
  <w:style w:type="paragraph" w:styleId="11">
    <w:name w:val="Body Text Indent"/>
    <w:basedOn w:val="1"/>
    <w:next w:val="9"/>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toc 8"/>
    <w:basedOn w:val="1"/>
    <w:next w:val="1"/>
    <w:qFormat/>
    <w:uiPriority w:val="0"/>
    <w:pPr>
      <w:ind w:left="1470"/>
      <w:jc w:val="left"/>
    </w:pPr>
    <w:rPr>
      <w:rFonts w:ascii="Times New Roman" w:hAnsi="Times New Roman" w:eastAsia="宋体" w:cs="Times New Roman"/>
      <w:sz w:val="18"/>
    </w:rPr>
  </w:style>
  <w:style w:type="paragraph" w:styleId="15">
    <w:name w:val="Body Text Indent 2"/>
    <w:basedOn w:val="1"/>
    <w:qFormat/>
    <w:uiPriority w:val="0"/>
    <w:pPr>
      <w:spacing w:line="500" w:lineRule="exact"/>
      <w:ind w:firstLine="442" w:firstLineChars="200"/>
    </w:pPr>
    <w:rPr>
      <w:rFonts w:ascii="Calibri" w:hAnsi="Calibri" w:cs="黑体"/>
    </w:rPr>
  </w:style>
  <w:style w:type="paragraph" w:styleId="1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9"/>
    <w:next w:val="1"/>
    <w:qFormat/>
    <w:uiPriority w:val="0"/>
    <w:pPr>
      <w:spacing w:before="120" w:after="120"/>
    </w:pPr>
    <w:rPr>
      <w:rFonts w:eastAsia="宋体"/>
      <w:bCs/>
      <w:caps/>
      <w:sz w:val="30"/>
      <w:szCs w:val="30"/>
    </w:rPr>
  </w:style>
  <w:style w:type="paragraph" w:styleId="19">
    <w:name w:val="index 1"/>
    <w:basedOn w:val="1"/>
    <w:next w:val="1"/>
    <w:qFormat/>
    <w:uiPriority w:val="0"/>
    <w:rPr>
      <w:rFonts w:eastAsia="仿宋_GB2312"/>
      <w:b/>
      <w:sz w:val="24"/>
    </w:rPr>
  </w:style>
  <w:style w:type="paragraph" w:styleId="20">
    <w:name w:val="footnote text"/>
    <w:basedOn w:val="1"/>
    <w:qFormat/>
    <w:uiPriority w:val="0"/>
    <w:pPr>
      <w:snapToGrid w:val="0"/>
      <w:jc w:val="left"/>
    </w:pPr>
    <w:rPr>
      <w:sz w:val="18"/>
    </w:rPr>
  </w:style>
  <w:style w:type="paragraph" w:styleId="21">
    <w:name w:val="annotation subject"/>
    <w:basedOn w:val="10"/>
    <w:next w:val="10"/>
    <w:link w:val="39"/>
    <w:qFormat/>
    <w:uiPriority w:val="0"/>
    <w:rPr>
      <w:b/>
      <w:bCs/>
    </w:rPr>
  </w:style>
  <w:style w:type="paragraph" w:styleId="22">
    <w:name w:val="Body Text First Indent 2"/>
    <w:basedOn w:val="11"/>
    <w:next w:val="1"/>
    <w:qFormat/>
    <w:uiPriority w:val="0"/>
    <w:pPr>
      <w:spacing w:after="120"/>
      <w:ind w:left="420" w:leftChars="200"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character" w:styleId="30">
    <w:name w:val="footnote reference"/>
    <w:qFormat/>
    <w:uiPriority w:val="0"/>
    <w:rPr>
      <w:vertAlign w:val="superscript"/>
    </w:rPr>
  </w:style>
  <w:style w:type="paragraph" w:customStyle="1" w:styleId="31">
    <w:name w:val="列表段落1"/>
    <w:basedOn w:val="1"/>
    <w:qFormat/>
    <w:uiPriority w:val="34"/>
    <w:pPr>
      <w:ind w:firstLine="420" w:firstLineChars="200"/>
    </w:pPr>
    <w:rPr>
      <w:rFonts w:ascii="Calibri" w:hAnsi="Calibri"/>
      <w:szCs w:val="22"/>
    </w:rPr>
  </w:style>
  <w:style w:type="paragraph" w:customStyle="1" w:styleId="32">
    <w:name w:val="正文_6"/>
    <w:qFormat/>
    <w:uiPriority w:val="0"/>
    <w:rPr>
      <w:rFonts w:ascii="Times New Roman" w:hAnsi="Times New Roman" w:eastAsia="宋体" w:cs="Times New Roman"/>
      <w:sz w:val="24"/>
      <w:szCs w:val="24"/>
      <w:lang w:val="en-US" w:eastAsia="zh-CN" w:bidi="ar-SA"/>
    </w:rPr>
  </w:style>
  <w:style w:type="paragraph" w:customStyle="1" w:styleId="33">
    <w:name w:val="样式 样式 行距: 1.5 倍行距 + 首行缩进:  2 字符"/>
    <w:basedOn w:val="1"/>
    <w:qFormat/>
    <w:uiPriority w:val="0"/>
    <w:rPr>
      <w:rFonts w:cs="宋体"/>
      <w:sz w:val="24"/>
    </w:rPr>
  </w:style>
  <w:style w:type="paragraph" w:customStyle="1" w:styleId="34">
    <w:name w:val="BodyTextIndent2"/>
    <w:basedOn w:val="1"/>
    <w:qFormat/>
    <w:uiPriority w:val="0"/>
    <w:pPr>
      <w:spacing w:line="360" w:lineRule="auto"/>
      <w:ind w:left="645"/>
      <w:textAlignment w:val="baseline"/>
    </w:pPr>
  </w:style>
  <w:style w:type="paragraph" w:customStyle="1" w:styleId="35">
    <w:name w:val="列出段落1"/>
    <w:basedOn w:val="1"/>
    <w:qFormat/>
    <w:uiPriority w:val="34"/>
    <w:pPr>
      <w:ind w:firstLine="420" w:firstLineChars="200"/>
    </w:pPr>
    <w:rPr>
      <w:rFonts w:ascii="Calibri" w:hAnsi="Calibri"/>
      <w:sz w:val="28"/>
      <w:szCs w:val="21"/>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7">
    <w:name w:val="Table Normal"/>
    <w:unhideWhenUsed/>
    <w:qFormat/>
    <w:uiPriority w:val="0"/>
    <w:tblPr>
      <w:tblCellMar>
        <w:top w:w="0" w:type="dxa"/>
        <w:left w:w="0" w:type="dxa"/>
        <w:bottom w:w="0" w:type="dxa"/>
        <w:right w:w="0" w:type="dxa"/>
      </w:tblCellMar>
    </w:tblPr>
  </w:style>
  <w:style w:type="character" w:customStyle="1" w:styleId="38">
    <w:name w:val="批注文字 字符"/>
    <w:basedOn w:val="25"/>
    <w:link w:val="10"/>
    <w:qFormat/>
    <w:uiPriority w:val="0"/>
    <w:rPr>
      <w:kern w:val="2"/>
      <w:sz w:val="21"/>
      <w:szCs w:val="24"/>
    </w:rPr>
  </w:style>
  <w:style w:type="character" w:customStyle="1" w:styleId="39">
    <w:name w:val="批注主题 字符"/>
    <w:basedOn w:val="38"/>
    <w:link w:val="21"/>
    <w:qFormat/>
    <w:uiPriority w:val="0"/>
    <w:rPr>
      <w:b/>
      <w:bCs/>
      <w:kern w:val="2"/>
      <w:sz w:val="21"/>
      <w:szCs w:val="24"/>
    </w:rPr>
  </w:style>
  <w:style w:type="paragraph" w:customStyle="1" w:styleId="40">
    <w:name w:val="Table Text"/>
    <w:basedOn w:val="1"/>
    <w:semiHidden/>
    <w:qFormat/>
    <w:uiPriority w:val="0"/>
    <w:rPr>
      <w:rFonts w:ascii="Arial" w:hAnsi="Arial" w:eastAsia="Arial" w:cs="Arial"/>
      <w:sz w:val="21"/>
      <w:szCs w:val="21"/>
      <w:lang w:val="en-US" w:eastAsia="en-US" w:bidi="ar-SA"/>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42">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 w:type="paragraph" w:customStyle="1" w:styleId="43">
    <w:name w:val="List Paragraph"/>
    <w:basedOn w:val="1"/>
    <w:qFormat/>
    <w:uiPriority w:val="34"/>
    <w:pPr>
      <w:ind w:firstLine="420" w:firstLineChars="200"/>
    </w:pPr>
  </w:style>
  <w:style w:type="character" w:customStyle="1" w:styleId="44">
    <w:name w:val="NormalCharacter"/>
    <w:qFormat/>
    <w:uiPriority w:val="0"/>
  </w:style>
  <w:style w:type="character" w:customStyle="1" w:styleId="45">
    <w:name w:val="font31"/>
    <w:basedOn w:val="25"/>
    <w:qFormat/>
    <w:uiPriority w:val="0"/>
    <w:rPr>
      <w:rFonts w:hint="eastAsia" w:ascii="宋体" w:hAnsi="宋体" w:eastAsia="宋体" w:cs="宋体"/>
      <w:color w:val="000000"/>
      <w:sz w:val="18"/>
      <w:szCs w:val="18"/>
      <w:u w:val="none"/>
    </w:rPr>
  </w:style>
  <w:style w:type="character" w:customStyle="1" w:styleId="46">
    <w:name w:val="font5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image" Target="media/image45.png"/><Relationship Id="rId57" Type="http://schemas.openxmlformats.org/officeDocument/2006/relationships/image" Target="media/image44.png"/><Relationship Id="rId56" Type="http://schemas.openxmlformats.org/officeDocument/2006/relationships/image" Target="media/image43.png"/><Relationship Id="rId55" Type="http://schemas.openxmlformats.org/officeDocument/2006/relationships/image" Target="media/image42.png"/><Relationship Id="rId54" Type="http://schemas.openxmlformats.org/officeDocument/2006/relationships/image" Target="media/image41.png"/><Relationship Id="rId53" Type="http://schemas.openxmlformats.org/officeDocument/2006/relationships/image" Target="media/image40.png"/><Relationship Id="rId52" Type="http://schemas.openxmlformats.org/officeDocument/2006/relationships/image" Target="media/image39.png"/><Relationship Id="rId51" Type="http://schemas.openxmlformats.org/officeDocument/2006/relationships/image" Target="media/image38.png"/><Relationship Id="rId50" Type="http://schemas.openxmlformats.org/officeDocument/2006/relationships/image" Target="media/image37.png"/><Relationship Id="rId5" Type="http://schemas.openxmlformats.org/officeDocument/2006/relationships/header" Target="header2.xml"/><Relationship Id="rId49" Type="http://schemas.openxmlformats.org/officeDocument/2006/relationships/image" Target="media/image36.png"/><Relationship Id="rId48" Type="http://schemas.openxmlformats.org/officeDocument/2006/relationships/image" Target="media/image35.png"/><Relationship Id="rId47" Type="http://schemas.openxmlformats.org/officeDocument/2006/relationships/image" Target="media/image34.png"/><Relationship Id="rId46" Type="http://schemas.openxmlformats.org/officeDocument/2006/relationships/image" Target="media/image33.pn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png"/><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footer" Target="footer1.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14756</Words>
  <Characters>15965</Characters>
  <Lines>202</Lines>
  <Paragraphs>56</Paragraphs>
  <TotalTime>6</TotalTime>
  <ScaleCrop>false</ScaleCrop>
  <LinksUpToDate>false</LinksUpToDate>
  <CharactersWithSpaces>16753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蓝色泡沫</cp:lastModifiedBy>
  <cp:lastPrinted>2025-08-05T05:14:00Z</cp:lastPrinted>
  <dcterms:modified xsi:type="dcterms:W3CDTF">2026-04-20T08:23:26Z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99602D437C2341FEA1E1A82E06365C68</vt:lpwstr>
  </property>
  <property fmtid="{D5CDD505-2E9C-101B-9397-08002B2CF9AE}" pid="4" name="KSOSaveFontToCloudKey">
    <vt:lpwstr>260772819_embed</vt:lpwstr>
  </property>
  <property fmtid="{D5CDD505-2E9C-101B-9397-08002B2CF9AE}" pid="5" name="KSOTemplateDocerSaveRecord">
    <vt:lpwstr>eyJoZGlkIjoiMDc4NDRiYzdhYmVkOGJhYmIzNzA3YmUzNTAxZWUyMDUiLCJ1c2VySWQiOiIzNzQyOTExODcifQ==</vt:lpwstr>
  </property>
</Properties>
</file>