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jc w:val="center"/>
        <w:rPr>
          <w:rFonts w:hint="eastAsia" w:ascii="华文中宋" w:hAnsi="华文中宋" w:eastAsia="华文中宋" w:cs="微软雅黑"/>
          <w:b/>
          <w:color w:val="auto"/>
          <w:sz w:val="96"/>
          <w:szCs w:val="96"/>
          <w:highlight w:val="none"/>
        </w:rPr>
      </w:pPr>
      <w:bookmarkStart w:id="0" w:name="PO_3000000032_PM002"/>
    </w:p>
    <w:p>
      <w:pPr>
        <w:tabs>
          <w:tab w:val="left" w:pos="2070"/>
          <w:tab w:val="center" w:pos="4365"/>
        </w:tabs>
        <w:snapToGrid w:val="0"/>
        <w:jc w:val="center"/>
        <w:rPr>
          <w:rFonts w:hint="eastAsia" w:ascii="华文中宋" w:hAnsi="华文中宋" w:eastAsia="华文中宋" w:cs="微软雅黑"/>
          <w:color w:val="auto"/>
          <w:highlight w:val="none"/>
        </w:rPr>
      </w:pPr>
      <w:r>
        <w:rPr>
          <w:rFonts w:hint="eastAsia" w:ascii="华文中宋" w:hAnsi="华文中宋" w:eastAsia="华文中宋" w:cs="微软雅黑"/>
          <w:b/>
          <w:color w:val="auto"/>
          <w:sz w:val="96"/>
          <w:szCs w:val="96"/>
          <w:highlight w:val="none"/>
        </w:rPr>
        <w:t>竞争性磋商文件</w:t>
      </w:r>
    </w:p>
    <w:p>
      <w:pPr>
        <w:ind w:firstLine="540" w:firstLineChars="150"/>
        <w:rPr>
          <w:rFonts w:ascii="华文中宋" w:hAnsi="华文中宋" w:eastAsia="华文中宋"/>
          <w:b/>
          <w:color w:val="auto"/>
          <w:spacing w:val="20"/>
          <w:sz w:val="32"/>
          <w:szCs w:val="32"/>
          <w:highlight w:val="none"/>
        </w:rPr>
      </w:pPr>
    </w:p>
    <w:p>
      <w:pPr>
        <w:tabs>
          <w:tab w:val="left" w:pos="3720"/>
        </w:tabs>
        <w:ind w:firstLine="540" w:firstLineChars="150"/>
        <w:rPr>
          <w:rFonts w:ascii="华文中宋" w:hAnsi="华文中宋" w:eastAsia="华文中宋"/>
          <w:b/>
          <w:color w:val="auto"/>
          <w:spacing w:val="20"/>
          <w:sz w:val="32"/>
          <w:szCs w:val="32"/>
          <w:highlight w:val="none"/>
        </w:rPr>
      </w:pPr>
      <w:r>
        <w:rPr>
          <w:rFonts w:ascii="华文中宋" w:hAnsi="华文中宋" w:eastAsia="华文中宋"/>
          <w:b/>
          <w:color w:val="auto"/>
          <w:spacing w:val="20"/>
          <w:sz w:val="32"/>
          <w:szCs w:val="32"/>
          <w:highlight w:val="none"/>
        </w:rPr>
        <w:tab/>
      </w:r>
    </w:p>
    <w:p>
      <w:pPr>
        <w:pStyle w:val="2"/>
      </w:pPr>
    </w:p>
    <w:p>
      <w:pPr>
        <w:spacing w:line="480" w:lineRule="exact"/>
        <w:ind w:firstLine="1050" w:firstLineChars="350"/>
        <w:rPr>
          <w:rFonts w:ascii="华文中宋" w:hAnsi="华文中宋" w:eastAsia="华文中宋"/>
          <w:color w:val="auto"/>
          <w:sz w:val="30"/>
          <w:szCs w:val="30"/>
          <w:highlight w:val="none"/>
        </w:rPr>
      </w:pPr>
    </w:p>
    <w:p>
      <w:pPr>
        <w:pStyle w:val="2"/>
      </w:pPr>
    </w:p>
    <w:p>
      <w:pPr>
        <w:pStyle w:val="2"/>
      </w:pPr>
    </w:p>
    <w:p>
      <w:pPr>
        <w:spacing w:line="480" w:lineRule="exact"/>
        <w:ind w:firstLine="1050" w:firstLineChars="350"/>
        <w:rPr>
          <w:rFonts w:ascii="华文中宋" w:hAnsi="华文中宋" w:eastAsia="华文中宋"/>
          <w:color w:val="auto"/>
          <w:sz w:val="30"/>
          <w:szCs w:val="30"/>
          <w:highlight w:val="none"/>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jc w:val="both"/>
        <w:rPr>
          <w:rFonts w:hint="eastAsia" w:ascii="华文中宋" w:hAnsi="华文中宋" w:eastAsia="华文中宋" w:cs="华文中宋"/>
          <w:color w:val="000000" w:themeColor="text1"/>
          <w:sz w:val="30"/>
          <w:szCs w:val="30"/>
          <w:lang w:eastAsia="zh-CN"/>
          <w14:textFill>
            <w14:solidFill>
              <w14:schemeClr w14:val="tx1"/>
            </w14:solidFill>
          </w14:textFill>
        </w:rPr>
      </w:pPr>
      <w:r>
        <w:rPr>
          <w:rFonts w:hint="eastAsia" w:ascii="华文中宋" w:hAnsi="华文中宋" w:eastAsia="华文中宋" w:cs="华文中宋"/>
          <w:b w:val="0"/>
          <w:bCs w:val="0"/>
          <w:color w:val="auto"/>
          <w:kern w:val="0"/>
          <w:sz w:val="30"/>
          <w:szCs w:val="30"/>
          <w:highlight w:val="none"/>
          <w:lang w:val="en-US" w:eastAsia="zh-CN" w:bidi="ar-SA"/>
        </w:rPr>
        <w:t xml:space="preserve">      项目编号：</w:t>
      </w:r>
      <w:bookmarkStart w:id="1" w:name="OLE_LINK12"/>
      <w:r>
        <w:rPr>
          <w:rFonts w:hint="eastAsia" w:ascii="华文中宋" w:hAnsi="华文中宋" w:eastAsia="华文中宋" w:cs="华文中宋"/>
          <w:color w:val="000000" w:themeColor="text1"/>
          <w:sz w:val="30"/>
          <w:szCs w:val="30"/>
          <w:lang w:eastAsia="zh-CN"/>
          <w14:textFill>
            <w14:solidFill>
              <w14:schemeClr w14:val="tx1"/>
            </w14:solidFill>
          </w14:textFill>
        </w:rPr>
        <w:t>1405242026CCS00018</w:t>
      </w:r>
    </w:p>
    <w:bookmarkEnd w:id="1"/>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600" w:firstLineChars="200"/>
        <w:jc w:val="left"/>
        <w:rPr>
          <w:rFonts w:hint="eastAsia" w:ascii="华文中宋" w:hAnsi="华文中宋" w:eastAsia="华文中宋" w:cs="华文中宋"/>
          <w:color w:val="auto"/>
          <w:kern w:val="0"/>
          <w:sz w:val="30"/>
          <w:szCs w:val="30"/>
          <w:highlight w:val="none"/>
          <w:lang w:val="en-US" w:eastAsia="zh-CN" w:bidi="ar-SA"/>
        </w:rPr>
      </w:pPr>
    </w:p>
    <w:p>
      <w:pPr>
        <w:spacing w:line="360" w:lineRule="auto"/>
        <w:ind w:right="-110"/>
        <w:jc w:val="left"/>
        <w:rPr>
          <w:rFonts w:hint="eastAsia" w:ascii="华文中宋" w:hAnsi="华文中宋" w:eastAsia="华文中宋" w:cs="华文中宋"/>
          <w:color w:val="000000" w:themeColor="text1"/>
          <w:sz w:val="30"/>
          <w:szCs w:val="30"/>
          <w14:textFill>
            <w14:solidFill>
              <w14:schemeClr w14:val="tx1"/>
            </w14:solidFill>
          </w14:textFill>
        </w:rPr>
      </w:pPr>
      <w:r>
        <w:rPr>
          <w:rFonts w:hint="eastAsia" w:ascii="华文中宋" w:hAnsi="华文中宋" w:eastAsia="华文中宋" w:cs="华文中宋"/>
          <w:color w:val="auto"/>
          <w:kern w:val="0"/>
          <w:sz w:val="30"/>
          <w:szCs w:val="30"/>
          <w:highlight w:val="none"/>
          <w:lang w:val="en-US" w:eastAsia="zh-CN" w:bidi="ar-SA"/>
        </w:rPr>
        <w:t xml:space="preserve">      项目名称：陵川县全域视频监控提质改造设施升级项目（链路）</w:t>
      </w:r>
    </w:p>
    <w:p>
      <w:pPr>
        <w:pStyle w:val="33"/>
        <w:keepNext w:val="0"/>
        <w:keepLines w:val="0"/>
        <w:pageBreakBefore w:val="0"/>
        <w:widowControl w:val="0"/>
        <w:numPr>
          <w:ilvl w:val="6"/>
          <w:numId w:val="0"/>
        </w:numPr>
        <w:kinsoku/>
        <w:wordWrap/>
        <w:overflowPunct/>
        <w:topLinePunct w:val="0"/>
        <w:autoSpaceDE/>
        <w:autoSpaceDN/>
        <w:bidi w:val="0"/>
        <w:adjustRightInd/>
        <w:snapToGrid/>
        <w:spacing w:line="800" w:lineRule="exact"/>
        <w:jc w:val="left"/>
        <w:textAlignment w:val="auto"/>
        <w:outlineLvl w:val="9"/>
        <w:rPr>
          <w:rFonts w:hint="eastAsia" w:ascii="华文中宋" w:hAnsi="华文中宋" w:eastAsia="华文中宋" w:cs="华文中宋"/>
          <w:color w:val="auto"/>
          <w:kern w:val="0"/>
          <w:sz w:val="30"/>
          <w:szCs w:val="30"/>
          <w:highlight w:val="none"/>
          <w:lang w:val="en-US" w:eastAsia="zh-CN" w:bidi="ar-SA"/>
        </w:rPr>
      </w:pPr>
      <w:r>
        <w:rPr>
          <w:rFonts w:hint="eastAsia" w:ascii="华文中宋" w:hAnsi="华文中宋" w:eastAsia="华文中宋" w:cs="华文中宋"/>
          <w:color w:val="auto"/>
          <w:kern w:val="0"/>
          <w:sz w:val="30"/>
          <w:szCs w:val="30"/>
          <w:highlight w:val="none"/>
          <w:lang w:val="en-US" w:eastAsia="zh-CN" w:bidi="ar-SA"/>
        </w:rPr>
        <w:t xml:space="preserve">      采 购 人: 陵川县公安局 </w:t>
      </w:r>
    </w:p>
    <w:p>
      <w:pPr>
        <w:pStyle w:val="33"/>
        <w:keepNext w:val="0"/>
        <w:keepLines w:val="0"/>
        <w:pageBreakBefore w:val="0"/>
        <w:widowControl w:val="0"/>
        <w:numPr>
          <w:ilvl w:val="6"/>
          <w:numId w:val="0"/>
        </w:numPr>
        <w:kinsoku/>
        <w:wordWrap/>
        <w:overflowPunct/>
        <w:topLinePunct w:val="0"/>
        <w:autoSpaceDE/>
        <w:autoSpaceDN/>
        <w:bidi w:val="0"/>
        <w:adjustRightInd/>
        <w:snapToGrid/>
        <w:spacing w:line="800" w:lineRule="exact"/>
        <w:jc w:val="left"/>
        <w:textAlignment w:val="auto"/>
        <w:outlineLvl w:val="9"/>
        <w:rPr>
          <w:rFonts w:hint="eastAsia" w:ascii="华文中宋" w:hAnsi="华文中宋" w:eastAsia="华文中宋" w:cs="华文中宋"/>
          <w:color w:val="auto"/>
          <w:sz w:val="30"/>
          <w:szCs w:val="30"/>
          <w:highlight w:val="none"/>
          <w:lang w:eastAsia="zh-CN"/>
        </w:rPr>
      </w:pP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rPr>
        <w:t xml:space="preserve">采购代理机构: </w:t>
      </w:r>
      <w:r>
        <w:rPr>
          <w:rFonts w:hint="eastAsia" w:ascii="华文中宋" w:hAnsi="华文中宋" w:eastAsia="华文中宋" w:cs="华文中宋"/>
          <w:color w:val="auto"/>
          <w:sz w:val="30"/>
          <w:szCs w:val="30"/>
          <w:highlight w:val="none"/>
          <w:lang w:eastAsia="zh-CN"/>
        </w:rPr>
        <w:t>陵川县公共资源交易中心（政府采购中心）</w:t>
      </w:r>
    </w:p>
    <w:p>
      <w:pPr>
        <w:jc w:val="center"/>
        <w:rPr>
          <w:rFonts w:ascii="华文中宋" w:hAnsi="华文中宋" w:eastAsia="华文中宋"/>
          <w:b/>
          <w:color w:val="auto"/>
          <w:sz w:val="32"/>
          <w:szCs w:val="32"/>
          <w:highlight w:val="none"/>
        </w:rPr>
      </w:pPr>
    </w:p>
    <w:p>
      <w:pPr>
        <w:jc w:val="center"/>
        <w:rPr>
          <w:rFonts w:ascii="华文中宋" w:hAnsi="华文中宋" w:eastAsia="华文中宋"/>
          <w:b/>
          <w:color w:val="auto"/>
          <w:sz w:val="32"/>
          <w:szCs w:val="32"/>
          <w:highlight w:val="none"/>
        </w:rPr>
      </w:pPr>
    </w:p>
    <w:p>
      <w:pPr>
        <w:pStyle w:val="2"/>
        <w:rPr>
          <w:rFonts w:ascii="华文中宋" w:hAnsi="华文中宋" w:eastAsia="华文中宋"/>
          <w:b/>
          <w:color w:val="auto"/>
          <w:sz w:val="32"/>
          <w:szCs w:val="32"/>
          <w:highlight w:val="none"/>
        </w:rPr>
      </w:pPr>
    </w:p>
    <w:p>
      <w:pPr>
        <w:pStyle w:val="16"/>
      </w:pPr>
    </w:p>
    <w:p>
      <w:pPr>
        <w:pStyle w:val="25"/>
        <w:rPr>
          <w:color w:val="auto"/>
          <w:highlight w:val="none"/>
        </w:rPr>
      </w:pPr>
    </w:p>
    <w:p>
      <w:pPr>
        <w:pStyle w:val="25"/>
        <w:rPr>
          <w:color w:val="auto"/>
          <w:highlight w:val="none"/>
        </w:rPr>
      </w:pPr>
    </w:p>
    <w:p>
      <w:pPr>
        <w:snapToGrid w:val="0"/>
        <w:jc w:val="both"/>
        <w:rPr>
          <w:rFonts w:ascii="华文中宋" w:hAnsi="华文中宋" w:eastAsia="华文中宋"/>
          <w:color w:val="auto"/>
          <w:sz w:val="32"/>
          <w:szCs w:val="32"/>
          <w:highlight w:val="none"/>
        </w:rPr>
      </w:pPr>
    </w:p>
    <w:p>
      <w:pPr>
        <w:snapToGrid w:val="0"/>
        <w:jc w:val="center"/>
        <w:rPr>
          <w:rFonts w:hint="eastAsia" w:ascii="华文中宋" w:hAnsi="华文中宋" w:eastAsia="华文中宋"/>
          <w:color w:val="auto"/>
          <w:sz w:val="32"/>
          <w:szCs w:val="32"/>
          <w:highlight w:val="none"/>
          <w:lang w:val="en-US" w:eastAsia="zh-CN"/>
        </w:rPr>
      </w:pPr>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2026年4月</w:t>
      </w:r>
    </w:p>
    <w:p>
      <w:pPr>
        <w:widowControl/>
        <w:jc w:val="center"/>
        <w:rPr>
          <w:rFonts w:cs="宋体" w:asciiTheme="minorEastAsia" w:hAnsiTheme="minorEastAsia" w:eastAsiaTheme="minorEastAsia"/>
          <w:b/>
          <w:bCs/>
          <w:color w:val="000000" w:themeColor="text1"/>
          <w:sz w:val="32"/>
          <w:szCs w:val="32"/>
          <w14:textFill>
            <w14:solidFill>
              <w14:schemeClr w14:val="tx1"/>
            </w14:solidFill>
          </w14:textFill>
        </w:rPr>
      </w:pPr>
    </w:p>
    <w:p>
      <w:pPr>
        <w:pStyle w:val="2"/>
      </w:pPr>
    </w:p>
    <w:p>
      <w:pPr>
        <w:pStyle w:val="12"/>
        <w:tabs>
          <w:tab w:val="left" w:pos="3473"/>
        </w:tabs>
        <w:spacing w:after="0"/>
        <w:ind w:left="0" w:leftChars="0" w:firstLine="0" w:firstLineChars="0"/>
        <w:jc w:val="center"/>
        <w:rPr>
          <w:rFonts w:ascii="华文中宋" w:hAnsi="华文中宋" w:eastAsia="华文中宋" w:cs="微软雅黑"/>
          <w:b/>
          <w:bCs/>
          <w:color w:val="auto"/>
          <w:sz w:val="44"/>
          <w:szCs w:val="44"/>
        </w:rPr>
      </w:pPr>
      <w:r>
        <w:rPr>
          <w:rFonts w:hint="eastAsia" w:ascii="华文中宋" w:hAnsi="华文中宋" w:eastAsia="华文中宋" w:cs="微软雅黑"/>
          <w:b/>
          <w:bCs/>
          <w:color w:val="auto"/>
          <w:sz w:val="44"/>
          <w:szCs w:val="44"/>
        </w:rPr>
        <w:t>投标重要事项告知</w:t>
      </w:r>
    </w:p>
    <w:p>
      <w:pPr>
        <w:widowControl/>
        <w:spacing w:line="460" w:lineRule="exact"/>
        <w:rPr>
          <w:rFonts w:ascii="华文中宋" w:hAnsi="华文中宋" w:eastAsia="华文中宋" w:cs="宋体"/>
          <w:bCs/>
          <w:color w:val="auto"/>
          <w:sz w:val="24"/>
        </w:rPr>
      </w:pPr>
      <w:r>
        <w:rPr>
          <w:rFonts w:hint="eastAsia" w:ascii="华文中宋" w:hAnsi="华文中宋" w:eastAsia="华文中宋" w:cs="宋体"/>
          <w:bCs/>
          <w:color w:val="auto"/>
          <w:sz w:val="24"/>
        </w:rPr>
        <w:t>尊敬的潜在供应商：</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为确保各潜在供应商顺利参与本项目开评标活动，我们对采购文件的重要内容及要求进行了全面梳理，结合投标/响应文件制作及有关事宜，现将重要事项告知如下：</w:t>
      </w:r>
    </w:p>
    <w:p>
      <w:pPr>
        <w:widowControl/>
        <w:spacing w:line="460" w:lineRule="exact"/>
        <w:ind w:firstLine="480" w:firstLineChars="200"/>
        <w:rPr>
          <w:rFonts w:ascii="华文中宋" w:hAnsi="华文中宋" w:eastAsia="华文中宋" w:cs="华文中宋"/>
          <w:b/>
          <w:color w:val="auto"/>
          <w:sz w:val="24"/>
        </w:rPr>
      </w:pPr>
      <w:r>
        <w:rPr>
          <w:rFonts w:hint="eastAsia" w:ascii="华文中宋" w:hAnsi="华文中宋" w:eastAsia="华文中宋" w:cs="华文中宋"/>
          <w:b/>
          <w:color w:val="auto"/>
          <w:sz w:val="24"/>
        </w:rPr>
        <w:t>一、标书制作方面</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1</w:t>
      </w:r>
      <w:r>
        <w:rPr>
          <w:rFonts w:hint="eastAsia" w:ascii="华文中宋" w:hAnsi="华文中宋" w:eastAsia="华文中宋" w:cs="宋体"/>
          <w:bCs/>
          <w:color w:val="auto"/>
          <w:sz w:val="24"/>
        </w:rPr>
        <w:t>.编制的投标/响应文件的</w:t>
      </w:r>
      <w:r>
        <w:rPr>
          <w:rFonts w:hint="eastAsia" w:ascii="华文中宋" w:hAnsi="华文中宋" w:eastAsia="华文中宋" w:cs="宋体"/>
          <w:bCs/>
          <w:color w:val="auto"/>
          <w:sz w:val="24"/>
          <w:lang w:eastAsia="zh-CN"/>
        </w:rPr>
        <w:t>供应商</w:t>
      </w:r>
      <w:r>
        <w:rPr>
          <w:rFonts w:hint="eastAsia" w:ascii="华文中宋" w:hAnsi="华文中宋" w:eastAsia="华文中宋" w:cs="宋体"/>
          <w:bCs/>
          <w:color w:val="auto"/>
          <w:sz w:val="24"/>
        </w:rPr>
        <w:t>代表证明、投标函、开标报价一览表等要求进行电子签章的文件及资料，必须按照要求加盖法人电子签章和法定代表人电子签章。</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2</w:t>
      </w:r>
      <w:r>
        <w:rPr>
          <w:rFonts w:hint="eastAsia" w:ascii="华文中宋" w:hAnsi="华文中宋" w:eastAsia="华文中宋" w:cs="宋体"/>
          <w:bCs/>
          <w:color w:val="auto"/>
          <w:sz w:val="24"/>
        </w:rPr>
        <w:t>.在编制投标/响应文件中的“资格证明文件”时，必须严格按照采购文件规定的格式，对照第五部分“资格审查内容及标准”进行制作。对于不允许在开标时进行补正的内容要特别注意，避免由于某一项内容未提供或达不到检查标准而导致不具备投标资格。</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3</w:t>
      </w:r>
      <w:r>
        <w:rPr>
          <w:rFonts w:hint="eastAsia" w:ascii="华文中宋" w:hAnsi="华文中宋" w:eastAsia="华文中宋" w:cs="宋体"/>
          <w:bCs/>
          <w:color w:val="auto"/>
          <w:sz w:val="24"/>
        </w:rPr>
        <w:t>.在编制投标/响应文件中的“商务技术文件”时，必须严格按照采购文件规定的格式，对照第六部分“评标标准和评标方法”进行制作。如果投标/响应文件未通过符合性审查，将导致投标无效。</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4</w:t>
      </w:r>
      <w:r>
        <w:rPr>
          <w:rFonts w:hint="eastAsia" w:ascii="华文中宋" w:hAnsi="华文中宋" w:eastAsia="华文中宋" w:cs="宋体"/>
          <w:bCs/>
          <w:color w:val="auto"/>
          <w:sz w:val="24"/>
        </w:rPr>
        <w:t>.对照政府采购政策要求，投标/响应文件中如涉及“政府强制采购品目清单中的产品”、“信息安全产品”尤其是要特别注意的重点和关键，投报的相关产品必须提供与品牌型号对应的、有效的认证证书，否则将导致投标无效。</w:t>
      </w:r>
    </w:p>
    <w:p>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二、电子投标方面</w:t>
      </w:r>
    </w:p>
    <w:p>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1.为避免电子投标/响应文件在递交时出现差错，各潜在供应商可以登录山西政府采购平台，通过“采云直播”查看系统操作流程的视频，熟悉电子招投标的操作。</w:t>
      </w:r>
    </w:p>
    <w:p>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2.如采购项目非远程开评标，请按照采购文件规定的投标/响应文件递交时间及地点，提前到达开标现场，按时递交投标/响应文件，未按时提交的将导致投标被拒绝。</w:t>
      </w:r>
    </w:p>
    <w:p>
      <w:pPr>
        <w:spacing w:line="460" w:lineRule="exact"/>
        <w:ind w:firstLine="480" w:firstLineChars="200"/>
        <w:rPr>
          <w:color w:val="auto"/>
        </w:rPr>
      </w:pPr>
      <w:r>
        <w:rPr>
          <w:rFonts w:hint="eastAsia" w:ascii="华文中宋" w:hAnsi="华文中宋" w:eastAsia="华文中宋" w:cs="华文中宋"/>
          <w:color w:val="auto"/>
          <w:sz w:val="24"/>
        </w:rPr>
        <w:t>3.在电子投标过程中，如遇到操作或技术问题，请致电服务热线进行咨询解决，咨询电话：</w:t>
      </w:r>
      <w:r>
        <w:rPr>
          <w:rFonts w:hint="eastAsia" w:ascii="华文中宋" w:hAnsi="华文中宋" w:eastAsia="华文中宋" w:cs="华文中宋"/>
          <w:color w:val="auto"/>
          <w:sz w:val="24"/>
          <w:lang w:eastAsia="zh-CN"/>
        </w:rPr>
        <w:t>95763</w:t>
      </w:r>
      <w:r>
        <w:rPr>
          <w:rFonts w:hint="eastAsia" w:ascii="华文中宋" w:hAnsi="华文中宋" w:eastAsia="华文中宋" w:cs="华文中宋"/>
          <w:color w:val="auto"/>
          <w:sz w:val="24"/>
        </w:rPr>
        <w:t>。</w:t>
      </w:r>
    </w:p>
    <w:p>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三、其他事项方面</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1.采购文件中标黑或加粗的位置及描述，为潜在供应商特别需要注意的重要事项，请认真阅读，仔细研究，慎重对待。</w:t>
      </w:r>
    </w:p>
    <w:p>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2.获取采购文件的各潜在供应商，如对文件中描述不清、理解不明以及存在疑义或认为需要修正的内容，请在规定的时间内以书面形式及时向采购人、采购代理机构反映，以便统一更正。</w:t>
      </w:r>
    </w:p>
    <w:p>
      <w:pPr>
        <w:spacing w:line="460" w:lineRule="exact"/>
        <w:ind w:firstLine="480" w:firstLineChars="200"/>
        <w:rPr>
          <w:rFonts w:hint="eastAsia" w:ascii="华文中宋" w:hAnsi="华文中宋" w:eastAsia="华文中宋" w:cs="宋体"/>
          <w:bCs/>
          <w:color w:val="auto"/>
          <w:sz w:val="24"/>
        </w:rPr>
      </w:pPr>
      <w:r>
        <w:rPr>
          <w:rFonts w:hint="eastAsia" w:ascii="华文中宋" w:hAnsi="华文中宋" w:eastAsia="华文中宋" w:cs="宋体"/>
          <w:bCs/>
          <w:color w:val="auto"/>
          <w:sz w:val="24"/>
        </w:rPr>
        <w:t>3.采购文件、评标过程以及中标（成交）结果如侵害到参与本项目供应商的合法权益时，可依法</w:t>
      </w:r>
      <w:r>
        <w:rPr>
          <w:rFonts w:hint="eastAsia" w:ascii="华文中宋" w:hAnsi="华文中宋" w:eastAsia="华文中宋" w:cs="宋体"/>
          <w:bCs/>
          <w:color w:val="auto"/>
          <w:sz w:val="24"/>
          <w:lang w:val="en-US" w:eastAsia="zh-CN"/>
        </w:rPr>
        <w:t>在政采云平台</w:t>
      </w:r>
      <w:r>
        <w:rPr>
          <w:rFonts w:hint="eastAsia" w:ascii="华文中宋" w:hAnsi="华文中宋" w:eastAsia="华文中宋" w:cs="宋体"/>
          <w:bCs/>
          <w:color w:val="auto"/>
          <w:sz w:val="24"/>
        </w:rPr>
        <w:t>向采购人、采购代理机构提出</w:t>
      </w:r>
      <w:r>
        <w:rPr>
          <w:rFonts w:hint="eastAsia" w:ascii="华文中宋" w:hAnsi="华文中宋" w:eastAsia="华文中宋" w:cs="宋体"/>
          <w:bCs/>
          <w:color w:val="auto"/>
          <w:sz w:val="24"/>
          <w:lang w:val="en-US" w:eastAsia="zh-CN"/>
        </w:rPr>
        <w:t>线上</w:t>
      </w:r>
      <w:r>
        <w:rPr>
          <w:rFonts w:hint="eastAsia" w:ascii="华文中宋" w:hAnsi="华文中宋" w:eastAsia="华文中宋" w:cs="宋体"/>
          <w:bCs/>
          <w:color w:val="auto"/>
          <w:sz w:val="24"/>
        </w:rPr>
        <w:t>质疑；对质疑答复不满意的，可向同级财政部门提起投诉。</w:t>
      </w: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spacing w:line="460" w:lineRule="exact"/>
        <w:ind w:firstLine="480" w:firstLineChars="200"/>
        <w:rPr>
          <w:rFonts w:hint="eastAsia" w:ascii="华文中宋" w:hAnsi="华文中宋" w:eastAsia="华文中宋" w:cs="宋体"/>
          <w:bCs/>
          <w:color w:val="auto"/>
          <w:sz w:val="24"/>
        </w:rPr>
      </w:pPr>
    </w:p>
    <w:p>
      <w:pPr>
        <w:pBdr>
          <w:top w:val="none" w:color="auto" w:sz="0" w:space="1"/>
          <w:left w:val="none" w:color="auto" w:sz="0" w:space="4"/>
          <w:bottom w:val="none" w:color="auto" w:sz="0" w:space="1"/>
          <w:right w:val="none" w:color="auto" w:sz="0" w:space="4"/>
        </w:pBdr>
        <w:spacing w:line="480" w:lineRule="exact"/>
        <w:ind w:firstLine="642" w:firstLineChars="200"/>
        <w:jc w:val="center"/>
        <w:rPr>
          <w:rFonts w:cs="宋体" w:asciiTheme="minorEastAsia" w:hAnsiTheme="minorEastAsia" w:eastAsiaTheme="minorEastAsia"/>
          <w:b/>
          <w:color w:val="000000" w:themeColor="text1"/>
          <w:sz w:val="32"/>
          <w:szCs w:val="32"/>
          <w14:textFill>
            <w14:solidFill>
              <w14:schemeClr w14:val="tx1"/>
            </w14:solidFill>
          </w14:textFill>
        </w:rPr>
      </w:pPr>
    </w:p>
    <w:p>
      <w:pPr>
        <w:pStyle w:val="15"/>
        <w:tabs>
          <w:tab w:val="right" w:leader="dot" w:pos="8834"/>
        </w:tabs>
        <w:spacing w:line="360" w:lineRule="auto"/>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44"/>
          <w:szCs w:val="44"/>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44"/>
          <w:szCs w:val="44"/>
          <w14:textFill>
            <w14:solidFill>
              <w14:schemeClr w14:val="tx1"/>
            </w14:solidFill>
          </w14:textFill>
        </w:rPr>
        <w:t>目    录</w:t>
      </w:r>
    </w:p>
    <w:p>
      <w:pPr>
        <w:pStyle w:val="15"/>
        <w:tabs>
          <w:tab w:val="right" w:leader="dot" w:pos="8834"/>
        </w:tabs>
        <w:spacing w:line="360" w:lineRule="auto"/>
        <w:ind w:firstLine="4400" w:firstLineChars="1000"/>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w:instrText>
      </w:r>
      <w:r>
        <w:rPr>
          <w:rFonts w:hint="eastAsia" w:ascii="Times New Roman" w:hAnsi="Times New Roman" w:eastAsia="宋体" w:cs="Times New Roman"/>
          <w:sz w:val="44"/>
          <w:szCs w:val="44"/>
        </w:rPr>
        <w:instrText xml:space="preserve">TOC \o "1-1" \h \z \u</w:instrText>
      </w:r>
      <w:r>
        <w:rPr>
          <w:rFonts w:ascii="Times New Roman" w:hAnsi="Times New Roman" w:eastAsia="宋体" w:cs="Times New Roman"/>
          <w:sz w:val="44"/>
          <w:szCs w:val="44"/>
        </w:rPr>
        <w:instrText xml:space="preserve"> </w:instrText>
      </w:r>
      <w:r>
        <w:rPr>
          <w:rFonts w:ascii="Times New Roman" w:hAnsi="Times New Roman" w:eastAsia="宋体" w:cs="Times New Roman"/>
          <w:sz w:val="44"/>
          <w:szCs w:val="44"/>
        </w:rPr>
        <w:fldChar w:fldCharType="separate"/>
      </w:r>
    </w:p>
    <w:p>
      <w:pPr>
        <w:pStyle w:val="15"/>
        <w:tabs>
          <w:tab w:val="right" w:leader="dot" w:pos="8834"/>
        </w:tabs>
        <w:spacing w:line="360" w:lineRule="auto"/>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HYPERLINK \l "_Toc73051350" </w:instrText>
      </w:r>
      <w:r>
        <w:rPr>
          <w:rFonts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第一</w:t>
      </w:r>
      <w:r>
        <w:rPr>
          <w:rFonts w:hint="eastAsia" w:ascii="Times New Roman" w:hAnsi="Times New Roman" w:eastAsia="宋体" w:cs="Times New Roman"/>
          <w:sz w:val="44"/>
          <w:szCs w:val="44"/>
          <w:lang w:val="en-US" w:eastAsia="zh-CN"/>
        </w:rPr>
        <w:t>部分</w:t>
      </w:r>
      <w:r>
        <w:rPr>
          <w:rFonts w:ascii="Times New Roman" w:hAnsi="Times New Roman" w:eastAsia="宋体" w:cs="Times New Roman"/>
          <w:sz w:val="44"/>
          <w:szCs w:val="44"/>
        </w:rPr>
        <w:t xml:space="preserve">  </w:t>
      </w:r>
      <w:r>
        <w:rPr>
          <w:rFonts w:hint="eastAsia" w:ascii="Times New Roman" w:hAnsi="Times New Roman" w:eastAsia="宋体" w:cs="Times New Roman"/>
          <w:sz w:val="44"/>
          <w:szCs w:val="44"/>
        </w:rPr>
        <w:t>竞争性磋商公告</w:t>
      </w:r>
      <w:r>
        <w:rPr>
          <w:rFonts w:hint="eastAsia" w:cs="Times New Roman"/>
          <w:sz w:val="44"/>
          <w:szCs w:val="44"/>
          <w:lang w:val="en-US" w:eastAsia="zh-CN"/>
        </w:rPr>
        <w:t>....</w:t>
      </w:r>
      <w:r>
        <w:rPr>
          <w:rFonts w:ascii="Times New Roman" w:hAnsi="Times New Roman" w:eastAsia="宋体" w:cs="Times New Roman"/>
          <w:sz w:val="44"/>
          <w:szCs w:val="44"/>
        </w:rPr>
        <w:tab/>
      </w:r>
      <w:r>
        <w:rPr>
          <w:rFonts w:ascii="Times New Roman" w:hAnsi="Times New Roman" w:eastAsia="宋体" w:cs="Times New Roman"/>
          <w:sz w:val="44"/>
          <w:szCs w:val="44"/>
        </w:rPr>
        <w:fldChar w:fldCharType="end"/>
      </w:r>
      <w:r>
        <w:rPr>
          <w:rFonts w:hint="eastAsia" w:cs="Times New Roman"/>
          <w:sz w:val="44"/>
          <w:szCs w:val="44"/>
          <w:lang w:val="en-US" w:eastAsia="zh-CN"/>
        </w:rPr>
        <w:t>1</w:t>
      </w:r>
    </w:p>
    <w:p>
      <w:pPr>
        <w:pStyle w:val="15"/>
        <w:tabs>
          <w:tab w:val="right" w:leader="dot" w:pos="8834"/>
        </w:tabs>
        <w:spacing w:line="360" w:lineRule="auto"/>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HYPERLINK \l "_Toc73051351" </w:instrText>
      </w:r>
      <w:r>
        <w:rPr>
          <w:rFonts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第二</w:t>
      </w:r>
      <w:r>
        <w:rPr>
          <w:rFonts w:hint="eastAsia" w:ascii="Times New Roman" w:hAnsi="Times New Roman" w:eastAsia="宋体" w:cs="Times New Roman"/>
          <w:sz w:val="44"/>
          <w:szCs w:val="44"/>
          <w:lang w:val="en-US" w:eastAsia="zh-CN"/>
        </w:rPr>
        <w:t>部分</w:t>
      </w:r>
      <w:r>
        <w:rPr>
          <w:rFonts w:ascii="Times New Roman" w:hAnsi="Times New Roman" w:eastAsia="宋体" w:cs="Times New Roman"/>
          <w:sz w:val="44"/>
          <w:szCs w:val="44"/>
        </w:rPr>
        <w:t xml:space="preserve">  </w:t>
      </w:r>
      <w:r>
        <w:rPr>
          <w:rFonts w:hint="eastAsia" w:ascii="Times New Roman" w:hAnsi="Times New Roman" w:eastAsia="宋体" w:cs="Times New Roman"/>
          <w:sz w:val="44"/>
          <w:szCs w:val="44"/>
        </w:rPr>
        <w:t>供应商须知</w:t>
      </w:r>
      <w:r>
        <w:rPr>
          <w:rFonts w:hint="eastAsia" w:ascii="Times New Roman" w:hAnsi="Times New Roman" w:eastAsia="宋体" w:cs="Times New Roman"/>
          <w:sz w:val="44"/>
          <w:szCs w:val="44"/>
          <w:lang w:val="en-US" w:eastAsia="zh-CN"/>
        </w:rPr>
        <w:t>前附表</w:t>
      </w:r>
      <w:r>
        <w:rPr>
          <w:rFonts w:ascii="Times New Roman" w:hAnsi="Times New Roman" w:eastAsia="宋体" w:cs="Times New Roman"/>
          <w:sz w:val="44"/>
          <w:szCs w:val="44"/>
        </w:rPr>
        <w:tab/>
      </w:r>
      <w:r>
        <w:rPr>
          <w:rFonts w:ascii="Times New Roman" w:hAnsi="Times New Roman" w:eastAsia="宋体" w:cs="Times New Roman"/>
          <w:sz w:val="44"/>
          <w:szCs w:val="44"/>
        </w:rPr>
        <w:fldChar w:fldCharType="end"/>
      </w:r>
      <w:r>
        <w:rPr>
          <w:rFonts w:hint="eastAsia" w:cs="Times New Roman"/>
          <w:sz w:val="44"/>
          <w:szCs w:val="44"/>
          <w:lang w:val="en-US" w:eastAsia="zh-CN"/>
        </w:rPr>
        <w:t>4</w:t>
      </w:r>
    </w:p>
    <w:p>
      <w:pPr>
        <w:pStyle w:val="15"/>
        <w:tabs>
          <w:tab w:val="right" w:leader="dot" w:pos="8834"/>
        </w:tabs>
        <w:spacing w:line="360" w:lineRule="auto"/>
        <w:rPr>
          <w:rFonts w:hint="eastAsia" w:ascii="Times New Roman" w:hAnsi="Times New Roman" w:eastAsia="宋体" w:cs="Times New Roman"/>
          <w:sz w:val="44"/>
          <w:szCs w:val="44"/>
          <w:lang w:val="en-US" w:eastAsia="zh-CN"/>
        </w:rPr>
      </w:pPr>
      <w:r>
        <w:rPr>
          <w:rFonts w:hint="eastAsia" w:ascii="Times New Roman" w:hAnsi="Times New Roman" w:eastAsia="宋体" w:cs="Times New Roman"/>
          <w:sz w:val="44"/>
          <w:szCs w:val="44"/>
          <w:lang w:val="en-US" w:eastAsia="zh-CN"/>
        </w:rPr>
        <w:t>第三部分 磋商供应商须知</w:t>
      </w:r>
      <w:r>
        <w:rPr>
          <w:rFonts w:ascii="Times New Roman" w:hAnsi="Times New Roman" w:eastAsia="宋体" w:cs="Times New Roman"/>
          <w:sz w:val="44"/>
          <w:szCs w:val="44"/>
        </w:rPr>
        <w:tab/>
      </w:r>
      <w:r>
        <w:rPr>
          <w:rFonts w:hint="eastAsia" w:cs="Times New Roman"/>
          <w:sz w:val="44"/>
          <w:szCs w:val="44"/>
          <w:lang w:val="en-US" w:eastAsia="zh-CN"/>
        </w:rPr>
        <w:t>11</w:t>
      </w:r>
    </w:p>
    <w:p>
      <w:pPr>
        <w:pStyle w:val="15"/>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"_Toc73051357"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四部分</w:t>
      </w:r>
      <w:r>
        <w:rPr>
          <w:rFonts w:hint="eastAsia" w:ascii="Times New Roman" w:hAnsi="Times New Roman" w:eastAsia="宋体" w:cs="Times New Roman"/>
          <w:sz w:val="44"/>
          <w:szCs w:val="44"/>
        </w:rPr>
        <w:t xml:space="preserve">  </w:t>
      </w:r>
      <w:r>
        <w:rPr>
          <w:rFonts w:hint="eastAsia" w:ascii="Times New Roman" w:hAnsi="Times New Roman" w:eastAsia="宋体" w:cs="Times New Roman"/>
          <w:sz w:val="44"/>
          <w:szCs w:val="44"/>
          <w:lang w:val="en-US" w:eastAsia="zh-CN"/>
        </w:rPr>
        <w:t>商务技术要求</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ascii="Times New Roman" w:hAnsi="Times New Roman" w:eastAsia="宋体" w:cs="Times New Roman"/>
          <w:sz w:val="44"/>
          <w:szCs w:val="44"/>
          <w:lang w:val="en-US" w:eastAsia="zh-CN"/>
        </w:rPr>
        <w:t>2</w:t>
      </w:r>
      <w:r>
        <w:rPr>
          <w:rFonts w:hint="eastAsia" w:cs="Times New Roman"/>
          <w:sz w:val="44"/>
          <w:szCs w:val="44"/>
          <w:lang w:val="en-US" w:eastAsia="zh-CN"/>
        </w:rPr>
        <w:t>5</w:t>
      </w:r>
    </w:p>
    <w:p>
      <w:pPr>
        <w:pStyle w:val="15"/>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"_Toc73051358"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五</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w:t>
      </w:r>
      <w:r>
        <w:rPr>
          <w:rFonts w:hint="eastAsia" w:ascii="Times New Roman" w:hAnsi="Times New Roman" w:eastAsia="宋体" w:cs="Times New Roman"/>
          <w:sz w:val="44"/>
          <w:szCs w:val="44"/>
          <w:lang w:val="en-US" w:eastAsia="zh-CN"/>
        </w:rPr>
        <w:t>资格审查内容及标准</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30</w:t>
      </w:r>
    </w:p>
    <w:p>
      <w:pPr>
        <w:pStyle w:val="15"/>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lang w:val="en-US" w:eastAsia="zh-CN"/>
        </w:rPr>
        <w:t>第六部分  评定和成交标准</w:t>
      </w:r>
      <w:r>
        <w:rPr>
          <w:rFonts w:ascii="Times New Roman" w:hAnsi="Times New Roman" w:eastAsia="宋体" w:cs="Times New Roman"/>
          <w:sz w:val="44"/>
          <w:szCs w:val="44"/>
        </w:rPr>
        <w:tab/>
      </w:r>
      <w:r>
        <w:rPr>
          <w:rFonts w:hint="eastAsia" w:cs="Times New Roman"/>
          <w:sz w:val="44"/>
          <w:szCs w:val="44"/>
          <w:lang w:val="en-US" w:eastAsia="zh-CN"/>
        </w:rPr>
        <w:t>31</w:t>
      </w:r>
    </w:p>
    <w:p>
      <w:pPr>
        <w:pStyle w:val="15"/>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"_Toc73051359"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七</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合同原则</w:t>
      </w:r>
      <w:r>
        <w:rPr>
          <w:rFonts w:hint="eastAsia" w:cs="Times New Roman"/>
          <w:sz w:val="44"/>
          <w:szCs w:val="44"/>
          <w:lang w:eastAsia="zh-CN"/>
        </w:rPr>
        <w:t>（仅供参考）</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37</w:t>
      </w:r>
    </w:p>
    <w:p>
      <w:pPr>
        <w:pStyle w:val="15"/>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"_Toc73051360"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八</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响应文件</w:t>
      </w:r>
      <w:r>
        <w:rPr>
          <w:rFonts w:hint="eastAsia" w:ascii="Times New Roman" w:hAnsi="Times New Roman" w:eastAsia="宋体" w:cs="Times New Roman"/>
          <w:sz w:val="44"/>
          <w:szCs w:val="44"/>
          <w:lang w:val="en-US" w:eastAsia="zh-CN"/>
        </w:rPr>
        <w:t>内容要求及</w:t>
      </w:r>
      <w:r>
        <w:rPr>
          <w:rFonts w:hint="eastAsia" w:ascii="Times New Roman" w:hAnsi="Times New Roman" w:eastAsia="宋体" w:cs="Times New Roman"/>
          <w:sz w:val="44"/>
          <w:szCs w:val="44"/>
        </w:rPr>
        <w:t>格式</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40</w:t>
      </w:r>
    </w:p>
    <w:p>
      <w:pPr>
        <w:pStyle w:val="15"/>
        <w:tabs>
          <w:tab w:val="right" w:leader="dot" w:pos="8834"/>
        </w:tabs>
        <w:spacing w:line="360" w:lineRule="auto"/>
        <w:rPr>
          <w:rFonts w:ascii="Times New Roman" w:hAnsi="Times New Roman" w:eastAsia="宋体" w:cs="Times New Roman"/>
          <w:sz w:val="44"/>
          <w:szCs w:val="44"/>
        </w:rPr>
        <w:sectPr>
          <w:headerReference r:id="rId3" w:type="default"/>
          <w:footerReference r:id="rId4" w:type="even"/>
          <w:pgSz w:w="11906" w:h="16838"/>
          <w:pgMar w:top="1558" w:right="1531" w:bottom="1246" w:left="1531" w:header="851" w:footer="851" w:gutter="0"/>
          <w:cols w:space="720" w:num="1"/>
          <w:docGrid w:linePitch="312" w:charSpace="0"/>
        </w:sectPr>
      </w:pPr>
      <w:r>
        <w:rPr>
          <w:rFonts w:ascii="Times New Roman" w:hAnsi="Times New Roman" w:eastAsia="宋体" w:cs="Times New Roman"/>
          <w:sz w:val="44"/>
          <w:szCs w:val="44"/>
        </w:rPr>
        <w:fldChar w:fldCharType="end"/>
      </w:r>
      <w:r>
        <w:rPr>
          <w:rFonts w:hint="eastAsia" w:ascii="Times New Roman" w:hAnsi="Times New Roman" w:eastAsia="宋体" w:cs="Times New Roman"/>
          <w:sz w:val="44"/>
          <w:szCs w:val="44"/>
        </w:rPr>
        <w:t xml:space="preserve"> </w:t>
      </w:r>
    </w:p>
    <w:p>
      <w:pPr>
        <w:pStyle w:val="10"/>
        <w:pageBreakBefore/>
        <w:adjustRightInd w:val="0"/>
        <w:snapToGrid w:val="0"/>
        <w:spacing w:before="120" w:after="120" w:line="460" w:lineRule="exact"/>
        <w:ind w:firstLine="769" w:firstLineChars="213"/>
        <w:jc w:val="center"/>
        <w:outlineLvl w:val="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第一</w:t>
      </w:r>
      <w:r>
        <w:rPr>
          <w:rFonts w:hint="eastAsia" w:asciiTheme="minorEastAsia" w:hAnsiTheme="minorEastAsia" w:eastAsiaTheme="minorEastAsia"/>
          <w:b/>
          <w:color w:val="000000" w:themeColor="text1"/>
          <w:sz w:val="36"/>
          <w:szCs w:val="36"/>
          <w:lang w:eastAsia="zh-CN"/>
          <w14:textFill>
            <w14:solidFill>
              <w14:schemeClr w14:val="tx1"/>
            </w14:solidFill>
          </w14:textFill>
        </w:rPr>
        <w:t>部分</w:t>
      </w:r>
      <w:r>
        <w:rPr>
          <w:rFonts w:hint="eastAsia" w:asciiTheme="minorEastAsia" w:hAnsiTheme="minorEastAsia" w:eastAsiaTheme="minorEastAsia"/>
          <w:b/>
          <w:color w:val="000000" w:themeColor="text1"/>
          <w:sz w:val="36"/>
          <w:szCs w:val="36"/>
          <w14:textFill>
            <w14:solidFill>
              <w14:schemeClr w14:val="tx1"/>
            </w14:solidFill>
          </w14:textFill>
        </w:rPr>
        <w:t xml:space="preserve">  竞争性磋商公告</w:t>
      </w:r>
    </w:p>
    <w:p>
      <w:pPr>
        <w:widowControl/>
        <w:pBdr>
          <w:top w:val="single" w:color="auto" w:sz="4" w:space="1"/>
          <w:left w:val="single" w:color="auto" w:sz="4" w:space="4"/>
          <w:bottom w:val="single" w:color="auto" w:sz="4" w:space="1"/>
          <w:right w:val="single" w:color="auto" w:sz="4" w:space="4"/>
        </w:pBdr>
        <w:snapToGrid w:val="0"/>
        <w:spacing w:line="460" w:lineRule="exact"/>
        <w:rPr>
          <w:rFonts w:asciiTheme="minorEastAsia" w:hAnsiTheme="minorEastAsia" w:eastAsiaTheme="minorEastAsia"/>
          <w:color w:val="000000" w:themeColor="text1"/>
          <w:spacing w:val="10"/>
          <w:kern w:val="0"/>
          <w:sz w:val="28"/>
          <w:szCs w:val="28"/>
          <w14:textFill>
            <w14:solidFill>
              <w14:schemeClr w14:val="tx1"/>
            </w14:solidFill>
          </w14:textFill>
        </w:rPr>
      </w:pPr>
      <w:r>
        <w:rPr>
          <w:rFonts w:asciiTheme="minorEastAsia" w:hAnsiTheme="minorEastAsia" w:eastAsiaTheme="minorEastAsia"/>
          <w:color w:val="000000" w:themeColor="text1"/>
          <w:spacing w:val="10"/>
          <w:kern w:val="0"/>
          <w:sz w:val="28"/>
          <w:szCs w:val="28"/>
          <w14:textFill>
            <w14:solidFill>
              <w14:schemeClr w14:val="tx1"/>
            </w14:solidFill>
          </w14:textFill>
        </w:rPr>
        <w:t>项目概况</w:t>
      </w:r>
    </w:p>
    <w:p>
      <w:pPr>
        <w:pStyle w:val="24"/>
        <w:widowControl w:val="0"/>
        <w:pBdr>
          <w:top w:val="single" w:color="auto" w:sz="4" w:space="1"/>
          <w:left w:val="single" w:color="auto" w:sz="4" w:space="4"/>
          <w:bottom w:val="single" w:color="auto" w:sz="4" w:space="1"/>
          <w:right w:val="single" w:color="auto" w:sz="4" w:space="4"/>
        </w:pBdr>
        <w:spacing w:afterLines="0" w:line="460" w:lineRule="exact"/>
        <w:ind w:firstLine="6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pacing w:val="10"/>
          <w:sz w:val="28"/>
          <w:szCs w:val="28"/>
          <w:lang w:eastAsia="zh-CN"/>
          <w14:textFill>
            <w14:solidFill>
              <w14:schemeClr w14:val="tx1"/>
            </w14:solidFill>
          </w14:textFill>
        </w:rPr>
        <w:t>陵川县全域视频监控提质改造设施升级项目（链路）</w:t>
      </w:r>
      <w:r>
        <w:rPr>
          <w:rFonts w:asciiTheme="minorEastAsia" w:hAnsiTheme="minorEastAsia" w:eastAsiaTheme="minorEastAsia"/>
          <w:color w:val="000000" w:themeColor="text1"/>
          <w:spacing w:val="10"/>
          <w:sz w:val="28"/>
          <w:szCs w:val="28"/>
          <w14:textFill>
            <w14:solidFill>
              <w14:schemeClr w14:val="tx1"/>
            </w14:solidFill>
          </w14:textFill>
        </w:rPr>
        <w:t>的潜在供应商应</w:t>
      </w:r>
      <w:r>
        <w:rPr>
          <w:rFonts w:hint="eastAsia" w:asciiTheme="minorEastAsia" w:hAnsiTheme="minorEastAsia" w:eastAsiaTheme="minorEastAsia"/>
          <w:color w:val="000000" w:themeColor="text1"/>
          <w:spacing w:val="10"/>
          <w:sz w:val="28"/>
          <w:szCs w:val="28"/>
          <w14:textFill>
            <w14:solidFill>
              <w14:schemeClr w14:val="tx1"/>
            </w14:solidFill>
          </w14:textFill>
        </w:rPr>
        <w:t>登录山西省政府采购信息平台（http://www.ccgp-shanxi.gov.cn/home.html</w:t>
      </w:r>
      <w:r>
        <w:rPr>
          <w:rFonts w:asciiTheme="minorEastAsia" w:hAnsiTheme="minorEastAsia" w:eastAsiaTheme="minorEastAsia"/>
          <w:color w:val="000000" w:themeColor="text1"/>
          <w:spacing w:val="10"/>
          <w:sz w:val="28"/>
          <w:szCs w:val="28"/>
          <w14:textFill>
            <w14:solidFill>
              <w14:schemeClr w14:val="tx1"/>
            </w14:solidFill>
          </w14:textFill>
        </w:rPr>
        <w:t>）获取</w:t>
      </w:r>
      <w:r>
        <w:rPr>
          <w:rFonts w:hint="eastAsia" w:asciiTheme="minorEastAsia" w:hAnsiTheme="minorEastAsia" w:eastAsiaTheme="minorEastAsia"/>
          <w:color w:val="000000" w:themeColor="text1"/>
          <w:spacing w:val="10"/>
          <w:sz w:val="28"/>
          <w:szCs w:val="28"/>
          <w14:textFill>
            <w14:solidFill>
              <w14:schemeClr w14:val="tx1"/>
            </w14:solidFill>
          </w14:textFill>
        </w:rPr>
        <w:t>电子磋商</w:t>
      </w:r>
      <w:r>
        <w:rPr>
          <w:rFonts w:asciiTheme="minorEastAsia" w:hAnsiTheme="minorEastAsia" w:eastAsiaTheme="minorEastAsia"/>
          <w:color w:val="000000" w:themeColor="text1"/>
          <w:spacing w:val="10"/>
          <w:sz w:val="28"/>
          <w:szCs w:val="28"/>
          <w14:textFill>
            <w14:solidFill>
              <w14:schemeClr w14:val="tx1"/>
            </w14:solidFill>
          </w14:textFill>
        </w:rPr>
        <w:t>文件</w:t>
      </w:r>
      <w:r>
        <w:rPr>
          <w:rFonts w:hint="eastAsia" w:asciiTheme="minorEastAsia" w:hAnsiTheme="minorEastAsia" w:eastAsiaTheme="minorEastAsia"/>
          <w:color w:val="000000" w:themeColor="text1"/>
          <w:spacing w:val="10"/>
          <w:sz w:val="28"/>
          <w:szCs w:val="28"/>
          <w14:textFill>
            <w14:solidFill>
              <w14:schemeClr w14:val="tx1"/>
            </w14:solidFill>
          </w14:textFill>
        </w:rPr>
        <w:t>，使用投标文件编制工具编制电子响应文件，并于</w:t>
      </w:r>
      <w:r>
        <w:rPr>
          <w:rFonts w:hint="eastAsia" w:asciiTheme="minorEastAsia" w:hAnsiTheme="minorEastAsia" w:eastAsiaTheme="minorEastAsia"/>
          <w:color w:val="auto"/>
          <w:spacing w:val="10"/>
          <w:sz w:val="28"/>
          <w:szCs w:val="28"/>
          <w:lang w:eastAsia="zh-CN"/>
        </w:rPr>
        <w:t>2026年</w:t>
      </w:r>
      <w:r>
        <w:rPr>
          <w:rFonts w:hint="eastAsia" w:asciiTheme="minorEastAsia" w:hAnsiTheme="minorEastAsia" w:eastAsiaTheme="minorEastAsia"/>
          <w:color w:val="auto"/>
          <w:spacing w:val="10"/>
          <w:sz w:val="28"/>
          <w:szCs w:val="28"/>
          <w:lang w:val="en-US" w:eastAsia="zh-CN"/>
        </w:rPr>
        <w:t>4月17日上午</w:t>
      </w:r>
      <w:r>
        <w:rPr>
          <w:rFonts w:hint="eastAsia" w:asciiTheme="minorEastAsia" w:hAnsiTheme="minorEastAsia" w:eastAsiaTheme="minorEastAsia"/>
          <w:color w:val="auto"/>
          <w:spacing w:val="10"/>
          <w:sz w:val="28"/>
          <w:szCs w:val="28"/>
          <w:lang w:eastAsia="zh-CN"/>
        </w:rPr>
        <w:t>1</w:t>
      </w:r>
      <w:r>
        <w:rPr>
          <w:rFonts w:hint="eastAsia" w:asciiTheme="minorEastAsia" w:hAnsiTheme="minorEastAsia" w:eastAsiaTheme="minorEastAsia"/>
          <w:color w:val="auto"/>
          <w:spacing w:val="10"/>
          <w:sz w:val="28"/>
          <w:szCs w:val="28"/>
          <w:lang w:val="en-US" w:eastAsia="zh-CN"/>
        </w:rPr>
        <w:t>0</w:t>
      </w:r>
      <w:r>
        <w:rPr>
          <w:rFonts w:hint="eastAsia" w:asciiTheme="minorEastAsia" w:hAnsiTheme="minorEastAsia" w:eastAsiaTheme="minorEastAsia"/>
          <w:color w:val="auto"/>
          <w:spacing w:val="10"/>
          <w:sz w:val="28"/>
          <w:szCs w:val="28"/>
          <w:lang w:eastAsia="zh-CN"/>
        </w:rPr>
        <w:t>:00:00</w:t>
      </w:r>
      <w:r>
        <w:rPr>
          <w:rFonts w:hint="eastAsia" w:asciiTheme="minorEastAsia" w:hAnsiTheme="minorEastAsia" w:eastAsiaTheme="minorEastAsia"/>
          <w:color w:val="000000" w:themeColor="text1"/>
          <w:spacing w:val="10"/>
          <w:sz w:val="28"/>
          <w:szCs w:val="28"/>
          <w14:textFill>
            <w14:solidFill>
              <w14:schemeClr w14:val="tx1"/>
            </w14:solidFill>
          </w14:textFill>
        </w:rPr>
        <w:t>（北京时间）前递交响应文件。</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bookmarkStart w:id="2" w:name="_Toc28359089"/>
      <w:bookmarkStart w:id="3" w:name="_Toc35393798"/>
      <w:bookmarkStart w:id="4" w:name="_Toc28359012"/>
      <w:bookmarkStart w:id="5" w:name="_Toc35393629"/>
      <w:r>
        <w:rPr>
          <w:rFonts w:hint="eastAsia" w:ascii="宋体" w:hAnsi="宋体" w:eastAsia="宋体" w:cs="宋体"/>
          <w:b/>
          <w:bCs/>
          <w:sz w:val="24"/>
          <w:szCs w:val="24"/>
          <w:lang w:eastAsia="zh-CN"/>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r>
        <w:rPr>
          <w:rFonts w:hint="eastAsia" w:ascii="宋体" w:hAnsi="宋体" w:cs="宋体"/>
          <w:sz w:val="24"/>
          <w:szCs w:val="24"/>
          <w:lang w:eastAsia="zh-CN"/>
        </w:rPr>
        <w:t>1405242026CCS00018</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陵川县全域视频监控提质改造设施升级项目（链路）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2410300</w:t>
      </w:r>
      <w:r>
        <w:rPr>
          <w:rFonts w:hint="eastAsia" w:ascii="宋体" w:hAnsi="宋体" w:eastAsia="宋体" w:cs="宋体"/>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eastAsia="zh-CN"/>
        </w:rPr>
        <w:t>需求</w:t>
      </w:r>
      <w:r>
        <w:rPr>
          <w:rFonts w:hint="eastAsia" w:ascii="宋体" w:hAnsi="宋体" w:eastAsia="宋体" w:cs="宋体"/>
          <w:sz w:val="24"/>
          <w:szCs w:val="24"/>
        </w:rPr>
        <w:t>：</w:t>
      </w:r>
      <w:r>
        <w:rPr>
          <w:rFonts w:hint="eastAsia" w:ascii="宋体" w:hAnsi="宋体" w:eastAsia="宋体" w:cs="宋体"/>
          <w:sz w:val="24"/>
          <w:szCs w:val="24"/>
          <w:lang w:eastAsia="zh-CN"/>
        </w:rPr>
        <w:t>详见第四部分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注：涉及货物部分未特别标注为“进口产品”字样的，均必须采购国产产品。所采购的货物、服务必须符合国家的强制性标准。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w:t>
      </w:r>
      <w:r>
        <w:rPr>
          <w:rFonts w:hint="eastAsia" w:ascii="宋体" w:hAnsi="宋体" w:cs="宋体"/>
          <w:sz w:val="24"/>
          <w:szCs w:val="24"/>
          <w:lang w:val="en-US" w:eastAsia="zh-CN"/>
        </w:rPr>
        <w:t>签订合同后1年</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以下内容提供《政府集中采购供应商信用承诺书》</w:t>
      </w:r>
      <w:r>
        <w:rPr>
          <w:rFonts w:hint="eastAsia" w:ascii="宋体" w:hAnsi="宋体" w:eastAsia="宋体" w:cs="宋体"/>
          <w:sz w:val="24"/>
          <w:szCs w:val="24"/>
          <w:lang w:val="en-US" w:eastAsia="zh-CN"/>
        </w:rPr>
        <w:t>（详见招标文件“第八部分 投标文件内容要求及格式”）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3.落实政府采购政策需满足的资格要求：本项目属于不专门面向中小企业采购项目，本项目所属行业类别：信息技术服务业。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4.本项目的特定资格要求：</w:t>
      </w:r>
      <w:r>
        <w:rPr>
          <w:rFonts w:hint="eastAsia" w:ascii="宋体" w:hAnsi="宋体" w:cs="宋体"/>
          <w:sz w:val="24"/>
          <w:szCs w:val="24"/>
          <w:lang w:val="en-US" w:eastAsia="zh-CN"/>
        </w:rPr>
        <w:t>供应商需具备基础电信业务经营许可证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、本包是否接受联合体投标：否</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三、响应方式及磋商方式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响应方式：本项目无需递交纸质版响应文件，采用网上提交电子响应文件的方式进行。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磋商方式：本项目采用网上磋商的方式进行，依据上传至系统的响应文件</w:t>
      </w:r>
      <w:r>
        <w:rPr>
          <w:rFonts w:hint="eastAsia" w:ascii="宋体" w:hAnsi="宋体" w:cs="宋体"/>
          <w:sz w:val="24"/>
          <w:szCs w:val="24"/>
          <w:lang w:val="en-US" w:eastAsia="zh-CN"/>
        </w:rPr>
        <w:t>进</w:t>
      </w:r>
      <w:r>
        <w:rPr>
          <w:rFonts w:hint="eastAsia" w:ascii="宋体" w:hAnsi="宋体" w:eastAsia="宋体" w:cs="宋体"/>
          <w:sz w:val="24"/>
          <w:szCs w:val="24"/>
          <w:lang w:val="en-US" w:eastAsia="zh-CN"/>
        </w:rPr>
        <w:t>行磋商，因不可抗因素导致业务执行系统无法正常运行时，集采机构将等待系统恢复正常后继续进行磋商。系统不能及时恢复正常时，集采机构将封标，待系统恢复正常后继续或重新进行磋商。</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四、获取磋商文件的时间、地点、方式：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1、获取时间：</w:t>
      </w:r>
      <w:r>
        <w:rPr>
          <w:rFonts w:hint="eastAsia" w:ascii="宋体" w:hAnsi="宋体" w:cs="宋体"/>
          <w:color w:val="auto"/>
          <w:sz w:val="24"/>
          <w:szCs w:val="24"/>
          <w:lang w:val="en-US" w:eastAsia="zh-CN"/>
        </w:rPr>
        <w:t>2026年4月6日</w:t>
      </w:r>
      <w:r>
        <w:rPr>
          <w:rFonts w:hint="eastAsia" w:ascii="宋体" w:hAnsi="宋体" w:eastAsia="宋体" w:cs="宋体"/>
          <w:color w:val="auto"/>
          <w:sz w:val="24"/>
          <w:szCs w:val="24"/>
          <w:lang w:val="en-US" w:eastAsia="zh-CN"/>
        </w:rPr>
        <w:t>至</w:t>
      </w:r>
      <w:r>
        <w:rPr>
          <w:rFonts w:hint="eastAsia" w:ascii="宋体" w:hAnsi="宋体" w:cs="宋体"/>
          <w:color w:val="auto"/>
          <w:sz w:val="24"/>
          <w:szCs w:val="24"/>
          <w:lang w:val="en-US" w:eastAsia="zh-CN"/>
        </w:rPr>
        <w:t>2026年4月13日</w:t>
      </w:r>
      <w:r>
        <w:rPr>
          <w:rFonts w:hint="eastAsia" w:ascii="宋体" w:hAnsi="宋体" w:eastAsia="宋体" w:cs="宋体"/>
          <w:color w:val="auto"/>
          <w:sz w:val="24"/>
          <w:szCs w:val="24"/>
          <w:lang w:val="en-US" w:eastAsia="zh-CN"/>
        </w:rPr>
        <w:t>，每天上午0</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:00~12:00，</w:t>
      </w:r>
      <w:r>
        <w:rPr>
          <w:rFonts w:hint="eastAsia" w:ascii="宋体" w:hAnsi="宋体" w:cs="宋体"/>
          <w:color w:val="auto"/>
          <w:sz w:val="24"/>
          <w:szCs w:val="24"/>
          <w:lang w:val="en-US" w:eastAsia="zh-CN"/>
        </w:rPr>
        <w:t>上午</w:t>
      </w:r>
      <w:r>
        <w:rPr>
          <w:rFonts w:hint="eastAsia" w:ascii="宋体" w:hAnsi="宋体" w:eastAsia="宋体" w:cs="宋体"/>
          <w:color w:val="auto"/>
          <w:sz w:val="24"/>
          <w:szCs w:val="24"/>
          <w:lang w:val="en-US" w:eastAsia="zh-CN"/>
        </w:rPr>
        <w:t>12:00~</w:t>
      </w:r>
      <w:r>
        <w:rPr>
          <w:rFonts w:hint="eastAsia" w:ascii="宋体" w:hAnsi="宋体" w:cs="宋体"/>
          <w:color w:val="auto"/>
          <w:sz w:val="24"/>
          <w:szCs w:val="24"/>
          <w:lang w:val="en-US" w:eastAsia="zh-CN"/>
        </w:rPr>
        <w:t>23：59</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2、获取方式：本项目实行网上报名，不接受现场报名。供应商登录山西省政府采购信息平台（</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"http://www.ccgp-shanxi.gov.cn/home.html"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http://www.ccgp-shanxi.gov.cn/home.html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）自行下载招标文件。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《供应商网上报名操作指南》网址：山西省政府采购信息平台， （http://www.ccgp-shanxi.gov.cn/sxCategory15/sxCategory201/index.html）。</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3、磋商文件售价：0元，文件请至公告附件处下载。</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五、磋商保证金：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磋商保证金（人民币）：0</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六、磋商响应文件递交截止时间（磋商开启时间）和地点：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电子响应文件须使用系统提供的投标文件编制工具编制完成，截止时间</w:t>
      </w:r>
      <w:r>
        <w:rPr>
          <w:rFonts w:hint="eastAsia" w:ascii="宋体" w:hAnsi="宋体" w:cs="宋体"/>
          <w:color w:val="auto"/>
          <w:sz w:val="24"/>
          <w:szCs w:val="24"/>
          <w:lang w:val="en-US" w:eastAsia="zh-CN"/>
        </w:rPr>
        <w:t>2026年4月17日上午10:00</w:t>
      </w:r>
      <w:r>
        <w:rPr>
          <w:rFonts w:hint="eastAsia" w:ascii="宋体" w:hAnsi="宋体" w:eastAsia="宋体" w:cs="宋体"/>
          <w:color w:val="auto"/>
          <w:sz w:val="24"/>
          <w:szCs w:val="24"/>
          <w:lang w:val="en-US" w:eastAsia="zh-CN"/>
        </w:rPr>
        <w:t>:00</w:t>
      </w:r>
      <w:r>
        <w:rPr>
          <w:rFonts w:hint="eastAsia" w:ascii="宋体" w:hAnsi="宋体" w:eastAsia="宋体" w:cs="宋体"/>
          <w:sz w:val="24"/>
          <w:szCs w:val="24"/>
          <w:lang w:val="en-US" w:eastAsia="zh-CN"/>
        </w:rPr>
        <w:t>（北京时间）前在山西省政府采购信息平台（http://www.ccgp-shanxi.gov.cn/home.html）中完成递交（上传），截止时间前未完成响应文件上传的，视为撤回响应文件，供应商自行承担责任。</w:t>
      </w:r>
    </w:p>
    <w:p>
      <w:pPr>
        <w:keepNext w:val="0"/>
        <w:keepLines w:val="0"/>
        <w:pageBreakBefore w:val="0"/>
        <w:widowControl w:val="0"/>
        <w:kinsoku/>
        <w:wordWrap/>
        <w:overflowPunct/>
        <w:topLinePunct w:val="0"/>
        <w:autoSpaceDE/>
        <w:autoSpaceDN/>
        <w:bidi w:val="0"/>
        <w:adjustRightInd/>
        <w:snapToGrid/>
        <w:spacing w:line="600" w:lineRule="exact"/>
        <w:ind w:firstLine="481"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七、对本次磋商采购提出询问，请按以下方式联系。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cs="宋体"/>
          <w:sz w:val="24"/>
          <w:szCs w:val="24"/>
          <w:lang w:val="en-US" w:eastAsia="zh-CN"/>
        </w:rPr>
        <w:t>陵川县公安局</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cs="宋体"/>
          <w:sz w:val="24"/>
          <w:szCs w:val="24"/>
          <w:lang w:val="en-US" w:eastAsia="zh-CN"/>
        </w:rPr>
        <w:t>陵川县公安局</w:t>
      </w:r>
      <w:r>
        <w:rPr>
          <w:rFonts w:hint="eastAsia" w:ascii="宋体" w:hAnsi="宋体" w:eastAsia="宋体" w:cs="宋体"/>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宋体" w:hAnsi="宋体" w:cs="宋体"/>
          <w:color w:val="auto"/>
          <w:sz w:val="24"/>
          <w:szCs w:val="24"/>
          <w:lang w:val="en-US" w:eastAsia="zh-CN"/>
        </w:rPr>
        <w:t>0356-6206112</w:t>
      </w:r>
      <w:r>
        <w:rPr>
          <w:rFonts w:hint="eastAsia" w:ascii="宋体" w:hAnsi="宋体" w:eastAsia="宋体" w:cs="宋体"/>
          <w:color w:val="auto"/>
          <w:sz w:val="24"/>
          <w:szCs w:val="24"/>
          <w:lang w:val="en-US" w:eastAsia="zh-CN"/>
        </w:rPr>
        <w:t>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采购代理机构信息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名称：陵川县政府采购中心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地址：陵川县公共资源交易中心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联系方式：0356-6207371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3.项目联系方式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项目联系人：赵女士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b/>
          <w:bCs/>
          <w:color w:val="000000" w:themeColor="text1"/>
          <w:kern w:val="0"/>
          <w:sz w:val="36"/>
          <w:szCs w:val="36"/>
          <w14:textFill>
            <w14:solidFill>
              <w14:schemeClr w14:val="tx1"/>
            </w14:solidFill>
          </w14:textFill>
        </w:rPr>
        <w:sectPr>
          <w:headerReference r:id="rId5" w:type="default"/>
          <w:footerReference r:id="rId6" w:type="default"/>
          <w:pgSz w:w="11906" w:h="16838"/>
          <w:pgMar w:top="1558" w:right="1531" w:bottom="1246" w:left="1531" w:header="851" w:footer="851" w:gutter="0"/>
          <w:pgNumType w:start="1"/>
          <w:cols w:space="720" w:num="1"/>
          <w:docGrid w:linePitch="312" w:charSpace="0"/>
        </w:sectPr>
      </w:pPr>
      <w:r>
        <w:rPr>
          <w:rFonts w:hint="eastAsia" w:ascii="宋体" w:hAnsi="宋体" w:eastAsia="宋体" w:cs="宋体"/>
          <w:sz w:val="24"/>
          <w:szCs w:val="24"/>
          <w:lang w:val="en-US" w:eastAsia="zh-CN"/>
        </w:rPr>
        <w:t xml:space="preserve">电话：0356-6207371　　　　　　　　               </w:t>
      </w:r>
      <w:r>
        <w:rPr>
          <w:rFonts w:hint="eastAsia" w:asciiTheme="minorEastAsia" w:hAnsiTheme="minorEastAsia" w:eastAsiaTheme="minorEastAsia"/>
          <w:b/>
          <w:bCs/>
          <w:color w:val="000000" w:themeColor="text1"/>
          <w:kern w:val="0"/>
          <w:sz w:val="36"/>
          <w:szCs w:val="36"/>
          <w14:textFill>
            <w14:solidFill>
              <w14:schemeClr w14:val="tx1"/>
            </w14:solidFill>
          </w14:textFill>
        </w:rPr>
        <w:t xml:space="preserve">                         </w:t>
      </w:r>
    </w:p>
    <w:p>
      <w:pPr>
        <w:pStyle w:val="3"/>
        <w:pageBreakBefore w:val="0"/>
        <w:kinsoku/>
        <w:wordWrap/>
        <w:overflowPunct/>
        <w:topLinePunct w:val="0"/>
        <w:bidi w:val="0"/>
        <w:spacing w:line="500" w:lineRule="exact"/>
        <w:ind w:right="0" w:rightChars="0"/>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第二部分  磋商供应商须知前附表</w:t>
      </w:r>
    </w:p>
    <w:tbl>
      <w:tblPr>
        <w:tblStyle w:val="21"/>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070"/>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序号</w:t>
            </w:r>
          </w:p>
        </w:tc>
        <w:tc>
          <w:tcPr>
            <w:tcW w:w="2070"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内容</w:t>
            </w:r>
          </w:p>
        </w:tc>
        <w:tc>
          <w:tcPr>
            <w:tcW w:w="6285" w:type="dxa"/>
            <w:vAlign w:val="center"/>
          </w:tcPr>
          <w:p>
            <w:pPr>
              <w:pStyle w:val="10"/>
              <w:pageBreakBefore w:val="0"/>
              <w:kinsoku/>
              <w:wordWrap/>
              <w:overflowPunct/>
              <w:topLinePunct w:val="0"/>
              <w:bidi w:val="0"/>
              <w:snapToGrid w:val="0"/>
              <w:spacing w:beforeLines="0" w:afterLines="0" w:line="500" w:lineRule="exact"/>
              <w:ind w:right="0" w:rightChars="0"/>
              <w:jc w:val="center"/>
              <w:rPr>
                <w:rFonts w:hint="eastAsia" w:ascii="华文中宋" w:hAnsi="华文中宋" w:eastAsia="华文中宋" w:cs="华文中宋"/>
                <w:b/>
                <w:color w:val="auto"/>
                <w:highlight w:val="none"/>
              </w:rPr>
            </w:pPr>
            <w:r>
              <w:rPr>
                <w:rFonts w:hint="eastAsia" w:ascii="华文中宋" w:hAnsi="华文中宋" w:eastAsia="华文中宋" w:cs="华文中宋"/>
                <w:b/>
                <w:color w:val="auto"/>
                <w:kern w:val="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1</w:t>
            </w:r>
          </w:p>
        </w:tc>
        <w:tc>
          <w:tcPr>
            <w:tcW w:w="2070" w:type="dxa"/>
            <w:vAlign w:val="center"/>
          </w:tcPr>
          <w:p>
            <w:pPr>
              <w:pStyle w:val="26"/>
              <w:pageBreakBefore w:val="0"/>
              <w:tabs>
                <w:tab w:val="clear" w:pos="2880"/>
              </w:tabs>
              <w:kinsoku/>
              <w:wordWrap/>
              <w:overflowPunct/>
              <w:topLinePunct w:val="0"/>
              <w:bidi w:val="0"/>
              <w:snapToGrid w:val="0"/>
              <w:spacing w:before="0" w:after="0" w:line="500" w:lineRule="exact"/>
              <w:ind w:left="0" w:right="0" w:rightChars="0" w:firstLine="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磋商供应商应具备的资格要求</w:t>
            </w:r>
          </w:p>
        </w:tc>
        <w:tc>
          <w:tcPr>
            <w:tcW w:w="6285" w:type="dxa"/>
            <w:vAlign w:val="center"/>
          </w:tcPr>
          <w:p>
            <w:pPr>
              <w:pageBreakBefore w:val="0"/>
              <w:kinsoku/>
              <w:wordWrap/>
              <w:overflowPunct/>
              <w:topLinePunct w:val="0"/>
              <w:bidi w:val="0"/>
              <w:spacing w:line="500" w:lineRule="exact"/>
              <w:ind w:right="0" w:rightChars="0"/>
              <w:jc w:val="both"/>
              <w:rPr>
                <w:rFonts w:hint="eastAsia"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pPr>
              <w:pageBreakBefore w:val="0"/>
              <w:kinsoku/>
              <w:wordWrap/>
              <w:overflowPunct/>
              <w:topLinePunct w:val="0"/>
              <w:bidi w:val="0"/>
              <w:spacing w:line="500" w:lineRule="exact"/>
              <w:ind w:right="0" w:rightChars="0"/>
              <w:jc w:val="both"/>
              <w:rPr>
                <w:rFonts w:hint="eastAsia" w:ascii="华文中宋" w:hAnsi="华文中宋" w:eastAsia="华文中宋" w:cs="华文中宋"/>
                <w:szCs w:val="21"/>
              </w:rPr>
            </w:pPr>
            <w:r>
              <w:rPr>
                <w:rFonts w:hint="eastAsia" w:ascii="华文中宋" w:hAnsi="华文中宋" w:eastAsia="华文中宋" w:cs="华文中宋"/>
                <w:szCs w:val="21"/>
              </w:rPr>
              <w:t>2．本包是否接受联合体：否</w:t>
            </w:r>
          </w:p>
          <w:p>
            <w:pPr>
              <w:pageBreakBefore w:val="0"/>
              <w:widowControl w:val="0"/>
              <w:kinsoku/>
              <w:wordWrap/>
              <w:overflowPunct/>
              <w:topLinePunct w:val="0"/>
              <w:bidi w:val="0"/>
              <w:spacing w:line="500" w:lineRule="exact"/>
              <w:ind w:right="0" w:rightChars="0"/>
              <w:jc w:val="both"/>
              <w:rPr>
                <w:rFonts w:hint="default"/>
                <w:color w:val="auto"/>
                <w:lang w:val="en-US" w:eastAsia="zh-CN"/>
              </w:rPr>
            </w:pPr>
            <w:r>
              <w:rPr>
                <w:rFonts w:hint="eastAsia" w:ascii="华文中宋" w:hAnsi="华文中宋" w:eastAsia="华文中宋" w:cs="华文中宋"/>
                <w:kern w:val="2"/>
                <w:sz w:val="21"/>
                <w:szCs w:val="21"/>
                <w:lang w:val="en-US" w:eastAsia="zh-CN" w:bidi="ar-SA"/>
              </w:rPr>
              <w:t>3．本项目所需的其他特定资格条件：供应商需具备基础电信业务经营许可证。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638"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rPr>
              <w:t>2</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rPr>
              <w:t>响应文件</w:t>
            </w:r>
          </w:p>
        </w:tc>
        <w:tc>
          <w:tcPr>
            <w:tcW w:w="6285" w:type="dxa"/>
            <w:vAlign w:val="center"/>
          </w:tcPr>
          <w:p>
            <w:pPr>
              <w:pStyle w:val="27"/>
              <w:pageBreakBefore w:val="0"/>
              <w:kinsoku/>
              <w:wordWrap/>
              <w:overflowPunct/>
              <w:topLinePunct w:val="0"/>
              <w:bidi w:val="0"/>
              <w:adjustRightInd w:val="0"/>
              <w:snapToGrid w:val="0"/>
              <w:spacing w:line="500" w:lineRule="exact"/>
              <w:ind w:left="0" w:leftChars="0" w:right="0" w:rightChars="0" w:firstLine="0" w:firstLineChars="0"/>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b/>
                <w:bCs/>
                <w:color w:val="auto"/>
                <w:highlight w:val="none"/>
              </w:rPr>
              <w:t>电子响应文件（网上递交）：</w:t>
            </w:r>
            <w:r>
              <w:rPr>
                <w:rFonts w:hint="eastAsia" w:ascii="华文中宋" w:hAnsi="华文中宋" w:eastAsia="华文中宋" w:cs="华文中宋"/>
                <w:color w:val="auto"/>
                <w:highlight w:val="none"/>
              </w:rPr>
              <w:t>供应商上传一份经供应商单位CA数字证书加密的响应文件至“山西政府采购平台”。因供应商自身原因而导致响应文件无法导入“山西政府采购平台”电子开标、评标系统，该投标视为无效投标，供应商自行承担由此导致的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3</w:t>
            </w:r>
          </w:p>
        </w:tc>
        <w:tc>
          <w:tcPr>
            <w:tcW w:w="2070" w:type="dxa"/>
            <w:vAlign w:val="center"/>
          </w:tcPr>
          <w:p>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（资格证明文件）</w:t>
            </w:r>
          </w:p>
        </w:tc>
        <w:tc>
          <w:tcPr>
            <w:tcW w:w="6285" w:type="dxa"/>
            <w:vAlign w:val="center"/>
          </w:tcPr>
          <w:p>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代表证明</w:t>
            </w:r>
          </w:p>
          <w:p>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kern w:val="2"/>
                <w:sz w:val="21"/>
                <w:szCs w:val="24"/>
                <w:highlight w:val="none"/>
                <w:lang w:val="en-US" w:eastAsia="zh-CN" w:bidi="ar-SA"/>
              </w:rPr>
              <w:t xml:space="preserve">1）法定代表人（负责人）参加投标的，提供“法定代表人（负责人）证明书”； </w:t>
            </w:r>
          </w:p>
          <w:p>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kern w:val="2"/>
                <w:sz w:val="21"/>
                <w:szCs w:val="24"/>
                <w:highlight w:val="none"/>
                <w:lang w:val="en-US" w:eastAsia="zh-CN" w:bidi="ar-SA"/>
              </w:rPr>
              <w:t>（2）委托代理人参加投标的，提供“法定代表人（负责人）证明书、法定代表人（负责人）授权委托书”；</w:t>
            </w:r>
          </w:p>
          <w:p>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kern w:val="2"/>
                <w:sz w:val="21"/>
                <w:szCs w:val="24"/>
                <w:highlight w:val="none"/>
                <w:lang w:val="en-US" w:eastAsia="zh-CN" w:bidi="ar-SA"/>
              </w:rPr>
              <w:t>（3）自然人参加投标的，提供个人身份证明扫描件；（ 格式见第八部分）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2、响应函</w:t>
            </w:r>
            <w:r>
              <w:rPr>
                <w:rFonts w:hint="eastAsia" w:ascii="宋体" w:hAnsi="宋体" w:eastAsia="宋体" w:cs="宋体"/>
                <w:color w:val="auto"/>
                <w:szCs w:val="21"/>
                <w:highlight w:val="none"/>
              </w:rPr>
              <w:t xml:space="preserve"> </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3、《政府采购</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信用承诺书》（格式见第八部分）</w:t>
            </w:r>
          </w:p>
          <w:p>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、本项目其他特定资格条件</w:t>
            </w:r>
          </w:p>
          <w:p>
            <w:pPr>
              <w:pageBreakBefore w:val="0"/>
              <w:kinsoku/>
              <w:wordWrap/>
              <w:overflowPunct/>
              <w:topLinePunct w:val="0"/>
              <w:bidi w:val="0"/>
              <w:adjustRightInd w:val="0"/>
              <w:snapToGrid w:val="0"/>
              <w:spacing w:line="500" w:lineRule="exact"/>
              <w:ind w:left="2" w:leftChars="1" w:right="0" w:rightChars="0" w:firstLine="426" w:firstLineChars="203"/>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按照本部分序号1“</w:t>
            </w:r>
            <w:r>
              <w:rPr>
                <w:rFonts w:hint="eastAsia" w:ascii="宋体" w:hAnsi="宋体" w:eastAsia="宋体" w:cs="宋体"/>
                <w:bCs/>
                <w:color w:val="auto"/>
                <w:szCs w:val="21"/>
                <w:highlight w:val="none"/>
              </w:rPr>
              <w:t>其他特定资格条件</w:t>
            </w:r>
            <w:r>
              <w:rPr>
                <w:rFonts w:hint="eastAsia" w:ascii="宋体" w:hAnsi="宋体" w:eastAsia="宋体" w:cs="宋体"/>
                <w:color w:val="auto"/>
                <w:szCs w:val="21"/>
                <w:highlight w:val="none"/>
              </w:rPr>
              <w:t>”规定提交相关证明文件；</w:t>
            </w:r>
          </w:p>
          <w:p>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、基本存款账户开户许可证</w:t>
            </w:r>
          </w:p>
          <w:p>
            <w:pPr>
              <w:pageBreakBefore w:val="0"/>
              <w:kinsoku/>
              <w:wordWrap/>
              <w:overflowPunct/>
              <w:topLinePunct w:val="0"/>
              <w:bidi w:val="0"/>
              <w:adjustRightInd w:val="0"/>
              <w:snapToGrid w:val="0"/>
              <w:spacing w:line="500" w:lineRule="exact"/>
              <w:ind w:left="2" w:leftChars="1" w:right="0" w:rightChars="0" w:firstLine="426" w:firstLineChars="203"/>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投标单位</w:t>
            </w:r>
            <w:r>
              <w:rPr>
                <w:rFonts w:hint="eastAsia" w:ascii="宋体" w:hAnsi="宋体" w:eastAsia="宋体" w:cs="宋体"/>
                <w:color w:val="auto"/>
                <w:szCs w:val="21"/>
                <w:highlight w:val="none"/>
              </w:rPr>
              <w:t>基本存款账户开户许可证（或基本存款账户信息）。</w:t>
            </w:r>
          </w:p>
          <w:p>
            <w:pPr>
              <w:pageBreakBefore w:val="0"/>
              <w:kinsoku/>
              <w:wordWrap/>
              <w:overflowPunct/>
              <w:topLinePunct w:val="0"/>
              <w:bidi w:val="0"/>
              <w:spacing w:line="500" w:lineRule="exact"/>
              <w:ind w:right="0" w:rightChars="0" w:firstLine="421" w:firstLineChars="200"/>
              <w:jc w:val="both"/>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本项目将根据投标单位提供的上述文件进行资格审查，具体资格审查内容及标准见第五部分。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4</w:t>
            </w:r>
          </w:p>
        </w:tc>
        <w:tc>
          <w:tcPr>
            <w:tcW w:w="2070" w:type="dxa"/>
            <w:vAlign w:val="center"/>
          </w:tcPr>
          <w:p>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（商务服务文件）</w:t>
            </w:r>
          </w:p>
        </w:tc>
        <w:tc>
          <w:tcPr>
            <w:tcW w:w="6285" w:type="dxa"/>
            <w:vAlign w:val="center"/>
          </w:tcPr>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1、开标报价一览表；</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2、对商务</w:t>
            </w:r>
            <w:r>
              <w:rPr>
                <w:rFonts w:hint="eastAsia" w:ascii="宋体" w:hAnsi="宋体" w:eastAsia="宋体" w:cs="宋体"/>
                <w:b/>
                <w:color w:val="auto"/>
                <w:szCs w:val="21"/>
                <w:highlight w:val="none"/>
                <w:lang w:val="en-US" w:eastAsia="zh-CN"/>
              </w:rPr>
              <w:t>资信</w:t>
            </w:r>
            <w:r>
              <w:rPr>
                <w:rFonts w:hint="eastAsia" w:ascii="宋体" w:hAnsi="宋体" w:eastAsia="宋体" w:cs="宋体"/>
                <w:b/>
                <w:color w:val="auto"/>
                <w:szCs w:val="21"/>
                <w:highlight w:val="none"/>
              </w:rPr>
              <w:t>要求的响应内容；</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3、对实质性要求的响应内容；</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4、对非实质性要求的响应内容；</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5、对</w:t>
            </w:r>
            <w:r>
              <w:rPr>
                <w:rFonts w:hint="eastAsia" w:ascii="宋体" w:hAnsi="宋体" w:eastAsia="宋体" w:cs="宋体"/>
                <w:b/>
                <w:color w:val="auto"/>
                <w:szCs w:val="21"/>
                <w:highlight w:val="none"/>
                <w:lang w:val="en-US" w:eastAsia="zh-CN"/>
              </w:rPr>
              <w:t>商务</w:t>
            </w:r>
            <w:r>
              <w:rPr>
                <w:rFonts w:hint="eastAsia" w:ascii="宋体" w:hAnsi="宋体" w:eastAsia="宋体" w:cs="宋体"/>
                <w:b/>
                <w:color w:val="auto"/>
                <w:szCs w:val="21"/>
                <w:highlight w:val="none"/>
              </w:rPr>
              <w:t>服务要求的响应内容；</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6、对技术要求的响应内容；</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7、投标人业绩情况；</w:t>
            </w:r>
          </w:p>
          <w:p>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、招标文件要求或投标人认为需要提供的其他商务技术材料/文件；</w:t>
            </w:r>
          </w:p>
          <w:p>
            <w:pPr>
              <w:pageBreakBefore w:val="0"/>
              <w:kinsoku/>
              <w:wordWrap/>
              <w:overflowPunct/>
              <w:topLinePunct w:val="0"/>
              <w:autoSpaceDE/>
              <w:autoSpaceDN/>
              <w:bidi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说明：以上内容涉及的格式资料详见第八部分；</w:t>
            </w:r>
          </w:p>
          <w:p>
            <w:pPr>
              <w:pageBreakBefore w:val="0"/>
              <w:kinsoku/>
              <w:wordWrap/>
              <w:overflowPunct/>
              <w:topLinePunct w:val="0"/>
              <w:bidi w:val="0"/>
              <w:spacing w:line="500" w:lineRule="exact"/>
              <w:ind w:right="0" w:rightChars="0"/>
              <w:jc w:val="both"/>
              <w:rPr>
                <w:rFonts w:hint="eastAsia" w:ascii="华文中宋" w:hAnsi="华文中宋" w:eastAsia="华文中宋" w:cs="华文中宋"/>
                <w:b/>
                <w:color w:val="auto"/>
                <w:szCs w:val="21"/>
                <w:highlight w:val="none"/>
              </w:rPr>
            </w:pPr>
            <w:r>
              <w:rPr>
                <w:rFonts w:hint="eastAsia" w:ascii="宋体" w:hAnsi="宋体" w:eastAsia="宋体" w:cs="宋体"/>
                <w:color w:val="auto"/>
                <w:szCs w:val="21"/>
                <w:highlight w:val="none"/>
              </w:rPr>
              <w:t>以上涉及相关要求的内容见本文件第四部分相对应内容。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5</w:t>
            </w:r>
          </w:p>
        </w:tc>
        <w:tc>
          <w:tcPr>
            <w:tcW w:w="2070" w:type="dxa"/>
            <w:vAlign w:val="center"/>
          </w:tcPr>
          <w:p>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rPr>
              <w:t>投标保证金</w:t>
            </w:r>
          </w:p>
        </w:tc>
        <w:tc>
          <w:tcPr>
            <w:tcW w:w="6285" w:type="dxa"/>
            <w:vAlign w:val="center"/>
          </w:tcPr>
          <w:p>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rPr>
              <w:t>本项目不需要提交投标保证金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6</w:t>
            </w:r>
          </w:p>
        </w:tc>
        <w:tc>
          <w:tcPr>
            <w:tcW w:w="2070" w:type="dxa"/>
            <w:vAlign w:val="center"/>
          </w:tcPr>
          <w:p>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color w:val="auto"/>
                <w:szCs w:val="21"/>
                <w:highlight w:val="none"/>
              </w:rPr>
              <w:t>响应有效期</w:t>
            </w:r>
          </w:p>
        </w:tc>
        <w:tc>
          <w:tcPr>
            <w:tcW w:w="6285" w:type="dxa"/>
            <w:vAlign w:val="center"/>
          </w:tcPr>
          <w:p>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u w:val="single"/>
                <w:lang w:val="en-US" w:eastAsia="zh-CN"/>
              </w:rPr>
              <w:t>30</w:t>
            </w:r>
            <w:r>
              <w:rPr>
                <w:rFonts w:hint="eastAsia" w:ascii="华文中宋" w:hAnsi="华文中宋" w:eastAsia="华文中宋" w:cs="华文中宋"/>
                <w:color w:val="auto"/>
                <w:szCs w:val="21"/>
                <w:highlight w:val="none"/>
              </w:rPr>
              <w:t>个日历天（自响应文件开启时间之日起计算）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7</w:t>
            </w:r>
          </w:p>
        </w:tc>
        <w:tc>
          <w:tcPr>
            <w:tcW w:w="2070"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政府采购</w:t>
            </w:r>
          </w:p>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相关政策要求</w:t>
            </w:r>
          </w:p>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（如涉及的话）</w:t>
            </w:r>
          </w:p>
        </w:tc>
        <w:tc>
          <w:tcPr>
            <w:tcW w:w="6285" w:type="dxa"/>
            <w:vAlign w:val="center"/>
          </w:tcPr>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1．涉及进口产品的要求：</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（1）本项目采购标的物未特别注明“进口产品”（通过中国海关报关验放进入中国境内且产自境外的产品）字样的，均必须采购国产产品。</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Cs/>
                <w:color w:val="auto"/>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的进口产品。如果有能够满足采购需求的国产产品参与，应当按照公平竞争</w:t>
            </w:r>
            <w:r>
              <w:rPr>
                <w:rFonts w:hint="eastAsia" w:ascii="宋体" w:hAnsi="宋体" w:eastAsia="宋体" w:cs="宋体"/>
                <w:b w:val="0"/>
                <w:bCs/>
                <w:szCs w:val="21"/>
                <w:highlight w:val="none"/>
              </w:rPr>
              <w:t>的原则进行评审。</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2．涉及“节能产品政府采购品目清单”政府强制采购产品的要求：</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（1）本文件列出政府强制采购产品的，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必须投报“节能产品政府采购品目清单”范围内的产品，须提供处于有效期之内的节能产品认证证书扫描件，并将政府强制采购产品如实填写到《政府强制采购产品明细表》（格式见第八部分）。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（2）本文件未列出政府强制采购产品的，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可投报“节能产品政府采购品目清单、环境标志产品政府采购品目清单”中非政府强制采购产品或其范围以外的产品。</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3．涉及非政府强制采购产品的要求：</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（1）投标货物有“节能产品政府采购品目清单、环境标志产品政府采购品目清单”中非政府强制采购产品的将给予</w:t>
            </w:r>
            <w:r>
              <w:rPr>
                <w:rFonts w:hint="eastAsia" w:ascii="宋体" w:hAnsi="宋体" w:eastAsia="宋体" w:cs="宋体"/>
                <w:bCs/>
                <w:color w:val="auto"/>
                <w:szCs w:val="21"/>
                <w:highlight w:val="none"/>
                <w:lang w:val="en-US" w:eastAsia="zh-CN"/>
              </w:rPr>
              <w:t>评</w:t>
            </w:r>
            <w:r>
              <w:rPr>
                <w:rFonts w:hint="eastAsia" w:ascii="宋体" w:hAnsi="宋体" w:eastAsia="宋体" w:cs="宋体"/>
                <w:bCs/>
                <w:color w:val="auto"/>
                <w:szCs w:val="21"/>
                <w:highlight w:val="none"/>
              </w:rPr>
              <w:t>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提供处于有效期之内的节能产品、环境标志产品认证证书扫描件，并需如实填写《非政府强制采购产品明细表》（格式见第八部分）。</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4．涉及正版软件的要求：</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Cs/>
                <w:color w:val="auto"/>
                <w:szCs w:val="21"/>
                <w:highlight w:val="none"/>
              </w:rPr>
              <w:t>本项目采购标的物涉及计算机产品或硬件产品内预装软件的，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须填写《正版软件承诺》（格式见第八部分）</w:t>
            </w:r>
            <w:r>
              <w:rPr>
                <w:rFonts w:hint="eastAsia" w:ascii="宋体" w:hAnsi="宋体" w:eastAsia="宋体" w:cs="宋体"/>
                <w:b/>
                <w:szCs w:val="21"/>
                <w:highlight w:val="none"/>
              </w:rPr>
              <w:t>。</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5．涉及信息安全产品的要求：</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 w:val="0"/>
                <w:bCs/>
                <w:szCs w:val="21"/>
                <w:highlight w:val="none"/>
              </w:rPr>
              <w:t>投标货物中如含有财政部会同有关部门制定下发的《信息安全产品强制性认证目录》中的产品（8类13项），须提供中国信息安全认证中心或中国网络安全审查技术与认证中心按国家标准认证颁发的有效认证证书扫描件。</w:t>
            </w:r>
          </w:p>
          <w:p>
            <w:pPr>
              <w:keepNext w:val="0"/>
              <w:keepLines w:val="0"/>
              <w:pageBreakBefore w:val="0"/>
              <w:widowControl w:val="0"/>
              <w:numPr>
                <w:ilvl w:val="0"/>
                <w:numId w:val="2"/>
              </w:numPr>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涉及小型、微型企业参加投标的要求：</w:t>
            </w:r>
          </w:p>
          <w:p>
            <w:pPr>
              <w:keepNext w:val="0"/>
              <w:keepLines w:val="0"/>
              <w:pageBreakBefore w:val="0"/>
              <w:widowControl w:val="0"/>
              <w:numPr>
                <w:ilvl w:val="0"/>
                <w:numId w:val="0"/>
              </w:numPr>
              <w:kinsoku/>
              <w:wordWrap/>
              <w:overflowPunct/>
              <w:topLinePunct w:val="0"/>
              <w:autoSpaceDE/>
              <w:autoSpaceDN/>
              <w:bidi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（3）小型、微型企业提供的货物既有中小企业制造货物，也有大型企业制造货物的，不享受价格折扣。</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7．涉及残疾人福利性单位参加投标的要求：</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（1）须根据《关于促进残疾人就业政府采购政策的通知》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财库〔2017〕141号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的要求，如实填写《残疾人福利性单位声明函》（格式见第八部分）。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cs="宋体"/>
                <w:b/>
                <w:szCs w:val="21"/>
                <w:highlight w:val="none"/>
                <w:lang w:val="en-US" w:eastAsia="zh-CN"/>
              </w:rPr>
              <w:t>8</w:t>
            </w:r>
            <w:r>
              <w:rPr>
                <w:rFonts w:hint="eastAsia" w:ascii="宋体" w:hAnsi="宋体" w:eastAsia="宋体" w:cs="宋体"/>
                <w:b/>
                <w:szCs w:val="21"/>
                <w:highlight w:val="none"/>
              </w:rPr>
              <w:t>．涉及监狱企业参加投标的要求：</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（1）监狱企业参加投标视同小、微企业，需提供由省级以上监狱管理局或戒毒管理局出具的属于监狱企业的证明文件。</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Cs/>
                <w:color w:val="auto"/>
                <w:szCs w:val="21"/>
                <w:highlight w:val="none"/>
              </w:rPr>
              <w:t>（3）监狱企业与中型企业组成联合体参加投标的，或者向监狱企业分包，且联合体协议或分包意向协议约定监狱企业的协议金额占到合同金额30%以上的，享受投标标的价</w:t>
            </w:r>
            <w:r>
              <w:rPr>
                <w:rFonts w:hint="eastAsia" w:ascii="宋体" w:hAnsi="宋体" w:eastAsia="宋体" w:cs="宋体"/>
                <w:b w:val="0"/>
                <w:bCs/>
                <w:szCs w:val="21"/>
                <w:highlight w:val="none"/>
              </w:rPr>
              <w:t>格折扣，用扣除后的价格参与评审。</w:t>
            </w:r>
          </w:p>
          <w:p>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szCs w:val="21"/>
                <w:highlight w:val="none"/>
              </w:rPr>
            </w:pPr>
            <w:r>
              <w:rPr>
                <w:rFonts w:hint="eastAsia" w:ascii="宋体" w:hAnsi="宋体" w:cs="宋体"/>
                <w:b/>
                <w:szCs w:val="21"/>
                <w:highlight w:val="none"/>
                <w:lang w:val="en-US" w:eastAsia="zh-CN"/>
              </w:rPr>
              <w:t>9</w:t>
            </w:r>
            <w:r>
              <w:rPr>
                <w:rFonts w:hint="eastAsia" w:ascii="宋体" w:hAnsi="宋体" w:eastAsia="宋体" w:cs="宋体"/>
                <w:b/>
                <w:szCs w:val="21"/>
                <w:highlight w:val="none"/>
              </w:rPr>
              <w:t>．涉及商品包装和快递包装的要求：</w:t>
            </w:r>
          </w:p>
          <w:p>
            <w:pPr>
              <w:pageBreakBefore w:val="0"/>
              <w:kinsoku/>
              <w:wordWrap/>
              <w:overflowPunct/>
              <w:topLinePunct w:val="0"/>
              <w:bidi w:val="0"/>
              <w:spacing w:line="500" w:lineRule="exact"/>
              <w:ind w:right="0" w:rightChars="0"/>
              <w:jc w:val="both"/>
              <w:rPr>
                <w:rFonts w:hint="eastAsia"/>
              </w:rPr>
            </w:pPr>
            <w:r>
              <w:rPr>
                <w:rFonts w:hint="eastAsia" w:ascii="宋体" w:hAnsi="宋体" w:eastAsia="宋体" w:cs="宋体"/>
                <w:bCs/>
                <w:color w:val="auto"/>
                <w:szCs w:val="21"/>
                <w:highlight w:val="none"/>
                <w:lang w:val="en-US" w:eastAsia="zh-CN"/>
              </w:rPr>
              <w:t>本项目涉及商品包装和快递包装要求的，供应商须填写《商品包装和快递包装承诺函》（格式见第八部分）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8</w:t>
            </w:r>
          </w:p>
        </w:tc>
        <w:tc>
          <w:tcPr>
            <w:tcW w:w="2070" w:type="dxa"/>
            <w:vAlign w:val="center"/>
          </w:tcPr>
          <w:p>
            <w:pPr>
              <w:pStyle w:val="28"/>
              <w:keepNext w:val="0"/>
              <w:keepLines w:val="0"/>
              <w:pageBreakBefore w:val="0"/>
              <w:numPr>
                <w:ilvl w:val="0"/>
                <w:numId w:val="0"/>
              </w:numPr>
              <w:kinsoku/>
              <w:wordWrap/>
              <w:overflowPunct/>
              <w:topLinePunct w:val="0"/>
              <w:bidi w:val="0"/>
              <w:snapToGrid w:val="0"/>
              <w:spacing w:before="0" w:after="0" w:line="500" w:lineRule="exact"/>
              <w:ind w:left="0" w:leftChars="0" w:right="0" w:rightChars="0" w:firstLine="0" w:firstLineChars="0"/>
              <w:jc w:val="center"/>
              <w:rPr>
                <w:rFonts w:hint="eastAsia" w:ascii="华文中宋" w:hAnsi="华文中宋" w:eastAsia="华文中宋" w:cs="微软雅黑"/>
                <w:b/>
                <w:bCs w:val="0"/>
                <w:color w:val="auto"/>
                <w:kern w:val="0"/>
                <w:sz w:val="21"/>
                <w:szCs w:val="21"/>
                <w:highlight w:val="none"/>
                <w:lang w:val="en-US" w:eastAsia="zh-CN" w:bidi="ar-SA"/>
              </w:rPr>
            </w:pPr>
            <w:r>
              <w:rPr>
                <w:rFonts w:hint="eastAsia" w:ascii="华文中宋" w:hAnsi="华文中宋" w:eastAsia="华文中宋" w:cs="微软雅黑"/>
                <w:bCs w:val="0"/>
                <w:color w:val="auto"/>
                <w:szCs w:val="21"/>
                <w:highlight w:val="none"/>
              </w:rPr>
              <w:t>本项目预算金额和磋商最高限价</w:t>
            </w:r>
          </w:p>
        </w:tc>
        <w:tc>
          <w:tcPr>
            <w:tcW w:w="6285" w:type="dxa"/>
            <w:vAlign w:val="center"/>
          </w:tcPr>
          <w:p>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outlineLvl w:val="9"/>
              <w:rPr>
                <w:rFonts w:hint="eastAsia" w:ascii="华文中宋" w:hAnsi="华文中宋" w:eastAsia="华文中宋" w:cs="华文中宋"/>
                <w:color w:val="auto"/>
                <w:szCs w:val="21"/>
                <w:lang w:val="en-US" w:eastAsia="zh-CN"/>
              </w:rPr>
            </w:pPr>
            <w:r>
              <w:rPr>
                <w:rFonts w:hint="eastAsia" w:ascii="华文中宋" w:hAnsi="华文中宋" w:eastAsia="华文中宋" w:cs="Times New Roman"/>
                <w:color w:val="auto"/>
                <w:szCs w:val="21"/>
                <w:highlight w:val="none"/>
                <w:lang w:val="en-US" w:eastAsia="zh-CN"/>
              </w:rPr>
              <w:t>预算金额：2410300</w:t>
            </w:r>
            <w:r>
              <w:rPr>
                <w:rFonts w:hint="eastAsia" w:ascii="华文中宋" w:hAnsi="华文中宋" w:eastAsia="华文中宋" w:cs="华文中宋"/>
                <w:color w:val="auto"/>
                <w:szCs w:val="21"/>
                <w:lang w:val="en-US" w:eastAsia="zh-CN"/>
              </w:rPr>
              <w:t>元；</w:t>
            </w:r>
          </w:p>
          <w:p>
            <w:pPr>
              <w:pageBreakBefore w:val="0"/>
              <w:kinsoku/>
              <w:wordWrap/>
              <w:overflowPunct/>
              <w:topLinePunct w:val="0"/>
              <w:bidi w:val="0"/>
              <w:spacing w:line="500" w:lineRule="exact"/>
              <w:ind w:right="0" w:rightChars="0"/>
              <w:jc w:val="both"/>
              <w:rPr>
                <w:rFonts w:hint="eastAsia" w:ascii="华文中宋" w:hAnsi="华文中宋" w:eastAsia="华文中宋" w:cs="微软雅黑"/>
                <w:color w:val="auto"/>
                <w:kern w:val="2"/>
                <w:sz w:val="21"/>
                <w:szCs w:val="22"/>
                <w:highlight w:val="none"/>
                <w:lang w:val="en-US" w:eastAsia="zh-CN" w:bidi="ar-SA"/>
              </w:rPr>
            </w:pPr>
            <w:r>
              <w:rPr>
                <w:rFonts w:hint="eastAsia" w:ascii="华文中宋" w:hAnsi="华文中宋" w:eastAsia="华文中宋" w:cs="Times New Roman"/>
                <w:color w:val="auto"/>
                <w:szCs w:val="21"/>
                <w:highlight w:val="none"/>
                <w:lang w:val="en-US" w:eastAsia="zh-CN"/>
              </w:rPr>
              <w:t>最高限价：2410300</w:t>
            </w:r>
            <w:r>
              <w:rPr>
                <w:rFonts w:hint="eastAsia" w:ascii="华文中宋" w:hAnsi="华文中宋" w:eastAsia="华文中宋" w:cs="华文中宋"/>
                <w:color w:val="auto"/>
                <w:szCs w:val="21"/>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9</w:t>
            </w:r>
          </w:p>
        </w:tc>
        <w:tc>
          <w:tcPr>
            <w:tcW w:w="2070" w:type="dxa"/>
            <w:vAlign w:val="center"/>
          </w:tcPr>
          <w:p>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现场勘查</w:t>
            </w:r>
          </w:p>
          <w:p>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（磋商前答疑会）</w:t>
            </w:r>
          </w:p>
        </w:tc>
        <w:tc>
          <w:tcPr>
            <w:tcW w:w="6285" w:type="dxa"/>
            <w:vAlign w:val="center"/>
          </w:tcPr>
          <w:p>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szCs w:val="21"/>
              </w:rPr>
              <w:sym w:font="Wingdings" w:char="00FE"/>
            </w:r>
            <w:r>
              <w:rPr>
                <w:rFonts w:hint="eastAsia" w:ascii="华文中宋" w:hAnsi="华文中宋" w:eastAsia="华文中宋" w:cs="华文中宋"/>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napToGrid w:val="0"/>
              <w:spacing w:line="500" w:lineRule="exact"/>
              <w:ind w:right="0" w:rightChars="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10</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磋商过程中根据磋商情况可能实质性变动内容</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kern w:val="0"/>
                <w:szCs w:val="21"/>
                <w:highlight w:val="none"/>
              </w:rPr>
              <w:t>本项目第四部分要求。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11</w:t>
            </w:r>
          </w:p>
        </w:tc>
        <w:tc>
          <w:tcPr>
            <w:tcW w:w="2070" w:type="dxa"/>
            <w:vAlign w:val="center"/>
          </w:tcPr>
          <w:p>
            <w:pPr>
              <w:pageBreakBefore w:val="0"/>
              <w:kinsoku/>
              <w:wordWrap/>
              <w:overflowPunct/>
              <w:topLinePunct w:val="0"/>
              <w:bidi w:val="0"/>
              <w:adjustRightInd w:val="0"/>
              <w:snapToGrid w:val="0"/>
              <w:spacing w:line="500" w:lineRule="exact"/>
              <w:ind w:left="-5" w:leftChars="-17" w:right="0" w:rightChars="0" w:hanging="31"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磋商文件澄清发出的形式</w:t>
            </w:r>
          </w:p>
        </w:tc>
        <w:tc>
          <w:tcPr>
            <w:tcW w:w="6285" w:type="dxa"/>
            <w:vAlign w:val="center"/>
          </w:tcPr>
          <w:p>
            <w:pPr>
              <w:pageBreakBefore w:val="0"/>
              <w:kinsoku/>
              <w:wordWrap/>
              <w:overflowPunct/>
              <w:topLinePunct w:val="0"/>
              <w:bidi w:val="0"/>
              <w:adjustRightInd w:val="0"/>
              <w:snapToGrid w:val="0"/>
              <w:spacing w:line="500" w:lineRule="exact"/>
              <w:ind w:left="-5" w:leftChars="-17" w:right="0" w:rightChars="0" w:hanging="31" w:hangingChars="15"/>
              <w:jc w:val="left"/>
              <w:rPr>
                <w:rFonts w:hint="eastAsia" w:ascii="华文中宋" w:hAnsi="华文中宋" w:eastAsia="华文中宋" w:cs="华文中宋"/>
                <w:szCs w:val="21"/>
              </w:rPr>
            </w:pPr>
            <w:r>
              <w:rPr>
                <w:rFonts w:hint="eastAsia" w:ascii="宋体" w:hAnsi="宋体" w:eastAsia="宋体" w:cs="宋体"/>
                <w:color w:val="auto"/>
                <w:szCs w:val="21"/>
                <w:highlight w:val="none"/>
              </w:rPr>
              <w:t>通过“山西政府采购平台”在线发出。供应商应密切关注“山西政府采购平台”，如有磋商文件的澄清必须及时登录查看。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12</w:t>
            </w:r>
          </w:p>
        </w:tc>
        <w:tc>
          <w:tcPr>
            <w:tcW w:w="2070" w:type="dxa"/>
            <w:vAlign w:val="center"/>
          </w:tcPr>
          <w:p>
            <w:pPr>
              <w:pageBreakBefore w:val="0"/>
              <w:kinsoku/>
              <w:wordWrap/>
              <w:overflowPunct/>
              <w:topLinePunct w:val="0"/>
              <w:bidi w:val="0"/>
              <w:adjustRightInd w:val="0"/>
              <w:snapToGrid w:val="0"/>
              <w:spacing w:line="500" w:lineRule="exact"/>
              <w:ind w:left="-5" w:leftChars="-17" w:right="0" w:rightChars="0" w:hanging="31"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供应商确认收到磋商文件澄清</w:t>
            </w:r>
          </w:p>
        </w:tc>
        <w:tc>
          <w:tcPr>
            <w:tcW w:w="6285" w:type="dxa"/>
            <w:vAlign w:val="center"/>
          </w:tcPr>
          <w:p>
            <w:pPr>
              <w:pageBreakBefore w:val="0"/>
              <w:kinsoku/>
              <w:wordWrap/>
              <w:overflowPunct/>
              <w:topLinePunct w:val="0"/>
              <w:bidi w:val="0"/>
              <w:adjustRightInd w:val="0"/>
              <w:snapToGrid w:val="0"/>
              <w:spacing w:line="500" w:lineRule="exact"/>
              <w:ind w:right="0" w:rightChars="0"/>
              <w:textAlignment w:val="baseline"/>
              <w:rPr>
                <w:rFonts w:hint="eastAsia" w:ascii="华文中宋" w:hAnsi="华文中宋" w:eastAsia="华文中宋" w:cs="华文中宋"/>
                <w:szCs w:val="21"/>
              </w:rPr>
            </w:pPr>
            <w:r>
              <w:rPr>
                <w:rFonts w:hint="eastAsia" w:ascii="宋体" w:hAnsi="宋体" w:eastAsia="宋体" w:cs="宋体"/>
                <w:color w:val="auto"/>
                <w:szCs w:val="21"/>
                <w:highlight w:val="none"/>
              </w:rPr>
              <w:t>供应商无需单独确认，“山西政府采购平台”将记录供应商查看情况。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13</w:t>
            </w:r>
          </w:p>
        </w:tc>
        <w:tc>
          <w:tcPr>
            <w:tcW w:w="2070" w:type="dxa"/>
            <w:vAlign w:val="center"/>
          </w:tcPr>
          <w:p>
            <w:pPr>
              <w:pageBreakBefore w:val="0"/>
              <w:kinsoku/>
              <w:wordWrap/>
              <w:overflowPunct/>
              <w:topLinePunct w:val="0"/>
              <w:bidi w:val="0"/>
              <w:adjustRightInd w:val="0"/>
              <w:snapToGrid w:val="0"/>
              <w:spacing w:line="500" w:lineRule="exact"/>
              <w:ind w:left="-5" w:leftChars="-17" w:right="0" w:rightChars="0" w:hanging="31"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磋商文件修改发出的形式</w:t>
            </w:r>
          </w:p>
        </w:tc>
        <w:tc>
          <w:tcPr>
            <w:tcW w:w="6285" w:type="dxa"/>
            <w:vAlign w:val="center"/>
          </w:tcPr>
          <w:p>
            <w:pPr>
              <w:pageBreakBefore w:val="0"/>
              <w:kinsoku/>
              <w:wordWrap/>
              <w:overflowPunct/>
              <w:topLinePunct w:val="0"/>
              <w:bidi w:val="0"/>
              <w:adjustRightInd w:val="0"/>
              <w:snapToGrid w:val="0"/>
              <w:spacing w:line="500" w:lineRule="exact"/>
              <w:ind w:right="0" w:right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通过“山西政府采购平台”在线发出。</w:t>
            </w:r>
          </w:p>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供应商应密切关注“山西政府采购平台”，如有磋商文件的修改必须及时登录查看。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14</w:t>
            </w:r>
          </w:p>
        </w:tc>
        <w:tc>
          <w:tcPr>
            <w:tcW w:w="2070" w:type="dxa"/>
            <w:vAlign w:val="center"/>
          </w:tcPr>
          <w:p>
            <w:pPr>
              <w:pageBreakBefore w:val="0"/>
              <w:kinsoku/>
              <w:wordWrap/>
              <w:overflowPunct/>
              <w:topLinePunct w:val="0"/>
              <w:bidi w:val="0"/>
              <w:adjustRightInd w:val="0"/>
              <w:snapToGrid w:val="0"/>
              <w:spacing w:line="500" w:lineRule="exact"/>
              <w:ind w:left="-5" w:leftChars="-17" w:right="0" w:rightChars="0" w:hanging="31"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供应商确认收到磋商文件修改</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供应商无需单独确认，“山西政府采购平台”将记录供应商下载情况。因供应商自身原因未及时获知澄清内容而导致的任何后果将由供应商自行承担。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15</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响应文件的制作及签字盖章</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1、响应文件的制作应满足以下规定：</w:t>
            </w:r>
          </w:p>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（1）响应文件由供应商使用“山西政府采购平台”提供的“山西政府采购平台电子投标客户端”制作生成。</w:t>
            </w:r>
          </w:p>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（2）供应商在编制响应文件时应按分级目录导入相关内容。</w:t>
            </w:r>
          </w:p>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（3）响应文件中证明资料的“影印件”均为“原件的影印件”。</w:t>
            </w:r>
          </w:p>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第八部分“响应文件格式”中要求盖单位章和（或）签字的地方，供应商均应使用CA数字证书加盖供应商的单位电子印章和（或）法定代表人的个人电子印章或电子签名章。联合体投标的，响应文件由联合体牵头人按上述规定加盖联合体牵头人单位电子印章和（或）法定代表人的个人电子印章或电子签名章（联合体协议书须由联合体各方按规定签署后生效）。</w:t>
            </w:r>
          </w:p>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（5）响应文件制作完成后，供应商应使用CA数字证书对响应文件进行加密，形成加密的响应文件。</w:t>
            </w:r>
          </w:p>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（6）响应文件制作的具体方法详见“山西政府采购平台”中的帮助文档。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16</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响应文件的加密</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电子响应文件要求使用“山西政府采购平台电子投标客户端”制作并加密，“山西政府采购平台”不接收未按要求加密的响应文件。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17</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响应文件的递交</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各投标供应商在规定的投标截止时间前将加密后的响应文件，通过“山西政府采购平台电子投标客户端”递交；递交时间超过投标截止时间的将不予接收该供应商的全部响应文件。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18</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响应文件的修改与撤回</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规定的投标截止时间前,供应商可以修改或撤回已递交的响应文件，供应商对加密的响应文件进行撤回的，应在“山西政府采购平台”直接进行撤回操作；供应商对加密的响应文件进行修改的，应在投标截止时间前完成上传。</w:t>
            </w:r>
          </w:p>
          <w:p>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kern w:val="0"/>
                <w:szCs w:val="21"/>
                <w:highlight w:val="none"/>
              </w:rPr>
              <w:t>（2）供应商修改响应文件的，应使用“山西政府采购平台电子投标客户端”制作成完整的响应文件，并进行编制、加密和递交，以投标截止时间前最后完成上传的响应文件为准。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19</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是否采用电子招标投标</w:t>
            </w:r>
          </w:p>
        </w:tc>
        <w:tc>
          <w:tcPr>
            <w:tcW w:w="6285" w:type="dxa"/>
            <w:vAlign w:val="center"/>
          </w:tcPr>
          <w:p>
            <w:pPr>
              <w:pageBreakBefore w:val="0"/>
              <w:kinsoku/>
              <w:wordWrap/>
              <w:overflowPunct/>
              <w:topLinePunct w:val="0"/>
              <w:bidi w:val="0"/>
              <w:adjustRightInd w:val="0"/>
              <w:snapToGrid w:val="0"/>
              <w:spacing w:line="500" w:lineRule="exact"/>
              <w:ind w:right="0" w:rightChars="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是：本次开标采用远程在线开标方式，供应商必须准备好CA数字证书准时参加在线开标，供应商需使用CA数字证书在规定的时间内完成解密；因供应商原因造成响应文件未解密的，视为撤销其响应文件，造成的一切后果，由供应商自行承担。</w:t>
            </w:r>
          </w:p>
          <w:p>
            <w:pPr>
              <w:pageBreakBefore w:val="0"/>
              <w:kinsoku/>
              <w:wordWrap/>
              <w:overflowPunct/>
              <w:topLinePunct w:val="0"/>
              <w:bidi w:val="0"/>
              <w:adjustRightInd w:val="0"/>
              <w:snapToGrid w:val="0"/>
              <w:spacing w:line="500" w:lineRule="exact"/>
              <w:ind w:right="0" w:right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pPr>
              <w:pageBreakBefore w:val="0"/>
              <w:kinsoku/>
              <w:wordWrap/>
              <w:overflowPunct/>
              <w:topLinePunct w:val="0"/>
              <w:bidi w:val="0"/>
              <w:adjustRightInd w:val="0"/>
              <w:snapToGrid w:val="0"/>
              <w:spacing w:line="500" w:lineRule="exact"/>
              <w:ind w:left="1050" w:leftChars="0" w:right="0" w:rightChars="0" w:hanging="1050" w:firstLineChars="0"/>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20</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磋商小组构成</w:t>
            </w:r>
          </w:p>
        </w:tc>
        <w:tc>
          <w:tcPr>
            <w:tcW w:w="6285" w:type="dxa"/>
            <w:vAlign w:val="center"/>
          </w:tcPr>
          <w:p>
            <w:pPr>
              <w:pageBreakBefore w:val="0"/>
              <w:widowControl/>
              <w:kinsoku/>
              <w:wordWrap/>
              <w:overflowPunct/>
              <w:topLinePunct w:val="0"/>
              <w:bidi w:val="0"/>
              <w:spacing w:line="500" w:lineRule="exact"/>
              <w:ind w:right="0" w:rightChars="0"/>
              <w:jc w:val="left"/>
              <w:rPr>
                <w:rFonts w:hint="eastAsia" w:ascii="华文中宋" w:hAnsi="华文中宋" w:eastAsia="华文中宋" w:cs="华文中宋"/>
                <w:szCs w:val="21"/>
              </w:rPr>
            </w:pPr>
            <w:r>
              <w:rPr>
                <w:rFonts w:hint="eastAsia" w:ascii="宋体" w:hAnsi="宋体" w:eastAsia="宋体" w:cs="宋体"/>
                <w:color w:val="auto"/>
                <w:kern w:val="0"/>
                <w:szCs w:val="21"/>
                <w:highlight w:val="none"/>
                <w:lang w:bidi="ar"/>
              </w:rPr>
              <w:t>磋商小组共3人，其中：采购人代表1人，从山西省政府采购专家库中抽取</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val="en-US" w:eastAsia="zh-CN" w:bidi="ar"/>
              </w:rPr>
              <w:t>名经济</w:t>
            </w:r>
            <w:r>
              <w:rPr>
                <w:rFonts w:hint="eastAsia" w:ascii="宋体" w:hAnsi="宋体" w:cs="宋体"/>
                <w:color w:val="auto"/>
                <w:kern w:val="0"/>
                <w:szCs w:val="21"/>
                <w:highlight w:val="none"/>
                <w:lang w:val="en-US" w:eastAsia="zh-CN" w:bidi="ar"/>
              </w:rPr>
              <w:t>，1名</w:t>
            </w:r>
            <w:r>
              <w:rPr>
                <w:rFonts w:hint="eastAsia" w:ascii="宋体" w:hAnsi="宋体" w:eastAsia="宋体" w:cs="宋体"/>
                <w:color w:val="auto"/>
                <w:kern w:val="0"/>
                <w:szCs w:val="21"/>
                <w:highlight w:val="none"/>
                <w:lang w:val="en-US" w:eastAsia="zh-CN" w:bidi="ar"/>
              </w:rPr>
              <w:t>技术</w:t>
            </w:r>
            <w:r>
              <w:rPr>
                <w:rFonts w:hint="eastAsia" w:ascii="宋体" w:hAnsi="宋体" w:eastAsia="宋体" w:cs="宋体"/>
                <w:color w:val="auto"/>
                <w:kern w:val="0"/>
                <w:szCs w:val="21"/>
                <w:highlight w:val="none"/>
                <w:lang w:bidi="ar"/>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38" w:type="dxa"/>
            <w:vAlign w:val="center"/>
          </w:tcPr>
          <w:p>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21</w:t>
            </w:r>
          </w:p>
        </w:tc>
        <w:tc>
          <w:tcPr>
            <w:tcW w:w="2070" w:type="dxa"/>
            <w:vAlign w:val="center"/>
          </w:tcPr>
          <w:p>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其它</w:t>
            </w:r>
          </w:p>
        </w:tc>
        <w:tc>
          <w:tcPr>
            <w:tcW w:w="6285" w:type="dxa"/>
            <w:vAlign w:val="center"/>
          </w:tcPr>
          <w:p>
            <w:pPr>
              <w:pageBreakBefore w:val="0"/>
              <w:widowControl/>
              <w:kinsoku/>
              <w:wordWrap/>
              <w:overflowPunct/>
              <w:topLinePunct w:val="0"/>
              <w:bidi w:val="0"/>
              <w:spacing w:line="500" w:lineRule="exact"/>
              <w:ind w:right="0" w:rightChars="0"/>
              <w:jc w:val="left"/>
              <w:rPr>
                <w:rFonts w:hint="eastAsia" w:ascii="华文中宋" w:hAnsi="华文中宋" w:eastAsia="华文中宋" w:cs="华文中宋"/>
                <w:szCs w:val="21"/>
              </w:rPr>
            </w:pPr>
            <w:r>
              <w:rPr>
                <w:rFonts w:hint="eastAsia" w:ascii="宋体" w:hAnsi="宋体" w:eastAsia="宋体" w:cs="宋体"/>
                <w:color w:val="auto"/>
                <w:kern w:val="0"/>
                <w:szCs w:val="21"/>
                <w:highlight w:val="none"/>
                <w:lang w:bidi="ar"/>
              </w:rPr>
              <w:t>在现场磋商期间，如出现不可抗力导致的系统无法运行或无法上报等情况，参加磋商的供应商按照要求可在磋商活动中进行其他形式书面材料的提交。</w:t>
            </w:r>
          </w:p>
        </w:tc>
      </w:tr>
    </w:tbl>
    <w:p>
      <w:pPr>
        <w:pageBreakBefore w:val="0"/>
        <w:kinsoku/>
        <w:wordWrap/>
        <w:overflowPunct/>
        <w:topLinePunct w:val="0"/>
        <w:bidi w:val="0"/>
        <w:spacing w:line="500" w:lineRule="exact"/>
        <w:ind w:right="0" w:rightChars="0"/>
        <w:rPr>
          <w:rFonts w:hint="eastAsia" w:ascii="宋体" w:hAnsi="宋体" w:eastAsia="宋体" w:cs="宋体"/>
          <w:color w:val="auto"/>
          <w:szCs w:val="24"/>
          <w:highlight w:val="none"/>
        </w:rPr>
      </w:pPr>
      <w:r>
        <w:rPr>
          <w:rFonts w:hint="eastAsia" w:ascii="宋体" w:hAnsi="宋体" w:eastAsia="宋体" w:cs="宋体"/>
          <w:color w:val="auto"/>
          <w:kern w:val="0"/>
          <w:szCs w:val="21"/>
          <w:highlight w:val="none"/>
          <w:lang w:bidi="ar"/>
        </w:rPr>
        <w:t>注：本表内容与磋商供应商须知内容不一致的，以本表内容为准</w:t>
      </w:r>
      <w:r>
        <w:rPr>
          <w:rFonts w:hint="eastAsia" w:ascii="宋体" w:hAnsi="宋体" w:eastAsia="宋体" w:cs="宋体"/>
          <w:color w:val="auto"/>
          <w:szCs w:val="24"/>
          <w:highlight w:val="none"/>
        </w:rPr>
        <w:t>。</w:t>
      </w:r>
    </w:p>
    <w:p>
      <w:pPr>
        <w:pageBreakBefore w:val="0"/>
        <w:kinsoku/>
        <w:wordWrap/>
        <w:overflowPunct/>
        <w:topLinePunct w:val="0"/>
        <w:bidi w:val="0"/>
        <w:spacing w:line="500" w:lineRule="exact"/>
        <w:ind w:right="0" w:rightChars="0"/>
        <w:jc w:val="both"/>
        <w:rPr>
          <w:rFonts w:hint="eastAsia" w:ascii="华文中宋" w:hAnsi="华文中宋" w:eastAsia="华文中宋" w:cs="Times New Roman"/>
          <w:b/>
          <w:bCs/>
          <w:color w:val="auto"/>
          <w:kern w:val="44"/>
          <w:sz w:val="28"/>
          <w:szCs w:val="28"/>
          <w:highlight w:val="none"/>
          <w:lang w:val="en-US" w:eastAsia="zh-CN" w:bidi="ar-SA"/>
        </w:rPr>
      </w:pPr>
    </w:p>
    <w:p>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pPr>
        <w:pStyle w:val="3"/>
        <w:pageBreakBefore w:val="0"/>
        <w:kinsoku/>
        <w:wordWrap/>
        <w:overflowPunct/>
        <w:topLinePunct w:val="0"/>
        <w:bidi w:val="0"/>
        <w:spacing w:line="500" w:lineRule="exact"/>
        <w:ind w:right="0" w:rightChars="0"/>
        <w:jc w:val="center"/>
        <w:rPr>
          <w:rFonts w:ascii="华文中宋" w:hAnsi="华文中宋" w:eastAsia="华文中宋"/>
          <w:sz w:val="28"/>
          <w:szCs w:val="28"/>
        </w:rPr>
      </w:pPr>
      <w:r>
        <w:rPr>
          <w:rFonts w:hint="eastAsia" w:ascii="华文中宋" w:hAnsi="华文中宋" w:eastAsia="华文中宋"/>
          <w:sz w:val="28"/>
          <w:szCs w:val="28"/>
        </w:rPr>
        <w:br w:type="page"/>
      </w:r>
      <w:r>
        <w:rPr>
          <w:rFonts w:hint="eastAsia" w:ascii="华文中宋" w:hAnsi="华文中宋" w:eastAsia="华文中宋"/>
          <w:sz w:val="28"/>
          <w:szCs w:val="28"/>
        </w:rPr>
        <w:t>第三部分  磋商供应商须知</w:t>
      </w:r>
    </w:p>
    <w:p>
      <w:pPr>
        <w:pStyle w:val="4"/>
        <w:keepNext/>
        <w:keepLines/>
        <w:pageBreakBefore w:val="0"/>
        <w:widowControl w:val="0"/>
        <w:kinsoku/>
        <w:wordWrap/>
        <w:overflowPunct/>
        <w:topLinePunct w:val="0"/>
        <w:autoSpaceDE/>
        <w:autoSpaceDN/>
        <w:bidi w:val="0"/>
        <w:adjustRightInd/>
        <w:snapToGrid/>
        <w:spacing w:before="0" w:after="0" w:line="500" w:lineRule="exact"/>
        <w:ind w:right="0" w:rightChars="0"/>
        <w:textAlignment w:val="auto"/>
        <w:rPr>
          <w:rFonts w:hint="eastAsia" w:ascii="华文中宋" w:hAnsi="华文中宋" w:eastAsia="华文中宋" w:cs="Times New Roman"/>
          <w:color w:val="auto"/>
          <w:sz w:val="24"/>
          <w:szCs w:val="24"/>
          <w:highlight w:val="none"/>
        </w:rPr>
      </w:pPr>
      <w:r>
        <w:rPr>
          <w:rFonts w:hint="eastAsia" w:ascii="华文中宋" w:hAnsi="华文中宋" w:eastAsia="华文中宋" w:cs="Times New Roman"/>
          <w:color w:val="auto"/>
          <w:sz w:val="24"/>
          <w:szCs w:val="24"/>
          <w:highlight w:val="none"/>
        </w:rPr>
        <w:t>一、总则</w:t>
      </w:r>
    </w:p>
    <w:p>
      <w:pPr>
        <w:pStyle w:val="29"/>
        <w:keepNext w:val="0"/>
        <w:keepLines w:val="0"/>
        <w:pageBreakBefore w:val="0"/>
        <w:widowControl w:val="0"/>
        <w:kinsoku/>
        <w:wordWrap/>
        <w:overflowPunct/>
        <w:topLinePunct w:val="0"/>
        <w:bidi w:val="0"/>
        <w:snapToGrid w:val="0"/>
        <w:spacing w:line="500" w:lineRule="exact"/>
        <w:ind w:right="0" w:rightChars="0" w:firstLine="345" w:firstLineChars="15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hint="eastAsia" w:ascii="华文中宋" w:hAnsi="华文中宋" w:eastAsia="华文中宋"/>
        </w:rPr>
        <w:t>本磋商文件仅适用于本次竞争性磋商活动。</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b/>
        </w:rPr>
      </w:pPr>
      <w:r>
        <w:rPr>
          <w:rFonts w:ascii="华文中宋" w:hAnsi="华文中宋" w:eastAsia="华文中宋"/>
          <w:b/>
        </w:rPr>
        <w:t xml:space="preserve">2. </w:t>
      </w:r>
      <w:r>
        <w:rPr>
          <w:rFonts w:hint="eastAsia" w:ascii="华文中宋" w:hAnsi="华文中宋" w:eastAsia="华文中宋"/>
          <w:b/>
        </w:rPr>
        <w:t>定义</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“采购人”指本次竞争性磋商活动的采购单位。</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“集采机构”指组织本次竞争性磋商活动的执行机构，即“</w:t>
      </w:r>
      <w:r>
        <w:rPr>
          <w:rFonts w:hint="eastAsia" w:ascii="华文中宋" w:hAnsi="华文中宋" w:eastAsia="华文中宋"/>
          <w:lang w:eastAsia="zh-CN"/>
        </w:rPr>
        <w:t>陵川县公共资源交易中心（政府采购中心）</w:t>
      </w:r>
      <w:r>
        <w:rPr>
          <w:rFonts w:hint="eastAsia" w:ascii="华文中宋" w:hAnsi="华文中宋" w:eastAsia="华文中宋"/>
        </w:rPr>
        <w:t>”。</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“磋商供应商”指符合本磋商文件的规定和要求，受邀请获得磋商文件参加磋商，并向集采机构提交响应文件、最后报价的供应商。</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“货物”指供应商按磋商文件的规定，须向采购人提供的各种形态和种类的物品及其它有关技术资料和材料。</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“服务”指磋商文件规定的供应商须向采购人提供的服务和应当履行的承诺和义务。</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b/>
        </w:rPr>
      </w:pPr>
      <w:r>
        <w:rPr>
          <w:rFonts w:ascii="华文中宋" w:hAnsi="华文中宋" w:eastAsia="华文中宋"/>
          <w:b/>
        </w:rPr>
        <w:t xml:space="preserve">3. </w:t>
      </w:r>
      <w:r>
        <w:rPr>
          <w:rFonts w:hint="eastAsia" w:ascii="华文中宋" w:hAnsi="华文中宋" w:eastAsia="华文中宋"/>
          <w:b/>
        </w:rPr>
        <w:t>合格的磋商供应商</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rPr>
        <w:t>3</w:t>
      </w:r>
      <w:r>
        <w:rPr>
          <w:rFonts w:ascii="华文中宋" w:hAnsi="华文中宋" w:eastAsia="华文中宋"/>
        </w:rPr>
        <w:t xml:space="preserve">.1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或实施能力，符合、承认并承诺履行本磋商文件各项规定的国内供应商。</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磋商供应商必须是已在中国境内依法登记注册，并持有符合法律法规规定的有效证件的供应商。</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具备《中华人民共和国政府采购法》第二十二条第一款规定的条件和本项目所需的特定条件及有关法律、法规关于供应商的规定，有能力提供磋商采购货物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服务的供应商。并按照《中华人民共和国政府采购法实施条例》第十七条的规定，提供资格证明文件，具体提供的材料详见磋商供应商须知前附表。</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本次磋商是否允许由两个以上供应商组成一个联合体以一个供应商身份共同参加磋商，详见磋商供应商须知前附表。</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）本项目的特殊要求规定磋商供应商特定资格条件的，联合体各方的同类资质按照资质等级较低的确定联合体资质等级。联合体各方不得再单独参加或者与其他供应商另外组成联合体参加本项目同一包的磋商。</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）联合体各方之间应当签订联合磋商协议，明确约定联合体各方承担的工作和相应的责任，并将联合磋商协议连同响应文件一并提交，联合磋商协议格式见本磋商文件第八部分。</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竞争性磋商费用</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rPr>
      </w:pPr>
      <w:r>
        <w:rPr>
          <w:rFonts w:hint="eastAsia" w:ascii="华文中宋" w:hAnsi="华文中宋" w:eastAsia="华文中宋"/>
        </w:rPr>
        <w:t>磋商供应商应当承担参与本次磋商活动发生的相关费用，集采机构和采购人在任何情况下均无义务和责任承担这些费用。</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textAlignment w:val="auto"/>
        <w:rPr>
          <w:rFonts w:ascii="华文中宋" w:hAnsi="华文中宋" w:eastAsia="华文中宋"/>
          <w:b/>
        </w:rPr>
      </w:pPr>
      <w:r>
        <w:rPr>
          <w:rFonts w:ascii="华文中宋" w:hAnsi="华文中宋" w:eastAsia="华文中宋"/>
          <w:b/>
        </w:rPr>
        <w:t xml:space="preserve">5. </w:t>
      </w:r>
      <w:r>
        <w:rPr>
          <w:rFonts w:hint="eastAsia" w:ascii="华文中宋" w:hAnsi="华文中宋" w:eastAsia="华文中宋"/>
          <w:b/>
        </w:rPr>
        <w:t>通知</w:t>
      </w:r>
      <w:r>
        <w:rPr>
          <w:rFonts w:hint="eastAsia" w:ascii="华文中宋" w:hAnsi="华文中宋" w:eastAsia="华文中宋"/>
          <w:b/>
          <w:spacing w:val="10"/>
        </w:rPr>
        <w:t>的告知及获取</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rPr>
          <w:rFonts w:ascii="华文中宋" w:hAnsi="华文中宋" w:eastAsia="华文中宋"/>
        </w:rPr>
      </w:pPr>
      <w:r>
        <w:rPr>
          <w:rFonts w:hint="eastAsia" w:ascii="华文中宋" w:hAnsi="华文中宋" w:eastAsia="华文中宋"/>
        </w:rPr>
        <w:t>5.1通知的告知</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rPr>
          <w:rFonts w:ascii="华文中宋" w:hAnsi="华文中宋" w:eastAsia="华文中宋"/>
        </w:rPr>
      </w:pPr>
      <w:r>
        <w:rPr>
          <w:rFonts w:hint="eastAsia" w:ascii="华文中宋" w:hAnsi="华文中宋" w:eastAsia="华文中宋"/>
        </w:rPr>
        <w:t>对与本项目有关的通知，集采机构将在本次磋商公告刊登的媒体上以发布公告的形式告知所有已获取了磋商文件的磋商供应商及潜在供应商，磋商供应商及潜在供应商也可登录山西政府采购平台更正公告中查看本项目是否发布更正公告。</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rPr>
          <w:rFonts w:ascii="华文中宋" w:hAnsi="华文中宋" w:eastAsia="华文中宋"/>
        </w:rPr>
      </w:pPr>
      <w:r>
        <w:rPr>
          <w:rFonts w:hint="eastAsia" w:ascii="华文中宋" w:hAnsi="华文中宋" w:eastAsia="华文中宋"/>
        </w:rPr>
        <w:t>对与本项目有关的通知，磋商供应商及潜在供应商可在本次磋商公告刊登的媒体上获取，或登录山西政府采购平台获取。</w:t>
      </w:r>
    </w:p>
    <w:p>
      <w:pPr>
        <w:pStyle w:val="29"/>
        <w:keepNext w:val="0"/>
        <w:keepLines w:val="0"/>
        <w:pageBreakBefore w:val="0"/>
        <w:widowControl w:val="0"/>
        <w:kinsoku/>
        <w:wordWrap/>
        <w:overflowPunct/>
        <w:topLinePunct w:val="0"/>
        <w:bidi w:val="0"/>
        <w:snapToGrid w:val="0"/>
        <w:spacing w:line="500" w:lineRule="exact"/>
        <w:ind w:right="0" w:rightChars="0" w:firstLine="315" w:firstLineChars="150"/>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因线路故障导致通知延迟获取或无法获取，集采机构不因此承担任何责任，有关的磋商活动可以继续有效地进行。</w:t>
      </w:r>
    </w:p>
    <w:p>
      <w:pPr>
        <w:keepNext w:val="0"/>
        <w:keepLines w:val="0"/>
        <w:pageBreakBefore w:val="0"/>
        <w:widowControl w:val="0"/>
        <w:numPr>
          <w:ilvl w:val="0"/>
          <w:numId w:val="3"/>
        </w:numPr>
        <w:kinsoku/>
        <w:wordWrap/>
        <w:overflowPunct/>
        <w:topLinePunct w:val="0"/>
        <w:bidi w:val="0"/>
        <w:spacing w:line="500" w:lineRule="exact"/>
        <w:ind w:right="0" w:rightChars="0" w:firstLine="315" w:firstLineChars="150"/>
        <w:rPr>
          <w:rFonts w:hint="eastAsia" w:ascii="华文中宋" w:hAnsi="华文中宋" w:eastAsia="华文中宋"/>
          <w:b/>
        </w:rPr>
      </w:pPr>
      <w:r>
        <w:rPr>
          <w:rFonts w:hint="eastAsia" w:ascii="华文中宋" w:hAnsi="华文中宋" w:eastAsia="华文中宋"/>
          <w:b/>
        </w:rPr>
        <w:t>保证金</w:t>
      </w:r>
    </w:p>
    <w:p>
      <w:pPr>
        <w:keepNext w:val="0"/>
        <w:keepLines w:val="0"/>
        <w:pageBreakBefore w:val="0"/>
        <w:widowControl w:val="0"/>
        <w:numPr>
          <w:ilvl w:val="0"/>
          <w:numId w:val="0"/>
        </w:numPr>
        <w:kinsoku/>
        <w:wordWrap/>
        <w:overflowPunct/>
        <w:topLinePunct w:val="0"/>
        <w:bidi w:val="0"/>
        <w:spacing w:line="500" w:lineRule="exact"/>
        <w:ind w:right="0" w:rightChars="0"/>
        <w:rPr>
          <w:rFonts w:hint="eastAsia" w:ascii="华文中宋" w:hAnsi="华文中宋" w:eastAsia="华文中宋"/>
          <w:b/>
        </w:rPr>
      </w:pPr>
      <w:r>
        <w:rPr>
          <w:rFonts w:hint="eastAsia" w:ascii="华文中宋" w:hAnsi="华文中宋" w:eastAsia="华文中宋"/>
          <w:lang w:val="en-US" w:eastAsia="zh-CN"/>
        </w:rPr>
        <w:t xml:space="preserve">   </w:t>
      </w:r>
      <w:r>
        <w:rPr>
          <w:rFonts w:hint="eastAsia" w:ascii="华文中宋" w:hAnsi="华文中宋" w:eastAsia="华文中宋"/>
        </w:rPr>
        <w:t>本项目</w:t>
      </w:r>
      <w:r>
        <w:rPr>
          <w:rFonts w:hint="eastAsia" w:ascii="华文中宋" w:hAnsi="华文中宋" w:eastAsia="华文中宋"/>
          <w:lang w:eastAsia="zh-CN"/>
        </w:rPr>
        <w:t>不涉及保证。</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lang w:val="en-US" w:eastAsia="zh-CN"/>
        </w:rPr>
        <w:t xml:space="preserve">   </w:t>
      </w:r>
      <w:r>
        <w:rPr>
          <w:rFonts w:hint="eastAsia" w:ascii="华文中宋" w:hAnsi="华文中宋" w:eastAsia="华文中宋" w:cs="Times New Roman"/>
          <w:color w:val="auto"/>
          <w:sz w:val="24"/>
          <w:szCs w:val="24"/>
        </w:rPr>
        <w:t>二、磋商文件</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7. </w:t>
      </w:r>
      <w:r>
        <w:rPr>
          <w:rFonts w:hint="eastAsia" w:ascii="华文中宋" w:hAnsi="华文中宋" w:eastAsia="华文中宋" w:cs="Times New Roman"/>
          <w:b/>
          <w:color w:val="auto"/>
        </w:rPr>
        <w:t>磋商文件的内容</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7.1</w:t>
      </w:r>
      <w:r>
        <w:rPr>
          <w:rFonts w:hint="eastAsia" w:ascii="华文中宋" w:hAnsi="华文中宋" w:eastAsia="华文中宋"/>
          <w:color w:val="auto"/>
        </w:rPr>
        <w:t>磋商文件由下列八部分内容组成：</w:t>
      </w:r>
    </w:p>
    <w:p>
      <w:pPr>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hint="eastAsia" w:ascii="华文中宋" w:hAnsi="华文中宋" w:eastAsia="华文中宋"/>
          <w:color w:val="auto"/>
          <w:szCs w:val="21"/>
          <w:lang w:eastAsia="zh-CN"/>
        </w:rPr>
      </w:pPr>
      <w:r>
        <w:rPr>
          <w:rFonts w:hint="eastAsia" w:ascii="华文中宋" w:hAnsi="华文中宋" w:eastAsia="华文中宋"/>
          <w:color w:val="auto"/>
          <w:szCs w:val="21"/>
        </w:rPr>
        <w:t>第一部分</w:t>
      </w:r>
      <w:r>
        <w:rPr>
          <w:rFonts w:hint="eastAsia" w:ascii="华文中宋" w:hAnsi="华文中宋" w:eastAsia="华文中宋"/>
          <w:color w:val="auto"/>
          <w:szCs w:val="21"/>
          <w:lang w:eastAsia="zh-CN"/>
        </w:rPr>
        <w:t>磋商公告</w:t>
      </w:r>
    </w:p>
    <w:p>
      <w:pPr>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第二部分磋商供应商须知前附表</w:t>
      </w:r>
    </w:p>
    <w:p>
      <w:pPr>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第三部分磋商供应商须知</w:t>
      </w:r>
    </w:p>
    <w:p>
      <w:pPr>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hint="default" w:ascii="华文中宋" w:hAnsi="华文中宋" w:eastAsia="华文中宋"/>
          <w:color w:val="auto"/>
          <w:szCs w:val="21"/>
          <w:lang w:val="en-US" w:eastAsia="zh-CN"/>
        </w:rPr>
      </w:pPr>
      <w:r>
        <w:rPr>
          <w:rFonts w:hint="eastAsia" w:ascii="华文中宋" w:hAnsi="华文中宋" w:eastAsia="华文中宋"/>
          <w:color w:val="auto"/>
          <w:szCs w:val="21"/>
        </w:rPr>
        <w:t>第四部分</w:t>
      </w:r>
      <w:r>
        <w:rPr>
          <w:rFonts w:hint="eastAsia" w:ascii="华文中宋" w:hAnsi="华文中宋" w:eastAsia="华文中宋"/>
          <w:color w:val="auto"/>
          <w:szCs w:val="21"/>
          <w:lang w:val="en-US" w:eastAsia="zh-CN"/>
        </w:rPr>
        <w:t>商务技术要求</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第五部分资格审查内容及标准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第六部分评定成交标准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hint="default" w:ascii="华文中宋" w:hAnsi="华文中宋" w:eastAsia="华文中宋"/>
          <w:color w:val="auto"/>
          <w:lang w:val="en-US" w:eastAsia="zh-CN"/>
        </w:rPr>
      </w:pPr>
      <w:r>
        <w:rPr>
          <w:rFonts w:hint="eastAsia" w:ascii="华文中宋" w:hAnsi="华文中宋" w:eastAsia="华文中宋"/>
          <w:color w:val="auto"/>
        </w:rPr>
        <w:t>第七部分合同</w:t>
      </w:r>
      <w:r>
        <w:rPr>
          <w:rFonts w:hint="eastAsia" w:ascii="华文中宋" w:hAnsi="华文中宋" w:eastAsia="华文中宋"/>
          <w:color w:val="auto"/>
          <w:lang w:val="en-US" w:eastAsia="zh-CN"/>
        </w:rPr>
        <w:t>原则</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第八部分响应文件内容要求及格式</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 xml:space="preserve">7.2 </w:t>
      </w:r>
      <w:r>
        <w:rPr>
          <w:rFonts w:hint="eastAsia" w:ascii="华文中宋" w:hAnsi="华文中宋" w:eastAsia="华文中宋"/>
          <w:color w:val="auto"/>
        </w:rPr>
        <w:t>磋商文件中落实政府采购政策的相关要求详见磋商供应商须知前附表。</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7.3</w:t>
      </w:r>
      <w:r>
        <w:rPr>
          <w:rFonts w:hint="eastAsia" w:ascii="华文中宋" w:hAnsi="华文中宋" w:eastAsia="华文中宋"/>
          <w:color w:val="auto"/>
        </w:rPr>
        <w:t>对磋商供应商的信用信息进行查询，查询渠道为信用中国网（</w:t>
      </w:r>
      <w:r>
        <w:rPr>
          <w:rFonts w:ascii="华文中宋" w:hAnsi="华文中宋" w:eastAsia="华文中宋"/>
          <w:color w:val="auto"/>
        </w:rPr>
        <w:t>http://www.creditchina.gov.cn</w:t>
      </w:r>
      <w:r>
        <w:rPr>
          <w:rFonts w:hint="eastAsia" w:ascii="华文中宋" w:hAnsi="华文中宋" w:eastAsia="华文中宋"/>
          <w:color w:val="auto"/>
        </w:rPr>
        <w:t>）和中国政府采购网（</w:t>
      </w:r>
      <w:r>
        <w:rPr>
          <w:rFonts w:ascii="华文中宋" w:hAnsi="华文中宋" w:eastAsia="华文中宋"/>
          <w:color w:val="auto"/>
        </w:rPr>
        <w:t>http://www.ccgp.gov.cn</w:t>
      </w:r>
      <w:r>
        <w:rPr>
          <w:rFonts w:hint="eastAsia" w:ascii="华文中宋" w:hAnsi="华文中宋" w:eastAsia="华文中宋"/>
          <w:color w:val="auto"/>
        </w:rPr>
        <w:t>）；截止时间为磋商当日；查询内容为信用中国网的失信名单记录情况和中国政府采购网上的政府采购严重违法失信行为信息记录情况；</w:t>
      </w:r>
      <w:r>
        <w:rPr>
          <w:rFonts w:hint="eastAsia" w:ascii="华文中宋" w:hAnsi="华文中宋" w:eastAsia="华文中宋" w:cs="华文中宋"/>
          <w:color w:val="auto"/>
        </w:rPr>
        <w:t>查询结果予以记录，查询证据存档，查询后存在问题的对响应文件做无效响应处理。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 xml:space="preserve">7.4 </w:t>
      </w:r>
      <w:r>
        <w:rPr>
          <w:rFonts w:hint="eastAsia" w:ascii="华文中宋" w:hAnsi="华文中宋" w:eastAsia="华文中宋"/>
          <w:color w:val="auto"/>
        </w:rPr>
        <w:t>除非特殊要求，磋商文件不单独提供项目使用地的自然环境、气候条件、公用设施情况，磋商供应商被视为熟悉上述与履行合同有关的一切情况。</w:t>
      </w:r>
    </w:p>
    <w:p>
      <w:pPr>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szCs w:val="21"/>
        </w:rPr>
      </w:pPr>
      <w:r>
        <w:rPr>
          <w:rFonts w:ascii="华文中宋" w:hAnsi="华文中宋" w:eastAsia="华文中宋"/>
          <w:color w:val="auto"/>
          <w:szCs w:val="21"/>
        </w:rPr>
        <w:t xml:space="preserve">7.5 </w:t>
      </w:r>
      <w:r>
        <w:rPr>
          <w:rFonts w:hint="eastAsia" w:ascii="华文中宋" w:hAnsi="华文中宋" w:eastAsia="华文中宋"/>
          <w:color w:val="auto"/>
          <w:szCs w:val="21"/>
        </w:rPr>
        <w:t>磋商文件的解释权归集采机构所有。当对一个问题有多种解释时以集采机构解释为准。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 xml:space="preserve">7.6 </w:t>
      </w:r>
      <w:r>
        <w:rPr>
          <w:rFonts w:hint="eastAsia" w:ascii="华文中宋" w:hAnsi="华文中宋" w:eastAsia="华文中宋"/>
          <w:color w:val="auto"/>
        </w:rPr>
        <w:t>磋商文件未作须知明示，而又有法律、法规规定的，集采机构将依据法律、法规的规定进行解释。</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8. </w:t>
      </w:r>
      <w:r>
        <w:rPr>
          <w:rFonts w:hint="eastAsia" w:ascii="华文中宋" w:hAnsi="华文中宋" w:eastAsia="华文中宋" w:cs="Times New Roman"/>
          <w:b/>
          <w:color w:val="auto"/>
        </w:rPr>
        <w:t>磋商文件的澄清和修改</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b/>
          <w:color w:val="auto"/>
          <w:szCs w:val="21"/>
        </w:rPr>
      </w:pPr>
      <w:r>
        <w:rPr>
          <w:rFonts w:ascii="华文中宋" w:hAnsi="华文中宋" w:eastAsia="华文中宋"/>
          <w:color w:val="auto"/>
        </w:rPr>
        <w:t>8.1</w:t>
      </w:r>
      <w:r>
        <w:rPr>
          <w:rFonts w:hint="eastAsia" w:ascii="华文中宋" w:hAnsi="华文中宋" w:eastAsia="华文中宋"/>
          <w:color w:val="auto"/>
        </w:rPr>
        <w:t>提交响应文件截止日前，集采机构可以对已发出的磋商文件进行必要的澄清或者修改，澄清或者修改在原公告发布媒体上发布澄清公告。澄清或者修改的内容为磋商文件的组成部分，对所有磋商供应商均具有约束作用。</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 w:val="24"/>
          <w:szCs w:val="24"/>
        </w:rPr>
      </w:pPr>
      <w:r>
        <w:rPr>
          <w:rFonts w:ascii="华文中宋" w:hAnsi="华文中宋" w:eastAsia="华文中宋"/>
          <w:color w:val="auto"/>
          <w:szCs w:val="21"/>
        </w:rPr>
        <w:t xml:space="preserve">8.2 </w:t>
      </w:r>
      <w:r>
        <w:rPr>
          <w:rFonts w:hint="eastAsia" w:ascii="华文中宋" w:hAnsi="华文中宋" w:eastAsia="华文中宋"/>
          <w:color w:val="auto"/>
          <w:szCs w:val="21"/>
        </w:rPr>
        <w:t>澄清或修改的内容可能影响响应文件编制的，集采机构将在提交首次响应文件截止之日</w:t>
      </w:r>
      <w:r>
        <w:rPr>
          <w:rFonts w:ascii="华文中宋" w:hAnsi="华文中宋" w:eastAsia="华文中宋"/>
          <w:color w:val="auto"/>
          <w:szCs w:val="21"/>
        </w:rPr>
        <w:t>3</w:t>
      </w:r>
      <w:r>
        <w:rPr>
          <w:rFonts w:hint="eastAsia" w:ascii="华文中宋" w:hAnsi="华文中宋" w:eastAsia="华文中宋"/>
          <w:color w:val="auto"/>
          <w:szCs w:val="21"/>
        </w:rPr>
        <w:t>个工作日前，以发布公告的书面形式通知所有获取到磋商文件的潜在供应商，不足</w:t>
      </w:r>
      <w:r>
        <w:rPr>
          <w:rFonts w:ascii="华文中宋" w:hAnsi="华文中宋" w:eastAsia="华文中宋"/>
          <w:color w:val="auto"/>
          <w:szCs w:val="21"/>
        </w:rPr>
        <w:t>3</w:t>
      </w:r>
      <w:r>
        <w:rPr>
          <w:rFonts w:hint="eastAsia" w:ascii="华文中宋" w:hAnsi="华文中宋" w:eastAsia="华文中宋"/>
          <w:color w:val="auto"/>
          <w:szCs w:val="21"/>
        </w:rPr>
        <w:t>个工作日的，将顺延提交首次响应文件截止之日。</w:t>
      </w:r>
    </w:p>
    <w:p>
      <w:pPr>
        <w:pStyle w:val="4"/>
        <w:pageBreakBefore w:val="0"/>
        <w:kinsoku/>
        <w:wordWrap/>
        <w:overflowPunct/>
        <w:topLinePunct w:val="0"/>
        <w:bidi w:val="0"/>
        <w:spacing w:before="0" w:after="0" w:line="500" w:lineRule="exact"/>
        <w:ind w:right="0" w:rightChars="0"/>
        <w:rPr>
          <w:rFonts w:ascii="华文中宋" w:hAnsi="华文中宋" w:eastAsia="华文中宋"/>
          <w:color w:val="auto"/>
          <w:sz w:val="24"/>
          <w:szCs w:val="24"/>
        </w:rPr>
      </w:pPr>
      <w:r>
        <w:rPr>
          <w:rFonts w:hint="eastAsia" w:ascii="华文中宋" w:hAnsi="华文中宋" w:eastAsia="华文中宋"/>
          <w:color w:val="auto"/>
          <w:sz w:val="24"/>
          <w:szCs w:val="24"/>
        </w:rPr>
        <w:t>三、响应</w:t>
      </w:r>
      <w:r>
        <w:rPr>
          <w:rFonts w:hint="eastAsia" w:ascii="华文中宋" w:hAnsi="华文中宋" w:eastAsia="华文中宋" w:cs="Dotum"/>
          <w:color w:val="auto"/>
          <w:sz w:val="24"/>
          <w:szCs w:val="24"/>
        </w:rPr>
        <w:t>文件</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9. </w:t>
      </w:r>
      <w:r>
        <w:rPr>
          <w:rFonts w:hint="eastAsia" w:ascii="华文中宋" w:hAnsi="华文中宋" w:eastAsia="华文中宋" w:cs="Times New Roman"/>
          <w:b/>
          <w:color w:val="auto"/>
        </w:rPr>
        <w:t>响应文件的语言和计量单位</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9.1</w:t>
      </w:r>
      <w:r>
        <w:rPr>
          <w:rFonts w:hint="eastAsia" w:ascii="华文中宋" w:hAnsi="华文中宋" w:eastAsia="华文中宋"/>
          <w:color w:val="auto"/>
        </w:rPr>
        <w:t>磋商供应商提交的响应文件，包括技术文件和资料、图纸中的说明以及磋商供应商与集采机构就有关磋商的所有来往函电均应使用中文简体字。外文资料必须提供中文译文，并保持与原文一致，否则，产生的不利后果由供应商承担。</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9.2</w:t>
      </w:r>
      <w:r>
        <w:rPr>
          <w:rFonts w:hint="eastAsia" w:ascii="华文中宋" w:hAnsi="华文中宋" w:eastAsia="华文中宋"/>
          <w:color w:val="auto"/>
        </w:rPr>
        <w:t>响应文件所使用的计量单位，必须使用国家法定计量单位。</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color w:val="auto"/>
        </w:rPr>
      </w:pPr>
      <w:r>
        <w:rPr>
          <w:rFonts w:hint="eastAsia" w:ascii="华文中宋" w:hAnsi="华文中宋" w:eastAsia="华文中宋" w:cs="Times New Roman"/>
          <w:b/>
          <w:color w:val="auto"/>
        </w:rPr>
        <w:t>响应文件的组成及相关要求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right="0" w:rightChars="0" w:firstLine="315" w:firstLineChars="150"/>
        <w:textAlignment w:val="auto"/>
        <w:rPr>
          <w:rFonts w:ascii="华文中宋" w:hAnsi="华文中宋" w:eastAsia="华文中宋"/>
          <w:color w:val="auto"/>
        </w:rPr>
      </w:pPr>
      <w:r>
        <w:rPr>
          <w:rFonts w:ascii="华文中宋" w:hAnsi="华文中宋" w:eastAsia="华文中宋"/>
          <w:color w:val="auto"/>
        </w:rPr>
        <w:t>10.</w:t>
      </w:r>
      <w:r>
        <w:rPr>
          <w:rFonts w:hint="eastAsia" w:ascii="华文中宋" w:hAnsi="华文中宋" w:eastAsia="华文中宋"/>
          <w:color w:val="auto"/>
          <w:lang w:val="en-US" w:eastAsia="zh-CN"/>
        </w:rPr>
        <w:t xml:space="preserve">1 </w:t>
      </w:r>
      <w:r>
        <w:rPr>
          <w:rFonts w:hint="eastAsia" w:ascii="华文中宋" w:hAnsi="华文中宋" w:eastAsia="华文中宋"/>
          <w:color w:val="auto"/>
        </w:rPr>
        <w:t>响应文件分为资格证明文件、商务技术文件、报价一览表</w:t>
      </w:r>
      <w:r>
        <w:rPr>
          <w:rFonts w:hint="eastAsia" w:ascii="华文中宋" w:hAnsi="华文中宋" w:eastAsia="华文中宋" w:cs="微软雅黑"/>
          <w:color w:val="auto"/>
        </w:rPr>
        <w:t>；</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840" w:firstLineChars="400"/>
        <w:textAlignment w:val="auto"/>
        <w:rPr>
          <w:rFonts w:ascii="华文中宋" w:hAnsi="华文中宋" w:eastAsia="华文中宋" w:cs="微软雅黑"/>
          <w:color w:val="auto"/>
        </w:rPr>
      </w:pPr>
      <w:r>
        <w:rPr>
          <w:rFonts w:hint="eastAsia" w:ascii="华文中宋" w:hAnsi="华文中宋" w:eastAsia="华文中宋"/>
          <w:color w:val="auto"/>
        </w:rPr>
        <w:t>响应</w:t>
      </w:r>
      <w:r>
        <w:rPr>
          <w:rFonts w:hint="eastAsia" w:ascii="华文中宋" w:hAnsi="华文中宋" w:eastAsia="华文中宋" w:cs="微软雅黑"/>
          <w:color w:val="auto"/>
        </w:rPr>
        <w:t>文件按各自内容分别以系统要求的格式加密上传；</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840" w:firstLineChars="400"/>
        <w:textAlignment w:val="auto"/>
        <w:rPr>
          <w:rFonts w:ascii="华文中宋" w:hAnsi="华文中宋" w:eastAsia="华文中宋" w:cs="微软雅黑"/>
          <w:color w:val="auto"/>
        </w:rPr>
      </w:pPr>
      <w:r>
        <w:rPr>
          <w:rFonts w:hint="eastAsia" w:ascii="华文中宋" w:hAnsi="华文中宋" w:eastAsia="华文中宋" w:cs="微软雅黑"/>
          <w:color w:val="auto"/>
        </w:rPr>
        <w:t>响应文件的编制、递交及要求按</w:t>
      </w:r>
      <w:r>
        <w:rPr>
          <w:rFonts w:hint="eastAsia" w:ascii="华文中宋" w:hAnsi="华文中宋" w:eastAsia="华文中宋" w:cs="微软雅黑"/>
          <w:color w:val="auto"/>
          <w:lang w:eastAsia="zh-CN"/>
        </w:rPr>
        <w:t>第三部分</w:t>
      </w:r>
      <w:r>
        <w:rPr>
          <w:rFonts w:hint="eastAsia" w:ascii="华文中宋" w:hAnsi="华文中宋" w:eastAsia="华文中宋" w:cs="微软雅黑"/>
          <w:color w:val="auto"/>
        </w:rPr>
        <w:t>规定执行。</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10.2</w:t>
      </w:r>
      <w:r>
        <w:rPr>
          <w:rFonts w:hint="eastAsia" w:ascii="华文中宋" w:hAnsi="华文中宋" w:eastAsia="华文中宋"/>
          <w:color w:val="auto"/>
          <w:lang w:val="en-US" w:eastAsia="zh-CN"/>
        </w:rPr>
        <w:t xml:space="preserve"> </w:t>
      </w:r>
      <w:r>
        <w:rPr>
          <w:rFonts w:hint="eastAsia" w:ascii="华文中宋" w:hAnsi="华文中宋" w:eastAsia="华文中宋"/>
          <w:color w:val="auto"/>
        </w:rPr>
        <w:t>响应文件要求内容详见磋商供应商须知前附表，有格式的详见本磋商文件第八部分。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s="微软雅黑"/>
          <w:color w:val="auto"/>
        </w:rPr>
      </w:pPr>
      <w:r>
        <w:rPr>
          <w:rFonts w:hint="eastAsia" w:ascii="华文中宋" w:hAnsi="华文中宋" w:eastAsia="华文中宋" w:cs="微软雅黑"/>
          <w:color w:val="auto"/>
        </w:rPr>
        <w:t>10.3响应文件按照磋商文件所规定的内容顺序，统一编目、编页码（响应文件中影印件及宣传资料等均须与响应文件正文一起逐页编排页码）。由于编排混乱导致响应文件被误读或查找不到，其责任由磋商供应商承担。</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11.</w:t>
      </w:r>
      <w:r>
        <w:rPr>
          <w:rFonts w:hint="eastAsia" w:ascii="华文中宋" w:hAnsi="华文中宋" w:eastAsia="华文中宋" w:cs="Times New Roman"/>
          <w:b/>
          <w:color w:val="auto"/>
        </w:rPr>
        <w:t>磋商报价</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hint="eastAsia" w:ascii="华文中宋" w:hAnsi="华文中宋" w:eastAsia="华文中宋" w:cs="Times New Roman"/>
          <w:color w:val="auto"/>
        </w:rPr>
      </w:pPr>
      <w:r>
        <w:rPr>
          <w:rFonts w:ascii="华文中宋" w:hAnsi="华文中宋" w:eastAsia="华文中宋" w:cs="Times New Roman"/>
          <w:color w:val="auto"/>
        </w:rPr>
        <w:t xml:space="preserve">11.1 </w:t>
      </w:r>
      <w:r>
        <w:rPr>
          <w:rFonts w:hint="eastAsia" w:ascii="华文中宋" w:hAnsi="华文中宋" w:eastAsia="华文中宋" w:cs="Times New Roman"/>
          <w:color w:val="auto"/>
        </w:rPr>
        <w:t>所有的磋商报价均以人民币元为计算单位。只要投报了一个确定数额的总价，无论分项价格是否全部填报了相应的金额或免费字样，报价均被视为已经包含了但并不限于各项购买货物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cs="Times New Roman"/>
          <w:color w:val="auto"/>
        </w:rPr>
        <w:t>/</w:t>
      </w:r>
      <w:r>
        <w:rPr>
          <w:rFonts w:hint="eastAsia" w:ascii="华文中宋" w:hAnsi="华文中宋" w:eastAsia="华文中宋" w:cs="Times New Roman"/>
          <w:color w:val="auto"/>
        </w:rPr>
        <w:t>服务及其运送、安装、调试、验收、保险和相关服务等的费用。在其它情况下，由于分项报价填报不完整、不清楚或存在</w:t>
      </w:r>
      <w:r>
        <w:rPr>
          <w:rFonts w:hint="eastAsia" w:ascii="华文中宋" w:hAnsi="华文中宋" w:eastAsia="华文中宋" w:cs="Times New Roman"/>
          <w:color w:val="auto"/>
          <w:lang w:eastAsia="zh-CN"/>
        </w:rPr>
        <w:t>其它歧义和</w:t>
      </w:r>
      <w:r>
        <w:rPr>
          <w:rFonts w:hint="eastAsia" w:ascii="华文中宋" w:hAnsi="华文中宋" w:eastAsia="华文中宋" w:cs="Times New Roman"/>
          <w:color w:val="auto"/>
        </w:rPr>
        <w:t>失误</w:t>
      </w:r>
      <w:r>
        <w:rPr>
          <w:rFonts w:hint="eastAsia" w:ascii="华文中宋" w:hAnsi="华文中宋" w:eastAsia="华文中宋" w:cs="Times New Roman"/>
          <w:color w:val="auto"/>
          <w:lang w:eastAsia="zh-CN"/>
        </w:rPr>
        <w:t>的</w:t>
      </w:r>
      <w:r>
        <w:rPr>
          <w:rFonts w:hint="eastAsia" w:ascii="华文中宋" w:hAnsi="华文中宋" w:eastAsia="华文中宋" w:cs="Times New Roman"/>
          <w:color w:val="auto"/>
        </w:rPr>
        <w:t>，所导致的任何不利后果均应当由磋商供应商自行承担。</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11.2 </w:t>
      </w:r>
      <w:r>
        <w:rPr>
          <w:rFonts w:hint="eastAsia" w:ascii="华文中宋" w:hAnsi="华文中宋" w:eastAsia="华文中宋" w:cs="Times New Roman"/>
          <w:color w:val="auto"/>
        </w:rPr>
        <w:t>磋商供应商投报多包的，应分别填报报价一览表。磋商供应商报出的总价为货物</w:t>
      </w:r>
      <w:r>
        <w:rPr>
          <w:rFonts w:ascii="华文中宋" w:hAnsi="华文中宋" w:eastAsia="华文中宋" w:cs="Times New Roman"/>
          <w:color w:val="auto"/>
        </w:rPr>
        <w:t>/</w:t>
      </w:r>
      <w:r>
        <w:rPr>
          <w:rFonts w:hint="eastAsia" w:ascii="华文中宋" w:hAnsi="华文中宋" w:eastAsia="华文中宋" w:cs="Times New Roman"/>
          <w:color w:val="auto"/>
        </w:rPr>
        <w:t>服务全部完成交付的价格。</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11.3</w:t>
      </w:r>
      <w:r>
        <w:rPr>
          <w:rFonts w:hint="eastAsia" w:ascii="华文中宋" w:hAnsi="华文中宋" w:eastAsia="华文中宋" w:cs="Times New Roman"/>
          <w:color w:val="auto"/>
        </w:rPr>
        <w:t>磋商供应商必须整包进行投报，不得拆包分项投报。</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11.4 </w:t>
      </w:r>
      <w:r>
        <w:rPr>
          <w:rFonts w:hint="eastAsia" w:ascii="华文中宋" w:hAnsi="华文中宋" w:eastAsia="华文中宋" w:cs="Times New Roman"/>
          <w:color w:val="auto"/>
        </w:rPr>
        <w:t>本次磋商不接受可选择的报价。</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11.5 </w:t>
      </w:r>
      <w:r>
        <w:rPr>
          <w:rFonts w:hint="eastAsia" w:ascii="华文中宋" w:hAnsi="华文中宋" w:eastAsia="华文中宋" w:cs="Times New Roman"/>
          <w:color w:val="auto"/>
        </w:rPr>
        <w:t>磋商供应商应提供货物</w:t>
      </w:r>
      <w:r>
        <w:rPr>
          <w:rFonts w:ascii="华文中宋" w:hAnsi="华文中宋" w:eastAsia="华文中宋" w:cs="Times New Roman"/>
          <w:color w:val="auto"/>
        </w:rPr>
        <w:t>/</w:t>
      </w:r>
      <w:r>
        <w:rPr>
          <w:rFonts w:hint="eastAsia" w:ascii="华文中宋" w:hAnsi="华文中宋" w:eastAsia="华文中宋" w:cs="Times New Roman"/>
          <w:color w:val="auto"/>
        </w:rPr>
        <w:t>服务的单价（单价中包括货物报价、装箱、包装、包装物料、送货、安装调试费、保险费用及其他应有的费用）、总价及其他事项。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11.6 </w:t>
      </w:r>
      <w:r>
        <w:rPr>
          <w:rFonts w:hint="eastAsia" w:ascii="华文中宋" w:hAnsi="华文中宋" w:eastAsia="华文中宋" w:cs="Times New Roman"/>
          <w:color w:val="auto"/>
        </w:rPr>
        <w:t>任何超出磋商文件要求而额外赠送的货物、服务等其他形式的优惠，在磋商时将不作为价格折算的必备条件。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hint="eastAsia" w:ascii="华文中宋" w:hAnsi="华文中宋" w:eastAsia="华文中宋" w:cs="Times New Roman"/>
          <w:b/>
          <w:bCs/>
          <w:color w:val="auto"/>
        </w:rPr>
      </w:pPr>
      <w:r>
        <w:rPr>
          <w:rFonts w:ascii="华文中宋" w:hAnsi="华文中宋" w:eastAsia="华文中宋" w:cs="Times New Roman"/>
          <w:b/>
          <w:bCs/>
          <w:color w:val="auto"/>
        </w:rPr>
        <w:t>11.7</w:t>
      </w:r>
      <w:r>
        <w:rPr>
          <w:rFonts w:hint="eastAsia" w:ascii="华文中宋" w:hAnsi="华文中宋" w:eastAsia="华文中宋" w:cs="Times New Roman"/>
          <w:b/>
          <w:bCs/>
          <w:color w:val="auto"/>
        </w:rPr>
        <w:t>对于项目实施过程中需要主要辅材的项目，磋商供应商自行设计表格，填写主要辅材清单，注明品牌、型号、产地、单价、数量等内容。</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12. </w:t>
      </w:r>
      <w:r>
        <w:rPr>
          <w:rFonts w:hint="eastAsia" w:ascii="华文中宋" w:hAnsi="华文中宋" w:eastAsia="华文中宋" w:cs="Times New Roman"/>
          <w:b/>
          <w:color w:val="auto"/>
        </w:rPr>
        <w:t>响应文件填写说明</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12.1</w:t>
      </w:r>
      <w:r>
        <w:rPr>
          <w:rFonts w:hint="eastAsia" w:ascii="华文中宋" w:hAnsi="华文中宋" w:eastAsia="华文中宋" w:cs="Times New Roman"/>
          <w:color w:val="auto"/>
        </w:rPr>
        <w:t>磋商供应商应详细阅读磋商文件的全部内容，按磋商文件的要求提供响应文件，并对磋商文件中的内容做出实质性和完整性的响应，否则，磋商供应商须自行承担由此引起的风险和责任。</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12.2 </w:t>
      </w:r>
      <w:r>
        <w:rPr>
          <w:rFonts w:hint="eastAsia" w:ascii="华文中宋" w:hAnsi="华文中宋" w:eastAsia="华文中宋" w:cs="Times New Roman"/>
          <w:color w:val="auto"/>
        </w:rPr>
        <w:t>磋商文件有固定格式要求的须按第八部分提供的统一格式逐项填写；无相应内容可填的项填写“无”、“未测试”、“没有相应指标”、“/”等明确的回答。</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hint="eastAsia" w:ascii="华文中宋" w:hAnsi="华文中宋" w:eastAsia="华文中宋" w:cs="Times New Roman"/>
          <w:color w:val="auto"/>
        </w:rPr>
        <w:t>12.3 报价一览表应按磋商文件提供的格式统一填写。</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12.4 </w:t>
      </w:r>
      <w:r>
        <w:rPr>
          <w:rFonts w:hint="eastAsia" w:ascii="华文中宋" w:hAnsi="华文中宋" w:eastAsia="华文中宋" w:cs="Times New Roman"/>
          <w:color w:val="auto"/>
        </w:rPr>
        <w:t>磋商供应商必须保证响应文件所提供的全部资料真实可靠，并接受磋商小组对其中任何资料进一步审查的要求，且承担相应的法律责任。</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 w:firstLineChars="150"/>
        <w:textAlignment w:val="auto"/>
        <w:rPr>
          <w:rFonts w:ascii="华文中宋" w:hAnsi="华文中宋" w:eastAsia="华文中宋" w:cs="Times New Roman"/>
          <w:color w:val="auto"/>
        </w:rPr>
      </w:pPr>
      <w:r>
        <w:rPr>
          <w:rFonts w:ascii="华文中宋" w:hAnsi="华文中宋" w:eastAsia="华文中宋" w:cs="Times New Roman"/>
          <w:color w:val="auto"/>
        </w:rPr>
        <w:t>12.5</w:t>
      </w:r>
      <w:r>
        <w:rPr>
          <w:rFonts w:hint="eastAsia" w:ascii="华文中宋" w:hAnsi="华文中宋" w:eastAsia="华文中宋" w:cs="Times New Roman"/>
          <w:color w:val="auto"/>
        </w:rPr>
        <w:t>因响应文件字迹潦草、提交资料不清晰或表达不清楚所引起的不利后果由磋商供应商承担。</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13.</w:t>
      </w:r>
      <w:r>
        <w:rPr>
          <w:rFonts w:hint="eastAsia" w:ascii="华文中宋" w:hAnsi="华文中宋" w:eastAsia="华文中宋" w:cs="Times New Roman"/>
          <w:b/>
          <w:color w:val="auto"/>
        </w:rPr>
        <w:t>响应有效期</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本项目响应有效期详见磋商供应商须知前附表。</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14. </w:t>
      </w:r>
      <w:r>
        <w:rPr>
          <w:rFonts w:hint="eastAsia" w:ascii="华文中宋" w:hAnsi="华文中宋" w:eastAsia="华文中宋" w:cs="Times New Roman"/>
          <w:b/>
          <w:color w:val="auto"/>
        </w:rPr>
        <w:t>响应文件的签署</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 xml:space="preserve">14.1 </w:t>
      </w:r>
      <w:r>
        <w:rPr>
          <w:rFonts w:hint="eastAsia" w:ascii="华文中宋" w:hAnsi="华文中宋" w:eastAsia="华文中宋"/>
          <w:color w:val="auto"/>
        </w:rPr>
        <w:t>组成响应文件的各种文件均应遵守本条规定。</w:t>
      </w:r>
    </w:p>
    <w:p>
      <w:pPr>
        <w:keepNext w:val="0"/>
        <w:keepLines w:val="0"/>
        <w:pageBreakBefore w:val="0"/>
        <w:widowControl w:val="0"/>
        <w:kinsoku/>
        <w:wordWrap/>
        <w:overflowPunct/>
        <w:topLinePunct w:val="0"/>
        <w:autoSpaceDE/>
        <w:autoSpaceDN/>
        <w:bidi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14.2 </w:t>
      </w:r>
      <w:r>
        <w:rPr>
          <w:rFonts w:hint="eastAsia" w:ascii="华文中宋" w:hAnsi="华文中宋" w:eastAsia="华文中宋"/>
          <w:color w:val="auto"/>
        </w:rPr>
        <w:t>磋商供应商在响应文件及相关文件的签订、履行、通知等事项中，须在“盖章”、“印章”、“公章”“签章”等处盖电子印章。</w:t>
      </w:r>
    </w:p>
    <w:p>
      <w:pPr>
        <w:keepNext w:val="0"/>
        <w:keepLines w:val="0"/>
        <w:pageBreakBefore w:val="0"/>
        <w:widowControl w:val="0"/>
        <w:kinsoku/>
        <w:wordWrap/>
        <w:overflowPunct/>
        <w:topLinePunct w:val="0"/>
        <w:autoSpaceDE/>
        <w:autoSpaceDN/>
        <w:bidi w:val="0"/>
        <w:spacing w:line="500" w:lineRule="exact"/>
        <w:ind w:right="0" w:rightChars="0" w:firstLine="315" w:firstLineChars="150"/>
        <w:rPr>
          <w:rFonts w:ascii="华文中宋" w:hAnsi="华文中宋" w:eastAsia="华文中宋"/>
          <w:color w:val="auto"/>
        </w:rPr>
      </w:pPr>
      <w:r>
        <w:rPr>
          <w:rFonts w:hint="eastAsia" w:ascii="华文中宋" w:hAnsi="华文中宋" w:eastAsia="华文中宋"/>
          <w:color w:val="auto"/>
        </w:rPr>
        <w:t>14.3上传至山西政府采购平台成册的响应</w:t>
      </w:r>
      <w:r>
        <w:rPr>
          <w:rFonts w:ascii="华文中宋" w:hAnsi="华文中宋" w:eastAsia="华文中宋"/>
          <w:color w:val="auto"/>
        </w:rPr>
        <w:t>文件</w:t>
      </w:r>
      <w:r>
        <w:rPr>
          <w:rFonts w:hint="eastAsia" w:ascii="华文中宋" w:hAnsi="华文中宋" w:eastAsia="华文中宋"/>
          <w:color w:val="auto"/>
        </w:rPr>
        <w:t>须按磋商文件要求加盖电子印章，响应文件封面加盖电子印章后，响应文件其他内容均</w:t>
      </w:r>
      <w:r>
        <w:rPr>
          <w:rFonts w:ascii="华文中宋" w:hAnsi="华文中宋" w:eastAsia="华文中宋"/>
          <w:color w:val="auto"/>
        </w:rPr>
        <w:t>视为具有法律效力</w:t>
      </w:r>
      <w:r>
        <w:rPr>
          <w:rFonts w:hint="eastAsia" w:ascii="华文中宋" w:hAnsi="华文中宋" w:eastAsia="华文中宋"/>
          <w:color w:val="auto"/>
        </w:rPr>
        <w:t>。</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四、响应文件的提交</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b/>
        </w:rPr>
      </w:pPr>
      <w:r>
        <w:rPr>
          <w:rFonts w:ascii="华文中宋" w:hAnsi="华文中宋" w:eastAsia="华文中宋"/>
          <w:b/>
        </w:rPr>
        <w:t xml:space="preserve">15.  </w:t>
      </w:r>
      <w:r>
        <w:rPr>
          <w:rFonts w:hint="eastAsia" w:ascii="华文中宋" w:hAnsi="华文中宋" w:eastAsia="华文中宋"/>
          <w:b/>
        </w:rPr>
        <w:t>提交响应文件截止时间</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15.1</w:t>
      </w:r>
      <w:r>
        <w:rPr>
          <w:rFonts w:hint="eastAsia" w:ascii="华文中宋" w:hAnsi="华文中宋" w:eastAsia="华文中宋"/>
        </w:rPr>
        <w:t>磋商供应商须在规定时间对响应文件进行上传并解密，如遇到外部环境原因而造成解密失败的，不利后果由磋商供应商自行承担。</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集采机构根据本须知的规定，通过修改磋商文件或自行决定延长首次响应文件截止日期的，采购人和磋商供应商受提交截止日期制约的所有权利和义务均延长至新的截止日期。</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b/>
        </w:rPr>
      </w:pPr>
      <w:r>
        <w:rPr>
          <w:rFonts w:ascii="华文中宋" w:hAnsi="华文中宋" w:eastAsia="华文中宋"/>
          <w:b/>
        </w:rPr>
        <w:t>16</w:t>
      </w:r>
      <w:r>
        <w:rPr>
          <w:rFonts w:hint="eastAsia" w:ascii="华文中宋" w:hAnsi="华文中宋" w:eastAsia="华文中宋"/>
          <w:b/>
          <w:szCs w:val="21"/>
        </w:rPr>
        <w:t>．</w:t>
      </w:r>
      <w:r>
        <w:rPr>
          <w:rFonts w:hint="eastAsia" w:ascii="华文中宋" w:hAnsi="华文中宋" w:eastAsia="华文中宋"/>
          <w:b/>
        </w:rPr>
        <w:t>响应文件的补充、修改和撤回</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16.1</w:t>
      </w:r>
      <w:r>
        <w:rPr>
          <w:rFonts w:hint="eastAsia" w:ascii="华文中宋" w:hAnsi="华文中宋" w:eastAsia="华文中宋"/>
        </w:rPr>
        <w:t>磋商供应商在响应文件解密截止时间前，可以对响应文件进行补充、修改或者撤回，补充、修改的内容作为响应文件的组成部分，补充、修改的内容与响应文件不一致的，以补充、修改的内容为准。</w:t>
      </w:r>
    </w:p>
    <w:p>
      <w:pPr>
        <w:keepNext w:val="0"/>
        <w:keepLines w:val="0"/>
        <w:pageBreakBefore w:val="0"/>
        <w:widowControl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rPr>
      </w:pPr>
      <w:r>
        <w:rPr>
          <w:rFonts w:ascii="华文中宋" w:hAnsi="华文中宋" w:eastAsia="华文中宋"/>
        </w:rPr>
        <w:t>16.2</w:t>
      </w:r>
      <w:r>
        <w:rPr>
          <w:rFonts w:hint="eastAsia" w:ascii="华文中宋" w:hAnsi="华文中宋" w:eastAsia="华文中宋"/>
        </w:rPr>
        <w:t>在磋商文件要求的响应文件提交截止时间之后，磋商供应商不得对其响应文件进行补充、修改或撤回。</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五、磋商采购程序</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b/>
          <w:color w:val="auto"/>
        </w:rPr>
      </w:pPr>
      <w:r>
        <w:rPr>
          <w:rFonts w:ascii="华文中宋" w:hAnsi="华文中宋" w:eastAsia="华文中宋"/>
          <w:b/>
          <w:color w:val="auto"/>
        </w:rPr>
        <w:t>17</w:t>
      </w:r>
      <w:r>
        <w:rPr>
          <w:rFonts w:hint="eastAsia" w:ascii="华文中宋" w:hAnsi="华文中宋" w:eastAsia="华文中宋"/>
          <w:b/>
          <w:color w:val="auto"/>
        </w:rPr>
        <w:t>．成立磋商小组</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17.1 </w:t>
      </w:r>
      <w:r>
        <w:rPr>
          <w:rFonts w:hint="eastAsia" w:ascii="华文中宋" w:hAnsi="华文中宋" w:eastAsia="华文中宋"/>
          <w:color w:val="auto"/>
        </w:rPr>
        <w:t>根据政府采购有关法律法规的规定，依法组建成立磋商小组，磋商小组由采购人代表和有关专家共三人以上的单数组成。</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17.2 </w:t>
      </w:r>
      <w:r>
        <w:rPr>
          <w:rFonts w:hint="eastAsia" w:ascii="华文中宋" w:hAnsi="华文中宋" w:eastAsia="华文中宋"/>
          <w:color w:val="auto"/>
        </w:rPr>
        <w:t>磋商小组成员按照客观、公正、审慎的原则，根据磋商文件规定的的评审程序、评审方法和评审标准进行独立评审，完成具体的磋商评审事务</w:t>
      </w:r>
      <w:r>
        <w:rPr>
          <w:rFonts w:hint="eastAsia" w:ascii="华文中宋" w:hAnsi="华文中宋" w:eastAsia="华文中宋"/>
          <w:b/>
          <w:color w:val="auto"/>
        </w:rPr>
        <w:t>，</w:t>
      </w:r>
      <w:r>
        <w:rPr>
          <w:rFonts w:hint="eastAsia" w:ascii="华文中宋" w:hAnsi="华文中宋" w:eastAsia="华文中宋"/>
          <w:color w:val="auto"/>
        </w:rPr>
        <w:t>提出经磋商小组签字的书面磋商评审报告。</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17.3 </w:t>
      </w:r>
      <w:r>
        <w:rPr>
          <w:rFonts w:hint="eastAsia" w:ascii="华文中宋" w:hAnsi="华文中宋" w:eastAsia="华文中宋"/>
          <w:color w:val="auto"/>
        </w:rPr>
        <w:t>磋商活动的组织工作由集采机构负责。</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17.4</w:t>
      </w:r>
      <w:r>
        <w:rPr>
          <w:rFonts w:hint="eastAsia" w:ascii="华文中宋" w:hAnsi="华文中宋" w:eastAsia="华文中宋"/>
          <w:color w:val="auto"/>
        </w:rPr>
        <w:t>本项目采用网上电子评审的方式进行，依据上传至系统的响应文件及远程视频方式进行磋商，因不可抗因素导致业务执行系统无法正常运行时，集采机构将等待系统恢复正常后继续进行磋商。系统不能及时恢复正常时，集采机构将封标，待系统恢复正常后继续或重新进行磋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b/>
          <w:color w:val="auto"/>
        </w:rPr>
      </w:pPr>
      <w:r>
        <w:rPr>
          <w:rFonts w:ascii="华文中宋" w:hAnsi="华文中宋" w:eastAsia="华文中宋"/>
          <w:b/>
          <w:color w:val="auto"/>
        </w:rPr>
        <w:t xml:space="preserve">18. </w:t>
      </w:r>
      <w:r>
        <w:rPr>
          <w:rFonts w:hint="eastAsia" w:ascii="华文中宋" w:hAnsi="华文中宋" w:eastAsia="华文中宋"/>
          <w:b/>
          <w:color w:val="auto"/>
        </w:rPr>
        <w:t>响应文件的审查顺序</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olor w:val="auto"/>
        </w:rPr>
      </w:pPr>
      <w:r>
        <w:rPr>
          <w:rFonts w:hint="eastAsia" w:ascii="华文中宋" w:hAnsi="华文中宋" w:eastAsia="华文中宋"/>
          <w:color w:val="auto"/>
        </w:rPr>
        <w:t>在磋商地点，在规定的时间内，按照随机顺序对响应文件进行审查。</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b/>
          <w:color w:val="auto"/>
        </w:rPr>
      </w:pPr>
      <w:r>
        <w:rPr>
          <w:rFonts w:ascii="华文中宋" w:hAnsi="华文中宋" w:eastAsia="华文中宋"/>
          <w:b/>
          <w:color w:val="auto"/>
        </w:rPr>
        <w:t xml:space="preserve">19. </w:t>
      </w:r>
      <w:r>
        <w:rPr>
          <w:rFonts w:hint="eastAsia" w:ascii="华文中宋" w:hAnsi="华文中宋" w:eastAsia="华文中宋"/>
          <w:b/>
          <w:color w:val="auto"/>
        </w:rPr>
        <w:t>响应文件审查</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19.1磋商小组进行资格性检查及有效性、完整性、响应程度审查，应严格遵循本文件第五部分评定和成交标准中的相关规定。</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19.2 资格性检查，磋商小组对每个磋商供应商提交的响应文件中的资格证明文件进行审查，以确定参加磋商的供应商是否具备磋商资格。</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19.3 有效性、完整性和响应程度审查，由磋商小组依据磋商文件的规定进行审查，以确定响应文件是否对磋商文件的实质性要求作出响应。</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2）磋商小组要求磋商供应商澄清、说明或者更正响应文件应当在山西政府采购平台书面提出，供应商的澄清、说明或者更正应当由法定代表人或其授权代表签字或者加盖电子印章。由授权代表签字的，应当附法定代表人授权书。供应商为自然人的，应当由本人签字并附身份证明。</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19.4 磋商供应商提交的响应文件未通过资格性审查或者有效性、完整性和响应程度审查的，须在评审报告中提供充分的事实依据和法律依据，依据可为采购文件条款。</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s="Times New Roman"/>
          <w:b/>
          <w:color w:val="auto"/>
        </w:rPr>
      </w:pPr>
      <w:r>
        <w:rPr>
          <w:rFonts w:ascii="华文中宋" w:hAnsi="华文中宋" w:eastAsia="华文中宋" w:cs="Times New Roman"/>
          <w:b/>
          <w:color w:val="auto"/>
        </w:rPr>
        <w:t>20.</w:t>
      </w:r>
      <w:r>
        <w:rPr>
          <w:rFonts w:hint="eastAsia" w:ascii="华文中宋" w:hAnsi="华文中宋" w:eastAsia="华文中宋" w:cs="Times New Roman"/>
          <w:b/>
          <w:color w:val="auto"/>
        </w:rPr>
        <w:t>审查中遵循的原则</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20.1</w:t>
      </w:r>
      <w:r>
        <w:rPr>
          <w:rFonts w:hint="eastAsia" w:ascii="华文中宋" w:hAnsi="华文中宋" w:eastAsia="华文中宋"/>
          <w:color w:val="auto"/>
        </w:rPr>
        <w:t>审查中，磋商供应商存在下列情况之一的，响应无效：</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olor w:val="auto"/>
          <w:lang w:eastAsia="zh-CN"/>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）未按磋商文件的规定提交保证金的；</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若有的话</w:t>
      </w:r>
      <w:r>
        <w:rPr>
          <w:rFonts w:hint="eastAsia" w:ascii="华文中宋" w:hAnsi="华文中宋" w:eastAsia="华文中宋"/>
          <w:color w:val="auto"/>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）响应文件未按磋商文件要求签署、盖章的；</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）不具备磋商文件规定的资格要求的；</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）报价超过磋商文件规定预算金额的；</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）响应文件含有采购人不能接受的附加条件的；</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）法律、法规和磋商文件规定的其他无效情形的。</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20.2</w:t>
      </w:r>
      <w:r>
        <w:rPr>
          <w:rFonts w:hint="eastAsia" w:ascii="华文中宋" w:hAnsi="华文中宋" w:eastAsia="华文中宋"/>
          <w:color w:val="auto"/>
        </w:rPr>
        <w:t>审查中，对</w:t>
      </w:r>
      <w:r>
        <w:rPr>
          <w:rFonts w:hint="eastAsia" w:ascii="华文中宋" w:hAnsi="华文中宋" w:eastAsia="华文中宋"/>
          <w:color w:val="auto"/>
          <w:lang w:eastAsia="zh-CN"/>
        </w:rPr>
        <w:t>报价中</w:t>
      </w:r>
      <w:r>
        <w:rPr>
          <w:rFonts w:hint="eastAsia" w:ascii="华文中宋" w:hAnsi="华文中宋" w:eastAsia="华文中宋"/>
          <w:color w:val="auto"/>
        </w:rPr>
        <w:t>明显的文字和计算错误</w:t>
      </w:r>
      <w:r>
        <w:rPr>
          <w:rFonts w:hint="eastAsia" w:ascii="华文中宋" w:hAnsi="华文中宋" w:eastAsia="华文中宋"/>
          <w:color w:val="auto"/>
          <w:lang w:eastAsia="zh-CN"/>
        </w:rPr>
        <w:t>及其它问题</w:t>
      </w:r>
      <w:r>
        <w:rPr>
          <w:rFonts w:hint="eastAsia" w:ascii="华文中宋" w:hAnsi="华文中宋" w:eastAsia="华文中宋"/>
          <w:color w:val="auto"/>
        </w:rPr>
        <w:t>按下述原则处理：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）报价一览表内容与响应文件中相应内容不一致的</w:t>
      </w:r>
      <w:r>
        <w:rPr>
          <w:rFonts w:ascii="华文中宋" w:hAnsi="华文中宋" w:eastAsia="华文中宋"/>
          <w:color w:val="auto"/>
        </w:rPr>
        <w:t>,</w:t>
      </w:r>
      <w:r>
        <w:rPr>
          <w:rFonts w:hint="eastAsia" w:ascii="华文中宋" w:hAnsi="华文中宋" w:eastAsia="华文中宋"/>
          <w:color w:val="auto"/>
        </w:rPr>
        <w:t>以报价一览表为准；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）大写金额和小写金额不一致的，以大写金额为准；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）单价金额小数点或百分比有明显错误的，以报价一览表的总价为准，并修改单价；</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）总价金额与按单价汇总金额不一致的，以单价金额计算结果为准。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lang w:val="en-US" w:eastAsia="zh-CN"/>
        </w:rPr>
        <w:t xml:space="preserve">   </w:t>
      </w:r>
      <w:r>
        <w:rPr>
          <w:rFonts w:hint="eastAsia" w:ascii="华文中宋" w:hAnsi="华文中宋" w:eastAsia="华文中宋"/>
          <w:color w:val="auto"/>
        </w:rPr>
        <w:t>磋商小组将要求磋商供应商按上述原则调整确认，磋商供应商确认后的报价对磋商供应商具有约束力，如果磋商供应商不予确认，其响应无效。</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20.3未通过资格性检查或未实质性响应磋商文件规定要求的响应文件按无效响应处理，须在评审报告中提供充分的事实依据和法律依据，依据可为采购文件条款。同时，磋商小组须及时告知有关磋商供应商。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20.4实质性响应的响应文件是指与磋商文件的条款、条件和规格相符，根据本磋商文件规定的审查内容，经磋商小组认定的没有重大偏离或保留的响应文件。</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20.5重大偏离或保留系指磋商供应商提供的服务的主要内容、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b/>
          <w:color w:val="auto"/>
        </w:rPr>
      </w:pPr>
      <w:r>
        <w:rPr>
          <w:rFonts w:ascii="华文中宋" w:hAnsi="华文中宋" w:eastAsia="华文中宋"/>
          <w:b/>
          <w:color w:val="auto"/>
        </w:rPr>
        <w:t>21</w:t>
      </w:r>
      <w:r>
        <w:rPr>
          <w:rFonts w:hint="eastAsia" w:ascii="华文中宋" w:hAnsi="华文中宋" w:eastAsia="华文中宋"/>
          <w:b/>
          <w:color w:val="auto"/>
        </w:rPr>
        <w:t>．</w:t>
      </w:r>
      <w:r>
        <w:rPr>
          <w:rFonts w:hint="eastAsia" w:ascii="华文中宋" w:hAnsi="华文中宋" w:eastAsia="华文中宋"/>
          <w:b/>
          <w:bCs/>
          <w:color w:val="auto"/>
        </w:rPr>
        <w:t>磋商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b/>
          <w:bCs/>
          <w:color w:val="auto"/>
        </w:rPr>
      </w:pPr>
      <w:r>
        <w:rPr>
          <w:rFonts w:ascii="华文中宋" w:hAnsi="华文中宋" w:eastAsia="华文中宋"/>
          <w:bCs/>
          <w:color w:val="auto"/>
        </w:rPr>
        <w:t xml:space="preserve">21.1 </w:t>
      </w:r>
      <w:r>
        <w:rPr>
          <w:rFonts w:hint="eastAsia" w:ascii="华文中宋" w:hAnsi="华文中宋" w:eastAsia="华文中宋"/>
          <w:color w:val="auto"/>
        </w:rPr>
        <w:t>磋商小组所有成员集中与单一磋商供应商分别进行磋商，并给予所有参加磋商的磋商供应商平等的磋商机会。</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21.2 </w:t>
      </w:r>
      <w:r>
        <w:rPr>
          <w:rFonts w:hint="eastAsia" w:ascii="华文中宋" w:hAnsi="华文中宋" w:eastAsia="华文中宋"/>
          <w:color w:val="auto"/>
        </w:rPr>
        <w:t>磋商的顺序，按照参加磋商的供应商随机顺序进行。</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b/>
          <w:bCs/>
          <w:color w:val="auto"/>
        </w:rPr>
      </w:pPr>
      <w:r>
        <w:rPr>
          <w:rFonts w:ascii="华文中宋" w:hAnsi="华文中宋" w:eastAsia="华文中宋"/>
          <w:b/>
          <w:bCs/>
          <w:color w:val="auto"/>
        </w:rPr>
        <w:t xml:space="preserve">21.3 </w:t>
      </w:r>
      <w:r>
        <w:rPr>
          <w:rFonts w:hint="eastAsia" w:ascii="华文中宋" w:hAnsi="华文中宋" w:eastAsia="华文中宋"/>
          <w:b/>
          <w:bCs/>
          <w:color w:val="auto"/>
        </w:rPr>
        <w:t>磋商内容包括货物</w:t>
      </w:r>
      <w:r>
        <w:rPr>
          <w:rFonts w:ascii="华文中宋" w:hAnsi="华文中宋" w:eastAsia="华文中宋"/>
          <w:b/>
          <w:bCs/>
          <w:color w:val="auto"/>
        </w:rPr>
        <w:t>/</w:t>
      </w:r>
      <w:r>
        <w:rPr>
          <w:rFonts w:hint="eastAsia" w:ascii="华文中宋" w:hAnsi="华文中宋" w:eastAsia="华文中宋"/>
          <w:b/>
          <w:bCs/>
          <w:color w:val="auto"/>
        </w:rPr>
        <w:t>服务的技术配置、售后服务、</w:t>
      </w:r>
      <w:r>
        <w:rPr>
          <w:rFonts w:hint="eastAsia" w:ascii="华文中宋" w:hAnsi="华文中宋" w:eastAsia="华文中宋"/>
          <w:b/>
          <w:bCs/>
          <w:color w:val="auto"/>
          <w:lang w:val="en-US" w:eastAsia="zh-CN"/>
        </w:rPr>
        <w:t>培训方案、</w:t>
      </w:r>
      <w:r>
        <w:rPr>
          <w:rFonts w:hint="eastAsia" w:ascii="华文中宋" w:hAnsi="华文中宋" w:eastAsia="华文中宋"/>
          <w:b/>
          <w:bCs/>
          <w:color w:val="auto"/>
        </w:rPr>
        <w:t>服务方案、价格等采购需求以及磋商小组认为有必要明确的其它问题。</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21.4</w:t>
      </w:r>
      <w:r>
        <w:rPr>
          <w:rFonts w:hint="eastAsia" w:ascii="华文中宋" w:hAnsi="华文中宋" w:eastAsia="华文中宋"/>
          <w:color w:val="auto"/>
        </w:rPr>
        <w:t>磋商过程中，磋商小组可以根据磋商文件和磋商情况实质性变动采购需求中的技术、服务要求以及合同草案条款，但不得变动磋商文件中的其他内容。实质性变动的内容，须经采购人代表确认。</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hint="eastAsia" w:ascii="华文中宋" w:hAnsi="华文中宋" w:eastAsia="华文中宋" w:cs="宋体"/>
          <w:color w:val="auto"/>
        </w:rPr>
        <w:t>21.5</w:t>
      </w:r>
      <w:r>
        <w:rPr>
          <w:rFonts w:hint="eastAsia" w:ascii="华文中宋" w:hAnsi="华文中宋" w:eastAsia="华文中宋"/>
          <w:color w:val="auto"/>
        </w:rPr>
        <w:t>对磋商文件作出的实质性变动是磋商文件的有效组成部分，磋商小组在系统内以书面形式同时通知所有参加磋商的供应商。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hint="eastAsia" w:ascii="华文中宋" w:hAnsi="华文中宋" w:eastAsia="华文中宋"/>
          <w:color w:val="auto"/>
        </w:rPr>
        <w:t>21.6磋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21.</w:t>
      </w:r>
      <w:r>
        <w:rPr>
          <w:rFonts w:hint="eastAsia" w:ascii="华文中宋" w:hAnsi="华文中宋" w:eastAsia="华文中宋"/>
          <w:color w:val="auto"/>
        </w:rPr>
        <w:t>7磋商过程中，磋商供应商的所有承诺、补充文件以及重新提交的响应文件，需要加盖电子印章在系统内进行提交。</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b/>
          <w:i/>
          <w:color w:val="auto"/>
        </w:rPr>
      </w:pPr>
      <w:r>
        <w:rPr>
          <w:rFonts w:ascii="华文中宋" w:hAnsi="华文中宋" w:eastAsia="华文中宋"/>
          <w:b/>
          <w:color w:val="auto"/>
        </w:rPr>
        <w:t xml:space="preserve">22. </w:t>
      </w:r>
      <w:r>
        <w:rPr>
          <w:rFonts w:hint="eastAsia" w:ascii="华文中宋" w:hAnsi="华文中宋" w:eastAsia="华文中宋"/>
          <w:b/>
          <w:color w:val="auto"/>
        </w:rPr>
        <w:t>最后报价</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22.1磋商结束后，对磋商文件做出实质性响应的磋商供应商进行最后报价，最后报价在山西政府采购平台中进行，最后报价是磋商供应商响应文件有效的组成部分。</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22.2磋商文件已详细列明采购标的的技术、服务要求的，磋商结束后，所有实质性响应的供应商须在磋商小组规定时间内提交最后报价。</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22.3磋商文件不能详细列明采购标的的技术、服务要求，需经磋商由磋商供应商提供最终设计方案或解决方案的，磋商结束后，磋商小组将按照少数服从多数的原则投票推荐3家以上磋商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22.4属于市场竞争不充分的科研项目、需要扶持的科技成果转化项目及政府购买服务项目（含政府和社会资本合作项目），提交最后报价的供应商可以为2家。</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22.5已提交响应文件的供应商，在提交最后报价之前，可以根据磋商情况退出磋商，退出磋商时加盖电子印章在系统内提出。</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 xml:space="preserve">22.6磋商小组将结合项目采购需求、行业发展、市场竞争以及与其他供应商的报价等对报价进行合理性审查，认为供应商的报价明显低于其他通过符合性审查供应商的报价，可能影响产品质量或者不能诚信履约的，要求其在“山西政府采购平台”合理的时间内在线提供书面说明，必要时提交相关证明材料，书面说明与证明材料一并保存到“山西政府采购平台”中。供应商能够证明其报价合理性、不影响产品质量或诚信履约的，可继续参加评审；否则，磋商小组可将其响应文件作为无效响应处理。 </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b/>
          <w:color w:val="auto"/>
        </w:rPr>
      </w:pPr>
      <w:r>
        <w:rPr>
          <w:rFonts w:ascii="华文中宋" w:hAnsi="华文中宋" w:eastAsia="华文中宋"/>
          <w:b/>
          <w:color w:val="auto"/>
        </w:rPr>
        <w:t>23.</w:t>
      </w:r>
      <w:r>
        <w:rPr>
          <w:rFonts w:hint="eastAsia" w:ascii="华文中宋" w:hAnsi="华文中宋" w:eastAsia="华文中宋"/>
          <w:b/>
          <w:color w:val="auto"/>
        </w:rPr>
        <w:t>综合评审</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23.1 </w:t>
      </w:r>
      <w:r>
        <w:rPr>
          <w:rFonts w:hint="eastAsia" w:ascii="华文中宋" w:hAnsi="华文中宋" w:eastAsia="华文中宋"/>
          <w:color w:val="auto"/>
        </w:rPr>
        <w:t>经磋商确定最终采购需求和提交最后报价的供应商后，由磋商小组采用综合评分法对提交最后报价的磋商供应商的响应文件和最后报价进行综合评分。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 xml:space="preserve">23.2 </w:t>
      </w:r>
      <w:r>
        <w:rPr>
          <w:rFonts w:hint="eastAsia" w:ascii="华文中宋" w:hAnsi="华文中宋" w:eastAsia="华文中宋"/>
          <w:color w:val="auto"/>
        </w:rPr>
        <w:t>采用综合评分法评审，应按照磋商文件</w:t>
      </w:r>
      <w:r>
        <w:rPr>
          <w:rFonts w:hint="eastAsia" w:ascii="华文中宋" w:hAnsi="华文中宋" w:eastAsia="华文中宋"/>
          <w:bCs/>
          <w:color w:val="auto"/>
        </w:rPr>
        <w:t>第六部分评定和成交标准</w:t>
      </w:r>
      <w:r>
        <w:rPr>
          <w:rFonts w:hint="eastAsia" w:ascii="华文中宋" w:hAnsi="华文中宋" w:eastAsia="华文中宋"/>
          <w:color w:val="auto"/>
        </w:rPr>
        <w:t>中规定的综合评分法评分细则进行。</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b/>
          <w:color w:val="auto"/>
        </w:rPr>
      </w:pPr>
      <w:r>
        <w:rPr>
          <w:rFonts w:ascii="华文中宋" w:hAnsi="华文中宋" w:eastAsia="华文中宋"/>
          <w:b/>
          <w:color w:val="auto"/>
        </w:rPr>
        <w:t xml:space="preserve">24. </w:t>
      </w:r>
      <w:r>
        <w:rPr>
          <w:rFonts w:hint="eastAsia" w:ascii="华文中宋" w:hAnsi="华文中宋" w:eastAsia="华文中宋"/>
          <w:b/>
          <w:color w:val="auto"/>
        </w:rPr>
        <w:t>推荐成交候选供应商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rPr>
          <w:rFonts w:ascii="华文中宋" w:hAnsi="华文中宋" w:eastAsia="华文中宋"/>
          <w:color w:val="auto"/>
        </w:rPr>
      </w:pPr>
      <w:r>
        <w:rPr>
          <w:rFonts w:ascii="华文中宋" w:hAnsi="华文中宋" w:eastAsia="华文中宋"/>
          <w:color w:val="auto"/>
        </w:rPr>
        <w:t>24.</w:t>
      </w:r>
      <w:r>
        <w:rPr>
          <w:rFonts w:hint="eastAsia" w:ascii="华文中宋" w:hAnsi="华文中宋" w:eastAsia="华文中宋"/>
          <w:color w:val="auto"/>
        </w:rPr>
        <w:t>1磋商小组根据综合评分情况，按照评审得分由高到低顺序</w:t>
      </w:r>
      <w:r>
        <w:rPr>
          <w:rFonts w:hint="eastAsia" w:ascii="华文中宋" w:hAnsi="华文中宋" w:eastAsia="华文中宋"/>
          <w:color w:val="auto"/>
          <w:lang w:val="en-US" w:eastAsia="zh-CN"/>
        </w:rPr>
        <w:t>直接确定</w:t>
      </w:r>
      <w:r>
        <w:rPr>
          <w:rFonts w:hint="eastAsia" w:ascii="华文中宋" w:hAnsi="华文中宋" w:eastAsia="华文中宋"/>
          <w:color w:val="auto"/>
        </w:rPr>
        <w:t>成交供应商，并</w:t>
      </w:r>
      <w:r>
        <w:rPr>
          <w:rFonts w:hint="eastAsia" w:ascii="华文中宋" w:hAnsi="华文中宋" w:eastAsia="华文中宋"/>
          <w:color w:val="auto"/>
          <w:lang w:val="en-US" w:eastAsia="zh-CN"/>
        </w:rPr>
        <w:t>提交生成</w:t>
      </w:r>
      <w:r>
        <w:rPr>
          <w:rFonts w:hint="eastAsia" w:ascii="华文中宋" w:hAnsi="华文中宋" w:eastAsia="华文中宋"/>
          <w:color w:val="auto"/>
        </w:rPr>
        <w:t>评审报告。属于市场竞争不充分的科研项目、需要扶持的科技成果转化项目及政府购买服务项目（含政府和社会资本合作项目），可以推荐2家成交候选供应商。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spacing w:line="500" w:lineRule="exact"/>
        <w:ind w:right="0" w:rightChars="0" w:firstLine="315" w:firstLineChars="150"/>
        <w:rPr>
          <w:rFonts w:ascii="华文中宋" w:hAnsi="华文中宋" w:eastAsia="华文中宋"/>
          <w:color w:val="auto"/>
          <w:kern w:val="0"/>
          <w:szCs w:val="21"/>
        </w:rPr>
      </w:pPr>
      <w:r>
        <w:rPr>
          <w:rFonts w:hint="eastAsia" w:ascii="华文中宋" w:hAnsi="华文中宋" w:eastAsia="华文中宋"/>
          <w:color w:val="auto"/>
          <w:kern w:val="0"/>
          <w:szCs w:val="21"/>
        </w:rPr>
        <w:t>24.2评审报告由磋商小组全体人员签字认可。磋商小组成员对评审报告有异议的，磋商小组按照少数服从多数的原则推荐成交候选供应商，采购程序继续进行。</w:t>
      </w:r>
    </w:p>
    <w:p>
      <w:pPr>
        <w:keepNext w:val="0"/>
        <w:keepLines w:val="0"/>
        <w:pageBreakBefore w:val="0"/>
        <w:widowControl w:val="0"/>
        <w:kinsoku/>
        <w:wordWrap/>
        <w:overflowPunct/>
        <w:topLinePunct w:val="0"/>
        <w:autoSpaceDE/>
        <w:autoSpaceDN/>
        <w:bidi w:val="0"/>
        <w:spacing w:line="500" w:lineRule="exact"/>
        <w:ind w:right="0" w:rightChars="0" w:firstLine="315" w:firstLineChars="150"/>
        <w:rPr>
          <w:rFonts w:ascii="华文中宋" w:hAnsi="华文中宋" w:eastAsia="华文中宋"/>
          <w:color w:val="auto"/>
          <w:kern w:val="0"/>
          <w:szCs w:val="21"/>
        </w:rPr>
      </w:pPr>
      <w:r>
        <w:rPr>
          <w:rFonts w:hint="eastAsia" w:ascii="华文中宋" w:hAnsi="华文中宋" w:eastAsia="华文中宋"/>
          <w:color w:val="auto"/>
          <w:kern w:val="0"/>
          <w:szCs w:val="21"/>
        </w:rPr>
        <w:t>24.3对评审报告有异议的磋商小组成员，应当在报告上签署不同意见并说明理由，由磋商小组书面记录相关情况。磋商小组成员拒绝在报告上签字又不书面说明其不同意见和理由的，视为同意评审报告。</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b/>
          <w:color w:val="auto"/>
        </w:rPr>
      </w:pPr>
      <w:r>
        <w:rPr>
          <w:rFonts w:ascii="华文中宋" w:hAnsi="华文中宋" w:eastAsia="华文中宋"/>
          <w:b/>
          <w:color w:val="auto"/>
        </w:rPr>
        <w:t xml:space="preserve">25. </w:t>
      </w:r>
      <w:r>
        <w:rPr>
          <w:rFonts w:hint="eastAsia" w:ascii="华文中宋" w:hAnsi="华文中宋" w:eastAsia="华文中宋"/>
          <w:b/>
          <w:color w:val="auto"/>
        </w:rPr>
        <w:t>评审复核</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25.1评审结果汇总完成后，除下列情形外，任何人不得修改评审结果：</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（1）资格性检查认定错误的；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（2）分值汇总计算错误的；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（3）分项评分超出评分标准范围的；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（4）客观分评分不一致的；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（5）经磋商小组认定评分畸高、畸低或存在异常情况的。</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 xml:space="preserve"> 评审报告签署前，经采购代理机构或评审小组组长复核发现存在以上情形之一的，磋商小组应当当场重新确认有关情况，修改评审结果，并在评审报告中记载。如相关评委经确认仍维持原认定及评分结果的，由该评委签暑书面理由一并存档；评审报告签署后，采购人或者集采机构发现存在以上情形之一的，应当组织原磋商小组进行重新评审，重新评审改变评审结果的，书面报告本级财政部门。</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s="Arial"/>
          <w:color w:val="auto"/>
        </w:rPr>
        <w:t>2</w:t>
      </w:r>
      <w:r>
        <w:rPr>
          <w:rFonts w:hint="eastAsia" w:ascii="华文中宋" w:hAnsi="华文中宋" w:eastAsia="华文中宋" w:cs="Arial"/>
          <w:color w:val="auto"/>
        </w:rPr>
        <w:t>5</w:t>
      </w:r>
      <w:r>
        <w:rPr>
          <w:rFonts w:ascii="华文中宋" w:hAnsi="华文中宋" w:eastAsia="华文中宋" w:cs="Arial"/>
          <w:color w:val="auto"/>
        </w:rPr>
        <w:t>.2</w:t>
      </w:r>
      <w:r>
        <w:rPr>
          <w:rFonts w:hint="eastAsia" w:ascii="华文中宋" w:hAnsi="华文中宋" w:eastAsia="华文中宋" w:cs="Arial"/>
          <w:color w:val="auto"/>
        </w:rPr>
        <w:t>在磋商过程中发现磋商供应商有下列情形的，</w:t>
      </w:r>
      <w:r>
        <w:rPr>
          <w:rFonts w:hint="eastAsia" w:ascii="华文中宋" w:hAnsi="华文中宋" w:eastAsia="华文中宋"/>
          <w:color w:val="auto"/>
        </w:rPr>
        <w:t>磋商小组应认定其响应无效，并书面报告本级财政部门：</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）有恶意串通的；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）有妨碍其他磋商供应商的竞争行为的；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）有损害采购人或者其他磋商供应商的合法权益的；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）不同磋商供应商的响应文件由同一单位或者个人编制</w:t>
      </w:r>
      <w:r>
        <w:rPr>
          <w:rFonts w:hint="eastAsia" w:ascii="华文中宋" w:hAnsi="华文中宋" w:eastAsia="华文中宋" w:cs="华文中宋"/>
          <w:color w:val="auto"/>
        </w:rPr>
        <w:t>；</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）不同磋商供应商委托同一单位或者个人办理磋商事宜；</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）不同磋商供应商的响应文件载明的项目管理成员或者联系人为同一人；</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7</w:t>
      </w:r>
      <w:r>
        <w:rPr>
          <w:rFonts w:hint="eastAsia" w:ascii="华文中宋" w:hAnsi="华文中宋" w:eastAsia="华文中宋"/>
          <w:color w:val="auto"/>
        </w:rPr>
        <w:t>）不同磋商供应商的响应文件异常一致或者磋商报价呈规律性差异；</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8</w:t>
      </w:r>
      <w:r>
        <w:rPr>
          <w:rFonts w:hint="eastAsia" w:ascii="华文中宋" w:hAnsi="华文中宋" w:eastAsia="华文中宋"/>
          <w:color w:val="auto"/>
        </w:rPr>
        <w:t>）不同磋商供应商的响应文件相互混装；</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9</w:t>
      </w:r>
      <w:r>
        <w:rPr>
          <w:rFonts w:hint="eastAsia" w:ascii="华文中宋" w:hAnsi="华文中宋" w:eastAsia="华文中宋"/>
          <w:color w:val="auto"/>
        </w:rPr>
        <w:t>）不同磋商供应商的保证金从同一单位或者个人的账户转出。</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b/>
          <w:color w:val="auto"/>
        </w:rPr>
      </w:pPr>
      <w:r>
        <w:rPr>
          <w:rFonts w:ascii="华文中宋" w:hAnsi="华文中宋" w:eastAsia="华文中宋"/>
          <w:b/>
          <w:color w:val="auto"/>
        </w:rPr>
        <w:t>2</w:t>
      </w:r>
      <w:r>
        <w:rPr>
          <w:rFonts w:hint="eastAsia" w:ascii="华文中宋" w:hAnsi="华文中宋" w:eastAsia="华文中宋"/>
          <w:b/>
          <w:color w:val="auto"/>
        </w:rPr>
        <w:t>6</w:t>
      </w:r>
      <w:r>
        <w:rPr>
          <w:rFonts w:ascii="华文中宋" w:hAnsi="华文中宋" w:eastAsia="华文中宋"/>
          <w:b/>
          <w:color w:val="auto"/>
        </w:rPr>
        <w:t xml:space="preserve">. </w:t>
      </w:r>
      <w:r>
        <w:rPr>
          <w:rFonts w:hint="eastAsia" w:ascii="华文中宋" w:hAnsi="华文中宋" w:eastAsia="华文中宋"/>
          <w:b/>
          <w:color w:val="auto"/>
        </w:rPr>
        <w:t>磋商保密</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6</w:t>
      </w:r>
      <w:r>
        <w:rPr>
          <w:rFonts w:ascii="华文中宋" w:hAnsi="华文中宋" w:eastAsia="华文中宋"/>
          <w:color w:val="auto"/>
        </w:rPr>
        <w:t>.1</w:t>
      </w:r>
      <w:r>
        <w:rPr>
          <w:rFonts w:hint="eastAsia" w:ascii="华文中宋" w:hAnsi="华文中宋" w:eastAsia="华文中宋"/>
          <w:color w:val="auto"/>
        </w:rPr>
        <w:t>在磋商期间，有关人员对磋商情况以及在磋商过程中获悉的国家秘密、商业秘密负有保密责任；任何人不得透露与磋商有关的其他磋商供应商的技术资料、价格和其他信息。</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6</w:t>
      </w:r>
      <w:r>
        <w:rPr>
          <w:rFonts w:ascii="华文中宋" w:hAnsi="华文中宋" w:eastAsia="华文中宋"/>
          <w:color w:val="auto"/>
        </w:rPr>
        <w:t>.2</w:t>
      </w:r>
      <w:r>
        <w:rPr>
          <w:rFonts w:hint="eastAsia" w:ascii="华文中宋" w:hAnsi="华文中宋" w:eastAsia="华文中宋"/>
          <w:color w:val="auto"/>
        </w:rPr>
        <w:t>磋商结束后，参与磋商的所有人员不得带走磋商现场的任何资料。</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b/>
          <w:color w:val="auto"/>
        </w:rPr>
      </w:pPr>
      <w:r>
        <w:rPr>
          <w:rFonts w:ascii="华文中宋" w:hAnsi="华文中宋" w:eastAsia="华文中宋"/>
          <w:b/>
          <w:color w:val="auto"/>
        </w:rPr>
        <w:t>2</w:t>
      </w:r>
      <w:r>
        <w:rPr>
          <w:rFonts w:hint="eastAsia" w:ascii="华文中宋" w:hAnsi="华文中宋" w:eastAsia="华文中宋"/>
          <w:b/>
          <w:color w:val="auto"/>
        </w:rPr>
        <w:t>7</w:t>
      </w:r>
      <w:r>
        <w:rPr>
          <w:rFonts w:ascii="华文中宋" w:hAnsi="华文中宋" w:eastAsia="华文中宋"/>
          <w:b/>
          <w:color w:val="auto"/>
        </w:rPr>
        <w:t xml:space="preserve">. </w:t>
      </w:r>
      <w:r>
        <w:rPr>
          <w:rFonts w:hint="eastAsia" w:ascii="华文中宋" w:hAnsi="华文中宋" w:eastAsia="华文中宋"/>
          <w:b/>
          <w:color w:val="auto"/>
        </w:rPr>
        <w:t>关于磋商供应商瑕疵滞后发现的处理规则</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b/>
          <w:bCs/>
          <w:color w:val="auto"/>
        </w:rPr>
        <w:t>2</w:t>
      </w:r>
      <w:r>
        <w:rPr>
          <w:rFonts w:hint="eastAsia" w:ascii="华文中宋" w:hAnsi="华文中宋" w:eastAsia="华文中宋"/>
          <w:b/>
          <w:bCs/>
          <w:color w:val="auto"/>
        </w:rPr>
        <w:t>8</w:t>
      </w:r>
      <w:r>
        <w:rPr>
          <w:rFonts w:ascii="华文中宋" w:hAnsi="华文中宋" w:eastAsia="华文中宋"/>
          <w:b/>
          <w:bCs/>
          <w:color w:val="auto"/>
        </w:rPr>
        <w:t xml:space="preserve">. </w:t>
      </w:r>
      <w:r>
        <w:rPr>
          <w:rFonts w:hint="eastAsia" w:ascii="华文中宋" w:hAnsi="华文中宋" w:eastAsia="华文中宋"/>
          <w:b/>
          <w:bCs/>
          <w:color w:val="auto"/>
        </w:rPr>
        <w:t>采购项目终止</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8</w:t>
      </w:r>
      <w:r>
        <w:rPr>
          <w:rFonts w:ascii="华文中宋" w:hAnsi="华文中宋" w:eastAsia="华文中宋"/>
          <w:color w:val="auto"/>
        </w:rPr>
        <w:t xml:space="preserve">.1 </w:t>
      </w:r>
      <w:r>
        <w:rPr>
          <w:rFonts w:hint="eastAsia" w:ascii="华文中宋" w:hAnsi="华文中宋" w:eastAsia="华文中宋"/>
          <w:color w:val="auto"/>
        </w:rPr>
        <w:t>出现下列情形之一的，终止本次磋商活动：</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）因情况变化，不再符合规定的竞争性磋商采购方式适用情形的；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）出现影响采购公正的违法、违规行为的；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）除市场竞争不充分的科研项目、需要扶持的科技成果转化项目及政府采购服务项目（含政府和社会资本合作项目）外，在采购过程中符合要求的供应商或者报价未超过采购预算的供应商不足3家的；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）因重大变故，采购任务取消的。</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8</w:t>
      </w:r>
      <w:r>
        <w:rPr>
          <w:rFonts w:ascii="华文中宋" w:hAnsi="华文中宋" w:eastAsia="华文中宋"/>
          <w:color w:val="auto"/>
        </w:rPr>
        <w:t xml:space="preserve">.2 </w:t>
      </w:r>
      <w:r>
        <w:rPr>
          <w:rFonts w:hint="eastAsia" w:ascii="华文中宋" w:hAnsi="华文中宋" w:eastAsia="华文中宋"/>
          <w:color w:val="auto"/>
        </w:rPr>
        <w:t>项目终止磋商后，磋商小组应做出书面报告，集采机构将在财政部门指定的媒体上发布项目终止公告。</w:t>
      </w:r>
    </w:p>
    <w:p>
      <w:pPr>
        <w:pStyle w:val="29"/>
        <w:keepNext w:val="0"/>
        <w:keepLines w:val="0"/>
        <w:pageBreakBefore w:val="0"/>
        <w:widowControl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28.3在采购活动中因重大变故，采购任务取消的，集采机构应当终止采购活动，通知所有参加采购活动的供应商，并将项目实施情况和采购任务取消原因报送本级财政部门。</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六、签订合同</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b/>
          <w:color w:val="auto"/>
          <w:kern w:val="0"/>
          <w:sz w:val="21"/>
          <w:szCs w:val="21"/>
          <w:lang w:val="en-US" w:eastAsia="zh-CN" w:bidi="ar-SA"/>
        </w:rPr>
        <w:t>29．签订合同</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29.1采购人应当自成交通知书（陵川县公共资源交易中心（政府采购中心）现场或线上领取）发出之日起30日内与成交供应商签订书面合同。</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1</w:t>
      </w:r>
      <w:r>
        <w:rPr>
          <w:rFonts w:hint="eastAsia" w:ascii="华文中宋" w:hAnsi="华文中宋" w:eastAsia="华文中宋" w:cs="Times New Roman"/>
          <w:color w:val="auto"/>
          <w:kern w:val="0"/>
          <w:sz w:val="21"/>
          <w:szCs w:val="21"/>
          <w:lang w:val="en-US" w:eastAsia="zh-CN" w:bidi="ar-SA"/>
        </w:rPr>
        <w:t>）本次磋商采用发布公告的形式邀请磋商供应商的，磋商供应商可在本次磋商公告刊登的媒体上查看结果公告，或登录山西政府采购平台查看结果公告；</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2</w:t>
      </w:r>
      <w:r>
        <w:rPr>
          <w:rFonts w:hint="eastAsia" w:ascii="华文中宋" w:hAnsi="华文中宋" w:eastAsia="华文中宋" w:cs="Times New Roman"/>
          <w:color w:val="auto"/>
          <w:kern w:val="0"/>
          <w:sz w:val="21"/>
          <w:szCs w:val="21"/>
          <w:lang w:val="en-US" w:eastAsia="zh-CN" w:bidi="ar-SA"/>
        </w:rPr>
        <w:t>）本次磋商采取采购人和评审专家分别书面推荐的方式邀请供应商的，磋商供应商可登录山西政府采购平台查看结果公告；</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3</w:t>
      </w:r>
      <w:r>
        <w:rPr>
          <w:rFonts w:hint="eastAsia" w:ascii="华文中宋" w:hAnsi="华文中宋" w:eastAsia="华文中宋" w:cs="Times New Roman"/>
          <w:color w:val="auto"/>
          <w:kern w:val="0"/>
          <w:sz w:val="21"/>
          <w:szCs w:val="21"/>
          <w:lang w:val="en-US" w:eastAsia="zh-CN" w:bidi="ar-SA"/>
        </w:rPr>
        <w:t>）成交供应商在政采云线上领取成交通知书，但该成交结果的有效性不依赖于未成交的磋商供应商是否知道成交结果。</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.2</w:t>
      </w:r>
      <w:r>
        <w:rPr>
          <w:rFonts w:hint="eastAsia" w:ascii="华文中宋" w:hAnsi="华文中宋" w:eastAsia="华文中宋" w:cs="Times New Roman"/>
          <w:color w:val="auto"/>
          <w:kern w:val="0"/>
          <w:sz w:val="21"/>
          <w:szCs w:val="21"/>
          <w:lang w:val="en-US" w:eastAsia="zh-CN" w:bidi="ar-SA"/>
        </w:rPr>
        <w:t>成交通知书对采购人和成交供应商具有同等法律效力。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.3</w:t>
      </w:r>
      <w:r>
        <w:rPr>
          <w:rFonts w:hint="eastAsia" w:ascii="华文中宋" w:hAnsi="华文中宋" w:eastAsia="华文中宋" w:cs="Times New Roman"/>
          <w:color w:val="auto"/>
          <w:kern w:val="0"/>
          <w:sz w:val="21"/>
          <w:szCs w:val="21"/>
          <w:lang w:val="en-US" w:eastAsia="zh-CN" w:bidi="ar-SA"/>
        </w:rPr>
        <w:t>成交通知书发出以后，采购人改变成交结果或者成交供应商放弃成交，应当承担相应的法律责任。</w:t>
      </w:r>
      <w:r>
        <w:rPr>
          <w:rFonts w:hint="eastAsia" w:ascii="华文中宋" w:hAnsi="华文中宋" w:eastAsia="华文中宋" w:cs="华文中宋"/>
          <w:color w:val="auto"/>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 xml:space="preserve">.4 </w:t>
      </w:r>
      <w:r>
        <w:rPr>
          <w:rFonts w:hint="eastAsia" w:ascii="华文中宋" w:hAnsi="华文中宋" w:eastAsia="华文中宋" w:cs="Times New Roman"/>
          <w:color w:val="auto"/>
          <w:kern w:val="0"/>
          <w:sz w:val="21"/>
          <w:szCs w:val="21"/>
          <w:lang w:val="en-US" w:eastAsia="zh-CN" w:bidi="ar-SA"/>
        </w:rPr>
        <w:t>成交供应商应按照磋商文件、响应文件及磋商过程中的有关澄清、说明或者补正文件的内容与采购人签订合同。成交供应商不得再与采购人签订背离合同实质性内容的其它协议或声明。</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.5</w:t>
      </w:r>
      <w:r>
        <w:rPr>
          <w:rFonts w:hint="eastAsia" w:ascii="华文中宋" w:hAnsi="华文中宋" w:eastAsia="华文中宋" w:cs="Times New Roman"/>
          <w:color w:val="auto"/>
          <w:kern w:val="0"/>
          <w:sz w:val="21"/>
          <w:szCs w:val="21"/>
          <w:lang w:val="en-US" w:eastAsia="zh-CN" w:bidi="ar-SA"/>
        </w:rPr>
        <w:t>本文件第四部分采购需求中要求成交供应商提交履约保证金的，成交供应商须按照规定向采购人提交履约保证金。</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29.6</w:t>
      </w:r>
      <w:r>
        <w:rPr>
          <w:rFonts w:hint="eastAsia" w:ascii="华文中宋" w:hAnsi="华文中宋" w:eastAsia="华文中宋" w:cs="华文中宋"/>
          <w:color w:val="auto"/>
          <w:kern w:val="0"/>
          <w:sz w:val="21"/>
          <w:szCs w:val="21"/>
          <w:lang w:val="en-US" w:eastAsia="zh-CN" w:bidi="ar-SA"/>
        </w:rPr>
        <w:t>预付款是指政府采购合同签订生效并具备实施条件后，采购人向供应商支付部分合同款项的，按支付要求和双方签订合同中的规定执行，</w:t>
      </w:r>
      <w:r>
        <w:rPr>
          <w:rFonts w:hint="eastAsia" w:ascii="华文中宋" w:hAnsi="华文中宋" w:eastAsia="华文中宋" w:cs="华文中宋"/>
          <w:b/>
          <w:bCs/>
          <w:color w:val="auto"/>
          <w:kern w:val="0"/>
          <w:sz w:val="21"/>
          <w:szCs w:val="21"/>
          <w:lang w:val="en-US" w:eastAsia="zh-CN" w:bidi="ar-SA"/>
        </w:rPr>
        <w:t>如中标供应商为中小企业</w:t>
      </w:r>
      <w:r>
        <w:rPr>
          <w:rFonts w:hint="eastAsia" w:ascii="华文中宋" w:hAnsi="华文中宋" w:eastAsia="华文中宋" w:cs="华文中宋"/>
          <w:color w:val="auto"/>
          <w:kern w:val="0"/>
          <w:sz w:val="21"/>
          <w:szCs w:val="21"/>
          <w:lang w:val="en-US" w:eastAsia="zh-CN" w:bidi="ar-SA"/>
        </w:rPr>
        <w:t>，原则上不超过合同金额的40%。预付款比例及预付款保函提交要求要在采购文件和合同中约定。采购人向供应商支付预付款的，应要求供应商提供与预付款同等额度的保函。</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highlight w:val="none"/>
        </w:rPr>
      </w:pPr>
      <w:r>
        <w:rPr>
          <w:rFonts w:hint="eastAsia" w:ascii="华文中宋" w:hAnsi="华文中宋" w:eastAsia="华文中宋" w:cs="Times New Roman"/>
          <w:color w:val="auto"/>
          <w:sz w:val="24"/>
          <w:szCs w:val="24"/>
          <w:highlight w:val="none"/>
        </w:rPr>
        <w:t>七、服务费　　</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s="Times New Roman"/>
          <w:b/>
          <w:highlight w:val="none"/>
        </w:rPr>
      </w:pPr>
      <w:r>
        <w:rPr>
          <w:rFonts w:ascii="华文中宋" w:hAnsi="华文中宋" w:eastAsia="华文中宋" w:cs="Times New Roman"/>
          <w:b/>
          <w:highlight w:val="none"/>
        </w:rPr>
        <w:t>3</w:t>
      </w:r>
      <w:r>
        <w:rPr>
          <w:rFonts w:hint="eastAsia" w:ascii="华文中宋" w:hAnsi="华文中宋" w:eastAsia="华文中宋" w:cs="Times New Roman"/>
          <w:b/>
          <w:highlight w:val="none"/>
        </w:rPr>
        <w:t>0</w:t>
      </w:r>
      <w:r>
        <w:rPr>
          <w:rFonts w:ascii="华文中宋" w:hAnsi="华文中宋" w:eastAsia="华文中宋" w:cs="Times New Roman"/>
          <w:b/>
          <w:highlight w:val="none"/>
        </w:rPr>
        <w:t xml:space="preserve">. </w:t>
      </w:r>
      <w:r>
        <w:rPr>
          <w:rFonts w:hint="eastAsia" w:ascii="华文中宋" w:hAnsi="华文中宋" w:eastAsia="华文中宋" w:cs="Times New Roman"/>
          <w:b/>
          <w:highlight w:val="none"/>
        </w:rPr>
        <w:t>服务费</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集采机构作为非营利事业法人，是集中采购项目的执行机构，在政府采购活动中不收取任何服务费。</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highlight w:val="none"/>
        </w:rPr>
        <w:t>八、保密</w:t>
      </w:r>
      <w:r>
        <w:rPr>
          <w:rFonts w:hint="eastAsia" w:ascii="华文中宋" w:hAnsi="华文中宋" w:eastAsia="华文中宋" w:cs="Times New Roman"/>
          <w:color w:val="auto"/>
          <w:sz w:val="24"/>
          <w:szCs w:val="24"/>
        </w:rPr>
        <w:t>和披露</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rPr>
          <w:rFonts w:ascii="华文中宋" w:hAnsi="华文中宋" w:eastAsia="华文中宋" w:cs="Times New Roman"/>
          <w:b/>
        </w:rPr>
      </w:pPr>
      <w:r>
        <w:rPr>
          <w:rFonts w:ascii="华文中宋" w:hAnsi="华文中宋" w:eastAsia="华文中宋" w:cs="Times New Roman"/>
          <w:b/>
        </w:rPr>
        <w:t>3</w:t>
      </w:r>
      <w:r>
        <w:rPr>
          <w:rFonts w:hint="eastAsia" w:ascii="华文中宋" w:hAnsi="华文中宋" w:eastAsia="华文中宋" w:cs="Times New Roman"/>
          <w:b/>
        </w:rPr>
        <w:t>1</w:t>
      </w:r>
      <w:r>
        <w:rPr>
          <w:rFonts w:ascii="华文中宋" w:hAnsi="华文中宋" w:eastAsia="华文中宋" w:cs="Times New Roman"/>
          <w:b/>
        </w:rPr>
        <w:t xml:space="preserve">. </w:t>
      </w:r>
      <w:r>
        <w:rPr>
          <w:rFonts w:hint="eastAsia" w:ascii="华文中宋" w:hAnsi="华文中宋" w:eastAsia="华文中宋" w:cs="Times New Roman"/>
          <w:b/>
        </w:rPr>
        <w:t>保密</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磋商供应商自领取磋商文件之日起，须承诺承担本采购项目下的保密义务，不得将因本次磋商获得的信息向第三人外传。</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ascii="华文中宋" w:hAnsi="华文中宋" w:eastAsia="华文中宋" w:cs="Times New Roman"/>
          <w:b/>
        </w:rPr>
      </w:pPr>
      <w:r>
        <w:rPr>
          <w:rFonts w:ascii="华文中宋" w:hAnsi="华文中宋" w:eastAsia="华文中宋" w:cs="Times New Roman"/>
          <w:b/>
        </w:rPr>
        <w:t>3</w:t>
      </w:r>
      <w:r>
        <w:rPr>
          <w:rFonts w:hint="eastAsia" w:ascii="华文中宋" w:hAnsi="华文中宋" w:eastAsia="华文中宋" w:cs="Times New Roman"/>
          <w:b/>
        </w:rPr>
        <w:t>2</w:t>
      </w:r>
      <w:r>
        <w:rPr>
          <w:rFonts w:ascii="华文中宋" w:hAnsi="华文中宋" w:eastAsia="华文中宋" w:cs="Times New Roman"/>
          <w:b/>
        </w:rPr>
        <w:t xml:space="preserve">. </w:t>
      </w:r>
      <w:r>
        <w:rPr>
          <w:rFonts w:hint="eastAsia" w:ascii="华文中宋" w:hAnsi="华文中宋" w:eastAsia="华文中宋" w:cs="Times New Roman"/>
          <w:b/>
        </w:rPr>
        <w:t>披露</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32.1 集采机构有权将磋商供应商提供的所有资料向有关政府部门或评审文件的有关人员披露。</w:t>
      </w:r>
    </w:p>
    <w:p>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315" w:firstLineChars="15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32.2 在集采机构认为适当时、或国家机关调查、审查、审计时以及其他符合法律法规规定的情形下，集采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pPr>
        <w:pStyle w:val="4"/>
        <w:pageBreakBefore w:val="0"/>
        <w:kinsoku/>
        <w:wordWrap/>
        <w:overflowPunct/>
        <w:topLinePunct w:val="0"/>
        <w:bidi w:val="0"/>
        <w:spacing w:before="0" w:after="0" w:line="500" w:lineRule="exact"/>
        <w:ind w:right="0" w:right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九、询问和质疑</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b/>
          <w:color w:val="auto"/>
        </w:rPr>
      </w:pPr>
      <w:r>
        <w:rPr>
          <w:rFonts w:ascii="华文中宋" w:hAnsi="华文中宋" w:eastAsia="华文中宋"/>
          <w:b/>
          <w:color w:val="auto"/>
        </w:rPr>
        <w:t>3</w:t>
      </w:r>
      <w:r>
        <w:rPr>
          <w:rFonts w:hint="eastAsia" w:ascii="华文中宋" w:hAnsi="华文中宋" w:eastAsia="华文中宋"/>
          <w:b/>
          <w:color w:val="auto"/>
        </w:rPr>
        <w:t>3</w:t>
      </w:r>
      <w:r>
        <w:rPr>
          <w:rFonts w:hint="eastAsia" w:ascii="华文中宋" w:hAnsi="华文中宋" w:eastAsia="华文中宋"/>
          <w:b/>
          <w:color w:val="auto"/>
          <w:szCs w:val="21"/>
        </w:rPr>
        <w:t>．</w:t>
      </w:r>
      <w:r>
        <w:rPr>
          <w:rFonts w:hint="eastAsia" w:ascii="华文中宋" w:hAnsi="华文中宋" w:eastAsia="华文中宋"/>
          <w:b/>
          <w:color w:val="auto"/>
        </w:rPr>
        <w:t>询问和质疑的接收方式</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33.1磋商供应商对磋商文件（除采购需求、综合评分细则）、磋商过程、采购结果进行口头询问的，可按第一部分</w:t>
      </w:r>
      <w:r>
        <w:rPr>
          <w:rFonts w:hint="eastAsia" w:ascii="华文中宋" w:hAnsi="华文中宋" w:eastAsia="华文中宋"/>
          <w:color w:val="auto"/>
          <w:lang w:eastAsia="zh-CN"/>
        </w:rPr>
        <w:t>磋商公告</w:t>
      </w:r>
      <w:r>
        <w:rPr>
          <w:rFonts w:hint="eastAsia" w:ascii="华文中宋" w:hAnsi="华文中宋" w:eastAsia="华文中宋"/>
          <w:color w:val="auto"/>
        </w:rPr>
        <w:t>中载明的联系方式、地址向集采机构口头提出询问。</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33.2磋商供应商对磋商文件的采购需求、综合评分细则进行口头询问的，可按第一部分</w:t>
      </w:r>
      <w:r>
        <w:rPr>
          <w:rFonts w:hint="eastAsia" w:ascii="华文中宋" w:hAnsi="华文中宋" w:eastAsia="华文中宋"/>
          <w:color w:val="auto"/>
          <w:lang w:eastAsia="zh-CN"/>
        </w:rPr>
        <w:t>磋商公告</w:t>
      </w:r>
      <w:r>
        <w:rPr>
          <w:rFonts w:hint="eastAsia" w:ascii="华文中宋" w:hAnsi="华文中宋" w:eastAsia="华文中宋"/>
          <w:color w:val="auto"/>
        </w:rPr>
        <w:t>中载明的联系方式、地址向采购人口头提出询问。</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33.3磋商供应商对磋商文件（除采购需求、综合评分细则）、磋商过程、采购结果进行询问或质疑的，须</w:t>
      </w:r>
      <w:r>
        <w:rPr>
          <w:rFonts w:hint="eastAsia" w:ascii="华文中宋" w:hAnsi="华文中宋" w:eastAsia="华文中宋"/>
          <w:b/>
          <w:bCs/>
          <w:color w:val="auto"/>
          <w:lang w:val="en-US" w:eastAsia="zh-CN"/>
        </w:rPr>
        <w:t>通过山西政府采购平台</w:t>
      </w:r>
      <w:r>
        <w:rPr>
          <w:rFonts w:hint="eastAsia" w:ascii="华文中宋" w:hAnsi="华文中宋" w:eastAsia="华文中宋"/>
          <w:color w:val="auto"/>
          <w:lang w:val="en-US" w:eastAsia="zh-CN"/>
        </w:rPr>
        <w:t>向集采机构递交</w:t>
      </w:r>
      <w:r>
        <w:rPr>
          <w:rFonts w:hint="eastAsia" w:ascii="华文中宋" w:hAnsi="华文中宋" w:eastAsia="华文中宋"/>
          <w:color w:val="auto"/>
        </w:rPr>
        <w:t>询问函或质疑函。</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hint="eastAsia" w:ascii="华文中宋" w:hAnsi="华文中宋" w:eastAsia="华文中宋"/>
          <w:color w:val="auto"/>
        </w:rPr>
      </w:pPr>
      <w:r>
        <w:rPr>
          <w:rFonts w:hint="eastAsia" w:ascii="华文中宋" w:hAnsi="华文中宋" w:eastAsia="华文中宋"/>
          <w:color w:val="auto"/>
        </w:rPr>
        <w:t>33.4磋商供应商对磋商文件的采购需求、综合评分细则进行询问或质疑的，须</w:t>
      </w:r>
      <w:r>
        <w:rPr>
          <w:rFonts w:hint="eastAsia" w:ascii="华文中宋" w:hAnsi="华文中宋" w:eastAsia="华文中宋"/>
          <w:color w:val="auto"/>
          <w:lang w:val="en-US" w:eastAsia="zh-CN"/>
        </w:rPr>
        <w:t>通过山西政府采购平台向集采机构递交</w:t>
      </w:r>
      <w:r>
        <w:rPr>
          <w:rFonts w:hint="eastAsia" w:ascii="华文中宋" w:hAnsi="华文中宋" w:eastAsia="华文中宋"/>
          <w:color w:val="auto"/>
        </w:rPr>
        <w:t>询问函或质疑函。</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b/>
          <w:bCs/>
          <w:color w:val="auto"/>
        </w:rPr>
      </w:pPr>
      <w:r>
        <w:rPr>
          <w:rFonts w:hint="eastAsia" w:ascii="华文中宋" w:hAnsi="华文中宋" w:eastAsia="华文中宋"/>
          <w:b/>
          <w:bCs/>
          <w:color w:val="auto"/>
        </w:rPr>
        <w:t>34．询问的资料要求及答复</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34.1 磋商供应商询问时须提供以下资料：</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（1）法定代表人身份证明书</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（2）法定代表人授权委托书</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（3）委托人和被委托人的身份证扫描</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hint="eastAsia" w:ascii="华文中宋" w:hAnsi="华文中宋" w:eastAsia="华文中宋"/>
          <w:color w:val="auto"/>
        </w:rPr>
      </w:pPr>
      <w:r>
        <w:rPr>
          <w:rFonts w:hint="eastAsia" w:ascii="华文中宋" w:hAnsi="华文中宋" w:eastAsia="华文中宋"/>
          <w:color w:val="auto"/>
        </w:rPr>
        <w:t>（4）询问函</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4</w:t>
      </w:r>
      <w:r>
        <w:rPr>
          <w:rFonts w:ascii="华文中宋" w:hAnsi="华文中宋" w:eastAsia="华文中宋"/>
          <w:color w:val="auto"/>
        </w:rPr>
        <w:t>.</w:t>
      </w:r>
      <w:r>
        <w:rPr>
          <w:rFonts w:hint="eastAsia" w:ascii="华文中宋" w:hAnsi="华文中宋" w:eastAsia="华文中宋"/>
          <w:color w:val="auto"/>
        </w:rPr>
        <w:t>2对磋商文件的采购需求、综合评分细则书面询问的，由采购人在法律规定时限内做出答复。</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4</w:t>
      </w:r>
      <w:r>
        <w:rPr>
          <w:rFonts w:ascii="华文中宋" w:hAnsi="华文中宋" w:eastAsia="华文中宋"/>
          <w:color w:val="auto"/>
        </w:rPr>
        <w:t>.</w:t>
      </w:r>
      <w:r>
        <w:rPr>
          <w:rFonts w:hint="eastAsia" w:ascii="华文中宋" w:hAnsi="华文中宋" w:eastAsia="华文中宋"/>
          <w:color w:val="auto"/>
        </w:rPr>
        <w:t>3对磋商文件（除采购需求、综合评分细则）、磋商过程、采购结果询问的，由集采购机构在法律规定时限内做出答复。</w:t>
      </w:r>
    </w:p>
    <w:p>
      <w:pPr>
        <w:pStyle w:val="29"/>
        <w:keepNext w:val="0"/>
        <w:keepLines w:val="0"/>
        <w:pageBreakBefore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b/>
          <w:color w:val="auto"/>
        </w:rPr>
      </w:pPr>
      <w:r>
        <w:rPr>
          <w:rFonts w:ascii="华文中宋" w:hAnsi="华文中宋" w:eastAsia="华文中宋"/>
          <w:b/>
          <w:color w:val="auto"/>
        </w:rPr>
        <w:t>3</w:t>
      </w:r>
      <w:r>
        <w:rPr>
          <w:rFonts w:hint="eastAsia" w:ascii="华文中宋" w:hAnsi="华文中宋" w:eastAsia="华文中宋"/>
          <w:b/>
          <w:color w:val="auto"/>
        </w:rPr>
        <w:t>5．质疑的资料要求及答复</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.1</w:t>
      </w:r>
      <w:r>
        <w:rPr>
          <w:rFonts w:hint="eastAsia" w:ascii="华文中宋" w:hAnsi="华文中宋" w:eastAsia="华文中宋"/>
          <w:color w:val="auto"/>
        </w:rPr>
        <w:t>磋商供应商认为磋商文件、磋商过程和采购结果使自己的权益受到损害，应当在法定质疑期限内</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在</w:t>
      </w:r>
      <w:r>
        <w:rPr>
          <w:rFonts w:hint="eastAsia" w:ascii="华文中宋" w:hAnsi="华文中宋" w:eastAsia="华文中宋"/>
          <w:b/>
          <w:bCs/>
          <w:color w:val="auto"/>
          <w:lang w:val="en-US" w:eastAsia="zh-CN"/>
        </w:rPr>
        <w:t>山西政府采购平台</w:t>
      </w:r>
      <w:r>
        <w:rPr>
          <w:rFonts w:hint="eastAsia" w:ascii="华文中宋" w:hAnsi="华文中宋" w:eastAsia="华文中宋"/>
          <w:color w:val="auto"/>
        </w:rPr>
        <w:t>一次性提出针对同一采购程序环节的质疑。</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）对可以质疑的磋商文件提出质疑的，在获取磋商文件之日起七个工作日内提出；</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）对磋商过程提出质疑的，在各采购程序环节结束之日起七个工作日内提出；</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）对成交结果提出质疑的，在成交公告期限届满之日起七个工作日内提出。</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.2</w:t>
      </w:r>
      <w:r>
        <w:rPr>
          <w:rFonts w:hint="eastAsia" w:ascii="华文中宋" w:hAnsi="华文中宋" w:eastAsia="华文中宋"/>
          <w:color w:val="auto"/>
        </w:rPr>
        <w:t>质疑供应商质疑时须提供以下资料：</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）法定代表人身份证明书；</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）法定代表人授权委托书（内容包括：代理人的姓名或者名称、代理事项、具体权限、期限和相关事项。法定代表人质疑时不提供此项内容）；</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）委托人和被委托人的身份证扫描件；</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）质疑供应商领取磋商文件时间的证明材料；</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）质疑函。</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.3</w:t>
      </w:r>
      <w:r>
        <w:rPr>
          <w:rFonts w:hint="eastAsia" w:ascii="华文中宋" w:hAnsi="华文中宋" w:eastAsia="华文中宋"/>
          <w:color w:val="auto"/>
        </w:rPr>
        <w:t>供应商提出质疑时应当提交质疑函和必要的证明材料。质疑函应当包括下列内容：</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）供应商的姓名或者名称、地址、邮编、联系人及联系电话；</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）质疑项目的名称、编号；</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）具体、明确的质疑事项和与质疑事项相关的请求；</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）事实依据；</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）必要的法律依据；</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）提出质疑的日期。</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供应商为自然人的，应当由本人签字；供应商为法人或者其他组织的，应当由法定代表人、主要负责人或者其授权代表签字或者盖章，并加盖公章。</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.4</w:t>
      </w:r>
      <w:r>
        <w:rPr>
          <w:rFonts w:hint="eastAsia" w:ascii="华文中宋" w:hAnsi="华文中宋" w:eastAsia="华文中宋"/>
          <w:color w:val="auto"/>
        </w:rPr>
        <w:t>磋商供应商对磋商文件（除采购需求、综合评分细则）、磋商过程、采购结果提出质疑的，集采机构依据《中华人民共和国政府采购法实施条例》第五十二条第一款的规定时限对供应商的质疑做出处理和答复。</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.5</w:t>
      </w:r>
      <w:r>
        <w:rPr>
          <w:rFonts w:hint="eastAsia" w:ascii="华文中宋" w:hAnsi="华文中宋" w:eastAsia="华文中宋"/>
          <w:color w:val="auto"/>
        </w:rPr>
        <w:t>磋商供应商对磋商文件的采购需求、综合评分细则提出质疑的，采购人依据《中华人民共和国政府采购法实施条例》第五十二条第一款的规定时限对供应商的质疑做出处理和答复。</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.6</w:t>
      </w:r>
      <w:r>
        <w:rPr>
          <w:rFonts w:hint="eastAsia" w:ascii="华文中宋" w:hAnsi="华文中宋" w:eastAsia="华文中宋"/>
          <w:color w:val="auto"/>
        </w:rPr>
        <w:t>质疑答复内容不得涉及商业秘密，但应当包括下列内容：</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）质疑供应商的姓名或者名称；</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）收到质疑函的日期、质疑项目名称及编号；</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）质疑事项、质疑答复的具体内容、事实依据和法律依据；</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4</w:t>
      </w:r>
      <w:r>
        <w:rPr>
          <w:rFonts w:hint="eastAsia" w:ascii="华文中宋" w:hAnsi="华文中宋" w:eastAsia="华文中宋"/>
          <w:color w:val="auto"/>
          <w:szCs w:val="21"/>
        </w:rPr>
        <w:t>）告知质疑供应商依法投诉的权利；</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5</w:t>
      </w:r>
      <w:r>
        <w:rPr>
          <w:rFonts w:hint="eastAsia" w:ascii="华文中宋" w:hAnsi="华文中宋" w:eastAsia="华文中宋"/>
          <w:color w:val="auto"/>
          <w:szCs w:val="21"/>
        </w:rPr>
        <w:t>）质疑答复人名称；</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6</w:t>
      </w:r>
      <w:r>
        <w:rPr>
          <w:rFonts w:hint="eastAsia" w:ascii="华文中宋" w:hAnsi="华文中宋" w:eastAsia="华文中宋"/>
          <w:color w:val="auto"/>
          <w:szCs w:val="21"/>
        </w:rPr>
        <w:t>）答复质疑的日期。</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ascii="华文中宋" w:hAnsi="华文中宋" w:eastAsia="华文中宋"/>
          <w:color w:val="auto"/>
          <w:szCs w:val="21"/>
        </w:rPr>
        <w:t>3</w:t>
      </w:r>
      <w:r>
        <w:rPr>
          <w:rFonts w:hint="eastAsia" w:ascii="华文中宋" w:hAnsi="华文中宋" w:eastAsia="华文中宋"/>
          <w:color w:val="auto"/>
          <w:szCs w:val="21"/>
        </w:rPr>
        <w:t>5</w:t>
      </w:r>
      <w:r>
        <w:rPr>
          <w:rFonts w:ascii="华文中宋" w:hAnsi="华文中宋" w:eastAsia="华文中宋"/>
          <w:color w:val="auto"/>
          <w:szCs w:val="21"/>
        </w:rPr>
        <w:t>.7</w:t>
      </w:r>
      <w:r>
        <w:rPr>
          <w:rFonts w:hint="eastAsia" w:ascii="华文中宋" w:hAnsi="华文中宋" w:eastAsia="华文中宋"/>
          <w:color w:val="auto"/>
          <w:szCs w:val="21"/>
        </w:rPr>
        <w:t>质疑供应商撤回质疑的，集采机构、采购人终止质疑处理。</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ascii="华文中宋" w:hAnsi="华文中宋" w:eastAsia="华文中宋"/>
          <w:color w:val="auto"/>
          <w:szCs w:val="21"/>
        </w:rPr>
        <w:t>3</w:t>
      </w:r>
      <w:r>
        <w:rPr>
          <w:rFonts w:hint="eastAsia" w:ascii="华文中宋" w:hAnsi="华文中宋" w:eastAsia="华文中宋"/>
          <w:color w:val="auto"/>
          <w:szCs w:val="21"/>
        </w:rPr>
        <w:t>5</w:t>
      </w:r>
      <w:r>
        <w:rPr>
          <w:rFonts w:ascii="华文中宋" w:hAnsi="华文中宋" w:eastAsia="华文中宋"/>
          <w:color w:val="auto"/>
          <w:szCs w:val="21"/>
        </w:rPr>
        <w:t>.8</w:t>
      </w:r>
      <w:r>
        <w:rPr>
          <w:rFonts w:hint="eastAsia" w:ascii="华文中宋" w:hAnsi="华文中宋" w:eastAsia="华文中宋"/>
          <w:color w:val="auto"/>
          <w:szCs w:val="21"/>
        </w:rPr>
        <w:t>供应商质疑不成立，或者成立但未对成交结果构成影响的，继续开展采购活动；认为供应商质疑成立且影响或者可能影响成交结果的，按照下列情况处理：</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1</w:t>
      </w:r>
      <w:r>
        <w:rPr>
          <w:rFonts w:hint="eastAsia" w:ascii="华文中宋" w:hAnsi="华文中宋" w:eastAsia="华文中宋"/>
          <w:color w:val="auto"/>
          <w:szCs w:val="21"/>
        </w:rPr>
        <w:t>）对磋商文件提出的质疑，依法通过澄清或者修改可以继续开展采购活动的，澄清或者修改磋商文件后继续开展采购活动；否则应修改磋商文件后重新开展采购活动。</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2</w:t>
      </w:r>
      <w:r>
        <w:rPr>
          <w:rFonts w:hint="eastAsia" w:ascii="华文中宋" w:hAnsi="华文中宋" w:eastAsia="华文中宋"/>
          <w:color w:val="auto"/>
          <w:szCs w:val="21"/>
        </w:rPr>
        <w:t>）对磋商过程、成交结果提出的质疑，合格供应商符合法定数量时，可以从合格的成交候选人中另行确定成交供应商的，应当依法另行确定成交供应商；否则应重新开展采购活动。</w:t>
      </w:r>
    </w:p>
    <w:p>
      <w:pPr>
        <w:pStyle w:val="29"/>
        <w:keepNext w:val="0"/>
        <w:keepLines w:val="0"/>
        <w:pageBreakBefore w:val="0"/>
        <w:kinsoku/>
        <w:wordWrap/>
        <w:overflowPunct/>
        <w:topLinePunct w:val="0"/>
        <w:autoSpaceDE/>
        <w:autoSpaceDN/>
        <w:bidi w:val="0"/>
        <w:snapToGrid w:val="0"/>
        <w:spacing w:line="500" w:lineRule="exact"/>
        <w:ind w:right="0" w:rightChars="0" w:firstLine="315" w:firstLineChars="15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）质疑答复导致成交结果改变的，采购人或者集采机构应当将有关情况书面报告本级财政部门。</w:t>
      </w: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pPr>
        <w:keepNext w:val="0"/>
        <w:keepLines w:val="0"/>
        <w:pageBreakBefore w:val="0"/>
        <w:kinsoku/>
        <w:wordWrap/>
        <w:overflowPunct/>
        <w:topLinePunct w:val="0"/>
        <w:autoSpaceDE/>
        <w:autoSpaceDN/>
        <w:bidi w:val="0"/>
        <w:spacing w:line="500" w:lineRule="exact"/>
        <w:ind w:right="0" w:rightChars="0"/>
        <w:textAlignment w:val="auto"/>
        <w:rPr>
          <w:color w:val="auto"/>
          <w:highlight w:val="none"/>
        </w:rPr>
      </w:pPr>
    </w:p>
    <w:p>
      <w:pPr>
        <w:pStyle w:val="41"/>
        <w:pageBreakBefore/>
        <w:numPr>
          <w:ilvl w:val="0"/>
          <w:numId w:val="0"/>
        </w:numPr>
        <w:snapToGrid w:val="0"/>
        <w:spacing w:before="0" w:after="0"/>
        <w:rPr>
          <w:rFonts w:hint="eastAsia" w:ascii="华文中宋" w:hAnsi="华文中宋" w:eastAsia="华文中宋" w:cs="华文中宋"/>
          <w:spacing w:val="20"/>
          <w:szCs w:val="28"/>
        </w:rPr>
      </w:pPr>
      <w:r>
        <w:rPr>
          <w:rFonts w:hint="eastAsia" w:ascii="华文中宋" w:hAnsi="华文中宋" w:eastAsia="华文中宋" w:cs="华文中宋"/>
          <w:spacing w:val="20"/>
          <w:szCs w:val="28"/>
          <w:lang w:eastAsia="zh-CN"/>
        </w:rPr>
        <w:t>第四部分</w:t>
      </w:r>
      <w:r>
        <w:rPr>
          <w:rFonts w:hint="eastAsia" w:ascii="华文中宋" w:hAnsi="华文中宋" w:eastAsia="华文中宋" w:cs="华文中宋"/>
          <w:spacing w:val="20"/>
          <w:szCs w:val="28"/>
          <w:lang w:val="en-US" w:eastAsia="zh-CN"/>
        </w:rPr>
        <w:t xml:space="preserve"> </w:t>
      </w:r>
      <w:r>
        <w:rPr>
          <w:rFonts w:hint="eastAsia" w:ascii="华文中宋" w:hAnsi="华文中宋" w:eastAsia="华文中宋" w:cs="华文中宋"/>
          <w:spacing w:val="20"/>
          <w:szCs w:val="28"/>
        </w:rPr>
        <w:t>商务、技术要求</w:t>
      </w:r>
    </w:p>
    <w:p>
      <w:pPr>
        <w:spacing w:line="360" w:lineRule="auto"/>
        <w:rPr>
          <w:rFonts w:hint="eastAsia" w:ascii="华文中宋" w:hAnsi="华文中宋" w:eastAsia="华文中宋" w:cs="华文中宋"/>
          <w:szCs w:val="21"/>
        </w:rPr>
      </w:pPr>
    </w:p>
    <w:p>
      <w:pPr>
        <w:pStyle w:val="29"/>
        <w:snapToGrid w:val="0"/>
        <w:spacing w:line="480" w:lineRule="exact"/>
        <w:textAlignment w:val="auto"/>
        <w:rPr>
          <w:rFonts w:ascii="华文中宋" w:hAnsi="华文中宋" w:eastAsia="华文中宋"/>
          <w:b/>
        </w:rPr>
      </w:pPr>
      <w:r>
        <w:rPr>
          <w:rFonts w:hint="eastAsia" w:ascii="华文中宋" w:hAnsi="华文中宋" w:eastAsia="华文中宋"/>
          <w:b/>
        </w:rPr>
        <w:t>一、项目概况</w:t>
      </w:r>
    </w:p>
    <w:p>
      <w:pPr>
        <w:pStyle w:val="29"/>
        <w:snapToGrid w:val="0"/>
        <w:spacing w:line="480" w:lineRule="exact"/>
        <w:ind w:firstLine="525" w:firstLineChars="250"/>
        <w:textAlignment w:val="auto"/>
        <w:rPr>
          <w:rFonts w:hint="default" w:ascii="华文中宋" w:hAnsi="华文中宋" w:eastAsia="华文中宋" w:cs="宋体"/>
          <w:bCs/>
          <w:highlight w:val="none"/>
          <w:lang w:val="en-US" w:eastAsia="zh-CN"/>
        </w:rPr>
      </w:pPr>
      <w:r>
        <w:rPr>
          <w:rFonts w:hint="eastAsia" w:ascii="华文中宋" w:hAnsi="华文中宋" w:eastAsia="华文中宋" w:cs="宋体"/>
          <w:bCs/>
          <w:highlight w:val="none"/>
          <w:lang w:val="en-US" w:eastAsia="zh-CN"/>
        </w:rPr>
        <w:t>陵川县全域视频监控提质改造设施升级项目(链路)，包含“雪亮工程”视频监控系统项目、“平安陵川”治安视频监控系统项目、智能人脸车辆卡口项目、“平安陵川”治安视频监控系统二期项目等链路，共计1138条。</w:t>
      </w:r>
    </w:p>
    <w:p>
      <w:pPr>
        <w:pStyle w:val="29"/>
        <w:numPr>
          <w:ilvl w:val="0"/>
          <w:numId w:val="5"/>
        </w:numPr>
        <w:snapToGrid w:val="0"/>
        <w:spacing w:line="480" w:lineRule="exact"/>
        <w:textAlignment w:val="auto"/>
        <w:rPr>
          <w:rFonts w:hint="eastAsia" w:ascii="华文中宋" w:hAnsi="华文中宋" w:eastAsia="华文中宋"/>
          <w:b/>
        </w:rPr>
      </w:pPr>
      <w:r>
        <w:rPr>
          <w:rFonts w:hint="eastAsia" w:ascii="华文中宋" w:hAnsi="华文中宋" w:eastAsia="华文中宋"/>
          <w:b/>
        </w:rPr>
        <w:t>商务要求</w:t>
      </w:r>
    </w:p>
    <w:p>
      <w:pPr>
        <w:pStyle w:val="29"/>
        <w:snapToGrid w:val="0"/>
        <w:spacing w:line="480" w:lineRule="exact"/>
        <w:ind w:firstLine="424" w:firstLineChars="202"/>
        <w:textAlignment w:val="auto"/>
        <w:rPr>
          <w:rFonts w:ascii="华文中宋" w:hAnsi="华文中宋" w:eastAsia="华文中宋"/>
        </w:rPr>
      </w:pPr>
      <w:r>
        <w:rPr>
          <w:rFonts w:ascii="华文中宋" w:hAnsi="华文中宋" w:eastAsia="华文中宋"/>
        </w:rPr>
        <w:t>第1包：</w:t>
      </w:r>
    </w:p>
    <w:p>
      <w:pPr>
        <w:pStyle w:val="29"/>
        <w:snapToGrid w:val="0"/>
        <w:spacing w:line="480" w:lineRule="exact"/>
        <w:ind w:firstLine="424" w:firstLineChars="202"/>
        <w:textAlignment w:val="auto"/>
        <w:rPr>
          <w:rFonts w:ascii="华文中宋" w:hAnsi="华文中宋" w:eastAsia="华文中宋"/>
        </w:rPr>
      </w:pPr>
      <w:r>
        <w:rPr>
          <w:rFonts w:ascii="华文中宋" w:hAnsi="华文中宋" w:eastAsia="华文中宋"/>
        </w:rPr>
        <w:t>1、</w:t>
      </w:r>
      <w:r>
        <w:rPr>
          <w:rFonts w:hint="eastAsia" w:ascii="华文中宋" w:hAnsi="华文中宋" w:eastAsia="华文中宋"/>
        </w:rPr>
        <w:t>服务</w:t>
      </w:r>
      <w:r>
        <w:rPr>
          <w:rFonts w:hint="eastAsia" w:ascii="华文中宋" w:hAnsi="华文中宋" w:eastAsia="华文中宋"/>
          <w:lang w:val="en-US" w:eastAsia="zh-CN"/>
        </w:rPr>
        <w:t>期限</w:t>
      </w:r>
      <w:r>
        <w:rPr>
          <w:rFonts w:ascii="华文中宋" w:hAnsi="华文中宋" w:eastAsia="华文中宋"/>
        </w:rPr>
        <w:t>：签订合同后</w:t>
      </w:r>
      <w:r>
        <w:rPr>
          <w:rFonts w:hint="eastAsia" w:ascii="华文中宋" w:hAnsi="华文中宋" w:eastAsia="华文中宋"/>
        </w:rPr>
        <w:t>1年。</w:t>
      </w:r>
    </w:p>
    <w:p>
      <w:pPr>
        <w:pStyle w:val="29"/>
        <w:snapToGrid w:val="0"/>
        <w:spacing w:line="480" w:lineRule="exact"/>
        <w:ind w:firstLine="424" w:firstLineChars="202"/>
        <w:textAlignment w:val="auto"/>
        <w:rPr>
          <w:rFonts w:hint="default" w:ascii="华文中宋" w:hAnsi="华文中宋" w:eastAsia="华文中宋"/>
          <w:highlight w:val="none"/>
          <w:lang w:val="en-US" w:eastAsia="zh-CN"/>
        </w:rPr>
      </w:pPr>
      <w:r>
        <w:rPr>
          <w:rFonts w:ascii="华文中宋" w:hAnsi="华文中宋" w:eastAsia="华文中宋"/>
          <w:highlight w:val="none"/>
        </w:rPr>
        <w:t>2、服务地点：</w:t>
      </w:r>
      <w:r>
        <w:rPr>
          <w:rFonts w:hint="eastAsia" w:ascii="华文中宋" w:hAnsi="华文中宋" w:eastAsia="华文中宋"/>
          <w:highlight w:val="none"/>
          <w:lang w:val="en-US" w:eastAsia="zh-CN"/>
        </w:rPr>
        <w:t>陵川县公安局指定地点。</w:t>
      </w:r>
    </w:p>
    <w:p>
      <w:pPr>
        <w:pStyle w:val="29"/>
        <w:snapToGrid w:val="0"/>
        <w:spacing w:line="480" w:lineRule="exact"/>
        <w:ind w:firstLine="424" w:firstLineChars="202"/>
        <w:rPr>
          <w:rFonts w:hint="eastAsia" w:ascii="华文中宋" w:hAnsi="华文中宋" w:eastAsia="华文中宋"/>
          <w:highlight w:val="none"/>
          <w:lang w:val="en-US" w:eastAsia="zh-CN"/>
        </w:rPr>
      </w:pPr>
      <w:r>
        <w:rPr>
          <w:rFonts w:ascii="华文中宋" w:hAnsi="华文中宋" w:eastAsia="华文中宋"/>
          <w:highlight w:val="none"/>
        </w:rPr>
        <w:t>3、付款方式：签订正式合同后，</w:t>
      </w:r>
      <w:r>
        <w:rPr>
          <w:rFonts w:hint="eastAsia" w:ascii="华文中宋" w:hAnsi="华文中宋" w:eastAsia="华文中宋"/>
          <w:highlight w:val="none"/>
          <w:lang w:val="en-US" w:eastAsia="zh-CN"/>
        </w:rPr>
        <w:t>支付60%，合同期一年到期后，根据在线率结算剩余费用。</w:t>
      </w:r>
    </w:p>
    <w:p>
      <w:pPr>
        <w:pStyle w:val="29"/>
        <w:snapToGrid w:val="0"/>
        <w:spacing w:line="480" w:lineRule="exact"/>
        <w:ind w:firstLine="424" w:firstLineChars="202"/>
        <w:rPr>
          <w:rFonts w:hint="eastAsia" w:ascii="华文中宋" w:hAnsi="华文中宋" w:eastAsia="华文中宋"/>
        </w:rPr>
      </w:pPr>
      <w:r>
        <w:rPr>
          <w:rFonts w:ascii="华文中宋" w:hAnsi="华文中宋" w:eastAsia="华文中宋"/>
        </w:rPr>
        <w:t>4、履约保证金：</w:t>
      </w:r>
      <w:r>
        <w:rPr>
          <w:rFonts w:hint="eastAsia" w:ascii="华文中宋" w:hAnsi="华文中宋" w:eastAsia="华文中宋"/>
        </w:rPr>
        <w:t>无</w:t>
      </w:r>
    </w:p>
    <w:p>
      <w:pPr>
        <w:pStyle w:val="29"/>
        <w:snapToGrid w:val="0"/>
        <w:spacing w:line="480" w:lineRule="exact"/>
        <w:ind w:firstLine="424" w:firstLineChars="202"/>
        <w:rPr>
          <w:rFonts w:hint="eastAsia" w:ascii="华文中宋" w:hAnsi="华文中宋" w:eastAsia="华文中宋"/>
          <w:lang w:eastAsia="zh-CN"/>
        </w:rPr>
      </w:pPr>
      <w:r>
        <w:rPr>
          <w:rFonts w:hint="eastAsia" w:ascii="华文中宋" w:hAnsi="华文中宋" w:eastAsia="华文中宋"/>
          <w:lang w:val="en-US" w:eastAsia="zh-CN"/>
        </w:rPr>
        <w:t>5、</w:t>
      </w:r>
      <w:r>
        <w:rPr>
          <w:rFonts w:hint="eastAsia" w:ascii="华文中宋" w:hAnsi="华文中宋" w:eastAsia="华文中宋"/>
        </w:rPr>
        <w:t>服务标准：符合国家及行业标准要求</w:t>
      </w:r>
      <w:r>
        <w:rPr>
          <w:rFonts w:hint="eastAsia" w:ascii="华文中宋" w:hAnsi="华文中宋" w:eastAsia="华文中宋"/>
          <w:lang w:eastAsia="zh-CN"/>
        </w:rPr>
        <w:t>。</w:t>
      </w:r>
    </w:p>
    <w:p>
      <w:pPr>
        <w:pStyle w:val="29"/>
        <w:snapToGrid w:val="0"/>
        <w:spacing w:line="480" w:lineRule="exact"/>
        <w:ind w:firstLine="424" w:firstLineChars="202"/>
        <w:rPr>
          <w:rFonts w:hint="default" w:ascii="华文中宋" w:hAnsi="华文中宋" w:eastAsia="华文中宋"/>
          <w:lang w:val="en-US" w:eastAsia="zh-CN"/>
        </w:rPr>
      </w:pPr>
      <w:r>
        <w:rPr>
          <w:rFonts w:hint="eastAsia" w:ascii="华文中宋" w:hAnsi="华文中宋" w:eastAsia="华文中宋"/>
          <w:lang w:val="en-US" w:eastAsia="zh-CN"/>
        </w:rPr>
        <w:t>6、交付期限及标准：自合同签订之日起，整体交付时间不超过七天。交付调测期间需保障服务连续性，单条链路中断时长不超过30分钟。</w:t>
      </w:r>
    </w:p>
    <w:p>
      <w:pPr>
        <w:pStyle w:val="29"/>
        <w:snapToGrid w:val="0"/>
        <w:spacing w:line="480" w:lineRule="exact"/>
        <w:textAlignment w:val="auto"/>
        <w:rPr>
          <w:rFonts w:hint="eastAsia" w:ascii="华文中宋" w:hAnsi="华文中宋" w:eastAsia="华文中宋"/>
          <w:b/>
          <w:bCs/>
        </w:rPr>
      </w:pPr>
      <w:r>
        <w:rPr>
          <w:rFonts w:ascii="华文中宋" w:hAnsi="华文中宋" w:eastAsia="华文中宋"/>
          <w:b/>
        </w:rPr>
        <w:t>三</w:t>
      </w:r>
      <w:r>
        <w:rPr>
          <w:rFonts w:hint="eastAsia" w:ascii="华文中宋" w:hAnsi="华文中宋" w:eastAsia="华文中宋"/>
          <w:b/>
        </w:rPr>
        <w:t>、</w:t>
      </w:r>
      <w:r>
        <w:rPr>
          <w:rFonts w:hint="eastAsia" w:ascii="华文中宋" w:hAnsi="华文中宋" w:eastAsia="华文中宋"/>
          <w:b/>
          <w:bCs/>
        </w:rPr>
        <w:t>实质性要求</w:t>
      </w:r>
    </w:p>
    <w:p>
      <w:pPr>
        <w:pStyle w:val="29"/>
        <w:snapToGrid w:val="0"/>
        <w:spacing w:line="480" w:lineRule="exact"/>
        <w:ind w:firstLine="424" w:firstLineChars="202"/>
        <w:textAlignment w:val="auto"/>
        <w:rPr>
          <w:rFonts w:ascii="华文中宋" w:hAnsi="华文中宋" w:eastAsia="华文中宋"/>
        </w:rPr>
      </w:pPr>
      <w:r>
        <w:rPr>
          <w:rFonts w:ascii="华文中宋" w:hAnsi="华文中宋" w:eastAsia="华文中宋"/>
        </w:rPr>
        <w:t>1、政府强制采购品目清单中的产品</w:t>
      </w:r>
      <w:r>
        <w:rPr>
          <w:rFonts w:hint="eastAsia" w:ascii="华文中宋" w:hAnsi="华文中宋" w:eastAsia="华文中宋"/>
        </w:rPr>
        <w:t>。</w:t>
      </w:r>
    </w:p>
    <w:p>
      <w:pPr>
        <w:pStyle w:val="29"/>
        <w:snapToGrid w:val="0"/>
        <w:spacing w:line="480" w:lineRule="exact"/>
        <w:ind w:firstLine="424" w:firstLineChars="202"/>
        <w:textAlignment w:val="auto"/>
        <w:rPr>
          <w:rFonts w:hint="eastAsia" w:ascii="华文中宋" w:hAnsi="华文中宋" w:eastAsia="华文中宋"/>
          <w:lang w:eastAsia="zh-CN"/>
        </w:rPr>
      </w:pPr>
      <w:r>
        <w:rPr>
          <w:rFonts w:ascii="华文中宋" w:hAnsi="华文中宋" w:eastAsia="华文中宋"/>
        </w:rPr>
        <w:t>2、《信息安全产品强制性认证目录》中（8类13项）的产品</w:t>
      </w:r>
      <w:r>
        <w:rPr>
          <w:rFonts w:hint="eastAsia" w:ascii="华文中宋" w:hAnsi="华文中宋" w:eastAsia="华文中宋"/>
          <w:lang w:eastAsia="zh-CN"/>
        </w:rPr>
        <w:t>。</w:t>
      </w:r>
    </w:p>
    <w:p>
      <w:pPr>
        <w:pStyle w:val="29"/>
        <w:snapToGrid w:val="0"/>
        <w:spacing w:line="480" w:lineRule="exact"/>
        <w:ind w:firstLine="424" w:firstLineChars="202"/>
        <w:textAlignment w:val="auto"/>
        <w:rPr>
          <w:rFonts w:ascii="华文中宋" w:hAnsi="华文中宋" w:eastAsia="华文中宋"/>
        </w:rPr>
      </w:pPr>
      <w:r>
        <w:rPr>
          <w:rFonts w:ascii="华文中宋" w:hAnsi="华文中宋" w:eastAsia="华文中宋"/>
        </w:rPr>
        <w:t>3、正版软件承诺：承诺所投报的计算机预装正版操作系统，硬件产品内的预装软件为正版软件。</w:t>
      </w:r>
    </w:p>
    <w:p>
      <w:pPr>
        <w:pStyle w:val="29"/>
        <w:snapToGrid w:val="0"/>
        <w:spacing w:line="480" w:lineRule="exact"/>
        <w:ind w:firstLine="424" w:firstLineChars="202"/>
        <w:textAlignment w:val="auto"/>
        <w:rPr>
          <w:rFonts w:hint="eastAsia" w:ascii="华文中宋" w:hAnsi="华文中宋" w:eastAsia="华文中宋"/>
          <w:b/>
          <w:bCs/>
        </w:rPr>
      </w:pPr>
      <w:r>
        <w:rPr>
          <w:rFonts w:ascii="华文中宋" w:hAnsi="华文中宋" w:eastAsia="华文中宋"/>
        </w:rPr>
        <w:t>4、其他强制性要求或标准</w:t>
      </w:r>
      <w:r>
        <w:rPr>
          <w:rFonts w:hint="eastAsia" w:ascii="华文中宋" w:hAnsi="华文中宋" w:eastAsia="华文中宋"/>
        </w:rPr>
        <w:t>。</w:t>
      </w:r>
    </w:p>
    <w:p>
      <w:pPr>
        <w:pStyle w:val="29"/>
        <w:snapToGrid w:val="0"/>
        <w:spacing w:line="480" w:lineRule="exact"/>
        <w:textAlignment w:val="auto"/>
        <w:rPr>
          <w:rFonts w:hint="eastAsia" w:ascii="华文中宋" w:hAnsi="华文中宋" w:eastAsia="华文中宋"/>
          <w:b/>
          <w:bCs/>
        </w:rPr>
      </w:pPr>
      <w:r>
        <w:rPr>
          <w:rFonts w:hint="eastAsia" w:ascii="华文中宋" w:hAnsi="华文中宋" w:eastAsia="华文中宋"/>
          <w:b/>
          <w:bCs/>
        </w:rPr>
        <w:t>四、非实质性要求</w:t>
      </w:r>
    </w:p>
    <w:p>
      <w:pPr>
        <w:pStyle w:val="29"/>
        <w:snapToGrid w:val="0"/>
        <w:spacing w:line="480" w:lineRule="exact"/>
        <w:ind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无。</w:t>
      </w:r>
    </w:p>
    <w:p>
      <w:pPr>
        <w:pStyle w:val="29"/>
        <w:numPr>
          <w:ilvl w:val="0"/>
          <w:numId w:val="6"/>
        </w:numPr>
        <w:snapToGrid w:val="0"/>
        <w:spacing w:line="480" w:lineRule="exact"/>
        <w:textAlignment w:val="auto"/>
        <w:rPr>
          <w:rFonts w:hint="eastAsia" w:ascii="华文中宋" w:hAnsi="华文中宋" w:eastAsia="华文中宋"/>
          <w:b/>
        </w:rPr>
      </w:pPr>
      <w:r>
        <w:rPr>
          <w:rFonts w:hint="eastAsia" w:ascii="华文中宋" w:hAnsi="华文中宋" w:eastAsia="华文中宋"/>
          <w:b/>
        </w:rPr>
        <w:t>服务要求：</w:t>
      </w:r>
    </w:p>
    <w:p>
      <w:pPr>
        <w:pStyle w:val="29"/>
        <w:snapToGrid w:val="0"/>
        <w:spacing w:line="480" w:lineRule="exact"/>
        <w:ind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1、确保售后服务在30分钟内响应，2小时能够到达现场，24小时内解决问题；</w:t>
      </w:r>
    </w:p>
    <w:p>
      <w:pPr>
        <w:pStyle w:val="29"/>
        <w:snapToGrid w:val="0"/>
        <w:spacing w:line="480" w:lineRule="exact"/>
        <w:ind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2、在项目实施过程中及售后服务期内，中标方需指定专人负责与用户保持长期的联系与服务；</w:t>
      </w:r>
    </w:p>
    <w:p>
      <w:pPr>
        <w:pStyle w:val="29"/>
        <w:snapToGrid w:val="0"/>
        <w:spacing w:line="480" w:lineRule="exact"/>
        <w:ind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3、对链路进行7*24小时保障，确保专网高效、稳定运行，满足使用单位业务需求。所提供线路质量全部符合国家相关标准和规范，要做好日常的检修与维护，做好售后服务保障工作。</w:t>
      </w:r>
    </w:p>
    <w:p>
      <w:pPr>
        <w:pStyle w:val="29"/>
        <w:snapToGrid w:val="0"/>
        <w:spacing w:line="480" w:lineRule="exact"/>
        <w:textAlignment w:val="auto"/>
        <w:rPr>
          <w:rFonts w:hint="eastAsia" w:ascii="华文中宋" w:hAnsi="华文中宋" w:eastAsia="华文中宋"/>
          <w:b/>
          <w:bCs/>
        </w:rPr>
      </w:pPr>
      <w:r>
        <w:rPr>
          <w:rFonts w:hint="eastAsia" w:ascii="华文中宋" w:hAnsi="华文中宋" w:eastAsia="华文中宋"/>
          <w:b/>
          <w:bCs/>
        </w:rPr>
        <w:t>六、验收标准</w:t>
      </w:r>
    </w:p>
    <w:p>
      <w:pPr>
        <w:pStyle w:val="29"/>
        <w:snapToGrid w:val="0"/>
        <w:spacing w:line="480" w:lineRule="exact"/>
        <w:ind w:firstLine="424" w:firstLineChars="202"/>
        <w:textAlignment w:val="auto"/>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最终验收以本项目采购文件及成交供应商的投标文件、国家及行业规定为验收依据，确保</w:t>
      </w:r>
      <w:r>
        <w:rPr>
          <w:rFonts w:hint="eastAsia" w:ascii="华文中宋" w:hAnsi="华文中宋" w:eastAsia="华文中宋" w:cs="宋体"/>
          <w:bCs/>
          <w:highlight w:val="none"/>
          <w:lang w:val="en-US" w:eastAsia="zh-CN"/>
        </w:rPr>
        <w:t>“雪亮工程”视频监控系统项目、“平安陵川”治安视频监控系统项目、智能人脸车辆卡口项目、“平安陵川”治安视频监控系统二期项目等链路</w:t>
      </w:r>
      <w:r>
        <w:rPr>
          <w:rFonts w:hint="eastAsia" w:ascii="华文中宋" w:hAnsi="华文中宋" w:eastAsia="华文中宋"/>
          <w:highlight w:val="none"/>
          <w:lang w:val="en-US" w:eastAsia="zh-CN"/>
        </w:rPr>
        <w:t>在线率至少达到98%以上，验收结果须采购人和供应商双方共同确认。</w:t>
      </w:r>
    </w:p>
    <w:p>
      <w:pPr>
        <w:pStyle w:val="29"/>
        <w:snapToGrid w:val="0"/>
        <w:spacing w:line="480" w:lineRule="exact"/>
        <w:outlineLvl w:val="1"/>
        <w:rPr>
          <w:rFonts w:ascii="华文中宋" w:hAnsi="华文中宋" w:eastAsia="华文中宋"/>
          <w:b/>
        </w:rPr>
      </w:pPr>
      <w:r>
        <w:rPr>
          <w:rFonts w:hint="eastAsia" w:ascii="华文中宋" w:hAnsi="华文中宋" w:eastAsia="华文中宋"/>
          <w:b/>
        </w:rPr>
        <w:t>七、技术要求</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（一）技术需求内容：详见本部分技术需求书。</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（二）技术响应文件编排顺序：磋商供应商应按照技术需求书中的序号顺序编排技术响应文件。</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（三）技术响应文件内容及要求：</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1、技术响应文件内容应是同投报标的物品牌型号一致的技术响应文件；</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2、技术响应文件是指能够证明投报标的物满足磋商文件技术需求的证明材料，技术响应文件包括但不限于：</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投报标的物技术指标的检测报告/官网链接/功能截图/产品彩页/产品说明书/详细的技术说明文件/运行性能的详细描述文件等；</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3、项目实施过程中所需的主要辅材（若有的话，磋商供应商按品牌、型号、产地、单价、数量。自行列表响应）；</w:t>
      </w:r>
    </w:p>
    <w:p>
      <w:pPr>
        <w:pStyle w:val="29"/>
        <w:snapToGrid w:val="0"/>
        <w:spacing w:line="480" w:lineRule="exact"/>
        <w:ind w:firstLine="420" w:firstLineChars="200"/>
        <w:textAlignment w:val="auto"/>
        <w:rPr>
          <w:rFonts w:ascii="华文中宋" w:hAnsi="华文中宋" w:eastAsia="华文中宋"/>
        </w:rPr>
      </w:pPr>
      <w:r>
        <w:rPr>
          <w:rFonts w:hint="eastAsia" w:ascii="华文中宋" w:hAnsi="华文中宋" w:eastAsia="华文中宋"/>
        </w:rPr>
        <w:t>4、磋商供应商认为需要提供的其他技术响应文件；</w:t>
      </w:r>
    </w:p>
    <w:p>
      <w:pPr>
        <w:pStyle w:val="29"/>
        <w:snapToGrid w:val="0"/>
        <w:spacing w:line="480" w:lineRule="exact"/>
        <w:ind w:firstLine="315" w:firstLineChars="150"/>
        <w:textAlignment w:val="auto"/>
        <w:rPr>
          <w:rFonts w:ascii="华文中宋" w:hAnsi="华文中宋" w:eastAsia="华文中宋"/>
        </w:rPr>
      </w:pPr>
      <w:r>
        <w:rPr>
          <w:rFonts w:hint="eastAsia" w:ascii="华文中宋" w:hAnsi="华文中宋" w:eastAsia="华文中宋"/>
        </w:rPr>
        <w:t>（四）技术响应文件的作用：磋商供应商所提供的技术响应文件是磋商小组及其成员评定投报标的物是否实质性响应磋商文件技术要求的依据。</w:t>
      </w:r>
    </w:p>
    <w:p>
      <w:pPr>
        <w:pStyle w:val="29"/>
        <w:snapToGrid w:val="0"/>
        <w:spacing w:line="360" w:lineRule="auto"/>
        <w:textAlignment w:val="auto"/>
        <w:outlineLvl w:val="1"/>
        <w:rPr>
          <w:rFonts w:ascii="华文中宋" w:hAnsi="华文中宋" w:eastAsia="华文中宋" w:cs="华文中宋"/>
          <w:b/>
        </w:rPr>
      </w:pPr>
      <w:r>
        <w:rPr>
          <w:rFonts w:hint="eastAsia" w:ascii="华文中宋" w:hAnsi="华文中宋" w:eastAsia="华文中宋" w:cs="华文中宋"/>
          <w:b/>
        </w:rPr>
        <w:t xml:space="preserve">八、其他  </w:t>
      </w:r>
    </w:p>
    <w:p>
      <w:pPr>
        <w:pStyle w:val="29"/>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1、磋商供应商须由法定代表人或其授权的委托代理人参加投标，随时准备对评标委员会的询问予以解答。</w:t>
      </w:r>
    </w:p>
    <w:p>
      <w:pPr>
        <w:pStyle w:val="29"/>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2、参加政府集中采购活动的供应商，在进行澄清、说明、更正、磋商、多轮报价时，需自行准备电脑终端设备（电脑终端设备需具备IE9及IE9以上的浏览器和山西CA数字证书驱动），同时自行解决所需网络，山西CA数字证书（USBKey）是否携带到采购活动现场自行安排。</w:t>
      </w:r>
    </w:p>
    <w:p>
      <w:pPr>
        <w:pStyle w:val="29"/>
        <w:snapToGrid w:val="0"/>
        <w:spacing w:line="360" w:lineRule="auto"/>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rPr>
        <w:t>3、在现场磋商期间，如出现不可抗力导致的系统无法运行或无法上报等情况，参加磋商的供应商可在磋商现场进行书面材料的提交。</w:t>
      </w:r>
    </w:p>
    <w:p>
      <w:pPr>
        <w:jc w:val="center"/>
        <w:rPr>
          <w:rFonts w:hint="eastAsia" w:ascii="华文中宋" w:hAnsi="华文中宋" w:eastAsia="华文中宋" w:cs="华文中宋"/>
          <w:b/>
          <w:sz w:val="28"/>
          <w:szCs w:val="28"/>
        </w:rPr>
      </w:pPr>
    </w:p>
    <w:p>
      <w:pPr>
        <w:jc w:val="center"/>
        <w:rPr>
          <w:rFonts w:hint="eastAsia" w:ascii="华文中宋" w:hAnsi="华文中宋" w:eastAsia="华文中宋" w:cs="华文中宋"/>
          <w:b/>
          <w:sz w:val="28"/>
          <w:szCs w:val="28"/>
        </w:rPr>
      </w:pPr>
    </w:p>
    <w:p>
      <w:pPr>
        <w:jc w:val="center"/>
        <w:rPr>
          <w:rFonts w:hint="eastAsia" w:ascii="华文中宋" w:hAnsi="华文中宋" w:eastAsia="华文中宋" w:cs="华文中宋"/>
          <w:b/>
          <w:sz w:val="28"/>
          <w:szCs w:val="28"/>
        </w:rPr>
      </w:pPr>
    </w:p>
    <w:p>
      <w:pPr>
        <w:jc w:val="center"/>
        <w:rPr>
          <w:rFonts w:hint="eastAsia" w:ascii="华文中宋" w:hAnsi="华文中宋" w:eastAsia="华文中宋" w:cs="华文中宋"/>
          <w:b/>
          <w:sz w:val="28"/>
          <w:szCs w:val="28"/>
        </w:rPr>
      </w:pPr>
    </w:p>
    <w:p>
      <w:pPr>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技术需求书</w:t>
      </w:r>
    </w:p>
    <w:tbl>
      <w:tblPr>
        <w:tblStyle w:val="21"/>
        <w:tblW w:w="94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75"/>
        <w:gridCol w:w="4190"/>
        <w:gridCol w:w="1099"/>
        <w:gridCol w:w="922"/>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序号</w:t>
            </w:r>
          </w:p>
        </w:tc>
        <w:tc>
          <w:tcPr>
            <w:tcW w:w="1575" w:type="dxa"/>
            <w:vAlign w:val="center"/>
          </w:tcPr>
          <w:p>
            <w:pPr>
              <w:jc w:val="center"/>
              <w:rPr>
                <w:rFonts w:hint="eastAsia" w:ascii="华文中宋" w:hAnsi="华文中宋" w:eastAsia="华文中宋" w:cs="华文中宋"/>
                <w:bCs/>
                <w:szCs w:val="21"/>
                <w:lang w:val="en-US" w:eastAsia="zh-CN"/>
              </w:rPr>
            </w:pPr>
            <w:r>
              <w:rPr>
                <w:rFonts w:hint="eastAsia" w:ascii="华文中宋" w:hAnsi="华文中宋" w:eastAsia="华文中宋" w:cs="华文中宋"/>
                <w:bCs/>
                <w:szCs w:val="21"/>
              </w:rPr>
              <w:t>服务</w:t>
            </w:r>
            <w:r>
              <w:rPr>
                <w:rFonts w:hint="eastAsia" w:ascii="华文中宋" w:hAnsi="华文中宋" w:eastAsia="华文中宋" w:cs="华文中宋"/>
                <w:bCs/>
                <w:szCs w:val="21"/>
                <w:lang w:val="en-US" w:eastAsia="zh-CN"/>
              </w:rPr>
              <w:t>内容</w:t>
            </w:r>
          </w:p>
        </w:tc>
        <w:tc>
          <w:tcPr>
            <w:tcW w:w="4190"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服务需求描述</w:t>
            </w:r>
          </w:p>
        </w:tc>
        <w:tc>
          <w:tcPr>
            <w:tcW w:w="1099"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数量</w:t>
            </w:r>
          </w:p>
        </w:tc>
        <w:tc>
          <w:tcPr>
            <w:tcW w:w="922"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单位</w:t>
            </w:r>
          </w:p>
        </w:tc>
        <w:tc>
          <w:tcPr>
            <w:tcW w:w="922"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2" w:hRule="atLeast"/>
          <w:jc w:val="center"/>
        </w:trPr>
        <w:tc>
          <w:tcPr>
            <w:tcW w:w="787"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1</w:t>
            </w:r>
          </w:p>
        </w:tc>
        <w:tc>
          <w:tcPr>
            <w:tcW w:w="1575" w:type="dxa"/>
            <w:vAlign w:val="center"/>
          </w:tcPr>
          <w:p>
            <w:pPr>
              <w:jc w:val="center"/>
              <w:rPr>
                <w:rFonts w:hint="eastAsia" w:ascii="华文中宋" w:hAnsi="华文中宋" w:eastAsia="华文中宋" w:cs="华文中宋"/>
                <w:bCs/>
                <w:szCs w:val="21"/>
                <w:lang w:eastAsia="zh-CN"/>
              </w:rPr>
            </w:pPr>
            <w:r>
              <w:rPr>
                <w:rFonts w:hint="eastAsia" w:ascii="华文中宋" w:hAnsi="华文中宋" w:eastAsia="华文中宋"/>
                <w:lang w:val="en-US" w:eastAsia="zh-CN"/>
              </w:rPr>
              <w:t>数据</w:t>
            </w:r>
            <w:r>
              <w:rPr>
                <w:rFonts w:ascii="华文中宋" w:hAnsi="华文中宋" w:eastAsia="华文中宋"/>
              </w:rPr>
              <w:t>专线</w:t>
            </w:r>
          </w:p>
        </w:tc>
        <w:tc>
          <w:tcPr>
            <w:tcW w:w="4190" w:type="dxa"/>
            <w:vAlign w:val="center"/>
          </w:tcPr>
          <w:p>
            <w:pPr>
              <w:jc w:val="left"/>
            </w:pPr>
            <w:r>
              <w:rPr>
                <w:rFonts w:hint="eastAsia" w:ascii="华文中宋" w:hAnsi="华文中宋" w:eastAsia="华文中宋"/>
                <w:lang w:eastAsia="zh-CN"/>
              </w:rPr>
              <w:t>★带宽：</w:t>
            </w:r>
            <w:r>
              <w:rPr>
                <w:rFonts w:hint="eastAsia" w:ascii="华文中宋" w:hAnsi="华文中宋" w:eastAsia="华文中宋"/>
                <w:lang w:val="en-US" w:eastAsia="zh-CN"/>
              </w:rPr>
              <w:t>不低于10</w:t>
            </w:r>
            <w:r>
              <w:rPr>
                <w:rFonts w:ascii="华文中宋" w:hAnsi="华文中宋" w:eastAsia="华文中宋"/>
              </w:rPr>
              <w:t>M</w:t>
            </w:r>
          </w:p>
          <w:p>
            <w:r>
              <w:rPr>
                <w:rFonts w:ascii="华文中宋" w:hAnsi="华文中宋" w:eastAsia="华文中宋"/>
              </w:rPr>
              <w:t xml:space="preserve"> 1、IP包传输往返时延：往返时延平均值≤200毫秒。IP包传输往返时延指从一个平均包长的IP包的最后一个比特进入因特网业务接入点（A点），到达对端的业务接入点（B点），再返回进入时的接入点（A点）止的时间；</w:t>
            </w:r>
          </w:p>
          <w:p>
            <w:r>
              <w:rPr>
                <w:rFonts w:ascii="华文中宋" w:hAnsi="华文中宋" w:eastAsia="华文中宋"/>
              </w:rPr>
              <w:t xml:space="preserve"> 2、IP包时延变化：时延变化平均值≤80毫秒。一般通过恒定间隔发送等长的数据包，统计数据包之间时延与等长间隔之间的差值得到；</w:t>
            </w:r>
          </w:p>
          <w:p>
            <w:r>
              <w:rPr>
                <w:rFonts w:ascii="华文中宋" w:hAnsi="华文中宋" w:eastAsia="华文中宋"/>
              </w:rPr>
              <w:t xml:space="preserve"> 3、IP包丢失率：包丢失率平均值≤2%。IP包丢失率指IP包在两点间传输时丢失的概率；</w:t>
            </w:r>
          </w:p>
          <w:p>
            <w:pPr>
              <w:rPr>
                <w:rFonts w:hint="eastAsia" w:ascii="华文中宋" w:hAnsi="华文中宋" w:eastAsia="华文中宋" w:cs="华文中宋"/>
                <w:bCs/>
                <w:szCs w:val="21"/>
              </w:rPr>
            </w:pPr>
            <w:r>
              <w:rPr>
                <w:rFonts w:ascii="华文中宋" w:hAnsi="华文中宋" w:eastAsia="华文中宋"/>
              </w:rPr>
              <w:t xml:space="preserve"> 4、IP业务可用性：客户能够使用IP业务的时间与IP业务全部工作时间之比。IP业务可用性≥99.9%。</w:t>
            </w:r>
          </w:p>
        </w:tc>
        <w:tc>
          <w:tcPr>
            <w:tcW w:w="1099" w:type="dxa"/>
            <w:vAlign w:val="center"/>
          </w:tcPr>
          <w:p>
            <w:pPr>
              <w:jc w:val="center"/>
              <w:rPr>
                <w:rFonts w:hint="default" w:ascii="华文中宋" w:hAnsi="华文中宋" w:eastAsia="华文中宋" w:cs="Times New Roman"/>
                <w:lang w:val="en-US"/>
              </w:rPr>
            </w:pPr>
            <w:r>
              <w:rPr>
                <w:rFonts w:hint="eastAsia" w:ascii="华文中宋" w:hAnsi="华文中宋" w:eastAsia="华文中宋" w:cs="Times New Roman"/>
                <w:lang w:val="en-US" w:eastAsia="zh-CN"/>
              </w:rPr>
              <w:t>451</w:t>
            </w:r>
          </w:p>
        </w:tc>
        <w:tc>
          <w:tcPr>
            <w:tcW w:w="922" w:type="dxa"/>
            <w:vAlign w:val="center"/>
          </w:tcPr>
          <w:p>
            <w:pPr>
              <w:jc w:val="center"/>
              <w:rPr>
                <w:rFonts w:hint="eastAsia" w:ascii="华文中宋" w:hAnsi="华文中宋" w:eastAsia="华文中宋" w:cs="Times New Roma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华文中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eastAsia" w:ascii="华文中宋" w:hAnsi="华文中宋" w:eastAsia="华文中宋" w:cs="华文中宋"/>
                <w:bCs/>
                <w:szCs w:val="21"/>
              </w:rPr>
            </w:pPr>
            <w:r>
              <w:rPr>
                <w:rFonts w:hint="eastAsia" w:ascii="华文中宋" w:hAnsi="华文中宋" w:eastAsia="华文中宋" w:cs="华文中宋"/>
                <w:bCs/>
                <w:szCs w:val="21"/>
              </w:rPr>
              <w:t>2</w:t>
            </w:r>
          </w:p>
        </w:tc>
        <w:tc>
          <w:tcPr>
            <w:tcW w:w="1575" w:type="dxa"/>
            <w:vAlign w:val="center"/>
          </w:tcPr>
          <w:p>
            <w:pPr>
              <w:jc w:val="center"/>
              <w:rPr>
                <w:rFonts w:hint="default" w:ascii="华文中宋" w:hAnsi="华文中宋" w:eastAsia="华文中宋" w:cs="华文中宋"/>
                <w:bCs/>
                <w:szCs w:val="21"/>
                <w:lang w:val="en-US"/>
              </w:rPr>
            </w:pPr>
            <w:r>
              <w:rPr>
                <w:rFonts w:hint="eastAsia" w:ascii="华文中宋" w:hAnsi="华文中宋" w:eastAsia="华文中宋"/>
                <w:lang w:val="en-US" w:eastAsia="zh-CN"/>
              </w:rPr>
              <w:t>公安专网</w:t>
            </w:r>
          </w:p>
        </w:tc>
        <w:tc>
          <w:tcPr>
            <w:tcW w:w="4190" w:type="dxa"/>
            <w:vAlign w:val="center"/>
          </w:tcPr>
          <w:p>
            <w:pPr>
              <w:jc w:val="left"/>
            </w:pPr>
            <w:r>
              <w:rPr>
                <w:rFonts w:hint="eastAsia" w:ascii="华文中宋" w:hAnsi="华文中宋" w:eastAsia="华文中宋"/>
                <w:lang w:eastAsia="zh-CN"/>
              </w:rPr>
              <w:t>★带宽</w:t>
            </w:r>
            <w:r>
              <w:rPr>
                <w:rFonts w:ascii="华文中宋" w:hAnsi="华文中宋" w:eastAsia="华文中宋"/>
              </w:rPr>
              <w:t>：</w:t>
            </w:r>
            <w:r>
              <w:rPr>
                <w:rFonts w:hint="eastAsia" w:ascii="华文中宋" w:hAnsi="华文中宋" w:eastAsia="华文中宋"/>
                <w:lang w:val="en-US" w:eastAsia="zh-CN"/>
              </w:rPr>
              <w:t>不低于3</w:t>
            </w:r>
            <w:r>
              <w:rPr>
                <w:rFonts w:ascii="华文中宋" w:hAnsi="华文中宋" w:eastAsia="华文中宋"/>
              </w:rPr>
              <w:t>00M</w:t>
            </w:r>
          </w:p>
          <w:p>
            <w:r>
              <w:rPr>
                <w:rFonts w:ascii="华文中宋" w:hAnsi="华文中宋" w:eastAsia="华文中宋"/>
              </w:rPr>
              <w:t xml:space="preserve"> 1、IP包传输往返时延：往返时延平均值≤200毫秒。IP包传输往返时延指从一个平均包长的IP包的最后一个比特进入因特网业务接入点（A点），到达对端的业务接入点（B点），再返回进入时的接入点（A点）止的时间；</w:t>
            </w:r>
          </w:p>
          <w:p>
            <w:r>
              <w:rPr>
                <w:rFonts w:ascii="华文中宋" w:hAnsi="华文中宋" w:eastAsia="华文中宋"/>
              </w:rPr>
              <w:t xml:space="preserve"> 2、IP包时延变化：时延变化平均值≤80毫秒。一般通过恒定间隔发送等长的数据包，统计数据包之间时延与等长间隔之间的差值得到；</w:t>
            </w:r>
          </w:p>
          <w:p>
            <w:r>
              <w:rPr>
                <w:rFonts w:ascii="华文中宋" w:hAnsi="华文中宋" w:eastAsia="华文中宋"/>
              </w:rPr>
              <w:t xml:space="preserve"> 3、IP包丢失率：包丢失率平均值≤2%。IP包丢失率指IP包在两点间传输时丢失的概率；</w:t>
            </w:r>
          </w:p>
          <w:p>
            <w:pPr>
              <w:rPr>
                <w:rFonts w:hint="eastAsia" w:ascii="华文中宋" w:hAnsi="华文中宋" w:eastAsia="华文中宋" w:cs="华文中宋"/>
                <w:bCs/>
                <w:szCs w:val="21"/>
              </w:rPr>
            </w:pPr>
            <w:r>
              <w:rPr>
                <w:rFonts w:ascii="华文中宋" w:hAnsi="华文中宋" w:eastAsia="华文中宋"/>
              </w:rPr>
              <w:t xml:space="preserve"> 4、IP业务可用性：客户能够使用IP业务的时间与IP业务全部工作时间之比。IP业务可用性≥99.9%。</w:t>
            </w:r>
          </w:p>
        </w:tc>
        <w:tc>
          <w:tcPr>
            <w:tcW w:w="1099" w:type="dxa"/>
            <w:vAlign w:val="center"/>
          </w:tcPr>
          <w:p>
            <w:pPr>
              <w:jc w:val="center"/>
              <w:rPr>
                <w:rFonts w:hint="eastAsia" w:ascii="华文中宋" w:hAnsi="华文中宋" w:eastAsia="华文中宋" w:cs="Times New Roman"/>
              </w:rPr>
            </w:pPr>
            <w:r>
              <w:rPr>
                <w:rFonts w:hint="eastAsia" w:ascii="华文中宋" w:hAnsi="华文中宋" w:eastAsia="华文中宋" w:cs="Times New Roman"/>
                <w:lang w:val="en-US" w:eastAsia="zh-CN"/>
              </w:rPr>
              <w:t>1</w:t>
            </w:r>
          </w:p>
        </w:tc>
        <w:tc>
          <w:tcPr>
            <w:tcW w:w="922" w:type="dxa"/>
            <w:vAlign w:val="center"/>
          </w:tcPr>
          <w:p>
            <w:pPr>
              <w:jc w:val="center"/>
              <w:rPr>
                <w:rFonts w:hint="eastAsia" w:ascii="华文中宋" w:hAnsi="华文中宋" w:eastAsia="华文中宋" w:cs="Times New Roma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华文中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eastAsia" w:ascii="华文中宋" w:hAnsi="华文中宋" w:eastAsia="华文中宋" w:cs="华文中宋"/>
                <w:bCs/>
                <w:szCs w:val="21"/>
                <w:lang w:val="en-US" w:eastAsia="zh-CN"/>
              </w:rPr>
            </w:pPr>
            <w:r>
              <w:rPr>
                <w:rFonts w:hint="eastAsia" w:ascii="华文中宋" w:hAnsi="华文中宋" w:eastAsia="华文中宋" w:cs="华文中宋"/>
                <w:bCs/>
                <w:szCs w:val="21"/>
                <w:lang w:val="en-US" w:eastAsia="zh-CN"/>
              </w:rPr>
              <w:t>3</w:t>
            </w:r>
          </w:p>
        </w:tc>
        <w:tc>
          <w:tcPr>
            <w:tcW w:w="1575" w:type="dxa"/>
            <w:vAlign w:val="center"/>
          </w:tcPr>
          <w:p>
            <w:pPr>
              <w:jc w:val="center"/>
              <w:rPr>
                <w:rFonts w:hint="eastAsia" w:ascii="华文中宋" w:hAnsi="华文中宋" w:eastAsia="华文中宋" w:cs="Times New Roman"/>
                <w:lang w:eastAsia="zh-CN"/>
              </w:rPr>
            </w:pPr>
            <w:r>
              <w:rPr>
                <w:rFonts w:hint="eastAsia" w:ascii="华文中宋" w:hAnsi="华文中宋" w:eastAsia="华文中宋" w:cs="Times New Roman"/>
                <w:lang w:val="en-US" w:eastAsia="zh-CN"/>
              </w:rPr>
              <w:t>乡镇到市局雪亮互联网宽带</w:t>
            </w:r>
          </w:p>
        </w:tc>
        <w:tc>
          <w:tcPr>
            <w:tcW w:w="4190" w:type="dxa"/>
            <w:vAlign w:val="center"/>
          </w:tcPr>
          <w:p>
            <w:pPr>
              <w:jc w:val="left"/>
              <w:rPr>
                <w:rFonts w:hint="eastAsia"/>
                <w:lang w:val="en-US" w:eastAsia="zh-CN"/>
              </w:rPr>
            </w:pPr>
            <w:r>
              <w:rPr>
                <w:rFonts w:hint="eastAsia" w:ascii="华文中宋" w:hAnsi="华文中宋" w:eastAsia="华文中宋"/>
                <w:lang w:val="en-US" w:eastAsia="zh-CN"/>
              </w:rPr>
              <w:t>互联网接入</w:t>
            </w:r>
            <w:r>
              <w:rPr>
                <w:rFonts w:ascii="华文中宋" w:hAnsi="华文中宋" w:eastAsia="华文中宋"/>
              </w:rPr>
              <w:t>带宽：</w:t>
            </w:r>
            <w:r>
              <w:rPr>
                <w:rFonts w:hint="eastAsia" w:ascii="华文中宋" w:hAnsi="华文中宋" w:eastAsia="华文中宋"/>
                <w:lang w:val="en-US" w:eastAsia="zh-CN"/>
              </w:rPr>
              <w:t>不低于1</w:t>
            </w:r>
            <w:r>
              <w:rPr>
                <w:rFonts w:ascii="华文中宋" w:hAnsi="华文中宋" w:eastAsia="华文中宋"/>
              </w:rPr>
              <w:t>0M</w:t>
            </w:r>
          </w:p>
        </w:tc>
        <w:tc>
          <w:tcPr>
            <w:tcW w:w="1099"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11</w:t>
            </w:r>
          </w:p>
        </w:tc>
        <w:tc>
          <w:tcPr>
            <w:tcW w:w="922"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eastAsia" w:ascii="华文中宋" w:hAnsi="华文中宋" w:eastAsia="华文中宋" w:cs="华文中宋"/>
                <w:bCs/>
                <w:szCs w:val="21"/>
                <w:lang w:val="en-US" w:eastAsia="zh-CN"/>
              </w:rPr>
            </w:pPr>
            <w:r>
              <w:rPr>
                <w:rFonts w:hint="eastAsia" w:ascii="华文中宋" w:hAnsi="华文中宋" w:eastAsia="华文中宋" w:cs="华文中宋"/>
                <w:bCs/>
                <w:szCs w:val="21"/>
                <w:lang w:val="en-US" w:eastAsia="zh-CN"/>
              </w:rPr>
              <w:t>4</w:t>
            </w:r>
          </w:p>
        </w:tc>
        <w:tc>
          <w:tcPr>
            <w:tcW w:w="1575" w:type="dxa"/>
            <w:vAlign w:val="center"/>
          </w:tcPr>
          <w:p>
            <w:pPr>
              <w:jc w:val="center"/>
              <w:rPr>
                <w:rFonts w:hint="eastAsia" w:ascii="华文中宋" w:hAnsi="华文中宋" w:eastAsia="华文中宋" w:cs="Times New Roman"/>
                <w:lang w:eastAsia="zh-CN"/>
              </w:rPr>
            </w:pPr>
            <w:r>
              <w:rPr>
                <w:rFonts w:hint="eastAsia" w:ascii="华文中宋" w:hAnsi="华文中宋" w:eastAsia="华文中宋" w:cs="Times New Roman"/>
                <w:lang w:val="en-US" w:eastAsia="zh-CN"/>
              </w:rPr>
              <w:t>雪亮互联网宽带</w:t>
            </w:r>
          </w:p>
        </w:tc>
        <w:tc>
          <w:tcPr>
            <w:tcW w:w="4190" w:type="dxa"/>
            <w:vAlign w:val="center"/>
          </w:tcPr>
          <w:p>
            <w:pPr>
              <w:jc w:val="left"/>
              <w:rPr>
                <w:rFonts w:hint="eastAsia"/>
                <w:lang w:val="en-US" w:eastAsia="zh-CN"/>
              </w:rPr>
            </w:pPr>
            <w:r>
              <w:rPr>
                <w:rFonts w:hint="eastAsia" w:ascii="华文中宋" w:hAnsi="华文中宋" w:eastAsia="华文中宋"/>
                <w:lang w:val="en-US" w:eastAsia="zh-CN"/>
              </w:rPr>
              <w:t>互联网接入</w:t>
            </w:r>
            <w:r>
              <w:rPr>
                <w:rFonts w:ascii="华文中宋" w:hAnsi="华文中宋" w:eastAsia="华文中宋"/>
              </w:rPr>
              <w:t>带宽：</w:t>
            </w:r>
            <w:r>
              <w:rPr>
                <w:rFonts w:hint="eastAsia" w:ascii="华文中宋" w:hAnsi="华文中宋" w:eastAsia="华文中宋"/>
                <w:lang w:val="en-US" w:eastAsia="zh-CN"/>
              </w:rPr>
              <w:t>不低于5</w:t>
            </w:r>
            <w:r>
              <w:rPr>
                <w:rFonts w:ascii="华文中宋" w:hAnsi="华文中宋" w:eastAsia="华文中宋"/>
              </w:rPr>
              <w:t>00M</w:t>
            </w:r>
          </w:p>
        </w:tc>
        <w:tc>
          <w:tcPr>
            <w:tcW w:w="1099" w:type="dxa"/>
            <w:vAlign w:val="center"/>
          </w:tcPr>
          <w:p>
            <w:pPr>
              <w:jc w:val="center"/>
              <w:rPr>
                <w:rFonts w:hint="default" w:ascii="华文中宋" w:hAnsi="华文中宋" w:eastAsia="华文中宋" w:cs="Times New Roman"/>
                <w:lang w:val="en-US" w:eastAsia="zh-CN"/>
              </w:rPr>
            </w:pPr>
            <w:r>
              <w:rPr>
                <w:rFonts w:hint="eastAsia" w:ascii="华文中宋" w:hAnsi="华文中宋" w:eastAsia="华文中宋" w:cs="Times New Roman"/>
                <w:lang w:val="en-US" w:eastAsia="zh-CN"/>
              </w:rPr>
              <w:t>597</w:t>
            </w:r>
          </w:p>
        </w:tc>
        <w:tc>
          <w:tcPr>
            <w:tcW w:w="922"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eastAsia" w:ascii="华文中宋" w:hAnsi="华文中宋" w:eastAsia="华文中宋" w:cs="华文中宋"/>
                <w:bCs/>
                <w:szCs w:val="21"/>
                <w:lang w:val="en-US" w:eastAsia="zh-CN"/>
              </w:rPr>
            </w:pPr>
            <w:r>
              <w:rPr>
                <w:rFonts w:hint="eastAsia" w:ascii="华文中宋" w:hAnsi="华文中宋" w:eastAsia="华文中宋" w:cs="华文中宋"/>
                <w:bCs/>
                <w:szCs w:val="21"/>
                <w:lang w:val="en-US" w:eastAsia="zh-CN"/>
              </w:rPr>
              <w:t>5</w:t>
            </w:r>
          </w:p>
        </w:tc>
        <w:tc>
          <w:tcPr>
            <w:tcW w:w="1575" w:type="dxa"/>
            <w:vAlign w:val="center"/>
          </w:tcPr>
          <w:p>
            <w:pPr>
              <w:jc w:val="center"/>
              <w:rPr>
                <w:rFonts w:hint="default" w:ascii="华文中宋" w:hAnsi="华文中宋" w:eastAsia="华文中宋" w:cs="Times New Roman"/>
                <w:lang w:val="en-US" w:eastAsia="zh-CN"/>
              </w:rPr>
            </w:pPr>
            <w:r>
              <w:rPr>
                <w:rFonts w:hint="eastAsia" w:ascii="华文中宋" w:hAnsi="华文中宋" w:eastAsia="华文中宋" w:cs="Times New Roman"/>
                <w:lang w:val="en-US" w:eastAsia="zh-CN"/>
              </w:rPr>
              <w:t>机关互联网专线</w:t>
            </w:r>
          </w:p>
        </w:tc>
        <w:tc>
          <w:tcPr>
            <w:tcW w:w="4190" w:type="dxa"/>
            <w:vAlign w:val="center"/>
          </w:tcPr>
          <w:p>
            <w:pPr>
              <w:jc w:val="left"/>
            </w:pPr>
            <w:r>
              <w:rPr>
                <w:rFonts w:hint="eastAsia" w:ascii="华文中宋" w:hAnsi="华文中宋" w:eastAsia="华文中宋"/>
                <w:lang w:eastAsia="zh-CN"/>
              </w:rPr>
              <w:t>★带宽</w:t>
            </w:r>
            <w:r>
              <w:rPr>
                <w:rFonts w:ascii="华文中宋" w:hAnsi="华文中宋" w:eastAsia="华文中宋"/>
              </w:rPr>
              <w:t>：</w:t>
            </w:r>
            <w:r>
              <w:rPr>
                <w:rFonts w:hint="eastAsia" w:ascii="华文中宋" w:hAnsi="华文中宋" w:eastAsia="华文中宋"/>
                <w:lang w:val="en-US" w:eastAsia="zh-CN"/>
              </w:rPr>
              <w:t>不低于5</w:t>
            </w:r>
            <w:r>
              <w:rPr>
                <w:rFonts w:ascii="华文中宋" w:hAnsi="华文中宋" w:eastAsia="华文中宋"/>
              </w:rPr>
              <w:t>0M</w:t>
            </w:r>
          </w:p>
          <w:p>
            <w:r>
              <w:rPr>
                <w:rFonts w:ascii="华文中宋" w:hAnsi="华文中宋" w:eastAsia="华文中宋"/>
              </w:rPr>
              <w:t xml:space="preserve"> 1、IP包传输往返时延：往返时延平均值≤200毫秒。IP包传输往返时延指从一个平均包长的IP包的最后一个比特进入因特网业务接入点（A点），到达对端的业务接入点（B点），再返回进入时的接入点（A点）止的时间；</w:t>
            </w:r>
          </w:p>
          <w:p>
            <w:r>
              <w:rPr>
                <w:rFonts w:ascii="华文中宋" w:hAnsi="华文中宋" w:eastAsia="华文中宋"/>
              </w:rPr>
              <w:t xml:space="preserve"> 2、IP包时延变化：时延变化平均值≤80毫秒。一般通过恒定间隔发送等长的数据包，统计数据包之间时延与等长间隔之间的差值得到；</w:t>
            </w:r>
          </w:p>
          <w:p>
            <w:r>
              <w:rPr>
                <w:rFonts w:ascii="华文中宋" w:hAnsi="华文中宋" w:eastAsia="华文中宋"/>
              </w:rPr>
              <w:t xml:space="preserve"> 3、IP包丢失率：包丢失率平均值≤2%。IP包丢失率指IP包在两点间传输时丢失的概率；</w:t>
            </w:r>
          </w:p>
          <w:p>
            <w:pPr>
              <w:rPr>
                <w:rFonts w:ascii="华文中宋" w:hAnsi="华文中宋" w:eastAsia="华文中宋"/>
              </w:rPr>
            </w:pPr>
            <w:r>
              <w:rPr>
                <w:rFonts w:ascii="华文中宋" w:hAnsi="华文中宋" w:eastAsia="华文中宋"/>
              </w:rPr>
              <w:t xml:space="preserve"> 4、IP业务可用性：客户能够使用IP业务的时间与IP业务全部工作时间之比。IP业务可用性≥99.9%。</w:t>
            </w:r>
          </w:p>
          <w:p>
            <w:pPr>
              <w:pStyle w:val="2"/>
              <w:rPr>
                <w:rFonts w:hint="default" w:eastAsia="华文中宋"/>
                <w:lang w:val="en-US" w:eastAsia="zh-CN"/>
              </w:rPr>
            </w:pPr>
            <w:r>
              <w:rPr>
                <w:rFonts w:hint="eastAsia" w:ascii="华文中宋" w:hAnsi="华文中宋" w:eastAsia="华文中宋"/>
                <w:lang w:val="en-US" w:eastAsia="zh-CN"/>
              </w:rPr>
              <w:t>5、提供不低于1个互联网IP地址。</w:t>
            </w:r>
          </w:p>
        </w:tc>
        <w:tc>
          <w:tcPr>
            <w:tcW w:w="1099"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1</w:t>
            </w:r>
          </w:p>
        </w:tc>
        <w:tc>
          <w:tcPr>
            <w:tcW w:w="922"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default" w:ascii="华文中宋" w:hAnsi="华文中宋" w:eastAsia="华文中宋" w:cs="华文中宋"/>
                <w:bCs/>
                <w:szCs w:val="21"/>
                <w:lang w:val="en-US" w:eastAsia="zh-CN"/>
              </w:rPr>
            </w:pPr>
            <w:r>
              <w:rPr>
                <w:rFonts w:hint="eastAsia" w:ascii="华文中宋" w:hAnsi="华文中宋" w:eastAsia="华文中宋" w:cs="华文中宋"/>
                <w:bCs/>
                <w:szCs w:val="21"/>
                <w:lang w:val="en-US" w:eastAsia="zh-CN"/>
              </w:rPr>
              <w:t>6</w:t>
            </w:r>
          </w:p>
        </w:tc>
        <w:tc>
          <w:tcPr>
            <w:tcW w:w="1575" w:type="dxa"/>
            <w:vAlign w:val="center"/>
          </w:tcPr>
          <w:p>
            <w:pPr>
              <w:jc w:val="center"/>
              <w:rPr>
                <w:rFonts w:hint="eastAsia" w:ascii="华文中宋" w:hAnsi="华文中宋" w:eastAsia="华文中宋" w:cs="Times New Roman"/>
                <w:lang w:eastAsia="zh-CN"/>
              </w:rPr>
            </w:pPr>
            <w:r>
              <w:rPr>
                <w:rFonts w:hint="eastAsia" w:ascii="华文中宋" w:hAnsi="华文中宋" w:eastAsia="华文中宋" w:cs="Times New Roman"/>
                <w:lang w:val="en-US" w:eastAsia="zh-CN"/>
              </w:rPr>
              <w:t>公安专网</w:t>
            </w:r>
          </w:p>
        </w:tc>
        <w:tc>
          <w:tcPr>
            <w:tcW w:w="4190" w:type="dxa"/>
            <w:vAlign w:val="center"/>
          </w:tcPr>
          <w:p>
            <w:pPr>
              <w:jc w:val="left"/>
            </w:pPr>
            <w:r>
              <w:rPr>
                <w:rFonts w:hint="eastAsia" w:ascii="华文中宋" w:hAnsi="华文中宋" w:eastAsia="华文中宋"/>
                <w:lang w:eastAsia="zh-CN"/>
              </w:rPr>
              <w:t>★带宽</w:t>
            </w:r>
            <w:r>
              <w:rPr>
                <w:rFonts w:ascii="华文中宋" w:hAnsi="华文中宋" w:eastAsia="华文中宋"/>
              </w:rPr>
              <w:t>：</w:t>
            </w:r>
            <w:r>
              <w:rPr>
                <w:rFonts w:hint="eastAsia" w:ascii="华文中宋" w:hAnsi="华文中宋" w:eastAsia="华文中宋"/>
                <w:lang w:val="en-US" w:eastAsia="zh-CN"/>
              </w:rPr>
              <w:t>不低于1</w:t>
            </w:r>
            <w:r>
              <w:rPr>
                <w:rFonts w:ascii="华文中宋" w:hAnsi="华文中宋" w:eastAsia="华文中宋"/>
              </w:rPr>
              <w:t>0M</w:t>
            </w:r>
          </w:p>
          <w:p>
            <w:r>
              <w:rPr>
                <w:rFonts w:ascii="华文中宋" w:hAnsi="华文中宋" w:eastAsia="华文中宋"/>
              </w:rPr>
              <w:t xml:space="preserve"> 1、IP包传输往返时延：往返时延平均值≤200毫秒。IP包传输往返时延指从一个平均包长的IP包的最后一个比特进入因特网业务接入点（A点），到达对端的业务接入点（B点），再返回进入时的接入点（A点）止的时间；</w:t>
            </w:r>
          </w:p>
          <w:p>
            <w:r>
              <w:rPr>
                <w:rFonts w:ascii="华文中宋" w:hAnsi="华文中宋" w:eastAsia="华文中宋"/>
              </w:rPr>
              <w:t xml:space="preserve"> 2、IP包时延变化：时延变化平均值≤80毫秒。一般通过恒定间隔发送等长的数据包，统计数据包之间时延与等长间隔之间的差值得到；</w:t>
            </w:r>
          </w:p>
          <w:p>
            <w:r>
              <w:rPr>
                <w:rFonts w:ascii="华文中宋" w:hAnsi="华文中宋" w:eastAsia="华文中宋"/>
              </w:rPr>
              <w:t xml:space="preserve"> 3、IP包丢失率：包丢失率平均值≤2%。IP包丢失率指IP包在两点间传输时丢失的概率；</w:t>
            </w:r>
          </w:p>
          <w:p>
            <w:pPr>
              <w:rPr>
                <w:rFonts w:hint="eastAsia" w:ascii="华文中宋" w:hAnsi="华文中宋" w:eastAsia="华文中宋" w:cs="Times New Roman"/>
                <w:lang w:val="en-US" w:eastAsia="zh-CN"/>
              </w:rPr>
            </w:pPr>
            <w:r>
              <w:rPr>
                <w:rFonts w:ascii="华文中宋" w:hAnsi="华文中宋" w:eastAsia="华文中宋"/>
              </w:rPr>
              <w:t xml:space="preserve"> 4、IP业务可用性：客户能够使用IP业务的时间与IP业务全部工作时间之比。IP业务可用性≥99.9%。</w:t>
            </w:r>
          </w:p>
        </w:tc>
        <w:tc>
          <w:tcPr>
            <w:tcW w:w="1099"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3</w:t>
            </w:r>
          </w:p>
        </w:tc>
        <w:tc>
          <w:tcPr>
            <w:tcW w:w="922"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default" w:ascii="华文中宋" w:hAnsi="华文中宋" w:eastAsia="华文中宋" w:cs="华文中宋"/>
                <w:bCs/>
                <w:szCs w:val="21"/>
                <w:lang w:val="en-US" w:eastAsia="zh-CN"/>
              </w:rPr>
            </w:pPr>
            <w:r>
              <w:rPr>
                <w:rFonts w:hint="eastAsia" w:ascii="华文中宋" w:hAnsi="华文中宋" w:eastAsia="华文中宋" w:cs="华文中宋"/>
                <w:bCs/>
                <w:szCs w:val="21"/>
                <w:lang w:val="en-US" w:eastAsia="zh-CN"/>
              </w:rPr>
              <w:t>7</w:t>
            </w:r>
          </w:p>
        </w:tc>
        <w:tc>
          <w:tcPr>
            <w:tcW w:w="1575" w:type="dxa"/>
            <w:vAlign w:val="center"/>
          </w:tcPr>
          <w:p>
            <w:pPr>
              <w:jc w:val="center"/>
              <w:rPr>
                <w:rFonts w:hint="eastAsia" w:ascii="华文中宋" w:hAnsi="华文中宋" w:eastAsia="华文中宋" w:cs="Times New Roman"/>
                <w:lang w:eastAsia="zh-CN"/>
              </w:rPr>
            </w:pPr>
            <w:r>
              <w:rPr>
                <w:rFonts w:hint="eastAsia" w:ascii="华文中宋" w:hAnsi="华文中宋" w:eastAsia="华文中宋" w:cs="Times New Roman"/>
                <w:lang w:val="en-US" w:eastAsia="zh-CN"/>
              </w:rPr>
              <w:t>交警专用专线</w:t>
            </w:r>
          </w:p>
        </w:tc>
        <w:tc>
          <w:tcPr>
            <w:tcW w:w="4190" w:type="dxa"/>
            <w:vAlign w:val="center"/>
          </w:tcPr>
          <w:p>
            <w:pPr>
              <w:jc w:val="left"/>
            </w:pPr>
            <w:r>
              <w:rPr>
                <w:rFonts w:hint="eastAsia" w:ascii="华文中宋" w:hAnsi="华文中宋" w:eastAsia="华文中宋"/>
                <w:lang w:eastAsia="zh-CN"/>
              </w:rPr>
              <w:t>★带宽</w:t>
            </w:r>
            <w:r>
              <w:rPr>
                <w:rFonts w:ascii="华文中宋" w:hAnsi="华文中宋" w:eastAsia="华文中宋"/>
              </w:rPr>
              <w:t>：</w:t>
            </w:r>
            <w:r>
              <w:rPr>
                <w:rFonts w:hint="eastAsia" w:ascii="华文中宋" w:hAnsi="华文中宋" w:eastAsia="华文中宋"/>
                <w:lang w:val="en-US" w:eastAsia="zh-CN"/>
              </w:rPr>
              <w:t>不低于1</w:t>
            </w:r>
            <w:r>
              <w:rPr>
                <w:rFonts w:ascii="华文中宋" w:hAnsi="华文中宋" w:eastAsia="华文中宋"/>
              </w:rPr>
              <w:t>0M</w:t>
            </w:r>
          </w:p>
          <w:p>
            <w:r>
              <w:rPr>
                <w:rFonts w:ascii="华文中宋" w:hAnsi="华文中宋" w:eastAsia="华文中宋"/>
              </w:rPr>
              <w:t xml:space="preserve"> 1、IP包传输往返时延：往返时延平均值≤200毫秒。IP包传输往返时延指从一个平均包长的IP包的最后一个比特进入因特网业务接入点（A点），到达对端的业务接入点（B点），再返回进入时的接入点（A点）止的时间；</w:t>
            </w:r>
          </w:p>
          <w:p>
            <w:r>
              <w:rPr>
                <w:rFonts w:ascii="华文中宋" w:hAnsi="华文中宋" w:eastAsia="华文中宋"/>
              </w:rPr>
              <w:t xml:space="preserve"> 2、IP包时延变化：时延变化平均值≤80毫秒。一般通过恒定间隔发送等长的数据包，统计数据包之间时延与等长间隔之间的差值得到；</w:t>
            </w:r>
          </w:p>
          <w:p>
            <w:r>
              <w:rPr>
                <w:rFonts w:ascii="华文中宋" w:hAnsi="华文中宋" w:eastAsia="华文中宋"/>
              </w:rPr>
              <w:t xml:space="preserve"> 3、IP包丢失率：包丢失率平均值≤2%。IP包丢失率指IP包在两点间传输时丢失的概率；</w:t>
            </w:r>
          </w:p>
          <w:p>
            <w:pPr>
              <w:rPr>
                <w:rFonts w:hint="eastAsia" w:ascii="华文中宋" w:hAnsi="华文中宋" w:eastAsia="华文中宋" w:cs="Times New Roman"/>
              </w:rPr>
            </w:pPr>
            <w:r>
              <w:rPr>
                <w:rFonts w:ascii="华文中宋" w:hAnsi="华文中宋" w:eastAsia="华文中宋"/>
              </w:rPr>
              <w:t xml:space="preserve"> 4、IP业务可用性：客户能够使用IP业务的时间与IP业务全部工作时间之比。IP业务可用性≥99.9%。</w:t>
            </w:r>
          </w:p>
        </w:tc>
        <w:tc>
          <w:tcPr>
            <w:tcW w:w="1099" w:type="dxa"/>
            <w:vAlign w:val="center"/>
          </w:tcPr>
          <w:p>
            <w:pPr>
              <w:jc w:val="center"/>
              <w:rPr>
                <w:rFonts w:hint="default" w:ascii="华文中宋" w:hAnsi="华文中宋" w:eastAsia="华文中宋" w:cs="Times New Roman"/>
                <w:lang w:val="en-US" w:eastAsia="zh-CN"/>
              </w:rPr>
            </w:pPr>
            <w:r>
              <w:rPr>
                <w:rFonts w:hint="eastAsia" w:ascii="华文中宋" w:hAnsi="华文中宋" w:eastAsia="华文中宋" w:cs="Times New Roman"/>
                <w:lang w:val="en-US" w:eastAsia="zh-CN"/>
              </w:rPr>
              <w:t>70</w:t>
            </w:r>
          </w:p>
        </w:tc>
        <w:tc>
          <w:tcPr>
            <w:tcW w:w="922" w:type="dxa"/>
            <w:vAlign w:val="center"/>
          </w:tcPr>
          <w:p>
            <w:pPr>
              <w:jc w:val="center"/>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87" w:type="dxa"/>
            <w:vAlign w:val="center"/>
          </w:tcPr>
          <w:p>
            <w:pPr>
              <w:jc w:val="center"/>
              <w:rPr>
                <w:rFonts w:hint="default" w:ascii="华文中宋" w:hAnsi="华文中宋" w:eastAsia="华文中宋" w:cs="华文中宋"/>
                <w:bCs/>
                <w:szCs w:val="21"/>
                <w:lang w:val="en-US" w:eastAsia="zh-CN"/>
              </w:rPr>
            </w:pPr>
            <w:r>
              <w:rPr>
                <w:rFonts w:hint="eastAsia" w:ascii="华文中宋" w:hAnsi="华文中宋" w:eastAsia="华文中宋" w:cs="华文中宋"/>
                <w:bCs/>
                <w:szCs w:val="21"/>
                <w:lang w:val="en-US" w:eastAsia="zh-CN"/>
              </w:rPr>
              <w:t>8</w:t>
            </w:r>
          </w:p>
        </w:tc>
        <w:tc>
          <w:tcPr>
            <w:tcW w:w="1575" w:type="dxa"/>
            <w:vAlign w:val="center"/>
          </w:tcPr>
          <w:p>
            <w:pPr>
              <w:jc w:val="center"/>
              <w:rPr>
                <w:rFonts w:hint="default" w:ascii="华文中宋" w:hAnsi="华文中宋" w:eastAsia="华文中宋" w:cs="Times New Roman"/>
                <w:lang w:val="en-US" w:eastAsia="zh-CN"/>
              </w:rPr>
            </w:pPr>
            <w:r>
              <w:rPr>
                <w:rFonts w:hint="eastAsia" w:ascii="华文中宋" w:hAnsi="华文中宋" w:eastAsia="华文中宋" w:cs="Times New Roman"/>
                <w:lang w:val="en-US" w:eastAsia="zh-CN"/>
              </w:rPr>
              <w:t>互联网专线</w:t>
            </w:r>
          </w:p>
        </w:tc>
        <w:tc>
          <w:tcPr>
            <w:tcW w:w="4190" w:type="dxa"/>
            <w:vAlign w:val="center"/>
          </w:tcPr>
          <w:p>
            <w:pPr>
              <w:jc w:val="left"/>
            </w:pPr>
            <w:r>
              <w:rPr>
                <w:rFonts w:hint="eastAsia" w:ascii="华文中宋" w:hAnsi="华文中宋" w:eastAsia="华文中宋"/>
                <w:lang w:eastAsia="zh-CN"/>
              </w:rPr>
              <w:t>★带宽</w:t>
            </w:r>
            <w:r>
              <w:rPr>
                <w:rFonts w:ascii="华文中宋" w:hAnsi="华文中宋" w:eastAsia="华文中宋"/>
              </w:rPr>
              <w:t>：</w:t>
            </w:r>
            <w:r>
              <w:rPr>
                <w:rFonts w:hint="eastAsia" w:ascii="华文中宋" w:hAnsi="华文中宋" w:eastAsia="华文中宋"/>
                <w:lang w:val="en-US" w:eastAsia="zh-CN"/>
              </w:rPr>
              <w:t>不低于1</w:t>
            </w:r>
            <w:r>
              <w:rPr>
                <w:rFonts w:ascii="华文中宋" w:hAnsi="华文中宋" w:eastAsia="华文中宋"/>
              </w:rPr>
              <w:t>0M</w:t>
            </w:r>
          </w:p>
          <w:p>
            <w:r>
              <w:rPr>
                <w:rFonts w:ascii="华文中宋" w:hAnsi="华文中宋" w:eastAsia="华文中宋"/>
              </w:rPr>
              <w:t xml:space="preserve"> 1、IP包传输往返时延：往返时延平均值≤200毫秒。IP包传输往返时延指从一个平均包长的IP包的最后一个比特进入因特网业务接入点（A点），到达对端的业务接入点（B点），再返回进入时的接入点（A点）止的时间；</w:t>
            </w:r>
          </w:p>
          <w:p>
            <w:r>
              <w:rPr>
                <w:rFonts w:ascii="华文中宋" w:hAnsi="华文中宋" w:eastAsia="华文中宋"/>
              </w:rPr>
              <w:t xml:space="preserve"> 2、IP包时延变化：时延变化平均值≤80毫秒。一般通过恒定间隔发送等长的数据包，统计数据包之间时延与等长间隔之间的差值得到；</w:t>
            </w:r>
          </w:p>
          <w:p>
            <w:r>
              <w:rPr>
                <w:rFonts w:ascii="华文中宋" w:hAnsi="华文中宋" w:eastAsia="华文中宋"/>
              </w:rPr>
              <w:t xml:space="preserve"> 3、IP包丢失率：包丢失率平均值≤2%。IP包丢失率指IP包在两点间传输时丢失的概率；</w:t>
            </w:r>
          </w:p>
          <w:p>
            <w:pPr>
              <w:rPr>
                <w:rFonts w:ascii="华文中宋" w:hAnsi="华文中宋" w:eastAsia="华文中宋"/>
              </w:rPr>
            </w:pPr>
            <w:r>
              <w:rPr>
                <w:rFonts w:ascii="华文中宋" w:hAnsi="华文中宋" w:eastAsia="华文中宋"/>
              </w:rPr>
              <w:t xml:space="preserve"> 4、IP业务可用性：客户能够使用IP业务的时间与IP业务全部工作时间之比。IP业务可用性≥99.9%。</w:t>
            </w:r>
          </w:p>
          <w:p>
            <w:pPr>
              <w:rPr>
                <w:rFonts w:ascii="华文中宋" w:hAnsi="华文中宋" w:eastAsia="华文中宋"/>
              </w:rPr>
            </w:pPr>
            <w:r>
              <w:rPr>
                <w:rFonts w:hint="eastAsia" w:ascii="华文中宋" w:hAnsi="华文中宋" w:eastAsia="华文中宋"/>
                <w:lang w:val="en-US" w:eastAsia="zh-CN"/>
              </w:rPr>
              <w:t>5、提供不低于1个互联网IP地址。</w:t>
            </w:r>
          </w:p>
        </w:tc>
        <w:tc>
          <w:tcPr>
            <w:tcW w:w="1099" w:type="dxa"/>
            <w:vAlign w:val="center"/>
          </w:tcPr>
          <w:p>
            <w:pPr>
              <w:jc w:val="center"/>
              <w:rPr>
                <w:rFonts w:hint="default" w:ascii="华文中宋" w:hAnsi="华文中宋" w:eastAsia="华文中宋" w:cs="Times New Roman"/>
                <w:lang w:val="en-US" w:eastAsia="zh-CN"/>
              </w:rPr>
            </w:pPr>
            <w:r>
              <w:rPr>
                <w:rFonts w:hint="eastAsia" w:ascii="华文中宋" w:hAnsi="华文中宋" w:eastAsia="华文中宋" w:cs="Times New Roman"/>
                <w:lang w:val="en-US" w:eastAsia="zh-CN"/>
              </w:rPr>
              <w:t>4</w:t>
            </w:r>
          </w:p>
        </w:tc>
        <w:tc>
          <w:tcPr>
            <w:tcW w:w="922" w:type="dxa"/>
            <w:vAlign w:val="center"/>
          </w:tcPr>
          <w:p>
            <w:pPr>
              <w:jc w:val="center"/>
              <w:rPr>
                <w:rFonts w:hint="default" w:ascii="华文中宋" w:hAnsi="华文中宋" w:eastAsia="华文中宋" w:cs="Times New Roman"/>
                <w:lang w:val="en-US" w:eastAsia="zh-CN"/>
              </w:rPr>
            </w:pPr>
            <w:r>
              <w:rPr>
                <w:rFonts w:hint="eastAsia" w:ascii="华文中宋" w:hAnsi="华文中宋" w:eastAsia="华文中宋" w:cs="Times New Roman"/>
                <w:lang w:val="en-US" w:eastAsia="zh-CN"/>
              </w:rPr>
              <w:t>条</w:t>
            </w:r>
          </w:p>
        </w:tc>
        <w:tc>
          <w:tcPr>
            <w:tcW w:w="922" w:type="dxa"/>
            <w:vAlign w:val="center"/>
          </w:tcPr>
          <w:p>
            <w:pPr>
              <w:jc w:val="center"/>
              <w:rPr>
                <w:rFonts w:hint="eastAsia" w:ascii="华文中宋" w:hAnsi="华文中宋" w:eastAsia="华文中宋" w:cs="Times New Roman"/>
                <w:lang w:val="en-US" w:eastAsia="zh-CN"/>
              </w:rPr>
            </w:pPr>
          </w:p>
        </w:tc>
      </w:tr>
    </w:tbl>
    <w:p>
      <w:pPr>
        <w:rPr>
          <w:rFonts w:hint="eastAsia" w:ascii="华文中宋" w:hAnsi="华文中宋" w:eastAsia="华文中宋" w:cs="微软雅黑"/>
          <w:b/>
          <w:szCs w:val="21"/>
        </w:rPr>
      </w:pPr>
      <w:r>
        <w:rPr>
          <w:rFonts w:hint="eastAsia" w:ascii="华文中宋" w:hAnsi="华文中宋" w:eastAsia="华文中宋" w:cs="微软雅黑"/>
          <w:b/>
          <w:szCs w:val="21"/>
        </w:rPr>
        <w:t>说明：</w:t>
      </w:r>
    </w:p>
    <w:p>
      <w:pPr>
        <w:ind w:firstLine="420" w:firstLineChars="200"/>
        <w:rPr>
          <w:rFonts w:hint="eastAsia" w:ascii="华文中宋" w:hAnsi="华文中宋" w:eastAsia="华文中宋" w:cs="微软雅黑"/>
          <w:b/>
          <w:szCs w:val="21"/>
        </w:rPr>
      </w:pPr>
      <w:r>
        <w:rPr>
          <w:rFonts w:hint="eastAsia" w:ascii="华文中宋" w:hAnsi="华文中宋" w:eastAsia="华文中宋" w:cs="微软雅黑"/>
          <w:b/>
          <w:szCs w:val="21"/>
        </w:rPr>
        <w:t>1、标注‘※’的产品为核心产品，磋商供应商所投核心产品的品牌完全相同的，按一家磋商供应商计算。</w:t>
      </w:r>
    </w:p>
    <w:p>
      <w:pPr>
        <w:pStyle w:val="29"/>
        <w:snapToGrid w:val="0"/>
        <w:spacing w:line="480" w:lineRule="exact"/>
        <w:rPr>
          <w:rFonts w:hint="eastAsia" w:ascii="华文中宋" w:hAnsi="华文中宋" w:eastAsia="华文中宋"/>
          <w:b/>
          <w:color w:val="auto"/>
        </w:rPr>
      </w:pPr>
      <w:r>
        <w:rPr>
          <w:rFonts w:hint="eastAsia" w:ascii="华文中宋" w:hAnsi="华文中宋" w:eastAsia="华文中宋" w:cs="微软雅黑"/>
          <w:b/>
          <w:szCs w:val="21"/>
        </w:rPr>
        <w:t>2、技术参数前加</w:t>
      </w:r>
      <w:r>
        <w:rPr>
          <w:rFonts w:hint="eastAsia" w:ascii="华文中宋" w:hAnsi="华文中宋" w:eastAsia="华文中宋" w:cs="微软雅黑"/>
          <w:b/>
          <w:color w:val="auto"/>
          <w:szCs w:val="21"/>
        </w:rPr>
        <w:t>‘★’号的参</w:t>
      </w:r>
      <w:r>
        <w:rPr>
          <w:rFonts w:hint="eastAsia" w:ascii="华文中宋" w:hAnsi="华文中宋" w:eastAsia="华文中宋" w:cs="微软雅黑"/>
          <w:b/>
          <w:szCs w:val="21"/>
        </w:rPr>
        <w:t>数指标为主要技术指标（符合性审查内容），磋商供应商所投产品必须满足或优于这些指标；未加‘★’号的参数指标为一般性技术指标（评分考量内容），磋商供应商所投产品应尽量满足这些技术指标要求，若所投产品不能满足一般性技术指标要求，磋商小组将按照评标标准和方法对一般性技术指标响应情况进行扣分。</w:t>
      </w:r>
    </w:p>
    <w:p>
      <w:pPr>
        <w:pStyle w:val="29"/>
        <w:snapToGrid w:val="0"/>
        <w:spacing w:line="480" w:lineRule="exact"/>
        <w:rPr>
          <w:rFonts w:hint="eastAsia" w:ascii="华文中宋" w:hAnsi="华文中宋" w:eastAsia="华文中宋"/>
          <w:b/>
          <w:color w:val="auto"/>
        </w:rPr>
      </w:pPr>
    </w:p>
    <w:p>
      <w:pPr>
        <w:pStyle w:val="29"/>
        <w:snapToGrid w:val="0"/>
        <w:spacing w:line="480" w:lineRule="exact"/>
        <w:rPr>
          <w:rFonts w:hint="eastAsia" w:ascii="华文中宋" w:hAnsi="华文中宋" w:eastAsia="华文中宋"/>
          <w:b/>
          <w:color w:val="auto"/>
        </w:rPr>
      </w:pPr>
    </w:p>
    <w:p>
      <w:pPr>
        <w:pStyle w:val="29"/>
        <w:snapToGrid w:val="0"/>
        <w:spacing w:line="480" w:lineRule="exact"/>
        <w:rPr>
          <w:rFonts w:hint="eastAsia" w:ascii="华文中宋" w:hAnsi="华文中宋" w:eastAsia="华文中宋"/>
          <w:b/>
          <w:color w:val="auto"/>
        </w:rPr>
      </w:pPr>
    </w:p>
    <w:p>
      <w:pPr>
        <w:pStyle w:val="29"/>
        <w:snapToGrid w:val="0"/>
        <w:spacing w:line="480" w:lineRule="exact"/>
        <w:rPr>
          <w:rFonts w:hint="eastAsia" w:ascii="华文中宋" w:hAnsi="华文中宋" w:eastAsia="华文中宋"/>
          <w:b/>
          <w:color w:val="auto"/>
        </w:rPr>
      </w:pPr>
    </w:p>
    <w:p>
      <w:pPr>
        <w:pStyle w:val="29"/>
        <w:snapToGrid w:val="0"/>
        <w:spacing w:line="480" w:lineRule="exact"/>
        <w:rPr>
          <w:rFonts w:hint="eastAsia" w:ascii="华文中宋" w:hAnsi="华文中宋" w:eastAsia="华文中宋"/>
          <w:b/>
          <w:color w:val="auto"/>
        </w:rPr>
      </w:pPr>
    </w:p>
    <w:p>
      <w:pPr>
        <w:pStyle w:val="29"/>
        <w:snapToGrid w:val="0"/>
        <w:spacing w:line="480" w:lineRule="exact"/>
        <w:rPr>
          <w:rFonts w:hint="eastAsia" w:ascii="华文中宋" w:hAnsi="华文中宋" w:eastAsia="华文中宋"/>
          <w:b/>
          <w:color w:val="auto"/>
        </w:rPr>
      </w:pPr>
    </w:p>
    <w:p>
      <w:pPr>
        <w:pStyle w:val="29"/>
        <w:snapToGrid w:val="0"/>
        <w:spacing w:line="48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第五部分  资格审查内容及标准</w:t>
      </w:r>
    </w:p>
    <w:p>
      <w:pPr>
        <w:pStyle w:val="29"/>
        <w:snapToGrid w:val="0"/>
        <w:spacing w:line="480" w:lineRule="exact"/>
        <w:rPr>
          <w:rFonts w:ascii="华文中宋" w:hAnsi="华文中宋" w:eastAsia="华文中宋"/>
          <w:b/>
          <w:color w:val="auto"/>
        </w:rPr>
      </w:pPr>
      <w:r>
        <w:rPr>
          <w:rFonts w:hint="eastAsia" w:ascii="华文中宋" w:hAnsi="华文中宋" w:eastAsia="华文中宋"/>
          <w:b/>
          <w:color w:val="auto"/>
        </w:rPr>
        <w:t>资格审查内容及标准</w:t>
      </w:r>
    </w:p>
    <w:tbl>
      <w:tblPr>
        <w:tblStyle w:val="21"/>
        <w:tblpPr w:leftFromText="180" w:rightFromText="180" w:vertAnchor="text" w:horzAnchor="page" w:tblpX="1275" w:tblpY="195"/>
        <w:tblOverlap w:val="never"/>
        <w:tblW w:w="96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168"/>
        <w:gridCol w:w="2272"/>
        <w:gridCol w:w="54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6" w:hRule="atLeast"/>
        </w:trPr>
        <w:tc>
          <w:tcPr>
            <w:tcW w:w="767" w:type="dxa"/>
            <w:vAlign w:val="center"/>
          </w:tcPr>
          <w:p>
            <w:pPr>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序号</w:t>
            </w:r>
          </w:p>
        </w:tc>
        <w:tc>
          <w:tcPr>
            <w:tcW w:w="1168" w:type="dxa"/>
            <w:vAlign w:val="center"/>
          </w:tcPr>
          <w:p>
            <w:pPr>
              <w:pStyle w:val="31"/>
              <w:spacing w:line="340" w:lineRule="exact"/>
              <w:ind w:left="134" w:right="13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eastAsia="zh-CN"/>
              </w:rPr>
              <w:t>类型</w:t>
            </w:r>
          </w:p>
        </w:tc>
        <w:tc>
          <w:tcPr>
            <w:tcW w:w="2272" w:type="dxa"/>
            <w:vAlign w:val="center"/>
          </w:tcPr>
          <w:p>
            <w:pPr>
              <w:pStyle w:val="31"/>
              <w:spacing w:line="340" w:lineRule="exact"/>
              <w:ind w:left="134" w:right="13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内容</w:t>
            </w:r>
          </w:p>
        </w:tc>
        <w:tc>
          <w:tcPr>
            <w:tcW w:w="5443" w:type="dxa"/>
            <w:vAlign w:val="top"/>
          </w:tcPr>
          <w:p>
            <w:pPr>
              <w:pStyle w:val="31"/>
              <w:spacing w:line="340" w:lineRule="exact"/>
              <w:ind w:right="2792"/>
              <w:jc w:val="center"/>
              <w:rPr>
                <w:rFonts w:hint="default" w:ascii="宋体" w:hAnsi="宋体" w:eastAsia="宋体" w:cs="宋体"/>
                <w:b/>
                <w:w w:val="100"/>
                <w:sz w:val="21"/>
                <w:szCs w:val="21"/>
                <w:highlight w:val="none"/>
                <w:lang w:val="en-US" w:eastAsia="zh-CN"/>
              </w:rPr>
            </w:pPr>
            <w:r>
              <w:rPr>
                <w:rFonts w:hint="eastAsia" w:cs="宋体"/>
                <w:b/>
                <w:w w:val="100"/>
                <w:sz w:val="21"/>
                <w:szCs w:val="21"/>
                <w:highlight w:val="none"/>
                <w:lang w:val="en-US" w:eastAsia="zh-CN"/>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767" w:type="dxa"/>
            <w:vAlign w:val="center"/>
          </w:tcPr>
          <w:p>
            <w:pPr>
              <w:pStyle w:val="31"/>
              <w:spacing w:line="340" w:lineRule="exact"/>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1</w:t>
            </w:r>
          </w:p>
        </w:tc>
        <w:tc>
          <w:tcPr>
            <w:tcW w:w="1168" w:type="dxa"/>
            <w:vAlign w:val="center"/>
          </w:tcPr>
          <w:p>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cs="宋体"/>
                <w:b/>
                <w:w w:val="100"/>
                <w:sz w:val="21"/>
                <w:szCs w:val="21"/>
                <w:highlight w:val="none"/>
                <w:lang w:val="en-US" w:eastAsia="zh-CN"/>
              </w:rPr>
              <w:t>营业执照</w:t>
            </w:r>
          </w:p>
        </w:tc>
        <w:tc>
          <w:tcPr>
            <w:tcW w:w="2272" w:type="dxa"/>
            <w:vAlign w:val="center"/>
          </w:tcPr>
          <w:p>
            <w:pPr>
              <w:pStyle w:val="31"/>
              <w:spacing w:line="223" w:lineRule="auto"/>
              <w:ind w:right="148"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具有独立承担民事责任的能力</w:t>
            </w:r>
          </w:p>
        </w:tc>
        <w:tc>
          <w:tcPr>
            <w:tcW w:w="5443" w:type="dxa"/>
            <w:vAlign w:val="top"/>
          </w:tcPr>
          <w:p>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90" w:hRule="atLeast"/>
        </w:trPr>
        <w:tc>
          <w:tcPr>
            <w:tcW w:w="767" w:type="dxa"/>
            <w:vAlign w:val="center"/>
          </w:tcPr>
          <w:p>
            <w:pPr>
              <w:pStyle w:val="31"/>
              <w:spacing w:before="179"/>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2</w:t>
            </w:r>
          </w:p>
        </w:tc>
        <w:tc>
          <w:tcPr>
            <w:tcW w:w="1168" w:type="dxa"/>
            <w:vAlign w:val="center"/>
          </w:tcPr>
          <w:p>
            <w:pPr>
              <w:pStyle w:val="31"/>
              <w:spacing w:line="340" w:lineRule="exact"/>
              <w:ind w:left="134" w:leftChars="0" w:right="130" w:rightChars="0"/>
              <w:jc w:val="center"/>
              <w:rPr>
                <w:rFonts w:hint="eastAsia" w:ascii="宋体" w:hAnsi="宋体" w:eastAsia="宋体" w:cs="宋体"/>
                <w:b/>
                <w:w w:val="100"/>
                <w:sz w:val="21"/>
                <w:szCs w:val="21"/>
                <w:highlight w:val="none"/>
                <w:lang w:eastAsia="zh-CN"/>
              </w:rPr>
            </w:pPr>
            <w:r>
              <w:rPr>
                <w:rFonts w:hint="eastAsia" w:ascii="宋体" w:hAnsi="宋体" w:cs="宋体"/>
                <w:b/>
                <w:w w:val="100"/>
                <w:sz w:val="21"/>
                <w:szCs w:val="21"/>
                <w:highlight w:val="none"/>
                <w:lang w:eastAsia="zh-CN"/>
              </w:rPr>
              <w:t>财务报告</w:t>
            </w:r>
          </w:p>
        </w:tc>
        <w:tc>
          <w:tcPr>
            <w:tcW w:w="2272" w:type="dxa"/>
            <w:vAlign w:val="center"/>
          </w:tcPr>
          <w:p>
            <w:pPr>
              <w:pStyle w:val="31"/>
              <w:ind w:right="129"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具有良好的商业信誉和健全的财务会计制度</w:t>
            </w:r>
          </w:p>
        </w:tc>
        <w:tc>
          <w:tcPr>
            <w:tcW w:w="5443" w:type="dxa"/>
            <w:vAlign w:val="top"/>
          </w:tcPr>
          <w:p>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pPr>
              <w:pStyle w:val="31"/>
              <w:spacing w:before="91"/>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8" w:hRule="atLeast"/>
        </w:trPr>
        <w:tc>
          <w:tcPr>
            <w:tcW w:w="767" w:type="dxa"/>
            <w:vAlign w:val="center"/>
          </w:tcPr>
          <w:p>
            <w:pPr>
              <w:pStyle w:val="31"/>
              <w:spacing w:before="4"/>
              <w:jc w:val="center"/>
              <w:rPr>
                <w:rFonts w:hint="eastAsia" w:ascii="宋体" w:hAnsi="宋体" w:eastAsia="宋体" w:cs="宋体"/>
                <w:b/>
                <w:w w:val="100"/>
                <w:sz w:val="21"/>
                <w:szCs w:val="21"/>
                <w:highlight w:val="none"/>
              </w:rPr>
            </w:pPr>
          </w:p>
          <w:p>
            <w:pPr>
              <w:pStyle w:val="31"/>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3</w:t>
            </w:r>
          </w:p>
        </w:tc>
        <w:tc>
          <w:tcPr>
            <w:tcW w:w="1168" w:type="dxa"/>
            <w:vAlign w:val="center"/>
          </w:tcPr>
          <w:p>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val="en-US" w:eastAsia="zh-CN"/>
              </w:rPr>
              <w:t>基本资质</w:t>
            </w:r>
          </w:p>
        </w:tc>
        <w:tc>
          <w:tcPr>
            <w:tcW w:w="2272" w:type="dxa"/>
            <w:vAlign w:val="center"/>
          </w:tcPr>
          <w:p>
            <w:pPr>
              <w:pStyle w:val="31"/>
              <w:spacing w:before="1"/>
              <w:ind w:right="130" w:rightChars="0"/>
              <w:jc w:val="both"/>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eastAsia="zh-CN"/>
              </w:rPr>
              <w:t>具有履行合同所必需的设备和专业技术能力</w:t>
            </w:r>
          </w:p>
        </w:tc>
        <w:tc>
          <w:tcPr>
            <w:tcW w:w="5443" w:type="dxa"/>
            <w:vAlign w:val="top"/>
          </w:tcPr>
          <w:p>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pPr>
              <w:pStyle w:val="31"/>
              <w:spacing w:before="91"/>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0" w:hRule="atLeast"/>
        </w:trPr>
        <w:tc>
          <w:tcPr>
            <w:tcW w:w="767" w:type="dxa"/>
            <w:vAlign w:val="center"/>
          </w:tcPr>
          <w:p>
            <w:pPr>
              <w:pStyle w:val="31"/>
              <w:ind w:left="2"/>
              <w:jc w:val="center"/>
              <w:rPr>
                <w:rFonts w:hint="eastAsia"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lang w:val="en-US" w:eastAsia="zh-CN"/>
              </w:rPr>
              <w:t>4</w:t>
            </w:r>
          </w:p>
        </w:tc>
        <w:tc>
          <w:tcPr>
            <w:tcW w:w="1168" w:type="dxa"/>
            <w:vAlign w:val="center"/>
          </w:tcPr>
          <w:p>
            <w:pPr>
              <w:pStyle w:val="31"/>
              <w:spacing w:line="340" w:lineRule="exact"/>
              <w:ind w:left="134" w:leftChars="0" w:right="130" w:rightChars="0"/>
              <w:jc w:val="center"/>
              <w:rPr>
                <w:rFonts w:hint="default"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lang w:val="en-US" w:eastAsia="zh-CN"/>
              </w:rPr>
              <w:t>基本资质</w:t>
            </w:r>
          </w:p>
        </w:tc>
        <w:tc>
          <w:tcPr>
            <w:tcW w:w="2272" w:type="dxa"/>
            <w:vAlign w:val="center"/>
          </w:tcPr>
          <w:p>
            <w:pPr>
              <w:pStyle w:val="31"/>
              <w:spacing w:line="223" w:lineRule="auto"/>
              <w:ind w:right="148"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有依法缴纳税收和社会保障资金的良好记录</w:t>
            </w:r>
          </w:p>
        </w:tc>
        <w:tc>
          <w:tcPr>
            <w:tcW w:w="5443" w:type="dxa"/>
            <w:vAlign w:val="top"/>
          </w:tcPr>
          <w:p>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0" w:hRule="atLeast"/>
        </w:trPr>
        <w:tc>
          <w:tcPr>
            <w:tcW w:w="767" w:type="dxa"/>
            <w:vAlign w:val="center"/>
          </w:tcPr>
          <w:p>
            <w:pPr>
              <w:pStyle w:val="3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5</w:t>
            </w:r>
          </w:p>
        </w:tc>
        <w:tc>
          <w:tcPr>
            <w:tcW w:w="1168" w:type="dxa"/>
            <w:vAlign w:val="center"/>
          </w:tcPr>
          <w:p>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val="en-US" w:eastAsia="zh-CN"/>
              </w:rPr>
              <w:t>基本资质</w:t>
            </w:r>
          </w:p>
        </w:tc>
        <w:tc>
          <w:tcPr>
            <w:tcW w:w="2272" w:type="dxa"/>
            <w:vAlign w:val="center"/>
          </w:tcPr>
          <w:p>
            <w:pPr>
              <w:pStyle w:val="31"/>
              <w:spacing w:before="178"/>
              <w:ind w:right="130"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参加政府采购活动前三年内，在经营活动中没有重大违法记录</w:t>
            </w:r>
          </w:p>
        </w:tc>
        <w:tc>
          <w:tcPr>
            <w:tcW w:w="5443" w:type="dxa"/>
            <w:vAlign w:val="top"/>
          </w:tcPr>
          <w:p>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7" w:hRule="atLeast"/>
        </w:trPr>
        <w:tc>
          <w:tcPr>
            <w:tcW w:w="767" w:type="dxa"/>
            <w:vAlign w:val="center"/>
          </w:tcPr>
          <w:p>
            <w:pPr>
              <w:pStyle w:val="31"/>
              <w:spacing w:before="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6</w:t>
            </w:r>
          </w:p>
        </w:tc>
        <w:tc>
          <w:tcPr>
            <w:tcW w:w="1168" w:type="dxa"/>
            <w:vAlign w:val="center"/>
          </w:tcPr>
          <w:p>
            <w:pPr>
              <w:pStyle w:val="31"/>
              <w:spacing w:line="340" w:lineRule="exact"/>
              <w:ind w:right="130" w:rightChars="0"/>
              <w:jc w:val="center"/>
              <w:rPr>
                <w:rFonts w:hint="eastAsia" w:ascii="宋体" w:hAnsi="宋体" w:eastAsia="宋体" w:cs="宋体"/>
                <w:b/>
                <w:w w:val="100"/>
                <w:sz w:val="21"/>
                <w:szCs w:val="21"/>
                <w:highlight w:val="none"/>
              </w:rPr>
            </w:pPr>
            <w:r>
              <w:rPr>
                <w:rFonts w:hint="eastAsia" w:cs="宋体"/>
                <w:b/>
                <w:w w:val="100"/>
                <w:sz w:val="21"/>
                <w:szCs w:val="21"/>
                <w:highlight w:val="none"/>
                <w:lang w:val="en-US" w:eastAsia="zh-CN"/>
              </w:rPr>
              <w:t>采购政策</w:t>
            </w:r>
          </w:p>
        </w:tc>
        <w:tc>
          <w:tcPr>
            <w:tcW w:w="2272" w:type="dxa"/>
            <w:vAlign w:val="center"/>
          </w:tcPr>
          <w:p>
            <w:pPr>
              <w:pStyle w:val="31"/>
              <w:spacing w:before="178"/>
              <w:ind w:right="130" w:rightChars="0"/>
              <w:jc w:val="left"/>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无</w:t>
            </w:r>
          </w:p>
        </w:tc>
        <w:tc>
          <w:tcPr>
            <w:tcW w:w="5443" w:type="dxa"/>
            <w:vAlign w:val="top"/>
          </w:tcPr>
          <w:p>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提供中小企业声明函（监狱企业参加投标视同小微企业，提供由省级以上监狱管理局、戒毒管理局出具的属于监狱企业的证明文件； 残疾人福利性单位参加本项目应如实填写残疾人福利性单位声明函）。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6" w:hRule="atLeast"/>
        </w:trPr>
        <w:tc>
          <w:tcPr>
            <w:tcW w:w="767" w:type="dxa"/>
            <w:vAlign w:val="center"/>
          </w:tcPr>
          <w:p>
            <w:pPr>
              <w:pStyle w:val="3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7</w:t>
            </w:r>
          </w:p>
        </w:tc>
        <w:tc>
          <w:tcPr>
            <w:tcW w:w="1168" w:type="dxa"/>
            <w:vAlign w:val="center"/>
          </w:tcPr>
          <w:p>
            <w:pPr>
              <w:pStyle w:val="31"/>
              <w:spacing w:line="340" w:lineRule="exact"/>
              <w:ind w:left="134" w:leftChars="0" w:right="130" w:rightChars="0"/>
              <w:jc w:val="center"/>
              <w:rPr>
                <w:rFonts w:hint="eastAsia" w:ascii="宋体" w:hAnsi="宋体" w:eastAsia="宋体" w:cs="宋体"/>
                <w:b/>
                <w:w w:val="100"/>
                <w:kern w:val="2"/>
                <w:sz w:val="21"/>
                <w:szCs w:val="21"/>
                <w:highlight w:val="none"/>
                <w:lang w:val="en-US" w:eastAsia="zh-CN" w:bidi="ar-SA"/>
              </w:rPr>
            </w:pPr>
            <w:r>
              <w:rPr>
                <w:rFonts w:hint="eastAsia" w:ascii="宋体" w:hAnsi="宋体" w:eastAsia="宋体" w:cs="宋体"/>
                <w:b/>
                <w:w w:val="100"/>
                <w:sz w:val="21"/>
                <w:szCs w:val="21"/>
                <w:highlight w:val="none"/>
                <w:lang w:val="en-US" w:eastAsia="zh-CN"/>
              </w:rPr>
              <w:t>基本资质</w:t>
            </w:r>
          </w:p>
        </w:tc>
        <w:tc>
          <w:tcPr>
            <w:tcW w:w="2272" w:type="dxa"/>
            <w:vAlign w:val="center"/>
          </w:tcPr>
          <w:p>
            <w:pPr>
              <w:pStyle w:val="31"/>
              <w:spacing w:before="178"/>
              <w:ind w:right="130" w:rightChars="0"/>
              <w:jc w:val="center"/>
              <w:rPr>
                <w:rFonts w:hint="eastAsia"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rPr>
              <w:t>法定代表人身份证明书</w:t>
            </w:r>
          </w:p>
        </w:tc>
        <w:tc>
          <w:tcPr>
            <w:tcW w:w="5443" w:type="dxa"/>
            <w:vAlign w:val="top"/>
          </w:tcPr>
          <w:p>
            <w:pPr>
              <w:adjustRightInd w:val="0"/>
              <w:snapToGrid w:val="0"/>
              <w:spacing w:line="360" w:lineRule="exact"/>
              <w:rPr>
                <w:rFonts w:hint="eastAsia" w:ascii="宋体" w:hAnsi="宋体" w:eastAsia="宋体" w:cs="宋体"/>
                <w:w w:val="100"/>
                <w:kern w:val="2"/>
                <w:sz w:val="21"/>
                <w:szCs w:val="21"/>
                <w:highlight w:val="none"/>
                <w:lang w:val="en-US" w:eastAsia="zh-CN" w:bidi="ar-SA"/>
              </w:rPr>
            </w:pPr>
            <w:r>
              <w:rPr>
                <w:rFonts w:hint="eastAsia" w:ascii="宋体" w:hAnsi="宋体" w:cs="宋体"/>
                <w:szCs w:val="22"/>
              </w:rPr>
              <w:t>（</w:t>
            </w:r>
            <w:r>
              <w:rPr>
                <w:rFonts w:hint="eastAsia" w:ascii="宋体" w:hAnsi="宋体" w:eastAsia="宋体" w:cs="宋体"/>
                <w:w w:val="100"/>
                <w:kern w:val="2"/>
                <w:sz w:val="21"/>
                <w:szCs w:val="21"/>
                <w:highlight w:val="none"/>
                <w:lang w:val="en-US" w:eastAsia="zh-CN" w:bidi="ar-SA"/>
              </w:rPr>
              <w:t>1）法定代表人（负责人）参加投标的，提供“法定代表人（负责人）证明书”</w:t>
            </w:r>
          </w:p>
          <w:p>
            <w:pPr>
              <w:adjustRightInd w:val="0"/>
              <w:snapToGrid w:val="0"/>
              <w:spacing w:line="360" w:lineRule="exact"/>
              <w:rPr>
                <w:rFonts w:hint="eastAsia" w:ascii="宋体" w:hAnsi="宋体" w:eastAsia="宋体" w:cs="宋体"/>
                <w:w w:val="100"/>
                <w:kern w:val="2"/>
                <w:sz w:val="21"/>
                <w:szCs w:val="21"/>
                <w:highlight w:val="none"/>
                <w:lang w:val="en-US" w:eastAsia="zh-CN" w:bidi="ar-SA"/>
              </w:rPr>
            </w:pPr>
            <w:r>
              <w:rPr>
                <w:rFonts w:hint="eastAsia" w:ascii="宋体" w:hAnsi="宋体" w:eastAsia="宋体" w:cs="宋体"/>
                <w:w w:val="100"/>
                <w:kern w:val="2"/>
                <w:sz w:val="21"/>
                <w:szCs w:val="21"/>
                <w:highlight w:val="none"/>
                <w:lang w:val="en-US" w:eastAsia="zh-CN" w:bidi="ar-SA"/>
              </w:rPr>
              <w:t>（2）委托代理人参加投标的，提供“法定代表人（负责人）证明书、法定代表人（负责人）授权委托书”</w:t>
            </w:r>
          </w:p>
          <w:p>
            <w:pPr>
              <w:pStyle w:val="31"/>
              <w:spacing w:before="91"/>
              <w:ind w:left="106" w:leftChars="0"/>
              <w:jc w:val="both"/>
              <w:rPr>
                <w:rFonts w:hint="eastAsia" w:ascii="宋体" w:hAnsi="宋体" w:eastAsia="宋体" w:cs="宋体"/>
                <w:w w:val="100"/>
                <w:kern w:val="2"/>
                <w:sz w:val="21"/>
                <w:szCs w:val="21"/>
                <w:highlight w:val="none"/>
                <w:lang w:val="en-US" w:eastAsia="zh-CN" w:bidi="ar-SA"/>
              </w:rPr>
            </w:pPr>
            <w:r>
              <w:rPr>
                <w:rFonts w:hint="eastAsia" w:ascii="宋体" w:hAnsi="宋体" w:eastAsia="宋体" w:cs="宋体"/>
                <w:w w:val="100"/>
                <w:kern w:val="2"/>
                <w:sz w:val="21"/>
                <w:szCs w:val="21"/>
                <w:highlight w:val="none"/>
                <w:lang w:val="en-US" w:eastAsia="zh-CN" w:bidi="ar-SA"/>
              </w:rPr>
              <w:t>（3）自然人参加投标的，提供个人身份证明影印件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2" w:hRule="atLeast"/>
        </w:trPr>
        <w:tc>
          <w:tcPr>
            <w:tcW w:w="767" w:type="dxa"/>
            <w:vAlign w:val="center"/>
          </w:tcPr>
          <w:p>
            <w:pPr>
              <w:pStyle w:val="31"/>
              <w:spacing w:line="267" w:lineRule="exact"/>
              <w:ind w:left="106"/>
              <w:jc w:val="both"/>
              <w:rPr>
                <w:rFonts w:hint="eastAsia" w:ascii="宋体" w:hAnsi="宋体" w:eastAsia="宋体" w:cs="宋体"/>
                <w:w w:val="100"/>
                <w:sz w:val="21"/>
                <w:szCs w:val="21"/>
                <w:highlight w:val="none"/>
                <w:lang w:eastAsia="zh-CN"/>
              </w:rPr>
            </w:pPr>
            <w:r>
              <w:rPr>
                <w:rFonts w:hint="eastAsia" w:ascii="宋体" w:hAnsi="宋体" w:eastAsia="宋体" w:cs="宋体"/>
                <w:w w:val="100"/>
                <w:sz w:val="21"/>
                <w:szCs w:val="21"/>
                <w:highlight w:val="none"/>
                <w:lang w:val="en-US" w:eastAsia="zh-CN"/>
              </w:rPr>
              <w:t>8</w:t>
            </w:r>
          </w:p>
        </w:tc>
        <w:tc>
          <w:tcPr>
            <w:tcW w:w="1168" w:type="dxa"/>
            <w:vAlign w:val="center"/>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基本资质</w:t>
            </w:r>
          </w:p>
        </w:tc>
        <w:tc>
          <w:tcPr>
            <w:tcW w:w="2272" w:type="dxa"/>
            <w:vAlign w:val="center"/>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rPr>
              <w:t>响应函</w:t>
            </w:r>
          </w:p>
        </w:tc>
        <w:tc>
          <w:tcPr>
            <w:tcW w:w="5443" w:type="dxa"/>
            <w:vAlign w:val="center"/>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内容齐全，电子印章符合要求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767" w:type="dxa"/>
            <w:vAlign w:val="center"/>
          </w:tcPr>
          <w:p>
            <w:pPr>
              <w:pStyle w:val="31"/>
              <w:spacing w:line="267" w:lineRule="exact"/>
              <w:ind w:left="106"/>
              <w:jc w:val="both"/>
              <w:rPr>
                <w:rFonts w:hint="default"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9</w:t>
            </w:r>
          </w:p>
        </w:tc>
        <w:tc>
          <w:tcPr>
            <w:tcW w:w="1168" w:type="dxa"/>
            <w:vAlign w:val="center"/>
          </w:tcPr>
          <w:p>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lang w:val="en-US" w:eastAsia="zh-CN"/>
              </w:rPr>
              <w:t>基本资质</w:t>
            </w:r>
          </w:p>
        </w:tc>
        <w:tc>
          <w:tcPr>
            <w:tcW w:w="2272" w:type="dxa"/>
            <w:vAlign w:val="center"/>
          </w:tcPr>
          <w:p>
            <w:pPr>
              <w:pStyle w:val="31"/>
              <w:spacing w:line="267" w:lineRule="exact"/>
              <w:ind w:left="106"/>
              <w:jc w:val="both"/>
              <w:rPr>
                <w:rFonts w:hint="eastAsia" w:ascii="宋体" w:hAnsi="宋体" w:eastAsia="宋体" w:cs="宋体"/>
                <w:w w:val="100"/>
                <w:sz w:val="21"/>
                <w:szCs w:val="21"/>
                <w:highlight w:val="none"/>
                <w:lang w:eastAsia="zh-CN"/>
              </w:rPr>
            </w:pPr>
            <w:r>
              <w:rPr>
                <w:rFonts w:hint="eastAsia" w:ascii="宋体" w:hAnsi="宋体" w:eastAsia="宋体" w:cs="宋体"/>
                <w:w w:val="100"/>
                <w:sz w:val="21"/>
                <w:szCs w:val="21"/>
                <w:highlight w:val="none"/>
                <w:lang w:val="en-US" w:eastAsia="zh-CN"/>
              </w:rPr>
              <w:t>基本</w:t>
            </w:r>
            <w:r>
              <w:rPr>
                <w:rFonts w:hint="eastAsia" w:ascii="宋体" w:hAnsi="宋体" w:eastAsia="宋体" w:cs="宋体"/>
                <w:w w:val="100"/>
                <w:sz w:val="21"/>
                <w:szCs w:val="21"/>
                <w:highlight w:val="none"/>
              </w:rPr>
              <w:t>存款账户开户许可证</w:t>
            </w:r>
            <w:r>
              <w:rPr>
                <w:rFonts w:hint="eastAsia" w:ascii="宋体" w:hAnsi="宋体" w:eastAsia="宋体" w:cs="宋体"/>
                <w:w w:val="100"/>
                <w:sz w:val="21"/>
                <w:szCs w:val="21"/>
                <w:highlight w:val="none"/>
                <w:lang w:eastAsia="zh-CN"/>
              </w:rPr>
              <w:t>（或</w:t>
            </w:r>
            <w:r>
              <w:rPr>
                <w:rFonts w:hint="eastAsia" w:ascii="宋体" w:hAnsi="宋体" w:eastAsia="宋体" w:cs="宋体"/>
                <w:w w:val="100"/>
                <w:sz w:val="21"/>
                <w:szCs w:val="21"/>
                <w:highlight w:val="none"/>
              </w:rPr>
              <w:t>基本存款账户信息</w:t>
            </w:r>
            <w:r>
              <w:rPr>
                <w:rFonts w:hint="eastAsia" w:ascii="宋体" w:hAnsi="宋体" w:eastAsia="宋体" w:cs="宋体"/>
                <w:w w:val="100"/>
                <w:sz w:val="21"/>
                <w:szCs w:val="21"/>
                <w:highlight w:val="none"/>
                <w:lang w:eastAsia="zh-CN"/>
              </w:rPr>
              <w:t>）</w:t>
            </w:r>
          </w:p>
        </w:tc>
        <w:tc>
          <w:tcPr>
            <w:tcW w:w="5443" w:type="dxa"/>
            <w:vAlign w:val="top"/>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提供磋商供应商基本存款账户开户许可证（或基本存款账户信息）影印件。</w:t>
            </w:r>
          </w:p>
          <w:p>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lang w:val="en-US" w:eastAsia="zh-CN"/>
              </w:rPr>
              <w:t>任意一项证明文件的影印件清晰、符合要求。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767" w:type="dxa"/>
            <w:vAlign w:val="center"/>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cs="宋体"/>
                <w:w w:val="100"/>
                <w:sz w:val="21"/>
                <w:szCs w:val="21"/>
                <w:highlight w:val="none"/>
                <w:lang w:val="en-US" w:eastAsia="zh-CN"/>
              </w:rPr>
              <w:t>10</w:t>
            </w:r>
          </w:p>
        </w:tc>
        <w:tc>
          <w:tcPr>
            <w:tcW w:w="1168" w:type="dxa"/>
            <w:vAlign w:val="center"/>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cs="宋体"/>
                <w:w w:val="100"/>
                <w:sz w:val="21"/>
                <w:szCs w:val="21"/>
                <w:highlight w:val="none"/>
                <w:lang w:val="en-US" w:eastAsia="zh-CN"/>
              </w:rPr>
              <w:t>特定资质</w:t>
            </w:r>
          </w:p>
        </w:tc>
        <w:tc>
          <w:tcPr>
            <w:tcW w:w="2272" w:type="dxa"/>
            <w:vAlign w:val="center"/>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基础电信业务经营许可证许可证及以上</w:t>
            </w:r>
          </w:p>
        </w:tc>
        <w:tc>
          <w:tcPr>
            <w:tcW w:w="5443" w:type="dxa"/>
            <w:vAlign w:val="top"/>
          </w:tcPr>
          <w:p>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基础电信业务经营许可</w:t>
            </w:r>
            <w:bookmarkStart w:id="8" w:name="_GoBack"/>
            <w:bookmarkEnd w:id="8"/>
            <w:r>
              <w:rPr>
                <w:rFonts w:hint="eastAsia" w:ascii="宋体" w:hAnsi="宋体" w:eastAsia="宋体" w:cs="宋体"/>
                <w:w w:val="100"/>
                <w:sz w:val="21"/>
                <w:szCs w:val="21"/>
                <w:highlight w:val="none"/>
                <w:lang w:val="en-US" w:eastAsia="zh-CN"/>
              </w:rPr>
              <w:t>证许可证及以上</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1、资格检查的内容若有一项未提供或达不到检查标准，将导致其不具备磋商资格。</w:t>
      </w:r>
    </w:p>
    <w:p>
      <w:pPr>
        <w:rPr>
          <w:color w:val="auto"/>
          <w:highlight w:val="none"/>
        </w:rPr>
      </w:pPr>
      <w:r>
        <w:rPr>
          <w:rFonts w:hint="eastAsia" w:ascii="宋体" w:hAnsi="宋体" w:eastAsia="宋体" w:cs="宋体"/>
        </w:rPr>
        <w:t>2、供应商提供的其他材料，不作为资格检查的内容。</w:t>
      </w:r>
      <w:r>
        <w:rPr>
          <w:rFonts w:hint="eastAsia" w:ascii="宋体" w:hAnsi="宋体" w:eastAsia="宋体" w:cs="宋体"/>
        </w:rPr>
        <w:br w:type="page"/>
      </w:r>
    </w:p>
    <w:p>
      <w:pPr>
        <w:pStyle w:val="3"/>
        <w:jc w:val="center"/>
        <w:rPr>
          <w:rFonts w:ascii="华文中宋" w:hAnsi="华文中宋" w:eastAsia="华文中宋"/>
          <w:b w:val="0"/>
          <w:color w:val="auto"/>
          <w:spacing w:val="20"/>
          <w:sz w:val="28"/>
          <w:szCs w:val="28"/>
        </w:rPr>
      </w:pPr>
      <w:r>
        <w:rPr>
          <w:rFonts w:hint="eastAsia" w:ascii="华文中宋" w:hAnsi="华文中宋" w:eastAsia="华文中宋"/>
          <w:color w:val="auto"/>
          <w:spacing w:val="20"/>
          <w:sz w:val="28"/>
          <w:szCs w:val="28"/>
        </w:rPr>
        <w:t>第六部分  评定和成交标准</w:t>
      </w:r>
    </w:p>
    <w:p>
      <w:pPr>
        <w:pStyle w:val="29"/>
        <w:numPr>
          <w:ilvl w:val="0"/>
          <w:numId w:val="7"/>
        </w:numPr>
        <w:snapToGrid w:val="0"/>
        <w:spacing w:line="480" w:lineRule="exact"/>
        <w:rPr>
          <w:rFonts w:ascii="华文中宋" w:hAnsi="华文中宋" w:eastAsia="华文中宋"/>
          <w:b/>
          <w:color w:val="auto"/>
        </w:rPr>
      </w:pPr>
      <w:r>
        <w:rPr>
          <w:rFonts w:hint="eastAsia" w:ascii="华文中宋" w:hAnsi="华文中宋" w:eastAsia="华文中宋"/>
          <w:b/>
          <w:color w:val="auto"/>
        </w:rPr>
        <w:t>响应文件的有效性、完整性、响应程度检查的内容及标准</w:t>
      </w:r>
    </w:p>
    <w:tbl>
      <w:tblPr>
        <w:tblStyle w:val="2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Align w:val="center"/>
          </w:tcPr>
          <w:p>
            <w:pPr>
              <w:jc w:val="center"/>
              <w:rPr>
                <w:color w:val="auto"/>
              </w:rPr>
            </w:pPr>
            <w:r>
              <w:rPr>
                <w:rFonts w:hint="eastAsia" w:ascii="华文中宋" w:hAnsi="华文中宋" w:eastAsia="华文中宋"/>
                <w:color w:val="auto"/>
              </w:rPr>
              <w:t>序号</w:t>
            </w:r>
          </w:p>
        </w:tc>
        <w:tc>
          <w:tcPr>
            <w:tcW w:w="2679" w:type="dxa"/>
            <w:vAlign w:val="top"/>
          </w:tcPr>
          <w:p>
            <w:pPr>
              <w:jc w:val="center"/>
              <w:rPr>
                <w:color w:val="auto"/>
              </w:rPr>
            </w:pPr>
            <w:r>
              <w:rPr>
                <w:rFonts w:hint="eastAsia" w:ascii="华文中宋" w:hAnsi="华文中宋" w:eastAsia="华文中宋"/>
                <w:color w:val="auto"/>
              </w:rPr>
              <w:t>内容</w:t>
            </w:r>
          </w:p>
        </w:tc>
        <w:tc>
          <w:tcPr>
            <w:tcW w:w="4920" w:type="dxa"/>
            <w:vAlign w:val="top"/>
          </w:tcPr>
          <w:p>
            <w:pPr>
              <w:jc w:val="center"/>
              <w:rPr>
                <w:color w:val="auto"/>
              </w:rPr>
            </w:pPr>
            <w:r>
              <w:rPr>
                <w:rFonts w:hint="eastAsia" w:ascii="华文中宋" w:hAnsi="华文中宋" w:eastAsia="华文中宋"/>
                <w:color w:val="auto"/>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929" w:type="dxa"/>
            <w:vAlign w:val="center"/>
          </w:tcPr>
          <w:p>
            <w:pPr>
              <w:jc w:val="center"/>
              <w:rPr>
                <w:color w:val="auto"/>
              </w:rPr>
            </w:pPr>
            <w:r>
              <w:rPr>
                <w:color w:val="auto"/>
              </w:rPr>
              <w:t>1</w:t>
            </w:r>
          </w:p>
        </w:tc>
        <w:tc>
          <w:tcPr>
            <w:tcW w:w="2679" w:type="dxa"/>
            <w:vAlign w:val="center"/>
          </w:tcPr>
          <w:p>
            <w:pPr>
              <w:jc w:val="center"/>
              <w:rPr>
                <w:color w:val="auto"/>
              </w:rPr>
            </w:pPr>
            <w:r>
              <w:rPr>
                <w:rFonts w:hint="eastAsia" w:ascii="华文中宋" w:hAnsi="华文中宋" w:eastAsia="华文中宋"/>
                <w:color w:val="auto"/>
              </w:rPr>
              <w:t>响应文件的报价</w:t>
            </w:r>
          </w:p>
        </w:tc>
        <w:tc>
          <w:tcPr>
            <w:tcW w:w="4920" w:type="dxa"/>
            <w:vAlign w:val="top"/>
          </w:tcPr>
          <w:p>
            <w:pPr>
              <w:rPr>
                <w:color w:val="auto"/>
              </w:rPr>
            </w:pPr>
            <w:r>
              <w:rPr>
                <w:rFonts w:hint="eastAsia" w:ascii="华文中宋" w:hAnsi="华文中宋" w:eastAsia="华文中宋"/>
                <w:color w:val="auto"/>
              </w:rPr>
              <w:t>所有磋商报价均以人民币</w:t>
            </w:r>
            <w:r>
              <w:rPr>
                <w:rFonts w:ascii="华文中宋" w:hAnsi="华文中宋" w:eastAsia="华文中宋"/>
                <w:color w:val="auto"/>
              </w:rPr>
              <w:t>/</w:t>
            </w:r>
            <w:r>
              <w:rPr>
                <w:rFonts w:hint="eastAsia" w:ascii="华文中宋" w:hAnsi="华文中宋" w:eastAsia="华文中宋"/>
                <w:color w:val="auto"/>
              </w:rPr>
              <w:t>元为计算单位。</w:t>
            </w:r>
          </w:p>
          <w:p>
            <w:pPr>
              <w:rPr>
                <w:color w:val="auto"/>
              </w:rPr>
            </w:pPr>
            <w:r>
              <w:rPr>
                <w:rFonts w:hint="eastAsia" w:ascii="华文中宋" w:hAnsi="华文中宋" w:eastAsia="华文中宋"/>
                <w:color w:val="auto"/>
              </w:rPr>
              <w:t>不接受可选择的报价。</w:t>
            </w:r>
          </w:p>
          <w:p>
            <w:pPr>
              <w:rPr>
                <w:color w:val="auto"/>
              </w:rPr>
            </w:pPr>
            <w:r>
              <w:rPr>
                <w:rFonts w:hint="eastAsia" w:ascii="华文中宋" w:hAnsi="华文中宋" w:eastAsia="华文中宋"/>
                <w:color w:val="auto"/>
              </w:rPr>
              <w:t>不接受超出本项目预算金额的报价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929" w:type="dxa"/>
            <w:vMerge w:val="restart"/>
            <w:vAlign w:val="center"/>
          </w:tcPr>
          <w:p>
            <w:pPr>
              <w:jc w:val="center"/>
              <w:rPr>
                <w:color w:val="auto"/>
              </w:rPr>
            </w:pPr>
            <w:r>
              <w:rPr>
                <w:color w:val="auto"/>
              </w:rPr>
              <w:t>2</w:t>
            </w:r>
          </w:p>
        </w:tc>
        <w:tc>
          <w:tcPr>
            <w:tcW w:w="2679" w:type="dxa"/>
            <w:vMerge w:val="restart"/>
            <w:vAlign w:val="center"/>
          </w:tcPr>
          <w:p>
            <w:pPr>
              <w:jc w:val="center"/>
              <w:rPr>
                <w:rFonts w:ascii="华文中宋" w:hAnsi="华文中宋" w:eastAsia="华文中宋"/>
                <w:color w:val="auto"/>
              </w:rPr>
            </w:pPr>
            <w:r>
              <w:rPr>
                <w:rFonts w:hint="eastAsia" w:ascii="华文中宋" w:hAnsi="华文中宋" w:eastAsia="华文中宋"/>
                <w:color w:val="auto"/>
              </w:rPr>
              <w:t>采购需求</w:t>
            </w:r>
          </w:p>
        </w:tc>
        <w:tc>
          <w:tcPr>
            <w:tcW w:w="4920" w:type="dxa"/>
            <w:vAlign w:val="top"/>
          </w:tcPr>
          <w:p>
            <w:pPr>
              <w:rPr>
                <w:color w:val="auto"/>
              </w:rPr>
            </w:pPr>
            <w:r>
              <w:rPr>
                <w:rFonts w:hint="eastAsia" w:ascii="华文中宋" w:hAnsi="华文中宋" w:eastAsia="华文中宋"/>
                <w:color w:val="auto"/>
              </w:rPr>
              <w:t>对照本文件第四部分中“商务要求”内容和响应文件的响应内容进行审查，没有做出实质性响应的做无效响应处理。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trPr>
        <w:tc>
          <w:tcPr>
            <w:tcW w:w="929" w:type="dxa"/>
            <w:vMerge w:val="continue"/>
            <w:vAlign w:val="center"/>
          </w:tcPr>
          <w:p>
            <w:pPr>
              <w:jc w:val="center"/>
              <w:rPr>
                <w:color w:val="auto"/>
              </w:rPr>
            </w:pPr>
          </w:p>
        </w:tc>
        <w:tc>
          <w:tcPr>
            <w:tcW w:w="2679" w:type="dxa"/>
            <w:vMerge w:val="continue"/>
            <w:vAlign w:val="center"/>
          </w:tcPr>
          <w:p>
            <w:pPr>
              <w:jc w:val="center"/>
              <w:rPr>
                <w:color w:val="auto"/>
              </w:rPr>
            </w:pPr>
          </w:p>
        </w:tc>
        <w:tc>
          <w:tcPr>
            <w:tcW w:w="4920" w:type="dxa"/>
            <w:vAlign w:val="top"/>
          </w:tcPr>
          <w:p>
            <w:pPr>
              <w:rPr>
                <w:color w:val="auto"/>
              </w:rPr>
            </w:pPr>
            <w:r>
              <w:rPr>
                <w:rFonts w:hint="eastAsia" w:ascii="华文中宋" w:hAnsi="华文中宋" w:eastAsia="华文中宋"/>
                <w:color w:val="auto"/>
              </w:rPr>
              <w:t>对照本文件第四部分中“实质性要求”内容和响应文件的响应内容进行审查，没有做出实质性响应的做无效响应处理。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929" w:type="dxa"/>
            <w:vMerge w:val="continue"/>
            <w:vAlign w:val="center"/>
          </w:tcPr>
          <w:p>
            <w:pPr>
              <w:jc w:val="center"/>
              <w:rPr>
                <w:color w:val="auto"/>
              </w:rPr>
            </w:pPr>
          </w:p>
        </w:tc>
        <w:tc>
          <w:tcPr>
            <w:tcW w:w="2679" w:type="dxa"/>
            <w:vMerge w:val="continue"/>
            <w:vAlign w:val="center"/>
          </w:tcPr>
          <w:p>
            <w:pPr>
              <w:jc w:val="center"/>
              <w:rPr>
                <w:color w:val="auto"/>
              </w:rPr>
            </w:pPr>
          </w:p>
        </w:tc>
        <w:tc>
          <w:tcPr>
            <w:tcW w:w="4920" w:type="dxa"/>
            <w:vAlign w:val="top"/>
          </w:tcPr>
          <w:p>
            <w:pPr>
              <w:rPr>
                <w:rFonts w:hint="eastAsia" w:eastAsia="华文中宋"/>
                <w:color w:val="auto"/>
                <w:lang w:eastAsia="zh-CN"/>
              </w:rPr>
            </w:pPr>
            <w:r>
              <w:rPr>
                <w:rFonts w:hint="eastAsia" w:ascii="华文中宋" w:hAnsi="华文中宋" w:eastAsia="华文中宋"/>
                <w:color w:val="auto"/>
              </w:rPr>
              <w:t>对照本文件第四部分“服务要求”内容和响应文件的响应内容进行审查</w:t>
            </w:r>
            <w:r>
              <w:rPr>
                <w:rFonts w:hint="eastAsia" w:ascii="华文中宋" w:hAnsi="华文中宋" w:eastAsia="华文中宋"/>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trPr>
        <w:tc>
          <w:tcPr>
            <w:tcW w:w="929" w:type="dxa"/>
            <w:vMerge w:val="continue"/>
            <w:vAlign w:val="center"/>
          </w:tcPr>
          <w:p>
            <w:pPr>
              <w:jc w:val="center"/>
              <w:rPr>
                <w:color w:val="auto"/>
              </w:rPr>
            </w:pPr>
          </w:p>
        </w:tc>
        <w:tc>
          <w:tcPr>
            <w:tcW w:w="2679" w:type="dxa"/>
            <w:vMerge w:val="continue"/>
            <w:vAlign w:val="center"/>
          </w:tcPr>
          <w:p>
            <w:pPr>
              <w:jc w:val="center"/>
              <w:rPr>
                <w:color w:val="auto"/>
              </w:rPr>
            </w:pPr>
          </w:p>
        </w:tc>
        <w:tc>
          <w:tcPr>
            <w:tcW w:w="4920" w:type="dxa"/>
            <w:vAlign w:val="top"/>
          </w:tcPr>
          <w:p>
            <w:pPr>
              <w:rPr>
                <w:color w:val="auto"/>
              </w:rPr>
            </w:pPr>
            <w:r>
              <w:rPr>
                <w:rFonts w:hint="eastAsia" w:ascii="华文中宋" w:hAnsi="华文中宋" w:eastAsia="华文中宋"/>
                <w:color w:val="auto"/>
              </w:rPr>
              <w:t>对照本文件第四部分的“技术要求”内容和响应文件的响应内容进行审查。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29" w:type="dxa"/>
            <w:vAlign w:val="center"/>
          </w:tcPr>
          <w:p>
            <w:pPr>
              <w:jc w:val="center"/>
              <w:rPr>
                <w:color w:val="auto"/>
              </w:rPr>
            </w:pPr>
            <w:r>
              <w:rPr>
                <w:color w:val="auto"/>
              </w:rPr>
              <w:t>3</w:t>
            </w:r>
          </w:p>
        </w:tc>
        <w:tc>
          <w:tcPr>
            <w:tcW w:w="2679" w:type="dxa"/>
            <w:vAlign w:val="center"/>
          </w:tcPr>
          <w:p>
            <w:pPr>
              <w:jc w:val="center"/>
              <w:rPr>
                <w:color w:val="auto"/>
              </w:rPr>
            </w:pPr>
            <w:r>
              <w:rPr>
                <w:rFonts w:hint="eastAsia" w:ascii="华文中宋" w:hAnsi="华文中宋" w:eastAsia="华文中宋"/>
                <w:color w:val="auto"/>
              </w:rPr>
              <w:t>进口产品</w:t>
            </w:r>
          </w:p>
        </w:tc>
        <w:tc>
          <w:tcPr>
            <w:tcW w:w="4920" w:type="dxa"/>
            <w:vAlign w:val="top"/>
          </w:tcPr>
          <w:p>
            <w:pPr>
              <w:rPr>
                <w:color w:val="auto"/>
              </w:rPr>
            </w:pPr>
            <w:r>
              <w:rPr>
                <w:rFonts w:hint="eastAsia" w:ascii="华文中宋" w:hAnsi="华文中宋" w:eastAsia="华文中宋"/>
                <w:color w:val="auto"/>
              </w:rPr>
              <w:t>本项目采购标的物未特别注明“进口产品”字样的，若磋商供应商投报进口产品的做无效响应处理。</w:t>
            </w:r>
          </w:p>
        </w:tc>
      </w:tr>
    </w:tbl>
    <w:p>
      <w:pPr>
        <w:pStyle w:val="29"/>
        <w:snapToGrid w:val="0"/>
        <w:spacing w:line="480" w:lineRule="exact"/>
        <w:ind w:left="210"/>
        <w:rPr>
          <w:rFonts w:ascii="华文中宋" w:hAnsi="华文中宋" w:eastAsia="华文中宋"/>
          <w:color w:val="auto"/>
        </w:rPr>
      </w:pPr>
      <w:r>
        <w:rPr>
          <w:rFonts w:hint="eastAsia" w:ascii="华文中宋" w:hAnsi="华文中宋" w:eastAsia="华文中宋"/>
          <w:color w:val="auto"/>
        </w:rPr>
        <w:t>说明：</w:t>
      </w:r>
    </w:p>
    <w:p>
      <w:pPr>
        <w:pStyle w:val="29"/>
        <w:snapToGrid w:val="0"/>
        <w:spacing w:line="480" w:lineRule="exact"/>
        <w:ind w:firstLine="462" w:firstLineChars="220"/>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color w:val="auto"/>
        </w:rPr>
        <w:t>．</w:t>
      </w:r>
      <w:r>
        <w:rPr>
          <w:rFonts w:hint="eastAsia" w:ascii="华文中宋" w:hAnsi="华文中宋" w:eastAsia="华文中宋" w:cs="微软雅黑"/>
          <w:color w:val="auto"/>
        </w:rPr>
        <w:t>符合性检查的内容，经磋商小组共同认定没有做出实质性响应的，将导致投标无效。其中第</w:t>
      </w:r>
      <w:r>
        <w:rPr>
          <w:rFonts w:hint="eastAsia" w:ascii="华文中宋" w:hAnsi="华文中宋" w:eastAsia="华文中宋" w:cs="微软雅黑"/>
          <w:color w:val="auto"/>
          <w:lang w:val="en-US" w:eastAsia="zh-CN"/>
        </w:rPr>
        <w:t>2</w:t>
      </w:r>
      <w:r>
        <w:rPr>
          <w:rFonts w:hint="eastAsia" w:ascii="华文中宋" w:hAnsi="华文中宋" w:eastAsia="华文中宋" w:cs="微软雅黑"/>
          <w:color w:val="auto"/>
        </w:rPr>
        <w:t>项实质性响应内容审查时，响应文件中注明品牌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型号且属于政府强制采购品目清单中的产品或《信息安全产品强制性认证目录》中的产品的，未附相关认证证书或所附相关认证证书与投报产品品牌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型号不符的，允许在开标时补正，补正后视为有效；未注明品牌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型号或投报产品品牌型号不属于清单或目录内的，不允许在开标时补正</w:t>
      </w:r>
      <w:r>
        <w:rPr>
          <w:rFonts w:hint="eastAsia" w:ascii="华文中宋" w:hAnsi="华文中宋" w:eastAsia="华文中宋"/>
          <w:color w:val="auto"/>
        </w:rPr>
        <w:t>。</w:t>
      </w:r>
    </w:p>
    <w:p>
      <w:pPr>
        <w:pStyle w:val="29"/>
        <w:snapToGrid w:val="0"/>
        <w:spacing w:line="480" w:lineRule="exact"/>
        <w:ind w:firstLine="462" w:firstLineChars="22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．审查时，对特殊情况的处理磋商小组要遵循磋商文件第三部分磋商供应商须知第20条规定的原则。</w:t>
      </w:r>
    </w:p>
    <w:p>
      <w:pPr>
        <w:pStyle w:val="29"/>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二、落实政府采购政策性要求的评审内容及标准</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1．涉及进口产品的要求：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（1）本项目采购标的物未特别注明“进口产品”（通过中国海关报关验放进入中国境内且产自境外的产品）字样的，均必须采购国产产品。</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b w:val="0"/>
          <w:bCs/>
          <w:szCs w:val="21"/>
          <w:highlight w:val="none"/>
          <w:lang w:eastAsia="zh-CN"/>
        </w:rPr>
        <w:t>投标人</w:t>
      </w:r>
      <w:r>
        <w:rPr>
          <w:rFonts w:hint="eastAsia" w:ascii="宋体" w:hAnsi="宋体" w:eastAsia="宋体" w:cs="宋体"/>
          <w:b w:val="0"/>
          <w:bCs/>
          <w:szCs w:val="21"/>
          <w:highlight w:val="none"/>
        </w:rPr>
        <w:t>的进口产品。如果有能够满足采购需求的国产产品参与，应当按照公平竞争的原则进行评审。</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2．涉及“节能产品政府采购品目清单”政府强制采购产品的要求：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本文件列出政府强制采购产品的，投标人必须投报“节能产品政府采购品目清单”范围内的产品，须提供处于有效期之内的节能产品认证证书扫描件，并将政府强制采购产品如实填写到《政府强制采购产品明细表》（格式见第八部分）。</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（2）本文件未列出政府强制采购产品的，投标人可投报“节能产品政府采购品目清单、环境标志产品政府采购品目清单”中非政府强制采购产品或其范围以外的产品。</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val="0"/>
          <w:bCs/>
          <w:szCs w:val="21"/>
          <w:highlight w:val="none"/>
        </w:rPr>
      </w:pPr>
      <w:r>
        <w:rPr>
          <w:rFonts w:hint="eastAsia" w:ascii="宋体" w:hAnsi="宋体" w:eastAsia="宋体" w:cs="宋体"/>
          <w:b/>
          <w:bCs w:val="0"/>
          <w:szCs w:val="21"/>
          <w:highlight w:val="none"/>
        </w:rPr>
        <w:t>3．涉及非政府强制采购产品的要求：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（1）投标货物有“节能产品政府采购品目清单、环境标志产品政府采购品目清单”中非政府强制采购产品的将给予适当加分。</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（2）投标人提供处于有效期之内的节能产品、环境标志产品认证证书扫描件，并需如实填写《非政府强制采购产品明细表》（格式见第八部分）。</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4．涉及正版软件的要求：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本项目采购标的物涉及计算机产品或硬件产品内预装软件的，投标人须填写《正版软件承诺》（格式见第八部分）。</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val="0"/>
          <w:bCs/>
          <w:szCs w:val="21"/>
          <w:highlight w:val="none"/>
        </w:rPr>
      </w:pPr>
      <w:r>
        <w:rPr>
          <w:rFonts w:hint="eastAsia" w:ascii="宋体" w:hAnsi="宋体" w:eastAsia="宋体" w:cs="宋体"/>
          <w:b/>
          <w:bCs w:val="0"/>
          <w:szCs w:val="21"/>
          <w:highlight w:val="none"/>
        </w:rPr>
        <w:t>5．涉及信息安全产品的要求：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投标货物中如含有财政部会同有关部门制定下发的《信息安全产品强制性认证目录》中的产品（8类13项），须提供中国信息安全认证中心或中国网络安全审查技术与认证中心按国家标准认证颁发的有效认证证书扫描件。</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6．涉及小型、微型企业参加投标的要求：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w:t>
      </w:r>
      <w:r>
        <w:rPr>
          <w:rFonts w:hint="eastAsia" w:ascii="宋体" w:hAnsi="宋体" w:eastAsia="宋体" w:cs="宋体"/>
          <w:b w:val="0"/>
          <w:bCs/>
          <w:szCs w:val="21"/>
          <w:highlight w:val="none"/>
          <w:lang w:val="en-US" w:eastAsia="zh-CN"/>
        </w:rPr>
        <w:t>小型、微企业只有提供本企业制造的货物或者服务，或者提供其他小型、微企业制造的货物，享受享受投标货物报价给予</w:t>
      </w:r>
      <w:r>
        <w:rPr>
          <w:rFonts w:hint="eastAsia" w:ascii="宋体" w:hAnsi="宋体" w:cs="宋体"/>
          <w:b w:val="0"/>
          <w:bCs/>
          <w:color w:val="FF0000"/>
          <w:szCs w:val="21"/>
          <w:highlight w:val="none"/>
          <w:lang w:val="en-US" w:eastAsia="zh-CN"/>
        </w:rPr>
        <w:t>20</w:t>
      </w:r>
      <w:r>
        <w:rPr>
          <w:rFonts w:hint="eastAsia" w:ascii="宋体" w:hAnsi="宋体" w:eastAsia="宋体" w:cs="宋体"/>
          <w:b w:val="0"/>
          <w:bCs/>
          <w:color w:val="FF0000"/>
          <w:szCs w:val="21"/>
          <w:highlight w:val="none"/>
          <w:lang w:val="en-US" w:eastAsia="zh-CN"/>
        </w:rPr>
        <w:t xml:space="preserve">% </w:t>
      </w:r>
      <w:r>
        <w:rPr>
          <w:rFonts w:hint="eastAsia" w:ascii="宋体" w:hAnsi="宋体" w:eastAsia="宋体" w:cs="宋体"/>
          <w:b w:val="0"/>
          <w:bCs/>
          <w:szCs w:val="21"/>
          <w:highlight w:val="none"/>
          <w:lang w:val="en-US" w:eastAsia="zh-CN"/>
        </w:rPr>
        <w:t>的扣除，用扣除后的价格参与评审</w:t>
      </w:r>
      <w:r>
        <w:rPr>
          <w:rFonts w:hint="eastAsia" w:ascii="宋体" w:hAnsi="宋体" w:eastAsia="宋体" w:cs="宋体"/>
          <w:b w:val="0"/>
          <w:bCs/>
          <w:szCs w:val="21"/>
          <w:highlight w:val="none"/>
        </w:rPr>
        <w:t>。若有的话，如实填写《小、微企业/残疾人福利性单位提供货物/服务明细表》（格式见第八部分）。</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（3）小型、微型企业提供的货物既有中小企业制造货物，也有大型企业制造货物的，不享受价格折扣。</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7．涉及残疾人福利性单位参加投标的要求：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（1）须根据《关于促进残疾人就业政府采购政策的通知》</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财库〔2017〕141号</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的要求，如实填写《残疾人福利性单位声明函》（格式见第八部分）。</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bCs w:val="0"/>
          <w:szCs w:val="21"/>
          <w:highlight w:val="none"/>
        </w:rPr>
      </w:pPr>
      <w:r>
        <w:rPr>
          <w:rFonts w:hint="eastAsia" w:ascii="宋体" w:hAnsi="宋体" w:cs="宋体"/>
          <w:b/>
          <w:bCs w:val="0"/>
          <w:szCs w:val="21"/>
          <w:highlight w:val="none"/>
          <w:lang w:val="en-US" w:eastAsia="zh-CN"/>
        </w:rPr>
        <w:t>8</w:t>
      </w:r>
      <w:r>
        <w:rPr>
          <w:rFonts w:hint="eastAsia" w:ascii="宋体" w:hAnsi="宋体" w:eastAsia="宋体" w:cs="宋体"/>
          <w:b/>
          <w:bCs w:val="0"/>
          <w:szCs w:val="21"/>
          <w:highlight w:val="none"/>
        </w:rPr>
        <w:t>．涉及监狱企业参加投标的要求：</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（1）监狱企业参加投标视同小、微企业，需提供由省级以上监狱管理局或戒毒管理局出具的属于监狱企业的证明文件。</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pPr>
        <w:keepNext w:val="0"/>
        <w:keepLines w:val="0"/>
        <w:pageBreakBefore w:val="0"/>
        <w:widowControl w:val="0"/>
        <w:kinsoku/>
        <w:wordWrap/>
        <w:overflowPunct/>
        <w:topLinePunct w:val="0"/>
        <w:autoSpaceDE/>
        <w:autoSpaceDN/>
        <w:bidi w:val="0"/>
        <w:spacing w:line="400" w:lineRule="exact"/>
        <w:ind w:firstLine="421"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9</w:t>
      </w:r>
      <w:r>
        <w:rPr>
          <w:rFonts w:hint="eastAsia" w:ascii="宋体" w:hAnsi="宋体" w:eastAsia="宋体" w:cs="宋体"/>
          <w:b/>
          <w:szCs w:val="21"/>
          <w:highlight w:val="none"/>
        </w:rPr>
        <w:t>．涉及商品包装和快递包装的要求：</w:t>
      </w:r>
    </w:p>
    <w:p>
      <w:pPr>
        <w:spacing w:line="440" w:lineRule="exact"/>
        <w:ind w:firstLine="420" w:firstLineChars="200"/>
        <w:rPr>
          <w:rFonts w:ascii="华文中宋" w:hAnsi="华文中宋" w:eastAsia="华文中宋"/>
          <w:color w:val="auto"/>
        </w:rPr>
      </w:pPr>
      <w:r>
        <w:rPr>
          <w:rFonts w:hint="eastAsia" w:ascii="宋体" w:hAnsi="宋体" w:eastAsia="宋体" w:cs="宋体"/>
          <w:color w:val="auto"/>
          <w:kern w:val="0"/>
          <w:sz w:val="21"/>
          <w:szCs w:val="21"/>
          <w:highlight w:val="none"/>
          <w:lang w:val="en-US" w:eastAsia="zh-CN" w:bidi="ar-SA"/>
        </w:rPr>
        <w:t>本项目涉及商品包装和快递包装要求的，投标人须填写《商品包装和快递包装承诺函》（格式见第八部分）。</w:t>
      </w:r>
    </w:p>
    <w:p>
      <w:pPr>
        <w:pStyle w:val="29"/>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三、无效磋商的情形</w:t>
      </w:r>
    </w:p>
    <w:p>
      <w:pPr>
        <w:pStyle w:val="29"/>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未通过资格性、符合性审查的响应文件为无效磋商。</w:t>
      </w:r>
    </w:p>
    <w:p>
      <w:pPr>
        <w:snapToGrid w:val="0"/>
        <w:spacing w:line="480" w:lineRule="exact"/>
        <w:ind w:firstLine="420" w:firstLineChars="200"/>
        <w:rPr>
          <w:rFonts w:ascii="华文中宋" w:hAnsi="华文中宋" w:eastAsia="华文中宋"/>
          <w:b/>
          <w:color w:val="auto"/>
          <w:szCs w:val="21"/>
        </w:rPr>
      </w:pPr>
      <w:r>
        <w:rPr>
          <w:rFonts w:hint="eastAsia" w:ascii="华文中宋" w:hAnsi="华文中宋" w:eastAsia="华文中宋"/>
          <w:b/>
          <w:color w:val="auto"/>
        </w:rPr>
        <w:t>四、</w:t>
      </w:r>
      <w:r>
        <w:rPr>
          <w:rFonts w:hint="eastAsia" w:ascii="华文中宋" w:hAnsi="华文中宋" w:eastAsia="华文中宋"/>
          <w:b/>
          <w:color w:val="auto"/>
          <w:szCs w:val="21"/>
        </w:rPr>
        <w:t>成交标准</w:t>
      </w:r>
    </w:p>
    <w:p>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rPr>
        <w:t>经磋商确定最终采购需求和提交最后报价的供应商后，由磋商小组采用综合评分法对提交最后报价的供应商的响应文件和报价进行综合评分，</w:t>
      </w:r>
      <w:r>
        <w:rPr>
          <w:rFonts w:hint="eastAsia" w:ascii="华文中宋" w:hAnsi="华文中宋" w:eastAsia="华文中宋"/>
          <w:color w:val="auto"/>
          <w:szCs w:val="21"/>
        </w:rPr>
        <w:t>响应文件满足磋商文件全部实质性要求，对价格、商务、服务、技术等主要因素的量化指标进行评审得分（具体评分见综合评分法评分细则），得分最高的磋商供应商为</w:t>
      </w:r>
      <w:r>
        <w:rPr>
          <w:rFonts w:hint="eastAsia" w:ascii="华文中宋" w:hAnsi="华文中宋" w:eastAsia="华文中宋"/>
          <w:color w:val="auto"/>
        </w:rPr>
        <w:t>成交供应商或成交第一候选</w:t>
      </w:r>
      <w:r>
        <w:rPr>
          <w:rFonts w:hint="eastAsia" w:ascii="华文中宋" w:hAnsi="华文中宋" w:eastAsia="华文中宋"/>
          <w:color w:val="auto"/>
          <w:szCs w:val="21"/>
        </w:rPr>
        <w:t>供应商。</w:t>
      </w:r>
    </w:p>
    <w:p>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rPr>
        <w:br w:type="page"/>
      </w:r>
      <w:r>
        <w:rPr>
          <w:rFonts w:hint="eastAsia" w:ascii="华文中宋" w:hAnsi="华文中宋" w:eastAsia="华文中宋"/>
          <w:color w:val="auto"/>
        </w:rPr>
        <w:t>综合评分法细则</w:t>
      </w:r>
    </w:p>
    <w:tbl>
      <w:tblPr>
        <w:tblStyle w:val="21"/>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21"/>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03" w:type="dxa"/>
                  <w:vAlign w:val="center"/>
                </w:tcPr>
                <w:p>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jc w:val="center"/>
              </w:trPr>
              <w:tc>
                <w:tcPr>
                  <w:tcW w:w="8803" w:type="dxa"/>
                  <w:vAlign w:val="center"/>
                </w:tcPr>
                <w:p>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rPr>
                    <w:t>业绩（10分）</w:t>
                  </w:r>
                </w:p>
                <w:p>
                  <w:pPr>
                    <w:pStyle w:val="39"/>
                    <w:spacing w:line="360" w:lineRule="auto"/>
                    <w:jc w:val="left"/>
                    <w:rPr>
                      <w:rFonts w:hint="eastAsia" w:ascii="仿宋" w:hAnsi="仿宋" w:eastAsia="仿宋" w:cs="仿宋"/>
                    </w:rPr>
                  </w:pPr>
                  <w:r>
                    <w:rPr>
                      <w:rFonts w:hint="eastAsia" w:ascii="仿宋" w:hAnsi="仿宋" w:eastAsia="仿宋" w:cs="仿宋"/>
                      <w:snapToGrid/>
                      <w:color w:val="000000"/>
                      <w:kern w:val="2"/>
                      <w:sz w:val="24"/>
                      <w:szCs w:val="24"/>
                      <w:lang w:val="en-US" w:eastAsia="zh-CN" w:bidi="ar-SA"/>
                    </w:rPr>
                    <w:t>提供自2023年4月6日起至投标文件递交截止日期前签署的同类或类似项目合同案例，每提供一个得2分，最高得10分。要求必须提供与最终用户签订的合同首页、合同金额所在页、签字盖章页、项目结算凭证（发票或银行划拨单）复印件作为证明</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2" w:hRule="atLeast"/>
                <w:jc w:val="center"/>
              </w:trPr>
              <w:tc>
                <w:tcPr>
                  <w:tcW w:w="8803" w:type="dxa"/>
                  <w:vAlign w:val="center"/>
                </w:tcPr>
                <w:p>
                  <w:pPr>
                    <w:pStyle w:val="36"/>
                    <w:jc w:val="both"/>
                    <w:rPr>
                      <w:rFonts w:hint="eastAsia" w:ascii="仿宋" w:hAnsi="仿宋" w:eastAsia="仿宋" w:cs="仿宋"/>
                      <w:b/>
                      <w:bCs/>
                      <w:sz w:val="24"/>
                      <w:lang w:val="en-US" w:eastAsia="zh-CN"/>
                    </w:rPr>
                  </w:pPr>
                  <w:r>
                    <w:rPr>
                      <w:rFonts w:hint="eastAsia" w:ascii="仿宋" w:hAnsi="仿宋" w:eastAsia="仿宋" w:cs="仿宋"/>
                      <w:b/>
                      <w:bCs/>
                      <w:sz w:val="24"/>
                      <w:lang w:val="en-US" w:eastAsia="zh-CN"/>
                    </w:rPr>
                    <w:t>2、项目组成员(10分)</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根据响应供应商拟派负责此项目的项目负责人的文化水平、工作经验、工作业绩、管理能力进行评价。拟派本项目负责人（仅限1人）具有信息系统项目管理师证书，得4分，未提供不得分（提供近六个月内任意一个月社保证明资料）；</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2、根据响应供应商拟派此项目的技术人员(除项目负责人外)配备情况进行评价，基本情况包括姓名、年龄、学历、从事本工作年限、资格证书等。拟派本项目工作的技术人员具备以下证书，每提供一项得1分，最高得6分，未提供不得分（提供近六个月内任意一个月社保证明资料）；</w:t>
                  </w:r>
                </w:p>
                <w:p>
                  <w:pPr>
                    <w:pStyle w:val="36"/>
                    <w:jc w:val="both"/>
                    <w:rPr>
                      <w:rFonts w:hint="eastAsia" w:ascii="仿宋" w:hAnsi="仿宋" w:eastAsia="仿宋" w:cs="仿宋"/>
                      <w:spacing w:val="-3"/>
                      <w:kern w:val="0"/>
                      <w:sz w:val="24"/>
                    </w:rPr>
                  </w:pPr>
                  <w:r>
                    <w:rPr>
                      <w:rFonts w:hint="eastAsia" w:ascii="仿宋" w:hAnsi="仿宋" w:eastAsia="仿宋" w:cs="仿宋"/>
                      <w:snapToGrid/>
                      <w:kern w:val="2"/>
                      <w:sz w:val="24"/>
                      <w:szCs w:val="24"/>
                      <w:lang w:val="en-US" w:eastAsia="zh-CN" w:bidi="ar-SA"/>
                    </w:rPr>
                    <w:t>①网络工程师②注册信息安全工程师③系统集成项目管理工程师④网络规划设计师，以上同一人员同时具备上述多项证书的，不重复计分。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8803" w:type="dxa"/>
                  <w:vAlign w:val="center"/>
                </w:tcPr>
                <w:p>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1、技术指标满足情况（8分）</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评审小组根据招标文件中的技术需求指标要求，对响应文件中的技术指标响应情况进行打分，所投产品技术指标完全满足招标文件技术需求指标得8分。</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每有一项技术指标缺失或负偏离扣1分，分数扣完为止。若虚假响应、或不实质性响应技术要求则由投标人承担相应责任。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2、提供针对本项目的实施方案（9 分）</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包括但不限于①具体实施计划；②项目实施方案；③实施流程等内容，磋商小组结合项目需求情况进行综合评价、打分。每有一项缺项扣3分，每项有一处存在缺陷扣1分。（其中“项” 指上述条款中①②③条内容）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3、提供针对本项目的管理、安全及服务质量保障方案（9分）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包括但不限于：①管理机构架构；②安全保障方案；③服务质量保障方案。磋商小组结合项目需求情况进行综合评价、打分。每有一项缺项扣3分，每项有一处存在缺陷扣1分。（其中 “项”指上述条款中①②③条内容）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4、提供针对本项目的应急服务方案（12分）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包括但不限于：①应急预案；②突发事件处置人员配置；③突发事件处置响应时间计划；④突发事件处置措施等内容。磋商小组结合项目需求情况进行综合评价、打分。每有一项缺项扣 3 分，每项有一处存在缺陷扣 1 分。（其中“项”指上述条款中①②③④条内容）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（本项所称“缺陷”是指内容缺项、不完整或缺少关键点；非专门针对本项目或不适用本项目 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3"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5、项目的运维服务方案（12分）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包括但不限于①运维服务制度；②服务响应；③服务内容；④服务承诺等。磋商小组结合项目需求情况进行综合评价、打分。每有一项缺项扣 3分，每项有一处存在缺陷扣 1 分。（其中“项”指上述条款中①②③④条内容）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6、提供针对本项目的培训方案（12 分）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包括但不限于：①培训目标与对象；②培训方式；③培训内容及课时情况；④培训保障措施等内容，磋商小组结合项目需求情况进行综合评价、打分。每有一项缺项扣 3 分，每项有一处存在缺陷扣 1 分。（其中“项”指上述条款中①②③④条内容） </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8803" w:type="dxa"/>
                  <w:vAlign w:val="center"/>
                </w:tcPr>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7、售后服务方案（8分）</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（1）投标人针对本项目提供售后服务方案，内容包括但不限于：①售后服务内容；②服务响应时间；③售后机构设置情况；④售后服务流程；⑤售后服务质量保证措施等。</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投标人制定的售后服务方案内容全面、详细，内容完整，满足本次项目售后服务要求，充分考虑项目建设方需求，内容针对性和可行性高，得5分。每有一项缺项扣1分，每项有一处存在缺陷扣0.5分，扣完为止。未提供的不得分（“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2）根据投标人售后服务响应时间进行评分（3分）①承诺并在响应文件中明确售后服务热线电话，能及时解答客户问题，得1分；②对故障处理完成时间进行承诺，在接到故障报修通知后，30分钟内响应，6小时内完成故障处理；故障处理完成时间每提前一个小时，得1分，最高2分。（须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8803" w:type="dxa"/>
                  <w:vAlign w:val="center"/>
                </w:tcPr>
                <w:p>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8803" w:type="dxa"/>
                  <w:vAlign w:val="center"/>
                </w:tcPr>
                <w:p>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803" w:type="dxa"/>
                  <w:vAlign w:val="center"/>
                </w:tcPr>
                <w:p>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pPr>
                    <w:widowControl/>
                    <w:jc w:val="left"/>
                    <w:textAlignment w:val="center"/>
                    <w:rPr>
                      <w:rFonts w:hint="eastAsia" w:ascii="仿宋" w:hAnsi="仿宋" w:eastAsia="仿宋" w:cs="仿宋"/>
                      <w:sz w:val="24"/>
                    </w:rPr>
                  </w:pPr>
                  <w:r>
                    <w:rPr>
                      <w:b/>
                      <w:kern w:val="0"/>
                      <w:szCs w:val="21"/>
                    </w:rPr>
                    <w:t>注：政策性因素优惠见价格评审要求。</w:t>
                  </w:r>
                </w:p>
              </w:tc>
            </w:tr>
          </w:tbl>
          <w:p>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pPr>
        <w:pStyle w:val="41"/>
        <w:numPr>
          <w:ilvl w:val="0"/>
          <w:numId w:val="0"/>
        </w:numPr>
        <w:spacing w:before="0" w:afterLines="100" w:line="500" w:lineRule="exact"/>
        <w:jc w:val="center"/>
        <w:rPr>
          <w:rFonts w:hint="eastAsia" w:ascii="宋体" w:hAnsi="宋体" w:eastAsia="宋体" w:cs="宋体"/>
          <w:b/>
          <w:bCs/>
          <w:spacing w:val="10"/>
          <w:szCs w:val="28"/>
        </w:rPr>
      </w:pPr>
      <w:r>
        <w:rPr>
          <w:rFonts w:hint="eastAsia" w:asciiTheme="minorEastAsia" w:hAnsiTheme="minorEastAsia" w:eastAsiaTheme="minorEastAsia"/>
          <w:b/>
          <w:color w:val="000000" w:themeColor="text1"/>
          <w:sz w:val="36"/>
          <w:szCs w:val="36"/>
          <w14:textFill>
            <w14:solidFill>
              <w14:schemeClr w14:val="tx1"/>
            </w14:solidFill>
          </w14:textFill>
        </w:rPr>
        <w:t>第</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七</w:t>
      </w:r>
      <w:r>
        <w:rPr>
          <w:rFonts w:hint="eastAsia" w:asciiTheme="minorEastAsia" w:hAnsiTheme="minorEastAsia" w:eastAsiaTheme="minorEastAsia"/>
          <w:b/>
          <w:color w:val="000000" w:themeColor="text1"/>
          <w:sz w:val="36"/>
          <w:szCs w:val="36"/>
          <w:lang w:eastAsia="zh-CN"/>
          <w14:textFill>
            <w14:solidFill>
              <w14:schemeClr w14:val="tx1"/>
            </w14:solidFill>
          </w14:textFill>
        </w:rPr>
        <w:t>部分</w:t>
      </w:r>
      <w:r>
        <w:rPr>
          <w:rFonts w:asciiTheme="minorEastAsia" w:hAnsiTheme="minorEastAsia" w:eastAsiaTheme="minorEastAsia"/>
          <w:b/>
          <w:color w:val="000000" w:themeColor="text1"/>
          <w:sz w:val="36"/>
          <w:szCs w:val="36"/>
          <w14:textFill>
            <w14:solidFill>
              <w14:schemeClr w14:val="tx1"/>
            </w14:solidFill>
          </w14:textFill>
        </w:rPr>
        <w:t xml:space="preserve"> </w:t>
      </w:r>
      <w:bookmarkStart w:id="6" w:name="_Toc4208"/>
      <w:bookmarkStart w:id="7" w:name="_Toc434917971"/>
      <w:r>
        <w:rPr>
          <w:rFonts w:hint="eastAsia" w:ascii="宋体" w:hAnsi="宋体" w:eastAsia="宋体" w:cs="宋体"/>
          <w:b/>
          <w:bCs/>
          <w:spacing w:val="10"/>
          <w:szCs w:val="28"/>
        </w:rPr>
        <w:t xml:space="preserve">  </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合同原则</w:t>
      </w:r>
      <w:bookmarkEnd w:id="6"/>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 xml:space="preserve">    甲方</w:t>
      </w:r>
      <w:r>
        <w:rPr>
          <w:rFonts w:hint="eastAsia" w:ascii="宋体" w:hAnsi="宋体" w:eastAsia="宋体" w:cs="宋体"/>
          <w:szCs w:val="21"/>
        </w:rPr>
        <w:t>：</w:t>
      </w:r>
      <w:r>
        <w:rPr>
          <w:rFonts w:hint="eastAsia" w:ascii="宋体" w:hAnsi="宋体" w:eastAsia="宋体" w:cs="宋体"/>
          <w:szCs w:val="21"/>
          <w:u w:val="single"/>
        </w:rPr>
        <w:t xml:space="preserve">                       （全称）</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乙方：</w:t>
      </w:r>
      <w:r>
        <w:rPr>
          <w:rFonts w:hint="eastAsia" w:ascii="宋体" w:hAnsi="宋体" w:eastAsia="宋体" w:cs="宋体"/>
          <w:szCs w:val="21"/>
          <w:u w:val="single"/>
        </w:rPr>
        <w:t xml:space="preserve">                       （全称）</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依照《中华人民共和国合同法》、《中华人民共和国</w:t>
      </w:r>
      <w:r>
        <w:rPr>
          <w:rFonts w:hint="eastAsia" w:ascii="宋体" w:hAnsi="宋体" w:eastAsia="宋体" w:cs="宋体"/>
          <w:szCs w:val="21"/>
          <w:lang w:eastAsia="zh-CN"/>
        </w:rPr>
        <w:t>政府采购法</w:t>
      </w:r>
      <w:r>
        <w:rPr>
          <w:rFonts w:hint="eastAsia" w:ascii="宋体" w:hAnsi="宋体" w:eastAsia="宋体" w:cs="宋体"/>
          <w:szCs w:val="21"/>
        </w:rPr>
        <w:t>》及其他有关法律、行政法规，遵循平等、自愿、公平和诚实信用的原则，双方就本</w:t>
      </w:r>
      <w:r>
        <w:rPr>
          <w:rFonts w:hint="eastAsia" w:ascii="宋体" w:hAnsi="宋体" w:eastAsia="宋体" w:cs="宋体"/>
          <w:szCs w:val="21"/>
          <w:lang w:eastAsia="zh-CN"/>
        </w:rPr>
        <w:t>项目</w:t>
      </w:r>
      <w:r>
        <w:rPr>
          <w:rFonts w:hint="eastAsia" w:ascii="宋体" w:hAnsi="宋体" w:eastAsia="宋体" w:cs="宋体"/>
          <w:szCs w:val="21"/>
        </w:rPr>
        <w:t>协商一致，订立本合同。</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1、项目概况</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项目名称：</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项目编号：</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2、合同价款</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金额（大写）：          元（人民币）¥：          元</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付款方式：</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3、权利和义务</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3.1甲方的权利和义务</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1.有权取得本协议项下应得的各项费用；</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2.确保乙方取得本协议项下使用权的完整性；</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3.2乙方的权利和义务</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1.自主行使本协议项下使用权；</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2.按照本协议约定向甲方支付应付费用；</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 乙方有权对甲方发布工作及发布情况进行审核、验收及监督检查。若乙方发现发布未按照本合同约定的内容、时间、频次等进行的，乙方有权向甲方提出限期整改要求，且发布期限按照甲方未能依约发布的日期相应顺延；</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4、违约责任及争议解决</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4.1双方确认，除非双方一致书面同意任何一方自行修改或变更本协议、任何一方拒绝履行本协议义务和责任均视为违约，违约方要支付受损失一方经济损失相应的违约赔偿。</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4.2由于一方违约，造成本协议以及本协议相关附件不能履行或不能完全履行时，由违约的一方承担违约责任；如双方均有违约，根据实际情况，由双方分别承担各自应付的违约责任。</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4.3乙方未按约定向甲方支付应付费用，从逾期之日起，每逾期一日向甲方交纳媒体使用费总额3‰的滞纳金。 如乙方逾期超过15日，甲方有权单方解除本协议。</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4.4因乙方责任导致本协议未到期而提前终止时，乙方将按照第17、18条约定承担违约责任。</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4.5若乙方发现甲方在履约过程中有违约行为，向甲方提出后拒不改正的，或乙方多次（三次以上，含三次）发现甲方未按约定履行义务的，乙方有权单独解除协议。</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4.6凡因本协议以及本协议相关附件和补充协议引起的或与本协议以及本协议相关附件和补充协议有关的任何争议，双方首先应友好协商解决。协商不成，由人民法院裁决。在解决争议期间，除争议事项外，本协议以及本协议相关附件和补充协议的其他各项条款应继续履行。</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5、不可抗力</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5.1由于地震、台风、洪水、火灾、战争、铁路政策的变更以及其他（包括但不限于天灾、罢工、暴动、传染病爆发、暴风雨或其他自然灾害）不可预见的并对其发生和后果不能防止或避免的不可抗力事件的发生，直接影响本协议的履行或者不能按约定的条件履行时，遇有上述不可抗力一方，应立即将事件的有关情况通知另一方，并在通知行为发生后30个工作日内提交该不可抗力的有效证明文件，此项证明文件应由不可抗力事件发生地的公证机构出具（法律不允许或有规范性文件的除外）。按照事件对履行本协议的影响程度，由双方协商决定是否解除本协议或部分免除履行本协议的责任，或延期履行本协议。对不可抗力所造成的损失，任何一方不得提出赔偿要求。</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6、陈述与保证</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6.1本协议一方在本协议签署日，特向另一方陈述并保证：</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1.该方是根据国家法律合法成立、有效存续并信誉良好的法人或组织；</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2.该方具有签署本协议、履行本协议以及本协议的相关协议所需的一切权利、资质、授权及许可，并在本协议期限内持续合法有效；</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3.该方在本协议上签字的代表已得到签署本协议所需的授权，其签署的本协议可对该方形成约束；</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4.签署和履行本协议均不会与法律或司法机关的判决发生冲突；</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5.一方在本协议签署生效日前的任何争议、纠纷和诉讼，均不影响另一方独立合法取得本协议规定的权利和义务；</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6.本协议一方向另一方提供的所有文件、资料、信息及承诺都是真实无误的；</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7.本协议一方在本协议所做的陈述和保证在任何时候发现不真实或误导，由此给另一方造成任何损失、损害、索赔、要求和处罚，另一方有权得到赔偿并免受损害。</w:t>
      </w:r>
    </w:p>
    <w:p>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7、通知及相关</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7.1</w:t>
      </w:r>
      <w:r>
        <w:rPr>
          <w:rFonts w:hint="eastAsia" w:ascii="宋体" w:hAnsi="宋体" w:eastAsia="宋体" w:cs="宋体"/>
          <w:szCs w:val="21"/>
        </w:rPr>
        <w:t>除非本协议另有规定，任何一方在发送本协议项下或与本协议有关的通知时，应采用书面形式，并由专人送达或用公认快递服务寄送至本协议注明的签署人通讯地址（该签署人或通讯地址变更当日亦应通知本协议另一方）或本协议签署人指定的接受者地址，并由本协议签署人或本协议签署人指定的接受者签收，否则不被认为已经送达。如果送达一方能够证明被送达一方对送达的通知拒绝签收，即被认为已经送达。</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7.2</w:t>
      </w:r>
      <w:r>
        <w:rPr>
          <w:rFonts w:hint="eastAsia" w:ascii="宋体" w:hAnsi="宋体" w:eastAsia="宋体" w:cs="宋体"/>
          <w:szCs w:val="21"/>
        </w:rPr>
        <w:t>本协议一方向另一方发出的通知送达后15个工作日内没有取得另一方的答复时，发出通知的一方可以认定接受通知的一方放弃自己的相关权利，并据此行事。如果一方接到通知后15个工作日内没有回复另一方要求其纠正违约行为的通知，则另一方可以直接提请争议解决。在上述情况下，拒绝回复的一方应该承担另一方为解决争议所发生的费用，包括但不限于差旅费、公证费用、律师代理费和诉讼费用。</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7.3</w:t>
      </w:r>
      <w:r>
        <w:rPr>
          <w:rFonts w:hint="eastAsia" w:ascii="宋体" w:hAnsi="宋体" w:eastAsia="宋体" w:cs="宋体"/>
          <w:szCs w:val="21"/>
        </w:rPr>
        <w:t>本协议每一</w:t>
      </w:r>
      <w:r>
        <w:rPr>
          <w:rFonts w:hint="eastAsia" w:ascii="宋体" w:hAnsi="宋体" w:eastAsia="宋体" w:cs="宋体"/>
          <w:szCs w:val="21"/>
          <w:lang w:eastAsia="zh-CN"/>
        </w:rPr>
        <w:t>部分</w:t>
      </w:r>
      <w:r>
        <w:rPr>
          <w:rFonts w:hint="eastAsia" w:ascii="宋体" w:hAnsi="宋体" w:eastAsia="宋体" w:cs="宋体"/>
          <w:szCs w:val="21"/>
        </w:rPr>
        <w:t>所加入的标题只是为了方便援引之用，并不影响对本协议条款内容的解释。</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7.4</w:t>
      </w:r>
      <w:r>
        <w:rPr>
          <w:rFonts w:hint="eastAsia" w:ascii="宋体" w:hAnsi="宋体" w:eastAsia="宋体" w:cs="宋体"/>
          <w:szCs w:val="21"/>
        </w:rPr>
        <w:t>如有本协议未尽事宜，双方可签署补充协议予以解决。补充协议作为本协议的附属文件，同样具有法律效力。</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7.5</w:t>
      </w:r>
      <w:r>
        <w:rPr>
          <w:rFonts w:hint="eastAsia" w:ascii="宋体" w:hAnsi="宋体" w:eastAsia="宋体" w:cs="宋体"/>
          <w:szCs w:val="21"/>
        </w:rPr>
        <w:t>本合同一式</w:t>
      </w:r>
      <w:r>
        <w:rPr>
          <w:rFonts w:hint="eastAsia" w:ascii="宋体" w:hAnsi="宋体" w:eastAsia="宋体" w:cs="宋体"/>
          <w:szCs w:val="21"/>
          <w:lang w:eastAsia="zh-CN"/>
        </w:rPr>
        <w:t>三</w:t>
      </w:r>
      <w:r>
        <w:rPr>
          <w:rFonts w:hint="eastAsia" w:ascii="宋体" w:hAnsi="宋体" w:eastAsia="宋体" w:cs="宋体"/>
          <w:szCs w:val="21"/>
        </w:rPr>
        <w:t>份，供方持</w:t>
      </w:r>
      <w:r>
        <w:rPr>
          <w:rFonts w:hint="eastAsia" w:ascii="宋体" w:hAnsi="宋体" w:eastAsia="宋体" w:cs="宋体"/>
          <w:szCs w:val="21"/>
          <w:lang w:eastAsia="zh-CN"/>
        </w:rPr>
        <w:t>一</w:t>
      </w:r>
      <w:r>
        <w:rPr>
          <w:rFonts w:hint="eastAsia" w:ascii="宋体" w:hAnsi="宋体" w:eastAsia="宋体" w:cs="宋体"/>
          <w:szCs w:val="21"/>
        </w:rPr>
        <w:t>份，需方持</w:t>
      </w:r>
      <w:r>
        <w:rPr>
          <w:rFonts w:hint="eastAsia" w:ascii="宋体" w:hAnsi="宋体" w:eastAsia="宋体" w:cs="宋体"/>
          <w:szCs w:val="21"/>
          <w:lang w:eastAsia="zh-CN"/>
        </w:rPr>
        <w:t>一</w:t>
      </w:r>
      <w:r>
        <w:rPr>
          <w:rFonts w:hint="eastAsia" w:ascii="宋体" w:hAnsi="宋体" w:eastAsia="宋体" w:cs="宋体"/>
          <w:szCs w:val="21"/>
        </w:rPr>
        <w:t>份，</w:t>
      </w:r>
      <w:r>
        <w:rPr>
          <w:rFonts w:hint="eastAsia" w:ascii="宋体" w:hAnsi="宋体" w:eastAsia="宋体" w:cs="宋体"/>
          <w:szCs w:val="21"/>
          <w:lang w:val="en-US" w:eastAsia="zh-CN"/>
        </w:rPr>
        <w:t>招标代理机构</w:t>
      </w:r>
      <w:r>
        <w:rPr>
          <w:rFonts w:hint="eastAsia" w:ascii="宋体" w:hAnsi="宋体" w:eastAsia="宋体" w:cs="宋体"/>
          <w:szCs w:val="21"/>
          <w:lang w:eastAsia="zh-CN"/>
        </w:rPr>
        <w:t>一份。</w:t>
      </w:r>
      <w:bookmarkEnd w:id="7"/>
    </w:p>
    <w:p>
      <w:pPr>
        <w:pStyle w:val="41"/>
        <w:numPr>
          <w:ilvl w:val="0"/>
          <w:numId w:val="0"/>
        </w:numPr>
        <w:snapToGrid w:val="0"/>
        <w:spacing w:before="0" w:after="0" w:line="480" w:lineRule="exact"/>
        <w:ind w:firstLine="2896" w:firstLineChars="902"/>
        <w:jc w:val="left"/>
        <w:rPr>
          <w:rFonts w:hint="eastAsia" w:ascii="宋体" w:hAnsi="宋体" w:eastAsia="宋体" w:cs="宋体"/>
          <w:spacing w:val="20"/>
          <w:szCs w:val="28"/>
        </w:rPr>
      </w:pPr>
    </w:p>
    <w:tbl>
      <w:tblPr>
        <w:tblStyle w:val="21"/>
        <w:tblpPr w:leftFromText="180" w:rightFromText="180" w:vertAnchor="text" w:horzAnchor="page" w:tblpX="1650" w:tblpY="-24"/>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9" w:hRule="atLeast"/>
        </w:trPr>
        <w:tc>
          <w:tcPr>
            <w:tcW w:w="4268" w:type="dxa"/>
            <w:tcBorders>
              <w:bottom w:val="single" w:color="auto" w:sz="4" w:space="0"/>
            </w:tcBorders>
            <w:vAlign w:val="top"/>
          </w:tcPr>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甲方（公章）：</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地 址：</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开户银行：</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账 号：</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日 期：    年    月    日</w:t>
            </w:r>
          </w:p>
        </w:tc>
        <w:tc>
          <w:tcPr>
            <w:tcW w:w="4136" w:type="dxa"/>
            <w:tcBorders>
              <w:bottom w:val="single" w:color="auto" w:sz="4" w:space="0"/>
            </w:tcBorders>
            <w:vAlign w:val="top"/>
          </w:tcPr>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乙方（公章）：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地 址：</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开户银行：</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账 号：</w:t>
            </w:r>
          </w:p>
          <w:p>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日 期：    年    月    日</w:t>
            </w:r>
          </w:p>
        </w:tc>
      </w:tr>
    </w:tbl>
    <w:p>
      <w:pPr>
        <w:pStyle w:val="41"/>
        <w:numPr>
          <w:ilvl w:val="0"/>
          <w:numId w:val="0"/>
        </w:numPr>
        <w:snapToGrid w:val="0"/>
        <w:spacing w:before="0" w:after="0" w:line="480" w:lineRule="exact"/>
        <w:jc w:val="left"/>
        <w:rPr>
          <w:rFonts w:hint="eastAsia" w:ascii="宋体" w:hAnsi="宋体" w:eastAsia="宋体" w:cs="宋体"/>
          <w:spacing w:val="20"/>
          <w:szCs w:val="28"/>
        </w:rPr>
      </w:pPr>
    </w:p>
    <w:p>
      <w:pPr>
        <w:pStyle w:val="10"/>
        <w:snapToGrid w:val="0"/>
        <w:spacing w:before="120" w:after="120" w:line="360" w:lineRule="auto"/>
        <w:jc w:val="center"/>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p>
    <w:p>
      <w:pPr>
        <w:pStyle w:val="10"/>
        <w:adjustRightInd w:val="0"/>
        <w:snapToGrid w:val="0"/>
        <w:spacing w:before="120" w:after="120" w:line="360" w:lineRule="exact"/>
        <w:ind w:left="1" w:firstLine="639" w:firstLineChars="213"/>
        <w:rPr>
          <w:rFonts w:hint="eastAsia" w:ascii="宋体" w:hAnsi="宋体" w:eastAsia="宋体" w:cs="宋体"/>
          <w:color w:val="auto"/>
          <w:kern w:val="2"/>
          <w:sz w:val="21"/>
          <w:szCs w:val="22"/>
          <w:lang w:val="en-US" w:eastAsia="zh-CN" w:bidi="ar-SA"/>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r>
        <w:rPr>
          <w:rFonts w:hint="eastAsia" w:ascii="宋体" w:hAnsi="宋体" w:eastAsia="宋体" w:cs="宋体"/>
          <w:color w:val="auto"/>
          <w:kern w:val="2"/>
          <w:sz w:val="21"/>
          <w:szCs w:val="22"/>
          <w:lang w:val="en-US" w:eastAsia="zh-CN" w:bidi="ar-SA"/>
        </w:rPr>
        <w:t xml:space="preserve">                        </w:t>
      </w: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10"/>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pPr>
        <w:pStyle w:val="2"/>
        <w:rPr>
          <w:rFonts w:hint="eastAsia"/>
          <w:lang w:val="en-US" w:eastAsia="zh-CN"/>
        </w:rPr>
      </w:pPr>
    </w:p>
    <w:p>
      <w:pPr>
        <w:widowControl/>
        <w:jc w:val="center"/>
        <w:rPr>
          <w:rFonts w:ascii="华文中宋" w:hAnsi="华文中宋" w:eastAsia="华文中宋"/>
          <w:color w:val="auto"/>
          <w:spacing w:val="20"/>
          <w:sz w:val="28"/>
          <w:szCs w:val="28"/>
        </w:rPr>
      </w:pPr>
      <w:r>
        <w:rPr>
          <w:rFonts w:hint="eastAsia" w:ascii="华文中宋" w:hAnsi="华文中宋" w:eastAsia="华文中宋"/>
          <w:b/>
          <w:bCs/>
          <w:color w:val="auto"/>
          <w:spacing w:val="20"/>
          <w:kern w:val="44"/>
          <w:sz w:val="28"/>
          <w:szCs w:val="28"/>
        </w:rPr>
        <w:t>第八部分  响应文件内容要求及格式</w:t>
      </w:r>
    </w:p>
    <w:p>
      <w:pPr>
        <w:spacing w:line="480" w:lineRule="exact"/>
        <w:rPr>
          <w:rFonts w:ascii="华文中宋" w:hAnsi="华文中宋" w:eastAsia="华文中宋"/>
          <w:color w:val="auto"/>
          <w:szCs w:val="21"/>
        </w:rPr>
      </w:pPr>
      <w:r>
        <w:rPr>
          <w:rFonts w:hint="eastAsia" w:ascii="华文中宋" w:hAnsi="华文中宋" w:eastAsia="华文中宋"/>
          <w:b/>
          <w:color w:val="auto"/>
          <w:sz w:val="24"/>
        </w:rPr>
        <w:t>磋商供应商提交响应文件须知</w:t>
      </w:r>
    </w:p>
    <w:p>
      <w:pPr>
        <w:spacing w:line="480" w:lineRule="exact"/>
        <w:ind w:firstLine="434"/>
        <w:rPr>
          <w:rFonts w:ascii="华文中宋" w:hAnsi="华文中宋" w:eastAsia="华文中宋"/>
          <w:color w:val="auto"/>
          <w:szCs w:val="21"/>
        </w:rPr>
      </w:pPr>
      <w:r>
        <w:rPr>
          <w:rFonts w:ascii="华文中宋" w:hAnsi="华文中宋" w:eastAsia="华文中宋"/>
          <w:color w:val="auto"/>
          <w:szCs w:val="21"/>
        </w:rPr>
        <w:t>1</w:t>
      </w:r>
      <w:r>
        <w:rPr>
          <w:rFonts w:hint="eastAsia" w:ascii="华文中宋" w:hAnsi="华文中宋" w:eastAsia="华文中宋"/>
          <w:color w:val="auto"/>
          <w:szCs w:val="21"/>
        </w:rPr>
        <w:t>、磋商供应商按照本部分的顺序编排响应文件（资格证明文件、商务技术文件），编排中涉及格式资料的，应按照本部分提供的内容和格式（所有表格的格式可扩展）填写提交。</w:t>
      </w:r>
    </w:p>
    <w:p>
      <w:pPr>
        <w:spacing w:line="480" w:lineRule="exact"/>
        <w:ind w:firstLine="434"/>
        <w:rPr>
          <w:rFonts w:ascii="华文中宋" w:hAnsi="华文中宋" w:eastAsia="华文中宋"/>
          <w:color w:val="auto"/>
          <w:szCs w:val="21"/>
        </w:rPr>
      </w:pPr>
      <w:r>
        <w:rPr>
          <w:rFonts w:ascii="华文中宋" w:hAnsi="华文中宋" w:eastAsia="华文中宋"/>
          <w:color w:val="auto"/>
          <w:szCs w:val="21"/>
        </w:rPr>
        <w:t>2</w:t>
      </w:r>
      <w:r>
        <w:rPr>
          <w:rFonts w:hint="eastAsia" w:ascii="华文中宋" w:hAnsi="华文中宋" w:eastAsia="华文中宋"/>
          <w:color w:val="auto"/>
          <w:szCs w:val="21"/>
        </w:rPr>
        <w:t>、全部声明和问题的回答及所附材料必须是真实的、准确的和完整的。</w:t>
      </w:r>
    </w:p>
    <w:p>
      <w:pPr>
        <w:pStyle w:val="29"/>
        <w:snapToGrid w:val="0"/>
        <w:spacing w:line="480" w:lineRule="exact"/>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、按磋商文件要求“格式”提供的材料，如有调整，内容及签署必须完整、有效，且没有本文件不可接受的条件。</w:t>
      </w:r>
    </w:p>
    <w:p>
      <w:pPr>
        <w:rPr>
          <w:color w:val="auto"/>
        </w:rPr>
      </w:pPr>
    </w:p>
    <w:p>
      <w:pPr>
        <w:widowControl/>
        <w:jc w:val="left"/>
        <w:rPr>
          <w:color w:val="auto"/>
        </w:rPr>
      </w:pPr>
      <w:r>
        <w:rPr>
          <w:color w:val="auto"/>
        </w:rPr>
        <w:br w:type="page"/>
      </w:r>
    </w:p>
    <w:p>
      <w:pPr>
        <w:widowControl/>
        <w:jc w:val="left"/>
        <w:rPr>
          <w:rFonts w:ascii="华文中宋" w:hAnsi="华文中宋" w:eastAsia="华文中宋"/>
          <w:b/>
          <w:color w:val="auto"/>
          <w:spacing w:val="20"/>
          <w:sz w:val="24"/>
        </w:rPr>
      </w:pPr>
      <w:r>
        <w:rPr>
          <w:rFonts w:hint="eastAsia" w:ascii="华文中宋" w:hAnsi="华文中宋" w:eastAsia="华文中宋"/>
          <w:b/>
          <w:color w:val="auto"/>
          <w:spacing w:val="20"/>
          <w:sz w:val="24"/>
        </w:rPr>
        <w:t>资格证明文件格式</w:t>
      </w:r>
    </w:p>
    <w:p>
      <w:pPr>
        <w:rPr>
          <w:rFonts w:ascii="华文中宋" w:hAnsi="华文中宋" w:eastAsia="华文中宋"/>
          <w:b/>
          <w:color w:val="auto"/>
          <w:sz w:val="24"/>
        </w:rPr>
      </w:pPr>
      <w:r>
        <w:rPr>
          <w:rFonts w:hint="eastAsia" w:ascii="华文中宋" w:hAnsi="华文中宋" w:eastAsia="华文中宋"/>
          <w:b/>
          <w:color w:val="auto"/>
          <w:spacing w:val="20"/>
          <w:sz w:val="24"/>
        </w:rPr>
        <w:t>响应文件（资格证明文件）</w:t>
      </w:r>
      <w:r>
        <w:rPr>
          <w:rFonts w:hint="eastAsia" w:ascii="华文中宋" w:hAnsi="华文中宋" w:eastAsia="华文中宋"/>
          <w:b/>
          <w:color w:val="auto"/>
          <w:sz w:val="24"/>
        </w:rPr>
        <w:t>封面及目录格式</w:t>
      </w: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jc w:val="center"/>
        <w:rPr>
          <w:rFonts w:ascii="华文中宋" w:hAnsi="华文中宋" w:eastAsia="华文中宋"/>
          <w:b/>
          <w:color w:val="auto"/>
          <w:spacing w:val="60"/>
          <w:sz w:val="84"/>
          <w:szCs w:val="84"/>
        </w:rPr>
      </w:pPr>
      <w:r>
        <w:rPr>
          <w:rFonts w:hint="eastAsia" w:ascii="华文中宋" w:hAnsi="华文中宋" w:eastAsia="华文中宋"/>
          <w:b/>
          <w:color w:val="auto"/>
          <w:spacing w:val="60"/>
          <w:sz w:val="84"/>
          <w:szCs w:val="84"/>
        </w:rPr>
        <w:t>响 应 文 件</w:t>
      </w:r>
    </w:p>
    <w:p>
      <w:pPr>
        <w:ind w:firstLine="840" w:firstLineChars="150"/>
        <w:jc w:val="center"/>
        <w:rPr>
          <w:rFonts w:ascii="华文中宋" w:hAnsi="华文中宋" w:eastAsia="华文中宋"/>
          <w:b/>
          <w:color w:val="auto"/>
          <w:spacing w:val="20"/>
          <w:sz w:val="52"/>
          <w:szCs w:val="52"/>
        </w:rPr>
      </w:pPr>
      <w:r>
        <w:rPr>
          <w:rFonts w:hint="eastAsia" w:ascii="华文中宋" w:hAnsi="华文中宋" w:eastAsia="华文中宋"/>
          <w:b/>
          <w:color w:val="auto"/>
          <w:spacing w:val="20"/>
          <w:sz w:val="52"/>
          <w:szCs w:val="52"/>
        </w:rPr>
        <w:t>（资格证明文件）</w:t>
      </w:r>
    </w:p>
    <w:p>
      <w:pPr>
        <w:pStyle w:val="10"/>
        <w:snapToGrid w:val="0"/>
        <w:spacing w:line="276" w:lineRule="auto"/>
        <w:ind w:firstLine="600" w:firstLineChars="250"/>
        <w:rPr>
          <w:rFonts w:ascii="华文中宋" w:hAnsi="华文中宋" w:eastAsia="华文中宋"/>
          <w:color w:val="auto"/>
          <w:kern w:val="0"/>
        </w:rPr>
      </w:pPr>
    </w:p>
    <w:p>
      <w:pPr>
        <w:ind w:firstLine="900"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项目名称</w:t>
      </w:r>
      <w:r>
        <w:rPr>
          <w:rFonts w:ascii="华文中宋" w:hAnsi="华文中宋" w:eastAsia="华文中宋"/>
          <w:b/>
          <w:color w:val="auto"/>
          <w:spacing w:val="20"/>
          <w:sz w:val="32"/>
          <w:szCs w:val="32"/>
        </w:rPr>
        <w:t>:</w:t>
      </w:r>
    </w:p>
    <w:p>
      <w:pPr>
        <w:ind w:firstLine="900"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项目编号：</w:t>
      </w: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pStyle w:val="10"/>
        <w:snapToGrid w:val="0"/>
        <w:spacing w:line="276" w:lineRule="auto"/>
        <w:ind w:firstLine="600" w:firstLineChars="250"/>
        <w:rPr>
          <w:rFonts w:ascii="华文中宋" w:hAnsi="华文中宋" w:eastAsia="华文中宋"/>
          <w:color w:val="auto"/>
          <w:kern w:val="0"/>
        </w:rPr>
      </w:pPr>
    </w:p>
    <w:p>
      <w:pPr>
        <w:spacing w:line="360" w:lineRule="auto"/>
        <w:jc w:val="center"/>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磋商供应商单位名称：（法人电子印章）</w:t>
      </w:r>
    </w:p>
    <w:p>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二〇   年  月  日</w:t>
      </w:r>
    </w:p>
    <w:p>
      <w:pPr>
        <w:pStyle w:val="29"/>
        <w:snapToGrid w:val="0"/>
        <w:spacing w:line="480" w:lineRule="exact"/>
        <w:ind w:firstLine="720" w:firstLineChars="200"/>
        <w:rPr>
          <w:rFonts w:ascii="华文中宋" w:hAnsi="华文中宋" w:eastAsia="华文中宋"/>
          <w:b/>
          <w:color w:val="auto"/>
          <w:sz w:val="24"/>
          <w:highlight w:val="none"/>
        </w:rPr>
      </w:pPr>
      <w:r>
        <w:rPr>
          <w:rFonts w:ascii="华文中宋" w:hAnsi="华文中宋" w:eastAsia="华文中宋"/>
          <w:b/>
          <w:color w:val="auto"/>
          <w:spacing w:val="20"/>
          <w:sz w:val="32"/>
          <w:szCs w:val="32"/>
        </w:rPr>
        <w:br w:type="page"/>
      </w:r>
    </w:p>
    <w:p>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pPr>
        <w:spacing w:line="48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资格响应文件</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1、磋商供应商代表的证明………………………………………………………………………页码</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2、响应函…………………………………………………………………………………………页码</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磋商供应商承诺函</w:t>
      </w:r>
      <w:r>
        <w:rPr>
          <w:rFonts w:hint="eastAsia" w:ascii="宋体" w:hAnsi="宋体" w:eastAsia="宋体" w:cs="宋体"/>
          <w:color w:val="auto"/>
          <w:szCs w:val="21"/>
          <w:highlight w:val="none"/>
        </w:rPr>
        <w:t>……………………………………………………………………………页码</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、本项目其他特定资格条件……………………………………………………………………页码</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、基本存款账户开户许可证影印件……………………………………………………………页码</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、联合体磋商协议（若有）……………………………………………………………………页码</w:t>
      </w:r>
    </w:p>
    <w:p>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说明：目录内容和排序按磋商供应商须知前附表中响应文件（资格响应文件）应提交的资格证明文件内容及顺序排列。</w:t>
      </w:r>
    </w:p>
    <w:p>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商务</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响应文件</w:t>
      </w:r>
    </w:p>
    <w:p>
      <w:pPr>
        <w:spacing w:line="400" w:lineRule="exact"/>
        <w:ind w:firstLine="3144" w:firstLineChars="130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  务  技  术  文  件</w:t>
      </w:r>
    </w:p>
    <w:p>
      <w:pPr>
        <w:spacing w:line="400" w:lineRule="exact"/>
        <w:ind w:firstLine="4127" w:firstLineChars="1713"/>
        <w:rPr>
          <w:rFonts w:hint="eastAsia" w:ascii="宋体" w:hAnsi="宋体" w:eastAsia="宋体" w:cs="宋体"/>
          <w:b/>
          <w:color w:val="auto"/>
          <w:sz w:val="24"/>
          <w:highlight w:val="none"/>
        </w:rPr>
      </w:pPr>
    </w:p>
    <w:p>
      <w:pPr>
        <w:spacing w:line="400" w:lineRule="exact"/>
        <w:ind w:firstLine="4006" w:firstLineChars="166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目    录</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1、开标报价一览表……………………………………………………………………………页码</w:t>
      </w:r>
    </w:p>
    <w:p>
      <w:pPr>
        <w:pStyle w:val="17"/>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小型、微型企业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残疾人福利性</w:t>
      </w:r>
      <w:r>
        <w:rPr>
          <w:rFonts w:hint="eastAsia" w:ascii="宋体" w:hAnsi="宋体" w:eastAsia="宋体" w:cs="宋体"/>
          <w:color w:val="auto"/>
          <w:sz w:val="21"/>
          <w:szCs w:val="21"/>
          <w:highlight w:val="none"/>
          <w:lang w:eastAsia="zh-CN"/>
        </w:rPr>
        <w:t>单位（若有的话）</w:t>
      </w:r>
      <w:r>
        <w:rPr>
          <w:rFonts w:hint="eastAsia" w:ascii="宋体" w:hAnsi="宋体" w:eastAsia="宋体" w:cs="宋体"/>
          <w:color w:val="auto"/>
          <w:sz w:val="21"/>
          <w:szCs w:val="21"/>
          <w:highlight w:val="none"/>
        </w:rPr>
        <w:t>……………………………页码</w:t>
      </w:r>
    </w:p>
    <w:p>
      <w:pPr>
        <w:pStyle w:val="17"/>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中小企业声明函（若有的话）……………………………………………………………………页码</w:t>
      </w:r>
    </w:p>
    <w:p>
      <w:pPr>
        <w:pStyle w:val="17"/>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残疾人福利性单位声明函（若有的话）…………………………………………………………页码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2、对商务要求的响应内容…………………………………………………………………………页码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3、对实质性要求的响应内容…………………………………………………………………………页码</w:t>
      </w:r>
    </w:p>
    <w:p>
      <w:pPr>
        <w:pStyle w:val="17"/>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涉及政府采购政策要求内容（若有的话）………………………………………………………页码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4、对非实质性要求的响应内容………………………………………………………………………页码</w:t>
      </w:r>
    </w:p>
    <w:p>
      <w:pPr>
        <w:pStyle w:val="17"/>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涉及政府采购政策要求内容（若有的话）………………………………………………………页码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5、对服务要求的响应内容……………………………………………………………………………页码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6、对技术要求的响应内容……………………………………………………………………………页码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7、供应商业绩情况</w:t>
      </w:r>
      <w:r>
        <w:rPr>
          <w:rFonts w:hint="eastAsia" w:ascii="宋体" w:hAnsi="宋体" w:eastAsia="宋体" w:cs="宋体"/>
          <w:color w:val="auto"/>
          <w:sz w:val="21"/>
          <w:szCs w:val="21"/>
          <w:highlight w:val="none"/>
        </w:rPr>
        <w:t>……………………………………………………………………………………页码</w:t>
      </w:r>
    </w:p>
    <w:p>
      <w:pPr>
        <w:pStyle w:val="17"/>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kern w:val="2"/>
          <w:sz w:val="21"/>
          <w:szCs w:val="21"/>
          <w:highlight w:val="none"/>
        </w:rPr>
        <w:t>招标文件要求或投标人认为需要提供的其他商务技术材料/文件</w:t>
      </w:r>
      <w:r>
        <w:rPr>
          <w:rFonts w:hint="eastAsia" w:ascii="宋体" w:hAnsi="宋体" w:eastAsia="宋体" w:cs="宋体"/>
          <w:color w:val="auto"/>
          <w:sz w:val="21"/>
          <w:szCs w:val="21"/>
          <w:highlight w:val="none"/>
        </w:rPr>
        <w:t>……………………………页码</w:t>
      </w:r>
    </w:p>
    <w:p>
      <w:pPr>
        <w:keepNext w:val="0"/>
        <w:keepLines w:val="0"/>
        <w:pageBreakBefore w:val="0"/>
        <w:widowControl w:val="0"/>
        <w:kinsoku/>
        <w:wordWrap/>
        <w:overflowPunct/>
        <w:topLinePunct w:val="0"/>
        <w:autoSpaceDE/>
        <w:autoSpaceDN/>
        <w:bidi w:val="0"/>
        <w:adjustRightInd/>
        <w:snapToGrid w:val="0"/>
        <w:spacing w:line="430" w:lineRule="exact"/>
        <w:ind w:firstLine="527"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Cs w:val="21"/>
          <w:highlight w:val="none"/>
        </w:rPr>
        <w:t>说明：目录内容和排序须按磋商供应商须知前附表中响应文件（商务</w:t>
      </w:r>
      <w:r>
        <w:rPr>
          <w:rFonts w:hint="eastAsia" w:ascii="宋体" w:hAnsi="宋体" w:eastAsia="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文件）应提交的商务、技术文件内容及顺序排列。</w:t>
      </w:r>
    </w:p>
    <w:p>
      <w:pPr>
        <w:rPr>
          <w:rFonts w:hint="eastAsia" w:ascii="宋体" w:hAnsi="宋体" w:eastAsia="宋体" w:cs="宋体"/>
          <w:b/>
          <w:color w:val="auto"/>
          <w:sz w:val="10"/>
          <w:szCs w:val="10"/>
        </w:rPr>
      </w:pPr>
    </w:p>
    <w:p>
      <w:pPr>
        <w:rPr>
          <w:rFonts w:ascii="华文中宋" w:hAnsi="华文中宋" w:eastAsia="华文中宋"/>
          <w:b/>
          <w:color w:val="auto"/>
          <w:sz w:val="24"/>
          <w:szCs w:val="24"/>
        </w:rPr>
      </w:pPr>
      <w:r>
        <w:rPr>
          <w:rFonts w:hint="eastAsia" w:ascii="华文中宋" w:hAnsi="华文中宋" w:eastAsia="华文中宋"/>
          <w:b/>
          <w:color w:val="auto"/>
          <w:sz w:val="24"/>
          <w:szCs w:val="24"/>
        </w:rPr>
        <w:br w:type="page"/>
      </w:r>
      <w:r>
        <w:rPr>
          <w:rFonts w:hint="eastAsia" w:ascii="华文中宋" w:hAnsi="华文中宋" w:eastAsia="华文中宋"/>
          <w:b/>
          <w:color w:val="auto"/>
          <w:sz w:val="24"/>
          <w:szCs w:val="24"/>
        </w:rPr>
        <w:t>（一）磋商供应商代表的证明格式</w:t>
      </w:r>
    </w:p>
    <w:p>
      <w:pPr>
        <w:snapToGrid w:val="0"/>
        <w:ind w:left="500" w:hanging="500" w:hangingChars="200"/>
        <w:jc w:val="center"/>
        <w:rPr>
          <w:rFonts w:ascii="华文中宋" w:hAnsi="华文中宋" w:eastAsia="华文中宋"/>
          <w:b/>
          <w:bCs/>
          <w:color w:val="auto"/>
          <w:spacing w:val="20"/>
          <w:szCs w:val="21"/>
        </w:rPr>
      </w:pPr>
    </w:p>
    <w:p>
      <w:pPr>
        <w:snapToGrid w:val="0"/>
        <w:ind w:left="560" w:hanging="560" w:hangingChars="200"/>
        <w:jc w:val="center"/>
        <w:rPr>
          <w:rFonts w:ascii="华文中宋" w:hAnsi="华文中宋" w:eastAsia="华文中宋"/>
          <w:bCs/>
          <w:color w:val="auto"/>
          <w:spacing w:val="6"/>
          <w:sz w:val="24"/>
          <w:szCs w:val="24"/>
        </w:rPr>
      </w:pPr>
      <w:r>
        <w:rPr>
          <w:rFonts w:hint="eastAsia" w:ascii="华文中宋" w:hAnsi="华文中宋" w:eastAsia="华文中宋"/>
          <w:b/>
          <w:bCs/>
          <w:color w:val="auto"/>
          <w:spacing w:val="20"/>
          <w:sz w:val="24"/>
          <w:szCs w:val="24"/>
        </w:rPr>
        <w:t>法定代表人（负责人）身份证明书</w:t>
      </w:r>
    </w:p>
    <w:p>
      <w:pPr>
        <w:ind w:firstLine="570"/>
        <w:jc w:val="center"/>
        <w:rPr>
          <w:rFonts w:ascii="华文中宋" w:hAnsi="华文中宋" w:eastAsia="华文中宋"/>
          <w:color w:val="auto"/>
          <w:spacing w:val="6"/>
          <w:szCs w:val="21"/>
        </w:rPr>
      </w:pPr>
    </w:p>
    <w:p>
      <w:pPr>
        <w:spacing w:line="360"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单位名称：</w:t>
      </w:r>
    </w:p>
    <w:p>
      <w:pPr>
        <w:spacing w:line="360"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单位性质：</w:t>
      </w:r>
    </w:p>
    <w:p>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地址：</w:t>
      </w:r>
    </w:p>
    <w:p>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成立时间：   年   月   日</w:t>
      </w:r>
    </w:p>
    <w:p>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经营期限：</w:t>
      </w:r>
    </w:p>
    <w:p>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姓名：                      性别：</w:t>
      </w:r>
    </w:p>
    <w:p>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身份证号：                  职务：</w:t>
      </w:r>
    </w:p>
    <w:p>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系</w:t>
      </w:r>
      <w:r>
        <w:rPr>
          <w:rFonts w:hint="eastAsia" w:ascii="华文中宋" w:hAnsi="华文中宋" w:eastAsia="华文中宋"/>
          <w:color w:val="auto"/>
          <w:spacing w:val="6"/>
          <w:szCs w:val="21"/>
          <w:u w:val="single"/>
        </w:rPr>
        <w:t>（磋商供应商名称）</w:t>
      </w:r>
      <w:r>
        <w:rPr>
          <w:rFonts w:hint="eastAsia" w:ascii="华文中宋" w:hAnsi="华文中宋" w:eastAsia="华文中宋"/>
          <w:color w:val="auto"/>
          <w:spacing w:val="6"/>
          <w:szCs w:val="21"/>
        </w:rPr>
        <w:t>的法定代表人（负责人）。</w:t>
      </w:r>
    </w:p>
    <w:p>
      <w:pPr>
        <w:spacing w:line="360" w:lineRule="auto"/>
        <w:ind w:firstLine="444" w:firstLineChars="200"/>
        <w:rPr>
          <w:rFonts w:hint="eastAsia" w:ascii="华文中宋" w:hAnsi="华文中宋" w:eastAsia="华文中宋"/>
          <w:color w:val="auto"/>
          <w:spacing w:val="6"/>
          <w:szCs w:val="21"/>
        </w:rPr>
      </w:pPr>
      <w:r>
        <w:rPr>
          <w:rFonts w:hint="eastAsia" w:ascii="华文中宋" w:hAnsi="华文中宋" w:eastAsia="华文中宋"/>
          <w:color w:val="auto"/>
          <w:spacing w:val="6"/>
          <w:szCs w:val="21"/>
        </w:rPr>
        <w:t>特此证明</w:t>
      </w:r>
    </w:p>
    <w:p>
      <w:pPr>
        <w:tabs>
          <w:tab w:val="left" w:pos="3755"/>
        </w:tabs>
        <w:snapToGrid w:val="0"/>
        <w:spacing w:line="360" w:lineRule="auto"/>
        <w:jc w:val="right"/>
        <w:rPr>
          <w:rFonts w:hint="eastAsia" w:ascii="华文中宋" w:hAnsi="华文中宋" w:eastAsia="华文中宋" w:cs="华文中宋"/>
          <w:color w:val="auto"/>
          <w:spacing w:val="20"/>
          <w:szCs w:val="21"/>
        </w:rPr>
      </w:pPr>
    </w:p>
    <w:p>
      <w:pPr>
        <w:tabs>
          <w:tab w:val="left" w:pos="3755"/>
        </w:tabs>
        <w:snapToGrid w:val="0"/>
        <w:spacing w:line="360" w:lineRule="auto"/>
        <w:jc w:val="right"/>
        <w:rPr>
          <w:rFonts w:hint="eastAsia" w:ascii="华文中宋" w:hAnsi="华文中宋" w:eastAsia="华文中宋" w:cs="华文中宋"/>
          <w:color w:val="auto"/>
          <w:spacing w:val="20"/>
          <w:szCs w:val="21"/>
        </w:rPr>
      </w:pPr>
    </w:p>
    <w:p>
      <w:pPr>
        <w:tabs>
          <w:tab w:val="left" w:pos="3755"/>
        </w:tabs>
        <w:snapToGrid w:val="0"/>
        <w:spacing w:line="360" w:lineRule="auto"/>
        <w:jc w:val="right"/>
        <w:rPr>
          <w:rFonts w:hint="eastAsia" w:ascii="华文中宋" w:hAnsi="华文中宋" w:eastAsia="华文中宋" w:cs="华文中宋"/>
          <w:color w:val="auto"/>
          <w:spacing w:val="20"/>
          <w:szCs w:val="21"/>
        </w:rPr>
      </w:pPr>
      <w:r>
        <w:rPr>
          <w:rFonts w:hint="eastAsia" w:ascii="华文中宋" w:hAnsi="华文中宋" w:eastAsia="华文中宋" w:cs="华文中宋"/>
          <w:color w:val="auto"/>
          <w:spacing w:val="20"/>
          <w:szCs w:val="21"/>
        </w:rPr>
        <w:t>磋商供应商：</w:t>
      </w:r>
      <w:r>
        <w:rPr>
          <w:rFonts w:hint="eastAsia" w:ascii="华文中宋" w:hAnsi="华文中宋" w:eastAsia="华文中宋" w:cs="华文中宋"/>
          <w:color w:val="auto"/>
          <w:spacing w:val="20"/>
          <w:szCs w:val="21"/>
          <w:u w:val="single"/>
        </w:rPr>
        <w:t xml:space="preserve">          </w:t>
      </w:r>
      <w:r>
        <w:rPr>
          <w:rFonts w:hint="eastAsia" w:ascii="华文中宋" w:hAnsi="华文中宋" w:eastAsia="华文中宋" w:cs="华文中宋"/>
          <w:color w:val="auto"/>
          <w:spacing w:val="20"/>
          <w:szCs w:val="21"/>
        </w:rPr>
        <w:t>(法人电子签章)</w:t>
      </w:r>
    </w:p>
    <w:p>
      <w:pPr>
        <w:tabs>
          <w:tab w:val="left" w:pos="4490"/>
        </w:tabs>
        <w:snapToGrid w:val="0"/>
        <w:spacing w:line="360" w:lineRule="auto"/>
        <w:ind w:firstLine="3750" w:firstLineChars="1500"/>
        <w:jc w:val="right"/>
        <w:rPr>
          <w:rFonts w:hint="eastAsia" w:ascii="华文中宋" w:hAnsi="华文中宋" w:eastAsia="华文中宋" w:cs="华文中宋"/>
          <w:color w:val="auto"/>
          <w:spacing w:val="20"/>
          <w:szCs w:val="21"/>
        </w:rPr>
      </w:pPr>
      <w:r>
        <w:rPr>
          <w:rFonts w:hint="eastAsia" w:ascii="华文中宋" w:hAnsi="华文中宋" w:eastAsia="华文中宋" w:cs="华文中宋"/>
          <w:color w:val="auto"/>
          <w:spacing w:val="20"/>
          <w:szCs w:val="21"/>
        </w:rPr>
        <w:t>日     期：    年   月   日</w:t>
      </w:r>
    </w:p>
    <w:p>
      <w:pPr>
        <w:pStyle w:val="2"/>
        <w:rPr>
          <w:color w:val="auto"/>
        </w:rPr>
      </w:pPr>
    </w:p>
    <w:p>
      <w:pPr>
        <w:tabs>
          <w:tab w:val="left" w:pos="4490"/>
        </w:tabs>
        <w:snapToGrid w:val="0"/>
        <w:spacing w:line="276" w:lineRule="auto"/>
        <w:jc w:val="right"/>
        <w:rPr>
          <w:rFonts w:ascii="华文中宋" w:hAnsi="华文中宋" w:eastAsia="华文中宋"/>
          <w:color w:val="auto"/>
          <w:spacing w:val="20"/>
          <w:szCs w:val="21"/>
        </w:rPr>
      </w:pPr>
      <w:r>
        <w:rPr>
          <w:rFonts w:ascii="华文中宋" w:hAnsi="华文中宋" w:eastAsia="华文中宋"/>
          <w:color w:val="auto"/>
          <w:spacing w:val="20"/>
          <w:szCs w:val="21"/>
        </w:rPr>
        <w:tab/>
      </w:r>
    </w:p>
    <w:p>
      <w:pPr>
        <w:rPr>
          <w:rFonts w:ascii="华文中宋" w:hAnsi="华文中宋" w:eastAsia="华文中宋"/>
          <w:b/>
          <w:color w:val="auto"/>
          <w:szCs w:val="21"/>
        </w:rPr>
      </w:pPr>
      <w:r>
        <w:rPr>
          <w:rFonts w:hint="eastAsia" w:ascii="华文中宋" w:hAnsi="华文中宋" w:eastAsia="华文中宋"/>
          <w:b/>
          <w:color w:val="auto"/>
          <w:szCs w:val="21"/>
        </w:rPr>
        <w:t>附法定代表人</w:t>
      </w:r>
      <w:r>
        <w:rPr>
          <w:rFonts w:hint="eastAsia" w:ascii="华文中宋" w:hAnsi="华文中宋" w:eastAsia="华文中宋" w:cs="华文中宋"/>
          <w:b/>
          <w:color w:val="auto"/>
          <w:szCs w:val="21"/>
        </w:rPr>
        <w:t>（负责人）</w:t>
      </w:r>
      <w:r>
        <w:rPr>
          <w:rFonts w:hint="eastAsia" w:ascii="华文中宋" w:hAnsi="华文中宋" w:eastAsia="华文中宋"/>
          <w:b/>
          <w:color w:val="auto"/>
          <w:szCs w:val="21"/>
        </w:rPr>
        <w:t>有效的身份证正反两面扫描件</w:t>
      </w:r>
    </w:p>
    <w:tbl>
      <w:tblPr>
        <w:tblStyle w:val="21"/>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2" w:hRule="atLeast"/>
        </w:trPr>
        <w:tc>
          <w:tcPr>
            <w:tcW w:w="4418" w:type="dxa"/>
            <w:vAlign w:val="top"/>
          </w:tcPr>
          <w:p>
            <w:pPr>
              <w:rPr>
                <w:rFonts w:ascii="华文中宋" w:hAnsi="华文中宋" w:eastAsia="华文中宋"/>
                <w:b/>
                <w:color w:val="auto"/>
                <w:szCs w:val="21"/>
              </w:rPr>
            </w:pPr>
          </w:p>
        </w:tc>
        <w:tc>
          <w:tcPr>
            <w:tcW w:w="4601" w:type="dxa"/>
            <w:vAlign w:val="top"/>
          </w:tcPr>
          <w:p>
            <w:pPr>
              <w:rPr>
                <w:rFonts w:ascii="华文中宋" w:hAnsi="华文中宋" w:eastAsia="华文中宋"/>
                <w:b/>
                <w:color w:val="auto"/>
                <w:szCs w:val="21"/>
              </w:rPr>
            </w:pPr>
          </w:p>
        </w:tc>
      </w:tr>
    </w:tbl>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rPr>
          <w:rFonts w:ascii="华文中宋" w:hAnsi="华文中宋" w:eastAsia="华文中宋"/>
          <w:b/>
          <w:bCs/>
          <w:color w:val="auto"/>
          <w:szCs w:val="21"/>
        </w:rPr>
      </w:pPr>
    </w:p>
    <w:p>
      <w:pPr>
        <w:snapToGrid w:val="0"/>
        <w:jc w:val="both"/>
        <w:rPr>
          <w:rFonts w:ascii="华文中宋" w:hAnsi="华文中宋" w:eastAsia="华文中宋"/>
          <w:b/>
          <w:bCs/>
          <w:color w:val="auto"/>
          <w:sz w:val="24"/>
          <w:szCs w:val="24"/>
        </w:rPr>
      </w:pPr>
    </w:p>
    <w:p>
      <w:pPr>
        <w:snapToGrid w:val="0"/>
        <w:ind w:left="480" w:hanging="480" w:hangingChars="200"/>
        <w:jc w:val="center"/>
        <w:rPr>
          <w:rFonts w:hint="eastAsia" w:ascii="华文中宋" w:hAnsi="华文中宋" w:eastAsia="华文中宋"/>
          <w:b/>
          <w:bCs/>
          <w:color w:val="auto"/>
          <w:sz w:val="24"/>
          <w:szCs w:val="24"/>
        </w:rPr>
      </w:pPr>
      <w:r>
        <w:rPr>
          <w:rFonts w:hint="eastAsia" w:ascii="华文中宋" w:hAnsi="华文中宋" w:eastAsia="华文中宋"/>
          <w:b/>
          <w:bCs/>
          <w:color w:val="auto"/>
          <w:sz w:val="24"/>
          <w:szCs w:val="24"/>
        </w:rPr>
        <w:t>法定代表人（负责人）授权委托书</w:t>
      </w:r>
    </w:p>
    <w:p>
      <w:pPr>
        <w:pStyle w:val="2"/>
        <w:rPr>
          <w:color w:val="auto"/>
        </w:rPr>
      </w:pPr>
    </w:p>
    <w:p>
      <w:pPr>
        <w:snapToGrid w:val="0"/>
        <w:spacing w:line="480" w:lineRule="exact"/>
        <w:rPr>
          <w:rFonts w:ascii="华文中宋" w:hAnsi="华文中宋" w:eastAsia="华文中宋"/>
          <w:b/>
          <w:color w:val="auto"/>
          <w:szCs w:val="21"/>
        </w:rPr>
      </w:pPr>
      <w:r>
        <w:rPr>
          <w:rFonts w:hint="eastAsia" w:ascii="华文中宋" w:hAnsi="华文中宋" w:eastAsia="华文中宋" w:cs="微软雅黑"/>
          <w:color w:val="auto"/>
          <w:szCs w:val="21"/>
          <w:lang w:eastAsia="zh-CN"/>
        </w:rPr>
        <w:t>陵川县公共资源交易中心（政府采购中心）</w:t>
      </w:r>
      <w:r>
        <w:rPr>
          <w:rFonts w:hint="eastAsia" w:ascii="华文中宋" w:hAnsi="华文中宋" w:eastAsia="华文中宋"/>
          <w:b/>
          <w:color w:val="auto"/>
          <w:szCs w:val="21"/>
        </w:rPr>
        <w:t>：</w:t>
      </w:r>
    </w:p>
    <w:p>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本授权委托书声明：注册于</w:t>
      </w:r>
      <w:r>
        <w:rPr>
          <w:rFonts w:hint="eastAsia" w:ascii="华文中宋" w:hAnsi="华文中宋" w:eastAsia="华文中宋"/>
          <w:color w:val="auto"/>
          <w:szCs w:val="21"/>
          <w:u w:val="single"/>
        </w:rPr>
        <w:t>（磋商供应商住址）</w:t>
      </w:r>
      <w:r>
        <w:rPr>
          <w:rFonts w:hint="eastAsia" w:ascii="华文中宋" w:hAnsi="华文中宋" w:eastAsia="华文中宋"/>
          <w:color w:val="auto"/>
          <w:szCs w:val="21"/>
        </w:rPr>
        <w:t>的</w:t>
      </w:r>
      <w:r>
        <w:rPr>
          <w:rFonts w:hint="eastAsia" w:ascii="华文中宋" w:hAnsi="华文中宋" w:eastAsia="华文中宋"/>
          <w:color w:val="auto"/>
          <w:szCs w:val="21"/>
          <w:u w:val="single"/>
        </w:rPr>
        <w:t>（磋商供应商名称）</w:t>
      </w:r>
      <w:r>
        <w:rPr>
          <w:rFonts w:hint="eastAsia" w:ascii="华文中宋" w:hAnsi="华文中宋" w:eastAsia="华文中宋"/>
          <w:color w:val="auto"/>
          <w:szCs w:val="21"/>
        </w:rPr>
        <w:t>法定代表人（负责人）</w:t>
      </w:r>
      <w:r>
        <w:rPr>
          <w:rFonts w:hint="eastAsia" w:ascii="华文中宋" w:hAnsi="华文中宋" w:eastAsia="华文中宋"/>
          <w:color w:val="auto"/>
          <w:szCs w:val="21"/>
          <w:u w:val="single"/>
        </w:rPr>
        <w:t>（法定代表人姓名、职务、身份证号）</w:t>
      </w:r>
      <w:r>
        <w:rPr>
          <w:rFonts w:hint="eastAsia" w:ascii="华文中宋" w:hAnsi="华文中宋" w:eastAsia="华文中宋"/>
          <w:color w:val="auto"/>
          <w:szCs w:val="21"/>
        </w:rPr>
        <w:t>代表本公司授权</w:t>
      </w:r>
      <w:r>
        <w:rPr>
          <w:rFonts w:hint="eastAsia" w:ascii="华文中宋" w:hAnsi="华文中宋" w:eastAsia="华文中宋"/>
          <w:color w:val="auto"/>
          <w:szCs w:val="21"/>
          <w:u w:val="single"/>
        </w:rPr>
        <w:t>（磋商供应商代表姓名、职务、身份证号）</w:t>
      </w:r>
      <w:r>
        <w:rPr>
          <w:rFonts w:hint="eastAsia" w:ascii="华文中宋" w:hAnsi="华文中宋" w:eastAsia="华文中宋"/>
          <w:color w:val="auto"/>
          <w:szCs w:val="21"/>
        </w:rPr>
        <w:t>为本公司的合法代理人，就贵方组织的</w:t>
      </w:r>
      <w:r>
        <w:rPr>
          <w:rFonts w:hint="eastAsia" w:ascii="华文中宋" w:hAnsi="华文中宋" w:eastAsia="华文中宋" w:cs="华文中宋"/>
          <w:color w:val="auto"/>
          <w:spacing w:val="6"/>
          <w:szCs w:val="21"/>
          <w:u w:val="single"/>
        </w:rPr>
        <w:t>（项目名称、项目编号）</w:t>
      </w:r>
      <w:r>
        <w:rPr>
          <w:rFonts w:hint="eastAsia" w:ascii="华文中宋" w:hAnsi="华文中宋" w:eastAsia="华文中宋"/>
          <w:color w:val="auto"/>
          <w:szCs w:val="21"/>
        </w:rPr>
        <w:t>项目，以本公司名义处理一切与之有关的事务。</w:t>
      </w:r>
    </w:p>
    <w:p>
      <w:pPr>
        <w:snapToGrid w:val="0"/>
        <w:spacing w:line="480" w:lineRule="exact"/>
        <w:ind w:firstLine="420" w:firstLineChars="200"/>
        <w:rPr>
          <w:rFonts w:hint="eastAsia" w:ascii="华文中宋" w:hAnsi="华文中宋" w:eastAsia="华文中宋"/>
          <w:color w:val="auto"/>
          <w:szCs w:val="21"/>
        </w:rPr>
      </w:pPr>
      <w:r>
        <w:rPr>
          <w:rFonts w:hint="eastAsia" w:ascii="华文中宋" w:hAnsi="华文中宋" w:eastAsia="华文中宋"/>
          <w:color w:val="auto"/>
          <w:szCs w:val="21"/>
        </w:rPr>
        <w:t>本授权书于    年  月  日生效，特此声明</w:t>
      </w:r>
    </w:p>
    <w:p>
      <w:pPr>
        <w:pStyle w:val="2"/>
        <w:rPr>
          <w:rFonts w:hint="eastAsia" w:ascii="华文中宋" w:hAnsi="华文中宋" w:eastAsia="华文中宋"/>
          <w:color w:val="auto"/>
          <w:szCs w:val="21"/>
        </w:rPr>
      </w:pPr>
    </w:p>
    <w:p>
      <w:pPr>
        <w:snapToGrid w:val="0"/>
        <w:spacing w:line="480" w:lineRule="exact"/>
        <w:ind w:firstLine="2730" w:firstLineChars="13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磋商供应商：</w:t>
      </w:r>
      <w:r>
        <w:rPr>
          <w:rFonts w:hint="eastAsia" w:ascii="华文中宋" w:hAnsi="华文中宋" w:eastAsia="华文中宋" w:cs="华文中宋"/>
          <w:color w:val="auto"/>
          <w:szCs w:val="21"/>
          <w:u w:val="single"/>
        </w:rPr>
        <w:t xml:space="preserve">                          </w:t>
      </w:r>
      <w:r>
        <w:rPr>
          <w:rFonts w:hint="eastAsia" w:ascii="华文中宋" w:hAnsi="华文中宋" w:eastAsia="华文中宋" w:cs="华文中宋"/>
          <w:color w:val="auto"/>
          <w:szCs w:val="21"/>
        </w:rPr>
        <w:t>（</w:t>
      </w:r>
      <w:r>
        <w:rPr>
          <w:rFonts w:hint="eastAsia" w:ascii="华文中宋" w:hAnsi="华文中宋" w:eastAsia="华文中宋" w:cs="华文中宋"/>
          <w:color w:val="auto"/>
          <w:spacing w:val="20"/>
          <w:szCs w:val="21"/>
        </w:rPr>
        <w:t>法人电子签章</w:t>
      </w:r>
      <w:r>
        <w:rPr>
          <w:rFonts w:hint="eastAsia" w:ascii="华文中宋" w:hAnsi="华文中宋" w:eastAsia="华文中宋" w:cs="华文中宋"/>
          <w:color w:val="auto"/>
          <w:szCs w:val="21"/>
        </w:rPr>
        <w:t>）</w:t>
      </w:r>
    </w:p>
    <w:p>
      <w:pPr>
        <w:snapToGrid w:val="0"/>
        <w:spacing w:line="480" w:lineRule="exact"/>
        <w:ind w:left="5250" w:leftChars="200" w:hanging="4830" w:hangingChars="23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                      法定代表人（负责人）：</w:t>
      </w:r>
      <w:r>
        <w:rPr>
          <w:rFonts w:hint="eastAsia" w:ascii="华文中宋" w:hAnsi="华文中宋" w:eastAsia="华文中宋" w:cs="华文中宋"/>
          <w:color w:val="auto"/>
          <w:szCs w:val="21"/>
          <w:u w:val="single"/>
        </w:rPr>
        <w:t xml:space="preserve">             </w:t>
      </w:r>
      <w:r>
        <w:rPr>
          <w:rFonts w:hint="eastAsia" w:ascii="华文中宋" w:hAnsi="华文中宋" w:eastAsia="华文中宋" w:cs="华文中宋"/>
          <w:color w:val="auto"/>
          <w:szCs w:val="21"/>
        </w:rPr>
        <w:t xml:space="preserve">（法定代表人电子章） </w:t>
      </w:r>
    </w:p>
    <w:p>
      <w:pPr>
        <w:snapToGrid w:val="0"/>
        <w:spacing w:line="480" w:lineRule="exact"/>
        <w:ind w:left="5730" w:leftChars="1300" w:hanging="3000" w:hangingChars="12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pacing w:val="20"/>
          <w:szCs w:val="21"/>
        </w:rPr>
        <w:t>日    期：    年   月   日</w:t>
      </w:r>
    </w:p>
    <w:p>
      <w:pPr>
        <w:snapToGrid w:val="0"/>
        <w:spacing w:line="480" w:lineRule="exact"/>
        <w:jc w:val="both"/>
        <w:rPr>
          <w:rFonts w:ascii="华文中宋" w:hAnsi="华文中宋" w:eastAsia="华文中宋"/>
          <w:color w:val="auto"/>
          <w:szCs w:val="21"/>
        </w:rPr>
      </w:pPr>
    </w:p>
    <w:p>
      <w:pPr>
        <w:snapToGrid w:val="0"/>
        <w:spacing w:line="480" w:lineRule="exact"/>
        <w:ind w:firstLine="420" w:firstLineChars="200"/>
        <w:jc w:val="right"/>
        <w:rPr>
          <w:rFonts w:ascii="华文中宋" w:hAnsi="华文中宋" w:eastAsia="华文中宋"/>
          <w:color w:val="auto"/>
          <w:szCs w:val="21"/>
        </w:rPr>
      </w:pPr>
    </w:p>
    <w:p>
      <w:pPr>
        <w:snapToGrid w:val="0"/>
        <w:spacing w:line="480" w:lineRule="exact"/>
        <w:jc w:val="right"/>
        <w:rPr>
          <w:rFonts w:ascii="华文中宋" w:hAnsi="华文中宋" w:eastAsia="华文中宋"/>
          <w:color w:val="auto"/>
          <w:szCs w:val="21"/>
        </w:rPr>
      </w:pPr>
    </w:p>
    <w:p>
      <w:pPr>
        <w:rPr>
          <w:rFonts w:ascii="华文中宋" w:hAnsi="华文中宋" w:eastAsia="华文中宋"/>
          <w:b/>
          <w:color w:val="auto"/>
          <w:szCs w:val="21"/>
        </w:rPr>
      </w:pPr>
      <w:r>
        <w:rPr>
          <w:rFonts w:hint="eastAsia" w:ascii="华文中宋" w:hAnsi="华文中宋" w:eastAsia="华文中宋"/>
          <w:b/>
          <w:color w:val="auto"/>
          <w:szCs w:val="21"/>
        </w:rPr>
        <w:t>附磋商供应商代表有效的身份证正反两面扫描件</w:t>
      </w:r>
    </w:p>
    <w:tbl>
      <w:tblPr>
        <w:tblStyle w:val="21"/>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trPr>
        <w:tc>
          <w:tcPr>
            <w:tcW w:w="4510" w:type="dxa"/>
            <w:vAlign w:val="top"/>
          </w:tcPr>
          <w:p>
            <w:pPr>
              <w:rPr>
                <w:rFonts w:ascii="华文中宋" w:hAnsi="华文中宋" w:eastAsia="华文中宋"/>
                <w:b/>
                <w:color w:val="auto"/>
                <w:szCs w:val="21"/>
              </w:rPr>
            </w:pPr>
          </w:p>
        </w:tc>
        <w:tc>
          <w:tcPr>
            <w:tcW w:w="4510" w:type="dxa"/>
            <w:vAlign w:val="top"/>
          </w:tcPr>
          <w:p>
            <w:pPr>
              <w:rPr>
                <w:rFonts w:ascii="华文中宋" w:hAnsi="华文中宋" w:eastAsia="华文中宋"/>
                <w:b/>
                <w:color w:val="auto"/>
                <w:szCs w:val="21"/>
              </w:rPr>
            </w:pPr>
          </w:p>
        </w:tc>
      </w:tr>
    </w:tbl>
    <w:p>
      <w:pPr>
        <w:spacing w:line="360" w:lineRule="exact"/>
        <w:ind w:left="315" w:leftChars="150"/>
        <w:jc w:val="left"/>
        <w:rPr>
          <w:rFonts w:ascii="华文中宋" w:hAnsi="华文中宋" w:eastAsia="华文中宋"/>
          <w:color w:val="auto"/>
          <w:szCs w:val="21"/>
        </w:rPr>
      </w:pPr>
    </w:p>
    <w:p>
      <w:pPr>
        <w:spacing w:line="360" w:lineRule="exact"/>
        <w:jc w:val="left"/>
        <w:rPr>
          <w:rFonts w:ascii="华文中宋" w:hAnsi="华文中宋" w:eastAsia="华文中宋"/>
          <w:b/>
          <w:color w:val="auto"/>
          <w:szCs w:val="21"/>
        </w:rPr>
      </w:pPr>
    </w:p>
    <w:p>
      <w:pPr>
        <w:spacing w:line="360" w:lineRule="exact"/>
        <w:jc w:val="left"/>
        <w:rPr>
          <w:rFonts w:ascii="华文中宋" w:hAnsi="华文中宋" w:eastAsia="华文中宋"/>
          <w:b/>
          <w:color w:val="auto"/>
          <w:szCs w:val="21"/>
        </w:rPr>
      </w:pPr>
    </w:p>
    <w:p>
      <w:pPr>
        <w:spacing w:line="360" w:lineRule="exact"/>
        <w:jc w:val="left"/>
        <w:rPr>
          <w:rFonts w:ascii="华文中宋" w:hAnsi="华文中宋" w:eastAsia="华文中宋"/>
          <w:b/>
          <w:color w:val="auto"/>
          <w:szCs w:val="21"/>
        </w:rPr>
      </w:pPr>
    </w:p>
    <w:p>
      <w:pPr>
        <w:spacing w:line="360" w:lineRule="exact"/>
        <w:jc w:val="left"/>
        <w:rPr>
          <w:rFonts w:ascii="华文中宋" w:hAnsi="华文中宋" w:eastAsia="华文中宋"/>
          <w:b/>
          <w:color w:val="auto"/>
          <w:szCs w:val="21"/>
        </w:rPr>
      </w:pPr>
    </w:p>
    <w:p>
      <w:pPr>
        <w:spacing w:line="360" w:lineRule="exact"/>
        <w:jc w:val="left"/>
        <w:rPr>
          <w:rFonts w:ascii="华文中宋" w:hAnsi="华文中宋" w:eastAsia="华文中宋"/>
          <w:b/>
          <w:color w:val="auto"/>
          <w:szCs w:val="21"/>
        </w:rPr>
      </w:pPr>
    </w:p>
    <w:p>
      <w:pPr>
        <w:pStyle w:val="2"/>
        <w:rPr>
          <w:rFonts w:ascii="华文中宋" w:hAnsi="华文中宋" w:eastAsia="华文中宋"/>
          <w:b/>
          <w:color w:val="auto"/>
          <w:szCs w:val="21"/>
        </w:rPr>
      </w:pPr>
    </w:p>
    <w:p>
      <w:pPr>
        <w:spacing w:line="360" w:lineRule="exact"/>
        <w:jc w:val="left"/>
        <w:rPr>
          <w:rFonts w:hint="eastAsia" w:ascii="华文中宋" w:hAnsi="华文中宋" w:eastAsia="华文中宋"/>
          <w:b/>
          <w:color w:val="auto"/>
          <w:szCs w:val="21"/>
        </w:rPr>
      </w:pPr>
    </w:p>
    <w:p>
      <w:pPr>
        <w:spacing w:line="360" w:lineRule="exact"/>
        <w:jc w:val="left"/>
        <w:rPr>
          <w:rFonts w:hint="eastAsia" w:ascii="华文中宋" w:hAnsi="华文中宋" w:eastAsia="华文中宋"/>
          <w:b/>
          <w:color w:val="auto"/>
          <w:szCs w:val="21"/>
        </w:rPr>
      </w:pPr>
    </w:p>
    <w:p>
      <w:pPr>
        <w:spacing w:line="360" w:lineRule="exact"/>
        <w:jc w:val="left"/>
        <w:rPr>
          <w:rFonts w:hint="eastAsia" w:ascii="华文中宋" w:hAnsi="华文中宋" w:eastAsia="华文中宋"/>
          <w:b/>
          <w:color w:val="auto"/>
          <w:szCs w:val="21"/>
        </w:rPr>
      </w:pPr>
    </w:p>
    <w:p>
      <w:pPr>
        <w:spacing w:line="360" w:lineRule="exact"/>
        <w:jc w:val="left"/>
        <w:rPr>
          <w:rFonts w:ascii="华文中宋" w:hAnsi="华文中宋" w:eastAsia="华文中宋"/>
          <w:color w:val="auto"/>
          <w:szCs w:val="21"/>
        </w:rPr>
      </w:pPr>
      <w:r>
        <w:rPr>
          <w:rFonts w:hint="eastAsia" w:ascii="华文中宋" w:hAnsi="华文中宋" w:eastAsia="华文中宋"/>
          <w:b/>
          <w:color w:val="auto"/>
          <w:szCs w:val="21"/>
        </w:rPr>
        <w:t>（二）</w:t>
      </w:r>
      <w:r>
        <w:rPr>
          <w:rFonts w:hint="eastAsia" w:ascii="华文中宋" w:hAnsi="华文中宋" w:eastAsia="华文中宋"/>
          <w:b/>
          <w:color w:val="auto"/>
          <w:sz w:val="24"/>
          <w:szCs w:val="24"/>
        </w:rPr>
        <w:t>响应函格式</w:t>
      </w:r>
    </w:p>
    <w:p>
      <w:pPr>
        <w:spacing w:line="480" w:lineRule="exact"/>
        <w:jc w:val="center"/>
        <w:rPr>
          <w:rFonts w:ascii="华文中宋" w:hAnsi="华文中宋" w:eastAsia="华文中宋"/>
          <w:b/>
          <w:color w:val="auto"/>
          <w:sz w:val="24"/>
        </w:rPr>
      </w:pPr>
      <w:r>
        <w:rPr>
          <w:rFonts w:hint="eastAsia" w:ascii="华文中宋" w:hAnsi="华文中宋" w:eastAsia="华文中宋"/>
          <w:b/>
          <w:color w:val="auto"/>
          <w:sz w:val="24"/>
        </w:rPr>
        <w:t>响  应  函</w:t>
      </w:r>
    </w:p>
    <w:p>
      <w:pPr>
        <w:tabs>
          <w:tab w:val="left" w:pos="4860"/>
        </w:tabs>
        <w:spacing w:line="480" w:lineRule="exact"/>
        <w:rPr>
          <w:rFonts w:ascii="华文中宋" w:hAnsi="华文中宋" w:eastAsia="华文中宋"/>
          <w:b/>
          <w:bCs/>
          <w:color w:val="auto"/>
          <w:szCs w:val="21"/>
        </w:rPr>
      </w:pPr>
      <w:r>
        <w:rPr>
          <w:rFonts w:hint="eastAsia" w:ascii="华文中宋" w:hAnsi="华文中宋" w:eastAsia="华文中宋" w:cs="微软雅黑"/>
          <w:color w:val="auto"/>
          <w:szCs w:val="21"/>
          <w:lang w:eastAsia="zh-CN"/>
        </w:rPr>
        <w:t>陵川县公共资源交易中心（政府采购中心）</w:t>
      </w:r>
      <w:r>
        <w:rPr>
          <w:rFonts w:hint="eastAsia" w:ascii="华文中宋" w:hAnsi="华文中宋" w:eastAsia="华文中宋"/>
          <w:b/>
          <w:bCs/>
          <w:color w:val="auto"/>
          <w:szCs w:val="21"/>
        </w:rPr>
        <w:t>：</w:t>
      </w:r>
    </w:p>
    <w:p>
      <w:pPr>
        <w:snapToGrid w:val="0"/>
        <w:spacing w:line="480" w:lineRule="exact"/>
        <w:ind w:firstLine="420" w:firstLineChars="200"/>
        <w:rPr>
          <w:rFonts w:ascii="华文中宋" w:hAnsi="华文中宋" w:eastAsia="华文中宋"/>
          <w:color w:val="auto"/>
          <w:szCs w:val="21"/>
        </w:rPr>
      </w:pPr>
      <w:r>
        <w:rPr>
          <w:rFonts w:ascii="华文中宋" w:hAnsi="华文中宋" w:eastAsia="华文中宋"/>
          <w:color w:val="auto"/>
          <w:szCs w:val="21"/>
          <w:u w:val="single"/>
        </w:rPr>
        <w:t xml:space="preserve"> (</w:t>
      </w:r>
      <w:r>
        <w:rPr>
          <w:rFonts w:hint="eastAsia" w:ascii="华文中宋" w:hAnsi="华文中宋" w:eastAsia="华文中宋"/>
          <w:color w:val="auto"/>
          <w:szCs w:val="21"/>
          <w:u w:val="single"/>
        </w:rPr>
        <w:t>磋商供应商名称</w:t>
      </w:r>
      <w:r>
        <w:rPr>
          <w:rFonts w:ascii="华文中宋" w:hAnsi="华文中宋" w:eastAsia="华文中宋"/>
          <w:color w:val="auto"/>
          <w:szCs w:val="21"/>
          <w:u w:val="single"/>
        </w:rPr>
        <w:t>)</w:t>
      </w:r>
      <w:r>
        <w:rPr>
          <w:rFonts w:hint="eastAsia" w:ascii="华文中宋" w:hAnsi="华文中宋" w:eastAsia="华文中宋"/>
          <w:color w:val="auto"/>
          <w:szCs w:val="21"/>
        </w:rPr>
        <w:t>授权</w:t>
      </w:r>
      <w:r>
        <w:rPr>
          <w:rFonts w:ascii="华文中宋" w:hAnsi="华文中宋" w:eastAsia="华文中宋"/>
          <w:color w:val="auto"/>
          <w:szCs w:val="21"/>
          <w:u w:val="single"/>
        </w:rPr>
        <w:t xml:space="preserve"> (</w:t>
      </w:r>
      <w:r>
        <w:rPr>
          <w:rFonts w:hint="eastAsia" w:ascii="华文中宋" w:hAnsi="华文中宋" w:eastAsia="华文中宋"/>
          <w:color w:val="auto"/>
          <w:szCs w:val="21"/>
          <w:u w:val="single"/>
        </w:rPr>
        <w:t>磋商供应商代表姓名</w:t>
      </w:r>
      <w:r>
        <w:rPr>
          <w:rFonts w:ascii="华文中宋" w:hAnsi="华文中宋" w:eastAsia="华文中宋"/>
          <w:color w:val="auto"/>
          <w:szCs w:val="21"/>
          <w:u w:val="single"/>
        </w:rPr>
        <w:t>) (</w:t>
      </w:r>
      <w:r>
        <w:rPr>
          <w:rFonts w:hint="eastAsia" w:ascii="华文中宋" w:hAnsi="华文中宋" w:eastAsia="华文中宋"/>
          <w:color w:val="auto"/>
          <w:szCs w:val="21"/>
          <w:u w:val="single"/>
        </w:rPr>
        <w:t>职务、职称</w:t>
      </w:r>
      <w:r>
        <w:rPr>
          <w:rFonts w:ascii="华文中宋" w:hAnsi="华文中宋" w:eastAsia="华文中宋"/>
          <w:color w:val="auto"/>
          <w:szCs w:val="21"/>
          <w:u w:val="single"/>
        </w:rPr>
        <w:t>)</w:t>
      </w:r>
      <w:r>
        <w:rPr>
          <w:rFonts w:hint="eastAsia" w:ascii="华文中宋" w:hAnsi="华文中宋" w:eastAsia="华文中宋"/>
          <w:color w:val="auto"/>
          <w:szCs w:val="21"/>
        </w:rPr>
        <w:t>为我方代表，参加贵方组织的</w:t>
      </w:r>
      <w:r>
        <w:rPr>
          <w:rFonts w:ascii="华文中宋" w:hAnsi="华文中宋" w:eastAsia="华文中宋"/>
          <w:color w:val="auto"/>
          <w:szCs w:val="21"/>
          <w:u w:val="single"/>
        </w:rPr>
        <w:t>(</w:t>
      </w:r>
      <w:r>
        <w:rPr>
          <w:rFonts w:hint="eastAsia" w:ascii="华文中宋" w:hAnsi="华文中宋" w:eastAsia="华文中宋"/>
          <w:color w:val="auto"/>
          <w:szCs w:val="21"/>
          <w:u w:val="single"/>
        </w:rPr>
        <w:t>项目名称、项目编号、包号</w:t>
      </w:r>
      <w:r>
        <w:rPr>
          <w:rFonts w:ascii="华文中宋" w:hAnsi="华文中宋" w:eastAsia="华文中宋"/>
          <w:color w:val="auto"/>
          <w:szCs w:val="21"/>
          <w:u w:val="single"/>
        </w:rPr>
        <w:t>)</w:t>
      </w:r>
      <w:r>
        <w:rPr>
          <w:rFonts w:hint="eastAsia" w:ascii="华文中宋" w:hAnsi="华文中宋" w:eastAsia="华文中宋"/>
          <w:color w:val="auto"/>
          <w:szCs w:val="21"/>
        </w:rPr>
        <w:t>竞争性磋商的有关活动，并对此项目进行报价，为此我方对</w:t>
      </w:r>
      <w:r>
        <w:rPr>
          <w:rFonts w:hint="eastAsia" w:ascii="华文中宋" w:hAnsi="华文中宋" w:eastAsia="华文中宋"/>
          <w:color w:val="auto"/>
          <w:szCs w:val="21"/>
          <w:lang w:val="en-US" w:eastAsia="zh-CN"/>
        </w:rPr>
        <w:t>以</w:t>
      </w:r>
      <w:r>
        <w:rPr>
          <w:rFonts w:hint="eastAsia" w:ascii="华文中宋" w:hAnsi="华文中宋" w:eastAsia="华文中宋"/>
          <w:color w:val="auto"/>
          <w:szCs w:val="21"/>
        </w:rPr>
        <w:t>下内容作出完全响应：</w:t>
      </w:r>
    </w:p>
    <w:p>
      <w:pPr>
        <w:pStyle w:val="29"/>
        <w:tabs>
          <w:tab w:val="left" w:pos="1711"/>
        </w:tabs>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b/>
          <w:color w:val="auto"/>
        </w:rPr>
        <w:t>．</w:t>
      </w:r>
      <w:r>
        <w:rPr>
          <w:rFonts w:hint="eastAsia" w:ascii="华文中宋" w:hAnsi="华文中宋" w:eastAsia="华文中宋"/>
          <w:color w:val="auto"/>
        </w:rPr>
        <w:t>我方已仔细研究了本项目磋商文件的全部内容，愿意以最后报价、磋商文件要求及合同约定完成项目。</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b/>
          <w:color w:val="auto"/>
        </w:rPr>
        <w:t>．</w:t>
      </w:r>
      <w:r>
        <w:rPr>
          <w:rFonts w:hint="eastAsia" w:ascii="华文中宋" w:hAnsi="华文中宋" w:eastAsia="华文中宋" w:cs="华文中宋"/>
          <w:color w:val="auto"/>
        </w:rPr>
        <w:t>我方同意</w:t>
      </w:r>
      <w:r>
        <w:rPr>
          <w:rFonts w:hint="eastAsia" w:ascii="华文中宋" w:hAnsi="华文中宋" w:eastAsia="华文中宋"/>
          <w:color w:val="auto"/>
        </w:rPr>
        <w:t>在本项目磋商文件中规定的响应有效期</w:t>
      </w:r>
      <w:r>
        <w:rPr>
          <w:rFonts w:hint="eastAsia" w:ascii="华文中宋" w:hAnsi="华文中宋" w:eastAsia="华文中宋"/>
          <w:color w:val="auto"/>
          <w:u w:val="single"/>
          <w:lang w:val="en-US" w:eastAsia="zh-CN"/>
        </w:rPr>
        <w:t>3</w:t>
      </w:r>
      <w:r>
        <w:rPr>
          <w:rFonts w:ascii="华文中宋" w:hAnsi="华文中宋" w:eastAsia="华文中宋"/>
          <w:color w:val="auto"/>
          <w:u w:val="single"/>
        </w:rPr>
        <w:t>0</w:t>
      </w:r>
      <w:r>
        <w:rPr>
          <w:rFonts w:hint="eastAsia" w:ascii="华文中宋" w:hAnsi="华文中宋" w:eastAsia="华文中宋"/>
          <w:color w:val="auto"/>
        </w:rPr>
        <w:t>个日历天内（自响应文件开启时间之日起计算）遵守本响应文件中的承诺且在此期限期满之前均具有约束力。如果成交，响应有效期延长至合同履约完毕。</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b/>
          <w:color w:val="auto"/>
        </w:rPr>
        <w:t>．</w:t>
      </w:r>
      <w:r>
        <w:rPr>
          <w:rFonts w:hint="eastAsia" w:ascii="华文中宋" w:hAnsi="华文中宋" w:eastAsia="华文中宋" w:cs="华文中宋"/>
          <w:color w:val="auto"/>
        </w:rPr>
        <w:t>我方承诺</w:t>
      </w:r>
      <w:r>
        <w:rPr>
          <w:rFonts w:hint="eastAsia" w:ascii="华文中宋" w:hAnsi="华文中宋" w:eastAsia="华文中宋"/>
          <w:color w:val="auto"/>
        </w:rPr>
        <w:t>已经具备《中华人民共和国政府采购法》中规定的参加政府采购活动的供应商应当具备的全部条件和本磋商文件规定的特定资格要求。</w:t>
      </w:r>
    </w:p>
    <w:p>
      <w:pPr>
        <w:snapToGrid w:val="0"/>
        <w:spacing w:line="360" w:lineRule="auto"/>
        <w:ind w:firstLine="420" w:firstLineChars="200"/>
        <w:rPr>
          <w:rFonts w:ascii="华文中宋" w:hAnsi="华文中宋" w:eastAsia="华文中宋" w:cs="华文中宋"/>
          <w:color w:val="auto"/>
          <w:szCs w:val="21"/>
        </w:rPr>
      </w:pPr>
      <w:r>
        <w:rPr>
          <w:rFonts w:ascii="华文中宋" w:hAnsi="华文中宋" w:eastAsia="华文中宋"/>
          <w:color w:val="auto"/>
          <w:szCs w:val="21"/>
        </w:rPr>
        <w:t>4</w:t>
      </w:r>
      <w:r>
        <w:rPr>
          <w:rFonts w:hint="eastAsia" w:ascii="华文中宋" w:hAnsi="华文中宋" w:eastAsia="华文中宋"/>
          <w:b/>
          <w:color w:val="auto"/>
          <w:szCs w:val="21"/>
        </w:rPr>
        <w:t>．</w:t>
      </w:r>
      <w:r>
        <w:rPr>
          <w:rFonts w:hint="eastAsia" w:ascii="华文中宋" w:hAnsi="华文中宋" w:eastAsia="华文中宋" w:cs="华文中宋"/>
          <w:color w:val="auto"/>
          <w:szCs w:val="21"/>
        </w:rPr>
        <w:t>我方承诺提供符合磋商文件规定的响应文件；我方承诺响应文件封面加盖电子印章后，响应文件其他内容均视为具有法律效力。</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5</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按磋商文件要求提供和交付的货物和服务的报价详见报价一览表。</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6</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完全理解报价超过采购预算金额时，报价将被拒绝。</w:t>
      </w:r>
    </w:p>
    <w:p>
      <w:pPr>
        <w:pStyle w:val="29"/>
        <w:tabs>
          <w:tab w:val="left" w:pos="1680"/>
        </w:tabs>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7</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保证忠实地执行双方所签订的合同，并承担合同规定的责任和义务。</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8</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完全满足和响应磋商文件中的各项商务和技术要求。</w:t>
      </w:r>
    </w:p>
    <w:p>
      <w:pPr>
        <w:pStyle w:val="29"/>
        <w:snapToGrid w:val="0"/>
        <w:spacing w:line="360" w:lineRule="auto"/>
        <w:ind w:firstLine="411" w:firstLineChars="196"/>
        <w:rPr>
          <w:rFonts w:ascii="华文中宋" w:hAnsi="华文中宋" w:eastAsia="华文中宋"/>
          <w:color w:val="auto"/>
        </w:rPr>
      </w:pPr>
      <w:r>
        <w:rPr>
          <w:rFonts w:ascii="华文中宋" w:hAnsi="华文中宋" w:eastAsia="华文中宋"/>
          <w:color w:val="auto"/>
        </w:rPr>
        <w:t>9</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保证遵守磋商文件的</w:t>
      </w:r>
      <w:r>
        <w:rPr>
          <w:rFonts w:hint="eastAsia" w:ascii="华文中宋" w:hAnsi="华文中宋" w:eastAsia="华文中宋" w:cs="华文中宋"/>
          <w:color w:val="auto"/>
        </w:rPr>
        <w:t>所有</w:t>
      </w:r>
      <w:r>
        <w:rPr>
          <w:rFonts w:hint="eastAsia" w:ascii="华文中宋" w:hAnsi="华文中宋" w:eastAsia="华文中宋"/>
          <w:color w:val="auto"/>
        </w:rPr>
        <w:t>规定。</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10</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对磋商小组依法从符合相应资格条件的磋商供应商中，确定</w:t>
      </w:r>
      <w:r>
        <w:rPr>
          <w:rFonts w:hint="eastAsia" w:ascii="华文中宋" w:hAnsi="华文中宋" w:eastAsia="华文中宋"/>
          <w:bCs/>
          <w:color w:val="auto"/>
        </w:rPr>
        <w:t>参加</w:t>
      </w:r>
      <w:r>
        <w:rPr>
          <w:rFonts w:hint="eastAsia" w:ascii="华文中宋" w:hAnsi="华文中宋" w:eastAsia="华文中宋"/>
          <w:color w:val="auto"/>
        </w:rPr>
        <w:t>磋商</w:t>
      </w:r>
      <w:r>
        <w:rPr>
          <w:rFonts w:hint="eastAsia" w:ascii="华文中宋" w:hAnsi="华文中宋" w:eastAsia="华文中宋"/>
          <w:bCs/>
          <w:color w:val="auto"/>
        </w:rPr>
        <w:t>的</w:t>
      </w:r>
      <w:r>
        <w:rPr>
          <w:rFonts w:hint="eastAsia" w:ascii="华文中宋" w:hAnsi="华文中宋" w:eastAsia="华文中宋"/>
          <w:color w:val="auto"/>
        </w:rPr>
        <w:t>磋商</w:t>
      </w:r>
      <w:r>
        <w:rPr>
          <w:rFonts w:hint="eastAsia" w:ascii="华文中宋" w:hAnsi="华文中宋" w:eastAsia="华文中宋"/>
          <w:bCs/>
          <w:color w:val="auto"/>
        </w:rPr>
        <w:t>供应商</w:t>
      </w:r>
      <w:r>
        <w:rPr>
          <w:rFonts w:hint="eastAsia" w:ascii="华文中宋" w:hAnsi="华文中宋" w:eastAsia="华文中宋"/>
          <w:color w:val="auto"/>
        </w:rPr>
        <w:t>没有任何异议。</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11</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对贵方在本次磋商公告刊登的媒体上发布的公告或与本项目有关的通知，我方会及时查看获取。若因线路故障等其他原因导致通知延迟获取或无法获取，责任由我方自负。</w:t>
      </w:r>
    </w:p>
    <w:p>
      <w:pPr>
        <w:pStyle w:val="17"/>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rPr>
      </w:pPr>
      <w:r>
        <w:rPr>
          <w:rFonts w:ascii="华文中宋" w:hAnsi="华文中宋" w:eastAsia="华文中宋" w:cs="华文中宋"/>
          <w:color w:val="auto"/>
          <w:sz w:val="21"/>
          <w:szCs w:val="21"/>
        </w:rPr>
        <w:t>12</w:t>
      </w:r>
      <w:r>
        <w:rPr>
          <w:rFonts w:hint="eastAsia" w:ascii="华文中宋" w:hAnsi="华文中宋" w:eastAsia="华文中宋" w:cs="华文中宋"/>
          <w:color w:val="auto"/>
          <w:sz w:val="21"/>
          <w:szCs w:val="21"/>
        </w:rPr>
        <w:t>．我方如果在响应文件解密后规定的响应有效期内撤回报价，我方的保证金可被贵方没收。</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13</w:t>
      </w:r>
      <w:r>
        <w:rPr>
          <w:rFonts w:hint="eastAsia" w:ascii="华文中宋" w:hAnsi="华文中宋" w:eastAsia="华文中宋"/>
          <w:b/>
          <w:color w:val="auto"/>
        </w:rPr>
        <w:t>．</w:t>
      </w:r>
      <w:r>
        <w:rPr>
          <w:rFonts w:hint="eastAsia" w:ascii="华文中宋" w:hAnsi="华文中宋" w:eastAsia="华文中宋"/>
          <w:color w:val="auto"/>
        </w:rPr>
        <w:t>我方愿意向贵方提供任何与本项磋商有关的数据、情况和技术资料。若贵方需要，我方愿意提供我方做出的一切承诺的证明材料。</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14</w:t>
      </w:r>
      <w:r>
        <w:rPr>
          <w:rFonts w:hint="eastAsia" w:ascii="华文中宋" w:hAnsi="华文中宋" w:eastAsia="华文中宋"/>
          <w:b/>
          <w:color w:val="auto"/>
        </w:rPr>
        <w:t>．</w:t>
      </w:r>
      <w:r>
        <w:rPr>
          <w:rFonts w:hint="eastAsia" w:ascii="华文中宋" w:hAnsi="华文中宋" w:eastAsia="华文中宋"/>
          <w:color w:val="auto"/>
        </w:rPr>
        <w:t>我方已详细审核全部响应文件，包括响应文件修改书（如有的话）、参考资料及有关附件，确认无误。</w:t>
      </w:r>
    </w:p>
    <w:p>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15</w:t>
      </w:r>
      <w:r>
        <w:rPr>
          <w:rFonts w:hint="eastAsia" w:ascii="华文中宋" w:hAnsi="华文中宋" w:eastAsia="华文中宋"/>
          <w:b/>
          <w:color w:val="auto"/>
        </w:rPr>
        <w:t>．</w:t>
      </w:r>
      <w:r>
        <w:rPr>
          <w:rFonts w:hint="eastAsia" w:ascii="华文中宋" w:hAnsi="华文中宋" w:eastAsia="华文中宋"/>
          <w:color w:val="auto"/>
        </w:rPr>
        <w:t>采购人若需追加采购本项目磋商文件所列货物及相关服务的，在不改变合同其他实质性条款的前提下，</w:t>
      </w:r>
      <w:r>
        <w:rPr>
          <w:rFonts w:hint="eastAsia" w:ascii="华文中宋" w:hAnsi="华文中宋" w:eastAsia="华文中宋" w:cs="华文中宋"/>
          <w:color w:val="auto"/>
        </w:rPr>
        <w:t>我方</w:t>
      </w:r>
      <w:r>
        <w:rPr>
          <w:rFonts w:hint="eastAsia" w:ascii="华文中宋" w:hAnsi="华文中宋" w:eastAsia="华文中宋"/>
          <w:color w:val="auto"/>
        </w:rPr>
        <w:t>按相同或更优惠的折扣率保证供货。</w:t>
      </w:r>
    </w:p>
    <w:p>
      <w:pPr>
        <w:pStyle w:val="17"/>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rPr>
      </w:pPr>
      <w:r>
        <w:rPr>
          <w:rFonts w:ascii="华文中宋" w:hAnsi="华文中宋" w:eastAsia="华文中宋" w:cs="华文中宋"/>
          <w:color w:val="auto"/>
          <w:sz w:val="21"/>
          <w:szCs w:val="21"/>
        </w:rPr>
        <w:t>16</w:t>
      </w:r>
      <w:r>
        <w:rPr>
          <w:rFonts w:hint="eastAsia" w:ascii="华文中宋" w:hAnsi="华文中宋" w:eastAsia="华文中宋"/>
          <w:b/>
          <w:color w:val="auto"/>
          <w:sz w:val="21"/>
          <w:szCs w:val="21"/>
        </w:rPr>
        <w:t>．</w:t>
      </w:r>
      <w:r>
        <w:rPr>
          <w:rFonts w:hint="eastAsia" w:ascii="华文中宋" w:hAnsi="华文中宋" w:eastAsia="华文中宋" w:cs="华文中宋"/>
          <w:color w:val="auto"/>
          <w:sz w:val="21"/>
          <w:szCs w:val="21"/>
        </w:rPr>
        <w:t>我方承诺接受</w:t>
      </w:r>
      <w:r>
        <w:rPr>
          <w:rFonts w:hint="eastAsia" w:ascii="华文中宋" w:hAnsi="华文中宋" w:eastAsia="华文中宋"/>
          <w:color w:val="auto"/>
          <w:sz w:val="21"/>
          <w:szCs w:val="21"/>
        </w:rPr>
        <w:t>磋商</w:t>
      </w:r>
      <w:r>
        <w:rPr>
          <w:rFonts w:hint="eastAsia" w:ascii="华文中宋" w:hAnsi="华文中宋" w:eastAsia="华文中宋" w:cs="华文中宋"/>
          <w:color w:val="auto"/>
          <w:sz w:val="21"/>
          <w:szCs w:val="21"/>
        </w:rPr>
        <w:t>文件中合同草案全部条款且无任何异议。</w:t>
      </w:r>
    </w:p>
    <w:p>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所有有关本次</w:t>
      </w:r>
      <w:r>
        <w:rPr>
          <w:rFonts w:hint="eastAsia" w:ascii="华文中宋" w:hAnsi="华文中宋" w:eastAsia="华文中宋"/>
          <w:color w:val="auto"/>
        </w:rPr>
        <w:t>磋商</w:t>
      </w:r>
      <w:r>
        <w:rPr>
          <w:rFonts w:hint="eastAsia" w:ascii="华文中宋" w:hAnsi="华文中宋" w:eastAsia="华文中宋"/>
          <w:color w:val="auto"/>
          <w:szCs w:val="21"/>
        </w:rPr>
        <w:t>的一切往来联系方式为：</w:t>
      </w:r>
    </w:p>
    <w:p>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地址：</w:t>
      </w:r>
      <w:r>
        <w:rPr>
          <w:rFonts w:ascii="华文中宋" w:hAnsi="华文中宋" w:eastAsia="华文中宋"/>
          <w:color w:val="auto"/>
          <w:szCs w:val="21"/>
        </w:rPr>
        <w:tab/>
      </w:r>
    </w:p>
    <w:p>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电话：</w:t>
      </w:r>
      <w:r>
        <w:rPr>
          <w:rFonts w:ascii="华文中宋" w:hAnsi="华文中宋" w:eastAsia="华文中宋"/>
          <w:color w:val="auto"/>
          <w:szCs w:val="21"/>
        </w:rPr>
        <w:tab/>
      </w:r>
    </w:p>
    <w:p>
      <w:pPr>
        <w:tabs>
          <w:tab w:val="left" w:pos="480"/>
        </w:tabs>
        <w:snapToGrid w:val="0"/>
        <w:spacing w:line="360" w:lineRule="auto"/>
        <w:ind w:firstLine="420" w:firstLineChars="200"/>
        <w:rPr>
          <w:rFonts w:ascii="华文中宋" w:hAnsi="华文中宋" w:eastAsia="华文中宋" w:cs="华文中宋"/>
          <w:color w:val="auto"/>
          <w:szCs w:val="21"/>
        </w:rPr>
      </w:pPr>
      <w:r>
        <w:rPr>
          <w:rFonts w:hint="eastAsia" w:ascii="华文中宋" w:hAnsi="华文中宋" w:eastAsia="华文中宋" w:cs="华文中宋"/>
          <w:color w:val="auto"/>
          <w:szCs w:val="21"/>
        </w:rPr>
        <w:t>磋商供应商代表姓名：</w:t>
      </w:r>
    </w:p>
    <w:p>
      <w:pPr>
        <w:spacing w:line="360" w:lineRule="auto"/>
        <w:ind w:left="315" w:hanging="315" w:hangingChars="150"/>
        <w:jc w:val="right"/>
        <w:rPr>
          <w:rFonts w:ascii="华文中宋" w:hAnsi="华文中宋" w:eastAsia="华文中宋"/>
          <w:color w:val="auto"/>
          <w:szCs w:val="21"/>
        </w:rPr>
      </w:pPr>
      <w:r>
        <w:rPr>
          <w:rFonts w:hint="eastAsia" w:ascii="华文中宋" w:hAnsi="华文中宋" w:eastAsia="华文中宋"/>
          <w:color w:val="auto"/>
        </w:rPr>
        <w:t>磋商</w:t>
      </w:r>
      <w:r>
        <w:rPr>
          <w:rFonts w:hint="eastAsia" w:ascii="华文中宋" w:hAnsi="华文中宋" w:eastAsia="华文中宋"/>
          <w:color w:val="auto"/>
          <w:szCs w:val="21"/>
        </w:rPr>
        <w:t>供应商：（法人电子印章）</w:t>
      </w:r>
    </w:p>
    <w:p>
      <w:pPr>
        <w:wordWrap w:val="0"/>
        <w:spacing w:line="360" w:lineRule="auto"/>
        <w:ind w:left="315" w:right="210" w:hanging="315" w:hangingChars="150"/>
        <w:jc w:val="right"/>
        <w:rPr>
          <w:rFonts w:ascii="华文中宋" w:hAnsi="华文中宋" w:eastAsia="华文中宋"/>
          <w:color w:val="auto"/>
          <w:szCs w:val="21"/>
        </w:rPr>
      </w:pPr>
      <w:r>
        <w:rPr>
          <w:rFonts w:hint="eastAsia" w:ascii="华文中宋" w:hAnsi="华文中宋" w:eastAsia="华文中宋"/>
          <w:color w:val="auto"/>
          <w:szCs w:val="21"/>
        </w:rPr>
        <w:t>日期：   年  月  日</w:t>
      </w: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pStyle w:val="2"/>
        <w:rPr>
          <w:rFonts w:ascii="华文中宋" w:hAnsi="华文中宋" w:eastAsia="华文中宋"/>
          <w:b/>
          <w:color w:val="auto"/>
          <w:sz w:val="24"/>
          <w:szCs w:val="24"/>
        </w:rPr>
      </w:pPr>
    </w:p>
    <w:p>
      <w:pPr>
        <w:pStyle w:val="25"/>
        <w:rPr>
          <w:rFonts w:ascii="华文中宋" w:hAnsi="华文中宋" w:eastAsia="华文中宋"/>
          <w:b/>
          <w:color w:val="auto"/>
        </w:rPr>
      </w:pPr>
    </w:p>
    <w:p>
      <w:pPr>
        <w:pStyle w:val="25"/>
        <w:rPr>
          <w:rFonts w:ascii="华文中宋" w:hAnsi="华文中宋" w:eastAsia="华文中宋"/>
          <w:b/>
          <w:color w:val="auto"/>
        </w:rPr>
      </w:pPr>
    </w:p>
    <w:p>
      <w:pPr>
        <w:pStyle w:val="25"/>
        <w:rPr>
          <w:rFonts w:ascii="华文中宋" w:hAnsi="华文中宋" w:eastAsia="华文中宋"/>
          <w:b/>
          <w:color w:val="auto"/>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pStyle w:val="2"/>
        <w:rPr>
          <w:rFonts w:ascii="华文中宋" w:hAnsi="华文中宋" w:eastAsia="华文中宋"/>
          <w:b/>
          <w:color w:val="auto"/>
          <w:sz w:val="24"/>
          <w:szCs w:val="24"/>
        </w:rPr>
      </w:pPr>
    </w:p>
    <w:p>
      <w:pPr>
        <w:spacing w:line="360" w:lineRule="auto"/>
        <w:rPr>
          <w:rFonts w:ascii="华文中宋" w:hAnsi="华文中宋" w:eastAsia="华文中宋"/>
          <w:color w:val="auto"/>
          <w:szCs w:val="21"/>
        </w:rPr>
      </w:pPr>
      <w:r>
        <w:rPr>
          <w:rFonts w:hint="eastAsia" w:ascii="华文中宋" w:hAnsi="华文中宋" w:eastAsia="华文中宋"/>
          <w:b/>
          <w:color w:val="auto"/>
          <w:sz w:val="24"/>
          <w:szCs w:val="24"/>
        </w:rPr>
        <w:t>（三）</w:t>
      </w:r>
      <w:r>
        <w:rPr>
          <w:rFonts w:hint="eastAsia" w:ascii="华文中宋" w:hAnsi="华文中宋" w:eastAsia="华文中宋" w:cs="华文中宋"/>
          <w:b/>
          <w:color w:val="auto"/>
          <w:kern w:val="0"/>
          <w:sz w:val="24"/>
        </w:rPr>
        <w:t>以下内容提供《政府集中采购供应商信用承诺书》一份</w:t>
      </w:r>
    </w:p>
    <w:p>
      <w:pPr>
        <w:spacing w:line="360" w:lineRule="auto"/>
        <w:ind w:firstLine="420" w:firstLineChars="200"/>
        <w:rPr>
          <w:rFonts w:hint="eastAsia" w:ascii="华文中宋" w:hAnsi="华文中宋" w:eastAsia="华文中宋"/>
          <w:color w:val="auto"/>
          <w:kern w:val="0"/>
          <w:szCs w:val="21"/>
        </w:rPr>
      </w:pPr>
      <w:r>
        <w:rPr>
          <w:rFonts w:hint="eastAsia" w:ascii="华文中宋" w:hAnsi="华文中宋" w:eastAsia="华文中宋"/>
          <w:color w:val="auto"/>
          <w:kern w:val="0"/>
          <w:szCs w:val="21"/>
        </w:rPr>
        <w:t>具有独立承担民事责任的能力</w:t>
      </w:r>
    </w:p>
    <w:p>
      <w:pPr>
        <w:spacing w:line="360" w:lineRule="auto"/>
        <w:ind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具有良好的商业信誉和健全的财务会计制度</w:t>
      </w:r>
    </w:p>
    <w:p>
      <w:pPr>
        <w:spacing w:line="360" w:lineRule="auto"/>
        <w:ind w:firstLine="420" w:firstLineChars="200"/>
        <w:rPr>
          <w:rFonts w:hint="eastAsia" w:ascii="华文中宋" w:hAnsi="华文中宋" w:eastAsia="华文中宋"/>
          <w:color w:val="auto"/>
        </w:rPr>
      </w:pPr>
      <w:r>
        <w:rPr>
          <w:rFonts w:hint="eastAsia" w:ascii="华文中宋" w:hAnsi="华文中宋" w:eastAsia="华文中宋"/>
          <w:color w:val="auto"/>
        </w:rPr>
        <w:t>具有依法缴纳税收</w:t>
      </w:r>
      <w:r>
        <w:rPr>
          <w:rFonts w:hint="eastAsia" w:ascii="华文中宋" w:hAnsi="华文中宋" w:eastAsia="华文中宋"/>
          <w:color w:val="auto"/>
          <w:lang w:val="en-US" w:eastAsia="zh-CN"/>
        </w:rPr>
        <w:t>和</w:t>
      </w:r>
      <w:r>
        <w:rPr>
          <w:rFonts w:hint="eastAsia" w:ascii="华文中宋" w:hAnsi="华文中宋" w:eastAsia="华文中宋"/>
          <w:color w:val="auto"/>
        </w:rPr>
        <w:t>社会保障资金的良好记录</w:t>
      </w:r>
    </w:p>
    <w:p>
      <w:pPr>
        <w:spacing w:line="360" w:lineRule="auto"/>
        <w:ind w:firstLine="420" w:firstLineChars="200"/>
        <w:rPr>
          <w:rFonts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具有履行合同</w:t>
      </w:r>
      <w:r>
        <w:rPr>
          <w:rFonts w:hint="eastAsia" w:ascii="华文中宋" w:hAnsi="华文中宋" w:eastAsia="华文中宋"/>
          <w:color w:val="auto"/>
          <w:szCs w:val="21"/>
        </w:rPr>
        <w:t>所必需的设备和专业技术能力</w:t>
      </w:r>
    </w:p>
    <w:p>
      <w:pPr>
        <w:spacing w:line="360" w:lineRule="auto"/>
        <w:ind w:firstLine="420" w:firstLineChars="200"/>
        <w:rPr>
          <w:rFonts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参加政府采购活动前三年内，在经营活动中没有重大违法记录</w:t>
      </w: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pStyle w:val="2"/>
        <w:rPr>
          <w:color w:val="auto"/>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rPr>
      </w:pPr>
    </w:p>
    <w:p>
      <w:pPr>
        <w:spacing w:line="360" w:lineRule="auto"/>
        <w:rPr>
          <w:rFonts w:ascii="华文中宋" w:hAnsi="华文中宋" w:eastAsia="华文中宋"/>
          <w:b/>
          <w:color w:val="auto"/>
          <w:sz w:val="24"/>
          <w:highlight w:val="none"/>
        </w:rPr>
      </w:pPr>
      <w:r>
        <w:rPr>
          <w:rFonts w:ascii="华文中宋" w:hAnsi="华文中宋" w:eastAsia="华文中宋"/>
          <w:b/>
          <w:color w:val="auto"/>
          <w:sz w:val="24"/>
        </w:rPr>
        <w:br w:type="page"/>
      </w:r>
      <w:r>
        <w:rPr>
          <w:rFonts w:hint="eastAsia" w:ascii="华文中宋" w:hAnsi="华文中宋" w:eastAsia="华文中宋"/>
          <w:b/>
          <w:color w:val="auto"/>
          <w:sz w:val="24"/>
          <w:highlight w:val="none"/>
        </w:rPr>
        <w:t>政府集中采购供应商信用承诺书格式</w:t>
      </w:r>
    </w:p>
    <w:p>
      <w:pPr>
        <w:spacing w:line="360" w:lineRule="auto"/>
        <w:jc w:val="center"/>
        <w:rPr>
          <w:rFonts w:hint="eastAsia" w:ascii="华文中宋" w:hAnsi="华文中宋" w:eastAsia="华文中宋"/>
          <w:b/>
          <w:color w:val="auto"/>
          <w:sz w:val="24"/>
          <w:highlight w:val="none"/>
        </w:rPr>
      </w:pPr>
    </w:p>
    <w:p>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pPr>
        <w:spacing w:line="360" w:lineRule="auto"/>
        <w:rPr>
          <w:rFonts w:hint="eastAsia" w:ascii="华文中宋" w:hAnsi="华文中宋" w:eastAsia="华文中宋"/>
          <w:color w:val="auto"/>
          <w:szCs w:val="21"/>
          <w:highlight w:val="none"/>
        </w:rPr>
      </w:pPr>
    </w:p>
    <w:p>
      <w:pPr>
        <w:spacing w:line="240" w:lineRule="auto"/>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公章</w:t>
      </w:r>
      <w:r>
        <w:rPr>
          <w:rFonts w:hint="eastAsia" w:ascii="华文中宋" w:hAnsi="华文中宋" w:eastAsia="华文中宋"/>
          <w:color w:val="auto"/>
          <w:szCs w:val="21"/>
          <w:highlight w:val="none"/>
          <w:lang w:eastAsia="zh-CN"/>
        </w:rPr>
        <w:t>）</w:t>
      </w:r>
    </w:p>
    <w:p>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pPr>
        <w:numPr>
          <w:ilvl w:val="0"/>
          <w:numId w:val="8"/>
        </w:numPr>
        <w:spacing w:line="24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 xml:space="preserve"> </w:t>
      </w:r>
    </w:p>
    <w:p>
      <w:pPr>
        <w:numPr>
          <w:ilvl w:val="0"/>
          <w:numId w:val="8"/>
        </w:numPr>
        <w:spacing w:line="24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承诺本单位/本人具有有效的营业执照，或事业单位法人证书，或自然人身份证明，或其他非企业组织证明独立承担民事责任能力的文件；</w:t>
      </w:r>
    </w:p>
    <w:p>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本人具有良好的商业信誉和健全的财务会计制度（具有磋商截止日前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个月内会计师事务所出具的审计报告，或磋商截止日前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个月内经审计的财务报告，或基本开户银行出具的资信证明，或财政部门认可的政府采购专业担保机构出具的磋商担保函）；</w:t>
      </w:r>
    </w:p>
    <w:p>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pPr>
        <w:spacing w:line="24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w:t>
      </w:r>
      <w:r>
        <w:rPr>
          <w:rFonts w:hint="eastAsia" w:ascii="华文中宋" w:hAnsi="华文中宋" w:eastAsia="华文中宋"/>
          <w:color w:val="auto"/>
          <w:szCs w:val="21"/>
          <w:highlight w:val="none"/>
        </w:rPr>
        <w:t>磋商</w:t>
      </w:r>
      <w:r>
        <w:rPr>
          <w:rFonts w:hint="eastAsia" w:ascii="华文中宋" w:hAnsi="华文中宋" w:eastAsia="华文中宋" w:cs="华文中宋"/>
          <w:color w:val="auto"/>
          <w:szCs w:val="21"/>
          <w:highlight w:val="none"/>
        </w:rPr>
        <w:t>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p>
    <w:p>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本人提供的所有响应资料均合法、真实、有效</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无任何伪造、篡改、虚假成份</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并对所提供资料的真实性负责；</w:t>
      </w:r>
    </w:p>
    <w:p>
      <w:pPr>
        <w:spacing w:line="24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pPr>
        <w:pStyle w:val="3"/>
        <w:keepNext/>
        <w:keepLines/>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bCs/>
        </w:rPr>
      </w:pPr>
      <w:r>
        <w:rPr>
          <w:rFonts w:hint="eastAsia" w:ascii="华文中宋" w:hAnsi="华文中宋" w:eastAsia="华文中宋" w:cs="Times New Roman"/>
          <w:b/>
          <w:bCs/>
          <w:color w:val="auto"/>
          <w:kern w:val="2"/>
          <w:sz w:val="21"/>
          <w:szCs w:val="21"/>
          <w:highlight w:val="none"/>
          <w:lang w:val="en-US" w:eastAsia="zh-CN" w:bidi="ar-SA"/>
        </w:rPr>
        <w:t>备注：供应商对信用承诺书中所涵盖的资格性审查材料要进行认真自检。对符合相关要求的，仅提供信用承诺书即可，不另提供对应的具体凭证材料；对不符合相关要求的，不具备参与采购活动的资格。供应商对所提交的信用承诺书的真实性负责，并承担相应法律责任。</w:t>
      </w:r>
    </w:p>
    <w:p>
      <w:pPr>
        <w:pStyle w:val="3"/>
        <w:keepNext/>
        <w:keepLines/>
        <w:pageBreakBefore w:val="0"/>
        <w:widowControl w:val="0"/>
        <w:kinsoku/>
        <w:wordWrap/>
        <w:overflowPunct/>
        <w:topLinePunct w:val="0"/>
        <w:autoSpaceDE/>
        <w:autoSpaceDN/>
        <w:bidi w:val="0"/>
        <w:adjustRightInd/>
        <w:snapToGrid/>
        <w:spacing w:line="360" w:lineRule="auto"/>
        <w:ind w:firstLine="722" w:firstLineChars="200"/>
        <w:textAlignment w:val="auto"/>
        <w:rPr>
          <w:color w:val="auto"/>
        </w:rPr>
      </w:pPr>
    </w:p>
    <w:p>
      <w:pPr>
        <w:spacing w:line="360" w:lineRule="auto"/>
        <w:ind w:firstLine="420" w:firstLineChars="200"/>
        <w:rPr>
          <w:rFonts w:ascii="华文中宋" w:hAnsi="华文中宋" w:eastAsia="华文中宋"/>
          <w:color w:val="auto"/>
          <w:szCs w:val="21"/>
        </w:rPr>
      </w:pPr>
    </w:p>
    <w:p>
      <w:pPr>
        <w:spacing w:line="360" w:lineRule="auto"/>
        <w:ind w:left="360" w:hanging="360" w:hangingChars="150"/>
        <w:rPr>
          <w:rFonts w:ascii="华文中宋" w:hAnsi="华文中宋" w:eastAsia="华文中宋"/>
          <w:b/>
          <w:color w:val="auto"/>
          <w:sz w:val="24"/>
          <w:szCs w:val="24"/>
        </w:rPr>
      </w:pPr>
    </w:p>
    <w:p>
      <w:pPr>
        <w:spacing w:line="360" w:lineRule="auto"/>
        <w:rPr>
          <w:rFonts w:ascii="华文中宋" w:hAnsi="华文中宋" w:eastAsia="华文中宋"/>
          <w:b/>
          <w:color w:val="auto"/>
          <w:sz w:val="24"/>
          <w:szCs w:val="24"/>
        </w:rPr>
      </w:pPr>
      <w:r>
        <w:rPr>
          <w:rFonts w:hint="eastAsia" w:ascii="华文中宋" w:hAnsi="华文中宋" w:eastAsia="华文中宋"/>
          <w:b/>
          <w:color w:val="auto"/>
          <w:sz w:val="24"/>
          <w:szCs w:val="24"/>
        </w:rPr>
        <w:br w:type="page"/>
      </w: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四</w:t>
      </w:r>
      <w:r>
        <w:rPr>
          <w:rFonts w:hint="eastAsia" w:ascii="华文中宋" w:hAnsi="华文中宋" w:eastAsia="华文中宋"/>
          <w:b/>
          <w:color w:val="auto"/>
          <w:sz w:val="24"/>
          <w:szCs w:val="24"/>
        </w:rPr>
        <w:t>）本项目其他特定资格条件（如有）</w:t>
      </w:r>
    </w:p>
    <w:p>
      <w:pPr>
        <w:spacing w:line="360" w:lineRule="auto"/>
        <w:ind w:firstLine="420" w:firstLineChars="200"/>
        <w:rPr>
          <w:rFonts w:ascii="华文中宋" w:hAnsi="华文中宋" w:eastAsia="华文中宋"/>
          <w:b/>
          <w:color w:val="auto"/>
          <w:sz w:val="24"/>
          <w:szCs w:val="24"/>
        </w:rPr>
      </w:pPr>
      <w:r>
        <w:rPr>
          <w:rFonts w:hint="eastAsia" w:ascii="华文中宋" w:hAnsi="华文中宋" w:eastAsia="华文中宋"/>
          <w:color w:val="auto"/>
          <w:szCs w:val="21"/>
        </w:rPr>
        <w:t>按照磋商文件第二部分磋商供应商须知前附表序号</w:t>
      </w:r>
      <w:r>
        <w:rPr>
          <w:rFonts w:ascii="华文中宋" w:hAnsi="华文中宋" w:eastAsia="华文中宋"/>
          <w:color w:val="auto"/>
          <w:szCs w:val="21"/>
        </w:rPr>
        <w:t>1</w:t>
      </w:r>
      <w:r>
        <w:rPr>
          <w:rFonts w:hint="eastAsia" w:ascii="华文中宋" w:hAnsi="华文中宋" w:eastAsia="华文中宋"/>
          <w:color w:val="auto"/>
          <w:szCs w:val="21"/>
        </w:rPr>
        <w:t>“</w:t>
      </w:r>
      <w:r>
        <w:rPr>
          <w:rFonts w:hint="eastAsia" w:ascii="华文中宋" w:hAnsi="华文中宋" w:eastAsia="华文中宋"/>
          <w:bCs/>
          <w:color w:val="auto"/>
          <w:szCs w:val="21"/>
        </w:rPr>
        <w:t>其他特定资格条件</w:t>
      </w:r>
      <w:r>
        <w:rPr>
          <w:rFonts w:hint="eastAsia" w:ascii="华文中宋" w:hAnsi="华文中宋" w:eastAsia="华文中宋"/>
          <w:color w:val="auto"/>
          <w:szCs w:val="21"/>
        </w:rPr>
        <w:t>”规定提交相关证明文件；（扫描件）</w:t>
      </w: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pStyle w:val="2"/>
        <w:rPr>
          <w:rFonts w:ascii="华文中宋" w:hAnsi="华文中宋" w:eastAsia="华文中宋"/>
          <w:b/>
          <w:color w:val="auto"/>
          <w:sz w:val="24"/>
          <w:szCs w:val="24"/>
        </w:rPr>
      </w:pPr>
    </w:p>
    <w:p>
      <w:pPr>
        <w:pStyle w:val="25"/>
        <w:rPr>
          <w:rFonts w:ascii="华文中宋" w:hAnsi="华文中宋" w:eastAsia="华文中宋"/>
          <w:b/>
          <w:color w:val="auto"/>
        </w:rPr>
      </w:pPr>
    </w:p>
    <w:p>
      <w:pPr>
        <w:pStyle w:val="25"/>
        <w:rPr>
          <w:rFonts w:ascii="华文中宋" w:hAnsi="华文中宋" w:eastAsia="华文中宋"/>
          <w:b/>
          <w:color w:val="auto"/>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spacing w:line="360" w:lineRule="exact"/>
        <w:ind w:left="360" w:hanging="360" w:hangingChars="150"/>
        <w:rPr>
          <w:rFonts w:ascii="华文中宋" w:hAnsi="华文中宋" w:eastAsia="华文中宋"/>
          <w:b/>
          <w:color w:val="auto"/>
          <w:sz w:val="24"/>
          <w:szCs w:val="24"/>
        </w:rPr>
      </w:pPr>
    </w:p>
    <w:p>
      <w:pPr>
        <w:pStyle w:val="2"/>
        <w:rPr>
          <w:rFonts w:ascii="华文中宋" w:hAnsi="华文中宋" w:eastAsia="华文中宋"/>
          <w:b/>
          <w:color w:val="auto"/>
          <w:sz w:val="24"/>
          <w:szCs w:val="24"/>
        </w:rPr>
      </w:pPr>
    </w:p>
    <w:p>
      <w:pPr>
        <w:spacing w:line="360" w:lineRule="exact"/>
        <w:rPr>
          <w:rFonts w:ascii="华文中宋" w:hAnsi="华文中宋" w:eastAsia="华文中宋"/>
          <w:b/>
          <w:color w:val="auto"/>
          <w:sz w:val="24"/>
        </w:rPr>
      </w:pP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五</w:t>
      </w:r>
      <w:r>
        <w:rPr>
          <w:rFonts w:hint="eastAsia" w:ascii="华文中宋" w:hAnsi="华文中宋" w:eastAsia="华文中宋"/>
          <w:b/>
          <w:color w:val="auto"/>
          <w:sz w:val="24"/>
          <w:szCs w:val="24"/>
        </w:rPr>
        <w:t>）</w:t>
      </w:r>
      <w:r>
        <w:rPr>
          <w:rFonts w:hint="eastAsia" w:ascii="华文中宋" w:hAnsi="华文中宋" w:eastAsia="华文中宋"/>
          <w:b/>
          <w:color w:val="auto"/>
          <w:sz w:val="24"/>
        </w:rPr>
        <w:t>基本存款账户信息</w:t>
      </w:r>
    </w:p>
    <w:p>
      <w:pPr>
        <w:spacing w:line="360" w:lineRule="exact"/>
        <w:ind w:firstLine="525" w:firstLineChars="250"/>
        <w:rPr>
          <w:rFonts w:ascii="华文中宋" w:hAnsi="华文中宋" w:eastAsia="华文中宋"/>
          <w:color w:val="auto"/>
          <w:szCs w:val="21"/>
        </w:rPr>
      </w:pPr>
      <w:r>
        <w:rPr>
          <w:rFonts w:hint="eastAsia" w:ascii="华文中宋" w:hAnsi="华文中宋" w:eastAsia="华文中宋"/>
          <w:color w:val="auto"/>
          <w:szCs w:val="21"/>
        </w:rPr>
        <w:t>提供磋商供应商基本存款账户信息；（扫描件）</w:t>
      </w: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pStyle w:val="2"/>
        <w:rPr>
          <w:color w:val="auto"/>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spacing w:line="360" w:lineRule="auto"/>
        <w:ind w:left="360" w:hanging="360" w:hangingChars="150"/>
        <w:rPr>
          <w:rFonts w:ascii="华文中宋" w:hAnsi="华文中宋" w:eastAsia="华文中宋"/>
          <w:b/>
          <w:color w:val="auto"/>
          <w:sz w:val="24"/>
          <w:szCs w:val="24"/>
        </w:rPr>
      </w:pPr>
    </w:p>
    <w:p>
      <w:pPr>
        <w:pStyle w:val="2"/>
        <w:rPr>
          <w:rFonts w:ascii="华文中宋" w:hAnsi="华文中宋" w:eastAsia="华文中宋"/>
          <w:b/>
          <w:color w:val="auto"/>
          <w:sz w:val="24"/>
          <w:szCs w:val="24"/>
        </w:rPr>
      </w:pPr>
    </w:p>
    <w:p>
      <w:pPr>
        <w:pStyle w:val="16"/>
        <w:rPr>
          <w:rFonts w:ascii="华文中宋" w:hAnsi="华文中宋" w:eastAsia="华文中宋"/>
          <w:b/>
          <w:color w:val="auto"/>
          <w:sz w:val="24"/>
          <w:szCs w:val="24"/>
        </w:rPr>
      </w:pPr>
    </w:p>
    <w:p>
      <w:pPr>
        <w:spacing w:line="360" w:lineRule="auto"/>
        <w:rPr>
          <w:rFonts w:ascii="华文中宋" w:hAnsi="华文中宋" w:eastAsia="华文中宋"/>
          <w:b/>
          <w:color w:val="auto"/>
          <w:sz w:val="24"/>
          <w:szCs w:val="24"/>
        </w:rPr>
      </w:pP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六</w:t>
      </w:r>
      <w:r>
        <w:rPr>
          <w:rFonts w:hint="eastAsia" w:ascii="华文中宋" w:hAnsi="华文中宋" w:eastAsia="华文中宋"/>
          <w:b/>
          <w:color w:val="auto"/>
          <w:sz w:val="24"/>
          <w:szCs w:val="24"/>
        </w:rPr>
        <w:t>）联合体磋商注意事项（如有）</w:t>
      </w:r>
    </w:p>
    <w:p>
      <w:pPr>
        <w:pStyle w:val="29"/>
        <w:snapToGrid w:val="0"/>
        <w:spacing w:line="360" w:lineRule="auto"/>
        <w:ind w:firstLine="420" w:firstLineChars="200"/>
        <w:textAlignment w:val="auto"/>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color w:val="auto"/>
        </w:rPr>
        <w:t>．联合体各方均应当符合《政府采购法》第二十二条规定的条件，联合体各方均应按照采购文件要求提供相关材料。</w:t>
      </w:r>
    </w:p>
    <w:p>
      <w:pPr>
        <w:pStyle w:val="29"/>
        <w:snapToGrid w:val="0"/>
        <w:spacing w:line="360" w:lineRule="auto"/>
        <w:ind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．本项目有特定资格条件要求的，联合体各方的同类资质按照资质等级较低的确定联合体资质等级。联合体各方不得再单独参加或者与其他供应商另外组成联合体参加本项目同一包的采购活动。</w:t>
      </w:r>
    </w:p>
    <w:p>
      <w:pPr>
        <w:spacing w:line="360" w:lineRule="auto"/>
        <w:ind w:firstLine="420" w:firstLineChars="200"/>
        <w:jc w:val="left"/>
        <w:rPr>
          <w:rFonts w:ascii="华文中宋" w:hAnsi="华文中宋" w:eastAsia="华文中宋"/>
          <w:b/>
          <w:color w:val="auto"/>
          <w:szCs w:val="21"/>
        </w:rPr>
      </w:pPr>
      <w:r>
        <w:rPr>
          <w:rFonts w:ascii="华文中宋" w:hAnsi="华文中宋" w:eastAsia="华文中宋"/>
          <w:color w:val="auto"/>
          <w:szCs w:val="21"/>
        </w:rPr>
        <w:t>3</w:t>
      </w:r>
      <w:r>
        <w:rPr>
          <w:rFonts w:hint="eastAsia" w:ascii="华文中宋" w:hAnsi="华文中宋" w:eastAsia="华文中宋"/>
          <w:color w:val="auto"/>
        </w:rPr>
        <w:t>．</w:t>
      </w:r>
      <w:r>
        <w:rPr>
          <w:rFonts w:hint="eastAsia" w:ascii="华文中宋" w:hAnsi="华文中宋" w:eastAsia="华文中宋"/>
          <w:color w:val="auto"/>
          <w:szCs w:val="21"/>
        </w:rPr>
        <w:t>联合体各方之间应当签订联合磋商协议，明确约定联合体各方承担的工作和相应的责任，并将联合磋商协议连同响应文件一并提交。</w:t>
      </w: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pStyle w:val="2"/>
        <w:rPr>
          <w:color w:val="auto"/>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pStyle w:val="2"/>
        <w:rPr>
          <w:rFonts w:ascii="华文中宋" w:hAnsi="华文中宋" w:eastAsia="华文中宋"/>
          <w:b/>
          <w:color w:val="auto"/>
          <w:sz w:val="24"/>
          <w:szCs w:val="24"/>
        </w:rPr>
      </w:pPr>
    </w:p>
    <w:p>
      <w:pPr>
        <w:pStyle w:val="25"/>
        <w:rPr>
          <w:color w:val="auto"/>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p>
    <w:p>
      <w:pPr>
        <w:spacing w:line="360" w:lineRule="auto"/>
        <w:jc w:val="center"/>
        <w:rPr>
          <w:rFonts w:ascii="华文中宋" w:hAnsi="华文中宋" w:eastAsia="华文中宋"/>
          <w:b/>
          <w:color w:val="auto"/>
          <w:sz w:val="24"/>
          <w:szCs w:val="24"/>
        </w:rPr>
      </w:pPr>
      <w:r>
        <w:rPr>
          <w:rFonts w:ascii="华文中宋" w:hAnsi="华文中宋" w:eastAsia="华文中宋"/>
          <w:b/>
          <w:color w:val="auto"/>
          <w:sz w:val="24"/>
          <w:szCs w:val="24"/>
        </w:rPr>
        <w:br w:type="page"/>
      </w:r>
      <w:r>
        <w:rPr>
          <w:rFonts w:hint="eastAsia" w:ascii="华文中宋" w:hAnsi="华文中宋" w:eastAsia="华文中宋"/>
          <w:b/>
          <w:color w:val="auto"/>
          <w:sz w:val="24"/>
          <w:szCs w:val="24"/>
        </w:rPr>
        <w:t>《联合磋商协议书》</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联合磋商各方：</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甲方：</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法定代表人：</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住所：</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乙方：</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法定代表人：</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住所：</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（如果有的话，可按甲、乙、丙、丁…序列增加）</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根据《政府采购法》第二十四条之规定，为响应</w:t>
      </w:r>
      <w:r>
        <w:rPr>
          <w:rFonts w:hint="eastAsia" w:ascii="华文中宋" w:hAnsi="华文中宋" w:eastAsia="华文中宋" w:cs="微软雅黑"/>
          <w:color w:val="auto"/>
          <w:lang w:eastAsia="zh-CN"/>
        </w:rPr>
        <w:t>陵川县公共资源交易中心（政府采购中心）</w:t>
      </w:r>
      <w:r>
        <w:rPr>
          <w:rFonts w:hint="eastAsia" w:ascii="华文中宋" w:hAnsi="华文中宋" w:eastAsia="华文中宋"/>
          <w:color w:val="auto"/>
        </w:rPr>
        <w:t>组织实施的项目（项目名称、磋商编号）的磋商活动，各方经协商，就联合进行磋商之事宜，达成如下协议：</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一、各方一致决定，以为主办人进行磋商，并按照磋商文件的规定分别提交资格文件。</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二、在本次磋商过程中，主办人法定代表人或授权代理人根据磋商文件规定及响应内容而对集采机构或采购人所作的任何合法承诺，包括书面澄清及响应等均对联合磋商各方产生约束力。如果成交并签订合同，则联合磋商各方将共同履行对集采机构或采购人所负有的全部义务并就采购合同约定的事项对采购人承担连带责任。</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三、联合磋商其余各方保证对主办人为响应本次磋商而提供的货物和相关服务提供全部质量保证及售后服务支持。</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四、本次联合磋商中，甲方承担的工作和义务为</w:t>
      </w:r>
      <w:r>
        <w:rPr>
          <w:rFonts w:ascii="华文中宋" w:hAnsi="华文中宋" w:eastAsia="华文中宋"/>
          <w:color w:val="auto"/>
        </w:rPr>
        <w:t>:</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乙方承担的工作和义务为：</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五、本协议提交集采机构或采购人后，联合磋商各方不得以任何形式对上述实质内容进行修改或撤销。</w:t>
      </w:r>
    </w:p>
    <w:p>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六、本协议一式三份，甲、乙双方各持一份，另一份作为磋商文件的组成部分。</w:t>
      </w:r>
    </w:p>
    <w:p>
      <w:pPr>
        <w:spacing w:line="360" w:lineRule="auto"/>
        <w:rPr>
          <w:rFonts w:ascii="华文中宋" w:hAnsi="华文中宋" w:eastAsia="华文中宋"/>
          <w:color w:val="auto"/>
          <w:szCs w:val="21"/>
        </w:rPr>
      </w:pPr>
      <w:r>
        <w:rPr>
          <w:rFonts w:hint="eastAsia" w:ascii="华文中宋" w:hAnsi="华文中宋" w:eastAsia="华文中宋"/>
          <w:color w:val="auto"/>
          <w:szCs w:val="21"/>
        </w:rPr>
        <w:t>甲方（</w:t>
      </w:r>
      <w:r>
        <w:rPr>
          <w:rFonts w:hint="eastAsia" w:ascii="华文中宋" w:hAnsi="华文中宋" w:eastAsia="华文中宋"/>
          <w:color w:val="auto"/>
          <w:spacing w:val="20"/>
          <w:szCs w:val="21"/>
        </w:rPr>
        <w:t>法人电子印章</w:t>
      </w:r>
      <w:r>
        <w:rPr>
          <w:rFonts w:hint="eastAsia" w:ascii="华文中宋" w:hAnsi="华文中宋" w:eastAsia="华文中宋"/>
          <w:color w:val="auto"/>
          <w:szCs w:val="21"/>
        </w:rPr>
        <w:t>）：                 乙方（</w:t>
      </w:r>
      <w:r>
        <w:rPr>
          <w:rFonts w:hint="eastAsia" w:ascii="华文中宋" w:hAnsi="华文中宋" w:eastAsia="华文中宋"/>
          <w:color w:val="auto"/>
          <w:spacing w:val="20"/>
          <w:szCs w:val="21"/>
        </w:rPr>
        <w:t>法人电子印章</w:t>
      </w:r>
      <w:r>
        <w:rPr>
          <w:rFonts w:hint="eastAsia" w:ascii="华文中宋" w:hAnsi="华文中宋" w:eastAsia="华文中宋"/>
          <w:color w:val="auto"/>
          <w:szCs w:val="21"/>
        </w:rPr>
        <w:t>）：</w:t>
      </w:r>
    </w:p>
    <w:p>
      <w:pPr>
        <w:spacing w:line="360" w:lineRule="auto"/>
        <w:rPr>
          <w:rFonts w:ascii="华文中宋" w:hAnsi="华文中宋" w:eastAsia="华文中宋"/>
          <w:color w:val="auto"/>
          <w:szCs w:val="21"/>
        </w:rPr>
      </w:pPr>
      <w:r>
        <w:rPr>
          <w:rFonts w:hint="eastAsia" w:ascii="华文中宋" w:hAnsi="华文中宋" w:eastAsia="华文中宋"/>
          <w:color w:val="auto"/>
          <w:szCs w:val="21"/>
        </w:rPr>
        <w:t>法定代表人（</w:t>
      </w:r>
      <w:r>
        <w:rPr>
          <w:rFonts w:hint="eastAsia" w:ascii="华文中宋" w:hAnsi="华文中宋" w:eastAsia="华文中宋"/>
          <w:color w:val="auto"/>
          <w:spacing w:val="20"/>
          <w:szCs w:val="21"/>
        </w:rPr>
        <w:t>法定代表人电子印章</w:t>
      </w:r>
      <w:r>
        <w:rPr>
          <w:rFonts w:hint="eastAsia" w:ascii="华文中宋" w:hAnsi="华文中宋" w:eastAsia="华文中宋"/>
          <w:color w:val="auto"/>
          <w:szCs w:val="21"/>
        </w:rPr>
        <w:t>）：    法定代表人（</w:t>
      </w:r>
      <w:r>
        <w:rPr>
          <w:rFonts w:hint="eastAsia" w:ascii="华文中宋" w:hAnsi="华文中宋" w:eastAsia="华文中宋"/>
          <w:color w:val="auto"/>
          <w:spacing w:val="20"/>
          <w:szCs w:val="21"/>
        </w:rPr>
        <w:t>法定代表人电子印章</w:t>
      </w:r>
      <w:r>
        <w:rPr>
          <w:rFonts w:hint="eastAsia" w:ascii="华文中宋" w:hAnsi="华文中宋" w:eastAsia="华文中宋"/>
          <w:color w:val="auto"/>
          <w:szCs w:val="21"/>
        </w:rPr>
        <w:t>）：</w:t>
      </w:r>
    </w:p>
    <w:p>
      <w:pPr>
        <w:spacing w:line="360" w:lineRule="auto"/>
        <w:rPr>
          <w:rFonts w:ascii="华文中宋" w:hAnsi="华文中宋" w:eastAsia="华文中宋"/>
          <w:color w:val="auto"/>
          <w:szCs w:val="21"/>
        </w:rPr>
      </w:pPr>
      <w:r>
        <w:rPr>
          <w:rFonts w:ascii="华文中宋" w:hAnsi="华文中宋" w:eastAsia="华文中宋"/>
          <w:color w:val="auto"/>
          <w:szCs w:val="21"/>
        </w:rPr>
        <w:t xml:space="preserve">20  </w:t>
      </w:r>
      <w:r>
        <w:rPr>
          <w:rFonts w:hint="eastAsia" w:ascii="华文中宋" w:hAnsi="华文中宋" w:eastAsia="华文中宋"/>
          <w:color w:val="auto"/>
          <w:szCs w:val="21"/>
        </w:rPr>
        <w:t>年  月  日</w:t>
      </w:r>
      <w:r>
        <w:rPr>
          <w:rFonts w:ascii="华文中宋" w:hAnsi="华文中宋" w:eastAsia="华文中宋"/>
          <w:color w:val="auto"/>
          <w:szCs w:val="21"/>
        </w:rPr>
        <w:t xml:space="preserve">                             20  </w:t>
      </w:r>
      <w:r>
        <w:rPr>
          <w:rFonts w:hint="eastAsia" w:ascii="华文中宋" w:hAnsi="华文中宋" w:eastAsia="华文中宋"/>
          <w:color w:val="auto"/>
          <w:szCs w:val="21"/>
        </w:rPr>
        <w:t>年  月  日</w:t>
      </w:r>
    </w:p>
    <w:p>
      <w:pPr>
        <w:spacing w:line="276" w:lineRule="auto"/>
        <w:rPr>
          <w:rFonts w:ascii="华文中宋" w:hAnsi="华文中宋" w:eastAsia="华文中宋"/>
          <w:b/>
          <w:color w:val="auto"/>
          <w:szCs w:val="21"/>
        </w:rPr>
      </w:pPr>
    </w:p>
    <w:p>
      <w:pPr>
        <w:pStyle w:val="25"/>
        <w:rPr>
          <w:color w:val="auto"/>
        </w:rPr>
      </w:pPr>
    </w:p>
    <w:p>
      <w:pPr>
        <w:jc w:val="left"/>
        <w:rPr>
          <w:rFonts w:ascii="华文中宋" w:hAnsi="华文中宋" w:eastAsia="华文中宋"/>
          <w:color w:val="auto"/>
          <w:szCs w:val="21"/>
          <w:highlight w:val="none"/>
        </w:rPr>
      </w:pPr>
      <w:r>
        <w:rPr>
          <w:rFonts w:ascii="华文中宋" w:hAnsi="华文中宋" w:eastAsia="华文中宋"/>
          <w:b/>
          <w:color w:val="auto"/>
          <w:sz w:val="24"/>
          <w:szCs w:val="24"/>
        </w:rPr>
        <w:br w:type="page"/>
      </w:r>
      <w:r>
        <w:rPr>
          <w:rFonts w:hint="eastAsia" w:ascii="华文中宋" w:hAnsi="华文中宋" w:eastAsia="华文中宋"/>
          <w:b/>
          <w:color w:val="auto"/>
          <w:spacing w:val="20"/>
          <w:sz w:val="28"/>
          <w:szCs w:val="28"/>
          <w:highlight w:val="none"/>
        </w:rPr>
        <w:t>商务</w:t>
      </w:r>
      <w:r>
        <w:rPr>
          <w:rFonts w:hint="eastAsia" w:ascii="华文中宋" w:hAnsi="华文中宋" w:eastAsia="华文中宋"/>
          <w:b/>
          <w:color w:val="auto"/>
          <w:spacing w:val="20"/>
          <w:sz w:val="28"/>
          <w:szCs w:val="28"/>
          <w:highlight w:val="none"/>
          <w:lang w:val="en-US" w:eastAsia="zh-CN"/>
        </w:rPr>
        <w:t>服务</w:t>
      </w:r>
      <w:r>
        <w:rPr>
          <w:rFonts w:hint="eastAsia" w:ascii="华文中宋" w:hAnsi="华文中宋" w:eastAsia="华文中宋"/>
          <w:b/>
          <w:color w:val="auto"/>
          <w:spacing w:val="20"/>
          <w:sz w:val="28"/>
          <w:szCs w:val="28"/>
          <w:highlight w:val="none"/>
        </w:rPr>
        <w:t>文件格式</w:t>
      </w:r>
    </w:p>
    <w:p>
      <w:pPr>
        <w:jc w:val="center"/>
        <w:rPr>
          <w:rFonts w:ascii="华文中宋" w:hAnsi="华文中宋" w:eastAsia="华文中宋"/>
          <w:color w:val="auto"/>
          <w:szCs w:val="21"/>
          <w:highlight w:val="none"/>
        </w:rPr>
      </w:pPr>
    </w:p>
    <w:p>
      <w:pPr>
        <w:jc w:val="center"/>
        <w:rPr>
          <w:rFonts w:ascii="华文中宋" w:hAnsi="华文中宋" w:eastAsia="华文中宋"/>
          <w:b/>
          <w:color w:val="auto"/>
          <w:spacing w:val="60"/>
          <w:sz w:val="84"/>
          <w:szCs w:val="84"/>
          <w:highlight w:val="none"/>
        </w:rPr>
      </w:pPr>
    </w:p>
    <w:p>
      <w:pPr>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 应 文 件</w:t>
      </w:r>
    </w:p>
    <w:p>
      <w:pPr>
        <w:ind w:firstLine="1939" w:firstLineChars="346"/>
        <w:rPr>
          <w:rFonts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（商务</w:t>
      </w:r>
      <w:r>
        <w:rPr>
          <w:rFonts w:hint="eastAsia" w:ascii="华文中宋" w:hAnsi="华文中宋" w:eastAsia="华文中宋"/>
          <w:b/>
          <w:color w:val="auto"/>
          <w:spacing w:val="20"/>
          <w:sz w:val="52"/>
          <w:szCs w:val="52"/>
          <w:highlight w:val="none"/>
          <w:lang w:val="en-US" w:eastAsia="zh-CN"/>
        </w:rPr>
        <w:t>资信服务</w:t>
      </w:r>
      <w:r>
        <w:rPr>
          <w:rFonts w:hint="eastAsia" w:ascii="华文中宋" w:hAnsi="华文中宋" w:eastAsia="华文中宋"/>
          <w:b/>
          <w:color w:val="auto"/>
          <w:spacing w:val="20"/>
          <w:sz w:val="52"/>
          <w:szCs w:val="52"/>
          <w:highlight w:val="none"/>
        </w:rPr>
        <w:t>文件）</w:t>
      </w:r>
    </w:p>
    <w:p>
      <w:pPr>
        <w:ind w:firstLine="540" w:firstLineChars="150"/>
        <w:rPr>
          <w:rFonts w:ascii="华文中宋" w:hAnsi="华文中宋" w:eastAsia="华文中宋"/>
          <w:b/>
          <w:color w:val="auto"/>
          <w:spacing w:val="20"/>
          <w:sz w:val="32"/>
          <w:szCs w:val="32"/>
          <w:highlight w:val="none"/>
        </w:rPr>
      </w:pPr>
    </w:p>
    <w:p>
      <w:pPr>
        <w:ind w:left="420" w:firstLine="420"/>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r>
        <w:rPr>
          <w:rFonts w:ascii="华文中宋" w:hAnsi="华文中宋" w:eastAsia="华文中宋"/>
          <w:b/>
          <w:color w:val="auto"/>
          <w:spacing w:val="20"/>
          <w:sz w:val="32"/>
          <w:szCs w:val="32"/>
          <w:highlight w:val="none"/>
        </w:rPr>
        <w:t>:</w:t>
      </w:r>
    </w:p>
    <w:p>
      <w:pPr>
        <w:spacing w:line="276" w:lineRule="auto"/>
        <w:ind w:left="420" w:firstLine="420"/>
        <w:rPr>
          <w:rFonts w:ascii="华文中宋" w:hAnsi="华文中宋" w:eastAsia="华文中宋"/>
          <w:b/>
          <w:color w:val="auto"/>
          <w:szCs w:val="21"/>
          <w:highlight w:val="none"/>
        </w:rPr>
      </w:pPr>
      <w:r>
        <w:rPr>
          <w:rFonts w:hint="eastAsia" w:ascii="华文中宋" w:hAnsi="华文中宋" w:eastAsia="华文中宋"/>
          <w:b/>
          <w:color w:val="auto"/>
          <w:spacing w:val="20"/>
          <w:sz w:val="32"/>
          <w:szCs w:val="32"/>
          <w:highlight w:val="none"/>
        </w:rPr>
        <w:t>项目编号：</w:t>
      </w:r>
    </w:p>
    <w:p>
      <w:pPr>
        <w:ind w:firstLine="900" w:firstLineChars="2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包   号：</w:t>
      </w: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spacing w:line="276" w:lineRule="auto"/>
        <w:rPr>
          <w:rFonts w:ascii="华文中宋" w:hAnsi="华文中宋" w:eastAsia="华文中宋"/>
          <w:b/>
          <w:color w:val="auto"/>
          <w:szCs w:val="21"/>
          <w:highlight w:val="none"/>
        </w:rPr>
      </w:pPr>
    </w:p>
    <w:p>
      <w:pPr>
        <w:jc w:val="center"/>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磋商供应商单位名称：（法人电子印章）</w:t>
      </w:r>
    </w:p>
    <w:p>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pPr>
        <w:jc w:val="left"/>
        <w:rPr>
          <w:rFonts w:hint="eastAsia" w:ascii="华文中宋" w:hAnsi="华文中宋" w:eastAsia="华文中宋"/>
          <w:b/>
          <w:color w:val="auto"/>
          <w:sz w:val="10"/>
          <w:szCs w:val="10"/>
          <w:lang w:val="en-US" w:eastAsia="zh-CN"/>
        </w:rPr>
      </w:pPr>
      <w:r>
        <w:rPr>
          <w:rFonts w:ascii="华文中宋" w:hAnsi="华文中宋" w:eastAsia="华文中宋"/>
          <w:b/>
          <w:color w:val="auto"/>
          <w:spacing w:val="20"/>
          <w:sz w:val="32"/>
          <w:szCs w:val="32"/>
          <w:highlight w:val="none"/>
        </w:rPr>
        <w:br w:type="page"/>
      </w:r>
    </w:p>
    <w:p>
      <w:pPr>
        <w:jc w:val="left"/>
        <w:rPr>
          <w:rFonts w:ascii="华文中宋" w:hAnsi="华文中宋" w:eastAsia="华文中宋"/>
          <w:b/>
          <w:color w:val="auto"/>
          <w:spacing w:val="20"/>
          <w:sz w:val="28"/>
          <w:szCs w:val="28"/>
        </w:rPr>
      </w:pPr>
      <w:r>
        <w:rPr>
          <w:rFonts w:hint="eastAsia" w:ascii="华文中宋" w:hAnsi="华文中宋" w:eastAsia="华文中宋"/>
          <w:b/>
          <w:color w:val="auto"/>
          <w:sz w:val="24"/>
          <w:szCs w:val="24"/>
          <w:lang w:val="en-US" w:eastAsia="zh-CN"/>
        </w:rPr>
        <w:t>一、</w:t>
      </w:r>
      <w:r>
        <w:rPr>
          <w:rFonts w:hint="eastAsia" w:ascii="华文中宋" w:hAnsi="华文中宋" w:eastAsia="华文中宋"/>
          <w:b/>
          <w:color w:val="auto"/>
          <w:sz w:val="24"/>
          <w:szCs w:val="24"/>
        </w:rPr>
        <w:t>开标报价一览表格式（以包为单位分别填写）</w:t>
      </w:r>
    </w:p>
    <w:p>
      <w:pPr>
        <w:spacing w:line="360" w:lineRule="auto"/>
        <w:rPr>
          <w:rFonts w:hint="default" w:ascii="华文中宋" w:hAnsi="华文中宋" w:eastAsia="华文中宋" w:cs="Times New Roman"/>
          <w:b/>
          <w:sz w:val="24"/>
          <w:szCs w:val="24"/>
          <w:highlight w:val="none"/>
          <w:lang w:val="en-US" w:eastAsia="zh-CN"/>
        </w:rPr>
      </w:pPr>
      <w:r>
        <w:rPr>
          <w:rFonts w:hint="eastAsia" w:ascii="华文中宋" w:hAnsi="华文中宋" w:eastAsia="华文中宋" w:cs="Times New Roman"/>
          <w:b/>
          <w:sz w:val="24"/>
          <w:szCs w:val="24"/>
          <w:highlight w:val="none"/>
          <w:lang w:val="en-US" w:eastAsia="zh-CN"/>
        </w:rPr>
        <w:t>1-1开标报价一览表</w:t>
      </w:r>
    </w:p>
    <w:p>
      <w:pPr>
        <w:spacing w:line="480" w:lineRule="exact"/>
        <w:rPr>
          <w:rFonts w:ascii="华文中宋" w:hAnsi="华文中宋" w:eastAsia="华文中宋" w:cs="微软雅黑"/>
          <w:b/>
          <w:color w:val="auto"/>
        </w:rPr>
      </w:pPr>
    </w:p>
    <w:p>
      <w:pPr>
        <w:tabs>
          <w:tab w:val="left" w:pos="630"/>
        </w:tabs>
        <w:spacing w:afterLines="73" w:line="480" w:lineRule="exact"/>
        <w:jc w:val="center"/>
        <w:rPr>
          <w:rFonts w:ascii="华文中宋" w:hAnsi="华文中宋" w:eastAsia="华文中宋" w:cs="微软雅黑"/>
          <w:b/>
          <w:snapToGrid w:val="0"/>
          <w:color w:val="auto"/>
          <w:szCs w:val="21"/>
        </w:rPr>
      </w:pPr>
      <w:r>
        <w:rPr>
          <w:rFonts w:hint="eastAsia" w:ascii="华文中宋" w:hAnsi="华文中宋" w:eastAsia="华文中宋" w:cs="微软雅黑"/>
          <w:b/>
          <w:snapToGrid w:val="0"/>
          <w:color w:val="auto"/>
          <w:szCs w:val="21"/>
        </w:rPr>
        <w:t>开标报价一览表</w:t>
      </w:r>
    </w:p>
    <w:p>
      <w:pPr>
        <w:pStyle w:val="2"/>
        <w:jc w:val="right"/>
        <w:rPr>
          <w:rFonts w:ascii="华文中宋" w:hAnsi="华文中宋" w:eastAsia="华文中宋"/>
          <w:color w:val="auto"/>
        </w:rPr>
      </w:pPr>
      <w:r>
        <w:rPr>
          <w:rFonts w:hint="eastAsia" w:ascii="华文中宋" w:hAnsi="华文中宋" w:eastAsia="华文中宋"/>
          <w:color w:val="auto"/>
        </w:rPr>
        <w:t>货币：人民币/元</w:t>
      </w:r>
    </w:p>
    <w:tbl>
      <w:tblPr>
        <w:tblStyle w:val="21"/>
        <w:tblW w:w="8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98" w:type="dxa"/>
            <w:vAlign w:val="center"/>
          </w:tcPr>
          <w:p>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项目名称</w:t>
            </w:r>
          </w:p>
        </w:tc>
        <w:tc>
          <w:tcPr>
            <w:tcW w:w="6653" w:type="dxa"/>
            <w:tcBorders>
              <w:bottom w:val="nil"/>
            </w:tcBorders>
            <w:vAlign w:val="center"/>
          </w:tcPr>
          <w:p>
            <w:pPr>
              <w:pStyle w:val="2"/>
              <w:adjustRightInd w:val="0"/>
              <w:snapToGrid w:val="0"/>
              <w:jc w:val="center"/>
              <w:rPr>
                <w:rFonts w:ascii="华文中宋" w:hAnsi="华文中宋" w:eastAsia="华文中宋" w:cs="微软雅黑"/>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98" w:type="dxa"/>
            <w:vAlign w:val="center"/>
          </w:tcPr>
          <w:p>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rPr>
              <w:t>项目编号</w:t>
            </w:r>
          </w:p>
        </w:tc>
        <w:tc>
          <w:tcPr>
            <w:tcW w:w="6653" w:type="dxa"/>
            <w:vAlign w:val="center"/>
          </w:tcPr>
          <w:p>
            <w:pPr>
              <w:adjustRightInd w:val="0"/>
              <w:snapToGrid w:val="0"/>
              <w:jc w:val="center"/>
              <w:rPr>
                <w:rFonts w:ascii="华文中宋" w:hAnsi="华文中宋" w:eastAsia="华文中宋"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2198" w:type="dxa"/>
            <w:vAlign w:val="center"/>
          </w:tcPr>
          <w:p>
            <w:pPr>
              <w:adjustRightInd w:val="0"/>
              <w:snapToGrid w:val="0"/>
              <w:jc w:val="center"/>
              <w:rPr>
                <w:rFonts w:ascii="华文中宋" w:hAnsi="华文中宋" w:eastAsia="华文中宋" w:cs="微软雅黑"/>
                <w:b/>
                <w:color w:val="auto"/>
              </w:rPr>
            </w:pPr>
            <w:r>
              <w:rPr>
                <w:rFonts w:hint="eastAsia" w:ascii="华文中宋" w:hAnsi="华文中宋" w:eastAsia="华文中宋" w:cs="微软雅黑"/>
                <w:b/>
                <w:color w:val="auto"/>
              </w:rPr>
              <w:t>包    号</w:t>
            </w:r>
          </w:p>
        </w:tc>
        <w:tc>
          <w:tcPr>
            <w:tcW w:w="6653" w:type="dxa"/>
            <w:vAlign w:val="center"/>
          </w:tcPr>
          <w:p>
            <w:pPr>
              <w:adjustRightInd w:val="0"/>
              <w:snapToGrid w:val="0"/>
              <w:jc w:val="center"/>
              <w:rPr>
                <w:rFonts w:ascii="华文中宋" w:hAnsi="华文中宋" w:eastAsia="华文中宋" w:cs="微软雅黑"/>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jc w:val="center"/>
        </w:trPr>
        <w:tc>
          <w:tcPr>
            <w:tcW w:w="2198" w:type="dxa"/>
            <w:vAlign w:val="center"/>
          </w:tcPr>
          <w:p>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投标总报价</w:t>
            </w:r>
          </w:p>
        </w:tc>
        <w:tc>
          <w:tcPr>
            <w:tcW w:w="6653" w:type="dxa"/>
            <w:vAlign w:val="center"/>
          </w:tcPr>
          <w:p>
            <w:pPr>
              <w:pStyle w:val="2"/>
              <w:rPr>
                <w:rFonts w:hint="eastAsia" w:ascii="宋体" w:hAnsi="宋体" w:eastAsia="宋体" w:cs="宋体"/>
                <w:b/>
                <w:bCs w:val="0"/>
                <w:color w:val="auto"/>
                <w:kern w:val="2"/>
                <w:sz w:val="21"/>
                <w:szCs w:val="21"/>
                <w:highlight w:val="none"/>
                <w:lang w:val="en-US" w:eastAsia="zh-CN" w:bidi="ar-SA"/>
              </w:rPr>
            </w:pPr>
          </w:p>
          <w:p>
            <w:pPr>
              <w:pStyle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总报价：</w:t>
            </w:r>
          </w:p>
          <w:p>
            <w:pPr>
              <w:spacing w:after="1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pPr>
              <w:spacing w:after="1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pPr>
              <w:pStyle w:val="2"/>
              <w:rPr>
                <w:rFonts w:hint="eastAsia" w:ascii="宋体" w:hAnsi="宋体" w:eastAsia="宋体" w:cs="宋体"/>
                <w:b/>
                <w:bCs w:val="0"/>
                <w:color w:val="auto"/>
                <w:kern w:val="2"/>
                <w:sz w:val="21"/>
                <w:szCs w:val="21"/>
                <w:highlight w:val="none"/>
                <w:lang w:val="en-US" w:eastAsia="zh-CN" w:bidi="ar-SA"/>
              </w:rPr>
            </w:pPr>
          </w:p>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198" w:type="dxa"/>
            <w:vAlign w:val="center"/>
          </w:tcPr>
          <w:p>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报价说明</w:t>
            </w:r>
          </w:p>
        </w:tc>
        <w:tc>
          <w:tcPr>
            <w:tcW w:w="6653" w:type="dxa"/>
            <w:vAlign w:val="center"/>
          </w:tcPr>
          <w:p>
            <w:pPr>
              <w:adjustRightInd w:val="0"/>
              <w:snapToGrid w:val="0"/>
              <w:jc w:val="center"/>
              <w:rPr>
                <w:rFonts w:ascii="华文中宋" w:hAnsi="华文中宋" w:eastAsia="华文中宋" w:cs="微软雅黑"/>
                <w:bCs/>
                <w:color w:val="auto"/>
                <w:szCs w:val="21"/>
              </w:rPr>
            </w:pPr>
          </w:p>
        </w:tc>
      </w:tr>
    </w:tbl>
    <w:p>
      <w:pPr>
        <w:tabs>
          <w:tab w:val="left" w:pos="630"/>
        </w:tabs>
        <w:spacing w:afterLines="73" w:line="480" w:lineRule="exact"/>
        <w:jc w:val="left"/>
        <w:rPr>
          <w:rFonts w:ascii="华文中宋" w:hAnsi="华文中宋" w:eastAsia="华文中宋" w:cs="微软雅黑"/>
          <w:color w:val="auto"/>
          <w:szCs w:val="21"/>
        </w:rPr>
      </w:pPr>
    </w:p>
    <w:p>
      <w:pPr>
        <w:snapToGrid w:val="0"/>
        <w:spacing w:line="480" w:lineRule="exact"/>
        <w:ind w:firstLine="3498" w:firstLineChars="1666"/>
        <w:jc w:val="left"/>
        <w:rPr>
          <w:rFonts w:ascii="华文中宋" w:hAnsi="华文中宋" w:eastAsia="华文中宋" w:cs="微软雅黑"/>
          <w:color w:val="auto"/>
          <w:szCs w:val="21"/>
        </w:rPr>
      </w:pPr>
      <w:r>
        <w:rPr>
          <w:rFonts w:hint="eastAsia" w:ascii="华文中宋" w:hAnsi="华文中宋" w:eastAsia="华文中宋" w:cs="微软雅黑"/>
          <w:color w:val="auto"/>
          <w:szCs w:val="21"/>
        </w:rPr>
        <w:t>磋商供应商：</w:t>
      </w:r>
      <w:r>
        <w:rPr>
          <w:rFonts w:hint="eastAsia" w:ascii="华文中宋" w:hAnsi="华文中宋" w:eastAsia="华文中宋" w:cs="微软雅黑"/>
          <w:color w:val="auto"/>
          <w:szCs w:val="21"/>
          <w:u w:val="single"/>
        </w:rPr>
        <w:t xml:space="preserve">                </w:t>
      </w:r>
      <w:r>
        <w:rPr>
          <w:rFonts w:hint="eastAsia" w:ascii="华文中宋" w:hAnsi="华文中宋" w:eastAsia="华文中宋" w:cs="微软雅黑"/>
          <w:color w:val="auto"/>
          <w:szCs w:val="21"/>
        </w:rPr>
        <w:t xml:space="preserve"> （法人电子签章）</w:t>
      </w:r>
    </w:p>
    <w:p>
      <w:pPr>
        <w:spacing w:line="480" w:lineRule="exact"/>
        <w:ind w:firstLine="3498" w:firstLineChars="1666"/>
        <w:jc w:val="left"/>
        <w:rPr>
          <w:rFonts w:ascii="华文中宋" w:hAnsi="华文中宋" w:eastAsia="华文中宋" w:cs="微软雅黑"/>
          <w:color w:val="auto"/>
          <w:szCs w:val="21"/>
        </w:rPr>
      </w:pPr>
      <w:r>
        <w:rPr>
          <w:rFonts w:hint="eastAsia" w:ascii="华文中宋" w:hAnsi="华文中宋" w:eastAsia="华文中宋" w:cs="微软雅黑"/>
          <w:color w:val="auto"/>
          <w:szCs w:val="21"/>
        </w:rPr>
        <w:t>日      期：     年   月   日</w:t>
      </w:r>
    </w:p>
    <w:p>
      <w:pPr>
        <w:pStyle w:val="4"/>
        <w:numPr>
          <w:ilvl w:val="1"/>
          <w:numId w:val="0"/>
        </w:numPr>
        <w:spacing w:line="300" w:lineRule="exact"/>
        <w:rPr>
          <w:rFonts w:hint="eastAsia" w:ascii="宋体" w:hAnsi="宋体" w:eastAsia="宋体" w:cs="宋体"/>
          <w:color w:val="auto"/>
          <w:sz w:val="10"/>
          <w:szCs w:val="10"/>
        </w:rPr>
        <w:sectPr>
          <w:footerReference r:id="rId7" w:type="default"/>
          <w:pgSz w:w="11906" w:h="16838"/>
          <w:pgMar w:top="1135" w:right="1361" w:bottom="1021" w:left="1531" w:header="851" w:footer="992" w:gutter="0"/>
          <w:pgNumType w:fmt="decimal"/>
          <w:cols w:space="720" w:num="1"/>
          <w:docGrid w:type="lines" w:linePitch="312" w:charSpace="0"/>
        </w:sectPr>
      </w:pPr>
    </w:p>
    <w:p>
      <w:pPr>
        <w:spacing w:line="360" w:lineRule="auto"/>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1-2</w:t>
      </w:r>
      <w:r>
        <w:rPr>
          <w:rFonts w:hint="eastAsia" w:ascii="华文中宋" w:hAnsi="华文中宋" w:eastAsia="华文中宋"/>
          <w:b/>
          <w:sz w:val="24"/>
          <w:szCs w:val="24"/>
          <w:highlight w:val="none"/>
        </w:rPr>
        <w:t>报价</w:t>
      </w:r>
      <w:r>
        <w:rPr>
          <w:rFonts w:hint="eastAsia" w:ascii="华文中宋" w:hAnsi="华文中宋" w:eastAsia="华文中宋"/>
          <w:b/>
          <w:sz w:val="24"/>
          <w:szCs w:val="24"/>
          <w:highlight w:val="none"/>
          <w:lang w:val="en-US" w:eastAsia="zh-CN"/>
        </w:rPr>
        <w:t>明细表</w:t>
      </w:r>
    </w:p>
    <w:p>
      <w:pPr>
        <w:spacing w:line="360" w:lineRule="auto"/>
        <w:jc w:val="center"/>
        <w:rPr>
          <w:rFonts w:hint="default" w:ascii="华文中宋" w:hAnsi="华文中宋" w:eastAsia="华文中宋"/>
          <w:b/>
          <w:sz w:val="24"/>
          <w:szCs w:val="24"/>
          <w:highlight w:val="none"/>
          <w:lang w:val="en-US" w:eastAsia="zh-CN"/>
        </w:rPr>
      </w:pPr>
      <w:r>
        <w:rPr>
          <w:rFonts w:hint="eastAsia" w:ascii="华文中宋" w:hAnsi="华文中宋" w:eastAsia="华文中宋"/>
          <w:b/>
          <w:sz w:val="24"/>
          <w:szCs w:val="24"/>
          <w:highlight w:val="none"/>
          <w:lang w:val="en-US" w:eastAsia="zh-CN"/>
        </w:rPr>
        <w:t>设备报价明细表（可根据实际情况调整表格）</w:t>
      </w:r>
    </w:p>
    <w:p>
      <w:pPr>
        <w:spacing w:line="240" w:lineRule="auto"/>
        <w:ind w:firstLine="525" w:firstLineChars="250"/>
        <w:rPr>
          <w:rFonts w:ascii="华文中宋" w:hAnsi="华文中宋" w:eastAsia="华文中宋"/>
          <w:szCs w:val="21"/>
          <w:highlight w:val="none"/>
        </w:rPr>
      </w:pPr>
      <w:r>
        <w:rPr>
          <w:rFonts w:hint="eastAsia" w:ascii="华文中宋" w:hAnsi="华文中宋" w:eastAsia="华文中宋"/>
          <w:szCs w:val="21"/>
          <w:highlight w:val="none"/>
        </w:rPr>
        <w:t>项目名称：</w:t>
      </w:r>
    </w:p>
    <w:p>
      <w:pPr>
        <w:spacing w:line="240" w:lineRule="auto"/>
        <w:ind w:firstLine="525" w:firstLineChars="250"/>
        <w:rPr>
          <w:rFonts w:hint="eastAsia" w:ascii="华文中宋" w:hAnsi="华文中宋" w:eastAsia="华文中宋"/>
          <w:szCs w:val="21"/>
          <w:highlight w:val="none"/>
        </w:rPr>
      </w:pPr>
      <w:r>
        <w:rPr>
          <w:rFonts w:hint="eastAsia" w:ascii="华文中宋" w:hAnsi="华文中宋" w:eastAsia="华文中宋"/>
          <w:szCs w:val="21"/>
          <w:highlight w:val="none"/>
        </w:rPr>
        <w:t>项目编号：</w:t>
      </w:r>
    </w:p>
    <w:p>
      <w:pPr>
        <w:spacing w:line="240" w:lineRule="auto"/>
        <w:ind w:firstLine="525" w:firstLineChars="25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磋商供应商名称：</w:t>
      </w:r>
    </w:p>
    <w:p>
      <w:pPr>
        <w:spacing w:line="240" w:lineRule="auto"/>
        <w:ind w:firstLine="525" w:firstLineChars="25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 xml:space="preserve">包号：                                                                                                    </w:t>
      </w:r>
      <w:r>
        <w:rPr>
          <w:rFonts w:hint="eastAsia" w:ascii="华文中宋" w:hAnsi="华文中宋" w:eastAsia="华文中宋" w:cs="微软雅黑"/>
          <w:szCs w:val="21"/>
        </w:rPr>
        <w:t>货币：人民币/元</w:t>
      </w:r>
    </w:p>
    <w:tbl>
      <w:tblPr>
        <w:tblStyle w:val="21"/>
        <w:tblpPr w:leftFromText="180" w:rightFromText="180" w:vertAnchor="text" w:horzAnchor="page" w:tblpX="1451" w:tblpY="267"/>
        <w:tblOverlap w:val="never"/>
        <w:tblW w:w="14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767"/>
        <w:gridCol w:w="943"/>
        <w:gridCol w:w="1875"/>
        <w:gridCol w:w="2007"/>
        <w:gridCol w:w="918"/>
        <w:gridCol w:w="1030"/>
        <w:gridCol w:w="1176"/>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664"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序号</w:t>
            </w:r>
          </w:p>
        </w:tc>
        <w:tc>
          <w:tcPr>
            <w:tcW w:w="1767"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lang w:eastAsia="zh-CN"/>
              </w:rPr>
              <w:t>货物/服务</w:t>
            </w:r>
            <w:r>
              <w:rPr>
                <w:rFonts w:hint="eastAsia" w:ascii="华文中宋" w:hAnsi="华文中宋" w:eastAsia="华文中宋"/>
                <w:bCs/>
                <w:szCs w:val="21"/>
                <w:highlight w:val="none"/>
              </w:rPr>
              <w:t>名称</w:t>
            </w:r>
          </w:p>
        </w:tc>
        <w:tc>
          <w:tcPr>
            <w:tcW w:w="943"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品牌</w:t>
            </w:r>
          </w:p>
        </w:tc>
        <w:tc>
          <w:tcPr>
            <w:tcW w:w="1875"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规格型号</w:t>
            </w:r>
          </w:p>
        </w:tc>
        <w:tc>
          <w:tcPr>
            <w:tcW w:w="2007"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产地</w:t>
            </w:r>
            <w:r>
              <w:rPr>
                <w:rFonts w:hint="eastAsia" w:ascii="华文中宋" w:hAnsi="华文中宋" w:eastAsia="华文中宋"/>
                <w:bCs/>
                <w:szCs w:val="21"/>
                <w:highlight w:val="none"/>
                <w:lang w:val="en-US" w:eastAsia="zh-CN"/>
              </w:rPr>
              <w:t>及</w:t>
            </w:r>
            <w:r>
              <w:rPr>
                <w:rFonts w:hint="eastAsia" w:ascii="华文中宋" w:hAnsi="华文中宋" w:eastAsia="华文中宋"/>
                <w:bCs/>
                <w:szCs w:val="21"/>
                <w:highlight w:val="none"/>
              </w:rPr>
              <w:t>厂家</w:t>
            </w:r>
          </w:p>
        </w:tc>
        <w:tc>
          <w:tcPr>
            <w:tcW w:w="918"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数量</w:t>
            </w:r>
          </w:p>
        </w:tc>
        <w:tc>
          <w:tcPr>
            <w:tcW w:w="1030"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单价</w:t>
            </w:r>
          </w:p>
        </w:tc>
        <w:tc>
          <w:tcPr>
            <w:tcW w:w="1176"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合价</w:t>
            </w:r>
          </w:p>
        </w:tc>
        <w:tc>
          <w:tcPr>
            <w:tcW w:w="1320" w:type="dxa"/>
            <w:vAlign w:val="center"/>
          </w:tcPr>
          <w:p>
            <w:pPr>
              <w:jc w:val="center"/>
              <w:rPr>
                <w:rFonts w:ascii="华文中宋" w:hAnsi="华文中宋" w:eastAsia="华文中宋"/>
                <w:bCs/>
                <w:szCs w:val="21"/>
                <w:highlight w:val="none"/>
              </w:rPr>
            </w:pPr>
            <w:r>
              <w:rPr>
                <w:rFonts w:hint="eastAsia" w:ascii="华文中宋" w:hAnsi="华文中宋" w:eastAsia="华文中宋"/>
                <w:bCs/>
                <w:szCs w:val="21"/>
                <w:highlight w:val="none"/>
              </w:rPr>
              <w:t>供货期</w:t>
            </w:r>
          </w:p>
        </w:tc>
        <w:tc>
          <w:tcPr>
            <w:tcW w:w="1320" w:type="dxa"/>
            <w:vAlign w:val="center"/>
          </w:tcPr>
          <w:p>
            <w:pPr>
              <w:jc w:val="center"/>
              <w:rPr>
                <w:rFonts w:hint="eastAsia" w:ascii="华文中宋" w:hAnsi="华文中宋" w:eastAsia="华文中宋"/>
                <w:bCs/>
                <w:szCs w:val="21"/>
                <w:highlight w:val="none"/>
              </w:rPr>
            </w:pPr>
            <w:r>
              <w:rPr>
                <w:rFonts w:hint="eastAsia" w:ascii="宋体" w:hAnsi="宋体" w:eastAsia="宋体" w:cs="宋体"/>
                <w:bCs/>
                <w:color w:val="auto"/>
                <w:szCs w:val="21"/>
                <w:highlight w:val="none"/>
              </w:rPr>
              <w:t>环保节能产品编号及有效期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664" w:type="dxa"/>
            <w:vAlign w:val="center"/>
          </w:tcPr>
          <w:p>
            <w:pPr>
              <w:jc w:val="center"/>
              <w:rPr>
                <w:rFonts w:ascii="华文中宋" w:hAnsi="华文中宋" w:eastAsia="华文中宋"/>
                <w:bCs/>
                <w:szCs w:val="21"/>
                <w:highlight w:val="none"/>
              </w:rPr>
            </w:pPr>
          </w:p>
        </w:tc>
        <w:tc>
          <w:tcPr>
            <w:tcW w:w="1767" w:type="dxa"/>
            <w:vAlign w:val="center"/>
          </w:tcPr>
          <w:p>
            <w:pPr>
              <w:jc w:val="center"/>
              <w:rPr>
                <w:rFonts w:ascii="华文中宋" w:hAnsi="华文中宋" w:eastAsia="华文中宋"/>
                <w:bCs/>
                <w:szCs w:val="21"/>
                <w:highlight w:val="none"/>
              </w:rPr>
            </w:pPr>
          </w:p>
        </w:tc>
        <w:tc>
          <w:tcPr>
            <w:tcW w:w="943" w:type="dxa"/>
            <w:vAlign w:val="center"/>
          </w:tcPr>
          <w:p>
            <w:pPr>
              <w:jc w:val="center"/>
              <w:rPr>
                <w:rFonts w:ascii="华文中宋" w:hAnsi="华文中宋" w:eastAsia="华文中宋"/>
                <w:bCs/>
                <w:szCs w:val="21"/>
                <w:highlight w:val="none"/>
              </w:rPr>
            </w:pPr>
          </w:p>
        </w:tc>
        <w:tc>
          <w:tcPr>
            <w:tcW w:w="1875" w:type="dxa"/>
            <w:vAlign w:val="center"/>
          </w:tcPr>
          <w:p>
            <w:pPr>
              <w:jc w:val="center"/>
              <w:rPr>
                <w:rFonts w:ascii="华文中宋" w:hAnsi="华文中宋" w:eastAsia="华文中宋"/>
                <w:bCs/>
                <w:szCs w:val="21"/>
                <w:highlight w:val="none"/>
                <w:vertAlign w:val="superscript"/>
              </w:rPr>
            </w:pPr>
          </w:p>
        </w:tc>
        <w:tc>
          <w:tcPr>
            <w:tcW w:w="2007" w:type="dxa"/>
            <w:vAlign w:val="center"/>
          </w:tcPr>
          <w:p>
            <w:pPr>
              <w:jc w:val="center"/>
              <w:rPr>
                <w:rFonts w:ascii="华文中宋" w:hAnsi="华文中宋" w:eastAsia="华文中宋"/>
                <w:bCs/>
                <w:szCs w:val="21"/>
                <w:highlight w:val="none"/>
                <w:vertAlign w:val="superscript"/>
              </w:rPr>
            </w:pPr>
          </w:p>
        </w:tc>
        <w:tc>
          <w:tcPr>
            <w:tcW w:w="918" w:type="dxa"/>
            <w:vAlign w:val="center"/>
          </w:tcPr>
          <w:p>
            <w:pPr>
              <w:jc w:val="center"/>
              <w:rPr>
                <w:rFonts w:ascii="华文中宋" w:hAnsi="华文中宋" w:eastAsia="华文中宋"/>
                <w:bCs/>
                <w:szCs w:val="21"/>
                <w:highlight w:val="none"/>
              </w:rPr>
            </w:pPr>
          </w:p>
        </w:tc>
        <w:tc>
          <w:tcPr>
            <w:tcW w:w="1030" w:type="dxa"/>
            <w:vAlign w:val="center"/>
          </w:tcPr>
          <w:p>
            <w:pPr>
              <w:jc w:val="center"/>
              <w:rPr>
                <w:rFonts w:ascii="华文中宋" w:hAnsi="华文中宋" w:eastAsia="华文中宋"/>
                <w:bCs/>
                <w:szCs w:val="21"/>
                <w:highlight w:val="none"/>
              </w:rPr>
            </w:pPr>
          </w:p>
        </w:tc>
        <w:tc>
          <w:tcPr>
            <w:tcW w:w="1176" w:type="dxa"/>
            <w:vAlign w:val="center"/>
          </w:tcPr>
          <w:p>
            <w:pPr>
              <w:jc w:val="center"/>
              <w:rPr>
                <w:rFonts w:ascii="华文中宋" w:hAnsi="华文中宋" w:eastAsia="华文中宋"/>
                <w:bCs/>
                <w:szCs w:val="21"/>
                <w:highlight w:val="none"/>
              </w:rPr>
            </w:pPr>
          </w:p>
        </w:tc>
        <w:tc>
          <w:tcPr>
            <w:tcW w:w="1320" w:type="dxa"/>
            <w:vAlign w:val="center"/>
          </w:tcPr>
          <w:p>
            <w:pPr>
              <w:jc w:val="center"/>
              <w:rPr>
                <w:rFonts w:ascii="华文中宋" w:hAnsi="华文中宋" w:eastAsia="华文中宋"/>
                <w:bCs/>
                <w:szCs w:val="21"/>
                <w:highlight w:val="none"/>
              </w:rPr>
            </w:pPr>
          </w:p>
        </w:tc>
        <w:tc>
          <w:tcPr>
            <w:tcW w:w="1320" w:type="dxa"/>
            <w:vAlign w:val="center"/>
          </w:tcPr>
          <w:p>
            <w:pPr>
              <w:jc w:val="center"/>
              <w:rPr>
                <w:rFonts w:ascii="华文中宋" w:hAnsi="华文中宋" w:eastAsia="华文中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664" w:type="dxa"/>
            <w:vAlign w:val="center"/>
          </w:tcPr>
          <w:p>
            <w:pPr>
              <w:jc w:val="center"/>
              <w:rPr>
                <w:rFonts w:ascii="华文中宋" w:hAnsi="华文中宋" w:eastAsia="华文中宋"/>
                <w:bCs/>
                <w:szCs w:val="21"/>
                <w:highlight w:val="none"/>
              </w:rPr>
            </w:pPr>
          </w:p>
        </w:tc>
        <w:tc>
          <w:tcPr>
            <w:tcW w:w="1767" w:type="dxa"/>
            <w:vAlign w:val="center"/>
          </w:tcPr>
          <w:p>
            <w:pPr>
              <w:jc w:val="center"/>
              <w:rPr>
                <w:rFonts w:ascii="华文中宋" w:hAnsi="华文中宋" w:eastAsia="华文中宋"/>
                <w:bCs/>
                <w:szCs w:val="21"/>
                <w:highlight w:val="none"/>
              </w:rPr>
            </w:pPr>
          </w:p>
        </w:tc>
        <w:tc>
          <w:tcPr>
            <w:tcW w:w="943" w:type="dxa"/>
            <w:vAlign w:val="center"/>
          </w:tcPr>
          <w:p>
            <w:pPr>
              <w:jc w:val="center"/>
              <w:rPr>
                <w:rFonts w:ascii="华文中宋" w:hAnsi="华文中宋" w:eastAsia="华文中宋"/>
                <w:bCs/>
                <w:szCs w:val="21"/>
                <w:highlight w:val="none"/>
              </w:rPr>
            </w:pPr>
          </w:p>
        </w:tc>
        <w:tc>
          <w:tcPr>
            <w:tcW w:w="1875" w:type="dxa"/>
            <w:vAlign w:val="center"/>
          </w:tcPr>
          <w:p>
            <w:pPr>
              <w:jc w:val="center"/>
              <w:rPr>
                <w:rFonts w:ascii="华文中宋" w:hAnsi="华文中宋" w:eastAsia="华文中宋"/>
                <w:bCs/>
                <w:szCs w:val="21"/>
                <w:highlight w:val="none"/>
                <w:vertAlign w:val="superscript"/>
              </w:rPr>
            </w:pPr>
          </w:p>
        </w:tc>
        <w:tc>
          <w:tcPr>
            <w:tcW w:w="2007" w:type="dxa"/>
            <w:vAlign w:val="center"/>
          </w:tcPr>
          <w:p>
            <w:pPr>
              <w:jc w:val="center"/>
              <w:rPr>
                <w:rFonts w:ascii="华文中宋" w:hAnsi="华文中宋" w:eastAsia="华文中宋"/>
                <w:bCs/>
                <w:szCs w:val="21"/>
                <w:highlight w:val="none"/>
                <w:vertAlign w:val="superscript"/>
              </w:rPr>
            </w:pPr>
          </w:p>
        </w:tc>
        <w:tc>
          <w:tcPr>
            <w:tcW w:w="918" w:type="dxa"/>
            <w:vAlign w:val="center"/>
          </w:tcPr>
          <w:p>
            <w:pPr>
              <w:jc w:val="center"/>
              <w:rPr>
                <w:rFonts w:ascii="华文中宋" w:hAnsi="华文中宋" w:eastAsia="华文中宋"/>
                <w:bCs/>
                <w:szCs w:val="21"/>
                <w:highlight w:val="none"/>
              </w:rPr>
            </w:pPr>
          </w:p>
        </w:tc>
        <w:tc>
          <w:tcPr>
            <w:tcW w:w="1030" w:type="dxa"/>
            <w:vAlign w:val="center"/>
          </w:tcPr>
          <w:p>
            <w:pPr>
              <w:jc w:val="center"/>
              <w:rPr>
                <w:rFonts w:ascii="华文中宋" w:hAnsi="华文中宋" w:eastAsia="华文中宋"/>
                <w:bCs/>
                <w:szCs w:val="21"/>
                <w:highlight w:val="none"/>
              </w:rPr>
            </w:pPr>
          </w:p>
        </w:tc>
        <w:tc>
          <w:tcPr>
            <w:tcW w:w="1176" w:type="dxa"/>
            <w:vAlign w:val="center"/>
          </w:tcPr>
          <w:p>
            <w:pPr>
              <w:jc w:val="center"/>
              <w:rPr>
                <w:rFonts w:ascii="华文中宋" w:hAnsi="华文中宋" w:eastAsia="华文中宋"/>
                <w:bCs/>
                <w:szCs w:val="21"/>
                <w:highlight w:val="none"/>
              </w:rPr>
            </w:pPr>
          </w:p>
        </w:tc>
        <w:tc>
          <w:tcPr>
            <w:tcW w:w="1320" w:type="dxa"/>
            <w:vAlign w:val="center"/>
          </w:tcPr>
          <w:p>
            <w:pPr>
              <w:jc w:val="center"/>
              <w:rPr>
                <w:rFonts w:ascii="华文中宋" w:hAnsi="华文中宋" w:eastAsia="华文中宋"/>
                <w:bCs/>
                <w:szCs w:val="21"/>
                <w:highlight w:val="none"/>
              </w:rPr>
            </w:pPr>
          </w:p>
        </w:tc>
        <w:tc>
          <w:tcPr>
            <w:tcW w:w="1320" w:type="dxa"/>
            <w:vAlign w:val="center"/>
          </w:tcPr>
          <w:p>
            <w:pPr>
              <w:jc w:val="center"/>
              <w:rPr>
                <w:rFonts w:ascii="华文中宋" w:hAnsi="华文中宋" w:eastAsia="华文中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664" w:type="dxa"/>
            <w:vAlign w:val="center"/>
          </w:tcPr>
          <w:p>
            <w:pPr>
              <w:jc w:val="center"/>
              <w:rPr>
                <w:rFonts w:ascii="华文中宋" w:hAnsi="华文中宋" w:eastAsia="华文中宋"/>
                <w:bCs/>
                <w:szCs w:val="21"/>
                <w:highlight w:val="none"/>
              </w:rPr>
            </w:pPr>
          </w:p>
        </w:tc>
        <w:tc>
          <w:tcPr>
            <w:tcW w:w="1767" w:type="dxa"/>
            <w:vAlign w:val="center"/>
          </w:tcPr>
          <w:p>
            <w:pPr>
              <w:jc w:val="center"/>
              <w:rPr>
                <w:rFonts w:ascii="华文中宋" w:hAnsi="华文中宋" w:eastAsia="华文中宋"/>
                <w:bCs/>
                <w:szCs w:val="21"/>
                <w:highlight w:val="none"/>
              </w:rPr>
            </w:pPr>
          </w:p>
        </w:tc>
        <w:tc>
          <w:tcPr>
            <w:tcW w:w="943" w:type="dxa"/>
            <w:vAlign w:val="center"/>
          </w:tcPr>
          <w:p>
            <w:pPr>
              <w:jc w:val="center"/>
              <w:rPr>
                <w:rFonts w:ascii="华文中宋" w:hAnsi="华文中宋" w:eastAsia="华文中宋"/>
                <w:bCs/>
                <w:szCs w:val="21"/>
                <w:highlight w:val="none"/>
              </w:rPr>
            </w:pPr>
          </w:p>
        </w:tc>
        <w:tc>
          <w:tcPr>
            <w:tcW w:w="1875" w:type="dxa"/>
            <w:vAlign w:val="center"/>
          </w:tcPr>
          <w:p>
            <w:pPr>
              <w:jc w:val="center"/>
              <w:rPr>
                <w:rFonts w:ascii="华文中宋" w:hAnsi="华文中宋" w:eastAsia="华文中宋"/>
                <w:bCs/>
                <w:szCs w:val="21"/>
                <w:highlight w:val="none"/>
                <w:vertAlign w:val="superscript"/>
              </w:rPr>
            </w:pPr>
          </w:p>
        </w:tc>
        <w:tc>
          <w:tcPr>
            <w:tcW w:w="2007" w:type="dxa"/>
            <w:vAlign w:val="center"/>
          </w:tcPr>
          <w:p>
            <w:pPr>
              <w:jc w:val="center"/>
              <w:rPr>
                <w:rFonts w:ascii="华文中宋" w:hAnsi="华文中宋" w:eastAsia="华文中宋"/>
                <w:bCs/>
                <w:szCs w:val="21"/>
                <w:highlight w:val="none"/>
                <w:vertAlign w:val="superscript"/>
              </w:rPr>
            </w:pPr>
          </w:p>
        </w:tc>
        <w:tc>
          <w:tcPr>
            <w:tcW w:w="918" w:type="dxa"/>
            <w:vAlign w:val="center"/>
          </w:tcPr>
          <w:p>
            <w:pPr>
              <w:jc w:val="center"/>
              <w:rPr>
                <w:rFonts w:ascii="华文中宋" w:hAnsi="华文中宋" w:eastAsia="华文中宋"/>
                <w:bCs/>
                <w:szCs w:val="21"/>
                <w:highlight w:val="none"/>
              </w:rPr>
            </w:pPr>
          </w:p>
        </w:tc>
        <w:tc>
          <w:tcPr>
            <w:tcW w:w="1030" w:type="dxa"/>
            <w:vAlign w:val="center"/>
          </w:tcPr>
          <w:p>
            <w:pPr>
              <w:jc w:val="center"/>
              <w:rPr>
                <w:rFonts w:ascii="华文中宋" w:hAnsi="华文中宋" w:eastAsia="华文中宋"/>
                <w:bCs/>
                <w:szCs w:val="21"/>
                <w:highlight w:val="none"/>
              </w:rPr>
            </w:pPr>
          </w:p>
        </w:tc>
        <w:tc>
          <w:tcPr>
            <w:tcW w:w="1176" w:type="dxa"/>
            <w:vAlign w:val="center"/>
          </w:tcPr>
          <w:p>
            <w:pPr>
              <w:jc w:val="center"/>
              <w:rPr>
                <w:rFonts w:ascii="华文中宋" w:hAnsi="华文中宋" w:eastAsia="华文中宋"/>
                <w:bCs/>
                <w:szCs w:val="21"/>
                <w:highlight w:val="none"/>
              </w:rPr>
            </w:pPr>
          </w:p>
        </w:tc>
        <w:tc>
          <w:tcPr>
            <w:tcW w:w="1320" w:type="dxa"/>
            <w:vAlign w:val="center"/>
          </w:tcPr>
          <w:p>
            <w:pPr>
              <w:jc w:val="center"/>
              <w:rPr>
                <w:rFonts w:ascii="华文中宋" w:hAnsi="华文中宋" w:eastAsia="华文中宋"/>
                <w:bCs/>
                <w:szCs w:val="21"/>
                <w:highlight w:val="none"/>
              </w:rPr>
            </w:pPr>
          </w:p>
        </w:tc>
        <w:tc>
          <w:tcPr>
            <w:tcW w:w="1320" w:type="dxa"/>
            <w:vAlign w:val="center"/>
          </w:tcPr>
          <w:p>
            <w:pPr>
              <w:jc w:val="center"/>
              <w:rPr>
                <w:rFonts w:ascii="华文中宋" w:hAnsi="华文中宋" w:eastAsia="华文中宋"/>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4020" w:type="dxa"/>
            <w:gridSpan w:val="10"/>
            <w:vAlign w:val="center"/>
          </w:tcPr>
          <w:p>
            <w:pPr>
              <w:rPr>
                <w:rFonts w:hint="eastAsia" w:ascii="华文中宋" w:hAnsi="华文中宋" w:eastAsia="华文中宋"/>
                <w:bCs/>
                <w:szCs w:val="21"/>
                <w:highlight w:val="none"/>
              </w:rPr>
            </w:pPr>
            <w:r>
              <w:rPr>
                <w:rFonts w:hint="eastAsia" w:ascii="华文中宋" w:hAnsi="华文中宋" w:eastAsia="华文中宋"/>
                <w:bCs/>
                <w:szCs w:val="21"/>
                <w:highlight w:val="none"/>
              </w:rPr>
              <w:t>总报价</w:t>
            </w:r>
            <w:r>
              <w:rPr>
                <w:rFonts w:ascii="华文中宋" w:hAnsi="华文中宋" w:eastAsia="华文中宋"/>
                <w:bCs/>
                <w:szCs w:val="21"/>
                <w:highlight w:val="none"/>
              </w:rPr>
              <w:t>(</w:t>
            </w:r>
            <w:r>
              <w:rPr>
                <w:rFonts w:hint="eastAsia" w:ascii="华文中宋" w:hAnsi="华文中宋" w:eastAsia="华文中宋"/>
                <w:szCs w:val="21"/>
                <w:highlight w:val="none"/>
              </w:rPr>
              <w:t>人民币</w:t>
            </w:r>
            <w:r>
              <w:rPr>
                <w:rFonts w:hint="eastAsia" w:ascii="华文中宋" w:hAnsi="华文中宋" w:eastAsia="华文中宋"/>
                <w:bCs/>
                <w:szCs w:val="21"/>
                <w:highlight w:val="none"/>
              </w:rPr>
              <w:t>大写</w:t>
            </w:r>
            <w:r>
              <w:rPr>
                <w:rFonts w:ascii="华文中宋" w:hAnsi="华文中宋" w:eastAsia="华文中宋"/>
                <w:bCs/>
                <w:szCs w:val="21"/>
                <w:highlight w:val="none"/>
              </w:rPr>
              <w:t xml:space="preserve">):                                </w:t>
            </w:r>
            <w:r>
              <w:rPr>
                <w:rFonts w:hint="eastAsia" w:ascii="华文中宋" w:hAnsi="华文中宋" w:eastAsia="华文中宋"/>
                <w:bCs/>
                <w:szCs w:val="21"/>
                <w:highlight w:val="none"/>
              </w:rPr>
              <w:t>￥：</w:t>
            </w:r>
          </w:p>
        </w:tc>
      </w:tr>
    </w:tbl>
    <w:p>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说明：磋商供应商如实填写表格，无相应内容可填的，填写“无”、“未测试”、“没有相应指标”等明确的回答文字，或用“</w:t>
      </w:r>
      <w:r>
        <w:rPr>
          <w:rFonts w:ascii="华文中宋" w:hAnsi="华文中宋" w:eastAsia="华文中宋"/>
          <w:szCs w:val="21"/>
          <w:highlight w:val="none"/>
        </w:rPr>
        <w:t>/</w:t>
      </w:r>
      <w:r>
        <w:rPr>
          <w:rFonts w:hint="eastAsia" w:ascii="华文中宋" w:hAnsi="华文中宋" w:eastAsia="华文中宋"/>
          <w:szCs w:val="21"/>
          <w:highlight w:val="none"/>
        </w:rPr>
        <w:t>”来表示。</w:t>
      </w:r>
    </w:p>
    <w:p>
      <w:pPr>
        <w:spacing w:line="360" w:lineRule="auto"/>
        <w:ind w:firstLine="420" w:firstLineChars="200"/>
        <w:jc w:val="right"/>
        <w:rPr>
          <w:rFonts w:ascii="华文中宋" w:hAnsi="华文中宋" w:eastAsia="华文中宋"/>
          <w:szCs w:val="21"/>
          <w:highlight w:val="none"/>
        </w:rPr>
      </w:pPr>
    </w:p>
    <w:p>
      <w:pPr>
        <w:widowControl/>
        <w:ind w:firstLine="5355" w:firstLineChars="2550"/>
        <w:jc w:val="center"/>
        <w:rPr>
          <w:rFonts w:ascii="华文中宋" w:hAnsi="华文中宋" w:eastAsia="华文中宋"/>
          <w:szCs w:val="21"/>
          <w:highlight w:val="none"/>
        </w:rPr>
      </w:pPr>
      <w:r>
        <w:rPr>
          <w:rFonts w:hint="eastAsia" w:ascii="华文中宋" w:hAnsi="华文中宋" w:eastAsia="华文中宋"/>
          <w:szCs w:val="21"/>
          <w:highlight w:val="none"/>
        </w:rPr>
        <w:t>磋商供应商：（</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w:t>
      </w:r>
    </w:p>
    <w:p>
      <w:pPr>
        <w:ind w:firstLine="8400" w:firstLineChars="4000"/>
        <w:rPr>
          <w:rFonts w:hint="eastAsia"/>
        </w:rPr>
        <w:sectPr>
          <w:pgSz w:w="16838" w:h="11906" w:orient="landscape"/>
          <w:pgMar w:top="1531" w:right="1135" w:bottom="1361" w:left="1021" w:header="851" w:footer="992" w:gutter="0"/>
          <w:pgNumType w:fmt="decimal"/>
          <w:cols w:space="720" w:num="1"/>
          <w:docGrid w:type="lines" w:linePitch="312" w:charSpace="0"/>
        </w:sectPr>
      </w:pPr>
      <w:r>
        <w:rPr>
          <w:rFonts w:hint="eastAsia" w:ascii="华文中宋" w:hAnsi="华文中宋" w:eastAsia="华文中宋"/>
          <w:szCs w:val="21"/>
          <w:highlight w:val="none"/>
        </w:rPr>
        <w:t>日期：     年   月   日</w:t>
      </w:r>
    </w:p>
    <w:p>
      <w:pPr>
        <w:jc w:val="left"/>
        <w:rPr>
          <w:rFonts w:ascii="华文中宋" w:hAnsi="华文中宋" w:eastAsia="华文中宋" w:cs="Times New Roman"/>
          <w:b/>
          <w:color w:val="auto"/>
          <w:sz w:val="24"/>
          <w:highlight w:val="none"/>
        </w:rPr>
      </w:pPr>
      <w:r>
        <w:rPr>
          <w:rFonts w:hint="eastAsia" w:ascii="华文中宋" w:hAnsi="华文中宋" w:eastAsia="华文中宋" w:cs="Times New Roman"/>
          <w:b/>
          <w:color w:val="auto"/>
          <w:sz w:val="24"/>
          <w:szCs w:val="24"/>
          <w:highlight w:val="none"/>
          <w:lang w:val="en-US" w:eastAsia="zh-CN"/>
        </w:rPr>
        <w:t>1-3</w:t>
      </w:r>
      <w:r>
        <w:rPr>
          <w:rFonts w:hint="eastAsia" w:ascii="华文中宋" w:hAnsi="华文中宋" w:eastAsia="华文中宋" w:cs="Times New Roman"/>
          <w:b/>
          <w:color w:val="auto"/>
          <w:sz w:val="24"/>
          <w:highlight w:val="none"/>
        </w:rPr>
        <w:t>小型、微企业</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残疾人福利性单位提供货物</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服务明细表格式</w:t>
      </w:r>
    </w:p>
    <w:p>
      <w:pPr>
        <w:snapToGrid w:val="0"/>
        <w:rPr>
          <w:rFonts w:ascii="华文中宋" w:hAnsi="华文中宋" w:eastAsia="华文中宋" w:cs="Times New Roman"/>
          <w:b/>
          <w:color w:val="auto"/>
          <w:sz w:val="24"/>
          <w:szCs w:val="24"/>
          <w:highlight w:val="none"/>
        </w:rPr>
      </w:pPr>
    </w:p>
    <w:p>
      <w:pPr>
        <w:spacing w:line="276" w:lineRule="auto"/>
        <w:jc w:val="center"/>
        <w:rPr>
          <w:rFonts w:ascii="华文中宋" w:hAnsi="华文中宋" w:eastAsia="华文中宋" w:cs="Times New Roman"/>
          <w:b/>
          <w:color w:val="auto"/>
          <w:sz w:val="24"/>
          <w:highlight w:val="none"/>
        </w:rPr>
      </w:pPr>
      <w:r>
        <w:rPr>
          <w:rFonts w:hint="eastAsia" w:ascii="华文中宋" w:hAnsi="华文中宋" w:eastAsia="华文中宋" w:cs="Times New Roman"/>
          <w:b/>
          <w:color w:val="auto"/>
          <w:sz w:val="24"/>
          <w:highlight w:val="none"/>
        </w:rPr>
        <w:t>小、微型企业</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残疾人福利性单位提供货物、服务明细表</w:t>
      </w:r>
    </w:p>
    <w:p>
      <w:pPr>
        <w:spacing w:line="276" w:lineRule="auto"/>
        <w:rPr>
          <w:rFonts w:ascii="华文中宋" w:hAnsi="华文中宋" w:eastAsia="华文中宋" w:cs="Times New Roman"/>
          <w:color w:val="auto"/>
          <w:szCs w:val="21"/>
          <w:highlight w:val="none"/>
          <w:u w:val="single"/>
        </w:rPr>
      </w:pPr>
    </w:p>
    <w:tbl>
      <w:tblPr>
        <w:tblStyle w:val="21"/>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50"/>
        <w:gridCol w:w="851"/>
        <w:gridCol w:w="709"/>
        <w:gridCol w:w="1417"/>
        <w:gridCol w:w="709"/>
        <w:gridCol w:w="850"/>
        <w:gridCol w:w="1560"/>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338"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包号</w:t>
            </w:r>
            <w:r>
              <w:rPr>
                <w:rFonts w:ascii="华文中宋" w:hAnsi="华文中宋" w:eastAsia="华文中宋" w:cs="Times New Roman"/>
                <w:bCs/>
                <w:color w:val="auto"/>
                <w:szCs w:val="21"/>
                <w:highlight w:val="none"/>
              </w:rPr>
              <w:t>/</w:t>
            </w:r>
            <w:r>
              <w:rPr>
                <w:rFonts w:hint="eastAsia" w:ascii="华文中宋" w:hAnsi="华文中宋" w:eastAsia="华文中宋" w:cs="Times New Roman"/>
                <w:bCs/>
                <w:color w:val="auto"/>
                <w:szCs w:val="21"/>
                <w:highlight w:val="none"/>
              </w:rPr>
              <w:t>序号</w:t>
            </w:r>
          </w:p>
        </w:tc>
        <w:tc>
          <w:tcPr>
            <w:tcW w:w="850" w:type="dxa"/>
            <w:vAlign w:val="center"/>
          </w:tcPr>
          <w:p>
            <w:pPr>
              <w:spacing w:line="276" w:lineRule="auto"/>
              <w:jc w:val="center"/>
              <w:rPr>
                <w:rFonts w:hint="eastAsia" w:ascii="华文中宋" w:hAnsi="华文中宋" w:eastAsia="华文中宋" w:cs="Times New Roman"/>
                <w:bCs/>
                <w:color w:val="auto"/>
                <w:szCs w:val="21"/>
                <w:highlight w:val="none"/>
                <w:lang w:eastAsia="zh-CN"/>
              </w:rPr>
            </w:pPr>
            <w:r>
              <w:rPr>
                <w:rFonts w:hint="eastAsia" w:ascii="华文中宋" w:hAnsi="华文中宋" w:eastAsia="华文中宋" w:cs="Times New Roman"/>
                <w:bCs/>
                <w:color w:val="auto"/>
                <w:szCs w:val="21"/>
                <w:highlight w:val="none"/>
                <w:lang w:eastAsia="zh-CN"/>
              </w:rPr>
              <w:t>货物/服务</w:t>
            </w:r>
          </w:p>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名称</w:t>
            </w:r>
          </w:p>
        </w:tc>
        <w:tc>
          <w:tcPr>
            <w:tcW w:w="851"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品牌</w:t>
            </w:r>
          </w:p>
        </w:tc>
        <w:tc>
          <w:tcPr>
            <w:tcW w:w="709"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规格型号</w:t>
            </w:r>
          </w:p>
        </w:tc>
        <w:tc>
          <w:tcPr>
            <w:tcW w:w="1417"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产地及厂家</w:t>
            </w:r>
          </w:p>
        </w:tc>
        <w:tc>
          <w:tcPr>
            <w:tcW w:w="709"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数量</w:t>
            </w:r>
          </w:p>
        </w:tc>
        <w:tc>
          <w:tcPr>
            <w:tcW w:w="850"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单价</w:t>
            </w:r>
          </w:p>
        </w:tc>
        <w:tc>
          <w:tcPr>
            <w:tcW w:w="1560"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小、微企业</w:t>
            </w:r>
          </w:p>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产品价格总价</w:t>
            </w:r>
          </w:p>
        </w:tc>
        <w:tc>
          <w:tcPr>
            <w:tcW w:w="2136" w:type="dxa"/>
            <w:vAlign w:val="center"/>
          </w:tcPr>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残疾人福利单位</w:t>
            </w:r>
          </w:p>
          <w:p>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产品价格总价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338" w:type="dxa"/>
            <w:vAlign w:val="center"/>
          </w:tcPr>
          <w:p>
            <w:pPr>
              <w:spacing w:line="276" w:lineRule="auto"/>
              <w:jc w:val="center"/>
              <w:rPr>
                <w:rFonts w:ascii="华文中宋" w:hAnsi="华文中宋" w:eastAsia="华文中宋" w:cs="Times New Roman"/>
                <w:bCs/>
                <w:color w:val="auto"/>
                <w:szCs w:val="21"/>
                <w:highlight w:val="none"/>
              </w:rPr>
            </w:pPr>
          </w:p>
        </w:tc>
        <w:tc>
          <w:tcPr>
            <w:tcW w:w="850" w:type="dxa"/>
            <w:vAlign w:val="center"/>
          </w:tcPr>
          <w:p>
            <w:pPr>
              <w:spacing w:line="276" w:lineRule="auto"/>
              <w:jc w:val="center"/>
              <w:rPr>
                <w:rFonts w:ascii="华文中宋" w:hAnsi="华文中宋" w:eastAsia="华文中宋" w:cs="Times New Roman"/>
                <w:bCs/>
                <w:color w:val="auto"/>
                <w:szCs w:val="21"/>
                <w:highlight w:val="none"/>
              </w:rPr>
            </w:pPr>
          </w:p>
        </w:tc>
        <w:tc>
          <w:tcPr>
            <w:tcW w:w="851" w:type="dxa"/>
            <w:vAlign w:val="center"/>
          </w:tcPr>
          <w:p>
            <w:pPr>
              <w:spacing w:line="276" w:lineRule="auto"/>
              <w:jc w:val="center"/>
              <w:rPr>
                <w:rFonts w:ascii="华文中宋" w:hAnsi="华文中宋" w:eastAsia="华文中宋" w:cs="Times New Roman"/>
                <w:bCs/>
                <w:color w:val="auto"/>
                <w:szCs w:val="21"/>
                <w:highlight w:val="none"/>
              </w:rPr>
            </w:pPr>
          </w:p>
        </w:tc>
        <w:tc>
          <w:tcPr>
            <w:tcW w:w="709" w:type="dxa"/>
            <w:vAlign w:val="center"/>
          </w:tcPr>
          <w:p>
            <w:pPr>
              <w:spacing w:line="276" w:lineRule="auto"/>
              <w:jc w:val="center"/>
              <w:rPr>
                <w:rFonts w:ascii="华文中宋" w:hAnsi="华文中宋" w:eastAsia="华文中宋" w:cs="Times New Roman"/>
                <w:bCs/>
                <w:color w:val="auto"/>
                <w:szCs w:val="21"/>
                <w:highlight w:val="none"/>
                <w:vertAlign w:val="superscript"/>
              </w:rPr>
            </w:pPr>
          </w:p>
        </w:tc>
        <w:tc>
          <w:tcPr>
            <w:tcW w:w="1417" w:type="dxa"/>
            <w:vAlign w:val="center"/>
          </w:tcPr>
          <w:p>
            <w:pPr>
              <w:spacing w:line="276" w:lineRule="auto"/>
              <w:jc w:val="center"/>
              <w:rPr>
                <w:rFonts w:ascii="华文中宋" w:hAnsi="华文中宋" w:eastAsia="华文中宋" w:cs="Times New Roman"/>
                <w:bCs/>
                <w:color w:val="auto"/>
                <w:szCs w:val="21"/>
                <w:highlight w:val="none"/>
                <w:vertAlign w:val="superscript"/>
              </w:rPr>
            </w:pPr>
          </w:p>
        </w:tc>
        <w:tc>
          <w:tcPr>
            <w:tcW w:w="709" w:type="dxa"/>
            <w:vAlign w:val="center"/>
          </w:tcPr>
          <w:p>
            <w:pPr>
              <w:spacing w:line="276" w:lineRule="auto"/>
              <w:jc w:val="center"/>
              <w:rPr>
                <w:rFonts w:ascii="华文中宋" w:hAnsi="华文中宋" w:eastAsia="华文中宋" w:cs="Times New Roman"/>
                <w:bCs/>
                <w:color w:val="auto"/>
                <w:szCs w:val="21"/>
                <w:highlight w:val="none"/>
              </w:rPr>
            </w:pPr>
          </w:p>
        </w:tc>
        <w:tc>
          <w:tcPr>
            <w:tcW w:w="850" w:type="dxa"/>
            <w:vAlign w:val="center"/>
          </w:tcPr>
          <w:p>
            <w:pPr>
              <w:spacing w:line="276" w:lineRule="auto"/>
              <w:jc w:val="center"/>
              <w:rPr>
                <w:rFonts w:ascii="华文中宋" w:hAnsi="华文中宋" w:eastAsia="华文中宋" w:cs="Times New Roman"/>
                <w:bCs/>
                <w:color w:val="auto"/>
                <w:szCs w:val="21"/>
                <w:highlight w:val="none"/>
              </w:rPr>
            </w:pPr>
          </w:p>
        </w:tc>
        <w:tc>
          <w:tcPr>
            <w:tcW w:w="1560" w:type="dxa"/>
            <w:vAlign w:val="center"/>
          </w:tcPr>
          <w:p>
            <w:pPr>
              <w:spacing w:line="276" w:lineRule="auto"/>
              <w:jc w:val="center"/>
              <w:rPr>
                <w:rFonts w:ascii="华文中宋" w:hAnsi="华文中宋" w:eastAsia="华文中宋" w:cs="Times New Roman"/>
                <w:bCs/>
                <w:color w:val="auto"/>
                <w:szCs w:val="21"/>
                <w:highlight w:val="none"/>
              </w:rPr>
            </w:pPr>
          </w:p>
        </w:tc>
        <w:tc>
          <w:tcPr>
            <w:tcW w:w="2136" w:type="dxa"/>
            <w:vAlign w:val="center"/>
          </w:tcPr>
          <w:p>
            <w:pPr>
              <w:spacing w:line="276" w:lineRule="auto"/>
              <w:jc w:val="center"/>
              <w:rPr>
                <w:rFonts w:ascii="华文中宋" w:hAnsi="华文中宋" w:eastAsia="华文中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338" w:type="dxa"/>
            <w:vAlign w:val="center"/>
          </w:tcPr>
          <w:p>
            <w:pPr>
              <w:spacing w:line="276" w:lineRule="auto"/>
              <w:jc w:val="center"/>
              <w:rPr>
                <w:rFonts w:ascii="华文中宋" w:hAnsi="华文中宋" w:eastAsia="华文中宋" w:cs="Times New Roman"/>
                <w:bCs/>
                <w:color w:val="auto"/>
                <w:szCs w:val="21"/>
                <w:highlight w:val="none"/>
              </w:rPr>
            </w:pPr>
          </w:p>
        </w:tc>
        <w:tc>
          <w:tcPr>
            <w:tcW w:w="850" w:type="dxa"/>
            <w:vAlign w:val="center"/>
          </w:tcPr>
          <w:p>
            <w:pPr>
              <w:spacing w:line="276" w:lineRule="auto"/>
              <w:jc w:val="center"/>
              <w:rPr>
                <w:rFonts w:ascii="华文中宋" w:hAnsi="华文中宋" w:eastAsia="华文中宋" w:cs="Times New Roman"/>
                <w:bCs/>
                <w:color w:val="auto"/>
                <w:szCs w:val="21"/>
                <w:highlight w:val="none"/>
              </w:rPr>
            </w:pPr>
          </w:p>
        </w:tc>
        <w:tc>
          <w:tcPr>
            <w:tcW w:w="851" w:type="dxa"/>
            <w:vAlign w:val="center"/>
          </w:tcPr>
          <w:p>
            <w:pPr>
              <w:spacing w:line="276" w:lineRule="auto"/>
              <w:jc w:val="center"/>
              <w:rPr>
                <w:rFonts w:ascii="华文中宋" w:hAnsi="华文中宋" w:eastAsia="华文中宋" w:cs="Times New Roman"/>
                <w:bCs/>
                <w:color w:val="auto"/>
                <w:szCs w:val="21"/>
                <w:highlight w:val="none"/>
              </w:rPr>
            </w:pPr>
          </w:p>
        </w:tc>
        <w:tc>
          <w:tcPr>
            <w:tcW w:w="709" w:type="dxa"/>
            <w:vAlign w:val="center"/>
          </w:tcPr>
          <w:p>
            <w:pPr>
              <w:spacing w:line="276" w:lineRule="auto"/>
              <w:jc w:val="center"/>
              <w:rPr>
                <w:rFonts w:ascii="华文中宋" w:hAnsi="华文中宋" w:eastAsia="华文中宋" w:cs="Times New Roman"/>
                <w:bCs/>
                <w:color w:val="auto"/>
                <w:szCs w:val="21"/>
                <w:highlight w:val="none"/>
                <w:vertAlign w:val="superscript"/>
              </w:rPr>
            </w:pPr>
          </w:p>
        </w:tc>
        <w:tc>
          <w:tcPr>
            <w:tcW w:w="1417" w:type="dxa"/>
            <w:vAlign w:val="center"/>
          </w:tcPr>
          <w:p>
            <w:pPr>
              <w:spacing w:line="276" w:lineRule="auto"/>
              <w:jc w:val="center"/>
              <w:rPr>
                <w:rFonts w:ascii="华文中宋" w:hAnsi="华文中宋" w:eastAsia="华文中宋" w:cs="Times New Roman"/>
                <w:bCs/>
                <w:color w:val="auto"/>
                <w:szCs w:val="21"/>
                <w:highlight w:val="none"/>
                <w:vertAlign w:val="superscript"/>
              </w:rPr>
            </w:pPr>
          </w:p>
        </w:tc>
        <w:tc>
          <w:tcPr>
            <w:tcW w:w="709" w:type="dxa"/>
            <w:vAlign w:val="center"/>
          </w:tcPr>
          <w:p>
            <w:pPr>
              <w:spacing w:line="276" w:lineRule="auto"/>
              <w:jc w:val="center"/>
              <w:rPr>
                <w:rFonts w:ascii="华文中宋" w:hAnsi="华文中宋" w:eastAsia="华文中宋" w:cs="Times New Roman"/>
                <w:bCs/>
                <w:color w:val="auto"/>
                <w:szCs w:val="21"/>
                <w:highlight w:val="none"/>
              </w:rPr>
            </w:pPr>
          </w:p>
        </w:tc>
        <w:tc>
          <w:tcPr>
            <w:tcW w:w="850" w:type="dxa"/>
            <w:vAlign w:val="center"/>
          </w:tcPr>
          <w:p>
            <w:pPr>
              <w:spacing w:line="276" w:lineRule="auto"/>
              <w:jc w:val="center"/>
              <w:rPr>
                <w:rFonts w:ascii="华文中宋" w:hAnsi="华文中宋" w:eastAsia="华文中宋" w:cs="Times New Roman"/>
                <w:bCs/>
                <w:color w:val="auto"/>
                <w:szCs w:val="21"/>
                <w:highlight w:val="none"/>
              </w:rPr>
            </w:pPr>
          </w:p>
        </w:tc>
        <w:tc>
          <w:tcPr>
            <w:tcW w:w="1560" w:type="dxa"/>
            <w:vAlign w:val="center"/>
          </w:tcPr>
          <w:p>
            <w:pPr>
              <w:spacing w:line="276" w:lineRule="auto"/>
              <w:jc w:val="center"/>
              <w:rPr>
                <w:rFonts w:ascii="华文中宋" w:hAnsi="华文中宋" w:eastAsia="华文中宋" w:cs="Times New Roman"/>
                <w:bCs/>
                <w:color w:val="auto"/>
                <w:szCs w:val="21"/>
                <w:highlight w:val="none"/>
              </w:rPr>
            </w:pPr>
          </w:p>
        </w:tc>
        <w:tc>
          <w:tcPr>
            <w:tcW w:w="2136" w:type="dxa"/>
            <w:vAlign w:val="center"/>
          </w:tcPr>
          <w:p>
            <w:pPr>
              <w:spacing w:line="276" w:lineRule="auto"/>
              <w:jc w:val="center"/>
              <w:rPr>
                <w:rFonts w:ascii="华文中宋" w:hAnsi="华文中宋" w:eastAsia="华文中宋" w:cs="Times New Roman"/>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724" w:type="dxa"/>
            <w:gridSpan w:val="7"/>
            <w:vAlign w:val="center"/>
          </w:tcPr>
          <w:p>
            <w:pPr>
              <w:spacing w:line="276" w:lineRule="auto"/>
              <w:rPr>
                <w:rFonts w:ascii="华文中宋" w:hAnsi="华文中宋" w:eastAsia="华文中宋" w:cs="Times New Roman"/>
                <w:bCs/>
                <w:color w:val="auto"/>
                <w:szCs w:val="21"/>
                <w:highlight w:val="none"/>
              </w:rPr>
            </w:pPr>
          </w:p>
        </w:tc>
        <w:tc>
          <w:tcPr>
            <w:tcW w:w="1560" w:type="dxa"/>
            <w:vAlign w:val="center"/>
          </w:tcPr>
          <w:p>
            <w:pPr>
              <w:spacing w:line="276" w:lineRule="auto"/>
              <w:jc w:val="left"/>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小、微企业产品价格合计：</w:t>
            </w:r>
          </w:p>
        </w:tc>
        <w:tc>
          <w:tcPr>
            <w:tcW w:w="2136" w:type="dxa"/>
            <w:vAlign w:val="center"/>
          </w:tcPr>
          <w:p>
            <w:pPr>
              <w:spacing w:line="276" w:lineRule="auto"/>
              <w:jc w:val="left"/>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残疾人福利单位产品价格合计：</w:t>
            </w:r>
          </w:p>
        </w:tc>
      </w:tr>
    </w:tbl>
    <w:p>
      <w:pPr>
        <w:spacing w:line="276" w:lineRule="auto"/>
        <w:ind w:firstLine="420" w:firstLineChars="200"/>
        <w:rPr>
          <w:rFonts w:eastAsia="宋体" w:cs="Times New Roman"/>
          <w:color w:val="auto"/>
          <w:highlight w:val="none"/>
        </w:rPr>
      </w:pPr>
      <w:r>
        <w:rPr>
          <w:rFonts w:hint="eastAsia" w:ascii="华文中宋" w:hAnsi="华文中宋" w:eastAsia="华文中宋" w:cs="Times New Roman"/>
          <w:color w:val="auto"/>
          <w:szCs w:val="21"/>
          <w:highlight w:val="none"/>
        </w:rPr>
        <w:t>说明：磋商供应商如实填写表格，无相应内容可填的，填写“无”、“未测试”、“没有相应指标”等明确的回答文字，或用“</w:t>
      </w:r>
      <w:r>
        <w:rPr>
          <w:rFonts w:ascii="华文中宋" w:hAnsi="华文中宋" w:eastAsia="华文中宋" w:cs="Times New Roman"/>
          <w:color w:val="auto"/>
          <w:szCs w:val="21"/>
          <w:highlight w:val="none"/>
        </w:rPr>
        <w:t>/</w:t>
      </w:r>
      <w:r>
        <w:rPr>
          <w:rFonts w:hint="eastAsia" w:ascii="华文中宋" w:hAnsi="华文中宋" w:eastAsia="华文中宋" w:cs="Times New Roman"/>
          <w:color w:val="auto"/>
          <w:szCs w:val="21"/>
          <w:highlight w:val="none"/>
        </w:rPr>
        <w:t>”来表示。</w:t>
      </w:r>
    </w:p>
    <w:p>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1-4</w:t>
      </w:r>
      <w:r>
        <w:rPr>
          <w:rFonts w:hint="eastAsia" w:ascii="宋体" w:hAnsi="宋体" w:eastAsia="宋体" w:cs="宋体"/>
          <w:b/>
          <w:color w:val="auto"/>
          <w:sz w:val="24"/>
          <w:highlight w:val="none"/>
        </w:rPr>
        <w:t>中小企业声明函格式</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按《政府采购促进中小企业发展管理办法》（财库〔2020〕46号）规定提供（若有的话，以包为单位分别填写）</w:t>
      </w:r>
    </w:p>
    <w:p>
      <w:pPr>
        <w:tabs>
          <w:tab w:val="left" w:pos="1680"/>
        </w:tabs>
        <w:snapToGrid/>
        <w:spacing w:line="240" w:lineRule="auto"/>
        <w:jc w:val="left"/>
        <w:outlineLvl w:val="9"/>
        <w:rPr>
          <w:rFonts w:hint="eastAsia" w:ascii="宋体" w:hAnsi="宋体" w:eastAsia="宋体" w:cs="宋体"/>
          <w:color w:val="auto"/>
          <w:highlight w:val="none"/>
        </w:rPr>
      </w:pPr>
    </w:p>
    <w:p>
      <w:pPr>
        <w:tabs>
          <w:tab w:val="left" w:pos="1680"/>
        </w:tabs>
        <w:snapToGrid w:val="0"/>
        <w:spacing w:line="440" w:lineRule="exact"/>
        <w:jc w:val="cente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（货物）</w:t>
      </w:r>
    </w:p>
    <w:p>
      <w:pPr>
        <w:tabs>
          <w:tab w:val="left" w:pos="1680"/>
        </w:tabs>
        <w:snapToGrid w:val="0"/>
        <w:spacing w:line="440" w:lineRule="exact"/>
        <w:jc w:val="center"/>
        <w:rPr>
          <w:rFonts w:hint="eastAsia" w:ascii="宋体" w:hAnsi="宋体" w:eastAsia="宋体" w:cs="宋体"/>
          <w:b/>
          <w:color w:val="auto"/>
          <w:sz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 （含联合体中的中小企业、签订分包意向协议的中小企业） 的具体情况如下：</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 企业、微型企业）</w:t>
      </w:r>
      <w:r>
        <w:rPr>
          <w:rFonts w:hint="eastAsia" w:ascii="宋体" w:hAnsi="宋体" w:eastAsia="宋体" w:cs="宋体"/>
          <w:color w:val="auto"/>
          <w:sz w:val="21"/>
          <w:szCs w:val="21"/>
          <w:highlight w:val="none"/>
        </w:rPr>
        <w:t xml:space="preserve">；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600" w:left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不存在控股股东为大企业的情形，也不存在与大企业的负责人为同一人的情形。</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pPr>
        <w:pStyle w:val="29"/>
        <w:numPr>
          <w:ilvl w:val="0"/>
          <w:numId w:val="0"/>
        </w:numPr>
        <w:snapToGrid w:val="0"/>
        <w:spacing w:line="440" w:lineRule="exact"/>
        <w:ind w:left="60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napToGrid w:val="0"/>
        <w:spacing w:line="44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（法人电子签章）</w:t>
      </w:r>
    </w:p>
    <w:p>
      <w:pPr>
        <w:spacing w:line="44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pStyle w:val="2"/>
        <w:rPr>
          <w:rFonts w:hint="eastAsia" w:ascii="宋体" w:hAnsi="宋体" w:eastAsia="宋体" w:cs="宋体"/>
          <w:color w:val="auto"/>
          <w:highlight w:val="none"/>
        </w:rPr>
      </w:pPr>
    </w:p>
    <w:p>
      <w:pPr>
        <w:spacing w:line="588" w:lineRule="exact"/>
        <w:jc w:val="lef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br w:type="page"/>
      </w:r>
      <w:r>
        <w:rPr>
          <w:rFonts w:hint="eastAsia" w:ascii="宋体" w:hAnsi="宋体" w:eastAsia="宋体" w:cs="宋体"/>
          <w:b/>
          <w:color w:val="auto"/>
          <w:spacing w:val="6"/>
          <w:sz w:val="24"/>
          <w:highlight w:val="none"/>
          <w:lang w:val="en-US" w:eastAsia="zh-CN"/>
        </w:rPr>
        <w:t>1-5</w:t>
      </w:r>
      <w:r>
        <w:rPr>
          <w:rFonts w:hint="eastAsia" w:ascii="宋体" w:hAnsi="宋体" w:eastAsia="宋体" w:cs="宋体"/>
          <w:b/>
          <w:color w:val="auto"/>
          <w:spacing w:val="6"/>
          <w:sz w:val="24"/>
          <w:highlight w:val="none"/>
        </w:rPr>
        <w:t>残疾人福利性单位声明函</w:t>
      </w:r>
      <w:r>
        <w:rPr>
          <w:rFonts w:hint="eastAsia" w:ascii="宋体" w:hAnsi="宋体" w:eastAsia="宋体" w:cs="宋体"/>
          <w:b/>
          <w:color w:val="auto"/>
          <w:sz w:val="24"/>
          <w:highlight w:val="none"/>
        </w:rPr>
        <w:t>格式（若有的话）</w:t>
      </w:r>
    </w:p>
    <w:p>
      <w:pPr>
        <w:spacing w:line="588" w:lineRule="exact"/>
        <w:jc w:val="center"/>
        <w:rPr>
          <w:rFonts w:hint="eastAsia" w:ascii="宋体" w:hAnsi="宋体" w:eastAsia="宋体" w:cs="宋体"/>
          <w:b/>
          <w:color w:val="auto"/>
          <w:spacing w:val="6"/>
          <w:sz w:val="24"/>
          <w:highlight w:val="none"/>
        </w:rPr>
      </w:pPr>
    </w:p>
    <w:p>
      <w:pPr>
        <w:spacing w:line="588" w:lineRule="exact"/>
        <w:jc w:val="center"/>
        <w:rPr>
          <w:rFonts w:hint="eastAsia" w:ascii="宋体" w:hAnsi="宋体" w:eastAsia="宋体" w:cs="宋体"/>
          <w:color w:val="auto"/>
          <w:highlight w:val="none"/>
          <w:lang w:eastAsia="zh-CN"/>
        </w:rPr>
      </w:pPr>
      <w:r>
        <w:rPr>
          <w:rFonts w:hint="eastAsia" w:ascii="宋体" w:hAnsi="宋体" w:eastAsia="宋体" w:cs="宋体"/>
          <w:b/>
          <w:color w:val="auto"/>
          <w:spacing w:val="6"/>
          <w:sz w:val="24"/>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pacing w:val="6"/>
          <w:szCs w:val="21"/>
          <w:highlight w:val="none"/>
        </w:rPr>
        <w:t>）：</w:t>
      </w:r>
    </w:p>
    <w:p>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pPr>
        <w:spacing w:line="440" w:lineRule="exact"/>
        <w:ind w:firstLine="3552" w:firstLineChars="1600"/>
        <w:rPr>
          <w:rFonts w:hint="eastAsia" w:ascii="宋体" w:hAnsi="宋体" w:eastAsia="宋体" w:cs="宋体"/>
          <w:color w:val="auto"/>
          <w:sz w:val="21"/>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81" w:firstLineChars="200"/>
        <w:jc w:val="center"/>
        <w:textAlignment w:val="auto"/>
        <w:rPr>
          <w:rFonts w:hint="eastAsia" w:ascii="宋体" w:hAnsi="宋体" w:eastAsia="宋体" w:cs="宋体"/>
          <w:b/>
          <w:color w:val="auto"/>
          <w:sz w:val="24"/>
          <w:highlight w:val="none"/>
        </w:rPr>
      </w:pPr>
    </w:p>
    <w:p>
      <w:pPr>
        <w:spacing w:line="360" w:lineRule="auto"/>
        <w:ind w:firstLine="421" w:firstLineChars="200"/>
        <w:rPr>
          <w:rFonts w:hint="eastAsia" w:ascii="宋体" w:hAnsi="宋体" w:eastAsia="宋体" w:cs="宋体"/>
          <w:b/>
          <w:color w:val="auto"/>
          <w:szCs w:val="21"/>
          <w:highlight w:val="none"/>
        </w:rPr>
      </w:pPr>
    </w:p>
    <w:p>
      <w:pPr>
        <w:spacing w:line="360" w:lineRule="auto"/>
        <w:ind w:firstLine="421" w:firstLineChars="200"/>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中标人为残疾人福利性单位的，</w:t>
      </w:r>
      <w:r>
        <w:rPr>
          <w:rFonts w:hint="eastAsia" w:ascii="宋体" w:hAnsi="宋体" w:eastAsia="宋体" w:cs="宋体"/>
          <w:b/>
          <w:color w:val="auto"/>
          <w:highlight w:val="none"/>
          <w:lang w:eastAsia="zh-CN"/>
        </w:rPr>
        <w:t>采购代理机构</w:t>
      </w:r>
      <w:r>
        <w:rPr>
          <w:rFonts w:hint="eastAsia" w:ascii="宋体" w:hAnsi="宋体" w:eastAsia="宋体" w:cs="宋体"/>
          <w:b/>
          <w:color w:val="auto"/>
          <w:highlight w:val="none"/>
        </w:rPr>
        <w:t>随中标结果同时公告其《残疾人福利性单位声明函》</w:t>
      </w:r>
    </w:p>
    <w:p>
      <w:pPr>
        <w:spacing w:line="360" w:lineRule="auto"/>
        <w:ind w:left="360" w:hanging="361" w:hangingChars="150"/>
        <w:rPr>
          <w:rFonts w:hint="eastAsia" w:ascii="宋体" w:hAnsi="宋体" w:eastAsia="宋体" w:cs="宋体"/>
          <w:b/>
          <w:color w:val="auto"/>
          <w:sz w:val="24"/>
          <w:highlight w:val="none"/>
        </w:rPr>
      </w:pPr>
    </w:p>
    <w:p>
      <w:pPr>
        <w:spacing w:line="360" w:lineRule="auto"/>
        <w:ind w:left="360" w:hanging="361" w:hangingChars="150"/>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p>
    <w:p>
      <w:pPr>
        <w:spacing w:line="360" w:lineRule="auto"/>
        <w:ind w:left="420" w:leftChars="200" w:firstLine="105" w:firstLineChars="5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color w:val="auto"/>
          <w:sz w:val="24"/>
          <w:highlight w:val="none"/>
        </w:rPr>
        <w:br w:type="page"/>
      </w:r>
    </w:p>
    <w:p>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对商务要求的响应内容</w:t>
      </w:r>
      <w:r>
        <w:rPr>
          <w:rFonts w:hint="eastAsia" w:ascii="宋体" w:hAnsi="宋体" w:eastAsia="宋体" w:cs="宋体"/>
          <w:b/>
          <w:color w:val="auto"/>
          <w:sz w:val="24"/>
          <w:highlight w:val="none"/>
          <w:lang w:eastAsia="zh-CN"/>
        </w:rPr>
        <w:t>格式</w:t>
      </w:r>
    </w:p>
    <w:p>
      <w:pPr>
        <w:pStyle w:val="2"/>
        <w:rPr>
          <w:rFonts w:hint="eastAsia" w:ascii="宋体" w:hAnsi="宋体" w:eastAsia="宋体" w:cs="宋体"/>
          <w:color w:val="auto"/>
          <w:highlight w:val="none"/>
          <w:lang w:val="en-US" w:eastAsia="zh-CN"/>
        </w:rPr>
      </w:pPr>
    </w:p>
    <w:p>
      <w:pPr>
        <w:spacing w:line="360" w:lineRule="auto"/>
        <w:ind w:left="360" w:hanging="361" w:hangingChars="1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对</w:t>
      </w:r>
      <w:r>
        <w:rPr>
          <w:rFonts w:hint="eastAsia" w:ascii="宋体" w:hAnsi="宋体" w:eastAsia="宋体" w:cs="宋体"/>
          <w:b/>
          <w:color w:val="auto"/>
          <w:sz w:val="24"/>
          <w:highlight w:val="none"/>
        </w:rPr>
        <w:t>商务要求的响应内容</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25"/>
        <w:gridCol w:w="140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425"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招标文件商务要求内容</w:t>
            </w:r>
          </w:p>
        </w:tc>
        <w:tc>
          <w:tcPr>
            <w:tcW w:w="1400"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（填是或否）</w:t>
            </w:r>
          </w:p>
        </w:tc>
        <w:tc>
          <w:tcPr>
            <w:tcW w:w="1880"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425" w:type="dxa"/>
            <w:vAlign w:val="top"/>
          </w:tcPr>
          <w:p>
            <w:pPr>
              <w:pStyle w:val="2"/>
              <w:rPr>
                <w:rFonts w:hint="eastAsia" w:ascii="宋体" w:hAnsi="宋体" w:eastAsia="宋体" w:cs="宋体"/>
                <w:color w:val="auto"/>
                <w:highlight w:val="none"/>
                <w:vertAlign w:val="baseline"/>
              </w:rPr>
            </w:pPr>
          </w:p>
        </w:tc>
        <w:tc>
          <w:tcPr>
            <w:tcW w:w="1400" w:type="dxa"/>
            <w:vAlign w:val="top"/>
          </w:tcPr>
          <w:p>
            <w:pPr>
              <w:pStyle w:val="2"/>
              <w:rPr>
                <w:rFonts w:hint="eastAsia" w:ascii="宋体" w:hAnsi="宋体" w:eastAsia="宋体" w:cs="宋体"/>
                <w:color w:val="auto"/>
                <w:highlight w:val="none"/>
                <w:vertAlign w:val="baseline"/>
              </w:rPr>
            </w:pPr>
          </w:p>
        </w:tc>
        <w:tc>
          <w:tcPr>
            <w:tcW w:w="1880"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425" w:type="dxa"/>
            <w:vAlign w:val="top"/>
          </w:tcPr>
          <w:p>
            <w:pPr>
              <w:pStyle w:val="2"/>
              <w:rPr>
                <w:rFonts w:hint="eastAsia" w:ascii="宋体" w:hAnsi="宋体" w:eastAsia="宋体" w:cs="宋体"/>
                <w:color w:val="auto"/>
                <w:highlight w:val="none"/>
                <w:vertAlign w:val="baseline"/>
              </w:rPr>
            </w:pPr>
          </w:p>
        </w:tc>
        <w:tc>
          <w:tcPr>
            <w:tcW w:w="1400" w:type="dxa"/>
            <w:vAlign w:val="top"/>
          </w:tcPr>
          <w:p>
            <w:pPr>
              <w:pStyle w:val="2"/>
              <w:rPr>
                <w:rFonts w:hint="eastAsia" w:ascii="宋体" w:hAnsi="宋体" w:eastAsia="宋体" w:cs="宋体"/>
                <w:color w:val="auto"/>
                <w:highlight w:val="none"/>
                <w:vertAlign w:val="baseline"/>
              </w:rPr>
            </w:pPr>
          </w:p>
        </w:tc>
        <w:tc>
          <w:tcPr>
            <w:tcW w:w="1880"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425" w:type="dxa"/>
            <w:vAlign w:val="top"/>
          </w:tcPr>
          <w:p>
            <w:pPr>
              <w:pStyle w:val="2"/>
              <w:rPr>
                <w:rFonts w:hint="eastAsia" w:ascii="宋体" w:hAnsi="宋体" w:eastAsia="宋体" w:cs="宋体"/>
                <w:color w:val="auto"/>
                <w:highlight w:val="none"/>
                <w:vertAlign w:val="baseline"/>
              </w:rPr>
            </w:pPr>
          </w:p>
        </w:tc>
        <w:tc>
          <w:tcPr>
            <w:tcW w:w="1400" w:type="dxa"/>
            <w:vAlign w:val="top"/>
          </w:tcPr>
          <w:p>
            <w:pPr>
              <w:pStyle w:val="2"/>
              <w:rPr>
                <w:rFonts w:hint="eastAsia" w:ascii="宋体" w:hAnsi="宋体" w:eastAsia="宋体" w:cs="宋体"/>
                <w:color w:val="auto"/>
                <w:highlight w:val="none"/>
                <w:vertAlign w:val="baseline"/>
              </w:rPr>
            </w:pPr>
          </w:p>
        </w:tc>
        <w:tc>
          <w:tcPr>
            <w:tcW w:w="1880"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425" w:type="dxa"/>
            <w:vAlign w:val="top"/>
          </w:tcPr>
          <w:p>
            <w:pPr>
              <w:pStyle w:val="2"/>
              <w:rPr>
                <w:rFonts w:hint="eastAsia" w:ascii="宋体" w:hAnsi="宋体" w:eastAsia="宋体" w:cs="宋体"/>
                <w:color w:val="auto"/>
                <w:highlight w:val="none"/>
                <w:vertAlign w:val="baseline"/>
              </w:rPr>
            </w:pPr>
          </w:p>
        </w:tc>
        <w:tc>
          <w:tcPr>
            <w:tcW w:w="1400" w:type="dxa"/>
            <w:vAlign w:val="top"/>
          </w:tcPr>
          <w:p>
            <w:pPr>
              <w:pStyle w:val="2"/>
              <w:rPr>
                <w:rFonts w:hint="eastAsia" w:ascii="宋体" w:hAnsi="宋体" w:eastAsia="宋体" w:cs="宋体"/>
                <w:color w:val="auto"/>
                <w:highlight w:val="none"/>
                <w:vertAlign w:val="baseline"/>
              </w:rPr>
            </w:pPr>
          </w:p>
        </w:tc>
        <w:tc>
          <w:tcPr>
            <w:tcW w:w="1880"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425" w:type="dxa"/>
            <w:vAlign w:val="top"/>
          </w:tcPr>
          <w:p>
            <w:pPr>
              <w:pStyle w:val="2"/>
              <w:rPr>
                <w:rFonts w:hint="eastAsia" w:ascii="宋体" w:hAnsi="宋体" w:eastAsia="宋体" w:cs="宋体"/>
                <w:color w:val="auto"/>
                <w:highlight w:val="none"/>
                <w:vertAlign w:val="baseline"/>
              </w:rPr>
            </w:pPr>
          </w:p>
        </w:tc>
        <w:tc>
          <w:tcPr>
            <w:tcW w:w="1400" w:type="dxa"/>
            <w:vAlign w:val="top"/>
          </w:tcPr>
          <w:p>
            <w:pPr>
              <w:pStyle w:val="2"/>
              <w:rPr>
                <w:rFonts w:hint="eastAsia" w:ascii="宋体" w:hAnsi="宋体" w:eastAsia="宋体" w:cs="宋体"/>
                <w:color w:val="auto"/>
                <w:highlight w:val="none"/>
                <w:vertAlign w:val="baseline"/>
              </w:rPr>
            </w:pPr>
          </w:p>
        </w:tc>
        <w:tc>
          <w:tcPr>
            <w:tcW w:w="1880" w:type="dxa"/>
            <w:vAlign w:val="top"/>
          </w:tcPr>
          <w:p>
            <w:pPr>
              <w:pStyle w:val="2"/>
              <w:rPr>
                <w:rFonts w:hint="eastAsia" w:ascii="宋体" w:hAnsi="宋体" w:eastAsia="宋体" w:cs="宋体"/>
                <w:color w:val="auto"/>
                <w:highlight w:val="none"/>
                <w:vertAlign w:val="baseline"/>
              </w:rPr>
            </w:pPr>
          </w:p>
        </w:tc>
      </w:tr>
    </w:tbl>
    <w:p>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①投标人</w:t>
      </w:r>
      <w:r>
        <w:rPr>
          <w:rFonts w:hint="eastAsia" w:ascii="宋体" w:hAnsi="宋体" w:eastAsia="宋体" w:cs="宋体"/>
          <w:color w:val="auto"/>
          <w:szCs w:val="21"/>
          <w:highlight w:val="none"/>
        </w:rPr>
        <w:t>根据本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文件第四部分商务要求中的内容（例如：交货时间、交货地点、付款方式、履约保证金等）进行响应。</w:t>
      </w:r>
    </w:p>
    <w:p>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②投标人如实填写表格，</w:t>
      </w:r>
      <w:r>
        <w:rPr>
          <w:rFonts w:hint="eastAsia" w:ascii="宋体" w:hAnsi="宋体" w:eastAsia="宋体" w:cs="宋体"/>
          <w:color w:val="auto"/>
          <w:szCs w:val="21"/>
          <w:highlight w:val="none"/>
          <w:lang w:eastAsia="zh-CN"/>
        </w:rPr>
        <w:t>有偏离情况的，需说明偏离内容；</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偏离情况</w:t>
      </w:r>
      <w:r>
        <w:rPr>
          <w:rFonts w:hint="eastAsia" w:ascii="宋体" w:hAnsi="宋体" w:eastAsia="宋体" w:cs="宋体"/>
          <w:color w:val="auto"/>
          <w:szCs w:val="21"/>
          <w:highlight w:val="none"/>
        </w:rPr>
        <w:t>的，填写“无”或“</w:t>
      </w:r>
      <w:r>
        <w:rPr>
          <w:rFonts w:hint="eastAsia" w:ascii="宋体" w:hAnsi="宋体" w:eastAsia="宋体" w:cs="宋体"/>
          <w:color w:val="auto"/>
          <w:szCs w:val="21"/>
          <w:highlight w:val="none"/>
          <w:lang w:eastAsia="zh-CN"/>
        </w:rPr>
        <w:t>无偏离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pStyle w:val="2"/>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Cs w:val="21"/>
          <w:highlight w:val="none"/>
          <w:lang w:eastAsia="zh-CN"/>
        </w:rPr>
      </w:pPr>
    </w:p>
    <w:p>
      <w:pPr>
        <w:spacing w:line="360" w:lineRule="auto"/>
        <w:ind w:firstLine="424" w:firstLineChars="202"/>
        <w:rPr>
          <w:rFonts w:hint="eastAsia" w:ascii="宋体" w:hAnsi="宋体" w:eastAsia="宋体" w:cs="宋体"/>
          <w:color w:val="auto"/>
          <w:szCs w:val="21"/>
          <w:highlight w:val="none"/>
          <w:lang w:eastAsia="zh-CN"/>
        </w:rPr>
      </w:pPr>
    </w:p>
    <w:p>
      <w:pPr>
        <w:snapToGrid w:val="0"/>
        <w:spacing w:line="360" w:lineRule="auto"/>
        <w:ind w:firstLine="1998" w:firstLineChars="9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pPr>
        <w:spacing w:line="440" w:lineRule="exact"/>
        <w:ind w:left="1890" w:leftChars="900"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lang w:val="en-US"/>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val="en-US" w:eastAsia="zh-CN"/>
        </w:rPr>
        <w:t>三、对实质性要求的响应内容</w:t>
      </w:r>
    </w:p>
    <w:p>
      <w:pPr>
        <w:snapToGrid w:val="0"/>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 xml:space="preserve">3-1 </w:t>
      </w:r>
      <w:r>
        <w:rPr>
          <w:rFonts w:hint="eastAsia" w:ascii="宋体" w:hAnsi="宋体" w:eastAsia="宋体" w:cs="宋体"/>
          <w:b/>
          <w:color w:val="auto"/>
          <w:sz w:val="24"/>
          <w:highlight w:val="none"/>
        </w:rPr>
        <w:t>对实质性要求的响应内容</w:t>
      </w:r>
      <w:r>
        <w:rPr>
          <w:rFonts w:hint="eastAsia" w:ascii="宋体" w:hAnsi="宋体" w:eastAsia="宋体" w:cs="宋体"/>
          <w:b/>
          <w:color w:val="auto"/>
          <w:sz w:val="24"/>
          <w:highlight w:val="none"/>
          <w:lang w:eastAsia="zh-CN"/>
        </w:rPr>
        <w:t>格式</w:t>
      </w:r>
    </w:p>
    <w:p>
      <w:pPr>
        <w:spacing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t>《政府强制采购节能产品明细表</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格式（若有的话，以包为单位分别填写）</w:t>
      </w:r>
    </w:p>
    <w:p>
      <w:pPr>
        <w:tabs>
          <w:tab w:val="left" w:pos="1680"/>
        </w:tabs>
        <w:snapToGrid w:val="0"/>
        <w:spacing w:line="360" w:lineRule="auto"/>
        <w:jc w:val="center"/>
        <w:rPr>
          <w:rFonts w:hint="eastAsia" w:ascii="宋体" w:hAnsi="宋体" w:eastAsia="宋体" w:cs="宋体"/>
          <w:b/>
          <w:color w:val="auto"/>
          <w:sz w:val="24"/>
          <w:highlight w:val="none"/>
        </w:rPr>
      </w:pPr>
    </w:p>
    <w:p>
      <w:pPr>
        <w:tabs>
          <w:tab w:val="left" w:pos="1680"/>
        </w:tabs>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政府强制采购节能产品明细表</w:t>
      </w:r>
    </w:p>
    <w:tbl>
      <w:tblPr>
        <w:tblStyle w:val="21"/>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82"/>
        <w:gridCol w:w="952"/>
        <w:gridCol w:w="1344"/>
        <w:gridCol w:w="1476"/>
        <w:gridCol w:w="1871"/>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8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5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34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47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w:t>
            </w: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认证证书号</w:t>
            </w:r>
          </w:p>
        </w:tc>
        <w:tc>
          <w:tcPr>
            <w:tcW w:w="187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w:t>
            </w: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效截止日期</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说明</w:t>
      </w:r>
      <w:r>
        <w:rPr>
          <w:rFonts w:hint="eastAsia" w:ascii="宋体" w:hAnsi="宋体" w:eastAsia="宋体" w:cs="宋体"/>
          <w:color w:val="auto"/>
          <w:szCs w:val="21"/>
          <w:highlight w:val="none"/>
          <w:lang w:val="en-US" w:eastAsia="zh-CN"/>
        </w:rPr>
        <w:t xml:space="preserve"> ：</w:t>
      </w:r>
    </w:p>
    <w:p>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lang w:eastAsia="zh-CN"/>
        </w:rPr>
        <w:t>根据招标文件第四部分实质性要求中的内容进行响应。</w:t>
      </w:r>
    </w:p>
    <w:p>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②投标人如实填写表格，无相应内容可填的，填写“无”或用“/”来表示。</w:t>
      </w:r>
    </w:p>
    <w:p>
      <w:pPr>
        <w:spacing w:line="360" w:lineRule="auto"/>
        <w:rPr>
          <w:rFonts w:hint="eastAsia" w:ascii="宋体" w:hAnsi="宋体" w:eastAsia="宋体" w:cs="宋体"/>
          <w:color w:val="auto"/>
          <w:szCs w:val="21"/>
          <w:highlight w:val="none"/>
          <w:lang w:eastAsia="zh-CN"/>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3-2 </w:t>
      </w:r>
      <w:r>
        <w:rPr>
          <w:rFonts w:hint="eastAsia" w:ascii="宋体" w:hAnsi="宋体" w:eastAsia="宋体" w:cs="宋体"/>
          <w:b/>
          <w:color w:val="auto"/>
          <w:sz w:val="24"/>
          <w:highlight w:val="none"/>
        </w:rPr>
        <w:t>正版软件承诺格式（若有的话，以包为单位分别填写）</w:t>
      </w:r>
    </w:p>
    <w:p>
      <w:pPr>
        <w:spacing w:line="480" w:lineRule="exact"/>
        <w:ind w:firstLine="3267" w:firstLineChars="1356"/>
        <w:rPr>
          <w:rFonts w:hint="eastAsia" w:ascii="宋体" w:hAnsi="宋体" w:eastAsia="宋体" w:cs="宋体"/>
          <w:b/>
          <w:color w:val="auto"/>
          <w:sz w:val="24"/>
          <w:highlight w:val="none"/>
        </w:rPr>
      </w:pPr>
    </w:p>
    <w:p>
      <w:pPr>
        <w:spacing w:line="480" w:lineRule="exact"/>
        <w:ind w:firstLine="3267" w:firstLineChars="135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正 版 软 件 承 诺</w:t>
      </w:r>
    </w:p>
    <w:p>
      <w:pPr>
        <w:pStyle w:val="33"/>
        <w:numPr>
          <w:ilvl w:val="6"/>
          <w:numId w:val="0"/>
        </w:numPr>
        <w:ind w:left="2520" w:leftChars="0"/>
        <w:rPr>
          <w:rFonts w:hint="eastAsia" w:ascii="宋体" w:hAnsi="宋体" w:eastAsia="宋体" w:cs="宋体"/>
          <w:color w:val="auto"/>
          <w:highlight w:val="none"/>
        </w:rPr>
      </w:pPr>
    </w:p>
    <w:p>
      <w:pPr>
        <w:pStyle w:val="17"/>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本投标人现参与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）的采购活动，本公司承诺投报的计算机产品预装正版操作系统，投报的硬件产品内的预装软件为正版软件。</w:t>
      </w:r>
    </w:p>
    <w:p>
      <w:pPr>
        <w:pStyle w:val="17"/>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pPr>
        <w:pStyle w:val="17"/>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snapToGrid w:val="0"/>
        <w:spacing w:line="360" w:lineRule="auto"/>
        <w:ind w:firstLine="2886" w:firstLineChars="13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pPr>
        <w:pStyle w:val="2"/>
        <w:rPr>
          <w:rFonts w:hint="eastAsia" w:ascii="宋体" w:hAnsi="宋体" w:eastAsia="宋体" w:cs="宋体"/>
          <w:color w:val="auto"/>
          <w:highlight w:val="none"/>
        </w:rPr>
      </w:pP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spacing w:line="48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 xml:space="preserve">3-3 </w:t>
      </w:r>
      <w:r>
        <w:rPr>
          <w:rFonts w:hint="eastAsia" w:ascii="宋体" w:hAnsi="宋体" w:eastAsia="宋体" w:cs="宋体"/>
          <w:b/>
          <w:color w:val="auto"/>
          <w:sz w:val="24"/>
          <w:highlight w:val="none"/>
        </w:rPr>
        <w:t>信息安全产品</w:t>
      </w:r>
      <w:r>
        <w:rPr>
          <w:rFonts w:hint="eastAsia" w:ascii="宋体" w:hAnsi="宋体" w:eastAsia="宋体" w:cs="宋体"/>
          <w:b/>
          <w:color w:val="auto"/>
          <w:sz w:val="24"/>
          <w:highlight w:val="none"/>
          <w:lang w:eastAsia="zh-CN"/>
        </w:rPr>
        <w:t>明细表格式</w:t>
      </w:r>
      <w:r>
        <w:rPr>
          <w:rFonts w:hint="eastAsia" w:ascii="宋体" w:hAnsi="宋体" w:eastAsia="宋体" w:cs="宋体"/>
          <w:b/>
          <w:color w:val="auto"/>
          <w:sz w:val="24"/>
          <w:highlight w:val="none"/>
        </w:rPr>
        <w:t>（若有的话，以包为单位分别填写）</w:t>
      </w:r>
    </w:p>
    <w:p>
      <w:pPr>
        <w:tabs>
          <w:tab w:val="left" w:pos="1680"/>
        </w:tabs>
        <w:snapToGrid w:val="0"/>
        <w:spacing w:line="360" w:lineRule="auto"/>
        <w:jc w:val="center"/>
        <w:rPr>
          <w:rFonts w:hint="eastAsia" w:ascii="宋体" w:hAnsi="宋体" w:eastAsia="宋体" w:cs="宋体"/>
          <w:b/>
          <w:color w:val="auto"/>
          <w:sz w:val="24"/>
          <w:highlight w:val="none"/>
          <w:lang w:eastAsia="zh-CN"/>
        </w:rPr>
      </w:pPr>
    </w:p>
    <w:p>
      <w:pPr>
        <w:tabs>
          <w:tab w:val="left" w:pos="1680"/>
        </w:tabs>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信息安全产品</w:t>
      </w:r>
      <w:r>
        <w:rPr>
          <w:rFonts w:hint="eastAsia" w:ascii="宋体" w:hAnsi="宋体" w:eastAsia="宋体" w:cs="宋体"/>
          <w:b/>
          <w:color w:val="auto"/>
          <w:sz w:val="24"/>
          <w:highlight w:val="none"/>
          <w:lang w:eastAsia="zh-CN"/>
        </w:rPr>
        <w:t>明细</w:t>
      </w:r>
      <w:r>
        <w:rPr>
          <w:rFonts w:hint="eastAsia" w:ascii="宋体" w:hAnsi="宋体" w:eastAsia="宋体" w:cs="宋体"/>
          <w:b/>
          <w:color w:val="auto"/>
          <w:sz w:val="24"/>
          <w:highlight w:val="none"/>
        </w:rPr>
        <w:t>表</w:t>
      </w:r>
    </w:p>
    <w:tbl>
      <w:tblPr>
        <w:tblStyle w:val="21"/>
        <w:tblW w:w="9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75"/>
        <w:gridCol w:w="900"/>
        <w:gridCol w:w="1088"/>
        <w:gridCol w:w="1750"/>
        <w:gridCol w:w="168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exact"/>
          <w:jc w:val="center"/>
        </w:trPr>
        <w:tc>
          <w:tcPr>
            <w:tcW w:w="800" w:type="dxa"/>
            <w:vAlign w:val="center"/>
          </w:tcPr>
          <w:p>
            <w:pPr>
              <w:spacing w:line="48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包号</w:t>
            </w:r>
          </w:p>
        </w:tc>
        <w:tc>
          <w:tcPr>
            <w:tcW w:w="1175" w:type="dxa"/>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00" w:type="dxa"/>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088" w:type="dxa"/>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750" w:type="dxa"/>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信息安全产品强制性认证证书号</w:t>
            </w:r>
          </w:p>
        </w:tc>
        <w:tc>
          <w:tcPr>
            <w:tcW w:w="1688" w:type="dxa"/>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有效截止日期</w:t>
            </w:r>
          </w:p>
        </w:tc>
        <w:tc>
          <w:tcPr>
            <w:tcW w:w="1856" w:type="dxa"/>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0" w:type="dxa"/>
            <w:vAlign w:val="top"/>
          </w:tcPr>
          <w:p>
            <w:pPr>
              <w:spacing w:line="480" w:lineRule="exact"/>
              <w:jc w:val="center"/>
              <w:rPr>
                <w:rFonts w:hint="eastAsia" w:ascii="宋体" w:hAnsi="宋体" w:eastAsia="宋体" w:cs="宋体"/>
                <w:b/>
                <w:color w:val="auto"/>
                <w:szCs w:val="21"/>
                <w:highlight w:val="none"/>
              </w:rPr>
            </w:pPr>
          </w:p>
        </w:tc>
        <w:tc>
          <w:tcPr>
            <w:tcW w:w="1175" w:type="dxa"/>
            <w:vAlign w:val="top"/>
          </w:tcPr>
          <w:p>
            <w:pPr>
              <w:spacing w:line="480" w:lineRule="exact"/>
              <w:jc w:val="center"/>
              <w:rPr>
                <w:rFonts w:hint="eastAsia" w:ascii="宋体" w:hAnsi="宋体" w:eastAsia="宋体" w:cs="宋体"/>
                <w:b/>
                <w:color w:val="auto"/>
                <w:szCs w:val="21"/>
                <w:highlight w:val="none"/>
              </w:rPr>
            </w:pPr>
          </w:p>
        </w:tc>
        <w:tc>
          <w:tcPr>
            <w:tcW w:w="900" w:type="dxa"/>
            <w:vAlign w:val="top"/>
          </w:tcPr>
          <w:p>
            <w:pPr>
              <w:spacing w:line="480" w:lineRule="exact"/>
              <w:jc w:val="center"/>
              <w:rPr>
                <w:rFonts w:hint="eastAsia" w:ascii="宋体" w:hAnsi="宋体" w:eastAsia="宋体" w:cs="宋体"/>
                <w:b/>
                <w:color w:val="auto"/>
                <w:szCs w:val="21"/>
                <w:highlight w:val="none"/>
              </w:rPr>
            </w:pPr>
          </w:p>
        </w:tc>
        <w:tc>
          <w:tcPr>
            <w:tcW w:w="1088" w:type="dxa"/>
            <w:vAlign w:val="top"/>
          </w:tcPr>
          <w:p>
            <w:pPr>
              <w:spacing w:line="480" w:lineRule="exact"/>
              <w:jc w:val="center"/>
              <w:rPr>
                <w:rFonts w:hint="eastAsia" w:ascii="宋体" w:hAnsi="宋体" w:eastAsia="宋体" w:cs="宋体"/>
                <w:b/>
                <w:color w:val="auto"/>
                <w:szCs w:val="21"/>
                <w:highlight w:val="none"/>
              </w:rPr>
            </w:pPr>
          </w:p>
        </w:tc>
        <w:tc>
          <w:tcPr>
            <w:tcW w:w="1750" w:type="dxa"/>
            <w:vAlign w:val="top"/>
          </w:tcPr>
          <w:p>
            <w:pPr>
              <w:spacing w:line="480" w:lineRule="exact"/>
              <w:jc w:val="center"/>
              <w:rPr>
                <w:rFonts w:hint="eastAsia" w:ascii="宋体" w:hAnsi="宋体" w:eastAsia="宋体" w:cs="宋体"/>
                <w:b/>
                <w:color w:val="auto"/>
                <w:szCs w:val="21"/>
                <w:highlight w:val="none"/>
              </w:rPr>
            </w:pPr>
          </w:p>
        </w:tc>
        <w:tc>
          <w:tcPr>
            <w:tcW w:w="1688" w:type="dxa"/>
            <w:vAlign w:val="top"/>
          </w:tcPr>
          <w:p>
            <w:pPr>
              <w:spacing w:line="480" w:lineRule="exact"/>
              <w:jc w:val="center"/>
              <w:rPr>
                <w:rFonts w:hint="eastAsia" w:ascii="宋体" w:hAnsi="宋体" w:eastAsia="宋体" w:cs="宋体"/>
                <w:b/>
                <w:color w:val="auto"/>
                <w:szCs w:val="21"/>
                <w:highlight w:val="none"/>
              </w:rPr>
            </w:pPr>
          </w:p>
        </w:tc>
        <w:tc>
          <w:tcPr>
            <w:tcW w:w="1856" w:type="dxa"/>
            <w:vAlign w:val="center"/>
          </w:tcPr>
          <w:p>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0" w:type="dxa"/>
            <w:vAlign w:val="top"/>
          </w:tcPr>
          <w:p>
            <w:pPr>
              <w:spacing w:line="480" w:lineRule="exact"/>
              <w:jc w:val="center"/>
              <w:rPr>
                <w:rFonts w:hint="eastAsia" w:ascii="宋体" w:hAnsi="宋体" w:eastAsia="宋体" w:cs="宋体"/>
                <w:b/>
                <w:color w:val="auto"/>
                <w:szCs w:val="21"/>
                <w:highlight w:val="none"/>
              </w:rPr>
            </w:pPr>
          </w:p>
        </w:tc>
        <w:tc>
          <w:tcPr>
            <w:tcW w:w="1175" w:type="dxa"/>
            <w:vAlign w:val="top"/>
          </w:tcPr>
          <w:p>
            <w:pPr>
              <w:spacing w:line="480" w:lineRule="exact"/>
              <w:jc w:val="center"/>
              <w:rPr>
                <w:rFonts w:hint="eastAsia" w:ascii="宋体" w:hAnsi="宋体" w:eastAsia="宋体" w:cs="宋体"/>
                <w:b/>
                <w:color w:val="auto"/>
                <w:szCs w:val="21"/>
                <w:highlight w:val="none"/>
              </w:rPr>
            </w:pPr>
          </w:p>
        </w:tc>
        <w:tc>
          <w:tcPr>
            <w:tcW w:w="900" w:type="dxa"/>
            <w:vAlign w:val="top"/>
          </w:tcPr>
          <w:p>
            <w:pPr>
              <w:spacing w:line="480" w:lineRule="exact"/>
              <w:jc w:val="center"/>
              <w:rPr>
                <w:rFonts w:hint="eastAsia" w:ascii="宋体" w:hAnsi="宋体" w:eastAsia="宋体" w:cs="宋体"/>
                <w:b/>
                <w:color w:val="auto"/>
                <w:szCs w:val="21"/>
                <w:highlight w:val="none"/>
              </w:rPr>
            </w:pPr>
          </w:p>
        </w:tc>
        <w:tc>
          <w:tcPr>
            <w:tcW w:w="1088" w:type="dxa"/>
            <w:vAlign w:val="top"/>
          </w:tcPr>
          <w:p>
            <w:pPr>
              <w:spacing w:line="480" w:lineRule="exact"/>
              <w:jc w:val="center"/>
              <w:rPr>
                <w:rFonts w:hint="eastAsia" w:ascii="宋体" w:hAnsi="宋体" w:eastAsia="宋体" w:cs="宋体"/>
                <w:b/>
                <w:color w:val="auto"/>
                <w:szCs w:val="21"/>
                <w:highlight w:val="none"/>
              </w:rPr>
            </w:pPr>
          </w:p>
        </w:tc>
        <w:tc>
          <w:tcPr>
            <w:tcW w:w="1750" w:type="dxa"/>
            <w:vAlign w:val="top"/>
          </w:tcPr>
          <w:p>
            <w:pPr>
              <w:spacing w:line="480" w:lineRule="exact"/>
              <w:jc w:val="center"/>
              <w:rPr>
                <w:rFonts w:hint="eastAsia" w:ascii="宋体" w:hAnsi="宋体" w:eastAsia="宋体" w:cs="宋体"/>
                <w:b/>
                <w:color w:val="auto"/>
                <w:szCs w:val="21"/>
                <w:highlight w:val="none"/>
              </w:rPr>
            </w:pPr>
          </w:p>
        </w:tc>
        <w:tc>
          <w:tcPr>
            <w:tcW w:w="1688" w:type="dxa"/>
            <w:vAlign w:val="top"/>
          </w:tcPr>
          <w:p>
            <w:pPr>
              <w:spacing w:line="480" w:lineRule="exact"/>
              <w:jc w:val="center"/>
              <w:rPr>
                <w:rFonts w:hint="eastAsia" w:ascii="宋体" w:hAnsi="宋体" w:eastAsia="宋体" w:cs="宋体"/>
                <w:b/>
                <w:color w:val="auto"/>
                <w:szCs w:val="21"/>
                <w:highlight w:val="none"/>
              </w:rPr>
            </w:pPr>
          </w:p>
        </w:tc>
        <w:tc>
          <w:tcPr>
            <w:tcW w:w="1856" w:type="dxa"/>
            <w:vAlign w:val="center"/>
          </w:tcPr>
          <w:p>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0" w:type="dxa"/>
            <w:vAlign w:val="top"/>
          </w:tcPr>
          <w:p>
            <w:pPr>
              <w:spacing w:line="480" w:lineRule="exact"/>
              <w:jc w:val="center"/>
              <w:rPr>
                <w:rFonts w:hint="eastAsia" w:ascii="宋体" w:hAnsi="宋体" w:eastAsia="宋体" w:cs="宋体"/>
                <w:b/>
                <w:color w:val="auto"/>
                <w:szCs w:val="21"/>
                <w:highlight w:val="none"/>
              </w:rPr>
            </w:pPr>
          </w:p>
        </w:tc>
        <w:tc>
          <w:tcPr>
            <w:tcW w:w="1175" w:type="dxa"/>
            <w:vAlign w:val="top"/>
          </w:tcPr>
          <w:p>
            <w:pPr>
              <w:spacing w:line="480" w:lineRule="exact"/>
              <w:jc w:val="center"/>
              <w:rPr>
                <w:rFonts w:hint="eastAsia" w:ascii="宋体" w:hAnsi="宋体" w:eastAsia="宋体" w:cs="宋体"/>
                <w:b/>
                <w:color w:val="auto"/>
                <w:szCs w:val="21"/>
                <w:highlight w:val="none"/>
              </w:rPr>
            </w:pPr>
          </w:p>
        </w:tc>
        <w:tc>
          <w:tcPr>
            <w:tcW w:w="900" w:type="dxa"/>
            <w:vAlign w:val="top"/>
          </w:tcPr>
          <w:p>
            <w:pPr>
              <w:spacing w:line="480" w:lineRule="exact"/>
              <w:jc w:val="center"/>
              <w:rPr>
                <w:rFonts w:hint="eastAsia" w:ascii="宋体" w:hAnsi="宋体" w:eastAsia="宋体" w:cs="宋体"/>
                <w:b/>
                <w:color w:val="auto"/>
                <w:szCs w:val="21"/>
                <w:highlight w:val="none"/>
              </w:rPr>
            </w:pPr>
          </w:p>
        </w:tc>
        <w:tc>
          <w:tcPr>
            <w:tcW w:w="1088" w:type="dxa"/>
            <w:vAlign w:val="top"/>
          </w:tcPr>
          <w:p>
            <w:pPr>
              <w:spacing w:line="480" w:lineRule="exact"/>
              <w:jc w:val="center"/>
              <w:rPr>
                <w:rFonts w:hint="eastAsia" w:ascii="宋体" w:hAnsi="宋体" w:eastAsia="宋体" w:cs="宋体"/>
                <w:b/>
                <w:color w:val="auto"/>
                <w:szCs w:val="21"/>
                <w:highlight w:val="none"/>
              </w:rPr>
            </w:pPr>
          </w:p>
        </w:tc>
        <w:tc>
          <w:tcPr>
            <w:tcW w:w="1750" w:type="dxa"/>
            <w:vAlign w:val="top"/>
          </w:tcPr>
          <w:p>
            <w:pPr>
              <w:spacing w:line="480" w:lineRule="exact"/>
              <w:jc w:val="center"/>
              <w:rPr>
                <w:rFonts w:hint="eastAsia" w:ascii="宋体" w:hAnsi="宋体" w:eastAsia="宋体" w:cs="宋体"/>
                <w:b/>
                <w:color w:val="auto"/>
                <w:szCs w:val="21"/>
                <w:highlight w:val="none"/>
              </w:rPr>
            </w:pPr>
          </w:p>
        </w:tc>
        <w:tc>
          <w:tcPr>
            <w:tcW w:w="1688" w:type="dxa"/>
            <w:vAlign w:val="top"/>
          </w:tcPr>
          <w:p>
            <w:pPr>
              <w:spacing w:line="480" w:lineRule="exact"/>
              <w:jc w:val="center"/>
              <w:rPr>
                <w:rFonts w:hint="eastAsia" w:ascii="宋体" w:hAnsi="宋体" w:eastAsia="宋体" w:cs="宋体"/>
                <w:b/>
                <w:color w:val="auto"/>
                <w:szCs w:val="21"/>
                <w:highlight w:val="none"/>
              </w:rPr>
            </w:pPr>
          </w:p>
        </w:tc>
        <w:tc>
          <w:tcPr>
            <w:tcW w:w="1856" w:type="dxa"/>
            <w:vAlign w:val="top"/>
          </w:tcPr>
          <w:p>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00" w:type="dxa"/>
            <w:vAlign w:val="center"/>
          </w:tcPr>
          <w:p>
            <w:pPr>
              <w:spacing w:line="480" w:lineRule="exact"/>
              <w:jc w:val="center"/>
              <w:rPr>
                <w:rFonts w:hint="eastAsia" w:ascii="宋体" w:hAnsi="宋体" w:eastAsia="宋体" w:cs="宋体"/>
                <w:b/>
                <w:color w:val="auto"/>
                <w:szCs w:val="21"/>
                <w:highlight w:val="none"/>
              </w:rPr>
            </w:pPr>
          </w:p>
        </w:tc>
        <w:tc>
          <w:tcPr>
            <w:tcW w:w="1175" w:type="dxa"/>
            <w:vAlign w:val="top"/>
          </w:tcPr>
          <w:p>
            <w:pPr>
              <w:spacing w:line="480" w:lineRule="exact"/>
              <w:jc w:val="center"/>
              <w:rPr>
                <w:rFonts w:hint="eastAsia" w:ascii="宋体" w:hAnsi="宋体" w:eastAsia="宋体" w:cs="宋体"/>
                <w:b/>
                <w:color w:val="auto"/>
                <w:szCs w:val="21"/>
                <w:highlight w:val="none"/>
              </w:rPr>
            </w:pPr>
          </w:p>
        </w:tc>
        <w:tc>
          <w:tcPr>
            <w:tcW w:w="900" w:type="dxa"/>
            <w:vAlign w:val="top"/>
          </w:tcPr>
          <w:p>
            <w:pPr>
              <w:spacing w:line="480" w:lineRule="exact"/>
              <w:jc w:val="center"/>
              <w:rPr>
                <w:rFonts w:hint="eastAsia" w:ascii="宋体" w:hAnsi="宋体" w:eastAsia="宋体" w:cs="宋体"/>
                <w:b/>
                <w:color w:val="auto"/>
                <w:szCs w:val="21"/>
                <w:highlight w:val="none"/>
              </w:rPr>
            </w:pPr>
          </w:p>
        </w:tc>
        <w:tc>
          <w:tcPr>
            <w:tcW w:w="1088" w:type="dxa"/>
            <w:vAlign w:val="top"/>
          </w:tcPr>
          <w:p>
            <w:pPr>
              <w:spacing w:line="480" w:lineRule="exact"/>
              <w:jc w:val="center"/>
              <w:rPr>
                <w:rFonts w:hint="eastAsia" w:ascii="宋体" w:hAnsi="宋体" w:eastAsia="宋体" w:cs="宋体"/>
                <w:b/>
                <w:color w:val="auto"/>
                <w:szCs w:val="21"/>
                <w:highlight w:val="none"/>
              </w:rPr>
            </w:pPr>
          </w:p>
        </w:tc>
        <w:tc>
          <w:tcPr>
            <w:tcW w:w="1750" w:type="dxa"/>
            <w:vAlign w:val="top"/>
          </w:tcPr>
          <w:p>
            <w:pPr>
              <w:spacing w:line="480" w:lineRule="exact"/>
              <w:jc w:val="center"/>
              <w:rPr>
                <w:rFonts w:hint="eastAsia" w:ascii="宋体" w:hAnsi="宋体" w:eastAsia="宋体" w:cs="宋体"/>
                <w:b/>
                <w:color w:val="auto"/>
                <w:szCs w:val="21"/>
                <w:highlight w:val="none"/>
              </w:rPr>
            </w:pPr>
          </w:p>
        </w:tc>
        <w:tc>
          <w:tcPr>
            <w:tcW w:w="1688" w:type="dxa"/>
            <w:vAlign w:val="top"/>
          </w:tcPr>
          <w:p>
            <w:pPr>
              <w:spacing w:line="480" w:lineRule="exact"/>
              <w:jc w:val="center"/>
              <w:rPr>
                <w:rFonts w:hint="eastAsia" w:ascii="宋体" w:hAnsi="宋体" w:eastAsia="宋体" w:cs="宋体"/>
                <w:b/>
                <w:color w:val="auto"/>
                <w:szCs w:val="21"/>
                <w:highlight w:val="none"/>
              </w:rPr>
            </w:pPr>
          </w:p>
        </w:tc>
        <w:tc>
          <w:tcPr>
            <w:tcW w:w="1856" w:type="dxa"/>
            <w:vAlign w:val="top"/>
          </w:tcPr>
          <w:p>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 ：</w:t>
      </w:r>
    </w:p>
    <w:p>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①根据招标文件第四部分实质性要求中的内容进行响应。</w:t>
      </w:r>
    </w:p>
    <w:p>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②投标人如实填写表格，无相应内容可填的，填写“无”或用“/”来表示。</w:t>
      </w:r>
    </w:p>
    <w:p>
      <w:pPr>
        <w:pStyle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附件：</w:t>
      </w:r>
    </w:p>
    <w:p>
      <w:pPr>
        <w:pStyle w:val="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信息安全产品，如有涉及的内容，投标文件中时须提供有效认证证书</w:t>
      </w:r>
      <w:r>
        <w:rPr>
          <w:rFonts w:hint="eastAsia" w:ascii="宋体" w:hAnsi="宋体" w:eastAsia="宋体" w:cs="宋体"/>
          <w:b/>
          <w:color w:val="auto"/>
          <w:sz w:val="21"/>
          <w:szCs w:val="21"/>
          <w:highlight w:val="none"/>
          <w:lang w:eastAsia="zh-CN"/>
        </w:rPr>
        <w:t>影印件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left"/>
        <w:rPr>
          <w:rFonts w:hint="eastAsia" w:ascii="宋体" w:hAnsi="宋体" w:eastAsia="宋体" w:cs="宋体"/>
          <w:b/>
          <w:color w:val="auto"/>
          <w:sz w:val="24"/>
          <w:highlight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left"/>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3-</w:t>
      </w:r>
      <w:r>
        <w:rPr>
          <w:rFonts w:hint="eastAsia" w:ascii="宋体" w:hAnsi="宋体" w:cs="宋体"/>
          <w:b/>
          <w:color w:val="auto"/>
          <w:sz w:val="24"/>
          <w:highlight w:val="none"/>
          <w:lang w:val="en-US" w:eastAsia="zh-CN"/>
        </w:rPr>
        <w:t>4商品包装和快递包装</w:t>
      </w:r>
      <w:r>
        <w:rPr>
          <w:rFonts w:hint="eastAsia" w:ascii="宋体" w:hAnsi="宋体" w:eastAsia="宋体" w:cs="宋体"/>
          <w:b/>
          <w:color w:val="auto"/>
          <w:sz w:val="24"/>
          <w:highlight w:val="none"/>
        </w:rPr>
        <w:t>（若有的话，以包为单位分别填写）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0" w:afterAutospacing="0" w:line="300" w:lineRule="atLeast"/>
        <w:ind w:left="0" w:right="0" w:firstLine="0"/>
        <w:jc w:val="left"/>
        <w:rPr>
          <w:rFonts w:hint="eastAsia" w:ascii="宋体" w:hAnsi="宋体" w:eastAsia="宋体" w:cs="Times New Roman"/>
          <w:b/>
          <w:bCs/>
          <w:color w:val="000000"/>
          <w:kern w:val="2"/>
          <w:sz w:val="24"/>
          <w:szCs w:val="24"/>
          <w:lang w:val="en-US" w:eastAsia="zh-CN" w:bidi="ar-SA"/>
        </w:rPr>
      </w:pPr>
      <w:r>
        <w:rPr>
          <w:rFonts w:hint="eastAsia" w:ascii="宋体" w:hAnsi="宋体" w:cs="Times New Roman"/>
          <w:b/>
          <w:bCs/>
          <w:color w:val="000000"/>
          <w:kern w:val="2"/>
          <w:sz w:val="24"/>
          <w:szCs w:val="24"/>
          <w:lang w:val="en-US" w:eastAsia="zh-CN" w:bidi="ar-SA"/>
        </w:rPr>
        <w:t>按照</w:t>
      </w:r>
      <w:r>
        <w:rPr>
          <w:rFonts w:hint="default" w:ascii="宋体" w:hAnsi="宋体" w:eastAsia="宋体" w:cs="Times New Roman"/>
          <w:b/>
          <w:bCs/>
          <w:color w:val="000000"/>
          <w:kern w:val="2"/>
          <w:sz w:val="24"/>
          <w:szCs w:val="24"/>
          <w:lang w:val="en-US" w:eastAsia="zh-CN" w:bidi="ar-SA"/>
        </w:rPr>
        <w:t>财办库〔2020〕123号关于印发《商品包装政府采购需求标准（试行）》、 《快递包装政府采购需求标准（试行）》的通知</w:t>
      </w:r>
      <w:r>
        <w:rPr>
          <w:rFonts w:hint="eastAsia" w:ascii="宋体" w:hAnsi="宋体" w:cs="Times New Roman"/>
          <w:b/>
          <w:bCs/>
          <w:color w:val="000000"/>
          <w:kern w:val="2"/>
          <w:sz w:val="24"/>
          <w:szCs w:val="24"/>
          <w:lang w:val="en-US" w:eastAsia="zh-CN" w:bidi="ar-SA"/>
        </w:rPr>
        <w:t>要求  编制</w:t>
      </w:r>
    </w:p>
    <w:p>
      <w:pPr>
        <w:pStyle w:val="16"/>
        <w:jc w:val="left"/>
        <w:rPr>
          <w:rFonts w:hint="eastAsia"/>
          <w:lang w:eastAsia="zh-CN"/>
        </w:rPr>
      </w:pPr>
    </w:p>
    <w:p>
      <w:pPr>
        <w:spacing w:line="360" w:lineRule="auto"/>
        <w:ind w:left="36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对非实质性要求的响应内容</w:t>
      </w:r>
      <w:r>
        <w:rPr>
          <w:rFonts w:hint="eastAsia" w:ascii="宋体" w:hAnsi="宋体" w:eastAsia="宋体" w:cs="宋体"/>
          <w:b/>
          <w:color w:val="auto"/>
          <w:sz w:val="24"/>
          <w:highlight w:val="none"/>
          <w:lang w:eastAsia="zh-CN"/>
        </w:rPr>
        <w:t>格式</w:t>
      </w:r>
    </w:p>
    <w:p>
      <w:pPr>
        <w:tabs>
          <w:tab w:val="left" w:pos="1680"/>
        </w:tabs>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非强制采购节能产品、环保标志产品明细表格式（若有的话）</w:t>
      </w:r>
    </w:p>
    <w:p>
      <w:pPr>
        <w:tabs>
          <w:tab w:val="left" w:pos="1680"/>
        </w:tabs>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非强制采购节能产品明细表</w:t>
      </w:r>
    </w:p>
    <w:tbl>
      <w:tblPr>
        <w:tblStyle w:val="21"/>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379"/>
        <w:gridCol w:w="1739"/>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3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73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7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top"/>
          </w:tcPr>
          <w:p>
            <w:pPr>
              <w:spacing w:line="48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top"/>
          </w:tcPr>
          <w:p>
            <w:pPr>
              <w:spacing w:line="48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pPr>
        <w:spacing w:line="480" w:lineRule="exact"/>
        <w:jc w:val="center"/>
        <w:rPr>
          <w:rFonts w:hint="eastAsia" w:ascii="宋体" w:hAnsi="宋体" w:eastAsia="宋体" w:cs="宋体"/>
          <w:b/>
          <w:color w:val="auto"/>
          <w:sz w:val="24"/>
          <w:highlight w:val="none"/>
        </w:rPr>
      </w:pP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 w:val="24"/>
          <w:highlight w:val="none"/>
        </w:rPr>
        <w:t>环境标志产品明细表</w:t>
      </w:r>
    </w:p>
    <w:tbl>
      <w:tblPr>
        <w:tblStyle w:val="21"/>
        <w:tblW w:w="9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890"/>
        <w:gridCol w:w="170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8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环境标志产品认证证书号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top"/>
          </w:tcPr>
          <w:p>
            <w:pPr>
              <w:spacing w:line="48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top"/>
          </w:tcPr>
          <w:p>
            <w:pPr>
              <w:spacing w:line="48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说明：</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根据本文件第四部分非实质性要求中的内容进行响应。</w:t>
      </w:r>
    </w:p>
    <w:p>
      <w:pPr>
        <w:pStyle w:val="2"/>
        <w:keepNext w:val="0"/>
        <w:keepLines w:val="0"/>
        <w:pageBreakBefore w:val="0"/>
        <w:widowControl w:val="0"/>
        <w:kinsoku/>
        <w:wordWrap/>
        <w:overflowPunct/>
        <w:topLinePunct w:val="0"/>
        <w:autoSpaceDE/>
        <w:autoSpaceDN/>
        <w:bidi w:val="0"/>
        <w:adjustRightInd/>
        <w:snapToGrid/>
        <w:spacing w:after="0" w:afterLines="0" w:line="480" w:lineRule="exact"/>
        <w:ind w:left="0" w:leftChars="0" w:firstLine="56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lang w:eastAsia="zh-CN"/>
        </w:rPr>
        <w:t>②投标人如实填写表格，无相应内容可填的，填写“无”或用“/”来表示。</w:t>
      </w:r>
    </w:p>
    <w:p>
      <w:pPr>
        <w:spacing w:line="360" w:lineRule="auto"/>
        <w:ind w:left="360" w:hanging="361" w:hangingChars="150"/>
        <w:rPr>
          <w:rFonts w:hint="eastAsia" w:ascii="宋体" w:hAnsi="宋体" w:eastAsia="宋体" w:cs="宋体"/>
          <w:b/>
          <w:color w:val="auto"/>
          <w:sz w:val="24"/>
          <w:highlight w:val="none"/>
        </w:rPr>
      </w:pPr>
    </w:p>
    <w:p>
      <w:pPr>
        <w:spacing w:line="360" w:lineRule="auto"/>
        <w:ind w:left="360" w:hanging="361" w:hangingChars="150"/>
        <w:rPr>
          <w:rFonts w:hint="eastAsia" w:ascii="宋体" w:hAnsi="宋体" w:eastAsia="宋体" w:cs="宋体"/>
          <w:b/>
          <w:color w:val="auto"/>
          <w:sz w:val="24"/>
          <w:highlight w:val="none"/>
        </w:rPr>
      </w:pPr>
    </w:p>
    <w:p>
      <w:pPr>
        <w:spacing w:line="360" w:lineRule="auto"/>
        <w:ind w:left="360" w:hanging="361" w:hangingChars="150"/>
        <w:rPr>
          <w:rFonts w:hint="eastAsia" w:ascii="宋体" w:hAnsi="宋体" w:eastAsia="宋体" w:cs="宋体"/>
          <w:b/>
          <w:color w:val="auto"/>
          <w:sz w:val="24"/>
          <w:highlight w:val="none"/>
        </w:rPr>
      </w:pPr>
    </w:p>
    <w:p>
      <w:pPr>
        <w:pStyle w:val="25"/>
        <w:rPr>
          <w:rFonts w:hint="eastAsia" w:ascii="宋体" w:hAnsi="宋体" w:eastAsia="宋体" w:cs="宋体"/>
          <w:b/>
          <w:color w:val="auto"/>
          <w:sz w:val="24"/>
          <w:highlight w:val="none"/>
        </w:rPr>
      </w:pPr>
    </w:p>
    <w:p>
      <w:pPr>
        <w:spacing w:line="360" w:lineRule="auto"/>
        <w:ind w:left="360" w:hanging="361" w:hangingChars="15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对</w:t>
      </w:r>
      <w:r>
        <w:rPr>
          <w:rFonts w:hint="eastAsia" w:ascii="宋体" w:hAnsi="宋体" w:eastAsia="宋体" w:cs="宋体"/>
          <w:b/>
          <w:color w:val="auto"/>
          <w:sz w:val="24"/>
          <w:highlight w:val="none"/>
          <w:lang w:val="en-US" w:eastAsia="zh-CN"/>
        </w:rPr>
        <w:t>商务</w:t>
      </w:r>
      <w:r>
        <w:rPr>
          <w:rFonts w:hint="eastAsia" w:ascii="宋体" w:hAnsi="宋体" w:eastAsia="宋体" w:cs="宋体"/>
          <w:b/>
          <w:color w:val="auto"/>
          <w:sz w:val="24"/>
          <w:highlight w:val="none"/>
        </w:rPr>
        <w:t>服务要求的响应内容</w:t>
      </w:r>
      <w:r>
        <w:rPr>
          <w:rFonts w:hint="eastAsia" w:ascii="宋体" w:hAnsi="宋体" w:eastAsia="宋体" w:cs="宋体"/>
          <w:b/>
          <w:color w:val="auto"/>
          <w:sz w:val="24"/>
          <w:highlight w:val="none"/>
          <w:lang w:eastAsia="zh-CN"/>
        </w:rPr>
        <w:t>格式</w:t>
      </w:r>
      <w:r>
        <w:rPr>
          <w:rFonts w:hint="eastAsia" w:ascii="宋体" w:hAnsi="宋体" w:eastAsia="宋体" w:cs="宋体"/>
          <w:b/>
          <w:color w:val="auto"/>
          <w:sz w:val="24"/>
          <w:highlight w:val="none"/>
          <w:lang w:val="en-US" w:eastAsia="zh-CN"/>
        </w:rPr>
        <w:t xml:space="preserve"> </w:t>
      </w:r>
    </w:p>
    <w:p>
      <w:pPr>
        <w:spacing w:line="360" w:lineRule="auto"/>
        <w:ind w:left="360" w:hanging="361" w:hangingChars="15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5-1</w:t>
      </w:r>
      <w:r>
        <w:rPr>
          <w:rFonts w:hint="eastAsia" w:ascii="宋体" w:hAnsi="宋体" w:eastAsia="宋体" w:cs="宋体"/>
          <w:b/>
          <w:color w:val="auto"/>
          <w:sz w:val="24"/>
          <w:highlight w:val="none"/>
        </w:rPr>
        <w:t>对</w:t>
      </w:r>
      <w:r>
        <w:rPr>
          <w:rFonts w:hint="eastAsia" w:ascii="宋体" w:hAnsi="宋体" w:eastAsia="宋体" w:cs="宋体"/>
          <w:b/>
          <w:color w:val="auto"/>
          <w:sz w:val="24"/>
          <w:highlight w:val="none"/>
          <w:lang w:val="en-US" w:eastAsia="zh-CN"/>
        </w:rPr>
        <w:t>商务</w:t>
      </w:r>
      <w:r>
        <w:rPr>
          <w:rFonts w:hint="eastAsia" w:ascii="宋体" w:hAnsi="宋体" w:eastAsia="宋体" w:cs="宋体"/>
          <w:b/>
          <w:color w:val="auto"/>
          <w:sz w:val="24"/>
          <w:highlight w:val="none"/>
        </w:rPr>
        <w:t>服务要求的响应内容</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050"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招标文件服务要求内容</w:t>
            </w:r>
          </w:p>
        </w:tc>
        <w:tc>
          <w:tcPr>
            <w:tcW w:w="1500"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（填是或否）</w:t>
            </w:r>
          </w:p>
        </w:tc>
        <w:tc>
          <w:tcPr>
            <w:tcW w:w="2155" w:type="dxa"/>
            <w:vAlign w:val="center"/>
          </w:tcPr>
          <w:p>
            <w:pPr>
              <w:pStyle w:val="2"/>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050" w:type="dxa"/>
            <w:vAlign w:val="top"/>
          </w:tcPr>
          <w:p>
            <w:pPr>
              <w:pStyle w:val="2"/>
              <w:rPr>
                <w:rFonts w:hint="eastAsia" w:ascii="宋体" w:hAnsi="宋体" w:eastAsia="宋体" w:cs="宋体"/>
                <w:color w:val="auto"/>
                <w:highlight w:val="none"/>
                <w:vertAlign w:val="baseline"/>
              </w:rPr>
            </w:pPr>
          </w:p>
        </w:tc>
        <w:tc>
          <w:tcPr>
            <w:tcW w:w="1500" w:type="dxa"/>
            <w:vAlign w:val="top"/>
          </w:tcPr>
          <w:p>
            <w:pPr>
              <w:pStyle w:val="2"/>
              <w:rPr>
                <w:rFonts w:hint="eastAsia" w:ascii="宋体" w:hAnsi="宋体" w:eastAsia="宋体" w:cs="宋体"/>
                <w:color w:val="auto"/>
                <w:highlight w:val="none"/>
                <w:vertAlign w:val="baseline"/>
              </w:rPr>
            </w:pPr>
          </w:p>
        </w:tc>
        <w:tc>
          <w:tcPr>
            <w:tcW w:w="2155"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050" w:type="dxa"/>
            <w:vAlign w:val="top"/>
          </w:tcPr>
          <w:p>
            <w:pPr>
              <w:pStyle w:val="2"/>
              <w:rPr>
                <w:rFonts w:hint="eastAsia" w:ascii="宋体" w:hAnsi="宋体" w:eastAsia="宋体" w:cs="宋体"/>
                <w:color w:val="auto"/>
                <w:highlight w:val="none"/>
                <w:vertAlign w:val="baseline"/>
              </w:rPr>
            </w:pPr>
          </w:p>
        </w:tc>
        <w:tc>
          <w:tcPr>
            <w:tcW w:w="1500" w:type="dxa"/>
            <w:vAlign w:val="top"/>
          </w:tcPr>
          <w:p>
            <w:pPr>
              <w:pStyle w:val="2"/>
              <w:rPr>
                <w:rFonts w:hint="eastAsia" w:ascii="宋体" w:hAnsi="宋体" w:eastAsia="宋体" w:cs="宋体"/>
                <w:color w:val="auto"/>
                <w:highlight w:val="none"/>
                <w:vertAlign w:val="baseline"/>
              </w:rPr>
            </w:pPr>
          </w:p>
        </w:tc>
        <w:tc>
          <w:tcPr>
            <w:tcW w:w="2155"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050" w:type="dxa"/>
            <w:vAlign w:val="top"/>
          </w:tcPr>
          <w:p>
            <w:pPr>
              <w:pStyle w:val="2"/>
              <w:rPr>
                <w:rFonts w:hint="eastAsia" w:ascii="宋体" w:hAnsi="宋体" w:eastAsia="宋体" w:cs="宋体"/>
                <w:color w:val="auto"/>
                <w:highlight w:val="none"/>
                <w:vertAlign w:val="baseline"/>
              </w:rPr>
            </w:pPr>
          </w:p>
        </w:tc>
        <w:tc>
          <w:tcPr>
            <w:tcW w:w="1500" w:type="dxa"/>
            <w:vAlign w:val="top"/>
          </w:tcPr>
          <w:p>
            <w:pPr>
              <w:pStyle w:val="2"/>
              <w:rPr>
                <w:rFonts w:hint="eastAsia" w:ascii="宋体" w:hAnsi="宋体" w:eastAsia="宋体" w:cs="宋体"/>
                <w:color w:val="auto"/>
                <w:highlight w:val="none"/>
                <w:vertAlign w:val="baseline"/>
              </w:rPr>
            </w:pPr>
          </w:p>
        </w:tc>
        <w:tc>
          <w:tcPr>
            <w:tcW w:w="2155"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050" w:type="dxa"/>
            <w:vAlign w:val="top"/>
          </w:tcPr>
          <w:p>
            <w:pPr>
              <w:pStyle w:val="2"/>
              <w:rPr>
                <w:rFonts w:hint="eastAsia" w:ascii="宋体" w:hAnsi="宋体" w:eastAsia="宋体" w:cs="宋体"/>
                <w:color w:val="auto"/>
                <w:highlight w:val="none"/>
                <w:vertAlign w:val="baseline"/>
              </w:rPr>
            </w:pPr>
          </w:p>
        </w:tc>
        <w:tc>
          <w:tcPr>
            <w:tcW w:w="1500" w:type="dxa"/>
            <w:vAlign w:val="top"/>
          </w:tcPr>
          <w:p>
            <w:pPr>
              <w:pStyle w:val="2"/>
              <w:rPr>
                <w:rFonts w:hint="eastAsia" w:ascii="宋体" w:hAnsi="宋体" w:eastAsia="宋体" w:cs="宋体"/>
                <w:color w:val="auto"/>
                <w:highlight w:val="none"/>
                <w:vertAlign w:val="baseline"/>
              </w:rPr>
            </w:pPr>
          </w:p>
        </w:tc>
        <w:tc>
          <w:tcPr>
            <w:tcW w:w="2155" w:type="dxa"/>
            <w:vAlign w:val="top"/>
          </w:tcPr>
          <w:p>
            <w:pPr>
              <w:pStyle w:val="2"/>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hint="eastAsia" w:ascii="宋体" w:hAnsi="宋体" w:eastAsia="宋体" w:cs="宋体"/>
                <w:color w:val="auto"/>
                <w:highlight w:val="none"/>
                <w:vertAlign w:val="baseline"/>
              </w:rPr>
            </w:pPr>
          </w:p>
        </w:tc>
        <w:tc>
          <w:tcPr>
            <w:tcW w:w="4050" w:type="dxa"/>
            <w:vAlign w:val="top"/>
          </w:tcPr>
          <w:p>
            <w:pPr>
              <w:pStyle w:val="2"/>
              <w:rPr>
                <w:rFonts w:hint="eastAsia" w:ascii="宋体" w:hAnsi="宋体" w:eastAsia="宋体" w:cs="宋体"/>
                <w:color w:val="auto"/>
                <w:highlight w:val="none"/>
                <w:vertAlign w:val="baseline"/>
              </w:rPr>
            </w:pPr>
          </w:p>
        </w:tc>
        <w:tc>
          <w:tcPr>
            <w:tcW w:w="1500" w:type="dxa"/>
            <w:vAlign w:val="top"/>
          </w:tcPr>
          <w:p>
            <w:pPr>
              <w:pStyle w:val="2"/>
              <w:rPr>
                <w:rFonts w:hint="eastAsia" w:ascii="宋体" w:hAnsi="宋体" w:eastAsia="宋体" w:cs="宋体"/>
                <w:color w:val="auto"/>
                <w:highlight w:val="none"/>
                <w:vertAlign w:val="baseline"/>
              </w:rPr>
            </w:pPr>
          </w:p>
        </w:tc>
        <w:tc>
          <w:tcPr>
            <w:tcW w:w="2155" w:type="dxa"/>
            <w:vAlign w:val="top"/>
          </w:tcPr>
          <w:p>
            <w:pPr>
              <w:pStyle w:val="2"/>
              <w:rPr>
                <w:rFonts w:hint="eastAsia" w:ascii="宋体" w:hAnsi="宋体" w:eastAsia="宋体" w:cs="宋体"/>
                <w:color w:val="auto"/>
                <w:highlight w:val="none"/>
                <w:vertAlign w:val="baseline"/>
              </w:rPr>
            </w:pPr>
          </w:p>
        </w:tc>
      </w:tr>
    </w:tbl>
    <w:p>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①投标人</w:t>
      </w:r>
      <w:r>
        <w:rPr>
          <w:rFonts w:hint="eastAsia" w:ascii="宋体" w:hAnsi="宋体" w:eastAsia="宋体" w:cs="宋体"/>
          <w:color w:val="auto"/>
          <w:szCs w:val="21"/>
          <w:highlight w:val="none"/>
        </w:rPr>
        <w:t>根据本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文件第四部分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要求中的内容进行响应。</w:t>
      </w:r>
    </w:p>
    <w:p>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②投标人如实填写表格，</w:t>
      </w:r>
      <w:r>
        <w:rPr>
          <w:rFonts w:hint="eastAsia" w:ascii="宋体" w:hAnsi="宋体" w:eastAsia="宋体" w:cs="宋体"/>
          <w:color w:val="auto"/>
          <w:szCs w:val="21"/>
          <w:highlight w:val="none"/>
          <w:lang w:eastAsia="zh-CN"/>
        </w:rPr>
        <w:t>有偏离情况的，需说明偏离内容；</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偏离情况</w:t>
      </w:r>
      <w:r>
        <w:rPr>
          <w:rFonts w:hint="eastAsia" w:ascii="宋体" w:hAnsi="宋体" w:eastAsia="宋体" w:cs="宋体"/>
          <w:color w:val="auto"/>
          <w:szCs w:val="21"/>
          <w:highlight w:val="none"/>
        </w:rPr>
        <w:t>的，填写“无”或“</w:t>
      </w:r>
      <w:r>
        <w:rPr>
          <w:rFonts w:hint="eastAsia" w:ascii="宋体" w:hAnsi="宋体" w:eastAsia="宋体" w:cs="宋体"/>
          <w:color w:val="auto"/>
          <w:szCs w:val="21"/>
          <w:highlight w:val="none"/>
          <w:lang w:eastAsia="zh-CN"/>
        </w:rPr>
        <w:t>无偏离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pStyle w:val="2"/>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Cs w:val="21"/>
          <w:highlight w:val="none"/>
          <w:lang w:eastAsia="zh-CN"/>
        </w:rPr>
      </w:pPr>
    </w:p>
    <w:p>
      <w:pPr>
        <w:pStyle w:val="2"/>
        <w:rPr>
          <w:rFonts w:hint="eastAsia" w:ascii="宋体" w:hAnsi="宋体" w:eastAsia="宋体" w:cs="宋体"/>
          <w:color w:val="auto"/>
          <w:szCs w:val="21"/>
          <w:highlight w:val="none"/>
          <w:lang w:eastAsia="zh-CN"/>
        </w:rPr>
      </w:pPr>
    </w:p>
    <w:p>
      <w:pPr>
        <w:spacing w:line="360" w:lineRule="auto"/>
        <w:ind w:firstLine="424" w:firstLineChars="202"/>
        <w:rPr>
          <w:rFonts w:hint="eastAsia" w:ascii="宋体" w:hAnsi="宋体" w:eastAsia="宋体" w:cs="宋体"/>
          <w:color w:val="auto"/>
          <w:szCs w:val="21"/>
          <w:highlight w:val="none"/>
          <w:lang w:eastAsia="zh-CN"/>
        </w:rPr>
      </w:pPr>
    </w:p>
    <w:p>
      <w:pPr>
        <w:snapToGrid w:val="0"/>
        <w:spacing w:line="360" w:lineRule="auto"/>
        <w:ind w:firstLine="1998" w:firstLineChars="9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pPr>
        <w:pStyle w:val="2"/>
        <w:rPr>
          <w:rFonts w:hint="eastAsia" w:ascii="宋体" w:hAnsi="宋体" w:eastAsia="宋体" w:cs="宋体"/>
          <w:color w:val="auto"/>
          <w:szCs w:val="21"/>
          <w:highlight w:val="none"/>
        </w:rPr>
      </w:pP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pPr>
        <w:snapToGrid w:val="0"/>
        <w:spacing w:line="360" w:lineRule="auto"/>
        <w:ind w:firstLine="420" w:firstLineChars="200"/>
        <w:rPr>
          <w:rFonts w:hint="eastAsia" w:ascii="宋体" w:hAnsi="宋体" w:eastAsia="宋体" w:cs="宋体"/>
          <w:color w:val="auto"/>
          <w:szCs w:val="21"/>
          <w:highlight w:val="none"/>
        </w:rPr>
      </w:pPr>
    </w:p>
    <w:p>
      <w:pPr>
        <w:spacing w:line="360" w:lineRule="auto"/>
        <w:ind w:firstLine="567" w:firstLineChars="270"/>
        <w:rPr>
          <w:rFonts w:hint="eastAsia" w:ascii="宋体" w:hAnsi="宋体" w:eastAsia="宋体" w:cs="宋体"/>
          <w:color w:val="auto"/>
          <w:szCs w:val="21"/>
          <w:highlight w:val="none"/>
        </w:rPr>
      </w:pPr>
    </w:p>
    <w:p>
      <w:pPr>
        <w:spacing w:line="360" w:lineRule="auto"/>
        <w:ind w:left="36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 xml:space="preserve">5-2 </w:t>
      </w:r>
      <w:r>
        <w:rPr>
          <w:rFonts w:hint="eastAsia" w:ascii="宋体" w:hAnsi="宋体" w:eastAsia="宋体" w:cs="宋体"/>
          <w:b/>
          <w:color w:val="auto"/>
          <w:sz w:val="24"/>
          <w:highlight w:val="none"/>
          <w:lang w:eastAsia="zh-CN"/>
        </w:rPr>
        <w:t>服务方案附后</w:t>
      </w:r>
    </w:p>
    <w:p>
      <w:pPr>
        <w:spacing w:line="360" w:lineRule="auto"/>
        <w:rPr>
          <w:rFonts w:hint="eastAsia" w:ascii="宋体" w:hAnsi="宋体" w:eastAsia="宋体" w:cs="宋体"/>
          <w:b/>
          <w:color w:val="auto"/>
          <w:highlight w:val="none"/>
          <w:lang w:val="en-US" w:eastAsia="zh-CN"/>
        </w:rPr>
      </w:pPr>
      <w:r>
        <w:rPr>
          <w:rFonts w:hint="eastAsia" w:ascii="宋体" w:hAnsi="宋体" w:eastAsia="宋体" w:cs="宋体"/>
          <w:color w:val="auto"/>
          <w:szCs w:val="21"/>
          <w:highlight w:val="none"/>
        </w:rPr>
        <w:br w:type="page"/>
      </w:r>
      <w:r>
        <w:rPr>
          <w:rFonts w:hint="eastAsia" w:ascii="宋体" w:hAnsi="宋体" w:eastAsia="宋体" w:cs="宋体"/>
          <w:b/>
          <w:color w:val="auto"/>
          <w:sz w:val="24"/>
          <w:highlight w:val="none"/>
          <w:lang w:val="en-US" w:eastAsia="zh-CN"/>
        </w:rPr>
        <w:t>六、</w:t>
      </w:r>
      <w:r>
        <w:rPr>
          <w:rFonts w:hint="eastAsia" w:ascii="宋体" w:hAnsi="宋体" w:eastAsia="宋体" w:cs="宋体"/>
          <w:b/>
          <w:color w:val="auto"/>
          <w:sz w:val="24"/>
          <w:highlight w:val="none"/>
        </w:rPr>
        <w:t>对技术要求的响应内容</w:t>
      </w:r>
      <w:r>
        <w:rPr>
          <w:rFonts w:hint="eastAsia" w:ascii="宋体" w:hAnsi="宋体" w:eastAsia="宋体" w:cs="宋体"/>
          <w:b/>
          <w:color w:val="auto"/>
          <w:sz w:val="24"/>
          <w:highlight w:val="none"/>
          <w:lang w:eastAsia="zh-CN"/>
        </w:rPr>
        <w:t>格式</w:t>
      </w:r>
      <w:r>
        <w:rPr>
          <w:rFonts w:hint="eastAsia" w:ascii="宋体" w:hAnsi="宋体" w:eastAsia="宋体" w:cs="宋体"/>
          <w:b/>
          <w:color w:val="auto"/>
          <w:sz w:val="24"/>
          <w:highlight w:val="none"/>
          <w:lang w:val="en-US" w:eastAsia="zh-CN"/>
        </w:rPr>
        <w:t xml:space="preserve"> </w:t>
      </w:r>
    </w:p>
    <w:p>
      <w:pPr>
        <w:spacing w:line="440" w:lineRule="exact"/>
        <w:jc w:val="both"/>
        <w:outlineLvl w:val="0"/>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 xml:space="preserve">6-1 </w:t>
      </w:r>
      <w:r>
        <w:rPr>
          <w:rFonts w:hint="eastAsia" w:ascii="宋体" w:hAnsi="宋体" w:eastAsia="宋体" w:cs="宋体"/>
          <w:b/>
          <w:color w:val="auto"/>
          <w:sz w:val="24"/>
          <w:szCs w:val="32"/>
          <w:highlight w:val="none"/>
        </w:rPr>
        <w:t>投标</w:t>
      </w:r>
      <w:r>
        <w:rPr>
          <w:rFonts w:hint="eastAsia" w:ascii="宋体" w:hAnsi="宋体" w:cs="宋体"/>
          <w:b/>
          <w:color w:val="auto"/>
          <w:sz w:val="24"/>
          <w:szCs w:val="32"/>
          <w:highlight w:val="none"/>
          <w:lang w:eastAsia="zh-CN"/>
        </w:rPr>
        <w:t>货物/服务</w:t>
      </w:r>
      <w:r>
        <w:rPr>
          <w:rFonts w:hint="eastAsia" w:ascii="宋体" w:hAnsi="宋体" w:eastAsia="宋体" w:cs="宋体"/>
          <w:b/>
          <w:color w:val="auto"/>
          <w:sz w:val="24"/>
          <w:szCs w:val="32"/>
          <w:highlight w:val="none"/>
        </w:rPr>
        <w:t>技术响应偏离表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w:t>
      </w:r>
      <w:r>
        <w:rPr>
          <w:rFonts w:hint="eastAsia" w:ascii="宋体" w:hAnsi="宋体" w:eastAsia="宋体" w:cs="宋体"/>
          <w:color w:val="auto"/>
          <w:szCs w:val="21"/>
          <w:highlight w:val="none"/>
        </w:rPr>
        <w:t xml:space="preserve">名称：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 xml:space="preserve">包    号：  </w:t>
      </w:r>
      <w:r>
        <w:rPr>
          <w:rFonts w:hint="eastAsia" w:ascii="宋体" w:hAnsi="宋体" w:eastAsia="宋体" w:cs="宋体"/>
          <w:color w:val="auto"/>
          <w:highlight w:val="none"/>
          <w:u w:val="single"/>
          <w:lang w:val="en-US" w:eastAsia="zh-CN"/>
        </w:rPr>
        <w:t xml:space="preserve">                                  </w:t>
      </w:r>
    </w:p>
    <w:tbl>
      <w:tblPr>
        <w:tblStyle w:val="21"/>
        <w:tblW w:w="905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5"/>
        <w:gridCol w:w="1270"/>
        <w:gridCol w:w="2190"/>
        <w:gridCol w:w="2093"/>
        <w:gridCol w:w="1464"/>
        <w:gridCol w:w="1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0" w:type="dxa"/>
            <w:tcBorders>
              <w:lef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货物/服务</w:t>
            </w:r>
            <w:r>
              <w:rPr>
                <w:rFonts w:hint="eastAsia" w:ascii="宋体" w:hAnsi="宋体" w:eastAsia="宋体" w:cs="宋体"/>
                <w:color w:val="auto"/>
                <w:szCs w:val="21"/>
                <w:highlight w:val="none"/>
              </w:rPr>
              <w:t>名称</w:t>
            </w:r>
          </w:p>
        </w:tc>
        <w:tc>
          <w:tcPr>
            <w:tcW w:w="2190" w:type="dxa"/>
            <w:vAlign w:val="center"/>
          </w:tcPr>
          <w:p>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要求</w:t>
            </w:r>
          </w:p>
        </w:tc>
        <w:tc>
          <w:tcPr>
            <w:tcW w:w="2093" w:type="dxa"/>
            <w:vAlign w:val="center"/>
          </w:tcPr>
          <w:p>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响应</w:t>
            </w:r>
          </w:p>
        </w:tc>
        <w:tc>
          <w:tcPr>
            <w:tcW w:w="1464" w:type="dxa"/>
            <w:vAlign w:val="center"/>
          </w:tcPr>
          <w:p>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1038" w:type="dxa"/>
            <w:vAlign w:val="center"/>
          </w:tcPr>
          <w:p>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p>
        </w:tc>
        <w:tc>
          <w:tcPr>
            <w:tcW w:w="2190" w:type="dxa"/>
            <w:vAlign w:val="center"/>
          </w:tcPr>
          <w:p>
            <w:pPr>
              <w:snapToGrid w:val="0"/>
              <w:spacing w:line="440" w:lineRule="exact"/>
              <w:jc w:val="center"/>
              <w:rPr>
                <w:rFonts w:hint="eastAsia" w:ascii="宋体" w:hAnsi="宋体" w:eastAsia="宋体" w:cs="宋体"/>
                <w:color w:val="auto"/>
                <w:szCs w:val="21"/>
                <w:highlight w:val="none"/>
              </w:rPr>
            </w:pPr>
          </w:p>
        </w:tc>
        <w:tc>
          <w:tcPr>
            <w:tcW w:w="2093" w:type="dxa"/>
            <w:vAlign w:val="center"/>
          </w:tcPr>
          <w:p>
            <w:pPr>
              <w:snapToGrid w:val="0"/>
              <w:spacing w:line="440" w:lineRule="exact"/>
              <w:jc w:val="center"/>
              <w:rPr>
                <w:rFonts w:hint="eastAsia" w:ascii="宋体" w:hAnsi="宋体" w:eastAsia="宋体" w:cs="宋体"/>
                <w:color w:val="auto"/>
                <w:szCs w:val="21"/>
                <w:highlight w:val="none"/>
              </w:rPr>
            </w:pPr>
          </w:p>
        </w:tc>
        <w:tc>
          <w:tcPr>
            <w:tcW w:w="1464" w:type="dxa"/>
            <w:vAlign w:val="center"/>
          </w:tcPr>
          <w:p>
            <w:pPr>
              <w:snapToGrid w:val="0"/>
              <w:spacing w:line="440" w:lineRule="exact"/>
              <w:jc w:val="center"/>
              <w:rPr>
                <w:rFonts w:hint="eastAsia" w:ascii="宋体" w:hAnsi="宋体" w:eastAsia="宋体" w:cs="宋体"/>
                <w:color w:val="auto"/>
                <w:szCs w:val="21"/>
                <w:highlight w:val="none"/>
              </w:rPr>
            </w:pPr>
          </w:p>
        </w:tc>
        <w:tc>
          <w:tcPr>
            <w:tcW w:w="1038" w:type="dxa"/>
            <w:vAlign w:val="center"/>
          </w:tcPr>
          <w:p>
            <w:pPr>
              <w:snapToGrid w:val="0"/>
              <w:spacing w:line="440" w:lineRule="exact"/>
              <w:jc w:val="center"/>
              <w:rPr>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p>
        </w:tc>
        <w:tc>
          <w:tcPr>
            <w:tcW w:w="2190" w:type="dxa"/>
            <w:vAlign w:val="center"/>
          </w:tcPr>
          <w:p>
            <w:pPr>
              <w:snapToGrid w:val="0"/>
              <w:spacing w:line="440" w:lineRule="exact"/>
              <w:jc w:val="center"/>
              <w:rPr>
                <w:rFonts w:hint="eastAsia" w:ascii="宋体" w:hAnsi="宋体" w:eastAsia="宋体" w:cs="宋体"/>
                <w:color w:val="auto"/>
                <w:szCs w:val="21"/>
                <w:highlight w:val="none"/>
              </w:rPr>
            </w:pPr>
          </w:p>
        </w:tc>
        <w:tc>
          <w:tcPr>
            <w:tcW w:w="2093" w:type="dxa"/>
            <w:vAlign w:val="center"/>
          </w:tcPr>
          <w:p>
            <w:pPr>
              <w:snapToGrid w:val="0"/>
              <w:spacing w:line="440" w:lineRule="exact"/>
              <w:jc w:val="center"/>
              <w:rPr>
                <w:rFonts w:hint="eastAsia" w:ascii="宋体" w:hAnsi="宋体" w:eastAsia="宋体" w:cs="宋体"/>
                <w:color w:val="auto"/>
                <w:szCs w:val="21"/>
                <w:highlight w:val="none"/>
              </w:rPr>
            </w:pPr>
          </w:p>
        </w:tc>
        <w:tc>
          <w:tcPr>
            <w:tcW w:w="1464" w:type="dxa"/>
            <w:vAlign w:val="center"/>
          </w:tcPr>
          <w:p>
            <w:pPr>
              <w:snapToGrid w:val="0"/>
              <w:spacing w:line="440" w:lineRule="exact"/>
              <w:jc w:val="center"/>
              <w:rPr>
                <w:rFonts w:hint="eastAsia" w:ascii="宋体" w:hAnsi="宋体" w:eastAsia="宋体" w:cs="宋体"/>
                <w:color w:val="auto"/>
                <w:szCs w:val="21"/>
                <w:highlight w:val="none"/>
              </w:rPr>
            </w:pPr>
          </w:p>
        </w:tc>
        <w:tc>
          <w:tcPr>
            <w:tcW w:w="1038" w:type="dxa"/>
            <w:vAlign w:val="center"/>
          </w:tcPr>
          <w:p>
            <w:pPr>
              <w:snapToGrid w:val="0"/>
              <w:spacing w:line="440" w:lineRule="exact"/>
              <w:jc w:val="center"/>
              <w:rPr>
                <w:rFonts w:hint="eastAsia" w:ascii="宋体" w:hAnsi="宋体" w:eastAsia="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97" w:hRule="atLeast"/>
          <w:jc w:val="center"/>
        </w:trPr>
        <w:tc>
          <w:tcPr>
            <w:tcW w:w="995" w:type="dxa"/>
            <w:tcBorders>
              <w:righ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pPr>
              <w:snapToGrid w:val="0"/>
              <w:spacing w:line="440" w:lineRule="exact"/>
              <w:jc w:val="center"/>
              <w:rPr>
                <w:rFonts w:hint="eastAsia" w:ascii="宋体" w:hAnsi="宋体" w:eastAsia="宋体" w:cs="宋体"/>
                <w:color w:val="auto"/>
                <w:szCs w:val="21"/>
                <w:highlight w:val="none"/>
              </w:rPr>
            </w:pPr>
          </w:p>
        </w:tc>
        <w:tc>
          <w:tcPr>
            <w:tcW w:w="2190" w:type="dxa"/>
            <w:vAlign w:val="center"/>
          </w:tcPr>
          <w:p>
            <w:pPr>
              <w:snapToGrid w:val="0"/>
              <w:spacing w:line="440" w:lineRule="exact"/>
              <w:jc w:val="center"/>
              <w:rPr>
                <w:rFonts w:hint="eastAsia" w:ascii="宋体" w:hAnsi="宋体" w:eastAsia="宋体" w:cs="宋体"/>
                <w:color w:val="auto"/>
                <w:szCs w:val="21"/>
                <w:highlight w:val="none"/>
              </w:rPr>
            </w:pPr>
          </w:p>
        </w:tc>
        <w:tc>
          <w:tcPr>
            <w:tcW w:w="2093" w:type="dxa"/>
            <w:vAlign w:val="center"/>
          </w:tcPr>
          <w:p>
            <w:pPr>
              <w:snapToGrid w:val="0"/>
              <w:spacing w:line="440" w:lineRule="exact"/>
              <w:jc w:val="center"/>
              <w:rPr>
                <w:rFonts w:hint="eastAsia" w:ascii="宋体" w:hAnsi="宋体" w:eastAsia="宋体" w:cs="宋体"/>
                <w:color w:val="auto"/>
                <w:szCs w:val="21"/>
                <w:highlight w:val="none"/>
              </w:rPr>
            </w:pPr>
          </w:p>
        </w:tc>
        <w:tc>
          <w:tcPr>
            <w:tcW w:w="1464" w:type="dxa"/>
            <w:vAlign w:val="center"/>
          </w:tcPr>
          <w:p>
            <w:pPr>
              <w:snapToGrid w:val="0"/>
              <w:spacing w:line="440" w:lineRule="exact"/>
              <w:jc w:val="center"/>
              <w:rPr>
                <w:rFonts w:hint="eastAsia" w:ascii="宋体" w:hAnsi="宋体" w:eastAsia="宋体" w:cs="宋体"/>
                <w:color w:val="auto"/>
                <w:szCs w:val="21"/>
                <w:highlight w:val="none"/>
              </w:rPr>
            </w:pPr>
          </w:p>
        </w:tc>
        <w:tc>
          <w:tcPr>
            <w:tcW w:w="1038" w:type="dxa"/>
            <w:vAlign w:val="center"/>
          </w:tcPr>
          <w:p>
            <w:pPr>
              <w:snapToGrid w:val="0"/>
              <w:spacing w:line="440" w:lineRule="exact"/>
              <w:jc w:val="center"/>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w:t>
      </w:r>
      <w:r>
        <w:rPr>
          <w:rFonts w:hint="eastAsia" w:ascii="宋体" w:hAnsi="宋体" w:eastAsia="宋体" w:cs="宋体"/>
          <w:color w:val="auto"/>
          <w:szCs w:val="21"/>
          <w:highlight w:val="none"/>
        </w:rPr>
        <w:t>根据本文件第四部分技术</w:t>
      </w:r>
      <w:r>
        <w:rPr>
          <w:rFonts w:hint="eastAsia" w:ascii="宋体" w:hAnsi="宋体" w:eastAsia="宋体" w:cs="宋体"/>
          <w:color w:val="auto"/>
          <w:szCs w:val="21"/>
          <w:highlight w:val="none"/>
          <w:lang w:eastAsia="zh-CN"/>
        </w:rPr>
        <w:t>需求书</w:t>
      </w:r>
      <w:r>
        <w:rPr>
          <w:rFonts w:hint="eastAsia" w:ascii="宋体" w:hAnsi="宋体" w:eastAsia="宋体" w:cs="宋体"/>
          <w:color w:val="auto"/>
          <w:szCs w:val="21"/>
          <w:highlight w:val="none"/>
        </w:rPr>
        <w:t>中的内容</w:t>
      </w:r>
      <w:r>
        <w:rPr>
          <w:rFonts w:hint="eastAsia" w:ascii="宋体" w:hAnsi="宋体" w:eastAsia="宋体" w:cs="宋体"/>
          <w:color w:val="auto"/>
          <w:szCs w:val="21"/>
          <w:highlight w:val="none"/>
          <w:lang w:eastAsia="zh-CN"/>
        </w:rPr>
        <w:t>逐条</w:t>
      </w:r>
      <w:r>
        <w:rPr>
          <w:rFonts w:hint="eastAsia" w:ascii="宋体" w:hAnsi="宋体" w:eastAsia="宋体" w:cs="宋体"/>
          <w:color w:val="auto"/>
          <w:szCs w:val="21"/>
          <w:highlight w:val="none"/>
        </w:rPr>
        <w:t>进行响应。</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w:t>
      </w:r>
      <w:r>
        <w:rPr>
          <w:rFonts w:hint="eastAsia" w:ascii="宋体" w:hAnsi="宋体" w:eastAsia="宋体" w:cs="宋体"/>
          <w:color w:val="auto"/>
          <w:szCs w:val="21"/>
          <w:highlight w:val="none"/>
          <w:lang w:val="zh-CN" w:eastAsia="zh-CN"/>
        </w:rPr>
        <w:t>投标人应根据招标货物的性能指标、对照招标文件技术指标要求，如实逐条一一对应填写响应情况，如有未响应技术指标，评标委员会有权视其为负偏离；</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③请投标人在“偏离情况”一栏详细描述存在正偏离或负偏离技术指标，并标明偏离情况；</w:t>
      </w:r>
    </w:p>
    <w:p>
      <w:pPr>
        <w:spacing w:line="440" w:lineRule="exact"/>
        <w:jc w:val="both"/>
        <w:outlineLvl w:val="0"/>
        <w:rPr>
          <w:rFonts w:hint="eastAsia" w:ascii="宋体" w:hAnsi="宋体" w:cs="宋体"/>
          <w:b/>
          <w:color w:val="auto"/>
          <w:sz w:val="24"/>
          <w:szCs w:val="32"/>
          <w:highlight w:val="none"/>
          <w:lang w:val="en-US" w:eastAsia="zh-CN"/>
        </w:rPr>
        <w:sectPr>
          <w:footerReference r:id="rId8"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color w:val="auto"/>
          <w:sz w:val="24"/>
          <w:szCs w:val="32"/>
          <w:highlight w:val="none"/>
          <w:lang w:val="en-US" w:eastAsia="zh-CN"/>
        </w:rPr>
        <w:t>6-2 投标</w:t>
      </w:r>
      <w:r>
        <w:rPr>
          <w:rFonts w:hint="eastAsia" w:ascii="宋体" w:hAnsi="宋体" w:cs="宋体"/>
          <w:b/>
          <w:color w:val="auto"/>
          <w:sz w:val="24"/>
          <w:szCs w:val="32"/>
          <w:highlight w:val="none"/>
          <w:lang w:val="en-US" w:eastAsia="zh-CN"/>
        </w:rPr>
        <w:t>货物/服务</w:t>
      </w:r>
      <w:r>
        <w:rPr>
          <w:rFonts w:hint="eastAsia" w:ascii="宋体" w:hAnsi="宋体" w:eastAsia="宋体" w:cs="宋体"/>
          <w:b/>
          <w:color w:val="auto"/>
          <w:sz w:val="24"/>
          <w:szCs w:val="32"/>
          <w:highlight w:val="none"/>
          <w:lang w:val="en-US" w:eastAsia="zh-CN"/>
        </w:rPr>
        <w:t>详细的技术说明</w:t>
      </w:r>
      <w:r>
        <w:rPr>
          <w:rFonts w:hint="eastAsia" w:ascii="宋体" w:hAnsi="宋体" w:cs="宋体"/>
          <w:b/>
          <w:color w:val="auto"/>
          <w:sz w:val="24"/>
          <w:szCs w:val="32"/>
          <w:highlight w:val="none"/>
          <w:lang w:val="en-US" w:eastAsia="zh-CN"/>
        </w:rPr>
        <w:t>及技术方案</w:t>
      </w:r>
    </w:p>
    <w:p>
      <w:pPr>
        <w:jc w:val="both"/>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val="en-US" w:eastAsia="zh-CN"/>
        </w:rPr>
        <w:t xml:space="preserve"> 6-3</w:t>
      </w:r>
      <w:r>
        <w:rPr>
          <w:rFonts w:hint="eastAsia" w:ascii="宋体" w:hAnsi="宋体" w:eastAsia="宋体" w:cs="宋体"/>
          <w:b/>
          <w:bCs/>
          <w:color w:val="auto"/>
          <w:sz w:val="24"/>
          <w:highlight w:val="none"/>
        </w:rPr>
        <w:t>标注不允许负偏离的实质性要求和条件响应程度表</w:t>
      </w:r>
      <w:r>
        <w:rPr>
          <w:rFonts w:hint="eastAsia" w:ascii="宋体" w:hAnsi="宋体" w:cs="宋体"/>
          <w:b/>
          <w:bCs/>
          <w:color w:val="auto"/>
          <w:sz w:val="24"/>
          <w:highlight w:val="none"/>
          <w:lang w:eastAsia="zh-CN"/>
        </w:rPr>
        <w:t>（若有的话）</w:t>
      </w:r>
    </w:p>
    <w:p>
      <w:pPr>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r>
        <w:rPr>
          <w:rFonts w:hint="eastAsia" w:ascii="宋体" w:hAnsi="宋体" w:eastAsia="宋体" w:cs="宋体"/>
          <w:color w:val="auto"/>
          <w:szCs w:val="21"/>
          <w:highlight w:val="none"/>
          <w:u w:val="single"/>
        </w:rPr>
        <w:t xml:space="preserve">                                   </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w:t>
      </w:r>
      <w:r>
        <w:rPr>
          <w:rFonts w:hint="eastAsia" w:ascii="宋体" w:hAnsi="宋体" w:eastAsia="宋体" w:cs="宋体"/>
          <w:color w:val="auto"/>
          <w:szCs w:val="21"/>
          <w:highlight w:val="none"/>
        </w:rPr>
        <w:t xml:space="preserve">名称：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 xml:space="preserve">包    号：  </w:t>
      </w:r>
      <w:r>
        <w:rPr>
          <w:rFonts w:hint="eastAsia" w:ascii="宋体" w:hAnsi="宋体" w:eastAsia="宋体" w:cs="宋体"/>
          <w:color w:val="auto"/>
          <w:highlight w:val="none"/>
          <w:u w:val="single"/>
          <w:lang w:val="en-US" w:eastAsia="zh-CN"/>
        </w:rPr>
        <w:t xml:space="preserve">                                   </w:t>
      </w:r>
    </w:p>
    <w:tbl>
      <w:tblPr>
        <w:tblStyle w:val="21"/>
        <w:tblW w:w="14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426"/>
        <w:gridCol w:w="3095"/>
        <w:gridCol w:w="1275"/>
        <w:gridCol w:w="1276"/>
        <w:gridCol w:w="118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1690" w:type="dxa"/>
            <w:vMerge w:val="restart"/>
            <w:tcBorders>
              <w:top w:val="single" w:color="auto" w:sz="6" w:space="0"/>
              <w:right w:val="single" w:color="auto" w:sz="6" w:space="0"/>
            </w:tcBorders>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投标产品全称</w:t>
            </w:r>
          </w:p>
        </w:tc>
        <w:tc>
          <w:tcPr>
            <w:tcW w:w="3426" w:type="dxa"/>
            <w:vMerge w:val="restart"/>
            <w:tcBorders>
              <w:top w:val="single" w:color="auto" w:sz="6" w:space="0"/>
              <w:left w:val="single" w:color="auto" w:sz="6" w:space="0"/>
            </w:tcBorders>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招标文件标注</w:t>
            </w:r>
          </w:p>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不允许负偏离的实质性要求和条件</w:t>
            </w:r>
          </w:p>
        </w:tc>
        <w:tc>
          <w:tcPr>
            <w:tcW w:w="3095" w:type="dxa"/>
            <w:vMerge w:val="restart"/>
            <w:tcBorders>
              <w:top w:val="single" w:color="auto" w:sz="6" w:space="0"/>
            </w:tcBorders>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投标响应状况</w:t>
            </w:r>
          </w:p>
        </w:tc>
        <w:tc>
          <w:tcPr>
            <w:tcW w:w="3736" w:type="dxa"/>
            <w:gridSpan w:val="3"/>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响应程度</w:t>
            </w:r>
          </w:p>
        </w:tc>
        <w:tc>
          <w:tcPr>
            <w:tcW w:w="1925" w:type="dxa"/>
            <w:vMerge w:val="restart"/>
            <w:tcBorders>
              <w:top w:val="single" w:color="auto" w:sz="6" w:space="0"/>
            </w:tcBorders>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28" w:type="dxa"/>
            <w:vMerge w:val="continue"/>
            <w:vAlign w:val="center"/>
          </w:tcPr>
          <w:p>
            <w:pPr>
              <w:jc w:val="center"/>
              <w:rPr>
                <w:rFonts w:hint="eastAsia" w:ascii="宋体" w:hAnsi="宋体" w:eastAsia="宋体" w:cs="宋体"/>
                <w:b w:val="0"/>
                <w:bCs w:val="0"/>
                <w:color w:val="auto"/>
                <w:szCs w:val="21"/>
                <w:highlight w:val="none"/>
              </w:rPr>
            </w:pPr>
          </w:p>
        </w:tc>
        <w:tc>
          <w:tcPr>
            <w:tcW w:w="1690" w:type="dxa"/>
            <w:vMerge w:val="continue"/>
            <w:tcBorders>
              <w:right w:val="single" w:color="auto" w:sz="6" w:space="0"/>
            </w:tcBorders>
            <w:vAlign w:val="center"/>
          </w:tcPr>
          <w:p>
            <w:pPr>
              <w:jc w:val="center"/>
              <w:rPr>
                <w:rFonts w:hint="eastAsia" w:ascii="宋体" w:hAnsi="宋体" w:eastAsia="宋体" w:cs="宋体"/>
                <w:b w:val="0"/>
                <w:bCs w:val="0"/>
                <w:color w:val="auto"/>
                <w:szCs w:val="21"/>
                <w:highlight w:val="none"/>
              </w:rPr>
            </w:pPr>
          </w:p>
        </w:tc>
        <w:tc>
          <w:tcPr>
            <w:tcW w:w="3426" w:type="dxa"/>
            <w:vMerge w:val="continue"/>
            <w:tcBorders>
              <w:left w:val="single" w:color="auto" w:sz="6" w:space="0"/>
            </w:tcBorders>
            <w:vAlign w:val="center"/>
          </w:tcPr>
          <w:p>
            <w:pPr>
              <w:jc w:val="center"/>
              <w:rPr>
                <w:rFonts w:hint="eastAsia" w:ascii="宋体" w:hAnsi="宋体" w:eastAsia="宋体" w:cs="宋体"/>
                <w:b w:val="0"/>
                <w:bCs w:val="0"/>
                <w:color w:val="auto"/>
                <w:szCs w:val="21"/>
                <w:highlight w:val="none"/>
              </w:rPr>
            </w:pPr>
          </w:p>
        </w:tc>
        <w:tc>
          <w:tcPr>
            <w:tcW w:w="3095" w:type="dxa"/>
            <w:vMerge w:val="continue"/>
            <w:vAlign w:val="center"/>
          </w:tcPr>
          <w:p>
            <w:pPr>
              <w:jc w:val="center"/>
              <w:rPr>
                <w:rFonts w:hint="eastAsia" w:ascii="宋体" w:hAnsi="宋体" w:eastAsia="宋体" w:cs="宋体"/>
                <w:b w:val="0"/>
                <w:bCs w:val="0"/>
                <w:color w:val="auto"/>
                <w:szCs w:val="21"/>
                <w:highlight w:val="none"/>
              </w:rPr>
            </w:pPr>
          </w:p>
        </w:tc>
        <w:tc>
          <w:tcPr>
            <w:tcW w:w="1275" w:type="dxa"/>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符合要求</w:t>
            </w:r>
          </w:p>
        </w:tc>
        <w:tc>
          <w:tcPr>
            <w:tcW w:w="1276" w:type="dxa"/>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高于要求</w:t>
            </w:r>
          </w:p>
        </w:tc>
        <w:tc>
          <w:tcPr>
            <w:tcW w:w="1185" w:type="dxa"/>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低于要求</w:t>
            </w:r>
          </w:p>
        </w:tc>
        <w:tc>
          <w:tcPr>
            <w:tcW w:w="1925" w:type="dxa"/>
            <w:vMerge w:val="continue"/>
            <w:vAlign w:val="center"/>
          </w:tcPr>
          <w:p>
            <w:pPr>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28" w:type="dxa"/>
            <w:vAlign w:val="center"/>
          </w:tcPr>
          <w:p>
            <w:pPr>
              <w:jc w:val="center"/>
              <w:rPr>
                <w:rFonts w:hint="eastAsia" w:ascii="宋体" w:hAnsi="宋体" w:eastAsia="宋体" w:cs="宋体"/>
                <w:b w:val="0"/>
                <w:bCs w:val="0"/>
                <w:color w:val="auto"/>
                <w:szCs w:val="21"/>
                <w:highlight w:val="none"/>
              </w:rPr>
            </w:pPr>
          </w:p>
        </w:tc>
        <w:tc>
          <w:tcPr>
            <w:tcW w:w="1690" w:type="dxa"/>
            <w:tcBorders>
              <w:right w:val="single" w:color="auto" w:sz="6" w:space="0"/>
            </w:tcBorders>
            <w:vAlign w:val="center"/>
          </w:tcPr>
          <w:p>
            <w:pPr>
              <w:jc w:val="center"/>
              <w:rPr>
                <w:rFonts w:hint="eastAsia" w:ascii="宋体" w:hAnsi="宋体" w:eastAsia="宋体" w:cs="宋体"/>
                <w:b w:val="0"/>
                <w:bCs w:val="0"/>
                <w:color w:val="auto"/>
                <w:szCs w:val="21"/>
                <w:highlight w:val="none"/>
              </w:rPr>
            </w:pPr>
          </w:p>
        </w:tc>
        <w:tc>
          <w:tcPr>
            <w:tcW w:w="3426" w:type="dxa"/>
            <w:tcBorders>
              <w:left w:val="single" w:color="auto" w:sz="6" w:space="0"/>
            </w:tcBorders>
            <w:vAlign w:val="center"/>
          </w:tcPr>
          <w:p>
            <w:pPr>
              <w:jc w:val="center"/>
              <w:rPr>
                <w:rFonts w:hint="eastAsia" w:ascii="宋体" w:hAnsi="宋体" w:eastAsia="宋体" w:cs="宋体"/>
                <w:b w:val="0"/>
                <w:bCs w:val="0"/>
                <w:color w:val="auto"/>
                <w:szCs w:val="21"/>
                <w:highlight w:val="none"/>
              </w:rPr>
            </w:pPr>
          </w:p>
        </w:tc>
        <w:tc>
          <w:tcPr>
            <w:tcW w:w="3095" w:type="dxa"/>
            <w:vAlign w:val="center"/>
          </w:tcPr>
          <w:p>
            <w:pPr>
              <w:jc w:val="center"/>
              <w:rPr>
                <w:rFonts w:hint="eastAsia" w:ascii="宋体" w:hAnsi="宋体" w:eastAsia="宋体" w:cs="宋体"/>
                <w:b w:val="0"/>
                <w:bCs w:val="0"/>
                <w:color w:val="auto"/>
                <w:szCs w:val="21"/>
                <w:highlight w:val="none"/>
              </w:rPr>
            </w:pPr>
          </w:p>
        </w:tc>
        <w:tc>
          <w:tcPr>
            <w:tcW w:w="1275" w:type="dxa"/>
            <w:vAlign w:val="center"/>
          </w:tcPr>
          <w:p>
            <w:pPr>
              <w:jc w:val="center"/>
              <w:rPr>
                <w:rFonts w:hint="eastAsia" w:ascii="宋体" w:hAnsi="宋体" w:eastAsia="宋体" w:cs="宋体"/>
                <w:b w:val="0"/>
                <w:bCs w:val="0"/>
                <w:color w:val="auto"/>
                <w:szCs w:val="21"/>
                <w:highlight w:val="none"/>
              </w:rPr>
            </w:pPr>
          </w:p>
        </w:tc>
        <w:tc>
          <w:tcPr>
            <w:tcW w:w="1276" w:type="dxa"/>
            <w:vAlign w:val="center"/>
          </w:tcPr>
          <w:p>
            <w:pPr>
              <w:jc w:val="center"/>
              <w:rPr>
                <w:rFonts w:hint="eastAsia" w:ascii="宋体" w:hAnsi="宋体" w:eastAsia="宋体" w:cs="宋体"/>
                <w:b w:val="0"/>
                <w:bCs w:val="0"/>
                <w:color w:val="auto"/>
                <w:szCs w:val="21"/>
                <w:highlight w:val="none"/>
              </w:rPr>
            </w:pPr>
          </w:p>
        </w:tc>
        <w:tc>
          <w:tcPr>
            <w:tcW w:w="1185" w:type="dxa"/>
            <w:vAlign w:val="center"/>
          </w:tcPr>
          <w:p>
            <w:pPr>
              <w:jc w:val="center"/>
              <w:rPr>
                <w:rFonts w:hint="eastAsia" w:ascii="宋体" w:hAnsi="宋体" w:eastAsia="宋体" w:cs="宋体"/>
                <w:b w:val="0"/>
                <w:bCs w:val="0"/>
                <w:color w:val="auto"/>
                <w:szCs w:val="21"/>
                <w:highlight w:val="none"/>
              </w:rPr>
            </w:pPr>
          </w:p>
        </w:tc>
        <w:tc>
          <w:tcPr>
            <w:tcW w:w="1925" w:type="dxa"/>
            <w:vAlign w:val="center"/>
          </w:tcPr>
          <w:p>
            <w:pPr>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28" w:type="dxa"/>
            <w:vAlign w:val="center"/>
          </w:tcPr>
          <w:p>
            <w:pPr>
              <w:jc w:val="center"/>
              <w:rPr>
                <w:rFonts w:hint="eastAsia" w:ascii="宋体" w:hAnsi="宋体" w:eastAsia="宋体" w:cs="宋体"/>
                <w:b w:val="0"/>
                <w:bCs w:val="0"/>
                <w:color w:val="auto"/>
                <w:szCs w:val="21"/>
                <w:highlight w:val="none"/>
              </w:rPr>
            </w:pPr>
          </w:p>
        </w:tc>
        <w:tc>
          <w:tcPr>
            <w:tcW w:w="1690" w:type="dxa"/>
            <w:tcBorders>
              <w:right w:val="single" w:color="auto" w:sz="6" w:space="0"/>
            </w:tcBorders>
            <w:vAlign w:val="center"/>
          </w:tcPr>
          <w:p>
            <w:pPr>
              <w:jc w:val="center"/>
              <w:rPr>
                <w:rFonts w:hint="eastAsia" w:ascii="宋体" w:hAnsi="宋体" w:eastAsia="宋体" w:cs="宋体"/>
                <w:b w:val="0"/>
                <w:bCs w:val="0"/>
                <w:color w:val="auto"/>
                <w:szCs w:val="21"/>
                <w:highlight w:val="none"/>
              </w:rPr>
            </w:pPr>
          </w:p>
        </w:tc>
        <w:tc>
          <w:tcPr>
            <w:tcW w:w="3426" w:type="dxa"/>
            <w:tcBorders>
              <w:left w:val="single" w:color="auto" w:sz="6" w:space="0"/>
            </w:tcBorders>
            <w:vAlign w:val="center"/>
          </w:tcPr>
          <w:p>
            <w:pPr>
              <w:jc w:val="center"/>
              <w:rPr>
                <w:rFonts w:hint="eastAsia" w:ascii="宋体" w:hAnsi="宋体" w:eastAsia="宋体" w:cs="宋体"/>
                <w:b w:val="0"/>
                <w:bCs w:val="0"/>
                <w:color w:val="auto"/>
                <w:szCs w:val="21"/>
                <w:highlight w:val="none"/>
              </w:rPr>
            </w:pPr>
          </w:p>
        </w:tc>
        <w:tc>
          <w:tcPr>
            <w:tcW w:w="3095" w:type="dxa"/>
            <w:vAlign w:val="center"/>
          </w:tcPr>
          <w:p>
            <w:pPr>
              <w:jc w:val="center"/>
              <w:rPr>
                <w:rFonts w:hint="eastAsia" w:ascii="宋体" w:hAnsi="宋体" w:eastAsia="宋体" w:cs="宋体"/>
                <w:b w:val="0"/>
                <w:bCs w:val="0"/>
                <w:color w:val="auto"/>
                <w:szCs w:val="21"/>
                <w:highlight w:val="none"/>
              </w:rPr>
            </w:pPr>
          </w:p>
        </w:tc>
        <w:tc>
          <w:tcPr>
            <w:tcW w:w="1275" w:type="dxa"/>
            <w:vAlign w:val="center"/>
          </w:tcPr>
          <w:p>
            <w:pPr>
              <w:jc w:val="center"/>
              <w:rPr>
                <w:rFonts w:hint="eastAsia" w:ascii="宋体" w:hAnsi="宋体" w:eastAsia="宋体" w:cs="宋体"/>
                <w:b w:val="0"/>
                <w:bCs w:val="0"/>
                <w:color w:val="auto"/>
                <w:szCs w:val="21"/>
                <w:highlight w:val="none"/>
              </w:rPr>
            </w:pPr>
          </w:p>
        </w:tc>
        <w:tc>
          <w:tcPr>
            <w:tcW w:w="1276" w:type="dxa"/>
            <w:vAlign w:val="center"/>
          </w:tcPr>
          <w:p>
            <w:pPr>
              <w:jc w:val="center"/>
              <w:rPr>
                <w:rFonts w:hint="eastAsia" w:ascii="宋体" w:hAnsi="宋体" w:eastAsia="宋体" w:cs="宋体"/>
                <w:b w:val="0"/>
                <w:bCs w:val="0"/>
                <w:color w:val="auto"/>
                <w:szCs w:val="21"/>
                <w:highlight w:val="none"/>
              </w:rPr>
            </w:pPr>
          </w:p>
        </w:tc>
        <w:tc>
          <w:tcPr>
            <w:tcW w:w="1185" w:type="dxa"/>
            <w:vAlign w:val="center"/>
          </w:tcPr>
          <w:p>
            <w:pPr>
              <w:jc w:val="center"/>
              <w:rPr>
                <w:rFonts w:hint="eastAsia" w:ascii="宋体" w:hAnsi="宋体" w:eastAsia="宋体" w:cs="宋体"/>
                <w:b w:val="0"/>
                <w:bCs w:val="0"/>
                <w:color w:val="auto"/>
                <w:szCs w:val="21"/>
                <w:highlight w:val="none"/>
              </w:rPr>
            </w:pPr>
          </w:p>
        </w:tc>
        <w:tc>
          <w:tcPr>
            <w:tcW w:w="1925" w:type="dxa"/>
            <w:vAlign w:val="center"/>
          </w:tcPr>
          <w:p>
            <w:pPr>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4700" w:type="dxa"/>
            <w:gridSpan w:val="8"/>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其他条件要求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828" w:type="dxa"/>
            <w:vMerge w:val="restart"/>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5116" w:type="dxa"/>
            <w:gridSpan w:val="2"/>
            <w:vMerge w:val="restart"/>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招标文件标注</w:t>
            </w:r>
          </w:p>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不允许负偏离的实质性要求和条件</w:t>
            </w:r>
          </w:p>
        </w:tc>
        <w:tc>
          <w:tcPr>
            <w:tcW w:w="3095" w:type="dxa"/>
            <w:vMerge w:val="restart"/>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投标响应状况</w:t>
            </w:r>
          </w:p>
        </w:tc>
        <w:tc>
          <w:tcPr>
            <w:tcW w:w="3736" w:type="dxa"/>
            <w:gridSpan w:val="3"/>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响应程度</w:t>
            </w:r>
          </w:p>
        </w:tc>
        <w:tc>
          <w:tcPr>
            <w:tcW w:w="1925" w:type="dxa"/>
            <w:vMerge w:val="restart"/>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828" w:type="dxa"/>
            <w:vMerge w:val="continue"/>
            <w:vAlign w:val="center"/>
          </w:tcPr>
          <w:p>
            <w:pPr>
              <w:jc w:val="center"/>
              <w:rPr>
                <w:rFonts w:hint="eastAsia" w:ascii="宋体" w:hAnsi="宋体" w:eastAsia="宋体" w:cs="宋体"/>
                <w:b w:val="0"/>
                <w:bCs w:val="0"/>
                <w:color w:val="auto"/>
                <w:szCs w:val="21"/>
                <w:highlight w:val="none"/>
              </w:rPr>
            </w:pPr>
          </w:p>
        </w:tc>
        <w:tc>
          <w:tcPr>
            <w:tcW w:w="5116" w:type="dxa"/>
            <w:gridSpan w:val="2"/>
            <w:vMerge w:val="continue"/>
            <w:vAlign w:val="center"/>
          </w:tcPr>
          <w:p>
            <w:pPr>
              <w:jc w:val="center"/>
              <w:rPr>
                <w:rFonts w:hint="eastAsia" w:ascii="宋体" w:hAnsi="宋体" w:eastAsia="宋体" w:cs="宋体"/>
                <w:b w:val="0"/>
                <w:bCs w:val="0"/>
                <w:color w:val="auto"/>
                <w:szCs w:val="21"/>
                <w:highlight w:val="none"/>
              </w:rPr>
            </w:pPr>
          </w:p>
        </w:tc>
        <w:tc>
          <w:tcPr>
            <w:tcW w:w="3095" w:type="dxa"/>
            <w:vMerge w:val="continue"/>
            <w:vAlign w:val="center"/>
          </w:tcPr>
          <w:p>
            <w:pPr>
              <w:jc w:val="center"/>
              <w:rPr>
                <w:rFonts w:hint="eastAsia" w:ascii="宋体" w:hAnsi="宋体" w:eastAsia="宋体" w:cs="宋体"/>
                <w:b w:val="0"/>
                <w:bCs w:val="0"/>
                <w:color w:val="auto"/>
                <w:szCs w:val="21"/>
                <w:highlight w:val="none"/>
              </w:rPr>
            </w:pPr>
          </w:p>
        </w:tc>
        <w:tc>
          <w:tcPr>
            <w:tcW w:w="1275" w:type="dxa"/>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符合要求</w:t>
            </w:r>
          </w:p>
        </w:tc>
        <w:tc>
          <w:tcPr>
            <w:tcW w:w="1276" w:type="dxa"/>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高于要求</w:t>
            </w:r>
          </w:p>
        </w:tc>
        <w:tc>
          <w:tcPr>
            <w:tcW w:w="1185" w:type="dxa"/>
            <w:vAlign w:val="center"/>
          </w:tcPr>
          <w:p>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低于要求</w:t>
            </w:r>
          </w:p>
        </w:tc>
        <w:tc>
          <w:tcPr>
            <w:tcW w:w="1925" w:type="dxa"/>
            <w:vMerge w:val="continue"/>
            <w:vAlign w:val="center"/>
          </w:tcPr>
          <w:p>
            <w:pPr>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28" w:type="dxa"/>
            <w:vAlign w:val="center"/>
          </w:tcPr>
          <w:p>
            <w:pPr>
              <w:jc w:val="center"/>
              <w:rPr>
                <w:rFonts w:hint="eastAsia" w:ascii="宋体" w:hAnsi="宋体" w:eastAsia="宋体" w:cs="宋体"/>
                <w:b w:val="0"/>
                <w:bCs w:val="0"/>
                <w:color w:val="auto"/>
                <w:szCs w:val="21"/>
                <w:highlight w:val="none"/>
              </w:rPr>
            </w:pPr>
          </w:p>
        </w:tc>
        <w:tc>
          <w:tcPr>
            <w:tcW w:w="5116" w:type="dxa"/>
            <w:gridSpan w:val="2"/>
            <w:vAlign w:val="center"/>
          </w:tcPr>
          <w:p>
            <w:pPr>
              <w:jc w:val="center"/>
              <w:rPr>
                <w:rFonts w:hint="eastAsia" w:ascii="宋体" w:hAnsi="宋体" w:eastAsia="宋体" w:cs="宋体"/>
                <w:b w:val="0"/>
                <w:bCs w:val="0"/>
                <w:color w:val="auto"/>
                <w:szCs w:val="21"/>
                <w:highlight w:val="none"/>
              </w:rPr>
            </w:pPr>
          </w:p>
        </w:tc>
        <w:tc>
          <w:tcPr>
            <w:tcW w:w="3095" w:type="dxa"/>
            <w:vAlign w:val="center"/>
          </w:tcPr>
          <w:p>
            <w:pPr>
              <w:jc w:val="center"/>
              <w:rPr>
                <w:rFonts w:hint="eastAsia" w:ascii="宋体" w:hAnsi="宋体" w:eastAsia="宋体" w:cs="宋体"/>
                <w:b w:val="0"/>
                <w:bCs w:val="0"/>
                <w:color w:val="auto"/>
                <w:szCs w:val="21"/>
                <w:highlight w:val="none"/>
              </w:rPr>
            </w:pPr>
          </w:p>
        </w:tc>
        <w:tc>
          <w:tcPr>
            <w:tcW w:w="1275" w:type="dxa"/>
            <w:vAlign w:val="center"/>
          </w:tcPr>
          <w:p>
            <w:pPr>
              <w:jc w:val="center"/>
              <w:rPr>
                <w:rFonts w:hint="eastAsia" w:ascii="宋体" w:hAnsi="宋体" w:eastAsia="宋体" w:cs="宋体"/>
                <w:b w:val="0"/>
                <w:bCs w:val="0"/>
                <w:color w:val="auto"/>
                <w:szCs w:val="21"/>
                <w:highlight w:val="none"/>
              </w:rPr>
            </w:pPr>
          </w:p>
        </w:tc>
        <w:tc>
          <w:tcPr>
            <w:tcW w:w="1276" w:type="dxa"/>
            <w:vAlign w:val="center"/>
          </w:tcPr>
          <w:p>
            <w:pPr>
              <w:jc w:val="center"/>
              <w:rPr>
                <w:rFonts w:hint="eastAsia" w:ascii="宋体" w:hAnsi="宋体" w:eastAsia="宋体" w:cs="宋体"/>
                <w:b w:val="0"/>
                <w:bCs w:val="0"/>
                <w:color w:val="auto"/>
                <w:szCs w:val="21"/>
                <w:highlight w:val="none"/>
              </w:rPr>
            </w:pPr>
          </w:p>
        </w:tc>
        <w:tc>
          <w:tcPr>
            <w:tcW w:w="1185" w:type="dxa"/>
            <w:vAlign w:val="center"/>
          </w:tcPr>
          <w:p>
            <w:pPr>
              <w:jc w:val="center"/>
              <w:rPr>
                <w:rFonts w:hint="eastAsia" w:ascii="宋体" w:hAnsi="宋体" w:eastAsia="宋体" w:cs="宋体"/>
                <w:b w:val="0"/>
                <w:bCs w:val="0"/>
                <w:color w:val="auto"/>
                <w:szCs w:val="21"/>
                <w:highlight w:val="none"/>
              </w:rPr>
            </w:pPr>
          </w:p>
        </w:tc>
        <w:tc>
          <w:tcPr>
            <w:tcW w:w="1925" w:type="dxa"/>
            <w:vAlign w:val="center"/>
          </w:tcPr>
          <w:p>
            <w:pPr>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28" w:type="dxa"/>
            <w:vAlign w:val="center"/>
          </w:tcPr>
          <w:p>
            <w:pPr>
              <w:jc w:val="center"/>
              <w:rPr>
                <w:rFonts w:hint="eastAsia" w:ascii="宋体" w:hAnsi="宋体" w:eastAsia="宋体" w:cs="宋体"/>
                <w:b w:val="0"/>
                <w:bCs w:val="0"/>
                <w:color w:val="auto"/>
                <w:szCs w:val="21"/>
                <w:highlight w:val="none"/>
              </w:rPr>
            </w:pPr>
          </w:p>
        </w:tc>
        <w:tc>
          <w:tcPr>
            <w:tcW w:w="5116" w:type="dxa"/>
            <w:gridSpan w:val="2"/>
            <w:vAlign w:val="center"/>
          </w:tcPr>
          <w:p>
            <w:pPr>
              <w:jc w:val="center"/>
              <w:rPr>
                <w:rFonts w:hint="eastAsia" w:ascii="宋体" w:hAnsi="宋体" w:eastAsia="宋体" w:cs="宋体"/>
                <w:b w:val="0"/>
                <w:bCs w:val="0"/>
                <w:color w:val="auto"/>
                <w:szCs w:val="21"/>
                <w:highlight w:val="none"/>
              </w:rPr>
            </w:pPr>
          </w:p>
        </w:tc>
        <w:tc>
          <w:tcPr>
            <w:tcW w:w="3095" w:type="dxa"/>
            <w:vAlign w:val="center"/>
          </w:tcPr>
          <w:p>
            <w:pPr>
              <w:jc w:val="center"/>
              <w:rPr>
                <w:rFonts w:hint="eastAsia" w:ascii="宋体" w:hAnsi="宋体" w:eastAsia="宋体" w:cs="宋体"/>
                <w:b w:val="0"/>
                <w:bCs w:val="0"/>
                <w:color w:val="auto"/>
                <w:szCs w:val="21"/>
                <w:highlight w:val="none"/>
              </w:rPr>
            </w:pPr>
          </w:p>
        </w:tc>
        <w:tc>
          <w:tcPr>
            <w:tcW w:w="1275" w:type="dxa"/>
            <w:vAlign w:val="center"/>
          </w:tcPr>
          <w:p>
            <w:pPr>
              <w:jc w:val="center"/>
              <w:rPr>
                <w:rFonts w:hint="eastAsia" w:ascii="宋体" w:hAnsi="宋体" w:eastAsia="宋体" w:cs="宋体"/>
                <w:b w:val="0"/>
                <w:bCs w:val="0"/>
                <w:color w:val="auto"/>
                <w:szCs w:val="21"/>
                <w:highlight w:val="none"/>
              </w:rPr>
            </w:pPr>
          </w:p>
        </w:tc>
        <w:tc>
          <w:tcPr>
            <w:tcW w:w="1276" w:type="dxa"/>
            <w:vAlign w:val="center"/>
          </w:tcPr>
          <w:p>
            <w:pPr>
              <w:jc w:val="center"/>
              <w:rPr>
                <w:rFonts w:hint="eastAsia" w:ascii="宋体" w:hAnsi="宋体" w:eastAsia="宋体" w:cs="宋体"/>
                <w:b w:val="0"/>
                <w:bCs w:val="0"/>
                <w:color w:val="auto"/>
                <w:szCs w:val="21"/>
                <w:highlight w:val="none"/>
              </w:rPr>
            </w:pPr>
          </w:p>
        </w:tc>
        <w:tc>
          <w:tcPr>
            <w:tcW w:w="1185" w:type="dxa"/>
            <w:vAlign w:val="center"/>
          </w:tcPr>
          <w:p>
            <w:pPr>
              <w:jc w:val="center"/>
              <w:rPr>
                <w:rFonts w:hint="eastAsia" w:ascii="宋体" w:hAnsi="宋体" w:eastAsia="宋体" w:cs="宋体"/>
                <w:b w:val="0"/>
                <w:bCs w:val="0"/>
                <w:color w:val="auto"/>
                <w:szCs w:val="21"/>
                <w:highlight w:val="none"/>
              </w:rPr>
            </w:pPr>
          </w:p>
        </w:tc>
        <w:tc>
          <w:tcPr>
            <w:tcW w:w="1925" w:type="dxa"/>
            <w:vAlign w:val="center"/>
          </w:tcPr>
          <w:p>
            <w:pPr>
              <w:jc w:val="center"/>
              <w:rPr>
                <w:rFonts w:hint="eastAsia" w:ascii="宋体" w:hAnsi="宋体" w:eastAsia="宋体" w:cs="宋体"/>
                <w:b w:val="0"/>
                <w:bCs w:val="0"/>
                <w:color w:val="auto"/>
                <w:szCs w:val="21"/>
                <w:highlight w:val="none"/>
              </w:rPr>
            </w:pPr>
          </w:p>
        </w:tc>
      </w:tr>
    </w:tbl>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说明：①投标人应详细列明标注不允许负偏离的实质性要求和条件的具体响应状况，全面披露各项响应程度，否则投标文件无效。</w:t>
      </w:r>
    </w:p>
    <w:p>
      <w:pPr>
        <w:keepNext w:val="0"/>
        <w:keepLines w:val="0"/>
        <w:pageBreakBefore w:val="0"/>
        <w:widowControl w:val="0"/>
        <w:kinsoku/>
        <w:wordWrap/>
        <w:overflowPunct/>
        <w:topLinePunct w:val="0"/>
        <w:autoSpaceDE/>
        <w:autoSpaceDN/>
        <w:bidi w:val="0"/>
        <w:adjustRightInd/>
        <w:spacing w:line="480" w:lineRule="exact"/>
        <w:ind w:firstLine="1052" w:firstLineChars="501"/>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②招标文件中没有标注</w:t>
      </w:r>
      <w:r>
        <w:rPr>
          <w:rFonts w:hint="eastAsia" w:ascii="宋体" w:hAnsi="宋体" w:eastAsia="宋体" w:cs="宋体"/>
          <w:color w:val="auto"/>
          <w:szCs w:val="21"/>
          <w:highlight w:val="none"/>
          <w:lang w:eastAsia="zh-CN"/>
        </w:rPr>
        <w:t>不允许负偏离的实质性要求和条件的具体响应状况，投标人可</w:t>
      </w:r>
      <w:r>
        <w:rPr>
          <w:rFonts w:hint="eastAsia" w:ascii="宋体" w:hAnsi="宋体" w:eastAsia="宋体" w:cs="宋体"/>
          <w:color w:val="auto"/>
          <w:szCs w:val="21"/>
          <w:highlight w:val="none"/>
        </w:rPr>
        <w:t>填写“无”或“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来表示。</w:t>
      </w:r>
    </w:p>
    <w:p>
      <w:pPr>
        <w:keepNext w:val="0"/>
        <w:keepLines w:val="0"/>
        <w:pageBreakBefore w:val="0"/>
        <w:widowControl w:val="0"/>
        <w:kinsoku/>
        <w:wordWrap/>
        <w:overflowPunct/>
        <w:topLinePunct w:val="0"/>
        <w:autoSpaceDE/>
        <w:autoSpaceDN/>
        <w:bidi w:val="0"/>
        <w:adjustRightInd/>
        <w:snapToGrid w:val="0"/>
        <w:spacing w:line="480" w:lineRule="exact"/>
        <w:ind w:firstLine="8214" w:firstLineChars="37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pPr>
        <w:spacing w:line="440" w:lineRule="exact"/>
        <w:jc w:val="both"/>
        <w:outlineLvl w:val="0"/>
        <w:rPr>
          <w:rFonts w:hint="eastAsia" w:ascii="宋体" w:hAnsi="宋体" w:eastAsia="宋体" w:cs="宋体"/>
          <w:color w:val="auto"/>
          <w:szCs w:val="21"/>
          <w:highlight w:val="none"/>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pPr>
        <w:snapToGrid w:val="0"/>
        <w:spacing w:line="480" w:lineRule="exact"/>
        <w:rPr>
          <w:rFonts w:ascii="华文中宋" w:hAnsi="华文中宋" w:eastAsia="华文中宋" w:cs="华文中宋"/>
          <w:b/>
          <w:color w:val="auto"/>
          <w:sz w:val="24"/>
          <w:szCs w:val="32"/>
          <w:highlight w:val="none"/>
        </w:rPr>
      </w:pPr>
      <w:r>
        <w:rPr>
          <w:rFonts w:hint="eastAsia" w:ascii="华文中宋" w:hAnsi="华文中宋" w:eastAsia="华文中宋" w:cs="华文中宋"/>
          <w:b/>
          <w:color w:val="auto"/>
          <w:sz w:val="24"/>
          <w:szCs w:val="32"/>
          <w:highlight w:val="none"/>
          <w:lang w:val="en-US" w:eastAsia="zh-CN"/>
        </w:rPr>
        <w:t>七、</w:t>
      </w:r>
      <w:r>
        <w:rPr>
          <w:rFonts w:hint="eastAsia" w:ascii="华文中宋" w:hAnsi="华文中宋" w:eastAsia="华文中宋" w:cs="华文中宋"/>
          <w:b/>
          <w:color w:val="auto"/>
          <w:sz w:val="24"/>
          <w:szCs w:val="32"/>
          <w:highlight w:val="none"/>
          <w:lang w:eastAsia="zh-CN"/>
        </w:rPr>
        <w:t>磋商供应商</w:t>
      </w:r>
      <w:r>
        <w:rPr>
          <w:rFonts w:hint="eastAsia" w:ascii="华文中宋" w:hAnsi="华文中宋" w:eastAsia="华文中宋" w:cs="华文中宋"/>
          <w:b/>
          <w:color w:val="auto"/>
          <w:sz w:val="24"/>
          <w:szCs w:val="32"/>
          <w:highlight w:val="none"/>
        </w:rPr>
        <w:t>类似合同案例情况格式（若有的话）</w:t>
      </w:r>
    </w:p>
    <w:p>
      <w:pPr>
        <w:tabs>
          <w:tab w:val="left" w:pos="1680"/>
        </w:tabs>
        <w:snapToGrid w:val="0"/>
        <w:spacing w:line="400" w:lineRule="exact"/>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磋商供应商类似合同案例情况一览表</w:t>
      </w:r>
    </w:p>
    <w:tbl>
      <w:tblPr>
        <w:tblStyle w:val="21"/>
        <w:tblW w:w="13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99"/>
        <w:gridCol w:w="2135"/>
        <w:gridCol w:w="1937"/>
        <w:gridCol w:w="1523"/>
        <w:gridCol w:w="1698"/>
        <w:gridCol w:w="1609"/>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1003"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序号</w:t>
            </w:r>
          </w:p>
        </w:tc>
        <w:tc>
          <w:tcPr>
            <w:tcW w:w="2099"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合同名称</w:t>
            </w:r>
          </w:p>
        </w:tc>
        <w:tc>
          <w:tcPr>
            <w:tcW w:w="2135"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采购单位</w:t>
            </w:r>
          </w:p>
        </w:tc>
        <w:tc>
          <w:tcPr>
            <w:tcW w:w="1937"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合同核实联系人及联系电话</w:t>
            </w:r>
          </w:p>
        </w:tc>
        <w:tc>
          <w:tcPr>
            <w:tcW w:w="1523"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签署日期</w:t>
            </w:r>
          </w:p>
        </w:tc>
        <w:tc>
          <w:tcPr>
            <w:tcW w:w="1698"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合同金额</w:t>
            </w:r>
          </w:p>
        </w:tc>
        <w:tc>
          <w:tcPr>
            <w:tcW w:w="1609"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项目结算</w:t>
            </w:r>
          </w:p>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凭证类型</w:t>
            </w:r>
          </w:p>
        </w:tc>
        <w:tc>
          <w:tcPr>
            <w:tcW w:w="1852" w:type="dxa"/>
            <w:vAlign w:val="center"/>
          </w:tcPr>
          <w:p>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结算凭证金额</w:t>
            </w:r>
            <w:r>
              <w:rPr>
                <w:rFonts w:hint="eastAsia" w:ascii="华文中宋" w:hAnsi="华文中宋" w:eastAsia="华文中宋" w:cs="华文中宋"/>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00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1</w:t>
            </w:r>
          </w:p>
        </w:tc>
        <w:tc>
          <w:tcPr>
            <w:tcW w:w="209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pPr>
              <w:widowControl/>
              <w:jc w:val="center"/>
              <w:rPr>
                <w:rFonts w:ascii="华文中宋" w:hAnsi="华文中宋" w:eastAsia="华文中宋" w:cs="华文中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00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2</w:t>
            </w:r>
          </w:p>
        </w:tc>
        <w:tc>
          <w:tcPr>
            <w:tcW w:w="209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00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3</w:t>
            </w:r>
          </w:p>
        </w:tc>
        <w:tc>
          <w:tcPr>
            <w:tcW w:w="209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00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w:t>
            </w:r>
          </w:p>
        </w:tc>
        <w:tc>
          <w:tcPr>
            <w:tcW w:w="209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bl>
    <w:p>
      <w:pPr>
        <w:spacing w:line="300" w:lineRule="exact"/>
        <w:ind w:firstLine="210" w:firstLineChars="100"/>
        <w:rPr>
          <w:rFonts w:ascii="华文中宋" w:hAnsi="华文中宋" w:eastAsia="华文中宋" w:cs="华文中宋"/>
          <w:color w:val="auto"/>
          <w:szCs w:val="21"/>
          <w:highlight w:val="none"/>
        </w:rPr>
      </w:pPr>
    </w:p>
    <w:p>
      <w:pPr>
        <w:spacing w:line="440" w:lineRule="exact"/>
        <w:ind w:firstLine="210" w:firstLineChars="1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说明：①</w:t>
      </w:r>
      <w:r>
        <w:rPr>
          <w:rFonts w:hint="eastAsia" w:ascii="华文中宋" w:hAnsi="华文中宋" w:eastAsia="华文中宋" w:cs="华文中宋"/>
          <w:color w:val="auto"/>
          <w:szCs w:val="21"/>
          <w:highlight w:val="none"/>
          <w:lang w:eastAsia="zh-CN"/>
        </w:rPr>
        <w:t>供应商</w:t>
      </w:r>
      <w:r>
        <w:rPr>
          <w:rFonts w:hint="eastAsia" w:ascii="华文中宋" w:hAnsi="华文中宋" w:eastAsia="华文中宋" w:cs="华文中宋"/>
          <w:color w:val="auto"/>
          <w:szCs w:val="21"/>
          <w:highlight w:val="none"/>
        </w:rPr>
        <w:t>提供的类似合同案例，至少需提供与最终用户签订</w:t>
      </w:r>
      <w:r>
        <w:rPr>
          <w:rFonts w:hint="eastAsia" w:ascii="华文中宋" w:hAnsi="华文中宋" w:eastAsia="华文中宋" w:cs="华文中宋"/>
          <w:color w:val="auto"/>
          <w:szCs w:val="21"/>
          <w:highlight w:val="none"/>
          <w:lang w:eastAsia="zh-CN"/>
        </w:rPr>
        <w:t>的合同首页、合同金额所在页、签字盖章页、供货明细单及验收报告等</w:t>
      </w:r>
      <w:r>
        <w:rPr>
          <w:rFonts w:hint="eastAsia" w:ascii="华文中宋" w:hAnsi="华文中宋" w:eastAsia="华文中宋" w:cs="华文中宋"/>
          <w:color w:val="auto"/>
          <w:szCs w:val="21"/>
          <w:highlight w:val="none"/>
        </w:rPr>
        <w:t>影印件。</w:t>
      </w:r>
    </w:p>
    <w:p>
      <w:pPr>
        <w:spacing w:line="440" w:lineRule="exact"/>
        <w:ind w:firstLine="840" w:firstLineChars="4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②</w:t>
      </w:r>
      <w:r>
        <w:rPr>
          <w:rFonts w:hint="eastAsia" w:ascii="华文中宋" w:hAnsi="华文中宋" w:eastAsia="华文中宋" w:cs="华文中宋"/>
          <w:color w:val="auto"/>
          <w:szCs w:val="21"/>
          <w:highlight w:val="none"/>
          <w:lang w:eastAsia="zh-CN"/>
        </w:rPr>
        <w:t>供应商</w:t>
      </w:r>
      <w:r>
        <w:rPr>
          <w:rFonts w:hint="eastAsia" w:ascii="华文中宋" w:hAnsi="华文中宋" w:eastAsia="华文中宋" w:cs="华文中宋"/>
          <w:color w:val="auto"/>
          <w:szCs w:val="21"/>
          <w:highlight w:val="none"/>
        </w:rPr>
        <w:t>应尽可能填全以上表格。</w:t>
      </w:r>
    </w:p>
    <w:p>
      <w:pPr>
        <w:spacing w:line="440" w:lineRule="exact"/>
        <w:ind w:firstLine="840" w:firstLineChars="4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③无业绩，无需填写此表。</w:t>
      </w:r>
    </w:p>
    <w:p>
      <w:pPr>
        <w:spacing w:line="460" w:lineRule="exact"/>
        <w:ind w:firstLine="840" w:firstLineChars="400"/>
        <w:rPr>
          <w:rFonts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④类似合同案例证明材料附后。</w:t>
      </w:r>
    </w:p>
    <w:p>
      <w:pPr>
        <w:snapToGrid w:val="0"/>
        <w:spacing w:line="300" w:lineRule="exact"/>
        <w:ind w:firstLine="8214" w:firstLineChars="3700"/>
        <w:rPr>
          <w:rFonts w:ascii="华文中宋" w:hAnsi="华文中宋" w:eastAsia="华文中宋" w:cs="华文中宋"/>
          <w:color w:val="auto"/>
          <w:szCs w:val="21"/>
          <w:highlight w:val="none"/>
        </w:rPr>
      </w:pPr>
      <w:r>
        <w:rPr>
          <w:rFonts w:hint="eastAsia" w:ascii="宋体" w:hAnsi="宋体" w:eastAsia="宋体" w:cs="宋体"/>
          <w:color w:val="auto"/>
          <w:spacing w:val="6"/>
          <w:szCs w:val="21"/>
          <w:highlight w:val="none"/>
        </w:rPr>
        <w:t>单位名称</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w:t>
      </w:r>
    </w:p>
    <w:p>
      <w:pPr>
        <w:snapToGrid w:val="0"/>
        <w:spacing w:line="300" w:lineRule="exact"/>
        <w:rPr>
          <w:rFonts w:eastAsia="宋体" w:cs="Times New Roman"/>
          <w:color w:val="auto"/>
          <w:highlight w:val="none"/>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日  期：      年  月  </w:t>
      </w:r>
      <w:r>
        <w:rPr>
          <w:rFonts w:hint="eastAsia" w:ascii="华文中宋" w:hAnsi="华文中宋" w:eastAsia="华文中宋" w:cs="华文中宋"/>
          <w:color w:val="auto"/>
          <w:szCs w:val="21"/>
          <w:highlight w:val="none"/>
          <w:lang w:val="en-US" w:eastAsia="zh-CN"/>
        </w:rPr>
        <w:t>日</w:t>
      </w:r>
    </w:p>
    <w:p>
      <w:pPr>
        <w:pStyle w:val="2"/>
        <w:rPr>
          <w:rFonts w:ascii="华文中宋" w:hAnsi="华文中宋" w:eastAsia="华文中宋"/>
          <w:color w:val="auto"/>
          <w:highlight w:val="none"/>
        </w:rPr>
        <w:sectPr>
          <w:footerReference r:id="rId11" w:type="first"/>
          <w:headerReference r:id="rId9" w:type="default"/>
          <w:footerReference r:id="rId10" w:type="default"/>
          <w:pgSz w:w="16838" w:h="11906" w:orient="landscape"/>
          <w:pgMar w:top="1803" w:right="1440" w:bottom="1803" w:left="1440" w:header="851" w:footer="992"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32" w:charSpace="0"/>
        </w:sectPr>
      </w:pPr>
    </w:p>
    <w:p>
      <w:pPr>
        <w:pStyle w:val="16"/>
        <w:rPr>
          <w:b/>
          <w:bCs/>
        </w:rPr>
      </w:pPr>
      <w:r>
        <w:rPr>
          <w:rFonts w:hint="eastAsia"/>
          <w:b/>
          <w:bCs/>
          <w:lang w:val="en-US" w:eastAsia="zh-CN"/>
        </w:rPr>
        <w:t>八、</w:t>
      </w:r>
      <w:r>
        <w:rPr>
          <w:rFonts w:hint="eastAsia"/>
          <w:b/>
          <w:bCs/>
        </w:rPr>
        <w:t>磋商文件要求或磋商供应商认为需要提供的其他技术材料文件</w:t>
      </w:r>
    </w:p>
    <w:bookmarkEnd w:id="0"/>
    <w:p/>
    <w:sectPr>
      <w:headerReference r:id="rId12" w:type="default"/>
      <w:footerReference r:id="rId13" w:type="default"/>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modern"/>
    <w:pitch w:val="default"/>
    <w:sig w:usb0="B00002AF" w:usb1="69D77CFB" w:usb2="00000030" w:usb3="00000000" w:csb0="4008009F" w:csb1="DFD70000"/>
  </w:font>
  <w:font w:name="国标宋体">
    <w:altName w:val="宋体"/>
    <w:panose1 w:val="02000500000000000000"/>
    <w:charset w:val="86"/>
    <w:family w:val="auto"/>
    <w:pitch w:val="default"/>
    <w:sig w:usb0="00000000" w:usb1="00000000" w:usb2="00000000" w:usb3="00000000" w:csb0="00060007"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文泉驿正黑">
    <w:altName w:val="黑体"/>
    <w:panose1 w:val="02000603000000000000"/>
    <w:charset w:val="86"/>
    <w:family w:val="auto"/>
    <w:pitch w:val="default"/>
    <w:sig w:usb0="00000000" w:usb1="00000000" w:usb2="00000036" w:usb3="00000000" w:csb0="603E000D" w:csb1="D2D7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PingFang SC">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9"/>
      </w:rPr>
    </w:pPr>
    <w:r>
      <w:fldChar w:fldCharType="begin"/>
    </w:r>
    <w:r>
      <w:rPr>
        <w:rStyle w:val="19"/>
      </w:rPr>
      <w:instrText xml:space="preserve">PAGE  </w:instrText>
    </w:r>
    <w:r>
      <w:fldChar w:fldCharType="end"/>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z15EW5AQAAVwMAAA4AAAAAAAAAAQAgAAAAHgEAAGRycy9lMm9Eb2MueG1sUEsFBgAAAAAGAAYA&#10;WQEAAEk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JmTq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V9Yo14NwtUlIonDLFQ6w&#10;x8I4s6LuuF95KV7fS9bLX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4mZOrgEAAE0D&#10;AAAOAAAAAAAAAAEAIAAAAB4BAABkcnMvZTJvRG9jLnhtbFBLBQYAAAAABgAGAFkBAAA+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NUbq4BAABNAwAADgAAAGRycy9lMm9Eb2MueG1srVNNrhMxDN4jcYco&#10;e5p5F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sA1RurgEAAE0D&#10;AAAOAAAAAAAAAAEAIAAAAB4BAABkcnMvZTJvRG9jLnhtbFBLBQYAAAAABgAGAFkBAAA+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J9AWOetAQAATQMA&#10;AA4AAAAAAAAAAQAgAAAAHgEAAGRycy9lMm9Eb2MueG1sUEsFBgAAAAAGAAYAWQEAAD0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47</w:t>
    </w:r>
    <w:r>
      <w:rPr>
        <w:lang w:val="zh-CN"/>
      </w:rPr>
      <w:fldChar w:fldCharType="end"/>
    </w:r>
  </w:p>
  <w:p>
    <w:pPr>
      <w:pStyle w:val="11"/>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ascii="隶书" w:hAnsi="华文中宋" w:eastAsia="隶书" w:cs="仿宋"/>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20FB5"/>
    <w:multiLevelType w:val="singleLevel"/>
    <w:tmpl w:val="96620FB5"/>
    <w:lvl w:ilvl="0" w:tentative="0">
      <w:start w:val="6"/>
      <w:numFmt w:val="decimal"/>
      <w:suff w:val="nothing"/>
      <w:lvlText w:val="%1．"/>
      <w:lvlJc w:val="left"/>
    </w:lvl>
  </w:abstractNum>
  <w:abstractNum w:abstractNumId="1">
    <w:nsid w:val="D89716C5"/>
    <w:multiLevelType w:val="singleLevel"/>
    <w:tmpl w:val="D89716C5"/>
    <w:lvl w:ilvl="0" w:tentative="0">
      <w:start w:val="10"/>
      <w:numFmt w:val="decimal"/>
      <w:suff w:val="space"/>
      <w:lvlText w:val="%1."/>
      <w:lvlJc w:val="left"/>
    </w:lvl>
  </w:abstractNum>
  <w:abstractNum w:abstractNumId="2">
    <w:nsid w:val="140B7B70"/>
    <w:multiLevelType w:val="singleLevel"/>
    <w:tmpl w:val="140B7B70"/>
    <w:lvl w:ilvl="0" w:tentative="0">
      <w:start w:val="1"/>
      <w:numFmt w:val="decimal"/>
      <w:suff w:val="space"/>
      <w:lvlText w:val="%1."/>
      <w:lvlJc w:val="left"/>
    </w:lvl>
  </w:abstractNum>
  <w:abstractNum w:abstractNumId="3">
    <w:nsid w:val="187630C5"/>
    <w:multiLevelType w:val="singleLevel"/>
    <w:tmpl w:val="187630C5"/>
    <w:lvl w:ilvl="0" w:tentative="0">
      <w:start w:val="5"/>
      <w:numFmt w:val="chineseCounting"/>
      <w:suff w:val="nothing"/>
      <w:lvlText w:val="%1、"/>
      <w:lvlJc w:val="left"/>
      <w:rPr>
        <w:rFonts w:hint="eastAsia"/>
      </w:rPr>
    </w:lvl>
  </w:abstractNum>
  <w:abstractNum w:abstractNumId="4">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7A31B2C"/>
    <w:multiLevelType w:val="multilevel"/>
    <w:tmpl w:val="37A31B2C"/>
    <w:lvl w:ilvl="0" w:tentative="0">
      <w:start w:val="1"/>
      <w:numFmt w:val="japaneseCounting"/>
      <w:lvlText w:val="%1、"/>
      <w:lvlJc w:val="left"/>
      <w:pPr>
        <w:ind w:left="666" w:hanging="456"/>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6">
    <w:nsid w:val="4E37929B"/>
    <w:multiLevelType w:val="singleLevel"/>
    <w:tmpl w:val="4E37929B"/>
    <w:lvl w:ilvl="0" w:tentative="0">
      <w:start w:val="2"/>
      <w:numFmt w:val="chineseCounting"/>
      <w:suff w:val="nothing"/>
      <w:lvlText w:val="%1、"/>
      <w:lvlJc w:val="left"/>
      <w:rPr>
        <w:rFonts w:hint="eastAsia"/>
      </w:rPr>
    </w:lvl>
  </w:abstractNum>
  <w:abstractNum w:abstractNumId="7">
    <w:nsid w:val="69CF65E4"/>
    <w:multiLevelType w:val="singleLevel"/>
    <w:tmpl w:val="69CF65E4"/>
    <w:lvl w:ilvl="0" w:tentative="0">
      <w:start w:val="6"/>
      <w:numFmt w:val="decimal"/>
      <w:suff w:val="nothing"/>
      <w:lvlText w:val="%1．"/>
      <w:lvlJc w:val="left"/>
    </w:lvl>
  </w:abstractNum>
  <w:num w:numId="1">
    <w:abstractNumId w:val="4"/>
  </w:num>
  <w:num w:numId="2">
    <w:abstractNumId w:val="0"/>
  </w:num>
  <w:num w:numId="3">
    <w:abstractNumId w:val="7"/>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zY3ZTM4YzEwOGZjMTViOTk0Mjc2MDQyMDkwYzcifQ=="/>
  </w:docVars>
  <w:rsids>
    <w:rsidRoot w:val="7F1F517E"/>
    <w:rsid w:val="00190819"/>
    <w:rsid w:val="026F79FA"/>
    <w:rsid w:val="03A70BBD"/>
    <w:rsid w:val="04377B9E"/>
    <w:rsid w:val="04753B4E"/>
    <w:rsid w:val="054E0E99"/>
    <w:rsid w:val="06C33B8A"/>
    <w:rsid w:val="06F210D0"/>
    <w:rsid w:val="07276A37"/>
    <w:rsid w:val="08E43E74"/>
    <w:rsid w:val="0C92753C"/>
    <w:rsid w:val="0E852ED3"/>
    <w:rsid w:val="0EDD3CA8"/>
    <w:rsid w:val="10BE1D4F"/>
    <w:rsid w:val="1593620B"/>
    <w:rsid w:val="15BB27B1"/>
    <w:rsid w:val="16560603"/>
    <w:rsid w:val="16740435"/>
    <w:rsid w:val="177D46A7"/>
    <w:rsid w:val="17EE1C3B"/>
    <w:rsid w:val="1BEA45E1"/>
    <w:rsid w:val="1BFF2ED5"/>
    <w:rsid w:val="1DAD0154"/>
    <w:rsid w:val="1ED81361"/>
    <w:rsid w:val="1F0A4758"/>
    <w:rsid w:val="1FF31DBF"/>
    <w:rsid w:val="20B93F55"/>
    <w:rsid w:val="251412FF"/>
    <w:rsid w:val="26551412"/>
    <w:rsid w:val="26AF344C"/>
    <w:rsid w:val="26FD0842"/>
    <w:rsid w:val="2A460957"/>
    <w:rsid w:val="2EBF3527"/>
    <w:rsid w:val="31634B1F"/>
    <w:rsid w:val="37FC86FD"/>
    <w:rsid w:val="3B385A02"/>
    <w:rsid w:val="3B8775DE"/>
    <w:rsid w:val="3C800E4D"/>
    <w:rsid w:val="3D3F6C51"/>
    <w:rsid w:val="3FFE298E"/>
    <w:rsid w:val="40091ED7"/>
    <w:rsid w:val="40151F59"/>
    <w:rsid w:val="401A00BA"/>
    <w:rsid w:val="42215025"/>
    <w:rsid w:val="45F6368E"/>
    <w:rsid w:val="45FC0DEF"/>
    <w:rsid w:val="472A3289"/>
    <w:rsid w:val="483378B1"/>
    <w:rsid w:val="484B6B76"/>
    <w:rsid w:val="4C330B63"/>
    <w:rsid w:val="4C395890"/>
    <w:rsid w:val="4CA31656"/>
    <w:rsid w:val="4DAA702A"/>
    <w:rsid w:val="4E9A05CA"/>
    <w:rsid w:val="4EB13032"/>
    <w:rsid w:val="500F5DFE"/>
    <w:rsid w:val="51AE3E74"/>
    <w:rsid w:val="52265BCB"/>
    <w:rsid w:val="52973AC9"/>
    <w:rsid w:val="538A54D7"/>
    <w:rsid w:val="5B6574D3"/>
    <w:rsid w:val="5D766A54"/>
    <w:rsid w:val="5DA04659"/>
    <w:rsid w:val="631F5804"/>
    <w:rsid w:val="636A1BB2"/>
    <w:rsid w:val="67EF1745"/>
    <w:rsid w:val="6B273630"/>
    <w:rsid w:val="6BF458FE"/>
    <w:rsid w:val="6C1844A9"/>
    <w:rsid w:val="6C5B7D28"/>
    <w:rsid w:val="6E3C2C5F"/>
    <w:rsid w:val="6FA00C39"/>
    <w:rsid w:val="70415B48"/>
    <w:rsid w:val="70504D9C"/>
    <w:rsid w:val="71EC22AF"/>
    <w:rsid w:val="72550F73"/>
    <w:rsid w:val="727428B6"/>
    <w:rsid w:val="72B16014"/>
    <w:rsid w:val="73975D21"/>
    <w:rsid w:val="74CD38B7"/>
    <w:rsid w:val="75D50FD7"/>
    <w:rsid w:val="75E10248"/>
    <w:rsid w:val="7AA735D8"/>
    <w:rsid w:val="7BFF78D7"/>
    <w:rsid w:val="7CA936C0"/>
    <w:rsid w:val="7D7BC2BF"/>
    <w:rsid w:val="7D9A6059"/>
    <w:rsid w:val="7F1F517E"/>
    <w:rsid w:val="7F31DD80"/>
    <w:rsid w:val="E14E8E04"/>
    <w:rsid w:val="EBEE7A93"/>
    <w:rsid w:val="FEA71402"/>
    <w:rsid w:val="FF7F4A7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sz w:val="28"/>
      <w:szCs w:val="24"/>
    </w:rPr>
  </w:style>
  <w:style w:type="paragraph" w:styleId="7">
    <w:name w:val="Body Text First Indent"/>
    <w:basedOn w:val="2"/>
    <w:next w:val="1"/>
    <w:qFormat/>
    <w:uiPriority w:val="0"/>
    <w:pPr>
      <w:widowControl/>
      <w:tabs>
        <w:tab w:val="left" w:pos="0"/>
        <w:tab w:val="left" w:pos="993"/>
        <w:tab w:val="left" w:pos="1134"/>
      </w:tabs>
      <w:spacing w:before="42" w:after="0" w:line="500" w:lineRule="exact"/>
      <w:ind w:left="107" w:firstLine="420" w:firstLineChars="100"/>
    </w:pPr>
    <w:rPr>
      <w:rFonts w:ascii="宋体" w:hAnsi="宋体" w:eastAsia="宋体" w:cs="Times New Roman"/>
      <w:sz w:val="24"/>
      <w:szCs w:val="24"/>
    </w:rPr>
  </w:style>
  <w:style w:type="paragraph" w:styleId="8">
    <w:name w:val="Body Text Indent"/>
    <w:basedOn w:val="1"/>
    <w:next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szCs w:val="24"/>
    </w:rPr>
  </w:style>
  <w:style w:type="paragraph" w:styleId="10">
    <w:name w:val="Plain Text"/>
    <w:basedOn w:val="1"/>
    <w:qFormat/>
    <w:uiPriority w:val="0"/>
    <w:pPr>
      <w:spacing w:beforeLines="50" w:afterLines="50" w:line="400" w:lineRule="exact"/>
    </w:pPr>
    <w:rPr>
      <w:rFonts w:ascii="宋体" w:hAnsi="Courier New"/>
      <w:sz w:val="24"/>
      <w:szCs w:val="24"/>
    </w:r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Body Text First Indent 2"/>
    <w:basedOn w:val="8"/>
    <w:next w:val="13"/>
    <w:qFormat/>
    <w:uiPriority w:val="0"/>
    <w:pPr>
      <w:spacing w:after="120" w:line="240" w:lineRule="auto"/>
      <w:ind w:left="420" w:leftChars="200" w:firstLine="420" w:firstLineChars="200"/>
    </w:pPr>
    <w:rPr>
      <w:rFonts w:ascii="Times New Roman" w:hAnsi="Times New Roman"/>
      <w:spacing w:val="0"/>
      <w:sz w:val="21"/>
    </w:rPr>
  </w:style>
  <w:style w:type="paragraph" w:styleId="13">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szCs w:val="24"/>
    </w:rPr>
  </w:style>
  <w:style w:type="paragraph" w:styleId="16">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0"/>
  </w:style>
  <w:style w:type="character" w:styleId="20">
    <w:name w:val="Hyperlink"/>
    <w:qFormat/>
    <w:uiPriority w:val="0"/>
    <w:rPr>
      <w:color w:val="0000FF"/>
      <w:u w:val="single"/>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24">
    <w:name w:val="正文段"/>
    <w:basedOn w:val="1"/>
    <w:qFormat/>
    <w:uiPriority w:val="0"/>
    <w:pPr>
      <w:widowControl/>
      <w:snapToGrid w:val="0"/>
      <w:spacing w:afterLines="50"/>
      <w:ind w:firstLine="200" w:firstLineChars="200"/>
    </w:pPr>
    <w:rPr>
      <w:kern w:val="0"/>
      <w:sz w:val="24"/>
      <w:szCs w:val="20"/>
    </w:rPr>
  </w:style>
  <w:style w:type="paragraph" w:customStyle="1" w:styleId="25">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26">
    <w:name w:val="样式 标题 4 + 段前: 5 磅 段后: 5 磅 行距: 单倍行距"/>
    <w:basedOn w:val="6"/>
    <w:qFormat/>
    <w:uiPriority w:val="99"/>
    <w:pPr>
      <w:tabs>
        <w:tab w:val="left" w:pos="2880"/>
      </w:tabs>
      <w:spacing w:before="100" w:after="100" w:line="240" w:lineRule="auto"/>
      <w:ind w:left="2880" w:hanging="720"/>
    </w:pPr>
    <w:rPr>
      <w:rFonts w:cs="宋体"/>
      <w:szCs w:val="20"/>
    </w:rPr>
  </w:style>
  <w:style w:type="paragraph" w:customStyle="1" w:styleId="27">
    <w:name w:val="列出段落1"/>
    <w:basedOn w:val="1"/>
    <w:qFormat/>
    <w:uiPriority w:val="0"/>
    <w:pPr>
      <w:ind w:firstLine="420" w:firstLineChars="200"/>
    </w:pPr>
    <w:rPr>
      <w:szCs w:val="24"/>
    </w:rPr>
  </w:style>
  <w:style w:type="paragraph" w:customStyle="1" w:styleId="28">
    <w:name w:val="样式 标题 3h3H3sect1.2.3 + 五号 段前: 6 磅 段后: 6 磅 行距: 单倍行距"/>
    <w:basedOn w:val="5"/>
    <w:qFormat/>
    <w:uiPriority w:val="99"/>
    <w:pPr>
      <w:spacing w:before="120" w:after="120" w:line="240" w:lineRule="auto"/>
    </w:pPr>
    <w:rPr>
      <w:sz w:val="21"/>
      <w:szCs w:val="20"/>
    </w:rPr>
  </w:style>
  <w:style w:type="paragraph" w:customStyle="1" w:styleId="29">
    <w:name w:val="样式1"/>
    <w:basedOn w:val="1"/>
    <w:next w:val="6"/>
    <w:qFormat/>
    <w:uiPriority w:val="0"/>
    <w:pPr>
      <w:adjustRightInd w:val="0"/>
      <w:textAlignment w:val="baseline"/>
    </w:pPr>
    <w:rPr>
      <w:rFonts w:ascii="宋体" w:hAnsi="宋体"/>
      <w:kern w:val="0"/>
      <w:szCs w:val="21"/>
    </w:rPr>
  </w:style>
  <w:style w:type="character" w:customStyle="1" w:styleId="30">
    <w:name w:val="font11"/>
    <w:basedOn w:val="18"/>
    <w:qFormat/>
    <w:uiPriority w:val="0"/>
    <w:rPr>
      <w:rFonts w:hint="eastAsia" w:ascii="宋体" w:hAnsi="宋体" w:eastAsia="宋体" w:cs="宋体"/>
      <w:color w:val="000000"/>
      <w:sz w:val="18"/>
      <w:szCs w:val="18"/>
      <w:u w:val="none"/>
    </w:rPr>
  </w:style>
  <w:style w:type="paragraph" w:customStyle="1" w:styleId="31">
    <w:name w:val="Table Paragraph"/>
    <w:basedOn w:val="1"/>
    <w:qFormat/>
    <w:uiPriority w:val="1"/>
    <w:rPr>
      <w:rFonts w:ascii="Calibri" w:hAnsi="Calibri"/>
    </w:rPr>
  </w:style>
  <w:style w:type="paragraph" w:customStyle="1" w:styleId="32">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33">
    <w:name w:val="首行缩进"/>
    <w:basedOn w:val="1"/>
    <w:qFormat/>
    <w:uiPriority w:val="0"/>
    <w:pPr>
      <w:widowControl/>
      <w:numPr>
        <w:ilvl w:val="6"/>
        <w:numId w:val="1"/>
      </w:numPr>
      <w:tabs>
        <w:tab w:val="left" w:pos="822"/>
      </w:tabs>
      <w:snapToGrid w:val="0"/>
      <w:spacing w:before="40" w:after="40" w:line="300" w:lineRule="atLeast"/>
    </w:pPr>
    <w:rPr>
      <w:rFonts w:ascii="Arial" w:hAnsi="Arial"/>
      <w:kern w:val="0"/>
      <w:szCs w:val="20"/>
    </w:rPr>
  </w:style>
  <w:style w:type="paragraph" w:customStyle="1" w:styleId="34">
    <w:name w:val="纯文本1"/>
    <w:basedOn w:val="35"/>
    <w:qFormat/>
    <w:uiPriority w:val="0"/>
    <w:pPr>
      <w:widowControl/>
      <w:jc w:val="left"/>
    </w:pPr>
    <w:rPr>
      <w:rFonts w:ascii="宋体" w:hAnsi="Courier New"/>
    </w:rPr>
  </w:style>
  <w:style w:type="paragraph" w:customStyle="1" w:styleId="35">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Table Text"/>
    <w:basedOn w:val="1"/>
    <w:semiHidden/>
    <w:qFormat/>
    <w:uiPriority w:val="0"/>
    <w:pPr>
      <w:widowControl/>
      <w:jc w:val="center"/>
    </w:pPr>
    <w:rPr>
      <w:rFonts w:ascii="宋体" w:hAnsi="宋体" w:cs="宋体"/>
      <w:snapToGrid w:val="0"/>
      <w:color w:val="000000"/>
      <w:kern w:val="0"/>
      <w:sz w:val="28"/>
      <w:szCs w:val="28"/>
      <w:lang w:eastAsia="en-US"/>
    </w:rPr>
  </w:style>
  <w:style w:type="table" w:customStyle="1" w:styleId="37">
    <w:name w:val="Table Normal"/>
    <w:unhideWhenUsed/>
    <w:qFormat/>
    <w:uiPriority w:val="0"/>
    <w:tblPr>
      <w:tblLayout w:type="fixed"/>
      <w:tblCellMar>
        <w:top w:w="0" w:type="dxa"/>
        <w:left w:w="0" w:type="dxa"/>
        <w:bottom w:w="0" w:type="dxa"/>
        <w:right w:w="0" w:type="dxa"/>
      </w:tblCellMar>
    </w:tblPr>
  </w:style>
  <w:style w:type="paragraph" w:customStyle="1" w:styleId="38">
    <w:name w:val="正文1"/>
    <w:basedOn w:val="1"/>
    <w:qFormat/>
    <w:uiPriority w:val="0"/>
    <w:pPr>
      <w:tabs>
        <w:tab w:val="left" w:pos="720"/>
        <w:tab w:val="right" w:pos="1191"/>
      </w:tabs>
      <w:spacing w:line="360" w:lineRule="auto"/>
      <w:ind w:left="720" w:hanging="360"/>
    </w:pPr>
    <w:rPr>
      <w:rFonts w:ascii="宋体" w:hAnsi="宋体"/>
      <w:kern w:val="10"/>
    </w:rPr>
  </w:style>
  <w:style w:type="paragraph" w:customStyle="1" w:styleId="39">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40">
    <w:name w:val="p0"/>
    <w:qFormat/>
    <w:uiPriority w:val="0"/>
    <w:rPr>
      <w:rFonts w:ascii="Times New Roman" w:hAnsi="Times New Roman" w:eastAsia="宋体" w:cs="Times New Roman"/>
      <w:sz w:val="21"/>
      <w:szCs w:val="21"/>
      <w:lang w:val="en-US" w:eastAsia="zh-CN" w:bidi="ar-SA"/>
    </w:rPr>
  </w:style>
  <w:style w:type="paragraph" w:customStyle="1" w:styleId="41">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24031</Words>
  <Characters>25641</Characters>
  <Lines>0</Lines>
  <Paragraphs>0</Paragraphs>
  <ScaleCrop>false</ScaleCrop>
  <LinksUpToDate>false</LinksUpToDate>
  <CharactersWithSpaces>26043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2024-08-16T20:55:00Z</dcterms:created>
  <dc:creator>zz</dc:creator>
  <cp:lastModifiedBy>Administrator</cp:lastModifiedBy>
  <cp:lastPrinted>2025-09-03T19:21:00Z</cp:lastPrinted>
  <dcterms:modified xsi:type="dcterms:W3CDTF">2026-04-06T09:13:54Z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4E925C46271748BEB7BF2A876860851A_13</vt:lpwstr>
  </property>
  <property fmtid="{D5CDD505-2E9C-101B-9397-08002B2CF9AE}" pid="4" name="KSOTemplateDocerSaveRecord">
    <vt:lpwstr>eyJoZGlkIjoiNzFmYWJjNDdjYzAwZDYzODI0NmU3M2NhNDdhYWI0YzIiLCJ1c2VySWQiOiI0Nzk4NTA2MjAifQ==</vt:lpwstr>
  </property>
</Properties>
</file>