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E5BBC">
      <w:pPr>
        <w:rPr>
          <w:rFonts w:ascii="Times New Roman" w:hAnsi="Times New Roman"/>
          <w:color w:val="auto"/>
          <w:highlight w:val="none"/>
        </w:rPr>
      </w:pPr>
      <w:bookmarkStart w:id="0" w:name="EB66f6f3065e3245ac98bc2b30584e855b"/>
      <w:bookmarkStart w:id="1" w:name="EB9993916871824d46a9f442e61dcbb5fc"/>
      <w:r>
        <w:rPr>
          <w:rFonts w:ascii="Times New Roman" w:hAnsi="Times New Roman"/>
          <w:color w:val="auto"/>
          <w:sz w:val="20"/>
          <w:highlight w:val="none"/>
        </w:rPr>
        <w:t xml:space="preserve"> </w:t>
      </w:r>
      <w:bookmarkEnd w:id="0"/>
      <w:r>
        <w:rPr>
          <w:rFonts w:ascii="Times New Roman" w:hAnsi="Times New Roman"/>
          <w:color w:val="auto"/>
          <w:sz w:val="20"/>
          <w:highlight w:val="none"/>
        </w:rPr>
        <w:t xml:space="preserve"> </w:t>
      </w:r>
      <w:bookmarkStart w:id="2" w:name="EB180ba06745a546608cc746518d0340a4"/>
      <w:bookmarkEnd w:id="2"/>
    </w:p>
    <w:p w14:paraId="18277E99">
      <w:pPr>
        <w:jc w:val="center"/>
        <w:rPr>
          <w:rFonts w:ascii="Times New Roman" w:hAnsi="Times New Roman"/>
          <w:b/>
          <w:bCs/>
          <w:color w:val="auto"/>
          <w:sz w:val="84"/>
          <w:szCs w:val="84"/>
          <w:highlight w:val="none"/>
        </w:rPr>
      </w:pPr>
    </w:p>
    <w:p w14:paraId="52B3BEA0">
      <w:pPr>
        <w:jc w:val="center"/>
        <w:rPr>
          <w:rFonts w:ascii="Times New Roman" w:hAnsi="Times New Roman"/>
          <w:b/>
          <w:bCs/>
          <w:color w:val="auto"/>
          <w:sz w:val="84"/>
          <w:szCs w:val="84"/>
          <w:highlight w:val="none"/>
        </w:rPr>
      </w:pPr>
      <w:r>
        <w:rPr>
          <w:rFonts w:ascii="Times New Roman" w:hAnsi="Times New Roman"/>
          <w:b/>
          <w:bCs/>
          <w:color w:val="auto"/>
          <w:sz w:val="84"/>
          <w:szCs w:val="84"/>
          <w:highlight w:val="none"/>
        </w:rPr>
        <w:t>公开招标文件</w:t>
      </w:r>
    </w:p>
    <w:p w14:paraId="7F44D5A2">
      <w:pPr>
        <w:spacing w:line="560" w:lineRule="exact"/>
        <w:jc w:val="center"/>
        <w:rPr>
          <w:rFonts w:ascii="Times New Roman" w:hAnsi="Times New Roman"/>
          <w:b/>
          <w:color w:val="auto"/>
          <w:sz w:val="44"/>
          <w:szCs w:val="44"/>
          <w:highlight w:val="none"/>
        </w:rPr>
      </w:pPr>
      <w:r>
        <w:rPr>
          <w:rFonts w:ascii="Times New Roman" w:hAnsi="Times New Roman"/>
          <w:b/>
          <w:color w:val="auto"/>
          <w:sz w:val="44"/>
          <w:szCs w:val="44"/>
          <w:highlight w:val="none"/>
        </w:rPr>
        <w:t>（货物、服务类）</w:t>
      </w:r>
    </w:p>
    <w:p w14:paraId="6EE779B6">
      <w:pPr>
        <w:spacing w:line="560" w:lineRule="exact"/>
        <w:rPr>
          <w:rFonts w:ascii="Times New Roman" w:hAnsi="Times New Roman"/>
          <w:color w:val="auto"/>
          <w:sz w:val="32"/>
          <w:szCs w:val="32"/>
          <w:highlight w:val="none"/>
        </w:rPr>
      </w:pPr>
    </w:p>
    <w:p w14:paraId="5EFAB281">
      <w:pPr>
        <w:spacing w:line="560" w:lineRule="exact"/>
        <w:rPr>
          <w:rFonts w:ascii="Times New Roman" w:hAnsi="Times New Roman"/>
          <w:color w:val="auto"/>
          <w:sz w:val="32"/>
          <w:szCs w:val="32"/>
          <w:highlight w:val="none"/>
        </w:rPr>
      </w:pPr>
    </w:p>
    <w:p w14:paraId="1DFB8A79">
      <w:pPr>
        <w:spacing w:line="560" w:lineRule="exact"/>
        <w:rPr>
          <w:rFonts w:ascii="Times New Roman" w:hAnsi="Times New Roman"/>
          <w:color w:val="auto"/>
          <w:sz w:val="32"/>
          <w:szCs w:val="32"/>
          <w:highlight w:val="none"/>
        </w:rPr>
      </w:pPr>
    </w:p>
    <w:p w14:paraId="5A3D7218">
      <w:pPr>
        <w:spacing w:line="360" w:lineRule="auto"/>
        <w:ind w:left="1606" w:hanging="1606" w:hangingChars="500"/>
        <w:rPr>
          <w:rFonts w:ascii="Times New Roman" w:hAnsi="Times New Roman"/>
          <w:b/>
          <w:color w:val="auto"/>
          <w:sz w:val="32"/>
          <w:szCs w:val="32"/>
          <w:highlight w:val="none"/>
        </w:rPr>
      </w:pPr>
      <w:r>
        <w:rPr>
          <w:rFonts w:ascii="Times New Roman" w:hAnsi="Times New Roman"/>
          <w:b/>
          <w:color w:val="auto"/>
          <w:sz w:val="32"/>
          <w:szCs w:val="32"/>
          <w:highlight w:val="none"/>
        </w:rPr>
        <w:t>项目名称：</w:t>
      </w:r>
      <w:r>
        <w:rPr>
          <w:rFonts w:hint="eastAsia" w:ascii="Times New Roman" w:hAnsi="Times New Roman"/>
          <w:b/>
          <w:color w:val="auto"/>
          <w:sz w:val="32"/>
          <w:szCs w:val="32"/>
          <w:highlight w:val="none"/>
        </w:rPr>
        <w:t>市属单位2026年度通信链路服务租用项目</w:t>
      </w:r>
    </w:p>
    <w:p w14:paraId="0D6363F8">
      <w:pPr>
        <w:spacing w:line="360" w:lineRule="auto"/>
        <w:rPr>
          <w:rFonts w:ascii="Times New Roman" w:hAnsi="Times New Roman"/>
          <w:b/>
          <w:color w:val="auto"/>
          <w:sz w:val="32"/>
          <w:szCs w:val="32"/>
          <w:highlight w:val="none"/>
          <w:u w:val="single"/>
        </w:rPr>
      </w:pPr>
      <w:r>
        <w:rPr>
          <w:rFonts w:ascii="Times New Roman" w:hAnsi="Times New Roman"/>
          <w:b/>
          <w:color w:val="auto"/>
          <w:sz w:val="32"/>
          <w:szCs w:val="32"/>
          <w:highlight w:val="none"/>
        </w:rPr>
        <w:t>项目编号：</w:t>
      </w:r>
      <w:r>
        <w:rPr>
          <w:rFonts w:hint="eastAsia" w:ascii="Times New Roman" w:hAnsi="Times New Roman"/>
          <w:b/>
          <w:color w:val="auto"/>
          <w:sz w:val="32"/>
          <w:szCs w:val="32"/>
          <w:highlight w:val="none"/>
        </w:rPr>
        <w:t>WZCG-ZCY202601019</w:t>
      </w:r>
    </w:p>
    <w:p w14:paraId="50BF1D1B">
      <w:pPr>
        <w:spacing w:line="560" w:lineRule="exact"/>
        <w:rPr>
          <w:rFonts w:ascii="Times New Roman" w:hAnsi="Times New Roman" w:eastAsia="文鼎CS楷体"/>
          <w:b/>
          <w:bCs/>
          <w:color w:val="auto"/>
          <w:sz w:val="32"/>
          <w:szCs w:val="20"/>
          <w:highlight w:val="none"/>
        </w:rPr>
      </w:pPr>
    </w:p>
    <w:p w14:paraId="650950D6">
      <w:pPr>
        <w:spacing w:line="560" w:lineRule="exact"/>
        <w:jc w:val="left"/>
        <w:rPr>
          <w:rFonts w:ascii="Times New Roman" w:hAnsi="Times New Roman" w:eastAsia="文鼎CS楷体"/>
          <w:b/>
          <w:bCs/>
          <w:color w:val="auto"/>
          <w:sz w:val="32"/>
          <w:szCs w:val="20"/>
          <w:highlight w:val="none"/>
        </w:rPr>
      </w:pPr>
    </w:p>
    <w:p w14:paraId="295BE7D6">
      <w:pPr>
        <w:spacing w:line="560" w:lineRule="exact"/>
        <w:jc w:val="left"/>
        <w:rPr>
          <w:rFonts w:ascii="Times New Roman" w:hAnsi="Times New Roman" w:eastAsia="文鼎CS楷体"/>
          <w:b/>
          <w:bCs/>
          <w:color w:val="auto"/>
          <w:sz w:val="32"/>
          <w:szCs w:val="20"/>
          <w:highlight w:val="none"/>
        </w:rPr>
      </w:pPr>
    </w:p>
    <w:p w14:paraId="316E5AA9">
      <w:pPr>
        <w:spacing w:line="560" w:lineRule="exact"/>
        <w:jc w:val="left"/>
        <w:rPr>
          <w:rFonts w:ascii="Times New Roman" w:hAnsi="Times New Roman" w:eastAsia="文鼎CS楷体"/>
          <w:b/>
          <w:bCs/>
          <w:color w:val="auto"/>
          <w:sz w:val="32"/>
          <w:szCs w:val="20"/>
          <w:highlight w:val="none"/>
        </w:rPr>
      </w:pPr>
    </w:p>
    <w:p w14:paraId="4306E27E">
      <w:pPr>
        <w:spacing w:line="560" w:lineRule="exact"/>
        <w:jc w:val="left"/>
        <w:rPr>
          <w:rFonts w:ascii="Times New Roman" w:hAnsi="Times New Roman" w:eastAsia="文鼎CS楷体"/>
          <w:b/>
          <w:bCs/>
          <w:color w:val="auto"/>
          <w:sz w:val="32"/>
          <w:szCs w:val="20"/>
          <w:highlight w:val="none"/>
        </w:rPr>
      </w:pPr>
    </w:p>
    <w:p w14:paraId="70A35D85">
      <w:pPr>
        <w:spacing w:line="560" w:lineRule="exact"/>
        <w:jc w:val="left"/>
        <w:rPr>
          <w:rFonts w:ascii="Times New Roman" w:hAnsi="Times New Roman" w:eastAsia="文鼎CS楷体"/>
          <w:b/>
          <w:bCs/>
          <w:color w:val="auto"/>
          <w:sz w:val="32"/>
          <w:szCs w:val="20"/>
          <w:highlight w:val="none"/>
        </w:rPr>
      </w:pPr>
    </w:p>
    <w:p w14:paraId="0659860B">
      <w:pPr>
        <w:spacing w:line="560" w:lineRule="exact"/>
        <w:jc w:val="left"/>
        <w:rPr>
          <w:rFonts w:ascii="Times New Roman" w:hAnsi="Times New Roman" w:eastAsia="文鼎CS楷体"/>
          <w:b/>
          <w:bCs/>
          <w:color w:val="auto"/>
          <w:sz w:val="32"/>
          <w:szCs w:val="20"/>
          <w:highlight w:val="none"/>
        </w:rPr>
      </w:pPr>
    </w:p>
    <w:p w14:paraId="42BBE53E">
      <w:pPr>
        <w:spacing w:line="600" w:lineRule="exact"/>
        <w:jc w:val="center"/>
        <w:rPr>
          <w:rFonts w:ascii="Times New Roman" w:hAnsi="Times New Roman"/>
          <w:color w:val="auto"/>
          <w:sz w:val="32"/>
          <w:szCs w:val="32"/>
          <w:highlight w:val="none"/>
          <w:u w:val="single"/>
        </w:rPr>
      </w:pPr>
      <w:r>
        <w:rPr>
          <w:rFonts w:ascii="Times New Roman" w:hAnsi="Times New Roman"/>
          <w:b/>
          <w:color w:val="auto"/>
          <w:sz w:val="32"/>
          <w:szCs w:val="32"/>
          <w:highlight w:val="none"/>
        </w:rPr>
        <w:t>乌鲁木齐市公共资源交易中心（乌鲁木齐市政府采购中心）</w:t>
      </w:r>
    </w:p>
    <w:p w14:paraId="6C170282">
      <w:pPr>
        <w:spacing w:line="600" w:lineRule="exact"/>
        <w:jc w:val="center"/>
        <w:rPr>
          <w:rFonts w:ascii="Times New Roman" w:hAnsi="Times New Roman"/>
          <w:b/>
          <w:color w:val="auto"/>
          <w:sz w:val="32"/>
          <w:szCs w:val="32"/>
          <w:highlight w:val="none"/>
        </w:rPr>
      </w:pPr>
      <w:bookmarkStart w:id="3" w:name="EBcbdc5401010041bba581317e59c8379e"/>
      <w:r>
        <w:rPr>
          <w:rFonts w:hint="eastAsia" w:ascii="Times New Roman" w:hAnsi="Times New Roman"/>
          <w:b/>
          <w:color w:val="auto"/>
          <w:sz w:val="32"/>
          <w:szCs w:val="32"/>
          <w:highlight w:val="none"/>
        </w:rPr>
        <w:t>2026年4</w:t>
      </w:r>
      <w:r>
        <w:rPr>
          <w:rFonts w:ascii="Times New Roman" w:hAnsi="Times New Roman"/>
          <w:b/>
          <w:color w:val="auto"/>
          <w:sz w:val="32"/>
          <w:szCs w:val="32"/>
          <w:highlight w:val="none"/>
        </w:rPr>
        <w:t>月</w:t>
      </w:r>
      <w:bookmarkEnd w:id="3"/>
    </w:p>
    <w:p w14:paraId="3876AA0B">
      <w:pPr>
        <w:rPr>
          <w:rFonts w:ascii="Times New Roman" w:hAnsi="Times New Roman"/>
          <w:color w:val="auto"/>
          <w:sz w:val="22"/>
          <w:highlight w:val="none"/>
          <w:u w:val="single"/>
        </w:rPr>
      </w:pPr>
    </w:p>
    <w:p w14:paraId="7C093CED">
      <w:pPr>
        <w:keepNext/>
        <w:keepLines/>
        <w:pageBreakBefore/>
        <w:adjustRightInd w:val="0"/>
        <w:snapToGrid w:val="0"/>
        <w:spacing w:line="440" w:lineRule="exact"/>
        <w:jc w:val="center"/>
        <w:rPr>
          <w:rFonts w:ascii="黑体" w:hAnsi="黑体" w:eastAsia="黑体" w:cs="黑体"/>
          <w:b/>
          <w:bCs/>
          <w:color w:val="auto"/>
          <w:kern w:val="0"/>
          <w:sz w:val="36"/>
          <w:szCs w:val="36"/>
          <w:highlight w:val="none"/>
          <w:lang w:val="zh-CN"/>
        </w:rPr>
      </w:pPr>
      <w:r>
        <w:rPr>
          <w:rFonts w:hint="eastAsia" w:ascii="黑体" w:hAnsi="黑体" w:eastAsia="黑体" w:cs="黑体"/>
          <w:b/>
          <w:bCs/>
          <w:color w:val="auto"/>
          <w:kern w:val="0"/>
          <w:sz w:val="36"/>
          <w:szCs w:val="36"/>
          <w:highlight w:val="none"/>
          <w:lang w:val="zh-CN"/>
        </w:rPr>
        <w:t>目    录</w:t>
      </w:r>
    </w:p>
    <w:p w14:paraId="3D08A366">
      <w:pPr>
        <w:pStyle w:val="22"/>
        <w:tabs>
          <w:tab w:val="right" w:leader="dot" w:pos="9746"/>
        </w:tabs>
        <w:rPr>
          <w:rFonts w:ascii="Times New Roman" w:hAnsi="Times New Roman" w:eastAsia="仿宋_GB2312"/>
          <w:b/>
          <w:bCs/>
          <w:color w:val="auto"/>
          <w:highlight w:val="none"/>
        </w:rPr>
      </w:pPr>
      <w:r>
        <w:rPr>
          <w:rFonts w:ascii="Times New Roman" w:hAnsi="Times New Roman" w:eastAsia="仿宋_GB2312"/>
          <w:b/>
          <w:bCs/>
          <w:color w:val="auto"/>
          <w:highlight w:val="none"/>
          <w:u w:val="single"/>
        </w:rPr>
        <w:fldChar w:fldCharType="begin"/>
      </w:r>
      <w:r>
        <w:rPr>
          <w:rFonts w:ascii="Times New Roman" w:hAnsi="Times New Roman" w:eastAsia="仿宋_GB2312"/>
          <w:b/>
          <w:bCs/>
          <w:color w:val="auto"/>
          <w:highlight w:val="none"/>
          <w:u w:val="single"/>
        </w:rPr>
        <w:instrText xml:space="preserve">TOC \o "1-3" \h \u </w:instrText>
      </w:r>
      <w:r>
        <w:rPr>
          <w:rFonts w:ascii="Times New Roman" w:hAnsi="Times New Roman" w:eastAsia="仿宋_GB2312"/>
          <w:b/>
          <w:bCs/>
          <w:color w:val="auto"/>
          <w:highlight w:val="none"/>
          <w:u w:val="single"/>
        </w:rPr>
        <w:fldChar w:fldCharType="separate"/>
      </w:r>
      <w:r>
        <w:rPr>
          <w:color w:val="auto"/>
          <w:highlight w:val="none"/>
        </w:rPr>
        <w:fldChar w:fldCharType="begin"/>
      </w:r>
      <w:r>
        <w:rPr>
          <w:color w:val="auto"/>
          <w:highlight w:val="none"/>
        </w:rPr>
        <w:instrText xml:space="preserve"> HYPERLINK \l "_Toc4847" </w:instrText>
      </w:r>
      <w:r>
        <w:rPr>
          <w:color w:val="auto"/>
          <w:highlight w:val="none"/>
        </w:rPr>
        <w:fldChar w:fldCharType="separate"/>
      </w:r>
      <w:r>
        <w:rPr>
          <w:rFonts w:ascii="Times New Roman" w:hAnsi="Times New Roman" w:eastAsia="仿宋_GB2312"/>
          <w:b/>
          <w:bCs/>
          <w:color w:val="auto"/>
          <w:highlight w:val="none"/>
        </w:rPr>
        <w:t>第一章  投标邀请</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_Toc4847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3ABE9832">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"_Toc26125" </w:instrText>
      </w:r>
      <w:r>
        <w:rPr>
          <w:color w:val="auto"/>
          <w:highlight w:val="none"/>
        </w:rPr>
        <w:fldChar w:fldCharType="separate"/>
      </w:r>
      <w:r>
        <w:rPr>
          <w:rFonts w:ascii="Times New Roman" w:hAnsi="Times New Roman" w:eastAsia="仿宋_GB2312"/>
          <w:b/>
          <w:bCs/>
          <w:color w:val="auto"/>
          <w:highlight w:val="none"/>
        </w:rPr>
        <w:t>一、项目概况：</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_Toc26125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AF8FB53">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"_Toc27375" </w:instrText>
      </w:r>
      <w:r>
        <w:rPr>
          <w:color w:val="auto"/>
          <w:highlight w:val="none"/>
        </w:rPr>
        <w:fldChar w:fldCharType="separate"/>
      </w:r>
      <w:r>
        <w:rPr>
          <w:rFonts w:ascii="Times New Roman" w:hAnsi="Times New Roman" w:eastAsia="仿宋_GB2312"/>
          <w:b/>
          <w:bCs/>
          <w:color w:val="auto"/>
          <w:highlight w:val="none"/>
        </w:rPr>
        <w:t>二、供应商参加政府采购活动应当具备下列条件：</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_Toc27375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59AFB56B">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"_Toc24901" </w:instrText>
      </w:r>
      <w:r>
        <w:rPr>
          <w:color w:val="auto"/>
          <w:highlight w:val="none"/>
        </w:rPr>
        <w:fldChar w:fldCharType="separate"/>
      </w:r>
      <w:r>
        <w:rPr>
          <w:rFonts w:ascii="Times New Roman" w:hAnsi="Times New Roman" w:eastAsia="仿宋_GB2312"/>
          <w:b/>
          <w:bCs/>
          <w:color w:val="auto"/>
          <w:highlight w:val="none"/>
        </w:rPr>
        <w:t>三、投标人的资格审查要求：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_Toc24901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70BD705F">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"_Toc12352" </w:instrText>
      </w:r>
      <w:r>
        <w:rPr>
          <w:color w:val="auto"/>
          <w:highlight w:val="none"/>
        </w:rPr>
        <w:fldChar w:fldCharType="separate"/>
      </w:r>
      <w:r>
        <w:rPr>
          <w:rFonts w:ascii="Times New Roman" w:hAnsi="Times New Roman" w:eastAsia="仿宋_GB2312"/>
          <w:b/>
          <w:bCs/>
          <w:color w:val="auto"/>
          <w:highlight w:val="none"/>
        </w:rPr>
        <w:t>四、获取招标文件及投标事宜：</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_Toc12352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CC41221">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"_Toc10888" </w:instrText>
      </w:r>
      <w:r>
        <w:rPr>
          <w:color w:val="auto"/>
          <w:highlight w:val="none"/>
        </w:rPr>
        <w:fldChar w:fldCharType="separate"/>
      </w:r>
      <w:r>
        <w:rPr>
          <w:rFonts w:ascii="Times New Roman" w:hAnsi="Times New Roman" w:eastAsia="仿宋_GB2312"/>
          <w:b/>
          <w:bCs/>
          <w:color w:val="auto"/>
          <w:highlight w:val="none"/>
        </w:rPr>
        <w:t>五、采购人联系方式：</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_Toc10888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11054491">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"_Toc20089" </w:instrText>
      </w:r>
      <w:r>
        <w:rPr>
          <w:color w:val="auto"/>
          <w:highlight w:val="none"/>
        </w:rPr>
        <w:fldChar w:fldCharType="separate"/>
      </w:r>
      <w:r>
        <w:rPr>
          <w:rFonts w:ascii="Times New Roman" w:hAnsi="Times New Roman" w:eastAsia="仿宋_GB2312"/>
          <w:b/>
          <w:bCs/>
          <w:color w:val="auto"/>
          <w:highlight w:val="none"/>
        </w:rPr>
        <w:t>六、集中采购机构联系方式：</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_Toc20089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0D85241">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"_Toc4345" </w:instrText>
      </w:r>
      <w:r>
        <w:rPr>
          <w:color w:val="auto"/>
          <w:highlight w:val="none"/>
        </w:rPr>
        <w:fldChar w:fldCharType="separate"/>
      </w:r>
      <w:r>
        <w:rPr>
          <w:rFonts w:ascii="Times New Roman" w:hAnsi="Times New Roman" w:eastAsia="仿宋_GB2312"/>
          <w:b/>
          <w:bCs/>
          <w:color w:val="auto"/>
          <w:highlight w:val="none"/>
        </w:rPr>
        <w:t>七、其他：</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_Toc4345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01D838DD">
      <w:pPr>
        <w:pStyle w:val="22"/>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"_Toc19057" </w:instrText>
      </w:r>
      <w:r>
        <w:rPr>
          <w:color w:val="auto"/>
          <w:highlight w:val="none"/>
        </w:rPr>
        <w:fldChar w:fldCharType="separate"/>
      </w:r>
      <w:r>
        <w:rPr>
          <w:rFonts w:ascii="Times New Roman" w:hAnsi="Times New Roman" w:eastAsia="仿宋_GB2312"/>
          <w:b/>
          <w:bCs/>
          <w:color w:val="auto"/>
          <w:highlight w:val="none"/>
        </w:rPr>
        <w:t>第二章  招标文件前附表</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_Toc19057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7</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4226783">
      <w:pPr>
        <w:pStyle w:val="22"/>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"_Toc14157" </w:instrText>
      </w:r>
      <w:r>
        <w:rPr>
          <w:color w:val="auto"/>
          <w:highlight w:val="none"/>
        </w:rPr>
        <w:fldChar w:fldCharType="separate"/>
      </w:r>
      <w:r>
        <w:rPr>
          <w:rFonts w:ascii="Times New Roman" w:hAnsi="Times New Roman" w:eastAsia="仿宋_GB2312"/>
          <w:b/>
          <w:bCs/>
          <w:color w:val="auto"/>
          <w:highlight w:val="none"/>
        </w:rPr>
        <w:t>第三章  投标人须知</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_Toc14157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12</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3F758DCD">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"_Toc4188" </w:instrText>
      </w:r>
      <w:r>
        <w:rPr>
          <w:color w:val="auto"/>
          <w:highlight w:val="none"/>
        </w:rPr>
        <w:fldChar w:fldCharType="separate"/>
      </w:r>
      <w:r>
        <w:rPr>
          <w:rFonts w:ascii="Times New Roman" w:hAnsi="Times New Roman" w:eastAsia="仿宋_GB2312"/>
          <w:b/>
          <w:bCs/>
          <w:color w:val="auto"/>
          <w:highlight w:val="none"/>
        </w:rPr>
        <w:t>一、说明</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_Toc4188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12</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065E26D4">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"_Toc9205" </w:instrText>
      </w:r>
      <w:r>
        <w:rPr>
          <w:color w:val="auto"/>
          <w:highlight w:val="none"/>
        </w:rPr>
        <w:fldChar w:fldCharType="separate"/>
      </w:r>
      <w:r>
        <w:rPr>
          <w:rFonts w:ascii="Times New Roman" w:hAnsi="Times New Roman" w:eastAsia="仿宋_GB2312"/>
          <w:b/>
          <w:bCs/>
          <w:color w:val="auto"/>
          <w:highlight w:val="none"/>
        </w:rPr>
        <w:t>二、招标文件</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_Toc9205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16</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40265C1A">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"_Toc21451" </w:instrText>
      </w:r>
      <w:r>
        <w:rPr>
          <w:color w:val="auto"/>
          <w:highlight w:val="none"/>
        </w:rPr>
        <w:fldChar w:fldCharType="separate"/>
      </w:r>
      <w:r>
        <w:rPr>
          <w:rFonts w:ascii="Times New Roman" w:hAnsi="Times New Roman" w:eastAsia="仿宋_GB2312"/>
          <w:b/>
          <w:bCs/>
          <w:color w:val="auto"/>
          <w:highlight w:val="none"/>
        </w:rPr>
        <w:t>三、投标文件</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_Toc21451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17</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74798FC5">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"_Toc28568" </w:instrText>
      </w:r>
      <w:r>
        <w:rPr>
          <w:color w:val="auto"/>
          <w:highlight w:val="none"/>
        </w:rPr>
        <w:fldChar w:fldCharType="separate"/>
      </w:r>
      <w:r>
        <w:rPr>
          <w:rFonts w:ascii="Times New Roman" w:hAnsi="Times New Roman" w:eastAsia="仿宋_GB2312"/>
          <w:b/>
          <w:bCs/>
          <w:color w:val="auto"/>
          <w:highlight w:val="none"/>
        </w:rPr>
        <w:t>四、投标文件的提交、修改和撤回</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_Toc28568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20</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4521BA8C">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"_Toc6330" </w:instrText>
      </w:r>
      <w:r>
        <w:rPr>
          <w:color w:val="auto"/>
          <w:highlight w:val="none"/>
        </w:rPr>
        <w:fldChar w:fldCharType="separate"/>
      </w:r>
      <w:r>
        <w:rPr>
          <w:rFonts w:ascii="Times New Roman" w:hAnsi="Times New Roman" w:eastAsia="仿宋_GB2312"/>
          <w:b/>
          <w:bCs/>
          <w:color w:val="auto"/>
          <w:highlight w:val="none"/>
        </w:rPr>
        <w:t>五、开标与评审</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_Toc6330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21</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DC5E66F">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"_Toc27750" </w:instrText>
      </w:r>
      <w:r>
        <w:rPr>
          <w:color w:val="auto"/>
          <w:highlight w:val="none"/>
        </w:rPr>
        <w:fldChar w:fldCharType="separate"/>
      </w:r>
      <w:r>
        <w:rPr>
          <w:rFonts w:ascii="Times New Roman" w:hAnsi="Times New Roman" w:eastAsia="仿宋_GB2312"/>
          <w:b/>
          <w:bCs/>
          <w:color w:val="auto"/>
          <w:highlight w:val="none"/>
        </w:rPr>
        <w:t>六、中标结果公告与中标通知书</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_Toc27750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26</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E44AEA8">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"_Toc30233" </w:instrText>
      </w:r>
      <w:r>
        <w:rPr>
          <w:color w:val="auto"/>
          <w:highlight w:val="none"/>
        </w:rPr>
        <w:fldChar w:fldCharType="separate"/>
      </w:r>
      <w:r>
        <w:rPr>
          <w:rFonts w:ascii="Times New Roman" w:hAnsi="Times New Roman" w:eastAsia="仿宋_GB2312"/>
          <w:b/>
          <w:bCs/>
          <w:color w:val="auto"/>
          <w:highlight w:val="none"/>
        </w:rPr>
        <w:t>七、质疑</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_Toc30233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26</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7981132D">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"_Toc13585" </w:instrText>
      </w:r>
      <w:r>
        <w:rPr>
          <w:color w:val="auto"/>
          <w:highlight w:val="none"/>
        </w:rPr>
        <w:fldChar w:fldCharType="separate"/>
      </w:r>
      <w:r>
        <w:rPr>
          <w:rFonts w:ascii="Times New Roman" w:hAnsi="Times New Roman" w:eastAsia="仿宋_GB2312"/>
          <w:b/>
          <w:bCs/>
          <w:color w:val="auto"/>
          <w:highlight w:val="none"/>
        </w:rPr>
        <w:t>八、合同签订</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_Toc13585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27</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11FEA62F">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"_Toc25956" </w:instrText>
      </w:r>
      <w:r>
        <w:rPr>
          <w:color w:val="auto"/>
          <w:highlight w:val="none"/>
        </w:rPr>
        <w:fldChar w:fldCharType="separate"/>
      </w:r>
      <w:r>
        <w:rPr>
          <w:rFonts w:ascii="Times New Roman" w:hAnsi="Times New Roman" w:eastAsia="仿宋_GB2312"/>
          <w:b/>
          <w:bCs/>
          <w:color w:val="auto"/>
          <w:highlight w:val="none"/>
        </w:rPr>
        <w:t>九、其他规定</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_Toc25956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28</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4BC5281">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"_Toc18536" </w:instrText>
      </w:r>
      <w:r>
        <w:rPr>
          <w:color w:val="auto"/>
          <w:highlight w:val="none"/>
        </w:rPr>
        <w:fldChar w:fldCharType="separate"/>
      </w:r>
      <w:r>
        <w:rPr>
          <w:rFonts w:ascii="Times New Roman" w:hAnsi="Times New Roman" w:eastAsia="仿宋_GB2312"/>
          <w:b/>
          <w:bCs/>
          <w:color w:val="auto"/>
          <w:highlight w:val="none"/>
        </w:rPr>
        <w:t>十、其他内容</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_Toc18536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29</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A66288F">
      <w:pPr>
        <w:pStyle w:val="22"/>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"_Toc20561" </w:instrText>
      </w:r>
      <w:r>
        <w:rPr>
          <w:color w:val="auto"/>
          <w:highlight w:val="none"/>
        </w:rPr>
        <w:fldChar w:fldCharType="separate"/>
      </w:r>
      <w:r>
        <w:rPr>
          <w:rFonts w:ascii="Times New Roman" w:hAnsi="Times New Roman" w:eastAsia="仿宋_GB2312"/>
          <w:b/>
          <w:bCs/>
          <w:color w:val="auto"/>
          <w:highlight w:val="none"/>
        </w:rPr>
        <w:t>第四章  采购合同</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_Toc20561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30</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003F46CD">
      <w:pPr>
        <w:pStyle w:val="22"/>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"_Toc20929" </w:instrText>
      </w:r>
      <w:r>
        <w:rPr>
          <w:color w:val="auto"/>
          <w:highlight w:val="none"/>
        </w:rPr>
        <w:fldChar w:fldCharType="separate"/>
      </w:r>
      <w:r>
        <w:rPr>
          <w:rFonts w:ascii="Times New Roman" w:hAnsi="Times New Roman" w:eastAsia="仿宋_GB2312"/>
          <w:b/>
          <w:bCs/>
          <w:color w:val="auto"/>
          <w:highlight w:val="none"/>
        </w:rPr>
        <w:t>第五章  评标方法及标准</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_Toc20929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60</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500E348A">
      <w:pPr>
        <w:pStyle w:val="22"/>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"_Toc14199" </w:instrText>
      </w:r>
      <w:r>
        <w:rPr>
          <w:color w:val="auto"/>
          <w:highlight w:val="none"/>
        </w:rPr>
        <w:fldChar w:fldCharType="separate"/>
      </w:r>
      <w:r>
        <w:rPr>
          <w:rFonts w:ascii="Times New Roman" w:hAnsi="Times New Roman" w:eastAsia="仿宋_GB2312"/>
          <w:b/>
          <w:bCs/>
          <w:color w:val="auto"/>
          <w:szCs w:val="40"/>
          <w:highlight w:val="none"/>
        </w:rPr>
        <w:t>第六章  采购内容与要求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_Toc14199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63</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0EBFC717">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"_Toc26403" </w:instrText>
      </w:r>
      <w:r>
        <w:rPr>
          <w:color w:val="auto"/>
          <w:highlight w:val="none"/>
        </w:rPr>
        <w:fldChar w:fldCharType="separate"/>
      </w:r>
      <w:r>
        <w:rPr>
          <w:rFonts w:ascii="Times New Roman" w:hAnsi="Times New Roman" w:eastAsia="仿宋_GB2312"/>
          <w:b/>
          <w:bCs/>
          <w:color w:val="auto"/>
          <w:szCs w:val="28"/>
          <w:highlight w:val="none"/>
        </w:rPr>
        <w:t>一、采购标的</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_Toc26403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8E5A132">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"_Toc3362" </w:instrText>
      </w:r>
      <w:r>
        <w:rPr>
          <w:color w:val="auto"/>
          <w:highlight w:val="none"/>
        </w:rPr>
        <w:fldChar w:fldCharType="separate"/>
      </w:r>
      <w:r>
        <w:rPr>
          <w:rFonts w:ascii="Times New Roman" w:hAnsi="Times New Roman" w:eastAsia="仿宋_GB2312"/>
          <w:b/>
          <w:bCs/>
          <w:color w:val="auto"/>
          <w:szCs w:val="28"/>
          <w:highlight w:val="none"/>
        </w:rPr>
        <w:t>二、商务要求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_Toc3362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284B80D">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"_Toc13775" </w:instrText>
      </w:r>
      <w:r>
        <w:rPr>
          <w:color w:val="auto"/>
          <w:highlight w:val="none"/>
        </w:rPr>
        <w:fldChar w:fldCharType="separate"/>
      </w:r>
      <w:r>
        <w:rPr>
          <w:rFonts w:ascii="Times New Roman" w:hAnsi="Times New Roman" w:eastAsia="仿宋_GB2312"/>
          <w:b/>
          <w:bCs/>
          <w:color w:val="auto"/>
          <w:highlight w:val="none"/>
        </w:rPr>
        <w:t>三、技术要求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_Toc13775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64</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110E32FD">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"_Toc32447" </w:instrText>
      </w:r>
      <w:r>
        <w:rPr>
          <w:color w:val="auto"/>
          <w:highlight w:val="none"/>
        </w:rPr>
        <w:fldChar w:fldCharType="separate"/>
      </w:r>
      <w:r>
        <w:rPr>
          <w:rFonts w:ascii="Times New Roman" w:hAnsi="Times New Roman" w:eastAsia="仿宋_GB2312"/>
          <w:b/>
          <w:bCs/>
          <w:color w:val="auto"/>
          <w:szCs w:val="28"/>
          <w:highlight w:val="none"/>
        </w:rPr>
        <w:t>一、采购标的</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_Toc32447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6EB3B2A2">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"_Toc25143" </w:instrText>
      </w:r>
      <w:r>
        <w:rPr>
          <w:color w:val="auto"/>
          <w:highlight w:val="none"/>
        </w:rPr>
        <w:fldChar w:fldCharType="separate"/>
      </w:r>
      <w:r>
        <w:rPr>
          <w:rFonts w:ascii="Times New Roman" w:hAnsi="Times New Roman" w:eastAsia="仿宋_GB2312"/>
          <w:b/>
          <w:bCs/>
          <w:color w:val="auto"/>
          <w:szCs w:val="28"/>
          <w:highlight w:val="none"/>
        </w:rPr>
        <w:t>二、商务要求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_Toc25143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30171B6C">
      <w:pPr>
        <w:pStyle w:val="23"/>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"_Toc10087" </w:instrText>
      </w:r>
      <w:r>
        <w:rPr>
          <w:color w:val="auto"/>
          <w:highlight w:val="none"/>
        </w:rPr>
        <w:fldChar w:fldCharType="separate"/>
      </w:r>
      <w:r>
        <w:rPr>
          <w:rFonts w:ascii="Times New Roman" w:hAnsi="Times New Roman" w:eastAsia="仿宋_GB2312"/>
          <w:b/>
          <w:bCs/>
          <w:color w:val="auto"/>
          <w:szCs w:val="28"/>
          <w:highlight w:val="none"/>
        </w:rPr>
        <w:t>三、技术要求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_Toc10087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65</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194F21C5">
      <w:pPr>
        <w:pStyle w:val="22"/>
        <w:tabs>
          <w:tab w:val="right" w:leader="dot" w:pos="9746"/>
        </w:tabs>
        <w:rPr>
          <w:rFonts w:ascii="Times New Roman" w:hAnsi="Times New Roman" w:eastAsia="仿宋_GB2312"/>
          <w:b/>
          <w:bCs/>
          <w:color w:val="auto"/>
          <w:highlight w:val="none"/>
        </w:rPr>
      </w:pPr>
      <w:r>
        <w:rPr>
          <w:color w:val="auto"/>
          <w:highlight w:val="none"/>
        </w:rPr>
        <w:fldChar w:fldCharType="begin"/>
      </w:r>
      <w:r>
        <w:rPr>
          <w:color w:val="auto"/>
          <w:highlight w:val="none"/>
        </w:rPr>
        <w:instrText xml:space="preserve"> HYPERLINK \l "_Toc18879" </w:instrText>
      </w:r>
      <w:r>
        <w:rPr>
          <w:color w:val="auto"/>
          <w:highlight w:val="none"/>
        </w:rPr>
        <w:fldChar w:fldCharType="separate"/>
      </w:r>
      <w:r>
        <w:rPr>
          <w:rFonts w:ascii="Times New Roman" w:hAnsi="Times New Roman" w:eastAsia="仿宋_GB2312"/>
          <w:b/>
          <w:bCs/>
          <w:color w:val="auto"/>
          <w:highlight w:val="none"/>
        </w:rPr>
        <w:t>第七章  投标文件格式与要求</w:t>
      </w:r>
      <w:r>
        <w:rPr>
          <w:rFonts w:ascii="Times New Roman" w:hAnsi="Times New Roman" w:eastAsia="仿宋_GB2312"/>
          <w:b/>
          <w:bCs/>
          <w:color w:val="auto"/>
          <w:highlight w:val="none"/>
        </w:rPr>
        <w:tab/>
      </w:r>
      <w:r>
        <w:rPr>
          <w:rFonts w:ascii="Times New Roman" w:hAnsi="Times New Roman" w:eastAsia="仿宋_GB2312"/>
          <w:b/>
          <w:bCs/>
          <w:color w:val="auto"/>
          <w:highlight w:val="none"/>
        </w:rPr>
        <w:fldChar w:fldCharType="begin"/>
      </w:r>
      <w:r>
        <w:rPr>
          <w:rFonts w:ascii="Times New Roman" w:hAnsi="Times New Roman" w:eastAsia="仿宋_GB2312"/>
          <w:b/>
          <w:bCs/>
          <w:color w:val="auto"/>
          <w:highlight w:val="none"/>
        </w:rPr>
        <w:instrText xml:space="preserve"> PAGEREF _Toc18879 \h </w:instrText>
      </w:r>
      <w:r>
        <w:rPr>
          <w:rFonts w:ascii="Times New Roman" w:hAnsi="Times New Roman" w:eastAsia="仿宋_GB2312"/>
          <w:b/>
          <w:bCs/>
          <w:color w:val="auto"/>
          <w:highlight w:val="none"/>
        </w:rPr>
        <w:fldChar w:fldCharType="separate"/>
      </w:r>
      <w:r>
        <w:rPr>
          <w:rFonts w:ascii="Times New Roman" w:hAnsi="Times New Roman" w:eastAsia="仿宋_GB2312"/>
          <w:b/>
          <w:bCs/>
          <w:color w:val="auto"/>
          <w:highlight w:val="none"/>
        </w:rPr>
        <w:t>66</w:t>
      </w:r>
      <w:r>
        <w:rPr>
          <w:rFonts w:ascii="Times New Roman" w:hAnsi="Times New Roman" w:eastAsia="仿宋_GB2312"/>
          <w:b/>
          <w:bCs/>
          <w:color w:val="auto"/>
          <w:highlight w:val="none"/>
        </w:rPr>
        <w:fldChar w:fldCharType="end"/>
      </w:r>
      <w:r>
        <w:rPr>
          <w:rFonts w:ascii="Times New Roman" w:hAnsi="Times New Roman" w:eastAsia="仿宋_GB2312"/>
          <w:b/>
          <w:bCs/>
          <w:color w:val="auto"/>
          <w:highlight w:val="none"/>
        </w:rPr>
        <w:fldChar w:fldCharType="end"/>
      </w:r>
    </w:p>
    <w:p w14:paraId="2EC2AFAB">
      <w:pPr>
        <w:keepNext/>
        <w:keepLines/>
        <w:adjustRightInd w:val="0"/>
        <w:snapToGrid w:val="0"/>
        <w:spacing w:line="440" w:lineRule="exact"/>
        <w:rPr>
          <w:rFonts w:ascii="Times New Roman" w:hAnsi="Times New Roman" w:eastAsia="仿宋_GB2312"/>
          <w:b/>
          <w:bCs/>
          <w:color w:val="auto"/>
          <w:highlight w:val="none"/>
          <w:u w:val="single"/>
        </w:rPr>
      </w:pPr>
      <w:r>
        <w:rPr>
          <w:rFonts w:ascii="Times New Roman" w:hAnsi="Times New Roman" w:eastAsia="仿宋_GB2312"/>
          <w:b/>
          <w:bCs/>
          <w:color w:val="auto"/>
          <w:highlight w:val="none"/>
          <w:u w:val="single"/>
        </w:rPr>
        <w:fldChar w:fldCharType="end"/>
      </w:r>
    </w:p>
    <w:p w14:paraId="0AEC1560">
      <w:pPr>
        <w:rPr>
          <w:rFonts w:ascii="Times New Roman" w:hAnsi="Times New Roman" w:eastAsia="仿宋_GB2312"/>
          <w:b/>
          <w:bCs/>
          <w:color w:val="auto"/>
          <w:highlight w:val="none"/>
          <w:u w:val="single"/>
        </w:rPr>
        <w:sectPr>
          <w:footerReference r:id="rId3" w:type="default"/>
          <w:pgSz w:w="11906" w:h="16838"/>
          <w:pgMar w:top="1440" w:right="1080" w:bottom="1440" w:left="1080" w:header="851" w:footer="992" w:gutter="0"/>
          <w:cols w:space="720" w:num="1"/>
          <w:docGrid w:type="lines" w:linePitch="312" w:charSpace="0"/>
        </w:sectPr>
      </w:pPr>
    </w:p>
    <w:p w14:paraId="3895014C">
      <w:pPr>
        <w:rPr>
          <w:rFonts w:ascii="Times New Roman" w:hAnsi="Times New Roman"/>
          <w:color w:val="auto"/>
          <w:highlight w:val="none"/>
        </w:rPr>
      </w:pPr>
      <w:bookmarkStart w:id="4" w:name="EB15325f90c7824add872075faace73ec5"/>
      <w:bookmarkEnd w:id="4"/>
      <w:bookmarkStart w:id="5" w:name="EBc0a281736b1147c581e3c8b78ac3b8d4"/>
      <w:bookmarkEnd w:id="5"/>
      <w:bookmarkStart w:id="6" w:name="_Toc104293448"/>
      <w:bookmarkStart w:id="7" w:name="_Toc256000000"/>
    </w:p>
    <w:p w14:paraId="47FD5B0C">
      <w:pPr>
        <w:pStyle w:val="3"/>
        <w:rPr>
          <w:color w:val="auto"/>
          <w:highlight w:val="none"/>
        </w:rPr>
      </w:pPr>
      <w:bookmarkStart w:id="8" w:name="_Toc4847"/>
      <w:bookmarkStart w:id="9" w:name="_Toc152516853"/>
      <w:r>
        <w:rPr>
          <w:color w:val="auto"/>
          <w:highlight w:val="none"/>
        </w:rPr>
        <w:t>第一章  投标邀请</w:t>
      </w:r>
      <w:bookmarkEnd w:id="8"/>
      <w:bookmarkEnd w:id="9"/>
    </w:p>
    <w:bookmarkEnd w:id="6"/>
    <w:bookmarkEnd w:id="7"/>
    <w:p w14:paraId="732E2698">
      <w:pPr>
        <w:spacing w:line="200" w:lineRule="exact"/>
        <w:rPr>
          <w:rFonts w:ascii="Times New Roman" w:hAnsi="Times New Roman" w:eastAsia="仿宋_GB2312"/>
          <w:color w:val="auto"/>
          <w:sz w:val="24"/>
          <w:szCs w:val="24"/>
          <w:highlight w:val="none"/>
        </w:rPr>
      </w:pPr>
    </w:p>
    <w:p w14:paraId="4975B223">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乌鲁木齐市公共资源交易中心（乌鲁木齐市政府采购中心）（以下简称“交易中心”）受</w:t>
      </w:r>
      <w:r>
        <w:rPr>
          <w:rFonts w:hint="eastAsia" w:ascii="Times New Roman" w:hAnsi="Times New Roman" w:eastAsia="仿宋_GB2312"/>
          <w:color w:val="auto"/>
          <w:sz w:val="24"/>
          <w:szCs w:val="24"/>
          <w:highlight w:val="none"/>
        </w:rPr>
        <w:t>乌鲁木齐市公安局（本级）</w:t>
      </w:r>
      <w:r>
        <w:rPr>
          <w:rFonts w:ascii="Times New Roman" w:hAnsi="Times New Roman" w:eastAsia="仿宋_GB2312"/>
          <w:color w:val="auto"/>
          <w:sz w:val="24"/>
          <w:szCs w:val="24"/>
          <w:highlight w:val="none"/>
        </w:rPr>
        <w:t>的委托，对“</w:t>
      </w:r>
      <w:r>
        <w:rPr>
          <w:rFonts w:hint="eastAsia" w:ascii="Times New Roman" w:hAnsi="Times New Roman" w:eastAsia="仿宋_GB2312"/>
          <w:color w:val="auto"/>
          <w:sz w:val="24"/>
          <w:szCs w:val="24"/>
          <w:highlight w:val="none"/>
        </w:rPr>
        <w:t>市属单位2026年度通信链路服务租用项目</w:t>
      </w:r>
      <w:r>
        <w:rPr>
          <w:rFonts w:ascii="Times New Roman" w:hAnsi="Times New Roman" w:eastAsia="仿宋_GB2312"/>
          <w:color w:val="auto"/>
          <w:sz w:val="24"/>
          <w:szCs w:val="24"/>
          <w:highlight w:val="none"/>
        </w:rPr>
        <w:t>”（项目编号：</w:t>
      </w:r>
      <w:r>
        <w:rPr>
          <w:rFonts w:hint="eastAsia" w:ascii="Times New Roman" w:hAnsi="Times New Roman" w:eastAsia="仿宋_GB2312"/>
          <w:color w:val="auto"/>
          <w:sz w:val="24"/>
          <w:szCs w:val="24"/>
          <w:highlight w:val="none"/>
        </w:rPr>
        <w:t>WZCG-ZCY202601019</w:t>
      </w:r>
      <w:r>
        <w:rPr>
          <w:rFonts w:ascii="Times New Roman" w:hAnsi="Times New Roman" w:eastAsia="仿宋_GB2312"/>
          <w:color w:val="auto"/>
          <w:sz w:val="24"/>
          <w:szCs w:val="24"/>
          <w:highlight w:val="none"/>
        </w:rPr>
        <w:t xml:space="preserve">）项目进行公开招标方式采购，欢迎符合资格条件的供应商投标。 </w:t>
      </w:r>
    </w:p>
    <w:p w14:paraId="5FD5B318">
      <w:pPr>
        <w:pStyle w:val="4"/>
        <w:ind w:firstLine="482"/>
        <w:rPr>
          <w:color w:val="auto"/>
          <w:highlight w:val="none"/>
        </w:rPr>
      </w:pPr>
      <w:bookmarkStart w:id="10" w:name="_Toc26125"/>
      <w:bookmarkStart w:id="11" w:name="_Toc152516854"/>
      <w:bookmarkStart w:id="12" w:name="_Toc104293449"/>
      <w:bookmarkStart w:id="13" w:name="_Toc256000001"/>
      <w:r>
        <w:rPr>
          <w:color w:val="auto"/>
          <w:highlight w:val="none"/>
        </w:rPr>
        <w:t>一、项目概况：</w:t>
      </w:r>
      <w:bookmarkEnd w:id="10"/>
      <w:bookmarkEnd w:id="11"/>
      <w:bookmarkEnd w:id="12"/>
      <w:bookmarkEnd w:id="13"/>
    </w:p>
    <w:tbl>
      <w:tblPr>
        <w:tblStyle w:val="29"/>
        <w:tblW w:w="4998" w:type="pct"/>
        <w:tblCellSpacing w:w="15" w:type="dxa"/>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108" w:type="dxa"/>
          <w:bottom w:w="0" w:type="dxa"/>
          <w:right w:w="108" w:type="dxa"/>
        </w:tblCellMar>
      </w:tblPr>
      <w:tblGrid>
        <w:gridCol w:w="2652"/>
        <w:gridCol w:w="2382"/>
        <w:gridCol w:w="1663"/>
        <w:gridCol w:w="1582"/>
        <w:gridCol w:w="1583"/>
      </w:tblGrid>
      <w:tr w14:paraId="29B90E5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563" w:hRule="atLeast"/>
          <w:tblCellSpacing w:w="15" w:type="dxa"/>
        </w:trPr>
        <w:tc>
          <w:tcPr>
            <w:tcW w:w="114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C837916">
            <w:pPr>
              <w:widowControl/>
              <w:jc w:val="center"/>
              <w:rPr>
                <w:rFonts w:ascii="Times New Roman" w:hAnsi="Times New Roman" w:eastAsia="仿宋"/>
                <w:b/>
                <w:bCs/>
                <w:color w:val="auto"/>
                <w:kern w:val="0"/>
                <w:sz w:val="24"/>
                <w:szCs w:val="24"/>
                <w:highlight w:val="none"/>
              </w:rPr>
            </w:pPr>
            <w:bookmarkStart w:id="14" w:name="EBca0f0557a0584dd0808e29505ff9659e"/>
            <w:bookmarkEnd w:id="14"/>
            <w:bookmarkStart w:id="15" w:name="EBdc21629b0646469b8eedd1b5ede441a1"/>
            <w:r>
              <w:rPr>
                <w:rFonts w:ascii="Times New Roman" w:hAnsi="Times New Roman" w:eastAsia="仿宋"/>
                <w:b/>
                <w:bCs/>
                <w:color w:val="auto"/>
                <w:kern w:val="0"/>
                <w:sz w:val="24"/>
                <w:szCs w:val="24"/>
                <w:highlight w:val="none"/>
              </w:rPr>
              <w:t>标段编号</w:t>
            </w:r>
          </w:p>
        </w:tc>
        <w:tc>
          <w:tcPr>
            <w:tcW w:w="123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3DD1F9F">
            <w:pPr>
              <w:widowControl/>
              <w:jc w:val="center"/>
              <w:rPr>
                <w:rFonts w:ascii="Times New Roman" w:hAnsi="Times New Roman" w:eastAsia="仿宋"/>
                <w:b/>
                <w:bCs/>
                <w:color w:val="auto"/>
                <w:kern w:val="0"/>
                <w:sz w:val="24"/>
                <w:szCs w:val="24"/>
                <w:highlight w:val="none"/>
              </w:rPr>
            </w:pPr>
            <w:r>
              <w:rPr>
                <w:rFonts w:ascii="Times New Roman" w:hAnsi="Times New Roman" w:eastAsia="仿宋"/>
                <w:b/>
                <w:bCs/>
                <w:color w:val="auto"/>
                <w:kern w:val="0"/>
                <w:sz w:val="24"/>
                <w:szCs w:val="24"/>
                <w:highlight w:val="none"/>
              </w:rPr>
              <w:t>标段名称</w:t>
            </w:r>
          </w:p>
        </w:tc>
        <w:tc>
          <w:tcPr>
            <w:tcW w:w="87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40968435">
            <w:pPr>
              <w:widowControl/>
              <w:jc w:val="center"/>
              <w:rPr>
                <w:rFonts w:ascii="Times New Roman" w:hAnsi="Times New Roman" w:eastAsia="仿宋"/>
                <w:b/>
                <w:bCs/>
                <w:color w:val="auto"/>
                <w:kern w:val="0"/>
                <w:sz w:val="24"/>
                <w:szCs w:val="24"/>
                <w:highlight w:val="none"/>
              </w:rPr>
            </w:pPr>
            <w:r>
              <w:rPr>
                <w:rFonts w:ascii="Times New Roman" w:hAnsi="Times New Roman" w:eastAsia="仿宋"/>
                <w:b/>
                <w:bCs/>
                <w:color w:val="auto"/>
                <w:kern w:val="0"/>
                <w:sz w:val="24"/>
                <w:szCs w:val="24"/>
                <w:highlight w:val="none"/>
              </w:rPr>
              <w:t>条目编号</w:t>
            </w:r>
          </w:p>
        </w:tc>
        <w:tc>
          <w:tcPr>
            <w:tcW w:w="831"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57831F9B">
            <w:pPr>
              <w:widowControl/>
              <w:jc w:val="center"/>
              <w:rPr>
                <w:rFonts w:ascii="Times New Roman" w:hAnsi="Times New Roman" w:eastAsia="仿宋"/>
                <w:b/>
                <w:bCs/>
                <w:color w:val="auto"/>
                <w:kern w:val="0"/>
                <w:sz w:val="24"/>
                <w:szCs w:val="24"/>
                <w:highlight w:val="none"/>
              </w:rPr>
            </w:pPr>
            <w:r>
              <w:rPr>
                <w:rFonts w:ascii="Times New Roman" w:hAnsi="Times New Roman" w:eastAsia="仿宋"/>
                <w:b/>
                <w:bCs/>
                <w:color w:val="auto"/>
                <w:kern w:val="0"/>
                <w:sz w:val="24"/>
                <w:szCs w:val="24"/>
                <w:highlight w:val="none"/>
              </w:rPr>
              <w:t>预算金额（元）</w:t>
            </w:r>
          </w:p>
        </w:tc>
        <w:tc>
          <w:tcPr>
            <w:tcW w:w="824"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AF16EA9">
            <w:pPr>
              <w:widowControl/>
              <w:jc w:val="center"/>
              <w:rPr>
                <w:rFonts w:hint="eastAsia" w:ascii="Times New Roman" w:hAnsi="Times New Roman" w:eastAsia="仿宋"/>
                <w:b/>
                <w:bCs/>
                <w:color w:val="auto"/>
                <w:kern w:val="0"/>
                <w:sz w:val="24"/>
                <w:szCs w:val="24"/>
                <w:highlight w:val="none"/>
                <w:lang w:eastAsia="zh-CN"/>
              </w:rPr>
            </w:pPr>
            <w:r>
              <w:rPr>
                <w:rFonts w:hint="eastAsia" w:ascii="Times New Roman" w:hAnsi="Times New Roman" w:eastAsia="仿宋"/>
                <w:b/>
                <w:bCs/>
                <w:color w:val="auto"/>
                <w:kern w:val="0"/>
                <w:sz w:val="24"/>
                <w:szCs w:val="24"/>
                <w:highlight w:val="none"/>
                <w:lang w:eastAsia="zh-CN"/>
              </w:rPr>
              <w:t>最高限价</w:t>
            </w:r>
          </w:p>
        </w:tc>
      </w:tr>
      <w:tr w14:paraId="6A3B0CE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860" w:hRule="atLeast"/>
          <w:tblCellSpacing w:w="15" w:type="dxa"/>
        </w:trPr>
        <w:tc>
          <w:tcPr>
            <w:tcW w:w="114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64DCFAE">
            <w:pPr>
              <w:widowControl/>
              <w:jc w:val="center"/>
              <w:rPr>
                <w:rFonts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rPr>
              <w:t>WZCG-ZCY202601019</w:t>
            </w:r>
            <w:r>
              <w:rPr>
                <w:rFonts w:ascii="Times New Roman" w:hAnsi="Times New Roman" w:eastAsia="仿宋"/>
                <w:color w:val="auto"/>
                <w:kern w:val="0"/>
                <w:sz w:val="24"/>
                <w:szCs w:val="24"/>
                <w:highlight w:val="none"/>
              </w:rPr>
              <w:t>-1</w:t>
            </w:r>
          </w:p>
        </w:tc>
        <w:tc>
          <w:tcPr>
            <w:tcW w:w="123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3B2AA8C">
            <w:pPr>
              <w:spacing w:line="400" w:lineRule="exact"/>
              <w:jc w:val="lef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市属单位2026年度通信链路服务租用项目一标段（市属单位主用有线链路租用服务项目）</w:t>
            </w:r>
          </w:p>
        </w:tc>
        <w:tc>
          <w:tcPr>
            <w:tcW w:w="87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2A4E07CF">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[2026]1232号</w:t>
            </w:r>
          </w:p>
        </w:tc>
        <w:tc>
          <w:tcPr>
            <w:tcW w:w="831"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36FD78E1">
            <w:pPr>
              <w:widowControl/>
              <w:jc w:val="center"/>
              <w:rPr>
                <w:rFonts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rPr>
              <w:t>6,995,312.00</w:t>
            </w:r>
          </w:p>
        </w:tc>
        <w:tc>
          <w:tcPr>
            <w:tcW w:w="824"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5DE6331">
            <w:pPr>
              <w:widowControl/>
              <w:jc w:val="center"/>
              <w:rPr>
                <w:rFonts w:hint="eastAsia"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rPr>
              <w:t>6,995,312.00</w:t>
            </w:r>
          </w:p>
        </w:tc>
      </w:tr>
      <w:tr w14:paraId="32E8A0C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860" w:hRule="atLeast"/>
          <w:tblCellSpacing w:w="15" w:type="dxa"/>
        </w:trPr>
        <w:tc>
          <w:tcPr>
            <w:tcW w:w="114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79AC435">
            <w:pPr>
              <w:widowControl/>
              <w:jc w:val="center"/>
              <w:rPr>
                <w:rFonts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rPr>
              <w:t>WZCG-ZCY202601019</w:t>
            </w:r>
            <w:r>
              <w:rPr>
                <w:rFonts w:ascii="Times New Roman" w:hAnsi="Times New Roman" w:eastAsia="仿宋"/>
                <w:color w:val="auto"/>
                <w:kern w:val="0"/>
                <w:sz w:val="24"/>
                <w:szCs w:val="24"/>
                <w:highlight w:val="none"/>
              </w:rPr>
              <w:t>-</w:t>
            </w:r>
            <w:r>
              <w:rPr>
                <w:rFonts w:hint="eastAsia" w:ascii="Times New Roman" w:hAnsi="Times New Roman" w:eastAsia="仿宋"/>
                <w:color w:val="auto"/>
                <w:kern w:val="0"/>
                <w:sz w:val="24"/>
                <w:szCs w:val="24"/>
                <w:highlight w:val="none"/>
              </w:rPr>
              <w:t>2</w:t>
            </w:r>
          </w:p>
        </w:tc>
        <w:tc>
          <w:tcPr>
            <w:tcW w:w="123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2BE32069">
            <w:pPr>
              <w:spacing w:line="400" w:lineRule="exact"/>
              <w:jc w:val="lef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市属单位2026年度通信链路服务租用项目二标段（市属单位备用有线链路及固网通信服务租用服务项目）</w:t>
            </w:r>
          </w:p>
        </w:tc>
        <w:tc>
          <w:tcPr>
            <w:tcW w:w="87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4612A277">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[2026]1233号</w:t>
            </w:r>
          </w:p>
        </w:tc>
        <w:tc>
          <w:tcPr>
            <w:tcW w:w="831"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0E81218">
            <w:pPr>
              <w:widowControl/>
              <w:jc w:val="center"/>
              <w:rPr>
                <w:rFonts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rPr>
              <w:t>2,606,626.00</w:t>
            </w:r>
          </w:p>
        </w:tc>
        <w:tc>
          <w:tcPr>
            <w:tcW w:w="824"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44F40A38">
            <w:pPr>
              <w:widowControl/>
              <w:jc w:val="center"/>
              <w:rPr>
                <w:rFonts w:hint="eastAsia"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rPr>
              <w:t>2,606,626.00</w:t>
            </w:r>
          </w:p>
        </w:tc>
      </w:tr>
      <w:tr w14:paraId="68A14DD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860" w:hRule="atLeast"/>
          <w:tblCellSpacing w:w="15" w:type="dxa"/>
        </w:trPr>
        <w:tc>
          <w:tcPr>
            <w:tcW w:w="114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BF91FCB">
            <w:pPr>
              <w:widowControl/>
              <w:jc w:val="center"/>
              <w:rPr>
                <w:rFonts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rPr>
              <w:t>WZCG-ZCY202601019</w:t>
            </w:r>
            <w:r>
              <w:rPr>
                <w:rFonts w:ascii="Times New Roman" w:hAnsi="Times New Roman" w:eastAsia="仿宋"/>
                <w:color w:val="auto"/>
                <w:kern w:val="0"/>
                <w:sz w:val="24"/>
                <w:szCs w:val="24"/>
                <w:highlight w:val="none"/>
              </w:rPr>
              <w:t>-</w:t>
            </w:r>
            <w:r>
              <w:rPr>
                <w:rFonts w:hint="eastAsia" w:ascii="Times New Roman" w:hAnsi="Times New Roman" w:eastAsia="仿宋"/>
                <w:color w:val="auto"/>
                <w:kern w:val="0"/>
                <w:sz w:val="24"/>
                <w:szCs w:val="24"/>
                <w:highlight w:val="none"/>
              </w:rPr>
              <w:t>3</w:t>
            </w:r>
          </w:p>
        </w:tc>
        <w:tc>
          <w:tcPr>
            <w:tcW w:w="123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57C4C0E0">
            <w:pPr>
              <w:spacing w:line="400" w:lineRule="exact"/>
              <w:jc w:val="lef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市属单位2026年度通信链路服务租用项目三标段（市属单位物联网数据卡服务租用项目）</w:t>
            </w:r>
          </w:p>
        </w:tc>
        <w:tc>
          <w:tcPr>
            <w:tcW w:w="87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27A63B54">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[2026]1235号</w:t>
            </w:r>
          </w:p>
        </w:tc>
        <w:tc>
          <w:tcPr>
            <w:tcW w:w="831"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A45D5A4">
            <w:pPr>
              <w:widowControl/>
              <w:jc w:val="center"/>
              <w:rPr>
                <w:rFonts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rPr>
              <w:t>540,000.00</w:t>
            </w:r>
          </w:p>
        </w:tc>
        <w:tc>
          <w:tcPr>
            <w:tcW w:w="824"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707633EF">
            <w:pPr>
              <w:widowControl/>
              <w:jc w:val="center"/>
              <w:rPr>
                <w:rFonts w:hint="eastAsia" w:ascii="Times New Roman" w:hAnsi="Times New Roman" w:eastAsia="仿宋"/>
                <w:color w:val="auto"/>
                <w:kern w:val="0"/>
                <w:sz w:val="24"/>
                <w:szCs w:val="24"/>
                <w:highlight w:val="none"/>
              </w:rPr>
            </w:pPr>
            <w:r>
              <w:rPr>
                <w:rFonts w:hint="eastAsia" w:ascii="Times New Roman" w:hAnsi="Times New Roman" w:eastAsia="仿宋"/>
                <w:color w:val="auto"/>
                <w:kern w:val="0"/>
                <w:sz w:val="24"/>
                <w:szCs w:val="24"/>
                <w:highlight w:val="none"/>
              </w:rPr>
              <w:t>540,000.00</w:t>
            </w:r>
          </w:p>
        </w:tc>
      </w:tr>
    </w:tbl>
    <w:p w14:paraId="227E903D">
      <w:pPr>
        <w:rPr>
          <w:rFonts w:ascii="Times New Roman" w:hAnsi="Times New Roman"/>
          <w:color w:val="auto"/>
          <w:sz w:val="20"/>
          <w:highlight w:val="none"/>
        </w:rPr>
      </w:pPr>
      <w:r>
        <w:rPr>
          <w:rFonts w:ascii="Times New Roman" w:hAnsi="Times New Roman"/>
          <w:color w:val="auto"/>
          <w:sz w:val="20"/>
          <w:highlight w:val="none"/>
        </w:rPr>
        <w:t xml:space="preserve"> </w:t>
      </w:r>
      <w:bookmarkEnd w:id="15"/>
    </w:p>
    <w:p w14:paraId="73D128DA">
      <w:pPr>
        <w:pStyle w:val="4"/>
        <w:ind w:firstLine="482"/>
        <w:rPr>
          <w:color w:val="auto"/>
          <w:highlight w:val="none"/>
        </w:rPr>
      </w:pPr>
      <w:bookmarkStart w:id="16" w:name="_Toc152516855"/>
      <w:bookmarkStart w:id="17" w:name="_Toc27375"/>
      <w:bookmarkStart w:id="18" w:name="_Toc256000002"/>
      <w:bookmarkStart w:id="19" w:name="_Toc104293450"/>
      <w:r>
        <w:rPr>
          <w:color w:val="auto"/>
          <w:highlight w:val="none"/>
        </w:rPr>
        <w:t>二、供应商参加政府采购活动应当具备下列条件：</w:t>
      </w:r>
      <w:bookmarkEnd w:id="16"/>
      <w:bookmarkEnd w:id="17"/>
    </w:p>
    <w:p w14:paraId="6A8BB83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1、具有独立承担民事责任的能力； </w:t>
      </w:r>
    </w:p>
    <w:p w14:paraId="6DCD1F58">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2、具有良好的商业信誉和健全的财务会计制度； </w:t>
      </w:r>
    </w:p>
    <w:p w14:paraId="28AC694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3、具有履行合同所必需的设备和专业技术能力； </w:t>
      </w:r>
    </w:p>
    <w:p w14:paraId="5DE88EB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4、有依法缴纳税收和社会保障资金的良好记录； </w:t>
      </w:r>
    </w:p>
    <w:p w14:paraId="68A95E7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5、参加政府采购活动前三年内，在经营活动中无重大违法记录； </w:t>
      </w:r>
    </w:p>
    <w:p w14:paraId="7EA6B99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6、法律、行政法规规定的其他条件。</w:t>
      </w:r>
    </w:p>
    <w:p w14:paraId="3092E405">
      <w:pPr>
        <w:rPr>
          <w:rFonts w:ascii="Times New Roman" w:hAnsi="Times New Roman"/>
          <w:color w:val="auto"/>
          <w:highlight w:val="none"/>
        </w:rPr>
      </w:pPr>
    </w:p>
    <w:p w14:paraId="19C4F424">
      <w:pPr>
        <w:keepNext/>
        <w:spacing w:line="400" w:lineRule="exact"/>
        <w:ind w:firstLine="482" w:firstLineChars="200"/>
        <w:outlineLvl w:val="1"/>
        <w:rPr>
          <w:rFonts w:ascii="Times New Roman" w:hAnsi="Times New Roman" w:eastAsia="仿宋_GB2312"/>
          <w:bCs/>
          <w:iCs/>
          <w:color w:val="auto"/>
          <w:sz w:val="24"/>
          <w:szCs w:val="24"/>
          <w:highlight w:val="none"/>
        </w:rPr>
      </w:pPr>
      <w:bookmarkStart w:id="20" w:name="_Toc24901"/>
      <w:bookmarkStart w:id="21" w:name="_Toc152516856"/>
      <w:r>
        <w:rPr>
          <w:rStyle w:val="41"/>
          <w:color w:val="auto"/>
          <w:highlight w:val="none"/>
        </w:rPr>
        <w:t>三、投标人的资格审查要求：</w:t>
      </w:r>
      <w:bookmarkEnd w:id="18"/>
      <w:bookmarkEnd w:id="19"/>
      <w:bookmarkEnd w:id="20"/>
      <w:bookmarkEnd w:id="21"/>
      <w:r>
        <w:rPr>
          <w:rFonts w:ascii="Times New Roman" w:hAnsi="Times New Roman" w:eastAsia="仿宋_GB2312"/>
          <w:bCs/>
          <w:iCs/>
          <w:color w:val="auto"/>
          <w:sz w:val="24"/>
          <w:szCs w:val="24"/>
          <w:highlight w:val="none"/>
        </w:rPr>
        <w:t xml:space="preserve"> </w:t>
      </w:r>
      <w:bookmarkStart w:id="22" w:name="EB9c2796e9612f4e3c978e37ff94895c41"/>
    </w:p>
    <w:p w14:paraId="49E484AA">
      <w:pPr>
        <w:rPr>
          <w:rFonts w:ascii="Times New Roman" w:hAnsi="Times New Roman"/>
          <w:color w:val="auto"/>
          <w:highlight w:val="none"/>
        </w:rPr>
      </w:pPr>
    </w:p>
    <w:p w14:paraId="4B64ED15">
      <w:pPr>
        <w:pStyle w:val="2"/>
        <w:rPr>
          <w:rFonts w:ascii="Times New Roman" w:hAnsi="Times New Roman"/>
          <w:color w:val="auto"/>
          <w:highlight w:val="none"/>
        </w:rPr>
      </w:pPr>
    </w:p>
    <w:p w14:paraId="799A045E">
      <w:pPr>
        <w:pStyle w:val="2"/>
        <w:rPr>
          <w:rFonts w:ascii="Times New Roman" w:hAnsi="Times New Roman"/>
          <w:color w:val="auto"/>
          <w:highlight w:val="none"/>
        </w:rPr>
      </w:pPr>
    </w:p>
    <w:tbl>
      <w:tblPr>
        <w:tblStyle w:val="29"/>
        <w:tblW w:w="493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9111"/>
      </w:tblGrid>
      <w:tr w14:paraId="2E31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1864F8A6">
            <w:pPr>
              <w:jc w:val="center"/>
              <w:rPr>
                <w:rFonts w:ascii="Times New Roman" w:hAnsi="Times New Roman" w:eastAsia="仿宋_GB2312"/>
                <w:b/>
                <w:color w:val="auto"/>
                <w:sz w:val="24"/>
                <w:szCs w:val="24"/>
                <w:highlight w:val="none"/>
              </w:rPr>
            </w:pPr>
            <w:r>
              <w:rPr>
                <w:rFonts w:hint="eastAsia" w:ascii="Times New Roman" w:hAnsi="Times New Roman" w:eastAsia="仿宋_GB2312"/>
                <w:color w:val="auto"/>
                <w:sz w:val="24"/>
                <w:szCs w:val="24"/>
                <w:highlight w:val="none"/>
              </w:rPr>
              <w:t>市属单位2026年度通信链路服务租用项目</w:t>
            </w:r>
          </w:p>
        </w:tc>
      </w:tr>
      <w:bookmarkEnd w:id="22"/>
      <w:tr w14:paraId="4EBB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66" w:type="pct"/>
            <w:tcBorders>
              <w:top w:val="single" w:color="auto" w:sz="4" w:space="0"/>
              <w:left w:val="single" w:color="auto" w:sz="4" w:space="0"/>
              <w:bottom w:val="single" w:color="auto" w:sz="4" w:space="0"/>
              <w:right w:val="single" w:color="auto" w:sz="4" w:space="0"/>
            </w:tcBorders>
            <w:vAlign w:val="center"/>
          </w:tcPr>
          <w:p w14:paraId="39A1B69D">
            <w:pPr>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序号</w:t>
            </w:r>
          </w:p>
        </w:tc>
        <w:tc>
          <w:tcPr>
            <w:tcW w:w="4633" w:type="pct"/>
            <w:tcBorders>
              <w:top w:val="single" w:color="auto" w:sz="4" w:space="0"/>
              <w:left w:val="single" w:color="auto" w:sz="4" w:space="0"/>
              <w:bottom w:val="single" w:color="auto" w:sz="4" w:space="0"/>
              <w:right w:val="single" w:color="auto" w:sz="4" w:space="0"/>
            </w:tcBorders>
            <w:vAlign w:val="center"/>
          </w:tcPr>
          <w:p w14:paraId="47FA506E">
            <w:pPr>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审查内容</w:t>
            </w:r>
          </w:p>
        </w:tc>
      </w:tr>
      <w:tr w14:paraId="3634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7C7022B7">
            <w:pPr>
              <w:adjustRightInd w:val="0"/>
              <w:snapToGrid w:val="0"/>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p>
        </w:tc>
        <w:tc>
          <w:tcPr>
            <w:tcW w:w="4633" w:type="pct"/>
            <w:tcBorders>
              <w:top w:val="single" w:color="auto" w:sz="4" w:space="0"/>
              <w:left w:val="single" w:color="auto" w:sz="4" w:space="0"/>
              <w:bottom w:val="single" w:color="auto" w:sz="4" w:space="0"/>
              <w:right w:val="single" w:color="auto" w:sz="4" w:space="0"/>
            </w:tcBorders>
            <w:vAlign w:val="center"/>
          </w:tcPr>
          <w:p w14:paraId="565FAA4C">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供应商须具备政府采购法第二十二条规定的条件；</w:t>
            </w:r>
          </w:p>
        </w:tc>
      </w:tr>
      <w:tr w14:paraId="458D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507AADF0">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2</w:t>
            </w:r>
          </w:p>
        </w:tc>
        <w:tc>
          <w:tcPr>
            <w:tcW w:w="4633" w:type="pct"/>
            <w:tcBorders>
              <w:top w:val="single" w:color="auto" w:sz="4" w:space="0"/>
              <w:left w:val="single" w:color="auto" w:sz="4" w:space="0"/>
              <w:bottom w:val="single" w:color="auto" w:sz="4" w:space="0"/>
              <w:right w:val="single" w:color="auto" w:sz="4" w:space="0"/>
            </w:tcBorders>
            <w:vAlign w:val="center"/>
          </w:tcPr>
          <w:p w14:paraId="0D233335">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身份证明书或授权委托书；</w:t>
            </w:r>
          </w:p>
        </w:tc>
      </w:tr>
      <w:tr w14:paraId="21B3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4F25B800">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3</w:t>
            </w:r>
          </w:p>
        </w:tc>
        <w:tc>
          <w:tcPr>
            <w:tcW w:w="4633" w:type="pct"/>
            <w:tcBorders>
              <w:top w:val="single" w:color="auto" w:sz="4" w:space="0"/>
              <w:left w:val="single" w:color="auto" w:sz="4" w:space="0"/>
              <w:bottom w:val="single" w:color="auto" w:sz="4" w:space="0"/>
              <w:right w:val="single" w:color="auto" w:sz="4" w:space="0"/>
            </w:tcBorders>
            <w:vAlign w:val="center"/>
          </w:tcPr>
          <w:p w14:paraId="2BB264FD">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反商业贿赂承诺书；</w:t>
            </w:r>
          </w:p>
        </w:tc>
      </w:tr>
      <w:tr w14:paraId="4F53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pct"/>
            <w:tcBorders>
              <w:top w:val="single" w:color="auto" w:sz="4" w:space="0"/>
              <w:left w:val="single" w:color="auto" w:sz="4" w:space="0"/>
              <w:bottom w:val="single" w:color="auto" w:sz="4" w:space="0"/>
              <w:right w:val="single" w:color="auto" w:sz="4" w:space="0"/>
            </w:tcBorders>
            <w:vAlign w:val="center"/>
          </w:tcPr>
          <w:p w14:paraId="6F4DFD93">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4</w:t>
            </w:r>
          </w:p>
        </w:tc>
        <w:tc>
          <w:tcPr>
            <w:tcW w:w="4633" w:type="pct"/>
            <w:tcBorders>
              <w:top w:val="single" w:color="auto" w:sz="4" w:space="0"/>
              <w:left w:val="single" w:color="auto" w:sz="4" w:space="0"/>
              <w:bottom w:val="single" w:color="auto" w:sz="4" w:space="0"/>
              <w:right w:val="single" w:color="auto" w:sz="4" w:space="0"/>
            </w:tcBorders>
          </w:tcPr>
          <w:p w14:paraId="53B9A966">
            <w:pPr>
              <w:adjustRightInd w:val="0"/>
              <w:snapToGrid w:val="0"/>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线上查询投标人“信用中国”网站（www.creditchina.gov.cn）、中国政府采购网（www.ccgp.gov.cn）的信用信息，无失信记录;</w:t>
            </w:r>
          </w:p>
        </w:tc>
      </w:tr>
      <w:tr w14:paraId="04A7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366" w:type="pct"/>
            <w:tcBorders>
              <w:top w:val="single" w:color="auto" w:sz="4" w:space="0"/>
              <w:left w:val="single" w:color="auto" w:sz="4" w:space="0"/>
              <w:bottom w:val="single" w:color="auto" w:sz="4" w:space="0"/>
              <w:right w:val="single" w:color="auto" w:sz="4" w:space="0"/>
            </w:tcBorders>
            <w:vAlign w:val="center"/>
          </w:tcPr>
          <w:p w14:paraId="3094A1B9">
            <w:pPr>
              <w:adjustRightInd w:val="0"/>
              <w:snapToGrid w:val="0"/>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val="en-US" w:eastAsia="zh-CN"/>
              </w:rPr>
              <w:t>5</w:t>
            </w:r>
          </w:p>
        </w:tc>
        <w:tc>
          <w:tcPr>
            <w:tcW w:w="4633" w:type="pct"/>
            <w:tcBorders>
              <w:top w:val="single" w:color="auto" w:sz="4" w:space="0"/>
              <w:left w:val="single" w:color="auto" w:sz="4" w:space="0"/>
              <w:bottom w:val="single" w:color="auto" w:sz="4" w:space="0"/>
              <w:right w:val="single" w:color="auto" w:sz="4" w:space="0"/>
            </w:tcBorders>
          </w:tcPr>
          <w:p w14:paraId="62B439D7">
            <w:pPr>
              <w:pStyle w:val="11"/>
              <w:rPr>
                <w:rFonts w:ascii="Times New Roman" w:hAnsi="Times New Roman" w:eastAsia="仿宋_GB2312"/>
                <w:color w:val="auto"/>
                <w:sz w:val="24"/>
                <w:szCs w:val="24"/>
                <w:highlight w:val="none"/>
              </w:rPr>
            </w:pPr>
            <w:r>
              <w:rPr>
                <w:rFonts w:hint="eastAsia" w:ascii="Times New Roman" w:hAnsi="Times New Roman" w:eastAsia="仿宋_GB2312" w:cs="Times New Roman"/>
                <w:color w:val="0000FF"/>
                <w:kern w:val="2"/>
                <w:sz w:val="24"/>
                <w:szCs w:val="24"/>
                <w:highlight w:val="none"/>
                <w:lang w:val="en-US" w:eastAsia="zh-CN" w:bidi="ar-SA"/>
              </w:rPr>
              <w:t>须具备有效期内的《基础电信业务经营许可证》（工信部核发）”（含附页）。分支机构投标时，使用总公司的《基础电信业务经营许可证》（须提供总公司证书复印件 + 授权书）</w:t>
            </w:r>
          </w:p>
        </w:tc>
      </w:tr>
    </w:tbl>
    <w:p w14:paraId="5F90D9EC">
      <w:pPr>
        <w:adjustRightInd w:val="0"/>
        <w:snapToGrid w:val="0"/>
        <w:spacing w:line="38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开标时将审查上述资格审查文件，若缺项或不合格为无效投标。</w:t>
      </w:r>
    </w:p>
    <w:p w14:paraId="013DB62E">
      <w:pPr>
        <w:spacing w:line="400" w:lineRule="exact"/>
        <w:ind w:firstLine="475" w:firstLineChars="198"/>
        <w:rPr>
          <w:rFonts w:ascii="Times New Roman" w:hAnsi="Times New Roman" w:eastAsia="仿宋_GB2312"/>
          <w:color w:val="auto"/>
          <w:sz w:val="24"/>
          <w:szCs w:val="24"/>
          <w:highlight w:val="none"/>
        </w:rPr>
      </w:pPr>
      <w:bookmarkStart w:id="23" w:name="_Toc256000003"/>
      <w:bookmarkStart w:id="24" w:name="_Toc104293451"/>
    </w:p>
    <w:p w14:paraId="6DA8F35F">
      <w:pPr>
        <w:pStyle w:val="4"/>
        <w:ind w:firstLine="482"/>
        <w:rPr>
          <w:color w:val="auto"/>
          <w:highlight w:val="none"/>
        </w:rPr>
      </w:pPr>
      <w:bookmarkStart w:id="25" w:name="_Toc152516857"/>
      <w:bookmarkStart w:id="26" w:name="_Toc12352"/>
      <w:r>
        <w:rPr>
          <w:color w:val="auto"/>
          <w:highlight w:val="none"/>
        </w:rPr>
        <w:t>四、获取招标文件及投标事宜：</w:t>
      </w:r>
      <w:bookmarkEnd w:id="23"/>
      <w:bookmarkEnd w:id="24"/>
      <w:bookmarkEnd w:id="25"/>
      <w:bookmarkEnd w:id="26"/>
      <w:r>
        <w:rPr>
          <w:color w:val="auto"/>
          <w:highlight w:val="none"/>
        </w:rPr>
        <w:t xml:space="preserve"> </w:t>
      </w:r>
    </w:p>
    <w:p w14:paraId="0D962B3B">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1.获取招标文件（以下简称招标文件）的截止时间：</w:t>
      </w:r>
      <w:bookmarkStart w:id="27" w:name="EBa4c7a29697444c788d1fea5d418b333c"/>
      <w:r>
        <w:rPr>
          <w:rFonts w:hint="eastAsia" w:ascii="Times New Roman" w:hAnsi="Times New Roman" w:eastAsia="仿宋_GB2312"/>
          <w:color w:val="auto"/>
          <w:sz w:val="24"/>
          <w:szCs w:val="24"/>
          <w:highlight w:val="none"/>
        </w:rPr>
        <w:t>202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年0</w:t>
      </w:r>
      <w:r>
        <w:rPr>
          <w:rFonts w:hint="eastAsia" w:ascii="Times New Roman" w:hAnsi="Times New Roman" w:eastAsia="仿宋_GB2312"/>
          <w:color w:val="auto"/>
          <w:sz w:val="24"/>
          <w:szCs w:val="24"/>
          <w:highlight w:val="none"/>
          <w:lang w:val="en-US" w:eastAsia="zh-CN"/>
        </w:rPr>
        <w:t>4</w:t>
      </w:r>
      <w:r>
        <w:rPr>
          <w:rFonts w:ascii="Times New Roman" w:hAnsi="Times New Roman" w:eastAsia="仿宋_GB2312"/>
          <w:color w:val="auto"/>
          <w:sz w:val="24"/>
          <w:szCs w:val="24"/>
          <w:highlight w:val="none"/>
        </w:rPr>
        <w:t>月</w:t>
      </w:r>
      <w:r>
        <w:rPr>
          <w:rFonts w:hint="eastAsia" w:ascii="Times New Roman" w:hAnsi="Times New Roman" w:eastAsia="仿宋_GB2312"/>
          <w:color w:val="auto"/>
          <w:sz w:val="24"/>
          <w:szCs w:val="24"/>
          <w:highlight w:val="none"/>
          <w:lang w:val="en-US" w:eastAsia="zh-CN"/>
        </w:rPr>
        <w:t>29</w:t>
      </w:r>
      <w:r>
        <w:rPr>
          <w:rFonts w:ascii="Times New Roman" w:hAnsi="Times New Roman" w:eastAsia="仿宋_GB2312"/>
          <w:color w:val="auto"/>
          <w:sz w:val="24"/>
          <w:szCs w:val="24"/>
          <w:highlight w:val="none"/>
        </w:rPr>
        <w:t>日 23:</w:t>
      </w:r>
      <w:bookmarkEnd w:id="27"/>
      <w:r>
        <w:rPr>
          <w:rFonts w:ascii="Times New Roman" w:hAnsi="Times New Roman" w:eastAsia="仿宋_GB2312"/>
          <w:color w:val="auto"/>
          <w:sz w:val="24"/>
          <w:szCs w:val="24"/>
          <w:highlight w:val="none"/>
        </w:rPr>
        <w:t>59。发布招标文件的网站：请供应商登录政采云平台（https://www.zcygov.cn/）下载招标文件，招标文件的修改、澄清文件将在新疆政府采购网公布，敬请获取招标文件的供应商关注，恕不另行通知。</w:t>
      </w:r>
      <w:r>
        <w:rPr>
          <w:rFonts w:hint="eastAsia" w:ascii="Times New Roman" w:hAnsi="Times New Roman" w:eastAsia="仿宋_GB2312"/>
          <w:color w:val="auto"/>
          <w:sz w:val="24"/>
          <w:szCs w:val="24"/>
          <w:highlight w:val="none"/>
        </w:rPr>
        <w:t>本项目招标文件售价：0.00元。</w:t>
      </w:r>
    </w:p>
    <w:p w14:paraId="5764D48B">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本项目实行网上投标，采用加密电子投标文件。各供应商在开标前应确保成为新疆政府采购网正式注册入库供应商，并完成CA数字证书（符合国密标准）申领。供应商须使用CA加密设备通过政采云电子投标客户端制作投标文件，供应商可通过新疆数字证书认证中心官方网站（https://www.xjca.com.cn/）或下载“新疆政务通”APP自行进行申领。如需咨询，请联系新疆CA服务热线</w:t>
      </w:r>
      <w:r>
        <w:rPr>
          <w:rFonts w:hint="eastAsia" w:ascii="Times New Roman" w:hAnsi="Times New Roman" w:eastAsia="仿宋_GB2312"/>
          <w:color w:val="auto"/>
          <w:sz w:val="24"/>
          <w:szCs w:val="24"/>
          <w:highlight w:val="none"/>
        </w:rPr>
        <w:t>4000921999；新疆-安信CA服务热线0991-7810912；翔晟CA服务热线025-66085508</w:t>
      </w:r>
      <w:r>
        <w:rPr>
          <w:rFonts w:ascii="Times New Roman" w:hAnsi="Times New Roman" w:eastAsia="仿宋_GB2312"/>
          <w:color w:val="auto"/>
          <w:sz w:val="24"/>
          <w:szCs w:val="24"/>
          <w:highlight w:val="none"/>
        </w:rPr>
        <w:t>。因未注册入库、未办理CA数字证书等原因造成无法投标或投标失败等后果由供应商自行承担。</w:t>
      </w:r>
    </w:p>
    <w:p w14:paraId="7602DF16">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各供应商将政采云电子交易客户端下载、安装完成后，可通过账号密码或CA登录客户端制作投标文件。在使用政采云投标客户端时，建议使用WIN7及以上操作系统。客户端请至新疆政府采购网下载专区查看，如有问题可拨打政采云客户服务热线95763进行咨询。</w:t>
      </w:r>
    </w:p>
    <w:p w14:paraId="692C2074">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各供应商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不予异常处理，视为供应商放弃投标。参与电子投标的供应商在开标时间前登录“开评标大厅”，并在规定时间内完成在线解密。供应商未按系统设定程序操作，所产生的不利后果由供应商自行承担。</w:t>
      </w:r>
    </w:p>
    <w:p w14:paraId="388CC4FC">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5.各供应商对不见面开评标系统的技术操作咨询，可通过政采云帮助中心常见问题解答和操作流程讲解视频中自助查询，同时对自助查询无法解决的问题可通过政采云在线客服获取服务支持。</w:t>
      </w:r>
    </w:p>
    <w:p w14:paraId="5B82705A">
      <w:pPr>
        <w:rPr>
          <w:rFonts w:ascii="Times New Roman" w:hAnsi="Times New Roman"/>
          <w:color w:val="auto"/>
          <w:sz w:val="24"/>
          <w:szCs w:val="24"/>
          <w:highlight w:val="none"/>
        </w:rPr>
      </w:pPr>
      <w:bookmarkStart w:id="28" w:name="_Toc104293452"/>
      <w:bookmarkStart w:id="29" w:name="_Toc256000004"/>
    </w:p>
    <w:p w14:paraId="1455A009">
      <w:pPr>
        <w:keepNext/>
        <w:tabs>
          <w:tab w:val="center" w:pos="4702"/>
        </w:tabs>
        <w:spacing w:line="400" w:lineRule="exact"/>
        <w:ind w:firstLine="482" w:firstLineChars="200"/>
        <w:outlineLvl w:val="1"/>
        <w:rPr>
          <w:rFonts w:ascii="Times New Roman" w:hAnsi="Times New Roman" w:eastAsia="仿宋_GB2312"/>
          <w:b/>
          <w:bCs/>
          <w:iCs/>
          <w:color w:val="auto"/>
          <w:sz w:val="24"/>
          <w:szCs w:val="24"/>
          <w:highlight w:val="none"/>
        </w:rPr>
      </w:pPr>
      <w:bookmarkStart w:id="30" w:name="_Toc152516858"/>
      <w:bookmarkStart w:id="31" w:name="_Toc10888"/>
      <w:r>
        <w:rPr>
          <w:rStyle w:val="41"/>
          <w:color w:val="auto"/>
          <w:highlight w:val="none"/>
        </w:rPr>
        <w:t>五、采购人联系方式：</w:t>
      </w:r>
      <w:bookmarkEnd w:id="28"/>
      <w:bookmarkEnd w:id="29"/>
      <w:bookmarkEnd w:id="30"/>
      <w:bookmarkEnd w:id="31"/>
      <w:r>
        <w:rPr>
          <w:rFonts w:ascii="Times New Roman" w:hAnsi="Times New Roman" w:eastAsia="仿宋_GB2312"/>
          <w:b/>
          <w:bCs/>
          <w:iCs/>
          <w:color w:val="auto"/>
          <w:sz w:val="24"/>
          <w:szCs w:val="24"/>
          <w:highlight w:val="none"/>
        </w:rPr>
        <w:t xml:space="preserve"> </w:t>
      </w:r>
      <w:r>
        <w:rPr>
          <w:rFonts w:ascii="Times New Roman" w:hAnsi="Times New Roman" w:eastAsia="仿宋_GB2312"/>
          <w:b/>
          <w:bCs/>
          <w:iCs/>
          <w:color w:val="auto"/>
          <w:sz w:val="24"/>
          <w:szCs w:val="24"/>
          <w:highlight w:val="none"/>
        </w:rPr>
        <w:tab/>
      </w:r>
    </w:p>
    <w:p w14:paraId="689310C9">
      <w:pPr>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采购人：</w:t>
      </w:r>
      <w:r>
        <w:rPr>
          <w:rFonts w:hint="eastAsia" w:ascii="Times New Roman" w:hAnsi="Times New Roman" w:eastAsia="仿宋_GB2312"/>
          <w:color w:val="auto"/>
          <w:sz w:val="24"/>
          <w:szCs w:val="24"/>
          <w:highlight w:val="none"/>
        </w:rPr>
        <w:t xml:space="preserve">乌鲁木齐市公安局（本级） </w:t>
      </w:r>
    </w:p>
    <w:p w14:paraId="1A3C6985">
      <w:pPr>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地址：乌鲁木齐市南湖东路29号 </w:t>
      </w:r>
    </w:p>
    <w:p w14:paraId="1D765EB7">
      <w:pPr>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联系人：</w:t>
      </w:r>
      <w:r>
        <w:rPr>
          <w:rFonts w:hint="eastAsia" w:ascii="Times New Roman" w:hAnsi="Times New Roman" w:eastAsia="仿宋_GB2312"/>
          <w:color w:val="auto"/>
          <w:sz w:val="24"/>
          <w:szCs w:val="24"/>
          <w:highlight w:val="none"/>
        </w:rPr>
        <w:t>靳改继</w:t>
      </w:r>
    </w:p>
    <w:p w14:paraId="2ACC56F6">
      <w:pPr>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联系电话：</w:t>
      </w:r>
      <w:r>
        <w:rPr>
          <w:rFonts w:hint="eastAsia" w:ascii="Times New Roman" w:hAnsi="Times New Roman" w:eastAsia="仿宋_GB2312"/>
          <w:color w:val="auto"/>
          <w:sz w:val="24"/>
          <w:szCs w:val="24"/>
          <w:highlight w:val="none"/>
        </w:rPr>
        <w:t>15099654157</w:t>
      </w:r>
    </w:p>
    <w:p w14:paraId="5DD7A7DC">
      <w:pPr>
        <w:keepNext/>
        <w:spacing w:line="400" w:lineRule="exact"/>
        <w:outlineLvl w:val="1"/>
        <w:rPr>
          <w:rFonts w:ascii="Times New Roman" w:hAnsi="Times New Roman" w:eastAsia="仿宋_GB2312"/>
          <w:b/>
          <w:iCs/>
          <w:color w:val="auto"/>
          <w:sz w:val="24"/>
          <w:szCs w:val="24"/>
          <w:highlight w:val="none"/>
        </w:rPr>
      </w:pPr>
      <w:bookmarkStart w:id="32" w:name="_Toc256000005"/>
      <w:bookmarkStart w:id="33" w:name="_Toc104293453"/>
    </w:p>
    <w:p w14:paraId="4E282681">
      <w:pPr>
        <w:keepNext/>
        <w:spacing w:line="400" w:lineRule="exact"/>
        <w:ind w:firstLine="482" w:firstLineChars="200"/>
        <w:outlineLvl w:val="1"/>
        <w:rPr>
          <w:rFonts w:ascii="Times New Roman" w:hAnsi="Times New Roman" w:eastAsia="仿宋_GB2312"/>
          <w:b/>
          <w:iCs/>
          <w:color w:val="auto"/>
          <w:sz w:val="24"/>
          <w:szCs w:val="24"/>
          <w:highlight w:val="none"/>
        </w:rPr>
      </w:pPr>
      <w:bookmarkStart w:id="34" w:name="_Toc20089"/>
      <w:bookmarkStart w:id="35" w:name="_Toc152516859"/>
      <w:r>
        <w:rPr>
          <w:rStyle w:val="41"/>
          <w:color w:val="auto"/>
          <w:highlight w:val="none"/>
        </w:rPr>
        <w:t>六、集中采购机构联系方式：</w:t>
      </w:r>
      <w:bookmarkEnd w:id="32"/>
      <w:bookmarkEnd w:id="33"/>
      <w:bookmarkEnd w:id="34"/>
      <w:bookmarkEnd w:id="35"/>
      <w:r>
        <w:rPr>
          <w:rFonts w:ascii="Times New Roman" w:hAnsi="Times New Roman" w:eastAsia="仿宋_GB2312"/>
          <w:b/>
          <w:iCs/>
          <w:color w:val="auto"/>
          <w:sz w:val="24"/>
          <w:szCs w:val="24"/>
          <w:highlight w:val="none"/>
        </w:rPr>
        <w:t xml:space="preserve"> </w:t>
      </w:r>
    </w:p>
    <w:p w14:paraId="6632233E">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集中采购机构：乌鲁木齐市公共资源交易中心（乌鲁木齐市政府采购中心）</w:t>
      </w:r>
    </w:p>
    <w:p w14:paraId="4A959E64">
      <w:pPr>
        <w:spacing w:line="400" w:lineRule="exact"/>
        <w:ind w:firstLine="480" w:firstLineChars="200"/>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rPr>
        <w:t>地址：乌鲁木齐市水磨沟区准噶尔街299号益民大厦A座5层</w:t>
      </w:r>
    </w:p>
    <w:p w14:paraId="5ADC4438">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联系人： </w:t>
      </w:r>
      <w:r>
        <w:rPr>
          <w:rFonts w:hint="eastAsia" w:ascii="Times New Roman" w:hAnsi="Times New Roman" w:eastAsia="仿宋_GB2312"/>
          <w:color w:val="auto"/>
          <w:sz w:val="24"/>
          <w:szCs w:val="24"/>
          <w:highlight w:val="none"/>
        </w:rPr>
        <w:t>朱鹤婷</w:t>
      </w:r>
    </w:p>
    <w:p w14:paraId="72F84CA5">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联系电话：</w:t>
      </w:r>
      <w:bookmarkStart w:id="36" w:name="EB76d9da82da2b4ccc92bb722cde26bcca"/>
      <w:r>
        <w:rPr>
          <w:rFonts w:ascii="Times New Roman" w:hAnsi="Times New Roman" w:eastAsia="仿宋_GB2312"/>
          <w:color w:val="auto"/>
          <w:sz w:val="24"/>
          <w:szCs w:val="24"/>
          <w:highlight w:val="none"/>
        </w:rPr>
        <w:t>0991-</w:t>
      </w:r>
      <w:bookmarkEnd w:id="36"/>
      <w:r>
        <w:rPr>
          <w:rFonts w:hint="eastAsia" w:ascii="Times New Roman" w:hAnsi="Times New Roman" w:eastAsia="仿宋_GB2312"/>
          <w:color w:val="auto"/>
          <w:sz w:val="24"/>
          <w:szCs w:val="24"/>
          <w:highlight w:val="none"/>
        </w:rPr>
        <w:t>4184153</w:t>
      </w:r>
      <w:r>
        <w:rPr>
          <w:rFonts w:ascii="Times New Roman" w:hAnsi="Times New Roman" w:eastAsia="仿宋_GB2312"/>
          <w:color w:val="auto"/>
          <w:sz w:val="24"/>
          <w:szCs w:val="24"/>
          <w:highlight w:val="none"/>
        </w:rPr>
        <w:t xml:space="preserve"> </w:t>
      </w:r>
    </w:p>
    <w:p w14:paraId="0B2840A0">
      <w:pPr>
        <w:spacing w:line="400" w:lineRule="exact"/>
        <w:ind w:firstLine="482" w:firstLineChars="200"/>
        <w:rPr>
          <w:rFonts w:ascii="Times New Roman" w:hAnsi="Times New Roman" w:eastAsia="仿宋_GB2312"/>
          <w:b/>
          <w:bCs/>
          <w:color w:val="auto"/>
          <w:sz w:val="24"/>
          <w:szCs w:val="24"/>
          <w:highlight w:val="none"/>
        </w:rPr>
      </w:pPr>
    </w:p>
    <w:p w14:paraId="04E92708">
      <w:pPr>
        <w:pStyle w:val="4"/>
        <w:ind w:firstLine="482"/>
        <w:rPr>
          <w:color w:val="auto"/>
          <w:highlight w:val="none"/>
        </w:rPr>
      </w:pPr>
      <w:bookmarkStart w:id="37" w:name="_Toc4345"/>
      <w:r>
        <w:rPr>
          <w:color w:val="auto"/>
          <w:highlight w:val="none"/>
        </w:rPr>
        <w:t>七、其他：</w:t>
      </w:r>
      <w:bookmarkEnd w:id="37"/>
    </w:p>
    <w:p w14:paraId="24A6F7D9">
      <w:pPr>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以上日期、时间均为公历、北京时间。</w:t>
      </w:r>
    </w:p>
    <w:p w14:paraId="15282931">
      <w:pPr>
        <w:rPr>
          <w:rFonts w:ascii="Times New Roman" w:hAnsi="Times New Roman"/>
          <w:color w:val="auto"/>
          <w:highlight w:val="none"/>
        </w:rPr>
      </w:pPr>
    </w:p>
    <w:p w14:paraId="1BDE357C">
      <w:pPr>
        <w:rPr>
          <w:rFonts w:ascii="Times New Roman" w:hAnsi="Times New Roman"/>
          <w:color w:val="auto"/>
          <w:highlight w:val="none"/>
        </w:rPr>
      </w:pPr>
    </w:p>
    <w:p w14:paraId="1F3851B6">
      <w:pPr>
        <w:rPr>
          <w:rFonts w:ascii="Times New Roman" w:hAnsi="Times New Roman"/>
          <w:color w:val="auto"/>
          <w:highlight w:val="none"/>
        </w:rPr>
      </w:pPr>
      <w:r>
        <w:rPr>
          <w:rFonts w:ascii="Times New Roman" w:hAnsi="Times New Roman"/>
          <w:color w:val="auto"/>
          <w:highlight w:val="none"/>
        </w:rPr>
        <w:br w:type="page"/>
      </w:r>
    </w:p>
    <w:p w14:paraId="6A857FBF">
      <w:pPr>
        <w:pStyle w:val="3"/>
        <w:rPr>
          <w:color w:val="auto"/>
          <w:highlight w:val="none"/>
        </w:rPr>
      </w:pPr>
      <w:bookmarkStart w:id="38" w:name="_Toc256000007"/>
      <w:bookmarkStart w:id="39" w:name="_Toc19057"/>
      <w:bookmarkStart w:id="40" w:name="_Toc104293455"/>
      <w:bookmarkStart w:id="41" w:name="_Toc152516860"/>
      <w:r>
        <w:rPr>
          <w:color w:val="auto"/>
          <w:highlight w:val="none"/>
        </w:rPr>
        <w:t>第二章  招标文件前附表</w:t>
      </w:r>
      <w:bookmarkEnd w:id="38"/>
      <w:bookmarkEnd w:id="39"/>
      <w:bookmarkEnd w:id="40"/>
      <w:bookmarkEnd w:id="41"/>
    </w:p>
    <w:p w14:paraId="51E7FE80">
      <w:pPr>
        <w:adjustRightInd w:val="0"/>
        <w:snapToGrid w:val="0"/>
        <w:spacing w:line="300" w:lineRule="exact"/>
        <w:jc w:val="center"/>
        <w:rPr>
          <w:rFonts w:ascii="Times New Roman" w:hAnsi="Times New Roman"/>
          <w:b/>
          <w:bCs/>
          <w:color w:val="auto"/>
          <w:sz w:val="32"/>
          <w:szCs w:val="32"/>
          <w:highlight w:val="none"/>
        </w:rPr>
      </w:pPr>
    </w:p>
    <w:tbl>
      <w:tblPr>
        <w:tblStyle w:val="29"/>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4"/>
        <w:gridCol w:w="1316"/>
        <w:gridCol w:w="7811"/>
      </w:tblGrid>
      <w:tr w14:paraId="0EF0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494" w:type="dxa"/>
            <w:tcBorders>
              <w:top w:val="single" w:color="auto" w:sz="4" w:space="0"/>
              <w:left w:val="single" w:color="auto" w:sz="4" w:space="0"/>
              <w:bottom w:val="single" w:color="auto" w:sz="4" w:space="0"/>
              <w:right w:val="single" w:color="auto" w:sz="4" w:space="0"/>
            </w:tcBorders>
          </w:tcPr>
          <w:p w14:paraId="4ADEC809">
            <w:pPr>
              <w:adjustRightInd w:val="0"/>
              <w:snapToGrid w:val="0"/>
              <w:spacing w:line="360" w:lineRule="exact"/>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序号</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BC2B35">
            <w:pPr>
              <w:adjustRightInd w:val="0"/>
              <w:snapToGrid w:val="0"/>
              <w:spacing w:line="360" w:lineRule="exact"/>
              <w:jc w:val="center"/>
              <w:rPr>
                <w:rFonts w:ascii="Times New Roman" w:hAnsi="Times New Roman" w:eastAsia="仿宋_GB2312"/>
                <w:b/>
                <w:color w:val="auto"/>
                <w:sz w:val="24"/>
                <w:szCs w:val="24"/>
                <w:highlight w:val="none"/>
              </w:rPr>
            </w:pPr>
            <w:r>
              <w:rPr>
                <w:rFonts w:ascii="Times New Roman" w:hAnsi="Times New Roman" w:eastAsia="仿宋_GB2312"/>
                <w:b/>
                <w:bCs/>
                <w:color w:val="auto"/>
                <w:sz w:val="24"/>
                <w:szCs w:val="24"/>
                <w:highlight w:val="none"/>
              </w:rPr>
              <w:t>名称</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57D523">
            <w:pPr>
              <w:adjustRightInd w:val="0"/>
              <w:snapToGrid w:val="0"/>
              <w:spacing w:line="360" w:lineRule="exact"/>
              <w:jc w:val="center"/>
              <w:rPr>
                <w:rFonts w:ascii="Times New Roman" w:hAnsi="Times New Roman" w:eastAsia="仿宋_GB2312"/>
                <w:b/>
                <w:color w:val="auto"/>
                <w:sz w:val="24"/>
                <w:szCs w:val="24"/>
                <w:highlight w:val="none"/>
              </w:rPr>
            </w:pPr>
            <w:r>
              <w:rPr>
                <w:rFonts w:ascii="Times New Roman" w:hAnsi="Times New Roman" w:eastAsia="仿宋_GB2312"/>
                <w:b/>
                <w:bCs/>
                <w:color w:val="auto"/>
                <w:sz w:val="24"/>
                <w:szCs w:val="24"/>
                <w:highlight w:val="none"/>
              </w:rPr>
              <w:t>内容规定</w:t>
            </w:r>
            <w:r>
              <w:rPr>
                <w:rFonts w:ascii="Times New Roman" w:hAnsi="Times New Roman" w:eastAsia="仿宋_GB2312"/>
                <w:b/>
                <w:color w:val="auto"/>
                <w:sz w:val="24"/>
                <w:szCs w:val="24"/>
                <w:highlight w:val="none"/>
              </w:rPr>
              <w:t xml:space="preserve"> </w:t>
            </w:r>
          </w:p>
        </w:tc>
      </w:tr>
      <w:tr w14:paraId="15F4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494" w:type="dxa"/>
            <w:vMerge w:val="restart"/>
            <w:tcBorders>
              <w:top w:val="single" w:color="auto" w:sz="4" w:space="0"/>
              <w:left w:val="single" w:color="auto" w:sz="4" w:space="0"/>
              <w:bottom w:val="single" w:color="auto" w:sz="4" w:space="0"/>
              <w:right w:val="single" w:color="auto" w:sz="4" w:space="0"/>
            </w:tcBorders>
            <w:vAlign w:val="center"/>
          </w:tcPr>
          <w:p w14:paraId="5C41E8A2">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p>
        </w:tc>
        <w:tc>
          <w:tcPr>
            <w:tcW w:w="13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819903">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项目概况</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C7AF89">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项目名称：</w:t>
            </w:r>
            <w:r>
              <w:rPr>
                <w:rFonts w:hint="eastAsia" w:ascii="Times New Roman" w:hAnsi="Times New Roman" w:eastAsia="仿宋_GB2312"/>
                <w:color w:val="auto"/>
                <w:sz w:val="24"/>
                <w:szCs w:val="24"/>
                <w:highlight w:val="none"/>
              </w:rPr>
              <w:t>市属单位2026年度通信链路服务租用项目</w:t>
            </w:r>
          </w:p>
          <w:p w14:paraId="79F94CF5">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项目编号：</w:t>
            </w:r>
            <w:r>
              <w:rPr>
                <w:rFonts w:hint="eastAsia" w:ascii="Times New Roman" w:hAnsi="Times New Roman" w:eastAsia="仿宋_GB2312"/>
                <w:color w:val="auto"/>
                <w:sz w:val="24"/>
                <w:szCs w:val="24"/>
                <w:highlight w:val="none"/>
              </w:rPr>
              <w:t>WZCG-ZCY202601019</w:t>
            </w:r>
          </w:p>
          <w:p w14:paraId="40189C6F">
            <w:pPr>
              <w:spacing w:line="400" w:lineRule="exact"/>
              <w:rPr>
                <w:rFonts w:eastAsia="仿宋_GB2312"/>
                <w:color w:val="auto"/>
                <w:highlight w:val="none"/>
              </w:rPr>
            </w:pPr>
            <w:r>
              <w:rPr>
                <w:rFonts w:hint="eastAsia" w:ascii="Times New Roman" w:hAnsi="Times New Roman" w:eastAsia="仿宋_GB2312"/>
                <w:color w:val="auto"/>
                <w:sz w:val="24"/>
                <w:szCs w:val="24"/>
                <w:highlight w:val="none"/>
              </w:rPr>
              <w:t>采购类别：□货物类 ☑服务类 □工程类</w:t>
            </w:r>
          </w:p>
        </w:tc>
      </w:tr>
      <w:tr w14:paraId="3472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4A3293D5">
            <w:pPr>
              <w:widowControl/>
              <w:jc w:val="left"/>
              <w:rPr>
                <w:rFonts w:ascii="Times New Roman" w:hAnsi="Times New Roman" w:eastAsia="仿宋_GB2312"/>
                <w:color w:val="auto"/>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087E1D5E">
            <w:pPr>
              <w:widowControl/>
              <w:jc w:val="left"/>
              <w:rPr>
                <w:rFonts w:ascii="Times New Roman" w:hAnsi="Times New Roman" w:eastAsia="仿宋_GB2312"/>
                <w:color w:val="auto"/>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4DB633">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项目总预算金额：</w:t>
            </w:r>
            <w:bookmarkStart w:id="42" w:name="EB7b86482036b04bcfa60f6fe59708a3e8"/>
            <w:r>
              <w:rPr>
                <w:rFonts w:hint="eastAsia" w:ascii="Times New Roman" w:hAnsi="Times New Roman" w:eastAsia="仿宋_GB2312"/>
                <w:color w:val="auto"/>
                <w:sz w:val="24"/>
                <w:szCs w:val="24"/>
                <w:highlight w:val="none"/>
              </w:rPr>
              <w:t>10,141,938.00</w:t>
            </w:r>
            <w:r>
              <w:rPr>
                <w:rFonts w:ascii="Times New Roman" w:hAnsi="Times New Roman" w:eastAsia="仿宋_GB2312"/>
                <w:color w:val="auto"/>
                <w:sz w:val="24"/>
                <w:szCs w:val="24"/>
                <w:highlight w:val="none"/>
              </w:rPr>
              <w:t>元；</w:t>
            </w:r>
          </w:p>
          <w:p w14:paraId="1460A935">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一标段：</w:t>
            </w:r>
            <w:bookmarkEnd w:id="42"/>
            <w:r>
              <w:rPr>
                <w:rFonts w:hint="eastAsia" w:ascii="Times New Roman" w:hAnsi="Times New Roman" w:eastAsia="仿宋_GB2312"/>
                <w:color w:val="auto"/>
                <w:sz w:val="24"/>
                <w:szCs w:val="24"/>
                <w:highlight w:val="none"/>
              </w:rPr>
              <w:t>市属单位主用有线链路租用服务项目</w:t>
            </w:r>
            <w:r>
              <w:rPr>
                <w:rFonts w:ascii="Times New Roman" w:hAnsi="Times New Roman" w:eastAsia="仿宋_GB2312"/>
                <w:color w:val="auto"/>
                <w:sz w:val="24"/>
                <w:szCs w:val="24"/>
                <w:highlight w:val="none"/>
              </w:rPr>
              <w:t>，预算金额：</w:t>
            </w:r>
            <w:r>
              <w:rPr>
                <w:rFonts w:hint="eastAsia" w:ascii="Times New Roman" w:hAnsi="Times New Roman" w:eastAsia="仿宋_GB2312"/>
                <w:color w:val="auto"/>
                <w:sz w:val="24"/>
                <w:szCs w:val="24"/>
                <w:highlight w:val="none"/>
              </w:rPr>
              <w:t>6,995,312.00</w:t>
            </w:r>
            <w:r>
              <w:rPr>
                <w:rFonts w:ascii="Times New Roman" w:hAnsi="Times New Roman" w:eastAsia="仿宋_GB2312"/>
                <w:color w:val="auto"/>
                <w:sz w:val="24"/>
                <w:szCs w:val="24"/>
                <w:highlight w:val="none"/>
              </w:rPr>
              <w:t>元，最高限价：</w:t>
            </w:r>
            <w:r>
              <w:rPr>
                <w:rFonts w:hint="eastAsia" w:ascii="Times New Roman" w:hAnsi="Times New Roman" w:eastAsia="仿宋_GB2312"/>
                <w:color w:val="auto"/>
                <w:sz w:val="24"/>
                <w:szCs w:val="24"/>
                <w:highlight w:val="none"/>
              </w:rPr>
              <w:t>6,995,312.00</w:t>
            </w:r>
            <w:r>
              <w:rPr>
                <w:rFonts w:ascii="Times New Roman" w:hAnsi="Times New Roman" w:eastAsia="仿宋_GB2312"/>
                <w:color w:val="auto"/>
                <w:sz w:val="24"/>
                <w:szCs w:val="24"/>
                <w:highlight w:val="none"/>
              </w:rPr>
              <w:t>元。</w:t>
            </w:r>
          </w:p>
          <w:p w14:paraId="71B26968">
            <w:pPr>
              <w:adjustRightInd w:val="0"/>
              <w:snapToGrid w:val="0"/>
              <w:spacing w:line="340" w:lineRule="exact"/>
              <w:rPr>
                <w:rFonts w:eastAsia="仿宋_GB2312"/>
                <w:color w:val="auto"/>
                <w:sz w:val="24"/>
                <w:szCs w:val="24"/>
                <w:highlight w:val="none"/>
              </w:rPr>
            </w:pPr>
            <w:r>
              <w:rPr>
                <w:rFonts w:ascii="Times New Roman" w:hAnsi="Times New Roman" w:eastAsia="仿宋_GB2312"/>
                <w:color w:val="auto"/>
                <w:sz w:val="24"/>
                <w:szCs w:val="24"/>
                <w:highlight w:val="none"/>
              </w:rPr>
              <w:t>标段编号：</w:t>
            </w:r>
            <w:r>
              <w:rPr>
                <w:rFonts w:hint="eastAsia" w:ascii="Times New Roman" w:hAnsi="Times New Roman" w:eastAsia="仿宋_GB2312"/>
                <w:color w:val="auto"/>
                <w:sz w:val="24"/>
                <w:szCs w:val="24"/>
                <w:highlight w:val="none"/>
              </w:rPr>
              <w:t>WZCG-ZCY202601019</w:t>
            </w:r>
            <w:r>
              <w:rPr>
                <w:rFonts w:ascii="Times New Roman" w:hAnsi="Times New Roman" w:eastAsia="仿宋_GB2312"/>
                <w:color w:val="auto"/>
                <w:sz w:val="24"/>
                <w:szCs w:val="24"/>
                <w:highlight w:val="none"/>
              </w:rPr>
              <w:t>-1</w:t>
            </w:r>
          </w:p>
          <w:p w14:paraId="74B0A5EE">
            <w:pPr>
              <w:adjustRightInd w:val="0"/>
              <w:snapToGrid w:val="0"/>
              <w:spacing w:line="340" w:lineRule="exact"/>
              <w:rPr>
                <w:rFonts w:ascii="Times New Roman" w:hAnsi="Times New Roman" w:eastAsia="仿宋_GB2312"/>
                <w:color w:val="auto"/>
                <w:sz w:val="24"/>
                <w:szCs w:val="24"/>
                <w:highlight w:val="none"/>
              </w:rPr>
            </w:pPr>
            <w:r>
              <w:rPr>
                <w:rFonts w:hint="eastAsia" w:eastAsia="仿宋_GB2312"/>
                <w:color w:val="auto"/>
                <w:sz w:val="24"/>
                <w:szCs w:val="24"/>
                <w:highlight w:val="none"/>
              </w:rPr>
              <w:t>二标段：</w:t>
            </w:r>
            <w:r>
              <w:rPr>
                <w:rFonts w:hint="eastAsia" w:ascii="Times New Roman" w:hAnsi="Times New Roman" w:eastAsia="仿宋_GB2312"/>
                <w:color w:val="auto"/>
                <w:sz w:val="24"/>
                <w:szCs w:val="24"/>
                <w:highlight w:val="none"/>
              </w:rPr>
              <w:t>市属单位备用有线链路及固网通信服务租用服务项目</w:t>
            </w:r>
            <w:r>
              <w:rPr>
                <w:rFonts w:hint="eastAsia" w:eastAsia="仿宋_GB2312"/>
                <w:color w:val="auto"/>
                <w:sz w:val="24"/>
                <w:szCs w:val="24"/>
                <w:highlight w:val="none"/>
              </w:rPr>
              <w:t>，</w:t>
            </w:r>
            <w:r>
              <w:rPr>
                <w:rFonts w:ascii="Times New Roman" w:hAnsi="Times New Roman" w:eastAsia="仿宋_GB2312"/>
                <w:color w:val="auto"/>
                <w:sz w:val="24"/>
                <w:szCs w:val="24"/>
                <w:highlight w:val="none"/>
              </w:rPr>
              <w:t>预算金额：</w:t>
            </w:r>
            <w:r>
              <w:rPr>
                <w:rFonts w:hint="eastAsia" w:ascii="Times New Roman" w:hAnsi="Times New Roman" w:eastAsia="仿宋_GB2312"/>
                <w:color w:val="auto"/>
                <w:sz w:val="24"/>
                <w:szCs w:val="24"/>
                <w:highlight w:val="none"/>
              </w:rPr>
              <w:t>2,606,626.00</w:t>
            </w:r>
            <w:r>
              <w:rPr>
                <w:rFonts w:ascii="Times New Roman" w:hAnsi="Times New Roman" w:eastAsia="仿宋_GB2312"/>
                <w:color w:val="auto"/>
                <w:sz w:val="24"/>
                <w:szCs w:val="24"/>
                <w:highlight w:val="none"/>
              </w:rPr>
              <w:t>元，最高限价：</w:t>
            </w:r>
            <w:r>
              <w:rPr>
                <w:rFonts w:hint="eastAsia" w:ascii="Times New Roman" w:hAnsi="Times New Roman" w:eastAsia="仿宋_GB2312"/>
                <w:color w:val="auto"/>
                <w:sz w:val="24"/>
                <w:szCs w:val="24"/>
                <w:highlight w:val="none"/>
              </w:rPr>
              <w:t>2,606,626.00</w:t>
            </w:r>
            <w:r>
              <w:rPr>
                <w:rFonts w:ascii="Times New Roman" w:hAnsi="Times New Roman" w:eastAsia="仿宋_GB2312"/>
                <w:color w:val="auto"/>
                <w:sz w:val="24"/>
                <w:szCs w:val="24"/>
                <w:highlight w:val="none"/>
              </w:rPr>
              <w:t>元。</w:t>
            </w:r>
          </w:p>
          <w:p w14:paraId="3921C033">
            <w:pPr>
              <w:adjustRightInd w:val="0"/>
              <w:snapToGrid w:val="0"/>
              <w:spacing w:line="340" w:lineRule="exact"/>
              <w:rPr>
                <w:color w:val="auto"/>
                <w:highlight w:val="none"/>
              </w:rPr>
            </w:pPr>
            <w:r>
              <w:rPr>
                <w:rFonts w:ascii="Times New Roman" w:hAnsi="Times New Roman" w:eastAsia="仿宋_GB2312"/>
                <w:color w:val="auto"/>
                <w:sz w:val="24"/>
                <w:szCs w:val="24"/>
                <w:highlight w:val="none"/>
              </w:rPr>
              <w:t>标段编号：</w:t>
            </w:r>
            <w:r>
              <w:rPr>
                <w:rFonts w:hint="eastAsia" w:ascii="Times New Roman" w:hAnsi="Times New Roman" w:eastAsia="仿宋_GB2312"/>
                <w:color w:val="auto"/>
                <w:sz w:val="24"/>
                <w:szCs w:val="24"/>
                <w:highlight w:val="none"/>
              </w:rPr>
              <w:t>WZCG-ZCY202601019</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2</w:t>
            </w:r>
          </w:p>
          <w:p w14:paraId="107B2667">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三标段：市属单位物联网数据卡服务租用项目，</w:t>
            </w:r>
            <w:r>
              <w:rPr>
                <w:rFonts w:ascii="Times New Roman" w:hAnsi="Times New Roman" w:eastAsia="仿宋_GB2312"/>
                <w:color w:val="auto"/>
                <w:sz w:val="24"/>
                <w:szCs w:val="24"/>
                <w:highlight w:val="none"/>
              </w:rPr>
              <w:t>预算金额：</w:t>
            </w:r>
            <w:r>
              <w:rPr>
                <w:rFonts w:hint="eastAsia" w:ascii="Times New Roman" w:hAnsi="Times New Roman" w:eastAsia="仿宋_GB2312"/>
                <w:color w:val="auto"/>
                <w:sz w:val="24"/>
                <w:szCs w:val="24"/>
                <w:highlight w:val="none"/>
              </w:rPr>
              <w:t>540,000.00</w:t>
            </w:r>
            <w:r>
              <w:rPr>
                <w:rFonts w:ascii="Times New Roman" w:hAnsi="Times New Roman" w:eastAsia="仿宋_GB2312"/>
                <w:color w:val="auto"/>
                <w:sz w:val="24"/>
                <w:szCs w:val="24"/>
                <w:highlight w:val="none"/>
              </w:rPr>
              <w:t>元，最高限价：</w:t>
            </w:r>
            <w:r>
              <w:rPr>
                <w:rFonts w:hint="eastAsia" w:ascii="Times New Roman" w:hAnsi="Times New Roman" w:eastAsia="仿宋_GB2312"/>
                <w:color w:val="auto"/>
                <w:sz w:val="24"/>
                <w:szCs w:val="24"/>
                <w:highlight w:val="none"/>
              </w:rPr>
              <w:t>540,000.00</w:t>
            </w:r>
            <w:r>
              <w:rPr>
                <w:rFonts w:ascii="Times New Roman" w:hAnsi="Times New Roman" w:eastAsia="仿宋_GB2312"/>
                <w:color w:val="auto"/>
                <w:sz w:val="24"/>
                <w:szCs w:val="24"/>
                <w:highlight w:val="none"/>
              </w:rPr>
              <w:t>元。</w:t>
            </w:r>
          </w:p>
          <w:p w14:paraId="789604E6">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标段编号：</w:t>
            </w:r>
            <w:r>
              <w:rPr>
                <w:rFonts w:hint="eastAsia" w:ascii="Times New Roman" w:hAnsi="Times New Roman" w:eastAsia="仿宋_GB2312"/>
                <w:color w:val="auto"/>
                <w:sz w:val="24"/>
                <w:szCs w:val="24"/>
                <w:highlight w:val="none"/>
              </w:rPr>
              <w:t>WZCG-ZCY202601019</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p>
        </w:tc>
      </w:tr>
      <w:tr w14:paraId="1FD0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1053D804">
            <w:pPr>
              <w:widowControl/>
              <w:jc w:val="left"/>
              <w:rPr>
                <w:rFonts w:ascii="Times New Roman" w:hAnsi="Times New Roman" w:eastAsia="仿宋_GB2312"/>
                <w:color w:val="auto"/>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253EAB0F">
            <w:pPr>
              <w:widowControl/>
              <w:jc w:val="left"/>
              <w:rPr>
                <w:rFonts w:ascii="Times New Roman" w:hAnsi="Times New Roman" w:eastAsia="仿宋_GB2312"/>
                <w:color w:val="auto"/>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27789D">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采购人：</w:t>
            </w:r>
            <w:r>
              <w:rPr>
                <w:rFonts w:hint="eastAsia" w:ascii="Times New Roman" w:hAnsi="Times New Roman" w:eastAsia="仿宋_GB2312"/>
                <w:color w:val="auto"/>
                <w:sz w:val="24"/>
                <w:szCs w:val="24"/>
                <w:highlight w:val="none"/>
              </w:rPr>
              <w:t>市属单位</w:t>
            </w:r>
          </w:p>
        </w:tc>
      </w:tr>
      <w:tr w14:paraId="0F58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89D3EC7">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86E3B1">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集中采购机构</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AFF173">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执行组织：乌鲁木齐市公共资源交易中心（乌鲁木齐市政府采购中心）</w:t>
            </w:r>
          </w:p>
          <w:p w14:paraId="63B04DC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咨询组织：乌鲁木齐市公共资源交易中心（乌鲁木齐市政府采购中心）</w:t>
            </w:r>
          </w:p>
          <w:p w14:paraId="5C3D14FE">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地址：乌鲁木齐市水磨沟区准噶尔街299号益民大厦A座5层</w:t>
            </w:r>
          </w:p>
          <w:p w14:paraId="0044D47A">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联系人： </w:t>
            </w:r>
            <w:r>
              <w:rPr>
                <w:rFonts w:hint="eastAsia" w:ascii="Times New Roman" w:hAnsi="Times New Roman" w:eastAsia="仿宋_GB2312"/>
                <w:color w:val="auto"/>
                <w:sz w:val="24"/>
                <w:szCs w:val="24"/>
                <w:highlight w:val="none"/>
              </w:rPr>
              <w:t>朱鹤婷</w:t>
            </w:r>
          </w:p>
          <w:p w14:paraId="58D11991">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联系电话：0991-</w:t>
            </w:r>
            <w:r>
              <w:rPr>
                <w:rFonts w:hint="eastAsia" w:ascii="Times New Roman" w:hAnsi="Times New Roman" w:eastAsia="仿宋_GB2312"/>
                <w:color w:val="auto"/>
                <w:sz w:val="24"/>
                <w:szCs w:val="24"/>
                <w:highlight w:val="none"/>
              </w:rPr>
              <w:t>4184153</w:t>
            </w:r>
          </w:p>
        </w:tc>
      </w:tr>
      <w:tr w14:paraId="5567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1FE2658">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8BAB6D">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代理费支付方式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02A55B">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☑无需支付</w:t>
            </w:r>
          </w:p>
          <w:p w14:paraId="773A3B45">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□采购人支付</w:t>
            </w:r>
          </w:p>
          <w:p w14:paraId="56FFBBC6">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□供应商支付</w:t>
            </w:r>
          </w:p>
          <w:p w14:paraId="1508A618">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□其他</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p>
        </w:tc>
      </w:tr>
      <w:tr w14:paraId="1A41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2907916">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1E5D4C">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投标保证金</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8AF526">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1.金额：</w:t>
            </w:r>
          </w:p>
          <w:p w14:paraId="4E8C765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免收</w:t>
            </w:r>
          </w:p>
          <w:p w14:paraId="4D90B6D2">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预算金额的</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w:t>
            </w:r>
          </w:p>
          <w:p w14:paraId="0580848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定额收取：人民币</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元。</w:t>
            </w:r>
          </w:p>
          <w:p w14:paraId="16616617">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2.支付方式：</w:t>
            </w:r>
          </w:p>
          <w:p w14:paraId="3A21674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投标人可自主选择以支票、汇票、本票、电汇、转账、网银、保函等非现金形式缴纳或提交保证金。</w:t>
            </w:r>
          </w:p>
          <w:p w14:paraId="516D4074">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3.收取单位：                            </w:t>
            </w:r>
          </w:p>
          <w:p w14:paraId="5E0A23D7">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4.收取账号：              </w:t>
            </w:r>
          </w:p>
          <w:p w14:paraId="4789D2E6">
            <w:pPr>
              <w:adjustRightInd w:val="0"/>
              <w:snapToGrid w:val="0"/>
              <w:spacing w:line="340" w:lineRule="exact"/>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注意事项：</w:t>
            </w:r>
          </w:p>
          <w:p w14:paraId="3BC44AB3">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1.以上各类机构出具的以担保函、保证保险承担责任的方式均须满足无条件见索即付条件。</w:t>
            </w:r>
          </w:p>
          <w:p w14:paraId="7322788A">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2.以担保函、保证保险形式缴纳投标保证金的，受益人和收取单位须为采购人。</w:t>
            </w:r>
          </w:p>
        </w:tc>
      </w:tr>
      <w:tr w14:paraId="6D4F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6B2755">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580479">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答疑会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292363">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☑组织</w:t>
            </w:r>
          </w:p>
          <w:p w14:paraId="3352732D">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□不组织</w:t>
            </w:r>
          </w:p>
          <w:p w14:paraId="4C3A7C6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答疑会时间：</w:t>
            </w:r>
            <w:bookmarkStart w:id="43" w:name="EBc8425bf2d57f42599e733455a04f72a5"/>
            <w:r>
              <w:rPr>
                <w:rFonts w:hint="eastAsia" w:ascii="Times New Roman" w:hAnsi="Times New Roman" w:eastAsia="仿宋_GB2312"/>
                <w:color w:val="auto"/>
                <w:sz w:val="24"/>
                <w:szCs w:val="24"/>
                <w:highlight w:val="none"/>
              </w:rPr>
              <w:t>202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年0</w:t>
            </w:r>
            <w:r>
              <w:rPr>
                <w:rFonts w:hint="eastAsia" w:ascii="Times New Roman" w:hAnsi="Times New Roman" w:eastAsia="仿宋_GB2312"/>
                <w:color w:val="auto"/>
                <w:sz w:val="24"/>
                <w:szCs w:val="24"/>
                <w:highlight w:val="none"/>
                <w:lang w:val="en-US" w:eastAsia="zh-CN"/>
              </w:rPr>
              <w:t>4</w:t>
            </w:r>
            <w:r>
              <w:rPr>
                <w:rFonts w:ascii="Times New Roman" w:hAnsi="Times New Roman" w:eastAsia="仿宋_GB2312"/>
                <w:color w:val="auto"/>
                <w:sz w:val="24"/>
                <w:szCs w:val="24"/>
                <w:highlight w:val="none"/>
              </w:rPr>
              <w:t>月</w:t>
            </w:r>
            <w:r>
              <w:rPr>
                <w:rFonts w:hint="eastAsia" w:ascii="Times New Roman" w:hAnsi="Times New Roman" w:eastAsia="仿宋_GB2312"/>
                <w:color w:val="auto"/>
                <w:sz w:val="24"/>
                <w:szCs w:val="24"/>
                <w:highlight w:val="none"/>
                <w:lang w:val="en-US" w:eastAsia="zh-CN"/>
              </w:rPr>
              <w:t>30</w:t>
            </w:r>
            <w:r>
              <w:rPr>
                <w:rFonts w:ascii="Times New Roman" w:hAnsi="Times New Roman" w:eastAsia="仿宋_GB2312"/>
                <w:color w:val="auto"/>
                <w:sz w:val="24"/>
                <w:szCs w:val="24"/>
                <w:highlight w:val="none"/>
              </w:rPr>
              <w:t>日 16</w:t>
            </w:r>
            <w:bookmarkEnd w:id="43"/>
            <w:r>
              <w:rPr>
                <w:rFonts w:hint="eastAsia" w:ascii="Times New Roman" w:hAnsi="Times New Roman" w:eastAsia="仿宋_GB2312"/>
                <w:color w:val="auto"/>
                <w:sz w:val="24"/>
                <w:szCs w:val="24"/>
                <w:highlight w:val="none"/>
                <w:lang w:val="en-US" w:eastAsia="zh-CN"/>
              </w:rPr>
              <w:t>:00</w:t>
            </w:r>
            <w:r>
              <w:rPr>
                <w:rFonts w:ascii="Times New Roman" w:hAnsi="Times New Roman" w:eastAsia="仿宋_GB2312"/>
                <w:color w:val="auto"/>
                <w:sz w:val="24"/>
                <w:szCs w:val="24"/>
                <w:highlight w:val="none"/>
              </w:rPr>
              <w:t>。</w:t>
            </w:r>
          </w:p>
          <w:p w14:paraId="609286E1">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答疑会地点：乌鲁木齐市准噶尔街299号乌鲁木齐市公共资源交易中心（乌鲁木齐市政府采购中心）</w:t>
            </w:r>
            <w:bookmarkStart w:id="44" w:name="EB9a0b777070334fd5ad2978c67efe32a2"/>
            <w:r>
              <w:rPr>
                <w:rFonts w:ascii="Times New Roman" w:hAnsi="Times New Roman" w:eastAsia="仿宋_GB2312"/>
                <w:color w:val="auto"/>
                <w:sz w:val="24"/>
                <w:szCs w:val="24"/>
                <w:highlight w:val="none"/>
              </w:rPr>
              <w:t>开标室</w:t>
            </w:r>
            <w:bookmarkEnd w:id="44"/>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w:t>
            </w:r>
          </w:p>
          <w:p w14:paraId="594EE56C">
            <w:pPr>
              <w:adjustRightInd w:val="0"/>
              <w:snapToGrid w:val="0"/>
              <w:spacing w:line="340" w:lineRule="exact"/>
              <w:rPr>
                <w:color w:val="auto"/>
                <w:highlight w:val="none"/>
              </w:rPr>
            </w:pPr>
            <w:bookmarkStart w:id="45" w:name="EBde82ba7371184acea334afb1d0c489e4"/>
            <w:r>
              <w:rPr>
                <w:rFonts w:ascii="Times New Roman" w:hAnsi="Times New Roman" w:eastAsia="仿宋_GB2312"/>
                <w:color w:val="auto"/>
                <w:sz w:val="24"/>
                <w:szCs w:val="24"/>
                <w:highlight w:val="none"/>
              </w:rPr>
              <w:t>供应商在收到招标文件后，若有疑问需要澄清的，应于标前答疑会上以书面形式(加盖公章)向交易中心提出，交易中心将以招标文件补充形式予以解答，并在新疆政府采购网上予以公布。</w:t>
            </w:r>
            <w:bookmarkEnd w:id="45"/>
          </w:p>
        </w:tc>
      </w:tr>
      <w:tr w14:paraId="6285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531989C">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2E4DA1">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开标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8392B0">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时间：</w:t>
            </w:r>
            <w:bookmarkStart w:id="46" w:name="EB80da1a6663d145c3a77179f1494cf52b"/>
            <w:r>
              <w:rPr>
                <w:rFonts w:hint="eastAsia" w:ascii="Times New Roman" w:hAnsi="Times New Roman" w:eastAsia="仿宋_GB2312"/>
                <w:color w:val="auto"/>
                <w:sz w:val="24"/>
                <w:szCs w:val="24"/>
                <w:highlight w:val="none"/>
              </w:rPr>
              <w:t>202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年0</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月</w:t>
            </w:r>
            <w:r>
              <w:rPr>
                <w:rFonts w:hint="eastAsia" w:ascii="Times New Roman" w:hAnsi="Times New Roman" w:eastAsia="仿宋_GB2312"/>
                <w:color w:val="auto"/>
                <w:sz w:val="24"/>
                <w:szCs w:val="24"/>
                <w:highlight w:val="none"/>
                <w:lang w:val="en-US" w:eastAsia="zh-CN"/>
              </w:rPr>
              <w:t>19</w:t>
            </w:r>
            <w:r>
              <w:rPr>
                <w:rFonts w:ascii="Times New Roman" w:hAnsi="Times New Roman" w:eastAsia="仿宋_GB2312"/>
                <w:color w:val="auto"/>
                <w:sz w:val="24"/>
                <w:szCs w:val="24"/>
                <w:highlight w:val="none"/>
              </w:rPr>
              <w:t>日 11：00</w:t>
            </w:r>
            <w:bookmarkEnd w:id="46"/>
          </w:p>
          <w:p w14:paraId="39E6F309">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地点：网上开评标大厅</w:t>
            </w:r>
          </w:p>
          <w:p w14:paraId="773A5352">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投标截止时间：</w:t>
            </w:r>
            <w:r>
              <w:rPr>
                <w:rFonts w:hint="eastAsia" w:ascii="Times New Roman" w:hAnsi="Times New Roman" w:eastAsia="仿宋_GB2312"/>
                <w:color w:val="auto"/>
                <w:sz w:val="24"/>
                <w:szCs w:val="24"/>
                <w:highlight w:val="none"/>
              </w:rPr>
              <w:t>202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年0</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月</w:t>
            </w:r>
            <w:r>
              <w:rPr>
                <w:rFonts w:hint="eastAsia" w:ascii="Times New Roman" w:hAnsi="Times New Roman" w:eastAsia="仿宋_GB2312"/>
                <w:color w:val="auto"/>
                <w:sz w:val="24"/>
                <w:szCs w:val="24"/>
                <w:highlight w:val="none"/>
                <w:lang w:val="en-US" w:eastAsia="zh-CN"/>
              </w:rPr>
              <w:t>19</w:t>
            </w:r>
            <w:r>
              <w:rPr>
                <w:rFonts w:ascii="Times New Roman" w:hAnsi="Times New Roman" w:eastAsia="仿宋_GB2312"/>
                <w:color w:val="auto"/>
                <w:sz w:val="24"/>
                <w:szCs w:val="24"/>
                <w:highlight w:val="none"/>
              </w:rPr>
              <w:t>日 11：00</w:t>
            </w:r>
          </w:p>
          <w:p w14:paraId="2F781BF5">
            <w:pPr>
              <w:pStyle w:val="22"/>
              <w:rPr>
                <w:color w:val="auto"/>
                <w:highlight w:val="none"/>
              </w:rPr>
            </w:pPr>
            <w:r>
              <w:rPr>
                <w:rFonts w:ascii="Times New Roman" w:hAnsi="Times New Roman" w:eastAsia="仿宋_GB2312"/>
                <w:color w:val="auto"/>
                <w:sz w:val="24"/>
                <w:szCs w:val="24"/>
                <w:highlight w:val="none"/>
              </w:rPr>
              <w:t>投标人登录政采云平台https://www.zcygov.cn/，进入项目采购-开标评标-右边选择对应项目点击“进入项目”进入开标大厅。</w:t>
            </w:r>
          </w:p>
        </w:tc>
      </w:tr>
      <w:tr w14:paraId="2C48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6ABCDA3">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AC591D">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开标方式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A1262D">
            <w:p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现场开标</w:t>
            </w:r>
          </w:p>
          <w:p w14:paraId="5F98E29D">
            <w:pPr>
              <w:rPr>
                <w:rFonts w:ascii="Times New Roman" w:hAnsi="Times New Roman"/>
                <w:color w:val="auto"/>
                <w:highlight w:val="none"/>
              </w:rPr>
            </w:pPr>
            <w:r>
              <w:rPr>
                <w:rFonts w:ascii="Times New Roman" w:hAnsi="Times New Roman" w:eastAsia="仿宋_GB2312"/>
                <w:color w:val="auto"/>
                <w:sz w:val="24"/>
                <w:szCs w:val="24"/>
                <w:highlight w:val="none"/>
              </w:rPr>
              <w:t>☑网上不见面开标（投标人无需到交易中心开标厅）</w:t>
            </w:r>
          </w:p>
        </w:tc>
      </w:tr>
      <w:tr w14:paraId="4098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F0175B2">
            <w:pPr>
              <w:adjustRightInd w:val="0"/>
              <w:snapToGrid w:val="0"/>
              <w:spacing w:line="360" w:lineRule="exact"/>
              <w:jc w:val="center"/>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8</w:t>
            </w:r>
          </w:p>
        </w:tc>
        <w:tc>
          <w:tcPr>
            <w:tcW w:w="1316" w:type="dxa"/>
            <w:tcBorders>
              <w:top w:val="single" w:color="auto" w:sz="4" w:space="0"/>
              <w:left w:val="single" w:color="auto" w:sz="4" w:space="0"/>
              <w:bottom w:val="single" w:color="auto" w:sz="4" w:space="0"/>
              <w:right w:val="single" w:color="auto" w:sz="4" w:space="0"/>
            </w:tcBorders>
            <w:vAlign w:val="center"/>
          </w:tcPr>
          <w:p w14:paraId="06A15896">
            <w:pPr>
              <w:adjustRightInd w:val="0"/>
              <w:snapToGrid w:val="0"/>
              <w:spacing w:line="340" w:lineRule="exact"/>
              <w:jc w:val="center"/>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电子投标文件解密方式及要求</w:t>
            </w:r>
          </w:p>
        </w:tc>
        <w:tc>
          <w:tcPr>
            <w:tcW w:w="7811" w:type="dxa"/>
            <w:tcBorders>
              <w:top w:val="single" w:color="auto" w:sz="4" w:space="0"/>
              <w:left w:val="single" w:color="auto" w:sz="4" w:space="0"/>
              <w:bottom w:val="single" w:color="auto" w:sz="4" w:space="0"/>
              <w:right w:val="single" w:color="auto" w:sz="4" w:space="0"/>
            </w:tcBorders>
            <w:vAlign w:val="center"/>
          </w:tcPr>
          <w:p w14:paraId="566C697C">
            <w:pPr>
              <w:adjustRightInd w:val="0"/>
              <w:snapToGrid w:val="0"/>
              <w:spacing w:line="340" w:lineRule="exact"/>
              <w:ind w:left="105" w:left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投标人使用CA数字证书登录系统进行解密，由于自身原因导致解密失败的，将视为撤销其投标文件，投标无效。</w:t>
            </w:r>
          </w:p>
          <w:p w14:paraId="59B60C91">
            <w:pPr>
              <w:keepNext/>
              <w:keepLines/>
              <w:spacing w:line="380" w:lineRule="exact"/>
              <w:jc w:val="left"/>
              <w:outlineLvl w:val="3"/>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解密时长：30分钟</w:t>
            </w:r>
          </w:p>
        </w:tc>
      </w:tr>
      <w:tr w14:paraId="423D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7BD03AC">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9F3AED">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投标有效期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6E2D8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自提交</w:t>
            </w:r>
            <w:r>
              <w:rPr>
                <w:rFonts w:ascii="Times New Roman" w:hAnsi="Times New Roman" w:eastAsia="仿宋_GB2312"/>
                <w:bCs/>
                <w:color w:val="auto"/>
                <w:sz w:val="24"/>
                <w:szCs w:val="24"/>
                <w:highlight w:val="none"/>
              </w:rPr>
              <w:t>投标文件</w:t>
            </w:r>
            <w:r>
              <w:rPr>
                <w:rFonts w:ascii="Times New Roman" w:hAnsi="Times New Roman" w:eastAsia="仿宋_GB2312"/>
                <w:color w:val="auto"/>
                <w:sz w:val="24"/>
                <w:szCs w:val="24"/>
                <w:highlight w:val="none"/>
              </w:rPr>
              <w:t>的截止之日起</w:t>
            </w:r>
            <w:bookmarkStart w:id="47" w:name="EBb5a48dd81e9f4f258d5dcb1a28658539"/>
            <w:r>
              <w:rPr>
                <w:rFonts w:ascii="Times New Roman" w:hAnsi="Times New Roman" w:eastAsia="仿宋_GB2312"/>
                <w:color w:val="auto"/>
                <w:sz w:val="24"/>
                <w:szCs w:val="24"/>
                <w:highlight w:val="none"/>
              </w:rPr>
              <w:t>90</w:t>
            </w:r>
            <w:bookmarkEnd w:id="47"/>
            <w:r>
              <w:rPr>
                <w:rFonts w:ascii="Times New Roman" w:hAnsi="Times New Roman" w:eastAsia="仿宋_GB2312"/>
                <w:color w:val="auto"/>
                <w:sz w:val="24"/>
                <w:szCs w:val="24"/>
                <w:highlight w:val="none"/>
              </w:rPr>
              <w:t>日。</w:t>
            </w:r>
          </w:p>
        </w:tc>
      </w:tr>
      <w:tr w14:paraId="6123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76FF4C0">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349E53">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评标方法</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E75975">
            <w:pPr>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☑综合评分法</w:t>
            </w:r>
          </w:p>
          <w:p w14:paraId="06E27ED0">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使用综合评分法时，是否为</w:t>
            </w:r>
            <w:r>
              <w:rPr>
                <w:rFonts w:ascii="Times New Roman" w:hAnsi="Times New Roman" w:eastAsia="仿宋_GB2312"/>
                <w:color w:val="auto"/>
                <w:sz w:val="24"/>
                <w:szCs w:val="24"/>
                <w:highlight w:val="none"/>
              </w:rPr>
              <w:t>单一产品采购</w:t>
            </w:r>
            <w:r>
              <w:rPr>
                <w:rFonts w:hint="eastAsia" w:ascii="Times New Roman" w:hAnsi="Times New Roman" w:eastAsia="仿宋_GB2312"/>
                <w:color w:val="auto"/>
                <w:sz w:val="24"/>
                <w:szCs w:val="24"/>
                <w:highlight w:val="none"/>
              </w:rPr>
              <w:t>：</w:t>
            </w:r>
          </w:p>
          <w:p w14:paraId="0E227764">
            <w:pPr>
              <w:adjustRightInd w:val="0"/>
              <w:snapToGrid w:val="0"/>
              <w:spacing w:line="340" w:lineRule="exact"/>
              <w:ind w:firstLine="240" w:firstLineChars="1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是</w:t>
            </w:r>
            <w:r>
              <w:rPr>
                <w:rFonts w:hint="eastAsia" w:ascii="Times New Roman" w:hAnsi="Times New Roman" w:eastAsia="仿宋_GB2312"/>
                <w:color w:val="auto"/>
                <w:sz w:val="24"/>
                <w:szCs w:val="24"/>
                <w:highlight w:val="none"/>
              </w:rPr>
              <w:t xml:space="preserve"> 产品名称：</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w:t>
            </w:r>
            <w:r>
              <w:rPr>
                <w:rFonts w:ascii="Times New Roman" w:hAnsi="Times New Roman" w:eastAsia="仿宋_GB2312"/>
                <w:color w:val="auto"/>
                <w:sz w:val="24"/>
                <w:szCs w:val="24"/>
                <w:highlight w:val="none"/>
                <w:u w:val="single"/>
              </w:rPr>
              <w:t xml:space="preserve">    </w:t>
            </w:r>
          </w:p>
          <w:p w14:paraId="315BF998">
            <w:pPr>
              <w:spacing w:line="400" w:lineRule="exact"/>
              <w:ind w:firstLine="240" w:firstLineChars="1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☑否</w:t>
            </w:r>
            <w:r>
              <w:rPr>
                <w:rFonts w:hint="eastAsia" w:ascii="Times New Roman" w:hAnsi="Times New Roman" w:eastAsia="仿宋_GB2312"/>
                <w:color w:val="auto"/>
                <w:sz w:val="24"/>
                <w:szCs w:val="24"/>
                <w:highlight w:val="none"/>
              </w:rPr>
              <w:t xml:space="preserve"> 核心产品名称：</w:t>
            </w:r>
            <w:r>
              <w:rPr>
                <w:rFonts w:hint="eastAsia" w:ascii="Times New Roman" w:hAnsi="Times New Roman" w:eastAsia="仿宋_GB2312"/>
                <w:color w:val="auto"/>
                <w:sz w:val="24"/>
                <w:szCs w:val="24"/>
                <w:highlight w:val="none"/>
                <w:u w:val="single"/>
              </w:rPr>
              <w:t>/</w:t>
            </w:r>
            <w:r>
              <w:rPr>
                <w:rFonts w:ascii="Times New Roman" w:hAnsi="Times New Roman" w:eastAsia="仿宋_GB2312"/>
                <w:color w:val="auto"/>
                <w:sz w:val="24"/>
                <w:szCs w:val="24"/>
                <w:highlight w:val="none"/>
                <w:u w:val="single"/>
              </w:rPr>
              <w:t xml:space="preserve">   </w:t>
            </w:r>
          </w:p>
          <w:p w14:paraId="40FBE0F0">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最低评标价法</w:t>
            </w:r>
          </w:p>
        </w:tc>
      </w:tr>
      <w:tr w14:paraId="293D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56BB2DC">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9C8B89">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评审方式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AE6E8E">
            <w:pPr>
              <w:spacing w:line="400" w:lineRule="exact"/>
              <w:rPr>
                <w:rFonts w:ascii="Times New Roman" w:hAnsi="Times New Roman" w:eastAsia="仿宋_GB2312"/>
                <w:color w:val="auto"/>
                <w:sz w:val="24"/>
                <w:szCs w:val="24"/>
                <w:highlight w:val="none"/>
              </w:rPr>
            </w:pPr>
            <w:bookmarkStart w:id="48" w:name="EB6390e1a875a6456ea470e11a2e4b3fc4"/>
            <w:r>
              <w:rPr>
                <w:rFonts w:ascii="Times New Roman" w:hAnsi="Times New Roman" w:eastAsia="仿宋_GB2312"/>
                <w:color w:val="auto"/>
                <w:sz w:val="24"/>
                <w:szCs w:val="24"/>
                <w:highlight w:val="none"/>
              </w:rPr>
              <w:t>☑明标</w:t>
            </w:r>
          </w:p>
          <w:p w14:paraId="797EF169">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暗标（编制投标文件时商务技术文件中请勿出现投标人名称、签章等任何标识或暗示投标人单位名称或人员姓名的标记。）</w:t>
            </w:r>
            <w:bookmarkEnd w:id="48"/>
          </w:p>
        </w:tc>
      </w:tr>
      <w:tr w14:paraId="0396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8FB2A77">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A4A707">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是否可以</w:t>
            </w:r>
          </w:p>
          <w:p w14:paraId="77AE748B">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兼</w:t>
            </w:r>
            <w:r>
              <w:rPr>
                <w:rFonts w:hint="eastAsia" w:ascii="Times New Roman" w:hAnsi="Times New Roman" w:eastAsia="仿宋_GB2312"/>
                <w:color w:val="auto"/>
                <w:sz w:val="24"/>
                <w:szCs w:val="24"/>
                <w:highlight w:val="none"/>
              </w:rPr>
              <w:t>投</w:t>
            </w:r>
            <w:r>
              <w:rPr>
                <w:rFonts w:ascii="Times New Roman" w:hAnsi="Times New Roman" w:eastAsia="仿宋_GB2312"/>
                <w:color w:val="auto"/>
                <w:sz w:val="24"/>
                <w:szCs w:val="24"/>
                <w:highlight w:val="none"/>
              </w:rPr>
              <w:t>兼</w:t>
            </w:r>
            <w:r>
              <w:rPr>
                <w:rFonts w:hint="eastAsia" w:ascii="Times New Roman" w:hAnsi="Times New Roman" w:eastAsia="仿宋_GB2312"/>
                <w:color w:val="auto"/>
                <w:sz w:val="24"/>
                <w:szCs w:val="24"/>
                <w:highlight w:val="none"/>
              </w:rPr>
              <w:t>中</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79144E">
            <w:pPr>
              <w:adjustRightInd w:val="0"/>
              <w:snapToGrid w:val="0"/>
              <w:spacing w:line="340" w:lineRule="exact"/>
              <w:rPr>
                <w:rFonts w:ascii="Times New Roman" w:hAnsi="Times New Roman" w:eastAsia="仿宋_GB2312"/>
                <w:color w:val="auto"/>
                <w:sz w:val="24"/>
                <w:szCs w:val="24"/>
                <w:highlight w:val="none"/>
              </w:rPr>
            </w:pPr>
            <w:bookmarkStart w:id="49" w:name="EBd27502454899472cac73b71f47ed484c"/>
            <w:r>
              <w:rPr>
                <w:rFonts w:hint="eastAsia" w:ascii="Times New Roman" w:hAnsi="Times New Roman" w:eastAsia="仿宋_GB2312"/>
                <w:color w:val="auto"/>
                <w:sz w:val="24"/>
                <w:szCs w:val="24"/>
                <w:highlight w:val="none"/>
              </w:rPr>
              <w:t>□兼投兼中</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本项目各标段允许兼投，且允许兼中</w:t>
            </w:r>
            <w:r>
              <w:rPr>
                <w:rFonts w:ascii="Times New Roman" w:hAnsi="Times New Roman" w:eastAsia="仿宋_GB2312"/>
                <w:color w:val="auto"/>
                <w:sz w:val="24"/>
                <w:szCs w:val="24"/>
                <w:highlight w:val="none"/>
              </w:rPr>
              <w:t>。）</w:t>
            </w:r>
          </w:p>
          <w:p w14:paraId="6DDF55F1">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兼投不兼中</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本项目各标段允许兼投，但不允许兼中</w:t>
            </w:r>
            <w:r>
              <w:rPr>
                <w:rFonts w:ascii="Times New Roman" w:hAnsi="Times New Roman" w:eastAsia="仿宋_GB2312"/>
                <w:color w:val="auto"/>
                <w:sz w:val="24"/>
                <w:szCs w:val="24"/>
                <w:highlight w:val="none"/>
              </w:rPr>
              <w:t>。）</w:t>
            </w:r>
            <w:bookmarkEnd w:id="49"/>
          </w:p>
        </w:tc>
      </w:tr>
      <w:tr w14:paraId="3B5F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BE7CC83">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2B81F5">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服务期</w:t>
            </w:r>
            <w:r>
              <w:rPr>
                <w:rFonts w:hint="eastAsia" w:ascii="Times New Roman" w:hAnsi="Times New Roman" w:eastAsia="仿宋_GB2312"/>
                <w:color w:val="auto"/>
                <w:sz w:val="24"/>
                <w:szCs w:val="24"/>
                <w:highlight w:val="none"/>
              </w:rPr>
              <w:t>/供货期</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8C378B">
            <w:pPr>
              <w:spacing w:line="40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2026年5月至2027年5月</w:t>
            </w:r>
          </w:p>
        </w:tc>
      </w:tr>
      <w:tr w14:paraId="180D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C25F503">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13A7E1">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现场勘察事宜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02F29E">
            <w:pPr>
              <w:tabs>
                <w:tab w:val="left" w:pos="630"/>
              </w:tabs>
              <w:jc w:val="left"/>
              <w:textAlignment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投标人自行现场勘察，并领取相关资料（如有）</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详情咨询采购人。</w:t>
            </w:r>
          </w:p>
          <w:p w14:paraId="265B74C0">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是否需要出具勘察证明：</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是    ☑否</w:t>
            </w:r>
          </w:p>
          <w:p w14:paraId="4A13B529">
            <w:pPr>
              <w:rPr>
                <w:rFonts w:ascii="Times New Roman" w:hAnsi="Times New Roman"/>
                <w:color w:val="auto"/>
                <w:highlight w:val="none"/>
              </w:rPr>
            </w:pPr>
            <w:r>
              <w:rPr>
                <w:rFonts w:ascii="Times New Roman" w:hAnsi="Times New Roman" w:eastAsia="仿宋_GB2312"/>
                <w:color w:val="auto"/>
                <w:sz w:val="24"/>
                <w:szCs w:val="24"/>
                <w:highlight w:val="none"/>
              </w:rPr>
              <w:t>采购人在现场</w:t>
            </w:r>
            <w:r>
              <w:rPr>
                <w:rFonts w:hint="eastAsia" w:ascii="Times New Roman" w:hAnsi="Times New Roman" w:eastAsia="仿宋_GB2312"/>
                <w:color w:val="auto"/>
                <w:sz w:val="24"/>
                <w:szCs w:val="24"/>
                <w:highlight w:val="none"/>
              </w:rPr>
              <w:t>勘察</w:t>
            </w:r>
            <w:r>
              <w:rPr>
                <w:rFonts w:ascii="Times New Roman" w:hAnsi="Times New Roman" w:eastAsia="仿宋_GB2312"/>
                <w:color w:val="auto"/>
                <w:sz w:val="24"/>
                <w:szCs w:val="24"/>
                <w:highlight w:val="none"/>
              </w:rPr>
              <w:t>中介绍的项目场地和相关的周边环境情况，仅供投标人在编制投标文件时参考，采购人和采购代理机构不对投标人据此作出的判断和决策负责。</w:t>
            </w:r>
          </w:p>
        </w:tc>
      </w:tr>
      <w:tr w14:paraId="76D1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EF5442D">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5A86FA">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样品提供的规定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19C48F">
            <w:p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要求提供</w:t>
            </w:r>
          </w:p>
          <w:p w14:paraId="3D630C5D">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样品</w:t>
            </w:r>
            <w:r>
              <w:rPr>
                <w:rFonts w:hint="eastAsia" w:ascii="Times New Roman" w:hAnsi="Times New Roman" w:eastAsia="仿宋_GB2312"/>
                <w:color w:val="auto"/>
                <w:sz w:val="24"/>
                <w:szCs w:val="24"/>
                <w:highlight w:val="none"/>
              </w:rPr>
              <w:t>提交</w:t>
            </w:r>
            <w:r>
              <w:rPr>
                <w:rFonts w:ascii="Times New Roman" w:hAnsi="Times New Roman" w:eastAsia="仿宋_GB2312"/>
                <w:color w:val="auto"/>
                <w:sz w:val="24"/>
                <w:szCs w:val="24"/>
                <w:highlight w:val="none"/>
              </w:rPr>
              <w:t>要求：</w:t>
            </w:r>
          </w:p>
          <w:p w14:paraId="6A050877">
            <w:pPr>
              <w:rPr>
                <w:rFonts w:ascii="Times New Roman" w:hAnsi="Times New Roman" w:eastAsia="仿宋_GB2312"/>
                <w:color w:val="auto"/>
                <w:sz w:val="24"/>
                <w:szCs w:val="24"/>
                <w:highlight w:val="none"/>
                <w:u w:val="single"/>
              </w:rPr>
            </w:pP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递交时间：</w:t>
            </w:r>
            <w:r>
              <w:rPr>
                <w:rFonts w:ascii="Times New Roman" w:hAnsi="Times New Roman" w:eastAsia="仿宋_GB2312"/>
                <w:color w:val="auto"/>
                <w:sz w:val="24"/>
                <w:szCs w:val="24"/>
                <w:highlight w:val="none"/>
                <w:u w:val="single"/>
              </w:rPr>
              <w:t xml:space="preserve">                   </w:t>
            </w:r>
          </w:p>
          <w:p w14:paraId="77D2B738">
            <w:pPr>
              <w:rPr>
                <w:rFonts w:ascii="Times New Roman" w:hAnsi="Times New Roman" w:eastAsia="仿宋_GB2312"/>
                <w:color w:val="auto"/>
                <w:sz w:val="24"/>
                <w:szCs w:val="24"/>
                <w:highlight w:val="none"/>
                <w:u w:val="singl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递交地点：</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逾期提供的样品将不予接受</w:t>
            </w:r>
            <w:r>
              <w:rPr>
                <w:rFonts w:hint="eastAsia" w:ascii="Times New Roman" w:hAnsi="Times New Roman" w:eastAsia="仿宋_GB2312"/>
                <w:color w:val="auto"/>
                <w:sz w:val="24"/>
                <w:szCs w:val="24"/>
                <w:highlight w:val="none"/>
              </w:rPr>
              <w:t>）</w:t>
            </w:r>
          </w:p>
          <w:p w14:paraId="10BA083C">
            <w:pP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3.中标人样品保管、封存及退还：</w:t>
            </w:r>
            <w:r>
              <w:rPr>
                <w:rFonts w:hint="eastAsia" w:ascii="Times New Roman" w:hAnsi="Times New Roman" w:eastAsia="仿宋_GB2312"/>
                <w:color w:val="auto"/>
                <w:sz w:val="24"/>
                <w:szCs w:val="24"/>
                <w:highlight w:val="none"/>
                <w:u w:val="single"/>
              </w:rPr>
              <w:t xml:space="preserve">中标通知书发出后，由采购人负责保管、封存及退还 </w:t>
            </w:r>
            <w:r>
              <w:rPr>
                <w:rFonts w:ascii="Times New Roman" w:hAnsi="Times New Roman" w:eastAsia="仿宋_GB2312"/>
                <w:color w:val="auto"/>
                <w:sz w:val="24"/>
                <w:szCs w:val="24"/>
                <w:highlight w:val="none"/>
              </w:rPr>
              <w:t>。</w:t>
            </w:r>
          </w:p>
          <w:p w14:paraId="44977566">
            <w:pPr>
              <w:rPr>
                <w:rFonts w:ascii="Times New Roman" w:hAnsi="Times New Roman"/>
                <w:color w:val="auto"/>
                <w:highlight w:val="none"/>
              </w:rPr>
            </w:pPr>
            <w:r>
              <w:rPr>
                <w:rFonts w:ascii="Times New Roman" w:hAnsi="Times New Roman" w:eastAsia="仿宋_GB2312"/>
                <w:color w:val="auto"/>
                <w:sz w:val="24"/>
                <w:szCs w:val="24"/>
                <w:highlight w:val="none"/>
              </w:rPr>
              <w:t>☑不要求提供</w:t>
            </w:r>
          </w:p>
        </w:tc>
      </w:tr>
      <w:tr w14:paraId="002C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E71FD6E">
            <w:pPr>
              <w:adjustRightInd w:val="0"/>
              <w:snapToGrid w:val="0"/>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62C5A8">
            <w:pPr>
              <w:adjustRightInd w:val="0"/>
              <w:snapToGrid w:val="0"/>
              <w:spacing w:line="3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是否</w:t>
            </w:r>
            <w:r>
              <w:rPr>
                <w:rFonts w:ascii="Times New Roman" w:hAnsi="Times New Roman" w:eastAsia="仿宋_GB2312"/>
                <w:color w:val="auto"/>
                <w:sz w:val="24"/>
                <w:szCs w:val="24"/>
                <w:highlight w:val="none"/>
              </w:rPr>
              <w:t>采购进口产品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26838A">
            <w:pPr>
              <w:adjustRightInd w:val="0"/>
              <w:snapToGrid w:val="0"/>
              <w:spacing w:line="360" w:lineRule="exact"/>
              <w:rPr>
                <w:rFonts w:ascii="Times New Roman" w:hAnsi="Times New Roman" w:eastAsia="仿宋_GB2312"/>
                <w:color w:val="auto"/>
                <w:sz w:val="24"/>
                <w:szCs w:val="24"/>
                <w:highlight w:val="none"/>
              </w:rPr>
            </w:pPr>
            <w:bookmarkStart w:id="50" w:name="EB48e32782f5f04c94bc23cba1139bf8d7"/>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是</w:t>
            </w:r>
          </w:p>
          <w:p w14:paraId="5C8EC65D">
            <w:pPr>
              <w:rPr>
                <w:color w:val="auto"/>
                <w:highlight w:val="none"/>
              </w:rPr>
            </w:pPr>
            <w:r>
              <w:rPr>
                <w:rFonts w:ascii="Times New Roman" w:hAnsi="Times New Roman" w:eastAsia="仿宋_GB2312"/>
                <w:color w:val="auto"/>
                <w:sz w:val="24"/>
                <w:szCs w:val="24"/>
                <w:highlight w:val="none"/>
              </w:rPr>
              <w:t>☑否</w:t>
            </w:r>
            <w:bookmarkEnd w:id="50"/>
          </w:p>
        </w:tc>
      </w:tr>
      <w:tr w14:paraId="7A8E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1BB34D5">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EEC8E8">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联合体投标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1E5736">
            <w:pPr>
              <w:adjustRightInd w:val="0"/>
              <w:snapToGrid w:val="0"/>
              <w:spacing w:line="340" w:lineRule="exact"/>
              <w:rPr>
                <w:rFonts w:ascii="Times New Roman" w:hAnsi="Times New Roman" w:eastAsia="仿宋_GB2312"/>
                <w:color w:val="auto"/>
                <w:sz w:val="24"/>
                <w:szCs w:val="24"/>
                <w:highlight w:val="none"/>
              </w:rPr>
            </w:pPr>
            <w:bookmarkStart w:id="51" w:name="EBbf7feb50702a4cf7907ae51698d401da"/>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接受</w:t>
            </w:r>
          </w:p>
          <w:p w14:paraId="2D27E389">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eastAsia="zh-CN"/>
              </w:rPr>
              <w:t>☑</w:t>
            </w:r>
            <w:r>
              <w:rPr>
                <w:rFonts w:ascii="Times New Roman" w:hAnsi="Times New Roman" w:eastAsia="仿宋_GB2312"/>
                <w:color w:val="auto"/>
                <w:sz w:val="24"/>
                <w:szCs w:val="24"/>
                <w:highlight w:val="none"/>
              </w:rPr>
              <w:t>不接受</w:t>
            </w:r>
            <w:bookmarkEnd w:id="51"/>
          </w:p>
        </w:tc>
      </w:tr>
      <w:tr w14:paraId="71C5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DC9E6FE">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8</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4F0FD1">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非主体、非关键性工作是否允许分包</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5D8F86">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允许</w:t>
            </w:r>
          </w:p>
          <w:p w14:paraId="38588063">
            <w:pPr>
              <w:adjustRightInd w:val="0"/>
              <w:snapToGrid w:val="0"/>
              <w:spacing w:line="340" w:lineRule="exact"/>
              <w:rPr>
                <w:color w:val="auto"/>
                <w:highlight w:val="none"/>
              </w:rPr>
            </w:pPr>
            <w:r>
              <w:rPr>
                <w:rFonts w:hint="eastAsia" w:ascii="Times New Roman" w:hAnsi="Times New Roman" w:eastAsia="仿宋_GB2312"/>
                <w:color w:val="auto"/>
                <w:sz w:val="24"/>
                <w:szCs w:val="24"/>
                <w:highlight w:val="none"/>
                <w:lang w:eastAsia="zh-CN"/>
              </w:rPr>
              <w:t>☑</w:t>
            </w:r>
            <w:r>
              <w:rPr>
                <w:rFonts w:ascii="Times New Roman" w:hAnsi="Times New Roman" w:eastAsia="仿宋_GB2312"/>
                <w:color w:val="auto"/>
                <w:sz w:val="24"/>
                <w:szCs w:val="24"/>
                <w:highlight w:val="none"/>
              </w:rPr>
              <w:t>不允许</w:t>
            </w:r>
          </w:p>
        </w:tc>
      </w:tr>
      <w:tr w14:paraId="4516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D68D851">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CF8850">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扶持</w:t>
            </w:r>
            <w:r>
              <w:rPr>
                <w:rFonts w:hint="eastAsia" w:ascii="Times New Roman" w:hAnsi="Times New Roman" w:eastAsia="仿宋_GB2312"/>
                <w:color w:val="auto"/>
                <w:sz w:val="24"/>
                <w:szCs w:val="24"/>
                <w:highlight w:val="none"/>
              </w:rPr>
              <w:t>中小</w:t>
            </w:r>
            <w:r>
              <w:rPr>
                <w:rFonts w:ascii="Times New Roman" w:hAnsi="Times New Roman" w:eastAsia="仿宋_GB2312"/>
                <w:color w:val="auto"/>
                <w:sz w:val="24"/>
                <w:szCs w:val="24"/>
                <w:highlight w:val="none"/>
              </w:rPr>
              <w:t>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FA0AAE">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☑选择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不选择</w:t>
            </w:r>
          </w:p>
        </w:tc>
      </w:tr>
      <w:tr w14:paraId="214A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4FD525E0">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1. </w:t>
            </w:r>
            <w:r>
              <w:rPr>
                <w:rFonts w:ascii="Times New Roman" w:hAnsi="Times New Roman" w:eastAsia="仿宋_GB2312"/>
                <w:color w:val="auto"/>
                <w:sz w:val="24"/>
                <w:szCs w:val="24"/>
                <w:highlight w:val="none"/>
              </w:rPr>
              <w:t>供应商提供的货物、工程或者服务符合下列情形的，享受中小企业扶持政策：在</w:t>
            </w:r>
            <w:r>
              <w:rPr>
                <w:rFonts w:ascii="Times New Roman" w:hAnsi="Times New Roman" w:eastAsia="仿宋_GB2312"/>
                <w:b/>
                <w:bCs/>
                <w:color w:val="auto"/>
                <w:sz w:val="24"/>
                <w:szCs w:val="24"/>
                <w:highlight w:val="none"/>
              </w:rPr>
              <w:t>货物采购</w:t>
            </w:r>
            <w:r>
              <w:rPr>
                <w:rFonts w:ascii="Times New Roman" w:hAnsi="Times New Roman" w:eastAsia="仿宋_GB2312"/>
                <w:color w:val="auto"/>
                <w:sz w:val="24"/>
                <w:szCs w:val="24"/>
                <w:highlight w:val="none"/>
              </w:rPr>
              <w:t>项目中，货物由中小企业制造，即货物由中小企业生产且使用该中小企业商号或者注册商标；在</w:t>
            </w:r>
            <w:r>
              <w:rPr>
                <w:rFonts w:ascii="Times New Roman" w:hAnsi="Times New Roman" w:eastAsia="仿宋_GB2312"/>
                <w:b/>
                <w:bCs/>
                <w:color w:val="auto"/>
                <w:sz w:val="24"/>
                <w:szCs w:val="24"/>
                <w:highlight w:val="none"/>
              </w:rPr>
              <w:t>工程采购</w:t>
            </w:r>
            <w:r>
              <w:rPr>
                <w:rFonts w:ascii="Times New Roman" w:hAnsi="Times New Roman" w:eastAsia="仿宋_GB2312"/>
                <w:color w:val="auto"/>
                <w:sz w:val="24"/>
                <w:szCs w:val="24"/>
                <w:highlight w:val="none"/>
              </w:rPr>
              <w:t>项目中，工程由中小企业承建，即工程施工单位为中小企业；在</w:t>
            </w:r>
            <w:r>
              <w:rPr>
                <w:rFonts w:ascii="Times New Roman" w:hAnsi="Times New Roman" w:eastAsia="仿宋_GB2312"/>
                <w:b/>
                <w:bCs/>
                <w:color w:val="auto"/>
                <w:sz w:val="24"/>
                <w:szCs w:val="24"/>
                <w:highlight w:val="none"/>
              </w:rPr>
              <w:t>服务采购</w:t>
            </w:r>
            <w:r>
              <w:rPr>
                <w:rFonts w:ascii="Times New Roman" w:hAnsi="Times New Roman" w:eastAsia="仿宋_GB2312"/>
                <w:color w:val="auto"/>
                <w:sz w:val="24"/>
                <w:szCs w:val="24"/>
                <w:highlight w:val="none"/>
              </w:rPr>
              <w:t>项目中，服务由中小企业承接，即提供服务的人员为中小企业依照《中华人民共和国劳动合同法》订立劳动合同的从业人员。</w:t>
            </w:r>
          </w:p>
          <w:p w14:paraId="0FD76A5F">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w:t>
            </w:r>
            <w:r>
              <w:rPr>
                <w:rFonts w:ascii="Times New Roman" w:hAnsi="Times New Roman"/>
                <w:color w:val="auto"/>
                <w:highlight w:val="none"/>
              </w:rPr>
              <w:t xml:space="preserve"> </w:t>
            </w:r>
            <w:r>
              <w:rPr>
                <w:rFonts w:ascii="Times New Roman" w:hAnsi="Times New Roman" w:eastAsia="仿宋_GB2312"/>
                <w:color w:val="auto"/>
                <w:sz w:val="24"/>
                <w:szCs w:val="24"/>
                <w:highlight w:val="none"/>
              </w:rPr>
              <w:t>货物、服务类采购项目，以对小微企业报价给予</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10</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%的扣除后的价格参加评审，经济标基准值以下浮后（如有）的最低价为准，经济标满分为止。</w:t>
            </w:r>
          </w:p>
          <w:p w14:paraId="0830F821">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 xml:space="preserve">大中型企业与小微企业组成联合体或者允许大中型企业向一家或者多家小微企业分包的采购项目，对于联合协议或者分包意向协议约定小微企业的合同份额占到合同总金额30%以上的，针对联合体或者大中型企业的报价给予 </w:t>
            </w:r>
            <w:r>
              <w:rPr>
                <w:rFonts w:ascii="Times New Roman" w:hAnsi="Times New Roman" w:eastAsia="仿宋_GB2312"/>
                <w:color w:val="auto"/>
                <w:sz w:val="24"/>
                <w:szCs w:val="24"/>
                <w:highlight w:val="none"/>
                <w:u w:val="single"/>
              </w:rPr>
              <w:t xml:space="preserve">   /   </w:t>
            </w:r>
            <w:r>
              <w:rPr>
                <w:rFonts w:ascii="Times New Roman" w:hAnsi="Times New Roman" w:eastAsia="仿宋_GB2312"/>
                <w:color w:val="auto"/>
                <w:sz w:val="24"/>
                <w:szCs w:val="24"/>
                <w:highlight w:val="none"/>
              </w:rPr>
              <w:t>%的扣除后的价格参加评审，经济标基准值以下浮后的最低价为准，经济标满分为止。</w:t>
            </w:r>
          </w:p>
          <w:p w14:paraId="43065C19">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小微企业需认真阅读《政府采购促进中小企业发展管理办法》（财库</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2020</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46 号）的相关规定后在投标文件中提供《中小企业声明函》。</w:t>
            </w:r>
          </w:p>
          <w:p w14:paraId="18CF53C8">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本项目对应的中小企业划分所属行业为：</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信息传输业（包括电信、互联网和相关服务）</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rPr>
              <w:t>（标的所属行业参照《工信部联企业〔2011〕300号》）</w:t>
            </w:r>
            <w:r>
              <w:rPr>
                <w:rFonts w:ascii="Times New Roman" w:hAnsi="Times New Roman" w:eastAsia="仿宋_GB2312"/>
                <w:color w:val="auto"/>
                <w:sz w:val="24"/>
                <w:szCs w:val="24"/>
                <w:highlight w:val="none"/>
              </w:rPr>
              <w:t>。</w:t>
            </w:r>
          </w:p>
          <w:p w14:paraId="1B67435A">
            <w:pPr>
              <w:numPr>
                <w:ilvl w:val="0"/>
                <w:numId w:val="1"/>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依照《政府采购促进中小企业发展管理办法》（财库</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2020</w:t>
            </w:r>
            <w:r>
              <w:rPr>
                <w:rFonts w:ascii="Times New Roman" w:hAnsi="Times New Roman" w:eastAsia="微软雅黑"/>
                <w:color w:val="auto"/>
                <w:sz w:val="24"/>
                <w:szCs w:val="24"/>
                <w:highlight w:val="none"/>
              </w:rPr>
              <w:t>﹞</w:t>
            </w:r>
            <w:r>
              <w:rPr>
                <w:rFonts w:ascii="Times New Roman" w:hAnsi="Times New Roman" w:eastAsia="仿宋_GB2312"/>
                <w:color w:val="auto"/>
                <w:sz w:val="24"/>
                <w:szCs w:val="24"/>
                <w:highlight w:val="none"/>
              </w:rPr>
              <w:t>46 号）享受扶持政策获得政府采购合同的，小微企业不得将合同分包给大中型企业，中型企业不得将合同分包给大型企业，否则依照《中华人民共和国政府采购法》等国家有关规定追究相应责任。</w:t>
            </w:r>
          </w:p>
          <w:p w14:paraId="2AFC6459">
            <w:pPr>
              <w:numPr>
                <w:ilvl w:val="0"/>
                <w:numId w:val="1"/>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中标、成交供应商享受中小企业扶持政策的随中标成交结果公开中标、成交供应商的《中小企业声明函》。</w:t>
            </w:r>
          </w:p>
          <w:p w14:paraId="6156AEC6">
            <w:pPr>
              <w:adjustRightInd w:val="0"/>
              <w:snapToGrid w:val="0"/>
              <w:spacing w:line="36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投标人应根据企业自身情况选择（中型企业、小型企业、微型企业）其中之一填写。</w:t>
            </w:r>
          </w:p>
          <w:p w14:paraId="14A3E9EA">
            <w:pPr>
              <w:keepNext/>
              <w:keepLines/>
              <w:spacing w:line="380" w:lineRule="exact"/>
              <w:jc w:val="left"/>
              <w:outlineLvl w:val="3"/>
              <w:rPr>
                <w:rFonts w:ascii="Times New Roman" w:hAnsi="Times New Roman" w:eastAsia="方正书宋简体"/>
                <w:b/>
                <w:bCs/>
                <w:color w:val="auto"/>
                <w:sz w:val="28"/>
                <w:szCs w:val="28"/>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 符合中小企业划分标准的个体工商户视同中小企业。</w:t>
            </w:r>
          </w:p>
        </w:tc>
      </w:tr>
      <w:tr w14:paraId="09A3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46C3236">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97841C">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残疾人福利性单位优惠政策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84F40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☑选择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不选择</w:t>
            </w:r>
          </w:p>
        </w:tc>
      </w:tr>
      <w:tr w14:paraId="5705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19063433">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投标人须认真阅读《关于促进残疾人就业政府采购政策的通知》，残疾人福利单位须在投标(响应)文件中提供有效的《残疾人福利性单位声明函》。</w:t>
            </w:r>
          </w:p>
          <w:p w14:paraId="63649C6A">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残疾人福利性单位视同小型、微型企业，享受预留份额、评审中价格扣除等促进中小企业发展的政府采购政策。</w:t>
            </w:r>
          </w:p>
          <w:p w14:paraId="4C4C2342">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残疾人福利性单位属于小型、微型企业的，不重复享受扶持中小企业发展的优惠政策。。</w:t>
            </w:r>
          </w:p>
          <w:p w14:paraId="7FFA5578">
            <w:pPr>
              <w:numPr>
                <w:ilvl w:val="0"/>
                <w:numId w:val="2"/>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中标(成交)供应商为残疾人福利性单位的，随中标(成交)结果同时公告其《残疾人福利性单位声明函》。</w:t>
            </w:r>
          </w:p>
        </w:tc>
      </w:tr>
      <w:tr w14:paraId="20E1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1F81C73">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B5D406">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监狱企业优惠政策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B94627">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☑选择 </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不选择</w:t>
            </w:r>
          </w:p>
        </w:tc>
      </w:tr>
      <w:tr w14:paraId="218A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0521BEB8">
            <w:pPr>
              <w:numPr>
                <w:ilvl w:val="0"/>
                <w:numId w:val="3"/>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供应商须认真阅读《财政部司法部关于政府采购支持监狱企业发展有关问题的通知》，监狱企业须在投标(响应)文件中提供由省级以上监狱管理局、戒毒管理局(含新疆生产建设兵团)出具的属于监狱企业的证明文件。</w:t>
            </w:r>
          </w:p>
          <w:p w14:paraId="0D1670D8">
            <w:pPr>
              <w:numPr>
                <w:ilvl w:val="0"/>
                <w:numId w:val="3"/>
              </w:numPr>
              <w:adjustRightInd w:val="0"/>
              <w:snapToGrid w:val="0"/>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监狱企业视同小型、微型企业，享受预留份额、评审中价格扣除等促进中小企业发展的政府采购政策。</w:t>
            </w:r>
          </w:p>
          <w:p w14:paraId="3435A5C4">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监狱企业属于小型、微型企业的，不重复享受扶持中小企业发展的优惠政策。</w:t>
            </w:r>
          </w:p>
        </w:tc>
      </w:tr>
      <w:tr w14:paraId="3750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A00A9F6">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ED6CB0">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落实本国产品标准及相关政策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447091">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政府采购活动中既有本国产品又有非本国产品参与竞争的，依据国务院办公厅关于在政府采购中实施本国产品标准及相关政策的通知》（国办发〔2025〕34号）对本国产品给予价格评审优惠，对本国产品的报价给予20%的价格扣除，用扣除后的价格参与评审。</w:t>
            </w:r>
          </w:p>
        </w:tc>
      </w:tr>
      <w:tr w14:paraId="4A0E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D476A8E">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086D30">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节能产品、环境标志产品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B308A5">
            <w:pPr>
              <w:numPr>
                <w:ilvl w:val="0"/>
                <w:numId w:val="4"/>
              </w:num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443155AF">
            <w:pPr>
              <w:numPr>
                <w:ilvl w:val="0"/>
                <w:numId w:val="4"/>
              </w:num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采购人拟采购的产品属于品目清单范围的，采购人依据国家确定的认证机构出具的、处于有效期之内的节能产品、环境标志产品认证证书，对获得证书的产品实施政府优先采购或强制采购。 </w:t>
            </w:r>
          </w:p>
          <w:p w14:paraId="6D1145DB">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3.如本项目采购产品属于实施政府强制采购品目清单范围的节能产品，则投标人所报产品必须获得国家确定的认证机构出具的、处于有效期之内的节能产品认证证书，否则投标无效。 </w:t>
            </w:r>
          </w:p>
          <w:p w14:paraId="64C970CA">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 非政府强制采购的节能产品或环境标志产品，依据品目清单和认证证书实施政府优先采购。</w:t>
            </w:r>
          </w:p>
          <w:p w14:paraId="0DF68280">
            <w:pPr>
              <w:adjustRightInd w:val="0"/>
              <w:snapToGrid w:val="0"/>
              <w:spacing w:line="340" w:lineRule="exact"/>
              <w:rPr>
                <w:color w:val="auto"/>
                <w:highlight w:val="none"/>
              </w:rPr>
            </w:pPr>
            <w:r>
              <w:rPr>
                <w:rFonts w:ascii="Times New Roman" w:hAnsi="Times New Roman" w:eastAsia="仿宋_GB2312"/>
                <w:color w:val="auto"/>
                <w:sz w:val="24"/>
                <w:szCs w:val="24"/>
                <w:highlight w:val="none"/>
              </w:rPr>
              <w:t>5</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 投标人所投产品如属于节能产品政府采购品目清单、环境标志产品政府采购品目清单范围的，须提供国家确定的认证机构出具的、处于有效期内的产品认证证书，认证证书的产品型号与所投产品不一致的，视为未提供。</w:t>
            </w:r>
          </w:p>
        </w:tc>
      </w:tr>
      <w:tr w14:paraId="6991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183DA60">
            <w:pPr>
              <w:adjustRightInd w:val="0"/>
              <w:snapToGrid w:val="0"/>
              <w:spacing w:line="340" w:lineRule="exact"/>
              <w:jc w:val="center"/>
              <w:rPr>
                <w:rFonts w:ascii="Times New Roman" w:hAnsi="Times New Roman" w:eastAsia="仿宋_GB2312"/>
                <w:color w:val="auto"/>
                <w:sz w:val="24"/>
                <w:szCs w:val="24"/>
                <w:highlight w:val="none"/>
              </w:rPr>
            </w:pPr>
            <w:bookmarkStart w:id="52" w:name="_Toc104293456"/>
            <w:bookmarkStart w:id="53" w:name="_Toc256000008"/>
            <w:bookmarkStart w:id="54" w:name="_Toc152516861"/>
            <w:r>
              <w:rPr>
                <w:rFonts w:hint="eastAsia" w:ascii="Times New Roman" w:hAnsi="Times New Roman" w:eastAsia="仿宋_GB2312"/>
                <w:color w:val="auto"/>
                <w:sz w:val="24"/>
                <w:szCs w:val="24"/>
                <w:highlight w:val="none"/>
              </w:rPr>
              <w:t>24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A4BDC7">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正版软件</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F609A4">
            <w:pPr>
              <w:adjustRightInd w:val="0"/>
              <w:snapToGrid w:val="0"/>
              <w:spacing w:line="340" w:lineRule="exac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1. </w:t>
            </w:r>
            <w:r>
              <w:rPr>
                <w:rFonts w:ascii="Times New Roman" w:hAnsi="Times New Roman" w:eastAsia="仿宋_GB2312"/>
                <w:color w:val="auto"/>
                <w:sz w:val="24"/>
                <w:szCs w:val="24"/>
                <w:highlight w:val="none"/>
              </w:rPr>
              <w:t xml:space="preserve">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 </w:t>
            </w:r>
          </w:p>
          <w:p w14:paraId="72D915C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tc>
      </w:tr>
      <w:tr w14:paraId="00BE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B4A9963">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9D1A86">
            <w:pPr>
              <w:adjustRightInd w:val="0"/>
              <w:snapToGrid w:val="0"/>
              <w:spacing w:line="3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网络安全专用产品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F0FBD8">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tc>
      </w:tr>
      <w:tr w14:paraId="3D4E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1694724">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81D303">
            <w:pPr>
              <w:adjustRightInd w:val="0"/>
              <w:snapToGrid w:val="0"/>
              <w:spacing w:line="3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强制性产品认证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B7A93C">
            <w:pPr>
              <w:adjustRightInd w:val="0"/>
              <w:snapToGrid w:val="0"/>
              <w:spacing w:line="3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本项目采购标的</w:t>
            </w:r>
            <w:r>
              <w:rPr>
                <w:rFonts w:hint="eastAsia" w:ascii="Times New Roman" w:hAnsi="Times New Roman" w:eastAsia="仿宋_GB2312"/>
                <w:color w:val="auto"/>
                <w:sz w:val="24"/>
                <w:szCs w:val="24"/>
                <w:highlight w:val="none"/>
              </w:rPr>
              <w:t>须</w:t>
            </w:r>
            <w:r>
              <w:rPr>
                <w:rFonts w:ascii="Times New Roman" w:hAnsi="Times New Roman" w:eastAsia="仿宋_GB2312"/>
                <w:color w:val="auto"/>
                <w:sz w:val="24"/>
                <w:szCs w:val="24"/>
                <w:highlight w:val="none"/>
              </w:rPr>
              <w:t>严格符合所有国家强制性要求，包括但不限于国家强制性标准、法律法规及规范性文件中针对本采购标的设定的强制性条款。供应商所提供的货物、服务或工程须满足上述要求，若存在任何一项不符合，将视为</w:t>
            </w:r>
            <w:r>
              <w:rPr>
                <w:rFonts w:ascii="Times New Roman" w:hAnsi="Times New Roman" w:eastAsia="仿宋_GB2312"/>
                <w:b/>
                <w:bCs/>
                <w:color w:val="auto"/>
                <w:sz w:val="24"/>
                <w:szCs w:val="24"/>
                <w:highlight w:val="none"/>
              </w:rPr>
              <w:t>投标无效</w:t>
            </w:r>
            <w:r>
              <w:rPr>
                <w:rFonts w:ascii="Times New Roman" w:hAnsi="Times New Roman" w:eastAsia="仿宋_GB2312"/>
                <w:color w:val="auto"/>
                <w:sz w:val="24"/>
                <w:szCs w:val="24"/>
                <w:highlight w:val="none"/>
              </w:rPr>
              <w:t>。</w:t>
            </w:r>
          </w:p>
        </w:tc>
      </w:tr>
    </w:tbl>
    <w:p w14:paraId="38DDFA95">
      <w:pPr>
        <w:rPr>
          <w:color w:val="auto"/>
          <w:highlight w:val="none"/>
        </w:rPr>
      </w:pPr>
      <w:r>
        <w:rPr>
          <w:color w:val="auto"/>
          <w:highlight w:val="none"/>
        </w:rPr>
        <w:br w:type="page"/>
      </w:r>
    </w:p>
    <w:p w14:paraId="6260174B">
      <w:pPr>
        <w:pStyle w:val="3"/>
        <w:rPr>
          <w:color w:val="auto"/>
          <w:highlight w:val="none"/>
        </w:rPr>
      </w:pPr>
      <w:bookmarkStart w:id="55" w:name="_Toc14157"/>
      <w:r>
        <w:rPr>
          <w:color w:val="auto"/>
          <w:highlight w:val="none"/>
        </w:rPr>
        <w:t>第三章  投标人须知</w:t>
      </w:r>
      <w:bookmarkEnd w:id="52"/>
      <w:bookmarkEnd w:id="53"/>
      <w:bookmarkEnd w:id="54"/>
      <w:bookmarkEnd w:id="55"/>
    </w:p>
    <w:p w14:paraId="0754786C">
      <w:pPr>
        <w:pStyle w:val="4"/>
        <w:ind w:firstLine="482"/>
        <w:rPr>
          <w:color w:val="auto"/>
          <w:highlight w:val="none"/>
        </w:rPr>
      </w:pPr>
      <w:bookmarkStart w:id="56" w:name="_Toc256000009"/>
      <w:bookmarkStart w:id="57" w:name="_Toc104293457"/>
      <w:bookmarkStart w:id="58" w:name="_Toc4188"/>
      <w:bookmarkStart w:id="59" w:name="_Toc152516862"/>
      <w:r>
        <w:rPr>
          <w:color w:val="auto"/>
          <w:highlight w:val="none"/>
        </w:rPr>
        <w:t>一、说明</w:t>
      </w:r>
      <w:bookmarkEnd w:id="56"/>
      <w:bookmarkEnd w:id="57"/>
      <w:bookmarkEnd w:id="58"/>
      <w:bookmarkEnd w:id="59"/>
      <w:r>
        <w:rPr>
          <w:color w:val="auto"/>
          <w:highlight w:val="none"/>
        </w:rPr>
        <w:t xml:space="preserve"> </w:t>
      </w:r>
    </w:p>
    <w:p w14:paraId="4841BC47">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 适用范围</w:t>
      </w:r>
      <w:r>
        <w:rPr>
          <w:rFonts w:ascii="Times New Roman" w:hAnsi="Times New Roman" w:eastAsia="仿宋_GB2312"/>
          <w:color w:val="auto"/>
          <w:sz w:val="24"/>
          <w:szCs w:val="24"/>
          <w:highlight w:val="none"/>
        </w:rPr>
        <w:t xml:space="preserve"> </w:t>
      </w:r>
    </w:p>
    <w:p w14:paraId="113038E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本招标文件适用于“</w:t>
      </w:r>
      <w:r>
        <w:rPr>
          <w:rFonts w:ascii="Times New Roman" w:hAnsi="Times New Roman" w:eastAsia="仿宋_GB2312"/>
          <w:b/>
          <w:bCs/>
          <w:color w:val="auto"/>
          <w:sz w:val="24"/>
          <w:szCs w:val="24"/>
          <w:highlight w:val="none"/>
        </w:rPr>
        <w:t>投标邀请</w:t>
      </w:r>
      <w:r>
        <w:rPr>
          <w:rFonts w:ascii="Times New Roman" w:hAnsi="Times New Roman" w:eastAsia="仿宋_GB2312"/>
          <w:color w:val="auto"/>
          <w:sz w:val="24"/>
          <w:szCs w:val="24"/>
          <w:highlight w:val="none"/>
        </w:rPr>
        <w:t xml:space="preserve">”中所述采购项目。 </w:t>
      </w:r>
    </w:p>
    <w:p w14:paraId="3D156077">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 定义</w:t>
      </w:r>
      <w:r>
        <w:rPr>
          <w:rFonts w:ascii="Times New Roman" w:hAnsi="Times New Roman" w:eastAsia="仿宋_GB2312"/>
          <w:color w:val="auto"/>
          <w:sz w:val="24"/>
          <w:szCs w:val="24"/>
          <w:highlight w:val="none"/>
        </w:rPr>
        <w:t xml:space="preserve"> </w:t>
      </w:r>
    </w:p>
    <w:p w14:paraId="37C0CC7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 “采购人”是指依法进行政府采购的国家机关、事业单位、团体组织。本采购项目的采购人名称、地址、联系人及电话见</w:t>
      </w:r>
      <w:r>
        <w:rPr>
          <w:rFonts w:ascii="Times New Roman" w:hAnsi="Times New Roman" w:eastAsia="仿宋_GB2312"/>
          <w:b/>
          <w:bCs/>
          <w:color w:val="auto"/>
          <w:sz w:val="24"/>
          <w:szCs w:val="24"/>
          <w:highlight w:val="none"/>
        </w:rPr>
        <w:t>招标文件前附表</w:t>
      </w:r>
      <w:r>
        <w:rPr>
          <w:rFonts w:ascii="Times New Roman" w:hAnsi="Times New Roman" w:eastAsia="仿宋_GB2312"/>
          <w:color w:val="auto"/>
          <w:sz w:val="24"/>
          <w:szCs w:val="24"/>
          <w:highlight w:val="none"/>
        </w:rPr>
        <w:t xml:space="preserve">。 </w:t>
      </w:r>
    </w:p>
    <w:p w14:paraId="2FEA00F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2.2 “集中采购机构”是指采购代理机构，本招标文件中指乌鲁木齐市公共资源交易中心（乌鲁木齐市政府采购中心）（以下简称“交易中心”）。</w:t>
      </w:r>
    </w:p>
    <w:p w14:paraId="6B120BF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2.3 “供应商”是指向采购人提供货物或者服务的法人、其他组织或者自然人；“投标人”是指响应招标、参加投标竞争的法人、其他组织或自然人。分支机构参加政府采购活动</w:t>
      </w:r>
      <w:r>
        <w:rPr>
          <w:rFonts w:hint="eastAsia" w:ascii="Times New Roman" w:hAnsi="Times New Roman" w:eastAsia="仿宋_GB2312"/>
          <w:color w:val="auto"/>
          <w:sz w:val="24"/>
          <w:szCs w:val="24"/>
          <w:highlight w:val="none"/>
        </w:rPr>
        <w:t>须提供总公司出具的承担民事责任的相关书面授权。</w:t>
      </w:r>
      <w:r>
        <w:rPr>
          <w:rFonts w:ascii="Times New Roman" w:hAnsi="Times New Roman" w:eastAsia="仿宋_GB2312"/>
          <w:color w:val="auto"/>
          <w:sz w:val="24"/>
          <w:szCs w:val="24"/>
          <w:highlight w:val="none"/>
        </w:rPr>
        <w:t xml:space="preserve"> </w:t>
      </w:r>
    </w:p>
    <w:p w14:paraId="66BA685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2.4“电子招标投标”：是指政府采购当事人（指交易中心、采购人及供应商）按照有关法律法规的规定，应用网络信息技术，使用新疆政采云平台（以下简称“政采云”）进行的政府采购活动。</w:t>
      </w:r>
    </w:p>
    <w:p w14:paraId="7C76C7B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2.5 “货物”是指各种形态和种类的物品，包括原材料、燃料、设备、产品等。</w:t>
      </w:r>
    </w:p>
    <w:p w14:paraId="1F302C2C">
      <w:pPr>
        <w:adjustRightInd w:val="0"/>
        <w:snapToGrid w:val="0"/>
        <w:spacing w:line="400" w:lineRule="exact"/>
        <w:ind w:firstLine="475" w:firstLineChars="198"/>
        <w:rPr>
          <w:rFonts w:ascii="Times New Roman" w:hAnsi="Times New Roman"/>
          <w:color w:val="auto"/>
          <w:highlight w:val="none"/>
        </w:rPr>
      </w:pPr>
      <w:r>
        <w:rPr>
          <w:rFonts w:ascii="Times New Roman" w:hAnsi="Times New Roman" w:eastAsia="仿宋_GB2312"/>
          <w:color w:val="auto"/>
          <w:sz w:val="24"/>
          <w:szCs w:val="24"/>
          <w:highlight w:val="none"/>
        </w:rPr>
        <w:t>2.6 “服务”是指除货物和工程以外的其他政府采购对象（招标文件规定投标人须承担的系统集成、安装、调试、技术协助、校准、培训、物业、保安、保洁以及其他类似的义务）。</w:t>
      </w:r>
    </w:p>
    <w:p w14:paraId="43F23D05">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 投标人的资格审查要求</w:t>
      </w:r>
    </w:p>
    <w:p w14:paraId="1E71B31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3.1 投标人的资格审查要求：</w:t>
      </w:r>
    </w:p>
    <w:p w14:paraId="1BD63A4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投标人应按第一章“三、投标人的资格审查要求”提供资格审查资料，须真实、有效，如发现有虚假资料，取消其投标资格，同时对其进行严肃处理。 </w:t>
      </w:r>
    </w:p>
    <w:p w14:paraId="3B07BF9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3.2 供应商存在下列情形之一的，不得参加本项目采购活动： </w:t>
      </w:r>
    </w:p>
    <w:p w14:paraId="086AD75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（l）与采购人或交易中心存在隶属关系或者其他利害关系。 </w:t>
      </w:r>
    </w:p>
    <w:p w14:paraId="772AF30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（2）在参加本项目政府采购活动前3年内，在经营活动中因违法经营受到刑事处罚或者责令停产停业、吊销许可证或者执照、较大数额罚款等行政处罚</w:t>
      </w:r>
      <w:r>
        <w:rPr>
          <w:rFonts w:hint="eastAsia" w:ascii="Times New Roman" w:hAnsi="Times New Roman" w:eastAsia="仿宋_GB2312"/>
          <w:color w:val="auto"/>
          <w:sz w:val="24"/>
          <w:szCs w:val="24"/>
          <w:highlight w:val="none"/>
        </w:rPr>
        <w:t>；</w:t>
      </w:r>
    </w:p>
    <w:p w14:paraId="457F7B9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（3）除单一来源采购项目外，为采购项目提供整体设计、规范编制或者项目管理、监理、检测等服务的供应商，不得再参加该采购项目的其他采购活动；</w:t>
      </w:r>
    </w:p>
    <w:p w14:paraId="6EFCA29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3.3供应商的信用行为：在资格审查阶段经查询，未被列入“失信被执行人”、“重大税收违法失信主体”、“政府采购严重违法失信行为记录名单”其中之一。如有以上不良信用记录之一的，其投标无效。</w:t>
      </w:r>
    </w:p>
    <w:p w14:paraId="020E864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单位负责人为同一人或者存在直接控股、管理关系的不同供应商，不得参加同一合同项下的政府采购活动。</w:t>
      </w:r>
    </w:p>
    <w:p w14:paraId="5CCC04D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 xml:space="preserve"> 若供应商提供的任何资料存在虚假、不实的情况，该供应商应对因此给主办方或任何第三方造成的所有损失承担法律责任。</w:t>
      </w:r>
    </w:p>
    <w:p w14:paraId="6175508F">
      <w:pPr>
        <w:adjustRightInd w:val="0"/>
        <w:snapToGrid w:val="0"/>
        <w:spacing w:line="400" w:lineRule="exact"/>
        <w:ind w:left="475" w:leftChars="22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4. 投标费用</w:t>
      </w:r>
      <w:r>
        <w:rPr>
          <w:rFonts w:ascii="Times New Roman" w:hAnsi="Times New Roman" w:eastAsia="仿宋_GB2312"/>
          <w:color w:val="auto"/>
          <w:sz w:val="24"/>
          <w:szCs w:val="24"/>
          <w:highlight w:val="none"/>
        </w:rPr>
        <w:t xml:space="preserve"> </w:t>
      </w:r>
    </w:p>
    <w:p w14:paraId="13AC970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投标人应自行承担所有参与采购活动的相关费用，不论投标结果如何，采购人及交易中心均无义务和责任承担。 </w:t>
      </w:r>
    </w:p>
    <w:p w14:paraId="03F117EC">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5.</w:t>
      </w:r>
      <w:r>
        <w:rPr>
          <w:rFonts w:ascii="Times New Roman" w:hAnsi="Times New Roman" w:eastAsia="仿宋_GB2312"/>
          <w:color w:val="auto"/>
          <w:sz w:val="24"/>
          <w:szCs w:val="24"/>
          <w:highlight w:val="none"/>
        </w:rPr>
        <w:t xml:space="preserve"> </w:t>
      </w:r>
      <w:r>
        <w:rPr>
          <w:rFonts w:ascii="Times New Roman" w:hAnsi="Times New Roman" w:eastAsia="仿宋_GB2312"/>
          <w:b/>
          <w:bCs/>
          <w:color w:val="auto"/>
          <w:sz w:val="24"/>
          <w:szCs w:val="24"/>
          <w:highlight w:val="none"/>
        </w:rPr>
        <w:t>授权委托</w:t>
      </w:r>
      <w:r>
        <w:rPr>
          <w:rFonts w:ascii="Times New Roman" w:hAnsi="Times New Roman" w:eastAsia="仿宋_GB2312"/>
          <w:color w:val="auto"/>
          <w:sz w:val="24"/>
          <w:szCs w:val="24"/>
          <w:highlight w:val="none"/>
        </w:rPr>
        <w:t xml:space="preserve"> </w:t>
      </w:r>
    </w:p>
    <w:p w14:paraId="2DD450D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投标人代表若不是投标人的法定代表人（或经营者/执行事务合伙人/负责人/自然人），应持有法定代表人（或经营者/执行事务合伙人/负责人/自然人）授权委托书。</w:t>
      </w:r>
    </w:p>
    <w:p w14:paraId="757BE964">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6. 联合体投标</w:t>
      </w:r>
      <w:r>
        <w:rPr>
          <w:rFonts w:ascii="Times New Roman" w:hAnsi="Times New Roman" w:eastAsia="仿宋_GB2312"/>
          <w:color w:val="auto"/>
          <w:sz w:val="24"/>
          <w:szCs w:val="24"/>
          <w:highlight w:val="none"/>
        </w:rPr>
        <w:t xml:space="preserve"> </w:t>
      </w:r>
    </w:p>
    <w:p w14:paraId="2669BEE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6.1 除招标文件前附表另有规定，本采购项目不接受除政府采购政策规定以外的其他联合体投标。 </w:t>
      </w:r>
    </w:p>
    <w:p w14:paraId="490D162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6.2 投标人以联合体形式投标，除应符合本章第3款规定外，还应遵守以下规定： </w:t>
      </w:r>
    </w:p>
    <w:p w14:paraId="79055CC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（l）</w:t>
      </w:r>
      <w:r>
        <w:rPr>
          <w:rFonts w:hint="eastAsia" w:ascii="Times New Roman" w:hAnsi="Times New Roman" w:eastAsia="仿宋_GB2312"/>
          <w:color w:val="auto"/>
          <w:sz w:val="24"/>
          <w:szCs w:val="24"/>
          <w:highlight w:val="none"/>
        </w:rPr>
        <w:t>联合体各方</w:t>
      </w:r>
      <w:r>
        <w:rPr>
          <w:rFonts w:ascii="Times New Roman" w:hAnsi="Times New Roman" w:eastAsia="仿宋_GB2312"/>
          <w:color w:val="auto"/>
          <w:sz w:val="24"/>
          <w:szCs w:val="24"/>
          <w:highlight w:val="none"/>
        </w:rPr>
        <w:t>均应当具备《中华人民共和国政府采购法》第二十二条规定的条件</w:t>
      </w:r>
      <w:r>
        <w:rPr>
          <w:rFonts w:hint="eastAsia" w:ascii="Times New Roman" w:hAnsi="Times New Roman" w:eastAsia="仿宋_GB2312"/>
          <w:color w:val="auto"/>
          <w:sz w:val="24"/>
          <w:szCs w:val="24"/>
          <w:highlight w:val="none"/>
        </w:rPr>
        <w:t>；</w:t>
      </w:r>
    </w:p>
    <w:p w14:paraId="5D9F95B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联合体各方应按招标文件提供的格式签订联合体协议书，明确联合体牵头人和各方的权利义务、合同工作量比例</w:t>
      </w:r>
      <w:r>
        <w:rPr>
          <w:rFonts w:hint="eastAsia" w:ascii="Times New Roman" w:hAnsi="Times New Roman" w:eastAsia="仿宋_GB2312"/>
          <w:color w:val="auto"/>
          <w:sz w:val="24"/>
          <w:szCs w:val="24"/>
          <w:highlight w:val="none"/>
        </w:rPr>
        <w:t>，并将联合体协议书作为投标文件的一部分提交</w:t>
      </w:r>
      <w:r>
        <w:rPr>
          <w:rFonts w:ascii="Times New Roman" w:hAnsi="Times New Roman" w:eastAsia="仿宋_GB2312"/>
          <w:color w:val="auto"/>
          <w:sz w:val="24"/>
          <w:szCs w:val="24"/>
          <w:highlight w:val="none"/>
        </w:rPr>
        <w:t xml:space="preserve">； </w:t>
      </w:r>
    </w:p>
    <w:p w14:paraId="4BC11EA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联合体中有同类资质的供应商按照联合体分工承担相同工作的，应当按照资质等级较低的供应商确定资质等级；</w:t>
      </w:r>
    </w:p>
    <w:p w14:paraId="46A8C06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）联合体各方签订联合体协议书后，不得再单独参加或者与其他供应商组成新的联合体参加同一项目的采购活动</w:t>
      </w:r>
      <w:r>
        <w:rPr>
          <w:rFonts w:hint="eastAsia" w:ascii="Times New Roman" w:hAnsi="Times New Roman" w:eastAsia="仿宋_GB2312"/>
          <w:color w:val="auto"/>
          <w:sz w:val="24"/>
          <w:szCs w:val="24"/>
          <w:highlight w:val="none"/>
        </w:rPr>
        <w:t>，否则相关投标将被认定为投标无效；</w:t>
      </w:r>
    </w:p>
    <w:p w14:paraId="2C8CD5E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（5）联合体或其成员不得将其在合同项下的权利或义务全部或部分转让给第三人，有关分包事项须事先取得采购人书面同意并且须遵守相关法律、法规及本次采购活动的全部相关规定。</w:t>
      </w:r>
      <w:r>
        <w:rPr>
          <w:rFonts w:ascii="Times New Roman" w:hAnsi="Times New Roman" w:eastAsia="仿宋_GB2312"/>
          <w:color w:val="auto"/>
          <w:sz w:val="24"/>
          <w:szCs w:val="24"/>
          <w:highlight w:val="none"/>
        </w:rPr>
        <w:t xml:space="preserve"> </w:t>
      </w:r>
    </w:p>
    <w:p w14:paraId="2DCD44FD">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7. 采购进口产品</w:t>
      </w:r>
      <w:r>
        <w:rPr>
          <w:rFonts w:ascii="Times New Roman" w:hAnsi="Times New Roman" w:eastAsia="仿宋_GB2312"/>
          <w:color w:val="auto"/>
          <w:sz w:val="24"/>
          <w:szCs w:val="24"/>
          <w:highlight w:val="none"/>
        </w:rPr>
        <w:t xml:space="preserve"> </w:t>
      </w:r>
    </w:p>
    <w:p w14:paraId="12C7365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7.1</w:t>
      </w:r>
      <w:r>
        <w:rPr>
          <w:rFonts w:hint="eastAsia" w:ascii="Times New Roman" w:hAnsi="Times New Roman" w:eastAsia="仿宋_GB2312"/>
          <w:color w:val="auto"/>
          <w:sz w:val="24"/>
          <w:szCs w:val="24"/>
          <w:highlight w:val="none"/>
        </w:rPr>
        <w:t>除招标文件第二章另有规定外，政府采购应当采购本国货物、工程和服务，确需采购进口产品的，采购人应当按照《政府采购进口产品管理办法》（财库〔2007〕119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w:t>
      </w:r>
      <w:r>
        <w:rPr>
          <w:rFonts w:ascii="Times New Roman" w:hAnsi="Times New Roman" w:eastAsia="仿宋_GB2312"/>
          <w:color w:val="auto"/>
          <w:sz w:val="24"/>
          <w:szCs w:val="24"/>
          <w:highlight w:val="none"/>
        </w:rPr>
        <w:t>但有下列情形之一的除外：</w:t>
      </w:r>
    </w:p>
    <w:p w14:paraId="0C09434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（1）需要采购的货物或者服务在中国境内无法获取或者无法以合理的商业条件获取的；</w:t>
      </w:r>
    </w:p>
    <w:p w14:paraId="73A8B19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（2）为在中国国外使用而进行采购的；</w:t>
      </w:r>
    </w:p>
    <w:p w14:paraId="7A88AA7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（3）其他法律、行政法规另有规定的。</w:t>
      </w:r>
    </w:p>
    <w:p w14:paraId="5CD56EC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所称本国货物和服务的界定，依照国务院有关规定执行。</w:t>
      </w:r>
    </w:p>
    <w:p w14:paraId="794F6FA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7.2本章第7.1款规定同意购买进口产品的，不限制满足招标文件要求的国内产品参与投标竞争。</w:t>
      </w:r>
      <w:r>
        <w:rPr>
          <w:rFonts w:hint="eastAsia" w:ascii="Times New Roman" w:hAnsi="Times New Roman" w:eastAsia="仿宋_GB2312"/>
          <w:color w:val="auto"/>
          <w:sz w:val="24"/>
          <w:szCs w:val="24"/>
          <w:highlight w:val="none"/>
        </w:rPr>
        <w:t>若招标文件未写明允许采购进口产品，如投标人所投产品为进口产品，其投标将被认定为投标无效。</w:t>
      </w:r>
    </w:p>
    <w:p w14:paraId="2E55D38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7.3 若采购需求中写明允许采购进口产品，投标人应保证所投产品可履行合法报通关手续进入中国关境内。</w:t>
      </w:r>
    </w:p>
    <w:p w14:paraId="6DC4BEE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8. </w:t>
      </w:r>
      <w:r>
        <w:rPr>
          <w:rFonts w:hint="eastAsia" w:ascii="Times New Roman" w:hAnsi="Times New Roman" w:eastAsia="仿宋_GB2312"/>
          <w:b/>
          <w:bCs/>
          <w:color w:val="auto"/>
          <w:sz w:val="24"/>
          <w:szCs w:val="24"/>
          <w:highlight w:val="none"/>
        </w:rPr>
        <w:t>本国产品</w:t>
      </w:r>
    </w:p>
    <w:p w14:paraId="00619888">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8.1本国产品应当符合以下条件：</w:t>
      </w:r>
    </w:p>
    <w:p w14:paraId="2F20E5E8">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（一）在中国境内生产</w:t>
      </w:r>
    </w:p>
    <w:p w14:paraId="32D42C0D">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28AD681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1.为确保产品在运输或者储存期间保持某种状态而进行的操作；</w:t>
      </w:r>
    </w:p>
    <w:p w14:paraId="1D220414">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2.为产品运输或者销售进行的包装或者展示；</w:t>
      </w:r>
    </w:p>
    <w:p w14:paraId="3F103E44">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3.在产品或者其包装上粘贴或者印刷品牌、标志、标识以及其他用于区别的标记；</w:t>
      </w:r>
    </w:p>
    <w:p w14:paraId="5B7A587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4.简单的上漆、磨光和分装；</w:t>
      </w:r>
    </w:p>
    <w:p w14:paraId="431AADF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5.其他不属于属性改变的情形。</w:t>
      </w:r>
    </w:p>
    <w:p w14:paraId="4A65365C">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（二）在中国境内生产的组件成本占比达到规定比例</w:t>
      </w:r>
    </w:p>
    <w:p w14:paraId="7867433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产品在中国境内生产的组件成本占比应当达到规定比例，计算公式为：（产品在中国境内生产的组件成本/产品总成本）≥规定比例。财政部会同有关行业主管部门，分产品确定在中国境内生产的组件成本占比应当达到的规定比例。在分产品的中国境内生产的组件成本占比相关要求实施前，符合第（一）项条件的产品在政府采购活动中视同本国产品。</w:t>
      </w:r>
    </w:p>
    <w:p w14:paraId="37C0F70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（三）特定产品的关键组件、关键工序符合相关要求</w:t>
      </w:r>
    </w:p>
    <w:p w14:paraId="530D617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对特定产品，在符合本通知第一条第（一）项和第（二）项条件的基础上，应当符合财政部会同有关行业主管部门确定的其关键组件、关键工序在中国境内生产、完成等要求。</w:t>
      </w:r>
    </w:p>
    <w:p w14:paraId="57A61B1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8.2 本国产品标准的适用范围：</w:t>
      </w:r>
    </w:p>
    <w:p w14:paraId="4CFDDDD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306A76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8.3 对本国产品的支持政策</w:t>
      </w:r>
    </w:p>
    <w:p w14:paraId="7E7F170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8.3.1如本项目采购文件第二章中明确“不采购进口产品”，则投标人应当对其提供的产品在投标文件中出具有效的《关于符合本国产品标准的声明函》，并逐项声明产品信息。如投标文件中未提供上述材料或材料无效（未加盖投标人公章、声明的产品信息不全、内容不实等），不享受本国产品价格评审优惠。</w:t>
      </w:r>
    </w:p>
    <w:p w14:paraId="3B3701E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8.3.2政府采购活动中既有本国产品又有非本国产品参与竞争的，依法对本国产品给予价格评审优惠，对本国产品的报价给予20%的价格扣除，用扣除后的价格参与评审。</w:t>
      </w:r>
    </w:p>
    <w:p w14:paraId="4DD48382">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8.3.3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45BD578C">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8.4 投标人须在投标文件中按照格式要求提供相关声明。投标人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5B43A7AC">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关于贯彻落实&lt;国务院办公厅关于在政府采购中实施本国产品标准及相关政策的通知&gt;的意见》（财库〔2025〕30号）和招标文件规定的，供应商提供的相关产品视为不符合本国产品标准。</w:t>
      </w:r>
    </w:p>
    <w:p w14:paraId="179E19B1">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9</w:t>
      </w:r>
      <w:r>
        <w:rPr>
          <w:rFonts w:ascii="Times New Roman" w:hAnsi="Times New Roman" w:eastAsia="仿宋_GB2312"/>
          <w:b/>
          <w:color w:val="auto"/>
          <w:sz w:val="24"/>
          <w:szCs w:val="24"/>
          <w:highlight w:val="none"/>
        </w:rPr>
        <w:t>. 投标保证金</w:t>
      </w:r>
    </w:p>
    <w:p w14:paraId="5046153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bCs/>
          <w:color w:val="auto"/>
          <w:sz w:val="24"/>
          <w:szCs w:val="24"/>
          <w:highlight w:val="none"/>
        </w:rPr>
        <w:t>依据《关于进一步规范政府采购保证金管理的通知》（新财购〔2023〕26号），鼓励不收取保证金或降低收取比例。如需收取投标保证金，按以下约定执行。</w:t>
      </w:r>
    </w:p>
    <w:p w14:paraId="3194DD4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9.1 投标供应商应按照招标文件第二章中规定的金额及要求交纳投标保证金（如有）。</w:t>
      </w:r>
    </w:p>
    <w:p w14:paraId="3DB86A9D">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9.2投标保证金缴纳可采取转账方式、电子保函模式等法定方式。供应商如使用转账方式，应在保证金到账截止时间前交纳保证金，并作为其响应的一部分。投标供应商如使用电子保函方式，开具的电子投标保函应在保证金到账截止时间前生效，并作为其响应的一部分。由于到账时间晚于投标截止时间，或者保函未生效，或者票据错误、印鉴不清等原因导致不能到账的，其投标无效。</w:t>
      </w:r>
    </w:p>
    <w:p w14:paraId="7AA68BBC">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9.3投标人应在投标截止时间前将投标保证金支付原件扫描后作为投标文件的组成部分与投标文件一起上传。</w:t>
      </w:r>
    </w:p>
    <w:p w14:paraId="6F48CE4D">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9.4投标人为联合体的，可以由联合体中的一方或者多方共同交纳投标保证金或开具电子投标保函，其交纳的保证金或开具的投标保函对联合体各方均具有约束力。</w:t>
      </w:r>
    </w:p>
    <w:p w14:paraId="1D20717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9.5 投标保证金到账截止时间与开标时间一致。</w:t>
      </w:r>
    </w:p>
    <w:p w14:paraId="51B27E8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9.6 开标时，对于未按要求交纳投标保证金的，将视为非实质性响应而予以拒绝，响应无效。</w:t>
      </w:r>
    </w:p>
    <w:p w14:paraId="32C0AA0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9.7 交易中心应当在采购活动结束后及时退还投标人的保证金，但因投标人自身原因导致无法及时退还的除外。 </w:t>
      </w:r>
    </w:p>
    <w:p w14:paraId="0C72270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.7.1 投标人在投标截止时间前撤回已提交的投标文件的，自收到投标人书面撤回通知之日起5个工作日内退还已收取的投标保证金；</w:t>
      </w:r>
    </w:p>
    <w:p w14:paraId="7B681DA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.7.2 中标人的投标保证金，自采购合同签订之日起5个工作日内退还中标人；</w:t>
      </w:r>
    </w:p>
    <w:p w14:paraId="5423A17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.7.3</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未中标投标人的投标保证金，自中标通知书发出之日起5个工作日内退还未中标人；</w:t>
      </w:r>
    </w:p>
    <w:p w14:paraId="1D999FE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.7.4 终止招标项目已经收取投标保证金的，自终止采购活动后5个工作日内退还已收取的投标保证金及其在银行产生的孳息。</w:t>
      </w:r>
    </w:p>
    <w:p w14:paraId="5A1F9F64">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9.8 有下列情形之一的，投标保证金不予退还：</w:t>
      </w:r>
    </w:p>
    <w:p w14:paraId="055CB22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（1）投标人在提交投标文件截止时间后撤回投标文件的；</w:t>
      </w:r>
    </w:p>
    <w:p w14:paraId="05DADD4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（2）除因不可抗力或招标文件认可的情形以外，中标人不与采购人签订合同的；</w:t>
      </w:r>
    </w:p>
    <w:p w14:paraId="5BA6FD8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（3）法律法规及招标文件规定的其他情形。</w:t>
      </w:r>
    </w:p>
    <w:p w14:paraId="0BC644E5">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10</w:t>
      </w:r>
      <w:r>
        <w:rPr>
          <w:rFonts w:ascii="Times New Roman" w:hAnsi="Times New Roman" w:eastAsia="仿宋_GB2312"/>
          <w:b/>
          <w:color w:val="auto"/>
          <w:sz w:val="24"/>
          <w:szCs w:val="24"/>
          <w:highlight w:val="none"/>
        </w:rPr>
        <w:t xml:space="preserve">. </w:t>
      </w:r>
      <w:r>
        <w:rPr>
          <w:rFonts w:ascii="Times New Roman" w:hAnsi="Times New Roman" w:eastAsia="仿宋_GB2312"/>
          <w:b/>
          <w:bCs/>
          <w:color w:val="auto"/>
          <w:sz w:val="24"/>
          <w:szCs w:val="24"/>
          <w:highlight w:val="none"/>
        </w:rPr>
        <w:t>招标文件</w:t>
      </w:r>
      <w:r>
        <w:rPr>
          <w:rFonts w:ascii="Times New Roman" w:hAnsi="Times New Roman" w:eastAsia="仿宋_GB2312"/>
          <w:b/>
          <w:color w:val="auto"/>
          <w:sz w:val="24"/>
          <w:szCs w:val="24"/>
          <w:highlight w:val="none"/>
        </w:rPr>
        <w:t>的理解</w:t>
      </w:r>
    </w:p>
    <w:p w14:paraId="2BCAD6F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应认真阅读、审查招标文件中所有的事项、格式、条款和技术规范等要求，保证其完全理解招标文件内容。投标人在投标截止时间后，不得存在误解和遗漏，要求更改已提交的投标文件。投标人的投标报价被认为已包括本项目采购范围内的全部内容。如果漏项被认为分摊到其他子目中，将不予重新计价；如果计算错误，在项目结束后，也将不予调整。如果投标人未按照招标文件的要求提交全部资料，或没有对招标文件做出实质性响应，根据有关条款规定，其投标可以被拒绝，由此带来的风险由投标人自行承担。</w:t>
      </w:r>
    </w:p>
    <w:p w14:paraId="1393CE99">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1</w:t>
      </w:r>
      <w:r>
        <w:rPr>
          <w:rFonts w:hint="eastAsia" w:ascii="Times New Roman" w:hAnsi="Times New Roman" w:eastAsia="仿宋_GB2312"/>
          <w:b/>
          <w:color w:val="auto"/>
          <w:sz w:val="24"/>
          <w:szCs w:val="24"/>
          <w:highlight w:val="none"/>
        </w:rPr>
        <w:t>1</w:t>
      </w:r>
      <w:r>
        <w:rPr>
          <w:rFonts w:ascii="Times New Roman" w:hAnsi="Times New Roman" w:eastAsia="仿宋_GB2312"/>
          <w:b/>
          <w:color w:val="auto"/>
          <w:sz w:val="24"/>
          <w:szCs w:val="24"/>
          <w:highlight w:val="none"/>
        </w:rPr>
        <w:t>. 项目变更程序</w:t>
      </w:r>
    </w:p>
    <w:p w14:paraId="43F6084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项目资金如有变更，采购人应向市财政局相关部门申请变更，否则变更无效，由此引起的纠纷交易中心不承担任何责任。</w:t>
      </w:r>
    </w:p>
    <w:p w14:paraId="63A42742">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1</w:t>
      </w:r>
      <w:r>
        <w:rPr>
          <w:rFonts w:hint="eastAsia" w:ascii="Times New Roman" w:hAnsi="Times New Roman" w:eastAsia="仿宋_GB2312"/>
          <w:b/>
          <w:color w:val="auto"/>
          <w:sz w:val="24"/>
          <w:szCs w:val="24"/>
          <w:highlight w:val="none"/>
        </w:rPr>
        <w:t>2</w:t>
      </w:r>
      <w:r>
        <w:rPr>
          <w:rFonts w:ascii="Times New Roman" w:hAnsi="Times New Roman" w:eastAsia="仿宋_GB2312"/>
          <w:b/>
          <w:color w:val="auto"/>
          <w:sz w:val="24"/>
          <w:szCs w:val="24"/>
          <w:highlight w:val="none"/>
        </w:rPr>
        <w:t>. 廉洁自律承诺要求</w:t>
      </w:r>
    </w:p>
    <w:p w14:paraId="403A5D7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.1交易中心工作人员保证不接受采购人或者供应商组织的宴请、旅游、娱乐，不收受礼品、现金、有价证券等，不向采购人或者供应商报销应当由个人承担的费用。</w:t>
      </w:r>
    </w:p>
    <w:p w14:paraId="404FBF85">
      <w:pPr>
        <w:adjustRightInd w:val="0"/>
        <w:snapToGrid w:val="0"/>
        <w:spacing w:line="400" w:lineRule="exact"/>
        <w:ind w:firstLine="475" w:firstLineChars="198"/>
        <w:rPr>
          <w:rFonts w:ascii="Times New Roman" w:hAnsi="Times New Roman" w:eastAsia="仿宋_GB2312"/>
          <w:b/>
          <w:iCs/>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rPr>
        <w:t>.2  所有投标人必须</w:t>
      </w:r>
      <w:r>
        <w:rPr>
          <w:rFonts w:hint="eastAsia" w:ascii="Times New Roman" w:hAnsi="Times New Roman" w:eastAsia="仿宋_GB2312"/>
          <w:color w:val="auto"/>
          <w:sz w:val="24"/>
          <w:szCs w:val="24"/>
          <w:highlight w:val="none"/>
        </w:rPr>
        <w:t>按要求提供</w:t>
      </w:r>
      <w:r>
        <w:rPr>
          <w:rFonts w:ascii="Times New Roman" w:hAnsi="Times New Roman" w:eastAsia="仿宋_GB2312"/>
          <w:color w:val="auto"/>
          <w:sz w:val="24"/>
          <w:szCs w:val="24"/>
          <w:highlight w:val="none"/>
        </w:rPr>
        <w:t>《反商业贿赂承诺书》</w:t>
      </w:r>
      <w:r>
        <w:rPr>
          <w:rFonts w:hint="eastAsia" w:ascii="Times New Roman" w:hAnsi="Times New Roman" w:eastAsia="仿宋_GB2312"/>
          <w:color w:val="auto"/>
          <w:sz w:val="24"/>
          <w:szCs w:val="24"/>
          <w:highlight w:val="none"/>
        </w:rPr>
        <w:t>，未按要求提供</w:t>
      </w:r>
      <w:r>
        <w:rPr>
          <w:rFonts w:ascii="Times New Roman" w:hAnsi="Times New Roman" w:eastAsia="仿宋_GB2312"/>
          <w:color w:val="auto"/>
          <w:sz w:val="24"/>
          <w:szCs w:val="24"/>
          <w:highlight w:val="none"/>
        </w:rPr>
        <w:t>视为无效投标。</w:t>
      </w:r>
    </w:p>
    <w:p w14:paraId="5B506229">
      <w:pPr>
        <w:pStyle w:val="4"/>
        <w:ind w:firstLine="482"/>
        <w:rPr>
          <w:color w:val="auto"/>
          <w:highlight w:val="none"/>
        </w:rPr>
      </w:pPr>
      <w:bookmarkStart w:id="60" w:name="_Toc104293458"/>
      <w:bookmarkStart w:id="61" w:name="_Toc152516863"/>
      <w:bookmarkStart w:id="62" w:name="_Toc256000010"/>
      <w:bookmarkStart w:id="63" w:name="_Toc9205"/>
      <w:r>
        <w:rPr>
          <w:color w:val="auto"/>
          <w:highlight w:val="none"/>
        </w:rPr>
        <w:t>二、招标文件</w:t>
      </w:r>
      <w:bookmarkEnd w:id="60"/>
      <w:bookmarkEnd w:id="61"/>
      <w:bookmarkEnd w:id="62"/>
      <w:bookmarkEnd w:id="63"/>
      <w:r>
        <w:rPr>
          <w:color w:val="auto"/>
          <w:highlight w:val="none"/>
        </w:rPr>
        <w:t xml:space="preserve"> </w:t>
      </w:r>
    </w:p>
    <w:p w14:paraId="1D7EA6E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3</w:t>
      </w:r>
      <w:r>
        <w:rPr>
          <w:rFonts w:ascii="Times New Roman" w:hAnsi="Times New Roman" w:eastAsia="仿宋_GB2312"/>
          <w:b/>
          <w:bCs/>
          <w:color w:val="auto"/>
          <w:sz w:val="24"/>
          <w:szCs w:val="24"/>
          <w:highlight w:val="none"/>
        </w:rPr>
        <w:t>.</w:t>
      </w:r>
      <w:r>
        <w:rPr>
          <w:rFonts w:ascii="Times New Roman" w:hAnsi="Times New Roman" w:eastAsia="仿宋_GB2312"/>
          <w:color w:val="auto"/>
          <w:sz w:val="24"/>
          <w:szCs w:val="24"/>
          <w:highlight w:val="none"/>
        </w:rPr>
        <w:t xml:space="preserve"> </w:t>
      </w:r>
      <w:r>
        <w:rPr>
          <w:rFonts w:ascii="Times New Roman" w:hAnsi="Times New Roman" w:eastAsia="仿宋_GB2312"/>
          <w:b/>
          <w:bCs/>
          <w:color w:val="auto"/>
          <w:sz w:val="24"/>
          <w:szCs w:val="24"/>
          <w:highlight w:val="none"/>
        </w:rPr>
        <w:t>招标文件的组成</w:t>
      </w:r>
      <w:r>
        <w:rPr>
          <w:rFonts w:ascii="Times New Roman" w:hAnsi="Times New Roman" w:eastAsia="仿宋_GB2312"/>
          <w:color w:val="auto"/>
          <w:sz w:val="24"/>
          <w:szCs w:val="24"/>
          <w:highlight w:val="none"/>
        </w:rPr>
        <w:t xml:space="preserve"> </w:t>
      </w:r>
    </w:p>
    <w:p w14:paraId="5F030B0F">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color w:val="auto"/>
          <w:sz w:val="24"/>
          <w:szCs w:val="24"/>
          <w:highlight w:val="none"/>
        </w:rPr>
        <w:t>招标文件（共七章）及本章第15款对招标文件所作的澄清或修改文件，均属于招标文件的组成部分。</w:t>
      </w:r>
    </w:p>
    <w:p w14:paraId="00ADD01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4</w:t>
      </w:r>
      <w:r>
        <w:rPr>
          <w:rFonts w:ascii="Times New Roman" w:hAnsi="Times New Roman" w:eastAsia="仿宋_GB2312"/>
          <w:b/>
          <w:bCs/>
          <w:color w:val="auto"/>
          <w:sz w:val="24"/>
          <w:szCs w:val="24"/>
          <w:highlight w:val="none"/>
        </w:rPr>
        <w:t>.  招标文件的提供</w:t>
      </w:r>
      <w:r>
        <w:rPr>
          <w:rFonts w:ascii="Times New Roman" w:hAnsi="Times New Roman" w:eastAsia="仿宋_GB2312"/>
          <w:color w:val="auto"/>
          <w:sz w:val="24"/>
          <w:szCs w:val="24"/>
          <w:highlight w:val="none"/>
        </w:rPr>
        <w:t xml:space="preserve"> </w:t>
      </w:r>
    </w:p>
    <w:p w14:paraId="010EB1C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.1招标文件的提供期限自开始发出之日起不少于五个工作日。具体提供期限见招标文件第一章。</w:t>
      </w:r>
    </w:p>
    <w:p w14:paraId="2F6DAE4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.2 供应商应及时下载招标文件，并按规定要求在政采云平台完成投标。 </w:t>
      </w:r>
    </w:p>
    <w:p w14:paraId="227BDB2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rPr>
        <w:t>延长招标文件的提供期限，遵守本章第15款关于招标文件修改的规定。</w:t>
      </w:r>
    </w:p>
    <w:p w14:paraId="3F1C9221">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5</w:t>
      </w:r>
      <w:r>
        <w:rPr>
          <w:rFonts w:ascii="Times New Roman" w:hAnsi="Times New Roman" w:eastAsia="仿宋_GB2312"/>
          <w:b/>
          <w:bCs/>
          <w:color w:val="auto"/>
          <w:sz w:val="24"/>
          <w:szCs w:val="24"/>
          <w:highlight w:val="none"/>
        </w:rPr>
        <w:t>．偏离</w:t>
      </w:r>
      <w:r>
        <w:rPr>
          <w:rFonts w:ascii="Times New Roman" w:hAnsi="Times New Roman" w:eastAsia="仿宋_GB2312"/>
          <w:color w:val="auto"/>
          <w:sz w:val="24"/>
          <w:szCs w:val="24"/>
          <w:highlight w:val="none"/>
        </w:rPr>
        <w:t xml:space="preserve"> </w:t>
      </w:r>
    </w:p>
    <w:p w14:paraId="0A2EE0A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本条所称偏离为投标文件对招标文件的偏离，即不满足或不响应招标文件的要求。偏离分为对招标文件的实质性要求条款偏离和一般商务和技术条款（参数）偏离。 </w:t>
      </w:r>
    </w:p>
    <w:p w14:paraId="62579680">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6</w:t>
      </w:r>
      <w:r>
        <w:rPr>
          <w:rFonts w:ascii="Times New Roman" w:hAnsi="Times New Roman" w:eastAsia="仿宋_GB2312"/>
          <w:b/>
          <w:bCs/>
          <w:color w:val="auto"/>
          <w:sz w:val="24"/>
          <w:szCs w:val="24"/>
          <w:highlight w:val="none"/>
        </w:rPr>
        <w:t>. 招标文件的澄清与修改</w:t>
      </w:r>
      <w:r>
        <w:rPr>
          <w:rFonts w:ascii="Times New Roman" w:hAnsi="Times New Roman" w:eastAsia="仿宋_GB2312"/>
          <w:color w:val="auto"/>
          <w:sz w:val="24"/>
          <w:szCs w:val="24"/>
          <w:highlight w:val="none"/>
        </w:rPr>
        <w:t xml:space="preserve"> </w:t>
      </w:r>
    </w:p>
    <w:p w14:paraId="477C179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.1交易中心可以对已发出的招标文件进行必要的澄清或者修改，澄清或者修改的内容可能影响投标文件编制的，应当在投标截止时间至少十五日前，以更正公告形式发布于新疆政府采购网。 </w:t>
      </w:r>
    </w:p>
    <w:p w14:paraId="13F2522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.2 如果澄清或者修改文件发出的时间距投标截止时间不足十五日，将相应顺延投标截止时间。 </w:t>
      </w:r>
    </w:p>
    <w:p w14:paraId="3FC944C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3如果招标文件的澄清或者修改文件的内容与之前发布的招标文件等材料中相关内容冲突，请投标人执行招标文件澄清或者修改文件的内容，之前发布的招标文件等材料中相关内容自动废止。当招标文件的澄清、修改及进行其他答复等就同一内容的表述不一致时，以最后发布的内容为准。澄清或修改的内容为招标文件的组成部分，并对所有获取招标文件的潜在投标人具有约束力。</w:t>
      </w:r>
    </w:p>
    <w:p w14:paraId="4DDB327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16.4 潜在投标人需密切关注，及时查看并下载相关更正公告。若因潜在投标人未能及时查看或下载相关更正公告，而导致的一切后果，将由潜在投标人自行承担。</w:t>
      </w:r>
    </w:p>
    <w:p w14:paraId="4664217C">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7</w:t>
      </w:r>
      <w:r>
        <w:rPr>
          <w:rFonts w:ascii="Times New Roman" w:hAnsi="Times New Roman" w:eastAsia="仿宋_GB2312"/>
          <w:b/>
          <w:bCs/>
          <w:color w:val="auto"/>
          <w:sz w:val="24"/>
          <w:szCs w:val="24"/>
          <w:highlight w:val="none"/>
        </w:rPr>
        <w:t>.</w:t>
      </w:r>
      <w:r>
        <w:rPr>
          <w:rFonts w:ascii="Times New Roman" w:hAnsi="Times New Roman" w:eastAsia="仿宋_GB2312"/>
          <w:color w:val="auto"/>
          <w:sz w:val="24"/>
          <w:szCs w:val="24"/>
          <w:highlight w:val="none"/>
        </w:rPr>
        <w:t xml:space="preserve">  </w:t>
      </w:r>
      <w:r>
        <w:rPr>
          <w:rFonts w:ascii="Times New Roman" w:hAnsi="Times New Roman" w:eastAsia="仿宋_GB2312"/>
          <w:b/>
          <w:bCs/>
          <w:color w:val="auto"/>
          <w:sz w:val="24"/>
          <w:szCs w:val="24"/>
          <w:highlight w:val="none"/>
        </w:rPr>
        <w:t>推迟投标截止时间和开标时间</w:t>
      </w:r>
      <w:r>
        <w:rPr>
          <w:rFonts w:ascii="Times New Roman" w:hAnsi="Times New Roman" w:eastAsia="仿宋_GB2312"/>
          <w:color w:val="auto"/>
          <w:sz w:val="24"/>
          <w:szCs w:val="24"/>
          <w:highlight w:val="none"/>
        </w:rPr>
        <w:t xml:space="preserve"> </w:t>
      </w:r>
    </w:p>
    <w:p w14:paraId="2F41AA4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交易中心可以视采购具体情况推迟投标截止时间和开标时间，将变更时间以更正公告形式发布于新疆政府采购网。</w:t>
      </w:r>
    </w:p>
    <w:p w14:paraId="360715DA">
      <w:pPr>
        <w:rPr>
          <w:rFonts w:ascii="Times New Roman" w:hAnsi="Times New Roman"/>
          <w:color w:val="auto"/>
          <w:highlight w:val="none"/>
        </w:rPr>
      </w:pPr>
      <w:r>
        <w:rPr>
          <w:rFonts w:ascii="Times New Roman" w:hAnsi="Times New Roman"/>
          <w:color w:val="auto"/>
          <w:highlight w:val="none"/>
        </w:rPr>
        <w:t xml:space="preserve"> </w:t>
      </w:r>
      <w:bookmarkStart w:id="64" w:name="EB2749a049ca374d45812251bd76fcb545"/>
      <w:r>
        <w:rPr>
          <w:rFonts w:ascii="Times New Roman" w:hAnsi="Times New Roman"/>
          <w:color w:val="auto"/>
          <w:sz w:val="20"/>
          <w:highlight w:val="none"/>
        </w:rPr>
        <w:t xml:space="preserve"> </w:t>
      </w:r>
      <w:bookmarkEnd w:id="64"/>
      <w:r>
        <w:rPr>
          <w:rFonts w:ascii="Times New Roman" w:hAnsi="Times New Roman"/>
          <w:color w:val="auto"/>
          <w:highlight w:val="none"/>
        </w:rPr>
        <w:t xml:space="preserve">  </w:t>
      </w:r>
      <w:bookmarkStart w:id="65" w:name="EBd50e3d11cb774e75b7d8b4c319a71edf"/>
      <w:r>
        <w:rPr>
          <w:rFonts w:ascii="Times New Roman" w:hAnsi="Times New Roman"/>
          <w:color w:val="auto"/>
          <w:sz w:val="20"/>
          <w:highlight w:val="none"/>
        </w:rPr>
        <w:t xml:space="preserve"> </w:t>
      </w:r>
      <w:bookmarkEnd w:id="65"/>
      <w:bookmarkStart w:id="66" w:name="EBcd8eecf8fe5b48bf9b8870931d397aff"/>
      <w:r>
        <w:rPr>
          <w:rFonts w:ascii="Times New Roman" w:hAnsi="Times New Roman"/>
          <w:color w:val="auto"/>
          <w:sz w:val="20"/>
          <w:highlight w:val="none"/>
        </w:rPr>
        <w:t xml:space="preserve"> </w:t>
      </w:r>
      <w:bookmarkEnd w:id="66"/>
    </w:p>
    <w:p w14:paraId="6D34FAAB">
      <w:pPr>
        <w:pStyle w:val="4"/>
        <w:ind w:firstLine="482"/>
        <w:rPr>
          <w:color w:val="auto"/>
          <w:highlight w:val="none"/>
        </w:rPr>
      </w:pPr>
      <w:bookmarkStart w:id="67" w:name="_Toc21451"/>
      <w:bookmarkStart w:id="68" w:name="_Toc152516864"/>
      <w:bookmarkStart w:id="69" w:name="_Toc104293459"/>
      <w:bookmarkStart w:id="70" w:name="_Toc256000011"/>
      <w:r>
        <w:rPr>
          <w:color w:val="auto"/>
          <w:highlight w:val="none"/>
        </w:rPr>
        <w:t>三、投标文件</w:t>
      </w:r>
      <w:bookmarkEnd w:id="67"/>
      <w:bookmarkEnd w:id="68"/>
      <w:bookmarkEnd w:id="69"/>
      <w:bookmarkEnd w:id="70"/>
    </w:p>
    <w:p w14:paraId="0E68D04A">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8</w:t>
      </w:r>
      <w:r>
        <w:rPr>
          <w:rFonts w:ascii="Times New Roman" w:hAnsi="Times New Roman" w:eastAsia="仿宋_GB2312"/>
          <w:b/>
          <w:bCs/>
          <w:color w:val="auto"/>
          <w:sz w:val="24"/>
          <w:szCs w:val="24"/>
          <w:highlight w:val="none"/>
        </w:rPr>
        <w:t>.  投标文件的组成</w:t>
      </w:r>
      <w:r>
        <w:rPr>
          <w:rFonts w:ascii="Times New Roman" w:hAnsi="Times New Roman" w:eastAsia="仿宋_GB2312"/>
          <w:color w:val="auto"/>
          <w:sz w:val="24"/>
          <w:szCs w:val="24"/>
          <w:highlight w:val="none"/>
        </w:rPr>
        <w:t xml:space="preserve"> </w:t>
      </w:r>
    </w:p>
    <w:p w14:paraId="5C563DE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.1电子版投标文件由资格响应文件、报价响应文件、商务技术响应文件三部分组成。详见第七章投标文件格式与要求。</w:t>
      </w:r>
    </w:p>
    <w:p w14:paraId="64EAC23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.2投标人应仔细阅读招标文件的全部内容，按照招标文件要求编制投标文件。任何对招标文件的忽略或误解不能作为投标文件存在缺陷或瑕疵的理由，其风险由投标人自行承担。</w:t>
      </w:r>
    </w:p>
    <w:p w14:paraId="14FC6895">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18.3 为保证公平公正，除非本招标文件另有规定或说明，投标人对同一项目投标时，不得同时提供</w:t>
      </w:r>
      <w:r>
        <w:rPr>
          <w:rFonts w:hint="eastAsia" w:ascii="Times New Roman" w:hAnsi="Times New Roman" w:eastAsia="仿宋_GB2312"/>
          <w:color w:val="auto"/>
          <w:sz w:val="24"/>
          <w:szCs w:val="24"/>
          <w:highlight w:val="none"/>
          <w:lang w:eastAsia="zh-CN"/>
        </w:rPr>
        <w:t>可选择</w:t>
      </w:r>
      <w:r>
        <w:rPr>
          <w:rFonts w:hint="eastAsia" w:ascii="Times New Roman" w:hAnsi="Times New Roman" w:eastAsia="仿宋_GB2312"/>
          <w:color w:val="auto"/>
          <w:sz w:val="24"/>
          <w:szCs w:val="24"/>
          <w:highlight w:val="none"/>
        </w:rPr>
        <w:t>投标方案。</w:t>
      </w:r>
    </w:p>
    <w:p w14:paraId="43A21436">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1</w:t>
      </w:r>
      <w:r>
        <w:rPr>
          <w:rFonts w:hint="eastAsia" w:ascii="Times New Roman" w:hAnsi="Times New Roman" w:eastAsia="仿宋_GB2312"/>
          <w:b/>
          <w:bCs/>
          <w:color w:val="auto"/>
          <w:sz w:val="24"/>
          <w:szCs w:val="24"/>
          <w:highlight w:val="none"/>
        </w:rPr>
        <w:t>9</w:t>
      </w:r>
      <w:r>
        <w:rPr>
          <w:rFonts w:ascii="Times New Roman" w:hAnsi="Times New Roman" w:eastAsia="仿宋_GB2312"/>
          <w:b/>
          <w:bCs/>
          <w:color w:val="auto"/>
          <w:sz w:val="24"/>
          <w:szCs w:val="24"/>
          <w:highlight w:val="none"/>
        </w:rPr>
        <w:t>.   投标文件的编制</w:t>
      </w:r>
    </w:p>
    <w:p w14:paraId="1A3298F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1投标文件的编制：投标人应下载政采云投标客户端，在政采云平台（https://www.zcygov.cn/）下载招标文件。未按要求执行将影响投标文件的提交，投标人因自身原因导致投标文件无法导入电子评标系统的，该投标文件将视为无效。</w:t>
      </w:r>
    </w:p>
    <w:p w14:paraId="3933197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.2 投标人根据自身实力可对多个标段进行投标。若投标人参与多个标段时，应分别编制投标文件。</w:t>
      </w:r>
    </w:p>
    <w:p w14:paraId="14709D6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.3 投标人应详细阅读招标文件的全部内容。投标文件须对招标文件中的内容作出实质性</w:t>
      </w:r>
      <w:r>
        <w:rPr>
          <w:rFonts w:hint="eastAsia" w:ascii="Times New Roman" w:hAnsi="Times New Roman" w:eastAsia="仿宋_GB2312"/>
          <w:color w:val="auto"/>
          <w:sz w:val="24"/>
          <w:szCs w:val="24"/>
          <w:highlight w:val="none"/>
        </w:rPr>
        <w:t>及</w:t>
      </w:r>
      <w:r>
        <w:rPr>
          <w:rFonts w:ascii="Times New Roman" w:hAnsi="Times New Roman" w:eastAsia="仿宋_GB2312"/>
          <w:color w:val="auto"/>
          <w:sz w:val="24"/>
          <w:szCs w:val="24"/>
          <w:highlight w:val="none"/>
        </w:rPr>
        <w:t>完整</w:t>
      </w:r>
      <w:r>
        <w:rPr>
          <w:rFonts w:hint="eastAsia" w:ascii="Times New Roman" w:hAnsi="Times New Roman" w:eastAsia="仿宋_GB2312"/>
          <w:color w:val="auto"/>
          <w:sz w:val="24"/>
          <w:szCs w:val="24"/>
          <w:highlight w:val="none"/>
        </w:rPr>
        <w:t>性</w:t>
      </w:r>
      <w:r>
        <w:rPr>
          <w:rFonts w:ascii="Times New Roman" w:hAnsi="Times New Roman" w:eastAsia="仿宋_GB2312"/>
          <w:color w:val="auto"/>
          <w:sz w:val="24"/>
          <w:szCs w:val="24"/>
          <w:highlight w:val="none"/>
        </w:rPr>
        <w:t>响应，如果投标文件填报的内容不详，或没有提供招标文件中所要求的全部资料及数据，将可能导致其投标无效。</w:t>
      </w:r>
    </w:p>
    <w:p w14:paraId="1215AB8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19.4 投标文件须严格按照本招标文件第七章规定的格式提交，并按规定的统一格式逐项填写，不准有空项；无相应内容可填的项，应填写“无”、“未测试”、“没有相应指标”等明确的回答文字。建议投标人避免出现编排混乱导致投标文件被误读或查找不到等情况。</w:t>
      </w:r>
    </w:p>
    <w:p w14:paraId="02151F1A">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hint="eastAsia" w:ascii="Times New Roman" w:hAnsi="Times New Roman" w:eastAsia="仿宋_GB2312"/>
          <w:b/>
          <w:bCs/>
          <w:color w:val="auto"/>
          <w:sz w:val="24"/>
          <w:szCs w:val="24"/>
          <w:highlight w:val="none"/>
        </w:rPr>
        <w:t>20</w:t>
      </w:r>
      <w:r>
        <w:rPr>
          <w:rFonts w:ascii="Times New Roman" w:hAnsi="Times New Roman" w:eastAsia="仿宋_GB2312"/>
          <w:b/>
          <w:bCs/>
          <w:color w:val="auto"/>
          <w:sz w:val="24"/>
          <w:szCs w:val="24"/>
          <w:highlight w:val="none"/>
        </w:rPr>
        <w:t xml:space="preserve">.  投标文件的签署 </w:t>
      </w:r>
    </w:p>
    <w:p w14:paraId="2FDC6F8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w:t>
      </w:r>
      <w:r>
        <w:rPr>
          <w:rFonts w:ascii="Times New Roman" w:hAnsi="Times New Roman" w:eastAsia="仿宋_GB2312"/>
          <w:color w:val="auto"/>
          <w:sz w:val="24"/>
          <w:szCs w:val="24"/>
          <w:highlight w:val="none"/>
        </w:rPr>
        <w:t>.1 投标人应按招标文件要求对电子投标文件进行电子签名和签章，未按要求签名和签章的，评标时将视为无效投标文件。如投标人为自然人无需加盖公章，须在加盖公章处由自然人进行签字。</w:t>
      </w:r>
    </w:p>
    <w:p w14:paraId="51E5EC7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20</w:t>
      </w:r>
      <w:r>
        <w:rPr>
          <w:rFonts w:ascii="Times New Roman" w:hAnsi="Times New Roman" w:eastAsia="仿宋_GB2312"/>
          <w:color w:val="auto"/>
          <w:sz w:val="24"/>
          <w:szCs w:val="24"/>
          <w:highlight w:val="none"/>
        </w:rPr>
        <w:t>.2 电子投标文件具有法律效力，若投标文件内容与招标文件要求不一致，其内容影响中标结果时，责任由投标人自行承担。</w:t>
      </w:r>
    </w:p>
    <w:p w14:paraId="690BB881">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1</w:t>
      </w:r>
      <w:r>
        <w:rPr>
          <w:rFonts w:ascii="Times New Roman" w:hAnsi="Times New Roman" w:eastAsia="仿宋_GB2312"/>
          <w:b/>
          <w:bCs/>
          <w:color w:val="auto"/>
          <w:sz w:val="24"/>
          <w:szCs w:val="24"/>
          <w:highlight w:val="none"/>
        </w:rPr>
        <w:t>. 投标语言</w:t>
      </w:r>
      <w:r>
        <w:rPr>
          <w:rFonts w:ascii="Times New Roman" w:hAnsi="Times New Roman" w:eastAsia="仿宋_GB2312"/>
          <w:color w:val="auto"/>
          <w:sz w:val="24"/>
          <w:szCs w:val="24"/>
          <w:highlight w:val="none"/>
        </w:rPr>
        <w:t xml:space="preserve"> </w:t>
      </w:r>
    </w:p>
    <w:p w14:paraId="3E43AFA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人提交的投标文件及投标人与交易中心就有关投标的所有往来函电均使用中文。投标人可以提交其他语言的资料，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3D3BF808">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2</w:t>
      </w:r>
      <w:r>
        <w:rPr>
          <w:rFonts w:ascii="Times New Roman" w:hAnsi="Times New Roman" w:eastAsia="仿宋_GB2312"/>
          <w:b/>
          <w:bCs/>
          <w:color w:val="auto"/>
          <w:sz w:val="24"/>
          <w:szCs w:val="24"/>
          <w:highlight w:val="none"/>
        </w:rPr>
        <w:t>. 计量单位</w:t>
      </w:r>
      <w:r>
        <w:rPr>
          <w:rFonts w:ascii="Times New Roman" w:hAnsi="Times New Roman" w:eastAsia="仿宋_GB2312"/>
          <w:color w:val="auto"/>
          <w:sz w:val="24"/>
          <w:szCs w:val="24"/>
          <w:highlight w:val="none"/>
        </w:rPr>
        <w:t xml:space="preserve"> </w:t>
      </w:r>
    </w:p>
    <w:p w14:paraId="3029E44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所有计量均采用中华人民共和国法定计量单位。 </w:t>
      </w:r>
    </w:p>
    <w:p w14:paraId="59F91098">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3</w:t>
      </w:r>
      <w:r>
        <w:rPr>
          <w:rFonts w:ascii="Times New Roman" w:hAnsi="Times New Roman" w:eastAsia="仿宋_GB2312"/>
          <w:b/>
          <w:bCs/>
          <w:color w:val="auto"/>
          <w:sz w:val="24"/>
          <w:szCs w:val="24"/>
          <w:highlight w:val="none"/>
        </w:rPr>
        <w:t>. 投标报价</w:t>
      </w:r>
      <w:r>
        <w:rPr>
          <w:rFonts w:ascii="Times New Roman" w:hAnsi="Times New Roman" w:eastAsia="仿宋_GB2312"/>
          <w:color w:val="auto"/>
          <w:sz w:val="24"/>
          <w:szCs w:val="24"/>
          <w:highlight w:val="none"/>
        </w:rPr>
        <w:t xml:space="preserve"> </w:t>
      </w:r>
    </w:p>
    <w:p w14:paraId="31A51F3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.1 投标人应按招标文件规定的要求及责任范围和合同条件，以人民币进行报价。 </w:t>
      </w:r>
    </w:p>
    <w:p w14:paraId="27D6BAB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.2 投标人应按《开标一览表》和《供货一览表》（或《分项价格表》）的内容和格式要求填写各项货物及服务的分项价格和总价</w:t>
      </w:r>
      <w:r>
        <w:rPr>
          <w:rFonts w:hint="eastAsia" w:ascii="Times New Roman" w:hAnsi="Times New Roman" w:eastAsia="仿宋_GB2312"/>
          <w:color w:val="auto"/>
          <w:sz w:val="24"/>
          <w:szCs w:val="24"/>
          <w:highlight w:val="none"/>
        </w:rPr>
        <w:t>。</w:t>
      </w:r>
    </w:p>
    <w:p w14:paraId="62B8885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3除招标文件另有规定外，投标人对本项目每个标段只允许有一个报价，不接受可选择或可调整的投标方案和报价，否则，在评标时将视为无效投标。投标文件要按招标文件的要求标明单价、总价。单价与总价不符者，适应单价的原则。总价应用数字和文字两种形式分别表示，数字和文字有不同时，总价以文字表述为准。</w:t>
      </w:r>
    </w:p>
    <w:p w14:paraId="064BF63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.4投标人的投标报价不得超过项目预算金额（含标段预算金额）或者最高限价，否则，在评标时将视为无效投标。</w:t>
      </w:r>
    </w:p>
    <w:p w14:paraId="7255E1C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.5 投标报价即为履行合同的固定价格，不得以任何理由予以变更（除不可抗力因素）。任何包含价格调整要求和附加条件的投标报价，在评标时将视为无效投标。 </w:t>
      </w:r>
    </w:p>
    <w:p w14:paraId="03FF482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.6 投标人的报价应包括为完成本项目所发生的一切费用</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安装、调试和培训</w:t>
      </w:r>
      <w:r>
        <w:rPr>
          <w:rFonts w:hint="eastAsia" w:ascii="Times New Roman" w:hAnsi="Times New Roman" w:eastAsia="仿宋_GB2312"/>
          <w:color w:val="auto"/>
          <w:sz w:val="24"/>
          <w:szCs w:val="24"/>
          <w:highlight w:val="none"/>
        </w:rPr>
        <w:t>等）</w:t>
      </w:r>
      <w:r>
        <w:rPr>
          <w:rFonts w:ascii="Times New Roman" w:hAnsi="Times New Roman" w:eastAsia="仿宋_GB2312"/>
          <w:color w:val="auto"/>
          <w:sz w:val="24"/>
          <w:szCs w:val="24"/>
          <w:highlight w:val="none"/>
        </w:rPr>
        <w:t>和税费，采购人将不再支付报价以外的任何费用。只要投报了一个确定数额的总价，无论分项价格是否全部填报了相应的金额或免费字样，报价应被视为已经包含了但并不限于本次招标全部采购需求所应提供的</w:t>
      </w:r>
      <w:r>
        <w:rPr>
          <w:rFonts w:hint="eastAsia" w:ascii="Times New Roman" w:hAnsi="Times New Roman" w:eastAsia="仿宋_GB2312"/>
          <w:color w:val="auto"/>
          <w:sz w:val="24"/>
          <w:szCs w:val="24"/>
          <w:highlight w:val="none"/>
        </w:rPr>
        <w:t>货物或</w:t>
      </w:r>
      <w:r>
        <w:rPr>
          <w:rFonts w:ascii="Times New Roman" w:hAnsi="Times New Roman" w:eastAsia="仿宋_GB2312"/>
          <w:color w:val="auto"/>
          <w:sz w:val="24"/>
          <w:szCs w:val="24"/>
          <w:highlight w:val="none"/>
        </w:rPr>
        <w:t>服务，以及伴随的货物和工程等的费用和所需缴纳的所有价格、税、费。在其他情况下，由于分项报价填报不完整、不清楚或存在其他任何失误，所导致的任何不利后果均应当由投标人自行承担。</w:t>
      </w:r>
    </w:p>
    <w:p w14:paraId="26677F6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.7 投标人应该考虑但没有考虑到的任何费用应由投标人自行承担。</w:t>
      </w:r>
    </w:p>
    <w:p w14:paraId="4C5E3A5B">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.8 投标文件报价出现前后不一致的，按照本章第30.5.4款规定修正。</w:t>
      </w:r>
    </w:p>
    <w:p w14:paraId="36E054D7">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.9 分项价格表应包含</w:t>
      </w:r>
      <w:r>
        <w:rPr>
          <w:rFonts w:hint="eastAsia" w:ascii="Times New Roman" w:hAnsi="Times New Roman" w:eastAsia="仿宋_GB2312"/>
          <w:color w:val="auto"/>
          <w:sz w:val="24"/>
          <w:szCs w:val="24"/>
          <w:highlight w:val="none"/>
        </w:rPr>
        <w:t>但不限于</w:t>
      </w:r>
      <w:r>
        <w:rPr>
          <w:rFonts w:ascii="Times New Roman" w:hAnsi="Times New Roman" w:eastAsia="仿宋_GB2312"/>
          <w:color w:val="auto"/>
          <w:sz w:val="24"/>
          <w:szCs w:val="24"/>
          <w:highlight w:val="none"/>
        </w:rPr>
        <w:t>以下内容：</w:t>
      </w:r>
    </w:p>
    <w:p w14:paraId="3FC1CDE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（1）报价应按照</w:t>
      </w:r>
      <w:r>
        <w:rPr>
          <w:rFonts w:hint="eastAsia" w:ascii="Times New Roman" w:hAnsi="Times New Roman" w:eastAsia="仿宋_GB2312"/>
          <w:color w:val="auto"/>
          <w:sz w:val="24"/>
          <w:szCs w:val="24"/>
          <w:highlight w:val="none"/>
        </w:rPr>
        <w:t>采购需求内容</w:t>
      </w:r>
      <w:r>
        <w:rPr>
          <w:rFonts w:ascii="Times New Roman" w:hAnsi="Times New Roman" w:eastAsia="仿宋_GB2312"/>
          <w:color w:val="auto"/>
          <w:sz w:val="24"/>
          <w:szCs w:val="24"/>
          <w:highlight w:val="none"/>
        </w:rPr>
        <w:t>分类进行报价。</w:t>
      </w:r>
    </w:p>
    <w:p w14:paraId="3EA780B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（2）技术招标文件中特别要求的备件价格。</w:t>
      </w:r>
    </w:p>
    <w:p w14:paraId="4F04955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（3）运输费、保险费、税费和产品运抵交货地点所产生的其他费用。</w:t>
      </w:r>
    </w:p>
    <w:p w14:paraId="22F4308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（4）售后服务费。</w:t>
      </w:r>
    </w:p>
    <w:p w14:paraId="3F4634E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22.10 除政策性文件规定以外，投标人所报价格在合同实施期间不因市场变化因素而变动。</w:t>
      </w:r>
    </w:p>
    <w:p w14:paraId="75E2A050">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4</w:t>
      </w:r>
      <w:r>
        <w:rPr>
          <w:rFonts w:ascii="Times New Roman" w:hAnsi="Times New Roman" w:eastAsia="仿宋_GB2312"/>
          <w:b/>
          <w:bCs/>
          <w:color w:val="auto"/>
          <w:sz w:val="24"/>
          <w:szCs w:val="24"/>
          <w:highlight w:val="none"/>
        </w:rPr>
        <w:t>. 投标文件的内容</w:t>
      </w:r>
      <w:r>
        <w:rPr>
          <w:rFonts w:ascii="Times New Roman" w:hAnsi="Times New Roman" w:eastAsia="仿宋_GB2312"/>
          <w:color w:val="auto"/>
          <w:sz w:val="24"/>
          <w:szCs w:val="24"/>
          <w:highlight w:val="none"/>
        </w:rPr>
        <w:t xml:space="preserve"> </w:t>
      </w:r>
    </w:p>
    <w:p w14:paraId="3EF34E29">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rPr>
        <w:t>4</w:t>
      </w:r>
      <w:r>
        <w:rPr>
          <w:rFonts w:ascii="Times New Roman" w:hAnsi="Times New Roman" w:eastAsia="仿宋_GB2312"/>
          <w:b/>
          <w:bCs/>
          <w:color w:val="auto"/>
          <w:sz w:val="24"/>
          <w:szCs w:val="24"/>
          <w:highlight w:val="none"/>
        </w:rPr>
        <w:t>.1</w:t>
      </w:r>
      <w:r>
        <w:rPr>
          <w:rFonts w:ascii="Times New Roman" w:hAnsi="Times New Roman" w:eastAsia="仿宋_GB2312"/>
          <w:color w:val="auto"/>
          <w:sz w:val="24"/>
          <w:szCs w:val="24"/>
          <w:highlight w:val="none"/>
        </w:rPr>
        <w:t xml:space="preserve"> </w:t>
      </w:r>
      <w:r>
        <w:rPr>
          <w:rFonts w:ascii="Times New Roman" w:hAnsi="Times New Roman" w:eastAsia="仿宋_GB2312"/>
          <w:b/>
          <w:bCs/>
          <w:color w:val="auto"/>
          <w:sz w:val="24"/>
          <w:szCs w:val="24"/>
          <w:highlight w:val="none"/>
        </w:rPr>
        <w:t>资格响应文件</w:t>
      </w:r>
    </w:p>
    <w:p w14:paraId="6B83A31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.1.1资格响应文件包含但不仅限于第一章要求的资格审查文件。</w:t>
      </w:r>
    </w:p>
    <w:p w14:paraId="444DF54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.1.2如果投标人为联合体，则应提交联合体协议。否则，在资格审查时将视为无效投标。</w:t>
      </w:r>
    </w:p>
    <w:p w14:paraId="2AF612E2">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bCs/>
          <w:color w:val="auto"/>
          <w:sz w:val="24"/>
          <w:szCs w:val="24"/>
          <w:highlight w:val="none"/>
        </w:rPr>
        <w:t>2</w:t>
      </w:r>
      <w:r>
        <w:rPr>
          <w:rFonts w:hint="eastAsia" w:ascii="Times New Roman" w:hAnsi="Times New Roman" w:eastAsia="仿宋_GB2312"/>
          <w:bCs/>
          <w:color w:val="auto"/>
          <w:sz w:val="24"/>
          <w:szCs w:val="24"/>
          <w:highlight w:val="none"/>
        </w:rPr>
        <w:t>4</w:t>
      </w:r>
      <w:r>
        <w:rPr>
          <w:rFonts w:ascii="Times New Roman" w:hAnsi="Times New Roman" w:eastAsia="仿宋_GB2312"/>
          <w:bCs/>
          <w:color w:val="auto"/>
          <w:sz w:val="24"/>
          <w:szCs w:val="24"/>
          <w:highlight w:val="none"/>
        </w:rPr>
        <w:t xml:space="preserve">.1.3 </w:t>
      </w:r>
      <w:r>
        <w:rPr>
          <w:rFonts w:ascii="Times New Roman" w:hAnsi="Times New Roman" w:eastAsia="仿宋_GB2312"/>
          <w:color w:val="auto"/>
          <w:sz w:val="24"/>
          <w:szCs w:val="24"/>
          <w:highlight w:val="none"/>
        </w:rPr>
        <w:t xml:space="preserve">投标人有下列情形之一的，视为无效投标： </w:t>
      </w:r>
    </w:p>
    <w:p w14:paraId="5C47EB7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（1）未按招标文件要求提交资格响应文件的或提供虚假资格响应文件的； </w:t>
      </w:r>
    </w:p>
    <w:p w14:paraId="0B1F04A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（2）资格响应文件不在有效期内或未按有关规定年审合格的。</w:t>
      </w:r>
    </w:p>
    <w:p w14:paraId="608FBD3F">
      <w:pPr>
        <w:adjustRightInd w:val="0"/>
        <w:snapToGrid w:val="0"/>
        <w:spacing w:line="400" w:lineRule="exact"/>
        <w:ind w:firstLine="477" w:firstLineChars="198"/>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4</w:t>
      </w:r>
      <w:r>
        <w:rPr>
          <w:rFonts w:ascii="Times New Roman" w:hAnsi="Times New Roman" w:eastAsia="仿宋_GB2312"/>
          <w:b/>
          <w:bCs/>
          <w:color w:val="auto"/>
          <w:sz w:val="24"/>
          <w:szCs w:val="24"/>
          <w:highlight w:val="none"/>
        </w:rPr>
        <w:t>.2  报价响应文件</w:t>
      </w:r>
    </w:p>
    <w:p w14:paraId="63B1D1D3">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报价响应文件包括但不限于：</w:t>
      </w:r>
    </w:p>
    <w:p w14:paraId="2C0BB908">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（1）价格表；</w:t>
      </w:r>
    </w:p>
    <w:p w14:paraId="1D6A1F2F">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（2）供货一览表</w:t>
      </w:r>
      <w:r>
        <w:rPr>
          <w:rFonts w:hint="eastAsia"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rPr>
        <w:t>分项价格表；</w:t>
      </w:r>
    </w:p>
    <w:p w14:paraId="1923043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）其他文件。</w:t>
      </w:r>
    </w:p>
    <w:p w14:paraId="5DF6478D">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4</w:t>
      </w:r>
      <w:r>
        <w:rPr>
          <w:rFonts w:ascii="Times New Roman" w:hAnsi="Times New Roman" w:eastAsia="仿宋_GB2312"/>
          <w:b/>
          <w:bCs/>
          <w:color w:val="auto"/>
          <w:sz w:val="24"/>
          <w:szCs w:val="24"/>
          <w:highlight w:val="none"/>
        </w:rPr>
        <w:t>.3  商务技术响应文件</w:t>
      </w:r>
    </w:p>
    <w:p w14:paraId="4C6AF594">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商务文件内容包括资质证明、工作业绩、技术实力等反映投标人的项目实施能力的文件。技术文件主要反映招标文件要求的有关技术方案、技术规格以及所提供详细技术指标等内容。主要包括：</w:t>
      </w:r>
    </w:p>
    <w:p w14:paraId="77F25225">
      <w:pPr>
        <w:adjustRightInd w:val="0"/>
        <w:snapToGrid w:val="0"/>
        <w:spacing w:line="400" w:lineRule="exact"/>
        <w:ind w:right="17" w:rightChars="8" w:firstLine="48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（1）业绩资料；</w:t>
      </w:r>
    </w:p>
    <w:p w14:paraId="20EEEC4B">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（2）资质证明文件（如果需要）；</w:t>
      </w:r>
    </w:p>
    <w:p w14:paraId="1BA59144">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（1）项目概况及特点；</w:t>
      </w:r>
    </w:p>
    <w:p w14:paraId="70F9E9F4">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（2）技术方案（或服务方案）及设计图纸（如果需要）；</w:t>
      </w:r>
    </w:p>
    <w:p w14:paraId="5977575F">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（3）技术规格（或服务计划）；</w:t>
      </w:r>
    </w:p>
    <w:p w14:paraId="54F830AC">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（4）产品说明书；</w:t>
      </w:r>
    </w:p>
    <w:p w14:paraId="1E4E9DF4">
      <w:pPr>
        <w:adjustRightInd w:val="0"/>
        <w:snapToGrid w:val="0"/>
        <w:spacing w:line="400" w:lineRule="exact"/>
        <w:ind w:right="17"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（6）技术培训（如果需要）；</w:t>
      </w:r>
    </w:p>
    <w:p w14:paraId="45F8862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（7）供货及质保承诺（或完工及服务期承诺）；</w:t>
      </w:r>
    </w:p>
    <w:p w14:paraId="4A544D67">
      <w:pPr>
        <w:adjustRightInd w:val="0"/>
        <w:snapToGrid w:val="0"/>
        <w:spacing w:line="400" w:lineRule="exact"/>
        <w:ind w:firstLine="480" w:firstLineChars="200"/>
        <w:rPr>
          <w:rFonts w:ascii="Times New Roman" w:hAnsi="Times New Roman" w:eastAsia="仿宋_GB2312"/>
          <w:b/>
          <w:bCs/>
          <w:color w:val="auto"/>
          <w:sz w:val="24"/>
          <w:szCs w:val="24"/>
          <w:highlight w:val="none"/>
        </w:rPr>
      </w:pPr>
      <w:r>
        <w:rPr>
          <w:rFonts w:ascii="Times New Roman" w:hAnsi="Times New Roman" w:eastAsia="仿宋_GB2312"/>
          <w:color w:val="auto"/>
          <w:sz w:val="24"/>
          <w:szCs w:val="24"/>
          <w:highlight w:val="none"/>
        </w:rPr>
        <w:t>（8）其他文件（如人员</w:t>
      </w:r>
      <w:r>
        <w:rPr>
          <w:rFonts w:hint="eastAsia" w:ascii="Times New Roman" w:hAnsi="Times New Roman" w:eastAsia="仿宋_GB2312"/>
          <w:color w:val="auto"/>
          <w:sz w:val="24"/>
          <w:szCs w:val="24"/>
          <w:highlight w:val="none"/>
        </w:rPr>
        <w:t>明细</w:t>
      </w:r>
      <w:r>
        <w:rPr>
          <w:rFonts w:ascii="Times New Roman" w:hAnsi="Times New Roman" w:eastAsia="仿宋_GB2312"/>
          <w:color w:val="auto"/>
          <w:sz w:val="24"/>
          <w:szCs w:val="24"/>
          <w:highlight w:val="none"/>
        </w:rPr>
        <w:t>、劳动力配置等情况说明及其他证明文件）（如果需要）。</w:t>
      </w:r>
    </w:p>
    <w:p w14:paraId="2C953E4F">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5</w:t>
      </w:r>
      <w:r>
        <w:rPr>
          <w:rFonts w:ascii="Times New Roman" w:hAnsi="Times New Roman" w:eastAsia="仿宋_GB2312"/>
          <w:b/>
          <w:bCs/>
          <w:color w:val="auto"/>
          <w:sz w:val="24"/>
          <w:szCs w:val="24"/>
          <w:highlight w:val="none"/>
        </w:rPr>
        <w:t>. 投标文件实质响应招标文件</w:t>
      </w:r>
      <w:r>
        <w:rPr>
          <w:rFonts w:ascii="Times New Roman" w:hAnsi="Times New Roman" w:eastAsia="仿宋_GB2312"/>
          <w:color w:val="auto"/>
          <w:sz w:val="24"/>
          <w:szCs w:val="24"/>
          <w:highlight w:val="none"/>
        </w:rPr>
        <w:t xml:space="preserve"> </w:t>
      </w:r>
    </w:p>
    <w:p w14:paraId="24A9A85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 xml:space="preserve">.1 投标人应当提交其拟供的合同项下货物及其服务符合招标文件规定的证明文件，该证明文件作为投标文件的一部分。 </w:t>
      </w:r>
    </w:p>
    <w:p w14:paraId="37E93AB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.2 投标人应按招标文件要求详细填写相关表格。</w:t>
      </w:r>
    </w:p>
    <w:p w14:paraId="03700B8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5</w:t>
      </w:r>
      <w:r>
        <w:rPr>
          <w:rFonts w:ascii="Times New Roman" w:hAnsi="Times New Roman" w:eastAsia="仿宋_GB2312"/>
          <w:color w:val="auto"/>
          <w:sz w:val="24"/>
          <w:szCs w:val="24"/>
          <w:highlight w:val="none"/>
        </w:rPr>
        <w:t>.3 技术规格、参数响应偏离表应对照招标文件技术要求逐条详细填写响应内容，不得简单以“均响应”、“完全响应”等同等含义文字代替技术要求的描述，否则评标委员会将判定其未响应。投标人须注意：为合理节约政府采购评审成本，提倡诚实信用的投标行为，特别要求投标人应本着诚信精神，在本次投标文件的偏离表中，均以审慎的态度明确、清楚地披露各项偏离情况。若投标人对某一事项是否存在或是否属于负偏离不能确定，亦必须在偏离表中清楚地表明该偏离事项，并可以注明不能确定的字样。任何情况下，对于投标人没有在偏离表中明确、清楚地披露的事项，包括可能属于被投标人在偏离表中遗漏披露的事项，将被认定为属于负偏离。</w:t>
      </w:r>
    </w:p>
    <w:p w14:paraId="79EA5E8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6</w:t>
      </w:r>
      <w:r>
        <w:rPr>
          <w:rFonts w:ascii="Times New Roman" w:hAnsi="Times New Roman" w:eastAsia="仿宋_GB2312"/>
          <w:b/>
          <w:bCs/>
          <w:color w:val="auto"/>
          <w:sz w:val="24"/>
          <w:szCs w:val="24"/>
          <w:highlight w:val="none"/>
        </w:rPr>
        <w:t xml:space="preserve">. 投标有效期 </w:t>
      </w:r>
      <w:r>
        <w:rPr>
          <w:rFonts w:ascii="Times New Roman" w:hAnsi="Times New Roman" w:eastAsia="仿宋_GB2312"/>
          <w:color w:val="auto"/>
          <w:sz w:val="24"/>
          <w:szCs w:val="24"/>
          <w:highlight w:val="none"/>
        </w:rPr>
        <w:t xml:space="preserve"> </w:t>
      </w:r>
    </w:p>
    <w:p w14:paraId="0F4C4D8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rPr>
        <w:t>投标有效期见“第二章 招标文件前附表”，在此期间投标文件对投标人具有法律约束力，以保证采购人有足够的时间完成评标、定标以及签订合同。投标有效期不足的，在评标时将其视为无效投标。</w:t>
      </w:r>
    </w:p>
    <w:p w14:paraId="1F00CF0D">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.2 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448A38D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6</w:t>
      </w:r>
      <w:r>
        <w:rPr>
          <w:rFonts w:hint="eastAsia" w:ascii="Times New Roman" w:hAnsi="Times New Roman" w:eastAsia="仿宋_GB2312"/>
          <w:color w:val="auto"/>
          <w:sz w:val="24"/>
          <w:szCs w:val="24"/>
          <w:highlight w:val="none"/>
        </w:rPr>
        <w:t>.3 投标人同意延长的，其投标保证金的有效期也相应延长，但不得要求或被允许修改或撤销其投标文件；投标人拒绝延长的，其投标文件在原投标有效期满后将不再有效，但其提交的投标保证金可予以退还。</w:t>
      </w:r>
      <w:r>
        <w:rPr>
          <w:rFonts w:ascii="Times New Roman" w:hAnsi="Times New Roman" w:eastAsia="仿宋_GB2312"/>
          <w:color w:val="auto"/>
          <w:sz w:val="24"/>
          <w:szCs w:val="24"/>
          <w:highlight w:val="none"/>
        </w:rPr>
        <w:t xml:space="preserve"> </w:t>
      </w:r>
    </w:p>
    <w:p w14:paraId="0F9CD80E">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2</w:t>
      </w:r>
      <w:r>
        <w:rPr>
          <w:rFonts w:hint="eastAsia" w:ascii="Times New Roman" w:hAnsi="Times New Roman" w:eastAsia="仿宋_GB2312"/>
          <w:b/>
          <w:bCs/>
          <w:color w:val="auto"/>
          <w:sz w:val="24"/>
          <w:szCs w:val="24"/>
          <w:highlight w:val="none"/>
          <w:lang w:val="en-US" w:eastAsia="zh-CN"/>
        </w:rPr>
        <w:t>7</w:t>
      </w:r>
      <w:r>
        <w:rPr>
          <w:rFonts w:hint="eastAsia" w:ascii="Times New Roman" w:hAnsi="Times New Roman" w:eastAsia="仿宋_GB2312"/>
          <w:b/>
          <w:bCs/>
          <w:color w:val="auto"/>
          <w:sz w:val="24"/>
          <w:szCs w:val="24"/>
          <w:highlight w:val="none"/>
        </w:rPr>
        <w:t>. 样品及演示</w:t>
      </w:r>
      <w:r>
        <w:rPr>
          <w:rFonts w:hint="eastAsia" w:ascii="Times New Roman" w:hAnsi="Times New Roman" w:eastAsia="仿宋_GB2312"/>
          <w:color w:val="auto"/>
          <w:sz w:val="24"/>
          <w:szCs w:val="24"/>
          <w:highlight w:val="none"/>
        </w:rPr>
        <w:t xml:space="preserve"> </w:t>
      </w:r>
    </w:p>
    <w:p w14:paraId="7686154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7</w:t>
      </w:r>
      <w:r>
        <w:rPr>
          <w:rFonts w:hint="eastAsia" w:ascii="Times New Roman" w:hAnsi="Times New Roman" w:eastAsia="仿宋_GB2312"/>
          <w:color w:val="auto"/>
          <w:sz w:val="24"/>
          <w:szCs w:val="24"/>
          <w:highlight w:val="none"/>
        </w:rPr>
        <w:t>.1本项目是否要求投标人提供样品，以及样品制作的标准和要求、是否需要随样品提交相关检测报告、样品的递交等要求见招标文件第二章。</w:t>
      </w:r>
    </w:p>
    <w:p w14:paraId="2E71205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7</w:t>
      </w:r>
      <w:r>
        <w:rPr>
          <w:rFonts w:hint="eastAsia" w:ascii="Times New Roman" w:hAnsi="Times New Roman" w:eastAsia="仿宋_GB2312"/>
          <w:color w:val="auto"/>
          <w:sz w:val="24"/>
          <w:szCs w:val="24"/>
          <w:highlight w:val="none"/>
        </w:rPr>
        <w:t>.2样品退还：未中标的投标人自行联系采购人或集采机构取回投标样品；中标人的样品由采购人进行保管、封存，并作为履约验收的参考（招标文件另有规定的从其规定）。</w:t>
      </w:r>
    </w:p>
    <w:p w14:paraId="1AE4AE5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7</w:t>
      </w:r>
      <w:r>
        <w:rPr>
          <w:rFonts w:hint="eastAsia" w:ascii="Times New Roman" w:hAnsi="Times New Roman" w:eastAsia="仿宋_GB2312"/>
          <w:color w:val="auto"/>
          <w:sz w:val="24"/>
          <w:szCs w:val="24"/>
          <w:highlight w:val="none"/>
        </w:rPr>
        <w:t>.3 样品的评审方法以及评审标准等内容见招标文件第五章。</w:t>
      </w:r>
    </w:p>
    <w:p w14:paraId="33E307C3">
      <w:pPr>
        <w:rPr>
          <w:rFonts w:ascii="Times New Roman" w:hAnsi="Times New Roman"/>
          <w:color w:val="auto"/>
          <w:highlight w:val="none"/>
        </w:rPr>
      </w:pPr>
      <w:bookmarkStart w:id="71" w:name="EBe30f8b79ac024dd3a8d37824d3983b65"/>
      <w:r>
        <w:rPr>
          <w:rFonts w:ascii="Times New Roman" w:hAnsi="Times New Roman"/>
          <w:color w:val="auto"/>
          <w:sz w:val="20"/>
          <w:highlight w:val="none"/>
        </w:rPr>
        <w:t xml:space="preserve"> </w:t>
      </w:r>
      <w:bookmarkEnd w:id="71"/>
      <w:bookmarkStart w:id="72" w:name="EB2483f9d8c5024f89af709c3d98ec2104"/>
      <w:r>
        <w:rPr>
          <w:rFonts w:ascii="Times New Roman" w:hAnsi="Times New Roman"/>
          <w:color w:val="auto"/>
          <w:sz w:val="20"/>
          <w:highlight w:val="none"/>
        </w:rPr>
        <w:t xml:space="preserve"> </w:t>
      </w:r>
      <w:bookmarkEnd w:id="72"/>
      <w:bookmarkStart w:id="73" w:name="EB9cfc61f9e3dc4aad9dd042e004b7c638"/>
      <w:r>
        <w:rPr>
          <w:rFonts w:ascii="Times New Roman" w:hAnsi="Times New Roman"/>
          <w:color w:val="auto"/>
          <w:sz w:val="20"/>
          <w:highlight w:val="none"/>
        </w:rPr>
        <w:t xml:space="preserve"> </w:t>
      </w:r>
      <w:bookmarkEnd w:id="73"/>
    </w:p>
    <w:p w14:paraId="6188F934">
      <w:pPr>
        <w:pStyle w:val="4"/>
        <w:ind w:firstLine="482"/>
        <w:rPr>
          <w:color w:val="auto"/>
          <w:highlight w:val="none"/>
        </w:rPr>
      </w:pPr>
      <w:bookmarkStart w:id="74" w:name="_Toc152516865"/>
      <w:bookmarkStart w:id="75" w:name="_Toc104293460"/>
      <w:bookmarkStart w:id="76" w:name="_Toc256000012"/>
      <w:bookmarkStart w:id="77" w:name="_Toc28568"/>
      <w:r>
        <w:rPr>
          <w:color w:val="auto"/>
          <w:highlight w:val="none"/>
        </w:rPr>
        <w:t>四、投标文件的提交、修改和撤回</w:t>
      </w:r>
      <w:bookmarkEnd w:id="74"/>
      <w:bookmarkEnd w:id="75"/>
      <w:bookmarkEnd w:id="76"/>
      <w:bookmarkEnd w:id="77"/>
    </w:p>
    <w:p w14:paraId="7BA2C72C">
      <w:pPr>
        <w:adjustRightInd w:val="0"/>
        <w:snapToGrid w:val="0"/>
        <w:spacing w:line="400" w:lineRule="exact"/>
        <w:ind w:firstLine="482" w:firstLineChars="200"/>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2</w:t>
      </w:r>
      <w:r>
        <w:rPr>
          <w:rFonts w:hint="eastAsia" w:ascii="Times New Roman" w:hAnsi="Times New Roman" w:eastAsia="仿宋_GB2312"/>
          <w:b/>
          <w:color w:val="auto"/>
          <w:sz w:val="24"/>
          <w:szCs w:val="24"/>
          <w:highlight w:val="none"/>
          <w:lang w:val="en-US" w:eastAsia="zh-CN"/>
        </w:rPr>
        <w:t>8</w:t>
      </w:r>
      <w:r>
        <w:rPr>
          <w:rFonts w:ascii="Times New Roman" w:hAnsi="Times New Roman" w:eastAsia="仿宋_GB2312"/>
          <w:b/>
          <w:color w:val="auto"/>
          <w:sz w:val="24"/>
          <w:szCs w:val="24"/>
          <w:highlight w:val="none"/>
        </w:rPr>
        <w:t>．投标文件的提交</w:t>
      </w:r>
    </w:p>
    <w:p w14:paraId="320C68A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8</w:t>
      </w:r>
      <w:r>
        <w:rPr>
          <w:rFonts w:ascii="Times New Roman" w:hAnsi="Times New Roman" w:eastAsia="仿宋_GB2312"/>
          <w:color w:val="auto"/>
          <w:sz w:val="24"/>
          <w:szCs w:val="24"/>
          <w:highlight w:val="none"/>
        </w:rPr>
        <w:t>.1投标文件通过数字证书进行加密并签章。未按要求执行的投标文件，政采云平台将无法接受，交易中心不予受理。</w:t>
      </w:r>
    </w:p>
    <w:p w14:paraId="0C9D73E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8</w:t>
      </w:r>
      <w:r>
        <w:rPr>
          <w:rFonts w:ascii="Times New Roman" w:hAnsi="Times New Roman" w:eastAsia="仿宋_GB2312"/>
          <w:color w:val="auto"/>
          <w:sz w:val="24"/>
          <w:szCs w:val="24"/>
          <w:highlight w:val="none"/>
        </w:rPr>
        <w:t>.2 投标人应在招标文件规定的投标截止时间前将电子投标文件网络传输至政采云平台的</w:t>
      </w:r>
      <w:r>
        <w:rPr>
          <w:rFonts w:hint="eastAsia" w:ascii="Times New Roman" w:hAnsi="Times New Roman" w:eastAsia="仿宋_GB2312"/>
          <w:color w:val="auto"/>
          <w:sz w:val="24"/>
          <w:szCs w:val="24"/>
          <w:highlight w:val="none"/>
          <w:lang w:eastAsia="zh-CN"/>
        </w:rPr>
        <w:t>相应</w:t>
      </w:r>
      <w:r>
        <w:rPr>
          <w:rFonts w:ascii="Times New Roman" w:hAnsi="Times New Roman" w:eastAsia="仿宋_GB2312"/>
          <w:color w:val="auto"/>
          <w:sz w:val="24"/>
          <w:szCs w:val="24"/>
          <w:highlight w:val="none"/>
        </w:rPr>
        <w:t>栏目，逾期不予受理。</w:t>
      </w:r>
    </w:p>
    <w:p w14:paraId="2AA40951">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8</w:t>
      </w:r>
      <w:r>
        <w:rPr>
          <w:rFonts w:ascii="Times New Roman" w:hAnsi="Times New Roman" w:eastAsia="仿宋_GB2312"/>
          <w:color w:val="auto"/>
          <w:sz w:val="24"/>
          <w:szCs w:val="24"/>
          <w:highlight w:val="none"/>
        </w:rPr>
        <w:t>.3因自身原因导致投标文件提交不成功的，由投标人自行承担不利后果。</w:t>
      </w:r>
    </w:p>
    <w:p w14:paraId="110AE95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w:t>
      </w:r>
      <w:r>
        <w:rPr>
          <w:rFonts w:hint="eastAsia" w:ascii="Times New Roman" w:hAnsi="Times New Roman" w:eastAsia="仿宋_GB2312"/>
          <w:color w:val="auto"/>
          <w:sz w:val="24"/>
          <w:szCs w:val="24"/>
          <w:highlight w:val="none"/>
          <w:lang w:val="en-US" w:eastAsia="zh-CN"/>
        </w:rPr>
        <w:t>8</w:t>
      </w:r>
      <w:r>
        <w:rPr>
          <w:rFonts w:hint="eastAsia" w:ascii="Times New Roman" w:hAnsi="Times New Roman" w:eastAsia="仿宋_GB2312"/>
          <w:color w:val="auto"/>
          <w:sz w:val="24"/>
          <w:szCs w:val="24"/>
          <w:highlight w:val="none"/>
        </w:rPr>
        <w:t>.4 投标人所递交的电子投标文件不予退还。</w:t>
      </w:r>
    </w:p>
    <w:p w14:paraId="48B4EE0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lang w:val="en-US" w:eastAsia="zh-CN"/>
        </w:rPr>
        <w:t>29</w:t>
      </w:r>
      <w:r>
        <w:rPr>
          <w:rFonts w:ascii="Times New Roman" w:hAnsi="Times New Roman" w:eastAsia="仿宋_GB2312"/>
          <w:b/>
          <w:bCs/>
          <w:color w:val="auto"/>
          <w:sz w:val="24"/>
          <w:szCs w:val="24"/>
          <w:highlight w:val="none"/>
        </w:rPr>
        <w:t>.</w:t>
      </w:r>
      <w:r>
        <w:rPr>
          <w:rFonts w:hint="eastAsia" w:ascii="Times New Roman" w:hAnsi="Times New Roman" w:eastAsia="仿宋_GB2312"/>
          <w:b/>
          <w:bCs/>
          <w:color w:val="auto"/>
          <w:sz w:val="24"/>
          <w:szCs w:val="24"/>
          <w:highlight w:val="none"/>
        </w:rPr>
        <w:t xml:space="preserve"> </w:t>
      </w:r>
      <w:r>
        <w:rPr>
          <w:rFonts w:ascii="Times New Roman" w:hAnsi="Times New Roman" w:eastAsia="仿宋_GB2312"/>
          <w:b/>
          <w:bCs/>
          <w:color w:val="auto"/>
          <w:sz w:val="24"/>
          <w:szCs w:val="24"/>
          <w:highlight w:val="none"/>
        </w:rPr>
        <w:t>投标文件的修改和撤回</w:t>
      </w:r>
      <w:r>
        <w:rPr>
          <w:rFonts w:ascii="Times New Roman" w:hAnsi="Times New Roman" w:eastAsia="仿宋_GB2312"/>
          <w:color w:val="auto"/>
          <w:sz w:val="24"/>
          <w:szCs w:val="24"/>
          <w:highlight w:val="none"/>
        </w:rPr>
        <w:t xml:space="preserve"> </w:t>
      </w:r>
    </w:p>
    <w:p w14:paraId="7419194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投标人在招标文件规定的投标截止时间前可以撤回投标文件，也可以撤回并修改后重新提交。在投标截止时间之后，</w:t>
      </w:r>
      <w:r>
        <w:rPr>
          <w:rFonts w:hint="eastAsia" w:ascii="Times New Roman" w:hAnsi="Times New Roman" w:eastAsia="仿宋_GB2312"/>
          <w:color w:val="auto"/>
          <w:sz w:val="24"/>
          <w:szCs w:val="24"/>
          <w:highlight w:val="none"/>
        </w:rPr>
        <w:t>不得撤回投标文件</w:t>
      </w:r>
      <w:r>
        <w:rPr>
          <w:rFonts w:ascii="Times New Roman" w:hAnsi="Times New Roman" w:eastAsia="仿宋_GB2312"/>
          <w:color w:val="auto"/>
          <w:sz w:val="24"/>
          <w:szCs w:val="24"/>
          <w:highlight w:val="none"/>
        </w:rPr>
        <w:t>。</w:t>
      </w:r>
    </w:p>
    <w:p w14:paraId="6B733A6D">
      <w:pPr>
        <w:adjustRightInd w:val="0"/>
        <w:snapToGrid w:val="0"/>
        <w:spacing w:line="400" w:lineRule="exact"/>
        <w:ind w:firstLine="477" w:firstLineChars="198"/>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0</w:t>
      </w:r>
      <w:r>
        <w:rPr>
          <w:rFonts w:ascii="Times New Roman" w:hAnsi="Times New Roman" w:eastAsia="仿宋_GB2312"/>
          <w:b/>
          <w:bCs/>
          <w:color w:val="auto"/>
          <w:sz w:val="24"/>
          <w:szCs w:val="24"/>
          <w:highlight w:val="none"/>
        </w:rPr>
        <w:t>.</w:t>
      </w:r>
      <w:r>
        <w:rPr>
          <w:rFonts w:hint="eastAsia" w:ascii="Times New Roman" w:hAnsi="Times New Roman" w:eastAsia="仿宋_GB2312"/>
          <w:b/>
          <w:bCs/>
          <w:color w:val="auto"/>
          <w:sz w:val="24"/>
          <w:szCs w:val="24"/>
          <w:highlight w:val="none"/>
        </w:rPr>
        <w:t xml:space="preserve"> </w:t>
      </w:r>
      <w:r>
        <w:rPr>
          <w:rFonts w:ascii="Times New Roman" w:hAnsi="Times New Roman" w:eastAsia="仿宋_GB2312"/>
          <w:b/>
          <w:bCs/>
          <w:color w:val="auto"/>
          <w:sz w:val="24"/>
          <w:szCs w:val="24"/>
          <w:highlight w:val="none"/>
        </w:rPr>
        <w:t>串通投标</w:t>
      </w:r>
      <w:r>
        <w:rPr>
          <w:rFonts w:ascii="Times New Roman" w:hAnsi="Times New Roman" w:eastAsia="仿宋_GB2312"/>
          <w:color w:val="auto"/>
          <w:sz w:val="24"/>
          <w:szCs w:val="24"/>
          <w:highlight w:val="none"/>
        </w:rPr>
        <w:t xml:space="preserve"> </w:t>
      </w:r>
    </w:p>
    <w:p w14:paraId="40D2A68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有下列情形之一的，视为投标人串通投标，其投标无效：</w:t>
      </w:r>
    </w:p>
    <w:p w14:paraId="1FE25E6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（1）不同投标人的投标文件由同一单位或者个人编制；</w:t>
      </w:r>
    </w:p>
    <w:p w14:paraId="2A9323D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（2）不同投标人委托同一单位或者个人办理投标事宜；</w:t>
      </w:r>
    </w:p>
    <w:p w14:paraId="31BAF59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（3）不同投标人的投标文件载明的项目管理成员或者联系人员为同一人；</w:t>
      </w:r>
    </w:p>
    <w:p w14:paraId="4D35C2D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（4）不同投标人的投标文件异常一致或者投标报价呈规律性差异；</w:t>
      </w:r>
    </w:p>
    <w:p w14:paraId="7D7C061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（5）不同投标人的投标资料相互混装；</w:t>
      </w:r>
    </w:p>
    <w:p w14:paraId="3BC75E4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不同投标人的投标保证金从同一单位或者个人的账户转出。</w:t>
      </w:r>
    </w:p>
    <w:p w14:paraId="0BC2E9E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）相关法律、法规规定的其他形式。</w:t>
      </w:r>
    </w:p>
    <w:p w14:paraId="339995F5">
      <w:pPr>
        <w:rPr>
          <w:rFonts w:ascii="Times New Roman" w:hAnsi="Times New Roman"/>
          <w:color w:val="auto"/>
          <w:highlight w:val="none"/>
        </w:rPr>
      </w:pPr>
      <w:bookmarkStart w:id="78" w:name="EB66ceaa6b39824d508105a628bcafcd9b"/>
      <w:r>
        <w:rPr>
          <w:rFonts w:ascii="Times New Roman" w:hAnsi="Times New Roman"/>
          <w:color w:val="auto"/>
          <w:sz w:val="20"/>
          <w:highlight w:val="none"/>
        </w:rPr>
        <w:t xml:space="preserve"> </w:t>
      </w:r>
      <w:bookmarkEnd w:id="78"/>
      <w:bookmarkStart w:id="79" w:name="EB6af295d2da2b4778b7c2c5c7e5eea71a"/>
      <w:r>
        <w:rPr>
          <w:rFonts w:ascii="Times New Roman" w:hAnsi="Times New Roman"/>
          <w:color w:val="auto"/>
          <w:sz w:val="20"/>
          <w:highlight w:val="none"/>
        </w:rPr>
        <w:t xml:space="preserve"> </w:t>
      </w:r>
      <w:bookmarkEnd w:id="79"/>
      <w:bookmarkStart w:id="80" w:name="EBa1eff873611b4b6486cc1da270cc8651"/>
      <w:r>
        <w:rPr>
          <w:rFonts w:ascii="Times New Roman" w:hAnsi="Times New Roman"/>
          <w:color w:val="auto"/>
          <w:sz w:val="20"/>
          <w:highlight w:val="none"/>
        </w:rPr>
        <w:t xml:space="preserve"> </w:t>
      </w:r>
      <w:bookmarkEnd w:id="80"/>
    </w:p>
    <w:p w14:paraId="30DAAE00">
      <w:pPr>
        <w:pStyle w:val="4"/>
        <w:ind w:firstLine="482"/>
        <w:rPr>
          <w:color w:val="auto"/>
          <w:highlight w:val="none"/>
        </w:rPr>
      </w:pPr>
      <w:bookmarkStart w:id="81" w:name="_Toc104293461"/>
      <w:bookmarkStart w:id="82" w:name="_Toc152516866"/>
      <w:bookmarkStart w:id="83" w:name="_Toc256000013"/>
      <w:bookmarkStart w:id="84" w:name="_Toc6330"/>
      <w:r>
        <w:rPr>
          <w:color w:val="auto"/>
          <w:highlight w:val="none"/>
        </w:rPr>
        <w:t>五、开标与评审</w:t>
      </w:r>
      <w:bookmarkEnd w:id="81"/>
      <w:bookmarkEnd w:id="82"/>
      <w:bookmarkEnd w:id="83"/>
      <w:bookmarkEnd w:id="84"/>
      <w:r>
        <w:rPr>
          <w:color w:val="auto"/>
          <w:highlight w:val="none"/>
        </w:rPr>
        <w:t xml:space="preserve"> </w:t>
      </w:r>
    </w:p>
    <w:p w14:paraId="26DB3141">
      <w:pPr>
        <w:adjustRightInd w:val="0"/>
        <w:snapToGrid w:val="0"/>
        <w:spacing w:line="400" w:lineRule="exact"/>
        <w:ind w:firstLine="482" w:firstLineChars="200"/>
        <w:rPr>
          <w:rFonts w:ascii="Times New Roman" w:hAnsi="Times New Roman" w:eastAsia="仿宋_GB2312"/>
          <w:b/>
          <w:bCs/>
          <w:color w:val="auto"/>
          <w:sz w:val="24"/>
          <w:szCs w:val="24"/>
          <w:highlight w:val="none"/>
        </w:rPr>
      </w:pPr>
      <w:r>
        <w:rPr>
          <w:rFonts w:hint="eastAsia"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1</w:t>
      </w:r>
      <w:r>
        <w:rPr>
          <w:rFonts w:ascii="Times New Roman" w:hAnsi="Times New Roman" w:eastAsia="仿宋_GB2312"/>
          <w:b/>
          <w:bCs/>
          <w:color w:val="auto"/>
          <w:sz w:val="24"/>
          <w:szCs w:val="24"/>
          <w:highlight w:val="none"/>
        </w:rPr>
        <w:t xml:space="preserve">. 开标 </w:t>
      </w:r>
    </w:p>
    <w:p w14:paraId="6BC5CB44">
      <w:pPr>
        <w:adjustRightInd w:val="0"/>
        <w:snapToGrid w:val="0"/>
        <w:spacing w:line="400" w:lineRule="exact"/>
        <w:ind w:firstLine="413"/>
        <w:rPr>
          <w:rFonts w:ascii="Times New Roman" w:hAnsi="Times New Roman" w:eastAsia="仿宋_GB2312"/>
          <w:b/>
          <w:bCs/>
          <w:color w:val="auto"/>
          <w:sz w:val="24"/>
          <w:szCs w:val="24"/>
          <w:highlight w:val="none"/>
        </w:rPr>
      </w:pPr>
      <w:r>
        <w:rPr>
          <w:rFonts w:ascii="Times New Roman" w:hAnsi="Times New Roman" w:eastAsia="仿宋_GB2312"/>
          <w:color w:val="auto"/>
          <w:sz w:val="24"/>
          <w:szCs w:val="24"/>
          <w:highlight w:val="none"/>
        </w:rPr>
        <w:t>交易中心按招标文件规定组织开标会议。投标人不足3家的，不得开标。</w:t>
      </w:r>
    </w:p>
    <w:p w14:paraId="5E41A47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.1 开标时，</w:t>
      </w:r>
      <w:r>
        <w:rPr>
          <w:rFonts w:hint="eastAsia" w:ascii="Times New Roman" w:hAnsi="Times New Roman" w:eastAsia="仿宋_GB2312"/>
          <w:color w:val="auto"/>
          <w:sz w:val="24"/>
          <w:szCs w:val="24"/>
          <w:highlight w:val="none"/>
        </w:rPr>
        <w:t>投标人</w:t>
      </w:r>
      <w:r>
        <w:rPr>
          <w:rFonts w:ascii="Times New Roman" w:hAnsi="Times New Roman" w:eastAsia="仿宋_GB2312"/>
          <w:color w:val="auto"/>
          <w:sz w:val="24"/>
          <w:szCs w:val="24"/>
          <w:highlight w:val="none"/>
        </w:rPr>
        <w:t>出现下列情形之一的，交易中心不予受理，不得进入评审：</w:t>
      </w:r>
    </w:p>
    <w:p w14:paraId="0ED7D5A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（1）经检查数字证书无效的电子投标文件；</w:t>
      </w:r>
    </w:p>
    <w:p w14:paraId="78FB4DE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（2）电子投标文件未按招标文件要求提交的；</w:t>
      </w:r>
    </w:p>
    <w:p w14:paraId="0EEDF17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（3）未按“招标文件前附表”的规定解密电子投标文件的；</w:t>
      </w:r>
    </w:p>
    <w:p w14:paraId="2F49B18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（4）未按招标文件内容执行的或其他违反法律、法规的情形。</w:t>
      </w:r>
    </w:p>
    <w:p w14:paraId="1A8D078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hint="eastAsia" w:ascii="Times New Roman" w:hAnsi="Times New Roman" w:eastAsia="仿宋_GB2312"/>
          <w:color w:val="auto"/>
          <w:sz w:val="24"/>
          <w:szCs w:val="24"/>
          <w:highlight w:val="none"/>
        </w:rPr>
        <w:t xml:space="preserve">.2 </w:t>
      </w:r>
      <w:r>
        <w:rPr>
          <w:rFonts w:ascii="Times New Roman" w:hAnsi="Times New Roman" w:eastAsia="仿宋_GB2312"/>
          <w:color w:val="auto"/>
          <w:sz w:val="24"/>
          <w:szCs w:val="24"/>
          <w:highlight w:val="none"/>
        </w:rPr>
        <w:t>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6F81832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投标人未参加开标的，视同认可开标结果。</w:t>
      </w:r>
    </w:p>
    <w:p w14:paraId="26ADF1D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 开标程序</w:t>
      </w:r>
    </w:p>
    <w:p w14:paraId="50509F0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.1 投标人签到。</w:t>
      </w:r>
    </w:p>
    <w:p w14:paraId="56CF542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.2 解密文件：由投标人使用CA数字证书登录政采云平台解密电子投标文件。</w:t>
      </w:r>
    </w:p>
    <w:p w14:paraId="7CF887E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rPr>
        <w:t>3</w:t>
      </w:r>
      <w:r>
        <w:rPr>
          <w:rFonts w:ascii="Times New Roman" w:hAnsi="Times New Roman" w:eastAsia="仿宋_GB2312"/>
          <w:color w:val="auto"/>
          <w:sz w:val="24"/>
          <w:szCs w:val="24"/>
          <w:highlight w:val="none"/>
        </w:rPr>
        <w:t xml:space="preserve">.3 </w:t>
      </w:r>
      <w:r>
        <w:rPr>
          <w:rFonts w:hint="eastAsia" w:ascii="Times New Roman" w:hAnsi="Times New Roman" w:eastAsia="仿宋_GB2312"/>
          <w:color w:val="auto"/>
          <w:sz w:val="24"/>
          <w:szCs w:val="24"/>
          <w:highlight w:val="none"/>
        </w:rPr>
        <w:t>解密完成后，系统自动显示</w:t>
      </w:r>
      <w:r>
        <w:rPr>
          <w:rFonts w:ascii="Times New Roman" w:hAnsi="Times New Roman" w:eastAsia="仿宋_GB2312"/>
          <w:color w:val="auto"/>
          <w:sz w:val="24"/>
          <w:szCs w:val="24"/>
          <w:highlight w:val="none"/>
        </w:rPr>
        <w:t>投标人的名称、投标报价，供货期及质保期或完工期及服务期等交易中心认为合适的其他详细内容。</w:t>
      </w:r>
    </w:p>
    <w:p w14:paraId="4A99BCB7">
      <w:pPr>
        <w:adjustRightInd w:val="0"/>
        <w:snapToGrid w:val="0"/>
        <w:spacing w:line="400" w:lineRule="exact"/>
        <w:ind w:firstLine="470" w:firstLineChars="196"/>
        <w:rPr>
          <w:rFonts w:ascii="Times New Roman" w:hAnsi="Times New Roman" w:eastAsia="仿宋_GB2312"/>
          <w:b/>
          <w:bCs/>
          <w:color w:val="auto"/>
          <w:sz w:val="24"/>
          <w:szCs w:val="24"/>
          <w:highlight w:val="none"/>
        </w:rPr>
      </w:pPr>
      <w:r>
        <w:rPr>
          <w:rFonts w:hint="eastAsia"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lang w:val="en-US" w:eastAsia="zh-CN"/>
        </w:rPr>
        <w:t>1</w:t>
      </w:r>
      <w:r>
        <w:rPr>
          <w:rFonts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val="en-US" w:eastAsia="zh-CN"/>
        </w:rPr>
        <w:t>3</w:t>
      </w:r>
      <w:r>
        <w:rPr>
          <w:rFonts w:ascii="Times New Roman" w:hAnsi="Times New Roman" w:eastAsia="仿宋_GB2312"/>
          <w:color w:val="auto"/>
          <w:sz w:val="24"/>
          <w:szCs w:val="24"/>
          <w:highlight w:val="none"/>
        </w:rPr>
        <w:t xml:space="preserve">.4 </w:t>
      </w:r>
      <w:r>
        <w:rPr>
          <w:rFonts w:hint="eastAsia" w:ascii="Times New Roman" w:hAnsi="Times New Roman" w:eastAsia="仿宋_GB2312"/>
          <w:bCs/>
          <w:color w:val="auto"/>
          <w:sz w:val="24"/>
          <w:szCs w:val="24"/>
          <w:highlight w:val="none"/>
        </w:rPr>
        <w:t>投标人应在线</w:t>
      </w:r>
      <w:r>
        <w:rPr>
          <w:rFonts w:ascii="Times New Roman" w:hAnsi="Times New Roman" w:eastAsia="仿宋_GB2312"/>
          <w:bCs/>
          <w:color w:val="auto"/>
          <w:sz w:val="24"/>
          <w:szCs w:val="24"/>
          <w:highlight w:val="none"/>
        </w:rPr>
        <w:t>对开标记录进行签署确认。</w:t>
      </w:r>
    </w:p>
    <w:p w14:paraId="0E071751">
      <w:pPr>
        <w:adjustRightInd w:val="0"/>
        <w:snapToGrid w:val="0"/>
        <w:spacing w:line="400" w:lineRule="exact"/>
        <w:ind w:firstLine="472" w:firstLineChars="196"/>
        <w:rPr>
          <w:rFonts w:ascii="Times New Roman" w:hAnsi="Times New Roman" w:eastAsia="仿宋_GB2312"/>
          <w:b/>
          <w:color w:val="auto"/>
          <w:sz w:val="24"/>
          <w:szCs w:val="24"/>
          <w:highlight w:val="none"/>
        </w:rPr>
      </w:pPr>
      <w:r>
        <w:rPr>
          <w:rFonts w:hint="eastAsia" w:ascii="Times New Roman" w:hAnsi="Times New Roman" w:eastAsia="仿宋_GB2312"/>
          <w:b/>
          <w:color w:val="auto"/>
          <w:sz w:val="24"/>
          <w:szCs w:val="24"/>
          <w:highlight w:val="none"/>
        </w:rPr>
        <w:t>3</w:t>
      </w:r>
      <w:r>
        <w:rPr>
          <w:rFonts w:hint="eastAsia" w:ascii="Times New Roman" w:hAnsi="Times New Roman" w:eastAsia="仿宋_GB2312"/>
          <w:b/>
          <w:color w:val="auto"/>
          <w:sz w:val="24"/>
          <w:szCs w:val="24"/>
          <w:highlight w:val="none"/>
          <w:lang w:val="en-US" w:eastAsia="zh-CN"/>
        </w:rPr>
        <w:t>2</w:t>
      </w:r>
      <w:r>
        <w:rPr>
          <w:rFonts w:hint="eastAsia" w:ascii="Times New Roman" w:hAnsi="Times New Roman" w:eastAsia="仿宋_GB2312"/>
          <w:b/>
          <w:color w:val="auto"/>
          <w:sz w:val="24"/>
          <w:szCs w:val="24"/>
          <w:highlight w:val="none"/>
        </w:rPr>
        <w:t xml:space="preserve">. </w:t>
      </w:r>
      <w:r>
        <w:rPr>
          <w:rFonts w:ascii="Times New Roman" w:hAnsi="Times New Roman" w:eastAsia="仿宋_GB2312"/>
          <w:b/>
          <w:color w:val="auto"/>
          <w:sz w:val="24"/>
          <w:szCs w:val="24"/>
          <w:highlight w:val="none"/>
        </w:rPr>
        <w:t>资格审查</w:t>
      </w:r>
    </w:p>
    <w:p w14:paraId="6E588D88">
      <w:pPr>
        <w:adjustRightInd w:val="0"/>
        <w:snapToGrid w:val="0"/>
        <w:spacing w:line="400" w:lineRule="exact"/>
        <w:ind w:firstLine="470" w:firstLineChars="196"/>
        <w:rPr>
          <w:rFonts w:ascii="Times New Roman" w:hAnsi="Times New Roman" w:eastAsia="仿宋_GB2312"/>
          <w:bCs/>
          <w:color w:val="auto"/>
          <w:sz w:val="24"/>
          <w:szCs w:val="24"/>
          <w:highlight w:val="none"/>
        </w:rPr>
      </w:pPr>
      <w:r>
        <w:rPr>
          <w:rFonts w:ascii="Times New Roman" w:hAnsi="Times New Roman" w:eastAsia="仿宋_GB2312"/>
          <w:color w:val="auto"/>
          <w:sz w:val="24"/>
          <w:szCs w:val="24"/>
          <w:highlight w:val="none"/>
        </w:rPr>
        <w:t>根据法律法规和招标文件的规定，</w:t>
      </w:r>
      <w:r>
        <w:rPr>
          <w:rFonts w:hint="eastAsia" w:ascii="Times New Roman" w:hAnsi="Times New Roman" w:eastAsia="仿宋_GB2312"/>
          <w:color w:val="auto"/>
          <w:sz w:val="24"/>
          <w:szCs w:val="24"/>
          <w:highlight w:val="none"/>
        </w:rPr>
        <w:t>采购人（资格审查小组）</w:t>
      </w:r>
      <w:r>
        <w:rPr>
          <w:rFonts w:ascii="Times New Roman" w:hAnsi="Times New Roman" w:eastAsia="仿宋_GB2312"/>
          <w:color w:val="auto"/>
          <w:sz w:val="24"/>
          <w:szCs w:val="24"/>
          <w:highlight w:val="none"/>
        </w:rPr>
        <w:t>对投标人进行资格审查，以确定投标人是否具备投标资格，并公布审查结果</w:t>
      </w:r>
      <w:r>
        <w:rPr>
          <w:rFonts w:ascii="Times New Roman" w:hAnsi="Times New Roman" w:eastAsia="仿宋_GB2312"/>
          <w:bCs/>
          <w:color w:val="auto"/>
          <w:sz w:val="24"/>
          <w:szCs w:val="24"/>
          <w:highlight w:val="none"/>
        </w:rPr>
        <w:t>。资格审查合格投标人不足3家的，不得评标。</w:t>
      </w:r>
    </w:p>
    <w:p w14:paraId="4E1760A8">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lang w:val="en-US" w:eastAsia="zh-CN"/>
        </w:rPr>
        <w:t>3</w:t>
      </w:r>
      <w:r>
        <w:rPr>
          <w:rFonts w:ascii="Times New Roman" w:hAnsi="Times New Roman" w:eastAsia="仿宋_GB2312"/>
          <w:b/>
          <w:bCs/>
          <w:color w:val="auto"/>
          <w:sz w:val="24"/>
          <w:szCs w:val="24"/>
          <w:highlight w:val="none"/>
        </w:rPr>
        <w:t>. 评标</w:t>
      </w:r>
    </w:p>
    <w:p w14:paraId="460D662F">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34</w:t>
      </w:r>
      <w:r>
        <w:rPr>
          <w:rFonts w:ascii="Times New Roman" w:hAnsi="Times New Roman" w:eastAsia="仿宋_GB2312"/>
          <w:b/>
          <w:bCs/>
          <w:color w:val="auto"/>
          <w:sz w:val="24"/>
          <w:szCs w:val="24"/>
          <w:highlight w:val="none"/>
        </w:rPr>
        <w:t>.1 评标委员会</w:t>
      </w:r>
      <w:r>
        <w:rPr>
          <w:rFonts w:ascii="Times New Roman" w:hAnsi="Times New Roman" w:eastAsia="仿宋_GB2312"/>
          <w:color w:val="auto"/>
          <w:sz w:val="24"/>
          <w:szCs w:val="24"/>
          <w:highlight w:val="none"/>
        </w:rPr>
        <w:t xml:space="preserve"> </w:t>
      </w:r>
    </w:p>
    <w:p w14:paraId="6E0D4F26">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评标委员会根据政府采购</w:t>
      </w:r>
      <w:r>
        <w:rPr>
          <w:rFonts w:hint="eastAsia" w:ascii="Times New Roman" w:hAnsi="Times New Roman" w:eastAsia="仿宋_GB2312"/>
          <w:color w:val="auto"/>
          <w:sz w:val="24"/>
          <w:szCs w:val="24"/>
          <w:highlight w:val="none"/>
        </w:rPr>
        <w:t>法规政策规定及</w:t>
      </w:r>
      <w:r>
        <w:rPr>
          <w:rFonts w:ascii="Times New Roman" w:hAnsi="Times New Roman" w:eastAsia="仿宋_GB2312"/>
          <w:color w:val="auto"/>
          <w:sz w:val="24"/>
          <w:szCs w:val="24"/>
          <w:highlight w:val="none"/>
        </w:rPr>
        <w:t>本次采购项目的特点进行组建，并负责具体评标事务，独立履行职责。评标依法进行，任何单位和个人不得干预、影响评标的过程和结果。</w:t>
      </w:r>
    </w:p>
    <w:p w14:paraId="24736FB6">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 xml:space="preserve">34.1.1 </w:t>
      </w:r>
      <w:r>
        <w:rPr>
          <w:rFonts w:ascii="Times New Roman" w:hAnsi="Times New Roman" w:eastAsia="仿宋_GB2312"/>
          <w:color w:val="auto"/>
          <w:sz w:val="24"/>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7FAE51A">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34.1.2 无法及时补足评标委员会成员的，采购人或者采购代理机构应当停止评标活动，封存所有投标文件和开标、评标资料，依法重新组建评标委员会进行评标。原评标委员会所作出的评标意见无效。</w:t>
      </w:r>
    </w:p>
    <w:p w14:paraId="7B73A8A4">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34.1.3 评标委员会成员有下列情形之一的，应当回避：</w:t>
      </w:r>
    </w:p>
    <w:p w14:paraId="43B6B5E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（1）参加采购活动前3年内与投标人存在劳动关系；</w:t>
      </w:r>
    </w:p>
    <w:p w14:paraId="24C9D98F">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（2）参加采购活动前3年内担任投标人的董事、监事；</w:t>
      </w:r>
    </w:p>
    <w:p w14:paraId="4A97B348">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（3）参加采购活动前3年内是投标人的控股股东或实际控制人；</w:t>
      </w:r>
    </w:p>
    <w:p w14:paraId="177FBC10">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（4）与投标人的法定代表人或者负责人有夫妻、直系血亲、三代以内旁系血亲或者近姻亲关系；</w:t>
      </w:r>
    </w:p>
    <w:p w14:paraId="6021B1A6">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（5）与投标人有其他可能影响采购活动公平、公正进行的关系。</w:t>
      </w:r>
    </w:p>
    <w:p w14:paraId="570F6328">
      <w:pPr>
        <w:adjustRightInd w:val="0"/>
        <w:snapToGrid w:val="0"/>
        <w:spacing w:line="400" w:lineRule="exact"/>
        <w:ind w:firstLine="477" w:firstLineChars="198"/>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34</w:t>
      </w:r>
      <w:r>
        <w:rPr>
          <w:rFonts w:ascii="Times New Roman" w:hAnsi="Times New Roman" w:eastAsia="仿宋_GB2312"/>
          <w:b/>
          <w:bCs/>
          <w:color w:val="auto"/>
          <w:sz w:val="24"/>
          <w:szCs w:val="24"/>
          <w:highlight w:val="none"/>
        </w:rPr>
        <w:t>.2 评标原则</w:t>
      </w:r>
    </w:p>
    <w:p w14:paraId="62BF575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（1）评标过程中应遵循公开、公平、公正、择优的原则；</w:t>
      </w:r>
    </w:p>
    <w:p w14:paraId="11C08DC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（2）评标应同时维护采购人和投标人的利益；</w:t>
      </w:r>
    </w:p>
    <w:p w14:paraId="387A25B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（3）资格审查合格的投标人，中标机会均等；</w:t>
      </w:r>
    </w:p>
    <w:p w14:paraId="6F3DF23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（4）评标人员应独立进行评审，对个人的评审意见承担法律责任；</w:t>
      </w:r>
    </w:p>
    <w:p w14:paraId="0A6981A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（5）评标人员不得私自泄露评标内容；</w:t>
      </w:r>
    </w:p>
    <w:p w14:paraId="1D341A5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（6）评标采取质量、性能、价格、服务综合评比</w:t>
      </w:r>
      <w:r>
        <w:rPr>
          <w:rFonts w:hint="eastAsia" w:ascii="Times New Roman" w:hAnsi="Times New Roman" w:eastAsia="仿宋_GB2312"/>
          <w:color w:val="auto"/>
          <w:sz w:val="24"/>
          <w:szCs w:val="24"/>
          <w:highlight w:val="none"/>
        </w:rPr>
        <w:t>；</w:t>
      </w:r>
    </w:p>
    <w:p w14:paraId="0CF43D44">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（7）评标委员会成员对需要共同认定的事项存在争议的，应当按照少数服从多数的原则作出结论。持不同意见的评标委员会成员应当在评标报告上签署不同意见及理由，否则视为同意评标报告。</w:t>
      </w:r>
    </w:p>
    <w:p w14:paraId="2490E896">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34</w:t>
      </w:r>
      <w:r>
        <w:rPr>
          <w:rFonts w:ascii="Times New Roman" w:hAnsi="Times New Roman" w:eastAsia="仿宋_GB2312"/>
          <w:b/>
          <w:bCs/>
          <w:color w:val="auto"/>
          <w:sz w:val="24"/>
          <w:szCs w:val="24"/>
          <w:highlight w:val="none"/>
        </w:rPr>
        <w:t>.3 评标方法</w:t>
      </w:r>
      <w:r>
        <w:rPr>
          <w:rFonts w:ascii="Times New Roman" w:hAnsi="Times New Roman" w:eastAsia="仿宋_GB2312"/>
          <w:color w:val="auto"/>
          <w:sz w:val="24"/>
          <w:szCs w:val="24"/>
          <w:highlight w:val="none"/>
        </w:rPr>
        <w:t xml:space="preserve"> </w:t>
      </w:r>
    </w:p>
    <w:p w14:paraId="7F6ACC88">
      <w:pPr>
        <w:adjustRightInd w:val="0"/>
        <w:snapToGrid w:val="0"/>
        <w:spacing w:line="400" w:lineRule="exact"/>
        <w:ind w:firstLine="42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按照招标文件第二章中约定的评标方法。</w:t>
      </w:r>
    </w:p>
    <w:p w14:paraId="74B8DCFC">
      <w:pPr>
        <w:adjustRightInd w:val="0"/>
        <w:snapToGrid w:val="0"/>
        <w:spacing w:line="400" w:lineRule="exact"/>
        <w:ind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（1）综合评分法，是指投标文件满足招标文件全部实质性要求，按照评审因素的量化指标评审，综合得分最高的投标人为中标候选人的评标方法。</w:t>
      </w:r>
    </w:p>
    <w:p w14:paraId="3D66AEC1">
      <w:pPr>
        <w:adjustRightInd w:val="0"/>
        <w:snapToGrid w:val="0"/>
        <w:spacing w:line="400" w:lineRule="exact"/>
        <w:ind w:firstLine="42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（2）最低评标价法，是指投标文件满足招标文件全部实质性要求，且投标报价最低的投标人为中标候选人的评标方法。</w:t>
      </w:r>
    </w:p>
    <w:p w14:paraId="63938896">
      <w:pPr>
        <w:adjustRightInd w:val="0"/>
        <w:snapToGrid w:val="0"/>
        <w:spacing w:line="400" w:lineRule="exact"/>
        <w:ind w:firstLine="42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评标委员会按照“第五章 评标方法及标准”的规定对投标文件进行评审。“第五章 评标方法及标准”没有规定的方法、评审因素和标准，不作为评标依据。</w:t>
      </w:r>
      <w:r>
        <w:rPr>
          <w:rFonts w:ascii="Times New Roman" w:hAnsi="Times New Roman" w:eastAsia="仿宋_GB2312"/>
          <w:color w:val="auto"/>
          <w:sz w:val="24"/>
          <w:szCs w:val="24"/>
          <w:highlight w:val="none"/>
        </w:rPr>
        <w:t xml:space="preserve"> </w:t>
      </w:r>
    </w:p>
    <w:p w14:paraId="1C207EBD">
      <w:pPr>
        <w:adjustRightInd w:val="0"/>
        <w:snapToGrid w:val="0"/>
        <w:spacing w:line="400" w:lineRule="exact"/>
        <w:ind w:right="-109" w:firstLine="482" w:firstLineChars="200"/>
        <w:rPr>
          <w:rFonts w:ascii="Times New Roman" w:hAnsi="Times New Roman" w:eastAsia="仿宋_GB2312"/>
          <w:color w:val="auto"/>
          <w:sz w:val="24"/>
          <w:szCs w:val="24"/>
          <w:highlight w:val="none"/>
        </w:rPr>
      </w:pPr>
      <w:r>
        <w:rPr>
          <w:rFonts w:hint="eastAsia" w:ascii="Times New Roman" w:hAnsi="Times New Roman" w:eastAsia="仿宋_GB2312"/>
          <w:b/>
          <w:bCs/>
          <w:color w:val="auto"/>
          <w:sz w:val="24"/>
          <w:szCs w:val="24"/>
          <w:highlight w:val="none"/>
        </w:rPr>
        <w:t>34</w:t>
      </w:r>
      <w:r>
        <w:rPr>
          <w:rFonts w:ascii="Times New Roman" w:hAnsi="Times New Roman" w:eastAsia="仿宋_GB2312"/>
          <w:b/>
          <w:bCs/>
          <w:color w:val="auto"/>
          <w:sz w:val="24"/>
          <w:szCs w:val="24"/>
          <w:highlight w:val="none"/>
        </w:rPr>
        <w:t>.4 投标文件的初步评审</w:t>
      </w:r>
      <w:r>
        <w:rPr>
          <w:rFonts w:ascii="Times New Roman" w:hAnsi="Times New Roman" w:eastAsia="仿宋_GB2312"/>
          <w:color w:val="auto"/>
          <w:sz w:val="24"/>
          <w:szCs w:val="24"/>
          <w:highlight w:val="none"/>
        </w:rPr>
        <w:t xml:space="preserve"> </w:t>
      </w:r>
    </w:p>
    <w:p w14:paraId="2376EBEF">
      <w:pPr>
        <w:adjustRightInd w:val="0"/>
        <w:snapToGrid w:val="0"/>
        <w:spacing w:line="400" w:lineRule="exact"/>
        <w:ind w:right="-109" w:firstLine="480" w:firstLineChars="200"/>
        <w:rPr>
          <w:rFonts w:ascii="Times New Roman" w:hAnsi="Times New Roman" w:eastAsia="仿宋_GB2312"/>
          <w:b/>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.4.1 符合性审查。评标委员会将对进入评审阶段的投标文件进行审查，依据招标文件的规定，针对投标文件的有效性、完整性和响应程度按照以下对照表逐项列出全部偏差，以确定是否对招标文件的实质性要求做出响应。</w:t>
      </w:r>
    </w:p>
    <w:p w14:paraId="5B19D6D2">
      <w:pPr>
        <w:spacing w:line="400" w:lineRule="exact"/>
        <w:ind w:right="-109" w:firstLine="420"/>
        <w:jc w:val="center"/>
        <w:rPr>
          <w:rFonts w:ascii="Times New Roman" w:hAnsi="Times New Roman" w:eastAsia="仿宋_GB2312"/>
          <w:b/>
          <w:color w:val="auto"/>
          <w:sz w:val="24"/>
          <w:szCs w:val="24"/>
          <w:highlight w:val="none"/>
        </w:rPr>
      </w:pPr>
    </w:p>
    <w:p w14:paraId="399E381D">
      <w:pPr>
        <w:spacing w:line="400" w:lineRule="exact"/>
        <w:ind w:right="-109" w:firstLine="420"/>
        <w:jc w:val="center"/>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符合性审查对照表</w:t>
      </w:r>
    </w:p>
    <w:p w14:paraId="1270A3A7">
      <w:pPr>
        <w:rPr>
          <w:rFonts w:ascii="Times New Roman" w:hAnsi="Times New Roman"/>
          <w:color w:val="auto"/>
          <w:highlight w:val="none"/>
        </w:rPr>
      </w:pPr>
      <w:bookmarkStart w:id="85" w:name="EB951f82d6e1104c01b708d3a26a861b17"/>
    </w:p>
    <w:tbl>
      <w:tblPr>
        <w:tblStyle w:val="29"/>
        <w:tblW w:w="940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88"/>
        <w:gridCol w:w="2410"/>
        <w:gridCol w:w="5216"/>
        <w:gridCol w:w="425"/>
        <w:gridCol w:w="425"/>
        <w:gridCol w:w="337"/>
      </w:tblGrid>
      <w:tr w14:paraId="1D82387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9401" w:type="dxa"/>
            <w:gridSpan w:val="6"/>
            <w:tcBorders>
              <w:top w:val="outset" w:color="auto" w:sz="6" w:space="0"/>
              <w:left w:val="outset" w:color="auto" w:sz="6" w:space="0"/>
              <w:bottom w:val="nil"/>
              <w:right w:val="outset" w:color="auto" w:sz="6" w:space="0"/>
            </w:tcBorders>
            <w:vAlign w:val="center"/>
          </w:tcPr>
          <w:p w14:paraId="6DD036DB">
            <w:pPr>
              <w:jc w:val="center"/>
              <w:rPr>
                <w:rFonts w:ascii="Times New Roman" w:hAnsi="Times New Roman" w:eastAsia="仿宋_GB2312"/>
                <w:color w:val="auto"/>
                <w:szCs w:val="21"/>
                <w:highlight w:val="none"/>
              </w:rPr>
            </w:pPr>
            <w:r>
              <w:rPr>
                <w:rFonts w:hint="eastAsia" w:ascii="Times New Roman" w:hAnsi="Times New Roman" w:eastAsia="仿宋_GB2312"/>
                <w:color w:val="auto"/>
                <w:sz w:val="24"/>
                <w:szCs w:val="24"/>
                <w:highlight w:val="none"/>
              </w:rPr>
              <w:t>市属单位2026年度通信链路服务租用项目</w:t>
            </w:r>
          </w:p>
        </w:tc>
      </w:tr>
      <w:bookmarkEnd w:id="85"/>
      <w:tr w14:paraId="01073BE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588" w:type="dxa"/>
            <w:vMerge w:val="restart"/>
            <w:tcBorders>
              <w:top w:val="outset" w:color="auto" w:sz="6" w:space="0"/>
              <w:left w:val="outset" w:color="auto" w:sz="6" w:space="0"/>
              <w:right w:val="outset" w:color="auto" w:sz="6" w:space="0"/>
            </w:tcBorders>
            <w:vAlign w:val="center"/>
          </w:tcPr>
          <w:p w14:paraId="6DFF817C">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序号</w:t>
            </w:r>
          </w:p>
        </w:tc>
        <w:tc>
          <w:tcPr>
            <w:tcW w:w="2410" w:type="dxa"/>
            <w:vMerge w:val="restart"/>
            <w:tcBorders>
              <w:top w:val="outset" w:color="auto" w:sz="6" w:space="0"/>
              <w:left w:val="outset" w:color="auto" w:sz="6" w:space="0"/>
              <w:right w:val="outset" w:color="auto" w:sz="6" w:space="0"/>
            </w:tcBorders>
            <w:vAlign w:val="center"/>
          </w:tcPr>
          <w:p w14:paraId="1577DBD7">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审查内容</w:t>
            </w:r>
          </w:p>
        </w:tc>
        <w:tc>
          <w:tcPr>
            <w:tcW w:w="5216" w:type="dxa"/>
            <w:vMerge w:val="restart"/>
            <w:tcBorders>
              <w:top w:val="outset" w:color="auto" w:sz="6" w:space="0"/>
              <w:left w:val="outset" w:color="auto" w:sz="6" w:space="0"/>
              <w:right w:val="outset" w:color="auto" w:sz="6" w:space="0"/>
            </w:tcBorders>
            <w:vAlign w:val="center"/>
          </w:tcPr>
          <w:p w14:paraId="74198A68">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审查因素</w:t>
            </w:r>
          </w:p>
        </w:tc>
        <w:tc>
          <w:tcPr>
            <w:tcW w:w="850" w:type="dxa"/>
            <w:gridSpan w:val="2"/>
            <w:tcBorders>
              <w:top w:val="outset" w:color="auto" w:sz="6" w:space="0"/>
              <w:left w:val="outset" w:color="auto" w:sz="6" w:space="0"/>
              <w:bottom w:val="outset" w:color="auto" w:sz="6" w:space="0"/>
              <w:right w:val="outset" w:color="auto" w:sz="6" w:space="0"/>
            </w:tcBorders>
          </w:tcPr>
          <w:p w14:paraId="0A0532C5">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是否符合</w:t>
            </w:r>
          </w:p>
        </w:tc>
        <w:tc>
          <w:tcPr>
            <w:tcW w:w="337" w:type="dxa"/>
            <w:vMerge w:val="restart"/>
            <w:tcBorders>
              <w:top w:val="outset" w:color="auto" w:sz="6" w:space="0"/>
              <w:left w:val="outset" w:color="auto" w:sz="6" w:space="0"/>
              <w:right w:val="outset" w:color="auto" w:sz="6" w:space="0"/>
            </w:tcBorders>
            <w:vAlign w:val="center"/>
          </w:tcPr>
          <w:p w14:paraId="62D87BE2">
            <w:pPr>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说明</w:t>
            </w:r>
          </w:p>
        </w:tc>
      </w:tr>
      <w:tr w14:paraId="302164F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vMerge w:val="continue"/>
            <w:tcBorders>
              <w:left w:val="outset" w:color="auto" w:sz="6" w:space="0"/>
              <w:bottom w:val="outset" w:color="auto" w:sz="6" w:space="0"/>
              <w:right w:val="outset" w:color="auto" w:sz="6" w:space="0"/>
            </w:tcBorders>
            <w:vAlign w:val="center"/>
          </w:tcPr>
          <w:p w14:paraId="11930006">
            <w:pPr>
              <w:adjustRightInd w:val="0"/>
              <w:snapToGrid w:val="0"/>
              <w:spacing w:line="340" w:lineRule="exact"/>
              <w:jc w:val="center"/>
              <w:rPr>
                <w:rFonts w:ascii="Times New Roman" w:hAnsi="Times New Roman" w:eastAsia="仿宋_GB2312"/>
                <w:color w:val="auto"/>
                <w:szCs w:val="21"/>
                <w:highlight w:val="none"/>
              </w:rPr>
            </w:pPr>
          </w:p>
        </w:tc>
        <w:tc>
          <w:tcPr>
            <w:tcW w:w="2410" w:type="dxa"/>
            <w:vMerge w:val="continue"/>
            <w:tcBorders>
              <w:left w:val="outset" w:color="auto" w:sz="6" w:space="0"/>
              <w:bottom w:val="outset" w:color="auto" w:sz="6" w:space="0"/>
              <w:right w:val="outset" w:color="auto" w:sz="6" w:space="0"/>
            </w:tcBorders>
            <w:vAlign w:val="center"/>
          </w:tcPr>
          <w:p w14:paraId="46937794">
            <w:pPr>
              <w:adjustRightInd w:val="0"/>
              <w:snapToGrid w:val="0"/>
              <w:spacing w:line="340" w:lineRule="exact"/>
              <w:jc w:val="left"/>
              <w:rPr>
                <w:rFonts w:ascii="Times New Roman" w:hAnsi="Times New Roman" w:eastAsia="仿宋_GB2312"/>
                <w:color w:val="auto"/>
                <w:szCs w:val="21"/>
                <w:highlight w:val="none"/>
              </w:rPr>
            </w:pPr>
          </w:p>
        </w:tc>
        <w:tc>
          <w:tcPr>
            <w:tcW w:w="5216" w:type="dxa"/>
            <w:vMerge w:val="continue"/>
            <w:tcBorders>
              <w:left w:val="outset" w:color="auto" w:sz="6" w:space="0"/>
              <w:bottom w:val="outset" w:color="auto" w:sz="6" w:space="0"/>
              <w:right w:val="outset" w:color="auto" w:sz="6" w:space="0"/>
            </w:tcBorders>
            <w:vAlign w:val="center"/>
          </w:tcPr>
          <w:p w14:paraId="5E354FB7">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D9F4283">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2977ED62">
            <w:pPr>
              <w:adjustRightInd w:val="0"/>
              <w:snapToGrid w:val="0"/>
              <w:spacing w:line="340" w:lineRule="exact"/>
              <w:jc w:val="left"/>
              <w:rPr>
                <w:rFonts w:ascii="Times New Roman" w:hAnsi="Times New Roman" w:eastAsia="仿宋_GB2312"/>
                <w:color w:val="auto"/>
                <w:szCs w:val="21"/>
                <w:highlight w:val="none"/>
              </w:rPr>
            </w:pPr>
          </w:p>
        </w:tc>
        <w:tc>
          <w:tcPr>
            <w:tcW w:w="337" w:type="dxa"/>
            <w:vMerge w:val="continue"/>
            <w:tcBorders>
              <w:left w:val="outset" w:color="auto" w:sz="6" w:space="0"/>
              <w:bottom w:val="outset" w:color="auto" w:sz="6" w:space="0"/>
              <w:right w:val="outset" w:color="auto" w:sz="6" w:space="0"/>
            </w:tcBorders>
          </w:tcPr>
          <w:p w14:paraId="745A4229">
            <w:pPr>
              <w:adjustRightInd w:val="0"/>
              <w:snapToGrid w:val="0"/>
              <w:spacing w:line="340" w:lineRule="exact"/>
              <w:jc w:val="left"/>
              <w:rPr>
                <w:rFonts w:ascii="Times New Roman" w:hAnsi="Times New Roman" w:eastAsia="仿宋_GB2312"/>
                <w:color w:val="auto"/>
                <w:szCs w:val="21"/>
                <w:highlight w:val="none"/>
              </w:rPr>
            </w:pPr>
          </w:p>
        </w:tc>
      </w:tr>
      <w:tr w14:paraId="48E4038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single" w:color="auto" w:sz="4" w:space="0"/>
              <w:bottom w:val="outset" w:color="auto" w:sz="6" w:space="0"/>
              <w:right w:val="outset" w:color="auto" w:sz="6" w:space="0"/>
            </w:tcBorders>
            <w:vAlign w:val="center"/>
          </w:tcPr>
          <w:p w14:paraId="11C8F18D">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1</w:t>
            </w:r>
          </w:p>
        </w:tc>
        <w:tc>
          <w:tcPr>
            <w:tcW w:w="2410" w:type="dxa"/>
            <w:tcBorders>
              <w:top w:val="outset" w:color="auto" w:sz="6" w:space="0"/>
              <w:left w:val="outset" w:color="auto" w:sz="6" w:space="0"/>
              <w:bottom w:val="outset" w:color="auto" w:sz="6" w:space="0"/>
              <w:right w:val="outset" w:color="auto" w:sz="6" w:space="0"/>
            </w:tcBorders>
            <w:vAlign w:val="center"/>
          </w:tcPr>
          <w:p w14:paraId="660EF8DE">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投标文件签署</w:t>
            </w:r>
          </w:p>
        </w:tc>
        <w:tc>
          <w:tcPr>
            <w:tcW w:w="5216" w:type="dxa"/>
            <w:tcBorders>
              <w:top w:val="outset" w:color="auto" w:sz="6" w:space="0"/>
              <w:left w:val="outset" w:color="auto" w:sz="6" w:space="0"/>
              <w:bottom w:val="outset" w:color="auto" w:sz="6" w:space="0"/>
              <w:right w:val="outset" w:color="auto" w:sz="6" w:space="0"/>
            </w:tcBorders>
            <w:vAlign w:val="center"/>
          </w:tcPr>
          <w:p w14:paraId="0048D3DE">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投标文件按招标文件的规定签章或签名</w:t>
            </w:r>
          </w:p>
        </w:tc>
        <w:tc>
          <w:tcPr>
            <w:tcW w:w="425" w:type="dxa"/>
            <w:tcBorders>
              <w:top w:val="outset" w:color="auto" w:sz="6" w:space="0"/>
              <w:left w:val="outset" w:color="auto" w:sz="6" w:space="0"/>
              <w:bottom w:val="outset" w:color="auto" w:sz="6" w:space="0"/>
              <w:right w:val="outset" w:color="auto" w:sz="6" w:space="0"/>
            </w:tcBorders>
          </w:tcPr>
          <w:p w14:paraId="01AB026F">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781B7B1">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42F6A7E7">
            <w:pPr>
              <w:adjustRightInd w:val="0"/>
              <w:snapToGrid w:val="0"/>
              <w:spacing w:line="340" w:lineRule="exact"/>
              <w:jc w:val="left"/>
              <w:rPr>
                <w:rFonts w:ascii="Times New Roman" w:hAnsi="Times New Roman" w:eastAsia="仿宋_GB2312"/>
                <w:color w:val="auto"/>
                <w:szCs w:val="21"/>
                <w:highlight w:val="none"/>
              </w:rPr>
            </w:pPr>
          </w:p>
        </w:tc>
      </w:tr>
      <w:tr w14:paraId="7438E77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275F2416">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2</w:t>
            </w:r>
          </w:p>
        </w:tc>
        <w:tc>
          <w:tcPr>
            <w:tcW w:w="2410" w:type="dxa"/>
            <w:tcBorders>
              <w:top w:val="outset" w:color="auto" w:sz="6" w:space="0"/>
              <w:left w:val="outset" w:color="auto" w:sz="6" w:space="0"/>
              <w:bottom w:val="outset" w:color="auto" w:sz="6" w:space="0"/>
              <w:right w:val="outset" w:color="auto" w:sz="6" w:space="0"/>
            </w:tcBorders>
            <w:vAlign w:val="center"/>
          </w:tcPr>
          <w:p w14:paraId="0357D075">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投标文件编制要求</w:t>
            </w:r>
          </w:p>
        </w:tc>
        <w:tc>
          <w:tcPr>
            <w:tcW w:w="5216" w:type="dxa"/>
            <w:tcBorders>
              <w:top w:val="outset" w:color="auto" w:sz="6" w:space="0"/>
              <w:left w:val="outset" w:color="auto" w:sz="6" w:space="0"/>
              <w:bottom w:val="outset" w:color="auto" w:sz="6" w:space="0"/>
              <w:right w:val="outset" w:color="auto" w:sz="6" w:space="0"/>
            </w:tcBorders>
            <w:vAlign w:val="center"/>
          </w:tcPr>
          <w:p w14:paraId="166EC7B9">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按照招标文件要求提交投标文件</w:t>
            </w:r>
          </w:p>
        </w:tc>
        <w:tc>
          <w:tcPr>
            <w:tcW w:w="425" w:type="dxa"/>
            <w:tcBorders>
              <w:top w:val="outset" w:color="auto" w:sz="6" w:space="0"/>
              <w:left w:val="outset" w:color="auto" w:sz="6" w:space="0"/>
              <w:bottom w:val="outset" w:color="auto" w:sz="6" w:space="0"/>
              <w:right w:val="outset" w:color="auto" w:sz="6" w:space="0"/>
            </w:tcBorders>
          </w:tcPr>
          <w:p w14:paraId="3A96B11C">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53329F32">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D2F70F4">
            <w:pPr>
              <w:adjustRightInd w:val="0"/>
              <w:snapToGrid w:val="0"/>
              <w:spacing w:line="340" w:lineRule="exact"/>
              <w:jc w:val="left"/>
              <w:rPr>
                <w:rFonts w:ascii="Times New Roman" w:hAnsi="Times New Roman" w:eastAsia="仿宋_GB2312"/>
                <w:color w:val="auto"/>
                <w:szCs w:val="21"/>
                <w:highlight w:val="none"/>
              </w:rPr>
            </w:pPr>
          </w:p>
        </w:tc>
      </w:tr>
      <w:tr w14:paraId="6378FE1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22DC605C">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3</w:t>
            </w:r>
          </w:p>
        </w:tc>
        <w:tc>
          <w:tcPr>
            <w:tcW w:w="2410" w:type="dxa"/>
            <w:tcBorders>
              <w:top w:val="outset" w:color="auto" w:sz="6" w:space="0"/>
              <w:left w:val="outset" w:color="auto" w:sz="6" w:space="0"/>
              <w:bottom w:val="outset" w:color="auto" w:sz="6" w:space="0"/>
              <w:right w:val="outset" w:color="auto" w:sz="6" w:space="0"/>
            </w:tcBorders>
            <w:vAlign w:val="center"/>
          </w:tcPr>
          <w:p w14:paraId="55D666E9">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投标有效期</w:t>
            </w:r>
          </w:p>
        </w:tc>
        <w:tc>
          <w:tcPr>
            <w:tcW w:w="5216" w:type="dxa"/>
            <w:tcBorders>
              <w:top w:val="outset" w:color="auto" w:sz="6" w:space="0"/>
              <w:left w:val="outset" w:color="auto" w:sz="6" w:space="0"/>
              <w:bottom w:val="outset" w:color="auto" w:sz="6" w:space="0"/>
              <w:right w:val="outset" w:color="auto" w:sz="6" w:space="0"/>
            </w:tcBorders>
            <w:vAlign w:val="center"/>
          </w:tcPr>
          <w:p w14:paraId="06A92C07">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符合招标文件前附表的规定</w:t>
            </w:r>
          </w:p>
        </w:tc>
        <w:tc>
          <w:tcPr>
            <w:tcW w:w="425" w:type="dxa"/>
            <w:tcBorders>
              <w:top w:val="outset" w:color="auto" w:sz="6" w:space="0"/>
              <w:left w:val="outset" w:color="auto" w:sz="6" w:space="0"/>
              <w:bottom w:val="outset" w:color="auto" w:sz="6" w:space="0"/>
              <w:right w:val="outset" w:color="auto" w:sz="6" w:space="0"/>
            </w:tcBorders>
          </w:tcPr>
          <w:p w14:paraId="3D548AA8">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E2BE5AF">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222A29B">
            <w:pPr>
              <w:adjustRightInd w:val="0"/>
              <w:snapToGrid w:val="0"/>
              <w:spacing w:line="340" w:lineRule="exact"/>
              <w:jc w:val="left"/>
              <w:rPr>
                <w:rFonts w:ascii="Times New Roman" w:hAnsi="Times New Roman" w:eastAsia="仿宋_GB2312"/>
                <w:color w:val="auto"/>
                <w:szCs w:val="21"/>
                <w:highlight w:val="none"/>
              </w:rPr>
            </w:pPr>
          </w:p>
        </w:tc>
      </w:tr>
      <w:tr w14:paraId="735842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5DA851A6">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4</w:t>
            </w:r>
          </w:p>
        </w:tc>
        <w:tc>
          <w:tcPr>
            <w:tcW w:w="2410" w:type="dxa"/>
            <w:tcBorders>
              <w:top w:val="outset" w:color="auto" w:sz="6" w:space="0"/>
              <w:left w:val="outset" w:color="auto" w:sz="6" w:space="0"/>
              <w:bottom w:val="outset" w:color="auto" w:sz="6" w:space="0"/>
              <w:right w:val="outset" w:color="auto" w:sz="6" w:space="0"/>
            </w:tcBorders>
            <w:vAlign w:val="center"/>
          </w:tcPr>
          <w:p w14:paraId="3E31E0DC">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投标报价合理</w:t>
            </w:r>
          </w:p>
        </w:tc>
        <w:tc>
          <w:tcPr>
            <w:tcW w:w="5216" w:type="dxa"/>
            <w:tcBorders>
              <w:top w:val="outset" w:color="auto" w:sz="6" w:space="0"/>
              <w:left w:val="outset" w:color="auto" w:sz="6" w:space="0"/>
              <w:bottom w:val="outset" w:color="auto" w:sz="6" w:space="0"/>
              <w:right w:val="outset" w:color="auto" w:sz="6" w:space="0"/>
            </w:tcBorders>
            <w:vAlign w:val="center"/>
          </w:tcPr>
          <w:p w14:paraId="79E05808">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投标报价未超过预算金额或者最高限价；</w:t>
            </w:r>
          </w:p>
          <w:p w14:paraId="60A8300D">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投标报价合理</w:t>
            </w:r>
            <w:r>
              <w:rPr>
                <w:rFonts w:hint="eastAsia" w:ascii="Times New Roman" w:hAnsi="Times New Roman" w:eastAsia="仿宋_GB2312"/>
                <w:color w:val="auto"/>
                <w:szCs w:val="21"/>
                <w:highlight w:val="none"/>
              </w:rPr>
              <w:t>（依据采购文件 第三章 34.6.3）</w:t>
            </w:r>
          </w:p>
          <w:p w14:paraId="20C6EBAD">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投标报价中不存在重大漏项</w:t>
            </w:r>
          </w:p>
        </w:tc>
        <w:tc>
          <w:tcPr>
            <w:tcW w:w="425" w:type="dxa"/>
            <w:tcBorders>
              <w:top w:val="outset" w:color="auto" w:sz="6" w:space="0"/>
              <w:left w:val="outset" w:color="auto" w:sz="6" w:space="0"/>
              <w:bottom w:val="outset" w:color="auto" w:sz="6" w:space="0"/>
              <w:right w:val="outset" w:color="auto" w:sz="6" w:space="0"/>
            </w:tcBorders>
          </w:tcPr>
          <w:p w14:paraId="6286E356">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39CE6D6">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0D393CD0">
            <w:pPr>
              <w:adjustRightInd w:val="0"/>
              <w:snapToGrid w:val="0"/>
              <w:spacing w:line="340" w:lineRule="exact"/>
              <w:jc w:val="left"/>
              <w:rPr>
                <w:rFonts w:ascii="Times New Roman" w:hAnsi="Times New Roman" w:eastAsia="仿宋_GB2312"/>
                <w:color w:val="auto"/>
                <w:szCs w:val="21"/>
                <w:highlight w:val="none"/>
              </w:rPr>
            </w:pPr>
          </w:p>
        </w:tc>
      </w:tr>
      <w:tr w14:paraId="52C140A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62EDEEAB">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5</w:t>
            </w:r>
          </w:p>
        </w:tc>
        <w:tc>
          <w:tcPr>
            <w:tcW w:w="2410" w:type="dxa"/>
            <w:tcBorders>
              <w:top w:val="outset" w:color="auto" w:sz="6" w:space="0"/>
              <w:left w:val="outset" w:color="auto" w:sz="6" w:space="0"/>
              <w:bottom w:val="outset" w:color="auto" w:sz="6" w:space="0"/>
              <w:right w:val="outset" w:color="auto" w:sz="6" w:space="0"/>
            </w:tcBorders>
            <w:vAlign w:val="center"/>
          </w:tcPr>
          <w:p w14:paraId="11FBA31F">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投标范围</w:t>
            </w:r>
          </w:p>
        </w:tc>
        <w:tc>
          <w:tcPr>
            <w:tcW w:w="5216" w:type="dxa"/>
            <w:tcBorders>
              <w:top w:val="outset" w:color="auto" w:sz="6" w:space="0"/>
              <w:left w:val="outset" w:color="auto" w:sz="6" w:space="0"/>
              <w:bottom w:val="outset" w:color="auto" w:sz="6" w:space="0"/>
              <w:right w:val="outset" w:color="auto" w:sz="6" w:space="0"/>
            </w:tcBorders>
            <w:vAlign w:val="center"/>
          </w:tcPr>
          <w:p w14:paraId="7C1C2E67">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不存在投标范围小于招标文件规定的招标范围情况，未缺漏招标文件要求的内容</w:t>
            </w:r>
          </w:p>
        </w:tc>
        <w:tc>
          <w:tcPr>
            <w:tcW w:w="425" w:type="dxa"/>
            <w:tcBorders>
              <w:top w:val="outset" w:color="auto" w:sz="6" w:space="0"/>
              <w:left w:val="outset" w:color="auto" w:sz="6" w:space="0"/>
              <w:bottom w:val="outset" w:color="auto" w:sz="6" w:space="0"/>
              <w:right w:val="outset" w:color="auto" w:sz="6" w:space="0"/>
            </w:tcBorders>
          </w:tcPr>
          <w:p w14:paraId="033E6185">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72AA2687">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8BAB6CC">
            <w:pPr>
              <w:adjustRightInd w:val="0"/>
              <w:snapToGrid w:val="0"/>
              <w:spacing w:line="340" w:lineRule="exact"/>
              <w:jc w:val="left"/>
              <w:rPr>
                <w:rFonts w:ascii="Times New Roman" w:hAnsi="Times New Roman" w:eastAsia="仿宋_GB2312"/>
                <w:color w:val="auto"/>
                <w:szCs w:val="21"/>
                <w:highlight w:val="none"/>
              </w:rPr>
            </w:pPr>
          </w:p>
        </w:tc>
      </w:tr>
      <w:tr w14:paraId="25F78BA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BB635E3">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6</w:t>
            </w:r>
          </w:p>
        </w:tc>
        <w:tc>
          <w:tcPr>
            <w:tcW w:w="2410" w:type="dxa"/>
            <w:tcBorders>
              <w:top w:val="outset" w:color="auto" w:sz="6" w:space="0"/>
              <w:left w:val="outset" w:color="auto" w:sz="6" w:space="0"/>
              <w:bottom w:val="outset" w:color="auto" w:sz="6" w:space="0"/>
              <w:right w:val="outset" w:color="auto" w:sz="6" w:space="0"/>
            </w:tcBorders>
            <w:vAlign w:val="center"/>
          </w:tcPr>
          <w:p w14:paraId="10981A12">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供货期及质保期或完工期及服务期</w:t>
            </w:r>
          </w:p>
        </w:tc>
        <w:tc>
          <w:tcPr>
            <w:tcW w:w="5216" w:type="dxa"/>
            <w:tcBorders>
              <w:top w:val="outset" w:color="auto" w:sz="6" w:space="0"/>
              <w:left w:val="outset" w:color="auto" w:sz="6" w:space="0"/>
              <w:bottom w:val="outset" w:color="auto" w:sz="6" w:space="0"/>
              <w:right w:val="outset" w:color="auto" w:sz="6" w:space="0"/>
            </w:tcBorders>
            <w:vAlign w:val="center"/>
          </w:tcPr>
          <w:p w14:paraId="009BF464">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满足招标文件的要求</w:t>
            </w:r>
          </w:p>
        </w:tc>
        <w:tc>
          <w:tcPr>
            <w:tcW w:w="425" w:type="dxa"/>
            <w:tcBorders>
              <w:top w:val="outset" w:color="auto" w:sz="6" w:space="0"/>
              <w:left w:val="outset" w:color="auto" w:sz="6" w:space="0"/>
              <w:bottom w:val="outset" w:color="auto" w:sz="6" w:space="0"/>
              <w:right w:val="outset" w:color="auto" w:sz="6" w:space="0"/>
            </w:tcBorders>
          </w:tcPr>
          <w:p w14:paraId="6946C88A">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03F4C318">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3BF2CEA4">
            <w:pPr>
              <w:adjustRightInd w:val="0"/>
              <w:snapToGrid w:val="0"/>
              <w:spacing w:line="340" w:lineRule="exact"/>
              <w:jc w:val="left"/>
              <w:rPr>
                <w:rFonts w:ascii="Times New Roman" w:hAnsi="Times New Roman" w:eastAsia="仿宋_GB2312"/>
                <w:color w:val="auto"/>
                <w:szCs w:val="21"/>
                <w:highlight w:val="none"/>
              </w:rPr>
            </w:pPr>
          </w:p>
        </w:tc>
      </w:tr>
      <w:tr w14:paraId="2AD4A12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09A6981A">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7</w:t>
            </w:r>
          </w:p>
        </w:tc>
        <w:tc>
          <w:tcPr>
            <w:tcW w:w="2410" w:type="dxa"/>
            <w:tcBorders>
              <w:top w:val="outset" w:color="auto" w:sz="6" w:space="0"/>
              <w:left w:val="outset" w:color="auto" w:sz="6" w:space="0"/>
              <w:bottom w:val="outset" w:color="auto" w:sz="6" w:space="0"/>
              <w:right w:val="outset" w:color="auto" w:sz="6" w:space="0"/>
            </w:tcBorders>
            <w:vAlign w:val="center"/>
          </w:tcPr>
          <w:p w14:paraId="4B7D0B0C">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不能接受的条件</w:t>
            </w:r>
          </w:p>
        </w:tc>
        <w:tc>
          <w:tcPr>
            <w:tcW w:w="5216" w:type="dxa"/>
            <w:tcBorders>
              <w:top w:val="outset" w:color="auto" w:sz="6" w:space="0"/>
              <w:left w:val="outset" w:color="auto" w:sz="6" w:space="0"/>
              <w:bottom w:val="outset" w:color="auto" w:sz="6" w:space="0"/>
              <w:right w:val="outset" w:color="auto" w:sz="6" w:space="0"/>
            </w:tcBorders>
            <w:vAlign w:val="center"/>
          </w:tcPr>
          <w:p w14:paraId="7F842EA7">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投标文件中无采购人不能接受的条件</w:t>
            </w:r>
          </w:p>
        </w:tc>
        <w:tc>
          <w:tcPr>
            <w:tcW w:w="425" w:type="dxa"/>
            <w:tcBorders>
              <w:top w:val="outset" w:color="auto" w:sz="6" w:space="0"/>
              <w:left w:val="outset" w:color="auto" w:sz="6" w:space="0"/>
              <w:bottom w:val="outset" w:color="auto" w:sz="6" w:space="0"/>
              <w:right w:val="outset" w:color="auto" w:sz="6" w:space="0"/>
            </w:tcBorders>
          </w:tcPr>
          <w:p w14:paraId="5299DD1D">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07D5214">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3534893">
            <w:pPr>
              <w:adjustRightInd w:val="0"/>
              <w:snapToGrid w:val="0"/>
              <w:spacing w:line="340" w:lineRule="exact"/>
              <w:jc w:val="left"/>
              <w:rPr>
                <w:rFonts w:ascii="Times New Roman" w:hAnsi="Times New Roman" w:eastAsia="仿宋_GB2312"/>
                <w:color w:val="auto"/>
                <w:szCs w:val="21"/>
                <w:highlight w:val="none"/>
              </w:rPr>
            </w:pPr>
          </w:p>
        </w:tc>
      </w:tr>
      <w:tr w14:paraId="0F28F56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76449A05">
            <w:pPr>
              <w:adjustRightInd w:val="0"/>
              <w:snapToGrid w:val="0"/>
              <w:spacing w:line="34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8</w:t>
            </w:r>
          </w:p>
        </w:tc>
        <w:tc>
          <w:tcPr>
            <w:tcW w:w="2410" w:type="dxa"/>
            <w:tcBorders>
              <w:top w:val="outset" w:color="auto" w:sz="6" w:space="0"/>
              <w:left w:val="outset" w:color="auto" w:sz="6" w:space="0"/>
              <w:bottom w:val="outset" w:color="auto" w:sz="6" w:space="0"/>
              <w:right w:val="outset" w:color="auto" w:sz="6" w:space="0"/>
            </w:tcBorders>
            <w:vAlign w:val="center"/>
          </w:tcPr>
          <w:p w14:paraId="3C8C9AF8">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违法投标行为</w:t>
            </w:r>
          </w:p>
        </w:tc>
        <w:tc>
          <w:tcPr>
            <w:tcW w:w="5216" w:type="dxa"/>
            <w:tcBorders>
              <w:top w:val="outset" w:color="auto" w:sz="6" w:space="0"/>
              <w:left w:val="outset" w:color="auto" w:sz="6" w:space="0"/>
              <w:bottom w:val="outset" w:color="auto" w:sz="6" w:space="0"/>
              <w:right w:val="outset" w:color="auto" w:sz="6" w:space="0"/>
            </w:tcBorders>
            <w:vAlign w:val="center"/>
          </w:tcPr>
          <w:p w14:paraId="7D0C10C0">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无招标文件</w:t>
            </w:r>
            <w:r>
              <w:rPr>
                <w:rFonts w:hint="eastAsia" w:ascii="Times New Roman" w:hAnsi="Times New Roman" w:eastAsia="仿宋_GB2312"/>
                <w:color w:val="auto"/>
                <w:szCs w:val="21"/>
                <w:highlight w:val="none"/>
                <w:lang w:val="en-US" w:eastAsia="zh-CN"/>
              </w:rPr>
              <w:t>30</w:t>
            </w:r>
            <w:r>
              <w:rPr>
                <w:rFonts w:ascii="Times New Roman" w:hAnsi="Times New Roman" w:eastAsia="仿宋_GB2312"/>
                <w:color w:val="auto"/>
                <w:szCs w:val="21"/>
                <w:highlight w:val="none"/>
              </w:rPr>
              <w:t>款中的任一情形</w:t>
            </w:r>
          </w:p>
        </w:tc>
        <w:tc>
          <w:tcPr>
            <w:tcW w:w="425" w:type="dxa"/>
            <w:tcBorders>
              <w:top w:val="outset" w:color="auto" w:sz="6" w:space="0"/>
              <w:left w:val="outset" w:color="auto" w:sz="6" w:space="0"/>
              <w:bottom w:val="outset" w:color="auto" w:sz="6" w:space="0"/>
              <w:right w:val="outset" w:color="auto" w:sz="6" w:space="0"/>
            </w:tcBorders>
          </w:tcPr>
          <w:p w14:paraId="5BEB793A">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05E40F41">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2E955395">
            <w:pPr>
              <w:adjustRightInd w:val="0"/>
              <w:snapToGrid w:val="0"/>
              <w:spacing w:line="340" w:lineRule="exact"/>
              <w:jc w:val="left"/>
              <w:rPr>
                <w:rFonts w:ascii="Times New Roman" w:hAnsi="Times New Roman" w:eastAsia="仿宋_GB2312"/>
                <w:color w:val="auto"/>
                <w:szCs w:val="21"/>
                <w:highlight w:val="none"/>
              </w:rPr>
            </w:pPr>
          </w:p>
        </w:tc>
      </w:tr>
      <w:tr w14:paraId="5610641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34A69C00">
            <w:pPr>
              <w:adjustRightInd w:val="0"/>
              <w:snapToGrid w:val="0"/>
              <w:spacing w:line="340" w:lineRule="exact"/>
              <w:jc w:val="center"/>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9</w:t>
            </w:r>
          </w:p>
        </w:tc>
        <w:tc>
          <w:tcPr>
            <w:tcW w:w="2410" w:type="dxa"/>
            <w:tcBorders>
              <w:top w:val="outset" w:color="auto" w:sz="6" w:space="0"/>
              <w:left w:val="outset" w:color="auto" w:sz="6" w:space="0"/>
              <w:bottom w:val="outset" w:color="auto" w:sz="6" w:space="0"/>
              <w:right w:val="outset" w:color="auto" w:sz="6" w:space="0"/>
            </w:tcBorders>
            <w:vAlign w:val="center"/>
          </w:tcPr>
          <w:p w14:paraId="7C6A4EBB">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其他要求</w:t>
            </w:r>
          </w:p>
        </w:tc>
        <w:tc>
          <w:tcPr>
            <w:tcW w:w="5216" w:type="dxa"/>
            <w:tcBorders>
              <w:top w:val="outset" w:color="auto" w:sz="6" w:space="0"/>
              <w:left w:val="outset" w:color="auto" w:sz="6" w:space="0"/>
              <w:bottom w:val="outset" w:color="auto" w:sz="6" w:space="0"/>
              <w:right w:val="outset" w:color="auto" w:sz="6" w:space="0"/>
            </w:tcBorders>
            <w:vAlign w:val="center"/>
          </w:tcPr>
          <w:p w14:paraId="29F6D31D">
            <w:pPr>
              <w:adjustRightInd w:val="0"/>
              <w:snapToGrid w:val="0"/>
              <w:spacing w:line="34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符合法律法规和招标文件规定的其他实质性条款；完全满足资格审查条件 </w:t>
            </w:r>
          </w:p>
        </w:tc>
        <w:tc>
          <w:tcPr>
            <w:tcW w:w="425" w:type="dxa"/>
            <w:tcBorders>
              <w:top w:val="outset" w:color="auto" w:sz="6" w:space="0"/>
              <w:left w:val="outset" w:color="auto" w:sz="6" w:space="0"/>
              <w:bottom w:val="outset" w:color="auto" w:sz="6" w:space="0"/>
              <w:right w:val="outset" w:color="auto" w:sz="6" w:space="0"/>
            </w:tcBorders>
          </w:tcPr>
          <w:p w14:paraId="5EE887C7">
            <w:pPr>
              <w:adjustRightInd w:val="0"/>
              <w:snapToGrid w:val="0"/>
              <w:spacing w:line="340" w:lineRule="exact"/>
              <w:jc w:val="left"/>
              <w:rPr>
                <w:rFonts w:ascii="Times New Roman" w:hAnsi="Times New Roman" w:eastAsia="仿宋_GB2312"/>
                <w:color w:val="auto"/>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3BE2367C">
            <w:pPr>
              <w:adjustRightInd w:val="0"/>
              <w:snapToGrid w:val="0"/>
              <w:spacing w:line="340" w:lineRule="exact"/>
              <w:jc w:val="left"/>
              <w:rPr>
                <w:rFonts w:ascii="Times New Roman" w:hAnsi="Times New Roman" w:eastAsia="仿宋_GB2312"/>
                <w:color w:val="auto"/>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53BA6952">
            <w:pPr>
              <w:adjustRightInd w:val="0"/>
              <w:snapToGrid w:val="0"/>
              <w:spacing w:line="340" w:lineRule="exact"/>
              <w:jc w:val="left"/>
              <w:rPr>
                <w:rFonts w:ascii="Times New Roman" w:hAnsi="Times New Roman" w:eastAsia="仿宋_GB2312"/>
                <w:color w:val="auto"/>
                <w:szCs w:val="21"/>
                <w:highlight w:val="none"/>
              </w:rPr>
            </w:pPr>
          </w:p>
        </w:tc>
      </w:tr>
    </w:tbl>
    <w:p w14:paraId="10818065">
      <w:pPr>
        <w:rPr>
          <w:rFonts w:ascii="Times New Roman" w:hAnsi="Times New Roman"/>
          <w:color w:val="auto"/>
          <w:sz w:val="20"/>
          <w:highlight w:val="none"/>
        </w:rPr>
      </w:pPr>
    </w:p>
    <w:p w14:paraId="3C5B512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投标文件如有上述偏差之一的，视为未能对招标文件做出实质性响应，为无效投标，不再进入以后的评标程序。</w:t>
      </w:r>
    </w:p>
    <w:p w14:paraId="1984F3A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.4.2 如有下列情形之一，评标委员会应予以废标，并将理由通知所有投标人。 </w:t>
      </w:r>
    </w:p>
    <w:p w14:paraId="0977A58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（1）符合专业条件的投标人或者对招标文件做出实质性响应的投标人不足三家的； </w:t>
      </w:r>
    </w:p>
    <w:p w14:paraId="687D71C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（2）出现影响采购公正的违法、违规行为的； </w:t>
      </w:r>
    </w:p>
    <w:p w14:paraId="756FB1A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（3）投标人的报价均超过了采购预算金额的； </w:t>
      </w:r>
    </w:p>
    <w:p w14:paraId="3BDCF517">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（4）因重大变故，采购任务取消的。  </w:t>
      </w:r>
    </w:p>
    <w:p w14:paraId="1078685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.4.3 多家代理商提供同一品牌产品投标的，在统计投标人数量时要求如下：</w:t>
      </w:r>
    </w:p>
    <w:p w14:paraId="74BF073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提供相同品牌产品且通过资格审查、符合性审查的不同投标人参加同一合同项下投标的，按一家投标人计算，评审后综合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A24BBC0">
      <w:pPr>
        <w:adjustRightInd w:val="0"/>
        <w:snapToGrid w:val="0"/>
        <w:spacing w:line="400" w:lineRule="exact"/>
        <w:ind w:firstLine="480" w:firstLineChars="200"/>
        <w:rPr>
          <w:rFonts w:ascii="Times New Roman" w:hAnsi="Times New Roman" w:eastAsia="仿宋_GB2312"/>
          <w:b/>
          <w:color w:val="auto"/>
          <w:sz w:val="24"/>
          <w:szCs w:val="24"/>
          <w:highlight w:val="none"/>
        </w:rPr>
      </w:pPr>
      <w:r>
        <w:rPr>
          <w:rFonts w:ascii="Times New Roman" w:hAnsi="Times New Roman" w:eastAsia="仿宋_GB2312"/>
          <w:color w:val="auto"/>
          <w:sz w:val="24"/>
          <w:szCs w:val="24"/>
          <w:highlight w:val="none"/>
        </w:rPr>
        <w:t>（2）非单一产品采购项目时，多家投标人提供的招标文件载明的核心产品品牌相同的</w:t>
      </w:r>
      <w:r>
        <w:rPr>
          <w:rFonts w:hint="eastAsia" w:ascii="Times New Roman" w:hAnsi="Times New Roman" w:eastAsia="仿宋_GB2312"/>
          <w:color w:val="auto"/>
          <w:sz w:val="24"/>
          <w:szCs w:val="24"/>
          <w:highlight w:val="none"/>
        </w:rPr>
        <w:t>（多个核心产品的，有一种产品品牌相同，即视为提供相同品牌产品）</w:t>
      </w:r>
      <w:r>
        <w:rPr>
          <w:rFonts w:ascii="Times New Roman" w:hAnsi="Times New Roman" w:eastAsia="仿宋_GB2312"/>
          <w:color w:val="auto"/>
          <w:sz w:val="24"/>
          <w:szCs w:val="24"/>
          <w:highlight w:val="none"/>
        </w:rPr>
        <w:t>，按前（1）规定处理。</w:t>
      </w:r>
    </w:p>
    <w:p w14:paraId="28BDFE23">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color w:val="auto"/>
          <w:sz w:val="24"/>
          <w:szCs w:val="24"/>
          <w:highlight w:val="none"/>
        </w:rPr>
        <w:t>3</w:t>
      </w:r>
      <w:r>
        <w:rPr>
          <w:rFonts w:hint="eastAsia" w:ascii="Times New Roman" w:hAnsi="Times New Roman" w:eastAsia="仿宋_GB2312"/>
          <w:b/>
          <w:color w:val="auto"/>
          <w:sz w:val="24"/>
          <w:szCs w:val="24"/>
          <w:highlight w:val="none"/>
        </w:rPr>
        <w:t>4</w:t>
      </w:r>
      <w:r>
        <w:rPr>
          <w:rFonts w:ascii="Times New Roman" w:hAnsi="Times New Roman" w:eastAsia="仿宋_GB2312"/>
          <w:b/>
          <w:color w:val="auto"/>
          <w:sz w:val="24"/>
          <w:szCs w:val="24"/>
          <w:highlight w:val="none"/>
        </w:rPr>
        <w:t xml:space="preserve">.5 </w:t>
      </w:r>
      <w:r>
        <w:rPr>
          <w:rFonts w:ascii="Times New Roman" w:hAnsi="Times New Roman" w:eastAsia="仿宋_GB2312"/>
          <w:b/>
          <w:bCs/>
          <w:color w:val="auto"/>
          <w:sz w:val="24"/>
          <w:szCs w:val="24"/>
          <w:highlight w:val="none"/>
        </w:rPr>
        <w:t>澄清有关问题</w:t>
      </w:r>
      <w:r>
        <w:rPr>
          <w:rFonts w:ascii="Times New Roman" w:hAnsi="Times New Roman" w:eastAsia="仿宋_GB2312"/>
          <w:color w:val="auto"/>
          <w:sz w:val="24"/>
          <w:szCs w:val="24"/>
          <w:highlight w:val="none"/>
        </w:rPr>
        <w:t xml:space="preserve"> </w:t>
      </w:r>
    </w:p>
    <w:p w14:paraId="7AE6F35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.5.1对于投标文件中含义不明确、同类问题表述不一致或者有明显文字和计算错误的内容，评标委员会可以要求投标人做出必要的澄清、说明或者更正。</w:t>
      </w:r>
    </w:p>
    <w:p w14:paraId="499635DB">
      <w:pPr>
        <w:adjustRightInd w:val="0"/>
        <w:snapToGrid w:val="0"/>
        <w:spacing w:line="400" w:lineRule="exact"/>
        <w:ind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.5.2 评标委员会为了有助于投标文件的评审，可以要求投标人就投标文件中非改变实质性内容的部分做出书面说明并提供相关材料进行澄清，但改变投标文件实质性内容的澄清，评标委员会将不予接受。</w:t>
      </w:r>
    </w:p>
    <w:p w14:paraId="6F13B3B0">
      <w:pPr>
        <w:adjustRightInd w:val="0"/>
        <w:snapToGrid w:val="0"/>
        <w:spacing w:line="400" w:lineRule="exact"/>
        <w:ind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.5.3投标人的澄清、说明或者更正应当采用数字电文形式，并根据要求进行电子签章。投标人的澄清、说明或者更正不得超出投标文件的投标范围或者改变投标文件的实质性内容。</w:t>
      </w:r>
    </w:p>
    <w:p w14:paraId="7EC9358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.5.4投标文件报价出现前后不一致的，除招标文件另有规定外，按照下列规定修正：</w:t>
      </w:r>
    </w:p>
    <w:p w14:paraId="55840B3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（1）投标文件中《开标一览表》内容与投标文件中相应内容不一致的，以《开标一览表》为准；</w:t>
      </w:r>
    </w:p>
    <w:p w14:paraId="451D797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（2）大写金额和小写金额不一致的，以大写金额为准；</w:t>
      </w:r>
    </w:p>
    <w:p w14:paraId="4EC716A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（3）单价金额小数点或者百分比有明显错位的，以《开标一览表》的总价为准，并修改单价；</w:t>
      </w:r>
    </w:p>
    <w:p w14:paraId="119CBDE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（4）总价金额与按单价汇总金额不一致的，以单价金额计算结果为准。</w:t>
      </w:r>
    </w:p>
    <w:p w14:paraId="2FD2D3CB">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同时出现两种以上不一致的，按照前款规定的顺序修正。投标人应对修正后的报价进行确认，如不确认，评标时将视为无效投标。 </w:t>
      </w:r>
    </w:p>
    <w:p w14:paraId="4ABC029E">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.5.5 有效的数字电文澄清材料，是投标文件的补充材料，成为投标文件的组成部分。</w:t>
      </w:r>
    </w:p>
    <w:p w14:paraId="2940FD70">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rPr>
        <w:t>4</w:t>
      </w:r>
      <w:r>
        <w:rPr>
          <w:rFonts w:ascii="Times New Roman" w:hAnsi="Times New Roman" w:eastAsia="仿宋_GB2312"/>
          <w:b/>
          <w:bCs/>
          <w:color w:val="auto"/>
          <w:sz w:val="24"/>
          <w:szCs w:val="24"/>
          <w:highlight w:val="none"/>
        </w:rPr>
        <w:t>.6 综合评审</w:t>
      </w:r>
      <w:r>
        <w:rPr>
          <w:rFonts w:ascii="Times New Roman" w:hAnsi="Times New Roman" w:eastAsia="仿宋_GB2312"/>
          <w:color w:val="auto"/>
          <w:sz w:val="24"/>
          <w:szCs w:val="24"/>
          <w:highlight w:val="none"/>
        </w:rPr>
        <w:t xml:space="preserve"> </w:t>
      </w:r>
    </w:p>
    <w:p w14:paraId="60AA54D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.6.1评标委员会应按照招标文件规定的评审方法和标准，对符合性审查合格的投标文件进行商务和技术评估，综合比较与评价。 </w:t>
      </w:r>
    </w:p>
    <w:p w14:paraId="0564693F">
      <w:pPr>
        <w:adjustRightInd w:val="0"/>
        <w:snapToGrid w:val="0"/>
        <w:spacing w:line="400" w:lineRule="exact"/>
        <w:ind w:left="105" w:leftChars="50" w:firstLine="355" w:firstLineChars="14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.6.2 评标时，评标委员会各成员应当对每一份投标文件进行独立评价、计分。</w:t>
      </w:r>
    </w:p>
    <w:p w14:paraId="68E7F379">
      <w:pPr>
        <w:adjustRightInd w:val="0"/>
        <w:snapToGrid w:val="0"/>
        <w:spacing w:line="400" w:lineRule="exact"/>
        <w:ind w:left="105" w:leftChars="50" w:firstLine="355" w:firstLineChars="14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.6.3经济标评审：</w:t>
      </w:r>
    </w:p>
    <w:p w14:paraId="541601B5">
      <w:pPr>
        <w:adjustRightInd w:val="0"/>
        <w:snapToGrid w:val="0"/>
        <w:spacing w:line="400" w:lineRule="exact"/>
        <w:ind w:left="105" w:leftChars="50" w:firstLine="355" w:firstLineChars="14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（1）经济标采用低价优先法计算，即满足招标文件要求且投标价格最低的投标报价为评标基准价，其经济得分为满分，其他有效投标人的价格分统一按照下列公式计算： </w:t>
      </w:r>
    </w:p>
    <w:p w14:paraId="124E499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经济标得分=（评标基准价／投标报价）×价格权值×100 </w:t>
      </w:r>
    </w:p>
    <w:p w14:paraId="6D4CD70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评标过程中，不得去掉报价中的最高报价和最低报价。</w:t>
      </w:r>
    </w:p>
    <w:p w14:paraId="013CC86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（2）因落实政府采购政策进行价格调整的，以调整后的价格参与价格评审。 </w:t>
      </w:r>
    </w:p>
    <w:p w14:paraId="294024D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（3）涉及政府采购政策优惠的，按</w:t>
      </w:r>
      <w:r>
        <w:rPr>
          <w:rFonts w:ascii="Times New Roman" w:hAnsi="Times New Roman" w:eastAsia="仿宋_GB2312"/>
          <w:bCs/>
          <w:color w:val="auto"/>
          <w:sz w:val="24"/>
          <w:szCs w:val="24"/>
          <w:highlight w:val="none"/>
        </w:rPr>
        <w:t>招标文件前附表</w:t>
      </w:r>
      <w:r>
        <w:rPr>
          <w:rFonts w:ascii="Times New Roman" w:hAnsi="Times New Roman" w:eastAsia="仿宋_GB2312"/>
          <w:color w:val="auto"/>
          <w:sz w:val="24"/>
          <w:szCs w:val="24"/>
          <w:highlight w:val="none"/>
        </w:rPr>
        <w:t xml:space="preserve">规定调整投标人的技术、价格得分或总得分。  </w:t>
      </w:r>
    </w:p>
    <w:p w14:paraId="5F18E29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（4）评审中出现下列情形之一的，评审委员会应当启动异常低价投标（响应）审查程序：</w:t>
      </w:r>
    </w:p>
    <w:p w14:paraId="0F9B252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1.投标（响应）报价低于全部通过符合性审查供应商投标（响应）报价平均值50%的，即投标（响应）报价&lt;全部通过符合性审查供应商投标（响应）报价平均值×50%；</w:t>
      </w:r>
    </w:p>
    <w:p w14:paraId="556F67D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2.投标（响应）报价低于通过符合性审查的次低报价供应商投标（响应）报价50%的，即投标（响应）报价&lt;通过符合性审查的次低报价供应商投标（响应）报价×50%；</w:t>
      </w:r>
    </w:p>
    <w:p w14:paraId="33C1112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3.投标（响应）报价低于采购项目最高限价45%的，即投标（响应）报价&lt;采购项目最高限价×45%；</w:t>
      </w:r>
    </w:p>
    <w:p w14:paraId="5844D4F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4.评审委员会基于专业判断，认为供应商报价过低，有可能影响产品质量或者不能诚信履约的其他情形；</w:t>
      </w:r>
    </w:p>
    <w:p w14:paraId="33F0593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5.其他法律法规对供应商报价的有关规定。</w:t>
      </w:r>
    </w:p>
    <w:p w14:paraId="53438FF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34.6.4</w:t>
      </w:r>
      <w:r>
        <w:rPr>
          <w:rFonts w:ascii="Times New Roman" w:hAnsi="Times New Roman" w:eastAsia="仿宋_GB2312"/>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8A4B3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审委员会在评标现场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E7A6C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评审委员会在评审现场借助互联网等渠道查询同类项目中标（成交）价格、类似产品市场价格水平、行业人工费用标准、国家有关部门指导行业协会发布的行业平均成本等相关信息的，应当严格遵守评审工作纪律，不得实施影响评审公正的行为。</w:t>
      </w:r>
    </w:p>
    <w:p w14:paraId="4DE0D2F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0B52C3A9">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3</w:t>
      </w:r>
      <w:r>
        <w:rPr>
          <w:rFonts w:hint="eastAsia" w:ascii="Times New Roman" w:hAnsi="Times New Roman" w:eastAsia="仿宋_GB2312"/>
          <w:bCs/>
          <w:color w:val="auto"/>
          <w:sz w:val="24"/>
          <w:szCs w:val="24"/>
          <w:highlight w:val="none"/>
        </w:rPr>
        <w:t>4</w:t>
      </w:r>
      <w:r>
        <w:rPr>
          <w:rFonts w:ascii="Times New Roman" w:hAnsi="Times New Roman" w:eastAsia="仿宋_GB2312"/>
          <w:bCs/>
          <w:color w:val="auto"/>
          <w:sz w:val="24"/>
          <w:szCs w:val="24"/>
          <w:highlight w:val="none"/>
        </w:rPr>
        <w:t>.6.</w:t>
      </w:r>
      <w:r>
        <w:rPr>
          <w:rFonts w:hint="eastAsia" w:ascii="Times New Roman" w:hAnsi="Times New Roman" w:eastAsia="仿宋_GB2312"/>
          <w:bCs/>
          <w:color w:val="auto"/>
          <w:sz w:val="24"/>
          <w:szCs w:val="24"/>
          <w:highlight w:val="none"/>
        </w:rPr>
        <w:t>5</w:t>
      </w:r>
      <w:r>
        <w:rPr>
          <w:rFonts w:ascii="Times New Roman" w:hAnsi="Times New Roman" w:eastAsia="仿宋_GB2312"/>
          <w:bCs/>
          <w:color w:val="auto"/>
          <w:sz w:val="24"/>
          <w:szCs w:val="24"/>
          <w:highlight w:val="none"/>
        </w:rPr>
        <w:t xml:space="preserve"> 商务、技术标评审： </w:t>
      </w:r>
    </w:p>
    <w:p w14:paraId="0FD806C9">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color w:val="auto"/>
          <w:sz w:val="24"/>
          <w:szCs w:val="24"/>
          <w:highlight w:val="none"/>
        </w:rPr>
        <w:t>评标委员会各成员</w:t>
      </w:r>
      <w:r>
        <w:rPr>
          <w:rFonts w:ascii="Times New Roman" w:hAnsi="Times New Roman" w:eastAsia="仿宋_GB2312"/>
          <w:bCs/>
          <w:color w:val="auto"/>
          <w:sz w:val="24"/>
          <w:szCs w:val="24"/>
          <w:highlight w:val="none"/>
        </w:rPr>
        <w:t>依据评审因素的量化指标及评审原则，对投标文件进行评审打分。</w:t>
      </w:r>
    </w:p>
    <w:p w14:paraId="6B33ADD4">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3</w:t>
      </w:r>
      <w:r>
        <w:rPr>
          <w:rFonts w:hint="eastAsia" w:ascii="Times New Roman" w:hAnsi="Times New Roman" w:eastAsia="仿宋_GB2312"/>
          <w:bCs/>
          <w:color w:val="auto"/>
          <w:sz w:val="24"/>
          <w:szCs w:val="24"/>
          <w:highlight w:val="none"/>
        </w:rPr>
        <w:t>4</w:t>
      </w:r>
      <w:r>
        <w:rPr>
          <w:rFonts w:ascii="Times New Roman" w:hAnsi="Times New Roman" w:eastAsia="仿宋_GB2312"/>
          <w:bCs/>
          <w:color w:val="auto"/>
          <w:sz w:val="24"/>
          <w:szCs w:val="24"/>
          <w:highlight w:val="none"/>
        </w:rPr>
        <w:t>.6.</w:t>
      </w:r>
      <w:r>
        <w:rPr>
          <w:rFonts w:hint="eastAsia" w:ascii="Times New Roman" w:hAnsi="Times New Roman" w:eastAsia="仿宋_GB2312"/>
          <w:bCs/>
          <w:color w:val="auto"/>
          <w:sz w:val="24"/>
          <w:szCs w:val="24"/>
          <w:highlight w:val="none"/>
        </w:rPr>
        <w:t>6</w:t>
      </w:r>
      <w:r>
        <w:rPr>
          <w:rFonts w:ascii="Times New Roman" w:hAnsi="Times New Roman" w:eastAsia="仿宋_GB2312"/>
          <w:bCs/>
          <w:color w:val="auto"/>
          <w:sz w:val="24"/>
          <w:szCs w:val="24"/>
          <w:highlight w:val="none"/>
        </w:rPr>
        <w:t xml:space="preserve"> 综合得分：</w:t>
      </w:r>
    </w:p>
    <w:p w14:paraId="5DE088D3">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经济标得分与商务、技术标得分的总和为投标人的综合得分。计算综合得分时，如有小数，保留两位小数。综合得分最高者为推荐中标人，若出现几家投标人综合得分相同的情况，报价最低者为推荐中标人。</w:t>
      </w:r>
    </w:p>
    <w:p w14:paraId="4797A7EE">
      <w:pPr>
        <w:adjustRightInd w:val="0"/>
        <w:snapToGrid w:val="0"/>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.6.</w:t>
      </w: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评标委员会若发现招标文件存在歧义、重大缺陷导致评标工作无法进行，或者招标文件内容违反国家有关强制性规定的，应当停止评标工作，与采购人及交易中心沟通并作书面记录。采购人及交易中心确认后，应当修改招标文件，重新组织采购活动。</w:t>
      </w:r>
    </w:p>
    <w:p w14:paraId="0873FDE2">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rPr>
        <w:t>4</w:t>
      </w:r>
      <w:r>
        <w:rPr>
          <w:rFonts w:ascii="Times New Roman" w:hAnsi="Times New Roman" w:eastAsia="仿宋_GB2312"/>
          <w:b/>
          <w:bCs/>
          <w:color w:val="auto"/>
          <w:sz w:val="24"/>
          <w:szCs w:val="24"/>
          <w:highlight w:val="none"/>
        </w:rPr>
        <w:t>.7 推荐中标候选人名单</w:t>
      </w:r>
      <w:r>
        <w:rPr>
          <w:rFonts w:hint="eastAsia" w:ascii="Times New Roman" w:hAnsi="Times New Roman" w:eastAsia="仿宋_GB2312"/>
          <w:b/>
          <w:bCs/>
          <w:color w:val="auto"/>
          <w:sz w:val="24"/>
          <w:szCs w:val="24"/>
          <w:highlight w:val="none"/>
        </w:rPr>
        <w:t>及确定中标人</w:t>
      </w:r>
      <w:r>
        <w:rPr>
          <w:rFonts w:ascii="Times New Roman" w:hAnsi="Times New Roman" w:eastAsia="仿宋_GB2312"/>
          <w:color w:val="auto"/>
          <w:sz w:val="24"/>
          <w:szCs w:val="24"/>
          <w:highlight w:val="none"/>
        </w:rPr>
        <w:t xml:space="preserve"> </w:t>
      </w:r>
    </w:p>
    <w:p w14:paraId="282D357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.7.1评标委员会经过初步评审、综合评审后，须按照“真实、公正、可行”的原则，通过审查分析对实质性响应招标文件要求的投标人的投标情况编写评标报告，按综合得分由高到低顺序（</w:t>
      </w:r>
      <w:r>
        <w:rPr>
          <w:rFonts w:hint="eastAsia" w:ascii="Times New Roman" w:hAnsi="Times New Roman" w:eastAsia="仿宋_GB2312"/>
          <w:color w:val="auto"/>
          <w:sz w:val="24"/>
          <w:szCs w:val="24"/>
          <w:highlight w:val="none"/>
        </w:rPr>
        <w:t>综合</w:t>
      </w:r>
      <w:r>
        <w:rPr>
          <w:rFonts w:ascii="Times New Roman" w:hAnsi="Times New Roman" w:eastAsia="仿宋_GB2312"/>
          <w:color w:val="auto"/>
          <w:sz w:val="24"/>
          <w:szCs w:val="24"/>
          <w:highlight w:val="none"/>
        </w:rPr>
        <w:t>得分相同的按投标报价由低到高顺序排列。得分且投标报价相同的，由评委会采取随机抽取的方式确定）推荐前3名为中标候选人</w:t>
      </w:r>
      <w:r>
        <w:rPr>
          <w:rFonts w:hint="eastAsia" w:ascii="Times New Roman" w:hAnsi="Times New Roman" w:eastAsia="仿宋_GB2312"/>
          <w:color w:val="auto"/>
          <w:sz w:val="24"/>
          <w:szCs w:val="24"/>
          <w:highlight w:val="none"/>
        </w:rPr>
        <w:t>，排名第一的投标供应商为第一中标候选人，以此类推。</w:t>
      </w:r>
    </w:p>
    <w:p w14:paraId="571D05F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当采购项目存在多个标段且允许兼投但不兼中时，同一投标人只能中一个标段。如果同一投标人同时在多个标段评审排名第一，则按其所投标段的预算金额由高到低排序，确定预算金额最高的标段为该投标人中标标段（预算金额相同时，按该投标人所投标段顺序确定其中标标段），该投标人在其他标段的中标候选人资格自动失效，由该标段评审排名下一位的合格投标人依次递补。</w:t>
      </w:r>
    </w:p>
    <w:p w14:paraId="08063BB2">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.7.2 采购人按评审报告中推荐的中标候选人排序确定中标人。确定中标人的原则：排名第一的中标候选人为中标人。</w:t>
      </w:r>
      <w:r>
        <w:rPr>
          <w:rFonts w:hint="eastAsia" w:ascii="Times New Roman" w:hAnsi="Times New Roman" w:eastAsia="仿宋_GB2312"/>
          <w:color w:val="auto"/>
          <w:sz w:val="24"/>
          <w:szCs w:val="24"/>
          <w:highlight w:val="none"/>
        </w:rPr>
        <w:t>中标人无正当理由不得放弃中标。</w:t>
      </w:r>
    </w:p>
    <w:p w14:paraId="0FCB11BF">
      <w:pPr>
        <w:rPr>
          <w:rFonts w:ascii="Times New Roman" w:hAnsi="Times New Roman"/>
          <w:color w:val="auto"/>
          <w:highlight w:val="none"/>
        </w:rPr>
      </w:pPr>
      <w:bookmarkStart w:id="86" w:name="EB82c0fecbe01048d9bada6538b71a6fc8"/>
      <w:r>
        <w:rPr>
          <w:rFonts w:ascii="Times New Roman" w:hAnsi="Times New Roman"/>
          <w:color w:val="auto"/>
          <w:sz w:val="20"/>
          <w:highlight w:val="none"/>
        </w:rPr>
        <w:t xml:space="preserve"> </w:t>
      </w:r>
      <w:bookmarkEnd w:id="86"/>
      <w:bookmarkStart w:id="87" w:name="EBf924b9be854f498790a9bd5a10df10a4"/>
      <w:r>
        <w:rPr>
          <w:rFonts w:ascii="Times New Roman" w:hAnsi="Times New Roman"/>
          <w:color w:val="auto"/>
          <w:sz w:val="20"/>
          <w:highlight w:val="none"/>
        </w:rPr>
        <w:t xml:space="preserve"> </w:t>
      </w:r>
      <w:bookmarkEnd w:id="87"/>
      <w:bookmarkStart w:id="88" w:name="EBb674d48a859343ff9fca1805d71e3914"/>
      <w:r>
        <w:rPr>
          <w:rFonts w:ascii="Times New Roman" w:hAnsi="Times New Roman"/>
          <w:color w:val="auto"/>
          <w:sz w:val="20"/>
          <w:highlight w:val="none"/>
        </w:rPr>
        <w:t xml:space="preserve"> </w:t>
      </w:r>
      <w:bookmarkEnd w:id="88"/>
    </w:p>
    <w:p w14:paraId="218DEC5D">
      <w:pPr>
        <w:pStyle w:val="4"/>
        <w:ind w:firstLine="482"/>
        <w:rPr>
          <w:color w:val="auto"/>
          <w:highlight w:val="none"/>
        </w:rPr>
      </w:pPr>
      <w:bookmarkStart w:id="89" w:name="_Toc27750"/>
      <w:bookmarkStart w:id="90" w:name="_Toc104293462"/>
      <w:bookmarkStart w:id="91" w:name="_Toc256000014"/>
      <w:bookmarkStart w:id="92" w:name="_Toc152516867"/>
      <w:r>
        <w:rPr>
          <w:color w:val="auto"/>
          <w:highlight w:val="none"/>
        </w:rPr>
        <w:t>六、中标结果公告与中标通知书</w:t>
      </w:r>
      <w:bookmarkEnd w:id="89"/>
      <w:bookmarkEnd w:id="90"/>
      <w:bookmarkEnd w:id="91"/>
      <w:bookmarkEnd w:id="92"/>
    </w:p>
    <w:p w14:paraId="7FE44888">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3</w:t>
      </w:r>
      <w:r>
        <w:rPr>
          <w:rFonts w:hint="eastAsia" w:ascii="Times New Roman" w:hAnsi="Times New Roman" w:eastAsia="仿宋_GB2312"/>
          <w:b/>
          <w:bCs/>
          <w:color w:val="auto"/>
          <w:sz w:val="24"/>
          <w:szCs w:val="24"/>
          <w:highlight w:val="none"/>
        </w:rPr>
        <w:t>5</w:t>
      </w:r>
      <w:r>
        <w:rPr>
          <w:rFonts w:ascii="Times New Roman" w:hAnsi="Times New Roman" w:eastAsia="仿宋_GB2312"/>
          <w:b/>
          <w:bCs/>
          <w:color w:val="auto"/>
          <w:sz w:val="24"/>
          <w:szCs w:val="24"/>
          <w:highlight w:val="none"/>
        </w:rPr>
        <w:t>. 中标结果公告</w:t>
      </w:r>
      <w:r>
        <w:rPr>
          <w:rFonts w:ascii="Times New Roman" w:hAnsi="Times New Roman" w:eastAsia="仿宋_GB2312"/>
          <w:color w:val="auto"/>
          <w:sz w:val="24"/>
          <w:szCs w:val="24"/>
          <w:highlight w:val="none"/>
        </w:rPr>
        <w:t xml:space="preserve"> </w:t>
      </w:r>
    </w:p>
    <w:p w14:paraId="6D9AAA8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确定中标人之日起2个工作日内，交易中心在财政部门</w:t>
      </w:r>
      <w:r>
        <w:rPr>
          <w:rFonts w:hint="eastAsia" w:ascii="Times New Roman" w:hAnsi="Times New Roman" w:eastAsia="仿宋_GB2312"/>
          <w:color w:val="auto"/>
          <w:sz w:val="24"/>
          <w:szCs w:val="24"/>
          <w:highlight w:val="none"/>
          <w:lang w:eastAsia="zh-CN"/>
        </w:rPr>
        <w:t>规定</w:t>
      </w:r>
      <w:r>
        <w:rPr>
          <w:rFonts w:ascii="Times New Roman" w:hAnsi="Times New Roman" w:eastAsia="仿宋_GB2312"/>
          <w:color w:val="auto"/>
          <w:sz w:val="24"/>
          <w:szCs w:val="24"/>
          <w:highlight w:val="none"/>
        </w:rPr>
        <w:t>的网站上发布中标结果公告。</w:t>
      </w:r>
    </w:p>
    <w:p w14:paraId="3E238FFC">
      <w:pPr>
        <w:adjustRightInd w:val="0"/>
        <w:snapToGrid w:val="0"/>
        <w:spacing w:line="400" w:lineRule="exact"/>
        <w:ind w:firstLine="477" w:firstLineChars="198"/>
        <w:rPr>
          <w:rFonts w:ascii="Times New Roman" w:hAnsi="Times New Roman" w:eastAsia="仿宋_GB2312"/>
          <w:b/>
          <w:color w:val="auto"/>
          <w:sz w:val="24"/>
          <w:szCs w:val="24"/>
          <w:highlight w:val="none"/>
        </w:rPr>
      </w:pPr>
      <w:r>
        <w:rPr>
          <w:rFonts w:ascii="Times New Roman" w:hAnsi="Times New Roman" w:eastAsia="仿宋_GB2312"/>
          <w:b/>
          <w:color w:val="auto"/>
          <w:sz w:val="24"/>
          <w:szCs w:val="24"/>
          <w:highlight w:val="none"/>
        </w:rPr>
        <w:t>3</w:t>
      </w:r>
      <w:r>
        <w:rPr>
          <w:rFonts w:hint="eastAsia" w:ascii="Times New Roman" w:hAnsi="Times New Roman" w:eastAsia="仿宋_GB2312"/>
          <w:b/>
          <w:color w:val="auto"/>
          <w:sz w:val="24"/>
          <w:szCs w:val="24"/>
          <w:highlight w:val="none"/>
        </w:rPr>
        <w:t>6</w:t>
      </w:r>
      <w:r>
        <w:rPr>
          <w:rFonts w:ascii="Times New Roman" w:hAnsi="Times New Roman" w:eastAsia="仿宋_GB2312"/>
          <w:b/>
          <w:color w:val="auto"/>
          <w:sz w:val="24"/>
          <w:szCs w:val="24"/>
          <w:highlight w:val="none"/>
        </w:rPr>
        <w:t>. 中标通知书</w:t>
      </w:r>
    </w:p>
    <w:p w14:paraId="4182725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.1中标结果公告公示后，交易中心将以数字电文形式向中标人发出《中标通知书》，宣告其投标已被接受。《中标通知书》对采购人和中标人具有同等法律效力。</w:t>
      </w:r>
    </w:p>
    <w:p w14:paraId="1824A0E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.2《中标通知书》发出后，采购人不得擅自改变中标结果，中标人无正当理由不得放弃中标。</w:t>
      </w:r>
    </w:p>
    <w:p w14:paraId="07139EE8">
      <w:pPr>
        <w:rPr>
          <w:rFonts w:ascii="Times New Roman" w:hAnsi="Times New Roman"/>
          <w:color w:val="auto"/>
          <w:highlight w:val="none"/>
        </w:rPr>
      </w:pPr>
      <w:bookmarkStart w:id="93" w:name="EBd6c39d72cd434cfb8618145f1917e811"/>
      <w:r>
        <w:rPr>
          <w:rFonts w:ascii="Times New Roman" w:hAnsi="Times New Roman"/>
          <w:color w:val="auto"/>
          <w:sz w:val="20"/>
          <w:highlight w:val="none"/>
        </w:rPr>
        <w:t xml:space="preserve"> </w:t>
      </w:r>
      <w:bookmarkEnd w:id="93"/>
      <w:bookmarkStart w:id="94" w:name="EB3efa6e2b5866425989d5275f858bf17e"/>
      <w:r>
        <w:rPr>
          <w:rFonts w:ascii="Times New Roman" w:hAnsi="Times New Roman"/>
          <w:color w:val="auto"/>
          <w:sz w:val="20"/>
          <w:highlight w:val="none"/>
        </w:rPr>
        <w:t xml:space="preserve"> </w:t>
      </w:r>
      <w:bookmarkEnd w:id="94"/>
      <w:bookmarkStart w:id="95" w:name="EB4572e35b1e5d42cca83aae77b9c3dff9"/>
      <w:r>
        <w:rPr>
          <w:rFonts w:ascii="Times New Roman" w:hAnsi="Times New Roman"/>
          <w:color w:val="auto"/>
          <w:sz w:val="20"/>
          <w:highlight w:val="none"/>
        </w:rPr>
        <w:t xml:space="preserve"> </w:t>
      </w:r>
      <w:bookmarkEnd w:id="95"/>
    </w:p>
    <w:p w14:paraId="0A966E98">
      <w:pPr>
        <w:pStyle w:val="4"/>
        <w:ind w:firstLine="482"/>
        <w:rPr>
          <w:color w:val="auto"/>
          <w:highlight w:val="none"/>
        </w:rPr>
      </w:pPr>
      <w:bookmarkStart w:id="96" w:name="_Toc30233"/>
      <w:bookmarkStart w:id="97" w:name="_Toc152516868"/>
      <w:bookmarkStart w:id="98" w:name="_Toc256000015"/>
      <w:bookmarkStart w:id="99" w:name="_Toc104293463"/>
      <w:r>
        <w:rPr>
          <w:color w:val="auto"/>
          <w:highlight w:val="none"/>
        </w:rPr>
        <w:t>七、质疑</w:t>
      </w:r>
      <w:bookmarkEnd w:id="96"/>
      <w:bookmarkEnd w:id="97"/>
      <w:bookmarkEnd w:id="98"/>
      <w:bookmarkEnd w:id="99"/>
      <w:r>
        <w:rPr>
          <w:color w:val="auto"/>
          <w:highlight w:val="none"/>
        </w:rPr>
        <w:t xml:space="preserve"> </w:t>
      </w:r>
    </w:p>
    <w:p w14:paraId="31D419C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7</w:t>
      </w:r>
      <w:r>
        <w:rPr>
          <w:rFonts w:ascii="Times New Roman" w:hAnsi="Times New Roman" w:eastAsia="仿宋_GB2312"/>
          <w:color w:val="auto"/>
          <w:sz w:val="24"/>
          <w:szCs w:val="24"/>
          <w:highlight w:val="none"/>
        </w:rPr>
        <w:t>. 提出质疑的供应商应当是直接参与本次采购活动的供应商。质疑函应当使用中文，并采用财政部门制定的范本。</w:t>
      </w:r>
    </w:p>
    <w:p w14:paraId="2961403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 供应商提出质疑和投诉应当坚持依法依规、诚实信用原则。 </w:t>
      </w:r>
    </w:p>
    <w:p w14:paraId="2982F84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9</w:t>
      </w:r>
      <w:r>
        <w:rPr>
          <w:rFonts w:ascii="Times New Roman" w:hAnsi="Times New Roman" w:eastAsia="仿宋_GB2312"/>
          <w:color w:val="auto"/>
          <w:sz w:val="24"/>
          <w:szCs w:val="24"/>
          <w:highlight w:val="none"/>
        </w:rPr>
        <w:t>. 供应商认为采购文件、采购过程和中标结果使自己的权益受到损害的，可以在知道或者应知其权益受到损害之日起七个工作日内，以书面形式提出质疑。投标人针对招标文件内容、开标、评标环节及中标结果等质疑事项必须在法定质疑期内一次性提出。</w:t>
      </w:r>
    </w:p>
    <w:p w14:paraId="1DCED71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40</w:t>
      </w:r>
      <w:r>
        <w:rPr>
          <w:rFonts w:ascii="Times New Roman" w:hAnsi="Times New Roman" w:eastAsia="仿宋_GB2312"/>
          <w:color w:val="auto"/>
          <w:sz w:val="24"/>
          <w:szCs w:val="24"/>
          <w:highlight w:val="none"/>
        </w:rPr>
        <w:t>. 前款供应商“应知其权益受到损害之日”是指：</w:t>
      </w:r>
    </w:p>
    <w:p w14:paraId="7304751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（1）对可以质疑的采购文件提出质疑的，为收到采购文件之日或者采购文件公告期限届满之日；</w:t>
      </w:r>
    </w:p>
    <w:p w14:paraId="26CA66AE">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（2）对采购过程提出质疑的，为各采购程序环节结束之日；</w:t>
      </w:r>
    </w:p>
    <w:p w14:paraId="3EED442D">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（3）对中标或者成交结果提出质疑的，为中标或者成交结果公告期限届满之日。</w:t>
      </w:r>
    </w:p>
    <w:p w14:paraId="2EDD92D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41</w:t>
      </w:r>
      <w:r>
        <w:rPr>
          <w:rFonts w:ascii="Times New Roman" w:hAnsi="Times New Roman" w:eastAsia="仿宋_GB2312"/>
          <w:color w:val="auto"/>
          <w:sz w:val="24"/>
          <w:szCs w:val="24"/>
          <w:highlight w:val="none"/>
        </w:rPr>
        <w:t>. 投标人提出质疑的，应提供质疑函和必要的证明材料。</w:t>
      </w:r>
    </w:p>
    <w:p w14:paraId="0F0590DD">
      <w:pPr>
        <w:adjustRightInd w:val="0"/>
        <w:snapToGrid w:val="0"/>
        <w:spacing w:line="400" w:lineRule="exact"/>
        <w:ind w:firstLine="595" w:firstLineChars="24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42</w:t>
      </w:r>
      <w:r>
        <w:rPr>
          <w:rFonts w:ascii="Times New Roman" w:hAnsi="Times New Roman" w:eastAsia="仿宋_GB2312"/>
          <w:color w:val="auto"/>
          <w:sz w:val="24"/>
          <w:szCs w:val="24"/>
          <w:highlight w:val="none"/>
        </w:rPr>
        <w:t xml:space="preserve">. 质疑函应当包括以下内容： </w:t>
      </w:r>
    </w:p>
    <w:p w14:paraId="00C61E1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（1）供应商的姓名或者名称、地址、邮编、联系人及联系电话；</w:t>
      </w:r>
    </w:p>
    <w:p w14:paraId="50A32B25">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（2）质疑项目的名称、编号；</w:t>
      </w:r>
    </w:p>
    <w:p w14:paraId="6EB52C9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（3）具体、明确的质疑事项和与质疑事项相关的请求； </w:t>
      </w:r>
    </w:p>
    <w:p w14:paraId="7917A187">
      <w:pPr>
        <w:tabs>
          <w:tab w:val="center" w:pos="4939"/>
        </w:tabs>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（4）事实依据； </w:t>
      </w:r>
      <w:r>
        <w:rPr>
          <w:rFonts w:ascii="Times New Roman" w:hAnsi="Times New Roman" w:eastAsia="仿宋_GB2312"/>
          <w:color w:val="auto"/>
          <w:sz w:val="24"/>
          <w:szCs w:val="24"/>
          <w:highlight w:val="none"/>
        </w:rPr>
        <w:tab/>
      </w:r>
    </w:p>
    <w:p w14:paraId="0575DCBB">
      <w:pPr>
        <w:tabs>
          <w:tab w:val="left" w:pos="4065"/>
        </w:tabs>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（5）必要的法律依据； </w:t>
      </w:r>
      <w:r>
        <w:rPr>
          <w:rFonts w:ascii="Times New Roman" w:hAnsi="Times New Roman" w:eastAsia="仿宋_GB2312"/>
          <w:color w:val="auto"/>
          <w:sz w:val="24"/>
          <w:szCs w:val="24"/>
          <w:highlight w:val="none"/>
        </w:rPr>
        <w:tab/>
      </w:r>
    </w:p>
    <w:p w14:paraId="27740CB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（6）提出质疑的日期。</w:t>
      </w:r>
    </w:p>
    <w:p w14:paraId="2A212BB7">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43</w:t>
      </w:r>
      <w:r>
        <w:rPr>
          <w:rFonts w:ascii="Times New Roman" w:hAnsi="Times New Roman" w:eastAsia="仿宋_GB2312"/>
          <w:color w:val="auto"/>
          <w:sz w:val="24"/>
          <w:szCs w:val="24"/>
          <w:highlight w:val="none"/>
        </w:rPr>
        <w:t xml:space="preserve">. 质疑函应当由供应商法定代表人（或经营者/执行事务合伙人/负责人/自然人）或其授权代表（附授权委托书）签名并加盖公章。 </w:t>
      </w:r>
    </w:p>
    <w:p w14:paraId="0028079F">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rPr>
        <w:t>4</w:t>
      </w: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关于质疑函的接收。</w:t>
      </w:r>
    </w:p>
    <w:p w14:paraId="3858819B">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递交方式：</w:t>
      </w:r>
      <w:r>
        <w:rPr>
          <w:rFonts w:ascii="Times New Roman" w:hAnsi="Times New Roman" w:eastAsia="仿宋_GB2312"/>
          <w:color w:val="auto"/>
          <w:sz w:val="24"/>
          <w:szCs w:val="24"/>
          <w:highlight w:val="none"/>
          <w:u w:val="single"/>
        </w:rPr>
        <w:t xml:space="preserve">                           </w:t>
      </w:r>
    </w:p>
    <w:p w14:paraId="3E9305E1">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联系部门：</w:t>
      </w:r>
      <w:r>
        <w:rPr>
          <w:rFonts w:ascii="Times New Roman" w:hAnsi="Times New Roman" w:eastAsia="仿宋_GB2312"/>
          <w:color w:val="auto"/>
          <w:sz w:val="24"/>
          <w:szCs w:val="24"/>
          <w:highlight w:val="none"/>
          <w:u w:val="single"/>
        </w:rPr>
        <w:t xml:space="preserve">                           </w:t>
      </w:r>
    </w:p>
    <w:p w14:paraId="368501F0">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联系电话：</w:t>
      </w:r>
      <w:r>
        <w:rPr>
          <w:rFonts w:ascii="Times New Roman" w:hAnsi="Times New Roman" w:eastAsia="仿宋_GB2312"/>
          <w:color w:val="auto"/>
          <w:sz w:val="24"/>
          <w:szCs w:val="24"/>
          <w:highlight w:val="none"/>
          <w:u w:val="single"/>
        </w:rPr>
        <w:t xml:space="preserve">                           </w:t>
      </w:r>
    </w:p>
    <w:p w14:paraId="2AA28B8C">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通讯地址：</w:t>
      </w:r>
      <w:r>
        <w:rPr>
          <w:rFonts w:ascii="Times New Roman" w:hAnsi="Times New Roman" w:eastAsia="仿宋_GB2312"/>
          <w:color w:val="auto"/>
          <w:sz w:val="24"/>
          <w:szCs w:val="24"/>
          <w:highlight w:val="none"/>
          <w:u w:val="single"/>
        </w:rPr>
        <w:t xml:space="preserve">                           </w:t>
      </w:r>
    </w:p>
    <w:p w14:paraId="63103FA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45.</w:t>
      </w:r>
      <w:r>
        <w:rPr>
          <w:rFonts w:ascii="Times New Roman" w:hAnsi="Times New Roman" w:eastAsia="仿宋_GB2312"/>
          <w:color w:val="auto"/>
          <w:sz w:val="24"/>
          <w:szCs w:val="24"/>
          <w:highlight w:val="none"/>
        </w:rPr>
        <w:t xml:space="preserve">采购人或者交易中心应当在收到供应商的书面质疑后七个工作日内作出答复，并以书面形式通知质疑供应商和其他有关供应商。  </w:t>
      </w:r>
    </w:p>
    <w:p w14:paraId="47154289">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 xml:space="preserve">. 质疑供应商对采购人、交易中心的答复不满意或者采购人、交易中心未在规定的时间内作出答复的，可以在答复期满后十五个工作日内向同级政府采购监督管理部门投诉。 </w:t>
      </w:r>
    </w:p>
    <w:p w14:paraId="61E082B8">
      <w:pPr>
        <w:rPr>
          <w:rFonts w:ascii="Times New Roman" w:hAnsi="Times New Roman"/>
          <w:color w:val="auto"/>
          <w:highlight w:val="none"/>
        </w:rPr>
      </w:pPr>
      <w:bookmarkStart w:id="100" w:name="EB700175ff62ea4c1cabf97ebe16e818de"/>
      <w:r>
        <w:rPr>
          <w:rFonts w:ascii="Times New Roman" w:hAnsi="Times New Roman"/>
          <w:color w:val="auto"/>
          <w:sz w:val="20"/>
          <w:highlight w:val="none"/>
        </w:rPr>
        <w:t xml:space="preserve"> </w:t>
      </w:r>
      <w:bookmarkEnd w:id="100"/>
      <w:bookmarkStart w:id="101" w:name="EB8529f0ddfa97478b84defae020c46ac0"/>
      <w:r>
        <w:rPr>
          <w:rFonts w:ascii="Times New Roman" w:hAnsi="Times New Roman"/>
          <w:color w:val="auto"/>
          <w:sz w:val="20"/>
          <w:highlight w:val="none"/>
        </w:rPr>
        <w:t xml:space="preserve"> </w:t>
      </w:r>
      <w:bookmarkEnd w:id="101"/>
      <w:bookmarkStart w:id="102" w:name="EBfa38df4d732a444184c62cad44c7e249"/>
      <w:r>
        <w:rPr>
          <w:rFonts w:ascii="Times New Roman" w:hAnsi="Times New Roman"/>
          <w:color w:val="auto"/>
          <w:sz w:val="20"/>
          <w:highlight w:val="none"/>
        </w:rPr>
        <w:t xml:space="preserve"> </w:t>
      </w:r>
      <w:bookmarkEnd w:id="102"/>
    </w:p>
    <w:p w14:paraId="2D1E477D">
      <w:pPr>
        <w:pStyle w:val="4"/>
        <w:ind w:firstLine="482"/>
        <w:rPr>
          <w:color w:val="auto"/>
          <w:highlight w:val="none"/>
        </w:rPr>
      </w:pPr>
      <w:bookmarkStart w:id="103" w:name="_Toc152516869"/>
      <w:bookmarkStart w:id="104" w:name="_Toc13585"/>
      <w:bookmarkStart w:id="105" w:name="_Toc104293464"/>
      <w:bookmarkStart w:id="106" w:name="_Toc256000016"/>
      <w:r>
        <w:rPr>
          <w:color w:val="auto"/>
          <w:highlight w:val="none"/>
        </w:rPr>
        <w:t>八、合同签订</w:t>
      </w:r>
      <w:bookmarkEnd w:id="103"/>
      <w:bookmarkEnd w:id="104"/>
      <w:bookmarkEnd w:id="105"/>
      <w:bookmarkEnd w:id="106"/>
      <w:r>
        <w:rPr>
          <w:color w:val="auto"/>
          <w:highlight w:val="none"/>
        </w:rPr>
        <w:t xml:space="preserve"> </w:t>
      </w:r>
    </w:p>
    <w:p w14:paraId="6C639733">
      <w:pPr>
        <w:adjustRightInd w:val="0"/>
        <w:snapToGrid w:val="0"/>
        <w:spacing w:line="400" w:lineRule="exact"/>
        <w:ind w:firstLine="472" w:firstLineChars="196"/>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4</w:t>
      </w:r>
      <w:r>
        <w:rPr>
          <w:rFonts w:hint="eastAsia" w:ascii="Times New Roman" w:hAnsi="Times New Roman" w:eastAsia="仿宋_GB2312"/>
          <w:b/>
          <w:bCs/>
          <w:color w:val="auto"/>
          <w:sz w:val="24"/>
          <w:szCs w:val="24"/>
          <w:highlight w:val="none"/>
        </w:rPr>
        <w:t>7</w:t>
      </w:r>
      <w:r>
        <w:rPr>
          <w:rFonts w:ascii="Times New Roman" w:hAnsi="Times New Roman" w:eastAsia="仿宋_GB2312"/>
          <w:b/>
          <w:bCs/>
          <w:color w:val="auto"/>
          <w:sz w:val="24"/>
          <w:szCs w:val="24"/>
          <w:highlight w:val="none"/>
        </w:rPr>
        <w:t>. 履约保证金</w:t>
      </w:r>
      <w:r>
        <w:rPr>
          <w:rFonts w:ascii="Times New Roman" w:hAnsi="Times New Roman" w:eastAsia="仿宋_GB2312"/>
          <w:color w:val="auto"/>
          <w:sz w:val="24"/>
          <w:szCs w:val="24"/>
          <w:highlight w:val="none"/>
        </w:rPr>
        <w:t xml:space="preserve"> </w:t>
      </w:r>
    </w:p>
    <w:p w14:paraId="25D7DE99">
      <w:pPr>
        <w:adjustRightInd w:val="0"/>
        <w:snapToGrid w:val="0"/>
        <w:spacing w:line="40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若采购人需收取履约保证金，采购人、中标（成交）供应商应当在政府采购合同中约定履约保证金退还的方式、时间、条件和不予退还的情形，明确逾期退还履约保证金的违约责任。采购人应当按照约定及时退还履约保证金，不得违规将履约保证金转为“质保金”。</w:t>
      </w:r>
    </w:p>
    <w:p w14:paraId="4A753ACD">
      <w:pPr>
        <w:adjustRightInd w:val="0"/>
        <w:snapToGrid w:val="0"/>
        <w:spacing w:line="400" w:lineRule="exact"/>
        <w:ind w:firstLine="482" w:firstLineChars="200"/>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4</w:t>
      </w:r>
      <w:r>
        <w:rPr>
          <w:rFonts w:hint="eastAsia" w:ascii="Times New Roman" w:hAnsi="Times New Roman" w:eastAsia="仿宋_GB2312"/>
          <w:b/>
          <w:bCs/>
          <w:color w:val="auto"/>
          <w:sz w:val="24"/>
          <w:szCs w:val="24"/>
          <w:highlight w:val="none"/>
        </w:rPr>
        <w:t>8</w:t>
      </w:r>
      <w:r>
        <w:rPr>
          <w:rFonts w:ascii="Times New Roman" w:hAnsi="Times New Roman" w:eastAsia="仿宋_GB2312"/>
          <w:b/>
          <w:bCs/>
          <w:color w:val="auto"/>
          <w:sz w:val="24"/>
          <w:szCs w:val="24"/>
          <w:highlight w:val="none"/>
        </w:rPr>
        <w:t>.  签订合同</w:t>
      </w:r>
      <w:r>
        <w:rPr>
          <w:rFonts w:ascii="Times New Roman" w:hAnsi="Times New Roman" w:eastAsia="仿宋_GB2312"/>
          <w:color w:val="auto"/>
          <w:sz w:val="24"/>
          <w:szCs w:val="24"/>
          <w:highlight w:val="none"/>
        </w:rPr>
        <w:t xml:space="preserve"> </w:t>
      </w:r>
    </w:p>
    <w:p w14:paraId="639C859A">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 xml:space="preserve">.1采购人应当自《中标通知书》发出之日起30日内，依据招标文件和中标人的投标文件与中标人签订书面合同。所签订的合同不得对招标文件确定的事项和中标人的投标文件作实质性修改。联合体中标的，联合体各方应当共同与采购人签订合同，就采购合同约定的事项向采购人承担连带责任。 </w:t>
      </w:r>
    </w:p>
    <w:p w14:paraId="1D4BA628">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2合同签订时，采购人和中标人必须以评标委员会确认的投标文件为依据，采购人不得与中标人私自协商变更投标文件“供货一览表”中的设备，降低产品性能，骗取财政性资金。若因系统建设需要，不得不更改产品的品牌及配置，必须经相关部门审核同意后方可变更，否则变更无效。</w:t>
      </w:r>
    </w:p>
    <w:p w14:paraId="47EB0602">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.3 《中标通知书》将是构成合同的一个组成部分。</w:t>
      </w:r>
    </w:p>
    <w:p w14:paraId="08701493">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w:t>
      </w: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.4 合同自签订之日起三个工作日内，中标人应向采购人提供一份详细的工作时间表。</w:t>
      </w:r>
    </w:p>
    <w:p w14:paraId="561BA316">
      <w:pPr>
        <w:adjustRightInd w:val="0"/>
        <w:snapToGrid w:val="0"/>
        <w:spacing w:line="400" w:lineRule="exact"/>
        <w:ind w:firstLine="475" w:firstLineChars="198"/>
        <w:rPr>
          <w:rFonts w:ascii="Times New Roman" w:hAnsi="Times New Roman" w:eastAsia="仿宋_GB2312"/>
          <w:iCs/>
          <w:color w:val="auto"/>
          <w:sz w:val="24"/>
          <w:szCs w:val="24"/>
          <w:highlight w:val="none"/>
        </w:rPr>
      </w:pPr>
      <w:r>
        <w:rPr>
          <w:rFonts w:ascii="Times New Roman" w:hAnsi="Times New Roman" w:eastAsia="仿宋_GB2312"/>
          <w:iCs/>
          <w:color w:val="auto"/>
          <w:sz w:val="24"/>
          <w:szCs w:val="24"/>
          <w:highlight w:val="none"/>
        </w:rPr>
        <w:t>4</w:t>
      </w:r>
      <w:r>
        <w:rPr>
          <w:rFonts w:hint="eastAsia" w:ascii="Times New Roman" w:hAnsi="Times New Roman" w:eastAsia="仿宋_GB2312"/>
          <w:iCs/>
          <w:color w:val="auto"/>
          <w:sz w:val="24"/>
          <w:szCs w:val="24"/>
          <w:highlight w:val="none"/>
        </w:rPr>
        <w:t>8</w:t>
      </w:r>
      <w:r>
        <w:rPr>
          <w:rFonts w:ascii="Times New Roman" w:hAnsi="Times New Roman" w:eastAsia="仿宋_GB2312"/>
          <w:iCs/>
          <w:color w:val="auto"/>
          <w:sz w:val="24"/>
          <w:szCs w:val="24"/>
          <w:highlight w:val="none"/>
        </w:rPr>
        <w:t>.5 合同自签订之日起，采购人</w:t>
      </w:r>
      <w:r>
        <w:rPr>
          <w:rFonts w:hint="eastAsia" w:ascii="Times New Roman" w:hAnsi="Times New Roman" w:eastAsia="仿宋_GB2312"/>
          <w:iCs/>
          <w:color w:val="auto"/>
          <w:sz w:val="24"/>
          <w:szCs w:val="24"/>
          <w:highlight w:val="none"/>
        </w:rPr>
        <w:t>应当及时</w:t>
      </w:r>
      <w:r>
        <w:rPr>
          <w:rFonts w:ascii="Times New Roman" w:hAnsi="Times New Roman" w:eastAsia="仿宋_GB2312"/>
          <w:iCs/>
          <w:color w:val="auto"/>
          <w:sz w:val="24"/>
          <w:szCs w:val="24"/>
          <w:highlight w:val="none"/>
        </w:rPr>
        <w:t>在政采云平台完成合同备案。</w:t>
      </w:r>
    </w:p>
    <w:p w14:paraId="6B067546">
      <w:pPr>
        <w:adjustRightInd w:val="0"/>
        <w:snapToGrid w:val="0"/>
        <w:spacing w:line="40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iCs/>
          <w:color w:val="auto"/>
          <w:sz w:val="24"/>
          <w:szCs w:val="24"/>
          <w:highlight w:val="none"/>
        </w:rPr>
        <w:t xml:space="preserve">48.6 </w:t>
      </w:r>
      <w:r>
        <w:rPr>
          <w:rFonts w:ascii="Times New Roman" w:hAnsi="Times New Roman" w:eastAsia="仿宋_GB2312"/>
          <w:iCs/>
          <w:color w:val="auto"/>
          <w:sz w:val="24"/>
          <w:szCs w:val="24"/>
          <w:highlight w:val="none"/>
        </w:rPr>
        <w:t>采购人允许采用分包方式履行合同的，中标人可以依法将中标项目的非主体、非关键性工作采取分包方式履行合同。政府采购合同分包履行的，应当在投标文件中载明分包承担主体，分包承担主体应当具备相应资质条件且不得再次分包，否则投标无效。中标人就采购项目和分包项目向采购人负责，分包供应商就分包项目承担责任。政府采购合同不能转包。</w:t>
      </w:r>
    </w:p>
    <w:p w14:paraId="2FA44792">
      <w:pPr>
        <w:rPr>
          <w:rFonts w:ascii="Times New Roman" w:hAnsi="Times New Roman"/>
          <w:color w:val="auto"/>
          <w:highlight w:val="none"/>
        </w:rPr>
      </w:pPr>
      <w:bookmarkStart w:id="107" w:name="EB5e6819471adf486dbd5ef38294343217"/>
      <w:r>
        <w:rPr>
          <w:rFonts w:ascii="Times New Roman" w:hAnsi="Times New Roman"/>
          <w:color w:val="auto"/>
          <w:sz w:val="20"/>
          <w:highlight w:val="none"/>
        </w:rPr>
        <w:t xml:space="preserve"> </w:t>
      </w:r>
      <w:bookmarkEnd w:id="107"/>
      <w:bookmarkStart w:id="108" w:name="EB96057038a4ca48c599a3216786cbcacf"/>
      <w:r>
        <w:rPr>
          <w:rFonts w:ascii="Times New Roman" w:hAnsi="Times New Roman"/>
          <w:color w:val="auto"/>
          <w:sz w:val="20"/>
          <w:highlight w:val="none"/>
        </w:rPr>
        <w:t xml:space="preserve"> </w:t>
      </w:r>
      <w:bookmarkEnd w:id="108"/>
      <w:bookmarkStart w:id="109" w:name="EB6c5b00d97e574ea79d0063307de5de61"/>
      <w:r>
        <w:rPr>
          <w:rFonts w:ascii="Times New Roman" w:hAnsi="Times New Roman"/>
          <w:color w:val="auto"/>
          <w:sz w:val="20"/>
          <w:highlight w:val="none"/>
        </w:rPr>
        <w:t xml:space="preserve"> </w:t>
      </w:r>
      <w:bookmarkEnd w:id="109"/>
    </w:p>
    <w:p w14:paraId="69168C22">
      <w:pPr>
        <w:pStyle w:val="4"/>
        <w:ind w:firstLine="482"/>
        <w:rPr>
          <w:color w:val="auto"/>
          <w:highlight w:val="none"/>
        </w:rPr>
      </w:pPr>
      <w:bookmarkStart w:id="110" w:name="_Toc152516870"/>
      <w:bookmarkStart w:id="111" w:name="_Toc104293465"/>
      <w:bookmarkStart w:id="112" w:name="_Toc25956"/>
      <w:bookmarkStart w:id="113" w:name="_Toc256000017"/>
      <w:r>
        <w:rPr>
          <w:color w:val="auto"/>
          <w:highlight w:val="none"/>
        </w:rPr>
        <w:t>九、其他规定</w:t>
      </w:r>
      <w:bookmarkEnd w:id="110"/>
      <w:bookmarkEnd w:id="111"/>
      <w:bookmarkEnd w:id="112"/>
      <w:bookmarkEnd w:id="113"/>
      <w:r>
        <w:rPr>
          <w:color w:val="auto"/>
          <w:highlight w:val="none"/>
        </w:rPr>
        <w:t xml:space="preserve"> </w:t>
      </w:r>
    </w:p>
    <w:p w14:paraId="5AAC4C4A">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
          <w:color w:val="auto"/>
          <w:sz w:val="24"/>
          <w:szCs w:val="24"/>
          <w:highlight w:val="none"/>
        </w:rPr>
        <w:t>49. 保密。</w:t>
      </w:r>
      <w:r>
        <w:rPr>
          <w:rFonts w:hint="eastAsia" w:ascii="Times New Roman" w:hAnsi="Times New Roman" w:eastAsia="仿宋_GB2312"/>
          <w:bCs/>
          <w:color w:val="auto"/>
          <w:sz w:val="24"/>
          <w:szCs w:val="24"/>
          <w:highlight w:val="none"/>
        </w:rPr>
        <w:t>参与招标投标活动的各方应对招标文件和投标文件中的商业和技术等秘密保密，否则应承担相应的法律责任。</w:t>
      </w:r>
    </w:p>
    <w:p w14:paraId="5DB39E04">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49.1投标人自获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49BED50">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49.2采购代理机构有权将投标人提供的所有资料向有关政府部门或评审投标文件的有关人员披露。</w:t>
      </w:r>
    </w:p>
    <w:p w14:paraId="7B571E44">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49.3 各级人民政府财政部门对政府采购活动进行监督检查，有权查阅、复制有关文件、资料，相关单位和人员应当予以配合。</w:t>
      </w:r>
    </w:p>
    <w:p w14:paraId="5AD800D5">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50. 本招标文件中提到的日期、时间均为公历、北京时间。除本采购文件另有规定外，文件中出现的类似于“近三年”或“前三年”、“近五年”或“前五年”均指递交投标文件截止时间之前三年或前五年，以此类推。本采购文件所称的“以上”、“以下”、“内”、“以内”，包括本数；所称的“不足”，不包括本数。</w:t>
      </w:r>
    </w:p>
    <w:p w14:paraId="004AF4D6">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
          <w:color w:val="auto"/>
          <w:sz w:val="24"/>
          <w:szCs w:val="24"/>
          <w:highlight w:val="none"/>
        </w:rPr>
        <w:t>51</w:t>
      </w:r>
      <w:r>
        <w:rPr>
          <w:rFonts w:ascii="Times New Roman" w:hAnsi="Times New Roman" w:eastAsia="仿宋_GB2312"/>
          <w:b/>
          <w:color w:val="auto"/>
          <w:sz w:val="24"/>
          <w:szCs w:val="24"/>
          <w:highlight w:val="none"/>
        </w:rPr>
        <w:t>.</w:t>
      </w:r>
      <w:r>
        <w:rPr>
          <w:rFonts w:hint="eastAsia" w:ascii="Times New Roman" w:hAnsi="Times New Roman" w:eastAsia="仿宋_GB2312"/>
          <w:b/>
          <w:color w:val="auto"/>
          <w:sz w:val="24"/>
          <w:szCs w:val="24"/>
          <w:highlight w:val="none"/>
        </w:rPr>
        <w:t xml:space="preserve"> </w:t>
      </w:r>
      <w:r>
        <w:rPr>
          <w:rFonts w:ascii="Times New Roman" w:hAnsi="Times New Roman" w:eastAsia="仿宋_GB2312"/>
          <w:b/>
          <w:color w:val="auto"/>
          <w:sz w:val="24"/>
          <w:szCs w:val="24"/>
          <w:highlight w:val="none"/>
        </w:rPr>
        <w:t>适用法律</w:t>
      </w:r>
      <w:r>
        <w:rPr>
          <w:rFonts w:hint="eastAsia" w:ascii="Times New Roman" w:hAnsi="Times New Roman" w:eastAsia="仿宋_GB2312"/>
          <w:b/>
          <w:color w:val="auto"/>
          <w:sz w:val="24"/>
          <w:szCs w:val="24"/>
          <w:highlight w:val="none"/>
        </w:rPr>
        <w:t>。</w:t>
      </w:r>
      <w:r>
        <w:rPr>
          <w:rFonts w:ascii="Times New Roman" w:hAnsi="Times New Roman" w:eastAsia="仿宋_GB2312"/>
          <w:bCs/>
          <w:color w:val="auto"/>
          <w:sz w:val="24"/>
          <w:szCs w:val="24"/>
          <w:highlight w:val="none"/>
        </w:rPr>
        <w:t>采购人、采购代理机构及投标人的一切采购活动均适用《中华人民共和国政府采购法》、《中华人民共和国政府采购法实施条例》、《政府采购货物和服务招标投标管理办法》</w:t>
      </w:r>
      <w:r>
        <w:rPr>
          <w:rFonts w:hint="eastAsia" w:ascii="Times New Roman" w:hAnsi="Times New Roman" w:eastAsia="仿宋_GB2312"/>
          <w:bCs/>
          <w:color w:val="auto"/>
          <w:sz w:val="24"/>
          <w:szCs w:val="24"/>
          <w:highlight w:val="none"/>
        </w:rPr>
        <w:t>等</w:t>
      </w:r>
      <w:r>
        <w:rPr>
          <w:rFonts w:ascii="Times New Roman" w:hAnsi="Times New Roman" w:eastAsia="仿宋_GB2312"/>
          <w:bCs/>
          <w:color w:val="auto"/>
          <w:sz w:val="24"/>
          <w:szCs w:val="24"/>
          <w:highlight w:val="none"/>
        </w:rPr>
        <w:t>相关法律法规。</w:t>
      </w:r>
    </w:p>
    <w:p w14:paraId="043D0730">
      <w:pPr>
        <w:adjustRightInd w:val="0"/>
        <w:snapToGrid w:val="0"/>
        <w:spacing w:line="400" w:lineRule="exact"/>
        <w:ind w:firstLine="42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政府采购</w:t>
      </w:r>
      <w:r>
        <w:rPr>
          <w:rFonts w:hint="eastAsia" w:ascii="Times New Roman" w:hAnsi="Times New Roman" w:eastAsia="仿宋_GB2312"/>
          <w:bCs/>
          <w:color w:val="auto"/>
          <w:sz w:val="24"/>
          <w:szCs w:val="24"/>
          <w:highlight w:val="none"/>
        </w:rPr>
        <w:t>合同履约过程中出现的</w:t>
      </w:r>
      <w:r>
        <w:rPr>
          <w:rFonts w:ascii="Times New Roman" w:hAnsi="Times New Roman" w:eastAsia="仿宋_GB2312"/>
          <w:bCs/>
          <w:color w:val="auto"/>
          <w:sz w:val="24"/>
          <w:szCs w:val="24"/>
          <w:highlight w:val="none"/>
        </w:rPr>
        <w:t>违约责任和争议等</w:t>
      </w:r>
      <w:r>
        <w:rPr>
          <w:rFonts w:hint="eastAsia" w:ascii="Times New Roman" w:hAnsi="Times New Roman" w:eastAsia="仿宋_GB2312"/>
          <w:bCs/>
          <w:color w:val="auto"/>
          <w:sz w:val="24"/>
          <w:szCs w:val="24"/>
          <w:highlight w:val="none"/>
        </w:rPr>
        <w:t>情形依据</w:t>
      </w:r>
      <w:r>
        <w:rPr>
          <w:rFonts w:ascii="Times New Roman" w:hAnsi="Times New Roman" w:eastAsia="仿宋_GB2312"/>
          <w:bCs/>
          <w:color w:val="auto"/>
          <w:sz w:val="24"/>
          <w:szCs w:val="24"/>
          <w:highlight w:val="none"/>
        </w:rPr>
        <w:t>《中华人民共和国民法典》</w:t>
      </w:r>
      <w:r>
        <w:rPr>
          <w:rFonts w:hint="eastAsia" w:ascii="Times New Roman" w:hAnsi="Times New Roman" w:eastAsia="仿宋_GB2312"/>
          <w:bCs/>
          <w:color w:val="auto"/>
          <w:sz w:val="24"/>
          <w:szCs w:val="24"/>
          <w:highlight w:val="none"/>
        </w:rPr>
        <w:t>处理</w:t>
      </w:r>
      <w:r>
        <w:rPr>
          <w:rFonts w:ascii="Times New Roman" w:hAnsi="Times New Roman" w:eastAsia="仿宋_GB2312"/>
          <w:bCs/>
          <w:color w:val="auto"/>
          <w:sz w:val="24"/>
          <w:szCs w:val="24"/>
          <w:highlight w:val="none"/>
        </w:rPr>
        <w:t>。</w:t>
      </w:r>
    </w:p>
    <w:p w14:paraId="228E8D93">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52</w:t>
      </w:r>
      <w:r>
        <w:rPr>
          <w:rFonts w:ascii="Times New Roman" w:hAnsi="Times New Roman" w:eastAsia="仿宋_GB2312"/>
          <w:bCs/>
          <w:color w:val="auto"/>
          <w:sz w:val="24"/>
          <w:szCs w:val="24"/>
          <w:highlight w:val="none"/>
        </w:rPr>
        <w:t>.本招标文件的解释权归乌鲁木齐市公共资源交易中心（乌鲁木齐市政府采购中心）所有。</w:t>
      </w:r>
    </w:p>
    <w:p w14:paraId="336D08B2">
      <w:pPr>
        <w:adjustRightInd w:val="0"/>
        <w:snapToGrid w:val="0"/>
        <w:spacing w:line="400" w:lineRule="exact"/>
        <w:ind w:firstLine="420"/>
        <w:rPr>
          <w:rFonts w:ascii="Times New Roman" w:hAnsi="Times New Roman" w:eastAsia="仿宋_GB2312"/>
          <w:bCs/>
          <w:color w:val="auto"/>
          <w:sz w:val="24"/>
          <w:szCs w:val="24"/>
          <w:highlight w:val="none"/>
        </w:rPr>
      </w:pPr>
      <w:r>
        <w:rPr>
          <w:rFonts w:hint="eastAsia" w:ascii="Times New Roman" w:hAnsi="Times New Roman" w:eastAsia="仿宋_GB2312"/>
          <w:bCs/>
          <w:color w:val="auto"/>
          <w:sz w:val="24"/>
          <w:szCs w:val="24"/>
          <w:highlight w:val="none"/>
        </w:rPr>
        <w:t>53</w:t>
      </w:r>
      <w:r>
        <w:rPr>
          <w:rFonts w:ascii="Times New Roman" w:hAnsi="Times New Roman" w:eastAsia="仿宋_GB2312"/>
          <w:bCs/>
          <w:color w:val="auto"/>
          <w:sz w:val="24"/>
          <w:szCs w:val="24"/>
          <w:highlight w:val="none"/>
        </w:rPr>
        <w:t>.</w:t>
      </w:r>
      <w:r>
        <w:rPr>
          <w:rFonts w:ascii="Times New Roman" w:hAnsi="Times New Roman"/>
          <w:color w:val="auto"/>
          <w:highlight w:val="none"/>
        </w:rPr>
        <w:t xml:space="preserve"> </w:t>
      </w:r>
      <w:r>
        <w:rPr>
          <w:rFonts w:ascii="Times New Roman" w:hAnsi="Times New Roman" w:eastAsia="仿宋_GB2312"/>
          <w:bCs/>
          <w:color w:val="auto"/>
          <w:sz w:val="24"/>
          <w:szCs w:val="24"/>
          <w:highlight w:val="none"/>
        </w:rPr>
        <w:t>投标人的营业执照名称、法定代表人等重要信息发生变更，投标人应及时更新其联系信息、法定代表人、地址、电话、电子邮件等重要信息。若投标人未能履行信息变更的义务，或由于信息未及时更新而导致招标方无法与投标人联系，投标人将承担由此产生的所有后果。</w:t>
      </w:r>
    </w:p>
    <w:p w14:paraId="4912CB04">
      <w:pPr>
        <w:rPr>
          <w:rFonts w:ascii="Times New Roman" w:hAnsi="Times New Roman"/>
          <w:color w:val="auto"/>
          <w:highlight w:val="none"/>
        </w:rPr>
      </w:pPr>
      <w:bookmarkStart w:id="114" w:name="EBb2a33e4f21e242a4a4576d137e88a23f"/>
      <w:r>
        <w:rPr>
          <w:rFonts w:ascii="Times New Roman" w:hAnsi="Times New Roman"/>
          <w:color w:val="auto"/>
          <w:sz w:val="20"/>
          <w:highlight w:val="none"/>
        </w:rPr>
        <w:t xml:space="preserve"> </w:t>
      </w:r>
      <w:bookmarkEnd w:id="114"/>
      <w:bookmarkStart w:id="115" w:name="EBecb9b2a350bc4d72a60ce0143a343f00"/>
      <w:r>
        <w:rPr>
          <w:rFonts w:ascii="Times New Roman" w:hAnsi="Times New Roman"/>
          <w:color w:val="auto"/>
          <w:sz w:val="20"/>
          <w:highlight w:val="none"/>
        </w:rPr>
        <w:t xml:space="preserve"> </w:t>
      </w:r>
      <w:bookmarkEnd w:id="115"/>
      <w:bookmarkStart w:id="116" w:name="EBba34af7bdcfc4cb0b6c734b626c03f88"/>
      <w:r>
        <w:rPr>
          <w:rFonts w:ascii="Times New Roman" w:hAnsi="Times New Roman"/>
          <w:color w:val="auto"/>
          <w:sz w:val="20"/>
          <w:highlight w:val="none"/>
        </w:rPr>
        <w:t xml:space="preserve"> </w:t>
      </w:r>
      <w:bookmarkEnd w:id="116"/>
    </w:p>
    <w:p w14:paraId="002CA098">
      <w:pPr>
        <w:pStyle w:val="4"/>
        <w:ind w:firstLine="482"/>
        <w:rPr>
          <w:color w:val="auto"/>
          <w:highlight w:val="none"/>
        </w:rPr>
      </w:pPr>
      <w:bookmarkStart w:id="117" w:name="_Toc8505"/>
      <w:bookmarkStart w:id="118" w:name="_Toc18536"/>
      <w:bookmarkStart w:id="119" w:name="_Toc152516871"/>
      <w:bookmarkStart w:id="120" w:name="_Toc256000018"/>
      <w:bookmarkStart w:id="121" w:name="_Toc104293466"/>
      <w:r>
        <w:rPr>
          <w:color w:val="auto"/>
          <w:highlight w:val="none"/>
        </w:rPr>
        <w:t>十、其他</w:t>
      </w:r>
      <w:bookmarkEnd w:id="117"/>
      <w:r>
        <w:rPr>
          <w:color w:val="auto"/>
          <w:highlight w:val="none"/>
        </w:rPr>
        <w:t>内容</w:t>
      </w:r>
      <w:bookmarkEnd w:id="118"/>
      <w:bookmarkEnd w:id="119"/>
      <w:bookmarkEnd w:id="120"/>
      <w:bookmarkEnd w:id="121"/>
    </w:p>
    <w:tbl>
      <w:tblPr>
        <w:tblStyle w:val="2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0"/>
      </w:tblGrid>
      <w:tr w14:paraId="127E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620" w:type="dxa"/>
            <w:tcBorders>
              <w:top w:val="single" w:color="auto" w:sz="4" w:space="0"/>
              <w:left w:val="single" w:color="auto" w:sz="4" w:space="0"/>
              <w:bottom w:val="single" w:color="auto" w:sz="4" w:space="0"/>
              <w:right w:val="single" w:color="auto" w:sz="4" w:space="0"/>
            </w:tcBorders>
          </w:tcPr>
          <w:p w14:paraId="524A2794">
            <w:pPr>
              <w:adjustRightInd w:val="0"/>
              <w:snapToGrid w:val="0"/>
              <w:spacing w:line="340" w:lineRule="exact"/>
              <w:ind w:firstLine="420" w:firstLineChars="200"/>
              <w:rPr>
                <w:rFonts w:ascii="Times New Roman" w:hAnsi="Times New Roman"/>
                <w:color w:val="auto"/>
                <w:highlight w:val="none"/>
              </w:rPr>
            </w:pPr>
            <w:bookmarkStart w:id="122" w:name="EBf9c14e2288424d04953348e187389903"/>
            <w:bookmarkEnd w:id="122"/>
          </w:p>
        </w:tc>
      </w:tr>
    </w:tbl>
    <w:p w14:paraId="09D276AC">
      <w:pPr>
        <w:rPr>
          <w:rFonts w:ascii="Times New Roman" w:hAnsi="Times New Roman"/>
          <w:color w:val="auto"/>
          <w:sz w:val="20"/>
          <w:highlight w:val="none"/>
        </w:rPr>
      </w:pPr>
      <w:bookmarkStart w:id="123" w:name="EBba22cf84278443cf81a532320c735b26"/>
      <w:r>
        <w:rPr>
          <w:rFonts w:ascii="Times New Roman" w:hAnsi="Times New Roman"/>
          <w:color w:val="auto"/>
          <w:sz w:val="20"/>
          <w:highlight w:val="none"/>
        </w:rPr>
        <w:t xml:space="preserve"> </w:t>
      </w:r>
      <w:bookmarkEnd w:id="123"/>
    </w:p>
    <w:p w14:paraId="322AD285">
      <w:pPr>
        <w:keepNext/>
        <w:keepLines/>
        <w:spacing w:line="380" w:lineRule="exact"/>
        <w:ind w:firstLine="562" w:firstLineChars="200"/>
        <w:jc w:val="left"/>
        <w:outlineLvl w:val="3"/>
        <w:rPr>
          <w:rFonts w:ascii="Times New Roman" w:hAnsi="Times New Roman" w:eastAsia="方正书宋简体"/>
          <w:b/>
          <w:bCs/>
          <w:color w:val="auto"/>
          <w:sz w:val="28"/>
          <w:szCs w:val="28"/>
          <w:highlight w:val="none"/>
        </w:rPr>
      </w:pPr>
      <w:r>
        <w:rPr>
          <w:rFonts w:ascii="Times New Roman" w:hAnsi="Times New Roman" w:eastAsia="方正书宋简体"/>
          <w:b/>
          <w:bCs/>
          <w:color w:val="auto"/>
          <w:sz w:val="28"/>
          <w:szCs w:val="28"/>
          <w:highlight w:val="none"/>
        </w:rPr>
        <w:br w:type="page"/>
      </w:r>
    </w:p>
    <w:p w14:paraId="182E6F96">
      <w:pPr>
        <w:pStyle w:val="2"/>
        <w:spacing w:after="0"/>
        <w:ind w:firstLine="884"/>
        <w:jc w:val="center"/>
        <w:rPr>
          <w:rFonts w:ascii="宋体" w:hAnsi="宋体" w:cs="宋体"/>
          <w:b/>
          <w:bCs/>
          <w:color w:val="auto"/>
          <w:spacing w:val="-20"/>
          <w:kern w:val="44"/>
          <w:sz w:val="48"/>
          <w:szCs w:val="48"/>
          <w:highlight w:val="none"/>
        </w:rPr>
      </w:pPr>
    </w:p>
    <w:p w14:paraId="3F61D989">
      <w:pPr>
        <w:pStyle w:val="3"/>
        <w:rPr>
          <w:color w:val="auto"/>
          <w:highlight w:val="none"/>
        </w:rPr>
      </w:pPr>
      <w:bookmarkStart w:id="124" w:name="_Toc152516872"/>
      <w:bookmarkStart w:id="125" w:name="_Toc256000019"/>
      <w:bookmarkStart w:id="126" w:name="_Toc104293467"/>
      <w:bookmarkStart w:id="127" w:name="_Toc20561"/>
      <w:r>
        <w:rPr>
          <w:color w:val="auto"/>
          <w:highlight w:val="none"/>
        </w:rPr>
        <w:t>第四章  采购合同</w:t>
      </w:r>
      <w:bookmarkEnd w:id="124"/>
      <w:bookmarkEnd w:id="125"/>
      <w:bookmarkEnd w:id="126"/>
      <w:bookmarkEnd w:id="127"/>
      <w:bookmarkStart w:id="128" w:name="bookmark20"/>
      <w:bookmarkEnd w:id="128"/>
    </w:p>
    <w:p w14:paraId="2865E76F">
      <w:pPr>
        <w:pStyle w:val="2"/>
        <w:spacing w:after="0"/>
        <w:ind w:firstLine="884"/>
        <w:jc w:val="center"/>
        <w:rPr>
          <w:rFonts w:ascii="宋体" w:hAnsi="宋体" w:cs="宋体"/>
          <w:b/>
          <w:bCs/>
          <w:color w:val="auto"/>
          <w:spacing w:val="-20"/>
          <w:kern w:val="44"/>
          <w:sz w:val="48"/>
          <w:szCs w:val="48"/>
          <w:highlight w:val="none"/>
        </w:rPr>
      </w:pPr>
    </w:p>
    <w:p w14:paraId="56DCD237">
      <w:pPr>
        <w:pStyle w:val="2"/>
        <w:spacing w:after="0"/>
        <w:ind w:firstLine="2735" w:firstLineChars="619"/>
        <w:jc w:val="both"/>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政府采购服务买卖合同</w:t>
      </w:r>
    </w:p>
    <w:p w14:paraId="6AB59A6C">
      <w:pPr>
        <w:pStyle w:val="2"/>
        <w:spacing w:after="0"/>
        <w:ind w:firstLine="4056" w:firstLineChars="918"/>
        <w:jc w:val="both"/>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14:paraId="1E5EDEC0">
      <w:pPr>
        <w:rPr>
          <w:rFonts w:ascii="宋体" w:hAnsi="宋体" w:cs="宋体"/>
          <w:b/>
          <w:bCs/>
          <w:color w:val="auto"/>
          <w:spacing w:val="-20"/>
          <w:kern w:val="44"/>
          <w:sz w:val="40"/>
          <w:szCs w:val="40"/>
          <w:highlight w:val="none"/>
        </w:rPr>
      </w:pPr>
    </w:p>
    <w:p w14:paraId="1E3F6D99">
      <w:pPr>
        <w:rPr>
          <w:rFonts w:ascii="宋体" w:hAnsi="宋体" w:cs="宋体"/>
          <w:b/>
          <w:bCs/>
          <w:color w:val="auto"/>
          <w:spacing w:val="-20"/>
          <w:kern w:val="44"/>
          <w:sz w:val="40"/>
          <w:szCs w:val="40"/>
          <w:highlight w:val="none"/>
        </w:rPr>
      </w:pPr>
    </w:p>
    <w:p w14:paraId="3626064D">
      <w:pPr>
        <w:rPr>
          <w:rFonts w:ascii="宋体" w:hAnsi="宋体" w:cs="宋体"/>
          <w:b/>
          <w:bCs/>
          <w:color w:val="auto"/>
          <w:spacing w:val="-20"/>
          <w:kern w:val="44"/>
          <w:sz w:val="40"/>
          <w:szCs w:val="40"/>
          <w:highlight w:val="none"/>
        </w:rPr>
      </w:pPr>
    </w:p>
    <w:p w14:paraId="6430154C">
      <w:pPr>
        <w:spacing w:line="360" w:lineRule="auto"/>
        <w:ind w:left="420" w:leftChars="200"/>
        <w:rPr>
          <w:color w:val="auto"/>
          <w:sz w:val="32"/>
          <w:szCs w:val="32"/>
          <w:highlight w:val="none"/>
          <w:u w:val="singl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市属单位2026年度通信链路服务租用项目</w:t>
      </w:r>
    </w:p>
    <w:p w14:paraId="294AC185">
      <w:pPr>
        <w:spacing w:line="360" w:lineRule="auto"/>
        <w:ind w:left="420" w:leftChars="200"/>
        <w:rPr>
          <w:color w:val="auto"/>
          <w:sz w:val="32"/>
          <w:szCs w:val="32"/>
          <w:highlight w:val="none"/>
        </w:rPr>
      </w:pPr>
      <w:r>
        <w:rPr>
          <w:rFonts w:hint="eastAsia"/>
          <w:color w:val="auto"/>
          <w:sz w:val="32"/>
          <w:szCs w:val="32"/>
          <w:highlight w:val="none"/>
          <w:u w:val="single"/>
        </w:rPr>
        <w:t>一标段（市属单位主用有线链路租用服务项目）</w:t>
      </w:r>
    </w:p>
    <w:p w14:paraId="290E371F">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53395870">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乌鲁木齐市公安局     </w:t>
      </w:r>
    </w:p>
    <w:p w14:paraId="0FACBB2B">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6DAC8D83">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3AFBA557">
      <w:pPr>
        <w:rPr>
          <w:color w:val="auto"/>
          <w:highlight w:val="none"/>
        </w:rPr>
      </w:pPr>
    </w:p>
    <w:p w14:paraId="28DED463">
      <w:pPr>
        <w:rPr>
          <w:rFonts w:eastAsia="黑体"/>
          <w:color w:val="auto"/>
          <w:sz w:val="44"/>
          <w:szCs w:val="44"/>
          <w:highlight w:val="none"/>
        </w:rPr>
      </w:pPr>
      <w:r>
        <w:rPr>
          <w:rFonts w:eastAsia="黑体"/>
          <w:color w:val="auto"/>
          <w:sz w:val="44"/>
          <w:szCs w:val="44"/>
          <w:highlight w:val="none"/>
        </w:rPr>
        <w:br w:type="page"/>
      </w:r>
    </w:p>
    <w:p w14:paraId="0CA4676F">
      <w:pPr>
        <w:rPr>
          <w:rFonts w:eastAsia="黑体"/>
          <w:color w:val="auto"/>
          <w:sz w:val="44"/>
          <w:szCs w:val="44"/>
          <w:highlight w:val="none"/>
        </w:rPr>
      </w:pPr>
    </w:p>
    <w:p w14:paraId="34240B9A">
      <w:pPr>
        <w:rPr>
          <w:rFonts w:eastAsia="黑体"/>
          <w:color w:val="auto"/>
          <w:sz w:val="44"/>
          <w:szCs w:val="44"/>
          <w:highlight w:val="none"/>
        </w:rPr>
      </w:pPr>
    </w:p>
    <w:p w14:paraId="56807413">
      <w:pPr>
        <w:jc w:val="center"/>
        <w:rPr>
          <w:rFonts w:eastAsia="黑体"/>
          <w:color w:val="auto"/>
          <w:sz w:val="44"/>
          <w:szCs w:val="44"/>
          <w:highlight w:val="none"/>
        </w:rPr>
      </w:pPr>
      <w:r>
        <w:rPr>
          <w:rFonts w:hint="eastAsia" w:eastAsia="黑体"/>
          <w:color w:val="auto"/>
          <w:sz w:val="44"/>
          <w:szCs w:val="44"/>
          <w:highlight w:val="none"/>
        </w:rPr>
        <w:t>使 用 说 明</w:t>
      </w:r>
    </w:p>
    <w:p w14:paraId="4A3F6B8E">
      <w:pPr>
        <w:ind w:firstLine="640" w:firstLineChars="200"/>
        <w:rPr>
          <w:rFonts w:ascii="仿宋_GB2312" w:hAnsi="仿宋_GB2312" w:eastAsia="仿宋_GB2312" w:cs="仿宋_GB2312"/>
          <w:color w:val="auto"/>
          <w:sz w:val="32"/>
          <w:szCs w:val="32"/>
          <w:highlight w:val="none"/>
        </w:rPr>
      </w:pPr>
    </w:p>
    <w:p w14:paraId="1CEE092A">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1.本合同标准文本适用于购买现成服务的采购项目，不包括需要供应商定制开发、创新研发的服务采购项目。</w:t>
      </w:r>
    </w:p>
    <w:p w14:paraId="4DE2A1F6">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2.本合同标准文本为政府采购服务买卖合同编制提供参考，可以结合采购项目具体情况，对文本作必要的调整修订后使用。</w:t>
      </w:r>
    </w:p>
    <w:p w14:paraId="62CBC438">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3.本合同标准文本各条款中，如涉及填写多家供应商、服务提供方，多种采购标的、分包主要内容等信息的，可根据采购项目具体情况添加信息项。</w:t>
      </w:r>
    </w:p>
    <w:p w14:paraId="703AB096">
      <w:pPr>
        <w:ind w:firstLine="880" w:firstLineChars="200"/>
        <w:rPr>
          <w:rFonts w:eastAsia="黑体"/>
          <w:color w:val="auto"/>
          <w:sz w:val="44"/>
          <w:szCs w:val="44"/>
          <w:highlight w:val="none"/>
        </w:rPr>
        <w:sectPr>
          <w:headerReference r:id="rId4" w:type="default"/>
          <w:footerReference r:id="rId5" w:type="default"/>
          <w:pgSz w:w="11906" w:h="16838"/>
          <w:pgMar w:top="1440" w:right="1080" w:bottom="1440" w:left="1080" w:header="851" w:footer="992" w:gutter="0"/>
          <w:cols w:space="425" w:num="1"/>
          <w:docGrid w:type="lines" w:linePitch="312" w:charSpace="0"/>
        </w:sectPr>
      </w:pPr>
    </w:p>
    <w:p w14:paraId="5A651FAD">
      <w:pPr>
        <w:pStyle w:val="4"/>
        <w:adjustRightInd w:val="0"/>
        <w:snapToGrid w:val="0"/>
        <w:spacing w:line="400" w:lineRule="exact"/>
        <w:ind w:firstLine="562"/>
        <w:jc w:val="center"/>
        <w:rPr>
          <w:rFonts w:ascii="黑体" w:hAnsi="黑体" w:eastAsia="黑体"/>
          <w:color w:val="auto"/>
          <w:sz w:val="28"/>
          <w:szCs w:val="28"/>
          <w:highlight w:val="none"/>
        </w:rPr>
      </w:pPr>
    </w:p>
    <w:p w14:paraId="45FF265F">
      <w:pPr>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第一节 政府采购合同协议书</w:t>
      </w:r>
    </w:p>
    <w:p w14:paraId="3A9E0067">
      <w:pPr>
        <w:pStyle w:val="4"/>
        <w:adjustRightInd w:val="0"/>
        <w:snapToGrid w:val="0"/>
        <w:spacing w:line="400" w:lineRule="exact"/>
        <w:ind w:firstLine="560"/>
        <w:jc w:val="center"/>
        <w:rPr>
          <w:rFonts w:ascii="黑体" w:hAnsi="华文中宋" w:eastAsia="黑体"/>
          <w:b w:val="0"/>
          <w:bCs w:val="0"/>
          <w:color w:val="auto"/>
          <w:sz w:val="28"/>
          <w:szCs w:val="28"/>
          <w:highlight w:val="none"/>
        </w:rPr>
      </w:pPr>
    </w:p>
    <w:p w14:paraId="503F27C9">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乌鲁木齐市公安局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47A558F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59B3EFB5">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6DE7E49D">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440A27FC">
      <w:pPr>
        <w:spacing w:line="400" w:lineRule="exact"/>
        <w:rPr>
          <w:color w:val="auto"/>
          <w:highlight w:val="none"/>
        </w:rPr>
      </w:pPr>
    </w:p>
    <w:p w14:paraId="04BACFBD">
      <w:pPr>
        <w:pStyle w:val="15"/>
        <w:adjustRightInd w:val="0"/>
        <w:snapToGrid w:val="0"/>
        <w:spacing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C3C96B2">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31FCD465">
      <w:pPr>
        <w:pStyle w:val="15"/>
        <w:numPr>
          <w:ilvl w:val="0"/>
          <w:numId w:val="6"/>
        </w:numPr>
        <w:adjustRightInd w:val="0"/>
        <w:snapToGrid w:val="0"/>
        <w:spacing w:after="0" w:line="400" w:lineRule="exact"/>
        <w:ind w:left="0" w:leftChars="0" w:firstLine="420"/>
        <w:rPr>
          <w:rFonts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市属单位2026年度通信链路服务租用项目一标段（市属单位主用有线链路租用服务项目）</w:t>
      </w:r>
    </w:p>
    <w:p w14:paraId="369B95C8">
      <w:pPr>
        <w:pStyle w:val="15"/>
        <w:numPr>
          <w:ilvl w:val="255"/>
          <w:numId w:val="0"/>
        </w:numPr>
        <w:tabs>
          <w:tab w:val="left" w:pos="999"/>
        </w:tabs>
        <w:adjustRightInd w:val="0"/>
        <w:snapToGrid w:val="0"/>
        <w:spacing w:after="0"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4E4BA909">
      <w:pPr>
        <w:pStyle w:val="15"/>
        <w:adjustRightInd w:val="0"/>
        <w:snapToGrid w:val="0"/>
        <w:spacing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【2026】1232号</w:t>
      </w:r>
      <w:r>
        <w:rPr>
          <w:rFonts w:ascii="宋体" w:hAnsi="宋体"/>
          <w:color w:val="auto"/>
          <w:szCs w:val="21"/>
          <w:highlight w:val="none"/>
          <w:u w:val="single"/>
        </w:rPr>
        <w:t xml:space="preserve">  </w:t>
      </w:r>
      <w:r>
        <w:rPr>
          <w:rFonts w:ascii="宋体" w:hAnsi="宋体"/>
          <w:color w:val="auto"/>
          <w:szCs w:val="21"/>
          <w:highlight w:val="none"/>
        </w:rPr>
        <w:t xml:space="preserve"> </w:t>
      </w:r>
    </w:p>
    <w:p w14:paraId="3AFD187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215DD8C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采购标的及数量（项/次/年/批等）：</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72EBCF1">
      <w:pPr>
        <w:numPr>
          <w:ilvl w:val="255"/>
          <w:numId w:val="0"/>
        </w:num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服务提供方：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p>
    <w:p w14:paraId="1F329B0F">
      <w:pPr>
        <w:adjustRightInd w:val="0"/>
        <w:snapToGrid w:val="0"/>
        <w:spacing w:line="400" w:lineRule="exact"/>
        <w:ind w:firstLine="945" w:firstLineChars="450"/>
        <w:rPr>
          <w:rFonts w:asciiTheme="minorEastAsia" w:hAnsiTheme="minorEastAsia" w:eastAsiaTheme="minorEastAsia" w:cstheme="minorEastAsia"/>
          <w:color w:val="auto"/>
          <w:szCs w:val="21"/>
          <w:highlight w:val="none"/>
        </w:rPr>
      </w:pPr>
      <w:r>
        <w:rPr>
          <w:rFonts w:hint="eastAsia" w:ascii="宋体" w:hAnsi="宋体"/>
          <w:color w:val="auto"/>
          <w:szCs w:val="21"/>
          <w:highlight w:val="none"/>
        </w:rPr>
        <w:t>采购标的的技术要求、商务要求具体见附件。</w:t>
      </w:r>
    </w:p>
    <w:p w14:paraId="0A8DC44C">
      <w:pPr>
        <w:pStyle w:val="37"/>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lang w:val="en"/>
        </w:rPr>
        <w:t>4</w:t>
      </w:r>
      <w:r>
        <w:rPr>
          <w:rFonts w:hint="eastAsia" w:asciiTheme="minorEastAsia" w:hAnsiTheme="minorEastAsia" w:eastAsiaTheme="minorEastAsia" w:cstheme="minorEastAsia"/>
          <w:color w:val="auto"/>
          <w:sz w:val="21"/>
          <w:highlight w:val="none"/>
        </w:rPr>
        <w:t xml:space="preserve">）政府采购组织形式：√政府集中采购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部门集中采购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分散采购</w:t>
      </w:r>
    </w:p>
    <w:p w14:paraId="7B0FD1D6">
      <w:pPr>
        <w:pStyle w:val="37"/>
        <w:numPr>
          <w:ilvl w:val="255"/>
          <w:numId w:val="0"/>
        </w:numPr>
        <w:snapToGrid w:val="0"/>
        <w:ind w:firstLine="42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w:t>
      </w:r>
      <w:r>
        <w:rPr>
          <w:rFonts w:asciiTheme="minorEastAsia" w:hAnsiTheme="minorEastAsia" w:eastAsiaTheme="minorEastAsia" w:cstheme="minorEastAsia"/>
          <w:color w:val="auto"/>
          <w:sz w:val="21"/>
          <w:highlight w:val="none"/>
          <w:lang w:val="en"/>
        </w:rPr>
        <w:t>5</w:t>
      </w:r>
      <w:r>
        <w:rPr>
          <w:rFonts w:hint="eastAsia" w:asciiTheme="minorEastAsia" w:hAnsiTheme="minorEastAsia" w:eastAsiaTheme="minorEastAsia" w:cstheme="minorEastAsia"/>
          <w:color w:val="auto"/>
          <w:sz w:val="21"/>
          <w:highlight w:val="none"/>
        </w:rPr>
        <w:t xml:space="preserve">）政府采购方式：√公开招标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邀请招标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竞争性谈判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竞争性磋商</w:t>
      </w:r>
    </w:p>
    <w:p w14:paraId="2CC52B46">
      <w:pPr>
        <w:pStyle w:val="37"/>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询价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单一来源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框架协议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其他：</w:t>
      </w:r>
      <w:r>
        <w:rPr>
          <w:rFonts w:hint="eastAsia" w:ascii="宋体" w:hAnsi="宋体" w:eastAsia="宋体" w:cs="宋体"/>
          <w:color w:val="auto"/>
          <w:sz w:val="21"/>
          <w:highlight w:val="none"/>
          <w:u w:val="single"/>
        </w:rPr>
        <w:t xml:space="preserve">          </w:t>
      </w:r>
    </w:p>
    <w:p w14:paraId="70E35F31">
      <w:pPr>
        <w:pStyle w:val="37"/>
        <w:numPr>
          <w:ilvl w:val="255"/>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47382CD1">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Theme="minorEastAsia" w:hAnsiTheme="minorEastAsia" w:eastAsiaTheme="minorEastAsia" w:cstheme="minorEastAsia"/>
          <w:color w:val="auto"/>
          <w:highlight w:val="none"/>
        </w:rPr>
        <w:t>√</w:t>
      </w:r>
      <w:r>
        <w:rPr>
          <w:rFonts w:hint="eastAsia" w:ascii="宋体" w:hAnsi="宋体"/>
          <w:iCs/>
          <w:color w:val="auto"/>
          <w:szCs w:val="21"/>
          <w:highlight w:val="none"/>
        </w:rPr>
        <w:t>否</w:t>
      </w:r>
    </w:p>
    <w:p w14:paraId="13BA7F53">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iCs/>
          <w:color w:val="auto"/>
          <w:szCs w:val="21"/>
          <w:highlight w:val="none"/>
        </w:rPr>
        <w:t>否</w:t>
      </w:r>
    </w:p>
    <w:p w14:paraId="3D8B7994">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中标（成交）采购标的承接方是否为残疾人福利性单位：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iCs/>
          <w:color w:val="auto"/>
          <w:szCs w:val="21"/>
          <w:highlight w:val="none"/>
        </w:rPr>
        <w:t>否</w:t>
      </w:r>
    </w:p>
    <w:p w14:paraId="1FEB091E">
      <w:pPr>
        <w:snapToGrid w:val="0"/>
        <w:spacing w:line="400" w:lineRule="exact"/>
        <w:rPr>
          <w:color w:val="auto"/>
          <w:highlight w:val="none"/>
        </w:rPr>
      </w:pPr>
      <w:r>
        <w:rPr>
          <w:rFonts w:hint="eastAsia"/>
          <w:color w:val="auto"/>
          <w:highlight w:val="none"/>
        </w:rPr>
        <w:t xml:space="preserve">         中标（成交）采购标的承接方是否为监狱企业：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iCs/>
          <w:color w:val="auto"/>
          <w:szCs w:val="21"/>
          <w:highlight w:val="none"/>
        </w:rPr>
        <w:t>否</w:t>
      </w:r>
    </w:p>
    <w:p w14:paraId="1FEED6F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Theme="minorEastAsia" w:hAnsiTheme="minorEastAsia" w:eastAsiaTheme="minorEastAsia" w:cstheme="minorEastAsia"/>
          <w:color w:val="auto"/>
          <w:highlight w:val="none"/>
        </w:rPr>
        <w:t>√</w:t>
      </w:r>
      <w:r>
        <w:rPr>
          <w:rFonts w:hint="eastAsia" w:ascii="宋体" w:hAnsi="宋体"/>
          <w:iCs/>
          <w:color w:val="auto"/>
          <w:szCs w:val="21"/>
          <w:highlight w:val="none"/>
        </w:rPr>
        <w:t>否</w:t>
      </w:r>
    </w:p>
    <w:p w14:paraId="63A9B9E3">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59C99CB5">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w:t>
      </w:r>
    </w:p>
    <w:p w14:paraId="6F70069E">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47D7DD6C">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w:t>
      </w:r>
    </w:p>
    <w:p w14:paraId="1C2F6A91">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6D1AD280">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7523D6C5">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Theme="minorEastAsia" w:hAnsiTheme="minorEastAsia" w:eastAsiaTheme="minorEastAsia" w:cstheme="minorEastAsia"/>
          <w:color w:val="auto"/>
          <w:highlight w:val="none"/>
        </w:rPr>
        <w:t>√</w:t>
      </w:r>
      <w:r>
        <w:rPr>
          <w:rFonts w:hint="eastAsia" w:ascii="宋体" w:hAnsi="宋体" w:cs="宋体"/>
          <w:iCs/>
          <w:color w:val="auto"/>
          <w:szCs w:val="21"/>
          <w:highlight w:val="none"/>
        </w:rPr>
        <w:t>否</w:t>
      </w:r>
    </w:p>
    <w:p w14:paraId="3B8EF85C">
      <w:pPr>
        <w:pStyle w:val="37"/>
        <w:tabs>
          <w:tab w:val="left" w:pos="1340"/>
        </w:tabs>
        <w:ind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A2352E3">
      <w:pPr>
        <w:numPr>
          <w:ilvl w:val="255"/>
          <w:numId w:val="0"/>
        </w:numPr>
        <w:adjustRightInd w:val="0"/>
        <w:snapToGrid w:val="0"/>
        <w:spacing w:line="400" w:lineRule="exact"/>
        <w:rPr>
          <w:rFonts w:ascii="宋体" w:hAns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39ACA382">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Theme="minorEastAsia" w:hAnsiTheme="minorEastAsia" w:eastAsiaTheme="minorEastAsia" w:cstheme="minorEastAsia"/>
          <w:color w:val="auto"/>
          <w:highlight w:val="none"/>
        </w:rPr>
        <w:t>√</w:t>
      </w:r>
      <w:r>
        <w:rPr>
          <w:rFonts w:hint="eastAsia" w:ascii="宋体" w:hAnsi="宋体"/>
          <w:color w:val="auto"/>
          <w:szCs w:val="21"/>
          <w:highlight w:val="none"/>
        </w:rPr>
        <w:t>不涉及</w:t>
      </w:r>
    </w:p>
    <w:p w14:paraId="6C810FCD">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794372A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235CC77E">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53788713">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0FAB744A">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0253DD89">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0CCCAD18">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56CB006C">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Theme="minorEastAsia" w:hAnsiTheme="minorEastAsia" w:eastAsiaTheme="minorEastAsia" w:cstheme="minorEastAsia"/>
          <w:color w:val="auto"/>
          <w:highlight w:val="none"/>
        </w:rPr>
        <w:t>√</w:t>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10C4D660">
      <w:pPr>
        <w:pStyle w:val="306"/>
        <w:spacing w:line="400" w:lineRule="exact"/>
        <w:rPr>
          <w:color w:val="auto"/>
          <w:highlight w:val="none"/>
        </w:rPr>
      </w:pPr>
      <w:r>
        <w:rPr>
          <w:rFonts w:hint="eastAsia" w:ascii="宋体" w:hAnsi="宋体"/>
          <w:color w:val="auto"/>
          <w:highlight w:val="none"/>
        </w:rPr>
        <w:t>（3）付款方式（按项目实际勾选填写）：</w:t>
      </w:r>
    </w:p>
    <w:p w14:paraId="6E6C497D">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5EAE9CFC">
      <w:pPr>
        <w:snapToGrid w:val="0"/>
        <w:spacing w:line="400" w:lineRule="exact"/>
        <w:ind w:firstLine="630" w:firstLineChars="300"/>
        <w:rPr>
          <w:color w:val="auto"/>
          <w:highlight w:val="none"/>
        </w:rPr>
      </w:pPr>
      <w:r>
        <w:rPr>
          <w:rFonts w:hint="eastAsia" w:asciiTheme="minorEastAsia" w:hAnsiTheme="minorEastAsia" w:eastAsiaTheme="minorEastAsia" w:cstheme="minorEastAsia"/>
          <w:color w:val="auto"/>
          <w:highlight w:val="none"/>
        </w:rPr>
        <w:t>√</w:t>
      </w:r>
      <w:r>
        <w:rPr>
          <w:rFonts w:hint="eastAsia" w:ascii="宋体" w:hAnsi="宋体"/>
          <w:color w:val="auto"/>
          <w:szCs w:val="21"/>
          <w:highlight w:val="none"/>
        </w:rPr>
        <w:t>分期付款：</w:t>
      </w:r>
      <w:r>
        <w:rPr>
          <w:rFonts w:hint="eastAsia" w:ascii="宋体" w:hAnsi="宋体"/>
          <w:color w:val="auto"/>
          <w:szCs w:val="21"/>
          <w:highlight w:val="none"/>
          <w:u w:val="single"/>
        </w:rPr>
        <w:t xml:space="preserve">  （1）合同签订后，项目采购人申请支付给中标单位合同总金额70%的预付款（具体以合同签订内容为主）；（2）合同到期前一个月，中标单位服务达到合同要求，经项目采购人验收确认，对停用、中断链路与中标方核对并核减费用后，申请支付给中标单位合同总金额30%的剩余尾款（具体以合同签订内容为主）</w:t>
      </w:r>
      <w:r>
        <w:rPr>
          <w:rFonts w:hint="eastAsia" w:ascii="宋体" w:hAnsi="宋体"/>
          <w:color w:val="auto"/>
          <w:szCs w:val="21"/>
          <w:highlight w:val="none"/>
        </w:rPr>
        <w:t>，其中涉及预付款的：</w:t>
      </w:r>
      <w:r>
        <w:rPr>
          <w:rFonts w:hint="eastAsia" w:ascii="宋体" w:hAnsi="宋体"/>
          <w:color w:val="auto"/>
          <w:szCs w:val="21"/>
          <w:highlight w:val="none"/>
          <w:u w:val="single"/>
        </w:rPr>
        <w:t>合同签订后，项目采购人申请支付给中标单位合同总金额70%。</w:t>
      </w:r>
    </w:p>
    <w:p w14:paraId="1F98CF37">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1BBE041C">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40124863">
      <w:pPr>
        <w:numPr>
          <w:ilvl w:val="0"/>
          <w:numId w:val="5"/>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1D10C6AA">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2027</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5730284">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乌鲁木齐市   </w:t>
      </w:r>
    </w:p>
    <w:p w14:paraId="7C1E295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Theme="minorEastAsia" w:hAnsiTheme="minorEastAsia" w:eastAsiaTheme="minorEastAsia" w:cstheme="minorEastAsia"/>
          <w:color w:val="auto"/>
          <w:highlight w:val="none"/>
        </w:rPr>
        <w:t>√</w:t>
      </w:r>
      <w:r>
        <w:rPr>
          <w:rFonts w:hint="eastAsia" w:ascii="宋体" w:hAnsi="宋体" w:cs="宋体"/>
          <w:color w:val="auto"/>
          <w:szCs w:val="21"/>
          <w:highlight w:val="none"/>
        </w:rPr>
        <w:t>否</w:t>
      </w:r>
    </w:p>
    <w:p w14:paraId="1A9D3AA8">
      <w:pPr>
        <w:pStyle w:val="37"/>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6CFBE6A2">
      <w:pPr>
        <w:pStyle w:val="37"/>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751FF757">
      <w:pPr>
        <w:snapToGrid w:val="0"/>
        <w:spacing w:line="400" w:lineRule="exact"/>
        <w:ind w:firstLine="420"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280C2E2A">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747E04F9">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5C6DE73A">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0E24EFF6">
      <w:pPr>
        <w:numPr>
          <w:ilvl w:val="0"/>
          <w:numId w:val="7"/>
        </w:num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Theme="minorEastAsia" w:hAnsiTheme="minorEastAsia" w:eastAsiaTheme="minorEastAsia" w:cstheme="minorEastAsia"/>
          <w:color w:val="auto"/>
          <w:highlight w:val="none"/>
        </w:rPr>
        <w:t>√</w:t>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4405365D">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21EDB8EF">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Theme="minorEastAsia" w:hAnsiTheme="minorEastAsia" w:eastAsiaTheme="minorEastAsia" w:cstheme="minorEastAsia"/>
          <w:color w:val="auto"/>
          <w:highlight w:val="none"/>
        </w:rPr>
        <w:t>√</w:t>
      </w:r>
      <w:r>
        <w:rPr>
          <w:rFonts w:hint="eastAsia" w:ascii="宋体" w:hAnsi="宋体"/>
          <w:bCs/>
          <w:color w:val="auto"/>
          <w:szCs w:val="21"/>
          <w:highlight w:val="none"/>
        </w:rPr>
        <w:t>否</w:t>
      </w:r>
    </w:p>
    <w:p w14:paraId="63AF0D0C">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Theme="minorEastAsia" w:hAnsiTheme="minorEastAsia" w:eastAsiaTheme="minorEastAsia" w:cstheme="minorEastAsia"/>
          <w:color w:val="auto"/>
          <w:highlight w:val="none"/>
        </w:rPr>
        <w:t>√</w:t>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2969CDC">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Theme="minorEastAsia" w:hAnsiTheme="minorEastAsia" w:eastAsiaTheme="minorEastAsia" w:cstheme="minorEastAsia"/>
          <w:color w:val="auto"/>
          <w:highlight w:val="none"/>
        </w:rPr>
        <w:t>√</w:t>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2175E75E">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Theme="minorEastAsia" w:hAnsiTheme="minorEastAsia" w:eastAsiaTheme="minorEastAsia" w:cstheme="minorEastAsia"/>
          <w:color w:val="auto"/>
          <w:highlight w:val="none"/>
        </w:rPr>
        <w:t>√</w:t>
      </w:r>
      <w:r>
        <w:rPr>
          <w:rFonts w:hint="eastAsia" w:ascii="宋体" w:hAnsi="宋体"/>
          <w:bCs/>
          <w:color w:val="auto"/>
          <w:szCs w:val="21"/>
          <w:highlight w:val="none"/>
        </w:rPr>
        <w:t>否</w:t>
      </w:r>
    </w:p>
    <w:p w14:paraId="30C2EC88">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362C2DD">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（应明确对被破坏的检测服务成果的处理方式）</w:t>
      </w:r>
    </w:p>
    <w:p w14:paraId="40E1853F">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B4A57D7">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6E29248F">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40AE54E3">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Theme="minorEastAsia" w:hAnsiTheme="minorEastAsia" w:eastAsiaTheme="minorEastAsia" w:cstheme="minorEastAsia"/>
          <w:color w:val="auto"/>
          <w:highlight w:val="none"/>
        </w:rPr>
        <w:t>√</w:t>
      </w:r>
      <w:r>
        <w:rPr>
          <w:rFonts w:hint="eastAsia" w:ascii="宋体" w:hAnsi="宋体"/>
          <w:bCs/>
          <w:color w:val="auto"/>
          <w:szCs w:val="21"/>
          <w:highlight w:val="none"/>
        </w:rPr>
        <w:t xml:space="preserve">一次性验收         </w:t>
      </w:r>
    </w:p>
    <w:p w14:paraId="5BAD90A0">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559F7489">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77C1E263">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1E778B1C">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59CD0BE7">
      <w:pPr>
        <w:pStyle w:val="37"/>
        <w:ind w:firstLine="420"/>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16A75185">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p>
    <w:p w14:paraId="6D4429F3">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06ED173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658549B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098E76F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3F5ABE3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03F8DDD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7468CAB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2134CA9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5180268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（7）有关技术文件、服务方案</w:t>
      </w:r>
    </w:p>
    <w:p w14:paraId="464A2A22">
      <w:pPr>
        <w:pStyle w:val="37"/>
        <w:ind w:firstLine="420"/>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76603A61">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6E10A10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项目中标之日起开始   </w:t>
      </w:r>
      <w:r>
        <w:rPr>
          <w:rFonts w:hint="eastAsia" w:ascii="宋体" w:hAnsi="宋体"/>
          <w:color w:val="auto"/>
          <w:szCs w:val="21"/>
          <w:highlight w:val="none"/>
        </w:rPr>
        <w:t>生效。</w:t>
      </w:r>
    </w:p>
    <w:p w14:paraId="27E643F1">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1982ED8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陆</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肆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贰  </w:t>
      </w:r>
      <w:r>
        <w:rPr>
          <w:rFonts w:hint="eastAsia" w:ascii="宋体" w:hAnsi="宋体"/>
          <w:color w:val="auto"/>
          <w:szCs w:val="21"/>
          <w:highlight w:val="none"/>
        </w:rPr>
        <w:t>份，均具有同等法律效力。</w:t>
      </w:r>
    </w:p>
    <w:p w14:paraId="685FF77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BE57FC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乌鲁木齐市  </w:t>
      </w:r>
    </w:p>
    <w:p w14:paraId="0F521829">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0CE8984D">
      <w:pPr>
        <w:pStyle w:val="4"/>
        <w:spacing w:line="400" w:lineRule="exact"/>
        <w:ind w:firstLine="482"/>
        <w:rPr>
          <w:color w:val="auto"/>
          <w:highlight w:val="none"/>
        </w:rPr>
      </w:pP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7D7E25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D41E6D2">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4F011791">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2317C9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74B9E6D">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3FA544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F800A89">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0687D93A">
            <w:pPr>
              <w:adjustRightInd w:val="0"/>
              <w:snapToGrid w:val="0"/>
              <w:spacing w:line="300" w:lineRule="exact"/>
              <w:jc w:val="center"/>
              <w:rPr>
                <w:color w:val="auto"/>
                <w:spacing w:val="20"/>
                <w:szCs w:val="21"/>
                <w:highlight w:val="none"/>
              </w:rPr>
            </w:pPr>
          </w:p>
        </w:tc>
      </w:tr>
      <w:tr w14:paraId="5C785B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25EAF1A">
            <w:pPr>
              <w:adjustRightInd w:val="0"/>
              <w:snapToGrid w:val="0"/>
              <w:spacing w:line="300" w:lineRule="exact"/>
              <w:jc w:val="center"/>
              <w:rPr>
                <w:color w:val="auto"/>
                <w:szCs w:val="21"/>
                <w:highlight w:val="none"/>
              </w:rPr>
            </w:pPr>
            <w:r>
              <w:rPr>
                <w:color w:val="auto"/>
                <w:szCs w:val="21"/>
                <w:highlight w:val="none"/>
              </w:rPr>
              <w:t>法定代表人</w:t>
            </w:r>
          </w:p>
          <w:p w14:paraId="759D9F7B">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21CF165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E03E624">
            <w:pPr>
              <w:adjustRightInd w:val="0"/>
              <w:snapToGrid w:val="0"/>
              <w:spacing w:line="300" w:lineRule="exact"/>
              <w:jc w:val="center"/>
              <w:rPr>
                <w:color w:val="auto"/>
                <w:szCs w:val="21"/>
                <w:highlight w:val="none"/>
              </w:rPr>
            </w:pPr>
            <w:r>
              <w:rPr>
                <w:color w:val="auto"/>
                <w:szCs w:val="21"/>
                <w:highlight w:val="none"/>
              </w:rPr>
              <w:t>法定代表人</w:t>
            </w:r>
          </w:p>
          <w:p w14:paraId="7C94C612">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239434F5">
            <w:pPr>
              <w:adjustRightInd w:val="0"/>
              <w:snapToGrid w:val="0"/>
              <w:spacing w:line="300" w:lineRule="exact"/>
              <w:jc w:val="center"/>
              <w:rPr>
                <w:color w:val="auto"/>
                <w:szCs w:val="21"/>
                <w:highlight w:val="none"/>
              </w:rPr>
            </w:pPr>
          </w:p>
        </w:tc>
      </w:tr>
      <w:tr w14:paraId="4254A9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A17F608">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0AD955F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0F7E760">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2B55C71C">
            <w:pPr>
              <w:adjustRightInd w:val="0"/>
              <w:snapToGrid w:val="0"/>
              <w:spacing w:line="300" w:lineRule="exact"/>
              <w:jc w:val="center"/>
              <w:rPr>
                <w:color w:val="auto"/>
                <w:spacing w:val="20"/>
                <w:szCs w:val="21"/>
                <w:highlight w:val="none"/>
              </w:rPr>
            </w:pPr>
          </w:p>
        </w:tc>
      </w:tr>
      <w:tr w14:paraId="2D04BA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28D70C">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2A6E1C0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51FB608">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573DE866">
            <w:pPr>
              <w:adjustRightInd w:val="0"/>
              <w:snapToGrid w:val="0"/>
              <w:spacing w:line="300" w:lineRule="exact"/>
              <w:jc w:val="center"/>
              <w:rPr>
                <w:color w:val="auto"/>
                <w:spacing w:val="20"/>
                <w:szCs w:val="21"/>
                <w:highlight w:val="none"/>
              </w:rPr>
            </w:pPr>
          </w:p>
        </w:tc>
      </w:tr>
      <w:tr w14:paraId="628B44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9E77C0F">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ED88DF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ACCBC5">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650A9F05">
            <w:pPr>
              <w:adjustRightInd w:val="0"/>
              <w:snapToGrid w:val="0"/>
              <w:spacing w:line="300" w:lineRule="exact"/>
              <w:jc w:val="center"/>
              <w:rPr>
                <w:color w:val="auto"/>
                <w:spacing w:val="20"/>
                <w:szCs w:val="21"/>
                <w:highlight w:val="none"/>
              </w:rPr>
            </w:pPr>
          </w:p>
        </w:tc>
      </w:tr>
      <w:tr w14:paraId="4318D4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85E15B">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8FB2E7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4A2701">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39022D88">
            <w:pPr>
              <w:adjustRightInd w:val="0"/>
              <w:snapToGrid w:val="0"/>
              <w:spacing w:line="300" w:lineRule="exact"/>
              <w:jc w:val="center"/>
              <w:rPr>
                <w:color w:val="auto"/>
                <w:spacing w:val="20"/>
                <w:szCs w:val="21"/>
                <w:highlight w:val="none"/>
              </w:rPr>
            </w:pPr>
          </w:p>
        </w:tc>
      </w:tr>
      <w:tr w14:paraId="40AB5D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16BC56D">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644AA6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FB8FB6">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50E94447">
            <w:pPr>
              <w:adjustRightInd w:val="0"/>
              <w:snapToGrid w:val="0"/>
              <w:spacing w:line="300" w:lineRule="exact"/>
              <w:jc w:val="center"/>
              <w:rPr>
                <w:color w:val="auto"/>
                <w:spacing w:val="20"/>
                <w:szCs w:val="21"/>
                <w:highlight w:val="none"/>
              </w:rPr>
            </w:pPr>
          </w:p>
        </w:tc>
      </w:tr>
      <w:tr w14:paraId="0BBFF7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04B7E8">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21CEF9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7C72866">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490EC645">
            <w:pPr>
              <w:adjustRightInd w:val="0"/>
              <w:snapToGrid w:val="0"/>
              <w:spacing w:line="300" w:lineRule="exact"/>
              <w:jc w:val="center"/>
              <w:rPr>
                <w:color w:val="auto"/>
                <w:spacing w:val="20"/>
                <w:szCs w:val="21"/>
                <w:highlight w:val="none"/>
              </w:rPr>
            </w:pPr>
          </w:p>
        </w:tc>
      </w:tr>
      <w:tr w14:paraId="46D794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78AA6F">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9756A4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86E3CBB">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417621BF">
            <w:pPr>
              <w:adjustRightInd w:val="0"/>
              <w:snapToGrid w:val="0"/>
              <w:spacing w:line="300" w:lineRule="exact"/>
              <w:jc w:val="center"/>
              <w:rPr>
                <w:color w:val="auto"/>
                <w:spacing w:val="20"/>
                <w:szCs w:val="21"/>
                <w:highlight w:val="none"/>
              </w:rPr>
            </w:pPr>
          </w:p>
        </w:tc>
      </w:tr>
      <w:tr w14:paraId="050557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AEAFB4">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FEE1A8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F37F51B">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50FB81E6">
            <w:pPr>
              <w:adjustRightInd w:val="0"/>
              <w:snapToGrid w:val="0"/>
              <w:spacing w:line="300" w:lineRule="exact"/>
              <w:jc w:val="center"/>
              <w:rPr>
                <w:color w:val="auto"/>
                <w:spacing w:val="20"/>
                <w:szCs w:val="21"/>
                <w:highlight w:val="none"/>
              </w:rPr>
            </w:pPr>
          </w:p>
        </w:tc>
      </w:tr>
      <w:tr w14:paraId="2D501C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CAEFB8">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026518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F3A20F1">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78685725">
            <w:pPr>
              <w:adjustRightInd w:val="0"/>
              <w:snapToGrid w:val="0"/>
              <w:spacing w:line="300" w:lineRule="exact"/>
              <w:jc w:val="center"/>
              <w:rPr>
                <w:color w:val="auto"/>
                <w:spacing w:val="20"/>
                <w:szCs w:val="21"/>
                <w:highlight w:val="none"/>
              </w:rPr>
            </w:pPr>
          </w:p>
        </w:tc>
      </w:tr>
      <w:tr w14:paraId="17630A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9F74C7">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B324A4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09B7A97">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0D999127">
            <w:pPr>
              <w:adjustRightInd w:val="0"/>
              <w:snapToGrid w:val="0"/>
              <w:spacing w:line="300" w:lineRule="exact"/>
              <w:jc w:val="center"/>
              <w:rPr>
                <w:color w:val="auto"/>
                <w:spacing w:val="20"/>
                <w:szCs w:val="21"/>
                <w:highlight w:val="none"/>
              </w:rPr>
            </w:pPr>
          </w:p>
        </w:tc>
      </w:tr>
      <w:tr w14:paraId="12C7AB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A0CA5B">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F7C938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823824">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8583D67">
            <w:pPr>
              <w:adjustRightInd w:val="0"/>
              <w:snapToGrid w:val="0"/>
              <w:spacing w:line="300" w:lineRule="exact"/>
              <w:jc w:val="center"/>
              <w:rPr>
                <w:color w:val="auto"/>
                <w:spacing w:val="20"/>
                <w:szCs w:val="21"/>
                <w:highlight w:val="none"/>
              </w:rPr>
            </w:pPr>
          </w:p>
        </w:tc>
      </w:tr>
      <w:tr w14:paraId="79D5CE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EBD986B">
            <w:pPr>
              <w:pStyle w:val="15"/>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69108B4A">
      <w:pPr>
        <w:pStyle w:val="4"/>
        <w:adjustRightInd w:val="0"/>
        <w:snapToGrid w:val="0"/>
        <w:spacing w:before="156" w:beforeLines="50"/>
        <w:ind w:firstLine="422"/>
        <w:jc w:val="center"/>
        <w:rPr>
          <w:rFonts w:ascii="黑体" w:hAnsi="黑体" w:eastAsia="黑体" w:cs="黑体"/>
          <w:b w:val="0"/>
          <w:bCs w:val="0"/>
          <w:color w:val="auto"/>
          <w:sz w:val="28"/>
          <w:szCs w:val="28"/>
          <w:highlight w:val="none"/>
        </w:rPr>
      </w:pPr>
      <w:r>
        <w:rPr>
          <w:rFonts w:ascii="宋体" w:hAnsi="宋体"/>
          <w:color w:val="auto"/>
          <w:sz w:val="21"/>
          <w:szCs w:val="21"/>
          <w:highlight w:val="none"/>
          <w:u w:val="single"/>
        </w:rPr>
        <w:br w:type="page"/>
      </w:r>
      <w:r>
        <w:rPr>
          <w:rFonts w:hint="eastAsia" w:ascii="黑体" w:hAnsi="黑体" w:eastAsia="黑体" w:cs="黑体"/>
          <w:b w:val="0"/>
          <w:bCs w:val="0"/>
          <w:color w:val="auto"/>
          <w:sz w:val="28"/>
          <w:szCs w:val="28"/>
          <w:highlight w:val="none"/>
        </w:rPr>
        <w:t>第二节 政府采购合同通用条款</w:t>
      </w:r>
    </w:p>
    <w:p w14:paraId="34398B2B">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62EA007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7CE2C4B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（1）采购人（以下称甲方）是指使用财政性资金，通过政府采购方式向供应商采购服务的国家机关、事业单位、团体组织。</w:t>
      </w:r>
    </w:p>
    <w:p w14:paraId="3592CA8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（2）供应商（以下称乙方）是指参加政府采购活动并且中标（成交），向采购人提供合同约定的服务的法人、非法人组织或者自然人。</w:t>
      </w:r>
    </w:p>
    <w:p w14:paraId="6ACC836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422DFB1E">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1F61053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政府采购合同协议书及其变更、补充协议，政府采购合同专用条款，政府采购合同通用条款，中标（成交）通知书，投标（响应）文件，采购文件，有关技术文件和服务方案，以及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173756DA">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212F2127">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（3）“服务”系指乙方根据本合同规定须向甲方提供的各类专业服务、技术服务、运营服务等，包括服务成果、服务过程中的配套技术支持、资料交付、人员服务及其他相关配套服务等。</w:t>
      </w:r>
    </w:p>
    <w:p w14:paraId="3DF6E17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配套服务”系指根据合同规定，乙方应提供的与主服务有关的技术、管理和其他服务，包括但不限于：管理和质量保证、服务成果交付、保险、检验、现场实施、调试、培训、售后维护、技术支持等以及合同中规定乙方应承担的其他义务。</w:t>
      </w:r>
    </w:p>
    <w:p w14:paraId="5D54D46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46AA8D4C">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B9C07FA">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335AF7A">
      <w:pPr>
        <w:numPr>
          <w:ilvl w:val="0"/>
          <w:numId w:val="8"/>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0E0B8A56">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0D4ED5B0">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073724F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10604C03">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69F46F1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732A5C6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定期核对乙方服务质量、服务进度、服务成果等内容。甲方有权督促乙方工作并要求乙方整改不符合要求的服务内容。</w:t>
      </w:r>
      <w:r>
        <w:rPr>
          <w:rFonts w:ascii="宋体" w:hAnsi="宋体"/>
          <w:color w:val="auto"/>
          <w:szCs w:val="21"/>
          <w:highlight w:val="none"/>
        </w:rPr>
        <w:t>。</w:t>
      </w:r>
    </w:p>
    <w:p w14:paraId="56C3A12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有权要求乙方对服务缺陷部分予以修复，并按合同约定享有服务保修及其他合同约定的权利。</w:t>
      </w:r>
    </w:p>
    <w:p w14:paraId="28EA2D9E">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甲方应当按照合同约定及时对交付的服务成果、完成的服务内容进行验收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7AD0738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4F76F53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58EDA11F">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7506AEE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11E52EB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提供的服务及相关配套服务符合合同有关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7BD25F74">
      <w:pPr>
        <w:pStyle w:val="2"/>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59C103D7">
      <w:pPr>
        <w:pStyle w:val="2"/>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4FADA47F">
      <w:pPr>
        <w:numPr>
          <w:ilvl w:val="0"/>
          <w:numId w:val="9"/>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17F3952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256068DC">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28088583">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7. 质量标准和保证</w:t>
      </w:r>
    </w:p>
    <w:p w14:paraId="3D0F2A1A">
      <w:pPr>
        <w:pStyle w:val="17"/>
        <w:adjustRightInd w:val="0"/>
        <w:snapToGrid w:val="0"/>
        <w:spacing w:line="400" w:lineRule="exact"/>
        <w:ind w:firstLine="420" w:firstLineChars="200"/>
        <w:jc w:val="left"/>
        <w:rPr>
          <w:rFonts w:hAnsi="宋体"/>
          <w:b/>
          <w:color w:val="auto"/>
          <w:highlight w:val="none"/>
        </w:rPr>
      </w:pPr>
      <w:r>
        <w:rPr>
          <w:rFonts w:hint="eastAsia" w:hAnsi="宋体"/>
          <w:color w:val="auto"/>
          <w:highlight w:val="none"/>
        </w:rPr>
        <w:t>7.1 质量标准</w:t>
      </w:r>
    </w:p>
    <w:p w14:paraId="784A635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服务应符合合同约定的服务提供方、服务标准、服务性能、服务成果、服务范围等要求。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9F82FE8">
      <w:pPr>
        <w:pStyle w:val="17"/>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47DAA5E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（3）乙方所提供的服务应符合国家有关安全、环保、卫生的规定。</w:t>
      </w:r>
    </w:p>
    <w:p w14:paraId="783F960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（4）乙方应向甲方提交所提供服务的技术文件，包括相应的中文技术文件，如：服务方案、操作手册、使用说明、服务成果报告、维护手册或服务指南等。上述文件应包装好随服务成果一同交付。</w:t>
      </w:r>
    </w:p>
    <w:p w14:paraId="18AB9F3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保证</w:t>
      </w:r>
    </w:p>
    <w:p w14:paraId="2240478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（1）乙方应保证提供的服务完全符合合同规定的质量、规格和性能要求。乙方应保证服务在符合合同约定的服务条件、正常场景下，</w:t>
      </w:r>
      <w:r>
        <w:rPr>
          <w:rFonts w:hint="eastAsia" w:ascii="宋体" w:hAnsi="宋体" w:cs="宋体"/>
          <w:color w:val="auto"/>
          <w:szCs w:val="21"/>
          <w:highlight w:val="none"/>
        </w:rPr>
        <w:t>服务期限/服务成果使用寿命期内具备合同约定的要求</w:t>
      </w:r>
      <w:r>
        <w:rPr>
          <w:rFonts w:hint="eastAsia" w:ascii="宋体" w:hAnsi="宋体"/>
          <w:color w:val="auto"/>
          <w:szCs w:val="21"/>
          <w:highlight w:val="none"/>
        </w:rPr>
        <w:t>。存在质量保证期的，服务成果最终交付验收合格后在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2FBAEC3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（2）在质量保证期内所发现的服务缺陷，甲方应尽快以书面形式通知乙方。</w:t>
      </w:r>
    </w:p>
    <w:p w14:paraId="77E18D0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规定的响应时间内以合理的速度免费整改。</w:t>
      </w:r>
    </w:p>
    <w:p w14:paraId="2AC13D6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（4）在质量保证期内，如果服务的质量与合同不符，或证实服务是有缺陷的，包括潜在的缺陷或使用不符合要求的服务等，甲方可以根据本合同第15.1条规定以书面形式追究乙方的违约责任。</w:t>
      </w:r>
    </w:p>
    <w:p w14:paraId="1DD65436">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4FA69FF2">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8. 权利瑕疵担保</w:t>
      </w:r>
    </w:p>
    <w:p w14:paraId="4F6F3F1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8.1 乙方保证对其提供的服务享有合法的权利。</w:t>
      </w:r>
    </w:p>
    <w:p w14:paraId="2AB1F29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8.2 </w:t>
      </w:r>
      <w:r>
        <w:rPr>
          <w:rFonts w:hint="eastAsia" w:ascii="宋体" w:hAnsi="宋体" w:cs="宋体"/>
          <w:color w:val="auto"/>
          <w:szCs w:val="15"/>
          <w:highlight w:val="none"/>
        </w:rPr>
        <w:t>乙方保证在交付的服务成功上不存在抵押权等担保物权。</w:t>
      </w:r>
    </w:p>
    <w:p w14:paraId="776C396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8.3 如甲方使用上述服务或服务成果构成对第三人侵权的，则由乙方承担全部责任。</w:t>
      </w:r>
    </w:p>
    <w:p w14:paraId="1B78DB05">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知识产权保护</w:t>
      </w:r>
    </w:p>
    <w:p w14:paraId="45BD52F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对其所提供的服务及服务成果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591F4E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保密义务</w:t>
      </w:r>
    </w:p>
    <w:p w14:paraId="42A2B2D7">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01D6643F">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合同价款支付</w:t>
      </w:r>
    </w:p>
    <w:p w14:paraId="08A524B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11.1 合同价款支付按照国库集中支付制度及财政管理相关规定执行。</w:t>
      </w:r>
    </w:p>
    <w:p w14:paraId="7FD1D666">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11.2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Cs w:val="21"/>
          <w:highlight w:val="none"/>
        </w:rPr>
        <w:t>【政府采购合同专用条款】</w:t>
      </w:r>
      <w:r>
        <w:rPr>
          <w:rFonts w:hint="eastAsia" w:ascii="宋体" w:hAnsi="宋体"/>
          <w:color w:val="auto"/>
          <w:szCs w:val="21"/>
          <w:highlight w:val="none"/>
        </w:rPr>
        <w:t>中约定。</w:t>
      </w:r>
    </w:p>
    <w:p w14:paraId="516DD1C8">
      <w:pPr>
        <w:pStyle w:val="2"/>
        <w:spacing w:after="0" w:line="400" w:lineRule="exact"/>
        <w:ind w:firstLine="482"/>
        <w:rPr>
          <w:rFonts w:ascii="宋体" w:hAnsi="宋体"/>
          <w:b/>
          <w:bCs/>
          <w:color w:val="auto"/>
          <w:sz w:val="24"/>
          <w:szCs w:val="24"/>
          <w:highlight w:val="none"/>
        </w:rPr>
      </w:pPr>
      <w:r>
        <w:rPr>
          <w:rFonts w:hint="eastAsia" w:ascii="宋体" w:hAnsi="宋体"/>
          <w:b/>
          <w:bCs/>
          <w:color w:val="auto"/>
          <w:sz w:val="24"/>
          <w:szCs w:val="24"/>
          <w:highlight w:val="none"/>
        </w:rPr>
        <w:t>12. 履约保证金</w:t>
      </w:r>
    </w:p>
    <w:p w14:paraId="1C63153E">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12.1 </w:t>
      </w:r>
      <w:r>
        <w:rPr>
          <w:rFonts w:hint="eastAsia" w:ascii="宋体" w:hAnsi="宋体" w:cs="宋体"/>
          <w:color w:val="auto"/>
          <w:szCs w:val="15"/>
          <w:highlight w:val="none"/>
        </w:rPr>
        <w:t>乙方应当以支票、汇票、本票或者金融机构、担保机构出具的保函等非现金形式提交。</w:t>
      </w:r>
    </w:p>
    <w:p w14:paraId="1FE54D5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A98009E">
      <w:pPr>
        <w:spacing w:line="400" w:lineRule="exact"/>
        <w:ind w:firstLine="420"/>
        <w:rPr>
          <w:color w:val="auto"/>
          <w:highlight w:val="none"/>
        </w:rPr>
      </w:pPr>
      <w:r>
        <w:rPr>
          <w:rFonts w:hint="eastAsia" w:ascii="宋体" w:hAnsi="宋体"/>
          <w:color w:val="auto"/>
          <w:szCs w:val="21"/>
          <w:highlight w:val="none"/>
        </w:rPr>
        <w:t>12.3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2C229D3D">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13. </w:t>
      </w:r>
      <w:r>
        <w:rPr>
          <w:rFonts w:hint="eastAsia"/>
          <w:b/>
          <w:color w:val="auto"/>
          <w:sz w:val="24"/>
          <w:highlight w:val="none"/>
        </w:rPr>
        <w:t>售后</w:t>
      </w:r>
      <w:r>
        <w:rPr>
          <w:rFonts w:hint="eastAsia" w:ascii="宋体" w:hAnsi="宋体"/>
          <w:b/>
          <w:color w:val="auto"/>
          <w:sz w:val="24"/>
          <w:highlight w:val="none"/>
        </w:rPr>
        <w:t>服务</w:t>
      </w:r>
    </w:p>
    <w:p w14:paraId="7A4CB45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13.1 除项目不涉及或采购活动中明确约定无须承担外，乙方还应提供下列服务：</w:t>
      </w:r>
    </w:p>
    <w:p w14:paraId="082B81D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（1）服务的现场实施、调试、启动监督及技术支持；服务成果的后续技术维护；</w:t>
      </w:r>
    </w:p>
    <w:p w14:paraId="229A024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（2）提供服务实施和成果维护所需的专用工具、技术资料和辅助材料；</w:t>
      </w:r>
    </w:p>
    <w:p w14:paraId="48FB127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b/>
          <w:bCs/>
          <w:color w:val="auto"/>
          <w:szCs w:val="21"/>
          <w:highlight w:val="none"/>
        </w:rPr>
        <w:t>【政府采购合同专用条款】</w:t>
      </w:r>
      <w:r>
        <w:rPr>
          <w:rFonts w:hint="eastAsia" w:ascii="宋体" w:hAnsi="宋体"/>
          <w:color w:val="auto"/>
          <w:szCs w:val="21"/>
          <w:highlight w:val="none"/>
        </w:rPr>
        <w:t>约定的期限内对所有的服务内容、服务成果实施运行监督、维修/整改，但前提条件是该服务并不能免除乙方在质量保证期内所承担的义务；</w:t>
      </w:r>
    </w:p>
    <w:p w14:paraId="4A3ECD8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（4）在服务提供方所在地或</w:t>
      </w:r>
      <w:r>
        <w:rPr>
          <w:rFonts w:hint="eastAsia" w:ascii="宋体" w:hAnsi="宋体"/>
          <w:color w:val="auto"/>
          <w:szCs w:val="21"/>
          <w:highlight w:val="none"/>
          <w:lang w:eastAsia="zh-CN"/>
        </w:rPr>
        <w:t>安排的</w:t>
      </w:r>
      <w:r>
        <w:rPr>
          <w:rFonts w:hint="eastAsia" w:ascii="宋体" w:hAnsi="宋体"/>
          <w:color w:val="auto"/>
          <w:szCs w:val="21"/>
          <w:highlight w:val="none"/>
        </w:rPr>
        <w:t>现场就服务的实施、启动、运营、维护、服务成果废弃处置等对甲方操作人员/使用人员进行培训；</w:t>
      </w:r>
    </w:p>
    <w:p w14:paraId="78CDFED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（5）依照法律、行政法规的规定或者按照【政府采购合同专用条款】约定，服务成果在有效使用年限届满后应予回收的，乙方负有自行或者委托第三人对服务成果予以回收的义务；</w:t>
      </w:r>
    </w:p>
    <w:p w14:paraId="1BB85CA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（6）【政府采购合同专用条款】规定由乙方提供的其他服务。</w:t>
      </w:r>
    </w:p>
    <w:p w14:paraId="000B1B46">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14. 违约责任</w:t>
      </w:r>
    </w:p>
    <w:p w14:paraId="476B7B0D">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14.1服务质量瑕疵的违约责任</w:t>
      </w:r>
    </w:p>
    <w:p w14:paraId="13E686C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乙方提供的服务不符合合同约定的质量标准或存在服务质量/成果缺陷，甲方有权要求乙方根据【政府采购合同专用条款】要求及时整改、重作、重新提供服务/成果，并承担由此给甲方造成的损失。</w:t>
      </w:r>
    </w:p>
    <w:p w14:paraId="26A3E206">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14.2 迟延提供服务/交付服务成果的违约责任</w:t>
      </w:r>
    </w:p>
    <w:p w14:paraId="55E6417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提供服务和交付服务成果。在履行合同过程中，如果乙方遇到可能影响按时提供服务和交付成果的情形时，应及时以书面形式将迟延的事实、可能迟延的期限和理由通知甲方。甲方在收到乙方通知后，应尽快对情况进行评价，并确定是否同意延长服务提供时间或成果交付时间。</w:t>
      </w:r>
    </w:p>
    <w:p w14:paraId="5533FE4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（2）如果乙方没有按照合同规定的时间提供服务和交付服务成果，甲方有权从货款中扣除误期赔偿费而不影响合同项下的其他补救方法，赔偿费按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069E678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14.3 迟延支付的违约责任</w:t>
      </w:r>
    </w:p>
    <w:p w14:paraId="1A13369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7C35D2F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14.4其他违约责任根据项目实际需要按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0DFBFA08">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15.合同变更、中止与终止</w:t>
      </w:r>
    </w:p>
    <w:p w14:paraId="6E63E6C4">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15.1合同的变更</w:t>
      </w:r>
    </w:p>
    <w:p w14:paraId="51CB0D7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7421DDA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15.2合同的中止</w:t>
      </w:r>
    </w:p>
    <w:p w14:paraId="76BF411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3DDB474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C277452">
      <w:pPr>
        <w:pStyle w:val="37"/>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48851CF">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20D161C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15.3合同的终止</w:t>
      </w:r>
    </w:p>
    <w:p w14:paraId="506D372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（1）长期服务合同因有效期限届满而终止；</w:t>
      </w:r>
    </w:p>
    <w:p w14:paraId="0F15BFF7">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10CF595E">
      <w:pPr>
        <w:pStyle w:val="37"/>
        <w:rPr>
          <w:rFonts w:ascii="宋体" w:hAnsi="宋体"/>
          <w:color w:val="auto"/>
          <w:highlight w:val="none"/>
        </w:rPr>
      </w:pPr>
      <w:r>
        <w:rPr>
          <w:rFonts w:hint="eastAsia" w:ascii="宋体" w:hAnsi="宋体"/>
          <w:color w:val="auto"/>
          <w:highlight w:val="none"/>
        </w:rPr>
        <w:t xml:space="preserve">15.4 </w:t>
      </w:r>
      <w:r>
        <w:rPr>
          <w:rFonts w:hint="eastAsia" w:ascii="宋体" w:hAnsi="宋体" w:eastAsia="宋体" w:cs="Times New Roman"/>
          <w:color w:val="auto"/>
          <w:kern w:val="2"/>
          <w:sz w:val="21"/>
          <w:highlight w:val="none"/>
        </w:rPr>
        <w:t>涉及国家利益、社会公共利益的情形</w:t>
      </w:r>
    </w:p>
    <w:p w14:paraId="4F1DB1A8">
      <w:pPr>
        <w:pStyle w:val="37"/>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29E1080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16. 合同分包</w:t>
      </w:r>
    </w:p>
    <w:p w14:paraId="3907FCA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16.1 乙方不得将合同转包给其他供应商。涉及合同分包的，乙方应根据采购文件和投标（响应）文件规定进行合同分包。</w:t>
      </w:r>
    </w:p>
    <w:p w14:paraId="1038F2F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 乙方执行政府采购政策向中小企业依法分包的，乙方应当按采购文件和投标（响应）文件签订分包意向协议，分包意向协议属于本合同组成部分。</w:t>
      </w:r>
    </w:p>
    <w:p w14:paraId="014EC4B9">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不可抗力</w:t>
      </w:r>
    </w:p>
    <w:p w14:paraId="68EE9B6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不可抗力是指合同双方不能预见、不能避免且不能克服的客观情况。</w:t>
      </w:r>
    </w:p>
    <w:p w14:paraId="4C73B7A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任何一方对由于不可抗力造成的部分或全部不能履行合同不承担违约责任。但迟延履行后发生不可抗力的，不能免除责任。</w:t>
      </w:r>
    </w:p>
    <w:p w14:paraId="5396F2E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923D515">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解决争议的方法</w:t>
      </w:r>
    </w:p>
    <w:p w14:paraId="644BF9F3">
      <w:pPr>
        <w:pStyle w:val="3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18.1 因本合同及合同有关事项发生的争议，由甲乙双方友好协商解决。协商不成时，可以向有关组织申请调解。合同一方或双方不愿调解或调解不成的，可以通过仲裁或诉讼的方式解决争议。</w:t>
      </w:r>
    </w:p>
    <w:p w14:paraId="7AFD50C8">
      <w:pPr>
        <w:pStyle w:val="3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18.2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795C02F6">
      <w:pPr>
        <w:pStyle w:val="3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18.3 如甲乙双方有争议的事项不影响合同其他部分的履行，在争议解决期间，合同其他部分应当继续履行。</w:t>
      </w:r>
    </w:p>
    <w:p w14:paraId="362A99A8">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19. 政府采购政策</w:t>
      </w:r>
    </w:p>
    <w:p w14:paraId="62ABA86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19.1 </w:t>
      </w:r>
      <w:r>
        <w:rPr>
          <w:rFonts w:hint="eastAsia" w:ascii="宋体" w:hAnsi="宋体" w:cs="宋体"/>
          <w:color w:val="auto"/>
          <w:highlight w:val="none"/>
          <w:lang w:val="en-GB"/>
        </w:rPr>
        <w:t>本合同应当按照规定执行政府采购政策。</w:t>
      </w:r>
    </w:p>
    <w:p w14:paraId="22EB1A7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19.2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5748766">
      <w:pPr>
        <w:pStyle w:val="2"/>
        <w:spacing w:after="0" w:line="400" w:lineRule="exact"/>
        <w:ind w:firstLine="560"/>
        <w:rPr>
          <w:color w:val="auto"/>
          <w:highlight w:val="none"/>
        </w:rPr>
      </w:pPr>
      <w:r>
        <w:rPr>
          <w:rFonts w:hint="eastAsia" w:ascii="宋体" w:hAnsi="宋体"/>
          <w:color w:val="auto"/>
          <w:szCs w:val="21"/>
          <w:highlight w:val="none"/>
        </w:rPr>
        <w:t>19.3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887784A">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20. 法律适用</w:t>
      </w:r>
    </w:p>
    <w:p w14:paraId="006B5AF8">
      <w:pPr>
        <w:pStyle w:val="3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20.1 本合同的订立、生效、解释、履行及与本合同有关的争议解决，均适用法律、行政法规。</w:t>
      </w:r>
    </w:p>
    <w:p w14:paraId="3E48A967">
      <w:pPr>
        <w:pStyle w:val="3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20.2 本合同条款与法律、行政法规的强制性规定不一致的，双方当事人应按照法律、行政法规的强制性规定修改本合同的相关条款。</w:t>
      </w:r>
    </w:p>
    <w:p w14:paraId="456A1C6B">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通知</w:t>
      </w:r>
    </w:p>
    <w:p w14:paraId="3F3C93D3">
      <w:pPr>
        <w:pStyle w:val="3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本合同任何一方向对方发出的通知、信件、数据电文等，应当发送至本合同第一部分《政府采购合同协议书》所约定的通讯地址、联系人、联系电话或电子邮箱。</w:t>
      </w:r>
    </w:p>
    <w:p w14:paraId="5130650D">
      <w:pPr>
        <w:pStyle w:val="37"/>
        <w:ind w:firstLine="0" w:firstLineChars="0"/>
        <w:jc w:val="both"/>
        <w:rPr>
          <w:color w:val="auto"/>
          <w:sz w:val="21"/>
          <w:highlight w:val="none"/>
        </w:rPr>
      </w:pPr>
      <w:r>
        <w:rPr>
          <w:rFonts w:hint="eastAsia" w:ascii="宋体" w:hAnsi="宋体" w:eastAsia="宋体" w:cs="宋体"/>
          <w:color w:val="auto"/>
          <w:sz w:val="21"/>
          <w:highlight w:val="none"/>
        </w:rPr>
        <w:t xml:space="preserve">    21.2 一方当事人变更名称、住所、联系人、联系电话或电子邮箱等信息的，应当在变更后3日内及时书面通知对方，对方实际收到变更通知前的送达仍为有效送达。</w:t>
      </w:r>
    </w:p>
    <w:p w14:paraId="17AA538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21.3本合同一方给另一方的通知均应采用书面形式，传真或快递送到本合同中规定的对方的地址和办理签收手续。</w:t>
      </w:r>
    </w:p>
    <w:p w14:paraId="2F4948B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21.4通知以送达之日或通知书中规定的生效之日起生效，两者中以较迟之日为准。</w:t>
      </w:r>
    </w:p>
    <w:p w14:paraId="28E71D3B">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22.合同未尽事项</w:t>
      </w:r>
    </w:p>
    <w:p w14:paraId="105C46B8">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22.1合同未尽事项见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92A1DB4">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22.2 合同附件与合同正文具有同等的法律效力。</w:t>
      </w:r>
    </w:p>
    <w:p w14:paraId="044F462B">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2BFD797E">
      <w:pPr>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第三节 政府采购合同专用条款</w:t>
      </w:r>
    </w:p>
    <w:tbl>
      <w:tblPr>
        <w:tblStyle w:val="29"/>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0851F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F0DBA9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3C0A5B6">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63E510DB">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15F91DB4">
            <w:pPr>
              <w:adjustRightInd w:val="0"/>
              <w:snapToGrid w:val="0"/>
              <w:jc w:val="left"/>
              <w:rPr>
                <w:rFonts w:ascii="宋体" w:hAnsi="宋体"/>
                <w:color w:val="auto"/>
                <w:szCs w:val="21"/>
                <w:highlight w:val="none"/>
              </w:rPr>
            </w:pPr>
          </w:p>
        </w:tc>
      </w:tr>
      <w:tr w14:paraId="1D769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610CFC3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7DBAD93">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14:paraId="059F4AE5">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14:paraId="6AE78C86">
            <w:pPr>
              <w:adjustRightInd w:val="0"/>
              <w:snapToGrid w:val="0"/>
              <w:jc w:val="left"/>
              <w:rPr>
                <w:rFonts w:ascii="宋体" w:hAnsi="宋体"/>
                <w:color w:val="auto"/>
                <w:szCs w:val="21"/>
                <w:highlight w:val="none"/>
              </w:rPr>
            </w:pPr>
          </w:p>
        </w:tc>
      </w:tr>
      <w:tr w14:paraId="4E542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E304A9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C4BEE98">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vAlign w:val="center"/>
          </w:tcPr>
          <w:p w14:paraId="42F4297C">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14:paraId="42D31C2A">
            <w:pPr>
              <w:adjustRightInd w:val="0"/>
              <w:snapToGrid w:val="0"/>
              <w:jc w:val="left"/>
              <w:rPr>
                <w:rFonts w:ascii="宋体" w:hAnsi="宋体"/>
                <w:color w:val="auto"/>
                <w:szCs w:val="21"/>
                <w:highlight w:val="none"/>
              </w:rPr>
            </w:pPr>
          </w:p>
        </w:tc>
      </w:tr>
      <w:tr w14:paraId="387F33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38C010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EA34B5A">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vAlign w:val="center"/>
          </w:tcPr>
          <w:p w14:paraId="5A63545B">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14:paraId="530DBDDF">
            <w:pPr>
              <w:adjustRightInd w:val="0"/>
              <w:snapToGrid w:val="0"/>
              <w:jc w:val="left"/>
              <w:rPr>
                <w:rFonts w:ascii="宋体" w:hAnsi="宋体"/>
                <w:color w:val="auto"/>
                <w:szCs w:val="21"/>
                <w:highlight w:val="none"/>
              </w:rPr>
            </w:pPr>
          </w:p>
        </w:tc>
      </w:tr>
      <w:tr w14:paraId="18B519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A34E10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8AE2A7F">
            <w:pPr>
              <w:snapToGrid w:val="0"/>
              <w:jc w:val="center"/>
              <w:rPr>
                <w:color w:val="auto"/>
                <w:highlight w:val="none"/>
              </w:rPr>
            </w:pPr>
            <w:r>
              <w:rPr>
                <w:rFonts w:hint="eastAsia" w:ascii="宋体" w:hAnsi="宋体"/>
                <w:color w:val="auto"/>
                <w:szCs w:val="21"/>
                <w:highlight w:val="none"/>
              </w:rPr>
              <w:t>第5.4款</w:t>
            </w:r>
          </w:p>
        </w:tc>
        <w:tc>
          <w:tcPr>
            <w:tcW w:w="1742" w:type="dxa"/>
            <w:vAlign w:val="center"/>
          </w:tcPr>
          <w:p w14:paraId="6A792836">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14:paraId="7AE92FDC">
            <w:pPr>
              <w:adjustRightInd w:val="0"/>
              <w:snapToGrid w:val="0"/>
              <w:jc w:val="left"/>
              <w:rPr>
                <w:rFonts w:ascii="宋体" w:hAnsi="宋体"/>
                <w:color w:val="auto"/>
                <w:szCs w:val="21"/>
                <w:highlight w:val="none"/>
              </w:rPr>
            </w:pPr>
          </w:p>
        </w:tc>
      </w:tr>
      <w:tr w14:paraId="5FB507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9F533A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D70EF55">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vAlign w:val="center"/>
          </w:tcPr>
          <w:p w14:paraId="7A89A8E0">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14:paraId="3A5A20F2">
            <w:pPr>
              <w:adjustRightInd w:val="0"/>
              <w:snapToGrid w:val="0"/>
              <w:jc w:val="left"/>
              <w:rPr>
                <w:rFonts w:ascii="宋体" w:hAnsi="宋体"/>
                <w:color w:val="auto"/>
                <w:szCs w:val="21"/>
                <w:highlight w:val="none"/>
              </w:rPr>
            </w:pPr>
          </w:p>
        </w:tc>
      </w:tr>
      <w:tr w14:paraId="4262AC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5CA7C3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868271B">
            <w:pPr>
              <w:adjustRightInd w:val="0"/>
              <w:snapToGrid w:val="0"/>
              <w:jc w:val="center"/>
              <w:rPr>
                <w:rFonts w:ascii="宋体" w:hAnsi="宋体"/>
                <w:color w:val="auto"/>
                <w:szCs w:val="21"/>
                <w:highlight w:val="none"/>
              </w:rPr>
            </w:pPr>
            <w:r>
              <w:rPr>
                <w:rFonts w:hint="eastAsia" w:ascii="宋体" w:hAnsi="宋体"/>
                <w:color w:val="auto"/>
                <w:szCs w:val="21"/>
                <w:highlight w:val="none"/>
              </w:rPr>
              <w:t>第7.2（1）项</w:t>
            </w:r>
          </w:p>
        </w:tc>
        <w:tc>
          <w:tcPr>
            <w:tcW w:w="1742" w:type="dxa"/>
            <w:vAlign w:val="center"/>
          </w:tcPr>
          <w:p w14:paraId="0EA118C6">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5BBF01F9">
            <w:pPr>
              <w:autoSpaceDE w:val="0"/>
              <w:autoSpaceDN w:val="0"/>
              <w:adjustRightInd w:val="0"/>
              <w:snapToGrid w:val="0"/>
              <w:ind w:firstLine="420" w:firstLineChars="200"/>
              <w:jc w:val="left"/>
              <w:rPr>
                <w:rFonts w:ascii="宋体" w:hAnsi="宋体"/>
                <w:color w:val="auto"/>
                <w:szCs w:val="21"/>
                <w:highlight w:val="none"/>
              </w:rPr>
            </w:pPr>
          </w:p>
        </w:tc>
      </w:tr>
      <w:tr w14:paraId="132228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B0482C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9D4F6CA">
            <w:pPr>
              <w:adjustRightInd w:val="0"/>
              <w:snapToGrid w:val="0"/>
              <w:jc w:val="center"/>
              <w:rPr>
                <w:rFonts w:ascii="宋体" w:hAnsi="宋体"/>
                <w:color w:val="auto"/>
                <w:szCs w:val="21"/>
                <w:highlight w:val="none"/>
              </w:rPr>
            </w:pPr>
            <w:r>
              <w:rPr>
                <w:rFonts w:hint="eastAsia" w:ascii="宋体" w:hAnsi="宋体"/>
                <w:color w:val="auto"/>
                <w:szCs w:val="21"/>
                <w:highlight w:val="none"/>
              </w:rPr>
              <w:t>第7.2（3）项</w:t>
            </w:r>
          </w:p>
        </w:tc>
        <w:tc>
          <w:tcPr>
            <w:tcW w:w="1742" w:type="dxa"/>
            <w:vAlign w:val="center"/>
          </w:tcPr>
          <w:p w14:paraId="62FEB9E5">
            <w:pPr>
              <w:adjustRightInd w:val="0"/>
              <w:snapToGrid w:val="0"/>
              <w:jc w:val="left"/>
              <w:rPr>
                <w:rFonts w:ascii="宋体" w:hAnsi="宋体"/>
                <w:color w:val="auto"/>
                <w:szCs w:val="21"/>
                <w:highlight w:val="none"/>
              </w:rPr>
            </w:pPr>
            <w:r>
              <w:rPr>
                <w:rFonts w:hint="eastAsia" w:ascii="宋体" w:hAnsi="宋体"/>
                <w:color w:val="auto"/>
                <w:szCs w:val="21"/>
                <w:highlight w:val="none"/>
              </w:rPr>
              <w:t>服务成果质量缺陷响应时间</w:t>
            </w:r>
          </w:p>
        </w:tc>
        <w:tc>
          <w:tcPr>
            <w:tcW w:w="5170" w:type="dxa"/>
            <w:vAlign w:val="center"/>
          </w:tcPr>
          <w:p w14:paraId="06160026">
            <w:pPr>
              <w:adjustRightInd w:val="0"/>
              <w:snapToGrid w:val="0"/>
              <w:jc w:val="left"/>
              <w:rPr>
                <w:rFonts w:ascii="宋体" w:hAnsi="宋体"/>
                <w:color w:val="auto"/>
                <w:szCs w:val="21"/>
                <w:highlight w:val="none"/>
              </w:rPr>
            </w:pPr>
          </w:p>
        </w:tc>
      </w:tr>
      <w:tr w14:paraId="1D8D4F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146BF97">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144FBE1">
            <w:pPr>
              <w:pStyle w:val="37"/>
              <w:ind w:firstLine="0" w:firstLineChars="0"/>
              <w:jc w:val="center"/>
              <w:rPr>
                <w:color w:val="auto"/>
                <w:highlight w:val="none"/>
              </w:rPr>
            </w:pPr>
            <w:r>
              <w:rPr>
                <w:rFonts w:hint="eastAsia" w:ascii="宋体" w:hAnsi="宋体" w:eastAsia="宋体" w:cs="宋体"/>
                <w:color w:val="auto"/>
                <w:highlight w:val="none"/>
              </w:rPr>
              <w:t>第10.1款</w:t>
            </w:r>
          </w:p>
        </w:tc>
        <w:tc>
          <w:tcPr>
            <w:tcW w:w="1742" w:type="dxa"/>
            <w:vAlign w:val="center"/>
          </w:tcPr>
          <w:p w14:paraId="2E70D9E2">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14:paraId="1096E2BE">
            <w:pPr>
              <w:adjustRightInd w:val="0"/>
              <w:snapToGrid w:val="0"/>
              <w:jc w:val="left"/>
              <w:rPr>
                <w:rFonts w:ascii="宋体" w:hAnsi="宋体"/>
                <w:color w:val="auto"/>
                <w:szCs w:val="21"/>
                <w:highlight w:val="none"/>
              </w:rPr>
            </w:pPr>
          </w:p>
        </w:tc>
      </w:tr>
      <w:tr w14:paraId="739A51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25C2EC5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8BAE620">
            <w:pPr>
              <w:adjustRightInd w:val="0"/>
              <w:snapToGrid w:val="0"/>
              <w:jc w:val="center"/>
              <w:rPr>
                <w:rFonts w:ascii="宋体" w:hAnsi="宋体"/>
                <w:color w:val="auto"/>
                <w:szCs w:val="21"/>
                <w:highlight w:val="none"/>
              </w:rPr>
            </w:pPr>
            <w:r>
              <w:rPr>
                <w:rFonts w:hint="eastAsia" w:ascii="宋体" w:hAnsi="宋体"/>
                <w:color w:val="auto"/>
                <w:szCs w:val="21"/>
                <w:highlight w:val="none"/>
              </w:rPr>
              <w:t>第11.2款</w:t>
            </w:r>
          </w:p>
        </w:tc>
        <w:tc>
          <w:tcPr>
            <w:tcW w:w="1742" w:type="dxa"/>
            <w:vAlign w:val="center"/>
          </w:tcPr>
          <w:p w14:paraId="46AE6ECC">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14:paraId="6FAA0B8F">
            <w:pPr>
              <w:adjustRightInd w:val="0"/>
              <w:snapToGrid w:val="0"/>
              <w:jc w:val="left"/>
              <w:rPr>
                <w:rFonts w:ascii="宋体" w:hAnsi="宋体"/>
                <w:color w:val="auto"/>
                <w:szCs w:val="21"/>
                <w:highlight w:val="none"/>
              </w:rPr>
            </w:pPr>
          </w:p>
        </w:tc>
      </w:tr>
      <w:tr w14:paraId="55A2B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0F143ED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56E713C">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14:paraId="0C2E1444">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14:paraId="65887F33">
            <w:pPr>
              <w:adjustRightInd w:val="0"/>
              <w:snapToGrid w:val="0"/>
              <w:jc w:val="left"/>
              <w:rPr>
                <w:rFonts w:ascii="宋体" w:hAnsi="宋体"/>
                <w:color w:val="auto"/>
                <w:szCs w:val="21"/>
                <w:highlight w:val="none"/>
              </w:rPr>
            </w:pPr>
          </w:p>
        </w:tc>
      </w:tr>
      <w:tr w14:paraId="3A743E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E410C8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2A09C11">
            <w:pPr>
              <w:adjustRightInd w:val="0"/>
              <w:snapToGrid w:val="0"/>
              <w:jc w:val="center"/>
              <w:rPr>
                <w:rFonts w:ascii="宋体" w:hAnsi="宋体"/>
                <w:color w:val="auto"/>
                <w:szCs w:val="21"/>
                <w:highlight w:val="none"/>
              </w:rPr>
            </w:pPr>
            <w:r>
              <w:rPr>
                <w:rFonts w:hint="eastAsia" w:ascii="宋体" w:hAnsi="宋体"/>
                <w:color w:val="auto"/>
                <w:szCs w:val="21"/>
                <w:highlight w:val="none"/>
              </w:rPr>
              <w:t>第12.3款</w:t>
            </w:r>
          </w:p>
        </w:tc>
        <w:tc>
          <w:tcPr>
            <w:tcW w:w="1742" w:type="dxa"/>
            <w:vAlign w:val="center"/>
          </w:tcPr>
          <w:p w14:paraId="7E2F61C1">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14:paraId="14F2A8CF">
            <w:pPr>
              <w:adjustRightInd w:val="0"/>
              <w:snapToGrid w:val="0"/>
              <w:jc w:val="left"/>
              <w:rPr>
                <w:rFonts w:ascii="宋体" w:hAnsi="宋体"/>
                <w:color w:val="auto"/>
                <w:szCs w:val="21"/>
                <w:highlight w:val="none"/>
              </w:rPr>
            </w:pPr>
          </w:p>
        </w:tc>
      </w:tr>
      <w:tr w14:paraId="3BAE0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3C49341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417FB7C">
            <w:pPr>
              <w:adjustRightInd w:val="0"/>
              <w:snapToGrid w:val="0"/>
              <w:jc w:val="center"/>
              <w:rPr>
                <w:rFonts w:ascii="宋体" w:hAnsi="宋体"/>
                <w:color w:val="auto"/>
                <w:szCs w:val="21"/>
                <w:highlight w:val="none"/>
              </w:rPr>
            </w:pPr>
            <w:r>
              <w:rPr>
                <w:rFonts w:hint="eastAsia" w:ascii="宋体" w:hAnsi="宋体"/>
                <w:color w:val="auto"/>
                <w:szCs w:val="21"/>
                <w:highlight w:val="none"/>
              </w:rPr>
              <w:t>第13.1（3）项</w:t>
            </w:r>
          </w:p>
        </w:tc>
        <w:tc>
          <w:tcPr>
            <w:tcW w:w="1742" w:type="dxa"/>
            <w:vAlign w:val="center"/>
          </w:tcPr>
          <w:p w14:paraId="5ECBDF97">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14:paraId="72EEE010">
            <w:pPr>
              <w:adjustRightInd w:val="0"/>
              <w:snapToGrid w:val="0"/>
              <w:jc w:val="left"/>
              <w:rPr>
                <w:rFonts w:ascii="宋体" w:hAnsi="宋体"/>
                <w:color w:val="auto"/>
                <w:szCs w:val="21"/>
                <w:highlight w:val="none"/>
              </w:rPr>
            </w:pPr>
          </w:p>
        </w:tc>
      </w:tr>
      <w:tr w14:paraId="5CA3B7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C57BF1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43294E0">
            <w:pPr>
              <w:adjustRightInd w:val="0"/>
              <w:snapToGrid w:val="0"/>
              <w:jc w:val="center"/>
              <w:rPr>
                <w:rFonts w:ascii="宋体" w:hAnsi="宋体"/>
                <w:color w:val="auto"/>
                <w:szCs w:val="21"/>
                <w:highlight w:val="none"/>
              </w:rPr>
            </w:pPr>
            <w:r>
              <w:rPr>
                <w:rFonts w:hint="eastAsia" w:ascii="宋体" w:hAnsi="宋体"/>
                <w:color w:val="auto"/>
                <w:szCs w:val="21"/>
                <w:highlight w:val="none"/>
              </w:rPr>
              <w:t>第13.1（5）项</w:t>
            </w:r>
          </w:p>
        </w:tc>
        <w:tc>
          <w:tcPr>
            <w:tcW w:w="1742" w:type="dxa"/>
            <w:vAlign w:val="center"/>
          </w:tcPr>
          <w:p w14:paraId="6801C756">
            <w:pPr>
              <w:adjustRightInd w:val="0"/>
              <w:snapToGrid w:val="0"/>
              <w:jc w:val="left"/>
              <w:rPr>
                <w:rFonts w:ascii="宋体" w:hAnsi="宋体"/>
                <w:color w:val="auto"/>
                <w:szCs w:val="21"/>
                <w:highlight w:val="none"/>
              </w:rPr>
            </w:pPr>
            <w:r>
              <w:rPr>
                <w:rFonts w:hint="eastAsia" w:ascii="宋体" w:hAnsi="宋体"/>
                <w:color w:val="auto"/>
                <w:szCs w:val="21"/>
                <w:highlight w:val="none"/>
              </w:rPr>
              <w:t>服务成果回收的约定</w:t>
            </w:r>
          </w:p>
        </w:tc>
        <w:tc>
          <w:tcPr>
            <w:tcW w:w="5170" w:type="dxa"/>
            <w:vAlign w:val="center"/>
          </w:tcPr>
          <w:p w14:paraId="2F89958F">
            <w:pPr>
              <w:adjustRightInd w:val="0"/>
              <w:snapToGrid w:val="0"/>
              <w:jc w:val="left"/>
              <w:rPr>
                <w:rFonts w:ascii="宋体" w:hAnsi="宋体"/>
                <w:color w:val="auto"/>
                <w:szCs w:val="21"/>
                <w:highlight w:val="none"/>
              </w:rPr>
            </w:pPr>
          </w:p>
        </w:tc>
      </w:tr>
      <w:tr w14:paraId="0CACD2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98F3CE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81A89F7">
            <w:pPr>
              <w:adjustRightInd w:val="0"/>
              <w:snapToGrid w:val="0"/>
              <w:jc w:val="center"/>
              <w:rPr>
                <w:rFonts w:ascii="宋体" w:hAnsi="宋体"/>
                <w:color w:val="auto"/>
                <w:szCs w:val="21"/>
                <w:highlight w:val="none"/>
              </w:rPr>
            </w:pPr>
            <w:r>
              <w:rPr>
                <w:rFonts w:hint="eastAsia" w:ascii="宋体" w:hAnsi="宋体"/>
                <w:color w:val="auto"/>
                <w:szCs w:val="21"/>
                <w:highlight w:val="none"/>
              </w:rPr>
              <w:t>第13.1（6）项</w:t>
            </w:r>
          </w:p>
        </w:tc>
        <w:tc>
          <w:tcPr>
            <w:tcW w:w="1742" w:type="dxa"/>
            <w:vAlign w:val="center"/>
          </w:tcPr>
          <w:p w14:paraId="5DB3E2F0">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2BBB64A9">
            <w:pPr>
              <w:adjustRightInd w:val="0"/>
              <w:snapToGrid w:val="0"/>
              <w:jc w:val="left"/>
              <w:rPr>
                <w:rFonts w:ascii="宋体" w:hAnsi="宋体"/>
                <w:color w:val="auto"/>
                <w:szCs w:val="21"/>
                <w:highlight w:val="none"/>
              </w:rPr>
            </w:pPr>
          </w:p>
        </w:tc>
      </w:tr>
      <w:tr w14:paraId="7A4B2B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4B61DD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AC123E1">
            <w:pPr>
              <w:adjustRightInd w:val="0"/>
              <w:snapToGrid w:val="0"/>
              <w:jc w:val="center"/>
              <w:rPr>
                <w:rFonts w:ascii="宋体" w:hAnsi="宋体"/>
                <w:color w:val="auto"/>
                <w:szCs w:val="21"/>
                <w:highlight w:val="none"/>
              </w:rPr>
            </w:pPr>
            <w:r>
              <w:rPr>
                <w:rFonts w:hint="eastAsia" w:ascii="宋体" w:hAnsi="宋体"/>
                <w:color w:val="auto"/>
                <w:szCs w:val="21"/>
                <w:highlight w:val="none"/>
              </w:rPr>
              <w:t>第14.1款</w:t>
            </w:r>
          </w:p>
        </w:tc>
        <w:tc>
          <w:tcPr>
            <w:tcW w:w="1742" w:type="dxa"/>
            <w:vAlign w:val="center"/>
          </w:tcPr>
          <w:p w14:paraId="5DFAA4F5">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14:paraId="4F7F7DCE">
            <w:pPr>
              <w:adjustRightInd w:val="0"/>
              <w:snapToGrid w:val="0"/>
              <w:jc w:val="left"/>
              <w:rPr>
                <w:rFonts w:ascii="宋体" w:hAnsi="宋体"/>
                <w:color w:val="auto"/>
                <w:szCs w:val="21"/>
                <w:highlight w:val="none"/>
              </w:rPr>
            </w:pPr>
          </w:p>
        </w:tc>
      </w:tr>
      <w:tr w14:paraId="71C53F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18D255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C71A282">
            <w:pPr>
              <w:adjustRightInd w:val="0"/>
              <w:snapToGrid w:val="0"/>
              <w:jc w:val="center"/>
              <w:rPr>
                <w:rFonts w:ascii="宋体" w:hAnsi="宋体"/>
                <w:color w:val="auto"/>
                <w:szCs w:val="21"/>
                <w:highlight w:val="none"/>
              </w:rPr>
            </w:pPr>
            <w:r>
              <w:rPr>
                <w:rFonts w:hint="eastAsia" w:ascii="宋体" w:hAnsi="宋体"/>
                <w:color w:val="auto"/>
                <w:szCs w:val="21"/>
                <w:highlight w:val="none"/>
              </w:rPr>
              <w:t>第14.2（2）项</w:t>
            </w:r>
          </w:p>
        </w:tc>
        <w:tc>
          <w:tcPr>
            <w:tcW w:w="1742" w:type="dxa"/>
            <w:vAlign w:val="center"/>
          </w:tcPr>
          <w:p w14:paraId="1A10B110">
            <w:pPr>
              <w:adjustRightInd w:val="0"/>
              <w:snapToGrid w:val="0"/>
              <w:jc w:val="left"/>
              <w:rPr>
                <w:rFonts w:ascii="宋体" w:hAnsi="宋体"/>
                <w:color w:val="auto"/>
                <w:szCs w:val="21"/>
                <w:highlight w:val="none"/>
              </w:rPr>
            </w:pPr>
            <w:r>
              <w:rPr>
                <w:rFonts w:hint="eastAsia" w:ascii="宋体" w:hAnsi="宋体"/>
                <w:color w:val="auto"/>
                <w:szCs w:val="21"/>
                <w:highlight w:val="none"/>
              </w:rPr>
              <w:t>迟延交付赔偿费</w:t>
            </w:r>
          </w:p>
        </w:tc>
        <w:tc>
          <w:tcPr>
            <w:tcW w:w="5170" w:type="dxa"/>
            <w:vAlign w:val="center"/>
          </w:tcPr>
          <w:p w14:paraId="397E4725">
            <w:pPr>
              <w:adjustRightInd w:val="0"/>
              <w:snapToGrid w:val="0"/>
              <w:jc w:val="left"/>
              <w:rPr>
                <w:rFonts w:ascii="宋体" w:hAnsi="宋体"/>
                <w:color w:val="auto"/>
                <w:szCs w:val="21"/>
                <w:highlight w:val="none"/>
                <w:u w:val="single"/>
              </w:rPr>
            </w:pPr>
          </w:p>
        </w:tc>
      </w:tr>
      <w:tr w14:paraId="638037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BC370D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C317A0D">
            <w:pPr>
              <w:adjustRightInd w:val="0"/>
              <w:snapToGrid w:val="0"/>
              <w:jc w:val="center"/>
              <w:rPr>
                <w:rFonts w:ascii="宋体" w:hAnsi="宋体"/>
                <w:color w:val="auto"/>
                <w:szCs w:val="21"/>
                <w:highlight w:val="none"/>
              </w:rPr>
            </w:pPr>
            <w:r>
              <w:rPr>
                <w:rFonts w:hint="eastAsia" w:ascii="宋体" w:hAnsi="宋体"/>
                <w:color w:val="auto"/>
                <w:szCs w:val="21"/>
                <w:highlight w:val="none"/>
              </w:rPr>
              <w:t>第14.3款</w:t>
            </w:r>
          </w:p>
        </w:tc>
        <w:tc>
          <w:tcPr>
            <w:tcW w:w="1742" w:type="dxa"/>
            <w:vAlign w:val="center"/>
          </w:tcPr>
          <w:p w14:paraId="24696DB3">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71AB2077">
            <w:pPr>
              <w:adjustRightInd w:val="0"/>
              <w:snapToGrid w:val="0"/>
              <w:jc w:val="left"/>
              <w:rPr>
                <w:rFonts w:ascii="宋体" w:hAnsi="宋体"/>
                <w:color w:val="auto"/>
                <w:szCs w:val="21"/>
                <w:highlight w:val="none"/>
                <w:u w:val="single"/>
              </w:rPr>
            </w:pPr>
          </w:p>
        </w:tc>
      </w:tr>
      <w:tr w14:paraId="6FF2F2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093B624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B1CA475">
            <w:pPr>
              <w:adjustRightInd w:val="0"/>
              <w:snapToGrid w:val="0"/>
              <w:jc w:val="center"/>
              <w:rPr>
                <w:rFonts w:ascii="宋体" w:hAnsi="宋体"/>
                <w:color w:val="auto"/>
                <w:szCs w:val="21"/>
                <w:highlight w:val="none"/>
              </w:rPr>
            </w:pPr>
            <w:r>
              <w:rPr>
                <w:rFonts w:hint="eastAsia" w:ascii="宋体" w:hAnsi="宋体"/>
                <w:color w:val="auto"/>
                <w:szCs w:val="21"/>
                <w:highlight w:val="none"/>
              </w:rPr>
              <w:t>第14.4款</w:t>
            </w:r>
          </w:p>
        </w:tc>
        <w:tc>
          <w:tcPr>
            <w:tcW w:w="1742" w:type="dxa"/>
            <w:tcBorders>
              <w:left w:val="single" w:color="auto" w:sz="2" w:space="0"/>
              <w:bottom w:val="single" w:color="auto" w:sz="2" w:space="0"/>
              <w:right w:val="single" w:color="auto" w:sz="2" w:space="0"/>
            </w:tcBorders>
            <w:vAlign w:val="center"/>
          </w:tcPr>
          <w:p w14:paraId="332F6626">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3264BA58">
            <w:pPr>
              <w:adjustRightInd w:val="0"/>
              <w:snapToGrid w:val="0"/>
              <w:jc w:val="left"/>
              <w:rPr>
                <w:rFonts w:ascii="宋体" w:hAnsi="宋体"/>
                <w:color w:val="auto"/>
                <w:szCs w:val="21"/>
                <w:highlight w:val="none"/>
                <w:u w:val="single"/>
              </w:rPr>
            </w:pPr>
          </w:p>
        </w:tc>
      </w:tr>
      <w:tr w14:paraId="58BB6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588A8D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E5337EC">
            <w:pPr>
              <w:adjustRightInd w:val="0"/>
              <w:snapToGrid w:val="0"/>
              <w:jc w:val="center"/>
              <w:rPr>
                <w:rFonts w:ascii="宋体" w:hAnsi="宋体"/>
                <w:color w:val="auto"/>
                <w:szCs w:val="21"/>
                <w:highlight w:val="none"/>
              </w:rPr>
            </w:pPr>
            <w:r>
              <w:rPr>
                <w:rFonts w:hint="eastAsia" w:ascii="宋体" w:hAnsi="宋体"/>
                <w:color w:val="auto"/>
                <w:szCs w:val="21"/>
                <w:highlight w:val="none"/>
              </w:rPr>
              <w:t>第18.2款</w:t>
            </w:r>
          </w:p>
        </w:tc>
        <w:tc>
          <w:tcPr>
            <w:tcW w:w="1742" w:type="dxa"/>
            <w:tcBorders>
              <w:top w:val="single" w:color="auto" w:sz="2" w:space="0"/>
              <w:left w:val="single" w:color="auto" w:sz="2" w:space="0"/>
              <w:right w:val="single" w:color="auto" w:sz="2" w:space="0"/>
            </w:tcBorders>
            <w:vAlign w:val="center"/>
          </w:tcPr>
          <w:p w14:paraId="7C05D237">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72D7C5D9">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1A0BF9C9">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2153734D">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655B1E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0E77649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88D32CC">
            <w:pPr>
              <w:adjustRightInd w:val="0"/>
              <w:snapToGrid w:val="0"/>
              <w:jc w:val="center"/>
              <w:rPr>
                <w:rFonts w:ascii="宋体" w:hAnsi="宋体"/>
                <w:color w:val="auto"/>
                <w:szCs w:val="21"/>
                <w:highlight w:val="none"/>
              </w:rPr>
            </w:pPr>
            <w:r>
              <w:rPr>
                <w:rFonts w:hint="eastAsia" w:ascii="宋体" w:hAnsi="宋体"/>
                <w:color w:val="auto"/>
                <w:szCs w:val="21"/>
                <w:highlight w:val="none"/>
              </w:rPr>
              <w:t>第22.1款</w:t>
            </w:r>
          </w:p>
        </w:tc>
        <w:tc>
          <w:tcPr>
            <w:tcW w:w="1742" w:type="dxa"/>
            <w:vAlign w:val="center"/>
          </w:tcPr>
          <w:p w14:paraId="7AEF5B80">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14:paraId="4DA5D903">
            <w:pPr>
              <w:adjustRightInd w:val="0"/>
              <w:snapToGrid w:val="0"/>
              <w:jc w:val="left"/>
              <w:rPr>
                <w:rFonts w:ascii="宋体" w:hAnsi="宋体"/>
                <w:color w:val="auto"/>
                <w:szCs w:val="21"/>
                <w:highlight w:val="none"/>
              </w:rPr>
            </w:pPr>
          </w:p>
        </w:tc>
      </w:tr>
    </w:tbl>
    <w:p w14:paraId="0CA7B8A3">
      <w:pPr>
        <w:rPr>
          <w:color w:val="auto"/>
          <w:highlight w:val="none"/>
        </w:rPr>
      </w:pPr>
    </w:p>
    <w:p w14:paraId="1CF27FFE">
      <w:pPr>
        <w:rPr>
          <w:color w:val="auto"/>
          <w:highlight w:val="none"/>
        </w:rPr>
      </w:pPr>
      <w:r>
        <w:rPr>
          <w:color w:val="auto"/>
          <w:highlight w:val="none"/>
        </w:rPr>
        <w:br w:type="page"/>
      </w:r>
    </w:p>
    <w:p w14:paraId="4DF0103D">
      <w:pPr>
        <w:pStyle w:val="2"/>
        <w:spacing w:after="0"/>
        <w:jc w:val="center"/>
        <w:rPr>
          <w:rFonts w:ascii="宋体" w:hAnsi="宋体" w:cs="宋体"/>
          <w:b/>
          <w:bCs/>
          <w:color w:val="auto"/>
          <w:spacing w:val="-20"/>
          <w:kern w:val="44"/>
          <w:sz w:val="48"/>
          <w:szCs w:val="48"/>
          <w:highlight w:val="none"/>
        </w:rPr>
      </w:pPr>
      <w:bookmarkStart w:id="129" w:name="_Toc3995"/>
    </w:p>
    <w:p w14:paraId="11C91BA1">
      <w:pPr>
        <w:pStyle w:val="2"/>
        <w:spacing w:after="0"/>
        <w:jc w:val="center"/>
        <w:rPr>
          <w:rFonts w:ascii="宋体" w:hAnsi="宋体" w:cs="宋体"/>
          <w:b/>
          <w:bCs/>
          <w:color w:val="auto"/>
          <w:spacing w:val="-20"/>
          <w:kern w:val="44"/>
          <w:sz w:val="48"/>
          <w:szCs w:val="48"/>
          <w:highlight w:val="none"/>
        </w:rPr>
      </w:pPr>
    </w:p>
    <w:p w14:paraId="14CBB755">
      <w:pPr>
        <w:pStyle w:val="2"/>
        <w:spacing w:after="0"/>
        <w:jc w:val="both"/>
        <w:rPr>
          <w:rFonts w:ascii="宋体" w:hAnsi="宋体" w:cs="宋体"/>
          <w:b/>
          <w:bCs/>
          <w:color w:val="auto"/>
          <w:spacing w:val="-20"/>
          <w:kern w:val="44"/>
          <w:sz w:val="48"/>
          <w:szCs w:val="48"/>
          <w:highlight w:val="none"/>
        </w:rPr>
      </w:pPr>
    </w:p>
    <w:p w14:paraId="6F406843">
      <w:pPr>
        <w:spacing w:line="360" w:lineRule="auto"/>
        <w:ind w:firstLine="884" w:firstLineChars="200"/>
        <w:jc w:val="center"/>
        <w:rPr>
          <w:rFonts w:ascii="宋体" w:hAnsi="宋体" w:eastAsia="仿宋" w:cs="宋体"/>
          <w:b/>
          <w:bCs/>
          <w:color w:val="auto"/>
          <w:spacing w:val="-20"/>
          <w:kern w:val="44"/>
          <w:sz w:val="48"/>
          <w:szCs w:val="48"/>
          <w:highlight w:val="none"/>
        </w:rPr>
      </w:pPr>
      <w:bookmarkStart w:id="148" w:name="_GoBack"/>
      <w:bookmarkEnd w:id="148"/>
    </w:p>
    <w:p w14:paraId="4768DF73">
      <w:pPr>
        <w:spacing w:line="360" w:lineRule="auto"/>
        <w:ind w:firstLine="2651" w:firstLineChars="600"/>
        <w:rPr>
          <w:rFonts w:ascii="宋体" w:hAnsi="宋体" w:eastAsia="仿宋" w:cs="宋体"/>
          <w:b/>
          <w:bCs/>
          <w:color w:val="auto"/>
          <w:spacing w:val="-20"/>
          <w:kern w:val="44"/>
          <w:sz w:val="48"/>
          <w:szCs w:val="48"/>
          <w:highlight w:val="none"/>
        </w:rPr>
      </w:pPr>
      <w:r>
        <w:rPr>
          <w:rFonts w:hint="eastAsia" w:ascii="宋体" w:hAnsi="宋体" w:eastAsia="仿宋" w:cs="宋体"/>
          <w:b/>
          <w:bCs/>
          <w:color w:val="auto"/>
          <w:spacing w:val="-20"/>
          <w:kern w:val="44"/>
          <w:sz w:val="48"/>
          <w:szCs w:val="48"/>
          <w:highlight w:val="none"/>
        </w:rPr>
        <w:t>政府采购服务买卖合同</w:t>
      </w:r>
    </w:p>
    <w:p w14:paraId="3E8C5F0B">
      <w:pPr>
        <w:spacing w:line="360" w:lineRule="auto"/>
        <w:ind w:firstLine="3977" w:firstLineChars="900"/>
        <w:rPr>
          <w:rFonts w:ascii="宋体" w:hAnsi="宋体" w:eastAsia="仿宋" w:cs="宋体"/>
          <w:b/>
          <w:bCs/>
          <w:color w:val="auto"/>
          <w:spacing w:val="-20"/>
          <w:kern w:val="44"/>
          <w:sz w:val="48"/>
          <w:szCs w:val="48"/>
          <w:highlight w:val="none"/>
        </w:rPr>
      </w:pPr>
      <w:r>
        <w:rPr>
          <w:rFonts w:hint="eastAsia" w:ascii="宋体" w:hAnsi="宋体" w:eastAsia="仿宋" w:cs="宋体"/>
          <w:b/>
          <w:bCs/>
          <w:color w:val="auto"/>
          <w:spacing w:val="-20"/>
          <w:kern w:val="44"/>
          <w:sz w:val="48"/>
          <w:szCs w:val="48"/>
          <w:highlight w:val="none"/>
        </w:rPr>
        <w:t>（试行）</w:t>
      </w:r>
    </w:p>
    <w:p w14:paraId="13732CC5">
      <w:pPr>
        <w:rPr>
          <w:rFonts w:ascii="宋体" w:hAnsi="宋体" w:cs="宋体"/>
          <w:b/>
          <w:bCs/>
          <w:color w:val="auto"/>
          <w:spacing w:val="-20"/>
          <w:kern w:val="44"/>
          <w:sz w:val="40"/>
          <w:szCs w:val="40"/>
          <w:highlight w:val="none"/>
        </w:rPr>
      </w:pPr>
    </w:p>
    <w:p w14:paraId="4539DBD5">
      <w:pPr>
        <w:rPr>
          <w:rFonts w:ascii="宋体" w:hAnsi="宋体" w:cs="宋体"/>
          <w:b/>
          <w:bCs/>
          <w:color w:val="auto"/>
          <w:spacing w:val="-20"/>
          <w:kern w:val="44"/>
          <w:sz w:val="40"/>
          <w:szCs w:val="40"/>
          <w:highlight w:val="none"/>
        </w:rPr>
      </w:pPr>
    </w:p>
    <w:p w14:paraId="396A4768">
      <w:pPr>
        <w:rPr>
          <w:rFonts w:ascii="宋体" w:hAnsi="宋体" w:cs="宋体"/>
          <w:b/>
          <w:bCs/>
          <w:color w:val="auto"/>
          <w:spacing w:val="-20"/>
          <w:kern w:val="44"/>
          <w:sz w:val="40"/>
          <w:szCs w:val="40"/>
          <w:highlight w:val="none"/>
        </w:rPr>
      </w:pPr>
    </w:p>
    <w:p w14:paraId="51D54155">
      <w:pPr>
        <w:spacing w:line="360" w:lineRule="auto"/>
        <w:ind w:left="420" w:leftChars="200"/>
        <w:rPr>
          <w:color w:val="auto"/>
          <w:sz w:val="32"/>
          <w:szCs w:val="32"/>
          <w:highlight w:val="none"/>
          <w:u w:val="singl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市属单位2026年度通信链路服务租用项目</w:t>
      </w:r>
    </w:p>
    <w:p w14:paraId="7E72D710">
      <w:pPr>
        <w:spacing w:line="360" w:lineRule="auto"/>
        <w:ind w:left="420" w:leftChars="200"/>
        <w:rPr>
          <w:color w:val="auto"/>
          <w:sz w:val="32"/>
          <w:szCs w:val="32"/>
          <w:highlight w:val="none"/>
        </w:rPr>
      </w:pPr>
      <w:r>
        <w:rPr>
          <w:rFonts w:hint="eastAsia"/>
          <w:color w:val="auto"/>
          <w:sz w:val="32"/>
          <w:szCs w:val="32"/>
          <w:highlight w:val="none"/>
          <w:u w:val="single"/>
        </w:rPr>
        <w:t>二标段（市属单位备用有线链路及固网通信服务租用项目）</w:t>
      </w:r>
    </w:p>
    <w:p w14:paraId="4DCD1ED2">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5F9DEFE0">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乌鲁木齐市公安局     </w:t>
      </w:r>
    </w:p>
    <w:p w14:paraId="160A646F">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07D2F6E4">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1FE5B196">
      <w:pPr>
        <w:rPr>
          <w:color w:val="auto"/>
          <w:szCs w:val="24"/>
          <w:highlight w:val="none"/>
        </w:rPr>
      </w:pPr>
    </w:p>
    <w:p w14:paraId="4A4EEE64">
      <w:pPr>
        <w:rPr>
          <w:rFonts w:eastAsia="黑体"/>
          <w:color w:val="auto"/>
          <w:sz w:val="44"/>
          <w:szCs w:val="44"/>
          <w:highlight w:val="none"/>
        </w:rPr>
      </w:pPr>
      <w:r>
        <w:rPr>
          <w:rFonts w:eastAsia="黑体"/>
          <w:color w:val="auto"/>
          <w:sz w:val="44"/>
          <w:szCs w:val="44"/>
          <w:highlight w:val="none"/>
        </w:rPr>
        <w:br w:type="page"/>
      </w:r>
    </w:p>
    <w:p w14:paraId="04C7B189">
      <w:pPr>
        <w:rPr>
          <w:rFonts w:eastAsia="黑体"/>
          <w:color w:val="auto"/>
          <w:sz w:val="44"/>
          <w:szCs w:val="44"/>
          <w:highlight w:val="none"/>
        </w:rPr>
      </w:pPr>
    </w:p>
    <w:p w14:paraId="6CDCE286">
      <w:pPr>
        <w:rPr>
          <w:rFonts w:eastAsia="黑体"/>
          <w:color w:val="auto"/>
          <w:sz w:val="44"/>
          <w:szCs w:val="44"/>
          <w:highlight w:val="none"/>
        </w:rPr>
      </w:pPr>
    </w:p>
    <w:p w14:paraId="4E396E83">
      <w:pPr>
        <w:jc w:val="center"/>
        <w:rPr>
          <w:rFonts w:eastAsia="黑体"/>
          <w:color w:val="auto"/>
          <w:sz w:val="44"/>
          <w:szCs w:val="44"/>
          <w:highlight w:val="none"/>
        </w:rPr>
      </w:pPr>
      <w:r>
        <w:rPr>
          <w:rFonts w:hint="eastAsia" w:eastAsia="黑体"/>
          <w:color w:val="auto"/>
          <w:sz w:val="44"/>
          <w:szCs w:val="44"/>
          <w:highlight w:val="none"/>
        </w:rPr>
        <w:t>使 用 说 明</w:t>
      </w:r>
    </w:p>
    <w:p w14:paraId="4DD48424">
      <w:pPr>
        <w:ind w:firstLine="640" w:firstLineChars="200"/>
        <w:rPr>
          <w:rFonts w:ascii="仿宋_GB2312" w:hAnsi="仿宋_GB2312" w:eastAsia="仿宋_GB2312" w:cs="仿宋_GB2312"/>
          <w:color w:val="auto"/>
          <w:sz w:val="32"/>
          <w:szCs w:val="32"/>
          <w:highlight w:val="none"/>
        </w:rPr>
      </w:pPr>
    </w:p>
    <w:p w14:paraId="3A2BA363">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1.本合同标准文本适用于购买现成服务的采购项目，不包括需要供应商定制开发、创新研发的服务采购项目。</w:t>
      </w:r>
    </w:p>
    <w:p w14:paraId="5FCC46E8">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2.本合同标准文本为政府采购服务买卖合同编制提供参考，可以结合采购项目具体情况，对文本作必要的调整修订后使用。</w:t>
      </w:r>
    </w:p>
    <w:p w14:paraId="16995490">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3.本合同标准文本各条款中，如涉及填写多家供应商、服务提供方，多种采购标的、分包主要内容等信息的，可根据采购项目具体情况添加信息项。</w:t>
      </w:r>
    </w:p>
    <w:p w14:paraId="051F4C53">
      <w:pPr>
        <w:ind w:firstLine="880" w:firstLineChars="200"/>
        <w:rPr>
          <w:rFonts w:eastAsia="黑体"/>
          <w:color w:val="auto"/>
          <w:sz w:val="44"/>
          <w:szCs w:val="44"/>
          <w:highlight w:val="none"/>
        </w:rPr>
        <w:sectPr>
          <w:headerReference r:id="rId6" w:type="default"/>
          <w:footerReference r:id="rId7" w:type="default"/>
          <w:pgSz w:w="11906" w:h="16838"/>
          <w:pgMar w:top="1440" w:right="1080" w:bottom="1440" w:left="1080" w:header="851" w:footer="992" w:gutter="0"/>
          <w:cols w:space="425" w:num="1"/>
          <w:docGrid w:type="lines" w:linePitch="312" w:charSpace="0"/>
        </w:sectPr>
      </w:pPr>
    </w:p>
    <w:p w14:paraId="306DC211">
      <w:pPr>
        <w:keepNext/>
        <w:keepLines/>
        <w:adjustRightInd w:val="0"/>
        <w:snapToGrid w:val="0"/>
        <w:spacing w:before="260" w:after="260" w:line="400" w:lineRule="exact"/>
        <w:ind w:firstLine="562"/>
        <w:jc w:val="center"/>
        <w:outlineLvl w:val="1"/>
        <w:rPr>
          <w:rFonts w:ascii="黑体" w:hAnsi="黑体" w:eastAsia="黑体"/>
          <w:b/>
          <w:bCs/>
          <w:color w:val="auto"/>
          <w:sz w:val="28"/>
          <w:szCs w:val="28"/>
          <w:highlight w:val="none"/>
        </w:rPr>
      </w:pPr>
    </w:p>
    <w:p w14:paraId="77194488">
      <w:pPr>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第一节 政府采购合同协议书</w:t>
      </w:r>
    </w:p>
    <w:p w14:paraId="53795E3B">
      <w:pPr>
        <w:keepNext/>
        <w:keepLines/>
        <w:adjustRightInd w:val="0"/>
        <w:snapToGrid w:val="0"/>
        <w:spacing w:before="260" w:after="260" w:line="400" w:lineRule="exact"/>
        <w:ind w:firstLine="560"/>
        <w:jc w:val="center"/>
        <w:outlineLvl w:val="1"/>
        <w:rPr>
          <w:rFonts w:ascii="黑体" w:hAnsi="华文中宋" w:eastAsia="黑体"/>
          <w:color w:val="auto"/>
          <w:sz w:val="28"/>
          <w:szCs w:val="28"/>
          <w:highlight w:val="none"/>
        </w:rPr>
      </w:pPr>
    </w:p>
    <w:p w14:paraId="7F69484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乌鲁木齐市公安局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5651AF2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596CE9C0">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0E354653">
      <w:pPr>
        <w:adjustRightInd w:val="0"/>
        <w:snapToGrid w:val="0"/>
        <w:spacing w:line="400" w:lineRule="exact"/>
        <w:rPr>
          <w:rFonts w:ascii="宋体" w:hAnsi="宋体"/>
          <w:color w:val="auto"/>
          <w:szCs w:val="21"/>
          <w:highlight w:val="none"/>
        </w:rPr>
      </w:pPr>
      <w:r>
        <w:rPr>
          <w:rFonts w:hint="eastAsia"/>
          <w:color w:val="auto"/>
          <w:szCs w:val="24"/>
          <w:highlight w:val="none"/>
        </w:rPr>
        <w:t>乙方</w:t>
      </w:r>
      <w:r>
        <w:rPr>
          <w:rFonts w:hint="eastAsia" w:ascii="宋体" w:hAnsi="宋体"/>
          <w:color w:val="auto"/>
          <w:szCs w:val="21"/>
          <w:highlight w:val="none"/>
        </w:rPr>
        <w:t>3</w:t>
      </w:r>
      <w:r>
        <w:rPr>
          <w:rFonts w:hint="eastAsia"/>
          <w:color w:val="auto"/>
          <w:szCs w:val="24"/>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76E2B7BE">
      <w:pPr>
        <w:spacing w:line="400" w:lineRule="exact"/>
        <w:rPr>
          <w:color w:val="auto"/>
          <w:szCs w:val="24"/>
          <w:highlight w:val="none"/>
        </w:rPr>
      </w:pPr>
    </w:p>
    <w:p w14:paraId="6558E2D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B805EEF">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00923184">
      <w:pPr>
        <w:numPr>
          <w:ilvl w:val="255"/>
          <w:numId w:val="0"/>
        </w:numPr>
        <w:adjustRightInd w:val="0"/>
        <w:snapToGrid w:val="0"/>
        <w:spacing w:after="120" w:line="400" w:lineRule="exact"/>
        <w:ind w:left="420" w:leftChars="200"/>
        <w:rPr>
          <w:rFonts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市属单位2026年度通信链路服务租用项目二标段（市属单位备用有线链路及固网通信服务租用项目）</w:t>
      </w:r>
    </w:p>
    <w:p w14:paraId="3F748052">
      <w:pPr>
        <w:numPr>
          <w:ilvl w:val="255"/>
          <w:numId w:val="0"/>
        </w:numPr>
        <w:adjustRightInd w:val="0"/>
        <w:snapToGrid w:val="0"/>
        <w:spacing w:line="400" w:lineRule="exact"/>
        <w:ind w:left="420" w:leftChars="200"/>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05C2325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【2026】1233号</w:t>
      </w:r>
      <w:r>
        <w:rPr>
          <w:rFonts w:ascii="宋体" w:hAnsi="宋体"/>
          <w:color w:val="auto"/>
          <w:szCs w:val="21"/>
          <w:highlight w:val="none"/>
          <w:u w:val="single"/>
        </w:rPr>
        <w:t xml:space="preserve">  </w:t>
      </w:r>
      <w:r>
        <w:rPr>
          <w:rFonts w:ascii="宋体" w:hAnsi="宋体"/>
          <w:color w:val="auto"/>
          <w:szCs w:val="21"/>
          <w:highlight w:val="none"/>
        </w:rPr>
        <w:t xml:space="preserve"> </w:t>
      </w:r>
    </w:p>
    <w:p w14:paraId="5F6F3C2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25FF147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采购标的及数量（项/次/年/批等）：</w:t>
      </w:r>
      <w:r>
        <w:rPr>
          <w:rFonts w:hint="eastAsia" w:ascii="宋体" w:hAnsi="宋体"/>
          <w:color w:val="auto"/>
          <w:szCs w:val="21"/>
          <w:highlight w:val="none"/>
          <w:u w:val="single"/>
        </w:rPr>
        <w:t xml:space="preserve">  该标段主要为市公安局各单位有线备用链路共计532条（包括市局各单位备用有线链路38条，互联网链路42条、移动警务专网46条、语音专线11条、350M专线68条，全局外线电话300条、卫星电话专线18条）。  </w:t>
      </w:r>
      <w:r>
        <w:rPr>
          <w:rFonts w:hint="eastAsia" w:ascii="宋体" w:hAnsi="宋体"/>
          <w:color w:val="auto"/>
          <w:szCs w:val="21"/>
          <w:highlight w:val="none"/>
        </w:rPr>
        <w:t xml:space="preserve"> </w:t>
      </w:r>
    </w:p>
    <w:p w14:paraId="0D7E031C">
      <w:pPr>
        <w:numPr>
          <w:ilvl w:val="255"/>
          <w:numId w:val="0"/>
        </w:num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服务提供方：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p>
    <w:p w14:paraId="7E740E8B">
      <w:pPr>
        <w:adjustRightInd w:val="0"/>
        <w:snapToGrid w:val="0"/>
        <w:spacing w:line="400" w:lineRule="exact"/>
        <w:ind w:firstLine="945" w:firstLineChars="450"/>
        <w:rPr>
          <w:rFonts w:ascii="宋体" w:hAnsi="宋体" w:cs="宋体"/>
          <w:color w:val="auto"/>
          <w:szCs w:val="21"/>
          <w:highlight w:val="none"/>
        </w:rPr>
      </w:pPr>
      <w:r>
        <w:rPr>
          <w:rFonts w:hint="eastAsia" w:ascii="宋体" w:hAnsi="宋体"/>
          <w:color w:val="auto"/>
          <w:szCs w:val="21"/>
          <w:highlight w:val="none"/>
        </w:rPr>
        <w:t>采购标的的技术要求、商务要求具体见附件。</w:t>
      </w:r>
    </w:p>
    <w:p w14:paraId="49965420">
      <w:pPr>
        <w:numPr>
          <w:ilvl w:val="255"/>
          <w:numId w:val="0"/>
        </w:numPr>
        <w:autoSpaceDE w:val="0"/>
        <w:autoSpaceDN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lang w:val="en"/>
        </w:rPr>
        <w:t>4</w:t>
      </w:r>
      <w:r>
        <w:rPr>
          <w:rFonts w:hint="eastAsia" w:ascii="宋体" w:hAnsi="宋体" w:cs="宋体"/>
          <w:color w:val="auto"/>
          <w:szCs w:val="21"/>
          <w:highlight w:val="none"/>
        </w:rPr>
        <w:t xml:space="preserve">）政府采购组织形式：√政府集中采购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部门集中采购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分散采购</w:t>
      </w:r>
    </w:p>
    <w:p w14:paraId="072026AE">
      <w:pPr>
        <w:numPr>
          <w:ilvl w:val="255"/>
          <w:numId w:val="0"/>
        </w:numPr>
        <w:autoSpaceDE w:val="0"/>
        <w:autoSpaceDN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5</w:t>
      </w:r>
      <w:r>
        <w:rPr>
          <w:rFonts w:hint="eastAsia" w:ascii="宋体" w:hAnsi="宋体" w:cs="宋体"/>
          <w:color w:val="auto"/>
          <w:szCs w:val="21"/>
          <w:highlight w:val="none"/>
        </w:rPr>
        <w:t xml:space="preserve">）政府采购方式：√公开招标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邀请招标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竞争性谈判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竞争性磋商</w:t>
      </w:r>
    </w:p>
    <w:p w14:paraId="5548AC5B">
      <w:pPr>
        <w:numPr>
          <w:ilvl w:val="255"/>
          <w:numId w:val="0"/>
        </w:numPr>
        <w:autoSpaceDE w:val="0"/>
        <w:autoSpaceDN w:val="0"/>
        <w:adjustRightInd w:val="0"/>
        <w:snapToGrid w:val="0"/>
        <w:spacing w:line="400" w:lineRule="exact"/>
        <w:ind w:firstLine="440" w:firstLineChars="200"/>
        <w:rPr>
          <w:rFonts w:ascii="宋体" w:hAnsi="宋体" w:cs="宋体"/>
          <w:color w:val="auto"/>
          <w:szCs w:val="21"/>
          <w:highlight w:val="none"/>
          <w:u w:val="single"/>
        </w:rPr>
      </w:pPr>
      <w:r>
        <w:rPr>
          <w:rFonts w:hint="eastAsia" w:ascii="宋体" w:hAnsi="宋体" w:eastAsia="华文楷体" w:cs="宋体"/>
          <w:color w:val="auto"/>
          <w:sz w:val="22"/>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询价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单一来源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框架协议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w:t>
      </w:r>
    </w:p>
    <w:p w14:paraId="4F5BECB0">
      <w:pPr>
        <w:numPr>
          <w:ilvl w:val="255"/>
          <w:numId w:val="0"/>
        </w:numPr>
        <w:autoSpaceDE w:val="0"/>
        <w:autoSpaceDN w:val="0"/>
        <w:adjustRightInd w:val="0"/>
        <w:snapToGrid w:val="0"/>
        <w:spacing w:line="400" w:lineRule="exact"/>
        <w:ind w:firstLine="220" w:firstLineChars="100"/>
        <w:rPr>
          <w:rFonts w:ascii="宋体" w:hAnsi="宋体"/>
          <w:color w:val="auto"/>
          <w:szCs w:val="21"/>
          <w:highlight w:val="none"/>
        </w:rPr>
      </w:pPr>
      <w:r>
        <w:rPr>
          <w:rFonts w:hint="eastAsia" w:ascii="宋体" w:hAnsi="宋体" w:eastAsia="华文楷体" w:cs="华文楷体"/>
          <w:color w:val="auto"/>
          <w:sz w:val="22"/>
          <w:szCs w:val="21"/>
          <w:highlight w:val="none"/>
        </w:rPr>
        <w:t xml:space="preserve"> （</w:t>
      </w:r>
      <w:r>
        <w:rPr>
          <w:rFonts w:ascii="宋体" w:hAnsi="宋体" w:eastAsia="华文楷体" w:cs="华文楷体"/>
          <w:color w:val="auto"/>
          <w:sz w:val="22"/>
          <w:szCs w:val="21"/>
          <w:highlight w:val="none"/>
          <w:lang w:val="en"/>
        </w:rPr>
        <w:t>6</w:t>
      </w:r>
      <w:r>
        <w:rPr>
          <w:rFonts w:hint="eastAsia" w:ascii="宋体" w:hAnsi="宋体" w:eastAsia="华文楷体" w:cs="华文楷体"/>
          <w:color w:val="auto"/>
          <w:sz w:val="22"/>
          <w:szCs w:val="21"/>
          <w:highlight w:val="none"/>
        </w:rPr>
        <w:t>）</w:t>
      </w:r>
      <w:r>
        <w:rPr>
          <w:rFonts w:hint="eastAsia" w:ascii="宋体" w:hAnsi="宋体"/>
          <w:color w:val="auto"/>
          <w:szCs w:val="21"/>
          <w:highlight w:val="none"/>
        </w:rPr>
        <w:t>中标（成交）采购标的制造商是否为中小企业：</w:t>
      </w: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color w:val="auto"/>
          <w:szCs w:val="21"/>
          <w:highlight w:val="none"/>
        </w:rPr>
        <w:t>否</w:t>
      </w:r>
    </w:p>
    <w:p w14:paraId="0EBBE49C">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cs="宋体"/>
          <w:color w:val="auto"/>
          <w:szCs w:val="24"/>
          <w:highlight w:val="none"/>
        </w:rPr>
        <w:t>√</w:t>
      </w:r>
      <w:r>
        <w:rPr>
          <w:rFonts w:hint="eastAsia" w:ascii="宋体" w:hAnsi="宋体"/>
          <w:iCs/>
          <w:color w:val="auto"/>
          <w:szCs w:val="21"/>
          <w:highlight w:val="none"/>
        </w:rPr>
        <w:t>否</w:t>
      </w:r>
    </w:p>
    <w:p w14:paraId="5CD19982">
      <w:pPr>
        <w:numPr>
          <w:ilvl w:val="255"/>
          <w:numId w:val="0"/>
        </w:numPr>
        <w:adjustRightInd w:val="0"/>
        <w:snapToGrid w:val="0"/>
        <w:spacing w:line="400" w:lineRule="exact"/>
        <w:rPr>
          <w:rFonts w:ascii="宋体" w:hAnsi="宋体"/>
          <w:iCs/>
          <w:color w:val="auto"/>
          <w:szCs w:val="21"/>
          <w:highlight w:val="none"/>
        </w:rPr>
      </w:pPr>
      <w:r>
        <w:rPr>
          <w:rFonts w:hint="eastAsia"/>
          <w:color w:val="auto"/>
          <w:szCs w:val="24"/>
          <w:highlight w:val="none"/>
        </w:rPr>
        <w:t xml:space="preserve">         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iCs/>
          <w:color w:val="auto"/>
          <w:szCs w:val="21"/>
          <w:highlight w:val="none"/>
        </w:rPr>
        <w:t>否</w:t>
      </w:r>
    </w:p>
    <w:p w14:paraId="1136A3EE">
      <w:pPr>
        <w:numPr>
          <w:ilvl w:val="255"/>
          <w:numId w:val="0"/>
        </w:numPr>
        <w:adjustRightInd w:val="0"/>
        <w:snapToGrid w:val="0"/>
        <w:spacing w:line="400" w:lineRule="exact"/>
        <w:rPr>
          <w:rFonts w:ascii="宋体" w:hAnsi="宋体"/>
          <w:iCs/>
          <w:color w:val="auto"/>
          <w:szCs w:val="21"/>
          <w:highlight w:val="none"/>
        </w:rPr>
      </w:pPr>
      <w:r>
        <w:rPr>
          <w:rFonts w:hint="eastAsia"/>
          <w:color w:val="auto"/>
          <w:szCs w:val="24"/>
          <w:highlight w:val="none"/>
        </w:rPr>
        <w:t xml:space="preserve">         中标（成交）采购标的承接方是否为残疾人福利性单位：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iCs/>
          <w:color w:val="auto"/>
          <w:szCs w:val="21"/>
          <w:highlight w:val="none"/>
        </w:rPr>
        <w:t>否</w:t>
      </w:r>
    </w:p>
    <w:p w14:paraId="4B95FEFB">
      <w:pPr>
        <w:snapToGrid w:val="0"/>
        <w:spacing w:line="400" w:lineRule="exact"/>
        <w:rPr>
          <w:color w:val="auto"/>
          <w:szCs w:val="24"/>
          <w:highlight w:val="none"/>
        </w:rPr>
      </w:pPr>
      <w:r>
        <w:rPr>
          <w:rFonts w:hint="eastAsia"/>
          <w:color w:val="auto"/>
          <w:szCs w:val="24"/>
          <w:highlight w:val="none"/>
        </w:rPr>
        <w:t xml:space="preserve">         中标（成交）采购标的承接方是否为监狱企业：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iCs/>
          <w:color w:val="auto"/>
          <w:szCs w:val="21"/>
          <w:highlight w:val="none"/>
        </w:rPr>
        <w:t>否</w:t>
      </w:r>
    </w:p>
    <w:p w14:paraId="3632BBA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cs="宋体"/>
          <w:color w:val="auto"/>
          <w:szCs w:val="24"/>
          <w:highlight w:val="none"/>
        </w:rPr>
        <w:t>√</w:t>
      </w:r>
      <w:r>
        <w:rPr>
          <w:rFonts w:hint="eastAsia" w:ascii="宋体" w:hAnsi="宋体"/>
          <w:iCs/>
          <w:color w:val="auto"/>
          <w:szCs w:val="21"/>
          <w:highlight w:val="none"/>
        </w:rPr>
        <w:t>否</w:t>
      </w:r>
    </w:p>
    <w:p w14:paraId="5093AD9E">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3DE9B363">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w:t>
      </w:r>
    </w:p>
    <w:p w14:paraId="5EA7E6C7">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726A7C2B">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w:t>
      </w:r>
    </w:p>
    <w:p w14:paraId="5560DE29">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2A8C79FE">
      <w:pPr>
        <w:adjustRightInd w:val="0"/>
        <w:snapToGrid w:val="0"/>
        <w:spacing w:line="400" w:lineRule="exact"/>
        <w:ind w:firstLine="840" w:firstLineChars="400"/>
        <w:rPr>
          <w:rFonts w:eastAsia="华文楷体"/>
          <w:color w:val="auto"/>
          <w:szCs w:val="24"/>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5B72CF7C">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color w:val="auto"/>
          <w:szCs w:val="24"/>
          <w:highlight w:val="none"/>
        </w:rPr>
        <w:t>√</w:t>
      </w:r>
      <w:r>
        <w:rPr>
          <w:rFonts w:hint="eastAsia" w:ascii="宋体" w:hAnsi="宋体" w:cs="宋体"/>
          <w:iCs/>
          <w:color w:val="auto"/>
          <w:szCs w:val="21"/>
          <w:highlight w:val="none"/>
        </w:rPr>
        <w:t>否</w:t>
      </w:r>
    </w:p>
    <w:p w14:paraId="49A3A71F">
      <w:pPr>
        <w:tabs>
          <w:tab w:val="left" w:pos="1340"/>
        </w:tabs>
        <w:autoSpaceDE w:val="0"/>
        <w:autoSpaceDN w:val="0"/>
        <w:adjustRightIn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外商投资企业类型：</w:t>
      </w:r>
      <w:r>
        <w:rPr>
          <w:rFonts w:hint="eastAsia" w:ascii="宋体" w:hAnsi="宋体" w:cs="宋体"/>
          <w:iCs/>
          <w:color w:val="auto"/>
          <w:szCs w:val="21"/>
          <w:highlight w:val="none"/>
        </w:rPr>
        <w:sym w:font="Wingdings" w:char="00A8"/>
      </w:r>
      <w:r>
        <w:rPr>
          <w:rFonts w:hint="eastAsia" w:ascii="宋体" w:hAnsi="宋体" w:cs="宋体"/>
          <w:color w:val="auto"/>
          <w:szCs w:val="21"/>
          <w:highlight w:val="none"/>
        </w:rPr>
        <w:t xml:space="preserve">全部由外国投资者投资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部分由外国投资者投资</w:t>
      </w:r>
    </w:p>
    <w:p w14:paraId="0A05F050">
      <w:pPr>
        <w:numPr>
          <w:ilvl w:val="255"/>
          <w:numId w:val="0"/>
        </w:numPr>
        <w:adjustRightInd w:val="0"/>
        <w:snapToGrid w:val="0"/>
        <w:spacing w:line="400" w:lineRule="exact"/>
        <w:rPr>
          <w:rFonts w:ascii="宋体" w:hAns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25C2796A">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s="宋体"/>
          <w:color w:val="auto"/>
          <w:szCs w:val="24"/>
          <w:highlight w:val="none"/>
        </w:rPr>
        <w:t>√</w:t>
      </w:r>
      <w:r>
        <w:rPr>
          <w:rFonts w:hint="eastAsia" w:ascii="宋体" w:hAnsi="宋体"/>
          <w:color w:val="auto"/>
          <w:szCs w:val="21"/>
          <w:highlight w:val="none"/>
        </w:rPr>
        <w:t>不涉及</w:t>
      </w:r>
    </w:p>
    <w:p w14:paraId="242BBBE2">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0DFC755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6E5BD216">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2075515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3DB4DC98">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2379893B">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68DFAEAF">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63CF33F9">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s="宋体"/>
          <w:color w:val="auto"/>
          <w:szCs w:val="24"/>
          <w:highlight w:val="none"/>
        </w:rPr>
        <w:t>√</w:t>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5A8B6CFA">
      <w:pPr>
        <w:spacing w:line="400" w:lineRule="exact"/>
        <w:ind w:firstLine="420" w:firstLineChars="200"/>
        <w:rPr>
          <w:rFonts w:ascii="Times New Roman" w:hAnsi="Times New Roman"/>
          <w:color w:val="auto"/>
          <w:szCs w:val="21"/>
          <w:highlight w:val="none"/>
        </w:rPr>
      </w:pPr>
      <w:r>
        <w:rPr>
          <w:rFonts w:hint="eastAsia" w:ascii="宋体" w:hAnsi="宋体"/>
          <w:color w:val="auto"/>
          <w:szCs w:val="21"/>
          <w:highlight w:val="none"/>
        </w:rPr>
        <w:t>（3）付款方式（按项目实际勾选填写）：</w:t>
      </w:r>
    </w:p>
    <w:p w14:paraId="4C739C14">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0C861C09">
      <w:pPr>
        <w:snapToGrid w:val="0"/>
        <w:spacing w:line="400" w:lineRule="exact"/>
        <w:ind w:firstLine="630" w:firstLineChars="300"/>
        <w:rPr>
          <w:color w:val="auto"/>
          <w:szCs w:val="24"/>
          <w:highlight w:val="none"/>
        </w:rPr>
      </w:pPr>
      <w:r>
        <w:rPr>
          <w:rFonts w:hint="eastAsia" w:ascii="宋体" w:hAnsi="宋体" w:cs="宋体"/>
          <w:color w:val="auto"/>
          <w:szCs w:val="24"/>
          <w:highlight w:val="none"/>
        </w:rPr>
        <w:t>√</w:t>
      </w:r>
      <w:r>
        <w:rPr>
          <w:rFonts w:hint="eastAsia" w:ascii="宋体" w:hAnsi="宋体"/>
          <w:color w:val="auto"/>
          <w:szCs w:val="21"/>
          <w:highlight w:val="none"/>
        </w:rPr>
        <w:t>分期付款：</w:t>
      </w:r>
      <w:r>
        <w:rPr>
          <w:rFonts w:hint="eastAsia" w:ascii="宋体" w:hAnsi="宋体"/>
          <w:color w:val="auto"/>
          <w:szCs w:val="21"/>
          <w:highlight w:val="none"/>
          <w:u w:val="single"/>
        </w:rPr>
        <w:t xml:space="preserve">  （1）合同签订后，项目采购人申请支付给中标单位合同总金额70%的预付款（具体以合同签订内容为主）；（2）合同到期前一个月，中标单位服务达到合同要求，经项目采购人验收确认，对停用、中断链路与中标方核对并核减费用后，申请支付给中标单位合同总金额30%的剩余尾款（具体以合同签订内容为主）</w:t>
      </w:r>
      <w:r>
        <w:rPr>
          <w:rFonts w:hint="eastAsia" w:ascii="宋体" w:hAnsi="宋体"/>
          <w:color w:val="auto"/>
          <w:szCs w:val="21"/>
          <w:highlight w:val="none"/>
        </w:rPr>
        <w:t>，其中涉及预付款的：</w:t>
      </w:r>
      <w:r>
        <w:rPr>
          <w:rFonts w:hint="eastAsia" w:ascii="宋体" w:hAnsi="宋体"/>
          <w:color w:val="auto"/>
          <w:szCs w:val="21"/>
          <w:highlight w:val="none"/>
          <w:u w:val="single"/>
        </w:rPr>
        <w:t>合同签订后，项目采购人申请支付给中标单位合同总金额70%。</w:t>
      </w:r>
    </w:p>
    <w:p w14:paraId="148FC02A">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33C200F1">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75DCF043">
      <w:pPr>
        <w:numPr>
          <w:ilvl w:val="0"/>
          <w:numId w:val="5"/>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3DA2ED74">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2027</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CD737BF">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乌鲁木齐市   </w:t>
      </w:r>
    </w:p>
    <w:p w14:paraId="2675A8CC">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szCs w:val="24"/>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4"/>
          <w:highlight w:val="none"/>
        </w:rPr>
        <w:t>√</w:t>
      </w:r>
      <w:r>
        <w:rPr>
          <w:rFonts w:hint="eastAsia" w:ascii="宋体" w:hAnsi="宋体" w:cs="宋体"/>
          <w:color w:val="auto"/>
          <w:szCs w:val="21"/>
          <w:highlight w:val="none"/>
        </w:rPr>
        <w:t>否</w:t>
      </w:r>
    </w:p>
    <w:p w14:paraId="3B55180B">
      <w:pPr>
        <w:autoSpaceDE w:val="0"/>
        <w:autoSpaceDN w:val="0"/>
        <w:adjustRightInd w:val="0"/>
        <w:spacing w:line="400" w:lineRule="exact"/>
        <w:ind w:firstLine="440" w:firstLineChars="200"/>
        <w:rPr>
          <w:rFonts w:ascii="宋体" w:hAnsi="宋体" w:cs="宋体"/>
          <w:color w:val="auto"/>
          <w:szCs w:val="21"/>
          <w:highlight w:val="none"/>
        </w:rPr>
      </w:pPr>
      <w:r>
        <w:rPr>
          <w:rFonts w:hint="eastAsia" w:ascii="宋体" w:hAnsi="宋体" w:eastAsia="华文楷体" w:cs="宋体"/>
          <w:bCs/>
          <w:color w:val="auto"/>
          <w:sz w:val="22"/>
          <w:szCs w:val="21"/>
          <w:highlight w:val="none"/>
        </w:rPr>
        <w:t xml:space="preserve">  </w:t>
      </w:r>
      <w:r>
        <w:rPr>
          <w:rFonts w:hint="eastAsia" w:ascii="宋体" w:hAnsi="宋体" w:cs="宋体"/>
          <w:color w:val="auto"/>
          <w:szCs w:val="21"/>
          <w:highlight w:val="none"/>
        </w:rPr>
        <w:t xml:space="preserve">  收取履约保证金形式：</w:t>
      </w:r>
      <w:r>
        <w:rPr>
          <w:rFonts w:hint="eastAsia" w:ascii="宋体" w:hAnsi="宋体" w:cs="宋体"/>
          <w:bCs/>
          <w:color w:val="auto"/>
          <w:szCs w:val="21"/>
          <w:highlight w:val="none"/>
          <w:u w:val="single"/>
        </w:rPr>
        <w:t xml:space="preserve">                            </w:t>
      </w:r>
    </w:p>
    <w:p w14:paraId="3B15E34D">
      <w:pPr>
        <w:autoSpaceDE w:val="0"/>
        <w:autoSpaceDN w:val="0"/>
        <w:adjustRightIn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收取履约保证金金额：</w:t>
      </w:r>
      <w:r>
        <w:rPr>
          <w:rFonts w:hint="eastAsia" w:ascii="宋体" w:hAnsi="宋体" w:cs="宋体"/>
          <w:bCs/>
          <w:color w:val="auto"/>
          <w:szCs w:val="21"/>
          <w:highlight w:val="none"/>
          <w:u w:val="single"/>
        </w:rPr>
        <w:t xml:space="preserve">                            </w:t>
      </w:r>
    </w:p>
    <w:p w14:paraId="3CC971A2">
      <w:pPr>
        <w:snapToGrid w:val="0"/>
        <w:spacing w:line="400" w:lineRule="exact"/>
        <w:ind w:firstLine="420" w:firstLineChars="200"/>
        <w:rPr>
          <w:rFonts w:ascii="宋体" w:hAnsi="宋体" w:cs="宋体"/>
          <w:color w:val="auto"/>
          <w:szCs w:val="24"/>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281BDC5A">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6B3F70FE">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0F50EF19">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14110095">
      <w:pPr>
        <w:numPr>
          <w:ilvl w:val="0"/>
          <w:numId w:val="7"/>
        </w:num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4"/>
          <w:highlight w:val="none"/>
        </w:rPr>
        <w:t>√</w:t>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50614F54">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48CC4D2A">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4"/>
          <w:highlight w:val="none"/>
        </w:rPr>
        <w:t>√</w:t>
      </w:r>
      <w:r>
        <w:rPr>
          <w:rFonts w:hint="eastAsia" w:ascii="宋体" w:hAnsi="宋体"/>
          <w:bCs/>
          <w:color w:val="auto"/>
          <w:szCs w:val="21"/>
          <w:highlight w:val="none"/>
        </w:rPr>
        <w:t>否</w:t>
      </w:r>
    </w:p>
    <w:p w14:paraId="0749DF05">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4"/>
          <w:highlight w:val="none"/>
        </w:rPr>
        <w:t>√</w:t>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76CEA48">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4"/>
          <w:highlight w:val="none"/>
        </w:rPr>
        <w:t>√</w:t>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43CDBC48">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4"/>
          <w:highlight w:val="none"/>
        </w:rPr>
        <w:t>√</w:t>
      </w:r>
      <w:r>
        <w:rPr>
          <w:rFonts w:hint="eastAsia" w:ascii="宋体" w:hAnsi="宋体"/>
          <w:bCs/>
          <w:color w:val="auto"/>
          <w:szCs w:val="21"/>
          <w:highlight w:val="none"/>
        </w:rPr>
        <w:t>否</w:t>
      </w:r>
    </w:p>
    <w:p w14:paraId="007BF9DE">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24FD0BB4">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（应明确对被破坏的检测服务成果的处理方式）</w:t>
      </w:r>
    </w:p>
    <w:p w14:paraId="1FF24645">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7D5333C">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1FE9EFC7">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31CFACC0">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4"/>
          <w:highlight w:val="none"/>
        </w:rPr>
        <w:t>√</w:t>
      </w:r>
      <w:r>
        <w:rPr>
          <w:rFonts w:hint="eastAsia" w:ascii="宋体" w:hAnsi="宋体"/>
          <w:bCs/>
          <w:color w:val="auto"/>
          <w:szCs w:val="21"/>
          <w:highlight w:val="none"/>
        </w:rPr>
        <w:t xml:space="preserve">一次性验收         </w:t>
      </w:r>
    </w:p>
    <w:p w14:paraId="7B0C79DB">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5FD9F36E">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7FE592BA">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3D3972F5">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452CD40B">
      <w:pPr>
        <w:autoSpaceDE w:val="0"/>
        <w:autoSpaceDN w:val="0"/>
        <w:adjustRightIn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（7）是否以采购活动中供应商提供的样品作为参考：</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13F1A6E">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p>
    <w:p w14:paraId="45ED1B80">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7F1261C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76C6057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793018F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2F3E8ED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6A43445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2F1059F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42414CE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5F40553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（7）有关技术文件、服务方案</w:t>
      </w:r>
    </w:p>
    <w:p w14:paraId="544DD00C">
      <w:pPr>
        <w:autoSpaceDE w:val="0"/>
        <w:autoSpaceDN w:val="0"/>
        <w:adjustRightIn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（8）国家法律、行政法规和规章制度规定或合同约定的作为合同组成部分的其他文件</w:t>
      </w:r>
    </w:p>
    <w:p w14:paraId="7FDBD165">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0B0AC95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项目中标之日起开始   </w:t>
      </w:r>
      <w:r>
        <w:rPr>
          <w:rFonts w:hint="eastAsia" w:ascii="宋体" w:hAnsi="宋体"/>
          <w:color w:val="auto"/>
          <w:szCs w:val="21"/>
          <w:highlight w:val="none"/>
        </w:rPr>
        <w:t>生效。</w:t>
      </w:r>
    </w:p>
    <w:p w14:paraId="4932817E">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5138526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陆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肆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贰  </w:t>
      </w:r>
      <w:r>
        <w:rPr>
          <w:rFonts w:hint="eastAsia" w:ascii="宋体" w:hAnsi="宋体"/>
          <w:color w:val="auto"/>
          <w:szCs w:val="21"/>
          <w:highlight w:val="none"/>
        </w:rPr>
        <w:t>份，均具有同等法律效力。</w:t>
      </w:r>
    </w:p>
    <w:p w14:paraId="3E60609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631931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乌鲁木齐市  </w:t>
      </w:r>
    </w:p>
    <w:p w14:paraId="23B6A6A9">
      <w:pPr>
        <w:adjustRightInd w:val="0"/>
        <w:snapToGrid w:val="0"/>
        <w:spacing w:line="400" w:lineRule="exact"/>
        <w:ind w:firstLine="420" w:firstLineChars="200"/>
        <w:rPr>
          <w:color w:val="auto"/>
          <w:szCs w:val="24"/>
          <w:highlight w:val="none"/>
        </w:rPr>
      </w:pPr>
      <w:r>
        <w:rPr>
          <w:rFonts w:hint="eastAsia" w:ascii="宋体" w:hAnsi="宋体"/>
          <w:color w:val="auto"/>
          <w:szCs w:val="21"/>
          <w:highlight w:val="none"/>
        </w:rPr>
        <w:t>附件：具体标的及其技术要求和商务要求、联合协议、分包意向协议等。</w:t>
      </w:r>
    </w:p>
    <w:p w14:paraId="5C0E3AD0">
      <w:pPr>
        <w:keepNext/>
        <w:keepLines/>
        <w:spacing w:before="260" w:after="260" w:line="400" w:lineRule="exact"/>
        <w:ind w:firstLine="482"/>
        <w:outlineLvl w:val="1"/>
        <w:rPr>
          <w:rFonts w:ascii="Calibri Light" w:hAnsi="Calibri Light"/>
          <w:b/>
          <w:bCs/>
          <w:color w:val="auto"/>
          <w:sz w:val="32"/>
          <w:szCs w:val="32"/>
          <w:highlight w:val="none"/>
        </w:rPr>
      </w:pP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354954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E638D12">
            <w:pPr>
              <w:adjustRightInd w:val="0"/>
              <w:snapToGrid w:val="0"/>
              <w:spacing w:line="300" w:lineRule="exact"/>
              <w:jc w:val="center"/>
              <w:rPr>
                <w:color w:val="auto"/>
                <w:szCs w:val="24"/>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19BFC9A4">
            <w:pPr>
              <w:adjustRightInd w:val="0"/>
              <w:snapToGrid w:val="0"/>
              <w:spacing w:line="300" w:lineRule="exact"/>
              <w:jc w:val="center"/>
              <w:rPr>
                <w:color w:val="auto"/>
                <w:szCs w:val="24"/>
                <w:highlight w:val="none"/>
              </w:rPr>
            </w:pPr>
            <w:r>
              <w:rPr>
                <w:color w:val="auto"/>
                <w:szCs w:val="21"/>
                <w:highlight w:val="none"/>
              </w:rPr>
              <w:t>乙方</w:t>
            </w:r>
            <w:r>
              <w:rPr>
                <w:rFonts w:hint="eastAsia"/>
                <w:color w:val="auto"/>
                <w:szCs w:val="21"/>
                <w:highlight w:val="none"/>
              </w:rPr>
              <w:t>（供应商）</w:t>
            </w:r>
          </w:p>
        </w:tc>
      </w:tr>
      <w:tr w14:paraId="3400BC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112A429">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3B59AA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09FE77">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42423DB8">
            <w:pPr>
              <w:adjustRightInd w:val="0"/>
              <w:snapToGrid w:val="0"/>
              <w:spacing w:line="300" w:lineRule="exact"/>
              <w:jc w:val="center"/>
              <w:rPr>
                <w:color w:val="auto"/>
                <w:spacing w:val="20"/>
                <w:szCs w:val="21"/>
                <w:highlight w:val="none"/>
              </w:rPr>
            </w:pPr>
          </w:p>
        </w:tc>
      </w:tr>
      <w:tr w14:paraId="196A8B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375940B">
            <w:pPr>
              <w:adjustRightInd w:val="0"/>
              <w:snapToGrid w:val="0"/>
              <w:spacing w:line="300" w:lineRule="exact"/>
              <w:jc w:val="center"/>
              <w:rPr>
                <w:color w:val="auto"/>
                <w:szCs w:val="21"/>
                <w:highlight w:val="none"/>
              </w:rPr>
            </w:pPr>
            <w:r>
              <w:rPr>
                <w:color w:val="auto"/>
                <w:szCs w:val="21"/>
                <w:highlight w:val="none"/>
              </w:rPr>
              <w:t>法定代表人</w:t>
            </w:r>
          </w:p>
          <w:p w14:paraId="032EB3D9">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74C9D01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1424EC48">
            <w:pPr>
              <w:adjustRightInd w:val="0"/>
              <w:snapToGrid w:val="0"/>
              <w:spacing w:line="300" w:lineRule="exact"/>
              <w:jc w:val="center"/>
              <w:rPr>
                <w:color w:val="auto"/>
                <w:szCs w:val="21"/>
                <w:highlight w:val="none"/>
              </w:rPr>
            </w:pPr>
            <w:r>
              <w:rPr>
                <w:color w:val="auto"/>
                <w:szCs w:val="21"/>
                <w:highlight w:val="none"/>
              </w:rPr>
              <w:t>法定代表人</w:t>
            </w:r>
          </w:p>
          <w:p w14:paraId="662624AC">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72BF0192">
            <w:pPr>
              <w:adjustRightInd w:val="0"/>
              <w:snapToGrid w:val="0"/>
              <w:spacing w:line="300" w:lineRule="exact"/>
              <w:jc w:val="center"/>
              <w:rPr>
                <w:color w:val="auto"/>
                <w:szCs w:val="21"/>
                <w:highlight w:val="none"/>
              </w:rPr>
            </w:pPr>
          </w:p>
        </w:tc>
      </w:tr>
      <w:tr w14:paraId="504B15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497E0C5">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06E2127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B17598">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492589D4">
            <w:pPr>
              <w:adjustRightInd w:val="0"/>
              <w:snapToGrid w:val="0"/>
              <w:spacing w:line="300" w:lineRule="exact"/>
              <w:jc w:val="center"/>
              <w:rPr>
                <w:color w:val="auto"/>
                <w:spacing w:val="20"/>
                <w:szCs w:val="21"/>
                <w:highlight w:val="none"/>
              </w:rPr>
            </w:pPr>
          </w:p>
        </w:tc>
      </w:tr>
      <w:tr w14:paraId="491836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A9FCD0">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10B1C8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C34EA1">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243AE0B9">
            <w:pPr>
              <w:adjustRightInd w:val="0"/>
              <w:snapToGrid w:val="0"/>
              <w:spacing w:line="300" w:lineRule="exact"/>
              <w:jc w:val="center"/>
              <w:rPr>
                <w:color w:val="auto"/>
                <w:spacing w:val="20"/>
                <w:szCs w:val="21"/>
                <w:highlight w:val="none"/>
              </w:rPr>
            </w:pPr>
          </w:p>
        </w:tc>
      </w:tr>
      <w:tr w14:paraId="333322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6AAB1B">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7973BA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9B49275">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4F37AE8E">
            <w:pPr>
              <w:adjustRightInd w:val="0"/>
              <w:snapToGrid w:val="0"/>
              <w:spacing w:line="300" w:lineRule="exact"/>
              <w:jc w:val="center"/>
              <w:rPr>
                <w:color w:val="auto"/>
                <w:spacing w:val="20"/>
                <w:szCs w:val="21"/>
                <w:highlight w:val="none"/>
              </w:rPr>
            </w:pPr>
          </w:p>
        </w:tc>
      </w:tr>
      <w:tr w14:paraId="5A991C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0E3DD3">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7B8369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E3C4742">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7028C98C">
            <w:pPr>
              <w:adjustRightInd w:val="0"/>
              <w:snapToGrid w:val="0"/>
              <w:spacing w:line="300" w:lineRule="exact"/>
              <w:jc w:val="center"/>
              <w:rPr>
                <w:color w:val="auto"/>
                <w:spacing w:val="20"/>
                <w:szCs w:val="21"/>
                <w:highlight w:val="none"/>
              </w:rPr>
            </w:pPr>
          </w:p>
        </w:tc>
      </w:tr>
      <w:tr w14:paraId="5E7DB1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CCEF00">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F8ECF6F">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3BBDB3">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1AC24941">
            <w:pPr>
              <w:adjustRightInd w:val="0"/>
              <w:snapToGrid w:val="0"/>
              <w:spacing w:line="300" w:lineRule="exact"/>
              <w:jc w:val="center"/>
              <w:rPr>
                <w:color w:val="auto"/>
                <w:spacing w:val="20"/>
                <w:szCs w:val="21"/>
                <w:highlight w:val="none"/>
              </w:rPr>
            </w:pPr>
          </w:p>
        </w:tc>
      </w:tr>
      <w:tr w14:paraId="19DFC6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DDEECD8">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D90ED2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8C076B">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31AD062">
            <w:pPr>
              <w:adjustRightInd w:val="0"/>
              <w:snapToGrid w:val="0"/>
              <w:spacing w:line="300" w:lineRule="exact"/>
              <w:jc w:val="center"/>
              <w:rPr>
                <w:color w:val="auto"/>
                <w:spacing w:val="20"/>
                <w:szCs w:val="21"/>
                <w:highlight w:val="none"/>
              </w:rPr>
            </w:pPr>
          </w:p>
        </w:tc>
      </w:tr>
      <w:tr w14:paraId="20280E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A36104">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385050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74767A">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76BFA981">
            <w:pPr>
              <w:adjustRightInd w:val="0"/>
              <w:snapToGrid w:val="0"/>
              <w:spacing w:line="300" w:lineRule="exact"/>
              <w:jc w:val="center"/>
              <w:rPr>
                <w:color w:val="auto"/>
                <w:spacing w:val="20"/>
                <w:szCs w:val="21"/>
                <w:highlight w:val="none"/>
              </w:rPr>
            </w:pPr>
          </w:p>
        </w:tc>
      </w:tr>
      <w:tr w14:paraId="788C07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C3006AA">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E81A84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E9F584">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2F85EAA">
            <w:pPr>
              <w:adjustRightInd w:val="0"/>
              <w:snapToGrid w:val="0"/>
              <w:spacing w:line="300" w:lineRule="exact"/>
              <w:jc w:val="center"/>
              <w:rPr>
                <w:color w:val="auto"/>
                <w:spacing w:val="20"/>
                <w:szCs w:val="21"/>
                <w:highlight w:val="none"/>
              </w:rPr>
            </w:pPr>
          </w:p>
        </w:tc>
      </w:tr>
      <w:tr w14:paraId="7C4757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66C8537">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616C2E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E0E447">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3526C30B">
            <w:pPr>
              <w:adjustRightInd w:val="0"/>
              <w:snapToGrid w:val="0"/>
              <w:spacing w:line="300" w:lineRule="exact"/>
              <w:jc w:val="center"/>
              <w:rPr>
                <w:color w:val="auto"/>
                <w:spacing w:val="20"/>
                <w:szCs w:val="21"/>
                <w:highlight w:val="none"/>
              </w:rPr>
            </w:pPr>
          </w:p>
        </w:tc>
      </w:tr>
      <w:tr w14:paraId="3CB69C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2EC6AE">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B1E336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9B643F7">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4E4B4F6B">
            <w:pPr>
              <w:adjustRightInd w:val="0"/>
              <w:snapToGrid w:val="0"/>
              <w:spacing w:line="300" w:lineRule="exact"/>
              <w:jc w:val="center"/>
              <w:rPr>
                <w:color w:val="auto"/>
                <w:spacing w:val="20"/>
                <w:szCs w:val="21"/>
                <w:highlight w:val="none"/>
              </w:rPr>
            </w:pPr>
          </w:p>
        </w:tc>
      </w:tr>
      <w:tr w14:paraId="508BD0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951EEF">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438865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9D4B17">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2941922D">
            <w:pPr>
              <w:adjustRightInd w:val="0"/>
              <w:snapToGrid w:val="0"/>
              <w:spacing w:line="300" w:lineRule="exact"/>
              <w:jc w:val="center"/>
              <w:rPr>
                <w:color w:val="auto"/>
                <w:spacing w:val="20"/>
                <w:szCs w:val="21"/>
                <w:highlight w:val="none"/>
              </w:rPr>
            </w:pPr>
          </w:p>
        </w:tc>
      </w:tr>
      <w:tr w14:paraId="420683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AFB1818">
            <w:pPr>
              <w:adjustRightInd w:val="0"/>
              <w:snapToGrid w:val="0"/>
              <w:spacing w:before="156" w:beforeLines="50" w:line="360" w:lineRule="auto"/>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78F8A8D6">
      <w:pPr>
        <w:keepNext/>
        <w:keepLines/>
        <w:adjustRightInd w:val="0"/>
        <w:snapToGrid w:val="0"/>
        <w:spacing w:before="156" w:beforeLines="50" w:after="260" w:line="416" w:lineRule="auto"/>
        <w:ind w:firstLine="422"/>
        <w:jc w:val="center"/>
        <w:outlineLvl w:val="1"/>
        <w:rPr>
          <w:rFonts w:ascii="黑体" w:hAnsi="黑体" w:eastAsia="黑体" w:cs="黑体"/>
          <w:color w:val="auto"/>
          <w:sz w:val="28"/>
          <w:szCs w:val="28"/>
          <w:highlight w:val="none"/>
        </w:rPr>
      </w:pPr>
      <w:r>
        <w:rPr>
          <w:rFonts w:ascii="宋体" w:hAnsi="宋体"/>
          <w:b/>
          <w:bCs/>
          <w:color w:val="auto"/>
          <w:szCs w:val="21"/>
          <w:highlight w:val="none"/>
          <w:u w:val="single"/>
        </w:rPr>
        <w:br w:type="page"/>
      </w:r>
      <w:r>
        <w:rPr>
          <w:rFonts w:hint="eastAsia" w:ascii="黑体" w:hAnsi="黑体" w:eastAsia="黑体" w:cs="黑体"/>
          <w:color w:val="auto"/>
          <w:sz w:val="28"/>
          <w:szCs w:val="28"/>
          <w:highlight w:val="none"/>
        </w:rPr>
        <w:t>第二节 政府采购合同通用条款</w:t>
      </w:r>
    </w:p>
    <w:p w14:paraId="56398F60">
      <w:pPr>
        <w:tabs>
          <w:tab w:val="left" w:pos="8820"/>
          <w:tab w:val="left" w:pos="9345"/>
          <w:tab w:val="left" w:pos="9765"/>
        </w:tabs>
        <w:adjustRightInd w:val="0"/>
        <w:snapToGrid w:val="0"/>
        <w:spacing w:line="400" w:lineRule="exact"/>
        <w:jc w:val="left"/>
        <w:rPr>
          <w:rFonts w:ascii="宋体" w:hAnsi="宋体"/>
          <w:b/>
          <w:bCs/>
          <w:color w:val="auto"/>
          <w:sz w:val="24"/>
          <w:szCs w:val="24"/>
          <w:highlight w:val="none"/>
        </w:rPr>
      </w:pPr>
      <w:r>
        <w:rPr>
          <w:rFonts w:hint="eastAsia" w:ascii="宋体" w:hAnsi="宋体"/>
          <w:b/>
          <w:color w:val="auto"/>
          <w:sz w:val="24"/>
          <w:szCs w:val="24"/>
          <w:highlight w:val="none"/>
        </w:rPr>
        <w:t xml:space="preserve">1. </w:t>
      </w:r>
      <w:r>
        <w:rPr>
          <w:rFonts w:hint="eastAsia" w:ascii="宋体" w:hAnsi="宋体"/>
          <w:b/>
          <w:bCs/>
          <w:color w:val="auto"/>
          <w:sz w:val="24"/>
          <w:szCs w:val="24"/>
          <w:highlight w:val="none"/>
        </w:rPr>
        <w:t>定义</w:t>
      </w:r>
    </w:p>
    <w:p w14:paraId="11A95F7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1D51B29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（1）采购人（以下称甲方）是指使用财政性资金，通过政府采购方式向供应商采购服务的国家机关、事业单位、团体组织。</w:t>
      </w:r>
    </w:p>
    <w:p w14:paraId="55E0D80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（2）供应商（以下称乙方）是指参加政府采购活动并且中标（成交），向采购人提供合同约定的服务的法人、非法人组织或者自然人。</w:t>
      </w:r>
    </w:p>
    <w:p w14:paraId="26B09A2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66F3BDB3">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415F6C05">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政府采购合同协议书及其变更、补充协议，政府采购合同专用条款，政府采购合同通用条款，中标（成交）通知书，投标（响应）文件，采购文件，有关技术文件和服务方案，以及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44090E8F">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21E48296">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（3）“服务”系指乙方根据本合同规定须向甲方提供的各类专业服务、技术服务、运营服务等，包括服务成果、服务过程中的配套技术支持、资料交付、人员服务及其他相关配套服务等。</w:t>
      </w:r>
    </w:p>
    <w:p w14:paraId="5E7107B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配套服务”系指根据合同规定，乙方应提供的与主服务有关的技术、管理和其他服务，包括但不限于：管理和质量保证、服务成果交付、保险、检验、现场实施、调试、培训、售后维护、技术支持等以及合同中规定乙方应承担的其他义务。</w:t>
      </w:r>
    </w:p>
    <w:p w14:paraId="2BFF24CE">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1381D608">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48B6147B">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E198DCD">
      <w:pPr>
        <w:numPr>
          <w:ilvl w:val="0"/>
          <w:numId w:val="8"/>
        </w:numPr>
        <w:autoSpaceDE w:val="0"/>
        <w:autoSpaceDN w:val="0"/>
        <w:adjustRightInd w:val="0"/>
        <w:snapToGrid w:val="0"/>
        <w:spacing w:line="400" w:lineRule="exact"/>
        <w:jc w:val="left"/>
        <w:rPr>
          <w:rFonts w:ascii="宋体" w:hAnsi="宋体"/>
          <w:b/>
          <w:bCs/>
          <w:color w:val="auto"/>
          <w:sz w:val="24"/>
          <w:szCs w:val="24"/>
          <w:highlight w:val="none"/>
        </w:rPr>
      </w:pPr>
      <w:r>
        <w:rPr>
          <w:rFonts w:hint="eastAsia" w:ascii="宋体" w:hAnsi="宋体"/>
          <w:b/>
          <w:color w:val="auto"/>
          <w:sz w:val="24"/>
          <w:szCs w:val="24"/>
          <w:highlight w:val="none"/>
        </w:rPr>
        <w:t>合同标的及金额</w:t>
      </w:r>
    </w:p>
    <w:p w14:paraId="4DB7D136">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614D8C6A">
      <w:pPr>
        <w:adjustRightInd w:val="0"/>
        <w:snapToGrid w:val="0"/>
        <w:spacing w:line="400" w:lineRule="exact"/>
        <w:jc w:val="left"/>
        <w:rPr>
          <w:rFonts w:ascii="宋体" w:hAnsi="宋体"/>
          <w:b/>
          <w:color w:val="auto"/>
          <w:sz w:val="24"/>
          <w:szCs w:val="24"/>
          <w:highlight w:val="none"/>
        </w:rPr>
      </w:pPr>
      <w:r>
        <w:rPr>
          <w:rFonts w:hint="eastAsia" w:ascii="宋体" w:hAnsi="宋体"/>
          <w:b/>
          <w:color w:val="auto"/>
          <w:sz w:val="24"/>
          <w:szCs w:val="24"/>
          <w:highlight w:val="none"/>
        </w:rPr>
        <w:t>3. 履行合同的时间、地点和方式</w:t>
      </w:r>
    </w:p>
    <w:p w14:paraId="23163A3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2AAD861F">
      <w:pPr>
        <w:autoSpaceDE w:val="0"/>
        <w:autoSpaceDN w:val="0"/>
        <w:adjustRightInd w:val="0"/>
        <w:snapToGrid w:val="0"/>
        <w:spacing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4. 甲方的权利和义务</w:t>
      </w:r>
    </w:p>
    <w:p w14:paraId="724069E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7D84C02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定期核对乙方服务质量、服务进度、服务成果等内容。甲方有权督促乙方工作并要求乙方整改不符合要求的服务内容。</w:t>
      </w:r>
      <w:r>
        <w:rPr>
          <w:rFonts w:ascii="宋体" w:hAnsi="宋体"/>
          <w:color w:val="auto"/>
          <w:szCs w:val="21"/>
          <w:highlight w:val="none"/>
        </w:rPr>
        <w:t>。</w:t>
      </w:r>
    </w:p>
    <w:p w14:paraId="4DDCC93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有权要求乙方对服务缺陷部分予以修复，并按合同约定享有服务保修及其他合同约定的权利。</w:t>
      </w:r>
    </w:p>
    <w:p w14:paraId="44BF7D52">
      <w:pPr>
        <w:snapToGrid w:val="0"/>
        <w:spacing w:line="400" w:lineRule="exact"/>
        <w:ind w:firstLine="420" w:firstLineChars="200"/>
        <w:rPr>
          <w:rFonts w:eastAsia="华文楷体"/>
          <w:color w:val="auto"/>
          <w:szCs w:val="24"/>
          <w:highlight w:val="none"/>
        </w:rPr>
      </w:pPr>
      <w:r>
        <w:rPr>
          <w:rFonts w:ascii="宋体" w:hAnsi="宋体"/>
          <w:color w:val="auto"/>
          <w:szCs w:val="21"/>
          <w:highlight w:val="none"/>
        </w:rPr>
        <w:t>4.4 甲方应当按照合同约定及时对交付的服务成果、完成的服务内容进行验收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430A2D9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2D79A27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2637CB2A">
      <w:pPr>
        <w:autoSpaceDE w:val="0"/>
        <w:autoSpaceDN w:val="0"/>
        <w:adjustRightInd w:val="0"/>
        <w:snapToGrid w:val="0"/>
        <w:spacing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5. 乙方的权利和义务</w:t>
      </w:r>
    </w:p>
    <w:p w14:paraId="1B0140F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748F9EA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提供的服务及相关配套服务符合合同有关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71F99E87">
      <w:pPr>
        <w:spacing w:line="400" w:lineRule="exact"/>
        <w:ind w:firstLine="492" w:firstLineChars="176"/>
        <w:rPr>
          <w:rFonts w:ascii="宋体" w:hAnsi="宋体" w:eastAsia="仿宋" w:cs="宋体"/>
          <w:color w:val="auto"/>
          <w:sz w:val="28"/>
          <w:szCs w:val="21"/>
          <w:highlight w:val="none"/>
        </w:rPr>
      </w:pPr>
      <w:r>
        <w:rPr>
          <w:rFonts w:hint="eastAsia" w:ascii="宋体" w:hAnsi="宋体" w:eastAsia="仿宋"/>
          <w:color w:val="auto"/>
          <w:sz w:val="28"/>
          <w:szCs w:val="21"/>
          <w:highlight w:val="none"/>
        </w:rPr>
        <w:t>5.</w:t>
      </w:r>
      <w:r>
        <w:rPr>
          <w:rFonts w:ascii="宋体" w:hAnsi="宋体" w:eastAsia="仿宋"/>
          <w:color w:val="auto"/>
          <w:sz w:val="28"/>
          <w:szCs w:val="21"/>
          <w:highlight w:val="none"/>
        </w:rPr>
        <w:t>3</w:t>
      </w:r>
      <w:r>
        <w:rPr>
          <w:rFonts w:hint="eastAsia" w:ascii="宋体" w:hAnsi="宋体" w:eastAsia="仿宋"/>
          <w:color w:val="auto"/>
          <w:sz w:val="28"/>
          <w:szCs w:val="21"/>
          <w:highlight w:val="none"/>
        </w:rPr>
        <w:t>乙方有权</w:t>
      </w:r>
      <w:r>
        <w:rPr>
          <w:rFonts w:hint="eastAsia" w:ascii="宋体" w:hAnsi="宋体" w:eastAsia="仿宋" w:cs="宋体"/>
          <w:color w:val="auto"/>
          <w:sz w:val="28"/>
          <w:szCs w:val="21"/>
          <w:highlight w:val="none"/>
        </w:rPr>
        <w:t>根据合同约定向甲方收取合同价款。</w:t>
      </w:r>
    </w:p>
    <w:p w14:paraId="7DCDB442">
      <w:pPr>
        <w:spacing w:line="400" w:lineRule="exact"/>
        <w:ind w:firstLine="492" w:firstLineChars="176"/>
        <w:rPr>
          <w:rFonts w:ascii="宋体" w:hAnsi="宋体" w:eastAsia="仿宋" w:cs="宋体"/>
          <w:color w:val="auto"/>
          <w:sz w:val="28"/>
          <w:szCs w:val="21"/>
          <w:highlight w:val="none"/>
        </w:rPr>
      </w:pPr>
      <w:r>
        <w:rPr>
          <w:rFonts w:hint="eastAsia" w:ascii="宋体" w:hAnsi="宋体" w:eastAsia="仿宋"/>
          <w:color w:val="auto"/>
          <w:sz w:val="28"/>
          <w:szCs w:val="21"/>
          <w:highlight w:val="none"/>
        </w:rPr>
        <w:t>5.</w:t>
      </w:r>
      <w:r>
        <w:rPr>
          <w:rFonts w:ascii="宋体" w:hAnsi="宋体" w:eastAsia="仿宋"/>
          <w:color w:val="auto"/>
          <w:sz w:val="28"/>
          <w:szCs w:val="21"/>
          <w:highlight w:val="none"/>
        </w:rPr>
        <w:t>4</w:t>
      </w:r>
      <w:r>
        <w:rPr>
          <w:rFonts w:hint="eastAsia" w:ascii="宋体" w:hAnsi="宋体" w:eastAsia="仿宋" w:cs="宋体"/>
          <w:color w:val="auto"/>
          <w:sz w:val="28"/>
          <w:szCs w:val="21"/>
          <w:highlight w:val="none"/>
        </w:rPr>
        <w:t>国家法律法规规定</w:t>
      </w:r>
      <w:r>
        <w:rPr>
          <w:rFonts w:hint="eastAsia" w:ascii="宋体" w:hAnsi="宋体" w:eastAsia="仿宋"/>
          <w:color w:val="auto"/>
          <w:sz w:val="28"/>
          <w:szCs w:val="21"/>
          <w:highlight w:val="none"/>
        </w:rPr>
        <w:t>及</w:t>
      </w:r>
      <w:r>
        <w:rPr>
          <w:rFonts w:hint="eastAsia" w:ascii="宋体" w:hAnsi="宋体" w:cs="宋体"/>
          <w:b/>
          <w:bCs/>
          <w:color w:val="auto"/>
          <w:sz w:val="28"/>
          <w:szCs w:val="21"/>
          <w:highlight w:val="none"/>
        </w:rPr>
        <w:t>【政府采购合同专用条款】</w:t>
      </w:r>
      <w:r>
        <w:rPr>
          <w:rFonts w:hint="eastAsia" w:ascii="宋体" w:hAnsi="宋体" w:eastAsia="仿宋" w:cs="宋体"/>
          <w:color w:val="auto"/>
          <w:sz w:val="28"/>
          <w:szCs w:val="21"/>
          <w:highlight w:val="none"/>
        </w:rPr>
        <w:t>约定应由乙方承担的其他义务和责任。</w:t>
      </w:r>
    </w:p>
    <w:p w14:paraId="2935C86F">
      <w:pPr>
        <w:numPr>
          <w:ilvl w:val="0"/>
          <w:numId w:val="9"/>
        </w:numPr>
        <w:autoSpaceDE w:val="0"/>
        <w:autoSpaceDN w:val="0"/>
        <w:adjustRightInd w:val="0"/>
        <w:snapToGrid w:val="0"/>
        <w:spacing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合同履行</w:t>
      </w:r>
    </w:p>
    <w:p w14:paraId="1753F33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4A814222">
      <w:pPr>
        <w:autoSpaceDE w:val="0"/>
        <w:autoSpaceDN w:val="0"/>
        <w:adjustRightInd w:val="0"/>
        <w:snapToGrid w:val="0"/>
        <w:spacing w:line="400" w:lineRule="exact"/>
        <w:ind w:firstLine="420" w:firstLineChars="200"/>
        <w:jc w:val="left"/>
        <w:rPr>
          <w:color w:val="auto"/>
          <w:szCs w:val="24"/>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1584CD9E">
      <w:pPr>
        <w:adjustRightInd w:val="0"/>
        <w:snapToGrid w:val="0"/>
        <w:spacing w:line="400" w:lineRule="exact"/>
        <w:jc w:val="left"/>
        <w:rPr>
          <w:rFonts w:ascii="宋体" w:hAnsi="宋体"/>
          <w:b/>
          <w:color w:val="auto"/>
          <w:sz w:val="24"/>
          <w:szCs w:val="24"/>
          <w:highlight w:val="none"/>
        </w:rPr>
      </w:pPr>
      <w:r>
        <w:rPr>
          <w:rFonts w:hint="eastAsia" w:ascii="宋体" w:hAnsi="宋体"/>
          <w:b/>
          <w:color w:val="auto"/>
          <w:sz w:val="24"/>
          <w:szCs w:val="24"/>
          <w:highlight w:val="none"/>
        </w:rPr>
        <w:t>7. 质量标准和保证</w:t>
      </w:r>
    </w:p>
    <w:p w14:paraId="26000732">
      <w:pPr>
        <w:adjustRightInd w:val="0"/>
        <w:snapToGrid w:val="0"/>
        <w:spacing w:line="400" w:lineRule="exact"/>
        <w:ind w:firstLine="420" w:firstLineChars="200"/>
        <w:jc w:val="left"/>
        <w:rPr>
          <w:rFonts w:ascii="宋体" w:hAnsi="宋体" w:cs="Courier New"/>
          <w:b/>
          <w:color w:val="auto"/>
          <w:szCs w:val="21"/>
          <w:highlight w:val="none"/>
        </w:rPr>
      </w:pPr>
      <w:r>
        <w:rPr>
          <w:rFonts w:hint="eastAsia" w:ascii="宋体" w:hAnsi="宋体" w:cs="Courier New"/>
          <w:color w:val="auto"/>
          <w:szCs w:val="21"/>
          <w:highlight w:val="none"/>
        </w:rPr>
        <w:t>7.1 质量标准</w:t>
      </w:r>
    </w:p>
    <w:p w14:paraId="2301464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服务应符合合同约定的服务提供方、服务标准、服务性能、服务成果、服务范围等要求。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8567C2B">
      <w:pPr>
        <w:adjustRightInd w:val="0"/>
        <w:snapToGrid w:val="0"/>
        <w:spacing w:line="400" w:lineRule="exact"/>
        <w:ind w:firstLine="420" w:firstLineChars="200"/>
        <w:jc w:val="left"/>
        <w:rPr>
          <w:rFonts w:ascii="宋体" w:hAnsi="宋体" w:cs="Courier New"/>
          <w:color w:val="auto"/>
          <w:szCs w:val="21"/>
          <w:highlight w:val="none"/>
        </w:rPr>
      </w:pPr>
      <w:r>
        <w:rPr>
          <w:rFonts w:hint="eastAsia" w:ascii="宋体" w:hAnsi="宋体" w:cs="Courier New"/>
          <w:color w:val="auto"/>
          <w:szCs w:val="21"/>
          <w:highlight w:val="none"/>
        </w:rPr>
        <w:t>（2）采用中华人民共和国法定计量单位。</w:t>
      </w:r>
    </w:p>
    <w:p w14:paraId="770338F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（3）乙方所提供的服务应符合国家有关安全、环保、卫生的规定。</w:t>
      </w:r>
    </w:p>
    <w:p w14:paraId="74917B5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（4）乙方应向甲方提交所提供服务的技术文件，包括相应的中文技术文件，如：服务方案、操作手册、使用说明、服务成果报告、维护手册或服务指南等。上述文件应包装好随服务成果一同交付。</w:t>
      </w:r>
    </w:p>
    <w:p w14:paraId="7D0C9CE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保证</w:t>
      </w:r>
    </w:p>
    <w:p w14:paraId="2F8CEEC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（1）乙方应保证提供的服务完全符合合同规定的质量、规格和性能要求。乙方应保证服务在符合合同约定的服务条件、正常场景下，</w:t>
      </w:r>
      <w:r>
        <w:rPr>
          <w:rFonts w:hint="eastAsia" w:ascii="宋体" w:hAnsi="宋体" w:cs="宋体"/>
          <w:color w:val="auto"/>
          <w:szCs w:val="21"/>
          <w:highlight w:val="none"/>
        </w:rPr>
        <w:t>服务期限/服务成果使用寿命期内具备合同约定的要求</w:t>
      </w:r>
      <w:r>
        <w:rPr>
          <w:rFonts w:hint="eastAsia" w:ascii="宋体" w:hAnsi="宋体"/>
          <w:color w:val="auto"/>
          <w:szCs w:val="21"/>
          <w:highlight w:val="none"/>
        </w:rPr>
        <w:t>。存在质量保证期的，服务成果最终交付验收合格后在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6B44ABC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（2）在质量保证期内所发现的服务缺陷，甲方应尽快以书面形式通知乙方。</w:t>
      </w:r>
    </w:p>
    <w:p w14:paraId="218B1C3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规定的响应时间内以合理的速度免费整改。</w:t>
      </w:r>
    </w:p>
    <w:p w14:paraId="6106505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（4）在质量保证期内，如果服务的质量与合同不符，或证实服务是有缺陷的，包括潜在的缺陷或使用不符合要求的服务等，甲方可以根据本合同第15.1条规定以书面形式追究乙方的违约责任。</w:t>
      </w:r>
    </w:p>
    <w:p w14:paraId="703C387C">
      <w:pPr>
        <w:adjustRightInd w:val="0"/>
        <w:snapToGrid w:val="0"/>
        <w:spacing w:line="400" w:lineRule="exact"/>
        <w:ind w:firstLine="420" w:firstLineChars="200"/>
        <w:jc w:val="left"/>
        <w:rPr>
          <w:color w:val="auto"/>
          <w:szCs w:val="24"/>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7A470039">
      <w:pPr>
        <w:adjustRightInd w:val="0"/>
        <w:snapToGrid w:val="0"/>
        <w:spacing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8. 权利瑕疵担保</w:t>
      </w:r>
    </w:p>
    <w:p w14:paraId="4FD2AE7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8.1 乙方保证对其提供的服务享有合法的权利。</w:t>
      </w:r>
    </w:p>
    <w:p w14:paraId="349BDE1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8.2 </w:t>
      </w:r>
      <w:r>
        <w:rPr>
          <w:rFonts w:hint="eastAsia" w:ascii="宋体" w:hAnsi="宋体" w:cs="宋体"/>
          <w:color w:val="auto"/>
          <w:szCs w:val="15"/>
          <w:highlight w:val="none"/>
        </w:rPr>
        <w:t>乙方保证在交付的服务成功上不存在抵押权等担保物权。</w:t>
      </w:r>
    </w:p>
    <w:p w14:paraId="4A58E6E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8.3 如甲方使用上述服务或服务成果构成对第三人侵权的，则由乙方承担全部责任。</w:t>
      </w:r>
    </w:p>
    <w:p w14:paraId="0BFB6FAB">
      <w:pPr>
        <w:autoSpaceDE w:val="0"/>
        <w:autoSpaceDN w:val="0"/>
        <w:adjustRightInd w:val="0"/>
        <w:snapToGrid w:val="0"/>
        <w:spacing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9. 知识产权保护</w:t>
      </w:r>
    </w:p>
    <w:p w14:paraId="3AE80FA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对其所提供的服务及服务成果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4C713C83">
      <w:pPr>
        <w:autoSpaceDE w:val="0"/>
        <w:autoSpaceDN w:val="0"/>
        <w:adjustRightInd w:val="0"/>
        <w:snapToGrid w:val="0"/>
        <w:spacing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10. 保密义务</w:t>
      </w:r>
    </w:p>
    <w:p w14:paraId="4C837CB5">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3DB79ADD">
      <w:pPr>
        <w:autoSpaceDE w:val="0"/>
        <w:autoSpaceDN w:val="0"/>
        <w:adjustRightInd w:val="0"/>
        <w:snapToGrid w:val="0"/>
        <w:spacing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11. 合同价款支付</w:t>
      </w:r>
    </w:p>
    <w:p w14:paraId="449D29D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11.1 合同价款支付按照国库集中支付制度及财政管理相关规定执行。</w:t>
      </w:r>
    </w:p>
    <w:p w14:paraId="26343C0F">
      <w:pPr>
        <w:adjustRightInd w:val="0"/>
        <w:snapToGrid w:val="0"/>
        <w:spacing w:line="400" w:lineRule="exact"/>
        <w:ind w:firstLine="420" w:firstLineChars="200"/>
        <w:jc w:val="left"/>
        <w:rPr>
          <w:color w:val="auto"/>
          <w:szCs w:val="24"/>
          <w:highlight w:val="none"/>
        </w:rPr>
      </w:pPr>
      <w:r>
        <w:rPr>
          <w:rFonts w:hint="eastAsia" w:ascii="宋体" w:hAnsi="宋体"/>
          <w:color w:val="auto"/>
          <w:szCs w:val="21"/>
          <w:highlight w:val="none"/>
        </w:rPr>
        <w:t>11.2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Cs w:val="21"/>
          <w:highlight w:val="none"/>
        </w:rPr>
        <w:t>【政府采购合同专用条款】</w:t>
      </w:r>
      <w:r>
        <w:rPr>
          <w:rFonts w:hint="eastAsia" w:ascii="宋体" w:hAnsi="宋体"/>
          <w:color w:val="auto"/>
          <w:szCs w:val="21"/>
          <w:highlight w:val="none"/>
        </w:rPr>
        <w:t>中约定。</w:t>
      </w:r>
    </w:p>
    <w:p w14:paraId="68DAEEA5">
      <w:pPr>
        <w:spacing w:line="400" w:lineRule="exact"/>
        <w:ind w:firstLine="482" w:firstLineChars="200"/>
        <w:rPr>
          <w:rFonts w:ascii="宋体" w:hAnsi="宋体" w:eastAsia="仿宋"/>
          <w:b/>
          <w:bCs/>
          <w:color w:val="auto"/>
          <w:sz w:val="24"/>
          <w:szCs w:val="24"/>
          <w:highlight w:val="none"/>
        </w:rPr>
      </w:pPr>
      <w:r>
        <w:rPr>
          <w:rFonts w:hint="eastAsia" w:ascii="宋体" w:hAnsi="宋体" w:eastAsia="仿宋"/>
          <w:b/>
          <w:bCs/>
          <w:color w:val="auto"/>
          <w:sz w:val="24"/>
          <w:szCs w:val="24"/>
          <w:highlight w:val="none"/>
        </w:rPr>
        <w:t>12. 履约保证金</w:t>
      </w:r>
    </w:p>
    <w:p w14:paraId="3955B75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12.1 </w:t>
      </w:r>
      <w:r>
        <w:rPr>
          <w:rFonts w:hint="eastAsia" w:ascii="宋体" w:hAnsi="宋体" w:cs="宋体"/>
          <w:color w:val="auto"/>
          <w:szCs w:val="15"/>
          <w:highlight w:val="none"/>
        </w:rPr>
        <w:t>乙方应当以支票、汇票、本票或者金融机构、担保机构出具的保函等非现金形式提交。</w:t>
      </w:r>
    </w:p>
    <w:p w14:paraId="4A871F3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268757D3">
      <w:pPr>
        <w:spacing w:line="400" w:lineRule="exact"/>
        <w:ind w:firstLine="420"/>
        <w:rPr>
          <w:color w:val="auto"/>
          <w:szCs w:val="24"/>
          <w:highlight w:val="none"/>
        </w:rPr>
      </w:pPr>
      <w:r>
        <w:rPr>
          <w:rFonts w:hint="eastAsia" w:ascii="宋体" w:hAnsi="宋体"/>
          <w:color w:val="auto"/>
          <w:szCs w:val="21"/>
          <w:highlight w:val="none"/>
        </w:rPr>
        <w:t>12.3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30A23FF3">
      <w:pPr>
        <w:autoSpaceDE w:val="0"/>
        <w:autoSpaceDN w:val="0"/>
        <w:adjustRightInd w:val="0"/>
        <w:snapToGrid w:val="0"/>
        <w:spacing w:line="400" w:lineRule="exact"/>
        <w:jc w:val="left"/>
        <w:rPr>
          <w:rFonts w:ascii="宋体" w:hAnsi="宋体"/>
          <w:b/>
          <w:color w:val="auto"/>
          <w:sz w:val="24"/>
          <w:szCs w:val="24"/>
          <w:highlight w:val="none"/>
        </w:rPr>
      </w:pPr>
      <w:r>
        <w:rPr>
          <w:rFonts w:hint="eastAsia" w:ascii="宋体" w:hAnsi="宋体"/>
          <w:b/>
          <w:bCs/>
          <w:color w:val="auto"/>
          <w:sz w:val="24"/>
          <w:szCs w:val="24"/>
          <w:highlight w:val="none"/>
        </w:rPr>
        <w:t xml:space="preserve">13. </w:t>
      </w:r>
      <w:r>
        <w:rPr>
          <w:rFonts w:hint="eastAsia"/>
          <w:b/>
          <w:color w:val="auto"/>
          <w:sz w:val="24"/>
          <w:szCs w:val="24"/>
          <w:highlight w:val="none"/>
        </w:rPr>
        <w:t>售后</w:t>
      </w:r>
      <w:r>
        <w:rPr>
          <w:rFonts w:hint="eastAsia" w:ascii="宋体" w:hAnsi="宋体"/>
          <w:b/>
          <w:color w:val="auto"/>
          <w:sz w:val="24"/>
          <w:szCs w:val="24"/>
          <w:highlight w:val="none"/>
        </w:rPr>
        <w:t>服务</w:t>
      </w:r>
    </w:p>
    <w:p w14:paraId="45F65DC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13.1 除项目不涉及或采购活动中明确约定无须承担外，乙方还应提供下列服务：</w:t>
      </w:r>
    </w:p>
    <w:p w14:paraId="6FE458D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（1）服务的现场实施、调试、启动监督及技术支持；服务成果的后续技术维护；</w:t>
      </w:r>
    </w:p>
    <w:p w14:paraId="5D2DE7F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（2）提供服务实施和成果维护所需的专用工具、技术资料和辅助材料；</w:t>
      </w:r>
    </w:p>
    <w:p w14:paraId="621213C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b/>
          <w:bCs/>
          <w:color w:val="auto"/>
          <w:szCs w:val="21"/>
          <w:highlight w:val="none"/>
        </w:rPr>
        <w:t>【政府采购合同专用条款】</w:t>
      </w:r>
      <w:r>
        <w:rPr>
          <w:rFonts w:hint="eastAsia" w:ascii="宋体" w:hAnsi="宋体"/>
          <w:color w:val="auto"/>
          <w:szCs w:val="21"/>
          <w:highlight w:val="none"/>
        </w:rPr>
        <w:t>约定的期限内对所有的服务内容、服务成果实施运行监督、维修/整改，但前提条件是该服务并不能免除乙方在质量保证期内所承担的义务；</w:t>
      </w:r>
    </w:p>
    <w:p w14:paraId="6081A75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（4）在服务提供方所在地或</w:t>
      </w:r>
      <w:r>
        <w:rPr>
          <w:rFonts w:hint="eastAsia" w:ascii="宋体" w:hAnsi="宋体"/>
          <w:color w:val="auto"/>
          <w:szCs w:val="21"/>
          <w:highlight w:val="none"/>
          <w:lang w:eastAsia="zh-CN"/>
        </w:rPr>
        <w:t>安排的</w:t>
      </w:r>
      <w:r>
        <w:rPr>
          <w:rFonts w:hint="eastAsia" w:ascii="宋体" w:hAnsi="宋体"/>
          <w:color w:val="auto"/>
          <w:szCs w:val="21"/>
          <w:highlight w:val="none"/>
        </w:rPr>
        <w:t>现场就服务的实施、启动、运营、维护、服务成果废弃处置等对甲方操作人员/使用人员进行培训；</w:t>
      </w:r>
    </w:p>
    <w:p w14:paraId="3C2031A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（5）依照法律、行政法规的规定或者按照【政府采购合同专用条款】约定，服务成果在有效使用年限届满后应予回收的，乙方负有自行或者委托第三人对服务成果予以回收的义务；</w:t>
      </w:r>
    </w:p>
    <w:p w14:paraId="1C6B360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（6）【政府采购合同专用条款】规定由乙方提供的其他服务。</w:t>
      </w:r>
    </w:p>
    <w:p w14:paraId="38383D3A">
      <w:pPr>
        <w:adjustRightInd w:val="0"/>
        <w:snapToGrid w:val="0"/>
        <w:spacing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14. 违约责任</w:t>
      </w:r>
    </w:p>
    <w:p w14:paraId="1FFBF42F">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14.1服务质量瑕疵的违约责任</w:t>
      </w:r>
    </w:p>
    <w:p w14:paraId="7C7B72E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乙方提供的服务不符合合同约定的质量标准或存在服务质量/成果缺陷，甲方有权要求乙方根据【政府采购合同专用条款】要求及时整改、重作、重新提供服务/成果，并承担由此给甲方造成的损失。</w:t>
      </w:r>
    </w:p>
    <w:p w14:paraId="6933A6E7">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14.2 迟延提供服务/交付服务成果的违约责任</w:t>
      </w:r>
    </w:p>
    <w:p w14:paraId="715EEBF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提供服务和交付服务成果。在履行合同过程中，如果乙方遇到可能影响按时提供服务和交付成果的情形时，应及时以书面形式将迟延的事实、可能迟延的期限和理由通知甲方。甲方在收到乙方通知后，应尽快对情况进行评价，并确定是否同意延长服务提供时间或成果交付时间。</w:t>
      </w:r>
    </w:p>
    <w:p w14:paraId="010290E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（2）如果乙方没有按照合同规定的时间提供服务和交付服务成果，甲方有权从货款中扣除误期赔偿费而不影响合同项下的其他补救方法，赔偿费按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33B1461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14.3 迟延支付的违约责任</w:t>
      </w:r>
    </w:p>
    <w:p w14:paraId="374A93F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D85F369">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14.4其他违约责任根据项目实际需要按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0E52643">
      <w:pPr>
        <w:autoSpaceDE w:val="0"/>
        <w:autoSpaceDN w:val="0"/>
        <w:adjustRightInd w:val="0"/>
        <w:snapToGrid w:val="0"/>
        <w:spacing w:line="400" w:lineRule="exact"/>
        <w:jc w:val="left"/>
        <w:rPr>
          <w:rFonts w:ascii="宋体" w:hAnsi="宋体"/>
          <w:b/>
          <w:color w:val="auto"/>
          <w:sz w:val="24"/>
          <w:szCs w:val="24"/>
          <w:highlight w:val="none"/>
        </w:rPr>
      </w:pPr>
      <w:r>
        <w:rPr>
          <w:rFonts w:hint="eastAsia" w:ascii="宋体" w:hAnsi="宋体"/>
          <w:b/>
          <w:color w:val="auto"/>
          <w:sz w:val="24"/>
          <w:szCs w:val="24"/>
          <w:highlight w:val="none"/>
        </w:rPr>
        <w:t>15.合同变更、中止与终止</w:t>
      </w:r>
    </w:p>
    <w:p w14:paraId="001BF8CE">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15.1合同的变更</w:t>
      </w:r>
    </w:p>
    <w:p w14:paraId="00691BD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552703A4">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15.2合同的中止</w:t>
      </w:r>
    </w:p>
    <w:p w14:paraId="0CC9E8D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2E4593A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43078F8">
      <w:pPr>
        <w:autoSpaceDE w:val="0"/>
        <w:autoSpaceDN w:val="0"/>
        <w:adjustRightInd w:val="0"/>
        <w:spacing w:line="400" w:lineRule="exact"/>
        <w:ind w:firstLine="420" w:firstLineChars="200"/>
        <w:rPr>
          <w:rFonts w:ascii="华文楷体" w:hAnsi="华文楷体" w:eastAsia="华文楷体" w:cs="华文楷体"/>
          <w:color w:val="auto"/>
          <w:szCs w:val="21"/>
          <w:highlight w:val="none"/>
        </w:rPr>
      </w:pPr>
      <w:r>
        <w:rPr>
          <w:rFonts w:hint="eastAsia" w:ascii="宋体" w:hAnsi="宋体" w:cs="宋体"/>
          <w:color w:val="auto"/>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F79E22E">
      <w:pPr>
        <w:snapToGrid w:val="0"/>
        <w:spacing w:line="400" w:lineRule="exact"/>
        <w:ind w:firstLine="420" w:firstLineChars="200"/>
        <w:jc w:val="left"/>
        <w:rPr>
          <w:color w:val="auto"/>
          <w:szCs w:val="24"/>
          <w:highlight w:val="none"/>
        </w:rPr>
      </w:pPr>
      <w:r>
        <w:rPr>
          <w:rFonts w:hint="eastAsia" w:ascii="宋体" w:hAnsi="宋体"/>
          <w:color w:val="auto"/>
          <w:szCs w:val="21"/>
          <w:highlight w:val="none"/>
        </w:rPr>
        <w:t>（4）甲方不得以行政区划调整、政府换届、机构或者职能调整以及相关责任人更替为由中止合同。</w:t>
      </w:r>
    </w:p>
    <w:p w14:paraId="65FF8871">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15.3合同的终止</w:t>
      </w:r>
    </w:p>
    <w:p w14:paraId="7F539A4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（1）长期服务合同因有效期限届满而终止；</w:t>
      </w:r>
    </w:p>
    <w:p w14:paraId="6E084ED8">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1B0E8493">
      <w:pPr>
        <w:autoSpaceDE w:val="0"/>
        <w:autoSpaceDN w:val="0"/>
        <w:adjustRightInd w:val="0"/>
        <w:spacing w:line="400" w:lineRule="exact"/>
        <w:ind w:firstLine="440" w:firstLineChars="200"/>
        <w:rPr>
          <w:rFonts w:ascii="宋体" w:hAnsi="宋体" w:eastAsia="华文楷体" w:cs="华文楷体"/>
          <w:color w:val="auto"/>
          <w:sz w:val="22"/>
          <w:szCs w:val="21"/>
          <w:highlight w:val="none"/>
        </w:rPr>
      </w:pPr>
      <w:r>
        <w:rPr>
          <w:rFonts w:hint="eastAsia" w:ascii="宋体" w:hAnsi="宋体" w:eastAsia="华文楷体" w:cs="华文楷体"/>
          <w:color w:val="auto"/>
          <w:sz w:val="22"/>
          <w:szCs w:val="21"/>
          <w:highlight w:val="none"/>
        </w:rPr>
        <w:t xml:space="preserve">15.4 </w:t>
      </w:r>
      <w:r>
        <w:rPr>
          <w:rFonts w:hint="eastAsia" w:ascii="宋体" w:hAnsi="宋体"/>
          <w:color w:val="auto"/>
          <w:szCs w:val="21"/>
          <w:highlight w:val="none"/>
        </w:rPr>
        <w:t>涉及国家利益、社会公共利益的情形</w:t>
      </w:r>
    </w:p>
    <w:p w14:paraId="537DB708">
      <w:pPr>
        <w:autoSpaceDE w:val="0"/>
        <w:autoSpaceDN w:val="0"/>
        <w:adjustRightInd w:val="0"/>
        <w:spacing w:line="400" w:lineRule="exact"/>
        <w:ind w:firstLine="420" w:firstLineChars="200"/>
        <w:rPr>
          <w:rFonts w:ascii="华文楷体" w:hAnsi="华文楷体" w:eastAsia="华文楷体" w:cs="华文楷体"/>
          <w:color w:val="auto"/>
          <w:szCs w:val="21"/>
          <w:highlight w:val="none"/>
        </w:rPr>
      </w:pPr>
      <w:r>
        <w:rPr>
          <w:rFonts w:hint="eastAsia" w:ascii="宋体" w:hAnsi="宋体" w:cs="宋体"/>
          <w:color w:val="auto"/>
          <w:szCs w:val="21"/>
          <w:highlight w:val="none"/>
        </w:rPr>
        <w:t>政府采购合同继续履行将损害国家利益和社会公共利益的，双方当事人应当变更、中止或者终止合同。有过错的一方应当承担赔偿责任，双方都有过错的，各自承担相应的责任。</w:t>
      </w:r>
    </w:p>
    <w:p w14:paraId="02F17EC4">
      <w:pPr>
        <w:autoSpaceDE w:val="0"/>
        <w:autoSpaceDN w:val="0"/>
        <w:adjustRightInd w:val="0"/>
        <w:snapToGrid w:val="0"/>
        <w:spacing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16. 合同分包</w:t>
      </w:r>
    </w:p>
    <w:p w14:paraId="5E3BDC6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16.1 乙方不得将合同转包给其他供应商。涉及合同分包的，乙方应根据采购文件和投标（响应）文件规定进行合同分包。</w:t>
      </w:r>
    </w:p>
    <w:p w14:paraId="3DC5445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 乙方执行政府采购政策向中小企业依法分包的，乙方应当按采购文件和投标（响应）文件签订分包意向协议，分包意向协议属于本合同组成部分。</w:t>
      </w:r>
    </w:p>
    <w:p w14:paraId="07CEC472">
      <w:pPr>
        <w:autoSpaceDE w:val="0"/>
        <w:autoSpaceDN w:val="0"/>
        <w:adjustRightInd w:val="0"/>
        <w:snapToGrid w:val="0"/>
        <w:spacing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17. 不可抗力</w:t>
      </w:r>
    </w:p>
    <w:p w14:paraId="483031C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不可抗力是指合同双方不能预见、不能避免且不能克服的客观情况。</w:t>
      </w:r>
    </w:p>
    <w:p w14:paraId="135989A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任何一方对由于不可抗力造成的部分或全部不能履行合同不承担违约责任。但迟延履行后发生不可抗力的，不能免除责任。</w:t>
      </w:r>
    </w:p>
    <w:p w14:paraId="7426076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394AA25">
      <w:pPr>
        <w:autoSpaceDE w:val="0"/>
        <w:autoSpaceDN w:val="0"/>
        <w:adjustRightInd w:val="0"/>
        <w:snapToGrid w:val="0"/>
        <w:spacing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18. 解决争议的方法</w:t>
      </w:r>
    </w:p>
    <w:p w14:paraId="485438F9">
      <w:pPr>
        <w:autoSpaceDE w:val="0"/>
        <w:autoSpaceDN w:val="0"/>
        <w:adjustRightIn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18.1 因本合同及合同有关事项发生的争议，由甲乙双方友好协商解决。协商不成时，可以向有关组织申请调解。合同一方或双方不愿调解或调解不成的，可以通过仲裁或诉讼的方式解决争议。</w:t>
      </w:r>
    </w:p>
    <w:p w14:paraId="5047C009">
      <w:pPr>
        <w:autoSpaceDE w:val="0"/>
        <w:autoSpaceDN w:val="0"/>
        <w:adjustRightIn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18.2 选择仲裁的，应在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中明确仲裁机构及仲裁地；通过诉讼方式解决的，可以在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中进一步约定选择与争议有实际联系的地点的人民法院管辖，但管辖法院的约定不得违反级别管辖和专属管辖的规定。</w:t>
      </w:r>
    </w:p>
    <w:p w14:paraId="4063B309">
      <w:pPr>
        <w:autoSpaceDE w:val="0"/>
        <w:autoSpaceDN w:val="0"/>
        <w:adjustRightIn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18.3 如甲乙双方有争议的事项不影响合同其他部分的履行，在争议解决期间，合同其他部分应当继续履行。</w:t>
      </w:r>
    </w:p>
    <w:p w14:paraId="492532C2">
      <w:pPr>
        <w:autoSpaceDE w:val="0"/>
        <w:autoSpaceDN w:val="0"/>
        <w:adjustRightInd w:val="0"/>
        <w:snapToGrid w:val="0"/>
        <w:spacing w:line="400" w:lineRule="exact"/>
        <w:jc w:val="left"/>
        <w:rPr>
          <w:rFonts w:ascii="宋体" w:hAnsi="宋体"/>
          <w:color w:val="auto"/>
          <w:sz w:val="24"/>
          <w:szCs w:val="24"/>
          <w:highlight w:val="none"/>
        </w:rPr>
      </w:pPr>
      <w:r>
        <w:rPr>
          <w:rFonts w:hint="eastAsia" w:ascii="宋体" w:hAnsi="宋体"/>
          <w:b/>
          <w:color w:val="auto"/>
          <w:sz w:val="24"/>
          <w:szCs w:val="24"/>
          <w:highlight w:val="none"/>
        </w:rPr>
        <w:t>19. 政府采购政策</w:t>
      </w:r>
    </w:p>
    <w:p w14:paraId="4AD8662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19.1 </w:t>
      </w:r>
      <w:r>
        <w:rPr>
          <w:rFonts w:hint="eastAsia" w:ascii="宋体" w:hAnsi="宋体" w:cs="宋体"/>
          <w:color w:val="auto"/>
          <w:szCs w:val="24"/>
          <w:highlight w:val="none"/>
          <w:lang w:val="en-GB"/>
        </w:rPr>
        <w:t>本合同应当按照规定执行政府采购政策。</w:t>
      </w:r>
    </w:p>
    <w:p w14:paraId="1592846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19.2 本合同依法执行政府采购政策的方式和内容，属于合同履约验收的范围。</w:t>
      </w:r>
      <w:r>
        <w:rPr>
          <w:rFonts w:hint="eastAsia" w:ascii="宋体" w:hAnsi="宋体" w:cs="宋体"/>
          <w:color w:val="auto"/>
          <w:szCs w:val="24"/>
          <w:highlight w:val="none"/>
        </w:rPr>
        <w:t>甲乙双方</w:t>
      </w:r>
      <w:r>
        <w:rPr>
          <w:rFonts w:hint="eastAsia" w:ascii="宋体" w:hAnsi="宋体" w:cs="宋体"/>
          <w:color w:val="auto"/>
          <w:szCs w:val="24"/>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AC04850">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19.3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9C97E62">
      <w:pPr>
        <w:autoSpaceDE w:val="0"/>
        <w:autoSpaceDN w:val="0"/>
        <w:adjustRightInd w:val="0"/>
        <w:snapToGrid w:val="0"/>
        <w:spacing w:line="400" w:lineRule="exact"/>
        <w:jc w:val="left"/>
        <w:rPr>
          <w:rFonts w:ascii="宋体" w:hAnsi="宋体"/>
          <w:b/>
          <w:color w:val="auto"/>
          <w:sz w:val="24"/>
          <w:szCs w:val="24"/>
          <w:highlight w:val="none"/>
        </w:rPr>
      </w:pPr>
      <w:r>
        <w:rPr>
          <w:rFonts w:hint="eastAsia" w:ascii="宋体" w:hAnsi="宋体"/>
          <w:b/>
          <w:color w:val="auto"/>
          <w:sz w:val="24"/>
          <w:szCs w:val="24"/>
          <w:highlight w:val="none"/>
        </w:rPr>
        <w:t>20. 法律适用</w:t>
      </w:r>
    </w:p>
    <w:p w14:paraId="189EA4A2">
      <w:pPr>
        <w:autoSpaceDE w:val="0"/>
        <w:autoSpaceDN w:val="0"/>
        <w:adjustRightIn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20.1 本合同的订立、生效、解释、履行及与本合同有关的争议解决，均适用法律、行政法规。</w:t>
      </w:r>
    </w:p>
    <w:p w14:paraId="789180B7">
      <w:pPr>
        <w:autoSpaceDE w:val="0"/>
        <w:autoSpaceDN w:val="0"/>
        <w:adjustRightIn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20.2 本合同条款与法律、行政法规的强制性规定不一致的，双方当事人应按照法律、行政法规的强制性规定修改本合同的相关条款。</w:t>
      </w:r>
    </w:p>
    <w:p w14:paraId="10042A26">
      <w:pPr>
        <w:numPr>
          <w:ilvl w:val="255"/>
          <w:numId w:val="0"/>
        </w:numPr>
        <w:autoSpaceDE w:val="0"/>
        <w:autoSpaceDN w:val="0"/>
        <w:adjustRightInd w:val="0"/>
        <w:snapToGrid w:val="0"/>
        <w:spacing w:line="400" w:lineRule="exact"/>
        <w:jc w:val="left"/>
        <w:rPr>
          <w:rFonts w:ascii="宋体" w:hAnsi="宋体"/>
          <w:b/>
          <w:color w:val="auto"/>
          <w:sz w:val="24"/>
          <w:szCs w:val="24"/>
          <w:highlight w:val="none"/>
        </w:rPr>
      </w:pPr>
      <w:r>
        <w:rPr>
          <w:rFonts w:hint="eastAsia" w:ascii="宋体" w:hAnsi="宋体"/>
          <w:b/>
          <w:color w:val="auto"/>
          <w:sz w:val="24"/>
          <w:szCs w:val="24"/>
          <w:highlight w:val="none"/>
        </w:rPr>
        <w:t>21. 通知</w:t>
      </w:r>
    </w:p>
    <w:p w14:paraId="4B01B409">
      <w:pPr>
        <w:autoSpaceDE w:val="0"/>
        <w:autoSpaceDN w:val="0"/>
        <w:adjustRightIn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 本合同任何一方向对方发出的通知、信件、数据电文等，应当发送至本合同第一部分《政府采购合同协议书》所约定的通讯地址、联系人、联系电话或电子邮箱。</w:t>
      </w:r>
    </w:p>
    <w:p w14:paraId="573D8D68">
      <w:pPr>
        <w:autoSpaceDE w:val="0"/>
        <w:autoSpaceDN w:val="0"/>
        <w:adjustRightInd w:val="0"/>
        <w:spacing w:line="400" w:lineRule="exact"/>
        <w:rPr>
          <w:rFonts w:ascii="华文楷体" w:hAnsi="华文楷体" w:eastAsia="华文楷体" w:cs="华文楷体"/>
          <w:color w:val="auto"/>
          <w:szCs w:val="21"/>
          <w:highlight w:val="none"/>
        </w:rPr>
      </w:pPr>
      <w:r>
        <w:rPr>
          <w:rFonts w:hint="eastAsia" w:ascii="宋体" w:hAnsi="宋体" w:cs="宋体"/>
          <w:color w:val="auto"/>
          <w:szCs w:val="21"/>
          <w:highlight w:val="none"/>
        </w:rPr>
        <w:t xml:space="preserve">    21.2 一方当事人变更名称、住所、联系人、联系电话或电子邮箱等信息的，应当在变更后3日内及时书面通知对方，对方实际收到变更通知前的送达仍为有效送达。</w:t>
      </w:r>
    </w:p>
    <w:p w14:paraId="1B9522C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21.3本合同一方给另一方的通知均应采用书面形式，传真或快递送到本合同中规定的对方的地址和办理签收手续。</w:t>
      </w:r>
    </w:p>
    <w:p w14:paraId="1E20EC34">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21.4通知以送达之日或通知书中规定的生效之日起生效，两者中以较迟之日为准。</w:t>
      </w:r>
    </w:p>
    <w:p w14:paraId="2EC6D1FD">
      <w:pPr>
        <w:adjustRightInd w:val="0"/>
        <w:snapToGrid w:val="0"/>
        <w:spacing w:line="400" w:lineRule="exact"/>
        <w:jc w:val="left"/>
        <w:rPr>
          <w:rFonts w:ascii="宋体" w:hAnsi="宋体"/>
          <w:b/>
          <w:bCs/>
          <w:color w:val="auto"/>
          <w:sz w:val="24"/>
          <w:szCs w:val="24"/>
          <w:highlight w:val="none"/>
        </w:rPr>
      </w:pPr>
      <w:r>
        <w:rPr>
          <w:rFonts w:hint="eastAsia" w:ascii="宋体" w:hAnsi="宋体"/>
          <w:b/>
          <w:bCs/>
          <w:color w:val="auto"/>
          <w:sz w:val="24"/>
          <w:szCs w:val="24"/>
          <w:highlight w:val="none"/>
        </w:rPr>
        <w:t>22.合同未尽事项</w:t>
      </w:r>
    </w:p>
    <w:p w14:paraId="07D3013F">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22.1合同未尽事项见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3FC0A9A">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22.2 合同附件与合同正文具有同等的法律效力。</w:t>
      </w:r>
    </w:p>
    <w:p w14:paraId="2F448AAD">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70CE4A21">
      <w:pPr>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第三节 政府采购合同专用条款</w:t>
      </w:r>
    </w:p>
    <w:tbl>
      <w:tblPr>
        <w:tblStyle w:val="29"/>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4672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BB48A7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8E40851">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260EDD55">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3268B5A8">
            <w:pPr>
              <w:adjustRightInd w:val="0"/>
              <w:snapToGrid w:val="0"/>
              <w:jc w:val="left"/>
              <w:rPr>
                <w:rFonts w:ascii="宋体" w:hAnsi="宋体"/>
                <w:color w:val="auto"/>
                <w:szCs w:val="21"/>
                <w:highlight w:val="none"/>
              </w:rPr>
            </w:pPr>
          </w:p>
        </w:tc>
      </w:tr>
      <w:tr w14:paraId="09B028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902D73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C80A78">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14:paraId="33035103">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14:paraId="5348C15F">
            <w:pPr>
              <w:adjustRightInd w:val="0"/>
              <w:snapToGrid w:val="0"/>
              <w:jc w:val="left"/>
              <w:rPr>
                <w:rFonts w:ascii="宋体" w:hAnsi="宋体"/>
                <w:color w:val="auto"/>
                <w:szCs w:val="21"/>
                <w:highlight w:val="none"/>
              </w:rPr>
            </w:pPr>
          </w:p>
        </w:tc>
      </w:tr>
      <w:tr w14:paraId="5BF0A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D0E93B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56723CA">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vAlign w:val="center"/>
          </w:tcPr>
          <w:p w14:paraId="2AEBBBD6">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14:paraId="1D982336">
            <w:pPr>
              <w:adjustRightInd w:val="0"/>
              <w:snapToGrid w:val="0"/>
              <w:jc w:val="left"/>
              <w:rPr>
                <w:rFonts w:ascii="宋体" w:hAnsi="宋体"/>
                <w:color w:val="auto"/>
                <w:szCs w:val="21"/>
                <w:highlight w:val="none"/>
              </w:rPr>
            </w:pPr>
          </w:p>
        </w:tc>
      </w:tr>
      <w:tr w14:paraId="68BBD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B3E4D1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B16D4C">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vAlign w:val="center"/>
          </w:tcPr>
          <w:p w14:paraId="73962435">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14:paraId="0FC363A1">
            <w:pPr>
              <w:adjustRightInd w:val="0"/>
              <w:snapToGrid w:val="0"/>
              <w:jc w:val="left"/>
              <w:rPr>
                <w:rFonts w:ascii="宋体" w:hAnsi="宋体"/>
                <w:color w:val="auto"/>
                <w:szCs w:val="21"/>
                <w:highlight w:val="none"/>
              </w:rPr>
            </w:pPr>
          </w:p>
        </w:tc>
      </w:tr>
      <w:tr w14:paraId="377F7B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17630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508015C">
            <w:pPr>
              <w:snapToGrid w:val="0"/>
              <w:jc w:val="center"/>
              <w:rPr>
                <w:color w:val="auto"/>
                <w:szCs w:val="24"/>
                <w:highlight w:val="none"/>
              </w:rPr>
            </w:pPr>
            <w:r>
              <w:rPr>
                <w:rFonts w:hint="eastAsia" w:ascii="宋体" w:hAnsi="宋体"/>
                <w:color w:val="auto"/>
                <w:szCs w:val="21"/>
                <w:highlight w:val="none"/>
              </w:rPr>
              <w:t>第5.4款</w:t>
            </w:r>
          </w:p>
        </w:tc>
        <w:tc>
          <w:tcPr>
            <w:tcW w:w="1742" w:type="dxa"/>
            <w:vAlign w:val="center"/>
          </w:tcPr>
          <w:p w14:paraId="053490C2">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14:paraId="0B4C13E8">
            <w:pPr>
              <w:adjustRightInd w:val="0"/>
              <w:snapToGrid w:val="0"/>
              <w:jc w:val="left"/>
              <w:rPr>
                <w:rFonts w:ascii="宋体" w:hAnsi="宋体"/>
                <w:color w:val="auto"/>
                <w:szCs w:val="21"/>
                <w:highlight w:val="none"/>
              </w:rPr>
            </w:pPr>
          </w:p>
        </w:tc>
      </w:tr>
      <w:tr w14:paraId="4EAD9A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7E02E3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9E6C7CD">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vAlign w:val="center"/>
          </w:tcPr>
          <w:p w14:paraId="7DA46F8F">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14:paraId="669E8145">
            <w:pPr>
              <w:adjustRightInd w:val="0"/>
              <w:snapToGrid w:val="0"/>
              <w:jc w:val="left"/>
              <w:rPr>
                <w:rFonts w:ascii="宋体" w:hAnsi="宋体"/>
                <w:color w:val="auto"/>
                <w:szCs w:val="21"/>
                <w:highlight w:val="none"/>
              </w:rPr>
            </w:pPr>
          </w:p>
        </w:tc>
      </w:tr>
      <w:tr w14:paraId="35D71A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8CCFF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830B617">
            <w:pPr>
              <w:adjustRightInd w:val="0"/>
              <w:snapToGrid w:val="0"/>
              <w:jc w:val="center"/>
              <w:rPr>
                <w:rFonts w:ascii="宋体" w:hAnsi="宋体"/>
                <w:color w:val="auto"/>
                <w:szCs w:val="21"/>
                <w:highlight w:val="none"/>
              </w:rPr>
            </w:pPr>
            <w:r>
              <w:rPr>
                <w:rFonts w:hint="eastAsia" w:ascii="宋体" w:hAnsi="宋体"/>
                <w:color w:val="auto"/>
                <w:szCs w:val="21"/>
                <w:highlight w:val="none"/>
              </w:rPr>
              <w:t>第7.2（1）项</w:t>
            </w:r>
          </w:p>
        </w:tc>
        <w:tc>
          <w:tcPr>
            <w:tcW w:w="1742" w:type="dxa"/>
            <w:vAlign w:val="center"/>
          </w:tcPr>
          <w:p w14:paraId="46EC9E43">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418B4B8C">
            <w:pPr>
              <w:autoSpaceDE w:val="0"/>
              <w:autoSpaceDN w:val="0"/>
              <w:adjustRightInd w:val="0"/>
              <w:snapToGrid w:val="0"/>
              <w:ind w:firstLine="420" w:firstLineChars="200"/>
              <w:jc w:val="left"/>
              <w:rPr>
                <w:rFonts w:ascii="宋体" w:hAnsi="宋体"/>
                <w:color w:val="auto"/>
                <w:szCs w:val="21"/>
                <w:highlight w:val="none"/>
              </w:rPr>
            </w:pPr>
          </w:p>
        </w:tc>
      </w:tr>
      <w:tr w14:paraId="5A4795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103554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499A9B4">
            <w:pPr>
              <w:adjustRightInd w:val="0"/>
              <w:snapToGrid w:val="0"/>
              <w:jc w:val="center"/>
              <w:rPr>
                <w:rFonts w:ascii="宋体" w:hAnsi="宋体"/>
                <w:color w:val="auto"/>
                <w:szCs w:val="21"/>
                <w:highlight w:val="none"/>
              </w:rPr>
            </w:pPr>
            <w:r>
              <w:rPr>
                <w:rFonts w:hint="eastAsia" w:ascii="宋体" w:hAnsi="宋体"/>
                <w:color w:val="auto"/>
                <w:szCs w:val="21"/>
                <w:highlight w:val="none"/>
              </w:rPr>
              <w:t>第7.2（3）项</w:t>
            </w:r>
          </w:p>
        </w:tc>
        <w:tc>
          <w:tcPr>
            <w:tcW w:w="1742" w:type="dxa"/>
            <w:vAlign w:val="center"/>
          </w:tcPr>
          <w:p w14:paraId="434C3559">
            <w:pPr>
              <w:adjustRightInd w:val="0"/>
              <w:snapToGrid w:val="0"/>
              <w:jc w:val="left"/>
              <w:rPr>
                <w:rFonts w:ascii="宋体" w:hAnsi="宋体"/>
                <w:color w:val="auto"/>
                <w:szCs w:val="21"/>
                <w:highlight w:val="none"/>
              </w:rPr>
            </w:pPr>
            <w:r>
              <w:rPr>
                <w:rFonts w:hint="eastAsia" w:ascii="宋体" w:hAnsi="宋体"/>
                <w:color w:val="auto"/>
                <w:szCs w:val="21"/>
                <w:highlight w:val="none"/>
              </w:rPr>
              <w:t>服务成果质量缺陷响应时间</w:t>
            </w:r>
          </w:p>
        </w:tc>
        <w:tc>
          <w:tcPr>
            <w:tcW w:w="5170" w:type="dxa"/>
            <w:vAlign w:val="center"/>
          </w:tcPr>
          <w:p w14:paraId="24F93D60">
            <w:pPr>
              <w:adjustRightInd w:val="0"/>
              <w:snapToGrid w:val="0"/>
              <w:jc w:val="left"/>
              <w:rPr>
                <w:rFonts w:ascii="宋体" w:hAnsi="宋体"/>
                <w:color w:val="auto"/>
                <w:szCs w:val="21"/>
                <w:highlight w:val="none"/>
              </w:rPr>
            </w:pPr>
          </w:p>
        </w:tc>
      </w:tr>
      <w:tr w14:paraId="63332F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A7793F3">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29CF3E3">
            <w:pPr>
              <w:autoSpaceDE w:val="0"/>
              <w:autoSpaceDN w:val="0"/>
              <w:adjustRightInd w:val="0"/>
              <w:spacing w:line="400" w:lineRule="exact"/>
              <w:jc w:val="center"/>
              <w:rPr>
                <w:rFonts w:ascii="华文楷体" w:hAnsi="华文楷体" w:eastAsia="华文楷体" w:cs="华文楷体"/>
                <w:color w:val="auto"/>
                <w:sz w:val="22"/>
                <w:szCs w:val="21"/>
                <w:highlight w:val="none"/>
              </w:rPr>
            </w:pPr>
            <w:r>
              <w:rPr>
                <w:rFonts w:hint="eastAsia" w:ascii="宋体" w:hAnsi="宋体" w:cs="宋体"/>
                <w:color w:val="auto"/>
                <w:sz w:val="22"/>
                <w:szCs w:val="21"/>
                <w:highlight w:val="none"/>
              </w:rPr>
              <w:t>第10.1款</w:t>
            </w:r>
          </w:p>
        </w:tc>
        <w:tc>
          <w:tcPr>
            <w:tcW w:w="1742" w:type="dxa"/>
            <w:vAlign w:val="center"/>
          </w:tcPr>
          <w:p w14:paraId="222C4959">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14:paraId="537038F7">
            <w:pPr>
              <w:adjustRightInd w:val="0"/>
              <w:snapToGrid w:val="0"/>
              <w:jc w:val="left"/>
              <w:rPr>
                <w:rFonts w:ascii="宋体" w:hAnsi="宋体"/>
                <w:color w:val="auto"/>
                <w:szCs w:val="21"/>
                <w:highlight w:val="none"/>
              </w:rPr>
            </w:pPr>
          </w:p>
        </w:tc>
      </w:tr>
      <w:tr w14:paraId="504621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7E9B63B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7A60EB0">
            <w:pPr>
              <w:adjustRightInd w:val="0"/>
              <w:snapToGrid w:val="0"/>
              <w:jc w:val="center"/>
              <w:rPr>
                <w:rFonts w:ascii="宋体" w:hAnsi="宋体"/>
                <w:color w:val="auto"/>
                <w:szCs w:val="21"/>
                <w:highlight w:val="none"/>
              </w:rPr>
            </w:pPr>
            <w:r>
              <w:rPr>
                <w:rFonts w:hint="eastAsia" w:ascii="宋体" w:hAnsi="宋体"/>
                <w:color w:val="auto"/>
                <w:szCs w:val="21"/>
                <w:highlight w:val="none"/>
              </w:rPr>
              <w:t>第11.2款</w:t>
            </w:r>
          </w:p>
        </w:tc>
        <w:tc>
          <w:tcPr>
            <w:tcW w:w="1742" w:type="dxa"/>
            <w:vAlign w:val="center"/>
          </w:tcPr>
          <w:p w14:paraId="4413169D">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14:paraId="125044A8">
            <w:pPr>
              <w:adjustRightInd w:val="0"/>
              <w:snapToGrid w:val="0"/>
              <w:jc w:val="left"/>
              <w:rPr>
                <w:rFonts w:ascii="宋体" w:hAnsi="宋体"/>
                <w:color w:val="auto"/>
                <w:szCs w:val="21"/>
                <w:highlight w:val="none"/>
              </w:rPr>
            </w:pPr>
          </w:p>
        </w:tc>
      </w:tr>
      <w:tr w14:paraId="47FEC1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4ADBAEB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A1A2DA9">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14:paraId="21CA396E">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14:paraId="4FB3963F">
            <w:pPr>
              <w:adjustRightInd w:val="0"/>
              <w:snapToGrid w:val="0"/>
              <w:jc w:val="left"/>
              <w:rPr>
                <w:rFonts w:ascii="宋体" w:hAnsi="宋体"/>
                <w:color w:val="auto"/>
                <w:szCs w:val="21"/>
                <w:highlight w:val="none"/>
              </w:rPr>
            </w:pPr>
          </w:p>
        </w:tc>
      </w:tr>
      <w:tr w14:paraId="334A1D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124F7C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AE0D9E8">
            <w:pPr>
              <w:adjustRightInd w:val="0"/>
              <w:snapToGrid w:val="0"/>
              <w:jc w:val="center"/>
              <w:rPr>
                <w:rFonts w:ascii="宋体" w:hAnsi="宋体"/>
                <w:color w:val="auto"/>
                <w:szCs w:val="21"/>
                <w:highlight w:val="none"/>
              </w:rPr>
            </w:pPr>
            <w:r>
              <w:rPr>
                <w:rFonts w:hint="eastAsia" w:ascii="宋体" w:hAnsi="宋体"/>
                <w:color w:val="auto"/>
                <w:szCs w:val="21"/>
                <w:highlight w:val="none"/>
              </w:rPr>
              <w:t>第12.3款</w:t>
            </w:r>
          </w:p>
        </w:tc>
        <w:tc>
          <w:tcPr>
            <w:tcW w:w="1742" w:type="dxa"/>
            <w:vAlign w:val="center"/>
          </w:tcPr>
          <w:p w14:paraId="1A263393">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14:paraId="756D1747">
            <w:pPr>
              <w:adjustRightInd w:val="0"/>
              <w:snapToGrid w:val="0"/>
              <w:jc w:val="left"/>
              <w:rPr>
                <w:rFonts w:ascii="宋体" w:hAnsi="宋体"/>
                <w:color w:val="auto"/>
                <w:szCs w:val="21"/>
                <w:highlight w:val="none"/>
              </w:rPr>
            </w:pPr>
          </w:p>
        </w:tc>
      </w:tr>
      <w:tr w14:paraId="50389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35BD55C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D63970C">
            <w:pPr>
              <w:adjustRightInd w:val="0"/>
              <w:snapToGrid w:val="0"/>
              <w:jc w:val="center"/>
              <w:rPr>
                <w:rFonts w:ascii="宋体" w:hAnsi="宋体"/>
                <w:color w:val="auto"/>
                <w:szCs w:val="21"/>
                <w:highlight w:val="none"/>
              </w:rPr>
            </w:pPr>
            <w:r>
              <w:rPr>
                <w:rFonts w:hint="eastAsia" w:ascii="宋体" w:hAnsi="宋体"/>
                <w:color w:val="auto"/>
                <w:szCs w:val="21"/>
                <w:highlight w:val="none"/>
              </w:rPr>
              <w:t>第13.1（3）项</w:t>
            </w:r>
          </w:p>
        </w:tc>
        <w:tc>
          <w:tcPr>
            <w:tcW w:w="1742" w:type="dxa"/>
            <w:vAlign w:val="center"/>
          </w:tcPr>
          <w:p w14:paraId="6E8B79A3">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14:paraId="6F0B7E9D">
            <w:pPr>
              <w:adjustRightInd w:val="0"/>
              <w:snapToGrid w:val="0"/>
              <w:jc w:val="left"/>
              <w:rPr>
                <w:rFonts w:ascii="宋体" w:hAnsi="宋体"/>
                <w:color w:val="auto"/>
                <w:szCs w:val="21"/>
                <w:highlight w:val="none"/>
              </w:rPr>
            </w:pPr>
          </w:p>
        </w:tc>
      </w:tr>
      <w:tr w14:paraId="77E068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2A620F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CC77B7">
            <w:pPr>
              <w:adjustRightInd w:val="0"/>
              <w:snapToGrid w:val="0"/>
              <w:jc w:val="center"/>
              <w:rPr>
                <w:rFonts w:ascii="宋体" w:hAnsi="宋体"/>
                <w:color w:val="auto"/>
                <w:szCs w:val="21"/>
                <w:highlight w:val="none"/>
              </w:rPr>
            </w:pPr>
            <w:r>
              <w:rPr>
                <w:rFonts w:hint="eastAsia" w:ascii="宋体" w:hAnsi="宋体"/>
                <w:color w:val="auto"/>
                <w:szCs w:val="21"/>
                <w:highlight w:val="none"/>
              </w:rPr>
              <w:t>第13.1（5）项</w:t>
            </w:r>
          </w:p>
        </w:tc>
        <w:tc>
          <w:tcPr>
            <w:tcW w:w="1742" w:type="dxa"/>
            <w:vAlign w:val="center"/>
          </w:tcPr>
          <w:p w14:paraId="213348AF">
            <w:pPr>
              <w:adjustRightInd w:val="0"/>
              <w:snapToGrid w:val="0"/>
              <w:jc w:val="left"/>
              <w:rPr>
                <w:rFonts w:ascii="宋体" w:hAnsi="宋体"/>
                <w:color w:val="auto"/>
                <w:szCs w:val="21"/>
                <w:highlight w:val="none"/>
              </w:rPr>
            </w:pPr>
            <w:r>
              <w:rPr>
                <w:rFonts w:hint="eastAsia" w:ascii="宋体" w:hAnsi="宋体"/>
                <w:color w:val="auto"/>
                <w:szCs w:val="21"/>
                <w:highlight w:val="none"/>
              </w:rPr>
              <w:t>服务成果回收的约定</w:t>
            </w:r>
          </w:p>
        </w:tc>
        <w:tc>
          <w:tcPr>
            <w:tcW w:w="5170" w:type="dxa"/>
            <w:vAlign w:val="center"/>
          </w:tcPr>
          <w:p w14:paraId="695EE2EA">
            <w:pPr>
              <w:adjustRightInd w:val="0"/>
              <w:snapToGrid w:val="0"/>
              <w:jc w:val="left"/>
              <w:rPr>
                <w:rFonts w:ascii="宋体" w:hAnsi="宋体"/>
                <w:color w:val="auto"/>
                <w:szCs w:val="21"/>
                <w:highlight w:val="none"/>
              </w:rPr>
            </w:pPr>
          </w:p>
        </w:tc>
      </w:tr>
      <w:tr w14:paraId="59EBD6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7BEEBA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50B2775">
            <w:pPr>
              <w:adjustRightInd w:val="0"/>
              <w:snapToGrid w:val="0"/>
              <w:jc w:val="center"/>
              <w:rPr>
                <w:rFonts w:ascii="宋体" w:hAnsi="宋体"/>
                <w:color w:val="auto"/>
                <w:szCs w:val="21"/>
                <w:highlight w:val="none"/>
              </w:rPr>
            </w:pPr>
            <w:r>
              <w:rPr>
                <w:rFonts w:hint="eastAsia" w:ascii="宋体" w:hAnsi="宋体"/>
                <w:color w:val="auto"/>
                <w:szCs w:val="21"/>
                <w:highlight w:val="none"/>
              </w:rPr>
              <w:t>第13.1（6）项</w:t>
            </w:r>
          </w:p>
        </w:tc>
        <w:tc>
          <w:tcPr>
            <w:tcW w:w="1742" w:type="dxa"/>
            <w:vAlign w:val="center"/>
          </w:tcPr>
          <w:p w14:paraId="6A2B6F96">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1021976A">
            <w:pPr>
              <w:adjustRightInd w:val="0"/>
              <w:snapToGrid w:val="0"/>
              <w:jc w:val="left"/>
              <w:rPr>
                <w:rFonts w:ascii="宋体" w:hAnsi="宋体"/>
                <w:color w:val="auto"/>
                <w:szCs w:val="21"/>
                <w:highlight w:val="none"/>
              </w:rPr>
            </w:pPr>
          </w:p>
        </w:tc>
      </w:tr>
      <w:tr w14:paraId="520D9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674018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7DA71D8">
            <w:pPr>
              <w:adjustRightInd w:val="0"/>
              <w:snapToGrid w:val="0"/>
              <w:jc w:val="center"/>
              <w:rPr>
                <w:rFonts w:ascii="宋体" w:hAnsi="宋体"/>
                <w:color w:val="auto"/>
                <w:szCs w:val="21"/>
                <w:highlight w:val="none"/>
              </w:rPr>
            </w:pPr>
            <w:r>
              <w:rPr>
                <w:rFonts w:hint="eastAsia" w:ascii="宋体" w:hAnsi="宋体"/>
                <w:color w:val="auto"/>
                <w:szCs w:val="21"/>
                <w:highlight w:val="none"/>
              </w:rPr>
              <w:t>第14.1款</w:t>
            </w:r>
          </w:p>
        </w:tc>
        <w:tc>
          <w:tcPr>
            <w:tcW w:w="1742" w:type="dxa"/>
            <w:vAlign w:val="center"/>
          </w:tcPr>
          <w:p w14:paraId="32325040">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14:paraId="64937E0C">
            <w:pPr>
              <w:adjustRightInd w:val="0"/>
              <w:snapToGrid w:val="0"/>
              <w:jc w:val="left"/>
              <w:rPr>
                <w:rFonts w:ascii="宋体" w:hAnsi="宋体"/>
                <w:color w:val="auto"/>
                <w:szCs w:val="21"/>
                <w:highlight w:val="none"/>
              </w:rPr>
            </w:pPr>
          </w:p>
        </w:tc>
      </w:tr>
      <w:tr w14:paraId="7D2095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9388B3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1B81168">
            <w:pPr>
              <w:adjustRightInd w:val="0"/>
              <w:snapToGrid w:val="0"/>
              <w:jc w:val="center"/>
              <w:rPr>
                <w:rFonts w:ascii="宋体" w:hAnsi="宋体"/>
                <w:color w:val="auto"/>
                <w:szCs w:val="21"/>
                <w:highlight w:val="none"/>
              </w:rPr>
            </w:pPr>
            <w:r>
              <w:rPr>
                <w:rFonts w:hint="eastAsia" w:ascii="宋体" w:hAnsi="宋体"/>
                <w:color w:val="auto"/>
                <w:szCs w:val="21"/>
                <w:highlight w:val="none"/>
              </w:rPr>
              <w:t>第14.2（2）项</w:t>
            </w:r>
          </w:p>
        </w:tc>
        <w:tc>
          <w:tcPr>
            <w:tcW w:w="1742" w:type="dxa"/>
            <w:vAlign w:val="center"/>
          </w:tcPr>
          <w:p w14:paraId="7948EEBC">
            <w:pPr>
              <w:adjustRightInd w:val="0"/>
              <w:snapToGrid w:val="0"/>
              <w:jc w:val="left"/>
              <w:rPr>
                <w:rFonts w:ascii="宋体" w:hAnsi="宋体"/>
                <w:color w:val="auto"/>
                <w:szCs w:val="21"/>
                <w:highlight w:val="none"/>
              </w:rPr>
            </w:pPr>
            <w:r>
              <w:rPr>
                <w:rFonts w:hint="eastAsia" w:ascii="宋体" w:hAnsi="宋体"/>
                <w:color w:val="auto"/>
                <w:szCs w:val="21"/>
                <w:highlight w:val="none"/>
              </w:rPr>
              <w:t>迟延交付赔偿费</w:t>
            </w:r>
          </w:p>
        </w:tc>
        <w:tc>
          <w:tcPr>
            <w:tcW w:w="5170" w:type="dxa"/>
            <w:vAlign w:val="center"/>
          </w:tcPr>
          <w:p w14:paraId="31F6295B">
            <w:pPr>
              <w:adjustRightInd w:val="0"/>
              <w:snapToGrid w:val="0"/>
              <w:jc w:val="left"/>
              <w:rPr>
                <w:rFonts w:ascii="宋体" w:hAnsi="宋体"/>
                <w:color w:val="auto"/>
                <w:szCs w:val="21"/>
                <w:highlight w:val="none"/>
                <w:u w:val="single"/>
              </w:rPr>
            </w:pPr>
          </w:p>
        </w:tc>
      </w:tr>
      <w:tr w14:paraId="5432DF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E5AF79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7C3A70">
            <w:pPr>
              <w:adjustRightInd w:val="0"/>
              <w:snapToGrid w:val="0"/>
              <w:jc w:val="center"/>
              <w:rPr>
                <w:rFonts w:ascii="宋体" w:hAnsi="宋体"/>
                <w:color w:val="auto"/>
                <w:szCs w:val="21"/>
                <w:highlight w:val="none"/>
              </w:rPr>
            </w:pPr>
            <w:r>
              <w:rPr>
                <w:rFonts w:hint="eastAsia" w:ascii="宋体" w:hAnsi="宋体"/>
                <w:color w:val="auto"/>
                <w:szCs w:val="21"/>
                <w:highlight w:val="none"/>
              </w:rPr>
              <w:t>第14.3款</w:t>
            </w:r>
          </w:p>
        </w:tc>
        <w:tc>
          <w:tcPr>
            <w:tcW w:w="1742" w:type="dxa"/>
            <w:vAlign w:val="center"/>
          </w:tcPr>
          <w:p w14:paraId="0C2D763A">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54767C8E">
            <w:pPr>
              <w:adjustRightInd w:val="0"/>
              <w:snapToGrid w:val="0"/>
              <w:jc w:val="left"/>
              <w:rPr>
                <w:rFonts w:ascii="宋体" w:hAnsi="宋体"/>
                <w:color w:val="auto"/>
                <w:szCs w:val="21"/>
                <w:highlight w:val="none"/>
                <w:u w:val="single"/>
              </w:rPr>
            </w:pPr>
          </w:p>
        </w:tc>
      </w:tr>
      <w:tr w14:paraId="01BF5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3ED42AF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AE409FC">
            <w:pPr>
              <w:adjustRightInd w:val="0"/>
              <w:snapToGrid w:val="0"/>
              <w:jc w:val="center"/>
              <w:rPr>
                <w:rFonts w:ascii="宋体" w:hAnsi="宋体"/>
                <w:color w:val="auto"/>
                <w:szCs w:val="21"/>
                <w:highlight w:val="none"/>
              </w:rPr>
            </w:pPr>
            <w:r>
              <w:rPr>
                <w:rFonts w:hint="eastAsia" w:ascii="宋体" w:hAnsi="宋体"/>
                <w:color w:val="auto"/>
                <w:szCs w:val="21"/>
                <w:highlight w:val="none"/>
              </w:rPr>
              <w:t>第14.4款</w:t>
            </w:r>
          </w:p>
        </w:tc>
        <w:tc>
          <w:tcPr>
            <w:tcW w:w="1742" w:type="dxa"/>
            <w:tcBorders>
              <w:left w:val="single" w:color="auto" w:sz="2" w:space="0"/>
              <w:bottom w:val="single" w:color="auto" w:sz="2" w:space="0"/>
              <w:right w:val="single" w:color="auto" w:sz="2" w:space="0"/>
            </w:tcBorders>
            <w:vAlign w:val="center"/>
          </w:tcPr>
          <w:p w14:paraId="69484F9B">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0BBD806F">
            <w:pPr>
              <w:adjustRightInd w:val="0"/>
              <w:snapToGrid w:val="0"/>
              <w:jc w:val="left"/>
              <w:rPr>
                <w:rFonts w:ascii="宋体" w:hAnsi="宋体"/>
                <w:color w:val="auto"/>
                <w:szCs w:val="21"/>
                <w:highlight w:val="none"/>
                <w:u w:val="single"/>
              </w:rPr>
            </w:pPr>
          </w:p>
        </w:tc>
      </w:tr>
      <w:tr w14:paraId="2F21EE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4D5357C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DDB0220">
            <w:pPr>
              <w:adjustRightInd w:val="0"/>
              <w:snapToGrid w:val="0"/>
              <w:jc w:val="center"/>
              <w:rPr>
                <w:rFonts w:ascii="宋体" w:hAnsi="宋体"/>
                <w:color w:val="auto"/>
                <w:szCs w:val="21"/>
                <w:highlight w:val="none"/>
              </w:rPr>
            </w:pPr>
            <w:r>
              <w:rPr>
                <w:rFonts w:hint="eastAsia" w:ascii="宋体" w:hAnsi="宋体"/>
                <w:color w:val="auto"/>
                <w:szCs w:val="21"/>
                <w:highlight w:val="none"/>
              </w:rPr>
              <w:t>第18.2款</w:t>
            </w:r>
          </w:p>
        </w:tc>
        <w:tc>
          <w:tcPr>
            <w:tcW w:w="1742" w:type="dxa"/>
            <w:tcBorders>
              <w:top w:val="single" w:color="auto" w:sz="2" w:space="0"/>
              <w:left w:val="single" w:color="auto" w:sz="2" w:space="0"/>
              <w:right w:val="single" w:color="auto" w:sz="2" w:space="0"/>
            </w:tcBorders>
            <w:vAlign w:val="center"/>
          </w:tcPr>
          <w:p w14:paraId="471BD4AC">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2DDC8E45">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423F88A7">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6ADB8B9F">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2914D1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0AA3B8D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5051301">
            <w:pPr>
              <w:adjustRightInd w:val="0"/>
              <w:snapToGrid w:val="0"/>
              <w:jc w:val="center"/>
              <w:rPr>
                <w:rFonts w:ascii="宋体" w:hAnsi="宋体"/>
                <w:color w:val="auto"/>
                <w:szCs w:val="21"/>
                <w:highlight w:val="none"/>
              </w:rPr>
            </w:pPr>
            <w:r>
              <w:rPr>
                <w:rFonts w:hint="eastAsia" w:ascii="宋体" w:hAnsi="宋体"/>
                <w:color w:val="auto"/>
                <w:szCs w:val="21"/>
                <w:highlight w:val="none"/>
              </w:rPr>
              <w:t>第22.1款</w:t>
            </w:r>
          </w:p>
        </w:tc>
        <w:tc>
          <w:tcPr>
            <w:tcW w:w="1742" w:type="dxa"/>
            <w:vAlign w:val="center"/>
          </w:tcPr>
          <w:p w14:paraId="524F8F7E">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14:paraId="7981F7B0">
            <w:pPr>
              <w:adjustRightInd w:val="0"/>
              <w:snapToGrid w:val="0"/>
              <w:jc w:val="left"/>
              <w:rPr>
                <w:rFonts w:ascii="宋体" w:hAnsi="宋体"/>
                <w:color w:val="auto"/>
                <w:szCs w:val="21"/>
                <w:highlight w:val="none"/>
              </w:rPr>
            </w:pPr>
          </w:p>
        </w:tc>
      </w:tr>
    </w:tbl>
    <w:p w14:paraId="7DF7CDBD">
      <w:pPr>
        <w:pStyle w:val="2"/>
        <w:spacing w:after="0"/>
        <w:jc w:val="center"/>
        <w:rPr>
          <w:rFonts w:ascii="宋体" w:hAnsi="宋体" w:cs="宋体"/>
          <w:b/>
          <w:bCs/>
          <w:color w:val="auto"/>
          <w:spacing w:val="-20"/>
          <w:kern w:val="44"/>
          <w:sz w:val="48"/>
          <w:szCs w:val="48"/>
          <w:highlight w:val="none"/>
        </w:rPr>
      </w:pPr>
    </w:p>
    <w:p w14:paraId="50A42A2E">
      <w:pPr>
        <w:pStyle w:val="2"/>
        <w:spacing w:after="0"/>
        <w:ind w:firstLine="884"/>
        <w:jc w:val="center"/>
        <w:rPr>
          <w:rFonts w:ascii="宋体" w:hAnsi="宋体" w:cs="宋体"/>
          <w:b/>
          <w:bCs/>
          <w:color w:val="auto"/>
          <w:spacing w:val="-20"/>
          <w:kern w:val="44"/>
          <w:sz w:val="48"/>
          <w:szCs w:val="48"/>
          <w:highlight w:val="none"/>
        </w:rPr>
      </w:pPr>
    </w:p>
    <w:p w14:paraId="1DD2EE50">
      <w:pPr>
        <w:pStyle w:val="2"/>
        <w:spacing w:after="0"/>
        <w:ind w:firstLine="884"/>
        <w:jc w:val="center"/>
        <w:rPr>
          <w:rFonts w:ascii="宋体" w:hAnsi="宋体" w:cs="宋体"/>
          <w:b/>
          <w:bCs/>
          <w:color w:val="auto"/>
          <w:spacing w:val="-20"/>
          <w:kern w:val="44"/>
          <w:sz w:val="48"/>
          <w:szCs w:val="48"/>
          <w:highlight w:val="none"/>
        </w:rPr>
      </w:pPr>
    </w:p>
    <w:p w14:paraId="775929A0">
      <w:pPr>
        <w:pStyle w:val="2"/>
        <w:spacing w:after="0"/>
        <w:ind w:firstLine="884"/>
        <w:jc w:val="center"/>
        <w:rPr>
          <w:rFonts w:ascii="宋体" w:hAnsi="宋体" w:cs="宋体"/>
          <w:b/>
          <w:bCs/>
          <w:color w:val="auto"/>
          <w:spacing w:val="-20"/>
          <w:kern w:val="44"/>
          <w:sz w:val="48"/>
          <w:szCs w:val="48"/>
          <w:highlight w:val="none"/>
        </w:rPr>
      </w:pPr>
    </w:p>
    <w:p w14:paraId="0149F521">
      <w:pPr>
        <w:pStyle w:val="2"/>
        <w:spacing w:after="0"/>
        <w:ind w:firstLine="884"/>
        <w:jc w:val="center"/>
        <w:rPr>
          <w:rFonts w:ascii="宋体" w:hAnsi="宋体" w:cs="宋体"/>
          <w:b/>
          <w:bCs/>
          <w:color w:val="auto"/>
          <w:spacing w:val="-20"/>
          <w:kern w:val="44"/>
          <w:sz w:val="48"/>
          <w:szCs w:val="48"/>
          <w:highlight w:val="none"/>
        </w:rPr>
      </w:pPr>
    </w:p>
    <w:p w14:paraId="149176D5">
      <w:pPr>
        <w:pStyle w:val="2"/>
        <w:spacing w:after="0"/>
        <w:ind w:firstLine="884"/>
        <w:jc w:val="center"/>
        <w:rPr>
          <w:rFonts w:ascii="宋体" w:hAnsi="宋体" w:cs="宋体"/>
          <w:b/>
          <w:bCs/>
          <w:color w:val="auto"/>
          <w:spacing w:val="-20"/>
          <w:kern w:val="44"/>
          <w:sz w:val="48"/>
          <w:szCs w:val="48"/>
          <w:highlight w:val="none"/>
        </w:rPr>
      </w:pPr>
    </w:p>
    <w:p w14:paraId="4948987A">
      <w:pPr>
        <w:pStyle w:val="2"/>
        <w:spacing w:after="0"/>
        <w:ind w:firstLine="884"/>
        <w:jc w:val="center"/>
        <w:rPr>
          <w:rFonts w:ascii="宋体" w:hAnsi="宋体" w:cs="宋体"/>
          <w:b/>
          <w:bCs/>
          <w:color w:val="auto"/>
          <w:spacing w:val="-20"/>
          <w:kern w:val="44"/>
          <w:sz w:val="48"/>
          <w:szCs w:val="48"/>
          <w:highlight w:val="none"/>
        </w:rPr>
      </w:pPr>
    </w:p>
    <w:p w14:paraId="6331E269">
      <w:pPr>
        <w:pStyle w:val="2"/>
        <w:spacing w:after="0"/>
        <w:ind w:firstLine="884"/>
        <w:jc w:val="center"/>
        <w:rPr>
          <w:rFonts w:ascii="宋体" w:hAnsi="宋体" w:cs="宋体"/>
          <w:b/>
          <w:bCs/>
          <w:color w:val="auto"/>
          <w:spacing w:val="-20"/>
          <w:kern w:val="44"/>
          <w:sz w:val="48"/>
          <w:szCs w:val="48"/>
          <w:highlight w:val="none"/>
        </w:rPr>
      </w:pPr>
    </w:p>
    <w:p w14:paraId="28020CE0">
      <w:pPr>
        <w:pStyle w:val="2"/>
        <w:spacing w:after="0"/>
        <w:ind w:firstLine="884"/>
        <w:jc w:val="center"/>
        <w:rPr>
          <w:rFonts w:ascii="宋体" w:hAnsi="宋体" w:cs="宋体"/>
          <w:b/>
          <w:bCs/>
          <w:color w:val="auto"/>
          <w:spacing w:val="-20"/>
          <w:kern w:val="44"/>
          <w:sz w:val="48"/>
          <w:szCs w:val="48"/>
          <w:highlight w:val="none"/>
        </w:rPr>
      </w:pPr>
    </w:p>
    <w:p w14:paraId="056BB168">
      <w:pPr>
        <w:pStyle w:val="2"/>
        <w:spacing w:after="0"/>
        <w:ind w:firstLine="884"/>
        <w:jc w:val="center"/>
        <w:rPr>
          <w:rFonts w:ascii="宋体" w:hAnsi="宋体" w:cs="宋体"/>
          <w:b/>
          <w:bCs/>
          <w:color w:val="auto"/>
          <w:spacing w:val="-20"/>
          <w:kern w:val="44"/>
          <w:sz w:val="48"/>
          <w:szCs w:val="48"/>
          <w:highlight w:val="none"/>
        </w:rPr>
      </w:pPr>
    </w:p>
    <w:p w14:paraId="5D85FC99">
      <w:pPr>
        <w:pStyle w:val="2"/>
        <w:spacing w:after="0"/>
        <w:ind w:firstLine="884"/>
        <w:jc w:val="center"/>
        <w:rPr>
          <w:rFonts w:ascii="宋体" w:hAnsi="宋体" w:cs="宋体"/>
          <w:b/>
          <w:bCs/>
          <w:color w:val="auto"/>
          <w:spacing w:val="-20"/>
          <w:kern w:val="44"/>
          <w:sz w:val="48"/>
          <w:szCs w:val="48"/>
          <w:highlight w:val="none"/>
        </w:rPr>
      </w:pPr>
    </w:p>
    <w:p w14:paraId="7061D6F3">
      <w:pPr>
        <w:pStyle w:val="2"/>
        <w:spacing w:after="0"/>
        <w:ind w:firstLine="884"/>
        <w:jc w:val="center"/>
        <w:rPr>
          <w:rFonts w:ascii="宋体" w:hAnsi="宋体" w:cs="宋体"/>
          <w:b/>
          <w:bCs/>
          <w:color w:val="auto"/>
          <w:spacing w:val="-20"/>
          <w:kern w:val="44"/>
          <w:sz w:val="48"/>
          <w:szCs w:val="48"/>
          <w:highlight w:val="none"/>
        </w:rPr>
      </w:pPr>
    </w:p>
    <w:p w14:paraId="545E9A0D">
      <w:pPr>
        <w:pStyle w:val="2"/>
        <w:spacing w:after="0"/>
        <w:ind w:firstLine="884"/>
        <w:jc w:val="center"/>
        <w:rPr>
          <w:rFonts w:ascii="宋体" w:hAnsi="宋体" w:cs="宋体"/>
          <w:b/>
          <w:bCs/>
          <w:color w:val="auto"/>
          <w:spacing w:val="-20"/>
          <w:kern w:val="44"/>
          <w:sz w:val="48"/>
          <w:szCs w:val="48"/>
          <w:highlight w:val="none"/>
        </w:rPr>
      </w:pPr>
    </w:p>
    <w:p w14:paraId="6AB642B6">
      <w:pPr>
        <w:pStyle w:val="2"/>
        <w:spacing w:after="0"/>
        <w:ind w:firstLine="884"/>
        <w:jc w:val="center"/>
        <w:rPr>
          <w:rFonts w:ascii="宋体" w:hAnsi="宋体" w:cs="宋体"/>
          <w:b/>
          <w:bCs/>
          <w:color w:val="auto"/>
          <w:spacing w:val="-20"/>
          <w:kern w:val="44"/>
          <w:sz w:val="48"/>
          <w:szCs w:val="48"/>
          <w:highlight w:val="none"/>
        </w:rPr>
      </w:pPr>
    </w:p>
    <w:p w14:paraId="4E5AFE96">
      <w:pPr>
        <w:pStyle w:val="2"/>
        <w:spacing w:after="0"/>
        <w:ind w:firstLine="884"/>
        <w:jc w:val="center"/>
        <w:rPr>
          <w:rFonts w:ascii="宋体" w:hAnsi="宋体" w:cs="宋体"/>
          <w:b/>
          <w:bCs/>
          <w:color w:val="auto"/>
          <w:spacing w:val="-20"/>
          <w:kern w:val="44"/>
          <w:sz w:val="48"/>
          <w:szCs w:val="48"/>
          <w:highlight w:val="none"/>
        </w:rPr>
      </w:pPr>
    </w:p>
    <w:p w14:paraId="3EB30060">
      <w:pPr>
        <w:pStyle w:val="2"/>
        <w:spacing w:after="0"/>
        <w:ind w:firstLine="2735" w:firstLineChars="619"/>
        <w:rPr>
          <w:rFonts w:ascii="宋体" w:hAnsi="宋体" w:cs="宋体"/>
          <w:b/>
          <w:bCs/>
          <w:color w:val="auto"/>
          <w:spacing w:val="-20"/>
          <w:kern w:val="44"/>
          <w:sz w:val="48"/>
          <w:szCs w:val="48"/>
          <w:highlight w:val="none"/>
        </w:rPr>
      </w:pPr>
    </w:p>
    <w:p w14:paraId="296C3161">
      <w:pPr>
        <w:pStyle w:val="2"/>
        <w:spacing w:after="0"/>
        <w:ind w:firstLine="2735" w:firstLineChars="619"/>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政府采购服务买卖合同</w:t>
      </w:r>
    </w:p>
    <w:p w14:paraId="4CC7630A">
      <w:pPr>
        <w:pStyle w:val="2"/>
        <w:spacing w:after="0"/>
        <w:ind w:firstLine="4056" w:firstLineChars="918"/>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14:paraId="3ED98F3E">
      <w:pPr>
        <w:rPr>
          <w:rFonts w:ascii="宋体" w:hAnsi="宋体" w:cs="宋体"/>
          <w:b/>
          <w:bCs/>
          <w:color w:val="auto"/>
          <w:spacing w:val="-20"/>
          <w:kern w:val="44"/>
          <w:sz w:val="40"/>
          <w:szCs w:val="40"/>
          <w:highlight w:val="none"/>
        </w:rPr>
      </w:pPr>
    </w:p>
    <w:p w14:paraId="3E09043A">
      <w:pPr>
        <w:rPr>
          <w:rFonts w:ascii="宋体" w:hAnsi="宋体" w:cs="宋体"/>
          <w:b/>
          <w:bCs/>
          <w:color w:val="auto"/>
          <w:spacing w:val="-20"/>
          <w:kern w:val="44"/>
          <w:sz w:val="40"/>
          <w:szCs w:val="40"/>
          <w:highlight w:val="none"/>
        </w:rPr>
      </w:pPr>
    </w:p>
    <w:p w14:paraId="7971AEED">
      <w:pPr>
        <w:rPr>
          <w:rFonts w:ascii="宋体" w:hAnsi="宋体" w:cs="宋体"/>
          <w:b/>
          <w:bCs/>
          <w:color w:val="auto"/>
          <w:spacing w:val="-20"/>
          <w:kern w:val="44"/>
          <w:sz w:val="40"/>
          <w:szCs w:val="40"/>
          <w:highlight w:val="none"/>
        </w:rPr>
      </w:pPr>
    </w:p>
    <w:p w14:paraId="5FB32782">
      <w:pPr>
        <w:spacing w:line="360" w:lineRule="auto"/>
        <w:ind w:left="420" w:leftChars="200"/>
        <w:rPr>
          <w:color w:val="auto"/>
          <w:sz w:val="32"/>
          <w:szCs w:val="32"/>
          <w:highlight w:val="none"/>
          <w:u w:val="singl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市属单位2026年度通信链路服务租用项目</w:t>
      </w:r>
    </w:p>
    <w:p w14:paraId="0723326F">
      <w:pPr>
        <w:spacing w:line="360" w:lineRule="auto"/>
        <w:ind w:left="420" w:leftChars="200"/>
        <w:rPr>
          <w:color w:val="auto"/>
          <w:sz w:val="32"/>
          <w:szCs w:val="32"/>
          <w:highlight w:val="none"/>
        </w:rPr>
      </w:pPr>
      <w:r>
        <w:rPr>
          <w:rFonts w:hint="eastAsia"/>
          <w:color w:val="auto"/>
          <w:sz w:val="32"/>
          <w:szCs w:val="32"/>
          <w:highlight w:val="none"/>
          <w:u w:val="single"/>
        </w:rPr>
        <w:t>三标段（市属单位物联网数据流量卡服务租用项目）</w:t>
      </w:r>
    </w:p>
    <w:p w14:paraId="137588A8">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3B4054A6">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乌鲁木齐市公安局     </w:t>
      </w:r>
    </w:p>
    <w:p w14:paraId="5C942D29">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70F90112">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44D65A2C">
      <w:pPr>
        <w:rPr>
          <w:color w:val="auto"/>
          <w:highlight w:val="none"/>
        </w:rPr>
      </w:pPr>
    </w:p>
    <w:p w14:paraId="47302EF8">
      <w:pPr>
        <w:rPr>
          <w:rFonts w:eastAsia="黑体"/>
          <w:color w:val="auto"/>
          <w:sz w:val="44"/>
          <w:szCs w:val="44"/>
          <w:highlight w:val="none"/>
        </w:rPr>
      </w:pPr>
      <w:r>
        <w:rPr>
          <w:rFonts w:eastAsia="黑体"/>
          <w:color w:val="auto"/>
          <w:sz w:val="44"/>
          <w:szCs w:val="44"/>
          <w:highlight w:val="none"/>
        </w:rPr>
        <w:br w:type="page"/>
      </w:r>
    </w:p>
    <w:p w14:paraId="17247449">
      <w:pPr>
        <w:rPr>
          <w:rFonts w:eastAsia="黑体"/>
          <w:color w:val="auto"/>
          <w:sz w:val="44"/>
          <w:szCs w:val="44"/>
          <w:highlight w:val="none"/>
        </w:rPr>
      </w:pPr>
    </w:p>
    <w:p w14:paraId="40924EF2">
      <w:pPr>
        <w:rPr>
          <w:rFonts w:eastAsia="黑体"/>
          <w:color w:val="auto"/>
          <w:sz w:val="44"/>
          <w:szCs w:val="44"/>
          <w:highlight w:val="none"/>
        </w:rPr>
      </w:pPr>
    </w:p>
    <w:p w14:paraId="572626F7">
      <w:pPr>
        <w:jc w:val="center"/>
        <w:rPr>
          <w:rFonts w:eastAsia="黑体"/>
          <w:color w:val="auto"/>
          <w:sz w:val="44"/>
          <w:szCs w:val="44"/>
          <w:highlight w:val="none"/>
        </w:rPr>
      </w:pPr>
      <w:r>
        <w:rPr>
          <w:rFonts w:hint="eastAsia" w:eastAsia="黑体"/>
          <w:color w:val="auto"/>
          <w:sz w:val="44"/>
          <w:szCs w:val="44"/>
          <w:highlight w:val="none"/>
        </w:rPr>
        <w:t>使 用 说 明</w:t>
      </w:r>
    </w:p>
    <w:p w14:paraId="6E975B09">
      <w:pPr>
        <w:ind w:firstLine="640" w:firstLineChars="200"/>
        <w:rPr>
          <w:rFonts w:ascii="仿宋_GB2312" w:hAnsi="仿宋_GB2312" w:eastAsia="仿宋_GB2312" w:cs="仿宋_GB2312"/>
          <w:color w:val="auto"/>
          <w:sz w:val="32"/>
          <w:szCs w:val="32"/>
          <w:highlight w:val="none"/>
        </w:rPr>
      </w:pPr>
    </w:p>
    <w:p w14:paraId="0260F96C">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1.本合同标准文本适用于购买现成服务的采购项目，不包括需要供应商定制开发、创新研发的服务采购项目。</w:t>
      </w:r>
    </w:p>
    <w:p w14:paraId="646C48C6">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2.本合同标准文本为政府采购服务买卖合同编制提供参考，可以结合采购项目具体情况，对文本作必要的调整修订后使用。</w:t>
      </w:r>
    </w:p>
    <w:p w14:paraId="60664840">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3.本合同标准文本各条款中，如涉及填写多家供应商、服务提供方，多种采购标的、分包主要内容等信息的，可根据采购项目具体情况添加信息项。</w:t>
      </w:r>
    </w:p>
    <w:p w14:paraId="2B81A037">
      <w:pPr>
        <w:ind w:firstLine="880" w:firstLineChars="200"/>
        <w:rPr>
          <w:rFonts w:eastAsia="黑体"/>
          <w:color w:val="auto"/>
          <w:sz w:val="44"/>
          <w:szCs w:val="44"/>
          <w:highlight w:val="none"/>
        </w:rPr>
        <w:sectPr>
          <w:footerReference r:id="rId8" w:type="default"/>
          <w:pgSz w:w="11906" w:h="16838"/>
          <w:pgMar w:top="1440" w:right="1080" w:bottom="1440" w:left="1080" w:header="851" w:footer="992" w:gutter="0"/>
          <w:cols w:space="425" w:num="1"/>
          <w:docGrid w:type="lines" w:linePitch="312" w:charSpace="0"/>
        </w:sectPr>
      </w:pPr>
    </w:p>
    <w:p w14:paraId="5FA46AC7">
      <w:pPr>
        <w:pStyle w:val="4"/>
        <w:adjustRightInd w:val="0"/>
        <w:snapToGrid w:val="0"/>
        <w:spacing w:line="400" w:lineRule="exact"/>
        <w:ind w:firstLine="562"/>
        <w:jc w:val="center"/>
        <w:rPr>
          <w:rFonts w:ascii="黑体" w:hAnsi="黑体" w:eastAsia="黑体"/>
          <w:color w:val="auto"/>
          <w:sz w:val="28"/>
          <w:szCs w:val="28"/>
          <w:highlight w:val="none"/>
        </w:rPr>
      </w:pPr>
    </w:p>
    <w:p w14:paraId="1AE3F769">
      <w:pPr>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第一节 政府采购合同协议书</w:t>
      </w:r>
    </w:p>
    <w:p w14:paraId="0A5808CB">
      <w:pPr>
        <w:pStyle w:val="4"/>
        <w:adjustRightInd w:val="0"/>
        <w:snapToGrid w:val="0"/>
        <w:spacing w:line="400" w:lineRule="exact"/>
        <w:ind w:firstLine="560"/>
        <w:jc w:val="center"/>
        <w:rPr>
          <w:rFonts w:ascii="黑体" w:hAnsi="华文中宋" w:eastAsia="黑体"/>
          <w:b w:val="0"/>
          <w:bCs w:val="0"/>
          <w:color w:val="auto"/>
          <w:sz w:val="28"/>
          <w:szCs w:val="28"/>
          <w:highlight w:val="none"/>
        </w:rPr>
      </w:pPr>
    </w:p>
    <w:p w14:paraId="6C2D62E7">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乌鲁木齐市公安局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7309E6AD">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79264E46">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77D26CC">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73551579">
      <w:pPr>
        <w:spacing w:line="400" w:lineRule="exact"/>
        <w:rPr>
          <w:color w:val="auto"/>
          <w:highlight w:val="none"/>
        </w:rPr>
      </w:pPr>
    </w:p>
    <w:p w14:paraId="09361895">
      <w:pPr>
        <w:pStyle w:val="15"/>
        <w:adjustRightInd w:val="0"/>
        <w:snapToGrid w:val="0"/>
        <w:spacing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0DECDFB">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684081B5">
      <w:pPr>
        <w:pStyle w:val="15"/>
        <w:numPr>
          <w:ilvl w:val="255"/>
          <w:numId w:val="0"/>
        </w:num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市属单位2026年度通信链路服务租用项目三标段（市属单位物联网数据流量卡服务租用项目）</w:t>
      </w:r>
    </w:p>
    <w:p w14:paraId="0B5AC8C8">
      <w:pPr>
        <w:pStyle w:val="15"/>
        <w:numPr>
          <w:ilvl w:val="255"/>
          <w:numId w:val="0"/>
        </w:numPr>
        <w:adjustRightInd w:val="0"/>
        <w:snapToGrid w:val="0"/>
        <w:spacing w:after="0"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4101E722">
      <w:pPr>
        <w:pStyle w:val="15"/>
        <w:adjustRightInd w:val="0"/>
        <w:snapToGrid w:val="0"/>
        <w:spacing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【2026】1235号</w:t>
      </w:r>
      <w:r>
        <w:rPr>
          <w:rFonts w:ascii="宋体" w:hAnsi="宋体"/>
          <w:color w:val="auto"/>
          <w:szCs w:val="21"/>
          <w:highlight w:val="none"/>
          <w:u w:val="single"/>
        </w:rPr>
        <w:t xml:space="preserve">  </w:t>
      </w:r>
      <w:r>
        <w:rPr>
          <w:rFonts w:ascii="宋体" w:hAnsi="宋体"/>
          <w:color w:val="auto"/>
          <w:szCs w:val="21"/>
          <w:highlight w:val="none"/>
        </w:rPr>
        <w:t xml:space="preserve"> </w:t>
      </w:r>
    </w:p>
    <w:p w14:paraId="358AEBE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0AAB88C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采购标的及数量（项/次/年/批等）：</w:t>
      </w:r>
      <w:r>
        <w:rPr>
          <w:rFonts w:hint="eastAsia" w:ascii="宋体" w:hAnsi="宋体"/>
          <w:color w:val="auto"/>
          <w:szCs w:val="21"/>
          <w:highlight w:val="none"/>
          <w:u w:val="single"/>
        </w:rPr>
        <w:t xml:space="preserve">该标段主要为市公安局机关单位信息化类移动警务装备的专用网络APN/VPN数据流量900条。 </w:t>
      </w:r>
      <w:r>
        <w:rPr>
          <w:rFonts w:hint="eastAsia" w:ascii="宋体" w:hAnsi="宋体"/>
          <w:color w:val="auto"/>
          <w:szCs w:val="21"/>
          <w:highlight w:val="none"/>
        </w:rPr>
        <w:t xml:space="preserve"> </w:t>
      </w:r>
    </w:p>
    <w:p w14:paraId="0A80F06B">
      <w:pPr>
        <w:numPr>
          <w:ilvl w:val="255"/>
          <w:numId w:val="0"/>
        </w:num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服务提供方：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p>
    <w:p w14:paraId="69C4BC4A">
      <w:pPr>
        <w:adjustRightInd w:val="0"/>
        <w:snapToGrid w:val="0"/>
        <w:spacing w:line="400" w:lineRule="exact"/>
        <w:ind w:firstLine="945" w:firstLineChars="450"/>
        <w:rPr>
          <w:rFonts w:asciiTheme="minorEastAsia" w:hAnsiTheme="minorEastAsia" w:cstheme="minorEastAsia"/>
          <w:color w:val="auto"/>
          <w:szCs w:val="21"/>
          <w:highlight w:val="none"/>
        </w:rPr>
      </w:pPr>
      <w:r>
        <w:rPr>
          <w:rFonts w:hint="eastAsia" w:ascii="宋体" w:hAnsi="宋体"/>
          <w:color w:val="auto"/>
          <w:szCs w:val="21"/>
          <w:highlight w:val="none"/>
        </w:rPr>
        <w:t>采购标的的技术要求、商务要求具体见附件。</w:t>
      </w:r>
    </w:p>
    <w:p w14:paraId="7C34A220">
      <w:pPr>
        <w:pStyle w:val="37"/>
        <w:numPr>
          <w:ilvl w:val="255"/>
          <w:numId w:val="0"/>
        </w:numPr>
        <w:snapToGrid w:val="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lang w:val="en"/>
        </w:rPr>
        <w:t>4</w:t>
      </w:r>
      <w:r>
        <w:rPr>
          <w:rFonts w:hint="eastAsia" w:asciiTheme="minorEastAsia" w:hAnsiTheme="minorEastAsia" w:eastAsiaTheme="minorEastAsia" w:cstheme="minorEastAsia"/>
          <w:color w:val="auto"/>
          <w:sz w:val="21"/>
          <w:highlight w:val="none"/>
        </w:rPr>
        <w:t xml:space="preserve">）政府采购组织形式：√政府集中采购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部门集中采购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分散采购</w:t>
      </w:r>
    </w:p>
    <w:p w14:paraId="64A3A7F9">
      <w:pPr>
        <w:pStyle w:val="37"/>
        <w:numPr>
          <w:ilvl w:val="255"/>
          <w:numId w:val="0"/>
        </w:numPr>
        <w:snapToGrid w:val="0"/>
        <w:ind w:firstLine="420"/>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w:t>
      </w:r>
      <w:r>
        <w:rPr>
          <w:rFonts w:asciiTheme="minorEastAsia" w:hAnsiTheme="minorEastAsia" w:eastAsiaTheme="minorEastAsia" w:cstheme="minorEastAsia"/>
          <w:color w:val="auto"/>
          <w:sz w:val="21"/>
          <w:highlight w:val="none"/>
          <w:lang w:val="en"/>
        </w:rPr>
        <w:t>5</w:t>
      </w:r>
      <w:r>
        <w:rPr>
          <w:rFonts w:hint="eastAsia" w:asciiTheme="minorEastAsia" w:hAnsiTheme="minorEastAsia" w:eastAsiaTheme="minorEastAsia" w:cstheme="minorEastAsia"/>
          <w:color w:val="auto"/>
          <w:sz w:val="21"/>
          <w:highlight w:val="none"/>
        </w:rPr>
        <w:t xml:space="preserve">）政府采购方式：√公开招标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邀请招标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竞争性谈判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竞争性磋商</w:t>
      </w:r>
    </w:p>
    <w:p w14:paraId="50FE70E0">
      <w:pPr>
        <w:pStyle w:val="37"/>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询价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单一来源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框架协议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其他：</w:t>
      </w:r>
      <w:r>
        <w:rPr>
          <w:rFonts w:hint="eastAsia" w:ascii="宋体" w:hAnsi="宋体" w:eastAsia="宋体" w:cs="宋体"/>
          <w:color w:val="auto"/>
          <w:sz w:val="21"/>
          <w:highlight w:val="none"/>
          <w:u w:val="single"/>
        </w:rPr>
        <w:t xml:space="preserve">          </w:t>
      </w:r>
    </w:p>
    <w:p w14:paraId="6703D9AA">
      <w:pPr>
        <w:pStyle w:val="37"/>
        <w:numPr>
          <w:ilvl w:val="255"/>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426C6C07">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Theme="minorEastAsia" w:hAnsiTheme="minorEastAsia" w:cstheme="minorEastAsia"/>
          <w:color w:val="auto"/>
          <w:highlight w:val="none"/>
        </w:rPr>
        <w:t>√</w:t>
      </w:r>
      <w:r>
        <w:rPr>
          <w:rFonts w:hint="eastAsia" w:ascii="宋体" w:hAnsi="宋体"/>
          <w:iCs/>
          <w:color w:val="auto"/>
          <w:szCs w:val="21"/>
          <w:highlight w:val="none"/>
        </w:rPr>
        <w:t>否</w:t>
      </w:r>
    </w:p>
    <w:p w14:paraId="1862FADF">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iCs/>
          <w:color w:val="auto"/>
          <w:szCs w:val="21"/>
          <w:highlight w:val="none"/>
        </w:rPr>
        <w:t>否</w:t>
      </w:r>
    </w:p>
    <w:p w14:paraId="4B91865E">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中标（成交）采购标的承接方是否为残疾人福利性单位：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iCs/>
          <w:color w:val="auto"/>
          <w:szCs w:val="21"/>
          <w:highlight w:val="none"/>
        </w:rPr>
        <w:t>否</w:t>
      </w:r>
    </w:p>
    <w:p w14:paraId="3ACD89C7">
      <w:pPr>
        <w:snapToGrid w:val="0"/>
        <w:spacing w:line="400" w:lineRule="exact"/>
        <w:rPr>
          <w:color w:val="auto"/>
          <w:highlight w:val="none"/>
        </w:rPr>
      </w:pPr>
      <w:r>
        <w:rPr>
          <w:rFonts w:hint="eastAsia"/>
          <w:color w:val="auto"/>
          <w:highlight w:val="none"/>
        </w:rPr>
        <w:t xml:space="preserve">         中标（成交）采购标的承接方是否为监狱企业：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iCs/>
          <w:color w:val="auto"/>
          <w:szCs w:val="21"/>
          <w:highlight w:val="none"/>
        </w:rPr>
        <w:t>否</w:t>
      </w:r>
    </w:p>
    <w:p w14:paraId="10FDD37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Theme="minorEastAsia" w:hAnsiTheme="minorEastAsia" w:cstheme="minorEastAsia"/>
          <w:color w:val="auto"/>
          <w:highlight w:val="none"/>
        </w:rPr>
        <w:t>√</w:t>
      </w:r>
      <w:r>
        <w:rPr>
          <w:rFonts w:hint="eastAsia" w:ascii="宋体" w:hAnsi="宋体"/>
          <w:iCs/>
          <w:color w:val="auto"/>
          <w:szCs w:val="21"/>
          <w:highlight w:val="none"/>
        </w:rPr>
        <w:t>否</w:t>
      </w:r>
    </w:p>
    <w:p w14:paraId="1D7287BE">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43E2D78A">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w:t>
      </w:r>
    </w:p>
    <w:p w14:paraId="2C3D76D6">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67B8E5CB">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w:t>
      </w:r>
    </w:p>
    <w:p w14:paraId="1E5B6557">
      <w:pPr>
        <w:adjustRightInd w:val="0"/>
        <w:snapToGrid w:val="0"/>
        <w:spacing w:line="400" w:lineRule="exact"/>
        <w:ind w:firstLine="840" w:firstLineChars="400"/>
        <w:rPr>
          <w:rFonts w:ascii="宋体" w:hAnsi="宋体"/>
          <w:iCs/>
          <w:color w:val="auto"/>
          <w:szCs w:val="21"/>
          <w:highlight w:val="none"/>
        </w:rPr>
      </w:pPr>
      <w:r>
        <w:rPr>
          <w:rFonts w:hint="eastAsia" w:ascii="宋体" w:hAnsi="宋体" w:eastAsia="宋体" w:cs="Times New Roman"/>
          <w:color w:val="auto"/>
          <w:kern w:val="2"/>
          <w:sz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338613E4">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588B8761">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Theme="minorEastAsia" w:hAnsiTheme="minorEastAsia" w:cstheme="minorEastAsia"/>
          <w:color w:val="auto"/>
          <w:highlight w:val="none"/>
        </w:rPr>
        <w:t>√</w:t>
      </w:r>
      <w:r>
        <w:rPr>
          <w:rFonts w:hint="eastAsia" w:ascii="宋体" w:hAnsi="宋体" w:cs="宋体"/>
          <w:iCs/>
          <w:color w:val="auto"/>
          <w:szCs w:val="21"/>
          <w:highlight w:val="none"/>
        </w:rPr>
        <w:t>否</w:t>
      </w:r>
    </w:p>
    <w:p w14:paraId="5290F60E">
      <w:pPr>
        <w:pStyle w:val="37"/>
        <w:tabs>
          <w:tab w:val="left" w:pos="1340"/>
        </w:tabs>
        <w:ind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19F645A8">
      <w:pPr>
        <w:numPr>
          <w:ilvl w:val="255"/>
          <w:numId w:val="0"/>
        </w:numPr>
        <w:adjustRightInd w:val="0"/>
        <w:snapToGrid w:val="0"/>
        <w:spacing w:line="400" w:lineRule="exact"/>
        <w:rPr>
          <w:rFonts w:ascii="宋体" w:hAns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22770CB4">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Theme="minorEastAsia" w:hAnsiTheme="minorEastAsia" w:cstheme="minorEastAsia"/>
          <w:color w:val="auto"/>
          <w:highlight w:val="none"/>
        </w:rPr>
        <w:t>√</w:t>
      </w:r>
      <w:r>
        <w:rPr>
          <w:rFonts w:hint="eastAsia" w:ascii="宋体" w:hAnsi="宋体"/>
          <w:color w:val="auto"/>
          <w:szCs w:val="21"/>
          <w:highlight w:val="none"/>
        </w:rPr>
        <w:t>不涉及</w:t>
      </w:r>
    </w:p>
    <w:p w14:paraId="4F85E00F">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43A2063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02149320">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37BA107B">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496BBFD2">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17FCDD15">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379EEAC7">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66E57170">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Theme="minorEastAsia" w:hAnsiTheme="minorEastAsia" w:cstheme="minorEastAsia"/>
          <w:color w:val="auto"/>
          <w:highlight w:val="none"/>
        </w:rPr>
        <w:t>√</w:t>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285BB7B3">
      <w:pPr>
        <w:pStyle w:val="306"/>
        <w:spacing w:line="400" w:lineRule="exact"/>
        <w:rPr>
          <w:color w:val="auto"/>
          <w:highlight w:val="none"/>
        </w:rPr>
      </w:pPr>
      <w:r>
        <w:rPr>
          <w:rFonts w:hint="eastAsia" w:ascii="宋体" w:hAnsi="宋体"/>
          <w:color w:val="auto"/>
          <w:highlight w:val="none"/>
        </w:rPr>
        <w:t>（3）付款方式（按项目实际勾选填写）：</w:t>
      </w:r>
    </w:p>
    <w:p w14:paraId="43C822B0">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78CC12B0">
      <w:pPr>
        <w:snapToGrid w:val="0"/>
        <w:spacing w:line="400" w:lineRule="exact"/>
        <w:ind w:firstLine="630" w:firstLineChars="300"/>
        <w:rPr>
          <w:color w:val="auto"/>
          <w:highlight w:val="none"/>
        </w:rPr>
      </w:pPr>
      <w:r>
        <w:rPr>
          <w:rFonts w:hint="eastAsia" w:asciiTheme="minorEastAsia" w:hAnsiTheme="minorEastAsia" w:cstheme="minorEastAsia"/>
          <w:color w:val="auto"/>
          <w:highlight w:val="none"/>
        </w:rPr>
        <w:t>√</w:t>
      </w:r>
      <w:r>
        <w:rPr>
          <w:rFonts w:hint="eastAsia" w:ascii="宋体" w:hAnsi="宋体"/>
          <w:color w:val="auto"/>
          <w:szCs w:val="21"/>
          <w:highlight w:val="none"/>
        </w:rPr>
        <w:t>分期付款：</w:t>
      </w:r>
      <w:r>
        <w:rPr>
          <w:rFonts w:hint="eastAsia" w:ascii="宋体" w:hAnsi="宋体"/>
          <w:color w:val="auto"/>
          <w:szCs w:val="21"/>
          <w:highlight w:val="none"/>
          <w:u w:val="single"/>
        </w:rPr>
        <w:t xml:space="preserve">  （1）合同签订后，项目采购人申请支付给中标单位合同总金额70%的预付款（具体以合同签订内容为主）；（2）合同到期前一个月，中标单位服务达到合同要求，经项目采购人验收确认，对停用链路与中标方核对并核减费用后，申请支付给中标单位合同总金额30%的剩余尾款（具体以合同签订内容为主）。  </w:t>
      </w:r>
      <w:r>
        <w:rPr>
          <w:rFonts w:hint="eastAsia" w:ascii="宋体" w:hAnsi="宋体"/>
          <w:color w:val="auto"/>
          <w:szCs w:val="21"/>
          <w:highlight w:val="none"/>
        </w:rPr>
        <w:t>其中涉及预付款的：</w:t>
      </w:r>
      <w:r>
        <w:rPr>
          <w:rFonts w:hint="eastAsia" w:ascii="宋体" w:hAnsi="宋体"/>
          <w:color w:val="auto"/>
          <w:szCs w:val="21"/>
          <w:highlight w:val="none"/>
          <w:u w:val="single"/>
        </w:rPr>
        <w:t>合同签订后，项目采购人申请支付给中标单位合同总金额70%。</w:t>
      </w:r>
    </w:p>
    <w:p w14:paraId="3F4B9754">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3AC6A62F">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7E599853">
      <w:pPr>
        <w:numPr>
          <w:ilvl w:val="0"/>
          <w:numId w:val="5"/>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10C8DBCC">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2027</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7D9BD4E">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乌鲁木齐市   </w:t>
      </w:r>
    </w:p>
    <w:p w14:paraId="453B0F4F">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Theme="minorEastAsia" w:hAnsiTheme="minorEastAsia" w:cstheme="minorEastAsia"/>
          <w:color w:val="auto"/>
          <w:highlight w:val="none"/>
        </w:rPr>
        <w:t>√</w:t>
      </w:r>
      <w:r>
        <w:rPr>
          <w:rFonts w:hint="eastAsia" w:ascii="宋体" w:hAnsi="宋体" w:cs="宋体"/>
          <w:color w:val="auto"/>
          <w:szCs w:val="21"/>
          <w:highlight w:val="none"/>
        </w:rPr>
        <w:t>否</w:t>
      </w:r>
    </w:p>
    <w:p w14:paraId="0E4DC21A">
      <w:pPr>
        <w:pStyle w:val="37"/>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003A53C7">
      <w:pPr>
        <w:pStyle w:val="37"/>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075570D2">
      <w:pPr>
        <w:snapToGrid w:val="0"/>
        <w:spacing w:line="400" w:lineRule="exact"/>
        <w:ind w:firstLine="420"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17A5217E">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650E1AC3">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70620E2C">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4E55259F">
      <w:pPr>
        <w:numPr>
          <w:ilvl w:val="0"/>
          <w:numId w:val="7"/>
        </w:num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Theme="minorEastAsia" w:hAnsiTheme="minorEastAsia" w:cstheme="minorEastAsia"/>
          <w:color w:val="auto"/>
          <w:highlight w:val="none"/>
        </w:rPr>
        <w:t>√</w:t>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54B5050C">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7F87881B">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Theme="minorEastAsia" w:hAnsiTheme="minorEastAsia" w:cstheme="minorEastAsia"/>
          <w:color w:val="auto"/>
          <w:highlight w:val="none"/>
        </w:rPr>
        <w:t>√</w:t>
      </w:r>
      <w:r>
        <w:rPr>
          <w:rFonts w:hint="eastAsia" w:ascii="宋体" w:hAnsi="宋体"/>
          <w:bCs/>
          <w:color w:val="auto"/>
          <w:szCs w:val="21"/>
          <w:highlight w:val="none"/>
        </w:rPr>
        <w:t>否</w:t>
      </w:r>
    </w:p>
    <w:p w14:paraId="1530B14B">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Theme="minorEastAsia" w:hAnsiTheme="minorEastAsia" w:cstheme="minorEastAsia"/>
          <w:color w:val="auto"/>
          <w:highlight w:val="none"/>
        </w:rPr>
        <w:t>√</w:t>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A2E05CD">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Theme="minorEastAsia" w:hAnsiTheme="minorEastAsia" w:cstheme="minorEastAsia"/>
          <w:color w:val="auto"/>
          <w:highlight w:val="none"/>
        </w:rPr>
        <w:t>√</w:t>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6E6B9FF">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Theme="minorEastAsia" w:hAnsiTheme="minorEastAsia" w:cstheme="minorEastAsia"/>
          <w:color w:val="auto"/>
          <w:highlight w:val="none"/>
        </w:rPr>
        <w:t>√</w:t>
      </w:r>
      <w:r>
        <w:rPr>
          <w:rFonts w:hint="eastAsia" w:ascii="宋体" w:hAnsi="宋体"/>
          <w:bCs/>
          <w:color w:val="auto"/>
          <w:szCs w:val="21"/>
          <w:highlight w:val="none"/>
        </w:rPr>
        <w:t>否</w:t>
      </w:r>
    </w:p>
    <w:p w14:paraId="15D5C646">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A141F5A">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（应明确对被破坏的检测服务成果的处理方式）</w:t>
      </w:r>
    </w:p>
    <w:p w14:paraId="0A48F922">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C0AC365">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3D375E5C">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175658B5">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Theme="minorEastAsia" w:hAnsiTheme="minorEastAsia" w:cstheme="minorEastAsia"/>
          <w:color w:val="auto"/>
          <w:highlight w:val="none"/>
        </w:rPr>
        <w:t>√</w:t>
      </w:r>
      <w:r>
        <w:rPr>
          <w:rFonts w:hint="eastAsia" w:ascii="宋体" w:hAnsi="宋体"/>
          <w:bCs/>
          <w:color w:val="auto"/>
          <w:szCs w:val="21"/>
          <w:highlight w:val="none"/>
        </w:rPr>
        <w:t xml:space="preserve">一次性验收         </w:t>
      </w:r>
    </w:p>
    <w:p w14:paraId="515C320A">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0E499935">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05678EEB">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0246BBCD">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3E9A78BB">
      <w:pPr>
        <w:pStyle w:val="37"/>
        <w:ind w:firstLine="420"/>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53E08B5A">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p>
    <w:p w14:paraId="423564D7">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14EE159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7D608EC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704AFB6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589C296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2884A27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3ABACB4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1297150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5701C86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（7）有关技术文件、服务方案</w:t>
      </w:r>
    </w:p>
    <w:p w14:paraId="72056F5D">
      <w:pPr>
        <w:pStyle w:val="37"/>
        <w:ind w:firstLine="420"/>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6739E1BF">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4C5D8A8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项目中标之日起开始   </w:t>
      </w:r>
      <w:r>
        <w:rPr>
          <w:rFonts w:hint="eastAsia" w:ascii="宋体" w:hAnsi="宋体"/>
          <w:color w:val="auto"/>
          <w:szCs w:val="21"/>
          <w:highlight w:val="none"/>
        </w:rPr>
        <w:t>生效。</w:t>
      </w:r>
    </w:p>
    <w:p w14:paraId="353F83D3">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2FE5DBA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陆</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肆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贰  </w:t>
      </w:r>
      <w:r>
        <w:rPr>
          <w:rFonts w:hint="eastAsia" w:ascii="宋体" w:hAnsi="宋体"/>
          <w:color w:val="auto"/>
          <w:szCs w:val="21"/>
          <w:highlight w:val="none"/>
        </w:rPr>
        <w:t>份，均具有同等法律效力。</w:t>
      </w:r>
    </w:p>
    <w:p w14:paraId="4F374E4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897BD5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乌鲁木齐市  </w:t>
      </w:r>
    </w:p>
    <w:p w14:paraId="78AE41E2">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7B927838">
      <w:pPr>
        <w:pStyle w:val="4"/>
        <w:spacing w:line="400" w:lineRule="exact"/>
        <w:ind w:firstLine="482"/>
        <w:rPr>
          <w:color w:val="auto"/>
          <w:highlight w:val="none"/>
        </w:rPr>
      </w:pP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37A79E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51B3425">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636C3DEE">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49F2AD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F7C273B">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AFC4CC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A35A02">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7E8AE1B5">
            <w:pPr>
              <w:adjustRightInd w:val="0"/>
              <w:snapToGrid w:val="0"/>
              <w:spacing w:line="300" w:lineRule="exact"/>
              <w:jc w:val="center"/>
              <w:rPr>
                <w:color w:val="auto"/>
                <w:spacing w:val="20"/>
                <w:szCs w:val="21"/>
                <w:highlight w:val="none"/>
              </w:rPr>
            </w:pPr>
          </w:p>
        </w:tc>
      </w:tr>
      <w:tr w14:paraId="1A9A06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840C5FB">
            <w:pPr>
              <w:adjustRightInd w:val="0"/>
              <w:snapToGrid w:val="0"/>
              <w:spacing w:line="300" w:lineRule="exact"/>
              <w:jc w:val="center"/>
              <w:rPr>
                <w:color w:val="auto"/>
                <w:szCs w:val="21"/>
                <w:highlight w:val="none"/>
              </w:rPr>
            </w:pPr>
            <w:r>
              <w:rPr>
                <w:color w:val="auto"/>
                <w:szCs w:val="21"/>
                <w:highlight w:val="none"/>
              </w:rPr>
              <w:t>法定代表人</w:t>
            </w:r>
          </w:p>
          <w:p w14:paraId="3F499B79">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5A71DD3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14166862">
            <w:pPr>
              <w:adjustRightInd w:val="0"/>
              <w:snapToGrid w:val="0"/>
              <w:spacing w:line="300" w:lineRule="exact"/>
              <w:jc w:val="center"/>
              <w:rPr>
                <w:color w:val="auto"/>
                <w:szCs w:val="21"/>
                <w:highlight w:val="none"/>
              </w:rPr>
            </w:pPr>
            <w:r>
              <w:rPr>
                <w:color w:val="auto"/>
                <w:szCs w:val="21"/>
                <w:highlight w:val="none"/>
              </w:rPr>
              <w:t>法定代表人</w:t>
            </w:r>
          </w:p>
          <w:p w14:paraId="73BBCE55">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0DC3608E">
            <w:pPr>
              <w:adjustRightInd w:val="0"/>
              <w:snapToGrid w:val="0"/>
              <w:spacing w:line="300" w:lineRule="exact"/>
              <w:jc w:val="center"/>
              <w:rPr>
                <w:color w:val="auto"/>
                <w:szCs w:val="21"/>
                <w:highlight w:val="none"/>
              </w:rPr>
            </w:pPr>
          </w:p>
        </w:tc>
      </w:tr>
      <w:tr w14:paraId="1391D2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0F74155">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4889295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942569E">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16CC612F">
            <w:pPr>
              <w:adjustRightInd w:val="0"/>
              <w:snapToGrid w:val="0"/>
              <w:spacing w:line="300" w:lineRule="exact"/>
              <w:jc w:val="center"/>
              <w:rPr>
                <w:color w:val="auto"/>
                <w:spacing w:val="20"/>
                <w:szCs w:val="21"/>
                <w:highlight w:val="none"/>
              </w:rPr>
            </w:pPr>
          </w:p>
        </w:tc>
      </w:tr>
      <w:tr w14:paraId="306B9A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A473B0">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CBA243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71E218">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6B1B8A62">
            <w:pPr>
              <w:adjustRightInd w:val="0"/>
              <w:snapToGrid w:val="0"/>
              <w:spacing w:line="300" w:lineRule="exact"/>
              <w:jc w:val="center"/>
              <w:rPr>
                <w:color w:val="auto"/>
                <w:spacing w:val="20"/>
                <w:szCs w:val="21"/>
                <w:highlight w:val="none"/>
              </w:rPr>
            </w:pPr>
          </w:p>
        </w:tc>
      </w:tr>
      <w:tr w14:paraId="704081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45BD75">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00ACA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5489F4">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8774171">
            <w:pPr>
              <w:adjustRightInd w:val="0"/>
              <w:snapToGrid w:val="0"/>
              <w:spacing w:line="300" w:lineRule="exact"/>
              <w:jc w:val="center"/>
              <w:rPr>
                <w:color w:val="auto"/>
                <w:spacing w:val="20"/>
                <w:szCs w:val="21"/>
                <w:highlight w:val="none"/>
              </w:rPr>
            </w:pPr>
          </w:p>
        </w:tc>
      </w:tr>
      <w:tr w14:paraId="7D7035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3F5D15">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A6B2FF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14A3A8A">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60B2C345">
            <w:pPr>
              <w:adjustRightInd w:val="0"/>
              <w:snapToGrid w:val="0"/>
              <w:spacing w:line="300" w:lineRule="exact"/>
              <w:jc w:val="center"/>
              <w:rPr>
                <w:color w:val="auto"/>
                <w:spacing w:val="20"/>
                <w:szCs w:val="21"/>
                <w:highlight w:val="none"/>
              </w:rPr>
            </w:pPr>
          </w:p>
        </w:tc>
      </w:tr>
      <w:tr w14:paraId="43BA05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53E75A">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691831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0F1A3F9">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3AA63141">
            <w:pPr>
              <w:adjustRightInd w:val="0"/>
              <w:snapToGrid w:val="0"/>
              <w:spacing w:line="300" w:lineRule="exact"/>
              <w:jc w:val="center"/>
              <w:rPr>
                <w:color w:val="auto"/>
                <w:spacing w:val="20"/>
                <w:szCs w:val="21"/>
                <w:highlight w:val="none"/>
              </w:rPr>
            </w:pPr>
          </w:p>
        </w:tc>
      </w:tr>
      <w:tr w14:paraId="3C1E05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322BEE">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61B828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9BA7C5E">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7B898744">
            <w:pPr>
              <w:adjustRightInd w:val="0"/>
              <w:snapToGrid w:val="0"/>
              <w:spacing w:line="300" w:lineRule="exact"/>
              <w:jc w:val="center"/>
              <w:rPr>
                <w:color w:val="auto"/>
                <w:spacing w:val="20"/>
                <w:szCs w:val="21"/>
                <w:highlight w:val="none"/>
              </w:rPr>
            </w:pPr>
          </w:p>
        </w:tc>
      </w:tr>
      <w:tr w14:paraId="1C94F8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0866A3">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6D2A6C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229D7E">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627561E2">
            <w:pPr>
              <w:adjustRightInd w:val="0"/>
              <w:snapToGrid w:val="0"/>
              <w:spacing w:line="300" w:lineRule="exact"/>
              <w:jc w:val="center"/>
              <w:rPr>
                <w:color w:val="auto"/>
                <w:spacing w:val="20"/>
                <w:szCs w:val="21"/>
                <w:highlight w:val="none"/>
              </w:rPr>
            </w:pPr>
          </w:p>
        </w:tc>
      </w:tr>
      <w:tr w14:paraId="15A2A1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8FA0A4">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98CABB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5CC1F">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31C6822">
            <w:pPr>
              <w:adjustRightInd w:val="0"/>
              <w:snapToGrid w:val="0"/>
              <w:spacing w:line="300" w:lineRule="exact"/>
              <w:jc w:val="center"/>
              <w:rPr>
                <w:color w:val="auto"/>
                <w:spacing w:val="20"/>
                <w:szCs w:val="21"/>
                <w:highlight w:val="none"/>
              </w:rPr>
            </w:pPr>
          </w:p>
        </w:tc>
      </w:tr>
      <w:tr w14:paraId="315F36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20442A">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4E08C0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D664DD">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30A49B44">
            <w:pPr>
              <w:adjustRightInd w:val="0"/>
              <w:snapToGrid w:val="0"/>
              <w:spacing w:line="300" w:lineRule="exact"/>
              <w:jc w:val="center"/>
              <w:rPr>
                <w:color w:val="auto"/>
                <w:spacing w:val="20"/>
                <w:szCs w:val="21"/>
                <w:highlight w:val="none"/>
              </w:rPr>
            </w:pPr>
          </w:p>
        </w:tc>
      </w:tr>
      <w:tr w14:paraId="28B7D5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89D9BD">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148297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E39A3C">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4972C432">
            <w:pPr>
              <w:adjustRightInd w:val="0"/>
              <w:snapToGrid w:val="0"/>
              <w:spacing w:line="300" w:lineRule="exact"/>
              <w:jc w:val="center"/>
              <w:rPr>
                <w:color w:val="auto"/>
                <w:spacing w:val="20"/>
                <w:szCs w:val="21"/>
                <w:highlight w:val="none"/>
              </w:rPr>
            </w:pPr>
          </w:p>
        </w:tc>
      </w:tr>
      <w:tr w14:paraId="08C3B5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BA2CA5">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5848A39">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63D83E">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D003B0C">
            <w:pPr>
              <w:adjustRightInd w:val="0"/>
              <w:snapToGrid w:val="0"/>
              <w:spacing w:line="300" w:lineRule="exact"/>
              <w:jc w:val="center"/>
              <w:rPr>
                <w:color w:val="auto"/>
                <w:spacing w:val="20"/>
                <w:szCs w:val="21"/>
                <w:highlight w:val="none"/>
              </w:rPr>
            </w:pPr>
          </w:p>
        </w:tc>
      </w:tr>
      <w:tr w14:paraId="784CAA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AB97A92">
            <w:pPr>
              <w:pStyle w:val="15"/>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24686F30">
      <w:pPr>
        <w:pStyle w:val="4"/>
        <w:adjustRightInd w:val="0"/>
        <w:snapToGrid w:val="0"/>
        <w:spacing w:before="156" w:beforeLines="50"/>
        <w:ind w:firstLine="422"/>
        <w:jc w:val="center"/>
        <w:rPr>
          <w:rFonts w:ascii="黑体" w:hAnsi="黑体" w:eastAsia="黑体" w:cs="黑体"/>
          <w:b w:val="0"/>
          <w:bCs w:val="0"/>
          <w:color w:val="auto"/>
          <w:sz w:val="28"/>
          <w:szCs w:val="28"/>
          <w:highlight w:val="none"/>
        </w:rPr>
      </w:pPr>
      <w:r>
        <w:rPr>
          <w:rFonts w:ascii="宋体" w:hAnsi="宋体"/>
          <w:color w:val="auto"/>
          <w:sz w:val="21"/>
          <w:szCs w:val="21"/>
          <w:highlight w:val="none"/>
          <w:u w:val="single"/>
        </w:rPr>
        <w:br w:type="page"/>
      </w:r>
      <w:bookmarkStart w:id="130" w:name="_Toc21662"/>
      <w:r>
        <w:rPr>
          <w:rFonts w:hint="eastAsia" w:ascii="黑体" w:hAnsi="黑体" w:eastAsia="黑体" w:cs="黑体"/>
          <w:b w:val="0"/>
          <w:bCs w:val="0"/>
          <w:color w:val="auto"/>
          <w:sz w:val="28"/>
          <w:szCs w:val="28"/>
          <w:highlight w:val="none"/>
        </w:rPr>
        <w:t>第二节 政府采购合同通用条款</w:t>
      </w:r>
      <w:bookmarkEnd w:id="130"/>
    </w:p>
    <w:p w14:paraId="78A2AEC0">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330297D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5144EFA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（1）采购人（以下称甲方）是指使用财政性资金，通过政府采购方式向供应商采购服务的国家机关、事业单位、团体组织。</w:t>
      </w:r>
    </w:p>
    <w:p w14:paraId="76F817F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（2）供应商（以下称乙方）是指参加政府采购活动并且中标（成交），向采购人提供合同约定的服务的法人、非法人组织或者自然人。</w:t>
      </w:r>
    </w:p>
    <w:p w14:paraId="6EF5859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53896969">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FC47121">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政府采购合同协议书及其变更、补充协议，政府采购合同专用条款，政府采购合同通用条款，中标（成交）通知书，投标（响应）文件，采购文件，有关技术文件和服务方案，以及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4A1433A0">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73575371">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（3）“服务”系指乙方根据本合同规定须向甲方提供的各类专业服务、技术服务、运营服务等，包括服务成果、服务过程中的配套技术支持、资料交付、人员服务及其他相关配套服务等。</w:t>
      </w:r>
    </w:p>
    <w:p w14:paraId="20ECC10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配套服务”系指根据合同规定，乙方应提供的与主服务有关的技术、管理和其他服务，包括但不限于：管理和质量保证、服务成果交付、保险、检验、现场实施、调试、培训、售后维护、技术支持等以及合同中规定乙方应承担的其他义务。</w:t>
      </w:r>
    </w:p>
    <w:p w14:paraId="2559CFF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086F04A1">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4C5134DD">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598964D6">
      <w:pPr>
        <w:numPr>
          <w:ilvl w:val="0"/>
          <w:numId w:val="8"/>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400A8FFA">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7E0D68F6">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3E86862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10668393">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2DF541A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35E1D6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定期核对乙方服务质量、服务进度、服务成果等内容。甲方有权督促乙方工作并要求乙方整改不符合要求的服务内容。</w:t>
      </w:r>
      <w:r>
        <w:rPr>
          <w:rFonts w:ascii="宋体" w:hAnsi="宋体"/>
          <w:color w:val="auto"/>
          <w:szCs w:val="21"/>
          <w:highlight w:val="none"/>
        </w:rPr>
        <w:t>。</w:t>
      </w:r>
    </w:p>
    <w:p w14:paraId="3545EC8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有权要求乙方对服务缺陷部分予以修复，并按合同约定享有服务保修及其他合同约定的权利。</w:t>
      </w:r>
    </w:p>
    <w:p w14:paraId="117E6932">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甲方应当按照合同约定及时对交付的服务成果、完成的服务内容进行验收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5E925F5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4FEF0AB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357F1C4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500B944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5BEE98A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提供的服务及相关配套服务符合合同有关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51B8FF46">
      <w:pPr>
        <w:pStyle w:val="2"/>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394EB047">
      <w:pPr>
        <w:pStyle w:val="2"/>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3F3781E1">
      <w:pPr>
        <w:numPr>
          <w:ilvl w:val="0"/>
          <w:numId w:val="9"/>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0E9E7A2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05590333">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FDC1346">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7. 质量标准和保证</w:t>
      </w:r>
    </w:p>
    <w:p w14:paraId="0AA13810">
      <w:pPr>
        <w:pStyle w:val="17"/>
        <w:adjustRightInd w:val="0"/>
        <w:snapToGrid w:val="0"/>
        <w:spacing w:line="400" w:lineRule="exact"/>
        <w:ind w:firstLine="420" w:firstLineChars="200"/>
        <w:jc w:val="left"/>
        <w:rPr>
          <w:rFonts w:hAnsi="宋体"/>
          <w:b/>
          <w:color w:val="auto"/>
          <w:highlight w:val="none"/>
        </w:rPr>
      </w:pPr>
      <w:r>
        <w:rPr>
          <w:rFonts w:hint="eastAsia" w:hAnsi="宋体"/>
          <w:color w:val="auto"/>
          <w:highlight w:val="none"/>
        </w:rPr>
        <w:t>7.1 质量标准</w:t>
      </w:r>
    </w:p>
    <w:p w14:paraId="60C7A10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服务应符合合同约定的服务提供方、服务标准、服务性能、服务成果、服务范围等要求。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60FAAED">
      <w:pPr>
        <w:pStyle w:val="17"/>
        <w:adjustRightInd w:val="0"/>
        <w:snapToGrid w:val="0"/>
        <w:spacing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4137300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（3）乙方所提供的服务应符合国家有关安全、环保、卫生的规定。</w:t>
      </w:r>
    </w:p>
    <w:p w14:paraId="610BE3F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（4）乙方应向甲方提交所提供服务的技术文件，包括相应的中文技术文件，如：服务方案、操作手册、使用说明、服务成果报告、维护手册或服务指南等。上述文件应包装好随服务成果一同交付。</w:t>
      </w:r>
    </w:p>
    <w:p w14:paraId="5C05C2A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保证</w:t>
      </w:r>
    </w:p>
    <w:p w14:paraId="1F02913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（1）乙方应保证提供的服务完全符合合同规定的质量、规格和性能要求。乙方应保证服务在符合合同约定的服务条件、正常场景下，</w:t>
      </w:r>
      <w:r>
        <w:rPr>
          <w:rFonts w:hint="eastAsia" w:ascii="宋体" w:hAnsi="宋体" w:cs="宋体"/>
          <w:color w:val="auto"/>
          <w:szCs w:val="21"/>
          <w:highlight w:val="none"/>
        </w:rPr>
        <w:t>服务期限/服务成果使用寿命期内具备合同约定的要求</w:t>
      </w:r>
      <w:r>
        <w:rPr>
          <w:rFonts w:hint="eastAsia" w:ascii="宋体" w:hAnsi="宋体"/>
          <w:color w:val="auto"/>
          <w:szCs w:val="21"/>
          <w:highlight w:val="none"/>
        </w:rPr>
        <w:t>。存在质量保证期的，服务成果最终交付验收合格后在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26D9BE1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（2）在质量保证期内所发现的服务缺陷，甲方应尽快以书面形式通知乙方。</w:t>
      </w:r>
    </w:p>
    <w:p w14:paraId="35DDA73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规定的响应时间内以合理的速度免费整改。</w:t>
      </w:r>
    </w:p>
    <w:p w14:paraId="6AEDF89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（4）在质量保证期内，如果服务的质量与合同不符，或证实服务是有缺陷的，包括潜在的缺陷或使用不符合要求的服务等，甲方可以根据本合同第15.1条规定以书面形式追究乙方的违约责任。</w:t>
      </w:r>
    </w:p>
    <w:p w14:paraId="47B81DC9">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2205896A">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8. 权利瑕疵担保</w:t>
      </w:r>
    </w:p>
    <w:p w14:paraId="7C6D863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8.1 乙方保证对其提供的服务享有合法的权利。</w:t>
      </w:r>
    </w:p>
    <w:p w14:paraId="73D1723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8.2 </w:t>
      </w:r>
      <w:r>
        <w:rPr>
          <w:rFonts w:hint="eastAsia" w:ascii="宋体" w:hAnsi="宋体" w:cs="宋体"/>
          <w:color w:val="auto"/>
          <w:szCs w:val="15"/>
          <w:highlight w:val="none"/>
        </w:rPr>
        <w:t>乙方保证在交付的服务成功上不存在抵押权等担保物权。</w:t>
      </w:r>
    </w:p>
    <w:p w14:paraId="4BEC081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8.3 如甲方使用上述服务或服务成果构成对第三人侵权的，则由乙方承担全部责任。</w:t>
      </w:r>
    </w:p>
    <w:p w14:paraId="30465E45">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知识产权保护</w:t>
      </w:r>
    </w:p>
    <w:p w14:paraId="74B468D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对其所提供的服务及服务成果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65AD95F">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保密义务</w:t>
      </w:r>
    </w:p>
    <w:p w14:paraId="545521EC">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6C09A0C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合同价款支付</w:t>
      </w:r>
    </w:p>
    <w:p w14:paraId="7B0D941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11.1 合同价款支付按照国库集中支付制度及财政管理相关规定执行。</w:t>
      </w:r>
    </w:p>
    <w:p w14:paraId="1B231D86">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11.2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Cs w:val="21"/>
          <w:highlight w:val="none"/>
        </w:rPr>
        <w:t>【政府采购合同专用条款】</w:t>
      </w:r>
      <w:r>
        <w:rPr>
          <w:rFonts w:hint="eastAsia" w:ascii="宋体" w:hAnsi="宋体"/>
          <w:color w:val="auto"/>
          <w:szCs w:val="21"/>
          <w:highlight w:val="none"/>
        </w:rPr>
        <w:t>中约定。</w:t>
      </w:r>
    </w:p>
    <w:p w14:paraId="65E07095">
      <w:pPr>
        <w:pStyle w:val="2"/>
        <w:spacing w:after="0" w:line="400" w:lineRule="exact"/>
        <w:ind w:firstLine="482"/>
        <w:rPr>
          <w:rFonts w:ascii="宋体" w:hAnsi="宋体"/>
          <w:b/>
          <w:bCs/>
          <w:color w:val="auto"/>
          <w:sz w:val="24"/>
          <w:highlight w:val="none"/>
        </w:rPr>
      </w:pPr>
      <w:r>
        <w:rPr>
          <w:rFonts w:hint="eastAsia" w:ascii="宋体" w:hAnsi="宋体"/>
          <w:b/>
          <w:bCs/>
          <w:color w:val="auto"/>
          <w:sz w:val="24"/>
          <w:highlight w:val="none"/>
        </w:rPr>
        <w:t>12. 履约保证金</w:t>
      </w:r>
    </w:p>
    <w:p w14:paraId="79EB177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12.1 </w:t>
      </w:r>
      <w:r>
        <w:rPr>
          <w:rFonts w:hint="eastAsia" w:ascii="宋体" w:hAnsi="宋体" w:cs="宋体"/>
          <w:color w:val="auto"/>
          <w:szCs w:val="15"/>
          <w:highlight w:val="none"/>
        </w:rPr>
        <w:t>乙方应当以支票、汇票、本票或者金融机构、担保机构出具的保函等非现金形式提交。</w:t>
      </w:r>
    </w:p>
    <w:p w14:paraId="65A9BBE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769FA354">
      <w:pPr>
        <w:spacing w:line="400" w:lineRule="exact"/>
        <w:ind w:firstLine="420"/>
        <w:rPr>
          <w:color w:val="auto"/>
          <w:highlight w:val="none"/>
        </w:rPr>
      </w:pPr>
      <w:r>
        <w:rPr>
          <w:rFonts w:hint="eastAsia" w:ascii="宋体" w:hAnsi="宋体"/>
          <w:color w:val="auto"/>
          <w:szCs w:val="21"/>
          <w:highlight w:val="none"/>
        </w:rPr>
        <w:t>12.3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37E32CB">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13. </w:t>
      </w:r>
      <w:r>
        <w:rPr>
          <w:rFonts w:hint="eastAsia"/>
          <w:b/>
          <w:color w:val="auto"/>
          <w:sz w:val="24"/>
          <w:highlight w:val="none"/>
        </w:rPr>
        <w:t>售后</w:t>
      </w:r>
      <w:r>
        <w:rPr>
          <w:rFonts w:hint="eastAsia" w:ascii="宋体" w:hAnsi="宋体"/>
          <w:b/>
          <w:color w:val="auto"/>
          <w:sz w:val="24"/>
          <w:highlight w:val="none"/>
        </w:rPr>
        <w:t>服务</w:t>
      </w:r>
    </w:p>
    <w:p w14:paraId="4F25A85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13.1 除项目不涉及或采购活动中明确约定无须承担外，乙方还应提供下列服务：</w:t>
      </w:r>
    </w:p>
    <w:p w14:paraId="310CBDD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（1）服务的现场实施、调试、启动监督及技术支持；服务成果的后续技术维护；</w:t>
      </w:r>
    </w:p>
    <w:p w14:paraId="2F8E6C7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（2）提供服务实施和成果维护所需的专用工具、技术资料和辅助材料；</w:t>
      </w:r>
    </w:p>
    <w:p w14:paraId="1FA2B18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b/>
          <w:bCs/>
          <w:color w:val="auto"/>
          <w:szCs w:val="21"/>
          <w:highlight w:val="none"/>
        </w:rPr>
        <w:t>【政府采购合同专用条款】</w:t>
      </w:r>
      <w:r>
        <w:rPr>
          <w:rFonts w:hint="eastAsia" w:ascii="宋体" w:hAnsi="宋体"/>
          <w:color w:val="auto"/>
          <w:szCs w:val="21"/>
          <w:highlight w:val="none"/>
        </w:rPr>
        <w:t>约定的期限内对所有的服务内容、服务成果实施运行监督、维修/整改，但前提条件是该服务并不能免除乙方在质量保证期内所承担的义务；</w:t>
      </w:r>
    </w:p>
    <w:p w14:paraId="2B78E79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（4）在服务提供方所在地或</w:t>
      </w:r>
      <w:r>
        <w:rPr>
          <w:rFonts w:hint="eastAsia" w:ascii="宋体" w:hAnsi="宋体"/>
          <w:color w:val="auto"/>
          <w:szCs w:val="21"/>
          <w:highlight w:val="none"/>
          <w:lang w:eastAsia="zh-CN"/>
        </w:rPr>
        <w:t>安排的</w:t>
      </w:r>
      <w:r>
        <w:rPr>
          <w:rFonts w:hint="eastAsia" w:ascii="宋体" w:hAnsi="宋体"/>
          <w:color w:val="auto"/>
          <w:szCs w:val="21"/>
          <w:highlight w:val="none"/>
        </w:rPr>
        <w:t>现场就服务的实施、启动、运营、维护、服务成果废弃处置等对甲方操作人员/使用人员进行培训；</w:t>
      </w:r>
    </w:p>
    <w:p w14:paraId="7318A60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（5）依照法律、行政法规的规定或者按照【政府采购合同专用条款】约定，服务成果在有效使用年限届满后应予回收的，乙方负有自行或者委托第三人对服务成果予以回收的义务；</w:t>
      </w:r>
    </w:p>
    <w:p w14:paraId="43E1F49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（6）【政府采购合同专用条款】规定由乙方提供的其他服务。</w:t>
      </w:r>
    </w:p>
    <w:p w14:paraId="592C3316">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14. 违约责任</w:t>
      </w:r>
    </w:p>
    <w:p w14:paraId="0BF0A052">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14.1服务质量瑕疵的违约责任</w:t>
      </w:r>
    </w:p>
    <w:p w14:paraId="5B7DCB9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乙方提供的服务不符合合同约定的质量标准或存在服务质量/成果缺陷，甲方有权要求乙方根据【政府采购合同专用条款】要求及时整改、重作、重新提供服务/成果，并承担由此给甲方造成的损失。</w:t>
      </w:r>
    </w:p>
    <w:p w14:paraId="653D3EB3">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14.2 迟延提供服务/交付服务成果的违约责任</w:t>
      </w:r>
    </w:p>
    <w:p w14:paraId="7575FB9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提供服务和交付服务成果。在履行合同过程中，如果乙方遇到可能影响按时提供服务和交付成果的情形时，应及时以书面形式将迟延的事实、可能迟延的期限和理由通知甲方。甲方在收到乙方通知后，应尽快对情况进行评价，并确定是否同意延长服务提供时间或成果交付时间。</w:t>
      </w:r>
    </w:p>
    <w:p w14:paraId="4A62CAC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（2）如果乙方没有按照合同规定的时间提供服务和交付服务成果，甲方有权从货款中扣除误期赔偿费而不影响合同项下的其他补救方法，赔偿费按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1E6573E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14.3 迟延支付的违约责任</w:t>
      </w:r>
    </w:p>
    <w:p w14:paraId="43C7ADE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451E51F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14.4其他违约责任根据项目实际需要按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471AA45">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15.合同变更、中止与终止</w:t>
      </w:r>
    </w:p>
    <w:p w14:paraId="21D27BD1">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15.1合同的变更</w:t>
      </w:r>
    </w:p>
    <w:p w14:paraId="254D2DD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5ADB70B1">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15.2合同的中止</w:t>
      </w:r>
    </w:p>
    <w:p w14:paraId="6E03372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306D063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CF94751">
      <w:pPr>
        <w:pStyle w:val="37"/>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2EEF612C">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1AD09DE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15.3合同的终止</w:t>
      </w:r>
    </w:p>
    <w:p w14:paraId="0595D32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（1）长期服务合同因有效期限届满而终止；</w:t>
      </w:r>
    </w:p>
    <w:p w14:paraId="6D40BFA1">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697D9A91">
      <w:pPr>
        <w:pStyle w:val="37"/>
        <w:rPr>
          <w:rFonts w:ascii="宋体" w:hAnsi="宋体"/>
          <w:color w:val="auto"/>
          <w:highlight w:val="none"/>
        </w:rPr>
      </w:pPr>
      <w:r>
        <w:rPr>
          <w:rFonts w:hint="eastAsia" w:ascii="宋体" w:hAnsi="宋体"/>
          <w:color w:val="auto"/>
          <w:highlight w:val="none"/>
        </w:rPr>
        <w:t xml:space="preserve">15.4 </w:t>
      </w:r>
      <w:r>
        <w:rPr>
          <w:rFonts w:hint="eastAsia" w:ascii="宋体" w:hAnsi="宋体" w:eastAsia="宋体" w:cs="Times New Roman"/>
          <w:color w:val="auto"/>
          <w:kern w:val="2"/>
          <w:sz w:val="21"/>
          <w:highlight w:val="none"/>
        </w:rPr>
        <w:t>涉及国家利益、社会公共利益的情形</w:t>
      </w:r>
    </w:p>
    <w:p w14:paraId="5297292F">
      <w:pPr>
        <w:pStyle w:val="37"/>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0461F085">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16. 合同分包</w:t>
      </w:r>
    </w:p>
    <w:p w14:paraId="6C9181A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16.1 乙方不得将合同转包给其他供应商。涉及合同分包的，乙方应根据采购文件和投标（响应）文件规定进行合同分包。</w:t>
      </w:r>
    </w:p>
    <w:p w14:paraId="3208E9D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 乙方执行政府采购政策向中小企业依法分包的，乙方应当按采购文件和投标（响应）文件签订分包意向协议，分包意向协议属于本合同组成部分。</w:t>
      </w:r>
    </w:p>
    <w:p w14:paraId="353D47D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不可抗力</w:t>
      </w:r>
    </w:p>
    <w:p w14:paraId="77B13C6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不可抗力是指合同双方不能预见、不能避免且不能克服的客观情况。</w:t>
      </w:r>
    </w:p>
    <w:p w14:paraId="1EF056F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任何一方对由于不可抗力造成的部分或全部不能履行合同不承担违约责任。但迟延履行后发生不可抗力的，不能免除责任。</w:t>
      </w:r>
    </w:p>
    <w:p w14:paraId="3C0D9F9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4CA4DCE">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解决争议的方法</w:t>
      </w:r>
    </w:p>
    <w:p w14:paraId="35389010">
      <w:pPr>
        <w:pStyle w:val="3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18.1 因本合同及合同有关事项发生的争议，由甲乙双方友好协商解决。协商不成时，可以向有关组织申请调解。合同一方或双方不愿调解或调解不成的，可以通过仲裁或诉讼的方式解决争议。</w:t>
      </w:r>
    </w:p>
    <w:p w14:paraId="1CF82025">
      <w:pPr>
        <w:pStyle w:val="3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18.2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7978A7A9">
      <w:pPr>
        <w:pStyle w:val="3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18.3 如甲乙双方有争议的事项不影响合同其他部分的履行，在争议解决期间，合同其他部分应当继续履行。</w:t>
      </w:r>
    </w:p>
    <w:p w14:paraId="4CE4012E">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19. 政府采购政策</w:t>
      </w:r>
    </w:p>
    <w:p w14:paraId="2AD2223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19.1 </w:t>
      </w:r>
      <w:r>
        <w:rPr>
          <w:rFonts w:hint="eastAsia" w:ascii="宋体" w:hAnsi="宋体" w:cs="宋体"/>
          <w:color w:val="auto"/>
          <w:highlight w:val="none"/>
          <w:lang w:val="en-GB"/>
        </w:rPr>
        <w:t>本合同应当按照规定执行政府采购政策。</w:t>
      </w:r>
    </w:p>
    <w:p w14:paraId="064F44B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19.2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3E6C14CD">
      <w:pPr>
        <w:pStyle w:val="2"/>
        <w:spacing w:after="0" w:line="400" w:lineRule="exact"/>
        <w:ind w:firstLine="560"/>
        <w:rPr>
          <w:color w:val="auto"/>
          <w:highlight w:val="none"/>
        </w:rPr>
      </w:pPr>
      <w:r>
        <w:rPr>
          <w:rFonts w:hint="eastAsia" w:ascii="宋体" w:hAnsi="宋体"/>
          <w:color w:val="auto"/>
          <w:szCs w:val="21"/>
          <w:highlight w:val="none"/>
        </w:rPr>
        <w:t>19.3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E8A01A">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20. 法律适用</w:t>
      </w:r>
    </w:p>
    <w:p w14:paraId="0D761E86">
      <w:pPr>
        <w:pStyle w:val="3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20.1 本合同的订立、生效、解释、履行及与本合同有关的争议解决，均适用法律、行政法规。</w:t>
      </w:r>
    </w:p>
    <w:p w14:paraId="5F4CED13">
      <w:pPr>
        <w:pStyle w:val="3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20.2 本合同条款与法律、行政法规的强制性规定不一致的，双方当事人应按照法律、行政法规的强制性规定修改本合同的相关条款。</w:t>
      </w:r>
    </w:p>
    <w:p w14:paraId="03A50124">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通知</w:t>
      </w:r>
    </w:p>
    <w:p w14:paraId="60461556">
      <w:pPr>
        <w:pStyle w:val="3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本合同任何一方向对方发出的通知、信件、数据电文等，应当发送至本合同第一部分《政府采购合同协议书》所约定的通讯地址、联系人、联系电话或电子邮箱。</w:t>
      </w:r>
    </w:p>
    <w:p w14:paraId="7FDFBD66">
      <w:pPr>
        <w:pStyle w:val="37"/>
        <w:ind w:firstLine="0" w:firstLineChars="0"/>
        <w:jc w:val="both"/>
        <w:rPr>
          <w:color w:val="auto"/>
          <w:sz w:val="21"/>
          <w:highlight w:val="none"/>
        </w:rPr>
      </w:pPr>
      <w:r>
        <w:rPr>
          <w:rFonts w:hint="eastAsia" w:ascii="宋体" w:hAnsi="宋体" w:eastAsia="宋体" w:cs="宋体"/>
          <w:color w:val="auto"/>
          <w:sz w:val="21"/>
          <w:highlight w:val="none"/>
        </w:rPr>
        <w:t xml:space="preserve">    21.2 一方当事人变更名称、住所、联系人、联系电话或电子邮箱等信息的，应当在变更后3日内及时书面通知对方，对方实际收到变更通知前的送达仍为有效送达。</w:t>
      </w:r>
    </w:p>
    <w:p w14:paraId="55D8A94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21.3本合同一方给另一方的通知均应采用书面形式，传真或快递送到本合同中规定的对方的地址和办理签收手续。</w:t>
      </w:r>
    </w:p>
    <w:p w14:paraId="2B80A2B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21.4通知以送达之日或通知书中规定的生效之日起生效，两者中以较迟之日为准。</w:t>
      </w:r>
    </w:p>
    <w:p w14:paraId="39E4C484">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22.合同未尽事项</w:t>
      </w:r>
    </w:p>
    <w:p w14:paraId="08B7B1BA">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22.1合同未尽事项见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1E601BC6">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22.2 合同附件与合同正文具有同等的法律效力。</w:t>
      </w:r>
    </w:p>
    <w:p w14:paraId="0B6C284A">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36C6716F">
      <w:pPr>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第三节 政府采购合同专用条款</w:t>
      </w:r>
    </w:p>
    <w:tbl>
      <w:tblPr>
        <w:tblStyle w:val="29"/>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EDAC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4DB45B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AB80329">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08F77BFA">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7599423A">
            <w:pPr>
              <w:adjustRightInd w:val="0"/>
              <w:snapToGrid w:val="0"/>
              <w:jc w:val="left"/>
              <w:rPr>
                <w:rFonts w:ascii="宋体" w:hAnsi="宋体"/>
                <w:color w:val="auto"/>
                <w:szCs w:val="21"/>
                <w:highlight w:val="none"/>
              </w:rPr>
            </w:pPr>
          </w:p>
        </w:tc>
      </w:tr>
      <w:tr w14:paraId="566366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3606248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4C8BE45">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14:paraId="7CEF5AAE">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14:paraId="1E20AD0D">
            <w:pPr>
              <w:adjustRightInd w:val="0"/>
              <w:snapToGrid w:val="0"/>
              <w:jc w:val="left"/>
              <w:rPr>
                <w:rFonts w:ascii="宋体" w:hAnsi="宋体"/>
                <w:color w:val="auto"/>
                <w:szCs w:val="21"/>
                <w:highlight w:val="none"/>
              </w:rPr>
            </w:pPr>
          </w:p>
        </w:tc>
      </w:tr>
      <w:tr w14:paraId="13A9D7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4785DC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3F83815">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vAlign w:val="center"/>
          </w:tcPr>
          <w:p w14:paraId="1B8382EC">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14:paraId="7779FE21">
            <w:pPr>
              <w:adjustRightInd w:val="0"/>
              <w:snapToGrid w:val="0"/>
              <w:jc w:val="left"/>
              <w:rPr>
                <w:rFonts w:ascii="宋体" w:hAnsi="宋体"/>
                <w:color w:val="auto"/>
                <w:szCs w:val="21"/>
                <w:highlight w:val="none"/>
              </w:rPr>
            </w:pPr>
          </w:p>
        </w:tc>
      </w:tr>
      <w:tr w14:paraId="60B07D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CE2F03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271FEF6">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vAlign w:val="center"/>
          </w:tcPr>
          <w:p w14:paraId="7E2327C1">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14:paraId="2A175D1A">
            <w:pPr>
              <w:adjustRightInd w:val="0"/>
              <w:snapToGrid w:val="0"/>
              <w:jc w:val="left"/>
              <w:rPr>
                <w:rFonts w:ascii="宋体" w:hAnsi="宋体"/>
                <w:color w:val="auto"/>
                <w:szCs w:val="21"/>
                <w:highlight w:val="none"/>
              </w:rPr>
            </w:pPr>
          </w:p>
        </w:tc>
      </w:tr>
      <w:tr w14:paraId="6A100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1006F9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86EDBD">
            <w:pPr>
              <w:snapToGrid w:val="0"/>
              <w:jc w:val="center"/>
              <w:rPr>
                <w:color w:val="auto"/>
                <w:highlight w:val="none"/>
              </w:rPr>
            </w:pPr>
            <w:r>
              <w:rPr>
                <w:rFonts w:hint="eastAsia" w:ascii="宋体" w:hAnsi="宋体"/>
                <w:color w:val="auto"/>
                <w:szCs w:val="21"/>
                <w:highlight w:val="none"/>
              </w:rPr>
              <w:t>第5.4款</w:t>
            </w:r>
          </w:p>
        </w:tc>
        <w:tc>
          <w:tcPr>
            <w:tcW w:w="1742" w:type="dxa"/>
            <w:vAlign w:val="center"/>
          </w:tcPr>
          <w:p w14:paraId="0C4D7E7C">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14:paraId="502E4CBA">
            <w:pPr>
              <w:adjustRightInd w:val="0"/>
              <w:snapToGrid w:val="0"/>
              <w:jc w:val="left"/>
              <w:rPr>
                <w:rFonts w:ascii="宋体" w:hAnsi="宋体"/>
                <w:color w:val="auto"/>
                <w:szCs w:val="21"/>
                <w:highlight w:val="none"/>
              </w:rPr>
            </w:pPr>
          </w:p>
        </w:tc>
      </w:tr>
      <w:tr w14:paraId="5869B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6BCFCD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457437A">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vAlign w:val="center"/>
          </w:tcPr>
          <w:p w14:paraId="1DDA5D42">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14:paraId="606A1538">
            <w:pPr>
              <w:adjustRightInd w:val="0"/>
              <w:snapToGrid w:val="0"/>
              <w:jc w:val="left"/>
              <w:rPr>
                <w:rFonts w:ascii="宋体" w:hAnsi="宋体"/>
                <w:color w:val="auto"/>
                <w:szCs w:val="21"/>
                <w:highlight w:val="none"/>
              </w:rPr>
            </w:pPr>
          </w:p>
        </w:tc>
      </w:tr>
      <w:tr w14:paraId="357A6C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999D1D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DD3C91">
            <w:pPr>
              <w:adjustRightInd w:val="0"/>
              <w:snapToGrid w:val="0"/>
              <w:jc w:val="center"/>
              <w:rPr>
                <w:rFonts w:ascii="宋体" w:hAnsi="宋体"/>
                <w:color w:val="auto"/>
                <w:szCs w:val="21"/>
                <w:highlight w:val="none"/>
              </w:rPr>
            </w:pPr>
            <w:r>
              <w:rPr>
                <w:rFonts w:hint="eastAsia" w:ascii="宋体" w:hAnsi="宋体"/>
                <w:color w:val="auto"/>
                <w:szCs w:val="21"/>
                <w:highlight w:val="none"/>
              </w:rPr>
              <w:t>第7.2（1）项</w:t>
            </w:r>
          </w:p>
        </w:tc>
        <w:tc>
          <w:tcPr>
            <w:tcW w:w="1742" w:type="dxa"/>
            <w:vAlign w:val="center"/>
          </w:tcPr>
          <w:p w14:paraId="4097A940">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05F043AE">
            <w:pPr>
              <w:autoSpaceDE w:val="0"/>
              <w:autoSpaceDN w:val="0"/>
              <w:adjustRightInd w:val="0"/>
              <w:snapToGrid w:val="0"/>
              <w:ind w:firstLine="420" w:firstLineChars="200"/>
              <w:jc w:val="left"/>
              <w:rPr>
                <w:rFonts w:ascii="宋体" w:hAnsi="宋体"/>
                <w:color w:val="auto"/>
                <w:szCs w:val="21"/>
                <w:highlight w:val="none"/>
              </w:rPr>
            </w:pPr>
          </w:p>
        </w:tc>
      </w:tr>
      <w:tr w14:paraId="375846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A9B974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CC84B49">
            <w:pPr>
              <w:adjustRightInd w:val="0"/>
              <w:snapToGrid w:val="0"/>
              <w:jc w:val="center"/>
              <w:rPr>
                <w:rFonts w:ascii="宋体" w:hAnsi="宋体"/>
                <w:color w:val="auto"/>
                <w:szCs w:val="21"/>
                <w:highlight w:val="none"/>
              </w:rPr>
            </w:pPr>
            <w:r>
              <w:rPr>
                <w:rFonts w:hint="eastAsia" w:ascii="宋体" w:hAnsi="宋体"/>
                <w:color w:val="auto"/>
                <w:szCs w:val="21"/>
                <w:highlight w:val="none"/>
              </w:rPr>
              <w:t>第7.2（3）项</w:t>
            </w:r>
          </w:p>
        </w:tc>
        <w:tc>
          <w:tcPr>
            <w:tcW w:w="1742" w:type="dxa"/>
            <w:vAlign w:val="center"/>
          </w:tcPr>
          <w:p w14:paraId="5691437E">
            <w:pPr>
              <w:adjustRightInd w:val="0"/>
              <w:snapToGrid w:val="0"/>
              <w:jc w:val="left"/>
              <w:rPr>
                <w:rFonts w:ascii="宋体" w:hAnsi="宋体"/>
                <w:color w:val="auto"/>
                <w:szCs w:val="21"/>
                <w:highlight w:val="none"/>
              </w:rPr>
            </w:pPr>
            <w:r>
              <w:rPr>
                <w:rFonts w:hint="eastAsia" w:ascii="宋体" w:hAnsi="宋体"/>
                <w:color w:val="auto"/>
                <w:szCs w:val="21"/>
                <w:highlight w:val="none"/>
              </w:rPr>
              <w:t>服务成果质量缺陷响应时间</w:t>
            </w:r>
          </w:p>
        </w:tc>
        <w:tc>
          <w:tcPr>
            <w:tcW w:w="5170" w:type="dxa"/>
            <w:vAlign w:val="center"/>
          </w:tcPr>
          <w:p w14:paraId="27E0533C">
            <w:pPr>
              <w:adjustRightInd w:val="0"/>
              <w:snapToGrid w:val="0"/>
              <w:jc w:val="left"/>
              <w:rPr>
                <w:rFonts w:ascii="宋体" w:hAnsi="宋体"/>
                <w:color w:val="auto"/>
                <w:szCs w:val="21"/>
                <w:highlight w:val="none"/>
              </w:rPr>
            </w:pPr>
          </w:p>
        </w:tc>
      </w:tr>
      <w:tr w14:paraId="16CA29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DAE3416">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3A0B817">
            <w:pPr>
              <w:pStyle w:val="37"/>
              <w:ind w:firstLine="0" w:firstLineChars="0"/>
              <w:jc w:val="center"/>
              <w:rPr>
                <w:color w:val="auto"/>
                <w:highlight w:val="none"/>
              </w:rPr>
            </w:pPr>
            <w:r>
              <w:rPr>
                <w:rFonts w:hint="eastAsia" w:ascii="宋体" w:hAnsi="宋体" w:eastAsia="宋体" w:cs="宋体"/>
                <w:color w:val="auto"/>
                <w:highlight w:val="none"/>
              </w:rPr>
              <w:t>第10.1款</w:t>
            </w:r>
          </w:p>
        </w:tc>
        <w:tc>
          <w:tcPr>
            <w:tcW w:w="1742" w:type="dxa"/>
            <w:vAlign w:val="center"/>
          </w:tcPr>
          <w:p w14:paraId="55BC2E56">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14:paraId="5417D615">
            <w:pPr>
              <w:adjustRightInd w:val="0"/>
              <w:snapToGrid w:val="0"/>
              <w:jc w:val="left"/>
              <w:rPr>
                <w:rFonts w:ascii="宋体" w:hAnsi="宋体"/>
                <w:color w:val="auto"/>
                <w:szCs w:val="21"/>
                <w:highlight w:val="none"/>
              </w:rPr>
            </w:pPr>
          </w:p>
        </w:tc>
      </w:tr>
      <w:tr w14:paraId="7416E7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1033F4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5D82CD1">
            <w:pPr>
              <w:adjustRightInd w:val="0"/>
              <w:snapToGrid w:val="0"/>
              <w:jc w:val="center"/>
              <w:rPr>
                <w:rFonts w:ascii="宋体" w:hAnsi="宋体"/>
                <w:color w:val="auto"/>
                <w:szCs w:val="21"/>
                <w:highlight w:val="none"/>
              </w:rPr>
            </w:pPr>
            <w:r>
              <w:rPr>
                <w:rFonts w:hint="eastAsia" w:ascii="宋体" w:hAnsi="宋体"/>
                <w:color w:val="auto"/>
                <w:szCs w:val="21"/>
                <w:highlight w:val="none"/>
              </w:rPr>
              <w:t>第11.2款</w:t>
            </w:r>
          </w:p>
        </w:tc>
        <w:tc>
          <w:tcPr>
            <w:tcW w:w="1742" w:type="dxa"/>
            <w:vAlign w:val="center"/>
          </w:tcPr>
          <w:p w14:paraId="4132AAA1">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14:paraId="742C7081">
            <w:pPr>
              <w:adjustRightInd w:val="0"/>
              <w:snapToGrid w:val="0"/>
              <w:jc w:val="left"/>
              <w:rPr>
                <w:rFonts w:ascii="宋体" w:hAnsi="宋体"/>
                <w:color w:val="auto"/>
                <w:szCs w:val="21"/>
                <w:highlight w:val="none"/>
              </w:rPr>
            </w:pPr>
          </w:p>
        </w:tc>
      </w:tr>
      <w:tr w14:paraId="6FB24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783543D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A388FFB">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14:paraId="1BF0288A">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14:paraId="22AD3572">
            <w:pPr>
              <w:adjustRightInd w:val="0"/>
              <w:snapToGrid w:val="0"/>
              <w:jc w:val="left"/>
              <w:rPr>
                <w:rFonts w:ascii="宋体" w:hAnsi="宋体"/>
                <w:color w:val="auto"/>
                <w:szCs w:val="21"/>
                <w:highlight w:val="none"/>
              </w:rPr>
            </w:pPr>
          </w:p>
        </w:tc>
      </w:tr>
      <w:tr w14:paraId="732085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86085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E01ECC0">
            <w:pPr>
              <w:adjustRightInd w:val="0"/>
              <w:snapToGrid w:val="0"/>
              <w:jc w:val="center"/>
              <w:rPr>
                <w:rFonts w:ascii="宋体" w:hAnsi="宋体"/>
                <w:color w:val="auto"/>
                <w:szCs w:val="21"/>
                <w:highlight w:val="none"/>
              </w:rPr>
            </w:pPr>
            <w:r>
              <w:rPr>
                <w:rFonts w:hint="eastAsia" w:ascii="宋体" w:hAnsi="宋体"/>
                <w:color w:val="auto"/>
                <w:szCs w:val="21"/>
                <w:highlight w:val="none"/>
              </w:rPr>
              <w:t>第12.3款</w:t>
            </w:r>
          </w:p>
        </w:tc>
        <w:tc>
          <w:tcPr>
            <w:tcW w:w="1742" w:type="dxa"/>
            <w:vAlign w:val="center"/>
          </w:tcPr>
          <w:p w14:paraId="4A235E6F">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14:paraId="67BCE8CD">
            <w:pPr>
              <w:adjustRightInd w:val="0"/>
              <w:snapToGrid w:val="0"/>
              <w:jc w:val="left"/>
              <w:rPr>
                <w:rFonts w:ascii="宋体" w:hAnsi="宋体"/>
                <w:color w:val="auto"/>
                <w:szCs w:val="21"/>
                <w:highlight w:val="none"/>
              </w:rPr>
            </w:pPr>
          </w:p>
        </w:tc>
      </w:tr>
      <w:tr w14:paraId="3720F0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1DBE16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35AC65B">
            <w:pPr>
              <w:adjustRightInd w:val="0"/>
              <w:snapToGrid w:val="0"/>
              <w:jc w:val="center"/>
              <w:rPr>
                <w:rFonts w:ascii="宋体" w:hAnsi="宋体"/>
                <w:color w:val="auto"/>
                <w:szCs w:val="21"/>
                <w:highlight w:val="none"/>
              </w:rPr>
            </w:pPr>
            <w:r>
              <w:rPr>
                <w:rFonts w:hint="eastAsia" w:ascii="宋体" w:hAnsi="宋体"/>
                <w:color w:val="auto"/>
                <w:szCs w:val="21"/>
                <w:highlight w:val="none"/>
              </w:rPr>
              <w:t>第13.1（3）项</w:t>
            </w:r>
          </w:p>
        </w:tc>
        <w:tc>
          <w:tcPr>
            <w:tcW w:w="1742" w:type="dxa"/>
            <w:vAlign w:val="center"/>
          </w:tcPr>
          <w:p w14:paraId="6039CEEF">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14:paraId="184C09E2">
            <w:pPr>
              <w:adjustRightInd w:val="0"/>
              <w:snapToGrid w:val="0"/>
              <w:jc w:val="left"/>
              <w:rPr>
                <w:rFonts w:ascii="宋体" w:hAnsi="宋体"/>
                <w:color w:val="auto"/>
                <w:szCs w:val="21"/>
                <w:highlight w:val="none"/>
              </w:rPr>
            </w:pPr>
          </w:p>
        </w:tc>
      </w:tr>
      <w:tr w14:paraId="421EC4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165FDB9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5E75F4A">
            <w:pPr>
              <w:adjustRightInd w:val="0"/>
              <w:snapToGrid w:val="0"/>
              <w:jc w:val="center"/>
              <w:rPr>
                <w:rFonts w:ascii="宋体" w:hAnsi="宋体"/>
                <w:color w:val="auto"/>
                <w:szCs w:val="21"/>
                <w:highlight w:val="none"/>
              </w:rPr>
            </w:pPr>
            <w:r>
              <w:rPr>
                <w:rFonts w:hint="eastAsia" w:ascii="宋体" w:hAnsi="宋体"/>
                <w:color w:val="auto"/>
                <w:szCs w:val="21"/>
                <w:highlight w:val="none"/>
              </w:rPr>
              <w:t>第13.1（5）项</w:t>
            </w:r>
          </w:p>
        </w:tc>
        <w:tc>
          <w:tcPr>
            <w:tcW w:w="1742" w:type="dxa"/>
            <w:vAlign w:val="center"/>
          </w:tcPr>
          <w:p w14:paraId="03D5C118">
            <w:pPr>
              <w:adjustRightInd w:val="0"/>
              <w:snapToGrid w:val="0"/>
              <w:jc w:val="left"/>
              <w:rPr>
                <w:rFonts w:ascii="宋体" w:hAnsi="宋体"/>
                <w:color w:val="auto"/>
                <w:szCs w:val="21"/>
                <w:highlight w:val="none"/>
              </w:rPr>
            </w:pPr>
            <w:r>
              <w:rPr>
                <w:rFonts w:hint="eastAsia" w:ascii="宋体" w:hAnsi="宋体"/>
                <w:color w:val="auto"/>
                <w:szCs w:val="21"/>
                <w:highlight w:val="none"/>
              </w:rPr>
              <w:t>服务成果回收的约定</w:t>
            </w:r>
          </w:p>
        </w:tc>
        <w:tc>
          <w:tcPr>
            <w:tcW w:w="5170" w:type="dxa"/>
            <w:vAlign w:val="center"/>
          </w:tcPr>
          <w:p w14:paraId="5F03F7DF">
            <w:pPr>
              <w:adjustRightInd w:val="0"/>
              <w:snapToGrid w:val="0"/>
              <w:jc w:val="left"/>
              <w:rPr>
                <w:rFonts w:ascii="宋体" w:hAnsi="宋体"/>
                <w:color w:val="auto"/>
                <w:szCs w:val="21"/>
                <w:highlight w:val="none"/>
              </w:rPr>
            </w:pPr>
          </w:p>
        </w:tc>
      </w:tr>
      <w:tr w14:paraId="0574DC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79C5AB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4A5D0D0">
            <w:pPr>
              <w:adjustRightInd w:val="0"/>
              <w:snapToGrid w:val="0"/>
              <w:jc w:val="center"/>
              <w:rPr>
                <w:rFonts w:ascii="宋体" w:hAnsi="宋体"/>
                <w:color w:val="auto"/>
                <w:szCs w:val="21"/>
                <w:highlight w:val="none"/>
              </w:rPr>
            </w:pPr>
            <w:r>
              <w:rPr>
                <w:rFonts w:hint="eastAsia" w:ascii="宋体" w:hAnsi="宋体"/>
                <w:color w:val="auto"/>
                <w:szCs w:val="21"/>
                <w:highlight w:val="none"/>
              </w:rPr>
              <w:t>第13.1（6）项</w:t>
            </w:r>
          </w:p>
        </w:tc>
        <w:tc>
          <w:tcPr>
            <w:tcW w:w="1742" w:type="dxa"/>
            <w:vAlign w:val="center"/>
          </w:tcPr>
          <w:p w14:paraId="6838B940">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2B1D5311">
            <w:pPr>
              <w:adjustRightInd w:val="0"/>
              <w:snapToGrid w:val="0"/>
              <w:jc w:val="left"/>
              <w:rPr>
                <w:rFonts w:ascii="宋体" w:hAnsi="宋体"/>
                <w:color w:val="auto"/>
                <w:szCs w:val="21"/>
                <w:highlight w:val="none"/>
              </w:rPr>
            </w:pPr>
          </w:p>
        </w:tc>
      </w:tr>
      <w:tr w14:paraId="283EDF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998BDB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832A792">
            <w:pPr>
              <w:adjustRightInd w:val="0"/>
              <w:snapToGrid w:val="0"/>
              <w:jc w:val="center"/>
              <w:rPr>
                <w:rFonts w:ascii="宋体" w:hAnsi="宋体"/>
                <w:color w:val="auto"/>
                <w:szCs w:val="21"/>
                <w:highlight w:val="none"/>
              </w:rPr>
            </w:pPr>
            <w:r>
              <w:rPr>
                <w:rFonts w:hint="eastAsia" w:ascii="宋体" w:hAnsi="宋体"/>
                <w:color w:val="auto"/>
                <w:szCs w:val="21"/>
                <w:highlight w:val="none"/>
              </w:rPr>
              <w:t>第14.1款</w:t>
            </w:r>
          </w:p>
        </w:tc>
        <w:tc>
          <w:tcPr>
            <w:tcW w:w="1742" w:type="dxa"/>
            <w:vAlign w:val="center"/>
          </w:tcPr>
          <w:p w14:paraId="5834F5B8">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14:paraId="02B32335">
            <w:pPr>
              <w:adjustRightInd w:val="0"/>
              <w:snapToGrid w:val="0"/>
              <w:jc w:val="left"/>
              <w:rPr>
                <w:rFonts w:ascii="宋体" w:hAnsi="宋体"/>
                <w:color w:val="auto"/>
                <w:szCs w:val="21"/>
                <w:highlight w:val="none"/>
              </w:rPr>
            </w:pPr>
          </w:p>
        </w:tc>
      </w:tr>
      <w:tr w14:paraId="1EED54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3CFE97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2794BE0">
            <w:pPr>
              <w:adjustRightInd w:val="0"/>
              <w:snapToGrid w:val="0"/>
              <w:jc w:val="center"/>
              <w:rPr>
                <w:rFonts w:ascii="宋体" w:hAnsi="宋体"/>
                <w:color w:val="auto"/>
                <w:szCs w:val="21"/>
                <w:highlight w:val="none"/>
              </w:rPr>
            </w:pPr>
            <w:r>
              <w:rPr>
                <w:rFonts w:hint="eastAsia" w:ascii="宋体" w:hAnsi="宋体"/>
                <w:color w:val="auto"/>
                <w:szCs w:val="21"/>
                <w:highlight w:val="none"/>
              </w:rPr>
              <w:t>第14.2（2）项</w:t>
            </w:r>
          </w:p>
        </w:tc>
        <w:tc>
          <w:tcPr>
            <w:tcW w:w="1742" w:type="dxa"/>
            <w:vAlign w:val="center"/>
          </w:tcPr>
          <w:p w14:paraId="58A36AB7">
            <w:pPr>
              <w:adjustRightInd w:val="0"/>
              <w:snapToGrid w:val="0"/>
              <w:jc w:val="left"/>
              <w:rPr>
                <w:rFonts w:ascii="宋体" w:hAnsi="宋体"/>
                <w:color w:val="auto"/>
                <w:szCs w:val="21"/>
                <w:highlight w:val="none"/>
              </w:rPr>
            </w:pPr>
            <w:r>
              <w:rPr>
                <w:rFonts w:hint="eastAsia" w:ascii="宋体" w:hAnsi="宋体"/>
                <w:color w:val="auto"/>
                <w:szCs w:val="21"/>
                <w:highlight w:val="none"/>
              </w:rPr>
              <w:t>迟延交付赔偿费</w:t>
            </w:r>
          </w:p>
        </w:tc>
        <w:tc>
          <w:tcPr>
            <w:tcW w:w="5170" w:type="dxa"/>
            <w:vAlign w:val="center"/>
          </w:tcPr>
          <w:p w14:paraId="4BAD7AE1">
            <w:pPr>
              <w:adjustRightInd w:val="0"/>
              <w:snapToGrid w:val="0"/>
              <w:jc w:val="left"/>
              <w:rPr>
                <w:rFonts w:ascii="宋体" w:hAnsi="宋体"/>
                <w:color w:val="auto"/>
                <w:szCs w:val="21"/>
                <w:highlight w:val="none"/>
                <w:u w:val="single"/>
              </w:rPr>
            </w:pPr>
          </w:p>
        </w:tc>
      </w:tr>
      <w:tr w14:paraId="63934D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5C08D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BE43FD">
            <w:pPr>
              <w:adjustRightInd w:val="0"/>
              <w:snapToGrid w:val="0"/>
              <w:jc w:val="center"/>
              <w:rPr>
                <w:rFonts w:ascii="宋体" w:hAnsi="宋体"/>
                <w:color w:val="auto"/>
                <w:szCs w:val="21"/>
                <w:highlight w:val="none"/>
              </w:rPr>
            </w:pPr>
            <w:r>
              <w:rPr>
                <w:rFonts w:hint="eastAsia" w:ascii="宋体" w:hAnsi="宋体"/>
                <w:color w:val="auto"/>
                <w:szCs w:val="21"/>
                <w:highlight w:val="none"/>
              </w:rPr>
              <w:t>第14.3款</w:t>
            </w:r>
          </w:p>
        </w:tc>
        <w:tc>
          <w:tcPr>
            <w:tcW w:w="1742" w:type="dxa"/>
            <w:vAlign w:val="center"/>
          </w:tcPr>
          <w:p w14:paraId="14E80C90">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4B060C45">
            <w:pPr>
              <w:adjustRightInd w:val="0"/>
              <w:snapToGrid w:val="0"/>
              <w:jc w:val="left"/>
              <w:rPr>
                <w:rFonts w:ascii="宋体" w:hAnsi="宋体"/>
                <w:color w:val="auto"/>
                <w:szCs w:val="21"/>
                <w:highlight w:val="none"/>
                <w:u w:val="single"/>
              </w:rPr>
            </w:pPr>
          </w:p>
        </w:tc>
      </w:tr>
      <w:tr w14:paraId="5FD885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76DCB6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A55070D">
            <w:pPr>
              <w:adjustRightInd w:val="0"/>
              <w:snapToGrid w:val="0"/>
              <w:jc w:val="center"/>
              <w:rPr>
                <w:rFonts w:ascii="宋体" w:hAnsi="宋体"/>
                <w:color w:val="auto"/>
                <w:szCs w:val="21"/>
                <w:highlight w:val="none"/>
              </w:rPr>
            </w:pPr>
            <w:r>
              <w:rPr>
                <w:rFonts w:hint="eastAsia" w:ascii="宋体" w:hAnsi="宋体"/>
                <w:color w:val="auto"/>
                <w:szCs w:val="21"/>
                <w:highlight w:val="none"/>
              </w:rPr>
              <w:t>第14.4款</w:t>
            </w:r>
          </w:p>
        </w:tc>
        <w:tc>
          <w:tcPr>
            <w:tcW w:w="1742" w:type="dxa"/>
            <w:tcBorders>
              <w:left w:val="single" w:color="auto" w:sz="2" w:space="0"/>
              <w:bottom w:val="single" w:color="auto" w:sz="2" w:space="0"/>
              <w:right w:val="single" w:color="auto" w:sz="2" w:space="0"/>
            </w:tcBorders>
            <w:vAlign w:val="center"/>
          </w:tcPr>
          <w:p w14:paraId="3354A725">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2A71F294">
            <w:pPr>
              <w:adjustRightInd w:val="0"/>
              <w:snapToGrid w:val="0"/>
              <w:jc w:val="left"/>
              <w:rPr>
                <w:rFonts w:ascii="宋体" w:hAnsi="宋体"/>
                <w:color w:val="auto"/>
                <w:szCs w:val="21"/>
                <w:highlight w:val="none"/>
                <w:u w:val="single"/>
              </w:rPr>
            </w:pPr>
          </w:p>
        </w:tc>
      </w:tr>
      <w:tr w14:paraId="06691B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03FFBF3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5ABA867">
            <w:pPr>
              <w:adjustRightInd w:val="0"/>
              <w:snapToGrid w:val="0"/>
              <w:jc w:val="center"/>
              <w:rPr>
                <w:rFonts w:ascii="宋体" w:hAnsi="宋体"/>
                <w:color w:val="auto"/>
                <w:szCs w:val="21"/>
                <w:highlight w:val="none"/>
              </w:rPr>
            </w:pPr>
            <w:r>
              <w:rPr>
                <w:rFonts w:hint="eastAsia" w:ascii="宋体" w:hAnsi="宋体"/>
                <w:color w:val="auto"/>
                <w:szCs w:val="21"/>
                <w:highlight w:val="none"/>
              </w:rPr>
              <w:t>第18.2款</w:t>
            </w:r>
          </w:p>
        </w:tc>
        <w:tc>
          <w:tcPr>
            <w:tcW w:w="1742" w:type="dxa"/>
            <w:tcBorders>
              <w:top w:val="single" w:color="auto" w:sz="2" w:space="0"/>
              <w:left w:val="single" w:color="auto" w:sz="2" w:space="0"/>
              <w:right w:val="single" w:color="auto" w:sz="2" w:space="0"/>
            </w:tcBorders>
            <w:vAlign w:val="center"/>
          </w:tcPr>
          <w:p w14:paraId="6AEDB955">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46DE224D">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555F394E">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77D1B392">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79EC03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068BAAE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B4CEEF6">
            <w:pPr>
              <w:adjustRightInd w:val="0"/>
              <w:snapToGrid w:val="0"/>
              <w:jc w:val="center"/>
              <w:rPr>
                <w:rFonts w:ascii="宋体" w:hAnsi="宋体"/>
                <w:color w:val="auto"/>
                <w:szCs w:val="21"/>
                <w:highlight w:val="none"/>
              </w:rPr>
            </w:pPr>
            <w:r>
              <w:rPr>
                <w:rFonts w:hint="eastAsia" w:ascii="宋体" w:hAnsi="宋体"/>
                <w:color w:val="auto"/>
                <w:szCs w:val="21"/>
                <w:highlight w:val="none"/>
              </w:rPr>
              <w:t>第22.1款</w:t>
            </w:r>
          </w:p>
        </w:tc>
        <w:tc>
          <w:tcPr>
            <w:tcW w:w="1742" w:type="dxa"/>
            <w:vAlign w:val="center"/>
          </w:tcPr>
          <w:p w14:paraId="485FBE30">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14:paraId="08F6103B">
            <w:pPr>
              <w:adjustRightInd w:val="0"/>
              <w:snapToGrid w:val="0"/>
              <w:jc w:val="left"/>
              <w:rPr>
                <w:rFonts w:ascii="宋体" w:hAnsi="宋体"/>
                <w:color w:val="auto"/>
                <w:szCs w:val="21"/>
                <w:highlight w:val="none"/>
              </w:rPr>
            </w:pPr>
          </w:p>
        </w:tc>
      </w:tr>
    </w:tbl>
    <w:p w14:paraId="360F1791">
      <w:pPr>
        <w:pStyle w:val="2"/>
        <w:spacing w:after="0"/>
        <w:jc w:val="center"/>
        <w:rPr>
          <w:rFonts w:ascii="宋体" w:hAnsi="宋体" w:cs="宋体"/>
          <w:b/>
          <w:bCs/>
          <w:color w:val="auto"/>
          <w:spacing w:val="-20"/>
          <w:kern w:val="44"/>
          <w:sz w:val="48"/>
          <w:szCs w:val="48"/>
          <w:highlight w:val="none"/>
        </w:rPr>
      </w:pPr>
    </w:p>
    <w:bookmarkEnd w:id="129"/>
    <w:p w14:paraId="050DA9CB">
      <w:pPr>
        <w:rPr>
          <w:color w:val="auto"/>
          <w:highlight w:val="none"/>
        </w:rPr>
      </w:pPr>
    </w:p>
    <w:p w14:paraId="68C4BA06">
      <w:pPr>
        <w:rPr>
          <w:color w:val="auto"/>
          <w:highlight w:val="none"/>
        </w:rPr>
      </w:pPr>
    </w:p>
    <w:p w14:paraId="77CD8599">
      <w:pPr>
        <w:adjustRightInd w:val="0"/>
        <w:snapToGrid w:val="0"/>
        <w:spacing w:line="400" w:lineRule="exact"/>
        <w:ind w:firstLine="475" w:firstLineChars="198"/>
        <w:rPr>
          <w:rFonts w:ascii="Times New Roman" w:hAnsi="Times New Roman" w:eastAsia="仿宋"/>
          <w:color w:val="auto"/>
          <w:sz w:val="24"/>
          <w:szCs w:val="24"/>
          <w:highlight w:val="none"/>
        </w:rPr>
      </w:pPr>
    </w:p>
    <w:p w14:paraId="09DA433C">
      <w:pPr>
        <w:rPr>
          <w:rFonts w:ascii="Times New Roman" w:hAnsi="Times New Roman"/>
          <w:color w:val="auto"/>
          <w:highlight w:val="none"/>
        </w:rPr>
      </w:pPr>
    </w:p>
    <w:p w14:paraId="2D09DFBE">
      <w:pPr>
        <w:rPr>
          <w:color w:val="auto"/>
          <w:highlight w:val="none"/>
        </w:rPr>
      </w:pPr>
    </w:p>
    <w:p w14:paraId="0044EE5D">
      <w:pPr>
        <w:widowControl/>
        <w:spacing w:line="360" w:lineRule="auto"/>
        <w:ind w:firstLine="600" w:firstLineChars="250"/>
        <w:rPr>
          <w:color w:val="auto"/>
          <w:sz w:val="24"/>
          <w:highlight w:val="none"/>
        </w:rPr>
      </w:pPr>
    </w:p>
    <w:p w14:paraId="79E5F82E">
      <w:pPr>
        <w:pStyle w:val="22"/>
        <w:rPr>
          <w:color w:val="auto"/>
          <w:highlight w:val="none"/>
        </w:rPr>
      </w:pPr>
    </w:p>
    <w:p w14:paraId="21363CE2">
      <w:pPr>
        <w:pStyle w:val="22"/>
        <w:rPr>
          <w:color w:val="auto"/>
          <w:highlight w:val="none"/>
        </w:rPr>
      </w:pPr>
    </w:p>
    <w:p w14:paraId="41AF7214">
      <w:pPr>
        <w:rPr>
          <w:rFonts w:ascii="Times New Roman" w:hAnsi="Times New Roman"/>
          <w:color w:val="auto"/>
          <w:highlight w:val="none"/>
        </w:rPr>
      </w:pPr>
      <w:r>
        <w:rPr>
          <w:rFonts w:ascii="Times New Roman" w:hAnsi="Times New Roman"/>
          <w:color w:val="auto"/>
          <w:highlight w:val="none"/>
        </w:rPr>
        <w:br w:type="page"/>
      </w:r>
    </w:p>
    <w:p w14:paraId="3633639C">
      <w:pPr>
        <w:pStyle w:val="22"/>
        <w:rPr>
          <w:color w:val="auto"/>
          <w:highlight w:val="none"/>
        </w:rPr>
      </w:pPr>
    </w:p>
    <w:p w14:paraId="00BF0CEE">
      <w:pPr>
        <w:pStyle w:val="3"/>
        <w:numPr>
          <w:ilvl w:val="0"/>
          <w:numId w:val="10"/>
        </w:numPr>
        <w:rPr>
          <w:color w:val="auto"/>
          <w:highlight w:val="none"/>
        </w:rPr>
      </w:pPr>
      <w:bookmarkStart w:id="131" w:name="_Toc152516873"/>
      <w:bookmarkStart w:id="132" w:name="_Toc104293468"/>
      <w:bookmarkStart w:id="133" w:name="_Toc256000020"/>
      <w:bookmarkStart w:id="134" w:name="_Toc20929"/>
      <w:r>
        <w:rPr>
          <w:color w:val="auto"/>
          <w:highlight w:val="none"/>
        </w:rPr>
        <w:t xml:space="preserve"> </w:t>
      </w:r>
      <w:bookmarkEnd w:id="131"/>
      <w:bookmarkEnd w:id="132"/>
      <w:bookmarkEnd w:id="133"/>
      <w:r>
        <w:rPr>
          <w:color w:val="auto"/>
          <w:highlight w:val="none"/>
        </w:rPr>
        <w:t>评标方法及标准</w:t>
      </w:r>
      <w:bookmarkEnd w:id="134"/>
    </w:p>
    <w:p w14:paraId="241DDAFD">
      <w:pPr>
        <w:jc w:val="center"/>
        <w:rPr>
          <w:rFonts w:ascii="Times New Roman" w:hAnsi="Times New Roman" w:eastAsia="黑体"/>
          <w:bCs/>
          <w:color w:val="auto"/>
          <w:kern w:val="32"/>
          <w:sz w:val="30"/>
          <w:szCs w:val="30"/>
          <w:highlight w:val="none"/>
        </w:rPr>
      </w:pPr>
    </w:p>
    <w:p w14:paraId="5618F8CE">
      <w:pPr>
        <w:jc w:val="center"/>
        <w:rPr>
          <w:color w:val="auto"/>
          <w:highlight w:val="none"/>
        </w:rPr>
      </w:pPr>
      <w:r>
        <w:rPr>
          <w:rFonts w:hint="eastAsia" w:ascii="Times New Roman" w:hAnsi="Times New Roman" w:eastAsia="黑体"/>
          <w:bCs/>
          <w:color w:val="auto"/>
          <w:kern w:val="32"/>
          <w:sz w:val="30"/>
          <w:szCs w:val="30"/>
          <w:highlight w:val="none"/>
        </w:rPr>
        <w:t>市属单位2026年度通信链路服务租用项目一标段（市属单位主用有线链路租用服务项目）</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2409"/>
        <w:gridCol w:w="2258"/>
        <w:gridCol w:w="2273"/>
      </w:tblGrid>
      <w:tr w14:paraId="5076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1E337CAB">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名称</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132E8BE2">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评审因素</w:t>
            </w:r>
          </w:p>
        </w:tc>
        <w:tc>
          <w:tcPr>
            <w:tcW w:w="1134" w:type="pct"/>
            <w:tcBorders>
              <w:top w:val="single" w:color="000000" w:sz="2" w:space="0"/>
              <w:left w:val="single" w:color="000000" w:sz="2" w:space="0"/>
              <w:bottom w:val="single" w:color="000000" w:sz="2" w:space="0"/>
              <w:right w:val="single" w:color="000000" w:sz="2" w:space="0"/>
            </w:tcBorders>
            <w:vAlign w:val="center"/>
          </w:tcPr>
          <w:p w14:paraId="2BD1468F">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分值</w:t>
            </w:r>
          </w:p>
        </w:tc>
        <w:tc>
          <w:tcPr>
            <w:tcW w:w="1140" w:type="pct"/>
            <w:tcBorders>
              <w:top w:val="single" w:color="000000" w:sz="2" w:space="0"/>
              <w:left w:val="single" w:color="000000" w:sz="2" w:space="0"/>
              <w:bottom w:val="single" w:color="000000" w:sz="2" w:space="0"/>
              <w:right w:val="single" w:color="000000" w:sz="2" w:space="0"/>
            </w:tcBorders>
            <w:vAlign w:val="center"/>
          </w:tcPr>
          <w:p w14:paraId="6D7F80D8">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权值</w:t>
            </w:r>
          </w:p>
        </w:tc>
      </w:tr>
      <w:tr w14:paraId="6A24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765C4A6E">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F1经济标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331D2223">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投标报价</w:t>
            </w:r>
          </w:p>
        </w:tc>
        <w:tc>
          <w:tcPr>
            <w:tcW w:w="1134" w:type="pct"/>
            <w:tcBorders>
              <w:top w:val="single" w:color="000000" w:sz="2" w:space="0"/>
              <w:left w:val="single" w:color="000000" w:sz="2" w:space="0"/>
              <w:bottom w:val="single" w:color="000000" w:sz="2" w:space="0"/>
              <w:right w:val="single" w:color="000000" w:sz="2" w:space="0"/>
            </w:tcBorders>
            <w:vAlign w:val="center"/>
          </w:tcPr>
          <w:p w14:paraId="3D1F2B78">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p>
        </w:tc>
        <w:tc>
          <w:tcPr>
            <w:tcW w:w="1140" w:type="pct"/>
            <w:tcBorders>
              <w:top w:val="single" w:color="000000" w:sz="2" w:space="0"/>
              <w:left w:val="single" w:color="000000" w:sz="2" w:space="0"/>
              <w:bottom w:val="single" w:color="000000" w:sz="2" w:space="0"/>
              <w:right w:val="single" w:color="000000" w:sz="2" w:space="0"/>
            </w:tcBorders>
            <w:vAlign w:val="center"/>
          </w:tcPr>
          <w:p w14:paraId="01F5F061">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r>
              <w:rPr>
                <w:rFonts w:ascii="Times New Roman" w:hAnsi="Times New Roman" w:eastAsia="仿宋_GB2312"/>
                <w:color w:val="auto"/>
                <w:kern w:val="0"/>
                <w:sz w:val="24"/>
                <w:szCs w:val="24"/>
                <w:highlight w:val="none"/>
              </w:rPr>
              <w:t>%</w:t>
            </w:r>
          </w:p>
        </w:tc>
      </w:tr>
      <w:tr w14:paraId="18C8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1413E890">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F2商务技术标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7D5168F6">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商务技术要求</w:t>
            </w:r>
          </w:p>
        </w:tc>
        <w:tc>
          <w:tcPr>
            <w:tcW w:w="1134" w:type="pct"/>
            <w:tcBorders>
              <w:top w:val="single" w:color="000000" w:sz="2" w:space="0"/>
              <w:left w:val="single" w:color="000000" w:sz="2" w:space="0"/>
              <w:bottom w:val="single" w:color="000000" w:sz="2" w:space="0"/>
              <w:right w:val="single" w:color="000000" w:sz="2" w:space="0"/>
            </w:tcBorders>
            <w:vAlign w:val="center"/>
          </w:tcPr>
          <w:p w14:paraId="1374BB38">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70</w:t>
            </w:r>
          </w:p>
        </w:tc>
        <w:tc>
          <w:tcPr>
            <w:tcW w:w="1140" w:type="pct"/>
            <w:tcBorders>
              <w:top w:val="single" w:color="000000" w:sz="2" w:space="0"/>
              <w:left w:val="single" w:color="000000" w:sz="2" w:space="0"/>
              <w:bottom w:val="single" w:color="000000" w:sz="2" w:space="0"/>
              <w:right w:val="single" w:color="000000" w:sz="2" w:space="0"/>
            </w:tcBorders>
            <w:vAlign w:val="center"/>
          </w:tcPr>
          <w:p w14:paraId="5738FC68">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70</w:t>
            </w:r>
            <w:r>
              <w:rPr>
                <w:rFonts w:ascii="Times New Roman" w:hAnsi="Times New Roman" w:eastAsia="仿宋_GB2312"/>
                <w:color w:val="auto"/>
                <w:kern w:val="0"/>
                <w:sz w:val="24"/>
                <w:szCs w:val="24"/>
                <w:highlight w:val="none"/>
              </w:rPr>
              <w:t>%</w:t>
            </w:r>
          </w:p>
        </w:tc>
      </w:tr>
      <w:tr w14:paraId="09AF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660DB140">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sz w:val="24"/>
                <w:szCs w:val="24"/>
                <w:highlight w:val="none"/>
              </w:rPr>
              <w:t>F1、F2分别为各项评审因素的汇总得分</w:t>
            </w:r>
          </w:p>
        </w:tc>
      </w:tr>
      <w:tr w14:paraId="7499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616D4CD0">
            <w:pPr>
              <w:widowControl/>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评审细则（详见下表）</w:t>
            </w:r>
          </w:p>
        </w:tc>
      </w:tr>
      <w:tr w14:paraId="6188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3702BDAE">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综合得分=F1+F2</w:t>
            </w:r>
          </w:p>
        </w:tc>
      </w:tr>
      <w:tr w14:paraId="24FA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1BF91083">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kern w:val="0"/>
                <w:sz w:val="24"/>
                <w:szCs w:val="24"/>
                <w:highlight w:val="none"/>
              </w:rPr>
              <w:t>公式：F1</w:t>
            </w:r>
            <w:r>
              <w:rPr>
                <w:rFonts w:ascii="Times New Roman" w:hAnsi="Times New Roman" w:eastAsia="仿宋_GB2312"/>
                <w:color w:val="auto"/>
                <w:sz w:val="24"/>
                <w:szCs w:val="24"/>
                <w:highlight w:val="none"/>
              </w:rPr>
              <w:t>=（评标基准价／投标报价）×价格权值×100</w:t>
            </w:r>
          </w:p>
        </w:tc>
      </w:tr>
      <w:tr w14:paraId="51BD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6CEEE0EF">
            <w:pPr>
              <w:adjustRightInd w:val="0"/>
              <w:snapToGrid w:val="0"/>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F2=评标委员会各成员对商务标评分总和的算术平均值</w:t>
            </w:r>
          </w:p>
        </w:tc>
      </w:tr>
      <w:tr w14:paraId="75BA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0D3E0FCA">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推荐的中标候选人数量 </w:t>
            </w:r>
          </w:p>
        </w:tc>
        <w:tc>
          <w:tcPr>
            <w:tcW w:w="3485" w:type="pct"/>
            <w:gridSpan w:val="3"/>
            <w:tcBorders>
              <w:top w:val="single" w:color="000000" w:sz="6" w:space="0"/>
              <w:left w:val="single" w:color="auto" w:sz="4" w:space="0"/>
              <w:bottom w:val="single" w:color="000000" w:sz="6" w:space="0"/>
              <w:right w:val="single" w:color="000000" w:sz="6" w:space="0"/>
            </w:tcBorders>
            <w:vAlign w:val="center"/>
          </w:tcPr>
          <w:p w14:paraId="4BEE9C4C">
            <w:pPr>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三名</w:t>
            </w:r>
          </w:p>
        </w:tc>
      </w:tr>
      <w:tr w14:paraId="0C67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6FA9C69C">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说明</w:t>
            </w:r>
          </w:p>
        </w:tc>
        <w:tc>
          <w:tcPr>
            <w:tcW w:w="3485" w:type="pct"/>
            <w:gridSpan w:val="3"/>
            <w:tcBorders>
              <w:top w:val="single" w:color="000000" w:sz="6" w:space="0"/>
              <w:left w:val="single" w:color="000000" w:sz="6" w:space="0"/>
              <w:bottom w:val="single" w:color="000000" w:sz="6" w:space="0"/>
              <w:right w:val="single" w:color="000000" w:sz="6" w:space="0"/>
            </w:tcBorders>
            <w:vAlign w:val="center"/>
          </w:tcPr>
          <w:p w14:paraId="6E28CDF7">
            <w:pPr>
              <w:spacing w:line="360" w:lineRule="atLeas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1、价格权值：综合评分法中货物或服务项目的价格分值占总分值（100分）的比重。</w:t>
            </w:r>
          </w:p>
          <w:p w14:paraId="5509711B">
            <w:pPr>
              <w:spacing w:line="360" w:lineRule="atLeas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2、计算过程中，算术平均值保留2位小数（百分比亦取2位小数），第三位小数四舍五入。</w:t>
            </w:r>
          </w:p>
        </w:tc>
      </w:tr>
    </w:tbl>
    <w:p w14:paraId="61873ACC">
      <w:pPr>
        <w:spacing w:line="360" w:lineRule="atLeast"/>
        <w:rPr>
          <w:rFonts w:ascii="Times New Roman" w:hAnsi="Times New Roman" w:eastAsia="仿宋_GB2312"/>
          <w:color w:val="auto"/>
          <w:sz w:val="24"/>
          <w:szCs w:val="24"/>
          <w:highlight w:val="none"/>
        </w:rPr>
      </w:pPr>
    </w:p>
    <w:tbl>
      <w:tblPr>
        <w:tblStyle w:val="29"/>
        <w:tblW w:w="5000" w:type="pct"/>
        <w:tblInd w:w="0" w:type="dxa"/>
        <w:tblLayout w:type="fixed"/>
        <w:tblCellMar>
          <w:top w:w="0" w:type="dxa"/>
          <w:left w:w="108" w:type="dxa"/>
          <w:bottom w:w="0" w:type="dxa"/>
          <w:right w:w="108" w:type="dxa"/>
        </w:tblCellMar>
      </w:tblPr>
      <w:tblGrid>
        <w:gridCol w:w="886"/>
        <w:gridCol w:w="643"/>
        <w:gridCol w:w="755"/>
        <w:gridCol w:w="6392"/>
        <w:gridCol w:w="632"/>
        <w:gridCol w:w="654"/>
      </w:tblGrid>
      <w:tr w14:paraId="2414CD2E">
        <w:tblPrEx>
          <w:tblCellMar>
            <w:top w:w="0" w:type="dxa"/>
            <w:left w:w="108" w:type="dxa"/>
            <w:bottom w:w="0" w:type="dxa"/>
            <w:right w:w="108" w:type="dxa"/>
          </w:tblCellMar>
        </w:tblPrEx>
        <w:trPr>
          <w:trHeight w:val="525"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653401C">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b/>
                <w:bCs/>
                <w:color w:val="auto"/>
                <w:sz w:val="24"/>
                <w:szCs w:val="24"/>
                <w:highlight w:val="none"/>
              </w:rPr>
              <w:t>评审细则表</w:t>
            </w:r>
          </w:p>
        </w:tc>
      </w:tr>
      <w:tr w14:paraId="25BF96DE">
        <w:tblPrEx>
          <w:tblCellMar>
            <w:top w:w="0" w:type="dxa"/>
            <w:left w:w="108" w:type="dxa"/>
            <w:bottom w:w="0" w:type="dxa"/>
            <w:right w:w="108" w:type="dxa"/>
          </w:tblCellMar>
        </w:tblPrEx>
        <w:trPr>
          <w:trHeight w:val="480" w:hRule="atLeast"/>
        </w:trPr>
        <w:tc>
          <w:tcPr>
            <w:tcW w:w="768" w:type="pct"/>
            <w:gridSpan w:val="2"/>
            <w:tcBorders>
              <w:top w:val="single" w:color="auto" w:sz="4" w:space="0"/>
              <w:left w:val="single" w:color="auto" w:sz="4" w:space="0"/>
              <w:bottom w:val="single" w:color="auto" w:sz="4" w:space="0"/>
              <w:right w:val="single" w:color="auto" w:sz="4" w:space="0"/>
            </w:tcBorders>
            <w:vAlign w:val="center"/>
          </w:tcPr>
          <w:p w14:paraId="715EF34B">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名称</w:t>
            </w:r>
          </w:p>
        </w:tc>
        <w:tc>
          <w:tcPr>
            <w:tcW w:w="3587" w:type="pct"/>
            <w:gridSpan w:val="2"/>
            <w:tcBorders>
              <w:top w:val="single" w:color="auto" w:sz="4" w:space="0"/>
              <w:left w:val="nil"/>
              <w:bottom w:val="single" w:color="auto" w:sz="4" w:space="0"/>
              <w:right w:val="single" w:color="auto" w:sz="4" w:space="0"/>
            </w:tcBorders>
            <w:vAlign w:val="center"/>
          </w:tcPr>
          <w:p w14:paraId="3E685D3E">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评审因素</w:t>
            </w:r>
          </w:p>
        </w:tc>
        <w:tc>
          <w:tcPr>
            <w:tcW w:w="644" w:type="pct"/>
            <w:gridSpan w:val="2"/>
            <w:tcBorders>
              <w:top w:val="single" w:color="auto" w:sz="4" w:space="0"/>
              <w:left w:val="nil"/>
              <w:bottom w:val="single" w:color="auto" w:sz="4" w:space="0"/>
              <w:right w:val="single" w:color="auto" w:sz="4" w:space="0"/>
            </w:tcBorders>
            <w:vAlign w:val="center"/>
          </w:tcPr>
          <w:p w14:paraId="40F49656">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权值</w:t>
            </w:r>
          </w:p>
        </w:tc>
      </w:tr>
      <w:tr w14:paraId="0550B248">
        <w:tblPrEx>
          <w:tblCellMar>
            <w:top w:w="0" w:type="dxa"/>
            <w:left w:w="108" w:type="dxa"/>
            <w:bottom w:w="0" w:type="dxa"/>
            <w:right w:w="108" w:type="dxa"/>
          </w:tblCellMar>
        </w:tblPrEx>
        <w:trPr>
          <w:trHeight w:val="480" w:hRule="atLeast"/>
        </w:trPr>
        <w:tc>
          <w:tcPr>
            <w:tcW w:w="768" w:type="pct"/>
            <w:gridSpan w:val="2"/>
            <w:tcBorders>
              <w:top w:val="single" w:color="auto" w:sz="4" w:space="0"/>
              <w:left w:val="single" w:color="auto" w:sz="4" w:space="0"/>
              <w:bottom w:val="single" w:color="auto" w:sz="4" w:space="0"/>
              <w:right w:val="single" w:color="auto" w:sz="4" w:space="0"/>
            </w:tcBorders>
            <w:vAlign w:val="center"/>
          </w:tcPr>
          <w:p w14:paraId="44B35961">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F1经济部分</w:t>
            </w:r>
          </w:p>
        </w:tc>
        <w:tc>
          <w:tcPr>
            <w:tcW w:w="3587" w:type="pct"/>
            <w:gridSpan w:val="2"/>
            <w:tcBorders>
              <w:top w:val="single" w:color="auto" w:sz="4" w:space="0"/>
              <w:left w:val="nil"/>
              <w:bottom w:val="single" w:color="auto" w:sz="4" w:space="0"/>
              <w:right w:val="single" w:color="auto" w:sz="4" w:space="0"/>
            </w:tcBorders>
            <w:vAlign w:val="center"/>
          </w:tcPr>
          <w:p w14:paraId="499B38E0">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报价</w:t>
            </w:r>
          </w:p>
        </w:tc>
        <w:tc>
          <w:tcPr>
            <w:tcW w:w="644" w:type="pct"/>
            <w:gridSpan w:val="2"/>
            <w:tcBorders>
              <w:top w:val="single" w:color="auto" w:sz="4" w:space="0"/>
              <w:left w:val="nil"/>
              <w:bottom w:val="single" w:color="auto" w:sz="4" w:space="0"/>
              <w:right w:val="single" w:color="auto" w:sz="4" w:space="0"/>
            </w:tcBorders>
            <w:vAlign w:val="center"/>
          </w:tcPr>
          <w:p w14:paraId="73222F81">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r>
              <w:rPr>
                <w:rFonts w:ascii="Times New Roman" w:hAnsi="Times New Roman" w:eastAsia="仿宋_GB2312"/>
                <w:color w:val="auto"/>
                <w:kern w:val="0"/>
                <w:sz w:val="24"/>
                <w:szCs w:val="24"/>
                <w:highlight w:val="none"/>
              </w:rPr>
              <w:t>.00%</w:t>
            </w:r>
          </w:p>
        </w:tc>
      </w:tr>
      <w:tr w14:paraId="5BBA30E5">
        <w:tblPrEx>
          <w:tblCellMar>
            <w:top w:w="0" w:type="dxa"/>
            <w:left w:w="108" w:type="dxa"/>
            <w:bottom w:w="0" w:type="dxa"/>
            <w:right w:w="108" w:type="dxa"/>
          </w:tblCellMar>
        </w:tblPrEx>
        <w:trPr>
          <w:trHeight w:val="480" w:hRule="atLeast"/>
        </w:trPr>
        <w:tc>
          <w:tcPr>
            <w:tcW w:w="768" w:type="pct"/>
            <w:gridSpan w:val="2"/>
            <w:tcBorders>
              <w:top w:val="single" w:color="auto" w:sz="4" w:space="0"/>
              <w:left w:val="single" w:color="auto" w:sz="4" w:space="0"/>
              <w:bottom w:val="single" w:color="auto" w:sz="4" w:space="0"/>
              <w:right w:val="single" w:color="auto" w:sz="4" w:space="0"/>
            </w:tcBorders>
            <w:vAlign w:val="center"/>
          </w:tcPr>
          <w:p w14:paraId="121EC921">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F2商务技术部分</w:t>
            </w:r>
          </w:p>
        </w:tc>
        <w:tc>
          <w:tcPr>
            <w:tcW w:w="3587" w:type="pct"/>
            <w:gridSpan w:val="2"/>
            <w:tcBorders>
              <w:top w:val="single" w:color="auto" w:sz="4" w:space="0"/>
              <w:left w:val="nil"/>
              <w:bottom w:val="single" w:color="auto" w:sz="4" w:space="0"/>
              <w:right w:val="single" w:color="auto" w:sz="4" w:space="0"/>
            </w:tcBorders>
            <w:vAlign w:val="center"/>
          </w:tcPr>
          <w:p w14:paraId="5A73BFEA">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商务技术要求</w:t>
            </w:r>
          </w:p>
        </w:tc>
        <w:tc>
          <w:tcPr>
            <w:tcW w:w="644" w:type="pct"/>
            <w:gridSpan w:val="2"/>
            <w:tcBorders>
              <w:top w:val="single" w:color="auto" w:sz="4" w:space="0"/>
              <w:left w:val="nil"/>
              <w:bottom w:val="single" w:color="auto" w:sz="4" w:space="0"/>
              <w:right w:val="single" w:color="auto" w:sz="4" w:space="0"/>
            </w:tcBorders>
            <w:vAlign w:val="center"/>
          </w:tcPr>
          <w:p w14:paraId="6EC794F0">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70</w:t>
            </w:r>
            <w:r>
              <w:rPr>
                <w:rFonts w:ascii="Times New Roman" w:hAnsi="Times New Roman" w:eastAsia="仿宋_GB2312"/>
                <w:color w:val="auto"/>
                <w:kern w:val="0"/>
                <w:sz w:val="24"/>
                <w:szCs w:val="24"/>
                <w:highlight w:val="none"/>
              </w:rPr>
              <w:t>.00%</w:t>
            </w:r>
          </w:p>
        </w:tc>
      </w:tr>
      <w:tr w14:paraId="6C078E02">
        <w:tblPrEx>
          <w:tblCellMar>
            <w:top w:w="0" w:type="dxa"/>
            <w:left w:w="108" w:type="dxa"/>
            <w:bottom w:w="0" w:type="dxa"/>
            <w:right w:w="108" w:type="dxa"/>
          </w:tblCellMar>
        </w:tblPrEx>
        <w:trPr>
          <w:trHeight w:val="4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01E85B6">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F1、F2分别为各项评审因素的汇总得分</w:t>
            </w:r>
          </w:p>
        </w:tc>
      </w:tr>
      <w:tr w14:paraId="1977C463">
        <w:tblPrEx>
          <w:tblCellMar>
            <w:top w:w="0" w:type="dxa"/>
            <w:left w:w="108" w:type="dxa"/>
            <w:bottom w:w="0" w:type="dxa"/>
            <w:right w:w="108" w:type="dxa"/>
          </w:tblCellMar>
        </w:tblPrEx>
        <w:trPr>
          <w:trHeight w:val="702" w:hRule="atLeast"/>
        </w:trPr>
        <w:tc>
          <w:tcPr>
            <w:tcW w:w="445" w:type="pct"/>
            <w:tcBorders>
              <w:top w:val="nil"/>
              <w:left w:val="single" w:color="auto" w:sz="4" w:space="0"/>
              <w:bottom w:val="single" w:color="auto" w:sz="4" w:space="0"/>
              <w:right w:val="single" w:color="auto" w:sz="4" w:space="0"/>
            </w:tcBorders>
            <w:vAlign w:val="center"/>
          </w:tcPr>
          <w:p w14:paraId="319ED18F">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评审因素</w:t>
            </w:r>
          </w:p>
        </w:tc>
        <w:tc>
          <w:tcPr>
            <w:tcW w:w="323" w:type="pct"/>
            <w:tcBorders>
              <w:top w:val="nil"/>
              <w:left w:val="nil"/>
              <w:bottom w:val="single" w:color="auto" w:sz="4" w:space="0"/>
              <w:right w:val="single" w:color="auto" w:sz="4" w:space="0"/>
            </w:tcBorders>
            <w:vAlign w:val="center"/>
          </w:tcPr>
          <w:p w14:paraId="0CC5D93C">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序号</w:t>
            </w:r>
          </w:p>
        </w:tc>
        <w:tc>
          <w:tcPr>
            <w:tcW w:w="379" w:type="pct"/>
            <w:tcBorders>
              <w:top w:val="nil"/>
              <w:left w:val="nil"/>
              <w:bottom w:val="single" w:color="auto" w:sz="4" w:space="0"/>
              <w:right w:val="single" w:color="auto" w:sz="4" w:space="0"/>
            </w:tcBorders>
            <w:vAlign w:val="center"/>
          </w:tcPr>
          <w:p w14:paraId="6D815E96">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评审点名称</w:t>
            </w:r>
          </w:p>
        </w:tc>
        <w:tc>
          <w:tcPr>
            <w:tcW w:w="3207" w:type="pct"/>
            <w:tcBorders>
              <w:top w:val="nil"/>
              <w:left w:val="nil"/>
              <w:bottom w:val="single" w:color="auto" w:sz="4" w:space="0"/>
              <w:right w:val="single" w:color="auto" w:sz="4" w:space="0"/>
            </w:tcBorders>
            <w:vAlign w:val="center"/>
          </w:tcPr>
          <w:p w14:paraId="553AC8AA">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评审标准</w:t>
            </w:r>
          </w:p>
        </w:tc>
        <w:tc>
          <w:tcPr>
            <w:tcW w:w="317" w:type="pct"/>
            <w:tcBorders>
              <w:top w:val="nil"/>
              <w:left w:val="nil"/>
              <w:bottom w:val="single" w:color="auto" w:sz="4" w:space="0"/>
              <w:right w:val="single" w:color="auto" w:sz="4" w:space="0"/>
            </w:tcBorders>
            <w:vAlign w:val="center"/>
          </w:tcPr>
          <w:p w14:paraId="315A3953">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分值</w:t>
            </w:r>
          </w:p>
        </w:tc>
        <w:tc>
          <w:tcPr>
            <w:tcW w:w="327" w:type="pct"/>
            <w:tcBorders>
              <w:top w:val="nil"/>
              <w:left w:val="nil"/>
              <w:bottom w:val="single" w:color="auto" w:sz="4" w:space="0"/>
              <w:right w:val="single" w:color="auto" w:sz="4" w:space="0"/>
            </w:tcBorders>
            <w:vAlign w:val="center"/>
          </w:tcPr>
          <w:p w14:paraId="25D196FE">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权值</w:t>
            </w:r>
          </w:p>
        </w:tc>
      </w:tr>
      <w:tr w14:paraId="417FCC20">
        <w:tblPrEx>
          <w:tblCellMar>
            <w:top w:w="0" w:type="dxa"/>
            <w:left w:w="108" w:type="dxa"/>
            <w:bottom w:w="0" w:type="dxa"/>
            <w:right w:w="108" w:type="dxa"/>
          </w:tblCellMar>
        </w:tblPrEx>
        <w:trPr>
          <w:trHeight w:val="1482" w:hRule="atLeast"/>
        </w:trPr>
        <w:tc>
          <w:tcPr>
            <w:tcW w:w="445" w:type="pct"/>
            <w:vMerge w:val="restart"/>
            <w:tcBorders>
              <w:top w:val="nil"/>
              <w:left w:val="single" w:color="auto" w:sz="4" w:space="0"/>
              <w:bottom w:val="single" w:color="auto" w:sz="4" w:space="0"/>
              <w:right w:val="single" w:color="auto" w:sz="4" w:space="0"/>
            </w:tcBorders>
            <w:vAlign w:val="center"/>
          </w:tcPr>
          <w:p w14:paraId="521865AE">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经济部分</w:t>
            </w:r>
          </w:p>
        </w:tc>
        <w:tc>
          <w:tcPr>
            <w:tcW w:w="323" w:type="pct"/>
            <w:vMerge w:val="restart"/>
            <w:tcBorders>
              <w:top w:val="nil"/>
              <w:left w:val="single" w:color="auto" w:sz="4" w:space="0"/>
              <w:bottom w:val="single" w:color="auto" w:sz="4" w:space="0"/>
              <w:right w:val="single" w:color="auto" w:sz="4" w:space="0"/>
            </w:tcBorders>
            <w:vAlign w:val="center"/>
          </w:tcPr>
          <w:p w14:paraId="64AA1D89">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1</w:t>
            </w:r>
          </w:p>
        </w:tc>
        <w:tc>
          <w:tcPr>
            <w:tcW w:w="379" w:type="pct"/>
            <w:vMerge w:val="restart"/>
            <w:tcBorders>
              <w:top w:val="nil"/>
              <w:left w:val="single" w:color="auto" w:sz="4" w:space="0"/>
              <w:bottom w:val="single" w:color="auto" w:sz="4" w:space="0"/>
              <w:right w:val="single" w:color="auto" w:sz="4" w:space="0"/>
            </w:tcBorders>
            <w:vAlign w:val="center"/>
          </w:tcPr>
          <w:p w14:paraId="72CCDE02">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价格评审</w:t>
            </w:r>
          </w:p>
        </w:tc>
        <w:tc>
          <w:tcPr>
            <w:tcW w:w="3207" w:type="pct"/>
            <w:tcBorders>
              <w:top w:val="nil"/>
              <w:left w:val="nil"/>
              <w:bottom w:val="single" w:color="auto" w:sz="4" w:space="0"/>
              <w:right w:val="single" w:color="auto" w:sz="4" w:space="0"/>
            </w:tcBorders>
            <w:vAlign w:val="center"/>
          </w:tcPr>
          <w:p w14:paraId="71751A89">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经济部分采用低价优先法计算，即满足招标文件要求且</w:t>
            </w: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价格最低的报价为评审基准价，其经济得分为满分，其他有效</w:t>
            </w:r>
            <w:r>
              <w:rPr>
                <w:rFonts w:ascii="Times New Roman" w:hAnsi="Times New Roman" w:eastAsia="仿宋_GB2312"/>
                <w:color w:val="auto"/>
                <w:sz w:val="24"/>
                <w:szCs w:val="24"/>
                <w:highlight w:val="none"/>
              </w:rPr>
              <w:t>投标人</w:t>
            </w:r>
            <w:r>
              <w:rPr>
                <w:rFonts w:ascii="Times New Roman" w:hAnsi="Times New Roman" w:eastAsia="仿宋_GB2312"/>
                <w:color w:val="auto"/>
                <w:kern w:val="0"/>
                <w:sz w:val="24"/>
                <w:szCs w:val="24"/>
                <w:highlight w:val="none"/>
              </w:rPr>
              <w:t>的经济得分统一按照下列公式计算：</w:t>
            </w:r>
          </w:p>
        </w:tc>
        <w:tc>
          <w:tcPr>
            <w:tcW w:w="317" w:type="pct"/>
            <w:vMerge w:val="restart"/>
            <w:tcBorders>
              <w:top w:val="nil"/>
              <w:left w:val="single" w:color="auto" w:sz="4" w:space="0"/>
              <w:bottom w:val="single" w:color="auto" w:sz="4" w:space="0"/>
              <w:right w:val="single" w:color="auto" w:sz="4" w:space="0"/>
            </w:tcBorders>
            <w:vAlign w:val="center"/>
          </w:tcPr>
          <w:p w14:paraId="711CD727">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p>
        </w:tc>
        <w:tc>
          <w:tcPr>
            <w:tcW w:w="327" w:type="pct"/>
            <w:vMerge w:val="restart"/>
            <w:tcBorders>
              <w:top w:val="nil"/>
              <w:left w:val="single" w:color="auto" w:sz="4" w:space="0"/>
              <w:bottom w:val="single" w:color="auto" w:sz="4" w:space="0"/>
              <w:right w:val="single" w:color="auto" w:sz="4" w:space="0"/>
            </w:tcBorders>
            <w:vAlign w:val="center"/>
          </w:tcPr>
          <w:p w14:paraId="17B229A6">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r>
              <w:rPr>
                <w:rFonts w:ascii="Times New Roman" w:hAnsi="Times New Roman" w:eastAsia="仿宋_GB2312"/>
                <w:color w:val="auto"/>
                <w:kern w:val="0"/>
                <w:sz w:val="24"/>
                <w:szCs w:val="24"/>
                <w:highlight w:val="none"/>
              </w:rPr>
              <w:t>.00%</w:t>
            </w:r>
          </w:p>
        </w:tc>
      </w:tr>
      <w:tr w14:paraId="2A0FE196">
        <w:tblPrEx>
          <w:tblCellMar>
            <w:top w:w="0" w:type="dxa"/>
            <w:left w:w="108" w:type="dxa"/>
            <w:bottom w:w="0" w:type="dxa"/>
            <w:right w:w="108" w:type="dxa"/>
          </w:tblCellMar>
        </w:tblPrEx>
        <w:trPr>
          <w:trHeight w:val="799" w:hRule="atLeast"/>
        </w:trPr>
        <w:tc>
          <w:tcPr>
            <w:tcW w:w="445" w:type="pct"/>
            <w:vMerge w:val="continue"/>
            <w:tcBorders>
              <w:top w:val="nil"/>
              <w:left w:val="single" w:color="auto" w:sz="4" w:space="0"/>
              <w:bottom w:val="single" w:color="auto" w:sz="4" w:space="0"/>
              <w:right w:val="single" w:color="auto" w:sz="4" w:space="0"/>
            </w:tcBorders>
            <w:vAlign w:val="center"/>
          </w:tcPr>
          <w:p w14:paraId="6A85D5CD">
            <w:pPr>
              <w:widowControl/>
              <w:jc w:val="left"/>
              <w:rPr>
                <w:rFonts w:ascii="Times New Roman" w:hAnsi="Times New Roman" w:eastAsia="仿宋_GB2312"/>
                <w:color w:val="auto"/>
                <w:kern w:val="0"/>
                <w:sz w:val="24"/>
                <w:szCs w:val="24"/>
                <w:highlight w:val="none"/>
              </w:rPr>
            </w:pPr>
          </w:p>
        </w:tc>
        <w:tc>
          <w:tcPr>
            <w:tcW w:w="323" w:type="pct"/>
            <w:vMerge w:val="continue"/>
            <w:tcBorders>
              <w:top w:val="nil"/>
              <w:left w:val="single" w:color="auto" w:sz="4" w:space="0"/>
              <w:bottom w:val="single" w:color="auto" w:sz="4" w:space="0"/>
              <w:right w:val="single" w:color="auto" w:sz="4" w:space="0"/>
            </w:tcBorders>
            <w:vAlign w:val="center"/>
          </w:tcPr>
          <w:p w14:paraId="6A1FF560">
            <w:pPr>
              <w:widowControl/>
              <w:jc w:val="left"/>
              <w:rPr>
                <w:rFonts w:ascii="Times New Roman" w:hAnsi="Times New Roman" w:eastAsia="仿宋_GB2312"/>
                <w:color w:val="auto"/>
                <w:kern w:val="0"/>
                <w:sz w:val="24"/>
                <w:szCs w:val="24"/>
                <w:highlight w:val="none"/>
              </w:rPr>
            </w:pPr>
          </w:p>
        </w:tc>
        <w:tc>
          <w:tcPr>
            <w:tcW w:w="379" w:type="pct"/>
            <w:vMerge w:val="continue"/>
            <w:tcBorders>
              <w:top w:val="nil"/>
              <w:left w:val="single" w:color="auto" w:sz="4" w:space="0"/>
              <w:bottom w:val="single" w:color="auto" w:sz="4" w:space="0"/>
              <w:right w:val="single" w:color="auto" w:sz="4" w:space="0"/>
            </w:tcBorders>
            <w:vAlign w:val="center"/>
          </w:tcPr>
          <w:p w14:paraId="540A1370">
            <w:pPr>
              <w:widowControl/>
              <w:jc w:val="left"/>
              <w:rPr>
                <w:rFonts w:ascii="Times New Roman" w:hAnsi="Times New Roman" w:eastAsia="仿宋_GB2312"/>
                <w:color w:val="auto"/>
                <w:kern w:val="0"/>
                <w:sz w:val="24"/>
                <w:szCs w:val="24"/>
                <w:highlight w:val="none"/>
              </w:rPr>
            </w:pPr>
          </w:p>
        </w:tc>
        <w:tc>
          <w:tcPr>
            <w:tcW w:w="3207" w:type="pct"/>
            <w:tcBorders>
              <w:top w:val="nil"/>
              <w:left w:val="nil"/>
              <w:bottom w:val="single" w:color="auto" w:sz="4" w:space="0"/>
              <w:right w:val="single" w:color="auto" w:sz="4" w:space="0"/>
            </w:tcBorders>
            <w:vAlign w:val="center"/>
          </w:tcPr>
          <w:p w14:paraId="259D76A6">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经济得分=（评审基准价／</w:t>
            </w: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报价）× 价格权值×100</w:t>
            </w:r>
          </w:p>
        </w:tc>
        <w:tc>
          <w:tcPr>
            <w:tcW w:w="317" w:type="pct"/>
            <w:vMerge w:val="continue"/>
            <w:tcBorders>
              <w:top w:val="nil"/>
              <w:left w:val="single" w:color="auto" w:sz="4" w:space="0"/>
              <w:bottom w:val="single" w:color="auto" w:sz="4" w:space="0"/>
              <w:right w:val="single" w:color="auto" w:sz="4" w:space="0"/>
            </w:tcBorders>
            <w:vAlign w:val="center"/>
          </w:tcPr>
          <w:p w14:paraId="7A375D12">
            <w:pPr>
              <w:widowControl/>
              <w:jc w:val="left"/>
              <w:rPr>
                <w:rFonts w:ascii="Times New Roman" w:hAnsi="Times New Roman" w:eastAsia="仿宋_GB2312"/>
                <w:color w:val="auto"/>
                <w:kern w:val="0"/>
                <w:sz w:val="24"/>
                <w:szCs w:val="24"/>
                <w:highlight w:val="none"/>
              </w:rPr>
            </w:pPr>
          </w:p>
        </w:tc>
        <w:tc>
          <w:tcPr>
            <w:tcW w:w="327" w:type="pct"/>
            <w:vMerge w:val="continue"/>
            <w:tcBorders>
              <w:top w:val="nil"/>
              <w:left w:val="single" w:color="auto" w:sz="4" w:space="0"/>
              <w:bottom w:val="single" w:color="auto" w:sz="4" w:space="0"/>
              <w:right w:val="single" w:color="auto" w:sz="4" w:space="0"/>
            </w:tcBorders>
            <w:vAlign w:val="center"/>
          </w:tcPr>
          <w:p w14:paraId="0FBBD9A8">
            <w:pPr>
              <w:widowControl/>
              <w:jc w:val="left"/>
              <w:rPr>
                <w:rFonts w:ascii="Times New Roman" w:hAnsi="Times New Roman" w:eastAsia="仿宋_GB2312"/>
                <w:color w:val="auto"/>
                <w:kern w:val="0"/>
                <w:sz w:val="24"/>
                <w:szCs w:val="24"/>
                <w:highlight w:val="none"/>
              </w:rPr>
            </w:pPr>
          </w:p>
        </w:tc>
      </w:tr>
      <w:tr w14:paraId="5E19CA99">
        <w:tblPrEx>
          <w:tblCellMar>
            <w:top w:w="0" w:type="dxa"/>
            <w:left w:w="108" w:type="dxa"/>
            <w:bottom w:w="0" w:type="dxa"/>
            <w:right w:w="108" w:type="dxa"/>
          </w:tblCellMar>
        </w:tblPrEx>
        <w:trPr>
          <w:trHeight w:val="799" w:hRule="atLeast"/>
        </w:trPr>
        <w:tc>
          <w:tcPr>
            <w:tcW w:w="445" w:type="pct"/>
            <w:vMerge w:val="continue"/>
            <w:tcBorders>
              <w:top w:val="nil"/>
              <w:left w:val="single" w:color="auto" w:sz="4" w:space="0"/>
              <w:bottom w:val="single" w:color="auto" w:sz="4" w:space="0"/>
              <w:right w:val="single" w:color="auto" w:sz="4" w:space="0"/>
            </w:tcBorders>
            <w:vAlign w:val="center"/>
          </w:tcPr>
          <w:p w14:paraId="457B8A42">
            <w:pPr>
              <w:widowControl/>
              <w:jc w:val="left"/>
              <w:rPr>
                <w:rFonts w:ascii="Times New Roman" w:hAnsi="Times New Roman" w:eastAsia="仿宋_GB2312"/>
                <w:color w:val="auto"/>
                <w:kern w:val="0"/>
                <w:sz w:val="24"/>
                <w:szCs w:val="24"/>
                <w:highlight w:val="none"/>
              </w:rPr>
            </w:pPr>
          </w:p>
        </w:tc>
        <w:tc>
          <w:tcPr>
            <w:tcW w:w="323" w:type="pct"/>
            <w:vMerge w:val="continue"/>
            <w:tcBorders>
              <w:top w:val="nil"/>
              <w:left w:val="single" w:color="auto" w:sz="4" w:space="0"/>
              <w:bottom w:val="single" w:color="auto" w:sz="4" w:space="0"/>
              <w:right w:val="single" w:color="auto" w:sz="4" w:space="0"/>
            </w:tcBorders>
            <w:vAlign w:val="center"/>
          </w:tcPr>
          <w:p w14:paraId="1AB2776C">
            <w:pPr>
              <w:widowControl/>
              <w:jc w:val="left"/>
              <w:rPr>
                <w:rFonts w:ascii="Times New Roman" w:hAnsi="Times New Roman" w:eastAsia="仿宋_GB2312"/>
                <w:color w:val="auto"/>
                <w:kern w:val="0"/>
                <w:sz w:val="24"/>
                <w:szCs w:val="24"/>
                <w:highlight w:val="none"/>
              </w:rPr>
            </w:pPr>
          </w:p>
        </w:tc>
        <w:tc>
          <w:tcPr>
            <w:tcW w:w="379" w:type="pct"/>
            <w:vMerge w:val="continue"/>
            <w:tcBorders>
              <w:top w:val="nil"/>
              <w:left w:val="single" w:color="auto" w:sz="4" w:space="0"/>
              <w:bottom w:val="single" w:color="auto" w:sz="4" w:space="0"/>
              <w:right w:val="single" w:color="auto" w:sz="4" w:space="0"/>
            </w:tcBorders>
            <w:vAlign w:val="center"/>
          </w:tcPr>
          <w:p w14:paraId="70B4EAF5">
            <w:pPr>
              <w:widowControl/>
              <w:jc w:val="left"/>
              <w:rPr>
                <w:rFonts w:ascii="Times New Roman" w:hAnsi="Times New Roman" w:eastAsia="仿宋_GB2312"/>
                <w:color w:val="auto"/>
                <w:kern w:val="0"/>
                <w:sz w:val="24"/>
                <w:szCs w:val="24"/>
                <w:highlight w:val="none"/>
              </w:rPr>
            </w:pPr>
          </w:p>
        </w:tc>
        <w:tc>
          <w:tcPr>
            <w:tcW w:w="3207" w:type="pct"/>
            <w:tcBorders>
              <w:top w:val="nil"/>
              <w:left w:val="nil"/>
              <w:bottom w:val="single" w:color="auto" w:sz="4" w:space="0"/>
              <w:right w:val="single" w:color="auto" w:sz="4" w:space="0"/>
            </w:tcBorders>
            <w:vAlign w:val="center"/>
          </w:tcPr>
          <w:p w14:paraId="713CE4D4">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评审过程中，不得去掉报价中的最高报价和最低报价。</w:t>
            </w:r>
          </w:p>
        </w:tc>
        <w:tc>
          <w:tcPr>
            <w:tcW w:w="317" w:type="pct"/>
            <w:vMerge w:val="continue"/>
            <w:tcBorders>
              <w:top w:val="nil"/>
              <w:left w:val="single" w:color="auto" w:sz="4" w:space="0"/>
              <w:bottom w:val="single" w:color="auto" w:sz="4" w:space="0"/>
              <w:right w:val="single" w:color="auto" w:sz="4" w:space="0"/>
            </w:tcBorders>
            <w:vAlign w:val="center"/>
          </w:tcPr>
          <w:p w14:paraId="1967CD3A">
            <w:pPr>
              <w:widowControl/>
              <w:jc w:val="left"/>
              <w:rPr>
                <w:rFonts w:ascii="Times New Roman" w:hAnsi="Times New Roman" w:eastAsia="仿宋_GB2312"/>
                <w:color w:val="auto"/>
                <w:kern w:val="0"/>
                <w:sz w:val="24"/>
                <w:szCs w:val="24"/>
                <w:highlight w:val="none"/>
              </w:rPr>
            </w:pPr>
          </w:p>
        </w:tc>
        <w:tc>
          <w:tcPr>
            <w:tcW w:w="327" w:type="pct"/>
            <w:vMerge w:val="continue"/>
            <w:tcBorders>
              <w:top w:val="nil"/>
              <w:left w:val="single" w:color="auto" w:sz="4" w:space="0"/>
              <w:bottom w:val="single" w:color="auto" w:sz="4" w:space="0"/>
              <w:right w:val="single" w:color="auto" w:sz="4" w:space="0"/>
            </w:tcBorders>
            <w:vAlign w:val="center"/>
          </w:tcPr>
          <w:p w14:paraId="77334A79">
            <w:pPr>
              <w:widowControl/>
              <w:jc w:val="left"/>
              <w:rPr>
                <w:rFonts w:ascii="Times New Roman" w:hAnsi="Times New Roman" w:eastAsia="仿宋_GB2312"/>
                <w:color w:val="auto"/>
                <w:kern w:val="0"/>
                <w:sz w:val="24"/>
                <w:szCs w:val="24"/>
                <w:highlight w:val="none"/>
              </w:rPr>
            </w:pPr>
          </w:p>
        </w:tc>
      </w:tr>
      <w:tr w14:paraId="6839494E">
        <w:tblPrEx>
          <w:tblCellMar>
            <w:top w:w="0" w:type="dxa"/>
            <w:left w:w="108" w:type="dxa"/>
            <w:bottom w:w="0" w:type="dxa"/>
            <w:right w:w="108" w:type="dxa"/>
          </w:tblCellMar>
        </w:tblPrEx>
        <w:trPr>
          <w:trHeight w:val="2178" w:hRule="atLeast"/>
        </w:trPr>
        <w:tc>
          <w:tcPr>
            <w:tcW w:w="445" w:type="pct"/>
            <w:vMerge w:val="restart"/>
            <w:tcBorders>
              <w:top w:val="single" w:color="auto" w:sz="4" w:space="0"/>
              <w:left w:val="single" w:color="auto" w:sz="4" w:space="0"/>
              <w:right w:val="single" w:color="auto" w:sz="4" w:space="0"/>
            </w:tcBorders>
            <w:vAlign w:val="center"/>
          </w:tcPr>
          <w:p w14:paraId="0521007E">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商务技术部分</w:t>
            </w:r>
          </w:p>
        </w:tc>
        <w:tc>
          <w:tcPr>
            <w:tcW w:w="323" w:type="pct"/>
            <w:tcBorders>
              <w:top w:val="single" w:color="auto" w:sz="4" w:space="0"/>
              <w:left w:val="single" w:color="auto" w:sz="4" w:space="0"/>
              <w:bottom w:val="single" w:color="auto" w:sz="4" w:space="0"/>
              <w:right w:val="single" w:color="auto" w:sz="4" w:space="0"/>
            </w:tcBorders>
            <w:vAlign w:val="center"/>
          </w:tcPr>
          <w:p w14:paraId="48CD1F5D">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1</w:t>
            </w:r>
          </w:p>
        </w:tc>
        <w:tc>
          <w:tcPr>
            <w:tcW w:w="379" w:type="pct"/>
            <w:tcBorders>
              <w:top w:val="single" w:color="auto" w:sz="4" w:space="0"/>
              <w:left w:val="single" w:color="auto" w:sz="4" w:space="0"/>
              <w:bottom w:val="single" w:color="auto" w:sz="4" w:space="0"/>
              <w:right w:val="single" w:color="auto" w:sz="4" w:space="0"/>
            </w:tcBorders>
            <w:vAlign w:val="center"/>
          </w:tcPr>
          <w:p w14:paraId="10C4DA52">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类似业绩</w:t>
            </w:r>
          </w:p>
        </w:tc>
        <w:tc>
          <w:tcPr>
            <w:tcW w:w="3207" w:type="pct"/>
            <w:tcBorders>
              <w:top w:val="single" w:color="auto" w:sz="4" w:space="0"/>
              <w:left w:val="single" w:color="auto" w:sz="4" w:space="0"/>
              <w:bottom w:val="single" w:color="auto" w:sz="4" w:space="0"/>
              <w:right w:val="single" w:color="auto" w:sz="4" w:space="0"/>
            </w:tcBorders>
            <w:vAlign w:val="center"/>
          </w:tcPr>
          <w:p w14:paraId="5E6AA06B">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szCs w:val="24"/>
                <w:highlight w:val="none"/>
              </w:rPr>
              <w:t>投标人在投标文件中提供202</w:t>
            </w:r>
            <w:r>
              <w:rPr>
                <w:rFonts w:hint="eastAsia" w:ascii="Times New Roman" w:hAnsi="Times New Roman" w:eastAsia="仿宋_GB2312"/>
                <w:color w:val="auto"/>
                <w:kern w:val="0"/>
                <w:sz w:val="24"/>
                <w:szCs w:val="24"/>
                <w:highlight w:val="none"/>
              </w:rPr>
              <w:t>3</w:t>
            </w:r>
            <w:r>
              <w:rPr>
                <w:rFonts w:ascii="Times New Roman" w:hAnsi="Times New Roman" w:eastAsia="仿宋_GB2312"/>
                <w:color w:val="auto"/>
                <w:kern w:val="0"/>
                <w:sz w:val="24"/>
                <w:szCs w:val="24"/>
                <w:highlight w:val="none"/>
              </w:rPr>
              <w:t>年</w:t>
            </w:r>
            <w:r>
              <w:rPr>
                <w:rFonts w:hint="eastAsia"/>
                <w:highlight w:val="none"/>
                <w:lang w:val="en-US" w:eastAsia="zh-CN"/>
              </w:rPr>
              <w:t>1月1日</w:t>
            </w:r>
            <w:r>
              <w:rPr>
                <w:rFonts w:ascii="Times New Roman" w:hAnsi="Times New Roman" w:eastAsia="仿宋_GB2312"/>
                <w:color w:val="auto"/>
                <w:kern w:val="0"/>
                <w:sz w:val="24"/>
                <w:szCs w:val="24"/>
                <w:highlight w:val="none"/>
              </w:rPr>
              <w:t>（以合同签订时间为准）以来</w:t>
            </w:r>
            <w:r>
              <w:rPr>
                <w:rFonts w:hint="eastAsia" w:ascii="Times New Roman" w:hAnsi="Times New Roman" w:eastAsia="仿宋_GB2312"/>
                <w:color w:val="auto"/>
                <w:kern w:val="0"/>
                <w:sz w:val="24"/>
                <w:szCs w:val="24"/>
                <w:highlight w:val="none"/>
                <w:lang w:eastAsia="zh-CN"/>
              </w:rPr>
              <w:t>，结合本项目的具体特点和实际需要的类似业绩</w:t>
            </w:r>
            <w:r>
              <w:rPr>
                <w:rFonts w:ascii="Times New Roman" w:hAnsi="Times New Roman" w:eastAsia="仿宋_GB2312"/>
                <w:color w:val="auto"/>
                <w:kern w:val="0"/>
                <w:sz w:val="24"/>
                <w:szCs w:val="24"/>
                <w:highlight w:val="none"/>
              </w:rPr>
              <w:t>，每</w:t>
            </w:r>
            <w:r>
              <w:rPr>
                <w:rFonts w:hint="eastAsia" w:ascii="Times New Roman" w:hAnsi="Times New Roman" w:eastAsia="仿宋_GB2312"/>
                <w:color w:val="auto"/>
                <w:kern w:val="0"/>
                <w:sz w:val="24"/>
                <w:szCs w:val="24"/>
                <w:highlight w:val="none"/>
              </w:rPr>
              <w:t>提供</w:t>
            </w:r>
            <w:r>
              <w:rPr>
                <w:rFonts w:ascii="Times New Roman" w:hAnsi="Times New Roman" w:eastAsia="仿宋_GB2312"/>
                <w:color w:val="auto"/>
                <w:kern w:val="0"/>
                <w:sz w:val="24"/>
                <w:szCs w:val="24"/>
                <w:highlight w:val="none"/>
              </w:rPr>
              <w:t>一份有效</w:t>
            </w:r>
            <w:r>
              <w:rPr>
                <w:rFonts w:hint="eastAsia" w:ascii="Times New Roman" w:hAnsi="Times New Roman" w:eastAsia="仿宋_GB2312"/>
                <w:color w:val="auto"/>
                <w:kern w:val="0"/>
                <w:sz w:val="24"/>
                <w:szCs w:val="24"/>
                <w:highlight w:val="none"/>
              </w:rPr>
              <w:t>案例</w:t>
            </w:r>
            <w:r>
              <w:rPr>
                <w:rFonts w:ascii="Times New Roman" w:hAnsi="Times New Roman" w:eastAsia="仿宋_GB2312"/>
                <w:color w:val="auto"/>
                <w:kern w:val="0"/>
                <w:sz w:val="24"/>
                <w:szCs w:val="24"/>
                <w:highlight w:val="none"/>
              </w:rPr>
              <w:t>得</w:t>
            </w:r>
            <w:r>
              <w:rPr>
                <w:rFonts w:hint="eastAsia" w:ascii="Times New Roman" w:hAnsi="Times New Roman" w:eastAsia="仿宋_GB2312"/>
                <w:color w:val="auto"/>
                <w:kern w:val="0"/>
                <w:sz w:val="24"/>
                <w:highlight w:val="none"/>
              </w:rPr>
              <w:t>2</w:t>
            </w:r>
            <w:r>
              <w:rPr>
                <w:rFonts w:ascii="Times New Roman" w:hAnsi="Times New Roman" w:eastAsia="仿宋_GB2312"/>
                <w:color w:val="auto"/>
                <w:kern w:val="0"/>
                <w:sz w:val="24"/>
                <w:szCs w:val="24"/>
                <w:highlight w:val="none"/>
              </w:rPr>
              <w:t>分，此项满分</w:t>
            </w:r>
            <w:r>
              <w:rPr>
                <w:rFonts w:hint="eastAsia" w:ascii="Times New Roman" w:hAnsi="Times New Roman" w:eastAsia="仿宋_GB2312"/>
                <w:color w:val="auto"/>
                <w:kern w:val="0"/>
                <w:sz w:val="24"/>
                <w:highlight w:val="none"/>
              </w:rPr>
              <w:t>6</w:t>
            </w:r>
            <w:r>
              <w:rPr>
                <w:rFonts w:ascii="Times New Roman" w:hAnsi="Times New Roman" w:eastAsia="仿宋_GB2312"/>
                <w:color w:val="auto"/>
                <w:kern w:val="0"/>
                <w:sz w:val="24"/>
                <w:szCs w:val="24"/>
                <w:highlight w:val="none"/>
              </w:rPr>
              <w:t>分，</w:t>
            </w:r>
            <w:r>
              <w:rPr>
                <w:rFonts w:hint="eastAsia" w:ascii="Times New Roman" w:hAnsi="Times New Roman" w:eastAsia="仿宋_GB2312"/>
                <w:color w:val="auto"/>
                <w:kern w:val="0"/>
                <w:sz w:val="24"/>
                <w:szCs w:val="24"/>
                <w:highlight w:val="none"/>
              </w:rPr>
              <w:t>未提供</w:t>
            </w:r>
            <w:r>
              <w:rPr>
                <w:rFonts w:ascii="Times New Roman" w:hAnsi="Times New Roman" w:eastAsia="仿宋_GB2312"/>
                <w:color w:val="auto"/>
                <w:kern w:val="0"/>
                <w:sz w:val="24"/>
                <w:szCs w:val="24"/>
                <w:highlight w:val="none"/>
              </w:rPr>
              <w:t>得0分。</w:t>
            </w:r>
          </w:p>
          <w:p w14:paraId="3C6916E7">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注：若合同页数过多，则可只上传</w:t>
            </w:r>
            <w:r>
              <w:rPr>
                <w:rFonts w:hint="eastAsia" w:ascii="Times New Roman" w:hAnsi="Times New Roman" w:eastAsia="仿宋_GB2312"/>
                <w:color w:val="auto"/>
                <w:kern w:val="0"/>
                <w:sz w:val="24"/>
                <w:szCs w:val="24"/>
                <w:highlight w:val="none"/>
              </w:rPr>
              <w:t>合同关键页</w:t>
            </w:r>
            <w:r>
              <w:rPr>
                <w:rFonts w:ascii="Times New Roman" w:hAnsi="Times New Roman" w:eastAsia="仿宋_GB2312"/>
                <w:color w:val="auto"/>
                <w:kern w:val="0"/>
                <w:sz w:val="24"/>
                <w:szCs w:val="24"/>
                <w:highlight w:val="none"/>
              </w:rPr>
              <w:t>（包括采购内容、签约日期、双方盖章</w:t>
            </w:r>
            <w:r>
              <w:rPr>
                <w:rFonts w:hint="eastAsia" w:ascii="Times New Roman" w:hAnsi="Times New Roman" w:eastAsia="仿宋_GB2312"/>
                <w:color w:val="auto"/>
                <w:kern w:val="0"/>
                <w:sz w:val="24"/>
                <w:szCs w:val="24"/>
                <w:highlight w:val="none"/>
              </w:rPr>
              <w:t>、验收证明</w:t>
            </w:r>
            <w:r>
              <w:rPr>
                <w:rFonts w:ascii="Times New Roman" w:hAnsi="Times New Roman" w:eastAsia="仿宋_GB2312"/>
                <w:color w:val="auto"/>
                <w:kern w:val="0"/>
                <w:sz w:val="24"/>
                <w:szCs w:val="24"/>
                <w:highlight w:val="none"/>
              </w:rPr>
              <w:t>等内容）。业绩证明材料需清晰可辨认，否则视为无效业绩。</w:t>
            </w:r>
          </w:p>
        </w:tc>
        <w:tc>
          <w:tcPr>
            <w:tcW w:w="317" w:type="pct"/>
            <w:tcBorders>
              <w:top w:val="single" w:color="auto" w:sz="4" w:space="0"/>
              <w:left w:val="single" w:color="auto" w:sz="4" w:space="0"/>
              <w:bottom w:val="single" w:color="auto" w:sz="4" w:space="0"/>
              <w:right w:val="single" w:color="auto" w:sz="4" w:space="0"/>
            </w:tcBorders>
            <w:vAlign w:val="center"/>
          </w:tcPr>
          <w:p w14:paraId="6D263AC5">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6</w:t>
            </w:r>
          </w:p>
        </w:tc>
        <w:tc>
          <w:tcPr>
            <w:tcW w:w="327" w:type="pct"/>
            <w:vMerge w:val="restart"/>
            <w:tcBorders>
              <w:top w:val="single" w:color="auto" w:sz="4" w:space="0"/>
              <w:left w:val="single" w:color="auto" w:sz="4" w:space="0"/>
              <w:right w:val="single" w:color="auto" w:sz="4" w:space="0"/>
            </w:tcBorders>
            <w:vAlign w:val="center"/>
          </w:tcPr>
          <w:p w14:paraId="37491FF9">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70</w:t>
            </w:r>
            <w:r>
              <w:rPr>
                <w:rFonts w:ascii="Times New Roman" w:hAnsi="Times New Roman" w:eastAsia="仿宋_GB2312"/>
                <w:color w:val="auto"/>
                <w:kern w:val="0"/>
                <w:sz w:val="24"/>
                <w:szCs w:val="24"/>
                <w:highlight w:val="none"/>
              </w:rPr>
              <w:t>.00%</w:t>
            </w:r>
          </w:p>
        </w:tc>
      </w:tr>
      <w:tr w14:paraId="7B65142D">
        <w:tblPrEx>
          <w:tblCellMar>
            <w:top w:w="0" w:type="dxa"/>
            <w:left w:w="108" w:type="dxa"/>
            <w:bottom w:w="0" w:type="dxa"/>
            <w:right w:w="108" w:type="dxa"/>
          </w:tblCellMar>
        </w:tblPrEx>
        <w:trPr>
          <w:trHeight w:val="1440" w:hRule="atLeast"/>
        </w:trPr>
        <w:tc>
          <w:tcPr>
            <w:tcW w:w="445" w:type="pct"/>
            <w:vMerge w:val="continue"/>
            <w:tcBorders>
              <w:left w:val="single" w:color="auto" w:sz="4" w:space="0"/>
              <w:right w:val="single" w:color="auto" w:sz="4" w:space="0"/>
            </w:tcBorders>
            <w:vAlign w:val="center"/>
          </w:tcPr>
          <w:p w14:paraId="54C0EAA6">
            <w:pPr>
              <w:widowControl/>
              <w:jc w:val="left"/>
              <w:rPr>
                <w:rFonts w:ascii="Times New Roman" w:hAnsi="Times New Roman" w:eastAsia="仿宋_GB2312"/>
                <w:color w:val="auto"/>
                <w:kern w:val="0"/>
                <w:sz w:val="24"/>
                <w:szCs w:val="24"/>
                <w:highlight w:val="none"/>
              </w:rPr>
            </w:pPr>
          </w:p>
        </w:tc>
        <w:tc>
          <w:tcPr>
            <w:tcW w:w="323" w:type="pct"/>
            <w:tcBorders>
              <w:top w:val="nil"/>
              <w:left w:val="nil"/>
              <w:bottom w:val="single" w:color="auto" w:sz="4" w:space="0"/>
              <w:right w:val="single" w:color="auto" w:sz="4" w:space="0"/>
            </w:tcBorders>
            <w:vAlign w:val="center"/>
          </w:tcPr>
          <w:p w14:paraId="3AA3D938">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2</w:t>
            </w:r>
          </w:p>
        </w:tc>
        <w:tc>
          <w:tcPr>
            <w:tcW w:w="379" w:type="pct"/>
            <w:tcBorders>
              <w:top w:val="nil"/>
              <w:left w:val="nil"/>
              <w:bottom w:val="single" w:color="auto" w:sz="4" w:space="0"/>
              <w:right w:val="single" w:color="auto" w:sz="4" w:space="0"/>
            </w:tcBorders>
            <w:vAlign w:val="center"/>
          </w:tcPr>
          <w:p w14:paraId="27BD0205">
            <w:pPr>
              <w:widowControl/>
              <w:jc w:val="center"/>
              <w:rPr>
                <w:rFonts w:ascii="Times New Roman" w:hAnsi="Times New Roman" w:eastAsia="仿宋_GB2312"/>
                <w:color w:val="auto"/>
                <w:sz w:val="24"/>
                <w:szCs w:val="24"/>
                <w:highlight w:val="none"/>
                <w:lang w:val="zh-CN"/>
              </w:rPr>
            </w:pPr>
            <w:r>
              <w:rPr>
                <w:rFonts w:hint="eastAsia" w:ascii="Times New Roman" w:hAnsi="Times New Roman" w:eastAsia="仿宋_GB2312"/>
                <w:color w:val="auto"/>
                <w:sz w:val="24"/>
                <w:szCs w:val="24"/>
                <w:highlight w:val="none"/>
                <w:lang w:val="zh-CN"/>
              </w:rPr>
              <w:t>人员证书</w:t>
            </w:r>
          </w:p>
        </w:tc>
        <w:tc>
          <w:tcPr>
            <w:tcW w:w="3207" w:type="pct"/>
            <w:tcBorders>
              <w:top w:val="nil"/>
              <w:left w:val="nil"/>
              <w:bottom w:val="single" w:color="auto" w:sz="4" w:space="0"/>
              <w:right w:val="single" w:color="auto" w:sz="4" w:space="0"/>
            </w:tcBorders>
            <w:vAlign w:val="center"/>
          </w:tcPr>
          <w:p w14:paraId="6403E052">
            <w:pPr>
              <w:widowControl/>
              <w:jc w:val="left"/>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施工人员、技术支持服务人员</w:t>
            </w:r>
            <w:r>
              <w:rPr>
                <w:rFonts w:ascii="Times New Roman" w:hAnsi="Times New Roman" w:eastAsia="仿宋_GB2312"/>
                <w:color w:val="auto"/>
                <w:kern w:val="0"/>
                <w:sz w:val="24"/>
                <w:szCs w:val="24"/>
                <w:highlight w:val="none"/>
              </w:rPr>
              <w:t>提供</w:t>
            </w:r>
            <w:r>
              <w:rPr>
                <w:rFonts w:hint="eastAsia" w:ascii="Times New Roman" w:hAnsi="Times New Roman" w:eastAsia="仿宋_GB2312"/>
                <w:color w:val="auto"/>
                <w:kern w:val="0"/>
                <w:sz w:val="24"/>
                <w:szCs w:val="24"/>
                <w:highlight w:val="none"/>
              </w:rPr>
              <w:t>《通信专业技术人员职业资格证书》</w:t>
            </w:r>
            <w:r>
              <w:rPr>
                <w:rFonts w:ascii="Times New Roman" w:hAnsi="Times New Roman" w:eastAsia="仿宋_GB2312"/>
                <w:color w:val="auto"/>
                <w:kern w:val="0"/>
                <w:sz w:val="24"/>
                <w:szCs w:val="24"/>
                <w:highlight w:val="none"/>
              </w:rPr>
              <w:t>，每提供1个得</w:t>
            </w:r>
            <w:r>
              <w:rPr>
                <w:rFonts w:hint="eastAsia" w:ascii="Times New Roman" w:hAnsi="Times New Roman" w:eastAsia="仿宋_GB2312"/>
                <w:color w:val="auto"/>
                <w:kern w:val="0"/>
                <w:sz w:val="24"/>
                <w:szCs w:val="24"/>
                <w:highlight w:val="none"/>
              </w:rPr>
              <w:t>1</w:t>
            </w:r>
            <w:r>
              <w:rPr>
                <w:rFonts w:ascii="Times New Roman" w:hAnsi="Times New Roman" w:eastAsia="仿宋_GB2312"/>
                <w:color w:val="auto"/>
                <w:kern w:val="0"/>
                <w:sz w:val="24"/>
                <w:szCs w:val="24"/>
                <w:highlight w:val="none"/>
              </w:rPr>
              <w:t>分，最高得</w:t>
            </w:r>
            <w:r>
              <w:rPr>
                <w:rFonts w:hint="eastAsia" w:ascii="Times New Roman" w:hAnsi="Times New Roman" w:eastAsia="仿宋_GB2312"/>
                <w:color w:val="auto"/>
                <w:kern w:val="0"/>
                <w:sz w:val="24"/>
                <w:szCs w:val="24"/>
                <w:highlight w:val="none"/>
              </w:rPr>
              <w:t>3</w:t>
            </w:r>
            <w:r>
              <w:rPr>
                <w:rFonts w:ascii="Times New Roman" w:hAnsi="Times New Roman" w:eastAsia="仿宋_GB2312"/>
                <w:color w:val="auto"/>
                <w:kern w:val="0"/>
                <w:sz w:val="24"/>
                <w:szCs w:val="24"/>
                <w:highlight w:val="none"/>
              </w:rPr>
              <w:t>分。</w:t>
            </w:r>
          </w:p>
          <w:p w14:paraId="0605F3C5">
            <w:pPr>
              <w:widowControl/>
              <w:jc w:val="left"/>
              <w:rPr>
                <w:rFonts w:hint="eastAsia" w:eastAsia="宋体"/>
                <w:color w:val="auto"/>
                <w:highlight w:val="none"/>
                <w:lang w:eastAsia="zh-CN"/>
              </w:rPr>
            </w:pPr>
            <w:r>
              <w:rPr>
                <w:rFonts w:hint="eastAsia" w:ascii="Times New Roman" w:hAnsi="Times New Roman" w:eastAsia="仿宋_GB2312"/>
                <w:color w:val="auto"/>
                <w:kern w:val="0"/>
                <w:sz w:val="24"/>
                <w:szCs w:val="24"/>
                <w:highlight w:val="none"/>
              </w:rPr>
              <w:t>注：1、须提供身份证、证书扫描件。2、须提供由本单位缴纳的（由社保机构出具的）社保缴纳证明扫描件。不提供或者提供的证明材料不足的，此项不得分。</w:t>
            </w:r>
            <w:r>
              <w:rPr>
                <w:rFonts w:hint="eastAsia" w:ascii="Times New Roman" w:hAnsi="Times New Roman" w:eastAsia="仿宋_GB2312"/>
                <w:color w:val="auto"/>
                <w:kern w:val="0"/>
                <w:sz w:val="24"/>
                <w:szCs w:val="24"/>
                <w:highlight w:val="none"/>
                <w:lang w:eastAsia="zh-CN"/>
              </w:rPr>
              <w:t>（</w:t>
            </w:r>
            <w:r>
              <w:rPr>
                <w:rFonts w:hint="eastAsia" w:ascii="Times New Roman" w:hAnsi="Times New Roman" w:eastAsia="仿宋_GB2312"/>
                <w:color w:val="auto"/>
                <w:kern w:val="0"/>
                <w:sz w:val="24"/>
                <w:szCs w:val="24"/>
                <w:highlight w:val="none"/>
              </w:rPr>
              <w:t>供应商提供投标、响应截止日前6个月内，任意1个月的社保证明材料。</w:t>
            </w:r>
            <w:r>
              <w:rPr>
                <w:rFonts w:hint="eastAsia" w:ascii="Times New Roman" w:hAnsi="Times New Roman" w:eastAsia="仿宋_GB2312"/>
                <w:color w:val="auto"/>
                <w:kern w:val="0"/>
                <w:sz w:val="24"/>
                <w:szCs w:val="24"/>
                <w:highlight w:val="none"/>
                <w:lang w:eastAsia="zh-CN"/>
              </w:rPr>
              <w:t>）</w:t>
            </w:r>
          </w:p>
        </w:tc>
        <w:tc>
          <w:tcPr>
            <w:tcW w:w="317" w:type="pct"/>
            <w:tcBorders>
              <w:top w:val="nil"/>
              <w:left w:val="nil"/>
              <w:bottom w:val="single" w:color="auto" w:sz="4" w:space="0"/>
              <w:right w:val="single" w:color="auto" w:sz="4" w:space="0"/>
            </w:tcBorders>
            <w:vAlign w:val="center"/>
          </w:tcPr>
          <w:p w14:paraId="18E7DD21">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w:t>
            </w:r>
          </w:p>
        </w:tc>
        <w:tc>
          <w:tcPr>
            <w:tcW w:w="327" w:type="pct"/>
            <w:vMerge w:val="continue"/>
            <w:tcBorders>
              <w:left w:val="single" w:color="auto" w:sz="4" w:space="0"/>
              <w:right w:val="single" w:color="auto" w:sz="4" w:space="0"/>
            </w:tcBorders>
            <w:vAlign w:val="center"/>
          </w:tcPr>
          <w:p w14:paraId="45A31498">
            <w:pPr>
              <w:widowControl/>
              <w:jc w:val="left"/>
              <w:rPr>
                <w:rFonts w:ascii="Times New Roman" w:hAnsi="Times New Roman" w:eastAsia="仿宋_GB2312"/>
                <w:color w:val="auto"/>
                <w:kern w:val="0"/>
                <w:sz w:val="24"/>
                <w:szCs w:val="24"/>
                <w:highlight w:val="none"/>
              </w:rPr>
            </w:pPr>
          </w:p>
        </w:tc>
      </w:tr>
      <w:tr w14:paraId="017731AD">
        <w:tblPrEx>
          <w:tblCellMar>
            <w:top w:w="0" w:type="dxa"/>
            <w:left w:w="108" w:type="dxa"/>
            <w:bottom w:w="0" w:type="dxa"/>
            <w:right w:w="108" w:type="dxa"/>
          </w:tblCellMar>
        </w:tblPrEx>
        <w:trPr>
          <w:trHeight w:val="1894" w:hRule="atLeast"/>
        </w:trPr>
        <w:tc>
          <w:tcPr>
            <w:tcW w:w="445" w:type="pct"/>
            <w:vMerge w:val="continue"/>
            <w:tcBorders>
              <w:left w:val="single" w:color="auto" w:sz="4" w:space="0"/>
              <w:right w:val="single" w:color="auto" w:sz="4" w:space="0"/>
            </w:tcBorders>
            <w:vAlign w:val="center"/>
          </w:tcPr>
          <w:p w14:paraId="686BBFD0">
            <w:pPr>
              <w:widowControl/>
              <w:jc w:val="left"/>
              <w:rPr>
                <w:rFonts w:ascii="Times New Roman" w:hAnsi="Times New Roman" w:eastAsia="仿宋_GB2312"/>
                <w:color w:val="auto"/>
                <w:kern w:val="0"/>
                <w:sz w:val="24"/>
                <w:szCs w:val="24"/>
                <w:highlight w:val="none"/>
              </w:rPr>
            </w:pPr>
          </w:p>
        </w:tc>
        <w:tc>
          <w:tcPr>
            <w:tcW w:w="323" w:type="pct"/>
            <w:tcBorders>
              <w:top w:val="nil"/>
              <w:left w:val="nil"/>
              <w:bottom w:val="single" w:color="auto" w:sz="4" w:space="0"/>
              <w:right w:val="single" w:color="auto" w:sz="4" w:space="0"/>
            </w:tcBorders>
            <w:vAlign w:val="center"/>
          </w:tcPr>
          <w:p w14:paraId="60375294">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3</w:t>
            </w:r>
          </w:p>
        </w:tc>
        <w:tc>
          <w:tcPr>
            <w:tcW w:w="379" w:type="pct"/>
            <w:tcBorders>
              <w:top w:val="nil"/>
              <w:left w:val="nil"/>
              <w:bottom w:val="single" w:color="auto" w:sz="4" w:space="0"/>
              <w:right w:val="single" w:color="auto" w:sz="4" w:space="0"/>
            </w:tcBorders>
            <w:vAlign w:val="center"/>
          </w:tcPr>
          <w:p w14:paraId="09C12F5E">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sz w:val="24"/>
                <w:szCs w:val="24"/>
                <w:highlight w:val="none"/>
                <w:lang w:val="zh-CN"/>
              </w:rPr>
              <w:t>链路技术要求</w:t>
            </w:r>
          </w:p>
        </w:tc>
        <w:tc>
          <w:tcPr>
            <w:tcW w:w="3207" w:type="pct"/>
            <w:tcBorders>
              <w:top w:val="nil"/>
              <w:left w:val="nil"/>
              <w:bottom w:val="single" w:color="auto" w:sz="4" w:space="0"/>
              <w:right w:val="single" w:color="auto" w:sz="4" w:space="0"/>
            </w:tcBorders>
            <w:vAlign w:val="center"/>
          </w:tcPr>
          <w:p w14:paraId="327E1BCD">
            <w:pPr>
              <w:widowControl/>
              <w:jc w:val="left"/>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3.1</w:t>
            </w:r>
            <w:r>
              <w:rPr>
                <w:rFonts w:hint="eastAsia" w:ascii="Times New Roman" w:hAnsi="Times New Roman" w:eastAsia="仿宋_GB2312"/>
                <w:color w:val="auto"/>
                <w:kern w:val="0"/>
                <w:sz w:val="24"/>
                <w:szCs w:val="24"/>
                <w:highlight w:val="none"/>
              </w:rPr>
              <w:t>招标文件中带“★”的重要参数满足项目要求（须出具满足该参数的证明材料），全部满足得12分；每有一项不满足，减2分，减完为止。</w:t>
            </w:r>
          </w:p>
          <w:p w14:paraId="11FD8D61">
            <w:pPr>
              <w:widowControl/>
              <w:jc w:val="left"/>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lang w:val="en-US" w:eastAsia="zh-CN"/>
              </w:rPr>
              <w:t>3.2</w:t>
            </w:r>
            <w:r>
              <w:rPr>
                <w:rFonts w:hint="eastAsia" w:ascii="Times New Roman" w:hAnsi="Times New Roman" w:eastAsia="仿宋_GB2312"/>
                <w:color w:val="auto"/>
                <w:kern w:val="0"/>
                <w:sz w:val="24"/>
                <w:szCs w:val="24"/>
                <w:highlight w:val="none"/>
              </w:rPr>
              <w:t>招标文件中的一般参数，完全满足项目要求，得13分；每有一项不满足，减1分，减完为止。</w:t>
            </w:r>
          </w:p>
          <w:p w14:paraId="2EE36CE1">
            <w:pPr>
              <w:widowControl/>
              <w:jc w:val="left"/>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注：上述内容请在“响应/偏离表”中编辑。</w:t>
            </w:r>
          </w:p>
          <w:p w14:paraId="1931AFF0">
            <w:pPr>
              <w:widowControl/>
              <w:jc w:val="left"/>
              <w:rPr>
                <w:rFonts w:ascii="Times New Roman" w:hAnsi="Times New Roman" w:eastAsia="仿宋"/>
                <w:color w:val="auto"/>
                <w:sz w:val="24"/>
                <w:szCs w:val="28"/>
                <w:highlight w:val="none"/>
              </w:rPr>
            </w:pPr>
          </w:p>
        </w:tc>
        <w:tc>
          <w:tcPr>
            <w:tcW w:w="317" w:type="pct"/>
            <w:tcBorders>
              <w:top w:val="nil"/>
              <w:left w:val="nil"/>
              <w:bottom w:val="single" w:color="auto" w:sz="4" w:space="0"/>
              <w:right w:val="single" w:color="auto" w:sz="4" w:space="0"/>
            </w:tcBorders>
            <w:vAlign w:val="center"/>
          </w:tcPr>
          <w:p w14:paraId="7273B85F">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25</w:t>
            </w:r>
          </w:p>
        </w:tc>
        <w:tc>
          <w:tcPr>
            <w:tcW w:w="327" w:type="pct"/>
            <w:vMerge w:val="continue"/>
            <w:tcBorders>
              <w:left w:val="single" w:color="auto" w:sz="4" w:space="0"/>
              <w:right w:val="single" w:color="auto" w:sz="4" w:space="0"/>
            </w:tcBorders>
            <w:vAlign w:val="center"/>
          </w:tcPr>
          <w:p w14:paraId="4878EA5C">
            <w:pPr>
              <w:widowControl/>
              <w:jc w:val="left"/>
              <w:rPr>
                <w:rFonts w:ascii="Times New Roman" w:hAnsi="Times New Roman" w:eastAsia="仿宋_GB2312"/>
                <w:color w:val="auto"/>
                <w:kern w:val="0"/>
                <w:sz w:val="24"/>
                <w:szCs w:val="24"/>
                <w:highlight w:val="none"/>
              </w:rPr>
            </w:pPr>
          </w:p>
        </w:tc>
      </w:tr>
      <w:tr w14:paraId="5E5771B1">
        <w:tblPrEx>
          <w:tblCellMar>
            <w:top w:w="0" w:type="dxa"/>
            <w:left w:w="108" w:type="dxa"/>
            <w:bottom w:w="0" w:type="dxa"/>
            <w:right w:w="108" w:type="dxa"/>
          </w:tblCellMar>
        </w:tblPrEx>
        <w:trPr>
          <w:trHeight w:val="1086" w:hRule="atLeast"/>
        </w:trPr>
        <w:tc>
          <w:tcPr>
            <w:tcW w:w="445" w:type="pct"/>
            <w:vMerge w:val="continue"/>
            <w:tcBorders>
              <w:left w:val="single" w:color="auto" w:sz="4" w:space="0"/>
              <w:right w:val="single" w:color="auto" w:sz="4" w:space="0"/>
            </w:tcBorders>
            <w:vAlign w:val="center"/>
          </w:tcPr>
          <w:p w14:paraId="5C82D95F">
            <w:pPr>
              <w:widowControl/>
              <w:jc w:val="left"/>
              <w:rPr>
                <w:rFonts w:ascii="Times New Roman" w:hAnsi="Times New Roman" w:eastAsia="仿宋_GB2312"/>
                <w:color w:val="auto"/>
                <w:kern w:val="0"/>
                <w:sz w:val="24"/>
                <w:szCs w:val="24"/>
                <w:highlight w:val="none"/>
              </w:rPr>
            </w:pPr>
          </w:p>
        </w:tc>
        <w:tc>
          <w:tcPr>
            <w:tcW w:w="323" w:type="pct"/>
            <w:tcBorders>
              <w:top w:val="nil"/>
              <w:left w:val="nil"/>
              <w:bottom w:val="single" w:color="auto" w:sz="4" w:space="0"/>
              <w:right w:val="single" w:color="auto" w:sz="4" w:space="0"/>
            </w:tcBorders>
            <w:vAlign w:val="center"/>
          </w:tcPr>
          <w:p w14:paraId="0A9CE37B">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4</w:t>
            </w:r>
          </w:p>
        </w:tc>
        <w:tc>
          <w:tcPr>
            <w:tcW w:w="379" w:type="pct"/>
            <w:tcBorders>
              <w:top w:val="nil"/>
              <w:left w:val="nil"/>
              <w:bottom w:val="single" w:color="auto" w:sz="4" w:space="0"/>
              <w:right w:val="single" w:color="auto" w:sz="4" w:space="0"/>
            </w:tcBorders>
            <w:vAlign w:val="center"/>
          </w:tcPr>
          <w:p w14:paraId="418E1F58">
            <w:pPr>
              <w:widowControl/>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val="zh-CN"/>
              </w:rPr>
              <w:t>项目实施方案</w:t>
            </w:r>
          </w:p>
        </w:tc>
        <w:tc>
          <w:tcPr>
            <w:tcW w:w="3207" w:type="pct"/>
            <w:tcBorders>
              <w:top w:val="nil"/>
              <w:left w:val="nil"/>
              <w:bottom w:val="single" w:color="auto" w:sz="4" w:space="0"/>
              <w:right w:val="single" w:color="auto" w:sz="4" w:space="0"/>
            </w:tcBorders>
            <w:vAlign w:val="center"/>
          </w:tcPr>
          <w:p w14:paraId="057B627F">
            <w:pPr>
              <w:widowControl/>
              <w:jc w:val="left"/>
              <w:rPr>
                <w:rFonts w:ascii="Times New Roman" w:eastAsia="方正仿宋_GBK"/>
                <w:b/>
                <w:bCs/>
                <w:color w:val="auto"/>
                <w:sz w:val="24"/>
                <w:szCs w:val="24"/>
                <w:highlight w:val="none"/>
              </w:rPr>
            </w:pPr>
            <w:r>
              <w:rPr>
                <w:rFonts w:hint="eastAsia" w:ascii="Times New Roman" w:eastAsia="方正仿宋_GBK"/>
                <w:b/>
                <w:bCs/>
                <w:color w:val="auto"/>
                <w:sz w:val="24"/>
                <w:szCs w:val="24"/>
                <w:highlight w:val="none"/>
              </w:rPr>
              <w:t>4.1投标人根据项目需求提供项目实施方案，包含但不限于：</w:t>
            </w:r>
          </w:p>
          <w:p w14:paraId="280C3B95">
            <w:pPr>
              <w:widowControl/>
              <w:jc w:val="left"/>
              <w:rPr>
                <w:rFonts w:ascii="Times New Roman" w:hAnsi="Times New Roman" w:eastAsia="仿宋_GB2312"/>
                <w:color w:val="auto"/>
                <w:kern w:val="0"/>
                <w:sz w:val="24"/>
                <w:szCs w:val="24"/>
                <w:highlight w:val="none"/>
              </w:rPr>
            </w:pPr>
            <w:r>
              <w:rPr>
                <w:rFonts w:eastAsia="仿宋_GB2312" w:cs="Calibri"/>
                <w:color w:val="auto"/>
                <w:kern w:val="0"/>
                <w:sz w:val="24"/>
                <w:szCs w:val="24"/>
                <w:highlight w:val="none"/>
              </w:rPr>
              <w:t>①</w:t>
            </w:r>
            <w:r>
              <w:rPr>
                <w:rFonts w:hint="eastAsia" w:ascii="Times New Roman" w:hAnsi="Times New Roman" w:eastAsia="仿宋_GB2312"/>
                <w:color w:val="auto"/>
                <w:kern w:val="0"/>
                <w:sz w:val="24"/>
                <w:szCs w:val="24"/>
                <w:highlight w:val="none"/>
              </w:rPr>
              <w:t>采购单位业务工作所需的有线链路（含互联网、公安信息网、公共安全视频网、警种专网、其他网络）服务传输方案；</w:t>
            </w:r>
          </w:p>
          <w:p w14:paraId="3AD2C720">
            <w:pPr>
              <w:widowControl/>
              <w:jc w:val="left"/>
              <w:rPr>
                <w:rFonts w:ascii="Times New Roman" w:hAnsi="Times New Roman" w:eastAsia="仿宋_GB2312"/>
                <w:color w:val="auto"/>
                <w:kern w:val="0"/>
                <w:sz w:val="24"/>
                <w:szCs w:val="24"/>
                <w:highlight w:val="none"/>
              </w:rPr>
            </w:pPr>
            <w:r>
              <w:rPr>
                <w:rFonts w:eastAsia="仿宋_GB2312" w:cs="Calibri"/>
                <w:color w:val="auto"/>
                <w:kern w:val="0"/>
                <w:sz w:val="24"/>
                <w:szCs w:val="24"/>
                <w:highlight w:val="none"/>
              </w:rPr>
              <w:t>②</w:t>
            </w:r>
            <w:r>
              <w:rPr>
                <w:rFonts w:hint="eastAsia" w:ascii="Times New Roman" w:hAnsi="Times New Roman" w:eastAsia="仿宋_GB2312"/>
                <w:color w:val="auto"/>
                <w:kern w:val="0"/>
                <w:sz w:val="24"/>
                <w:szCs w:val="24"/>
                <w:highlight w:val="none"/>
              </w:rPr>
              <w:t>须符合招标材料中“通信运营商技术标准-日常巡检”提出的3项要求，全项满足并提供详细巡检方案等。</w:t>
            </w:r>
          </w:p>
          <w:p w14:paraId="42E92932">
            <w:pPr>
              <w:widowControl/>
              <w:jc w:val="left"/>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注：上述两项内容齐全得6分，每缺一项内容减3分，减完为止。</w:t>
            </w:r>
          </w:p>
          <w:p w14:paraId="26E8C6F0">
            <w:pPr>
              <w:widowControl/>
              <w:spacing w:line="320" w:lineRule="exact"/>
              <w:jc w:val="left"/>
              <w:rPr>
                <w:rFonts w:ascii="方正仿宋简体" w:hAnsi="宋体" w:eastAsia="方正仿宋简体" w:cs="宋体"/>
                <w:color w:val="auto"/>
                <w:kern w:val="0"/>
                <w:sz w:val="24"/>
                <w:highlight w:val="none"/>
              </w:rPr>
            </w:pPr>
          </w:p>
          <w:p w14:paraId="0C355F3B">
            <w:pPr>
              <w:pStyle w:val="27"/>
              <w:spacing w:after="0" w:line="300" w:lineRule="exact"/>
              <w:ind w:firstLine="0" w:firstLineChars="0"/>
              <w:jc w:val="left"/>
              <w:rPr>
                <w:rFonts w:ascii="Times New Roman" w:eastAsia="方正仿宋_GBK"/>
                <w:b/>
                <w:bCs/>
                <w:color w:val="auto"/>
                <w:sz w:val="24"/>
                <w:szCs w:val="24"/>
                <w:highlight w:val="none"/>
              </w:rPr>
            </w:pPr>
            <w:r>
              <w:rPr>
                <w:rFonts w:hint="eastAsia" w:ascii="Times New Roman" w:eastAsia="方正仿宋_GBK"/>
                <w:b/>
                <w:bCs/>
                <w:color w:val="auto"/>
                <w:sz w:val="24"/>
                <w:szCs w:val="24"/>
                <w:highlight w:val="none"/>
              </w:rPr>
              <w:t>4.2针对4.1提供的两项内容，其中每有一项内容存在缺陷的减1分，减完为止。未提供方案得0分，满分2分，最低0分。</w:t>
            </w:r>
          </w:p>
          <w:p w14:paraId="496CAFE9">
            <w:pPr>
              <w:widowControl/>
              <w:jc w:val="left"/>
              <w:rPr>
                <w:rFonts w:ascii="Times New Roman" w:hAnsi="Times New Roman" w:eastAsia="仿宋"/>
                <w:color w:val="auto"/>
                <w:sz w:val="24"/>
                <w:szCs w:val="28"/>
                <w:highlight w:val="none"/>
              </w:rPr>
            </w:pPr>
            <w:r>
              <w:rPr>
                <w:rFonts w:hint="eastAsia" w:ascii="Times New Roman" w:hAnsi="Times New Roman" w:eastAsia="仿宋_GB2312"/>
                <w:color w:val="auto"/>
                <w:kern w:val="0"/>
                <w:sz w:val="24"/>
                <w:szCs w:val="24"/>
                <w:highlight w:val="none"/>
              </w:rPr>
              <w:t>注：缺陷指服务传输方案、巡检等方案内容与项目需求不一致、方案存在不适用项目实际情况的情形、套用其它方案、凭空编造、逻辑漏洞、科学原理错误、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4147B22B">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8</w:t>
            </w:r>
          </w:p>
        </w:tc>
        <w:tc>
          <w:tcPr>
            <w:tcW w:w="327" w:type="pct"/>
            <w:vMerge w:val="continue"/>
            <w:tcBorders>
              <w:left w:val="single" w:color="auto" w:sz="4" w:space="0"/>
              <w:bottom w:val="nil"/>
              <w:right w:val="single" w:color="auto" w:sz="4" w:space="0"/>
            </w:tcBorders>
            <w:vAlign w:val="center"/>
          </w:tcPr>
          <w:p w14:paraId="5700BD97">
            <w:pPr>
              <w:widowControl/>
              <w:jc w:val="left"/>
              <w:rPr>
                <w:rFonts w:ascii="Times New Roman" w:hAnsi="Times New Roman" w:eastAsia="仿宋_GB2312"/>
                <w:color w:val="auto"/>
                <w:kern w:val="0"/>
                <w:sz w:val="24"/>
                <w:szCs w:val="24"/>
                <w:highlight w:val="none"/>
              </w:rPr>
            </w:pPr>
          </w:p>
        </w:tc>
      </w:tr>
      <w:tr w14:paraId="06B0B783">
        <w:tblPrEx>
          <w:tblCellMar>
            <w:top w:w="0" w:type="dxa"/>
            <w:left w:w="108" w:type="dxa"/>
            <w:bottom w:w="0" w:type="dxa"/>
            <w:right w:w="108" w:type="dxa"/>
          </w:tblCellMar>
        </w:tblPrEx>
        <w:trPr>
          <w:trHeight w:val="1022" w:hRule="atLeast"/>
        </w:trPr>
        <w:tc>
          <w:tcPr>
            <w:tcW w:w="445" w:type="pct"/>
            <w:vMerge w:val="continue"/>
            <w:tcBorders>
              <w:left w:val="single" w:color="auto" w:sz="4" w:space="0"/>
              <w:right w:val="single" w:color="auto" w:sz="4" w:space="0"/>
            </w:tcBorders>
            <w:vAlign w:val="center"/>
          </w:tcPr>
          <w:p w14:paraId="203BA2AB">
            <w:pPr>
              <w:widowControl/>
              <w:jc w:val="left"/>
              <w:rPr>
                <w:rFonts w:ascii="Times New Roman" w:hAnsi="Times New Roman" w:eastAsia="仿宋_GB2312"/>
                <w:color w:val="auto"/>
                <w:kern w:val="0"/>
                <w:sz w:val="24"/>
                <w:szCs w:val="24"/>
                <w:highlight w:val="none"/>
              </w:rPr>
            </w:pPr>
          </w:p>
        </w:tc>
        <w:tc>
          <w:tcPr>
            <w:tcW w:w="323" w:type="pct"/>
            <w:tcBorders>
              <w:top w:val="nil"/>
              <w:left w:val="nil"/>
              <w:bottom w:val="single" w:color="auto" w:sz="4" w:space="0"/>
              <w:right w:val="single" w:color="auto" w:sz="4" w:space="0"/>
            </w:tcBorders>
            <w:vAlign w:val="center"/>
          </w:tcPr>
          <w:p w14:paraId="6353499F">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5</w:t>
            </w:r>
          </w:p>
        </w:tc>
        <w:tc>
          <w:tcPr>
            <w:tcW w:w="379" w:type="pct"/>
            <w:tcBorders>
              <w:top w:val="nil"/>
              <w:left w:val="nil"/>
              <w:bottom w:val="single" w:color="auto" w:sz="4" w:space="0"/>
              <w:right w:val="single" w:color="auto" w:sz="4" w:space="0"/>
            </w:tcBorders>
            <w:vAlign w:val="center"/>
          </w:tcPr>
          <w:p w14:paraId="688CB559">
            <w:pPr>
              <w:widowControl/>
              <w:jc w:val="center"/>
              <w:rPr>
                <w:rFonts w:hint="eastAsia" w:ascii="Times New Roman" w:hAnsi="Times New Roman" w:eastAsia="仿宋_GB2312"/>
                <w:color w:val="auto"/>
                <w:sz w:val="24"/>
                <w:szCs w:val="24"/>
                <w:highlight w:val="none"/>
                <w:lang w:val="zh-CN"/>
              </w:rPr>
            </w:pPr>
            <w:r>
              <w:rPr>
                <w:rFonts w:hint="eastAsia" w:ascii="Times New Roman" w:hAnsi="Times New Roman" w:eastAsia="仿宋_GB2312"/>
                <w:color w:val="auto"/>
                <w:sz w:val="24"/>
                <w:szCs w:val="24"/>
                <w:highlight w:val="none"/>
                <w:lang w:val="zh-CN"/>
              </w:rPr>
              <w:t>应急管理方案</w:t>
            </w:r>
          </w:p>
        </w:tc>
        <w:tc>
          <w:tcPr>
            <w:tcW w:w="3207" w:type="pct"/>
            <w:tcBorders>
              <w:top w:val="nil"/>
              <w:left w:val="nil"/>
              <w:bottom w:val="single" w:color="auto" w:sz="4" w:space="0"/>
              <w:right w:val="single" w:color="auto" w:sz="4" w:space="0"/>
            </w:tcBorders>
            <w:vAlign w:val="center"/>
          </w:tcPr>
          <w:p w14:paraId="730D4045">
            <w:pPr>
              <w:pStyle w:val="27"/>
              <w:spacing w:after="0" w:line="300" w:lineRule="exact"/>
              <w:ind w:firstLine="0" w:firstLineChars="0"/>
              <w:jc w:val="left"/>
              <w:rPr>
                <w:rFonts w:ascii="Times New Roman" w:eastAsia="方正仿宋_GBK"/>
                <w:b/>
                <w:bCs/>
                <w:color w:val="auto"/>
                <w:sz w:val="24"/>
                <w:szCs w:val="24"/>
                <w:highlight w:val="none"/>
              </w:rPr>
            </w:pPr>
            <w:r>
              <w:rPr>
                <w:rFonts w:hint="eastAsia" w:ascii="Times New Roman" w:eastAsia="方正仿宋_GBK"/>
                <w:b/>
                <w:bCs/>
                <w:color w:val="auto"/>
                <w:sz w:val="24"/>
                <w:szCs w:val="24"/>
                <w:highlight w:val="none"/>
              </w:rPr>
              <w:t>5.1投标人根据甲方链路租用需求提供应急处置管理方案，包括但不限于：</w:t>
            </w:r>
          </w:p>
          <w:p w14:paraId="74CE27BB">
            <w:pPr>
              <w:widowControl/>
              <w:jc w:val="left"/>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①应急处置前期准备工作；</w:t>
            </w:r>
          </w:p>
          <w:p w14:paraId="634D3BC5">
            <w:pPr>
              <w:widowControl/>
              <w:jc w:val="left"/>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②应急处置流程（需明确应急处置汇报时长、应急处置时间响应时长）；</w:t>
            </w:r>
          </w:p>
          <w:p w14:paraId="7CCDF5E3">
            <w:pPr>
              <w:widowControl/>
              <w:jc w:val="left"/>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③应急处置结果汇报后的恢复等。</w:t>
            </w:r>
          </w:p>
          <w:p w14:paraId="03BEB3FE">
            <w:pPr>
              <w:widowControl/>
              <w:jc w:val="left"/>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上述内容齐全的得9分，每缺一项扣3分，扣完为止。</w:t>
            </w:r>
          </w:p>
          <w:p w14:paraId="65A645B5">
            <w:pPr>
              <w:widowControl/>
              <w:jc w:val="left"/>
              <w:rPr>
                <w:rFonts w:ascii="Times New Roman" w:hAnsi="Times New Roman" w:eastAsia="仿宋_GB2312"/>
                <w:color w:val="auto"/>
                <w:kern w:val="0"/>
                <w:sz w:val="24"/>
                <w:szCs w:val="24"/>
                <w:highlight w:val="none"/>
              </w:rPr>
            </w:pPr>
          </w:p>
          <w:p w14:paraId="63934936">
            <w:pPr>
              <w:pStyle w:val="27"/>
              <w:spacing w:after="0" w:line="300" w:lineRule="exact"/>
              <w:ind w:firstLine="0" w:firstLineChars="0"/>
              <w:jc w:val="left"/>
              <w:rPr>
                <w:rFonts w:ascii="Times New Roman" w:eastAsia="方正仿宋_GBK"/>
                <w:b/>
                <w:bCs/>
                <w:color w:val="auto"/>
                <w:sz w:val="24"/>
                <w:szCs w:val="24"/>
                <w:highlight w:val="none"/>
              </w:rPr>
            </w:pPr>
            <w:r>
              <w:rPr>
                <w:rFonts w:hint="eastAsia" w:ascii="Times New Roman" w:eastAsia="方正仿宋_GBK"/>
                <w:b/>
                <w:bCs/>
                <w:color w:val="auto"/>
                <w:sz w:val="24"/>
                <w:szCs w:val="24"/>
                <w:highlight w:val="none"/>
              </w:rPr>
              <w:t>5.2针对5.1提供的三项内容，其中每有一项内容存在缺陷的减1分，减完为止。未提供方案得0分，满分3分，最低0分。</w:t>
            </w:r>
          </w:p>
          <w:p w14:paraId="0BE810B6">
            <w:pPr>
              <w:widowControl/>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注：缺陷指对应急处置前期准备工作、应急处置流程、应急处置结果汇报后的恢复等内容阐述不清晰，过于简略，可操作性不强，出现方案内容与项目需求不一致、方案存在不适用项目实际情况的情形、套用其它方案、凭空编造、逻辑漏洞、科学原理错误、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300F058D">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12</w:t>
            </w:r>
          </w:p>
        </w:tc>
        <w:tc>
          <w:tcPr>
            <w:tcW w:w="327" w:type="pct"/>
            <w:vMerge w:val="continue"/>
            <w:tcBorders>
              <w:left w:val="single" w:color="auto" w:sz="4" w:space="0"/>
              <w:bottom w:val="nil"/>
              <w:right w:val="single" w:color="auto" w:sz="4" w:space="0"/>
            </w:tcBorders>
            <w:vAlign w:val="center"/>
          </w:tcPr>
          <w:p w14:paraId="214AD2B6">
            <w:pPr>
              <w:widowControl/>
              <w:jc w:val="left"/>
              <w:rPr>
                <w:rFonts w:ascii="Times New Roman" w:hAnsi="Times New Roman" w:eastAsia="仿宋_GB2312"/>
                <w:color w:val="auto"/>
                <w:kern w:val="0"/>
                <w:sz w:val="24"/>
                <w:szCs w:val="24"/>
                <w:highlight w:val="none"/>
              </w:rPr>
            </w:pPr>
          </w:p>
        </w:tc>
      </w:tr>
      <w:tr w14:paraId="54BE10D5">
        <w:tblPrEx>
          <w:tblCellMar>
            <w:top w:w="0" w:type="dxa"/>
            <w:left w:w="108" w:type="dxa"/>
            <w:bottom w:w="0" w:type="dxa"/>
            <w:right w:w="108" w:type="dxa"/>
          </w:tblCellMar>
        </w:tblPrEx>
        <w:trPr>
          <w:trHeight w:val="1022" w:hRule="atLeast"/>
        </w:trPr>
        <w:tc>
          <w:tcPr>
            <w:tcW w:w="445" w:type="pct"/>
            <w:vMerge w:val="continue"/>
            <w:tcBorders>
              <w:left w:val="single" w:color="auto" w:sz="4" w:space="0"/>
              <w:right w:val="single" w:color="auto" w:sz="4" w:space="0"/>
            </w:tcBorders>
            <w:vAlign w:val="center"/>
          </w:tcPr>
          <w:p w14:paraId="1DCC7FD7">
            <w:pPr>
              <w:widowControl/>
              <w:jc w:val="left"/>
              <w:rPr>
                <w:rFonts w:ascii="Times New Roman" w:hAnsi="Times New Roman" w:eastAsia="仿宋_GB2312"/>
                <w:color w:val="auto"/>
                <w:kern w:val="0"/>
                <w:sz w:val="24"/>
                <w:szCs w:val="24"/>
                <w:highlight w:val="none"/>
              </w:rPr>
            </w:pPr>
          </w:p>
        </w:tc>
        <w:tc>
          <w:tcPr>
            <w:tcW w:w="323" w:type="pct"/>
            <w:tcBorders>
              <w:top w:val="nil"/>
              <w:left w:val="nil"/>
              <w:bottom w:val="single" w:color="auto" w:sz="4" w:space="0"/>
              <w:right w:val="single" w:color="auto" w:sz="4" w:space="0"/>
            </w:tcBorders>
            <w:vAlign w:val="center"/>
          </w:tcPr>
          <w:p w14:paraId="36B7F5B9">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6</w:t>
            </w:r>
          </w:p>
        </w:tc>
        <w:tc>
          <w:tcPr>
            <w:tcW w:w="379" w:type="pct"/>
            <w:tcBorders>
              <w:top w:val="nil"/>
              <w:left w:val="nil"/>
              <w:bottom w:val="single" w:color="auto" w:sz="4" w:space="0"/>
              <w:right w:val="single" w:color="auto" w:sz="4" w:space="0"/>
            </w:tcBorders>
            <w:vAlign w:val="center"/>
          </w:tcPr>
          <w:p w14:paraId="74173BF8">
            <w:pPr>
              <w:widowControl/>
              <w:jc w:val="center"/>
              <w:rPr>
                <w:rFonts w:hint="eastAsia" w:ascii="Times New Roman" w:hAnsi="Times New Roman" w:eastAsia="仿宋_GB2312"/>
                <w:color w:val="auto"/>
                <w:sz w:val="24"/>
                <w:szCs w:val="24"/>
                <w:highlight w:val="none"/>
                <w:lang w:val="zh-CN"/>
              </w:rPr>
            </w:pPr>
            <w:r>
              <w:rPr>
                <w:rFonts w:hint="eastAsia" w:ascii="Times New Roman" w:hAnsi="Times New Roman" w:eastAsia="仿宋_GB2312"/>
                <w:color w:val="auto"/>
                <w:sz w:val="24"/>
                <w:szCs w:val="24"/>
                <w:highlight w:val="none"/>
                <w:lang w:val="zh-CN"/>
              </w:rPr>
              <w:t>运维服务保障方案</w:t>
            </w:r>
          </w:p>
        </w:tc>
        <w:tc>
          <w:tcPr>
            <w:tcW w:w="3207" w:type="pct"/>
            <w:tcBorders>
              <w:top w:val="nil"/>
              <w:left w:val="nil"/>
              <w:bottom w:val="single" w:color="auto" w:sz="4" w:space="0"/>
              <w:right w:val="single" w:color="auto" w:sz="4" w:space="0"/>
            </w:tcBorders>
            <w:vAlign w:val="center"/>
          </w:tcPr>
          <w:p w14:paraId="4B3B9EFA">
            <w:pPr>
              <w:pStyle w:val="27"/>
              <w:spacing w:after="0" w:line="300" w:lineRule="exact"/>
              <w:ind w:firstLine="0" w:firstLineChars="0"/>
              <w:jc w:val="left"/>
              <w:rPr>
                <w:rFonts w:ascii="Times New Roman" w:eastAsia="方正仿宋_GBK"/>
                <w:b/>
                <w:bCs/>
                <w:color w:val="auto"/>
                <w:sz w:val="24"/>
                <w:szCs w:val="24"/>
                <w:highlight w:val="none"/>
                <w:lang w:val="zh-CN"/>
              </w:rPr>
            </w:pPr>
            <w:r>
              <w:rPr>
                <w:rFonts w:hint="eastAsia" w:ascii="Times New Roman" w:eastAsia="方正仿宋_GBK"/>
                <w:b/>
                <w:bCs/>
                <w:color w:val="auto"/>
                <w:sz w:val="24"/>
                <w:szCs w:val="24"/>
                <w:highlight w:val="none"/>
              </w:rPr>
              <w:t>6.1投标人根据项目需求</w:t>
            </w:r>
            <w:r>
              <w:rPr>
                <w:rFonts w:hint="eastAsia" w:ascii="Times New Roman" w:eastAsia="方正仿宋_GBK"/>
                <w:b/>
                <w:bCs/>
                <w:color w:val="auto"/>
                <w:sz w:val="24"/>
                <w:szCs w:val="24"/>
                <w:highlight w:val="none"/>
                <w:lang w:val="zh-CN"/>
              </w:rPr>
              <w:t>提供运维服务保障方案，包含但不限于：</w:t>
            </w:r>
          </w:p>
          <w:p w14:paraId="1BA53A04">
            <w:pPr>
              <w:pStyle w:val="128"/>
              <w:jc w:val="both"/>
              <w:rPr>
                <w:rFonts w:eastAsia="仿宋_GB2312"/>
                <w:color w:val="auto"/>
                <w:highlight w:val="none"/>
                <w:lang w:val="zh-CN"/>
              </w:rPr>
            </w:pPr>
            <w:r>
              <w:rPr>
                <w:rFonts w:hint="eastAsia" w:eastAsia="仿宋_GB2312"/>
                <w:color w:val="auto"/>
                <w:highlight w:val="none"/>
                <w:lang w:val="zh-CN"/>
              </w:rPr>
              <w:t>①人员驻场稳定措施；</w:t>
            </w:r>
          </w:p>
          <w:p w14:paraId="510C070E">
            <w:pPr>
              <w:pStyle w:val="128"/>
              <w:jc w:val="both"/>
              <w:rPr>
                <w:rFonts w:eastAsia="仿宋_GB2312"/>
                <w:color w:val="auto"/>
                <w:highlight w:val="none"/>
                <w:lang w:val="zh-CN"/>
              </w:rPr>
            </w:pPr>
            <w:r>
              <w:rPr>
                <w:rFonts w:hint="eastAsia" w:eastAsia="仿宋_GB2312"/>
                <w:color w:val="auto"/>
                <w:highlight w:val="none"/>
              </w:rPr>
              <w:t>②</w:t>
            </w:r>
            <w:r>
              <w:rPr>
                <w:rFonts w:hint="eastAsia" w:eastAsia="仿宋_GB2312"/>
                <w:color w:val="auto"/>
                <w:highlight w:val="none"/>
                <w:lang w:val="zh-CN"/>
              </w:rPr>
              <w:t>故障响应措施；</w:t>
            </w:r>
          </w:p>
          <w:p w14:paraId="5DA40A17">
            <w:pPr>
              <w:pStyle w:val="128"/>
              <w:jc w:val="both"/>
              <w:rPr>
                <w:rFonts w:eastAsia="仿宋_GB2312"/>
                <w:color w:val="auto"/>
                <w:highlight w:val="none"/>
              </w:rPr>
            </w:pPr>
            <w:r>
              <w:rPr>
                <w:rFonts w:hint="eastAsia" w:eastAsia="仿宋_GB2312"/>
                <w:color w:val="auto"/>
                <w:highlight w:val="none"/>
              </w:rPr>
              <w:t>③线上线下技术支持服务等；</w:t>
            </w:r>
          </w:p>
          <w:p w14:paraId="0177AA79">
            <w:pPr>
              <w:pStyle w:val="128"/>
              <w:jc w:val="both"/>
              <w:rPr>
                <w:rFonts w:eastAsia="仿宋_GB2312"/>
                <w:color w:val="auto"/>
                <w:highlight w:val="none"/>
                <w:lang w:val="zh-CN"/>
              </w:rPr>
            </w:pPr>
            <w:r>
              <w:rPr>
                <w:rFonts w:hint="eastAsia" w:eastAsia="仿宋_GB2312"/>
                <w:color w:val="auto"/>
                <w:highlight w:val="none"/>
              </w:rPr>
              <w:t>④针对上述三项，投标人须提供服务承诺（书面承诺）</w:t>
            </w:r>
            <w:r>
              <w:rPr>
                <w:rFonts w:hint="eastAsia" w:eastAsia="仿宋_GB2312"/>
                <w:color w:val="auto"/>
                <w:highlight w:val="none"/>
                <w:lang w:val="zh-CN"/>
              </w:rPr>
              <w:t>。</w:t>
            </w:r>
          </w:p>
          <w:p w14:paraId="0AB7CA1A">
            <w:pPr>
              <w:pStyle w:val="128"/>
              <w:jc w:val="both"/>
              <w:rPr>
                <w:rFonts w:eastAsia="仿宋_GB2312"/>
                <w:color w:val="auto"/>
                <w:highlight w:val="none"/>
              </w:rPr>
            </w:pPr>
            <w:r>
              <w:rPr>
                <w:rFonts w:hint="eastAsia" w:eastAsia="仿宋_GB2312"/>
                <w:color w:val="auto"/>
                <w:highlight w:val="none"/>
              </w:rPr>
              <w:t>上述内容齐全得12分，每缺一项内容减3分，减完为止。</w:t>
            </w:r>
          </w:p>
          <w:p w14:paraId="012CF4FD">
            <w:pPr>
              <w:pStyle w:val="128"/>
              <w:jc w:val="both"/>
              <w:rPr>
                <w:rFonts w:eastAsia="仿宋"/>
                <w:color w:val="auto"/>
                <w:highlight w:val="none"/>
              </w:rPr>
            </w:pPr>
          </w:p>
          <w:p w14:paraId="383C523D">
            <w:pPr>
              <w:pStyle w:val="27"/>
              <w:spacing w:after="0" w:line="300" w:lineRule="exact"/>
              <w:ind w:firstLine="0" w:firstLineChars="0"/>
              <w:jc w:val="left"/>
              <w:rPr>
                <w:rFonts w:ascii="Times New Roman" w:eastAsia="方正仿宋_GBK"/>
                <w:b/>
                <w:bCs/>
                <w:color w:val="auto"/>
                <w:sz w:val="24"/>
                <w:szCs w:val="24"/>
                <w:highlight w:val="none"/>
              </w:rPr>
            </w:pPr>
            <w:r>
              <w:rPr>
                <w:rFonts w:hint="eastAsia" w:ascii="Times New Roman" w:eastAsia="方正仿宋_GBK"/>
                <w:b/>
                <w:bCs/>
                <w:color w:val="auto"/>
                <w:sz w:val="24"/>
                <w:szCs w:val="24"/>
                <w:highlight w:val="none"/>
              </w:rPr>
              <w:t>6.2针对6.1提供的四项内容，其中每有一项内容存在缺陷的减1分，减完为止。未提供方案得0分，满分4分，最低0分。</w:t>
            </w:r>
          </w:p>
          <w:p w14:paraId="3D1D0F6B">
            <w:pPr>
              <w:widowControl/>
              <w:jc w:val="left"/>
              <w:rPr>
                <w:rFonts w:ascii="Times New Roman" w:hAnsi="Times New Roman" w:eastAsia="仿宋_GB2312"/>
                <w:color w:val="auto"/>
                <w:sz w:val="24"/>
                <w:szCs w:val="24"/>
                <w:highlight w:val="none"/>
              </w:rPr>
            </w:pPr>
            <w:r>
              <w:rPr>
                <w:rFonts w:hint="eastAsia" w:ascii="Times New Roman" w:hAnsi="Times New Roman" w:eastAsia="仿宋_GB2312"/>
                <w:color w:val="auto"/>
                <w:kern w:val="0"/>
                <w:sz w:val="24"/>
                <w:szCs w:val="24"/>
                <w:highlight w:val="none"/>
              </w:rPr>
              <w:t>注：缺陷指对</w:t>
            </w:r>
            <w:r>
              <w:rPr>
                <w:rFonts w:hint="eastAsia" w:ascii="Times New Roman" w:hAnsi="Times New Roman" w:eastAsia="仿宋_GB2312"/>
                <w:color w:val="auto"/>
                <w:kern w:val="0"/>
                <w:sz w:val="24"/>
                <w:szCs w:val="24"/>
                <w:highlight w:val="none"/>
                <w:lang w:val="zh-CN"/>
              </w:rPr>
              <w:t>人员驻场稳定措施、故障响应措施、</w:t>
            </w:r>
            <w:r>
              <w:rPr>
                <w:rFonts w:hint="eastAsia" w:ascii="Times New Roman" w:hAnsi="Times New Roman" w:eastAsia="仿宋_GB2312"/>
                <w:color w:val="auto"/>
                <w:kern w:val="0"/>
                <w:sz w:val="24"/>
                <w:szCs w:val="24"/>
                <w:highlight w:val="none"/>
              </w:rPr>
              <w:t>线上线下技术支持服务等内容阐述不清晰，过于简略，可操作性不强，出现方案内容与项目需求不一致、方案存在不适用项目实际情况的情形、套用其它方案、凭空编造、逻辑漏洞、科学原理错误等；书面承诺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1DDD7BDA">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16</w:t>
            </w:r>
          </w:p>
        </w:tc>
        <w:tc>
          <w:tcPr>
            <w:tcW w:w="327" w:type="pct"/>
            <w:vMerge w:val="continue"/>
            <w:tcBorders>
              <w:left w:val="single" w:color="auto" w:sz="4" w:space="0"/>
              <w:bottom w:val="nil"/>
              <w:right w:val="single" w:color="auto" w:sz="4" w:space="0"/>
            </w:tcBorders>
            <w:vAlign w:val="center"/>
          </w:tcPr>
          <w:p w14:paraId="5A5E281C">
            <w:pPr>
              <w:widowControl/>
              <w:jc w:val="left"/>
              <w:rPr>
                <w:rFonts w:ascii="Times New Roman" w:hAnsi="Times New Roman" w:eastAsia="仿宋_GB2312"/>
                <w:color w:val="auto"/>
                <w:kern w:val="0"/>
                <w:sz w:val="24"/>
                <w:szCs w:val="24"/>
                <w:highlight w:val="none"/>
              </w:rPr>
            </w:pPr>
          </w:p>
        </w:tc>
      </w:tr>
      <w:tr w14:paraId="28765D01">
        <w:tblPrEx>
          <w:tblCellMar>
            <w:top w:w="0" w:type="dxa"/>
            <w:left w:w="108" w:type="dxa"/>
            <w:bottom w:w="0" w:type="dxa"/>
            <w:right w:w="108" w:type="dxa"/>
          </w:tblCellMar>
        </w:tblPrEx>
        <w:trPr>
          <w:trHeight w:val="902"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4F32022">
            <w:pPr>
              <w:widowControl/>
              <w:jc w:val="left"/>
              <w:rPr>
                <w:rFonts w:ascii="Times New Roman" w:hAnsi="Times New Roman"/>
                <w:color w:val="auto"/>
                <w:kern w:val="0"/>
                <w:sz w:val="24"/>
                <w:szCs w:val="24"/>
                <w:highlight w:val="none"/>
              </w:rPr>
            </w:pPr>
            <w:r>
              <w:rPr>
                <w:rFonts w:ascii="Times New Roman" w:hAnsi="Times New Roman" w:eastAsia="仿宋_GB2312"/>
                <w:color w:val="auto"/>
                <w:kern w:val="0"/>
                <w:sz w:val="24"/>
                <w:szCs w:val="24"/>
                <w:highlight w:val="none"/>
              </w:rPr>
              <w:t>合计：100分</w:t>
            </w:r>
          </w:p>
        </w:tc>
      </w:tr>
    </w:tbl>
    <w:p w14:paraId="5595F5C4">
      <w:pPr>
        <w:rPr>
          <w:rFonts w:ascii="Times New Roman" w:hAnsi="Times New Roman"/>
          <w:color w:val="auto"/>
          <w:highlight w:val="none"/>
        </w:rPr>
      </w:pPr>
    </w:p>
    <w:p w14:paraId="717B1FF3">
      <w:pPr>
        <w:rPr>
          <w:rFonts w:ascii="Times New Roman" w:hAnsi="Times New Roman"/>
          <w:color w:val="auto"/>
          <w:highlight w:val="none"/>
        </w:rPr>
      </w:pPr>
      <w:r>
        <w:rPr>
          <w:rFonts w:ascii="Times New Roman" w:hAnsi="Times New Roman"/>
          <w:color w:val="auto"/>
          <w:highlight w:val="none"/>
        </w:rPr>
        <w:br w:type="page"/>
      </w:r>
    </w:p>
    <w:p w14:paraId="3F368AB1">
      <w:pPr>
        <w:jc w:val="center"/>
        <w:rPr>
          <w:rFonts w:ascii="Times New Roman" w:hAnsi="Times New Roman" w:eastAsia="黑体"/>
          <w:bCs/>
          <w:color w:val="auto"/>
          <w:kern w:val="32"/>
          <w:sz w:val="30"/>
          <w:szCs w:val="30"/>
          <w:highlight w:val="none"/>
        </w:rPr>
      </w:pPr>
      <w:r>
        <w:rPr>
          <w:rFonts w:hint="eastAsia" w:ascii="Times New Roman" w:hAnsi="Times New Roman" w:eastAsia="黑体"/>
          <w:bCs/>
          <w:color w:val="auto"/>
          <w:kern w:val="32"/>
          <w:sz w:val="30"/>
          <w:szCs w:val="30"/>
          <w:highlight w:val="none"/>
        </w:rPr>
        <w:t>市属单位2026年度通信链路服务租用项目二标段（市属单位备用有线链路及固网通信服务租用服务项目）</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2409"/>
        <w:gridCol w:w="2258"/>
        <w:gridCol w:w="2273"/>
      </w:tblGrid>
      <w:tr w14:paraId="35A4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5B3703AA">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名称</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53507B60">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评审因素</w:t>
            </w:r>
          </w:p>
        </w:tc>
        <w:tc>
          <w:tcPr>
            <w:tcW w:w="1134" w:type="pct"/>
            <w:tcBorders>
              <w:top w:val="single" w:color="000000" w:sz="2" w:space="0"/>
              <w:left w:val="single" w:color="000000" w:sz="2" w:space="0"/>
              <w:bottom w:val="single" w:color="000000" w:sz="2" w:space="0"/>
              <w:right w:val="single" w:color="000000" w:sz="2" w:space="0"/>
            </w:tcBorders>
            <w:vAlign w:val="center"/>
          </w:tcPr>
          <w:p w14:paraId="03E258F4">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分值</w:t>
            </w:r>
          </w:p>
        </w:tc>
        <w:tc>
          <w:tcPr>
            <w:tcW w:w="1140" w:type="pct"/>
            <w:tcBorders>
              <w:top w:val="single" w:color="000000" w:sz="2" w:space="0"/>
              <w:left w:val="single" w:color="000000" w:sz="2" w:space="0"/>
              <w:bottom w:val="single" w:color="000000" w:sz="2" w:space="0"/>
              <w:right w:val="single" w:color="000000" w:sz="2" w:space="0"/>
            </w:tcBorders>
            <w:vAlign w:val="center"/>
          </w:tcPr>
          <w:p w14:paraId="59849802">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权值</w:t>
            </w:r>
          </w:p>
        </w:tc>
      </w:tr>
      <w:tr w14:paraId="0AC0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02620C8B">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F1经济标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79CFE89A">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投标报价</w:t>
            </w:r>
          </w:p>
        </w:tc>
        <w:tc>
          <w:tcPr>
            <w:tcW w:w="1134" w:type="pct"/>
            <w:tcBorders>
              <w:top w:val="single" w:color="000000" w:sz="2" w:space="0"/>
              <w:left w:val="single" w:color="000000" w:sz="2" w:space="0"/>
              <w:bottom w:val="single" w:color="000000" w:sz="2" w:space="0"/>
              <w:right w:val="single" w:color="000000" w:sz="2" w:space="0"/>
            </w:tcBorders>
            <w:vAlign w:val="center"/>
          </w:tcPr>
          <w:p w14:paraId="63764B3A">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p>
        </w:tc>
        <w:tc>
          <w:tcPr>
            <w:tcW w:w="1140" w:type="pct"/>
            <w:tcBorders>
              <w:top w:val="single" w:color="000000" w:sz="2" w:space="0"/>
              <w:left w:val="single" w:color="000000" w:sz="2" w:space="0"/>
              <w:bottom w:val="single" w:color="000000" w:sz="2" w:space="0"/>
              <w:right w:val="single" w:color="000000" w:sz="2" w:space="0"/>
            </w:tcBorders>
            <w:vAlign w:val="center"/>
          </w:tcPr>
          <w:p w14:paraId="674E12FB">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r>
              <w:rPr>
                <w:rFonts w:ascii="Times New Roman" w:hAnsi="Times New Roman" w:eastAsia="仿宋_GB2312"/>
                <w:color w:val="auto"/>
                <w:kern w:val="0"/>
                <w:sz w:val="24"/>
                <w:szCs w:val="24"/>
                <w:highlight w:val="none"/>
              </w:rPr>
              <w:t>%</w:t>
            </w:r>
          </w:p>
        </w:tc>
      </w:tr>
      <w:tr w14:paraId="389A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3BEE2735">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F2商务技术标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72262848">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商务技术要求</w:t>
            </w:r>
          </w:p>
        </w:tc>
        <w:tc>
          <w:tcPr>
            <w:tcW w:w="1134" w:type="pct"/>
            <w:tcBorders>
              <w:top w:val="single" w:color="000000" w:sz="2" w:space="0"/>
              <w:left w:val="single" w:color="000000" w:sz="2" w:space="0"/>
              <w:bottom w:val="single" w:color="000000" w:sz="2" w:space="0"/>
              <w:right w:val="single" w:color="000000" w:sz="2" w:space="0"/>
            </w:tcBorders>
            <w:vAlign w:val="center"/>
          </w:tcPr>
          <w:p w14:paraId="01FE7759">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70</w:t>
            </w:r>
          </w:p>
        </w:tc>
        <w:tc>
          <w:tcPr>
            <w:tcW w:w="1140" w:type="pct"/>
            <w:tcBorders>
              <w:top w:val="single" w:color="000000" w:sz="2" w:space="0"/>
              <w:left w:val="single" w:color="000000" w:sz="2" w:space="0"/>
              <w:bottom w:val="single" w:color="000000" w:sz="2" w:space="0"/>
              <w:right w:val="single" w:color="000000" w:sz="2" w:space="0"/>
            </w:tcBorders>
            <w:vAlign w:val="center"/>
          </w:tcPr>
          <w:p w14:paraId="0FEB2E60">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70</w:t>
            </w:r>
            <w:r>
              <w:rPr>
                <w:rFonts w:ascii="Times New Roman" w:hAnsi="Times New Roman" w:eastAsia="仿宋_GB2312"/>
                <w:color w:val="auto"/>
                <w:kern w:val="0"/>
                <w:sz w:val="24"/>
                <w:szCs w:val="24"/>
                <w:highlight w:val="none"/>
              </w:rPr>
              <w:t>%</w:t>
            </w:r>
          </w:p>
        </w:tc>
      </w:tr>
      <w:tr w14:paraId="746E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5F7AAE5B">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sz w:val="24"/>
                <w:szCs w:val="24"/>
                <w:highlight w:val="none"/>
              </w:rPr>
              <w:t>F1、F2分别为各项评审因素的汇总得分</w:t>
            </w:r>
          </w:p>
        </w:tc>
      </w:tr>
      <w:tr w14:paraId="5DAA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4215F7AA">
            <w:pPr>
              <w:widowControl/>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评审细则（详见下表）</w:t>
            </w:r>
          </w:p>
        </w:tc>
      </w:tr>
      <w:tr w14:paraId="26FA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1C7DC592">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综合得分=F1+F2</w:t>
            </w:r>
          </w:p>
        </w:tc>
      </w:tr>
      <w:tr w14:paraId="2738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28E87A05">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kern w:val="0"/>
                <w:sz w:val="24"/>
                <w:szCs w:val="24"/>
                <w:highlight w:val="none"/>
              </w:rPr>
              <w:t>公式：F1</w:t>
            </w:r>
            <w:r>
              <w:rPr>
                <w:rFonts w:ascii="Times New Roman" w:hAnsi="Times New Roman" w:eastAsia="仿宋_GB2312"/>
                <w:color w:val="auto"/>
                <w:sz w:val="24"/>
                <w:szCs w:val="24"/>
                <w:highlight w:val="none"/>
              </w:rPr>
              <w:t>=（评标基准价／投标报价）×价格权值×100</w:t>
            </w:r>
          </w:p>
        </w:tc>
      </w:tr>
      <w:tr w14:paraId="6B8F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26A8C126">
            <w:pPr>
              <w:adjustRightInd w:val="0"/>
              <w:snapToGrid w:val="0"/>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F2=评标委员会各成员对商务标评分总和的算术平均值</w:t>
            </w:r>
          </w:p>
        </w:tc>
      </w:tr>
      <w:tr w14:paraId="7D70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382511AA">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推荐的中标候选人数量 </w:t>
            </w:r>
          </w:p>
        </w:tc>
        <w:tc>
          <w:tcPr>
            <w:tcW w:w="3485" w:type="pct"/>
            <w:gridSpan w:val="3"/>
            <w:tcBorders>
              <w:top w:val="single" w:color="000000" w:sz="6" w:space="0"/>
              <w:left w:val="single" w:color="auto" w:sz="4" w:space="0"/>
              <w:bottom w:val="single" w:color="000000" w:sz="6" w:space="0"/>
              <w:right w:val="single" w:color="000000" w:sz="6" w:space="0"/>
            </w:tcBorders>
            <w:vAlign w:val="center"/>
          </w:tcPr>
          <w:p w14:paraId="3F4E52A1">
            <w:pPr>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三名</w:t>
            </w:r>
          </w:p>
        </w:tc>
      </w:tr>
      <w:tr w14:paraId="2E3E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233A7AC1">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说明</w:t>
            </w:r>
          </w:p>
        </w:tc>
        <w:tc>
          <w:tcPr>
            <w:tcW w:w="3485" w:type="pct"/>
            <w:gridSpan w:val="3"/>
            <w:tcBorders>
              <w:top w:val="single" w:color="000000" w:sz="6" w:space="0"/>
              <w:left w:val="single" w:color="000000" w:sz="6" w:space="0"/>
              <w:bottom w:val="single" w:color="000000" w:sz="6" w:space="0"/>
              <w:right w:val="single" w:color="000000" w:sz="6" w:space="0"/>
            </w:tcBorders>
            <w:vAlign w:val="center"/>
          </w:tcPr>
          <w:p w14:paraId="087329D0">
            <w:pPr>
              <w:spacing w:line="360" w:lineRule="atLeas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1、价格权值：综合评分法中货物或服务项目的价格分值占总分值（100分）的比重。</w:t>
            </w:r>
          </w:p>
          <w:p w14:paraId="5B0F262C">
            <w:pPr>
              <w:spacing w:line="360" w:lineRule="atLeas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2、计算过程中，算术平均值保留2位小数（百分比亦取2位小数），第三位小数四舍五入。</w:t>
            </w:r>
          </w:p>
        </w:tc>
      </w:tr>
    </w:tbl>
    <w:p w14:paraId="3ED567EE">
      <w:pPr>
        <w:spacing w:line="360" w:lineRule="atLeast"/>
        <w:rPr>
          <w:rFonts w:ascii="Times New Roman" w:hAnsi="Times New Roman" w:eastAsia="仿宋_GB2312"/>
          <w:color w:val="auto"/>
          <w:sz w:val="24"/>
          <w:szCs w:val="24"/>
          <w:highlight w:val="none"/>
        </w:rPr>
      </w:pPr>
    </w:p>
    <w:tbl>
      <w:tblPr>
        <w:tblStyle w:val="29"/>
        <w:tblW w:w="5000" w:type="pct"/>
        <w:tblInd w:w="0" w:type="dxa"/>
        <w:tblLayout w:type="fixed"/>
        <w:tblCellMar>
          <w:top w:w="0" w:type="dxa"/>
          <w:left w:w="108" w:type="dxa"/>
          <w:bottom w:w="0" w:type="dxa"/>
          <w:right w:w="108" w:type="dxa"/>
        </w:tblCellMar>
      </w:tblPr>
      <w:tblGrid>
        <w:gridCol w:w="886"/>
        <w:gridCol w:w="643"/>
        <w:gridCol w:w="755"/>
        <w:gridCol w:w="6392"/>
        <w:gridCol w:w="632"/>
        <w:gridCol w:w="654"/>
      </w:tblGrid>
      <w:tr w14:paraId="392651F7">
        <w:tblPrEx>
          <w:tblCellMar>
            <w:top w:w="0" w:type="dxa"/>
            <w:left w:w="108" w:type="dxa"/>
            <w:bottom w:w="0" w:type="dxa"/>
            <w:right w:w="108" w:type="dxa"/>
          </w:tblCellMar>
        </w:tblPrEx>
        <w:trPr>
          <w:trHeight w:val="525"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B05AC5B">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b/>
                <w:bCs/>
                <w:color w:val="auto"/>
                <w:sz w:val="24"/>
                <w:szCs w:val="24"/>
                <w:highlight w:val="none"/>
              </w:rPr>
              <w:t>评审细则表</w:t>
            </w:r>
          </w:p>
        </w:tc>
      </w:tr>
      <w:tr w14:paraId="5171CCE2">
        <w:tblPrEx>
          <w:tblCellMar>
            <w:top w:w="0" w:type="dxa"/>
            <w:left w:w="108" w:type="dxa"/>
            <w:bottom w:w="0" w:type="dxa"/>
            <w:right w:w="108" w:type="dxa"/>
          </w:tblCellMar>
        </w:tblPrEx>
        <w:trPr>
          <w:trHeight w:val="480" w:hRule="atLeast"/>
        </w:trPr>
        <w:tc>
          <w:tcPr>
            <w:tcW w:w="767" w:type="pct"/>
            <w:gridSpan w:val="2"/>
            <w:tcBorders>
              <w:top w:val="single" w:color="auto" w:sz="4" w:space="0"/>
              <w:left w:val="single" w:color="auto" w:sz="4" w:space="0"/>
              <w:bottom w:val="single" w:color="auto" w:sz="4" w:space="0"/>
              <w:right w:val="single" w:color="auto" w:sz="4" w:space="0"/>
            </w:tcBorders>
            <w:vAlign w:val="center"/>
          </w:tcPr>
          <w:p w14:paraId="66D8F90E">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名称</w:t>
            </w:r>
          </w:p>
        </w:tc>
        <w:tc>
          <w:tcPr>
            <w:tcW w:w="3587" w:type="pct"/>
            <w:gridSpan w:val="2"/>
            <w:tcBorders>
              <w:top w:val="single" w:color="auto" w:sz="4" w:space="0"/>
              <w:left w:val="nil"/>
              <w:bottom w:val="single" w:color="auto" w:sz="4" w:space="0"/>
              <w:right w:val="single" w:color="auto" w:sz="4" w:space="0"/>
            </w:tcBorders>
            <w:vAlign w:val="center"/>
          </w:tcPr>
          <w:p w14:paraId="75664F71">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评审因素</w:t>
            </w:r>
          </w:p>
        </w:tc>
        <w:tc>
          <w:tcPr>
            <w:tcW w:w="645" w:type="pct"/>
            <w:gridSpan w:val="2"/>
            <w:tcBorders>
              <w:top w:val="single" w:color="auto" w:sz="4" w:space="0"/>
              <w:left w:val="nil"/>
              <w:bottom w:val="single" w:color="auto" w:sz="4" w:space="0"/>
              <w:right w:val="single" w:color="auto" w:sz="4" w:space="0"/>
            </w:tcBorders>
            <w:vAlign w:val="center"/>
          </w:tcPr>
          <w:p w14:paraId="50BFFEC7">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权值</w:t>
            </w:r>
          </w:p>
        </w:tc>
      </w:tr>
      <w:tr w14:paraId="5F757FEA">
        <w:tblPrEx>
          <w:tblCellMar>
            <w:top w:w="0" w:type="dxa"/>
            <w:left w:w="108" w:type="dxa"/>
            <w:bottom w:w="0" w:type="dxa"/>
            <w:right w:w="108" w:type="dxa"/>
          </w:tblCellMar>
        </w:tblPrEx>
        <w:trPr>
          <w:trHeight w:val="480" w:hRule="atLeast"/>
        </w:trPr>
        <w:tc>
          <w:tcPr>
            <w:tcW w:w="767" w:type="pct"/>
            <w:gridSpan w:val="2"/>
            <w:tcBorders>
              <w:top w:val="single" w:color="auto" w:sz="4" w:space="0"/>
              <w:left w:val="single" w:color="auto" w:sz="4" w:space="0"/>
              <w:bottom w:val="single" w:color="auto" w:sz="4" w:space="0"/>
              <w:right w:val="single" w:color="auto" w:sz="4" w:space="0"/>
            </w:tcBorders>
            <w:vAlign w:val="center"/>
          </w:tcPr>
          <w:p w14:paraId="1BBAC1A0">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F1经济部分</w:t>
            </w:r>
          </w:p>
        </w:tc>
        <w:tc>
          <w:tcPr>
            <w:tcW w:w="3587" w:type="pct"/>
            <w:gridSpan w:val="2"/>
            <w:tcBorders>
              <w:top w:val="single" w:color="auto" w:sz="4" w:space="0"/>
              <w:left w:val="nil"/>
              <w:bottom w:val="single" w:color="auto" w:sz="4" w:space="0"/>
              <w:right w:val="single" w:color="auto" w:sz="4" w:space="0"/>
            </w:tcBorders>
            <w:vAlign w:val="center"/>
          </w:tcPr>
          <w:p w14:paraId="797496CB">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报价</w:t>
            </w:r>
          </w:p>
        </w:tc>
        <w:tc>
          <w:tcPr>
            <w:tcW w:w="645" w:type="pct"/>
            <w:gridSpan w:val="2"/>
            <w:tcBorders>
              <w:top w:val="single" w:color="auto" w:sz="4" w:space="0"/>
              <w:left w:val="nil"/>
              <w:bottom w:val="single" w:color="auto" w:sz="4" w:space="0"/>
              <w:right w:val="single" w:color="auto" w:sz="4" w:space="0"/>
            </w:tcBorders>
            <w:vAlign w:val="center"/>
          </w:tcPr>
          <w:p w14:paraId="4D8AF942">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r>
              <w:rPr>
                <w:rFonts w:ascii="Times New Roman" w:hAnsi="Times New Roman" w:eastAsia="仿宋_GB2312"/>
                <w:color w:val="auto"/>
                <w:kern w:val="0"/>
                <w:sz w:val="24"/>
                <w:szCs w:val="24"/>
                <w:highlight w:val="none"/>
              </w:rPr>
              <w:t>.00%</w:t>
            </w:r>
          </w:p>
        </w:tc>
      </w:tr>
      <w:tr w14:paraId="5C367511">
        <w:tblPrEx>
          <w:tblCellMar>
            <w:top w:w="0" w:type="dxa"/>
            <w:left w:w="108" w:type="dxa"/>
            <w:bottom w:w="0" w:type="dxa"/>
            <w:right w:w="108" w:type="dxa"/>
          </w:tblCellMar>
        </w:tblPrEx>
        <w:trPr>
          <w:trHeight w:val="480" w:hRule="atLeast"/>
        </w:trPr>
        <w:tc>
          <w:tcPr>
            <w:tcW w:w="767" w:type="pct"/>
            <w:gridSpan w:val="2"/>
            <w:tcBorders>
              <w:top w:val="single" w:color="auto" w:sz="4" w:space="0"/>
              <w:left w:val="single" w:color="auto" w:sz="4" w:space="0"/>
              <w:bottom w:val="single" w:color="auto" w:sz="4" w:space="0"/>
              <w:right w:val="single" w:color="auto" w:sz="4" w:space="0"/>
            </w:tcBorders>
            <w:vAlign w:val="center"/>
          </w:tcPr>
          <w:p w14:paraId="2B370B44">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F2商务技术部分</w:t>
            </w:r>
          </w:p>
        </w:tc>
        <w:tc>
          <w:tcPr>
            <w:tcW w:w="3587" w:type="pct"/>
            <w:gridSpan w:val="2"/>
            <w:tcBorders>
              <w:top w:val="single" w:color="auto" w:sz="4" w:space="0"/>
              <w:left w:val="nil"/>
              <w:bottom w:val="single" w:color="auto" w:sz="4" w:space="0"/>
              <w:right w:val="single" w:color="auto" w:sz="4" w:space="0"/>
            </w:tcBorders>
            <w:vAlign w:val="center"/>
          </w:tcPr>
          <w:p w14:paraId="0CAA5CEB">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商务技术要求</w:t>
            </w:r>
          </w:p>
        </w:tc>
        <w:tc>
          <w:tcPr>
            <w:tcW w:w="645" w:type="pct"/>
            <w:gridSpan w:val="2"/>
            <w:tcBorders>
              <w:top w:val="single" w:color="auto" w:sz="4" w:space="0"/>
              <w:left w:val="nil"/>
              <w:bottom w:val="single" w:color="auto" w:sz="4" w:space="0"/>
              <w:right w:val="single" w:color="auto" w:sz="4" w:space="0"/>
            </w:tcBorders>
            <w:vAlign w:val="center"/>
          </w:tcPr>
          <w:p w14:paraId="27D3271B">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7</w:t>
            </w:r>
            <w:r>
              <w:rPr>
                <w:rFonts w:ascii="Times New Roman" w:hAnsi="Times New Roman" w:eastAsia="仿宋_GB2312"/>
                <w:color w:val="auto"/>
                <w:kern w:val="0"/>
                <w:sz w:val="24"/>
                <w:szCs w:val="24"/>
                <w:highlight w:val="none"/>
              </w:rPr>
              <w:t>0.00%</w:t>
            </w:r>
          </w:p>
        </w:tc>
      </w:tr>
      <w:tr w14:paraId="49247F2E">
        <w:tblPrEx>
          <w:tblCellMar>
            <w:top w:w="0" w:type="dxa"/>
            <w:left w:w="108" w:type="dxa"/>
            <w:bottom w:w="0" w:type="dxa"/>
            <w:right w:w="108" w:type="dxa"/>
          </w:tblCellMar>
        </w:tblPrEx>
        <w:trPr>
          <w:trHeight w:val="4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5145D28">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F1、F2分别为各项评审因素的汇总得分</w:t>
            </w:r>
          </w:p>
        </w:tc>
      </w:tr>
      <w:tr w14:paraId="41C87C0F">
        <w:tblPrEx>
          <w:tblCellMar>
            <w:top w:w="0" w:type="dxa"/>
            <w:left w:w="108" w:type="dxa"/>
            <w:bottom w:w="0" w:type="dxa"/>
            <w:right w:w="108" w:type="dxa"/>
          </w:tblCellMar>
        </w:tblPrEx>
        <w:trPr>
          <w:trHeight w:val="702" w:hRule="atLeast"/>
        </w:trPr>
        <w:tc>
          <w:tcPr>
            <w:tcW w:w="444" w:type="pct"/>
            <w:tcBorders>
              <w:top w:val="nil"/>
              <w:left w:val="single" w:color="auto" w:sz="4" w:space="0"/>
              <w:bottom w:val="single" w:color="auto" w:sz="4" w:space="0"/>
              <w:right w:val="single" w:color="auto" w:sz="4" w:space="0"/>
            </w:tcBorders>
            <w:vAlign w:val="center"/>
          </w:tcPr>
          <w:p w14:paraId="7E5EA8A7">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评审因素</w:t>
            </w:r>
          </w:p>
        </w:tc>
        <w:tc>
          <w:tcPr>
            <w:tcW w:w="322" w:type="pct"/>
            <w:tcBorders>
              <w:top w:val="nil"/>
              <w:left w:val="nil"/>
              <w:bottom w:val="single" w:color="auto" w:sz="4" w:space="0"/>
              <w:right w:val="single" w:color="auto" w:sz="4" w:space="0"/>
            </w:tcBorders>
            <w:vAlign w:val="center"/>
          </w:tcPr>
          <w:p w14:paraId="1CFAA21A">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序号</w:t>
            </w:r>
          </w:p>
        </w:tc>
        <w:tc>
          <w:tcPr>
            <w:tcW w:w="378" w:type="pct"/>
            <w:tcBorders>
              <w:top w:val="nil"/>
              <w:left w:val="nil"/>
              <w:bottom w:val="single" w:color="auto" w:sz="4" w:space="0"/>
              <w:right w:val="single" w:color="auto" w:sz="4" w:space="0"/>
            </w:tcBorders>
            <w:vAlign w:val="center"/>
          </w:tcPr>
          <w:p w14:paraId="19C498EA">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评审点名称</w:t>
            </w:r>
          </w:p>
        </w:tc>
        <w:tc>
          <w:tcPr>
            <w:tcW w:w="3208" w:type="pct"/>
            <w:tcBorders>
              <w:top w:val="nil"/>
              <w:left w:val="nil"/>
              <w:bottom w:val="single" w:color="auto" w:sz="4" w:space="0"/>
              <w:right w:val="single" w:color="auto" w:sz="4" w:space="0"/>
            </w:tcBorders>
            <w:vAlign w:val="center"/>
          </w:tcPr>
          <w:p w14:paraId="4679DB13">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评审标准</w:t>
            </w:r>
          </w:p>
        </w:tc>
        <w:tc>
          <w:tcPr>
            <w:tcW w:w="317" w:type="pct"/>
            <w:tcBorders>
              <w:top w:val="nil"/>
              <w:left w:val="nil"/>
              <w:bottom w:val="single" w:color="auto" w:sz="4" w:space="0"/>
              <w:right w:val="single" w:color="auto" w:sz="4" w:space="0"/>
            </w:tcBorders>
            <w:vAlign w:val="center"/>
          </w:tcPr>
          <w:p w14:paraId="7409FFE7">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分值</w:t>
            </w:r>
          </w:p>
        </w:tc>
        <w:tc>
          <w:tcPr>
            <w:tcW w:w="328" w:type="pct"/>
            <w:tcBorders>
              <w:top w:val="nil"/>
              <w:left w:val="nil"/>
              <w:bottom w:val="single" w:color="auto" w:sz="4" w:space="0"/>
              <w:right w:val="single" w:color="auto" w:sz="4" w:space="0"/>
            </w:tcBorders>
            <w:vAlign w:val="center"/>
          </w:tcPr>
          <w:p w14:paraId="641F95C0">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权值</w:t>
            </w:r>
          </w:p>
        </w:tc>
      </w:tr>
      <w:tr w14:paraId="1916AC55">
        <w:tblPrEx>
          <w:tblCellMar>
            <w:top w:w="0" w:type="dxa"/>
            <w:left w:w="108" w:type="dxa"/>
            <w:bottom w:w="0" w:type="dxa"/>
            <w:right w:w="108" w:type="dxa"/>
          </w:tblCellMar>
        </w:tblPrEx>
        <w:trPr>
          <w:trHeight w:val="1482" w:hRule="atLeast"/>
        </w:trPr>
        <w:tc>
          <w:tcPr>
            <w:tcW w:w="444" w:type="pct"/>
            <w:vMerge w:val="restart"/>
            <w:tcBorders>
              <w:top w:val="nil"/>
              <w:left w:val="single" w:color="auto" w:sz="4" w:space="0"/>
              <w:bottom w:val="single" w:color="auto" w:sz="4" w:space="0"/>
              <w:right w:val="single" w:color="auto" w:sz="4" w:space="0"/>
            </w:tcBorders>
            <w:vAlign w:val="center"/>
          </w:tcPr>
          <w:p w14:paraId="14F46EB4">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经济部分</w:t>
            </w:r>
          </w:p>
        </w:tc>
        <w:tc>
          <w:tcPr>
            <w:tcW w:w="322" w:type="pct"/>
            <w:vMerge w:val="restart"/>
            <w:tcBorders>
              <w:top w:val="nil"/>
              <w:left w:val="single" w:color="auto" w:sz="4" w:space="0"/>
              <w:bottom w:val="single" w:color="auto" w:sz="4" w:space="0"/>
              <w:right w:val="single" w:color="auto" w:sz="4" w:space="0"/>
            </w:tcBorders>
            <w:vAlign w:val="center"/>
          </w:tcPr>
          <w:p w14:paraId="7CC66A92">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1</w:t>
            </w:r>
          </w:p>
        </w:tc>
        <w:tc>
          <w:tcPr>
            <w:tcW w:w="378" w:type="pct"/>
            <w:vMerge w:val="restart"/>
            <w:tcBorders>
              <w:top w:val="nil"/>
              <w:left w:val="single" w:color="auto" w:sz="4" w:space="0"/>
              <w:bottom w:val="single" w:color="auto" w:sz="4" w:space="0"/>
              <w:right w:val="single" w:color="auto" w:sz="4" w:space="0"/>
            </w:tcBorders>
            <w:vAlign w:val="center"/>
          </w:tcPr>
          <w:p w14:paraId="57362891">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价格评审</w:t>
            </w:r>
          </w:p>
        </w:tc>
        <w:tc>
          <w:tcPr>
            <w:tcW w:w="3208" w:type="pct"/>
            <w:tcBorders>
              <w:top w:val="nil"/>
              <w:left w:val="nil"/>
              <w:bottom w:val="single" w:color="auto" w:sz="4" w:space="0"/>
              <w:right w:val="single" w:color="auto" w:sz="4" w:space="0"/>
            </w:tcBorders>
            <w:vAlign w:val="center"/>
          </w:tcPr>
          <w:p w14:paraId="61473B8C">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经济部分采用低价优先法计算，即满足招标文件要求且</w:t>
            </w: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价格最低的报价为评审基准价，其经济得分为满分，其他有效</w:t>
            </w:r>
            <w:r>
              <w:rPr>
                <w:rFonts w:ascii="Times New Roman" w:hAnsi="Times New Roman" w:eastAsia="仿宋_GB2312"/>
                <w:color w:val="auto"/>
                <w:sz w:val="24"/>
                <w:szCs w:val="24"/>
                <w:highlight w:val="none"/>
              </w:rPr>
              <w:t>投标人</w:t>
            </w:r>
            <w:r>
              <w:rPr>
                <w:rFonts w:ascii="Times New Roman" w:hAnsi="Times New Roman" w:eastAsia="仿宋_GB2312"/>
                <w:color w:val="auto"/>
                <w:kern w:val="0"/>
                <w:sz w:val="24"/>
                <w:szCs w:val="24"/>
                <w:highlight w:val="none"/>
              </w:rPr>
              <w:t>的经济得分统一按照下列公式计算：</w:t>
            </w:r>
          </w:p>
        </w:tc>
        <w:tc>
          <w:tcPr>
            <w:tcW w:w="317" w:type="pct"/>
            <w:vMerge w:val="restart"/>
            <w:tcBorders>
              <w:top w:val="nil"/>
              <w:left w:val="single" w:color="auto" w:sz="4" w:space="0"/>
              <w:bottom w:val="single" w:color="auto" w:sz="4" w:space="0"/>
              <w:right w:val="single" w:color="auto" w:sz="4" w:space="0"/>
            </w:tcBorders>
            <w:vAlign w:val="center"/>
          </w:tcPr>
          <w:p w14:paraId="0E40AA45">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p>
        </w:tc>
        <w:tc>
          <w:tcPr>
            <w:tcW w:w="328" w:type="pct"/>
            <w:vMerge w:val="restart"/>
            <w:tcBorders>
              <w:top w:val="nil"/>
              <w:left w:val="single" w:color="auto" w:sz="4" w:space="0"/>
              <w:bottom w:val="single" w:color="auto" w:sz="4" w:space="0"/>
              <w:right w:val="single" w:color="auto" w:sz="4" w:space="0"/>
            </w:tcBorders>
            <w:vAlign w:val="center"/>
          </w:tcPr>
          <w:p w14:paraId="5871E90A">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r>
              <w:rPr>
                <w:rFonts w:ascii="Times New Roman" w:hAnsi="Times New Roman" w:eastAsia="仿宋_GB2312"/>
                <w:color w:val="auto"/>
                <w:kern w:val="0"/>
                <w:sz w:val="24"/>
                <w:szCs w:val="24"/>
                <w:highlight w:val="none"/>
              </w:rPr>
              <w:t>.00%</w:t>
            </w:r>
          </w:p>
        </w:tc>
      </w:tr>
      <w:tr w14:paraId="69F81A36">
        <w:tblPrEx>
          <w:tblCellMar>
            <w:top w:w="0" w:type="dxa"/>
            <w:left w:w="108" w:type="dxa"/>
            <w:bottom w:w="0" w:type="dxa"/>
            <w:right w:w="108" w:type="dxa"/>
          </w:tblCellMar>
        </w:tblPrEx>
        <w:trPr>
          <w:trHeight w:val="799" w:hRule="atLeast"/>
        </w:trPr>
        <w:tc>
          <w:tcPr>
            <w:tcW w:w="444" w:type="pct"/>
            <w:vMerge w:val="continue"/>
            <w:tcBorders>
              <w:top w:val="nil"/>
              <w:left w:val="single" w:color="auto" w:sz="4" w:space="0"/>
              <w:bottom w:val="single" w:color="auto" w:sz="4" w:space="0"/>
              <w:right w:val="single" w:color="auto" w:sz="4" w:space="0"/>
            </w:tcBorders>
            <w:vAlign w:val="center"/>
          </w:tcPr>
          <w:p w14:paraId="7613343B">
            <w:pPr>
              <w:widowControl/>
              <w:jc w:val="left"/>
              <w:rPr>
                <w:rFonts w:ascii="Times New Roman" w:hAnsi="Times New Roman" w:eastAsia="仿宋_GB2312"/>
                <w:color w:val="auto"/>
                <w:kern w:val="0"/>
                <w:sz w:val="24"/>
                <w:szCs w:val="24"/>
                <w:highlight w:val="none"/>
              </w:rPr>
            </w:pPr>
          </w:p>
        </w:tc>
        <w:tc>
          <w:tcPr>
            <w:tcW w:w="322" w:type="pct"/>
            <w:vMerge w:val="continue"/>
            <w:tcBorders>
              <w:top w:val="nil"/>
              <w:left w:val="single" w:color="auto" w:sz="4" w:space="0"/>
              <w:bottom w:val="single" w:color="auto" w:sz="4" w:space="0"/>
              <w:right w:val="single" w:color="auto" w:sz="4" w:space="0"/>
            </w:tcBorders>
            <w:vAlign w:val="center"/>
          </w:tcPr>
          <w:p w14:paraId="3B1984FA">
            <w:pPr>
              <w:widowControl/>
              <w:jc w:val="left"/>
              <w:rPr>
                <w:rFonts w:ascii="Times New Roman" w:hAnsi="Times New Roman" w:eastAsia="仿宋_GB2312"/>
                <w:color w:val="auto"/>
                <w:kern w:val="0"/>
                <w:sz w:val="24"/>
                <w:szCs w:val="24"/>
                <w:highlight w:val="none"/>
              </w:rPr>
            </w:pPr>
          </w:p>
        </w:tc>
        <w:tc>
          <w:tcPr>
            <w:tcW w:w="378" w:type="pct"/>
            <w:vMerge w:val="continue"/>
            <w:tcBorders>
              <w:top w:val="nil"/>
              <w:left w:val="single" w:color="auto" w:sz="4" w:space="0"/>
              <w:bottom w:val="single" w:color="auto" w:sz="4" w:space="0"/>
              <w:right w:val="single" w:color="auto" w:sz="4" w:space="0"/>
            </w:tcBorders>
            <w:vAlign w:val="center"/>
          </w:tcPr>
          <w:p w14:paraId="2E499272">
            <w:pPr>
              <w:widowControl/>
              <w:jc w:val="left"/>
              <w:rPr>
                <w:rFonts w:ascii="Times New Roman" w:hAnsi="Times New Roman" w:eastAsia="仿宋_GB2312"/>
                <w:color w:val="auto"/>
                <w:kern w:val="0"/>
                <w:sz w:val="24"/>
                <w:szCs w:val="24"/>
                <w:highlight w:val="none"/>
              </w:rPr>
            </w:pPr>
          </w:p>
        </w:tc>
        <w:tc>
          <w:tcPr>
            <w:tcW w:w="3208" w:type="pct"/>
            <w:tcBorders>
              <w:top w:val="nil"/>
              <w:left w:val="nil"/>
              <w:bottom w:val="single" w:color="auto" w:sz="4" w:space="0"/>
              <w:right w:val="single" w:color="auto" w:sz="4" w:space="0"/>
            </w:tcBorders>
            <w:vAlign w:val="center"/>
          </w:tcPr>
          <w:p w14:paraId="4994F48F">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经济得分=（评审基准价／</w:t>
            </w: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报价）× 价格权值×100</w:t>
            </w:r>
          </w:p>
        </w:tc>
        <w:tc>
          <w:tcPr>
            <w:tcW w:w="317" w:type="pct"/>
            <w:vMerge w:val="continue"/>
            <w:tcBorders>
              <w:top w:val="nil"/>
              <w:left w:val="single" w:color="auto" w:sz="4" w:space="0"/>
              <w:bottom w:val="single" w:color="auto" w:sz="4" w:space="0"/>
              <w:right w:val="single" w:color="auto" w:sz="4" w:space="0"/>
            </w:tcBorders>
            <w:vAlign w:val="center"/>
          </w:tcPr>
          <w:p w14:paraId="5787BDF9">
            <w:pPr>
              <w:widowControl/>
              <w:jc w:val="left"/>
              <w:rPr>
                <w:rFonts w:ascii="Times New Roman" w:hAnsi="Times New Roman" w:eastAsia="仿宋_GB2312"/>
                <w:color w:val="auto"/>
                <w:kern w:val="0"/>
                <w:sz w:val="24"/>
                <w:szCs w:val="24"/>
                <w:highlight w:val="none"/>
              </w:rPr>
            </w:pPr>
          </w:p>
        </w:tc>
        <w:tc>
          <w:tcPr>
            <w:tcW w:w="328" w:type="pct"/>
            <w:vMerge w:val="continue"/>
            <w:tcBorders>
              <w:top w:val="nil"/>
              <w:left w:val="single" w:color="auto" w:sz="4" w:space="0"/>
              <w:bottom w:val="single" w:color="auto" w:sz="4" w:space="0"/>
              <w:right w:val="single" w:color="auto" w:sz="4" w:space="0"/>
            </w:tcBorders>
            <w:vAlign w:val="center"/>
          </w:tcPr>
          <w:p w14:paraId="7F350A79">
            <w:pPr>
              <w:widowControl/>
              <w:jc w:val="left"/>
              <w:rPr>
                <w:rFonts w:ascii="Times New Roman" w:hAnsi="Times New Roman" w:eastAsia="仿宋_GB2312"/>
                <w:color w:val="auto"/>
                <w:kern w:val="0"/>
                <w:sz w:val="24"/>
                <w:szCs w:val="24"/>
                <w:highlight w:val="none"/>
              </w:rPr>
            </w:pPr>
          </w:p>
        </w:tc>
      </w:tr>
      <w:tr w14:paraId="52D030FE">
        <w:tblPrEx>
          <w:tblCellMar>
            <w:top w:w="0" w:type="dxa"/>
            <w:left w:w="108" w:type="dxa"/>
            <w:bottom w:w="0" w:type="dxa"/>
            <w:right w:w="108" w:type="dxa"/>
          </w:tblCellMar>
        </w:tblPrEx>
        <w:trPr>
          <w:trHeight w:val="799" w:hRule="atLeast"/>
        </w:trPr>
        <w:tc>
          <w:tcPr>
            <w:tcW w:w="444" w:type="pct"/>
            <w:vMerge w:val="continue"/>
            <w:tcBorders>
              <w:top w:val="nil"/>
              <w:left w:val="single" w:color="auto" w:sz="4" w:space="0"/>
              <w:bottom w:val="single" w:color="auto" w:sz="4" w:space="0"/>
              <w:right w:val="single" w:color="auto" w:sz="4" w:space="0"/>
            </w:tcBorders>
            <w:vAlign w:val="center"/>
          </w:tcPr>
          <w:p w14:paraId="0D56961C">
            <w:pPr>
              <w:widowControl/>
              <w:jc w:val="left"/>
              <w:rPr>
                <w:rFonts w:ascii="Times New Roman" w:hAnsi="Times New Roman" w:eastAsia="仿宋_GB2312"/>
                <w:color w:val="auto"/>
                <w:kern w:val="0"/>
                <w:sz w:val="24"/>
                <w:szCs w:val="24"/>
                <w:highlight w:val="none"/>
              </w:rPr>
            </w:pPr>
          </w:p>
        </w:tc>
        <w:tc>
          <w:tcPr>
            <w:tcW w:w="322" w:type="pct"/>
            <w:vMerge w:val="continue"/>
            <w:tcBorders>
              <w:top w:val="nil"/>
              <w:left w:val="single" w:color="auto" w:sz="4" w:space="0"/>
              <w:bottom w:val="single" w:color="auto" w:sz="4" w:space="0"/>
              <w:right w:val="single" w:color="auto" w:sz="4" w:space="0"/>
            </w:tcBorders>
            <w:vAlign w:val="center"/>
          </w:tcPr>
          <w:p w14:paraId="7BFDA282">
            <w:pPr>
              <w:widowControl/>
              <w:jc w:val="left"/>
              <w:rPr>
                <w:rFonts w:ascii="Times New Roman" w:hAnsi="Times New Roman" w:eastAsia="仿宋_GB2312"/>
                <w:color w:val="auto"/>
                <w:kern w:val="0"/>
                <w:sz w:val="24"/>
                <w:szCs w:val="24"/>
                <w:highlight w:val="none"/>
              </w:rPr>
            </w:pPr>
          </w:p>
        </w:tc>
        <w:tc>
          <w:tcPr>
            <w:tcW w:w="378" w:type="pct"/>
            <w:vMerge w:val="continue"/>
            <w:tcBorders>
              <w:top w:val="nil"/>
              <w:left w:val="single" w:color="auto" w:sz="4" w:space="0"/>
              <w:bottom w:val="single" w:color="auto" w:sz="4" w:space="0"/>
              <w:right w:val="single" w:color="auto" w:sz="4" w:space="0"/>
            </w:tcBorders>
            <w:vAlign w:val="center"/>
          </w:tcPr>
          <w:p w14:paraId="1BC9D6DF">
            <w:pPr>
              <w:widowControl/>
              <w:jc w:val="left"/>
              <w:rPr>
                <w:rFonts w:ascii="Times New Roman" w:hAnsi="Times New Roman" w:eastAsia="仿宋_GB2312"/>
                <w:color w:val="auto"/>
                <w:kern w:val="0"/>
                <w:sz w:val="24"/>
                <w:szCs w:val="24"/>
                <w:highlight w:val="none"/>
              </w:rPr>
            </w:pPr>
          </w:p>
        </w:tc>
        <w:tc>
          <w:tcPr>
            <w:tcW w:w="3208" w:type="pct"/>
            <w:tcBorders>
              <w:top w:val="nil"/>
              <w:left w:val="nil"/>
              <w:bottom w:val="single" w:color="auto" w:sz="4" w:space="0"/>
              <w:right w:val="single" w:color="auto" w:sz="4" w:space="0"/>
            </w:tcBorders>
            <w:vAlign w:val="center"/>
          </w:tcPr>
          <w:p w14:paraId="6AA6389D">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评审过程中，不得去掉报价中的最高报价和最低报价。</w:t>
            </w:r>
          </w:p>
        </w:tc>
        <w:tc>
          <w:tcPr>
            <w:tcW w:w="317" w:type="pct"/>
            <w:vMerge w:val="continue"/>
            <w:tcBorders>
              <w:top w:val="nil"/>
              <w:left w:val="single" w:color="auto" w:sz="4" w:space="0"/>
              <w:bottom w:val="single" w:color="auto" w:sz="4" w:space="0"/>
              <w:right w:val="single" w:color="auto" w:sz="4" w:space="0"/>
            </w:tcBorders>
            <w:vAlign w:val="center"/>
          </w:tcPr>
          <w:p w14:paraId="6FA369BE">
            <w:pPr>
              <w:widowControl/>
              <w:jc w:val="left"/>
              <w:rPr>
                <w:rFonts w:ascii="Times New Roman" w:hAnsi="Times New Roman" w:eastAsia="仿宋_GB2312"/>
                <w:color w:val="auto"/>
                <w:kern w:val="0"/>
                <w:sz w:val="24"/>
                <w:szCs w:val="24"/>
                <w:highlight w:val="none"/>
              </w:rPr>
            </w:pPr>
          </w:p>
        </w:tc>
        <w:tc>
          <w:tcPr>
            <w:tcW w:w="328" w:type="pct"/>
            <w:vMerge w:val="continue"/>
            <w:tcBorders>
              <w:top w:val="nil"/>
              <w:left w:val="single" w:color="auto" w:sz="4" w:space="0"/>
              <w:bottom w:val="single" w:color="auto" w:sz="4" w:space="0"/>
              <w:right w:val="single" w:color="auto" w:sz="4" w:space="0"/>
            </w:tcBorders>
            <w:vAlign w:val="center"/>
          </w:tcPr>
          <w:p w14:paraId="742F9246">
            <w:pPr>
              <w:widowControl/>
              <w:jc w:val="left"/>
              <w:rPr>
                <w:rFonts w:ascii="Times New Roman" w:hAnsi="Times New Roman" w:eastAsia="仿宋_GB2312"/>
                <w:color w:val="auto"/>
                <w:kern w:val="0"/>
                <w:sz w:val="24"/>
                <w:szCs w:val="24"/>
                <w:highlight w:val="none"/>
              </w:rPr>
            </w:pPr>
          </w:p>
        </w:tc>
      </w:tr>
      <w:tr w14:paraId="5CE88DAE">
        <w:tblPrEx>
          <w:tblCellMar>
            <w:top w:w="0" w:type="dxa"/>
            <w:left w:w="108" w:type="dxa"/>
            <w:bottom w:w="0" w:type="dxa"/>
            <w:right w:w="108" w:type="dxa"/>
          </w:tblCellMar>
        </w:tblPrEx>
        <w:trPr>
          <w:trHeight w:val="2178" w:hRule="atLeast"/>
        </w:trPr>
        <w:tc>
          <w:tcPr>
            <w:tcW w:w="444" w:type="pct"/>
            <w:vMerge w:val="restart"/>
            <w:tcBorders>
              <w:top w:val="single" w:color="auto" w:sz="4" w:space="0"/>
              <w:left w:val="single" w:color="auto" w:sz="4" w:space="0"/>
              <w:right w:val="single" w:color="auto" w:sz="4" w:space="0"/>
            </w:tcBorders>
            <w:vAlign w:val="center"/>
          </w:tcPr>
          <w:p w14:paraId="4F8A9EA8">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商务技术部分</w:t>
            </w:r>
          </w:p>
        </w:tc>
        <w:tc>
          <w:tcPr>
            <w:tcW w:w="322" w:type="pct"/>
            <w:tcBorders>
              <w:top w:val="single" w:color="auto" w:sz="4" w:space="0"/>
              <w:left w:val="single" w:color="auto" w:sz="4" w:space="0"/>
              <w:bottom w:val="single" w:color="auto" w:sz="4" w:space="0"/>
              <w:right w:val="single" w:color="auto" w:sz="4" w:space="0"/>
            </w:tcBorders>
            <w:vAlign w:val="center"/>
          </w:tcPr>
          <w:p w14:paraId="210A329F">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1</w:t>
            </w:r>
          </w:p>
        </w:tc>
        <w:tc>
          <w:tcPr>
            <w:tcW w:w="378" w:type="pct"/>
            <w:tcBorders>
              <w:top w:val="single" w:color="auto" w:sz="4" w:space="0"/>
              <w:left w:val="single" w:color="auto" w:sz="4" w:space="0"/>
              <w:bottom w:val="single" w:color="auto" w:sz="4" w:space="0"/>
              <w:right w:val="single" w:color="auto" w:sz="4" w:space="0"/>
            </w:tcBorders>
            <w:vAlign w:val="center"/>
          </w:tcPr>
          <w:p w14:paraId="125B4EC0">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类似业绩</w:t>
            </w:r>
          </w:p>
        </w:tc>
        <w:tc>
          <w:tcPr>
            <w:tcW w:w="3208" w:type="pct"/>
            <w:tcBorders>
              <w:top w:val="single" w:color="auto" w:sz="4" w:space="0"/>
              <w:left w:val="single" w:color="auto" w:sz="4" w:space="0"/>
              <w:bottom w:val="single" w:color="auto" w:sz="4" w:space="0"/>
              <w:right w:val="single" w:color="auto" w:sz="4" w:space="0"/>
            </w:tcBorders>
            <w:vAlign w:val="center"/>
          </w:tcPr>
          <w:p w14:paraId="293ACADA">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szCs w:val="24"/>
                <w:highlight w:val="none"/>
              </w:rPr>
              <w:t>投标人在投标文件中提供202</w:t>
            </w:r>
            <w:r>
              <w:rPr>
                <w:rFonts w:hint="eastAsia" w:ascii="Times New Roman" w:hAnsi="Times New Roman" w:eastAsia="仿宋_GB2312"/>
                <w:color w:val="auto"/>
                <w:kern w:val="0"/>
                <w:sz w:val="24"/>
                <w:szCs w:val="24"/>
                <w:highlight w:val="none"/>
              </w:rPr>
              <w:t>3</w:t>
            </w:r>
            <w:r>
              <w:rPr>
                <w:rFonts w:ascii="Times New Roman" w:hAnsi="Times New Roman" w:eastAsia="仿宋_GB2312"/>
                <w:color w:val="auto"/>
                <w:kern w:val="0"/>
                <w:sz w:val="24"/>
                <w:szCs w:val="24"/>
                <w:highlight w:val="none"/>
              </w:rPr>
              <w:t>年</w:t>
            </w:r>
            <w:r>
              <w:rPr>
                <w:rFonts w:hint="eastAsia"/>
                <w:highlight w:val="none"/>
                <w:lang w:val="en-US" w:eastAsia="zh-CN"/>
              </w:rPr>
              <w:t>1月1日</w:t>
            </w:r>
            <w:r>
              <w:rPr>
                <w:rFonts w:ascii="Times New Roman" w:hAnsi="Times New Roman" w:eastAsia="仿宋_GB2312"/>
                <w:color w:val="auto"/>
                <w:kern w:val="0"/>
                <w:sz w:val="24"/>
                <w:szCs w:val="24"/>
                <w:highlight w:val="none"/>
              </w:rPr>
              <w:t>（以合同签订时间为准）以来</w:t>
            </w:r>
            <w:r>
              <w:rPr>
                <w:rFonts w:hint="eastAsia" w:ascii="Times New Roman" w:hAnsi="Times New Roman" w:eastAsia="仿宋_GB2312"/>
                <w:color w:val="auto"/>
                <w:kern w:val="0"/>
                <w:sz w:val="24"/>
                <w:szCs w:val="24"/>
                <w:highlight w:val="none"/>
                <w:lang w:eastAsia="zh-CN"/>
              </w:rPr>
              <w:t>，结合本项目的具体特点和实际需要的类似业绩</w:t>
            </w:r>
            <w:r>
              <w:rPr>
                <w:rFonts w:ascii="Times New Roman" w:hAnsi="Times New Roman" w:eastAsia="仿宋_GB2312"/>
                <w:color w:val="auto"/>
                <w:kern w:val="0"/>
                <w:sz w:val="24"/>
                <w:szCs w:val="24"/>
                <w:highlight w:val="none"/>
              </w:rPr>
              <w:t>，每</w:t>
            </w:r>
            <w:r>
              <w:rPr>
                <w:rFonts w:hint="eastAsia" w:ascii="Times New Roman" w:hAnsi="Times New Roman" w:eastAsia="仿宋_GB2312"/>
                <w:color w:val="auto"/>
                <w:kern w:val="0"/>
                <w:sz w:val="24"/>
                <w:szCs w:val="24"/>
                <w:highlight w:val="none"/>
              </w:rPr>
              <w:t>提供</w:t>
            </w:r>
            <w:r>
              <w:rPr>
                <w:rFonts w:ascii="Times New Roman" w:hAnsi="Times New Roman" w:eastAsia="仿宋_GB2312"/>
                <w:color w:val="auto"/>
                <w:kern w:val="0"/>
                <w:sz w:val="24"/>
                <w:szCs w:val="24"/>
                <w:highlight w:val="none"/>
              </w:rPr>
              <w:t>一份有效</w:t>
            </w:r>
            <w:r>
              <w:rPr>
                <w:rFonts w:hint="eastAsia" w:ascii="Times New Roman" w:hAnsi="Times New Roman" w:eastAsia="仿宋_GB2312"/>
                <w:color w:val="auto"/>
                <w:kern w:val="0"/>
                <w:sz w:val="24"/>
                <w:szCs w:val="24"/>
                <w:highlight w:val="none"/>
              </w:rPr>
              <w:t>案例</w:t>
            </w:r>
            <w:r>
              <w:rPr>
                <w:rFonts w:ascii="Times New Roman" w:hAnsi="Times New Roman" w:eastAsia="仿宋_GB2312"/>
                <w:color w:val="auto"/>
                <w:kern w:val="0"/>
                <w:sz w:val="24"/>
                <w:szCs w:val="24"/>
                <w:highlight w:val="none"/>
              </w:rPr>
              <w:t>得</w:t>
            </w:r>
            <w:r>
              <w:rPr>
                <w:rFonts w:hint="eastAsia" w:ascii="Times New Roman" w:hAnsi="Times New Roman" w:eastAsia="仿宋_GB2312"/>
                <w:color w:val="auto"/>
                <w:kern w:val="0"/>
                <w:sz w:val="24"/>
                <w:highlight w:val="none"/>
              </w:rPr>
              <w:t>2</w:t>
            </w:r>
            <w:r>
              <w:rPr>
                <w:rFonts w:ascii="Times New Roman" w:hAnsi="Times New Roman" w:eastAsia="仿宋_GB2312"/>
                <w:color w:val="auto"/>
                <w:kern w:val="0"/>
                <w:sz w:val="24"/>
                <w:szCs w:val="24"/>
                <w:highlight w:val="none"/>
              </w:rPr>
              <w:t>分，此项满分</w:t>
            </w:r>
            <w:r>
              <w:rPr>
                <w:rFonts w:hint="eastAsia" w:ascii="Times New Roman" w:hAnsi="Times New Roman" w:eastAsia="仿宋_GB2312"/>
                <w:color w:val="auto"/>
                <w:kern w:val="0"/>
                <w:sz w:val="24"/>
                <w:highlight w:val="none"/>
              </w:rPr>
              <w:t>6</w:t>
            </w:r>
            <w:r>
              <w:rPr>
                <w:rFonts w:ascii="Times New Roman" w:hAnsi="Times New Roman" w:eastAsia="仿宋_GB2312"/>
                <w:color w:val="auto"/>
                <w:kern w:val="0"/>
                <w:sz w:val="24"/>
                <w:szCs w:val="24"/>
                <w:highlight w:val="none"/>
              </w:rPr>
              <w:t>分，</w:t>
            </w:r>
            <w:r>
              <w:rPr>
                <w:rFonts w:hint="eastAsia" w:ascii="Times New Roman" w:hAnsi="Times New Roman" w:eastAsia="仿宋_GB2312"/>
                <w:color w:val="auto"/>
                <w:kern w:val="0"/>
                <w:sz w:val="24"/>
                <w:szCs w:val="24"/>
                <w:highlight w:val="none"/>
              </w:rPr>
              <w:t>未提供</w:t>
            </w:r>
            <w:r>
              <w:rPr>
                <w:rFonts w:ascii="Times New Roman" w:hAnsi="Times New Roman" w:eastAsia="仿宋_GB2312"/>
                <w:color w:val="auto"/>
                <w:kern w:val="0"/>
                <w:sz w:val="24"/>
                <w:szCs w:val="24"/>
                <w:highlight w:val="none"/>
              </w:rPr>
              <w:t>得0分。</w:t>
            </w:r>
          </w:p>
          <w:p w14:paraId="06EAAF47">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highlight w:val="none"/>
              </w:rPr>
              <w:t>注：若合同页数过多，则可只上传</w:t>
            </w:r>
            <w:r>
              <w:rPr>
                <w:rFonts w:hint="eastAsia" w:ascii="Times New Roman" w:hAnsi="Times New Roman" w:eastAsia="仿宋_GB2312"/>
                <w:color w:val="auto"/>
                <w:kern w:val="0"/>
                <w:sz w:val="24"/>
                <w:highlight w:val="none"/>
              </w:rPr>
              <w:t>合同关键页</w:t>
            </w:r>
            <w:r>
              <w:rPr>
                <w:rFonts w:ascii="Times New Roman" w:hAnsi="Times New Roman" w:eastAsia="仿宋_GB2312"/>
                <w:color w:val="auto"/>
                <w:kern w:val="0"/>
                <w:sz w:val="24"/>
                <w:highlight w:val="none"/>
              </w:rPr>
              <w:t>（包括采购内容、签约日期、双方盖章</w:t>
            </w:r>
            <w:r>
              <w:rPr>
                <w:rFonts w:hint="eastAsia" w:ascii="Times New Roman" w:hAnsi="Times New Roman" w:eastAsia="仿宋_GB2312"/>
                <w:color w:val="auto"/>
                <w:kern w:val="0"/>
                <w:sz w:val="24"/>
                <w:highlight w:val="none"/>
              </w:rPr>
              <w:t>、验收证明</w:t>
            </w:r>
            <w:r>
              <w:rPr>
                <w:rFonts w:ascii="Times New Roman" w:hAnsi="Times New Roman" w:eastAsia="仿宋_GB2312"/>
                <w:color w:val="auto"/>
                <w:kern w:val="0"/>
                <w:sz w:val="24"/>
                <w:highlight w:val="none"/>
              </w:rPr>
              <w:t>等内容）。业绩证明材料需清晰可辨认，否则视为无效业绩。</w:t>
            </w:r>
          </w:p>
        </w:tc>
        <w:tc>
          <w:tcPr>
            <w:tcW w:w="317" w:type="pct"/>
            <w:tcBorders>
              <w:top w:val="single" w:color="auto" w:sz="4" w:space="0"/>
              <w:left w:val="single" w:color="auto" w:sz="4" w:space="0"/>
              <w:bottom w:val="single" w:color="auto" w:sz="4" w:space="0"/>
              <w:right w:val="single" w:color="auto" w:sz="4" w:space="0"/>
            </w:tcBorders>
            <w:vAlign w:val="center"/>
          </w:tcPr>
          <w:p w14:paraId="3F978666">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6</w:t>
            </w:r>
          </w:p>
        </w:tc>
        <w:tc>
          <w:tcPr>
            <w:tcW w:w="328" w:type="pct"/>
            <w:vMerge w:val="restart"/>
            <w:tcBorders>
              <w:top w:val="single" w:color="auto" w:sz="4" w:space="0"/>
              <w:left w:val="single" w:color="auto" w:sz="4" w:space="0"/>
              <w:right w:val="single" w:color="auto" w:sz="4" w:space="0"/>
            </w:tcBorders>
            <w:vAlign w:val="center"/>
          </w:tcPr>
          <w:p w14:paraId="781C9402">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7</w:t>
            </w:r>
            <w:r>
              <w:rPr>
                <w:rFonts w:ascii="Times New Roman" w:hAnsi="Times New Roman" w:eastAsia="仿宋_GB2312"/>
                <w:color w:val="auto"/>
                <w:kern w:val="0"/>
                <w:sz w:val="24"/>
                <w:szCs w:val="24"/>
                <w:highlight w:val="none"/>
              </w:rPr>
              <w:t>0.00%</w:t>
            </w:r>
          </w:p>
        </w:tc>
      </w:tr>
      <w:tr w14:paraId="356E60E1">
        <w:tblPrEx>
          <w:tblCellMar>
            <w:top w:w="0" w:type="dxa"/>
            <w:left w:w="108" w:type="dxa"/>
            <w:bottom w:w="0" w:type="dxa"/>
            <w:right w:w="108" w:type="dxa"/>
          </w:tblCellMar>
        </w:tblPrEx>
        <w:trPr>
          <w:trHeight w:val="1440" w:hRule="atLeast"/>
        </w:trPr>
        <w:tc>
          <w:tcPr>
            <w:tcW w:w="444" w:type="pct"/>
            <w:vMerge w:val="continue"/>
            <w:tcBorders>
              <w:left w:val="single" w:color="auto" w:sz="4" w:space="0"/>
              <w:right w:val="single" w:color="auto" w:sz="4" w:space="0"/>
            </w:tcBorders>
            <w:vAlign w:val="center"/>
          </w:tcPr>
          <w:p w14:paraId="713368C5">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6DBD45CC">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2</w:t>
            </w:r>
          </w:p>
        </w:tc>
        <w:tc>
          <w:tcPr>
            <w:tcW w:w="378" w:type="pct"/>
            <w:tcBorders>
              <w:top w:val="nil"/>
              <w:left w:val="nil"/>
              <w:bottom w:val="single" w:color="auto" w:sz="4" w:space="0"/>
              <w:right w:val="single" w:color="auto" w:sz="4" w:space="0"/>
            </w:tcBorders>
            <w:vAlign w:val="center"/>
          </w:tcPr>
          <w:p w14:paraId="1F1215A5">
            <w:pPr>
              <w:widowControl/>
              <w:jc w:val="center"/>
              <w:rPr>
                <w:rFonts w:ascii="Times New Roman" w:hAnsi="Times New Roman" w:eastAsia="仿宋_GB2312"/>
                <w:color w:val="auto"/>
                <w:sz w:val="24"/>
                <w:szCs w:val="24"/>
                <w:highlight w:val="none"/>
                <w:lang w:val="zh-CN"/>
              </w:rPr>
            </w:pPr>
            <w:r>
              <w:rPr>
                <w:rFonts w:hint="eastAsia" w:ascii="Times New Roman" w:hAnsi="Times New Roman" w:eastAsia="仿宋_GB2312"/>
                <w:color w:val="auto"/>
                <w:sz w:val="24"/>
                <w:szCs w:val="24"/>
                <w:highlight w:val="none"/>
                <w:lang w:val="zh-CN"/>
              </w:rPr>
              <w:t>人员证书</w:t>
            </w:r>
          </w:p>
        </w:tc>
        <w:tc>
          <w:tcPr>
            <w:tcW w:w="3208" w:type="pct"/>
            <w:tcBorders>
              <w:top w:val="nil"/>
              <w:left w:val="nil"/>
              <w:bottom w:val="single" w:color="auto" w:sz="4" w:space="0"/>
              <w:right w:val="single" w:color="auto" w:sz="4" w:space="0"/>
            </w:tcBorders>
            <w:vAlign w:val="center"/>
          </w:tcPr>
          <w:p w14:paraId="06AA6BEA">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施工人员、技术支持服务人员提供《通信专业技术人员职业资格证书》，每提供1个得1分，最高得4分。</w:t>
            </w:r>
          </w:p>
          <w:p w14:paraId="11726AE3">
            <w:pPr>
              <w:widowControl/>
              <w:jc w:val="left"/>
              <w:rPr>
                <w:rFonts w:hint="eastAsia" w:ascii="Times New Roman" w:hAnsi="Times New Roman" w:eastAsia="仿宋_GB2312"/>
                <w:color w:val="auto"/>
                <w:kern w:val="0"/>
                <w:sz w:val="24"/>
                <w:highlight w:val="none"/>
                <w:lang w:eastAsia="zh-CN"/>
              </w:rPr>
            </w:pPr>
            <w:r>
              <w:rPr>
                <w:rFonts w:hint="eastAsia" w:ascii="Times New Roman" w:hAnsi="Times New Roman" w:eastAsia="仿宋_GB2312"/>
                <w:color w:val="auto"/>
                <w:kern w:val="0"/>
                <w:sz w:val="24"/>
                <w:highlight w:val="none"/>
              </w:rPr>
              <w:t>注：1、须提供身份证、证书扫描件。2、须提供由本单位缴纳的（由社保机构出具的）社保缴纳证明扫描件。不提供或者提供的证明材料不足的，此项不得分。</w:t>
            </w:r>
            <w:r>
              <w:rPr>
                <w:rFonts w:hint="eastAsia" w:ascii="Times New Roman" w:hAnsi="Times New Roman" w:eastAsia="仿宋_GB2312"/>
                <w:color w:val="auto"/>
                <w:kern w:val="0"/>
                <w:sz w:val="24"/>
                <w:highlight w:val="none"/>
                <w:lang w:eastAsia="zh-CN"/>
              </w:rPr>
              <w:t>（供应商提供投标、响应截止日前6个月内，任意1个月的社保证明材料。）</w:t>
            </w:r>
          </w:p>
        </w:tc>
        <w:tc>
          <w:tcPr>
            <w:tcW w:w="317" w:type="pct"/>
            <w:tcBorders>
              <w:top w:val="nil"/>
              <w:left w:val="nil"/>
              <w:bottom w:val="single" w:color="auto" w:sz="4" w:space="0"/>
              <w:right w:val="single" w:color="auto" w:sz="4" w:space="0"/>
            </w:tcBorders>
            <w:vAlign w:val="center"/>
          </w:tcPr>
          <w:p w14:paraId="0334D30C">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4</w:t>
            </w:r>
          </w:p>
        </w:tc>
        <w:tc>
          <w:tcPr>
            <w:tcW w:w="328" w:type="pct"/>
            <w:vMerge w:val="continue"/>
            <w:tcBorders>
              <w:left w:val="single" w:color="auto" w:sz="4" w:space="0"/>
              <w:right w:val="single" w:color="auto" w:sz="4" w:space="0"/>
            </w:tcBorders>
            <w:vAlign w:val="center"/>
          </w:tcPr>
          <w:p w14:paraId="59C178E4">
            <w:pPr>
              <w:widowControl/>
              <w:jc w:val="left"/>
              <w:rPr>
                <w:rFonts w:ascii="Times New Roman" w:hAnsi="Times New Roman" w:eastAsia="仿宋_GB2312"/>
                <w:color w:val="auto"/>
                <w:kern w:val="0"/>
                <w:sz w:val="24"/>
                <w:szCs w:val="24"/>
                <w:highlight w:val="none"/>
              </w:rPr>
            </w:pPr>
          </w:p>
        </w:tc>
      </w:tr>
      <w:tr w14:paraId="73413ACE">
        <w:tblPrEx>
          <w:tblCellMar>
            <w:top w:w="0" w:type="dxa"/>
            <w:left w:w="108" w:type="dxa"/>
            <w:bottom w:w="0" w:type="dxa"/>
            <w:right w:w="108" w:type="dxa"/>
          </w:tblCellMar>
        </w:tblPrEx>
        <w:trPr>
          <w:trHeight w:val="1440" w:hRule="atLeast"/>
        </w:trPr>
        <w:tc>
          <w:tcPr>
            <w:tcW w:w="444" w:type="pct"/>
            <w:vMerge w:val="continue"/>
            <w:tcBorders>
              <w:left w:val="single" w:color="auto" w:sz="4" w:space="0"/>
              <w:right w:val="single" w:color="auto" w:sz="4" w:space="0"/>
            </w:tcBorders>
            <w:vAlign w:val="center"/>
          </w:tcPr>
          <w:p w14:paraId="72C03C4D">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0027B64B">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3</w:t>
            </w:r>
          </w:p>
        </w:tc>
        <w:tc>
          <w:tcPr>
            <w:tcW w:w="378" w:type="pct"/>
            <w:tcBorders>
              <w:top w:val="nil"/>
              <w:left w:val="nil"/>
              <w:bottom w:val="single" w:color="auto" w:sz="4" w:space="0"/>
              <w:right w:val="single" w:color="auto" w:sz="4" w:space="0"/>
            </w:tcBorders>
            <w:vAlign w:val="center"/>
          </w:tcPr>
          <w:p w14:paraId="2B61BC7C">
            <w:pPr>
              <w:widowControl/>
              <w:tabs>
                <w:tab w:val="left" w:pos="419"/>
              </w:tabs>
              <w:jc w:val="left"/>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ab/>
            </w:r>
            <w:r>
              <w:rPr>
                <w:rFonts w:hint="eastAsia" w:ascii="Times New Roman" w:hAnsi="Times New Roman" w:eastAsia="仿宋_GB2312"/>
                <w:color w:val="auto"/>
                <w:sz w:val="24"/>
                <w:szCs w:val="24"/>
                <w:highlight w:val="none"/>
                <w:lang w:val="zh-CN"/>
              </w:rPr>
              <w:t>传输技术参数</w:t>
            </w:r>
          </w:p>
        </w:tc>
        <w:tc>
          <w:tcPr>
            <w:tcW w:w="3208" w:type="pct"/>
            <w:tcBorders>
              <w:top w:val="nil"/>
              <w:left w:val="nil"/>
              <w:bottom w:val="single" w:color="auto" w:sz="4" w:space="0"/>
              <w:right w:val="single" w:color="auto" w:sz="4" w:space="0"/>
            </w:tcBorders>
            <w:vAlign w:val="center"/>
          </w:tcPr>
          <w:p w14:paraId="188DEAC6">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1.招标文件中带“★”的重要参数满足项目要求（须出具满足该参数的证明材料），每有一项不满足，减2分，减完为止，以上内容都包含且满足采购需求的,得8分，满分8分。</w:t>
            </w:r>
          </w:p>
          <w:p w14:paraId="0DF5B214">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2.招标文件中的一般参数，完全满足项目要求，得23分；每有一项不满足，减1分，减完为止。</w:t>
            </w:r>
          </w:p>
          <w:p w14:paraId="485CB63E">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注：上述内容请在“响应/偏离表”中编辑。</w:t>
            </w:r>
          </w:p>
        </w:tc>
        <w:tc>
          <w:tcPr>
            <w:tcW w:w="317" w:type="pct"/>
            <w:tcBorders>
              <w:top w:val="nil"/>
              <w:left w:val="nil"/>
              <w:bottom w:val="single" w:color="auto" w:sz="4" w:space="0"/>
              <w:right w:val="single" w:color="auto" w:sz="4" w:space="0"/>
            </w:tcBorders>
            <w:vAlign w:val="center"/>
          </w:tcPr>
          <w:p w14:paraId="02C78102">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31</w:t>
            </w:r>
          </w:p>
        </w:tc>
        <w:tc>
          <w:tcPr>
            <w:tcW w:w="328" w:type="pct"/>
            <w:vMerge w:val="continue"/>
            <w:tcBorders>
              <w:left w:val="single" w:color="auto" w:sz="4" w:space="0"/>
              <w:right w:val="single" w:color="auto" w:sz="4" w:space="0"/>
            </w:tcBorders>
            <w:vAlign w:val="center"/>
          </w:tcPr>
          <w:p w14:paraId="0FD5B107">
            <w:pPr>
              <w:widowControl/>
              <w:jc w:val="left"/>
              <w:rPr>
                <w:rFonts w:ascii="Times New Roman" w:hAnsi="Times New Roman" w:eastAsia="仿宋_GB2312"/>
                <w:color w:val="auto"/>
                <w:kern w:val="0"/>
                <w:sz w:val="24"/>
                <w:szCs w:val="24"/>
                <w:highlight w:val="none"/>
              </w:rPr>
            </w:pPr>
          </w:p>
        </w:tc>
      </w:tr>
      <w:tr w14:paraId="7B2CE015">
        <w:tblPrEx>
          <w:tblCellMar>
            <w:top w:w="0" w:type="dxa"/>
            <w:left w:w="108" w:type="dxa"/>
            <w:bottom w:w="0" w:type="dxa"/>
            <w:right w:w="108" w:type="dxa"/>
          </w:tblCellMar>
        </w:tblPrEx>
        <w:trPr>
          <w:trHeight w:val="1086" w:hRule="atLeast"/>
        </w:trPr>
        <w:tc>
          <w:tcPr>
            <w:tcW w:w="444" w:type="pct"/>
            <w:vMerge w:val="continue"/>
            <w:tcBorders>
              <w:left w:val="single" w:color="auto" w:sz="4" w:space="0"/>
              <w:right w:val="single" w:color="auto" w:sz="4" w:space="0"/>
            </w:tcBorders>
            <w:vAlign w:val="center"/>
          </w:tcPr>
          <w:p w14:paraId="1A25FA3D">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1D82EC45">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4</w:t>
            </w:r>
          </w:p>
        </w:tc>
        <w:tc>
          <w:tcPr>
            <w:tcW w:w="378" w:type="pct"/>
            <w:tcBorders>
              <w:top w:val="nil"/>
              <w:left w:val="nil"/>
              <w:bottom w:val="single" w:color="auto" w:sz="4" w:space="0"/>
              <w:right w:val="single" w:color="auto" w:sz="4" w:space="0"/>
            </w:tcBorders>
            <w:vAlign w:val="center"/>
          </w:tcPr>
          <w:p w14:paraId="3F70C3CC">
            <w:pPr>
              <w:widowControl/>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val="zh-CN"/>
              </w:rPr>
              <w:t>日常巡检方案</w:t>
            </w:r>
          </w:p>
        </w:tc>
        <w:tc>
          <w:tcPr>
            <w:tcW w:w="3208" w:type="pct"/>
            <w:tcBorders>
              <w:top w:val="nil"/>
              <w:left w:val="nil"/>
              <w:bottom w:val="single" w:color="auto" w:sz="4" w:space="0"/>
              <w:right w:val="single" w:color="auto" w:sz="4" w:space="0"/>
            </w:tcBorders>
            <w:vAlign w:val="center"/>
          </w:tcPr>
          <w:p w14:paraId="515C84BE">
            <w:pPr>
              <w:widowControl/>
              <w:jc w:val="left"/>
              <w:rPr>
                <w:rFonts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4.1投标人根据项目需求提供项目实施方案，包含但不限于：</w:t>
            </w:r>
          </w:p>
          <w:p w14:paraId="558F26C5">
            <w:pPr>
              <w:widowControl/>
              <w:jc w:val="left"/>
              <w:rPr>
                <w:rFonts w:ascii="Times New Roman" w:hAnsi="Times New Roman" w:eastAsia="仿宋_GB2312"/>
                <w:color w:val="auto"/>
                <w:kern w:val="0"/>
                <w:sz w:val="24"/>
                <w:highlight w:val="none"/>
              </w:rPr>
            </w:pPr>
            <w:r>
              <w:rPr>
                <w:rFonts w:eastAsia="仿宋_GB2312" w:cs="Calibri"/>
                <w:color w:val="auto"/>
                <w:kern w:val="0"/>
                <w:sz w:val="24"/>
                <w:highlight w:val="none"/>
              </w:rPr>
              <w:t>①</w:t>
            </w:r>
            <w:r>
              <w:rPr>
                <w:rFonts w:hint="eastAsia" w:ascii="Times New Roman" w:hAnsi="Times New Roman" w:eastAsia="仿宋_GB2312"/>
                <w:color w:val="auto"/>
                <w:kern w:val="0"/>
                <w:sz w:val="24"/>
                <w:highlight w:val="none"/>
              </w:rPr>
              <w:t>采购单位业务工作所需的有线链路（含互联网、公安信息网、公共安全视频网、警种专网、其他网络）服务传输要求方案；</w:t>
            </w:r>
          </w:p>
          <w:p w14:paraId="45E2E1BE">
            <w:pPr>
              <w:widowControl/>
              <w:jc w:val="left"/>
              <w:rPr>
                <w:rFonts w:ascii="Times New Roman" w:hAnsi="Times New Roman" w:eastAsia="仿宋_GB2312"/>
                <w:color w:val="auto"/>
                <w:kern w:val="0"/>
                <w:sz w:val="24"/>
                <w:highlight w:val="none"/>
              </w:rPr>
            </w:pPr>
            <w:r>
              <w:rPr>
                <w:rFonts w:eastAsia="仿宋_GB2312" w:cs="Calibri"/>
                <w:color w:val="auto"/>
                <w:kern w:val="0"/>
                <w:sz w:val="24"/>
                <w:highlight w:val="none"/>
              </w:rPr>
              <w:t>②</w:t>
            </w:r>
            <w:r>
              <w:rPr>
                <w:rFonts w:hint="eastAsia" w:ascii="Times New Roman" w:hAnsi="Times New Roman" w:eastAsia="仿宋_GB2312"/>
                <w:color w:val="auto"/>
                <w:kern w:val="0"/>
                <w:sz w:val="24"/>
                <w:highlight w:val="none"/>
              </w:rPr>
              <w:t>须符合招标材料中“通信运营商技术标准-日常巡检”提出的3项要求，全项满足并提供详细巡检方案等。</w:t>
            </w:r>
          </w:p>
          <w:p w14:paraId="13EF2C26">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上述内容齐全得4分，每缺一项内容减2分，减完为止。</w:t>
            </w:r>
          </w:p>
          <w:p w14:paraId="7FCE34A9">
            <w:pPr>
              <w:widowControl/>
              <w:spacing w:line="320" w:lineRule="exact"/>
              <w:jc w:val="left"/>
              <w:rPr>
                <w:rFonts w:ascii="方正仿宋简体" w:hAnsi="宋体" w:eastAsia="方正仿宋简体" w:cs="宋体"/>
                <w:color w:val="auto"/>
                <w:kern w:val="0"/>
                <w:sz w:val="24"/>
                <w:highlight w:val="none"/>
              </w:rPr>
            </w:pPr>
          </w:p>
          <w:p w14:paraId="5596497F">
            <w:pPr>
              <w:widowControl/>
              <w:jc w:val="left"/>
              <w:rPr>
                <w:rFonts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4.2针对4.1提供的两项内容，其中每有一项内容存在缺陷的减1分，减完为止。未提供方案得0分，满分2分，最低0分。</w:t>
            </w:r>
          </w:p>
          <w:p w14:paraId="506FCBD9">
            <w:pPr>
              <w:widowControl/>
              <w:jc w:val="left"/>
              <w:rPr>
                <w:rFonts w:ascii="Times New Roman" w:hAnsi="Times New Roman" w:eastAsia="仿宋"/>
                <w:color w:val="auto"/>
                <w:sz w:val="24"/>
                <w:szCs w:val="28"/>
                <w:highlight w:val="none"/>
              </w:rPr>
            </w:pPr>
            <w:r>
              <w:rPr>
                <w:rFonts w:hint="eastAsia" w:ascii="Times New Roman" w:hAnsi="Times New Roman" w:eastAsia="仿宋_GB2312"/>
                <w:color w:val="auto"/>
                <w:kern w:val="0"/>
                <w:sz w:val="24"/>
                <w:highlight w:val="none"/>
              </w:rPr>
              <w:t>注：缺陷指传输方案巡检内容、巡检实施计划、巡检安全管理、巡检记录及异常情况处理等方案内容与项目需求不一致、方案存在不适用项目实际情况的情形、套用其它方案、凭空编造、逻辑漏洞、科学原理错误、语义表述不清，存在歧义、混乱，内容不充分详实以及存在不可能实现的情形等。</w:t>
            </w:r>
          </w:p>
        </w:tc>
        <w:tc>
          <w:tcPr>
            <w:tcW w:w="317" w:type="pct"/>
            <w:tcBorders>
              <w:top w:val="nil"/>
              <w:left w:val="nil"/>
              <w:bottom w:val="single" w:color="auto" w:sz="4" w:space="0"/>
              <w:right w:val="single" w:color="auto" w:sz="4" w:space="0"/>
            </w:tcBorders>
            <w:vAlign w:val="center"/>
          </w:tcPr>
          <w:p w14:paraId="1EA1A305">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6</w:t>
            </w:r>
          </w:p>
        </w:tc>
        <w:tc>
          <w:tcPr>
            <w:tcW w:w="328" w:type="pct"/>
            <w:vMerge w:val="continue"/>
            <w:tcBorders>
              <w:left w:val="single" w:color="auto" w:sz="4" w:space="0"/>
              <w:bottom w:val="nil"/>
              <w:right w:val="single" w:color="auto" w:sz="4" w:space="0"/>
            </w:tcBorders>
            <w:vAlign w:val="center"/>
          </w:tcPr>
          <w:p w14:paraId="51806967">
            <w:pPr>
              <w:widowControl/>
              <w:jc w:val="left"/>
              <w:rPr>
                <w:rFonts w:ascii="Times New Roman" w:hAnsi="Times New Roman" w:eastAsia="仿宋_GB2312"/>
                <w:color w:val="auto"/>
                <w:kern w:val="0"/>
                <w:sz w:val="24"/>
                <w:szCs w:val="24"/>
                <w:highlight w:val="none"/>
              </w:rPr>
            </w:pPr>
          </w:p>
        </w:tc>
      </w:tr>
      <w:tr w14:paraId="4C049CBC">
        <w:tblPrEx>
          <w:tblCellMar>
            <w:top w:w="0" w:type="dxa"/>
            <w:left w:w="108" w:type="dxa"/>
            <w:bottom w:w="0" w:type="dxa"/>
            <w:right w:w="108" w:type="dxa"/>
          </w:tblCellMar>
        </w:tblPrEx>
        <w:trPr>
          <w:trHeight w:val="1022" w:hRule="atLeast"/>
        </w:trPr>
        <w:tc>
          <w:tcPr>
            <w:tcW w:w="444" w:type="pct"/>
            <w:vMerge w:val="continue"/>
            <w:tcBorders>
              <w:left w:val="single" w:color="auto" w:sz="4" w:space="0"/>
              <w:right w:val="single" w:color="auto" w:sz="4" w:space="0"/>
            </w:tcBorders>
            <w:vAlign w:val="center"/>
          </w:tcPr>
          <w:p w14:paraId="3712A63A">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47D78B9F">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5</w:t>
            </w:r>
          </w:p>
        </w:tc>
        <w:tc>
          <w:tcPr>
            <w:tcW w:w="378" w:type="pct"/>
            <w:tcBorders>
              <w:top w:val="nil"/>
              <w:left w:val="nil"/>
              <w:bottom w:val="single" w:color="auto" w:sz="4" w:space="0"/>
              <w:right w:val="single" w:color="auto" w:sz="4" w:space="0"/>
            </w:tcBorders>
            <w:vAlign w:val="center"/>
          </w:tcPr>
          <w:p w14:paraId="7550C54F">
            <w:pPr>
              <w:widowControl/>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val="zh-CN"/>
              </w:rPr>
              <w:t>应急管理方案</w:t>
            </w:r>
          </w:p>
        </w:tc>
        <w:tc>
          <w:tcPr>
            <w:tcW w:w="3208" w:type="pct"/>
            <w:tcBorders>
              <w:top w:val="nil"/>
              <w:left w:val="nil"/>
              <w:bottom w:val="single" w:color="auto" w:sz="4" w:space="0"/>
              <w:right w:val="single" w:color="auto" w:sz="4" w:space="0"/>
            </w:tcBorders>
            <w:vAlign w:val="center"/>
          </w:tcPr>
          <w:p w14:paraId="12949D76">
            <w:pPr>
              <w:widowControl/>
              <w:jc w:val="left"/>
              <w:rPr>
                <w:rFonts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5.1投标人根据甲方链路租用需求提供应急处置管理方案，包括但不限于：</w:t>
            </w:r>
          </w:p>
          <w:p w14:paraId="7C0003FE">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①应急处置前期准备工作；</w:t>
            </w:r>
          </w:p>
          <w:p w14:paraId="558EEBE1">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②应急处置流程（需明确应急处置汇报时长、应急处置时间响应时长）；</w:t>
            </w:r>
          </w:p>
          <w:p w14:paraId="79DCC2CB">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③应急处置结果汇报后的恢复等。</w:t>
            </w:r>
          </w:p>
          <w:p w14:paraId="2D88B65F">
            <w:pPr>
              <w:widowControl/>
              <w:jc w:val="left"/>
              <w:rPr>
                <w:rFonts w:ascii="Times New Roman" w:hAnsi="Times New Roman" w:eastAsia="仿宋_GB2312"/>
                <w:color w:val="auto"/>
                <w:kern w:val="0"/>
                <w:sz w:val="24"/>
                <w:highlight w:val="none"/>
              </w:rPr>
            </w:pPr>
            <w:r>
              <w:rPr>
                <w:rFonts w:hint="eastAsia" w:ascii="Times New Roman" w:hAnsi="Times New Roman" w:eastAsia="仿宋_GB2312"/>
                <w:color w:val="auto"/>
                <w:kern w:val="0"/>
                <w:sz w:val="24"/>
                <w:highlight w:val="none"/>
              </w:rPr>
              <w:t>上述内容齐全的得6分，每缺一项扣2分，扣完为止。</w:t>
            </w:r>
          </w:p>
          <w:p w14:paraId="15A65AFE">
            <w:pPr>
              <w:widowControl/>
              <w:jc w:val="left"/>
              <w:rPr>
                <w:rFonts w:ascii="Times New Roman" w:hAnsi="Times New Roman" w:eastAsia="仿宋_GB2312"/>
                <w:color w:val="auto"/>
                <w:kern w:val="0"/>
                <w:sz w:val="24"/>
                <w:highlight w:val="none"/>
              </w:rPr>
            </w:pPr>
          </w:p>
          <w:p w14:paraId="79F71F71">
            <w:pPr>
              <w:widowControl/>
              <w:jc w:val="left"/>
              <w:rPr>
                <w:rFonts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5.2针对5.1提供的三项内容，其中每有一项内容存在缺陷的减1分，减完为止。未提供方案得0分，满分3分，最低0分。</w:t>
            </w:r>
          </w:p>
          <w:p w14:paraId="6E421C8D">
            <w:pPr>
              <w:widowControl/>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highlight w:val="none"/>
              </w:rPr>
              <w:t>注：缺陷指对应急处置前期准备工作、应急处置流程、应急处置结果汇报后的恢复等内容阐述不清晰，过于简略，可操作性不强，出现方案内容与项目需求不一致、方案存在不适用项目实际情况的情形、套用其它方案、凭空编造、逻辑漏洞、科学原理错误、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3E29C6F6">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9</w:t>
            </w:r>
          </w:p>
        </w:tc>
        <w:tc>
          <w:tcPr>
            <w:tcW w:w="328" w:type="pct"/>
            <w:vMerge w:val="continue"/>
            <w:tcBorders>
              <w:left w:val="single" w:color="auto" w:sz="4" w:space="0"/>
              <w:bottom w:val="nil"/>
              <w:right w:val="single" w:color="auto" w:sz="4" w:space="0"/>
            </w:tcBorders>
            <w:vAlign w:val="center"/>
          </w:tcPr>
          <w:p w14:paraId="5CE3A24D">
            <w:pPr>
              <w:widowControl/>
              <w:jc w:val="left"/>
              <w:rPr>
                <w:rFonts w:ascii="Times New Roman" w:hAnsi="Times New Roman" w:eastAsia="仿宋_GB2312"/>
                <w:color w:val="auto"/>
                <w:kern w:val="0"/>
                <w:sz w:val="24"/>
                <w:szCs w:val="24"/>
                <w:highlight w:val="none"/>
              </w:rPr>
            </w:pPr>
          </w:p>
        </w:tc>
      </w:tr>
      <w:tr w14:paraId="5ACD7877">
        <w:tblPrEx>
          <w:tblCellMar>
            <w:top w:w="0" w:type="dxa"/>
            <w:left w:w="108" w:type="dxa"/>
            <w:bottom w:w="0" w:type="dxa"/>
            <w:right w:w="108" w:type="dxa"/>
          </w:tblCellMar>
        </w:tblPrEx>
        <w:trPr>
          <w:trHeight w:val="1022" w:hRule="atLeast"/>
        </w:trPr>
        <w:tc>
          <w:tcPr>
            <w:tcW w:w="444" w:type="pct"/>
            <w:vMerge w:val="continue"/>
            <w:tcBorders>
              <w:left w:val="single" w:color="auto" w:sz="4" w:space="0"/>
              <w:right w:val="single" w:color="auto" w:sz="4" w:space="0"/>
            </w:tcBorders>
            <w:vAlign w:val="center"/>
          </w:tcPr>
          <w:p w14:paraId="3936C3C8">
            <w:pPr>
              <w:widowControl/>
              <w:jc w:val="left"/>
              <w:rPr>
                <w:rFonts w:ascii="Times New Roman" w:hAnsi="Times New Roman" w:eastAsia="仿宋_GB2312"/>
                <w:color w:val="auto"/>
                <w:kern w:val="0"/>
                <w:sz w:val="24"/>
                <w:szCs w:val="24"/>
                <w:highlight w:val="none"/>
              </w:rPr>
            </w:pPr>
          </w:p>
        </w:tc>
        <w:tc>
          <w:tcPr>
            <w:tcW w:w="322" w:type="pct"/>
            <w:tcBorders>
              <w:top w:val="nil"/>
              <w:left w:val="nil"/>
              <w:bottom w:val="single" w:color="auto" w:sz="4" w:space="0"/>
              <w:right w:val="single" w:color="auto" w:sz="4" w:space="0"/>
            </w:tcBorders>
            <w:vAlign w:val="center"/>
          </w:tcPr>
          <w:p w14:paraId="7ED9FD19">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6</w:t>
            </w:r>
          </w:p>
        </w:tc>
        <w:tc>
          <w:tcPr>
            <w:tcW w:w="378" w:type="pct"/>
            <w:tcBorders>
              <w:top w:val="nil"/>
              <w:left w:val="nil"/>
              <w:bottom w:val="single" w:color="auto" w:sz="4" w:space="0"/>
              <w:right w:val="single" w:color="auto" w:sz="4" w:space="0"/>
            </w:tcBorders>
            <w:vAlign w:val="center"/>
          </w:tcPr>
          <w:p w14:paraId="45788EA0">
            <w:pPr>
              <w:widowControl/>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val="zh-CN"/>
              </w:rPr>
              <w:t>运维服务保障方案</w:t>
            </w:r>
          </w:p>
        </w:tc>
        <w:tc>
          <w:tcPr>
            <w:tcW w:w="3208" w:type="pct"/>
            <w:tcBorders>
              <w:top w:val="nil"/>
              <w:left w:val="nil"/>
              <w:bottom w:val="single" w:color="auto" w:sz="4" w:space="0"/>
              <w:right w:val="single" w:color="auto" w:sz="4" w:space="0"/>
            </w:tcBorders>
            <w:vAlign w:val="center"/>
          </w:tcPr>
          <w:p w14:paraId="209F0A91">
            <w:pPr>
              <w:pStyle w:val="128"/>
              <w:jc w:val="both"/>
              <w:rPr>
                <w:rFonts w:eastAsia="仿宋"/>
                <w:b/>
                <w:bCs/>
                <w:color w:val="auto"/>
                <w:highlight w:val="none"/>
                <w:lang w:val="zh-CN"/>
              </w:rPr>
            </w:pPr>
            <w:r>
              <w:rPr>
                <w:rFonts w:hint="eastAsia" w:eastAsia="仿宋"/>
                <w:b/>
                <w:bCs/>
                <w:color w:val="auto"/>
                <w:highlight w:val="none"/>
              </w:rPr>
              <w:t>6.1投标人根据项目需求</w:t>
            </w:r>
            <w:r>
              <w:rPr>
                <w:rFonts w:hint="eastAsia" w:eastAsia="仿宋"/>
                <w:b/>
                <w:bCs/>
                <w:color w:val="auto"/>
                <w:highlight w:val="none"/>
                <w:lang w:val="zh-CN"/>
              </w:rPr>
              <w:t>提供运维服务保障方案，</w:t>
            </w:r>
            <w:r>
              <w:rPr>
                <w:rFonts w:eastAsia="仿宋"/>
                <w:b/>
                <w:bCs/>
                <w:color w:val="auto"/>
                <w:highlight w:val="none"/>
                <w:lang w:val="zh-CN"/>
              </w:rPr>
              <w:t>包含但不限于</w:t>
            </w:r>
            <w:r>
              <w:rPr>
                <w:rFonts w:hint="eastAsia" w:eastAsia="仿宋"/>
                <w:b/>
                <w:bCs/>
                <w:color w:val="auto"/>
                <w:highlight w:val="none"/>
                <w:lang w:val="zh-CN"/>
              </w:rPr>
              <w:t>：</w:t>
            </w:r>
          </w:p>
          <w:p w14:paraId="0E51FEC1">
            <w:pPr>
              <w:pStyle w:val="128"/>
              <w:jc w:val="both"/>
              <w:rPr>
                <w:rFonts w:eastAsia="仿宋_GB2312"/>
                <w:color w:val="auto"/>
                <w:highlight w:val="none"/>
                <w:lang w:val="zh-CN"/>
              </w:rPr>
            </w:pPr>
            <w:r>
              <w:rPr>
                <w:rFonts w:hint="eastAsia" w:eastAsia="仿宋_GB2312"/>
                <w:color w:val="auto"/>
                <w:highlight w:val="none"/>
                <w:lang w:val="zh-CN"/>
              </w:rPr>
              <w:t>①人员驻场稳定措施；</w:t>
            </w:r>
          </w:p>
          <w:p w14:paraId="7DE900DC">
            <w:pPr>
              <w:pStyle w:val="128"/>
              <w:jc w:val="both"/>
              <w:rPr>
                <w:rFonts w:eastAsia="仿宋_GB2312"/>
                <w:color w:val="auto"/>
                <w:highlight w:val="none"/>
                <w:lang w:val="zh-CN"/>
              </w:rPr>
            </w:pPr>
            <w:r>
              <w:rPr>
                <w:rFonts w:hint="eastAsia" w:eastAsia="仿宋_GB2312"/>
                <w:color w:val="auto"/>
                <w:highlight w:val="none"/>
              </w:rPr>
              <w:t>②</w:t>
            </w:r>
            <w:r>
              <w:rPr>
                <w:rFonts w:hint="eastAsia" w:eastAsia="仿宋_GB2312"/>
                <w:color w:val="auto"/>
                <w:highlight w:val="none"/>
                <w:lang w:val="zh-CN"/>
              </w:rPr>
              <w:t>故障响应措施；</w:t>
            </w:r>
          </w:p>
          <w:p w14:paraId="7A021842">
            <w:pPr>
              <w:pStyle w:val="128"/>
              <w:jc w:val="both"/>
              <w:rPr>
                <w:rFonts w:eastAsia="仿宋_GB2312"/>
                <w:color w:val="auto"/>
                <w:highlight w:val="none"/>
              </w:rPr>
            </w:pPr>
            <w:r>
              <w:rPr>
                <w:rFonts w:hint="eastAsia" w:eastAsia="仿宋_GB2312"/>
                <w:color w:val="auto"/>
                <w:highlight w:val="none"/>
              </w:rPr>
              <w:t>③线上线下技术支持服务等；</w:t>
            </w:r>
          </w:p>
          <w:p w14:paraId="7FBED4F0">
            <w:pPr>
              <w:pStyle w:val="128"/>
              <w:jc w:val="both"/>
              <w:rPr>
                <w:rFonts w:eastAsia="仿宋_GB2312"/>
                <w:color w:val="auto"/>
                <w:highlight w:val="none"/>
                <w:lang w:val="zh-CN"/>
              </w:rPr>
            </w:pPr>
            <w:r>
              <w:rPr>
                <w:rFonts w:hint="eastAsia" w:eastAsia="仿宋_GB2312"/>
                <w:color w:val="auto"/>
                <w:highlight w:val="none"/>
              </w:rPr>
              <w:t>④针对上述三项内容，投标人须提供服务承诺（书面承诺）</w:t>
            </w:r>
            <w:r>
              <w:rPr>
                <w:rFonts w:hint="eastAsia" w:eastAsia="仿宋_GB2312"/>
                <w:color w:val="auto"/>
                <w:highlight w:val="none"/>
                <w:lang w:val="zh-CN"/>
              </w:rPr>
              <w:t>。</w:t>
            </w:r>
          </w:p>
          <w:p w14:paraId="7863F721">
            <w:pPr>
              <w:pStyle w:val="128"/>
              <w:jc w:val="both"/>
              <w:rPr>
                <w:rFonts w:eastAsia="仿宋_GB2312"/>
                <w:color w:val="auto"/>
                <w:highlight w:val="none"/>
              </w:rPr>
            </w:pPr>
            <w:r>
              <w:rPr>
                <w:rFonts w:hint="eastAsia" w:eastAsia="仿宋_GB2312"/>
                <w:color w:val="auto"/>
                <w:highlight w:val="none"/>
              </w:rPr>
              <w:t>上述内容齐全得12分，每缺一项内容减3分，减完为止。</w:t>
            </w:r>
          </w:p>
          <w:p w14:paraId="13B8051D">
            <w:pPr>
              <w:pStyle w:val="128"/>
              <w:jc w:val="both"/>
              <w:rPr>
                <w:rFonts w:eastAsia="仿宋"/>
                <w:color w:val="auto"/>
                <w:highlight w:val="none"/>
              </w:rPr>
            </w:pPr>
          </w:p>
          <w:p w14:paraId="449A4BE4">
            <w:pPr>
              <w:widowControl/>
              <w:jc w:val="left"/>
              <w:rPr>
                <w:rFonts w:ascii="Times New Roman" w:hAnsi="Times New Roman" w:eastAsia="仿宋_GB2312"/>
                <w:b/>
                <w:bCs/>
                <w:color w:val="auto"/>
                <w:kern w:val="0"/>
                <w:sz w:val="24"/>
                <w:highlight w:val="none"/>
              </w:rPr>
            </w:pPr>
            <w:r>
              <w:rPr>
                <w:rFonts w:hint="eastAsia" w:ascii="Times New Roman" w:hAnsi="Times New Roman" w:eastAsia="仿宋_GB2312"/>
                <w:b/>
                <w:bCs/>
                <w:color w:val="auto"/>
                <w:kern w:val="0"/>
                <w:sz w:val="24"/>
                <w:highlight w:val="none"/>
              </w:rPr>
              <w:t>6.2针对6.1提供的三项内容，其中每有一项内容存在缺陷的减0.5分，扣完为止。未提供方案得0分，满分2分，最低0分。</w:t>
            </w:r>
          </w:p>
          <w:p w14:paraId="49512AB7">
            <w:pPr>
              <w:widowControl/>
              <w:jc w:val="left"/>
              <w:rPr>
                <w:rFonts w:ascii="Times New Roman" w:hAnsi="Times New Roman" w:eastAsia="仿宋_GB2312"/>
                <w:color w:val="auto"/>
                <w:sz w:val="24"/>
                <w:szCs w:val="24"/>
                <w:highlight w:val="none"/>
              </w:rPr>
            </w:pPr>
            <w:r>
              <w:rPr>
                <w:rFonts w:hint="eastAsia" w:ascii="Times New Roman" w:hAnsi="Times New Roman" w:eastAsia="仿宋_GB2312"/>
                <w:color w:val="auto"/>
                <w:kern w:val="0"/>
                <w:sz w:val="24"/>
                <w:highlight w:val="none"/>
              </w:rPr>
              <w:t>注：缺陷指对</w:t>
            </w:r>
            <w:r>
              <w:rPr>
                <w:rFonts w:hint="eastAsia" w:ascii="Times New Roman" w:hAnsi="Times New Roman" w:eastAsia="仿宋_GB2312"/>
                <w:color w:val="auto"/>
                <w:kern w:val="0"/>
                <w:sz w:val="24"/>
                <w:highlight w:val="none"/>
                <w:lang w:val="zh-CN"/>
              </w:rPr>
              <w:t>人员驻场稳定措施、故障响应措施、</w:t>
            </w:r>
            <w:r>
              <w:rPr>
                <w:rFonts w:hint="eastAsia" w:ascii="Times New Roman" w:hAnsi="Times New Roman" w:eastAsia="仿宋_GB2312"/>
                <w:color w:val="auto"/>
                <w:kern w:val="0"/>
                <w:sz w:val="24"/>
                <w:highlight w:val="none"/>
              </w:rPr>
              <w:t>线上线下技术支持服务、服务承诺内容阐述不清晰，过于简略，可操作性不强，出现方案内容与项目需求不一致、方案存在不适用项目实际情况的情形、套用其它方案、凭空编造、逻辑漏洞、科学原理错误、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7E217822">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14</w:t>
            </w:r>
          </w:p>
        </w:tc>
        <w:tc>
          <w:tcPr>
            <w:tcW w:w="328" w:type="pct"/>
            <w:vMerge w:val="continue"/>
            <w:tcBorders>
              <w:left w:val="single" w:color="auto" w:sz="4" w:space="0"/>
              <w:bottom w:val="nil"/>
              <w:right w:val="single" w:color="auto" w:sz="4" w:space="0"/>
            </w:tcBorders>
            <w:vAlign w:val="center"/>
          </w:tcPr>
          <w:p w14:paraId="64129518">
            <w:pPr>
              <w:widowControl/>
              <w:jc w:val="left"/>
              <w:rPr>
                <w:rFonts w:ascii="Times New Roman" w:hAnsi="Times New Roman" w:eastAsia="仿宋_GB2312"/>
                <w:color w:val="auto"/>
                <w:kern w:val="0"/>
                <w:sz w:val="24"/>
                <w:szCs w:val="24"/>
                <w:highlight w:val="none"/>
              </w:rPr>
            </w:pPr>
          </w:p>
        </w:tc>
      </w:tr>
      <w:tr w14:paraId="3EAD077D">
        <w:tblPrEx>
          <w:tblCellMar>
            <w:top w:w="0" w:type="dxa"/>
            <w:left w:w="108" w:type="dxa"/>
            <w:bottom w:w="0" w:type="dxa"/>
            <w:right w:w="108" w:type="dxa"/>
          </w:tblCellMar>
        </w:tblPrEx>
        <w:trPr>
          <w:trHeight w:val="902"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3105D9F">
            <w:pPr>
              <w:widowControl/>
              <w:jc w:val="left"/>
              <w:rPr>
                <w:rFonts w:ascii="Times New Roman" w:hAnsi="Times New Roman"/>
                <w:color w:val="auto"/>
                <w:kern w:val="0"/>
                <w:sz w:val="24"/>
                <w:szCs w:val="24"/>
                <w:highlight w:val="none"/>
              </w:rPr>
            </w:pPr>
            <w:r>
              <w:rPr>
                <w:rFonts w:ascii="Times New Roman" w:hAnsi="Times New Roman" w:eastAsia="仿宋_GB2312"/>
                <w:color w:val="auto"/>
                <w:kern w:val="0"/>
                <w:sz w:val="24"/>
                <w:szCs w:val="24"/>
                <w:highlight w:val="none"/>
              </w:rPr>
              <w:t>合计：100分</w:t>
            </w:r>
          </w:p>
        </w:tc>
      </w:tr>
    </w:tbl>
    <w:p w14:paraId="2B5D22DD">
      <w:pPr>
        <w:pStyle w:val="2"/>
        <w:rPr>
          <w:rFonts w:ascii="Times New Roman" w:hAnsi="Times New Roman" w:eastAsia="黑体"/>
          <w:bCs/>
          <w:color w:val="auto"/>
          <w:kern w:val="32"/>
          <w:sz w:val="36"/>
          <w:szCs w:val="48"/>
          <w:highlight w:val="none"/>
        </w:rPr>
      </w:pPr>
    </w:p>
    <w:p w14:paraId="508926D9">
      <w:pPr>
        <w:rPr>
          <w:rFonts w:ascii="Times New Roman" w:hAnsi="Times New Roman"/>
          <w:color w:val="auto"/>
          <w:highlight w:val="none"/>
        </w:rPr>
      </w:pPr>
    </w:p>
    <w:p w14:paraId="721423D8">
      <w:pPr>
        <w:keepNext/>
        <w:spacing w:before="240" w:after="60"/>
        <w:outlineLvl w:val="0"/>
        <w:rPr>
          <w:rFonts w:ascii="Times New Roman" w:hAnsi="Times New Roman" w:eastAsia="仿宋_GB2312"/>
          <w:color w:val="auto"/>
          <w:sz w:val="24"/>
          <w:szCs w:val="24"/>
          <w:highlight w:val="none"/>
        </w:rPr>
      </w:pPr>
      <w:bookmarkStart w:id="135" w:name="_Toc14199"/>
      <w:bookmarkStart w:id="136" w:name="_Toc152516874"/>
    </w:p>
    <w:p w14:paraId="29E6D6D9">
      <w:pPr>
        <w:pStyle w:val="2"/>
        <w:rPr>
          <w:color w:val="auto"/>
          <w:highlight w:val="none"/>
        </w:rPr>
      </w:pPr>
    </w:p>
    <w:p w14:paraId="78AABE39">
      <w:pPr>
        <w:pStyle w:val="2"/>
        <w:rPr>
          <w:rFonts w:ascii="Times New Roman" w:hAnsi="Times New Roman" w:eastAsia="仿宋_GB2312"/>
          <w:color w:val="auto"/>
          <w:sz w:val="24"/>
          <w:szCs w:val="24"/>
          <w:highlight w:val="none"/>
        </w:rPr>
      </w:pPr>
    </w:p>
    <w:p w14:paraId="792602CC">
      <w:pPr>
        <w:jc w:val="center"/>
        <w:rPr>
          <w:rFonts w:hint="eastAsia" w:ascii="Times New Roman" w:hAnsi="Times New Roman" w:eastAsia="黑体"/>
          <w:bCs/>
          <w:color w:val="auto"/>
          <w:kern w:val="32"/>
          <w:sz w:val="30"/>
          <w:szCs w:val="30"/>
          <w:highlight w:val="none"/>
        </w:rPr>
      </w:pPr>
    </w:p>
    <w:p w14:paraId="370A3FD9">
      <w:pPr>
        <w:jc w:val="center"/>
        <w:rPr>
          <w:rFonts w:hint="eastAsia" w:ascii="Times New Roman" w:hAnsi="Times New Roman" w:eastAsia="黑体"/>
          <w:bCs/>
          <w:color w:val="auto"/>
          <w:kern w:val="32"/>
          <w:sz w:val="30"/>
          <w:szCs w:val="30"/>
          <w:highlight w:val="none"/>
        </w:rPr>
      </w:pPr>
    </w:p>
    <w:p w14:paraId="07F53530">
      <w:pPr>
        <w:jc w:val="center"/>
        <w:rPr>
          <w:rFonts w:ascii="Times New Roman" w:hAnsi="Times New Roman" w:eastAsia="黑体"/>
          <w:bCs/>
          <w:color w:val="auto"/>
          <w:kern w:val="32"/>
          <w:sz w:val="30"/>
          <w:szCs w:val="30"/>
          <w:highlight w:val="none"/>
        </w:rPr>
      </w:pPr>
      <w:r>
        <w:rPr>
          <w:rFonts w:hint="eastAsia" w:ascii="Times New Roman" w:hAnsi="Times New Roman" w:eastAsia="黑体"/>
          <w:bCs/>
          <w:color w:val="auto"/>
          <w:kern w:val="32"/>
          <w:sz w:val="30"/>
          <w:szCs w:val="30"/>
          <w:highlight w:val="none"/>
        </w:rPr>
        <w:t>市属单位2026年度通信链路服务租用项目三标段（市属单位物联网数据卡服务租用项目）</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2409"/>
        <w:gridCol w:w="2258"/>
        <w:gridCol w:w="2273"/>
      </w:tblGrid>
      <w:tr w14:paraId="36FD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35017F77">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名称</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7127C147">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评审因素</w:t>
            </w:r>
          </w:p>
        </w:tc>
        <w:tc>
          <w:tcPr>
            <w:tcW w:w="1134" w:type="pct"/>
            <w:tcBorders>
              <w:top w:val="single" w:color="000000" w:sz="2" w:space="0"/>
              <w:left w:val="single" w:color="000000" w:sz="2" w:space="0"/>
              <w:bottom w:val="single" w:color="000000" w:sz="2" w:space="0"/>
              <w:right w:val="single" w:color="000000" w:sz="2" w:space="0"/>
            </w:tcBorders>
            <w:vAlign w:val="center"/>
          </w:tcPr>
          <w:p w14:paraId="4E7A41FD">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分值</w:t>
            </w:r>
          </w:p>
        </w:tc>
        <w:tc>
          <w:tcPr>
            <w:tcW w:w="1140" w:type="pct"/>
            <w:tcBorders>
              <w:top w:val="single" w:color="000000" w:sz="2" w:space="0"/>
              <w:left w:val="single" w:color="000000" w:sz="2" w:space="0"/>
              <w:bottom w:val="single" w:color="000000" w:sz="2" w:space="0"/>
              <w:right w:val="single" w:color="000000" w:sz="2" w:space="0"/>
            </w:tcBorders>
            <w:vAlign w:val="center"/>
          </w:tcPr>
          <w:p w14:paraId="025C4FC2">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权值</w:t>
            </w:r>
          </w:p>
        </w:tc>
      </w:tr>
      <w:tr w14:paraId="78DB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50761FB5">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F1经济标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0155B647">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投标报价</w:t>
            </w:r>
          </w:p>
        </w:tc>
        <w:tc>
          <w:tcPr>
            <w:tcW w:w="1134" w:type="pct"/>
            <w:tcBorders>
              <w:top w:val="single" w:color="000000" w:sz="2" w:space="0"/>
              <w:left w:val="single" w:color="000000" w:sz="2" w:space="0"/>
              <w:bottom w:val="single" w:color="000000" w:sz="2" w:space="0"/>
              <w:right w:val="single" w:color="000000" w:sz="2" w:space="0"/>
            </w:tcBorders>
            <w:vAlign w:val="center"/>
          </w:tcPr>
          <w:p w14:paraId="03154471">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p>
        </w:tc>
        <w:tc>
          <w:tcPr>
            <w:tcW w:w="1140" w:type="pct"/>
            <w:tcBorders>
              <w:top w:val="single" w:color="000000" w:sz="2" w:space="0"/>
              <w:left w:val="single" w:color="000000" w:sz="2" w:space="0"/>
              <w:bottom w:val="single" w:color="000000" w:sz="2" w:space="0"/>
              <w:right w:val="single" w:color="000000" w:sz="2" w:space="0"/>
            </w:tcBorders>
            <w:vAlign w:val="center"/>
          </w:tcPr>
          <w:p w14:paraId="086E43BB">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r>
              <w:rPr>
                <w:rFonts w:ascii="Times New Roman" w:hAnsi="Times New Roman" w:eastAsia="仿宋_GB2312"/>
                <w:color w:val="auto"/>
                <w:kern w:val="0"/>
                <w:sz w:val="24"/>
                <w:szCs w:val="24"/>
                <w:highlight w:val="none"/>
              </w:rPr>
              <w:t>%</w:t>
            </w:r>
          </w:p>
        </w:tc>
      </w:tr>
      <w:tr w14:paraId="17B8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626CBA19">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F2商务技术标</w:t>
            </w:r>
          </w:p>
        </w:tc>
        <w:tc>
          <w:tcPr>
            <w:tcW w:w="1210" w:type="pct"/>
            <w:tcBorders>
              <w:top w:val="single" w:color="000000" w:sz="2" w:space="0"/>
              <w:left w:val="single" w:color="000000" w:sz="2" w:space="0"/>
              <w:bottom w:val="single" w:color="000000" w:sz="2" w:space="0"/>
              <w:right w:val="single" w:color="000000" w:sz="2" w:space="0"/>
            </w:tcBorders>
            <w:noWrap/>
            <w:tcMar>
              <w:top w:w="100" w:type="dxa"/>
              <w:left w:w="108" w:type="dxa"/>
              <w:bottom w:w="100" w:type="dxa"/>
              <w:right w:w="108" w:type="dxa"/>
            </w:tcMar>
            <w:vAlign w:val="center"/>
          </w:tcPr>
          <w:p w14:paraId="2746A8F8">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商务技术要求</w:t>
            </w:r>
          </w:p>
        </w:tc>
        <w:tc>
          <w:tcPr>
            <w:tcW w:w="1134" w:type="pct"/>
            <w:tcBorders>
              <w:top w:val="single" w:color="000000" w:sz="2" w:space="0"/>
              <w:left w:val="single" w:color="000000" w:sz="2" w:space="0"/>
              <w:bottom w:val="single" w:color="000000" w:sz="2" w:space="0"/>
              <w:right w:val="single" w:color="000000" w:sz="2" w:space="0"/>
            </w:tcBorders>
            <w:vAlign w:val="center"/>
          </w:tcPr>
          <w:p w14:paraId="2D50113D">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70</w:t>
            </w:r>
          </w:p>
        </w:tc>
        <w:tc>
          <w:tcPr>
            <w:tcW w:w="1140" w:type="pct"/>
            <w:tcBorders>
              <w:top w:val="single" w:color="000000" w:sz="2" w:space="0"/>
              <w:left w:val="single" w:color="000000" w:sz="2" w:space="0"/>
              <w:bottom w:val="single" w:color="000000" w:sz="2" w:space="0"/>
              <w:right w:val="single" w:color="000000" w:sz="2" w:space="0"/>
            </w:tcBorders>
            <w:vAlign w:val="center"/>
          </w:tcPr>
          <w:p w14:paraId="086D3B62">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70</w:t>
            </w:r>
            <w:r>
              <w:rPr>
                <w:rFonts w:ascii="Times New Roman" w:hAnsi="Times New Roman" w:eastAsia="仿宋_GB2312"/>
                <w:color w:val="auto"/>
                <w:kern w:val="0"/>
                <w:sz w:val="24"/>
                <w:szCs w:val="24"/>
                <w:highlight w:val="none"/>
              </w:rPr>
              <w:t>%</w:t>
            </w:r>
          </w:p>
        </w:tc>
      </w:tr>
      <w:tr w14:paraId="5CD6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1777292D">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sz w:val="24"/>
                <w:szCs w:val="24"/>
                <w:highlight w:val="none"/>
              </w:rPr>
              <w:t>F1、F2分别为各项评审因素的汇总得分</w:t>
            </w:r>
          </w:p>
        </w:tc>
      </w:tr>
      <w:tr w14:paraId="38A5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2" w:space="0"/>
              <w:left w:val="single" w:color="000000" w:sz="2" w:space="0"/>
              <w:bottom w:val="single" w:color="auto" w:sz="4" w:space="0"/>
              <w:right w:val="single" w:color="000000" w:sz="2" w:space="0"/>
            </w:tcBorders>
            <w:noWrap/>
            <w:tcMar>
              <w:top w:w="100" w:type="dxa"/>
              <w:left w:w="108" w:type="dxa"/>
              <w:bottom w:w="100" w:type="dxa"/>
              <w:right w:w="108" w:type="dxa"/>
            </w:tcMar>
            <w:vAlign w:val="center"/>
          </w:tcPr>
          <w:p w14:paraId="618A4811">
            <w:pPr>
              <w:widowControl/>
              <w:jc w:val="center"/>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评审细则（详见下表）</w:t>
            </w:r>
          </w:p>
        </w:tc>
      </w:tr>
      <w:tr w14:paraId="2ADE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2E02287D">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综合得分=F1+F2</w:t>
            </w:r>
          </w:p>
        </w:tc>
      </w:tr>
      <w:tr w14:paraId="1B18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70FD770D">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kern w:val="0"/>
                <w:sz w:val="24"/>
                <w:szCs w:val="24"/>
                <w:highlight w:val="none"/>
              </w:rPr>
              <w:t>公式：F1</w:t>
            </w:r>
            <w:r>
              <w:rPr>
                <w:rFonts w:ascii="Times New Roman" w:hAnsi="Times New Roman" w:eastAsia="仿宋_GB2312"/>
                <w:color w:val="auto"/>
                <w:sz w:val="24"/>
                <w:szCs w:val="24"/>
                <w:highlight w:val="none"/>
              </w:rPr>
              <w:t>=（评标基准价／投标报价）×价格权值×100</w:t>
            </w:r>
          </w:p>
        </w:tc>
      </w:tr>
      <w:tr w14:paraId="58A3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0" w:type="pct"/>
            <w:gridSpan w:val="4"/>
            <w:tcBorders>
              <w:top w:val="single" w:color="000000" w:sz="6" w:space="0"/>
              <w:left w:val="single" w:color="000000" w:sz="6" w:space="0"/>
              <w:bottom w:val="single" w:color="000000" w:sz="6" w:space="0"/>
              <w:right w:val="single" w:color="000000" w:sz="6" w:space="0"/>
            </w:tcBorders>
            <w:noWrap/>
            <w:tcMar>
              <w:top w:w="100" w:type="dxa"/>
              <w:left w:w="108" w:type="dxa"/>
              <w:bottom w:w="100" w:type="dxa"/>
              <w:right w:w="108" w:type="dxa"/>
            </w:tcMar>
            <w:vAlign w:val="center"/>
          </w:tcPr>
          <w:p w14:paraId="62950648">
            <w:pPr>
              <w:adjustRightInd w:val="0"/>
              <w:snapToGrid w:val="0"/>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F2=评标委员会各成员对商务标评分总和的算术平均值</w:t>
            </w:r>
          </w:p>
        </w:tc>
      </w:tr>
      <w:tr w14:paraId="6C4B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65ECDB0B">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推荐的中标候选人数量 </w:t>
            </w:r>
          </w:p>
        </w:tc>
        <w:tc>
          <w:tcPr>
            <w:tcW w:w="3485" w:type="pct"/>
            <w:gridSpan w:val="3"/>
            <w:tcBorders>
              <w:top w:val="single" w:color="000000" w:sz="6" w:space="0"/>
              <w:left w:val="single" w:color="auto" w:sz="4" w:space="0"/>
              <w:bottom w:val="single" w:color="000000" w:sz="6" w:space="0"/>
              <w:right w:val="single" w:color="000000" w:sz="6" w:space="0"/>
            </w:tcBorders>
            <w:vAlign w:val="center"/>
          </w:tcPr>
          <w:p w14:paraId="6DAD1FEB">
            <w:pPr>
              <w:spacing w:line="36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三名</w:t>
            </w:r>
          </w:p>
        </w:tc>
      </w:tr>
      <w:tr w14:paraId="67E5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blHeader/>
        </w:trPr>
        <w:tc>
          <w:tcPr>
            <w:tcW w:w="1514" w:type="pct"/>
            <w:tcBorders>
              <w:top w:val="single" w:color="000000" w:sz="6" w:space="0"/>
              <w:left w:val="single" w:color="000000" w:sz="6" w:space="0"/>
              <w:bottom w:val="single" w:color="000000" w:sz="6" w:space="0"/>
              <w:right w:val="single" w:color="auto" w:sz="4" w:space="0"/>
            </w:tcBorders>
            <w:noWrap/>
            <w:tcMar>
              <w:top w:w="100" w:type="dxa"/>
              <w:left w:w="108" w:type="dxa"/>
              <w:bottom w:w="100" w:type="dxa"/>
              <w:right w:w="108" w:type="dxa"/>
            </w:tcMar>
            <w:vAlign w:val="center"/>
          </w:tcPr>
          <w:p w14:paraId="24AE2400">
            <w:pPr>
              <w:spacing w:line="36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说明</w:t>
            </w:r>
          </w:p>
        </w:tc>
        <w:tc>
          <w:tcPr>
            <w:tcW w:w="3485" w:type="pct"/>
            <w:gridSpan w:val="3"/>
            <w:tcBorders>
              <w:top w:val="single" w:color="000000" w:sz="6" w:space="0"/>
              <w:left w:val="single" w:color="000000" w:sz="6" w:space="0"/>
              <w:bottom w:val="single" w:color="000000" w:sz="6" w:space="0"/>
              <w:right w:val="single" w:color="000000" w:sz="6" w:space="0"/>
            </w:tcBorders>
            <w:vAlign w:val="center"/>
          </w:tcPr>
          <w:p w14:paraId="01433D0F">
            <w:pPr>
              <w:spacing w:line="360" w:lineRule="atLeas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1、价格权值：综合评分法中货物或服务项目的价格分值占总分值（100分）的比重。</w:t>
            </w:r>
          </w:p>
          <w:p w14:paraId="349FF8B4">
            <w:pPr>
              <w:spacing w:line="360" w:lineRule="atLeas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2、计算过程中，算术平均值保留2位小数（百分比亦取2位小数），第三位小数四舍五入。</w:t>
            </w:r>
          </w:p>
        </w:tc>
      </w:tr>
    </w:tbl>
    <w:p w14:paraId="06C954FE">
      <w:pPr>
        <w:spacing w:line="360" w:lineRule="atLeast"/>
        <w:rPr>
          <w:rFonts w:ascii="Times New Roman" w:hAnsi="Times New Roman" w:eastAsia="仿宋_GB2312"/>
          <w:color w:val="auto"/>
          <w:sz w:val="24"/>
          <w:szCs w:val="24"/>
          <w:highlight w:val="none"/>
        </w:rPr>
      </w:pPr>
    </w:p>
    <w:tbl>
      <w:tblPr>
        <w:tblStyle w:val="29"/>
        <w:tblW w:w="5000" w:type="pct"/>
        <w:tblInd w:w="0" w:type="dxa"/>
        <w:tblLayout w:type="fixed"/>
        <w:tblCellMar>
          <w:top w:w="0" w:type="dxa"/>
          <w:left w:w="108" w:type="dxa"/>
          <w:bottom w:w="0" w:type="dxa"/>
          <w:right w:w="108" w:type="dxa"/>
        </w:tblCellMar>
      </w:tblPr>
      <w:tblGrid>
        <w:gridCol w:w="886"/>
        <w:gridCol w:w="643"/>
        <w:gridCol w:w="755"/>
        <w:gridCol w:w="6392"/>
        <w:gridCol w:w="632"/>
        <w:gridCol w:w="654"/>
      </w:tblGrid>
      <w:tr w14:paraId="17E26986">
        <w:tblPrEx>
          <w:tblCellMar>
            <w:top w:w="0" w:type="dxa"/>
            <w:left w:w="108" w:type="dxa"/>
            <w:bottom w:w="0" w:type="dxa"/>
            <w:right w:w="108" w:type="dxa"/>
          </w:tblCellMar>
        </w:tblPrEx>
        <w:trPr>
          <w:trHeight w:val="525"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20DE971">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b/>
                <w:bCs/>
                <w:color w:val="auto"/>
                <w:sz w:val="24"/>
                <w:szCs w:val="24"/>
                <w:highlight w:val="none"/>
              </w:rPr>
              <w:t>评审细则表</w:t>
            </w:r>
          </w:p>
        </w:tc>
      </w:tr>
      <w:tr w14:paraId="146BF83A">
        <w:tblPrEx>
          <w:tblCellMar>
            <w:top w:w="0" w:type="dxa"/>
            <w:left w:w="108" w:type="dxa"/>
            <w:bottom w:w="0" w:type="dxa"/>
            <w:right w:w="108" w:type="dxa"/>
          </w:tblCellMar>
        </w:tblPrEx>
        <w:trPr>
          <w:trHeight w:val="480" w:hRule="atLeast"/>
        </w:trPr>
        <w:tc>
          <w:tcPr>
            <w:tcW w:w="768" w:type="pct"/>
            <w:gridSpan w:val="2"/>
            <w:tcBorders>
              <w:top w:val="single" w:color="auto" w:sz="4" w:space="0"/>
              <w:left w:val="single" w:color="auto" w:sz="4" w:space="0"/>
              <w:bottom w:val="single" w:color="auto" w:sz="4" w:space="0"/>
              <w:right w:val="single" w:color="auto" w:sz="4" w:space="0"/>
            </w:tcBorders>
            <w:vAlign w:val="center"/>
          </w:tcPr>
          <w:p w14:paraId="161785A9">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名称</w:t>
            </w:r>
          </w:p>
        </w:tc>
        <w:tc>
          <w:tcPr>
            <w:tcW w:w="3587" w:type="pct"/>
            <w:gridSpan w:val="2"/>
            <w:tcBorders>
              <w:top w:val="single" w:color="auto" w:sz="4" w:space="0"/>
              <w:left w:val="nil"/>
              <w:bottom w:val="single" w:color="auto" w:sz="4" w:space="0"/>
              <w:right w:val="single" w:color="auto" w:sz="4" w:space="0"/>
            </w:tcBorders>
            <w:vAlign w:val="center"/>
          </w:tcPr>
          <w:p w14:paraId="6F0B7A8C">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评审因素</w:t>
            </w:r>
          </w:p>
        </w:tc>
        <w:tc>
          <w:tcPr>
            <w:tcW w:w="644" w:type="pct"/>
            <w:gridSpan w:val="2"/>
            <w:tcBorders>
              <w:top w:val="single" w:color="auto" w:sz="4" w:space="0"/>
              <w:left w:val="nil"/>
              <w:bottom w:val="single" w:color="auto" w:sz="4" w:space="0"/>
              <w:right w:val="single" w:color="auto" w:sz="4" w:space="0"/>
            </w:tcBorders>
            <w:vAlign w:val="center"/>
          </w:tcPr>
          <w:p w14:paraId="7BB5D378">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权值</w:t>
            </w:r>
          </w:p>
        </w:tc>
      </w:tr>
      <w:tr w14:paraId="2A1BD6BB">
        <w:tblPrEx>
          <w:tblCellMar>
            <w:top w:w="0" w:type="dxa"/>
            <w:left w:w="108" w:type="dxa"/>
            <w:bottom w:w="0" w:type="dxa"/>
            <w:right w:w="108" w:type="dxa"/>
          </w:tblCellMar>
        </w:tblPrEx>
        <w:trPr>
          <w:trHeight w:val="480" w:hRule="atLeast"/>
        </w:trPr>
        <w:tc>
          <w:tcPr>
            <w:tcW w:w="768" w:type="pct"/>
            <w:gridSpan w:val="2"/>
            <w:tcBorders>
              <w:top w:val="single" w:color="auto" w:sz="4" w:space="0"/>
              <w:left w:val="single" w:color="auto" w:sz="4" w:space="0"/>
              <w:bottom w:val="single" w:color="auto" w:sz="4" w:space="0"/>
              <w:right w:val="single" w:color="auto" w:sz="4" w:space="0"/>
            </w:tcBorders>
            <w:vAlign w:val="center"/>
          </w:tcPr>
          <w:p w14:paraId="5D978DE6">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F1经济部分</w:t>
            </w:r>
          </w:p>
        </w:tc>
        <w:tc>
          <w:tcPr>
            <w:tcW w:w="3587" w:type="pct"/>
            <w:gridSpan w:val="2"/>
            <w:tcBorders>
              <w:top w:val="single" w:color="auto" w:sz="4" w:space="0"/>
              <w:left w:val="nil"/>
              <w:bottom w:val="single" w:color="auto" w:sz="4" w:space="0"/>
              <w:right w:val="single" w:color="auto" w:sz="4" w:space="0"/>
            </w:tcBorders>
            <w:vAlign w:val="center"/>
          </w:tcPr>
          <w:p w14:paraId="63863BF8">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报价</w:t>
            </w:r>
          </w:p>
        </w:tc>
        <w:tc>
          <w:tcPr>
            <w:tcW w:w="644" w:type="pct"/>
            <w:gridSpan w:val="2"/>
            <w:tcBorders>
              <w:top w:val="single" w:color="auto" w:sz="4" w:space="0"/>
              <w:left w:val="nil"/>
              <w:bottom w:val="single" w:color="auto" w:sz="4" w:space="0"/>
              <w:right w:val="single" w:color="auto" w:sz="4" w:space="0"/>
            </w:tcBorders>
            <w:vAlign w:val="center"/>
          </w:tcPr>
          <w:p w14:paraId="369E7CE4">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r>
              <w:rPr>
                <w:rFonts w:ascii="Times New Roman" w:hAnsi="Times New Roman" w:eastAsia="仿宋_GB2312"/>
                <w:color w:val="auto"/>
                <w:kern w:val="0"/>
                <w:sz w:val="24"/>
                <w:szCs w:val="24"/>
                <w:highlight w:val="none"/>
              </w:rPr>
              <w:t>.00%</w:t>
            </w:r>
          </w:p>
        </w:tc>
      </w:tr>
      <w:tr w14:paraId="0307F93F">
        <w:tblPrEx>
          <w:tblCellMar>
            <w:top w:w="0" w:type="dxa"/>
            <w:left w:w="108" w:type="dxa"/>
            <w:bottom w:w="0" w:type="dxa"/>
            <w:right w:w="108" w:type="dxa"/>
          </w:tblCellMar>
        </w:tblPrEx>
        <w:trPr>
          <w:trHeight w:val="480" w:hRule="atLeast"/>
        </w:trPr>
        <w:tc>
          <w:tcPr>
            <w:tcW w:w="768" w:type="pct"/>
            <w:gridSpan w:val="2"/>
            <w:tcBorders>
              <w:top w:val="single" w:color="auto" w:sz="4" w:space="0"/>
              <w:left w:val="single" w:color="auto" w:sz="4" w:space="0"/>
              <w:bottom w:val="single" w:color="auto" w:sz="4" w:space="0"/>
              <w:right w:val="single" w:color="auto" w:sz="4" w:space="0"/>
            </w:tcBorders>
            <w:vAlign w:val="center"/>
          </w:tcPr>
          <w:p w14:paraId="71221E7A">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F2商务技术部分</w:t>
            </w:r>
          </w:p>
        </w:tc>
        <w:tc>
          <w:tcPr>
            <w:tcW w:w="3587" w:type="pct"/>
            <w:gridSpan w:val="2"/>
            <w:tcBorders>
              <w:top w:val="single" w:color="auto" w:sz="4" w:space="0"/>
              <w:left w:val="nil"/>
              <w:bottom w:val="single" w:color="auto" w:sz="4" w:space="0"/>
              <w:right w:val="single" w:color="auto" w:sz="4" w:space="0"/>
            </w:tcBorders>
            <w:vAlign w:val="center"/>
          </w:tcPr>
          <w:p w14:paraId="185C4686">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商务技术要求</w:t>
            </w:r>
          </w:p>
        </w:tc>
        <w:tc>
          <w:tcPr>
            <w:tcW w:w="644" w:type="pct"/>
            <w:gridSpan w:val="2"/>
            <w:tcBorders>
              <w:top w:val="single" w:color="auto" w:sz="4" w:space="0"/>
              <w:left w:val="nil"/>
              <w:bottom w:val="single" w:color="auto" w:sz="4" w:space="0"/>
              <w:right w:val="single" w:color="auto" w:sz="4" w:space="0"/>
            </w:tcBorders>
            <w:vAlign w:val="center"/>
          </w:tcPr>
          <w:p w14:paraId="357EB638">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7</w:t>
            </w:r>
            <w:r>
              <w:rPr>
                <w:rFonts w:ascii="Times New Roman" w:hAnsi="Times New Roman" w:eastAsia="仿宋_GB2312"/>
                <w:color w:val="auto"/>
                <w:kern w:val="0"/>
                <w:sz w:val="24"/>
                <w:szCs w:val="24"/>
                <w:highlight w:val="none"/>
              </w:rPr>
              <w:t>0.00%</w:t>
            </w:r>
          </w:p>
        </w:tc>
      </w:tr>
      <w:tr w14:paraId="2FFA83C0">
        <w:tblPrEx>
          <w:tblCellMar>
            <w:top w:w="0" w:type="dxa"/>
            <w:left w:w="108" w:type="dxa"/>
            <w:bottom w:w="0" w:type="dxa"/>
            <w:right w:w="108" w:type="dxa"/>
          </w:tblCellMar>
        </w:tblPrEx>
        <w:trPr>
          <w:trHeight w:val="4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FD343F1">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F1、F2分别为各项评审因素的汇总得分</w:t>
            </w:r>
          </w:p>
        </w:tc>
      </w:tr>
      <w:tr w14:paraId="0EFA85D1">
        <w:tblPrEx>
          <w:tblCellMar>
            <w:top w:w="0" w:type="dxa"/>
            <w:left w:w="108" w:type="dxa"/>
            <w:bottom w:w="0" w:type="dxa"/>
            <w:right w:w="108" w:type="dxa"/>
          </w:tblCellMar>
        </w:tblPrEx>
        <w:trPr>
          <w:trHeight w:val="702" w:hRule="atLeast"/>
        </w:trPr>
        <w:tc>
          <w:tcPr>
            <w:tcW w:w="445" w:type="pct"/>
            <w:tcBorders>
              <w:top w:val="nil"/>
              <w:left w:val="single" w:color="auto" w:sz="4" w:space="0"/>
              <w:bottom w:val="single" w:color="auto" w:sz="4" w:space="0"/>
              <w:right w:val="single" w:color="auto" w:sz="4" w:space="0"/>
            </w:tcBorders>
            <w:vAlign w:val="center"/>
          </w:tcPr>
          <w:p w14:paraId="6D95A59C">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评审因素</w:t>
            </w:r>
          </w:p>
        </w:tc>
        <w:tc>
          <w:tcPr>
            <w:tcW w:w="323" w:type="pct"/>
            <w:tcBorders>
              <w:top w:val="nil"/>
              <w:left w:val="nil"/>
              <w:bottom w:val="single" w:color="auto" w:sz="4" w:space="0"/>
              <w:right w:val="single" w:color="auto" w:sz="4" w:space="0"/>
            </w:tcBorders>
            <w:vAlign w:val="center"/>
          </w:tcPr>
          <w:p w14:paraId="3ABE5463">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序号</w:t>
            </w:r>
          </w:p>
        </w:tc>
        <w:tc>
          <w:tcPr>
            <w:tcW w:w="379" w:type="pct"/>
            <w:tcBorders>
              <w:top w:val="nil"/>
              <w:left w:val="nil"/>
              <w:bottom w:val="single" w:color="auto" w:sz="4" w:space="0"/>
              <w:right w:val="single" w:color="auto" w:sz="4" w:space="0"/>
            </w:tcBorders>
            <w:vAlign w:val="center"/>
          </w:tcPr>
          <w:p w14:paraId="46EA97B2">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评审点名称</w:t>
            </w:r>
          </w:p>
        </w:tc>
        <w:tc>
          <w:tcPr>
            <w:tcW w:w="3207" w:type="pct"/>
            <w:tcBorders>
              <w:top w:val="nil"/>
              <w:left w:val="nil"/>
              <w:bottom w:val="single" w:color="auto" w:sz="4" w:space="0"/>
              <w:right w:val="single" w:color="auto" w:sz="4" w:space="0"/>
            </w:tcBorders>
            <w:vAlign w:val="center"/>
          </w:tcPr>
          <w:p w14:paraId="7ECA68F8">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评审标准</w:t>
            </w:r>
          </w:p>
        </w:tc>
        <w:tc>
          <w:tcPr>
            <w:tcW w:w="317" w:type="pct"/>
            <w:tcBorders>
              <w:top w:val="nil"/>
              <w:left w:val="nil"/>
              <w:bottom w:val="single" w:color="auto" w:sz="4" w:space="0"/>
              <w:right w:val="single" w:color="auto" w:sz="4" w:space="0"/>
            </w:tcBorders>
            <w:vAlign w:val="center"/>
          </w:tcPr>
          <w:p w14:paraId="00F669A4">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分值</w:t>
            </w:r>
          </w:p>
        </w:tc>
        <w:tc>
          <w:tcPr>
            <w:tcW w:w="327" w:type="pct"/>
            <w:tcBorders>
              <w:top w:val="nil"/>
              <w:left w:val="nil"/>
              <w:bottom w:val="single" w:color="auto" w:sz="4" w:space="0"/>
              <w:right w:val="single" w:color="auto" w:sz="4" w:space="0"/>
            </w:tcBorders>
            <w:vAlign w:val="center"/>
          </w:tcPr>
          <w:p w14:paraId="21889CB1">
            <w:pPr>
              <w:widowControl/>
              <w:jc w:val="center"/>
              <w:rPr>
                <w:rFonts w:ascii="Times New Roman" w:hAnsi="Times New Roman" w:eastAsia="仿宋_GB2312"/>
                <w:b/>
                <w:bCs/>
                <w:color w:val="auto"/>
                <w:kern w:val="0"/>
                <w:sz w:val="24"/>
                <w:szCs w:val="24"/>
                <w:highlight w:val="none"/>
              </w:rPr>
            </w:pPr>
            <w:r>
              <w:rPr>
                <w:rFonts w:ascii="Times New Roman" w:hAnsi="Times New Roman" w:eastAsia="仿宋_GB2312"/>
                <w:b/>
                <w:bCs/>
                <w:color w:val="auto"/>
                <w:kern w:val="0"/>
                <w:sz w:val="24"/>
                <w:szCs w:val="24"/>
                <w:highlight w:val="none"/>
              </w:rPr>
              <w:t>权值</w:t>
            </w:r>
          </w:p>
        </w:tc>
      </w:tr>
      <w:tr w14:paraId="50AF8DF6">
        <w:tblPrEx>
          <w:tblCellMar>
            <w:top w:w="0" w:type="dxa"/>
            <w:left w:w="108" w:type="dxa"/>
            <w:bottom w:w="0" w:type="dxa"/>
            <w:right w:w="108" w:type="dxa"/>
          </w:tblCellMar>
        </w:tblPrEx>
        <w:trPr>
          <w:trHeight w:val="1482" w:hRule="atLeast"/>
        </w:trPr>
        <w:tc>
          <w:tcPr>
            <w:tcW w:w="445" w:type="pct"/>
            <w:vMerge w:val="restart"/>
            <w:tcBorders>
              <w:top w:val="nil"/>
              <w:left w:val="single" w:color="auto" w:sz="4" w:space="0"/>
              <w:bottom w:val="single" w:color="auto" w:sz="4" w:space="0"/>
              <w:right w:val="single" w:color="auto" w:sz="4" w:space="0"/>
            </w:tcBorders>
            <w:vAlign w:val="center"/>
          </w:tcPr>
          <w:p w14:paraId="6C3EE0DF">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经济部分</w:t>
            </w:r>
          </w:p>
        </w:tc>
        <w:tc>
          <w:tcPr>
            <w:tcW w:w="323" w:type="pct"/>
            <w:vMerge w:val="restart"/>
            <w:tcBorders>
              <w:top w:val="nil"/>
              <w:left w:val="single" w:color="auto" w:sz="4" w:space="0"/>
              <w:bottom w:val="single" w:color="auto" w:sz="4" w:space="0"/>
              <w:right w:val="single" w:color="auto" w:sz="4" w:space="0"/>
            </w:tcBorders>
            <w:vAlign w:val="center"/>
          </w:tcPr>
          <w:p w14:paraId="0858A491">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1</w:t>
            </w:r>
          </w:p>
        </w:tc>
        <w:tc>
          <w:tcPr>
            <w:tcW w:w="379" w:type="pct"/>
            <w:vMerge w:val="restart"/>
            <w:tcBorders>
              <w:top w:val="nil"/>
              <w:left w:val="single" w:color="auto" w:sz="4" w:space="0"/>
              <w:bottom w:val="single" w:color="auto" w:sz="4" w:space="0"/>
              <w:right w:val="single" w:color="auto" w:sz="4" w:space="0"/>
            </w:tcBorders>
            <w:vAlign w:val="center"/>
          </w:tcPr>
          <w:p w14:paraId="19E07F03">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价格评审</w:t>
            </w:r>
          </w:p>
        </w:tc>
        <w:tc>
          <w:tcPr>
            <w:tcW w:w="3207" w:type="pct"/>
            <w:tcBorders>
              <w:top w:val="nil"/>
              <w:left w:val="nil"/>
              <w:bottom w:val="single" w:color="auto" w:sz="4" w:space="0"/>
              <w:right w:val="single" w:color="auto" w:sz="4" w:space="0"/>
            </w:tcBorders>
            <w:vAlign w:val="center"/>
          </w:tcPr>
          <w:p w14:paraId="42D2FCE5">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经济部分采用低价优先法计算，即满足招标文件要求且</w:t>
            </w: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价格最低的报价为评审基准价，其经济得分为满分，其他有效</w:t>
            </w:r>
            <w:r>
              <w:rPr>
                <w:rFonts w:ascii="Times New Roman" w:hAnsi="Times New Roman" w:eastAsia="仿宋_GB2312"/>
                <w:color w:val="auto"/>
                <w:sz w:val="24"/>
                <w:szCs w:val="24"/>
                <w:highlight w:val="none"/>
              </w:rPr>
              <w:t>投标人</w:t>
            </w:r>
            <w:r>
              <w:rPr>
                <w:rFonts w:ascii="Times New Roman" w:hAnsi="Times New Roman" w:eastAsia="仿宋_GB2312"/>
                <w:color w:val="auto"/>
                <w:kern w:val="0"/>
                <w:sz w:val="24"/>
                <w:szCs w:val="24"/>
                <w:highlight w:val="none"/>
              </w:rPr>
              <w:t>的经济得分统一按照下列公式计算：</w:t>
            </w:r>
          </w:p>
        </w:tc>
        <w:tc>
          <w:tcPr>
            <w:tcW w:w="317" w:type="pct"/>
            <w:vMerge w:val="restart"/>
            <w:tcBorders>
              <w:top w:val="nil"/>
              <w:left w:val="single" w:color="auto" w:sz="4" w:space="0"/>
              <w:bottom w:val="single" w:color="auto" w:sz="4" w:space="0"/>
              <w:right w:val="single" w:color="auto" w:sz="4" w:space="0"/>
            </w:tcBorders>
            <w:vAlign w:val="center"/>
          </w:tcPr>
          <w:p w14:paraId="3641E51C">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p>
        </w:tc>
        <w:tc>
          <w:tcPr>
            <w:tcW w:w="327" w:type="pct"/>
            <w:vMerge w:val="restart"/>
            <w:tcBorders>
              <w:top w:val="nil"/>
              <w:left w:val="single" w:color="auto" w:sz="4" w:space="0"/>
              <w:bottom w:val="single" w:color="auto" w:sz="4" w:space="0"/>
              <w:right w:val="single" w:color="auto" w:sz="4" w:space="0"/>
            </w:tcBorders>
            <w:vAlign w:val="center"/>
          </w:tcPr>
          <w:p w14:paraId="638B1DBD">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30</w:t>
            </w:r>
            <w:r>
              <w:rPr>
                <w:rFonts w:ascii="Times New Roman" w:hAnsi="Times New Roman" w:eastAsia="仿宋_GB2312"/>
                <w:color w:val="auto"/>
                <w:kern w:val="0"/>
                <w:sz w:val="24"/>
                <w:szCs w:val="24"/>
                <w:highlight w:val="none"/>
              </w:rPr>
              <w:t>.00%</w:t>
            </w:r>
          </w:p>
        </w:tc>
      </w:tr>
      <w:tr w14:paraId="0E3F6134">
        <w:tblPrEx>
          <w:tblCellMar>
            <w:top w:w="0" w:type="dxa"/>
            <w:left w:w="108" w:type="dxa"/>
            <w:bottom w:w="0" w:type="dxa"/>
            <w:right w:w="108" w:type="dxa"/>
          </w:tblCellMar>
        </w:tblPrEx>
        <w:trPr>
          <w:trHeight w:val="799" w:hRule="atLeast"/>
        </w:trPr>
        <w:tc>
          <w:tcPr>
            <w:tcW w:w="445" w:type="pct"/>
            <w:vMerge w:val="continue"/>
            <w:tcBorders>
              <w:top w:val="nil"/>
              <w:left w:val="single" w:color="auto" w:sz="4" w:space="0"/>
              <w:bottom w:val="single" w:color="auto" w:sz="4" w:space="0"/>
              <w:right w:val="single" w:color="auto" w:sz="4" w:space="0"/>
            </w:tcBorders>
            <w:vAlign w:val="center"/>
          </w:tcPr>
          <w:p w14:paraId="546B23CF">
            <w:pPr>
              <w:widowControl/>
              <w:jc w:val="left"/>
              <w:rPr>
                <w:rFonts w:ascii="Times New Roman" w:hAnsi="Times New Roman" w:eastAsia="仿宋_GB2312"/>
                <w:color w:val="auto"/>
                <w:kern w:val="0"/>
                <w:sz w:val="24"/>
                <w:szCs w:val="24"/>
                <w:highlight w:val="none"/>
              </w:rPr>
            </w:pPr>
          </w:p>
        </w:tc>
        <w:tc>
          <w:tcPr>
            <w:tcW w:w="323" w:type="pct"/>
            <w:vMerge w:val="continue"/>
            <w:tcBorders>
              <w:top w:val="nil"/>
              <w:left w:val="single" w:color="auto" w:sz="4" w:space="0"/>
              <w:bottom w:val="single" w:color="auto" w:sz="4" w:space="0"/>
              <w:right w:val="single" w:color="auto" w:sz="4" w:space="0"/>
            </w:tcBorders>
            <w:vAlign w:val="center"/>
          </w:tcPr>
          <w:p w14:paraId="26993D43">
            <w:pPr>
              <w:widowControl/>
              <w:jc w:val="left"/>
              <w:rPr>
                <w:rFonts w:ascii="Times New Roman" w:hAnsi="Times New Roman" w:eastAsia="仿宋_GB2312"/>
                <w:color w:val="auto"/>
                <w:kern w:val="0"/>
                <w:sz w:val="24"/>
                <w:szCs w:val="24"/>
                <w:highlight w:val="none"/>
              </w:rPr>
            </w:pPr>
          </w:p>
        </w:tc>
        <w:tc>
          <w:tcPr>
            <w:tcW w:w="379" w:type="pct"/>
            <w:vMerge w:val="continue"/>
            <w:tcBorders>
              <w:top w:val="nil"/>
              <w:left w:val="single" w:color="auto" w:sz="4" w:space="0"/>
              <w:bottom w:val="single" w:color="auto" w:sz="4" w:space="0"/>
              <w:right w:val="single" w:color="auto" w:sz="4" w:space="0"/>
            </w:tcBorders>
            <w:vAlign w:val="center"/>
          </w:tcPr>
          <w:p w14:paraId="7332FCE0">
            <w:pPr>
              <w:widowControl/>
              <w:jc w:val="left"/>
              <w:rPr>
                <w:rFonts w:ascii="Times New Roman" w:hAnsi="Times New Roman" w:eastAsia="仿宋_GB2312"/>
                <w:color w:val="auto"/>
                <w:kern w:val="0"/>
                <w:sz w:val="24"/>
                <w:szCs w:val="24"/>
                <w:highlight w:val="none"/>
              </w:rPr>
            </w:pPr>
          </w:p>
        </w:tc>
        <w:tc>
          <w:tcPr>
            <w:tcW w:w="3207" w:type="pct"/>
            <w:tcBorders>
              <w:top w:val="nil"/>
              <w:left w:val="nil"/>
              <w:bottom w:val="single" w:color="auto" w:sz="4" w:space="0"/>
              <w:right w:val="single" w:color="auto" w:sz="4" w:space="0"/>
            </w:tcBorders>
            <w:vAlign w:val="center"/>
          </w:tcPr>
          <w:p w14:paraId="042BF470">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经济得分=（评审基准价／</w:t>
            </w:r>
            <w:r>
              <w:rPr>
                <w:rFonts w:ascii="Times New Roman" w:hAnsi="Times New Roman" w:eastAsia="仿宋_GB2312"/>
                <w:color w:val="auto"/>
                <w:sz w:val="24"/>
                <w:szCs w:val="24"/>
                <w:highlight w:val="none"/>
              </w:rPr>
              <w:t>投标</w:t>
            </w:r>
            <w:r>
              <w:rPr>
                <w:rFonts w:ascii="Times New Roman" w:hAnsi="Times New Roman" w:eastAsia="仿宋_GB2312"/>
                <w:color w:val="auto"/>
                <w:kern w:val="0"/>
                <w:sz w:val="24"/>
                <w:szCs w:val="24"/>
                <w:highlight w:val="none"/>
              </w:rPr>
              <w:t>报价）× 价格权值×100</w:t>
            </w:r>
          </w:p>
        </w:tc>
        <w:tc>
          <w:tcPr>
            <w:tcW w:w="317" w:type="pct"/>
            <w:vMerge w:val="continue"/>
            <w:tcBorders>
              <w:top w:val="nil"/>
              <w:left w:val="single" w:color="auto" w:sz="4" w:space="0"/>
              <w:bottom w:val="single" w:color="auto" w:sz="4" w:space="0"/>
              <w:right w:val="single" w:color="auto" w:sz="4" w:space="0"/>
            </w:tcBorders>
            <w:vAlign w:val="center"/>
          </w:tcPr>
          <w:p w14:paraId="678A0903">
            <w:pPr>
              <w:widowControl/>
              <w:jc w:val="left"/>
              <w:rPr>
                <w:rFonts w:ascii="Times New Roman" w:hAnsi="Times New Roman" w:eastAsia="仿宋_GB2312"/>
                <w:color w:val="auto"/>
                <w:kern w:val="0"/>
                <w:sz w:val="24"/>
                <w:szCs w:val="24"/>
                <w:highlight w:val="none"/>
              </w:rPr>
            </w:pPr>
          </w:p>
        </w:tc>
        <w:tc>
          <w:tcPr>
            <w:tcW w:w="327" w:type="pct"/>
            <w:vMerge w:val="continue"/>
            <w:tcBorders>
              <w:top w:val="nil"/>
              <w:left w:val="single" w:color="auto" w:sz="4" w:space="0"/>
              <w:bottom w:val="single" w:color="auto" w:sz="4" w:space="0"/>
              <w:right w:val="single" w:color="auto" w:sz="4" w:space="0"/>
            </w:tcBorders>
            <w:vAlign w:val="center"/>
          </w:tcPr>
          <w:p w14:paraId="78818A43">
            <w:pPr>
              <w:widowControl/>
              <w:jc w:val="left"/>
              <w:rPr>
                <w:rFonts w:ascii="Times New Roman" w:hAnsi="Times New Roman" w:eastAsia="仿宋_GB2312"/>
                <w:color w:val="auto"/>
                <w:kern w:val="0"/>
                <w:sz w:val="24"/>
                <w:szCs w:val="24"/>
                <w:highlight w:val="none"/>
              </w:rPr>
            </w:pPr>
          </w:p>
        </w:tc>
      </w:tr>
      <w:tr w14:paraId="241A7287">
        <w:tblPrEx>
          <w:tblCellMar>
            <w:top w:w="0" w:type="dxa"/>
            <w:left w:w="108" w:type="dxa"/>
            <w:bottom w:w="0" w:type="dxa"/>
            <w:right w:w="108" w:type="dxa"/>
          </w:tblCellMar>
        </w:tblPrEx>
        <w:trPr>
          <w:trHeight w:val="799" w:hRule="atLeast"/>
        </w:trPr>
        <w:tc>
          <w:tcPr>
            <w:tcW w:w="445" w:type="pct"/>
            <w:vMerge w:val="continue"/>
            <w:tcBorders>
              <w:top w:val="nil"/>
              <w:left w:val="single" w:color="auto" w:sz="4" w:space="0"/>
              <w:bottom w:val="single" w:color="auto" w:sz="4" w:space="0"/>
              <w:right w:val="single" w:color="auto" w:sz="4" w:space="0"/>
            </w:tcBorders>
            <w:vAlign w:val="center"/>
          </w:tcPr>
          <w:p w14:paraId="31ABBA8E">
            <w:pPr>
              <w:widowControl/>
              <w:jc w:val="left"/>
              <w:rPr>
                <w:rFonts w:ascii="Times New Roman" w:hAnsi="Times New Roman" w:eastAsia="仿宋_GB2312"/>
                <w:color w:val="auto"/>
                <w:kern w:val="0"/>
                <w:sz w:val="24"/>
                <w:szCs w:val="24"/>
                <w:highlight w:val="none"/>
              </w:rPr>
            </w:pPr>
          </w:p>
        </w:tc>
        <w:tc>
          <w:tcPr>
            <w:tcW w:w="323" w:type="pct"/>
            <w:vMerge w:val="continue"/>
            <w:tcBorders>
              <w:top w:val="nil"/>
              <w:left w:val="single" w:color="auto" w:sz="4" w:space="0"/>
              <w:bottom w:val="single" w:color="auto" w:sz="4" w:space="0"/>
              <w:right w:val="single" w:color="auto" w:sz="4" w:space="0"/>
            </w:tcBorders>
            <w:vAlign w:val="center"/>
          </w:tcPr>
          <w:p w14:paraId="4207948F">
            <w:pPr>
              <w:widowControl/>
              <w:jc w:val="left"/>
              <w:rPr>
                <w:rFonts w:ascii="Times New Roman" w:hAnsi="Times New Roman" w:eastAsia="仿宋_GB2312"/>
                <w:color w:val="auto"/>
                <w:kern w:val="0"/>
                <w:sz w:val="24"/>
                <w:szCs w:val="24"/>
                <w:highlight w:val="none"/>
              </w:rPr>
            </w:pPr>
          </w:p>
        </w:tc>
        <w:tc>
          <w:tcPr>
            <w:tcW w:w="379" w:type="pct"/>
            <w:vMerge w:val="continue"/>
            <w:tcBorders>
              <w:top w:val="nil"/>
              <w:left w:val="single" w:color="auto" w:sz="4" w:space="0"/>
              <w:bottom w:val="single" w:color="auto" w:sz="4" w:space="0"/>
              <w:right w:val="single" w:color="auto" w:sz="4" w:space="0"/>
            </w:tcBorders>
            <w:vAlign w:val="center"/>
          </w:tcPr>
          <w:p w14:paraId="7343BAD4">
            <w:pPr>
              <w:widowControl/>
              <w:jc w:val="left"/>
              <w:rPr>
                <w:rFonts w:ascii="Times New Roman" w:hAnsi="Times New Roman" w:eastAsia="仿宋_GB2312"/>
                <w:color w:val="auto"/>
                <w:kern w:val="0"/>
                <w:sz w:val="24"/>
                <w:szCs w:val="24"/>
                <w:highlight w:val="none"/>
              </w:rPr>
            </w:pPr>
          </w:p>
        </w:tc>
        <w:tc>
          <w:tcPr>
            <w:tcW w:w="3207" w:type="pct"/>
            <w:tcBorders>
              <w:top w:val="nil"/>
              <w:left w:val="nil"/>
              <w:bottom w:val="single" w:color="auto" w:sz="4" w:space="0"/>
              <w:right w:val="single" w:color="auto" w:sz="4" w:space="0"/>
            </w:tcBorders>
            <w:vAlign w:val="center"/>
          </w:tcPr>
          <w:p w14:paraId="6FAE0E78">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评审过程中，不得去掉报价中的最高报价和最低报价。</w:t>
            </w:r>
          </w:p>
        </w:tc>
        <w:tc>
          <w:tcPr>
            <w:tcW w:w="317" w:type="pct"/>
            <w:vMerge w:val="continue"/>
            <w:tcBorders>
              <w:top w:val="nil"/>
              <w:left w:val="single" w:color="auto" w:sz="4" w:space="0"/>
              <w:bottom w:val="single" w:color="auto" w:sz="4" w:space="0"/>
              <w:right w:val="single" w:color="auto" w:sz="4" w:space="0"/>
            </w:tcBorders>
            <w:vAlign w:val="center"/>
          </w:tcPr>
          <w:p w14:paraId="3013B444">
            <w:pPr>
              <w:widowControl/>
              <w:jc w:val="left"/>
              <w:rPr>
                <w:rFonts w:ascii="Times New Roman" w:hAnsi="Times New Roman" w:eastAsia="仿宋_GB2312"/>
                <w:color w:val="auto"/>
                <w:kern w:val="0"/>
                <w:sz w:val="24"/>
                <w:szCs w:val="24"/>
                <w:highlight w:val="none"/>
              </w:rPr>
            </w:pPr>
          </w:p>
        </w:tc>
        <w:tc>
          <w:tcPr>
            <w:tcW w:w="327" w:type="pct"/>
            <w:vMerge w:val="continue"/>
            <w:tcBorders>
              <w:top w:val="nil"/>
              <w:left w:val="single" w:color="auto" w:sz="4" w:space="0"/>
              <w:bottom w:val="single" w:color="auto" w:sz="4" w:space="0"/>
              <w:right w:val="single" w:color="auto" w:sz="4" w:space="0"/>
            </w:tcBorders>
            <w:vAlign w:val="center"/>
          </w:tcPr>
          <w:p w14:paraId="3EFFFD6F">
            <w:pPr>
              <w:widowControl/>
              <w:jc w:val="left"/>
              <w:rPr>
                <w:rFonts w:ascii="Times New Roman" w:hAnsi="Times New Roman" w:eastAsia="仿宋_GB2312"/>
                <w:color w:val="auto"/>
                <w:kern w:val="0"/>
                <w:sz w:val="24"/>
                <w:szCs w:val="24"/>
                <w:highlight w:val="none"/>
              </w:rPr>
            </w:pPr>
          </w:p>
        </w:tc>
      </w:tr>
      <w:tr w14:paraId="14666389">
        <w:tblPrEx>
          <w:tblCellMar>
            <w:top w:w="0" w:type="dxa"/>
            <w:left w:w="108" w:type="dxa"/>
            <w:bottom w:w="0" w:type="dxa"/>
            <w:right w:w="108" w:type="dxa"/>
          </w:tblCellMar>
        </w:tblPrEx>
        <w:trPr>
          <w:trHeight w:val="2178" w:hRule="atLeast"/>
        </w:trPr>
        <w:tc>
          <w:tcPr>
            <w:tcW w:w="445" w:type="pct"/>
            <w:vMerge w:val="restart"/>
            <w:tcBorders>
              <w:top w:val="single" w:color="auto" w:sz="4" w:space="0"/>
              <w:left w:val="single" w:color="auto" w:sz="4" w:space="0"/>
              <w:right w:val="single" w:color="auto" w:sz="4" w:space="0"/>
            </w:tcBorders>
            <w:vAlign w:val="center"/>
          </w:tcPr>
          <w:p w14:paraId="4E8DE0AE">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商务技术部分</w:t>
            </w:r>
          </w:p>
        </w:tc>
        <w:tc>
          <w:tcPr>
            <w:tcW w:w="323" w:type="pct"/>
            <w:tcBorders>
              <w:top w:val="single" w:color="auto" w:sz="4" w:space="0"/>
              <w:left w:val="single" w:color="auto" w:sz="4" w:space="0"/>
              <w:bottom w:val="single" w:color="auto" w:sz="4" w:space="0"/>
              <w:right w:val="single" w:color="auto" w:sz="4" w:space="0"/>
            </w:tcBorders>
            <w:vAlign w:val="center"/>
          </w:tcPr>
          <w:p w14:paraId="02C28564">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1</w:t>
            </w:r>
          </w:p>
        </w:tc>
        <w:tc>
          <w:tcPr>
            <w:tcW w:w="379" w:type="pct"/>
            <w:tcBorders>
              <w:top w:val="single" w:color="auto" w:sz="4" w:space="0"/>
              <w:left w:val="single" w:color="auto" w:sz="4" w:space="0"/>
              <w:bottom w:val="single" w:color="auto" w:sz="4" w:space="0"/>
              <w:right w:val="single" w:color="auto" w:sz="4" w:space="0"/>
            </w:tcBorders>
            <w:vAlign w:val="center"/>
          </w:tcPr>
          <w:p w14:paraId="24F91217">
            <w:pPr>
              <w:widowControl/>
              <w:jc w:val="cente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highlight w:val="none"/>
              </w:rPr>
              <w:t>类似业绩</w:t>
            </w:r>
          </w:p>
        </w:tc>
        <w:tc>
          <w:tcPr>
            <w:tcW w:w="3207" w:type="pct"/>
            <w:tcBorders>
              <w:top w:val="single" w:color="auto" w:sz="4" w:space="0"/>
              <w:left w:val="single" w:color="auto" w:sz="4" w:space="0"/>
              <w:bottom w:val="single" w:color="auto" w:sz="4" w:space="0"/>
              <w:right w:val="single" w:color="auto" w:sz="4" w:space="0"/>
            </w:tcBorders>
            <w:vAlign w:val="center"/>
          </w:tcPr>
          <w:p w14:paraId="24E649FF">
            <w:pPr>
              <w:widowControl/>
              <w:jc w:val="left"/>
              <w:rPr>
                <w:rFonts w:ascii="Times New Roman" w:hAnsi="Times New Roman" w:eastAsia="仿宋_GB2312"/>
                <w:color w:val="auto"/>
                <w:kern w:val="0"/>
                <w:sz w:val="24"/>
                <w:highlight w:val="none"/>
              </w:rPr>
            </w:pPr>
            <w:r>
              <w:rPr>
                <w:rFonts w:ascii="Times New Roman" w:hAnsi="Times New Roman" w:eastAsia="仿宋_GB2312"/>
                <w:color w:val="auto"/>
                <w:kern w:val="0"/>
                <w:sz w:val="24"/>
                <w:szCs w:val="24"/>
                <w:highlight w:val="none"/>
              </w:rPr>
              <w:t>投标人在投标文件中提供202</w:t>
            </w:r>
            <w:r>
              <w:rPr>
                <w:rFonts w:hint="eastAsia" w:ascii="Times New Roman" w:hAnsi="Times New Roman" w:eastAsia="仿宋_GB2312"/>
                <w:color w:val="auto"/>
                <w:kern w:val="0"/>
                <w:sz w:val="24"/>
                <w:szCs w:val="24"/>
                <w:highlight w:val="none"/>
              </w:rPr>
              <w:t>3</w:t>
            </w:r>
            <w:r>
              <w:rPr>
                <w:rFonts w:ascii="Times New Roman" w:hAnsi="Times New Roman" w:eastAsia="仿宋_GB2312"/>
                <w:color w:val="auto"/>
                <w:kern w:val="0"/>
                <w:sz w:val="24"/>
                <w:szCs w:val="24"/>
                <w:highlight w:val="none"/>
              </w:rPr>
              <w:t>年</w:t>
            </w:r>
            <w:r>
              <w:rPr>
                <w:rFonts w:hint="eastAsia"/>
                <w:highlight w:val="none"/>
                <w:lang w:val="en-US" w:eastAsia="zh-CN"/>
              </w:rPr>
              <w:t>1月1日</w:t>
            </w:r>
            <w:r>
              <w:rPr>
                <w:rFonts w:ascii="Times New Roman" w:hAnsi="Times New Roman" w:eastAsia="仿宋_GB2312"/>
                <w:color w:val="auto"/>
                <w:kern w:val="0"/>
                <w:sz w:val="24"/>
                <w:szCs w:val="24"/>
                <w:highlight w:val="none"/>
              </w:rPr>
              <w:t>（以合同签订时间为准）以来</w:t>
            </w:r>
            <w:r>
              <w:rPr>
                <w:rFonts w:hint="eastAsia" w:ascii="Times New Roman" w:hAnsi="Times New Roman" w:eastAsia="仿宋_GB2312"/>
                <w:color w:val="auto"/>
                <w:kern w:val="0"/>
                <w:sz w:val="24"/>
                <w:szCs w:val="24"/>
                <w:highlight w:val="none"/>
                <w:lang w:eastAsia="zh-CN"/>
              </w:rPr>
              <w:t>，结合本项目的具体特点和实际需要的类似业绩</w:t>
            </w:r>
            <w:r>
              <w:rPr>
                <w:rFonts w:ascii="Times New Roman" w:hAnsi="Times New Roman" w:eastAsia="仿宋_GB2312"/>
                <w:color w:val="auto"/>
                <w:kern w:val="0"/>
                <w:sz w:val="24"/>
                <w:szCs w:val="24"/>
                <w:highlight w:val="none"/>
              </w:rPr>
              <w:t>，每</w:t>
            </w:r>
            <w:r>
              <w:rPr>
                <w:rFonts w:hint="eastAsia" w:ascii="Times New Roman" w:hAnsi="Times New Roman" w:eastAsia="仿宋_GB2312"/>
                <w:color w:val="auto"/>
                <w:kern w:val="0"/>
                <w:sz w:val="24"/>
                <w:szCs w:val="24"/>
                <w:highlight w:val="none"/>
              </w:rPr>
              <w:t>提供</w:t>
            </w:r>
            <w:r>
              <w:rPr>
                <w:rFonts w:ascii="Times New Roman" w:hAnsi="Times New Roman" w:eastAsia="仿宋_GB2312"/>
                <w:color w:val="auto"/>
                <w:kern w:val="0"/>
                <w:sz w:val="24"/>
                <w:szCs w:val="24"/>
                <w:highlight w:val="none"/>
              </w:rPr>
              <w:t>一份有效</w:t>
            </w:r>
            <w:r>
              <w:rPr>
                <w:rFonts w:hint="eastAsia" w:ascii="Times New Roman" w:hAnsi="Times New Roman" w:eastAsia="仿宋_GB2312"/>
                <w:color w:val="auto"/>
                <w:kern w:val="0"/>
                <w:sz w:val="24"/>
                <w:szCs w:val="24"/>
                <w:highlight w:val="none"/>
              </w:rPr>
              <w:t>案例</w:t>
            </w:r>
            <w:r>
              <w:rPr>
                <w:rFonts w:ascii="Times New Roman" w:hAnsi="Times New Roman" w:eastAsia="仿宋_GB2312"/>
                <w:color w:val="auto"/>
                <w:kern w:val="0"/>
                <w:sz w:val="24"/>
                <w:szCs w:val="24"/>
                <w:highlight w:val="none"/>
              </w:rPr>
              <w:t>得</w:t>
            </w:r>
            <w:r>
              <w:rPr>
                <w:rFonts w:hint="eastAsia" w:ascii="Times New Roman" w:hAnsi="Times New Roman" w:eastAsia="仿宋_GB2312"/>
                <w:color w:val="auto"/>
                <w:kern w:val="0"/>
                <w:sz w:val="24"/>
                <w:highlight w:val="none"/>
              </w:rPr>
              <w:t>2</w:t>
            </w:r>
            <w:r>
              <w:rPr>
                <w:rFonts w:ascii="Times New Roman" w:hAnsi="Times New Roman" w:eastAsia="仿宋_GB2312"/>
                <w:color w:val="auto"/>
                <w:kern w:val="0"/>
                <w:sz w:val="24"/>
                <w:szCs w:val="24"/>
                <w:highlight w:val="none"/>
              </w:rPr>
              <w:t>分，此项满分</w:t>
            </w:r>
            <w:r>
              <w:rPr>
                <w:rFonts w:hint="eastAsia" w:ascii="Times New Roman" w:hAnsi="Times New Roman" w:eastAsia="仿宋_GB2312"/>
                <w:color w:val="auto"/>
                <w:kern w:val="0"/>
                <w:sz w:val="24"/>
                <w:highlight w:val="none"/>
              </w:rPr>
              <w:t>6</w:t>
            </w:r>
            <w:r>
              <w:rPr>
                <w:rFonts w:ascii="Times New Roman" w:hAnsi="Times New Roman" w:eastAsia="仿宋_GB2312"/>
                <w:color w:val="auto"/>
                <w:kern w:val="0"/>
                <w:sz w:val="24"/>
                <w:szCs w:val="24"/>
                <w:highlight w:val="none"/>
              </w:rPr>
              <w:t>分，</w:t>
            </w:r>
            <w:r>
              <w:rPr>
                <w:rFonts w:hint="eastAsia" w:ascii="Times New Roman" w:hAnsi="Times New Roman" w:eastAsia="仿宋_GB2312"/>
                <w:color w:val="auto"/>
                <w:kern w:val="0"/>
                <w:sz w:val="24"/>
                <w:szCs w:val="24"/>
                <w:highlight w:val="none"/>
              </w:rPr>
              <w:t>未提供</w:t>
            </w:r>
            <w:r>
              <w:rPr>
                <w:rFonts w:ascii="Times New Roman" w:hAnsi="Times New Roman" w:eastAsia="仿宋_GB2312"/>
                <w:color w:val="auto"/>
                <w:kern w:val="0"/>
                <w:sz w:val="24"/>
                <w:szCs w:val="24"/>
                <w:highlight w:val="none"/>
              </w:rPr>
              <w:t>得0分。</w:t>
            </w:r>
          </w:p>
          <w:p w14:paraId="2E9B2864">
            <w:pP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注：若合同页数过多，则可只上传合同关键页（包括采购内容、签约日期、双方盖章、验收证明等内容）。业绩证明材料需清晰可辨认，否则视为无效业绩。</w:t>
            </w:r>
          </w:p>
        </w:tc>
        <w:tc>
          <w:tcPr>
            <w:tcW w:w="317" w:type="pct"/>
            <w:tcBorders>
              <w:top w:val="single" w:color="auto" w:sz="4" w:space="0"/>
              <w:left w:val="single" w:color="auto" w:sz="4" w:space="0"/>
              <w:bottom w:val="single" w:color="auto" w:sz="4" w:space="0"/>
              <w:right w:val="single" w:color="auto" w:sz="4" w:space="0"/>
            </w:tcBorders>
            <w:vAlign w:val="center"/>
          </w:tcPr>
          <w:p w14:paraId="578D8DD7">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6</w:t>
            </w:r>
          </w:p>
        </w:tc>
        <w:tc>
          <w:tcPr>
            <w:tcW w:w="327" w:type="pct"/>
            <w:vMerge w:val="restart"/>
            <w:tcBorders>
              <w:top w:val="single" w:color="auto" w:sz="4" w:space="0"/>
              <w:left w:val="single" w:color="auto" w:sz="4" w:space="0"/>
              <w:right w:val="single" w:color="auto" w:sz="4" w:space="0"/>
            </w:tcBorders>
            <w:vAlign w:val="center"/>
          </w:tcPr>
          <w:p w14:paraId="567F2A1E">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7</w:t>
            </w:r>
            <w:r>
              <w:rPr>
                <w:rFonts w:ascii="Times New Roman" w:hAnsi="Times New Roman" w:eastAsia="仿宋_GB2312"/>
                <w:color w:val="auto"/>
                <w:kern w:val="0"/>
                <w:sz w:val="24"/>
                <w:szCs w:val="24"/>
                <w:highlight w:val="none"/>
              </w:rPr>
              <w:t>0.00%</w:t>
            </w:r>
          </w:p>
        </w:tc>
      </w:tr>
      <w:tr w14:paraId="42779DEA">
        <w:tblPrEx>
          <w:tblCellMar>
            <w:top w:w="0" w:type="dxa"/>
            <w:left w:w="108" w:type="dxa"/>
            <w:bottom w:w="0" w:type="dxa"/>
            <w:right w:w="108" w:type="dxa"/>
          </w:tblCellMar>
        </w:tblPrEx>
        <w:trPr>
          <w:trHeight w:val="1440" w:hRule="atLeast"/>
        </w:trPr>
        <w:tc>
          <w:tcPr>
            <w:tcW w:w="445" w:type="pct"/>
            <w:vMerge w:val="continue"/>
            <w:tcBorders>
              <w:left w:val="single" w:color="auto" w:sz="4" w:space="0"/>
              <w:right w:val="single" w:color="auto" w:sz="4" w:space="0"/>
            </w:tcBorders>
            <w:vAlign w:val="center"/>
          </w:tcPr>
          <w:p w14:paraId="27726FC4">
            <w:pPr>
              <w:widowControl/>
              <w:jc w:val="left"/>
              <w:rPr>
                <w:rFonts w:ascii="Times New Roman" w:hAnsi="Times New Roman" w:eastAsia="仿宋_GB2312"/>
                <w:color w:val="auto"/>
                <w:kern w:val="0"/>
                <w:sz w:val="24"/>
                <w:szCs w:val="24"/>
                <w:highlight w:val="none"/>
              </w:rPr>
            </w:pPr>
          </w:p>
        </w:tc>
        <w:tc>
          <w:tcPr>
            <w:tcW w:w="323" w:type="pct"/>
            <w:tcBorders>
              <w:top w:val="nil"/>
              <w:left w:val="nil"/>
              <w:bottom w:val="single" w:color="auto" w:sz="4" w:space="0"/>
              <w:right w:val="single" w:color="auto" w:sz="4" w:space="0"/>
            </w:tcBorders>
            <w:vAlign w:val="center"/>
          </w:tcPr>
          <w:p w14:paraId="11BF9DC0">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2</w:t>
            </w:r>
          </w:p>
        </w:tc>
        <w:tc>
          <w:tcPr>
            <w:tcW w:w="379" w:type="pct"/>
            <w:tcBorders>
              <w:top w:val="nil"/>
              <w:left w:val="nil"/>
              <w:bottom w:val="single" w:color="auto" w:sz="4" w:space="0"/>
              <w:right w:val="single" w:color="auto" w:sz="4" w:space="0"/>
            </w:tcBorders>
            <w:vAlign w:val="center"/>
          </w:tcPr>
          <w:p w14:paraId="134CEA73">
            <w:pPr>
              <w:widowControl/>
              <w:jc w:val="center"/>
              <w:rPr>
                <w:rFonts w:ascii="Times New Roman" w:hAnsi="Times New Roman" w:eastAsia="仿宋_GB2312"/>
                <w:color w:val="auto"/>
                <w:sz w:val="24"/>
                <w:szCs w:val="24"/>
                <w:highlight w:val="none"/>
                <w:lang w:val="zh-CN"/>
              </w:rPr>
            </w:pPr>
            <w:r>
              <w:rPr>
                <w:rFonts w:ascii="Times New Roman" w:hAnsi="Times New Roman" w:eastAsia="仿宋_GB2312"/>
                <w:color w:val="auto"/>
                <w:kern w:val="0"/>
                <w:sz w:val="24"/>
                <w:highlight w:val="none"/>
              </w:rPr>
              <w:t>相关证书</w:t>
            </w:r>
          </w:p>
        </w:tc>
        <w:tc>
          <w:tcPr>
            <w:tcW w:w="3207" w:type="pct"/>
            <w:tcBorders>
              <w:top w:val="nil"/>
              <w:left w:val="nil"/>
              <w:bottom w:val="single" w:color="auto" w:sz="4" w:space="0"/>
              <w:right w:val="single" w:color="auto" w:sz="4" w:space="0"/>
            </w:tcBorders>
            <w:vAlign w:val="center"/>
          </w:tcPr>
          <w:p w14:paraId="457AD89F">
            <w:pP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提供售后运维人员《通信专业技术人员职业资格证书》，每提供1个得</w:t>
            </w:r>
            <w:r>
              <w:rPr>
                <w:rFonts w:hint="eastAsia" w:ascii="Times New Roman" w:hAnsi="Times New Roman" w:eastAsia="仿宋_GB2312"/>
                <w:color w:val="auto"/>
                <w:kern w:val="0"/>
                <w:sz w:val="24"/>
                <w:szCs w:val="24"/>
                <w:highlight w:val="none"/>
                <w:lang w:val="en-US" w:eastAsia="zh-CN"/>
              </w:rPr>
              <w:t>1</w:t>
            </w:r>
            <w:r>
              <w:rPr>
                <w:rFonts w:hint="eastAsia" w:ascii="Times New Roman" w:hAnsi="Times New Roman" w:eastAsia="仿宋_GB2312"/>
                <w:color w:val="auto"/>
                <w:kern w:val="0"/>
                <w:sz w:val="24"/>
                <w:szCs w:val="24"/>
                <w:highlight w:val="none"/>
              </w:rPr>
              <w:t>分，最高得</w:t>
            </w:r>
            <w:r>
              <w:rPr>
                <w:rFonts w:hint="eastAsia" w:ascii="Times New Roman" w:hAnsi="Times New Roman" w:eastAsia="仿宋_GB2312"/>
                <w:color w:val="auto"/>
                <w:kern w:val="0"/>
                <w:sz w:val="24"/>
                <w:szCs w:val="24"/>
                <w:highlight w:val="none"/>
                <w:lang w:val="en-US" w:eastAsia="zh-CN"/>
              </w:rPr>
              <w:t>3</w:t>
            </w:r>
            <w:r>
              <w:rPr>
                <w:rFonts w:hint="eastAsia" w:ascii="Times New Roman" w:hAnsi="Times New Roman" w:eastAsia="仿宋_GB2312"/>
                <w:color w:val="auto"/>
                <w:kern w:val="0"/>
                <w:sz w:val="24"/>
                <w:szCs w:val="24"/>
                <w:highlight w:val="none"/>
              </w:rPr>
              <w:t>分。</w:t>
            </w:r>
          </w:p>
          <w:p w14:paraId="1A6221F1">
            <w:pP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注：1、须提供身份证、证书扫描件。2、须提供由本单位缴纳的（由社保机构出具的）社保缴纳证明扫描件。不提供或者提供的证明材料不足的，此项不得分。</w:t>
            </w:r>
            <w:r>
              <w:rPr>
                <w:rFonts w:hint="eastAsia" w:ascii="Times New Roman" w:hAnsi="Times New Roman" w:eastAsia="仿宋_GB2312"/>
                <w:color w:val="auto"/>
                <w:kern w:val="0"/>
                <w:sz w:val="24"/>
                <w:highlight w:val="none"/>
                <w:lang w:eastAsia="zh-CN"/>
              </w:rPr>
              <w:t>（供应商提供投标、响应截止日前6个月内，任意1个月的社保证明材料。）</w:t>
            </w:r>
          </w:p>
        </w:tc>
        <w:tc>
          <w:tcPr>
            <w:tcW w:w="317" w:type="pct"/>
            <w:tcBorders>
              <w:top w:val="nil"/>
              <w:left w:val="nil"/>
              <w:bottom w:val="single" w:color="auto" w:sz="4" w:space="0"/>
              <w:right w:val="single" w:color="auto" w:sz="4" w:space="0"/>
            </w:tcBorders>
            <w:vAlign w:val="center"/>
          </w:tcPr>
          <w:p w14:paraId="68621F60">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3</w:t>
            </w:r>
          </w:p>
        </w:tc>
        <w:tc>
          <w:tcPr>
            <w:tcW w:w="327" w:type="pct"/>
            <w:vMerge w:val="continue"/>
            <w:tcBorders>
              <w:left w:val="single" w:color="auto" w:sz="4" w:space="0"/>
              <w:right w:val="single" w:color="auto" w:sz="4" w:space="0"/>
            </w:tcBorders>
            <w:vAlign w:val="center"/>
          </w:tcPr>
          <w:p w14:paraId="2212F23B">
            <w:pPr>
              <w:widowControl/>
              <w:jc w:val="left"/>
              <w:rPr>
                <w:rFonts w:ascii="Times New Roman" w:hAnsi="Times New Roman" w:eastAsia="仿宋_GB2312"/>
                <w:color w:val="auto"/>
                <w:kern w:val="0"/>
                <w:sz w:val="24"/>
                <w:szCs w:val="24"/>
                <w:highlight w:val="none"/>
              </w:rPr>
            </w:pPr>
          </w:p>
        </w:tc>
      </w:tr>
      <w:tr w14:paraId="5F709220">
        <w:tblPrEx>
          <w:tblCellMar>
            <w:top w:w="0" w:type="dxa"/>
            <w:left w:w="108" w:type="dxa"/>
            <w:bottom w:w="0" w:type="dxa"/>
            <w:right w:w="108" w:type="dxa"/>
          </w:tblCellMar>
        </w:tblPrEx>
        <w:trPr>
          <w:trHeight w:val="1440" w:hRule="atLeast"/>
        </w:trPr>
        <w:tc>
          <w:tcPr>
            <w:tcW w:w="445" w:type="pct"/>
            <w:vMerge w:val="continue"/>
            <w:tcBorders>
              <w:left w:val="single" w:color="auto" w:sz="4" w:space="0"/>
              <w:right w:val="single" w:color="auto" w:sz="4" w:space="0"/>
            </w:tcBorders>
            <w:vAlign w:val="center"/>
          </w:tcPr>
          <w:p w14:paraId="31D3852D">
            <w:pPr>
              <w:widowControl/>
              <w:jc w:val="left"/>
              <w:rPr>
                <w:rFonts w:ascii="Times New Roman" w:hAnsi="Times New Roman" w:eastAsia="仿宋_GB2312"/>
                <w:color w:val="auto"/>
                <w:kern w:val="0"/>
                <w:sz w:val="24"/>
                <w:szCs w:val="24"/>
                <w:highlight w:val="none"/>
              </w:rPr>
            </w:pPr>
          </w:p>
        </w:tc>
        <w:tc>
          <w:tcPr>
            <w:tcW w:w="323" w:type="pct"/>
            <w:tcBorders>
              <w:top w:val="nil"/>
              <w:left w:val="nil"/>
              <w:bottom w:val="single" w:color="auto" w:sz="4" w:space="0"/>
              <w:right w:val="single" w:color="auto" w:sz="4" w:space="0"/>
            </w:tcBorders>
            <w:vAlign w:val="center"/>
          </w:tcPr>
          <w:p w14:paraId="5D783B2F">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3</w:t>
            </w:r>
          </w:p>
        </w:tc>
        <w:tc>
          <w:tcPr>
            <w:tcW w:w="379" w:type="pct"/>
            <w:tcBorders>
              <w:top w:val="nil"/>
              <w:left w:val="nil"/>
              <w:bottom w:val="single" w:color="auto" w:sz="4" w:space="0"/>
              <w:right w:val="single" w:color="auto" w:sz="4" w:space="0"/>
            </w:tcBorders>
            <w:vAlign w:val="center"/>
          </w:tcPr>
          <w:p w14:paraId="7B6C9471">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highlight w:val="none"/>
              </w:rPr>
              <w:t>链路技术要求</w:t>
            </w:r>
          </w:p>
        </w:tc>
        <w:tc>
          <w:tcPr>
            <w:tcW w:w="3207" w:type="pct"/>
            <w:tcBorders>
              <w:top w:val="nil"/>
              <w:left w:val="nil"/>
              <w:bottom w:val="single" w:color="auto" w:sz="4" w:space="0"/>
              <w:right w:val="single" w:color="auto" w:sz="4" w:space="0"/>
            </w:tcBorders>
            <w:vAlign w:val="center"/>
          </w:tcPr>
          <w:p w14:paraId="28FF56F0">
            <w:pP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1.招标文件中带“★”的重要参数满足项目要求（须出具满足该参数的证明材料），每有一项不满足，减1分，减完为止，以上内容都包含且满足采购需求的,得6分，满分6分。</w:t>
            </w:r>
          </w:p>
          <w:p w14:paraId="30F85E08">
            <w:pP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2.招标文件中的一般参数，完全满足项目要求，得23分；每有一项不满足，减0.5分，减完为止；满分23分。</w:t>
            </w:r>
          </w:p>
          <w:p w14:paraId="49E6E7F1">
            <w:pP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注：上述内容请在“响应/偏离表”中编辑。</w:t>
            </w:r>
          </w:p>
        </w:tc>
        <w:tc>
          <w:tcPr>
            <w:tcW w:w="317" w:type="pct"/>
            <w:tcBorders>
              <w:top w:val="nil"/>
              <w:left w:val="nil"/>
              <w:bottom w:val="single" w:color="auto" w:sz="4" w:space="0"/>
              <w:right w:val="single" w:color="auto" w:sz="4" w:space="0"/>
            </w:tcBorders>
            <w:vAlign w:val="center"/>
          </w:tcPr>
          <w:p w14:paraId="654E9D12">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29</w:t>
            </w:r>
          </w:p>
        </w:tc>
        <w:tc>
          <w:tcPr>
            <w:tcW w:w="327" w:type="pct"/>
            <w:vMerge w:val="continue"/>
            <w:tcBorders>
              <w:left w:val="single" w:color="auto" w:sz="4" w:space="0"/>
              <w:right w:val="single" w:color="auto" w:sz="4" w:space="0"/>
            </w:tcBorders>
            <w:vAlign w:val="center"/>
          </w:tcPr>
          <w:p w14:paraId="253BB2CF">
            <w:pPr>
              <w:widowControl/>
              <w:jc w:val="left"/>
              <w:rPr>
                <w:rFonts w:ascii="Times New Roman" w:hAnsi="Times New Roman" w:eastAsia="仿宋_GB2312"/>
                <w:color w:val="auto"/>
                <w:kern w:val="0"/>
                <w:sz w:val="24"/>
                <w:szCs w:val="24"/>
                <w:highlight w:val="none"/>
              </w:rPr>
            </w:pPr>
          </w:p>
        </w:tc>
      </w:tr>
      <w:tr w14:paraId="44DE78A1">
        <w:tblPrEx>
          <w:tblCellMar>
            <w:top w:w="0" w:type="dxa"/>
            <w:left w:w="108" w:type="dxa"/>
            <w:bottom w:w="0" w:type="dxa"/>
            <w:right w:w="108" w:type="dxa"/>
          </w:tblCellMar>
        </w:tblPrEx>
        <w:trPr>
          <w:trHeight w:val="1086" w:hRule="atLeast"/>
        </w:trPr>
        <w:tc>
          <w:tcPr>
            <w:tcW w:w="445" w:type="pct"/>
            <w:vMerge w:val="continue"/>
            <w:tcBorders>
              <w:left w:val="single" w:color="auto" w:sz="4" w:space="0"/>
              <w:right w:val="single" w:color="auto" w:sz="4" w:space="0"/>
            </w:tcBorders>
            <w:vAlign w:val="center"/>
          </w:tcPr>
          <w:p w14:paraId="261B5A70">
            <w:pPr>
              <w:widowControl/>
              <w:jc w:val="left"/>
              <w:rPr>
                <w:rFonts w:ascii="Times New Roman" w:hAnsi="Times New Roman" w:eastAsia="仿宋_GB2312"/>
                <w:color w:val="auto"/>
                <w:kern w:val="0"/>
                <w:sz w:val="24"/>
                <w:szCs w:val="24"/>
                <w:highlight w:val="none"/>
              </w:rPr>
            </w:pPr>
          </w:p>
        </w:tc>
        <w:tc>
          <w:tcPr>
            <w:tcW w:w="323" w:type="pct"/>
            <w:tcBorders>
              <w:top w:val="nil"/>
              <w:left w:val="nil"/>
              <w:bottom w:val="single" w:color="auto" w:sz="4" w:space="0"/>
              <w:right w:val="single" w:color="auto" w:sz="4" w:space="0"/>
            </w:tcBorders>
            <w:vAlign w:val="center"/>
          </w:tcPr>
          <w:p w14:paraId="3E896A73">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4</w:t>
            </w:r>
          </w:p>
        </w:tc>
        <w:tc>
          <w:tcPr>
            <w:tcW w:w="379" w:type="pct"/>
            <w:tcBorders>
              <w:top w:val="nil"/>
              <w:left w:val="nil"/>
              <w:bottom w:val="single" w:color="auto" w:sz="4" w:space="0"/>
              <w:right w:val="single" w:color="auto" w:sz="4" w:space="0"/>
            </w:tcBorders>
            <w:vAlign w:val="center"/>
          </w:tcPr>
          <w:p w14:paraId="77CFE5CD">
            <w:pPr>
              <w:widowControl/>
              <w:jc w:val="center"/>
              <w:rPr>
                <w:rFonts w:ascii="Times New Roman" w:hAnsi="Times New Roman" w:eastAsia="仿宋_GB2312"/>
                <w:color w:val="auto"/>
                <w:sz w:val="24"/>
                <w:szCs w:val="24"/>
                <w:highlight w:val="none"/>
              </w:rPr>
            </w:pPr>
            <w:r>
              <w:rPr>
                <w:rFonts w:ascii="Times New Roman" w:hAnsi="Times New Roman" w:eastAsia="仿宋_GB2312"/>
                <w:color w:val="auto"/>
                <w:kern w:val="0"/>
                <w:sz w:val="24"/>
                <w:highlight w:val="none"/>
              </w:rPr>
              <w:t>链路实施方案</w:t>
            </w:r>
          </w:p>
        </w:tc>
        <w:tc>
          <w:tcPr>
            <w:tcW w:w="3207" w:type="pct"/>
            <w:tcBorders>
              <w:top w:val="nil"/>
              <w:left w:val="nil"/>
              <w:bottom w:val="single" w:color="auto" w:sz="4" w:space="0"/>
              <w:right w:val="single" w:color="auto" w:sz="4" w:space="0"/>
            </w:tcBorders>
            <w:vAlign w:val="center"/>
          </w:tcPr>
          <w:p w14:paraId="11F8D7EC">
            <w:pPr>
              <w:widowControl/>
              <w:jc w:val="left"/>
              <w:rPr>
                <w:rFonts w:ascii="Times New Roman" w:hAnsi="Times New Roman" w:eastAsia="仿宋_GB2312"/>
                <w:b/>
                <w:bCs/>
                <w:color w:val="auto"/>
                <w:kern w:val="0"/>
                <w:sz w:val="24"/>
                <w:szCs w:val="24"/>
                <w:highlight w:val="none"/>
              </w:rPr>
            </w:pPr>
            <w:r>
              <w:rPr>
                <w:rFonts w:hint="eastAsia" w:ascii="Times New Roman" w:hAnsi="Times New Roman" w:eastAsia="仿宋_GB2312"/>
                <w:b/>
                <w:bCs/>
                <w:color w:val="auto"/>
                <w:kern w:val="0"/>
                <w:sz w:val="24"/>
                <w:szCs w:val="24"/>
                <w:highlight w:val="none"/>
              </w:rPr>
              <w:t>4.1投标人根据项目需求提供项目实施方案，包含但不限于：</w:t>
            </w:r>
          </w:p>
          <w:p w14:paraId="0DAC6214">
            <w:pP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①为确保甲方租用链路能够满足支撑应用系统的合规性，且能保证链路的网络安全稳定运行、维护数据的完整性、保障传输数据不被非法窃取、篡改，投标方需提供对传输数据实施必要的安全保护措施、完整性的实施方案；</w:t>
            </w:r>
          </w:p>
          <w:p w14:paraId="18A78400">
            <w:pP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②设备网络接入适配方案；</w:t>
            </w:r>
          </w:p>
          <w:p w14:paraId="379B0B28">
            <w:pPr>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③</w:t>
            </w:r>
            <w:r>
              <w:rPr>
                <w:rFonts w:hint="eastAsia" w:ascii="Times New Roman" w:hAnsi="Times New Roman" w:eastAsia="仿宋_GB2312"/>
                <w:color w:val="auto"/>
                <w:kern w:val="0"/>
                <w:sz w:val="24"/>
                <w:szCs w:val="24"/>
                <w:highlight w:val="none"/>
              </w:rPr>
              <w:t>为确保甲方租用设备与物联网卡链路适配使用，投标方协助甲方做到专用数据通道与移动类设备接入调试、故障摸排等异常情况的处理工作方案；</w:t>
            </w:r>
          </w:p>
          <w:p w14:paraId="16260B99">
            <w:pPr>
              <w:rPr>
                <w:rFonts w:ascii="Times New Roman" w:hAnsi="Times New Roman" w:eastAsia="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④</w:t>
            </w:r>
            <w:r>
              <w:rPr>
                <w:rFonts w:hint="eastAsia" w:ascii="Times New Roman" w:hAnsi="Times New Roman" w:eastAsia="仿宋_GB2312"/>
                <w:color w:val="auto"/>
                <w:kern w:val="0"/>
                <w:sz w:val="24"/>
                <w:szCs w:val="24"/>
                <w:highlight w:val="none"/>
              </w:rPr>
              <w:t>针对上述三项方案，投标方须提供服务承诺（书面承诺）。</w:t>
            </w:r>
          </w:p>
          <w:p w14:paraId="71748461">
            <w:pP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注：上述四项内容齐全得8分，每缺一项内容减2分，减完为止。</w:t>
            </w:r>
          </w:p>
          <w:p w14:paraId="46F85C4C">
            <w:pPr>
              <w:widowControl/>
              <w:spacing w:line="320" w:lineRule="exact"/>
              <w:jc w:val="left"/>
              <w:rPr>
                <w:rFonts w:ascii="方正仿宋简体" w:hAnsi="宋体" w:eastAsia="方正仿宋简体" w:cs="宋体"/>
                <w:color w:val="auto"/>
                <w:kern w:val="0"/>
                <w:sz w:val="24"/>
                <w:highlight w:val="none"/>
              </w:rPr>
            </w:pPr>
          </w:p>
          <w:p w14:paraId="65B599DC">
            <w:pPr>
              <w:pStyle w:val="27"/>
              <w:spacing w:after="0" w:line="300" w:lineRule="exact"/>
              <w:ind w:firstLine="0" w:firstLineChars="0"/>
              <w:jc w:val="left"/>
              <w:rPr>
                <w:rFonts w:ascii="Times New Roman" w:hAnsi="Times New Roman"/>
                <w:b/>
                <w:bCs/>
                <w:color w:val="auto"/>
                <w:kern w:val="0"/>
                <w:sz w:val="24"/>
                <w:szCs w:val="24"/>
                <w:highlight w:val="none"/>
              </w:rPr>
            </w:pPr>
            <w:r>
              <w:rPr>
                <w:rFonts w:hint="eastAsia" w:ascii="Times New Roman" w:hAnsi="Times New Roman"/>
                <w:b/>
                <w:bCs/>
                <w:color w:val="auto"/>
                <w:kern w:val="0"/>
                <w:sz w:val="24"/>
                <w:szCs w:val="24"/>
                <w:highlight w:val="none"/>
              </w:rPr>
              <w:t>4.2针对4.1提供的四项内容，其中每有一项内容存在缺陷的减0.5分，扣完为止。未提供方案得0分，满分2分，最低0分。</w:t>
            </w:r>
          </w:p>
          <w:p w14:paraId="1F9E9438">
            <w:pPr>
              <w:widowControl/>
              <w:jc w:val="left"/>
              <w:rPr>
                <w:rFonts w:ascii="Times New Roman" w:hAnsi="Times New Roman" w:eastAsia="仿宋"/>
                <w:color w:val="auto"/>
                <w:sz w:val="24"/>
                <w:szCs w:val="28"/>
                <w:highlight w:val="none"/>
              </w:rPr>
            </w:pPr>
            <w:r>
              <w:rPr>
                <w:rFonts w:hint="eastAsia" w:ascii="Times New Roman" w:hAnsi="Times New Roman" w:eastAsia="仿宋_GB2312"/>
                <w:color w:val="auto"/>
                <w:kern w:val="0"/>
                <w:sz w:val="24"/>
                <w:szCs w:val="24"/>
                <w:highlight w:val="none"/>
              </w:rPr>
              <w:t>注：缺陷指供链路传输实施方案、设备网络接入适配方案、异常情况处理等方案内容与项目需求不一致、方案存在不适用项目实际情况的情形、套用其它方案、凭空编造、逻辑漏洞、科学原理错误；书面承诺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69AC2FFC">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10</w:t>
            </w:r>
          </w:p>
        </w:tc>
        <w:tc>
          <w:tcPr>
            <w:tcW w:w="327" w:type="pct"/>
            <w:vMerge w:val="continue"/>
            <w:tcBorders>
              <w:left w:val="single" w:color="auto" w:sz="4" w:space="0"/>
              <w:bottom w:val="nil"/>
              <w:right w:val="single" w:color="auto" w:sz="4" w:space="0"/>
            </w:tcBorders>
            <w:vAlign w:val="center"/>
          </w:tcPr>
          <w:p w14:paraId="7671A880">
            <w:pPr>
              <w:widowControl/>
              <w:jc w:val="left"/>
              <w:rPr>
                <w:rFonts w:ascii="Times New Roman" w:hAnsi="Times New Roman" w:eastAsia="仿宋_GB2312"/>
                <w:color w:val="auto"/>
                <w:kern w:val="0"/>
                <w:sz w:val="24"/>
                <w:szCs w:val="24"/>
                <w:highlight w:val="none"/>
              </w:rPr>
            </w:pPr>
          </w:p>
        </w:tc>
      </w:tr>
      <w:tr w14:paraId="1F7C01DA">
        <w:tblPrEx>
          <w:tblCellMar>
            <w:top w:w="0" w:type="dxa"/>
            <w:left w:w="108" w:type="dxa"/>
            <w:bottom w:w="0" w:type="dxa"/>
            <w:right w:w="108" w:type="dxa"/>
          </w:tblCellMar>
        </w:tblPrEx>
        <w:trPr>
          <w:trHeight w:val="1022" w:hRule="atLeast"/>
        </w:trPr>
        <w:tc>
          <w:tcPr>
            <w:tcW w:w="445" w:type="pct"/>
            <w:vMerge w:val="continue"/>
            <w:tcBorders>
              <w:left w:val="single" w:color="auto" w:sz="4" w:space="0"/>
              <w:right w:val="single" w:color="auto" w:sz="4" w:space="0"/>
            </w:tcBorders>
            <w:vAlign w:val="center"/>
          </w:tcPr>
          <w:p w14:paraId="4DFA4631">
            <w:pPr>
              <w:widowControl/>
              <w:jc w:val="left"/>
              <w:rPr>
                <w:rFonts w:ascii="Times New Roman" w:hAnsi="Times New Roman" w:eastAsia="仿宋_GB2312"/>
                <w:color w:val="auto"/>
                <w:kern w:val="0"/>
                <w:sz w:val="24"/>
                <w:szCs w:val="24"/>
                <w:highlight w:val="none"/>
              </w:rPr>
            </w:pPr>
          </w:p>
        </w:tc>
        <w:tc>
          <w:tcPr>
            <w:tcW w:w="323" w:type="pct"/>
            <w:tcBorders>
              <w:top w:val="nil"/>
              <w:left w:val="nil"/>
              <w:bottom w:val="single" w:color="auto" w:sz="4" w:space="0"/>
              <w:right w:val="single" w:color="auto" w:sz="4" w:space="0"/>
            </w:tcBorders>
            <w:vAlign w:val="center"/>
          </w:tcPr>
          <w:p w14:paraId="35DFE36B">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5</w:t>
            </w:r>
          </w:p>
        </w:tc>
        <w:tc>
          <w:tcPr>
            <w:tcW w:w="379" w:type="pct"/>
            <w:tcBorders>
              <w:top w:val="nil"/>
              <w:left w:val="nil"/>
              <w:bottom w:val="single" w:color="auto" w:sz="4" w:space="0"/>
              <w:right w:val="single" w:color="auto" w:sz="4" w:space="0"/>
            </w:tcBorders>
            <w:vAlign w:val="center"/>
          </w:tcPr>
          <w:p w14:paraId="2C0BB6A6">
            <w:pPr>
              <w:widowControl/>
              <w:jc w:val="center"/>
              <w:rPr>
                <w:rFonts w:ascii="Times New Roman" w:hAnsi="Times New Roman" w:eastAsia="仿宋_GB2312"/>
                <w:color w:val="auto"/>
                <w:kern w:val="0"/>
                <w:sz w:val="24"/>
                <w:highlight w:val="none"/>
              </w:rPr>
            </w:pPr>
            <w:r>
              <w:rPr>
                <w:rFonts w:ascii="Times New Roman" w:hAnsi="Times New Roman" w:eastAsia="仿宋_GB2312"/>
                <w:color w:val="auto"/>
                <w:kern w:val="0"/>
                <w:sz w:val="24"/>
                <w:highlight w:val="none"/>
              </w:rPr>
              <w:t>网络</w:t>
            </w:r>
            <w:r>
              <w:rPr>
                <w:rFonts w:hint="eastAsia" w:ascii="Times New Roman" w:hAnsi="Times New Roman" w:eastAsia="仿宋_GB2312"/>
                <w:color w:val="auto"/>
                <w:kern w:val="0"/>
                <w:sz w:val="24"/>
                <w:highlight w:val="none"/>
              </w:rPr>
              <w:t>安全应急预案</w:t>
            </w:r>
          </w:p>
          <w:p w14:paraId="1E8842B3">
            <w:pPr>
              <w:widowControl/>
              <w:jc w:val="center"/>
              <w:rPr>
                <w:rFonts w:ascii="Times New Roman" w:hAnsi="Times New Roman" w:eastAsia="仿宋_GB2312"/>
                <w:color w:val="auto"/>
                <w:sz w:val="24"/>
                <w:szCs w:val="24"/>
                <w:highlight w:val="none"/>
              </w:rPr>
            </w:pPr>
          </w:p>
        </w:tc>
        <w:tc>
          <w:tcPr>
            <w:tcW w:w="3207" w:type="pct"/>
            <w:tcBorders>
              <w:top w:val="nil"/>
              <w:left w:val="nil"/>
              <w:bottom w:val="single" w:color="auto" w:sz="4" w:space="0"/>
              <w:right w:val="single" w:color="auto" w:sz="4" w:space="0"/>
            </w:tcBorders>
            <w:vAlign w:val="center"/>
          </w:tcPr>
          <w:p w14:paraId="3B1BF3D1">
            <w:pPr>
              <w:widowControl/>
              <w:jc w:val="left"/>
              <w:rPr>
                <w:rFonts w:ascii="Times New Roman" w:hAnsi="Times New Roman" w:eastAsia="仿宋_GB2312"/>
                <w:b/>
                <w:bCs/>
                <w:color w:val="auto"/>
                <w:kern w:val="0"/>
                <w:sz w:val="24"/>
                <w:szCs w:val="24"/>
                <w:highlight w:val="none"/>
              </w:rPr>
            </w:pPr>
            <w:r>
              <w:rPr>
                <w:rFonts w:hint="eastAsia" w:ascii="Times New Roman" w:hAnsi="Times New Roman" w:eastAsia="仿宋_GB2312"/>
                <w:b/>
                <w:bCs/>
                <w:color w:val="auto"/>
                <w:kern w:val="0"/>
                <w:sz w:val="24"/>
                <w:szCs w:val="24"/>
                <w:highlight w:val="none"/>
              </w:rPr>
              <w:t>5.1投标人根据项目需求提供网络安全应急预案，包含但不限于：</w:t>
            </w:r>
          </w:p>
          <w:p w14:paraId="32935885">
            <w:pPr>
              <w:widowControl/>
              <w:jc w:val="left"/>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根据</w:t>
            </w:r>
            <w:r>
              <w:rPr>
                <w:rFonts w:hint="eastAsia" w:ascii="Times New Roman" w:hAnsi="Times New Roman" w:eastAsia="仿宋_GB2312"/>
                <w:color w:val="auto"/>
                <w:kern w:val="0"/>
                <w:sz w:val="24"/>
                <w:szCs w:val="24"/>
                <w:highlight w:val="none"/>
              </w:rPr>
              <w:fldChar w:fldCharType="begin"/>
            </w:r>
            <w:r>
              <w:rPr>
                <w:rFonts w:hint="eastAsia" w:ascii="Times New Roman" w:hAnsi="Times New Roman" w:eastAsia="仿宋_GB2312"/>
                <w:color w:val="auto"/>
                <w:kern w:val="0"/>
                <w:sz w:val="24"/>
                <w:szCs w:val="24"/>
                <w:highlight w:val="none"/>
              </w:rPr>
              <w:instrText xml:space="preserve"> = 1 \* GB3 \* MERGEFORMAT </w:instrText>
            </w:r>
            <w:r>
              <w:rPr>
                <w:rFonts w:hint="eastAsia" w:ascii="Times New Roman" w:hAnsi="Times New Roman" w:eastAsia="仿宋_GB2312"/>
                <w:color w:val="auto"/>
                <w:kern w:val="0"/>
                <w:sz w:val="24"/>
                <w:szCs w:val="24"/>
                <w:highlight w:val="none"/>
              </w:rPr>
              <w:fldChar w:fldCharType="separate"/>
            </w:r>
            <w:r>
              <w:rPr>
                <w:rFonts w:hint="eastAsia" w:ascii="Times New Roman" w:hAnsi="Times New Roman" w:eastAsia="仿宋_GB2312"/>
                <w:color w:val="auto"/>
                <w:kern w:val="0"/>
                <w:sz w:val="24"/>
                <w:szCs w:val="24"/>
                <w:highlight w:val="none"/>
              </w:rPr>
              <w:t>①</w:t>
            </w:r>
            <w:r>
              <w:rPr>
                <w:rFonts w:hint="eastAsia" w:ascii="Times New Roman" w:hAnsi="Times New Roman" w:eastAsia="仿宋_GB2312"/>
                <w:color w:val="auto"/>
                <w:kern w:val="0"/>
                <w:sz w:val="24"/>
                <w:szCs w:val="24"/>
                <w:highlight w:val="none"/>
              </w:rPr>
              <w:fldChar w:fldCharType="end"/>
            </w:r>
            <w:r>
              <w:rPr>
                <w:rFonts w:hint="eastAsia" w:ascii="Times New Roman" w:hAnsi="Times New Roman" w:eastAsia="仿宋_GB2312"/>
                <w:color w:val="auto"/>
                <w:kern w:val="0"/>
                <w:sz w:val="24"/>
                <w:szCs w:val="24"/>
                <w:highlight w:val="none"/>
              </w:rPr>
              <w:t>链路中断、</w:t>
            </w:r>
            <w:r>
              <w:rPr>
                <w:rFonts w:hint="eastAsia" w:ascii="Times New Roman" w:hAnsi="Times New Roman" w:eastAsia="仿宋_GB2312"/>
                <w:color w:val="auto"/>
                <w:kern w:val="0"/>
                <w:sz w:val="24"/>
                <w:szCs w:val="24"/>
                <w:highlight w:val="none"/>
              </w:rPr>
              <w:fldChar w:fldCharType="begin"/>
            </w:r>
            <w:r>
              <w:rPr>
                <w:rFonts w:hint="eastAsia" w:ascii="Times New Roman" w:hAnsi="Times New Roman" w:eastAsia="仿宋_GB2312"/>
                <w:color w:val="auto"/>
                <w:kern w:val="0"/>
                <w:sz w:val="24"/>
                <w:szCs w:val="24"/>
                <w:highlight w:val="none"/>
              </w:rPr>
              <w:instrText xml:space="preserve"> = 2 \* GB3 \* MERGEFORMAT </w:instrText>
            </w:r>
            <w:r>
              <w:rPr>
                <w:rFonts w:hint="eastAsia" w:ascii="Times New Roman" w:hAnsi="Times New Roman" w:eastAsia="仿宋_GB2312"/>
                <w:color w:val="auto"/>
                <w:kern w:val="0"/>
                <w:sz w:val="24"/>
                <w:szCs w:val="24"/>
                <w:highlight w:val="none"/>
              </w:rPr>
              <w:fldChar w:fldCharType="separate"/>
            </w:r>
            <w:r>
              <w:rPr>
                <w:rFonts w:hint="eastAsia" w:ascii="Times New Roman" w:hAnsi="Times New Roman" w:eastAsia="仿宋_GB2312"/>
                <w:color w:val="auto"/>
                <w:kern w:val="0"/>
                <w:sz w:val="24"/>
                <w:szCs w:val="24"/>
                <w:highlight w:val="none"/>
              </w:rPr>
              <w:t>②</w:t>
            </w:r>
            <w:r>
              <w:rPr>
                <w:rFonts w:hint="eastAsia" w:ascii="Times New Roman" w:hAnsi="Times New Roman" w:eastAsia="仿宋_GB2312"/>
                <w:color w:val="auto"/>
                <w:kern w:val="0"/>
                <w:sz w:val="24"/>
                <w:szCs w:val="24"/>
                <w:highlight w:val="none"/>
              </w:rPr>
              <w:fldChar w:fldCharType="end"/>
            </w:r>
            <w:r>
              <w:rPr>
                <w:rFonts w:hint="eastAsia" w:ascii="Times New Roman" w:hAnsi="Times New Roman" w:eastAsia="仿宋_GB2312"/>
                <w:color w:val="auto"/>
                <w:kern w:val="0"/>
                <w:sz w:val="24"/>
                <w:szCs w:val="24"/>
                <w:highlight w:val="none"/>
              </w:rPr>
              <w:t>网络攻击、</w:t>
            </w:r>
            <w:r>
              <w:rPr>
                <w:rFonts w:hint="eastAsia" w:ascii="Times New Roman" w:hAnsi="Times New Roman" w:eastAsia="仿宋_GB2312"/>
                <w:color w:val="auto"/>
                <w:kern w:val="0"/>
                <w:sz w:val="24"/>
                <w:szCs w:val="24"/>
                <w:highlight w:val="none"/>
              </w:rPr>
              <w:fldChar w:fldCharType="begin"/>
            </w:r>
            <w:r>
              <w:rPr>
                <w:rFonts w:hint="eastAsia" w:ascii="Times New Roman" w:hAnsi="Times New Roman" w:eastAsia="仿宋_GB2312"/>
                <w:color w:val="auto"/>
                <w:kern w:val="0"/>
                <w:sz w:val="24"/>
                <w:szCs w:val="24"/>
                <w:highlight w:val="none"/>
              </w:rPr>
              <w:instrText xml:space="preserve"> = 3 \* GB3 \* MERGEFORMAT </w:instrText>
            </w:r>
            <w:r>
              <w:rPr>
                <w:rFonts w:hint="eastAsia" w:ascii="Times New Roman" w:hAnsi="Times New Roman" w:eastAsia="仿宋_GB2312"/>
                <w:color w:val="auto"/>
                <w:kern w:val="0"/>
                <w:sz w:val="24"/>
                <w:szCs w:val="24"/>
                <w:highlight w:val="none"/>
              </w:rPr>
              <w:fldChar w:fldCharType="separate"/>
            </w:r>
            <w:r>
              <w:rPr>
                <w:rFonts w:hint="eastAsia" w:ascii="Times New Roman" w:hAnsi="Times New Roman" w:eastAsia="仿宋_GB2312"/>
                <w:color w:val="auto"/>
                <w:kern w:val="0"/>
                <w:sz w:val="24"/>
                <w:szCs w:val="24"/>
                <w:highlight w:val="none"/>
              </w:rPr>
              <w:t>③</w:t>
            </w:r>
            <w:r>
              <w:rPr>
                <w:rFonts w:hint="eastAsia" w:ascii="Times New Roman" w:hAnsi="Times New Roman" w:eastAsia="仿宋_GB2312"/>
                <w:color w:val="auto"/>
                <w:kern w:val="0"/>
                <w:sz w:val="24"/>
                <w:szCs w:val="24"/>
                <w:highlight w:val="none"/>
              </w:rPr>
              <w:fldChar w:fldCharType="end"/>
            </w:r>
            <w:r>
              <w:rPr>
                <w:rFonts w:hint="eastAsia" w:ascii="Times New Roman" w:hAnsi="Times New Roman" w:eastAsia="仿宋_GB2312"/>
                <w:color w:val="auto"/>
                <w:kern w:val="0"/>
                <w:sz w:val="24"/>
                <w:szCs w:val="24"/>
                <w:highlight w:val="none"/>
              </w:rPr>
              <w:t>自然灾害或不可抗力、④线路违规外联等场景提供详细应急预案。</w:t>
            </w:r>
          </w:p>
          <w:p w14:paraId="1B8C9D36">
            <w:pPr>
              <w:widowControl/>
              <w:jc w:val="left"/>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注：上述</w:t>
            </w:r>
            <w:r>
              <w:rPr>
                <w:rFonts w:hint="eastAsia" w:ascii="Times New Roman" w:hAnsi="Times New Roman" w:eastAsia="仿宋_GB2312"/>
                <w:color w:val="auto"/>
                <w:kern w:val="0"/>
                <w:sz w:val="24"/>
                <w:szCs w:val="24"/>
                <w:highlight w:val="none"/>
                <w:lang w:eastAsia="zh-CN"/>
              </w:rPr>
              <w:t>四项内容齐全，</w:t>
            </w:r>
            <w:r>
              <w:rPr>
                <w:rFonts w:hint="eastAsia" w:ascii="Times New Roman" w:hAnsi="Times New Roman" w:eastAsia="仿宋_GB2312"/>
                <w:color w:val="auto"/>
                <w:kern w:val="0"/>
                <w:sz w:val="24"/>
                <w:szCs w:val="24"/>
                <w:highlight w:val="none"/>
              </w:rPr>
              <w:t>得1分，未提供不得分。</w:t>
            </w:r>
          </w:p>
          <w:p w14:paraId="0B3CA422">
            <w:pPr>
              <w:widowControl/>
              <w:spacing w:line="320" w:lineRule="exact"/>
              <w:jc w:val="left"/>
              <w:rPr>
                <w:rFonts w:ascii="Times New Roman" w:eastAsia="方正仿宋_GBK"/>
                <w:b/>
                <w:bCs/>
                <w:color w:val="auto"/>
                <w:szCs w:val="21"/>
                <w:highlight w:val="none"/>
              </w:rPr>
            </w:pPr>
          </w:p>
          <w:p w14:paraId="3B7DECDC">
            <w:pPr>
              <w:pStyle w:val="27"/>
              <w:spacing w:after="0" w:line="300" w:lineRule="exact"/>
              <w:ind w:firstLine="0" w:firstLineChars="0"/>
              <w:jc w:val="left"/>
              <w:rPr>
                <w:rFonts w:ascii="Times New Roman" w:hAnsi="Times New Roman"/>
                <w:b/>
                <w:bCs/>
                <w:color w:val="auto"/>
                <w:kern w:val="0"/>
                <w:sz w:val="24"/>
                <w:szCs w:val="24"/>
                <w:highlight w:val="none"/>
              </w:rPr>
            </w:pPr>
            <w:r>
              <w:rPr>
                <w:rFonts w:hint="eastAsia" w:ascii="Times New Roman" w:hAnsi="Times New Roman"/>
                <w:b/>
                <w:bCs/>
                <w:color w:val="auto"/>
                <w:kern w:val="0"/>
                <w:sz w:val="24"/>
                <w:szCs w:val="24"/>
                <w:highlight w:val="none"/>
              </w:rPr>
              <w:t>5.2针对5.1提供的应急预案的四个场景每覆盖一类场景，贴合</w:t>
            </w:r>
            <w:r>
              <w:rPr>
                <w:rFonts w:hint="eastAsia" w:ascii="Times New Roman" w:hAnsi="Times New Roman"/>
                <w:b/>
                <w:bCs/>
                <w:color w:val="auto"/>
                <w:kern w:val="0"/>
                <w:sz w:val="24"/>
                <w:szCs w:val="24"/>
                <w:highlight w:val="none"/>
                <w:lang w:eastAsia="zh-CN"/>
              </w:rPr>
              <w:t>项目</w:t>
            </w:r>
            <w:r>
              <w:rPr>
                <w:rFonts w:hint="eastAsia" w:ascii="Times New Roman" w:hAnsi="Times New Roman"/>
                <w:b/>
                <w:bCs/>
                <w:color w:val="auto"/>
                <w:kern w:val="0"/>
                <w:sz w:val="24"/>
                <w:szCs w:val="24"/>
                <w:highlight w:val="none"/>
              </w:rPr>
              <w:t>实际、科学合理的得0.5分，满分2分，每个场景存在明显缺漏的不得分，最低得0分。</w:t>
            </w:r>
          </w:p>
          <w:p w14:paraId="29315C60">
            <w:pPr>
              <w:widowControl/>
              <w:rPr>
                <w:rFonts w:ascii="Times New Roman" w:hAnsi="Times New Roman" w:eastAsia="仿宋_GB2312"/>
                <w:color w:val="auto"/>
                <w:kern w:val="0"/>
                <w:sz w:val="24"/>
                <w:szCs w:val="24"/>
                <w:highlight w:val="none"/>
              </w:rPr>
            </w:pPr>
          </w:p>
        </w:tc>
        <w:tc>
          <w:tcPr>
            <w:tcW w:w="317" w:type="pct"/>
            <w:tcBorders>
              <w:top w:val="nil"/>
              <w:left w:val="nil"/>
              <w:bottom w:val="single" w:color="auto" w:sz="4" w:space="0"/>
              <w:right w:val="single" w:color="auto" w:sz="4" w:space="0"/>
            </w:tcBorders>
            <w:vAlign w:val="center"/>
          </w:tcPr>
          <w:p w14:paraId="6C965165">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3</w:t>
            </w:r>
          </w:p>
        </w:tc>
        <w:tc>
          <w:tcPr>
            <w:tcW w:w="327" w:type="pct"/>
            <w:vMerge w:val="continue"/>
            <w:tcBorders>
              <w:left w:val="single" w:color="auto" w:sz="4" w:space="0"/>
              <w:bottom w:val="nil"/>
              <w:right w:val="single" w:color="auto" w:sz="4" w:space="0"/>
            </w:tcBorders>
            <w:vAlign w:val="center"/>
          </w:tcPr>
          <w:p w14:paraId="087A6CF1">
            <w:pPr>
              <w:widowControl/>
              <w:jc w:val="left"/>
              <w:rPr>
                <w:rFonts w:ascii="Times New Roman" w:hAnsi="Times New Roman" w:eastAsia="仿宋_GB2312"/>
                <w:color w:val="auto"/>
                <w:kern w:val="0"/>
                <w:sz w:val="24"/>
                <w:szCs w:val="24"/>
                <w:highlight w:val="none"/>
              </w:rPr>
            </w:pPr>
          </w:p>
        </w:tc>
      </w:tr>
      <w:tr w14:paraId="694DC713">
        <w:tblPrEx>
          <w:tblCellMar>
            <w:top w:w="0" w:type="dxa"/>
            <w:left w:w="108" w:type="dxa"/>
            <w:bottom w:w="0" w:type="dxa"/>
            <w:right w:w="108" w:type="dxa"/>
          </w:tblCellMar>
        </w:tblPrEx>
        <w:trPr>
          <w:trHeight w:val="1022" w:hRule="atLeast"/>
        </w:trPr>
        <w:tc>
          <w:tcPr>
            <w:tcW w:w="445" w:type="pct"/>
            <w:vMerge w:val="continue"/>
            <w:tcBorders>
              <w:left w:val="single" w:color="auto" w:sz="4" w:space="0"/>
              <w:right w:val="single" w:color="auto" w:sz="4" w:space="0"/>
            </w:tcBorders>
            <w:vAlign w:val="center"/>
          </w:tcPr>
          <w:p w14:paraId="6C80C04E">
            <w:pPr>
              <w:widowControl/>
              <w:jc w:val="left"/>
              <w:rPr>
                <w:rFonts w:ascii="Times New Roman" w:hAnsi="Times New Roman" w:eastAsia="仿宋_GB2312"/>
                <w:color w:val="auto"/>
                <w:kern w:val="0"/>
                <w:sz w:val="24"/>
                <w:szCs w:val="24"/>
                <w:highlight w:val="none"/>
              </w:rPr>
            </w:pPr>
          </w:p>
        </w:tc>
        <w:tc>
          <w:tcPr>
            <w:tcW w:w="323" w:type="pct"/>
            <w:tcBorders>
              <w:top w:val="nil"/>
              <w:left w:val="nil"/>
              <w:bottom w:val="single" w:color="auto" w:sz="4" w:space="0"/>
              <w:right w:val="single" w:color="auto" w:sz="4" w:space="0"/>
            </w:tcBorders>
            <w:vAlign w:val="center"/>
          </w:tcPr>
          <w:p w14:paraId="0F8DECDB">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6</w:t>
            </w:r>
          </w:p>
        </w:tc>
        <w:tc>
          <w:tcPr>
            <w:tcW w:w="379" w:type="pct"/>
            <w:tcBorders>
              <w:top w:val="nil"/>
              <w:left w:val="nil"/>
              <w:bottom w:val="single" w:color="auto" w:sz="4" w:space="0"/>
              <w:right w:val="single" w:color="auto" w:sz="4" w:space="0"/>
            </w:tcBorders>
            <w:vAlign w:val="center"/>
          </w:tcPr>
          <w:p w14:paraId="3CC07F16">
            <w:pPr>
              <w:widowControl/>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kern w:val="0"/>
                <w:sz w:val="24"/>
                <w:highlight w:val="none"/>
              </w:rPr>
              <w:t>网络安全保障预案</w:t>
            </w:r>
          </w:p>
        </w:tc>
        <w:tc>
          <w:tcPr>
            <w:tcW w:w="3207" w:type="pct"/>
            <w:tcBorders>
              <w:top w:val="nil"/>
              <w:left w:val="nil"/>
              <w:bottom w:val="single" w:color="auto" w:sz="4" w:space="0"/>
              <w:right w:val="single" w:color="auto" w:sz="4" w:space="0"/>
            </w:tcBorders>
            <w:vAlign w:val="center"/>
          </w:tcPr>
          <w:p w14:paraId="70795B24">
            <w:pPr>
              <w:widowControl/>
              <w:jc w:val="left"/>
              <w:rPr>
                <w:rFonts w:ascii="Times New Roman" w:hAnsi="Times New Roman" w:eastAsia="仿宋_GB2312"/>
                <w:b/>
                <w:bCs/>
                <w:color w:val="auto"/>
                <w:kern w:val="0"/>
                <w:sz w:val="24"/>
                <w:szCs w:val="24"/>
                <w:highlight w:val="none"/>
              </w:rPr>
            </w:pPr>
            <w:r>
              <w:rPr>
                <w:rFonts w:hint="eastAsia" w:ascii="Times New Roman" w:hAnsi="Times New Roman" w:eastAsia="仿宋_GB2312"/>
                <w:b/>
                <w:bCs/>
                <w:color w:val="auto"/>
                <w:kern w:val="0"/>
                <w:sz w:val="24"/>
                <w:szCs w:val="24"/>
                <w:highlight w:val="none"/>
              </w:rPr>
              <w:t>6.1投标人根据项目需求提供网络安全保障预案，包含但不限于：</w:t>
            </w:r>
          </w:p>
          <w:p w14:paraId="4E7C8317">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①</w:t>
            </w:r>
            <w:r>
              <w:rPr>
                <w:rFonts w:hint="eastAsia" w:ascii="Times New Roman" w:hAnsi="Times New Roman" w:eastAsia="仿宋_GB2312"/>
                <w:color w:val="auto"/>
                <w:kern w:val="0"/>
                <w:sz w:val="24"/>
                <w:szCs w:val="24"/>
                <w:highlight w:val="none"/>
              </w:rPr>
              <w:t>安全保障服务实施方案；</w:t>
            </w:r>
          </w:p>
          <w:p w14:paraId="73F084D7">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②</w:t>
            </w:r>
            <w:r>
              <w:rPr>
                <w:rFonts w:hint="eastAsia" w:ascii="Times New Roman" w:hAnsi="Times New Roman" w:eastAsia="仿宋_GB2312"/>
                <w:color w:val="auto"/>
                <w:kern w:val="0"/>
                <w:sz w:val="24"/>
                <w:szCs w:val="24"/>
                <w:highlight w:val="none"/>
              </w:rPr>
              <w:t>完善的边界防护（防火墙、WAF等）方案；</w:t>
            </w:r>
          </w:p>
          <w:p w14:paraId="5B0E0D45">
            <w:pPr>
              <w:widowControl/>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③</w:t>
            </w:r>
            <w:r>
              <w:rPr>
                <w:rFonts w:hint="eastAsia" w:ascii="Times New Roman" w:hAnsi="Times New Roman" w:eastAsia="仿宋_GB2312"/>
                <w:color w:val="auto"/>
                <w:kern w:val="0"/>
                <w:sz w:val="24"/>
                <w:szCs w:val="24"/>
                <w:highlight w:val="none"/>
              </w:rPr>
              <w:t>重大节日及安保工作期间运维保障工作方案等。</w:t>
            </w:r>
          </w:p>
          <w:p w14:paraId="372C5A52">
            <w:pPr>
              <w:rPr>
                <w:color w:val="auto"/>
                <w:highlight w:val="none"/>
              </w:rPr>
            </w:pPr>
            <w:r>
              <w:rPr>
                <w:rFonts w:hint="eastAsia" w:ascii="Times New Roman" w:hAnsi="Times New Roman" w:eastAsia="仿宋_GB2312"/>
                <w:color w:val="auto"/>
                <w:kern w:val="0"/>
                <w:sz w:val="24"/>
                <w:szCs w:val="24"/>
                <w:highlight w:val="none"/>
              </w:rPr>
              <w:t>注：上述三项内容齐全得6分，每缺一项内容减2分，减完为止。</w:t>
            </w:r>
          </w:p>
          <w:p w14:paraId="62D4F2E3">
            <w:pPr>
              <w:pStyle w:val="27"/>
              <w:spacing w:after="0" w:line="300" w:lineRule="exact"/>
              <w:ind w:firstLine="0" w:firstLineChars="0"/>
              <w:jc w:val="left"/>
              <w:rPr>
                <w:rFonts w:ascii="Times New Roman" w:eastAsia="方正仿宋_GBK"/>
                <w:b/>
                <w:bCs/>
                <w:color w:val="auto"/>
                <w:sz w:val="21"/>
                <w:szCs w:val="21"/>
                <w:highlight w:val="none"/>
              </w:rPr>
            </w:pPr>
          </w:p>
          <w:p w14:paraId="745D10D9">
            <w:pPr>
              <w:pStyle w:val="27"/>
              <w:spacing w:after="0" w:line="300" w:lineRule="exact"/>
              <w:ind w:firstLine="0" w:firstLineChars="0"/>
              <w:jc w:val="left"/>
              <w:rPr>
                <w:rFonts w:ascii="Times New Roman" w:hAnsi="Times New Roman"/>
                <w:b/>
                <w:bCs/>
                <w:color w:val="auto"/>
                <w:kern w:val="0"/>
                <w:sz w:val="24"/>
                <w:szCs w:val="24"/>
                <w:highlight w:val="none"/>
              </w:rPr>
            </w:pPr>
            <w:r>
              <w:rPr>
                <w:rFonts w:hint="eastAsia" w:ascii="Times New Roman" w:hAnsi="Times New Roman"/>
                <w:b/>
                <w:bCs/>
                <w:color w:val="auto"/>
                <w:kern w:val="0"/>
                <w:sz w:val="24"/>
                <w:szCs w:val="24"/>
                <w:highlight w:val="none"/>
              </w:rPr>
              <w:t>6.2针对6.1提供的三项内容，其中每有一项内容存在缺陷的减1分，扣完为止。未提供方案得0分，满分3分，最低0分。</w:t>
            </w:r>
          </w:p>
          <w:p w14:paraId="48168D41">
            <w:pPr>
              <w:widowControl/>
              <w:jc w:val="left"/>
              <w:rPr>
                <w:rFonts w:ascii="Times New Roman" w:hAnsi="Times New Roman" w:eastAsia="仿宋_GB2312"/>
                <w:color w:val="auto"/>
                <w:sz w:val="24"/>
                <w:szCs w:val="24"/>
                <w:highlight w:val="none"/>
              </w:rPr>
            </w:pPr>
            <w:r>
              <w:rPr>
                <w:rFonts w:hint="eastAsia" w:ascii="Times New Roman" w:hAnsi="Times New Roman" w:eastAsia="仿宋_GB2312"/>
                <w:color w:val="auto"/>
                <w:kern w:val="0"/>
                <w:sz w:val="24"/>
                <w:szCs w:val="24"/>
                <w:highlight w:val="none"/>
              </w:rPr>
              <w:t>注：缺陷指投标方提供的安全保障实施方案、边界防护方案、重大节日及安保工作期间运维保障工作等方案内容与项目需求不一致、方案存在不适用项目实际情况的情形、套用其它方案、凭空编造、逻辑漏洞、科学原理错误；书面承诺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370AAA54">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9</w:t>
            </w:r>
          </w:p>
        </w:tc>
        <w:tc>
          <w:tcPr>
            <w:tcW w:w="327" w:type="pct"/>
            <w:vMerge w:val="continue"/>
            <w:tcBorders>
              <w:left w:val="single" w:color="auto" w:sz="4" w:space="0"/>
              <w:bottom w:val="nil"/>
              <w:right w:val="single" w:color="auto" w:sz="4" w:space="0"/>
            </w:tcBorders>
            <w:vAlign w:val="center"/>
          </w:tcPr>
          <w:p w14:paraId="5476DCE3">
            <w:pPr>
              <w:widowControl/>
              <w:jc w:val="left"/>
              <w:rPr>
                <w:rFonts w:ascii="Times New Roman" w:hAnsi="Times New Roman" w:eastAsia="仿宋_GB2312"/>
                <w:color w:val="auto"/>
                <w:kern w:val="0"/>
                <w:sz w:val="24"/>
                <w:szCs w:val="24"/>
                <w:highlight w:val="none"/>
              </w:rPr>
            </w:pPr>
          </w:p>
        </w:tc>
      </w:tr>
      <w:tr w14:paraId="13BE0852">
        <w:tblPrEx>
          <w:tblCellMar>
            <w:top w:w="0" w:type="dxa"/>
            <w:left w:w="108" w:type="dxa"/>
            <w:bottom w:w="0" w:type="dxa"/>
            <w:right w:w="108" w:type="dxa"/>
          </w:tblCellMar>
        </w:tblPrEx>
        <w:trPr>
          <w:trHeight w:val="1440" w:hRule="atLeast"/>
        </w:trPr>
        <w:tc>
          <w:tcPr>
            <w:tcW w:w="445" w:type="pct"/>
            <w:vMerge w:val="continue"/>
            <w:tcBorders>
              <w:left w:val="single" w:color="auto" w:sz="4" w:space="0"/>
              <w:right w:val="single" w:color="auto" w:sz="4" w:space="0"/>
            </w:tcBorders>
            <w:vAlign w:val="center"/>
          </w:tcPr>
          <w:p w14:paraId="46D5C4C6">
            <w:pPr>
              <w:widowControl/>
              <w:jc w:val="left"/>
              <w:rPr>
                <w:rFonts w:ascii="Times New Roman" w:hAnsi="Times New Roman" w:eastAsia="仿宋_GB2312"/>
                <w:color w:val="auto"/>
                <w:kern w:val="0"/>
                <w:sz w:val="24"/>
                <w:szCs w:val="24"/>
                <w:highlight w:val="none"/>
              </w:rPr>
            </w:pPr>
          </w:p>
        </w:tc>
        <w:tc>
          <w:tcPr>
            <w:tcW w:w="323" w:type="pct"/>
            <w:tcBorders>
              <w:top w:val="nil"/>
              <w:left w:val="nil"/>
              <w:bottom w:val="single" w:color="auto" w:sz="4" w:space="0"/>
              <w:right w:val="single" w:color="auto" w:sz="4" w:space="0"/>
            </w:tcBorders>
            <w:vAlign w:val="center"/>
          </w:tcPr>
          <w:p w14:paraId="611C3551">
            <w:pPr>
              <w:widowControl/>
              <w:jc w:val="cente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7</w:t>
            </w:r>
          </w:p>
        </w:tc>
        <w:tc>
          <w:tcPr>
            <w:tcW w:w="379" w:type="pct"/>
            <w:tcBorders>
              <w:top w:val="nil"/>
              <w:left w:val="nil"/>
              <w:bottom w:val="single" w:color="auto" w:sz="4" w:space="0"/>
              <w:right w:val="single" w:color="auto" w:sz="4" w:space="0"/>
            </w:tcBorders>
            <w:vAlign w:val="center"/>
          </w:tcPr>
          <w:p w14:paraId="32CC34AD">
            <w:pPr>
              <w:widowControl/>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kern w:val="0"/>
                <w:sz w:val="24"/>
                <w:highlight w:val="none"/>
              </w:rPr>
              <w:t>履约保障服务方案</w:t>
            </w:r>
          </w:p>
        </w:tc>
        <w:tc>
          <w:tcPr>
            <w:tcW w:w="3207" w:type="pct"/>
            <w:tcBorders>
              <w:top w:val="nil"/>
              <w:left w:val="nil"/>
              <w:bottom w:val="single" w:color="auto" w:sz="4" w:space="0"/>
              <w:right w:val="single" w:color="auto" w:sz="4" w:space="0"/>
            </w:tcBorders>
            <w:vAlign w:val="center"/>
          </w:tcPr>
          <w:p w14:paraId="1E2D36BE">
            <w:pPr>
              <w:widowControl/>
              <w:jc w:val="left"/>
              <w:rPr>
                <w:rFonts w:ascii="Times New Roman" w:hAnsi="Times New Roman" w:eastAsia="仿宋_GB2312"/>
                <w:b/>
                <w:bCs/>
                <w:color w:val="auto"/>
                <w:kern w:val="0"/>
                <w:sz w:val="24"/>
                <w:szCs w:val="24"/>
                <w:highlight w:val="none"/>
                <w:lang w:val="zh-CN"/>
              </w:rPr>
            </w:pPr>
            <w:r>
              <w:rPr>
                <w:rFonts w:hint="eastAsia" w:ascii="Times New Roman" w:hAnsi="Times New Roman" w:eastAsia="仿宋_GB2312"/>
                <w:b/>
                <w:bCs/>
                <w:color w:val="auto"/>
                <w:kern w:val="0"/>
                <w:sz w:val="24"/>
                <w:szCs w:val="24"/>
                <w:highlight w:val="none"/>
              </w:rPr>
              <w:t>7.1投标人根据项目需求</w:t>
            </w:r>
            <w:r>
              <w:rPr>
                <w:rFonts w:hint="eastAsia" w:ascii="Times New Roman" w:hAnsi="Times New Roman" w:eastAsia="仿宋_GB2312"/>
                <w:b/>
                <w:bCs/>
                <w:color w:val="auto"/>
                <w:kern w:val="0"/>
                <w:sz w:val="24"/>
                <w:szCs w:val="24"/>
                <w:highlight w:val="none"/>
                <w:lang w:val="zh-CN"/>
              </w:rPr>
              <w:t>提供履约保障服务方案，包含但不限于：</w:t>
            </w:r>
          </w:p>
          <w:p w14:paraId="3ADF1EDA">
            <w:pPr>
              <w:pStyle w:val="128"/>
              <w:jc w:val="both"/>
              <w:rPr>
                <w:rFonts w:eastAsia="仿宋_GB2312"/>
                <w:color w:val="auto"/>
                <w:highlight w:val="none"/>
                <w:lang w:val="zh-CN"/>
              </w:rPr>
            </w:pPr>
            <w:r>
              <w:rPr>
                <w:rFonts w:hint="eastAsia" w:eastAsia="仿宋_GB2312"/>
                <w:color w:val="auto"/>
                <w:highlight w:val="none"/>
                <w:lang w:val="zh-CN"/>
              </w:rPr>
              <w:t>①人员驻场稳定措施；</w:t>
            </w:r>
          </w:p>
          <w:p w14:paraId="76C05A6D">
            <w:pPr>
              <w:pStyle w:val="128"/>
              <w:jc w:val="both"/>
              <w:rPr>
                <w:rFonts w:eastAsia="仿宋_GB2312"/>
                <w:color w:val="auto"/>
                <w:highlight w:val="none"/>
                <w:lang w:val="zh-CN"/>
              </w:rPr>
            </w:pPr>
            <w:r>
              <w:rPr>
                <w:rFonts w:hint="eastAsia" w:eastAsia="仿宋_GB2312"/>
                <w:color w:val="auto"/>
                <w:highlight w:val="none"/>
              </w:rPr>
              <w:t>②</w:t>
            </w:r>
            <w:r>
              <w:rPr>
                <w:rFonts w:hint="eastAsia" w:eastAsia="仿宋_GB2312"/>
                <w:color w:val="auto"/>
                <w:highlight w:val="none"/>
                <w:lang w:val="zh-CN"/>
              </w:rPr>
              <w:t>故障响应措施；</w:t>
            </w:r>
          </w:p>
          <w:p w14:paraId="22E3BC9A">
            <w:pPr>
              <w:pStyle w:val="128"/>
              <w:jc w:val="both"/>
              <w:rPr>
                <w:rFonts w:eastAsia="仿宋_GB2312"/>
                <w:color w:val="auto"/>
                <w:highlight w:val="none"/>
              </w:rPr>
            </w:pPr>
            <w:r>
              <w:rPr>
                <w:rFonts w:hint="eastAsia" w:eastAsia="仿宋_GB2312"/>
                <w:color w:val="auto"/>
                <w:highlight w:val="none"/>
              </w:rPr>
              <w:t>③线上线下技术支持服务方案（明确向用户提供符合质量需求的链路租用服务，编制链路迁移、割接需平滑过渡，确保业务不产生中断的运维方案，</w:t>
            </w:r>
            <w:r>
              <w:rPr>
                <w:rFonts w:hint="eastAsia" w:eastAsia="仿宋_GB2312"/>
                <w:color w:val="auto"/>
                <w:highlight w:val="none"/>
                <w:lang w:val="zh-CN"/>
              </w:rPr>
              <w:t>完整全面、科学规律、针对性强，能充分满足需求）等</w:t>
            </w:r>
            <w:r>
              <w:rPr>
                <w:rFonts w:hint="eastAsia" w:eastAsia="仿宋_GB2312"/>
                <w:color w:val="auto"/>
                <w:highlight w:val="none"/>
              </w:rPr>
              <w:t>；</w:t>
            </w:r>
          </w:p>
          <w:p w14:paraId="635F6440">
            <w:pPr>
              <w:rPr>
                <w:rFonts w:ascii="Times New Roman" w:hAnsi="Times New Roman" w:eastAsia="仿宋_GB2312"/>
                <w:color w:val="auto"/>
                <w:kern w:val="0"/>
                <w:sz w:val="24"/>
                <w:szCs w:val="24"/>
                <w:highlight w:val="none"/>
              </w:rPr>
            </w:pPr>
            <w:r>
              <w:rPr>
                <w:rFonts w:hint="eastAsia" w:ascii="Times New Roman" w:hAnsi="Times New Roman" w:eastAsia="仿宋_GB2312"/>
                <w:color w:val="auto"/>
                <w:kern w:val="0"/>
                <w:sz w:val="24"/>
                <w:szCs w:val="24"/>
                <w:highlight w:val="none"/>
              </w:rPr>
              <w:t>④针对上述三项措施及方案，投标方须提供书面承诺。</w:t>
            </w:r>
          </w:p>
          <w:p w14:paraId="32D1CCB7">
            <w:pPr>
              <w:pStyle w:val="128"/>
              <w:jc w:val="both"/>
              <w:rPr>
                <w:rFonts w:eastAsia="仿宋_GB2312"/>
                <w:color w:val="auto"/>
                <w:highlight w:val="none"/>
              </w:rPr>
            </w:pPr>
            <w:r>
              <w:rPr>
                <w:rFonts w:hint="eastAsia" w:eastAsia="仿宋_GB2312"/>
                <w:color w:val="auto"/>
                <w:highlight w:val="none"/>
              </w:rPr>
              <w:t>上述四项内容齐全得8分，每缺一项内容减2分，减完为止。</w:t>
            </w:r>
          </w:p>
          <w:p w14:paraId="3A5B22AC">
            <w:pPr>
              <w:pStyle w:val="128"/>
              <w:jc w:val="both"/>
              <w:rPr>
                <w:rFonts w:eastAsia="仿宋"/>
                <w:color w:val="auto"/>
                <w:highlight w:val="none"/>
              </w:rPr>
            </w:pPr>
          </w:p>
          <w:p w14:paraId="1DD4B6D7">
            <w:pPr>
              <w:pStyle w:val="27"/>
              <w:spacing w:after="0" w:line="300" w:lineRule="exact"/>
              <w:ind w:firstLine="0" w:firstLineChars="0"/>
              <w:jc w:val="left"/>
              <w:rPr>
                <w:rFonts w:ascii="Times New Roman" w:hAnsi="Times New Roman"/>
                <w:b/>
                <w:bCs/>
                <w:color w:val="auto"/>
                <w:kern w:val="0"/>
                <w:sz w:val="24"/>
                <w:szCs w:val="24"/>
                <w:highlight w:val="none"/>
              </w:rPr>
            </w:pPr>
            <w:r>
              <w:rPr>
                <w:rFonts w:hint="eastAsia" w:ascii="Times New Roman" w:hAnsi="Times New Roman"/>
                <w:b/>
                <w:bCs/>
                <w:color w:val="auto"/>
                <w:kern w:val="0"/>
                <w:sz w:val="24"/>
                <w:szCs w:val="24"/>
                <w:highlight w:val="none"/>
              </w:rPr>
              <w:t>7.2针对7.1提供的四项内容，其中每有一项内容存在缺陷的减0.5分，扣完为止。未提供方案得0分，满分2分，最低0分。</w:t>
            </w:r>
          </w:p>
          <w:p w14:paraId="421E0ED9">
            <w:pPr>
              <w:widowControl/>
              <w:jc w:val="left"/>
              <w:rPr>
                <w:rFonts w:ascii="Times New Roman" w:hAnsi="Times New Roman" w:eastAsia="仿宋_GB2312"/>
                <w:color w:val="auto"/>
                <w:sz w:val="24"/>
                <w:szCs w:val="24"/>
                <w:highlight w:val="none"/>
                <w:lang w:val="zh-CN"/>
              </w:rPr>
            </w:pPr>
            <w:r>
              <w:rPr>
                <w:rFonts w:hint="eastAsia" w:ascii="Times New Roman" w:hAnsi="Times New Roman" w:eastAsia="仿宋_GB2312"/>
                <w:color w:val="auto"/>
                <w:kern w:val="0"/>
                <w:sz w:val="24"/>
                <w:szCs w:val="24"/>
                <w:highlight w:val="none"/>
                <w:lang w:val="zh-CN"/>
              </w:rPr>
              <w:t>注：缺陷指</w:t>
            </w:r>
            <w:r>
              <w:rPr>
                <w:rFonts w:hint="eastAsia" w:ascii="Times New Roman" w:hAnsi="Times New Roman" w:eastAsia="仿宋_GB2312"/>
                <w:color w:val="auto"/>
                <w:kern w:val="0"/>
                <w:sz w:val="24"/>
                <w:szCs w:val="24"/>
                <w:highlight w:val="none"/>
              </w:rPr>
              <w:t>投标方提供的</w:t>
            </w:r>
            <w:r>
              <w:rPr>
                <w:rFonts w:hint="eastAsia" w:ascii="Times New Roman" w:hAnsi="Times New Roman" w:eastAsia="仿宋_GB2312"/>
                <w:color w:val="auto"/>
                <w:kern w:val="0"/>
                <w:sz w:val="24"/>
                <w:szCs w:val="24"/>
                <w:highlight w:val="none"/>
                <w:lang w:val="zh-CN"/>
              </w:rPr>
              <w:t>人员驻场稳定措施、故障响应措施、线上线下技术支持服务方案内容与项目需求不一致、方案存在不适用项目实际情况的情形、套用其它方案、凭空编造、逻辑漏洞、科学原理错误；书面承诺语义表述不清，存在歧义、混乱，内容不充分详实以及存在不可能实现的夸大情形等。</w:t>
            </w:r>
          </w:p>
        </w:tc>
        <w:tc>
          <w:tcPr>
            <w:tcW w:w="317" w:type="pct"/>
            <w:tcBorders>
              <w:top w:val="nil"/>
              <w:left w:val="nil"/>
              <w:bottom w:val="single" w:color="auto" w:sz="4" w:space="0"/>
              <w:right w:val="single" w:color="auto" w:sz="4" w:space="0"/>
            </w:tcBorders>
            <w:vAlign w:val="center"/>
          </w:tcPr>
          <w:p w14:paraId="29D7E273">
            <w:pPr>
              <w:widowControl/>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10</w:t>
            </w:r>
          </w:p>
        </w:tc>
        <w:tc>
          <w:tcPr>
            <w:tcW w:w="327" w:type="pct"/>
            <w:vMerge w:val="continue"/>
            <w:tcBorders>
              <w:left w:val="single" w:color="auto" w:sz="4" w:space="0"/>
              <w:bottom w:val="nil"/>
              <w:right w:val="single" w:color="auto" w:sz="4" w:space="0"/>
            </w:tcBorders>
            <w:vAlign w:val="center"/>
          </w:tcPr>
          <w:p w14:paraId="57950548">
            <w:pPr>
              <w:widowControl/>
              <w:jc w:val="left"/>
              <w:rPr>
                <w:rFonts w:ascii="Times New Roman" w:hAnsi="Times New Roman" w:eastAsia="仿宋_GB2312"/>
                <w:color w:val="auto"/>
                <w:kern w:val="0"/>
                <w:sz w:val="24"/>
                <w:szCs w:val="24"/>
                <w:highlight w:val="none"/>
              </w:rPr>
            </w:pPr>
          </w:p>
        </w:tc>
      </w:tr>
      <w:tr w14:paraId="3DD64405">
        <w:tblPrEx>
          <w:tblCellMar>
            <w:top w:w="0" w:type="dxa"/>
            <w:left w:w="108" w:type="dxa"/>
            <w:bottom w:w="0" w:type="dxa"/>
            <w:right w:w="108" w:type="dxa"/>
          </w:tblCellMar>
        </w:tblPrEx>
        <w:trPr>
          <w:trHeight w:val="902"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DA762F4">
            <w:pPr>
              <w:widowControl/>
              <w:jc w:val="left"/>
              <w:rPr>
                <w:rFonts w:ascii="Times New Roman" w:hAnsi="Times New Roman"/>
                <w:color w:val="auto"/>
                <w:kern w:val="0"/>
                <w:sz w:val="24"/>
                <w:szCs w:val="24"/>
                <w:highlight w:val="none"/>
              </w:rPr>
            </w:pPr>
            <w:r>
              <w:rPr>
                <w:rFonts w:ascii="Times New Roman" w:hAnsi="Times New Roman" w:eastAsia="仿宋_GB2312"/>
                <w:color w:val="auto"/>
                <w:kern w:val="0"/>
                <w:sz w:val="24"/>
                <w:szCs w:val="24"/>
                <w:highlight w:val="none"/>
              </w:rPr>
              <w:t>合计：100分</w:t>
            </w:r>
          </w:p>
        </w:tc>
      </w:tr>
    </w:tbl>
    <w:p w14:paraId="039990FA">
      <w:pPr>
        <w:pStyle w:val="3"/>
        <w:rPr>
          <w:color w:val="auto"/>
          <w:sz w:val="40"/>
          <w:szCs w:val="40"/>
          <w:highlight w:val="none"/>
        </w:rPr>
      </w:pPr>
    </w:p>
    <w:p w14:paraId="7C6DD8EA">
      <w:pPr>
        <w:pStyle w:val="3"/>
        <w:ind w:firstLine="2800" w:firstLineChars="700"/>
        <w:jc w:val="both"/>
        <w:rPr>
          <w:color w:val="auto"/>
          <w:sz w:val="40"/>
          <w:szCs w:val="40"/>
          <w:highlight w:val="none"/>
        </w:rPr>
      </w:pPr>
    </w:p>
    <w:p w14:paraId="43760BD7">
      <w:pPr>
        <w:pStyle w:val="3"/>
        <w:ind w:firstLine="2800" w:firstLineChars="700"/>
        <w:jc w:val="both"/>
        <w:rPr>
          <w:color w:val="auto"/>
          <w:sz w:val="40"/>
          <w:szCs w:val="40"/>
          <w:highlight w:val="none"/>
        </w:rPr>
      </w:pPr>
    </w:p>
    <w:p w14:paraId="09601BC3">
      <w:pPr>
        <w:pStyle w:val="3"/>
        <w:ind w:firstLine="2800" w:firstLineChars="700"/>
        <w:jc w:val="both"/>
        <w:rPr>
          <w:color w:val="auto"/>
          <w:sz w:val="40"/>
          <w:szCs w:val="40"/>
          <w:highlight w:val="none"/>
        </w:rPr>
      </w:pPr>
    </w:p>
    <w:p w14:paraId="41FB447D">
      <w:pPr>
        <w:pStyle w:val="3"/>
        <w:ind w:firstLine="2800" w:firstLineChars="700"/>
        <w:jc w:val="both"/>
        <w:rPr>
          <w:color w:val="auto"/>
          <w:sz w:val="40"/>
          <w:szCs w:val="40"/>
          <w:highlight w:val="none"/>
        </w:rPr>
      </w:pPr>
    </w:p>
    <w:p w14:paraId="20BA9BEF">
      <w:pPr>
        <w:pStyle w:val="3"/>
        <w:ind w:firstLine="2800" w:firstLineChars="700"/>
        <w:jc w:val="both"/>
        <w:rPr>
          <w:color w:val="auto"/>
          <w:sz w:val="40"/>
          <w:szCs w:val="40"/>
          <w:highlight w:val="none"/>
        </w:rPr>
      </w:pPr>
    </w:p>
    <w:p w14:paraId="0C4F7A68">
      <w:pPr>
        <w:pStyle w:val="3"/>
        <w:ind w:firstLine="2800" w:firstLineChars="700"/>
        <w:jc w:val="both"/>
        <w:rPr>
          <w:color w:val="auto"/>
          <w:sz w:val="40"/>
          <w:szCs w:val="40"/>
          <w:highlight w:val="none"/>
        </w:rPr>
      </w:pPr>
    </w:p>
    <w:p w14:paraId="27241776">
      <w:pPr>
        <w:pStyle w:val="3"/>
        <w:ind w:firstLine="2800" w:firstLineChars="700"/>
        <w:jc w:val="both"/>
        <w:rPr>
          <w:color w:val="auto"/>
          <w:sz w:val="40"/>
          <w:szCs w:val="40"/>
          <w:highlight w:val="none"/>
        </w:rPr>
      </w:pPr>
    </w:p>
    <w:p w14:paraId="770C30B2">
      <w:pPr>
        <w:pStyle w:val="3"/>
        <w:ind w:firstLine="2800" w:firstLineChars="700"/>
        <w:jc w:val="both"/>
        <w:rPr>
          <w:color w:val="auto"/>
          <w:sz w:val="40"/>
          <w:szCs w:val="40"/>
          <w:highlight w:val="none"/>
        </w:rPr>
      </w:pPr>
    </w:p>
    <w:p w14:paraId="683F6E61">
      <w:pPr>
        <w:pStyle w:val="3"/>
        <w:ind w:firstLine="2800" w:firstLineChars="700"/>
        <w:jc w:val="both"/>
        <w:rPr>
          <w:color w:val="auto"/>
          <w:sz w:val="40"/>
          <w:szCs w:val="40"/>
          <w:highlight w:val="none"/>
        </w:rPr>
      </w:pPr>
    </w:p>
    <w:p w14:paraId="0F6CACDF">
      <w:pPr>
        <w:pStyle w:val="3"/>
        <w:ind w:firstLine="2800" w:firstLineChars="700"/>
        <w:jc w:val="both"/>
        <w:rPr>
          <w:color w:val="auto"/>
          <w:sz w:val="40"/>
          <w:szCs w:val="40"/>
          <w:highlight w:val="none"/>
        </w:rPr>
      </w:pPr>
    </w:p>
    <w:p w14:paraId="41C43178">
      <w:pPr>
        <w:pStyle w:val="3"/>
        <w:ind w:firstLine="2800" w:firstLineChars="700"/>
        <w:jc w:val="both"/>
        <w:rPr>
          <w:color w:val="auto"/>
          <w:sz w:val="40"/>
          <w:szCs w:val="40"/>
          <w:highlight w:val="none"/>
        </w:rPr>
      </w:pPr>
    </w:p>
    <w:p w14:paraId="5819E76B">
      <w:pPr>
        <w:pStyle w:val="3"/>
        <w:ind w:firstLine="2800" w:firstLineChars="700"/>
        <w:jc w:val="both"/>
        <w:rPr>
          <w:color w:val="auto"/>
          <w:sz w:val="40"/>
          <w:szCs w:val="40"/>
          <w:highlight w:val="none"/>
        </w:rPr>
      </w:pPr>
    </w:p>
    <w:p w14:paraId="23AC85F2">
      <w:pPr>
        <w:pStyle w:val="3"/>
        <w:ind w:firstLine="2800" w:firstLineChars="700"/>
        <w:jc w:val="both"/>
        <w:rPr>
          <w:color w:val="auto"/>
          <w:sz w:val="40"/>
          <w:szCs w:val="40"/>
          <w:highlight w:val="none"/>
        </w:rPr>
      </w:pPr>
    </w:p>
    <w:p w14:paraId="4E41ACC2">
      <w:pPr>
        <w:pStyle w:val="3"/>
        <w:ind w:firstLine="2800" w:firstLineChars="700"/>
        <w:jc w:val="both"/>
        <w:rPr>
          <w:color w:val="auto"/>
          <w:sz w:val="40"/>
          <w:szCs w:val="40"/>
          <w:highlight w:val="none"/>
        </w:rPr>
      </w:pPr>
    </w:p>
    <w:p w14:paraId="362C5997">
      <w:pPr>
        <w:pStyle w:val="3"/>
        <w:ind w:firstLine="2800" w:firstLineChars="700"/>
        <w:jc w:val="both"/>
        <w:rPr>
          <w:color w:val="auto"/>
          <w:sz w:val="40"/>
          <w:szCs w:val="40"/>
          <w:highlight w:val="none"/>
        </w:rPr>
      </w:pPr>
    </w:p>
    <w:p w14:paraId="266A4782">
      <w:pPr>
        <w:pStyle w:val="3"/>
        <w:ind w:firstLine="2800" w:firstLineChars="700"/>
        <w:jc w:val="both"/>
        <w:rPr>
          <w:rFonts w:eastAsia="方正仿宋_GBK"/>
          <w:b/>
          <w:color w:val="auto"/>
          <w:sz w:val="40"/>
          <w:szCs w:val="22"/>
          <w:highlight w:val="none"/>
        </w:rPr>
      </w:pPr>
      <w:r>
        <w:rPr>
          <w:color w:val="auto"/>
          <w:sz w:val="40"/>
          <w:szCs w:val="40"/>
          <w:highlight w:val="none"/>
        </w:rPr>
        <w:t>第六章  采购内容与要求</w:t>
      </w:r>
      <w:bookmarkEnd w:id="135"/>
      <w:bookmarkEnd w:id="136"/>
    </w:p>
    <w:p w14:paraId="3E27C626">
      <w:pPr>
        <w:spacing w:line="360" w:lineRule="auto"/>
        <w:contextualSpacing/>
        <w:rPr>
          <w:color w:val="auto"/>
          <w:sz w:val="24"/>
          <w:highlight w:val="none"/>
        </w:rPr>
      </w:pPr>
      <w:r>
        <w:rPr>
          <w:color w:val="auto"/>
          <w:sz w:val="24"/>
          <w:highlight w:val="none"/>
        </w:rPr>
        <w:t>说明：</w:t>
      </w:r>
    </w:p>
    <w:p w14:paraId="7D860F96">
      <w:pPr>
        <w:spacing w:line="360" w:lineRule="auto"/>
        <w:contextualSpacing/>
        <w:rPr>
          <w:color w:val="auto"/>
          <w:sz w:val="24"/>
          <w:highlight w:val="none"/>
        </w:rPr>
      </w:pPr>
      <w:r>
        <w:rPr>
          <w:rFonts w:hint="eastAsia"/>
          <w:color w:val="auto"/>
          <w:sz w:val="24"/>
          <w:highlight w:val="none"/>
        </w:rPr>
        <w:t>1</w:t>
      </w:r>
      <w:r>
        <w:rPr>
          <w:color w:val="auto"/>
          <w:sz w:val="24"/>
          <w:highlight w:val="none"/>
        </w:rPr>
        <w:t>. 当采购项目涉及政务信息系统时，采购需求应当符合《政务信息系统政府采购管理暂行办法》（财库〔2017〕210号）的相关要求。</w:t>
      </w:r>
    </w:p>
    <w:p w14:paraId="3B07B040">
      <w:pPr>
        <w:spacing w:line="360" w:lineRule="auto"/>
        <w:contextualSpacing/>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采购人及采购代理机构应关注财政部门会同有关部门制定发布的需求标准，结合具体应用场景，根据对应《需求标准》确定采购需求。</w:t>
      </w:r>
    </w:p>
    <w:p w14:paraId="3C636BBB">
      <w:pPr>
        <w:spacing w:line="360" w:lineRule="auto"/>
        <w:contextualSpacing/>
        <w:rPr>
          <w:color w:val="auto"/>
          <w:sz w:val="24"/>
          <w:highlight w:val="none"/>
        </w:rPr>
      </w:pPr>
      <w:r>
        <w:rPr>
          <w:rFonts w:hint="eastAsia"/>
          <w:color w:val="auto"/>
          <w:sz w:val="24"/>
          <w:highlight w:val="none"/>
        </w:rPr>
        <w:t>已发布的需求标准如下：</w:t>
      </w:r>
    </w:p>
    <w:p w14:paraId="6A213408">
      <w:pPr>
        <w:spacing w:line="360" w:lineRule="auto"/>
        <w:contextualSpacing/>
        <w:rPr>
          <w:color w:val="auto"/>
          <w:sz w:val="24"/>
          <w:highlight w:val="none"/>
        </w:rPr>
      </w:pPr>
      <w:r>
        <w:rPr>
          <w:color w:val="auto"/>
          <w:sz w:val="24"/>
          <w:highlight w:val="none"/>
        </w:rPr>
        <w:t>《关于印发〈商品包装政府采购需求标准（试行）〉、〈快递包装政府采购需求标准（试行）〉的通知》（财办库﹝2020﹞123号）</w:t>
      </w:r>
    </w:p>
    <w:p w14:paraId="615164FA">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《绿色数据中心政府采购需求标准（试行）》（财库〔2023〕7号）</w:t>
      </w:r>
    </w:p>
    <w:p w14:paraId="661D8413">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《台式计算机政府采购需求标准（2023年版）》（财库〔2023〕29号）</w:t>
      </w:r>
    </w:p>
    <w:p w14:paraId="2205EF51">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《便携式计算机政府采购需求标准（2023年版）》（财库〔2023〕30号）</w:t>
      </w:r>
    </w:p>
    <w:p w14:paraId="74664037">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《一体式计算机政府采购需求标准（2023年版）》（财库〔2023〕31号）</w:t>
      </w:r>
    </w:p>
    <w:p w14:paraId="7ADE8995">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《工作站政府采购需求标准（2023年版）》（财库〔2023〕32号）</w:t>
      </w:r>
    </w:p>
    <w:p w14:paraId="452E698C">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《通用服务器政府采购需求标准（2023年版）》（财库〔2023〕33号）</w:t>
      </w:r>
    </w:p>
    <w:p w14:paraId="1CED1E32">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《操作系统政府采购需求标准（2023年版）》（财库〔2023〕34号）</w:t>
      </w:r>
    </w:p>
    <w:p w14:paraId="7541BE88">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《数据库政府采购需求标准（2023年版）》（财库〔2023〕35号）</w:t>
      </w:r>
    </w:p>
    <w:p w14:paraId="1A282B7E">
      <w:pPr>
        <w:pStyle w:val="346"/>
        <w:spacing w:before="0" w:beforeAutospacing="0" w:after="0" w:afterAutospacing="0" w:line="360" w:lineRule="auto"/>
        <w:rPr>
          <w:rFonts w:ascii="Times New Roman" w:hAnsi="Times New Roman" w:cs="Times New Roman"/>
          <w:color w:val="auto"/>
          <w:kern w:val="2"/>
          <w:highlight w:val="none"/>
        </w:rPr>
      </w:pPr>
      <w:r>
        <w:rPr>
          <w:rFonts w:ascii="Times New Roman" w:hAnsi="Times New Roman" w:cs="Times New Roman"/>
          <w:color w:val="auto"/>
          <w:kern w:val="2"/>
          <w:highlight w:val="none"/>
        </w:rPr>
        <w:t>《物业管理服务政府采购需求标准（办公场所类）（试行）》</w:t>
      </w:r>
      <w:r>
        <w:rPr>
          <w:rFonts w:hint="eastAsia" w:ascii="Times New Roman" w:hAnsi="Times New Roman" w:cs="Times New Roman"/>
          <w:color w:val="auto"/>
          <w:kern w:val="2"/>
          <w:highlight w:val="none"/>
        </w:rPr>
        <w:t>（财办库〔2024〕113号）</w:t>
      </w:r>
    </w:p>
    <w:p w14:paraId="5914A134">
      <w:pPr>
        <w:rPr>
          <w:rFonts w:ascii="Times New Roman" w:hAnsi="Times New Roman" w:eastAsia="仿宋"/>
          <w:color w:val="auto"/>
          <w:sz w:val="28"/>
          <w:szCs w:val="32"/>
          <w:highlight w:val="none"/>
        </w:rPr>
      </w:pPr>
      <w:r>
        <w:rPr>
          <w:rFonts w:hint="eastAsia"/>
          <w:color w:val="auto"/>
          <w:sz w:val="24"/>
          <w:highlight w:val="none"/>
        </w:rPr>
        <w:t>如有更新或增加，以财政部门发布为准。</w:t>
      </w:r>
    </w:p>
    <w:p w14:paraId="2AF0DF16">
      <w:pPr>
        <w:pStyle w:val="22"/>
        <w:jc w:val="center"/>
        <w:rPr>
          <w:rFonts w:ascii="Times New Roman" w:hAnsi="Times New Roman" w:eastAsia="仿宋"/>
          <w:b/>
          <w:bCs/>
          <w:color w:val="auto"/>
          <w:sz w:val="32"/>
          <w:szCs w:val="36"/>
          <w:highlight w:val="none"/>
        </w:rPr>
      </w:pPr>
    </w:p>
    <w:p w14:paraId="4F1DF089">
      <w:pPr>
        <w:pStyle w:val="22"/>
        <w:jc w:val="center"/>
        <w:rPr>
          <w:rFonts w:ascii="Times New Roman" w:hAnsi="Times New Roman" w:eastAsia="仿宋"/>
          <w:b/>
          <w:bCs/>
          <w:color w:val="auto"/>
          <w:sz w:val="32"/>
          <w:szCs w:val="36"/>
          <w:highlight w:val="none"/>
        </w:rPr>
      </w:pPr>
    </w:p>
    <w:p w14:paraId="1C04811C">
      <w:pPr>
        <w:jc w:val="center"/>
        <w:rPr>
          <w:rFonts w:ascii="Times New Roman" w:hAnsi="Times New Roman" w:eastAsia="仿宋"/>
          <w:b/>
          <w:bCs/>
          <w:color w:val="auto"/>
          <w:sz w:val="36"/>
          <w:szCs w:val="36"/>
          <w:highlight w:val="none"/>
        </w:rPr>
      </w:pPr>
      <w:bookmarkStart w:id="137" w:name="_Toc104293470"/>
      <w:bookmarkStart w:id="138" w:name="_Toc152516875"/>
      <w:bookmarkStart w:id="139" w:name="_Toc18879"/>
      <w:bookmarkStart w:id="140" w:name="EBf83faab37a5e498880c4f2b1190e47ca"/>
      <w:r>
        <w:rPr>
          <w:rFonts w:hint="eastAsia" w:ascii="Times New Roman" w:hAnsi="Times New Roman" w:eastAsia="仿宋"/>
          <w:b/>
          <w:bCs/>
          <w:color w:val="auto"/>
          <w:sz w:val="36"/>
          <w:szCs w:val="36"/>
          <w:highlight w:val="none"/>
        </w:rPr>
        <w:t>服务类</w:t>
      </w:r>
      <w:bookmarkStart w:id="141" w:name="_Toc32447"/>
      <w:bookmarkStart w:id="142" w:name="_Toc24725"/>
    </w:p>
    <w:p w14:paraId="62725555">
      <w:pPr>
        <w:jc w:val="center"/>
        <w:rPr>
          <w:rFonts w:ascii="Times New Roman" w:hAnsi="Times New Roman" w:eastAsia="黑体"/>
          <w:bCs/>
          <w:color w:val="auto"/>
          <w:kern w:val="32"/>
          <w:sz w:val="30"/>
          <w:szCs w:val="30"/>
          <w:highlight w:val="none"/>
        </w:rPr>
      </w:pPr>
    </w:p>
    <w:p w14:paraId="51127F05">
      <w:pPr>
        <w:spacing w:after="100" w:line="256" w:lineRule="auto"/>
        <w:jc w:val="center"/>
        <w:rPr>
          <w:rFonts w:ascii="Times New Roman" w:hAnsi="Times New Roman" w:eastAsia="仿宋"/>
          <w:b/>
          <w:bCs/>
          <w:color w:val="auto"/>
          <w:sz w:val="32"/>
          <w:szCs w:val="36"/>
          <w:highlight w:val="none"/>
        </w:rPr>
      </w:pPr>
      <w:r>
        <w:rPr>
          <w:rFonts w:hint="eastAsia" w:ascii="Times New Roman" w:hAnsi="Times New Roman" w:eastAsia="黑体"/>
          <w:bCs/>
          <w:color w:val="auto"/>
          <w:kern w:val="32"/>
          <w:sz w:val="30"/>
          <w:szCs w:val="30"/>
          <w:highlight w:val="none"/>
        </w:rPr>
        <w:t>市属单位2026年度通信链路服务租用项目一标段（市属单位主用有线链路租用服务项目）</w:t>
      </w:r>
    </w:p>
    <w:p w14:paraId="188FE51D">
      <w:pPr>
        <w:spacing w:after="100" w:line="256" w:lineRule="auto"/>
        <w:rPr>
          <w:rFonts w:ascii="Times New Roman" w:hAnsi="Times New Roman" w:eastAsia="方正黑体_GBK"/>
          <w:color w:val="auto"/>
          <w:sz w:val="32"/>
          <w:szCs w:val="32"/>
          <w:highlight w:val="none"/>
        </w:rPr>
      </w:pPr>
      <w:r>
        <w:rPr>
          <w:rFonts w:hint="eastAsia" w:ascii="Times New Roman" w:hAnsi="Times New Roman" w:eastAsia="方正黑体_GBK"/>
          <w:color w:val="auto"/>
          <w:sz w:val="32"/>
          <w:szCs w:val="32"/>
          <w:highlight w:val="none"/>
        </w:rPr>
        <w:t>一、采购标的</w:t>
      </w:r>
      <w:bookmarkEnd w:id="141"/>
      <w:bookmarkEnd w:id="142"/>
      <w:r>
        <w:rPr>
          <w:rFonts w:hint="eastAsia" w:ascii="Times New Roman" w:hAnsi="Times New Roman" w:eastAsia="方正黑体_GBK"/>
          <w:color w:val="auto"/>
          <w:sz w:val="32"/>
          <w:szCs w:val="32"/>
          <w:highlight w:val="none"/>
        </w:rPr>
        <w:t xml:space="preserve"> </w:t>
      </w:r>
    </w:p>
    <w:p w14:paraId="2826AD55">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市属单位2026年度通信链路服务租用项目一标段（市属单位主用有线链路租用服务项目），该标段主要为市公安局各单位有线主用链路共计530条，其中包括公安二三级网、视频二三级网、警种业务专网、705涉密网等业务专线。</w:t>
      </w:r>
    </w:p>
    <w:p w14:paraId="4EF1F27A">
      <w:pPr>
        <w:numPr>
          <w:ilvl w:val="0"/>
          <w:numId w:val="11"/>
        </w:numPr>
        <w:spacing w:after="100" w:line="256" w:lineRule="auto"/>
        <w:rPr>
          <w:rFonts w:ascii="Times New Roman" w:hAnsi="Times New Roman" w:eastAsia="方正黑体_GBK"/>
          <w:color w:val="auto"/>
          <w:sz w:val="32"/>
          <w:szCs w:val="32"/>
          <w:highlight w:val="none"/>
        </w:rPr>
      </w:pPr>
      <w:bookmarkStart w:id="143" w:name="_Toc4366"/>
      <w:bookmarkStart w:id="144" w:name="_Toc25143"/>
      <w:r>
        <w:rPr>
          <w:rFonts w:hint="eastAsia" w:ascii="Times New Roman" w:hAnsi="Times New Roman" w:eastAsia="方正黑体_GBK"/>
          <w:color w:val="auto"/>
          <w:sz w:val="32"/>
          <w:szCs w:val="32"/>
          <w:highlight w:val="none"/>
        </w:rPr>
        <w:t>商务要求</w:t>
      </w:r>
      <w:bookmarkEnd w:id="143"/>
      <w:bookmarkEnd w:id="144"/>
      <w:r>
        <w:rPr>
          <w:rFonts w:hint="eastAsia" w:ascii="Times New Roman" w:hAnsi="Times New Roman" w:eastAsia="方正黑体_GBK"/>
          <w:color w:val="auto"/>
          <w:sz w:val="32"/>
          <w:szCs w:val="32"/>
          <w:highlight w:val="none"/>
        </w:rPr>
        <w:t xml:space="preserve"> </w:t>
      </w:r>
    </w:p>
    <w:p w14:paraId="584EF009">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 该标段服务时间为2026年5月至2027年5月，交付地点为乌鲁木齐市全市范围内（包括乌鲁木齐县、达坂城区、甘泉堡经济技术开发区等偏远地区）公安机关派驻机构（业务支队、区县分局、派出所、大队）</w:t>
      </w:r>
    </w:p>
    <w:p w14:paraId="1A50C647">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 xml:space="preserve">2. 付款条件：（1）合同签订后，项目采购人申请支付给中标单位合同总金额70%的预付款（具体以合同签订内容为主）；（2）合同到期前一个月，中标单位服务达到合同要求，经项目采购人验收确认，对停用、中断链路与中标方核对并核减费用后，申请支付给中标单位合同总金额30%的剩余尾款（具体以合同签订内容为主）。 </w:t>
      </w:r>
    </w:p>
    <w:p w14:paraId="6935886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 包装和运输：该项目不涉及包装与运输设备等情况。</w:t>
      </w:r>
    </w:p>
    <w:p w14:paraId="0882693F">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 售后服务（服务期内）：在中标后，按照甲方要求对市公安局所有主干核心链路开展巡检工作，做到7*24小时响应，重大节庆期间驻场值守。</w:t>
      </w:r>
    </w:p>
    <w:p w14:paraId="50D31BDF">
      <w:pPr>
        <w:spacing w:after="120" w:line="560" w:lineRule="exact"/>
        <w:rPr>
          <w:rFonts w:ascii="Times New Roman" w:hAnsi="Times New Roman"/>
          <w:color w:val="auto"/>
          <w:sz w:val="24"/>
          <w:highlight w:val="none"/>
        </w:rPr>
      </w:pPr>
      <w:bookmarkStart w:id="145" w:name="_Toc10153"/>
      <w:bookmarkStart w:id="146" w:name="_Toc10087"/>
      <w:r>
        <w:rPr>
          <w:rFonts w:hint="eastAsia" w:ascii="Times New Roman" w:hAnsi="Times New Roman" w:eastAsia="方正黑体_GBK"/>
          <w:color w:val="auto"/>
          <w:sz w:val="32"/>
          <w:szCs w:val="32"/>
          <w:highlight w:val="none"/>
        </w:rPr>
        <w:t>三、技术要求</w:t>
      </w:r>
      <w:bookmarkEnd w:id="145"/>
      <w:bookmarkEnd w:id="146"/>
      <w:r>
        <w:rPr>
          <w:rFonts w:hint="eastAsia" w:ascii="Times New Roman" w:hAnsi="Times New Roman" w:eastAsia="方正黑体_GBK"/>
          <w:color w:val="auto"/>
          <w:sz w:val="32"/>
          <w:szCs w:val="32"/>
          <w:highlight w:val="none"/>
        </w:rPr>
        <w:t>及参数</w:t>
      </w:r>
      <w:r>
        <w:rPr>
          <w:rFonts w:hint="eastAsia" w:ascii="Times New Roman" w:hAnsi="Times New Roman" w:eastAsia="方正黑体_GBK"/>
          <w:color w:val="auto"/>
          <w:sz w:val="28"/>
          <w:szCs w:val="28"/>
          <w:highlight w:val="none"/>
        </w:rPr>
        <w:t>(参数数量：19个）</w:t>
      </w:r>
    </w:p>
    <w:p w14:paraId="7E3C8D3C">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1.传输要求：</w:t>
      </w:r>
    </w:p>
    <w:p w14:paraId="6AD71DA1">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（1）甲方租用的有线链路参数不得低于现有链路参数要求，且网络带宽需满足甲方实际业务使用需求，甲方提供接入端口，由中标方接至核心网络设备并加电测试，并由甲方验收通过为准；</w:t>
      </w:r>
    </w:p>
    <w:p w14:paraId="6BE18CC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 xml:space="preserve">（2)中标方提供通信信道、附属基础设施建设、链路维护管理服务、运维耗材均要符合国家标准或行业标准。 </w:t>
      </w:r>
    </w:p>
    <w:p w14:paraId="4A4FAE0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★（3)中标方为甲方提供链路改造、升级、割接、迁移、测试等相关服务；</w:t>
      </w:r>
    </w:p>
    <w:p w14:paraId="3100FB8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甲方在链路租用期间产生的耗材（如各类型号尾纤、光电转换器、光模块、水晶头、网线等）达到国家标准及相关行业要求，向甲方委派人员或委托的监理单位报验，若未满足甲方使用需求，甲方有权要求中标方在规定时限内予以更换，未在甲方规定时限内更换的，由此造成的损失由中标方承担；</w:t>
      </w:r>
    </w:p>
    <w:p w14:paraId="33F04FD5">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★（5）甲方租用的网络链路传输质量须保证不得低于现有的标准参数，数据传输的稳定性，数据传输不丢包、不卡顿，必须满足各单位现用的业务应用正常运行要求；</w:t>
      </w:r>
    </w:p>
    <w:p w14:paraId="02A01772">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6）“705专网”属于部、厅重点部署建设的专用网络，运营商需提供点对点专用传输设备承载专用网络，禁止与其他网络并行、禁止与其他网络设备共用一台传输设备，中标方须按照甲方运维考核标准开展链路运维保障工作，因必要的链路改造、升级、割接、迁移等原因造成计划内网络中断的，中标方须提前10天通过正式书面报告告知甲方，经甲方审批同意后施工；链路计划外网络中断的，中标方须在发生中断后2小时内出具书面正式的故障调查报告；因人为事故导致链路中断，造成严重后果的，追究其相关法律责任。</w:t>
      </w:r>
    </w:p>
    <w:p w14:paraId="473E5B77">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（7）重大节日及国家、自治区安保工作期间不允许开展网络链路割接及断网。</w:t>
      </w:r>
    </w:p>
    <w:p w14:paraId="6F750945">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2.日常巡检：</w:t>
      </w:r>
    </w:p>
    <w:p w14:paraId="091DBD45">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 中标方承担甲方已租用网络链路、网络传输设备等的日常巡检工作，每月对公安网、视频网核心网络链路开展巡检，并向甲方提供链路带宽检测报告。掌握网络链路及设备的运行状态，发现故障及时处理并向甲方报备。</w:t>
      </w:r>
    </w:p>
    <w:p w14:paraId="229CCC3C">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在合同中约定，中标方应向甲方提供链路运行实时监测平台，对租用链路流量和质量进行全时段监测；中标方对出现流量异常链路，及时向甲方报备，若甲方在平台中发现类似异常链路，该链路当月不计费。</w:t>
      </w:r>
    </w:p>
    <w:p w14:paraId="1AC09569">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★（3）中标方每月对链路运行情况进行梳理总结，向甲方提交一份链路情况报告，包括链路带宽检测报告、通断情况、链路运维情况、存在问题、解决措施、合理化建议等。</w:t>
      </w:r>
    </w:p>
    <w:p w14:paraId="78909725">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3.服务响应：</w:t>
      </w:r>
    </w:p>
    <w:p w14:paraId="23D81B8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中标方应配备足够的设备维修人员及相应的工程抢险车和登高车等必备的运维管理工具。建立7*24小时响应并开展维护工作；一般故障（如线缆挖断、网络传输设备损坏等）要在1小时内响应并人员到位，4小时内排除故障；重大节日及安保工作期间出现网络故障中标方须立即响应，故障在2小时内处理完毕。</w:t>
      </w:r>
    </w:p>
    <w:p w14:paraId="1DF05BCB">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（2）严格按甲方运维规定及要求履行运维职责，确保网络传输的稳定运行；</w:t>
      </w:r>
    </w:p>
    <w:p w14:paraId="33595C89">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（3）如遇非常规性原因（通信管制、不可抗拒的自然灾害等）造成网络中断，自发现故障起1小时内书面向甲方报备，并在最短的时间恢复正常；</w:t>
      </w:r>
    </w:p>
    <w:p w14:paraId="6E9CBAB8">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（4)协助甲方从原维护单位、建设单位或业主单位接收维护范围内的相关设备和工程资料，做好交接登记；</w:t>
      </w:r>
    </w:p>
    <w:p w14:paraId="7CF9CF1E">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（5）协助甲方做好代建工程移交实勘工作，做好设备移交、审核工作，妥善整理、保管；</w:t>
      </w:r>
    </w:p>
    <w:p w14:paraId="586E46CA">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6）中标单位必须提供一名驻场人员（该人员需具备网络相关职业资格证书或熟悉电信业务流程办理等相关工作），协助甲方做好该项目中所有设施的基础信息采集、录入和日常更新维护，确保基础数据完整、准确。</w:t>
      </w:r>
    </w:p>
    <w:p w14:paraId="42973D63">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4.链路开通服务：</w:t>
      </w:r>
    </w:p>
    <w:p w14:paraId="335D2D6F">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中标方按照甲方实际使用需求，对新增、故障的外场点位进行网络链路的开通和停用，及时掌握网络链路实际情况：</w:t>
      </w:r>
    </w:p>
    <w:p w14:paraId="48DF13D4">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（1）对日常巡检中出现的长期故障且短期内无法恢复点位，及时告知甲方，甲方根据实际使用要求，办理链路停用手续。</w:t>
      </w:r>
    </w:p>
    <w:p w14:paraId="5B4E9CC5">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（2）对新增的外场点位，自收到链路开通函之日起1个自然日内给予回复，具备开通条件的，5个自然日内完成链路开通工作，并具备链路使用条件。对于特殊工作任务，按照甲方的要求时限完成链路开通工作。</w:t>
      </w:r>
    </w:p>
    <w:p w14:paraId="1EDFD21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中标方遇链路资源不具备，或难以保障的情况下，应及时通知甲方并在收到甲方书面通知后1日内以书面形式向甲方说明情况。双方可协商通过延长施工周期（如需延长不得超过7个自然日）、更换运营商等方式进行解决。</w:t>
      </w:r>
    </w:p>
    <w:p w14:paraId="5CE95BF9">
      <w:pPr>
        <w:pStyle w:val="2"/>
        <w:rPr>
          <w:rFonts w:ascii="仿宋" w:hAnsi="Times New Roman" w:eastAsia="仿宋" w:cs="仿宋"/>
          <w:color w:val="auto"/>
          <w:kern w:val="0"/>
          <w:sz w:val="32"/>
          <w:szCs w:val="32"/>
          <w:highlight w:val="none"/>
        </w:rPr>
      </w:pPr>
    </w:p>
    <w:p w14:paraId="2383AAD5">
      <w:pPr>
        <w:pStyle w:val="2"/>
        <w:rPr>
          <w:rFonts w:ascii="仿宋" w:hAnsi="Times New Roman" w:eastAsia="仿宋" w:cs="仿宋"/>
          <w:color w:val="auto"/>
          <w:kern w:val="0"/>
          <w:sz w:val="32"/>
          <w:szCs w:val="32"/>
          <w:highlight w:val="none"/>
        </w:rPr>
      </w:pPr>
    </w:p>
    <w:p w14:paraId="42E980DD">
      <w:pPr>
        <w:pStyle w:val="2"/>
        <w:rPr>
          <w:rFonts w:ascii="仿宋" w:hAnsi="Times New Roman" w:eastAsia="仿宋" w:cs="仿宋"/>
          <w:color w:val="auto"/>
          <w:kern w:val="0"/>
          <w:sz w:val="32"/>
          <w:szCs w:val="32"/>
          <w:highlight w:val="none"/>
        </w:rPr>
      </w:pPr>
    </w:p>
    <w:p w14:paraId="49C7A17F">
      <w:pPr>
        <w:pStyle w:val="2"/>
        <w:rPr>
          <w:rFonts w:hint="eastAsia" w:ascii="仿宋" w:hAnsi="Times New Roman" w:eastAsia="仿宋" w:cs="仿宋"/>
          <w:color w:val="auto"/>
          <w:kern w:val="0"/>
          <w:sz w:val="32"/>
          <w:szCs w:val="32"/>
          <w:highlight w:val="none"/>
        </w:rPr>
      </w:pPr>
    </w:p>
    <w:p w14:paraId="372B4DFA">
      <w:pPr>
        <w:pStyle w:val="2"/>
        <w:rPr>
          <w:rFonts w:hint="eastAsia" w:ascii="仿宋" w:hAnsi="Times New Roman" w:eastAsia="仿宋" w:cs="仿宋"/>
          <w:color w:val="auto"/>
          <w:kern w:val="0"/>
          <w:sz w:val="32"/>
          <w:szCs w:val="32"/>
          <w:highlight w:val="none"/>
        </w:rPr>
      </w:pPr>
    </w:p>
    <w:p w14:paraId="1977AD80">
      <w:pPr>
        <w:pStyle w:val="2"/>
        <w:rPr>
          <w:rFonts w:ascii="仿宋" w:hAnsi="Times New Roman" w:eastAsia="仿宋" w:cs="仿宋"/>
          <w:color w:val="auto"/>
          <w:kern w:val="0"/>
          <w:sz w:val="32"/>
          <w:szCs w:val="32"/>
          <w:highlight w:val="none"/>
        </w:rPr>
      </w:pPr>
    </w:p>
    <w:p w14:paraId="270A5F76">
      <w:pPr>
        <w:pStyle w:val="2"/>
        <w:rPr>
          <w:rFonts w:ascii="仿宋" w:hAnsi="Times New Roman" w:eastAsia="仿宋" w:cs="仿宋"/>
          <w:color w:val="auto"/>
          <w:kern w:val="0"/>
          <w:sz w:val="32"/>
          <w:szCs w:val="32"/>
          <w:highlight w:val="none"/>
        </w:rPr>
      </w:pPr>
    </w:p>
    <w:p w14:paraId="5985285B">
      <w:pPr>
        <w:spacing w:after="100" w:line="256" w:lineRule="auto"/>
        <w:ind w:firstLine="643" w:firstLineChars="200"/>
        <w:jc w:val="center"/>
        <w:rPr>
          <w:rFonts w:hint="eastAsia" w:ascii="Times New Roman" w:hAnsi="Times New Roman" w:eastAsia="仿宋"/>
          <w:b/>
          <w:bCs/>
          <w:color w:val="auto"/>
          <w:sz w:val="32"/>
          <w:szCs w:val="36"/>
          <w:highlight w:val="none"/>
        </w:rPr>
      </w:pPr>
      <w:r>
        <w:rPr>
          <w:rFonts w:hint="eastAsia" w:ascii="Times New Roman" w:hAnsi="Times New Roman" w:eastAsia="仿宋"/>
          <w:b/>
          <w:bCs/>
          <w:color w:val="auto"/>
          <w:sz w:val="32"/>
          <w:szCs w:val="36"/>
          <w:highlight w:val="none"/>
        </w:rPr>
        <w:t>市属单位2026年度通信链路服务租用项目二标段（市属单位备用有线链路及固网通信服务租用服务项目）</w:t>
      </w:r>
    </w:p>
    <w:p w14:paraId="42F39809">
      <w:pPr>
        <w:spacing w:after="100" w:line="256" w:lineRule="auto"/>
        <w:ind w:firstLine="640" w:firstLineChars="200"/>
        <w:rPr>
          <w:rFonts w:ascii="Times New Roman" w:hAnsi="Times New Roman" w:eastAsia="方正黑体_GBK"/>
          <w:color w:val="auto"/>
          <w:sz w:val="32"/>
          <w:szCs w:val="32"/>
          <w:highlight w:val="none"/>
        </w:rPr>
      </w:pPr>
      <w:r>
        <w:rPr>
          <w:rFonts w:hint="eastAsia" w:ascii="Times New Roman" w:hAnsi="Times New Roman" w:eastAsia="方正黑体_GBK"/>
          <w:color w:val="auto"/>
          <w:sz w:val="32"/>
          <w:szCs w:val="32"/>
          <w:highlight w:val="none"/>
        </w:rPr>
        <w:t xml:space="preserve">一、采购标的 </w:t>
      </w:r>
    </w:p>
    <w:p w14:paraId="5C9D412B">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市属单位2026年度通信链路服务租用项目二标段（市属单位备用有线链路及固网通信服务租用服务项目），该标段主要为市公安局各单位有线备用链路共计532条（包括市局各单位备用有线链路38条，互联网链路42条、移动警务专网46条、语音专线11条、350M专线68条，全局外线电话300条、卫星电话专线18条）。</w:t>
      </w:r>
    </w:p>
    <w:p w14:paraId="6AA27B38">
      <w:pPr>
        <w:spacing w:after="100" w:line="256" w:lineRule="auto"/>
        <w:ind w:firstLine="640" w:firstLineChars="200"/>
        <w:rPr>
          <w:rFonts w:ascii="Times New Roman" w:hAnsi="Times New Roman" w:eastAsia="方正黑体_GBK"/>
          <w:color w:val="auto"/>
          <w:sz w:val="32"/>
          <w:szCs w:val="32"/>
          <w:highlight w:val="none"/>
        </w:rPr>
      </w:pPr>
      <w:r>
        <w:rPr>
          <w:rFonts w:hint="eastAsia" w:ascii="Times New Roman" w:hAnsi="Times New Roman" w:eastAsia="方正黑体_GBK"/>
          <w:color w:val="auto"/>
          <w:sz w:val="32"/>
          <w:szCs w:val="32"/>
          <w:highlight w:val="none"/>
        </w:rPr>
        <w:t xml:space="preserve">二、商务要求 </w:t>
      </w:r>
    </w:p>
    <w:p w14:paraId="7829A412">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 该标段服务时间为2026年5月至2027年5月，交付地点为乌鲁木齐市全市范围内（包括乌鲁木齐县、达坂城区、甘泉堡经济技术开发区等偏远地区）公安机关派驻机构（业务支队、区县分局、派出所、大队）</w:t>
      </w:r>
    </w:p>
    <w:p w14:paraId="223462EB">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 xml:space="preserve">2. 付款条件：（1）合同签订后，项目采购人申请支付给中标单位合同总金额70%的预付款项（具体以合同签订内容为主）；（2）合同到期前一个月，中标单位服务达到合同要求，经项目采购人验收确认，对停用、中断链路与中标方核对并核减费用后，申请支付给中标单位合同总金额30%的剩余尾款（具体以合同签订内容为主）。 </w:t>
      </w:r>
    </w:p>
    <w:p w14:paraId="49DD5E2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 包装和运输：该项目不涉及包装与运输设备等情况。</w:t>
      </w:r>
    </w:p>
    <w:p w14:paraId="2059AACD">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 售后服务（质保期）：在中标后，按照甲方要求对市公安局所有主干核心链路开展巡检工作，做到7*24小时响应，重大节庆期间驻场值守。</w:t>
      </w:r>
    </w:p>
    <w:p w14:paraId="7129BD90">
      <w:pPr>
        <w:pStyle w:val="2"/>
        <w:spacing w:line="560" w:lineRule="exact"/>
        <w:ind w:firstLine="321" w:firstLineChars="100"/>
        <w:rPr>
          <w:rFonts w:ascii="Times New Roman" w:hAnsi="Times New Roman" w:eastAsia="方正黑体_GBK"/>
          <w:b/>
          <w:bCs/>
          <w:color w:val="auto"/>
          <w:sz w:val="28"/>
          <w:szCs w:val="28"/>
          <w:highlight w:val="none"/>
        </w:rPr>
      </w:pPr>
      <w:r>
        <w:rPr>
          <w:rFonts w:hint="eastAsia" w:ascii="Times New Roman" w:hAnsi="Times New Roman" w:eastAsia="方正黑体_GBK"/>
          <w:b/>
          <w:bCs/>
          <w:color w:val="auto"/>
          <w:sz w:val="32"/>
          <w:szCs w:val="32"/>
          <w:highlight w:val="none"/>
        </w:rPr>
        <w:t>三、技术要求及参数</w:t>
      </w:r>
      <w:r>
        <w:rPr>
          <w:rFonts w:hint="eastAsia" w:ascii="Times New Roman" w:hAnsi="Times New Roman" w:eastAsia="方正黑体_GBK"/>
          <w:b/>
          <w:bCs/>
          <w:color w:val="auto"/>
          <w:sz w:val="28"/>
          <w:szCs w:val="28"/>
          <w:highlight w:val="none"/>
        </w:rPr>
        <w:t>(</w:t>
      </w:r>
      <w:r>
        <w:rPr>
          <w:rFonts w:hint="eastAsia" w:ascii="仿宋" w:hAnsi="Times New Roman" w:cs="仿宋"/>
          <w:b/>
          <w:bCs/>
          <w:color w:val="auto"/>
          <w:kern w:val="0"/>
          <w:sz w:val="28"/>
          <w:szCs w:val="28"/>
          <w:highlight w:val="none"/>
        </w:rPr>
        <w:t>参数数量：27个）</w:t>
      </w:r>
    </w:p>
    <w:p w14:paraId="349A1C6D">
      <w:pPr>
        <w:pStyle w:val="346"/>
        <w:spacing w:before="0" w:beforeAutospacing="0" w:after="0" w:afterAutospacing="0" w:line="360" w:lineRule="auto"/>
        <w:ind w:firstLine="482" w:firstLineChars="200"/>
        <w:rPr>
          <w:rFonts w:ascii="Times New Roman" w:hAnsi="Times New Roman" w:cs="Times New Roman"/>
          <w:b/>
          <w:bCs/>
          <w:color w:val="auto"/>
          <w:kern w:val="2"/>
          <w:highlight w:val="none"/>
        </w:rPr>
      </w:pPr>
      <w:r>
        <w:rPr>
          <w:rFonts w:hint="eastAsia" w:ascii="Times New Roman" w:hAnsi="Times New Roman" w:cs="Times New Roman"/>
          <w:b/>
          <w:bCs/>
          <w:color w:val="auto"/>
          <w:kern w:val="2"/>
          <w:highlight w:val="none"/>
        </w:rPr>
        <w:t>1、传输要求</w:t>
      </w:r>
    </w:p>
    <w:p w14:paraId="78C4E78F">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甲方租用的有线备用链路及VOIP内线电话、固定外线电话参数不得低于现有链路参数要求，且网络带宽需满足甲方实际业务使用需求，甲方提供接入端口，由中标方接至核心网络设备并加电测试，并由甲方验收通过为准；</w:t>
      </w:r>
      <w:r>
        <w:rPr>
          <w:rFonts w:hint="eastAsia" w:ascii="Times New Roman" w:hAnsi="Times New Roman" w:cs="Times New Roman"/>
          <w:color w:val="auto"/>
          <w:kern w:val="2"/>
          <w:highlight w:val="none"/>
        </w:rPr>
        <w:br w:type="textWrapping"/>
      </w:r>
      <w:r>
        <w:rPr>
          <w:rFonts w:hint="eastAsia" w:ascii="Times New Roman" w:hAnsi="Times New Roman" w:cs="Times New Roman"/>
          <w:color w:val="auto"/>
          <w:kern w:val="2"/>
          <w:highlight w:val="none"/>
        </w:rPr>
        <w:t xml:space="preserve">   （2）中标方提供通信信道、附属基础设施建设、链路维护管理服务，甲方租用中标方全部业务、运维费、耗材费均按实际发生量结算，经甲方委派人员或甲方委派监理确认后，按使用情况（最终审计值）进行支付。</w:t>
      </w:r>
    </w:p>
    <w:p w14:paraId="5D528A1A">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（3）中标方为甲方提供链路改造、升级、割接、迁移、测试等相关服务；</w:t>
      </w:r>
      <w:r>
        <w:rPr>
          <w:rFonts w:hint="eastAsia" w:ascii="Times New Roman" w:hAnsi="Times New Roman" w:cs="Times New Roman"/>
          <w:color w:val="auto"/>
          <w:kern w:val="2"/>
          <w:highlight w:val="none"/>
        </w:rPr>
        <w:br w:type="textWrapping"/>
      </w:r>
      <w:r>
        <w:rPr>
          <w:rFonts w:hint="eastAsia" w:ascii="Times New Roman" w:hAnsi="Times New Roman" w:cs="Times New Roman"/>
          <w:color w:val="auto"/>
          <w:kern w:val="2"/>
          <w:highlight w:val="none"/>
        </w:rPr>
        <w:t xml:space="preserve">    ★（4）开通固话通信业务中要求提供1008个用户许可，设备满足行政办公楼1008模拟用户的专网日常办公通信需求，实现所语音网内所有用户语音相互通信。共需提供14个PRI中继，连接PSTN公网用户的运营商及其他设备。120条SIP虚拟中继，150个IP 用户作为特殊用户的边、散、远等小单位直接使用IP话机注册使用，并预留部分接口备用。号段升位，核心点更换新设备后，整网用户全部号段升位，由原来的四位升位五位，具体升位情况会根据市局相关部门要求实行，设备升位所需预算包含在本次招标预算中，中标单位在进行所有设备的号码升位及其他软件等费用不得再次追加。</w:t>
      </w:r>
    </w:p>
    <w:p w14:paraId="6885DAA7">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5）核心网络交换机：五楼核心VoIP主机房到6楼数据核心机房设备之间，由原来的四个绑定百兆口更换成千兆电口，满足设备更换后VoIP语音VLAN的带宽，保证设备通信时无阻塞。用于核心VoIP语音设备和外部VoIP虚拟中继组网的核心数据网交换机，由目前使用的百兆电口交换机更换成千兆电口网络交换机。</w:t>
      </w:r>
    </w:p>
    <w:p w14:paraId="7B35C74D">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6）热线电话配置需求：需配备专门承载热线电话的设备，并将原系统上所有的热线电话迁移至新增设备（24路及8路模拟中继网关）；新更换VoIP语音设备作为行政办公楼的核心VoIP语音交换设备，在不改变现有网络结构前提下，接入现有系统VoIP语音网，并提供不少于90天的历史录音调取功能。</w:t>
      </w:r>
    </w:p>
    <w:p w14:paraId="2D319311">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★（7）保障甲方使用的18路卫星电话的畅通，每月向甲方提供卫星电话费用账单，确保能够有效使用。</w:t>
      </w:r>
    </w:p>
    <w:p w14:paraId="0719DA8F">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★（8）能够服从甲方要求对目前使用的4个万号段的VOIP内线电话、外线固定号码的开通停用做好全面梳理工作，制作准确的使用台账，每月向甲方开展开通号码的核对使用情况。</w:t>
      </w:r>
    </w:p>
    <w:p w14:paraId="615833D5">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9）甲方租用的有线网络链路传输质量须保证不得低于现有的标准参数，数据传输的稳定性，数据传输不丢包、不卡顿，必须满足各单位现用的业务应用正常运行要求，中标方需向甲方提供链路施工中所使用的耗材（如各类尾纤、光电转换器、光模块、电话线、水晶头等）。</w:t>
      </w:r>
    </w:p>
    <w:p w14:paraId="6B0ECDFA">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10）一般时间、重大节日及国家、自治区安保工作期间不允许造成有线、无线链路欠费停机从而影响甲方工作开展，重大节日及国家、自治区安保工作期间不允许开展网络链路割接及断网，同时按照甲方要求做好网络保障。</w:t>
      </w:r>
    </w:p>
    <w:p w14:paraId="38074A71">
      <w:pPr>
        <w:pStyle w:val="346"/>
        <w:spacing w:before="0" w:beforeAutospacing="0" w:after="0" w:afterAutospacing="0" w:line="360" w:lineRule="auto"/>
        <w:ind w:firstLine="482" w:firstLineChars="200"/>
        <w:rPr>
          <w:rFonts w:ascii="Times New Roman" w:hAnsi="Times New Roman" w:cs="Times New Roman"/>
          <w:b/>
          <w:bCs/>
          <w:color w:val="auto"/>
          <w:kern w:val="2"/>
          <w:highlight w:val="none"/>
        </w:rPr>
      </w:pPr>
      <w:r>
        <w:rPr>
          <w:rFonts w:hint="eastAsia" w:ascii="Times New Roman" w:hAnsi="Times New Roman" w:cs="Times New Roman"/>
          <w:b/>
          <w:bCs/>
          <w:color w:val="auto"/>
          <w:kern w:val="2"/>
          <w:highlight w:val="none"/>
        </w:rPr>
        <w:t>2、日常巡检</w:t>
      </w:r>
    </w:p>
    <w:p w14:paraId="5D9E601F">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中标方承担甲方已租用网络链路、网络传输设备等的日常巡检工作，每半月对核心网络链路进行一次巡检，每月对其他链路进行一次巡检，并提交一份巡检记录。掌握网络链路及设备的运行状态，发现故障及时处理并向甲方报备。</w:t>
      </w:r>
    </w:p>
    <w:p w14:paraId="3B89AD43">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在合同中约定，中标方应向甲方提供链路运行实时监测平台，对租用链路流量和质量进行全时段监测；中标方对出现流量异常链路，及时向甲方报备，若甲方在平台中发现类似异常链路，该链路当月不计费。</w:t>
      </w:r>
    </w:p>
    <w:p w14:paraId="2E90129E">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（3）中标方每月对链路运行情况进行梳理总结，向甲方提交一份链路情况报告，包括链路带宽检测报告、通断情况、链路运维情况、存在问题、解决措施、合理化建议等。</w:t>
      </w:r>
    </w:p>
    <w:p w14:paraId="63833C9B">
      <w:pPr>
        <w:pStyle w:val="346"/>
        <w:spacing w:before="0" w:beforeAutospacing="0" w:after="0" w:afterAutospacing="0" w:line="360" w:lineRule="auto"/>
        <w:ind w:firstLine="482" w:firstLineChars="200"/>
        <w:rPr>
          <w:rFonts w:ascii="Times New Roman" w:hAnsi="Times New Roman" w:cs="Times New Roman"/>
          <w:b/>
          <w:bCs/>
          <w:color w:val="auto"/>
          <w:kern w:val="2"/>
          <w:highlight w:val="none"/>
        </w:rPr>
      </w:pPr>
      <w:r>
        <w:rPr>
          <w:rFonts w:hint="eastAsia" w:ascii="Times New Roman" w:hAnsi="Times New Roman" w:cs="Times New Roman"/>
          <w:b/>
          <w:bCs/>
          <w:color w:val="auto"/>
          <w:kern w:val="2"/>
          <w:highlight w:val="none"/>
        </w:rPr>
        <w:t>3、响应服务</w:t>
      </w:r>
    </w:p>
    <w:p w14:paraId="164B7C15">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中标方承担网络通信链路和网络传输设备的运维保障工作：</w:t>
      </w:r>
    </w:p>
    <w:p w14:paraId="495F1F42">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中标方应配备足够的设备维修人员及相应的工程抢险车和登高车等必备的运维管理工具。建立7*24小时响应并开展维护工作；一般故障（如线缆挖断、网络传输设备损坏等）要在1小时内响应并人员到位，4小时内排除故障；重大节日及安保工作期间出现网络故障中标方须立即响应，故障在2小时内处理完毕。</w:t>
      </w:r>
    </w:p>
    <w:p w14:paraId="6DF09B94">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（2）严格按甲方运维规定及要求履行运维职责，确保网络传输的稳定运行；</w:t>
      </w:r>
    </w:p>
    <w:p w14:paraId="318F9EF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（3）如遇非常规性原因（通信管制、不可抗拒的自然灾害等）造成网络中断，自发现故障起1小时内书面向甲方报备，并在最短的时间恢复正常；</w:t>
      </w:r>
    </w:p>
    <w:p w14:paraId="3B5CE12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（4）协助甲方从原维护单位、建设单位或业主单位接收维护范围内的相关设备和工程资料，做好交接登记；</w:t>
      </w:r>
    </w:p>
    <w:p w14:paraId="303D1F81">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（5）协助甲方做好代建工程移交实勘工作，做好设备移交、审核工作，妥善整理、保管；</w:t>
      </w:r>
    </w:p>
    <w:p w14:paraId="6BBB5A8D">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（6）负责维护范围内所有设施的基础信息采集、录入和日常更新维护，确保基础数据完整、准确。</w:t>
      </w:r>
    </w:p>
    <w:p w14:paraId="403992EA">
      <w:pPr>
        <w:pStyle w:val="346"/>
        <w:spacing w:before="0" w:beforeAutospacing="0" w:after="0" w:afterAutospacing="0" w:line="360" w:lineRule="auto"/>
        <w:ind w:firstLine="482" w:firstLineChars="200"/>
        <w:rPr>
          <w:rFonts w:ascii="Times New Roman" w:hAnsi="Times New Roman" w:cs="Times New Roman"/>
          <w:b/>
          <w:bCs/>
          <w:color w:val="auto"/>
          <w:kern w:val="2"/>
          <w:highlight w:val="none"/>
        </w:rPr>
      </w:pPr>
      <w:r>
        <w:rPr>
          <w:rFonts w:hint="eastAsia" w:ascii="Times New Roman" w:hAnsi="Times New Roman" w:cs="Times New Roman"/>
          <w:b/>
          <w:bCs/>
          <w:color w:val="auto"/>
          <w:kern w:val="2"/>
          <w:highlight w:val="none"/>
        </w:rPr>
        <w:t>4、链路开通停用处理</w:t>
      </w:r>
    </w:p>
    <w:p w14:paraId="2523326E">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中标方按照甲方实际使用需求，对新增、故障的外场点位进行网络链路的开通和停用，及时掌握网络链路实际情况：</w:t>
      </w:r>
    </w:p>
    <w:p w14:paraId="70012712">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（1）对日常巡检中出现的长期故障且短期内无法恢复点位，及时告知甲方，甲方根据实际使用要求，办理链路停用手续。</w:t>
      </w:r>
    </w:p>
    <w:p w14:paraId="2EED0ED0">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（2）对新增的外场点位，自收到链路开通函之日起1个自然日内给予回复，具备开通条件的，5个自然日内完成链路开通工作，并具备链路使用条件。对于特殊工作任务，按照甲方的要求时限完成链路开通工作。</w:t>
      </w:r>
    </w:p>
    <w:p w14:paraId="351A947B">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中标方遇链路资源不具备，或难以保障的情况下，应及时通知甲方并在收到甲方书面通知后1日内以书面形式向甲方说明情况。双方可协商通过延长施工周期（如需延长不得超过7个自然日）、更换运营商等方式进行解决。</w:t>
      </w:r>
    </w:p>
    <w:p w14:paraId="37A3E9D6">
      <w:pPr>
        <w:pStyle w:val="346"/>
        <w:spacing w:before="0" w:beforeAutospacing="0" w:after="0" w:afterAutospacing="0" w:line="360" w:lineRule="auto"/>
        <w:ind w:firstLine="482" w:firstLineChars="200"/>
        <w:rPr>
          <w:rFonts w:ascii="Times New Roman" w:hAnsi="Times New Roman" w:cs="Times New Roman"/>
          <w:b/>
          <w:bCs/>
          <w:color w:val="auto"/>
          <w:kern w:val="2"/>
          <w:highlight w:val="none"/>
        </w:rPr>
      </w:pPr>
      <w:r>
        <w:rPr>
          <w:rFonts w:hint="eastAsia" w:ascii="Times New Roman" w:hAnsi="Times New Roman" w:cs="Times New Roman"/>
          <w:b/>
          <w:bCs/>
          <w:color w:val="auto"/>
          <w:kern w:val="2"/>
          <w:highlight w:val="none"/>
        </w:rPr>
        <w:t>5、链路资费标准和计费方式</w:t>
      </w:r>
    </w:p>
    <w:p w14:paraId="5182F54A">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协议有效期内，当国家相关资费政策和标准发生变化的，若新资费低于现行资费，双方协商做相应调整；若新资费标准高于现行资费，则按现行资费继续执行，链路租用期间使用耗材所产生的相关费用均由中标方承担。</w:t>
      </w:r>
    </w:p>
    <w:p w14:paraId="1F780207">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（2）本协议内服务费的计费时间按自然月为一个计费周期。</w:t>
      </w:r>
    </w:p>
    <w:p w14:paraId="04D8B263">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（3）计费周期内如出现甲方主动报停或退租情形的，中标方将按以下情形计费：</w:t>
      </w:r>
    </w:p>
    <w:p w14:paraId="0331C93F">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a. 甲方在当月办理开通、停用链路的业务需求后，中标方必须在5个自然日内开通或停用；对于在当月15日之前开通的链路服务费用在下月开始计费；对于在当月15日之前停用的链路租费不纳入当月计费服务。</w:t>
      </w:r>
    </w:p>
    <w:p w14:paraId="595361A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b. 以上两类链路由新的中标方中标后，在未完成租用链路割接时，所产生的链路租用费用按照链路中标价向原供应方进行支付，新中标方承诺链路割接时间要在1个月内割接完毕；如链路仍由原运营商中标，链路租费以新中标价进行支付。</w:t>
      </w:r>
    </w:p>
    <w:p w14:paraId="26178D14">
      <w:pPr>
        <w:pStyle w:val="346"/>
        <w:spacing w:before="0" w:beforeAutospacing="0" w:after="0" w:afterAutospacing="0" w:line="360" w:lineRule="auto"/>
        <w:ind w:firstLine="480" w:firstLineChars="200"/>
        <w:rPr>
          <w:rFonts w:ascii="Times New Roman" w:hAnsi="Times New Roman" w:eastAsia="方正仿宋_GBK" w:cs="Times New Roman"/>
          <w:color w:val="auto"/>
          <w:sz w:val="32"/>
          <w:szCs w:val="32"/>
          <w:highlight w:val="none"/>
        </w:rPr>
      </w:pPr>
      <w:r>
        <w:rPr>
          <w:rFonts w:hint="eastAsia" w:ascii="Times New Roman" w:hAnsi="Times New Roman" w:cs="Times New Roman"/>
          <w:color w:val="auto"/>
          <w:kern w:val="2"/>
          <w:highlight w:val="none"/>
        </w:rPr>
        <w:t>c. 中标方提供的链路类型为互联网链路和专线链路，以上链路最终租用使用核算以实际发生量为准。如本年度有新开通链路，中标方出具相关链路开通资料，甲方按照实际开通情况申请支付链路租费。</w:t>
      </w:r>
    </w:p>
    <w:p w14:paraId="209A419D">
      <w:pPr>
        <w:pStyle w:val="2"/>
        <w:rPr>
          <w:rFonts w:ascii="仿宋" w:hAnsi="Times New Roman" w:eastAsia="仿宋" w:cs="仿宋"/>
          <w:color w:val="auto"/>
          <w:kern w:val="0"/>
          <w:sz w:val="32"/>
          <w:szCs w:val="32"/>
          <w:highlight w:val="none"/>
        </w:rPr>
      </w:pPr>
    </w:p>
    <w:p w14:paraId="5FD264F5">
      <w:pPr>
        <w:spacing w:after="100" w:line="256" w:lineRule="auto"/>
        <w:jc w:val="center"/>
        <w:rPr>
          <w:rFonts w:ascii="Times New Roman" w:hAnsi="Times New Roman" w:eastAsia="仿宋"/>
          <w:b/>
          <w:bCs/>
          <w:color w:val="auto"/>
          <w:sz w:val="32"/>
          <w:szCs w:val="36"/>
          <w:highlight w:val="none"/>
        </w:rPr>
      </w:pPr>
    </w:p>
    <w:p w14:paraId="36C0BE11">
      <w:pPr>
        <w:spacing w:after="100" w:line="256" w:lineRule="auto"/>
        <w:jc w:val="center"/>
        <w:rPr>
          <w:rFonts w:ascii="Times New Roman" w:hAnsi="Times New Roman" w:eastAsia="仿宋"/>
          <w:b/>
          <w:bCs/>
          <w:color w:val="auto"/>
          <w:sz w:val="32"/>
          <w:szCs w:val="36"/>
          <w:highlight w:val="none"/>
        </w:rPr>
      </w:pPr>
    </w:p>
    <w:p w14:paraId="4C76E15B">
      <w:pPr>
        <w:spacing w:after="100" w:line="256" w:lineRule="auto"/>
        <w:rPr>
          <w:rFonts w:ascii="Times New Roman" w:hAnsi="Times New Roman" w:eastAsia="仿宋"/>
          <w:b/>
          <w:bCs/>
          <w:color w:val="auto"/>
          <w:sz w:val="32"/>
          <w:szCs w:val="36"/>
          <w:highlight w:val="none"/>
        </w:rPr>
      </w:pPr>
    </w:p>
    <w:p w14:paraId="142B142A">
      <w:pPr>
        <w:pStyle w:val="2"/>
        <w:rPr>
          <w:rFonts w:ascii="Times New Roman" w:hAnsi="Times New Roman" w:eastAsia="仿宋"/>
          <w:b/>
          <w:bCs/>
          <w:color w:val="auto"/>
          <w:sz w:val="32"/>
          <w:szCs w:val="36"/>
          <w:highlight w:val="none"/>
        </w:rPr>
      </w:pPr>
    </w:p>
    <w:p w14:paraId="4F240752">
      <w:pPr>
        <w:spacing w:after="100" w:line="256" w:lineRule="auto"/>
        <w:jc w:val="center"/>
        <w:rPr>
          <w:rFonts w:hint="eastAsia" w:ascii="Times New Roman" w:hAnsi="Times New Roman" w:eastAsia="仿宋"/>
          <w:b/>
          <w:bCs/>
          <w:color w:val="auto"/>
          <w:sz w:val="32"/>
          <w:szCs w:val="36"/>
          <w:highlight w:val="none"/>
        </w:rPr>
      </w:pPr>
      <w:r>
        <w:rPr>
          <w:rFonts w:hint="eastAsia" w:ascii="Times New Roman" w:hAnsi="Times New Roman" w:eastAsia="仿宋"/>
          <w:b/>
          <w:bCs/>
          <w:color w:val="auto"/>
          <w:sz w:val="32"/>
          <w:szCs w:val="36"/>
          <w:highlight w:val="none"/>
        </w:rPr>
        <w:t>市属单位2026年度通信链路服务租用项目三标段（市属单位物联网数据卡服务租用项目）</w:t>
      </w:r>
    </w:p>
    <w:p w14:paraId="043AEB9B">
      <w:pPr>
        <w:spacing w:after="100" w:line="256" w:lineRule="auto"/>
        <w:rPr>
          <w:rFonts w:ascii="Times New Roman" w:hAnsi="Times New Roman" w:eastAsia="方正黑体_GBK"/>
          <w:color w:val="auto"/>
          <w:sz w:val="32"/>
          <w:szCs w:val="32"/>
          <w:highlight w:val="none"/>
        </w:rPr>
      </w:pPr>
      <w:r>
        <w:rPr>
          <w:rFonts w:hint="eastAsia" w:ascii="Times New Roman" w:hAnsi="Times New Roman" w:eastAsia="方正黑体_GBK"/>
          <w:color w:val="auto"/>
          <w:sz w:val="32"/>
          <w:szCs w:val="32"/>
          <w:highlight w:val="none"/>
        </w:rPr>
        <w:t xml:space="preserve">一、采购标的 </w:t>
      </w:r>
    </w:p>
    <w:p w14:paraId="4FBECE4E">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市属单位2026年度通信链路服务租用项目三标段（市属单位物联网数据卡服务租用项目），该标段主要为市公安局机关单位信息化类移动警务装备的专用网络APN/VPN流量通道900条。</w:t>
      </w:r>
    </w:p>
    <w:p w14:paraId="06ABB72E">
      <w:pPr>
        <w:spacing w:after="100" w:line="256" w:lineRule="auto"/>
        <w:rPr>
          <w:rFonts w:ascii="Times New Roman" w:hAnsi="Times New Roman" w:eastAsia="方正黑体_GBK"/>
          <w:color w:val="auto"/>
          <w:sz w:val="32"/>
          <w:szCs w:val="32"/>
          <w:highlight w:val="none"/>
        </w:rPr>
      </w:pPr>
      <w:r>
        <w:rPr>
          <w:rFonts w:hint="eastAsia" w:ascii="Times New Roman" w:hAnsi="Times New Roman" w:eastAsia="方正黑体_GBK"/>
          <w:color w:val="auto"/>
          <w:sz w:val="32"/>
          <w:szCs w:val="32"/>
          <w:highlight w:val="none"/>
        </w:rPr>
        <w:t xml:space="preserve">二、商务要求 </w:t>
      </w:r>
    </w:p>
    <w:p w14:paraId="2751C383">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 该标段服务时间为2026年5月至2027年5月，交付地点为乌鲁木齐市。</w:t>
      </w:r>
    </w:p>
    <w:p w14:paraId="0D5DDD41">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 xml:space="preserve">2. 付款条件：（1）合同签订后，项目采购人申请支付给中标单位合同总金额70%的预付款项（具体以合同签订内容为主）；（2）合同到期前一个月，中标单位服务达到合同要求，经项目采购人验收确认，对停用链路与中标方核对并核减费用后，申请支付给中标单位合同总金额30%的剩余尾款（具体以合同签订内容为主）。 </w:t>
      </w:r>
    </w:p>
    <w:p w14:paraId="339B195C">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 包装和运输：该项目不涉及包装与运输设备等情况。</w:t>
      </w:r>
    </w:p>
    <w:p w14:paraId="292B43A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 售后服务（质保期）：中标后，按照甲方要求对市公安局所有主干核心链路开展巡检工作，做到7*24小时响应，重大节庆期间驻场值守。</w:t>
      </w:r>
    </w:p>
    <w:p w14:paraId="7E12E519">
      <w:pPr>
        <w:spacing w:after="120" w:line="560" w:lineRule="exact"/>
        <w:rPr>
          <w:rFonts w:ascii="Times New Roman" w:hAnsi="Times New Roman" w:eastAsia="方正楷体_GBK"/>
          <w:b/>
          <w:bCs/>
          <w:color w:val="auto"/>
          <w:sz w:val="28"/>
          <w:szCs w:val="28"/>
          <w:highlight w:val="none"/>
        </w:rPr>
      </w:pPr>
      <w:r>
        <w:rPr>
          <w:rFonts w:hint="eastAsia" w:ascii="Times New Roman" w:hAnsi="Times New Roman" w:eastAsia="方正黑体_GBK"/>
          <w:b/>
          <w:bCs/>
          <w:color w:val="auto"/>
          <w:sz w:val="32"/>
          <w:szCs w:val="32"/>
          <w:highlight w:val="none"/>
        </w:rPr>
        <w:t>三</w:t>
      </w:r>
      <w:r>
        <w:rPr>
          <w:rFonts w:hint="eastAsia" w:ascii="Times New Roman" w:hAnsi="Times New Roman" w:eastAsia="方正黑体_GBK"/>
          <w:b/>
          <w:bCs/>
          <w:color w:val="auto"/>
          <w:sz w:val="32"/>
          <w:szCs w:val="32"/>
          <w:highlight w:val="none"/>
          <w:lang w:eastAsia="zh-CN"/>
        </w:rPr>
        <w:t>、</w:t>
      </w:r>
      <w:r>
        <w:rPr>
          <w:rFonts w:ascii="Times New Roman" w:hAnsi="Times New Roman" w:eastAsia="方正楷体_GBK"/>
          <w:b/>
          <w:bCs/>
          <w:color w:val="auto"/>
          <w:sz w:val="32"/>
          <w:szCs w:val="32"/>
          <w:highlight w:val="none"/>
        </w:rPr>
        <w:t>技术要求</w:t>
      </w:r>
      <w:r>
        <w:rPr>
          <w:rFonts w:hint="eastAsia" w:ascii="Times New Roman" w:hAnsi="Times New Roman" w:eastAsia="方正楷体_GBK"/>
          <w:b/>
          <w:bCs/>
          <w:color w:val="auto"/>
          <w:sz w:val="32"/>
          <w:szCs w:val="32"/>
          <w:highlight w:val="none"/>
        </w:rPr>
        <w:t>及参数</w:t>
      </w:r>
      <w:r>
        <w:rPr>
          <w:rFonts w:hint="eastAsia" w:ascii="Times New Roman" w:hAnsi="Times New Roman" w:eastAsia="方正黑体_GBK"/>
          <w:b/>
          <w:bCs/>
          <w:color w:val="auto"/>
          <w:sz w:val="28"/>
          <w:szCs w:val="28"/>
          <w:highlight w:val="none"/>
        </w:rPr>
        <w:t>(</w:t>
      </w:r>
      <w:r>
        <w:rPr>
          <w:rFonts w:hint="eastAsia" w:ascii="仿宋" w:hAnsi="Times New Roman" w:eastAsia="仿宋" w:cs="仿宋"/>
          <w:b/>
          <w:bCs/>
          <w:color w:val="auto"/>
          <w:kern w:val="0"/>
          <w:sz w:val="28"/>
          <w:szCs w:val="28"/>
          <w:highlight w:val="none"/>
        </w:rPr>
        <w:t>参数数量：52个）</w:t>
      </w:r>
    </w:p>
    <w:p w14:paraId="1DE411BB">
      <w:pPr>
        <w:spacing w:line="560" w:lineRule="exact"/>
        <w:ind w:firstLine="643" w:firstLineChars="200"/>
        <w:rPr>
          <w:rFonts w:ascii="Times New Roman" w:hAnsi="Times New Roman" w:eastAsia="方正楷体_GBK"/>
          <w:b/>
          <w:bCs/>
          <w:color w:val="auto"/>
          <w:sz w:val="32"/>
          <w:szCs w:val="32"/>
          <w:highlight w:val="none"/>
        </w:rPr>
      </w:pPr>
      <w:r>
        <w:rPr>
          <w:rFonts w:hint="eastAsia" w:ascii="Times New Roman" w:hAnsi="Times New Roman" w:eastAsia="方正楷体_GBK"/>
          <w:b/>
          <w:bCs/>
          <w:color w:val="auto"/>
          <w:sz w:val="32"/>
          <w:szCs w:val="32"/>
          <w:highlight w:val="none"/>
        </w:rPr>
        <w:t>1.租用服务要求</w:t>
      </w:r>
    </w:p>
    <w:p w14:paraId="1CF81A4D">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★（1）提供支持不少于900个用户服务卡号。提供基础功能、安全加固功能、安全管控功能及其他需要的功能。</w:t>
      </w:r>
    </w:p>
    <w:p w14:paraId="738570D2">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★（2）在任何情况下保证移动设备如执法仪、布控球、指挥车、多模对讲机等相关设备的4/5G网络通信畅通，提供5G（向下兼容）专用无线通讯网络支撑服务，仅提供专用数据流量，每张流量卡至少保证100G。</w:t>
      </w:r>
    </w:p>
    <w:p w14:paraId="3996AC79">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★（3）提供数据卡流量管理平台对租用数据卡的使用情况进行实时</w:t>
      </w:r>
      <w:r>
        <w:rPr>
          <w:rFonts w:hint="eastAsia" w:ascii="Times New Roman" w:hAnsi="Times New Roman" w:cs="Times New Roman"/>
          <w:color w:val="auto"/>
          <w:kern w:val="2"/>
          <w:highlight w:val="none"/>
          <w:lang w:eastAsia="zh-CN"/>
        </w:rPr>
        <w:t>统计</w:t>
      </w:r>
      <w:r>
        <w:rPr>
          <w:rFonts w:hint="eastAsia" w:ascii="Times New Roman" w:hAnsi="Times New Roman" w:cs="Times New Roman"/>
          <w:color w:val="auto"/>
          <w:kern w:val="2"/>
          <w:highlight w:val="none"/>
        </w:rPr>
        <w:t>。</w:t>
      </w:r>
    </w:p>
    <w:p w14:paraId="2AF62AEB">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★（4）提供4G/5G专用无线业务数据转发服务。向下兼容基于GPRS/APN技术以及2G/3G/4G/5G通信标准，为招标方搭建5G移动专用APN通道，实现用户远程登陆专网进行指挥调度、视频回传、语音对讲等应用功能。</w:t>
      </w:r>
    </w:p>
    <w:p w14:paraId="77E05253">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★（5）因市局所用设备大部分在户外，且受天气极端环境因素影响，顾供应商提供物联网卡体为工业级规格（工作温度-40℃至50℃、抗震动、擦写次数≥1万次）。</w:t>
      </w:r>
    </w:p>
    <w:p w14:paraId="2E800264">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★（6）中标方需按照要求向甲方提供租用专属号码段的数据卡所，每张卡的流量组成数据流量池，对每张数据流量卡使用实行动态分配机制，单卡流量超额后不限流、信号稳定。</w:t>
      </w:r>
    </w:p>
    <w:p w14:paraId="47647A09">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7）供应商须提供加密证书（SIMKey）协助服务。按用户具体时间和要求，提供足量的甲方所用设备的的加密证书运营商通信属性信息，并配合用户做好加密证书的通讯号码写入和实名制发证、设备绑定调试等服务，确保甲方的移动警务装备正常使用。</w:t>
      </w:r>
    </w:p>
    <w:p w14:paraId="4EEA47D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8）本项目为纯链路租赁服务，租赁期内产生的网络配置信息、日志、业务数据等归采购人；服务到期后中标人应配合提供数据导出、交接、不得擅自留存、泄露或删除；链路相关的传输设备、接入设备、配套软硬件设施等为招标方与采购人共享；服务终止后中标人可自行拆除、收回属于己方的设备，拆除过程中不得损坏采购人现有设施及线路。</w:t>
      </w:r>
    </w:p>
    <w:p w14:paraId="695E7230">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（9）在人员密集场所及重要节日节点优先保证专用数据流量卡5G链路的速率，并将以上的数据卡加入白名单保护，即不能被标记为诈骗电话，不能以此为由停机。</w:t>
      </w:r>
    </w:p>
    <w:p w14:paraId="3AA0193D">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（10）提供至少一名工程师驻场，负责开展数据卡与设备之间的链路调试保障工作。</w:t>
      </w:r>
    </w:p>
    <w:p w14:paraId="4D19096D">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11）服务租用用户费用按照每月进行结算，由投标方每月向甲方提供专用物联网数据卡使用情况明细，甲方按照要求每个季度向投标方正式致函核对一次，所有的服务租用用户费用均以招标方提供停用名单为主，如因投标方原因未及时停用租户费用造成的经济损失由投标方承担。</w:t>
      </w:r>
    </w:p>
    <w:p w14:paraId="5482B237">
      <w:pPr>
        <w:spacing w:line="560" w:lineRule="exact"/>
        <w:ind w:firstLine="643" w:firstLineChars="200"/>
        <w:rPr>
          <w:rFonts w:ascii="Times New Roman" w:hAnsi="Times New Roman" w:eastAsia="方正楷体_GBK"/>
          <w:b/>
          <w:bCs/>
          <w:color w:val="auto"/>
          <w:sz w:val="32"/>
          <w:szCs w:val="32"/>
          <w:highlight w:val="none"/>
        </w:rPr>
      </w:pPr>
      <w:r>
        <w:rPr>
          <w:rFonts w:hint="eastAsia" w:ascii="Times New Roman" w:hAnsi="Times New Roman" w:eastAsia="方正楷体_GBK"/>
          <w:b/>
          <w:bCs/>
          <w:color w:val="auto"/>
          <w:sz w:val="32"/>
          <w:szCs w:val="32"/>
          <w:highlight w:val="none"/>
        </w:rPr>
        <w:t>2.服务期限要求</w:t>
      </w:r>
    </w:p>
    <w:p w14:paraId="34745754">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（1）合同签订之日起3个工作日内向用户提供符合需求数量的加密证书运营商通信属性信息，并在合同签订之日起3周内配合用户做好数据卡的通讯号码写入、实名制发证、设备入网调试使用等服务。</w:t>
      </w:r>
    </w:p>
    <w:p w14:paraId="602334A5">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 xml:space="preserve">（2）合同签订之日起10个工作日内向用户提供符合需求的5G专用无线数据通讯网络支撑服务，确保专网通讯100G的专用流量。 </w:t>
      </w:r>
    </w:p>
    <w:p w14:paraId="2FDF777F">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向用户提供符合质量需求的链路租用服务方案，新增数据卡业务在5个自然日内完成开通，具备业务施工能力并交付使用的得5分，7个自然日内完成开通，具备业务施工能力并交付使用的得3分，10个自然日内完成开通；</w:t>
      </w:r>
    </w:p>
    <w:p w14:paraId="7F188B18">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（4）整体服务期限为1年，包括加密证书（SIMKey）协助服务、管控平台和5G专用无线通讯链路的维护服务。</w:t>
      </w:r>
    </w:p>
    <w:p w14:paraId="27E64DB5">
      <w:pPr>
        <w:spacing w:line="560" w:lineRule="exact"/>
        <w:ind w:firstLine="643" w:firstLineChars="200"/>
        <w:rPr>
          <w:rFonts w:ascii="Times New Roman" w:hAnsi="Times New Roman" w:eastAsia="方正楷体_GBK"/>
          <w:b/>
          <w:bCs/>
          <w:color w:val="auto"/>
          <w:sz w:val="32"/>
          <w:szCs w:val="32"/>
          <w:highlight w:val="none"/>
        </w:rPr>
      </w:pPr>
      <w:r>
        <w:rPr>
          <w:rFonts w:hint="eastAsia" w:ascii="Times New Roman" w:hAnsi="Times New Roman" w:eastAsia="方正楷体_GBK"/>
          <w:b/>
          <w:bCs/>
          <w:color w:val="auto"/>
          <w:sz w:val="32"/>
          <w:szCs w:val="32"/>
          <w:highlight w:val="none"/>
        </w:rPr>
        <w:t>3.</w:t>
      </w:r>
      <w:r>
        <w:rPr>
          <w:rFonts w:ascii="Times New Roman" w:hAnsi="Times New Roman" w:eastAsia="方正楷体_GBK"/>
          <w:b/>
          <w:bCs/>
          <w:color w:val="auto"/>
          <w:sz w:val="32"/>
          <w:szCs w:val="32"/>
          <w:highlight w:val="none"/>
        </w:rPr>
        <w:t>无线专用传输链路技术要求</w:t>
      </w:r>
    </w:p>
    <w:p w14:paraId="455236D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（1）支持运营商多线路接入；</w:t>
      </w:r>
    </w:p>
    <w:p w14:paraId="13D4EEAE">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（2）应采用APN或VPDN等虚拟专网技术与公众网络实现逻辑隔离；</w:t>
      </w:r>
    </w:p>
    <w:p w14:paraId="796F3780">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（3）宜采用AAA认证服务的方式对接入用户进行入网账号授权认证；</w:t>
      </w:r>
    </w:p>
    <w:p w14:paraId="29302457">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（4）应支持对接入终端的DNS域名解析、网络地址管理和分配。</w:t>
      </w:r>
    </w:p>
    <w:p w14:paraId="5D4D5739">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（5）支持不同运营商链路改造割接，支持网络设备升级及搬迁，做好链路的通连测试。</w:t>
      </w:r>
    </w:p>
    <w:p w14:paraId="36F855BB">
      <w:pPr>
        <w:spacing w:line="560" w:lineRule="exact"/>
        <w:ind w:firstLine="643" w:firstLineChars="200"/>
        <w:rPr>
          <w:rFonts w:ascii="Times New Roman" w:hAnsi="Times New Roman" w:eastAsia="方正楷体_GBK"/>
          <w:b/>
          <w:bCs/>
          <w:color w:val="auto"/>
          <w:sz w:val="32"/>
          <w:szCs w:val="32"/>
          <w:highlight w:val="none"/>
        </w:rPr>
      </w:pPr>
      <w:r>
        <w:rPr>
          <w:rFonts w:hint="eastAsia" w:ascii="Times New Roman" w:hAnsi="Times New Roman" w:eastAsia="方正楷体_GBK"/>
          <w:b/>
          <w:bCs/>
          <w:color w:val="auto"/>
          <w:sz w:val="32"/>
          <w:szCs w:val="32"/>
          <w:highlight w:val="none"/>
        </w:rPr>
        <w:t>4.</w:t>
      </w:r>
      <w:r>
        <w:rPr>
          <w:rFonts w:ascii="Times New Roman" w:hAnsi="Times New Roman" w:eastAsia="方正楷体_GBK"/>
          <w:b/>
          <w:bCs/>
          <w:color w:val="auto"/>
          <w:sz w:val="32"/>
          <w:szCs w:val="32"/>
          <w:highlight w:val="none"/>
        </w:rPr>
        <w:t>资源共享通道技术要求</w:t>
      </w:r>
    </w:p>
    <w:p w14:paraId="052F2D63">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（1）应通过边界隔离措施实现与其它网络的资源共享；</w:t>
      </w:r>
    </w:p>
    <w:p w14:paraId="3C64CFDC">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（2）应对使用者进行身份认证和授权；</w:t>
      </w:r>
    </w:p>
    <w:p w14:paraId="1332D40D">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（3）应支持策略配置、流量</w:t>
      </w:r>
      <w:r>
        <w:rPr>
          <w:rFonts w:hint="eastAsia" w:ascii="Times New Roman" w:hAnsi="Times New Roman" w:cs="Times New Roman"/>
          <w:color w:val="auto"/>
          <w:kern w:val="2"/>
          <w:highlight w:val="none"/>
          <w:lang w:eastAsia="zh-CN"/>
        </w:rPr>
        <w:t>监测</w:t>
      </w:r>
      <w:r>
        <w:rPr>
          <w:rFonts w:hint="eastAsia" w:ascii="Times New Roman" w:hAnsi="Times New Roman" w:cs="Times New Roman"/>
          <w:color w:val="auto"/>
          <w:kern w:val="2"/>
          <w:highlight w:val="none"/>
        </w:rPr>
        <w:t>等必要的网络管理功能；</w:t>
      </w:r>
    </w:p>
    <w:p w14:paraId="05590D1A">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（4）应保证资源共享通道的设备稳定</w:t>
      </w:r>
      <w:r>
        <w:rPr>
          <w:rFonts w:hint="eastAsia" w:ascii="Times New Roman" w:hAnsi="Times New Roman" w:cs="Times New Roman"/>
          <w:color w:val="auto"/>
          <w:kern w:val="2"/>
          <w:highlight w:val="none"/>
          <w:lang w:eastAsia="zh-CN"/>
        </w:rPr>
        <w:t>运行</w:t>
      </w:r>
      <w:r>
        <w:rPr>
          <w:rFonts w:hint="eastAsia" w:ascii="Times New Roman" w:hAnsi="Times New Roman" w:cs="Times New Roman"/>
          <w:color w:val="auto"/>
          <w:kern w:val="2"/>
          <w:highlight w:val="none"/>
        </w:rPr>
        <w:t>，支持重要网络节点和线路主备功能；</w:t>
      </w:r>
    </w:p>
    <w:p w14:paraId="48F5B3CA">
      <w:pPr>
        <w:spacing w:line="560" w:lineRule="exact"/>
        <w:ind w:firstLine="643" w:firstLineChars="200"/>
        <w:rPr>
          <w:rFonts w:ascii="Times New Roman" w:hAnsi="Times New Roman" w:eastAsia="方正楷体_GBK"/>
          <w:b/>
          <w:bCs/>
          <w:color w:val="auto"/>
          <w:sz w:val="32"/>
          <w:szCs w:val="32"/>
          <w:highlight w:val="none"/>
        </w:rPr>
      </w:pPr>
      <w:r>
        <w:rPr>
          <w:rFonts w:hint="eastAsia" w:ascii="Times New Roman" w:hAnsi="Times New Roman" w:eastAsia="方正楷体_GBK"/>
          <w:b/>
          <w:bCs/>
          <w:color w:val="auto"/>
          <w:sz w:val="32"/>
          <w:szCs w:val="32"/>
          <w:highlight w:val="none"/>
        </w:rPr>
        <w:t>5.</w:t>
      </w:r>
      <w:r>
        <w:rPr>
          <w:rFonts w:ascii="Times New Roman" w:hAnsi="Times New Roman" w:eastAsia="方正楷体_GBK"/>
          <w:b/>
          <w:bCs/>
          <w:color w:val="auto"/>
          <w:sz w:val="32"/>
          <w:szCs w:val="32"/>
          <w:highlight w:val="none"/>
        </w:rPr>
        <w:t>平台业务网络技术要求</w:t>
      </w:r>
    </w:p>
    <w:p w14:paraId="631E6ED7">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（1）应基于TCP/IP技术组建平台业务网络；</w:t>
      </w:r>
    </w:p>
    <w:p w14:paraId="6471FEB8">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（2）应提供语音、图像、视频等移动业务的网络承载能力，同时提供相应的服务质量保障；</w:t>
      </w:r>
    </w:p>
    <w:p w14:paraId="6135882F">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（3）应具有高可靠性和可管理、可扩展性；</w:t>
      </w:r>
    </w:p>
    <w:p w14:paraId="2682D779">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（4）应支持不同应用业务网络逻辑隔离；</w:t>
      </w:r>
    </w:p>
    <w:p w14:paraId="0D880401">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（5）网络互通的技术要求应符合YD/T 1170- 2001；</w:t>
      </w:r>
    </w:p>
    <w:p w14:paraId="5B7563C0">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（6）应采用以太网口( 100 Mbit/s、100 Mbit/s、10CGbit/s及以上速率)接口实现互联。以太网接口应遵循GB/T15629.3- 2014 中规定的速率序列和接口标准。</w:t>
      </w:r>
    </w:p>
    <w:p w14:paraId="27790B07">
      <w:pPr>
        <w:spacing w:line="560" w:lineRule="exact"/>
        <w:ind w:firstLine="643" w:firstLineChars="200"/>
        <w:rPr>
          <w:rFonts w:ascii="Times New Roman" w:hAnsi="Times New Roman" w:eastAsia="方正楷体_GBK"/>
          <w:b/>
          <w:bCs/>
          <w:color w:val="auto"/>
          <w:sz w:val="32"/>
          <w:szCs w:val="32"/>
          <w:highlight w:val="none"/>
        </w:rPr>
      </w:pPr>
      <w:r>
        <w:rPr>
          <w:rFonts w:hint="eastAsia" w:ascii="Times New Roman" w:hAnsi="Times New Roman" w:eastAsia="方正楷体_GBK"/>
          <w:b/>
          <w:bCs/>
          <w:color w:val="auto"/>
          <w:sz w:val="32"/>
          <w:szCs w:val="32"/>
          <w:highlight w:val="none"/>
        </w:rPr>
        <w:t>6.传输要求：</w:t>
      </w:r>
    </w:p>
    <w:p w14:paraId="282A3225">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（1）链路的参数，数据传输的稳定性，数据传输不丢包、不卡顿，必须满足各单位现用的业务应用正常运行要求。</w:t>
      </w:r>
    </w:p>
    <w:p w14:paraId="43DA9399">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重大节日（如春节、清明、五一、端午、国庆、中秋、肉孜节等）及安保工作期间（如市两会、自治区两会、全国两会、亚博会、重大警卫勤务等）由投标方通知中标方保障无线链路数据传输带宽稳定。通过动态带宽分配机制，优先保障关键业务数据传输，实时监测链路负载，自动调整资源应对流量波动。同时提供QoS优先服务，将无线链路传输优先级设为最高，优先于普通互联网流量，避免外部网络拥堵影响。</w:t>
      </w:r>
    </w:p>
    <w:p w14:paraId="400AEA84">
      <w:pPr>
        <w:spacing w:line="560" w:lineRule="exact"/>
        <w:ind w:firstLine="643" w:firstLineChars="200"/>
        <w:rPr>
          <w:rFonts w:ascii="Times New Roman" w:hAnsi="Times New Roman" w:eastAsia="方正楷体_GBK"/>
          <w:b/>
          <w:bCs/>
          <w:color w:val="auto"/>
          <w:sz w:val="32"/>
          <w:szCs w:val="32"/>
          <w:highlight w:val="none"/>
        </w:rPr>
      </w:pPr>
      <w:r>
        <w:rPr>
          <w:rFonts w:hint="eastAsia" w:ascii="Times New Roman" w:hAnsi="Times New Roman" w:eastAsia="方正楷体_GBK"/>
          <w:b/>
          <w:bCs/>
          <w:color w:val="auto"/>
          <w:sz w:val="32"/>
          <w:szCs w:val="32"/>
          <w:highlight w:val="none"/>
        </w:rPr>
        <w:t>7.无线专网安全要求：</w:t>
      </w:r>
    </w:p>
    <w:p w14:paraId="509B008F">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（1）环境和设备安全要求。网络运行所在机房的供配电系统、空调系统、防静电、防雷、消防、防水等方面建设需符合GB/T9361 2011标准规范，应达到GB/T9361 -2011的A类或B类要求。对公安移动信息网的网络传输、边界交换隔离设备应实施设备的防盗、防毁、防电磁辐射泄漏、抗电磁干扰及电源保护等。</w:t>
      </w:r>
    </w:p>
    <w:p w14:paraId="138DDDD2">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（2）网络安全：</w:t>
      </w:r>
    </w:p>
    <w:p w14:paraId="4314355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ascii="Times New Roman" w:hAnsi="Times New Roman" w:cs="Times New Roman"/>
          <w:color w:val="auto"/>
          <w:kern w:val="2"/>
          <w:highlight w:val="none"/>
        </w:rPr>
        <w:t>①</w:t>
      </w:r>
      <w:r>
        <w:rPr>
          <w:rFonts w:hint="eastAsia" w:ascii="Times New Roman" w:hAnsi="Times New Roman" w:cs="Times New Roman"/>
          <w:color w:val="auto"/>
          <w:kern w:val="2"/>
          <w:highlight w:val="none"/>
        </w:rPr>
        <w:t>应具备网络访问控制、网络安全审计、边界完整性检查、网络入侵防范、恶意代码防范以及网络设备防护等能力，应根据承载信息系统安全等级要求进行网络传输数据的保密性和完整性保护。</w:t>
      </w:r>
    </w:p>
    <w:p w14:paraId="3C4270B0">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ascii="Times New Roman" w:hAnsi="Times New Roman" w:cs="Times New Roman"/>
          <w:color w:val="auto"/>
          <w:kern w:val="2"/>
          <w:highlight w:val="none"/>
        </w:rPr>
        <w:t>②</w:t>
      </w:r>
      <w:r>
        <w:rPr>
          <w:rFonts w:hint="eastAsia" w:ascii="Times New Roman" w:hAnsi="Times New Roman" w:cs="Times New Roman"/>
          <w:color w:val="auto"/>
          <w:kern w:val="2"/>
          <w:highlight w:val="none"/>
        </w:rPr>
        <w:t>边界防护技术要求如下：</w:t>
      </w:r>
    </w:p>
    <w:p w14:paraId="6F7AB209">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a、与互联网边界应具备网络隔离、数据安全交换和应用访问控制等功能；</w:t>
      </w:r>
    </w:p>
    <w:p w14:paraId="031F5038">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b、与公安信息网边界应具备设备安全接入、网络隔离、数据安全交换、应用访问控制等功能；</w:t>
      </w:r>
    </w:p>
    <w:p w14:paraId="341B954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c、与其它专网边界应具备网络隔离、数据安全交换、应用访问控制等功能；</w:t>
      </w:r>
    </w:p>
    <w:p w14:paraId="4F61335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d、平台联网通道边界应具备数据安全传输、互联边界防护等功能，禁止旁路边界防护功能。</w:t>
      </w:r>
    </w:p>
    <w:p w14:paraId="45AA900B">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e、投标方提供APN/VPN专网链路接入设备(如接入路由器、交换机等)；</w:t>
      </w:r>
    </w:p>
    <w:p w14:paraId="796F56F1">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f、具备等保三级测评要求；并能按照实际情况提供相应设备。</w:t>
      </w:r>
    </w:p>
    <w:p w14:paraId="7A518661">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（3）传输保护：</w:t>
      </w:r>
    </w:p>
    <w:p w14:paraId="7F23B98A">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包括对物理链路、传输过程保护的安全技术，通过运营商APN/ VPDN专线及平台网络安全接入控制等技术实现。</w:t>
      </w:r>
    </w:p>
    <w:p w14:paraId="540926FA">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ascii="Times New Roman" w:hAnsi="Times New Roman" w:cs="Times New Roman"/>
          <w:color w:val="auto"/>
          <w:kern w:val="2"/>
          <w:highlight w:val="none"/>
        </w:rPr>
        <w:t>①</w:t>
      </w:r>
      <w:r>
        <w:rPr>
          <w:rFonts w:hint="eastAsia" w:ascii="Times New Roman" w:hAnsi="Times New Roman" w:cs="Times New Roman"/>
          <w:color w:val="auto"/>
          <w:kern w:val="2"/>
          <w:highlight w:val="none"/>
        </w:rPr>
        <w:t>物理链路：采用设备认证、基站认证、数据加密传输、数据完整性校验等技术，并禁止WiFi、蓝牙等作为旁路链路使用。</w:t>
      </w:r>
    </w:p>
    <w:p w14:paraId="05E0F5E5">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ascii="Times New Roman" w:hAnsi="Times New Roman" w:cs="Times New Roman"/>
          <w:color w:val="auto"/>
          <w:kern w:val="2"/>
          <w:highlight w:val="none"/>
        </w:rPr>
        <w:t>②</w:t>
      </w:r>
      <w:r>
        <w:rPr>
          <w:rFonts w:hint="eastAsia" w:ascii="Times New Roman" w:hAnsi="Times New Roman" w:cs="Times New Roman"/>
          <w:color w:val="auto"/>
          <w:kern w:val="2"/>
          <w:highlight w:val="none"/>
        </w:rPr>
        <w:t>网络传输：采用数据加密传输、数据完整性校验、APN/ VPDN网络隔离、AAA认证、访问控制、身份认证、设备环境验证、监测审计、攻击检测、联动防御等技术。</w:t>
      </w:r>
    </w:p>
    <w:p w14:paraId="5B55F63C">
      <w:pPr>
        <w:overflowPunct w:val="0"/>
        <w:autoSpaceDE w:val="0"/>
        <w:adjustRightInd w:val="0"/>
        <w:snapToGrid w:val="0"/>
        <w:spacing w:line="560" w:lineRule="exact"/>
        <w:ind w:firstLine="643" w:firstLineChars="200"/>
        <w:rPr>
          <w:rFonts w:ascii="Times New Roman" w:hAnsi="Times New Roman" w:eastAsia="方正仿宋_GBK"/>
          <w:b/>
          <w:bCs/>
          <w:color w:val="auto"/>
          <w:sz w:val="32"/>
          <w:szCs w:val="32"/>
          <w:highlight w:val="none"/>
        </w:rPr>
      </w:pPr>
      <w:r>
        <w:rPr>
          <w:rFonts w:ascii="Times New Roman" w:hAnsi="Times New Roman" w:eastAsia="方正仿宋_GBK"/>
          <w:b/>
          <w:bCs/>
          <w:color w:val="auto"/>
          <w:sz w:val="32"/>
          <w:szCs w:val="32"/>
          <w:highlight w:val="none"/>
        </w:rPr>
        <w:t>（4）链路监测：</w:t>
      </w:r>
    </w:p>
    <w:p w14:paraId="761B8EA6">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提供移动警务5G无线网络链路监测平台，用于监测无线用户链路畅通。</w:t>
      </w:r>
    </w:p>
    <w:p w14:paraId="7E55653C">
      <w:pPr>
        <w:spacing w:line="560" w:lineRule="exact"/>
        <w:ind w:firstLine="643" w:firstLineChars="200"/>
        <w:rPr>
          <w:rFonts w:ascii="Times New Roman" w:hAnsi="Times New Roman" w:eastAsia="方正楷体_GBK"/>
          <w:b/>
          <w:bCs/>
          <w:color w:val="auto"/>
          <w:sz w:val="32"/>
          <w:szCs w:val="32"/>
          <w:highlight w:val="none"/>
        </w:rPr>
      </w:pPr>
      <w:r>
        <w:rPr>
          <w:rFonts w:hint="eastAsia" w:ascii="Times New Roman" w:hAnsi="Times New Roman" w:eastAsia="方正楷体_GBK"/>
          <w:b/>
          <w:bCs/>
          <w:color w:val="auto"/>
          <w:sz w:val="32"/>
          <w:szCs w:val="32"/>
          <w:highlight w:val="none"/>
        </w:rPr>
        <w:t xml:space="preserve">8.  </w:t>
      </w:r>
      <w:r>
        <w:rPr>
          <w:rFonts w:ascii="Times New Roman" w:hAnsi="Times New Roman" w:eastAsia="方正楷体_GBK"/>
          <w:b/>
          <w:bCs/>
          <w:color w:val="auto"/>
          <w:sz w:val="32"/>
          <w:szCs w:val="32"/>
          <w:highlight w:val="none"/>
        </w:rPr>
        <w:t>5G无线专网业务数据转发要求（含4G）</w:t>
      </w:r>
    </w:p>
    <w:p w14:paraId="19ADE401">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（1）基于运营商移动虚拟专网实现移动终端的数据转发。</w:t>
      </w:r>
    </w:p>
    <w:p w14:paraId="6E6EE023">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（2）接入请求的移动终端包括满足移动安全防护要求的各类移动终端。</w:t>
      </w:r>
    </w:p>
    <w:p w14:paraId="5AD5CD2E">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（3）专网无线业务数据转发服务需支持移动终端全国漫游、支持车辆移动速度不低于120km/h的高速移动场景下数据转发需求。</w:t>
      </w:r>
    </w:p>
    <w:p w14:paraId="47DD9D3F">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（4）具备有效保障移动终端业务开展的基本网络承载能力，能够覆盖开展移动应用业务区域，无线网络指标应至少满足RSRP ( Reference Signal Receiving Power，参考信号接收功率)&gt;-110dBm的概率大于90%、SINR(Signalto Interference plus Noise Ratio, 信号与干扰加噪声比) &gt;-3dB的概率大于90%。</w:t>
      </w:r>
    </w:p>
    <w:p w14:paraId="25F53A01">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（5）数据：转发服务的IP 包传输时延、IP包时延变化、IP包误差率、IP包丢包率以及虚假IP包率应满足YD/T 1171-2001 的具体要求。</w:t>
      </w:r>
    </w:p>
    <w:p w14:paraId="7DD56310">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（6）专网转发：应支持APN虚拟转发服务。</w:t>
      </w:r>
    </w:p>
    <w:p w14:paraId="41E1D7AE">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（7）逻辑隔离：整个连接建立过程应在运营商网络设备上通过虚拟隧道实现与用户专网的逻辑隔离。</w:t>
      </w:r>
    </w:p>
    <w:p w14:paraId="032DCD31">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（8）网络管理：用户单位具备对APN接入进行DNS分发、IP地址的管理和分配能力。</w:t>
      </w:r>
    </w:p>
    <w:p w14:paraId="56BD3C0B">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（9）核心主城区5G下行速率不低于200M，4G 下行速率不低于20M；郊区4G基站区域一公里内，下行速率不低于20M。</w:t>
      </w:r>
    </w:p>
    <w:p w14:paraId="2F09CBD2">
      <w:pPr>
        <w:pStyle w:val="346"/>
        <w:spacing w:before="0" w:beforeAutospacing="0" w:after="0" w:afterAutospacing="0" w:line="360" w:lineRule="auto"/>
        <w:ind w:firstLine="480" w:firstLineChars="200"/>
        <w:rPr>
          <w:rFonts w:ascii="Times New Roman" w:hAnsi="Times New Roman" w:cs="Times New Roman"/>
          <w:color w:val="auto"/>
          <w:kern w:val="2"/>
          <w:highlight w:val="none"/>
        </w:rPr>
      </w:pPr>
    </w:p>
    <w:p w14:paraId="6148DFA4">
      <w:pPr>
        <w:pStyle w:val="3"/>
        <w:rPr>
          <w:color w:val="auto"/>
          <w:highlight w:val="none"/>
        </w:rPr>
      </w:pPr>
    </w:p>
    <w:p w14:paraId="02A2E115">
      <w:pPr>
        <w:rPr>
          <w:color w:val="auto"/>
          <w:highlight w:val="none"/>
        </w:rPr>
      </w:pPr>
    </w:p>
    <w:p w14:paraId="36B87D96">
      <w:pPr>
        <w:pStyle w:val="2"/>
        <w:rPr>
          <w:color w:val="auto"/>
          <w:highlight w:val="none"/>
        </w:rPr>
      </w:pPr>
    </w:p>
    <w:p w14:paraId="17DDC851">
      <w:pPr>
        <w:pStyle w:val="2"/>
        <w:rPr>
          <w:color w:val="auto"/>
          <w:highlight w:val="none"/>
        </w:rPr>
      </w:pPr>
    </w:p>
    <w:p w14:paraId="62556AAA">
      <w:pPr>
        <w:pStyle w:val="2"/>
        <w:rPr>
          <w:color w:val="auto"/>
          <w:highlight w:val="none"/>
        </w:rPr>
      </w:pPr>
    </w:p>
    <w:p w14:paraId="27989A15">
      <w:pPr>
        <w:pStyle w:val="2"/>
        <w:rPr>
          <w:color w:val="auto"/>
          <w:highlight w:val="none"/>
        </w:rPr>
      </w:pPr>
    </w:p>
    <w:p w14:paraId="52A13EBD">
      <w:pPr>
        <w:pStyle w:val="2"/>
        <w:rPr>
          <w:color w:val="auto"/>
          <w:highlight w:val="none"/>
        </w:rPr>
      </w:pPr>
    </w:p>
    <w:p w14:paraId="4C3D32F9">
      <w:pPr>
        <w:pStyle w:val="2"/>
        <w:rPr>
          <w:color w:val="auto"/>
          <w:highlight w:val="none"/>
        </w:rPr>
      </w:pPr>
    </w:p>
    <w:p w14:paraId="50CEF978">
      <w:pPr>
        <w:pStyle w:val="2"/>
        <w:rPr>
          <w:color w:val="auto"/>
          <w:highlight w:val="none"/>
        </w:rPr>
      </w:pPr>
    </w:p>
    <w:p w14:paraId="752230AD">
      <w:pPr>
        <w:pStyle w:val="2"/>
        <w:rPr>
          <w:color w:val="auto"/>
          <w:highlight w:val="none"/>
        </w:rPr>
      </w:pPr>
    </w:p>
    <w:p w14:paraId="727DD96C">
      <w:pPr>
        <w:pStyle w:val="2"/>
        <w:rPr>
          <w:color w:val="auto"/>
          <w:highlight w:val="none"/>
        </w:rPr>
      </w:pPr>
    </w:p>
    <w:p w14:paraId="05A0C333">
      <w:pPr>
        <w:pStyle w:val="2"/>
        <w:rPr>
          <w:color w:val="auto"/>
          <w:highlight w:val="none"/>
        </w:rPr>
      </w:pPr>
    </w:p>
    <w:p w14:paraId="0595F4F5">
      <w:pPr>
        <w:pStyle w:val="2"/>
        <w:rPr>
          <w:color w:val="auto"/>
          <w:highlight w:val="none"/>
        </w:rPr>
      </w:pPr>
    </w:p>
    <w:p w14:paraId="6C82C325">
      <w:pPr>
        <w:pStyle w:val="2"/>
        <w:rPr>
          <w:color w:val="auto"/>
          <w:highlight w:val="none"/>
        </w:rPr>
      </w:pPr>
    </w:p>
    <w:p w14:paraId="16542DDD">
      <w:pPr>
        <w:pStyle w:val="2"/>
        <w:rPr>
          <w:color w:val="auto"/>
          <w:highlight w:val="none"/>
        </w:rPr>
      </w:pPr>
    </w:p>
    <w:p w14:paraId="51664257">
      <w:pPr>
        <w:pStyle w:val="3"/>
        <w:rPr>
          <w:color w:val="auto"/>
          <w:highlight w:val="none"/>
        </w:rPr>
      </w:pPr>
      <w:r>
        <w:rPr>
          <w:color w:val="auto"/>
          <w:highlight w:val="none"/>
        </w:rPr>
        <w:t>第七章  投标文件格式与要求</w:t>
      </w:r>
      <w:bookmarkEnd w:id="137"/>
      <w:bookmarkEnd w:id="138"/>
      <w:bookmarkEnd w:id="139"/>
    </w:p>
    <w:p w14:paraId="2B4D497F">
      <w:pPr>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szCs w:val="21"/>
          <w:highlight w:val="none"/>
        </w:rPr>
        <w:t xml:space="preserve"> </w:t>
      </w:r>
    </w:p>
    <w:p w14:paraId="5C527482">
      <w:pPr>
        <w:rPr>
          <w:rFonts w:ascii="Times New Roman" w:hAnsi="Times New Roman"/>
          <w:color w:val="auto"/>
          <w:highlight w:val="none"/>
        </w:rPr>
      </w:pPr>
    </w:p>
    <w:p w14:paraId="160A6E3B">
      <w:pPr>
        <w:widowControl/>
        <w:spacing w:after="400"/>
        <w:jc w:val="center"/>
        <w:rPr>
          <w:rFonts w:ascii="Times New Roman" w:hAnsi="Times New Roman" w:eastAsia="黑体"/>
          <w:color w:val="auto"/>
          <w:kern w:val="0"/>
          <w:sz w:val="40"/>
          <w:szCs w:val="40"/>
          <w:highlight w:val="none"/>
        </w:rPr>
      </w:pPr>
      <w:r>
        <w:rPr>
          <w:rFonts w:ascii="Times New Roman" w:hAnsi="Times New Roman" w:eastAsia="黑体"/>
          <w:color w:val="auto"/>
          <w:kern w:val="0"/>
          <w:sz w:val="40"/>
          <w:szCs w:val="40"/>
          <w:highlight w:val="none"/>
        </w:rPr>
        <w:t>目  录</w:t>
      </w:r>
    </w:p>
    <w:p w14:paraId="52566E3F">
      <w:pPr>
        <w:widowControl/>
        <w:spacing w:before="240" w:after="240" w:line="200" w:lineRule="atLeast"/>
        <w:jc w:val="left"/>
        <w:rPr>
          <w:rFonts w:ascii="Times New Roman" w:hAnsi="Times New Roman" w:eastAsia="黑体"/>
          <w:color w:val="auto"/>
          <w:kern w:val="0"/>
          <w:sz w:val="24"/>
          <w:szCs w:val="24"/>
          <w:highlight w:val="none"/>
        </w:rPr>
      </w:pPr>
      <w:r>
        <w:rPr>
          <w:rFonts w:ascii="Times New Roman" w:hAnsi="Times New Roman" w:eastAsia="黑体"/>
          <w:color w:val="auto"/>
          <w:kern w:val="0"/>
          <w:sz w:val="24"/>
          <w:szCs w:val="24"/>
          <w:highlight w:val="none"/>
        </w:rPr>
        <w:t>资格响应文件</w:t>
      </w:r>
    </w:p>
    <w:p w14:paraId="0602D022">
      <w:pPr>
        <w:widowControl/>
        <w:spacing w:before="240" w:after="240" w:line="160" w:lineRule="atLeast"/>
        <w:ind w:firstLine="960"/>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w:t>
      </w:r>
    </w:p>
    <w:p w14:paraId="11327AC0">
      <w:pPr>
        <w:widowControl/>
        <w:spacing w:before="240" w:after="240" w:line="200" w:lineRule="atLeast"/>
        <w:jc w:val="left"/>
        <w:rPr>
          <w:rFonts w:ascii="Times New Roman" w:hAnsi="Times New Roman" w:eastAsia="黑体"/>
          <w:color w:val="auto"/>
          <w:kern w:val="0"/>
          <w:sz w:val="24"/>
          <w:szCs w:val="24"/>
          <w:highlight w:val="none"/>
        </w:rPr>
      </w:pPr>
      <w:r>
        <w:rPr>
          <w:rFonts w:ascii="Times New Roman" w:hAnsi="Times New Roman" w:eastAsia="黑体"/>
          <w:color w:val="auto"/>
          <w:kern w:val="0"/>
          <w:sz w:val="24"/>
          <w:szCs w:val="24"/>
          <w:highlight w:val="none"/>
        </w:rPr>
        <w:t>报价响应文件</w:t>
      </w:r>
    </w:p>
    <w:p w14:paraId="75D4F677">
      <w:pPr>
        <w:widowControl/>
        <w:spacing w:before="240" w:after="240" w:line="160" w:lineRule="atLeast"/>
        <w:ind w:firstLine="960"/>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w:t>
      </w:r>
    </w:p>
    <w:p w14:paraId="449B3F5A">
      <w:pPr>
        <w:widowControl/>
        <w:spacing w:before="240" w:after="240" w:line="200" w:lineRule="atLeast"/>
        <w:jc w:val="left"/>
        <w:rPr>
          <w:rFonts w:ascii="Times New Roman" w:hAnsi="Times New Roman" w:eastAsia="黑体"/>
          <w:color w:val="auto"/>
          <w:kern w:val="0"/>
          <w:sz w:val="24"/>
          <w:szCs w:val="24"/>
          <w:highlight w:val="none"/>
        </w:rPr>
      </w:pPr>
      <w:r>
        <w:rPr>
          <w:rFonts w:ascii="Times New Roman" w:hAnsi="Times New Roman" w:eastAsia="黑体"/>
          <w:color w:val="auto"/>
          <w:kern w:val="0"/>
          <w:sz w:val="24"/>
          <w:szCs w:val="24"/>
          <w:highlight w:val="none"/>
        </w:rPr>
        <w:t>商务技术响应文件</w:t>
      </w:r>
    </w:p>
    <w:p w14:paraId="6D97505E">
      <w:pPr>
        <w:widowControl/>
        <w:spacing w:before="240" w:after="240" w:line="160" w:lineRule="atLeast"/>
        <w:ind w:firstLine="960"/>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w:t>
      </w:r>
    </w:p>
    <w:p w14:paraId="06C07139">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bookmarkEnd w:id="140"/>
    </w:p>
    <w:p w14:paraId="2DD09DD9">
      <w:pPr>
        <w:widowControl/>
        <w:spacing w:line="440" w:lineRule="exact"/>
        <w:jc w:val="left"/>
        <w:rPr>
          <w:rFonts w:ascii="Times New Roman" w:hAnsi="Times New Roman" w:eastAsia="Times New Roman"/>
          <w:color w:val="auto"/>
          <w:kern w:val="0"/>
          <w:sz w:val="24"/>
          <w:szCs w:val="24"/>
          <w:highlight w:val="none"/>
        </w:rPr>
      </w:pPr>
    </w:p>
    <w:p w14:paraId="4F0766EA">
      <w:pPr>
        <w:jc w:val="center"/>
        <w:rPr>
          <w:rFonts w:ascii="Times New Roman" w:hAnsi="Times New Roman"/>
          <w:color w:val="auto"/>
          <w:highlight w:val="none"/>
        </w:rPr>
      </w:pPr>
    </w:p>
    <w:p w14:paraId="1196F5B4">
      <w:pPr>
        <w:jc w:val="center"/>
        <w:rPr>
          <w:rFonts w:ascii="Times New Roman" w:hAnsi="Times New Roman"/>
          <w:color w:val="auto"/>
          <w:highlight w:val="none"/>
        </w:rPr>
      </w:pPr>
    </w:p>
    <w:p w14:paraId="7F2275F5">
      <w:pPr>
        <w:jc w:val="center"/>
        <w:rPr>
          <w:rFonts w:ascii="Times New Roman" w:hAnsi="Times New Roman" w:eastAsia="方正小标宋简体"/>
          <w:color w:val="auto"/>
          <w:sz w:val="84"/>
          <w:szCs w:val="84"/>
          <w:highlight w:val="none"/>
        </w:rPr>
      </w:pPr>
    </w:p>
    <w:p w14:paraId="4D648D56">
      <w:pPr>
        <w:jc w:val="center"/>
        <w:rPr>
          <w:rFonts w:ascii="Times New Roman" w:hAnsi="Times New Roman"/>
          <w:b/>
          <w:bCs/>
          <w:color w:val="auto"/>
          <w:highlight w:val="none"/>
        </w:rPr>
      </w:pPr>
      <w:r>
        <w:rPr>
          <w:rFonts w:ascii="Times New Roman" w:hAnsi="Times New Roman"/>
          <w:b/>
          <w:bCs/>
          <w:color w:val="auto"/>
          <w:sz w:val="84"/>
          <w:szCs w:val="84"/>
          <w:highlight w:val="none"/>
        </w:rPr>
        <w:t>投 标 文 件</w:t>
      </w:r>
      <w:r>
        <w:rPr>
          <w:rFonts w:ascii="Times New Roman" w:hAnsi="Times New Roman"/>
          <w:b/>
          <w:bCs/>
          <w:color w:val="auto"/>
          <w:szCs w:val="21"/>
          <w:highlight w:val="none"/>
        </w:rPr>
        <w:t xml:space="preserve"> </w:t>
      </w:r>
    </w:p>
    <w:p w14:paraId="75F141CB">
      <w:pPr>
        <w:spacing w:before="312"/>
        <w:jc w:val="center"/>
        <w:rPr>
          <w:rFonts w:ascii="Times New Roman" w:hAnsi="Times New Roman"/>
          <w:b/>
          <w:bCs/>
          <w:color w:val="auto"/>
          <w:highlight w:val="none"/>
        </w:rPr>
      </w:pPr>
      <w:r>
        <w:rPr>
          <w:rFonts w:ascii="Times New Roman" w:hAnsi="Times New Roman"/>
          <w:b/>
          <w:bCs/>
          <w:color w:val="auto"/>
          <w:sz w:val="44"/>
          <w:szCs w:val="44"/>
          <w:highlight w:val="none"/>
        </w:rPr>
        <w:t>(资格响应文件)</w:t>
      </w:r>
      <w:r>
        <w:rPr>
          <w:rFonts w:ascii="Times New Roman" w:hAnsi="Times New Roman"/>
          <w:b/>
          <w:bCs/>
          <w:color w:val="auto"/>
          <w:szCs w:val="21"/>
          <w:highlight w:val="none"/>
        </w:rPr>
        <w:t xml:space="preserve"> </w:t>
      </w:r>
    </w:p>
    <w:p w14:paraId="6578BE35">
      <w:pPr>
        <w:rPr>
          <w:rFonts w:ascii="Times New Roman" w:hAnsi="Times New Roman"/>
          <w:color w:val="auto"/>
          <w:highlight w:val="none"/>
        </w:rPr>
      </w:pPr>
      <w:r>
        <w:rPr>
          <w:rFonts w:ascii="Times New Roman" w:hAnsi="Times New Roman"/>
          <w:color w:val="auto"/>
          <w:szCs w:val="21"/>
          <w:highlight w:val="none"/>
        </w:rPr>
        <w:t xml:space="preserve">  </w:t>
      </w:r>
    </w:p>
    <w:p w14:paraId="022CA454">
      <w:pPr>
        <w:rPr>
          <w:rFonts w:ascii="Times New Roman" w:hAnsi="Times New Roman"/>
          <w:color w:val="auto"/>
          <w:sz w:val="32"/>
          <w:szCs w:val="32"/>
          <w:highlight w:val="none"/>
        </w:rPr>
      </w:pPr>
    </w:p>
    <w:p w14:paraId="48FB46EF">
      <w:pPr>
        <w:rPr>
          <w:rFonts w:ascii="Times New Roman" w:hAnsi="Times New Roman"/>
          <w:color w:val="auto"/>
          <w:sz w:val="32"/>
          <w:szCs w:val="32"/>
          <w:highlight w:val="none"/>
        </w:rPr>
      </w:pPr>
    </w:p>
    <w:p w14:paraId="2A6DDAC5">
      <w:pPr>
        <w:ind w:firstLine="1760" w:firstLineChars="550"/>
        <w:rPr>
          <w:rFonts w:ascii="Times New Roman" w:hAnsi="Times New Roman"/>
          <w:color w:val="auto"/>
          <w:sz w:val="32"/>
          <w:szCs w:val="32"/>
          <w:highlight w:val="none"/>
        </w:rPr>
      </w:pPr>
    </w:p>
    <w:p w14:paraId="2BD5D216">
      <w:pPr>
        <w:spacing w:line="360" w:lineRule="auto"/>
        <w:ind w:firstLine="321" w:firstLineChars="100"/>
        <w:rPr>
          <w:rFonts w:ascii="Times New Roman" w:hAnsi="Times New Roman"/>
          <w:b/>
          <w:bCs/>
          <w:color w:val="auto"/>
          <w:sz w:val="32"/>
          <w:szCs w:val="32"/>
          <w:highlight w:val="none"/>
        </w:rPr>
      </w:pPr>
      <w:r>
        <w:rPr>
          <w:rFonts w:ascii="Times New Roman" w:hAnsi="Times New Roman"/>
          <w:b/>
          <w:bCs/>
          <w:color w:val="auto"/>
          <w:sz w:val="32"/>
          <w:szCs w:val="32"/>
          <w:highlight w:val="none"/>
        </w:rPr>
        <w:t xml:space="preserve">项目名称：                  </w:t>
      </w:r>
    </w:p>
    <w:p w14:paraId="16065771">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项目编号：</w:t>
      </w:r>
      <w:r>
        <w:rPr>
          <w:rFonts w:ascii="Times New Roman" w:hAnsi="Times New Roman"/>
          <w:color w:val="auto"/>
          <w:szCs w:val="21"/>
          <w:highlight w:val="none"/>
        </w:rPr>
        <w:t xml:space="preserve"> </w:t>
      </w:r>
    </w:p>
    <w:p w14:paraId="0F06ED76">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13673724">
      <w:pPr>
        <w:ind w:firstLine="1500"/>
        <w:rPr>
          <w:rFonts w:ascii="Times New Roman" w:hAnsi="Times New Roman"/>
          <w:color w:val="auto"/>
          <w:szCs w:val="21"/>
          <w:highlight w:val="none"/>
        </w:rPr>
      </w:pPr>
    </w:p>
    <w:p w14:paraId="6658E8CB">
      <w:pPr>
        <w:ind w:firstLine="1500"/>
        <w:rPr>
          <w:rFonts w:ascii="Times New Roman" w:hAnsi="Times New Roman"/>
          <w:color w:val="auto"/>
          <w:szCs w:val="21"/>
          <w:highlight w:val="none"/>
        </w:rPr>
      </w:pPr>
    </w:p>
    <w:p w14:paraId="6B072B81">
      <w:pPr>
        <w:ind w:firstLine="1500"/>
        <w:rPr>
          <w:rFonts w:ascii="Times New Roman" w:hAnsi="Times New Roman"/>
          <w:color w:val="auto"/>
          <w:szCs w:val="21"/>
          <w:highlight w:val="none"/>
        </w:rPr>
      </w:pPr>
    </w:p>
    <w:p w14:paraId="666121EA">
      <w:pPr>
        <w:ind w:firstLine="1500"/>
        <w:rPr>
          <w:rFonts w:ascii="Times New Roman" w:hAnsi="Times New Roman"/>
          <w:color w:val="auto"/>
          <w:szCs w:val="21"/>
          <w:highlight w:val="none"/>
        </w:rPr>
      </w:pPr>
    </w:p>
    <w:p w14:paraId="5820A68C">
      <w:pPr>
        <w:ind w:firstLine="1500"/>
        <w:rPr>
          <w:rFonts w:ascii="Times New Roman" w:hAnsi="Times New Roman"/>
          <w:color w:val="auto"/>
          <w:szCs w:val="21"/>
          <w:highlight w:val="none"/>
        </w:rPr>
      </w:pPr>
    </w:p>
    <w:p w14:paraId="6FBB3DAE">
      <w:pPr>
        <w:ind w:firstLine="1500"/>
        <w:rPr>
          <w:rFonts w:ascii="Times New Roman" w:hAnsi="Times New Roman"/>
          <w:color w:val="auto"/>
          <w:szCs w:val="21"/>
          <w:highlight w:val="none"/>
        </w:rPr>
      </w:pPr>
    </w:p>
    <w:p w14:paraId="44E62F12">
      <w:pPr>
        <w:ind w:firstLine="1500"/>
        <w:rPr>
          <w:rFonts w:ascii="Times New Roman" w:hAnsi="Times New Roman"/>
          <w:color w:val="auto"/>
          <w:szCs w:val="21"/>
          <w:highlight w:val="none"/>
        </w:rPr>
      </w:pPr>
    </w:p>
    <w:p w14:paraId="231A79E4">
      <w:pPr>
        <w:ind w:firstLine="1500"/>
        <w:rPr>
          <w:rFonts w:ascii="Times New Roman" w:hAnsi="Times New Roman"/>
          <w:color w:val="auto"/>
          <w:szCs w:val="21"/>
          <w:highlight w:val="none"/>
        </w:rPr>
      </w:pPr>
    </w:p>
    <w:p w14:paraId="30D5042D">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4FB6BCDC">
      <w:pPr>
        <w:rPr>
          <w:rFonts w:ascii="Times New Roman" w:hAnsi="Times New Roman"/>
          <w:color w:val="auto"/>
          <w:szCs w:val="21"/>
          <w:highlight w:val="none"/>
        </w:rPr>
      </w:pPr>
    </w:p>
    <w:p w14:paraId="1F9A383E">
      <w:pPr>
        <w:rPr>
          <w:rFonts w:ascii="Times New Roman" w:hAnsi="Times New Roman"/>
          <w:color w:val="auto"/>
          <w:highlight w:val="none"/>
        </w:rPr>
      </w:pPr>
    </w:p>
    <w:p w14:paraId="324D1670">
      <w:pPr>
        <w:ind w:firstLine="1928" w:firstLineChars="600"/>
        <w:rPr>
          <w:rFonts w:ascii="Times New Roman" w:hAnsi="Times New Roman"/>
          <w:b/>
          <w:color w:val="auto"/>
          <w:highlight w:val="none"/>
        </w:rPr>
      </w:pPr>
      <w:r>
        <w:rPr>
          <w:rFonts w:ascii="Times New Roman" w:hAnsi="Times New Roman"/>
          <w:b/>
          <w:color w:val="auto"/>
          <w:sz w:val="32"/>
          <w:szCs w:val="32"/>
          <w:highlight w:val="none"/>
        </w:rPr>
        <w:t>投标人</w:t>
      </w:r>
      <w:r>
        <w:rPr>
          <w:rFonts w:ascii="Times New Roman" w:hAnsi="Times New Roman"/>
          <w:b/>
          <w:bCs/>
          <w:color w:val="auto"/>
          <w:sz w:val="32"/>
          <w:szCs w:val="32"/>
          <w:highlight w:val="none"/>
        </w:rPr>
        <w:t>：</w:t>
      </w:r>
      <w:r>
        <w:rPr>
          <w:rFonts w:ascii="Times New Roman" w:hAnsi="Times New Roman"/>
          <w:b/>
          <w:color w:val="auto"/>
          <w:sz w:val="32"/>
          <w:szCs w:val="32"/>
          <w:highlight w:val="none"/>
        </w:rPr>
        <w:t>________________________</w:t>
      </w:r>
      <w:r>
        <w:rPr>
          <w:rFonts w:ascii="Times New Roman" w:hAnsi="Times New Roman"/>
          <w:b/>
          <w:color w:val="auto"/>
          <w:szCs w:val="21"/>
          <w:highlight w:val="none"/>
        </w:rPr>
        <w:t xml:space="preserve"> </w:t>
      </w:r>
    </w:p>
    <w:p w14:paraId="770E22A8">
      <w:pPr>
        <w:ind w:firstLine="4800"/>
        <w:rPr>
          <w:rFonts w:ascii="Times New Roman" w:hAnsi="Times New Roman"/>
          <w:b/>
          <w:color w:val="auto"/>
          <w:highlight w:val="none"/>
        </w:rPr>
      </w:pPr>
      <w:r>
        <w:rPr>
          <w:rFonts w:ascii="Times New Roman" w:hAnsi="Times New Roman"/>
          <w:b/>
          <w:color w:val="auto"/>
          <w:szCs w:val="21"/>
          <w:highlight w:val="none"/>
        </w:rPr>
        <w:t xml:space="preserve">  </w:t>
      </w:r>
    </w:p>
    <w:p w14:paraId="1618E862">
      <w:pPr>
        <w:ind w:firstLine="4800"/>
        <w:rPr>
          <w:rFonts w:ascii="Times New Roman" w:hAnsi="Times New Roman"/>
          <w:b/>
          <w:color w:val="auto"/>
          <w:sz w:val="32"/>
          <w:szCs w:val="32"/>
          <w:highlight w:val="none"/>
        </w:rPr>
      </w:pPr>
      <w:r>
        <w:rPr>
          <w:rFonts w:ascii="Times New Roman" w:hAnsi="Times New Roman"/>
          <w:b/>
          <w:color w:val="auto"/>
          <w:szCs w:val="21"/>
          <w:highlight w:val="none"/>
        </w:rPr>
        <w:t xml:space="preserve">  </w:t>
      </w:r>
    </w:p>
    <w:p w14:paraId="6D73D009">
      <w:pPr>
        <w:ind w:firstLine="4337" w:firstLineChars="1350"/>
        <w:rPr>
          <w:rFonts w:ascii="Times New Roman" w:hAnsi="Times New Roman"/>
          <w:b/>
          <w:color w:val="auto"/>
          <w:highlight w:val="none"/>
        </w:rPr>
      </w:pPr>
      <w:r>
        <w:rPr>
          <w:rFonts w:ascii="Times New Roman" w:hAnsi="Times New Roman"/>
          <w:b/>
          <w:color w:val="auto"/>
          <w:sz w:val="32"/>
          <w:szCs w:val="32"/>
          <w:highlight w:val="none"/>
        </w:rPr>
        <w:t>年  月  日</w:t>
      </w:r>
      <w:r>
        <w:rPr>
          <w:rFonts w:ascii="Times New Roman" w:hAnsi="Times New Roman"/>
          <w:b/>
          <w:color w:val="auto"/>
          <w:szCs w:val="21"/>
          <w:highlight w:val="none"/>
        </w:rPr>
        <w:t xml:space="preserve"> </w:t>
      </w:r>
    </w:p>
    <w:p w14:paraId="4CE1D694">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p>
    <w:p w14:paraId="077091AD">
      <w:pPr>
        <w:spacing w:line="400" w:lineRule="exact"/>
        <w:jc w:val="center"/>
        <w:rPr>
          <w:rFonts w:ascii="Times New Roman" w:hAnsi="Times New Roman"/>
          <w:b/>
          <w:bCs/>
          <w:color w:val="auto"/>
          <w:sz w:val="32"/>
          <w:szCs w:val="32"/>
          <w:highlight w:val="none"/>
        </w:rPr>
      </w:pPr>
    </w:p>
    <w:p w14:paraId="5E958E74">
      <w:pPr>
        <w:spacing w:line="400" w:lineRule="exact"/>
        <w:jc w:val="center"/>
        <w:rPr>
          <w:rFonts w:ascii="Times New Roman" w:hAnsi="Times New Roman"/>
          <w:color w:val="auto"/>
          <w:szCs w:val="21"/>
          <w:highlight w:val="none"/>
        </w:rPr>
      </w:pPr>
      <w:r>
        <w:rPr>
          <w:rFonts w:ascii="Times New Roman" w:hAnsi="Times New Roman"/>
          <w:b/>
          <w:bCs/>
          <w:color w:val="auto"/>
          <w:sz w:val="32"/>
          <w:szCs w:val="32"/>
          <w:highlight w:val="none"/>
        </w:rPr>
        <w:t>一、供应商须具备政府采购法第二十二条规定的条件</w:t>
      </w:r>
    </w:p>
    <w:p w14:paraId="0EA029E5">
      <w:pPr>
        <w:rPr>
          <w:rFonts w:ascii="Times New Roman" w:hAnsi="Times New Roman"/>
          <w:color w:val="auto"/>
          <w:highlight w:val="none"/>
        </w:rPr>
      </w:pPr>
      <w:r>
        <w:rPr>
          <w:rFonts w:ascii="Times New Roman" w:hAnsi="Times New Roman"/>
          <w:color w:val="auto"/>
          <w:highlight w:val="none"/>
        </w:rPr>
        <w:t xml:space="preserve"> </w:t>
      </w:r>
    </w:p>
    <w:p w14:paraId="42507290">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《中华人民共和国政府采购法》第二十二条  供应商参加政府采购活动应当具备下列条件：</w:t>
      </w:r>
    </w:p>
    <w:p w14:paraId="35973DDB">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（一）具有独立承担民事责任的能力；</w:t>
      </w:r>
    </w:p>
    <w:p w14:paraId="1892C434">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（二）具有良好的商业信誉和健全的财务会计制度；</w:t>
      </w:r>
    </w:p>
    <w:p w14:paraId="3F42B9D9">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（三）具有履行合同所必需的设备和专业技术能力；</w:t>
      </w:r>
    </w:p>
    <w:p w14:paraId="515E9D24">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（四）有依法缴纳税收和社会保障资金的良好记录；</w:t>
      </w:r>
    </w:p>
    <w:p w14:paraId="546758F1">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（五）参加政府采购活动前三年内，在经营活动中没有重大违法记录；</w:t>
      </w:r>
    </w:p>
    <w:p w14:paraId="30551607">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（六）法律、行政法规规定的其他条件。</w:t>
      </w:r>
    </w:p>
    <w:p w14:paraId="075E2C7C">
      <w:pPr>
        <w:spacing w:line="400" w:lineRule="exact"/>
        <w:rPr>
          <w:rFonts w:ascii="Times New Roman" w:hAnsi="Times New Roman" w:eastAsia="仿宋_GB2312"/>
          <w:color w:val="auto"/>
          <w:sz w:val="24"/>
          <w:szCs w:val="24"/>
          <w:highlight w:val="none"/>
        </w:rPr>
      </w:pPr>
    </w:p>
    <w:p w14:paraId="50CDBC4B">
      <w:pPr>
        <w:spacing w:line="4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参加政府采购活动的供应商应当具备政府采购法第二十二条第一款规定的条件，</w:t>
      </w:r>
      <w:r>
        <w:rPr>
          <w:rFonts w:ascii="Times New Roman" w:hAnsi="Times New Roman" w:eastAsia="仿宋_GB2312"/>
          <w:b/>
          <w:color w:val="auto"/>
          <w:sz w:val="24"/>
          <w:szCs w:val="24"/>
          <w:highlight w:val="none"/>
        </w:rPr>
        <w:t>投标文件中提供下列材料：</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（一）法人或者其他组织的营业执照等证明文件，自然人的身份证明；</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（二）财务状况报告，依法缴纳税收和社会保障资金的相关材料；</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（三）具备履行合同所必需的设备和专业技术能力的证明材料；</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（四）参加政府采购活动前3年内在经营活动中没有重大违法记录的书面声明；</w:t>
      </w:r>
      <w:r>
        <w:rPr>
          <w:rFonts w:ascii="Times New Roman" w:hAnsi="Times New Roman" w:eastAsia="仿宋_GB2312"/>
          <w:color w:val="auto"/>
          <w:sz w:val="24"/>
          <w:szCs w:val="24"/>
          <w:highlight w:val="none"/>
        </w:rPr>
        <w:br w:type="textWrapping"/>
      </w:r>
      <w:r>
        <w:rPr>
          <w:rFonts w:ascii="Times New Roman" w:hAnsi="Times New Roman" w:eastAsia="仿宋_GB2312"/>
          <w:color w:val="auto"/>
          <w:sz w:val="24"/>
          <w:szCs w:val="24"/>
          <w:highlight w:val="none"/>
        </w:rPr>
        <w:t>　　（五）具备法律、行政法规规定的其他条件的证明材料。</w:t>
      </w:r>
    </w:p>
    <w:p w14:paraId="4767590B">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28B6FEB3">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6B51B776">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71325088">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5B295533">
      <w:pPr>
        <w:spacing w:line="400" w:lineRule="exact"/>
        <w:rPr>
          <w:rFonts w:ascii="Times New Roman" w:hAnsi="Times New Roman"/>
          <w:color w:val="auto"/>
          <w:szCs w:val="21"/>
          <w:highlight w:val="none"/>
        </w:rPr>
      </w:pPr>
    </w:p>
    <w:p w14:paraId="0195CF81">
      <w:pPr>
        <w:spacing w:line="400" w:lineRule="exact"/>
        <w:rPr>
          <w:rFonts w:ascii="Times New Roman" w:hAnsi="Times New Roman"/>
          <w:color w:val="auto"/>
          <w:szCs w:val="21"/>
          <w:highlight w:val="none"/>
        </w:rPr>
      </w:pPr>
    </w:p>
    <w:p w14:paraId="04FAA30D">
      <w:pPr>
        <w:spacing w:line="400" w:lineRule="exact"/>
        <w:rPr>
          <w:rFonts w:ascii="Times New Roman" w:hAnsi="Times New Roman"/>
          <w:color w:val="auto"/>
          <w:szCs w:val="21"/>
          <w:highlight w:val="none"/>
        </w:rPr>
      </w:pPr>
    </w:p>
    <w:p w14:paraId="54BDE0E3">
      <w:pPr>
        <w:spacing w:line="400" w:lineRule="exact"/>
        <w:rPr>
          <w:rFonts w:ascii="Times New Roman" w:hAnsi="Times New Roman"/>
          <w:color w:val="auto"/>
          <w:szCs w:val="21"/>
          <w:highlight w:val="none"/>
        </w:rPr>
      </w:pPr>
    </w:p>
    <w:p w14:paraId="6C2C4945">
      <w:pPr>
        <w:widowControl/>
        <w:spacing w:line="400" w:lineRule="exact"/>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3C10CF4D">
      <w:pPr>
        <w:widowControl/>
        <w:wordWrap w:val="0"/>
        <w:jc w:val="right"/>
        <w:rPr>
          <w:rFonts w:ascii="Times New Roman" w:hAnsi="Times New Roman" w:eastAsiaTheme="minorEastAsia"/>
          <w:color w:val="auto"/>
          <w:kern w:val="0"/>
          <w:sz w:val="24"/>
          <w:szCs w:val="24"/>
          <w:highlight w:val="none"/>
        </w:rPr>
      </w:pPr>
      <w:r>
        <w:rPr>
          <w:rFonts w:ascii="Times New Roman" w:hAnsi="Times New Roman" w:eastAsia="仿宋_GB2312"/>
          <w:color w:val="auto"/>
          <w:kern w:val="0"/>
          <w:sz w:val="24"/>
          <w:szCs w:val="24"/>
          <w:highlight w:val="none"/>
        </w:rPr>
        <w:t>日  期：</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年</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月</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 xml:space="preserve">日  </w:t>
      </w:r>
      <w:r>
        <w:rPr>
          <w:rFonts w:ascii="Times New Roman" w:hAnsi="Times New Roman" w:eastAsia="Times New Roman"/>
          <w:color w:val="auto"/>
          <w:kern w:val="0"/>
          <w:sz w:val="24"/>
          <w:szCs w:val="24"/>
          <w:highlight w:val="none"/>
        </w:rPr>
        <w:t xml:space="preserve"> </w:t>
      </w:r>
    </w:p>
    <w:p w14:paraId="4C0D7638">
      <w:pPr>
        <w:spacing w:line="400" w:lineRule="exact"/>
        <w:rPr>
          <w:rFonts w:ascii="Times New Roman" w:hAnsi="Times New Roman" w:eastAsia="Times New Roman"/>
          <w:color w:val="auto"/>
          <w:kern w:val="0"/>
          <w:sz w:val="24"/>
          <w:szCs w:val="24"/>
          <w:highlight w:val="none"/>
        </w:rPr>
      </w:pPr>
      <w:r>
        <w:rPr>
          <w:rFonts w:ascii="Times New Roman" w:hAnsi="Times New Roman"/>
          <w:color w:val="auto"/>
          <w:highlight w:val="none"/>
        </w:rPr>
        <w:br w:type="page"/>
      </w:r>
    </w:p>
    <w:p w14:paraId="7F80E856">
      <w:pPr>
        <w:spacing w:line="360" w:lineRule="exact"/>
        <w:ind w:right="560"/>
        <w:jc w:val="center"/>
        <w:rPr>
          <w:rFonts w:ascii="Times New Roman" w:hAnsi="Times New Roman"/>
          <w:b/>
          <w:color w:val="auto"/>
          <w:sz w:val="32"/>
          <w:szCs w:val="32"/>
          <w:highlight w:val="none"/>
        </w:rPr>
      </w:pPr>
    </w:p>
    <w:p w14:paraId="55E7E94A">
      <w:pPr>
        <w:spacing w:line="360" w:lineRule="exact"/>
        <w:ind w:right="560"/>
        <w:jc w:val="center"/>
        <w:rPr>
          <w:rFonts w:ascii="Times New Roman" w:hAnsi="Times New Roman"/>
          <w:b/>
          <w:color w:val="auto"/>
          <w:sz w:val="32"/>
          <w:szCs w:val="32"/>
          <w:highlight w:val="none"/>
        </w:rPr>
      </w:pPr>
      <w:r>
        <w:rPr>
          <w:rFonts w:ascii="Times New Roman" w:hAnsi="Times New Roman"/>
          <w:b/>
          <w:color w:val="auto"/>
          <w:sz w:val="32"/>
          <w:szCs w:val="32"/>
          <w:highlight w:val="none"/>
        </w:rPr>
        <w:t>二、授权委托书</w:t>
      </w:r>
    </w:p>
    <w:p w14:paraId="5BB88459">
      <w:pPr>
        <w:adjustRightInd w:val="0"/>
        <w:snapToGrid w:val="0"/>
        <w:spacing w:line="440" w:lineRule="exact"/>
        <w:rPr>
          <w:rFonts w:ascii="Times New Roman" w:hAnsi="Times New Roman" w:eastAsia="黑体"/>
          <w:color w:val="auto"/>
          <w:sz w:val="28"/>
          <w:szCs w:val="28"/>
          <w:highlight w:val="none"/>
        </w:rPr>
      </w:pPr>
    </w:p>
    <w:p w14:paraId="1A5CECFE">
      <w:pPr>
        <w:adjustRightInd w:val="0"/>
        <w:snapToGrid w:val="0"/>
        <w:spacing w:line="440" w:lineRule="exact"/>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乌鲁木齐市公共资源交易中心（乌鲁木齐市政府采购中心）：</w:t>
      </w:r>
    </w:p>
    <w:p w14:paraId="1B8A2244">
      <w:pPr>
        <w:adjustRightInd w:val="0"/>
        <w:snapToGrid w:val="0"/>
        <w:spacing w:line="440" w:lineRule="exact"/>
        <w:ind w:left="105" w:leftChars="50" w:firstLine="360" w:firstLineChars="15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本人</w:t>
      </w:r>
      <w:r>
        <w:rPr>
          <w:rFonts w:ascii="Times New Roman" w:hAnsi="Times New Roman" w:eastAsia="仿宋_GB2312"/>
          <w:color w:val="auto"/>
          <w:sz w:val="24"/>
          <w:szCs w:val="24"/>
          <w:highlight w:val="none"/>
          <w:u w:val="single"/>
        </w:rPr>
        <w:t xml:space="preserve">     （姓名）    </w:t>
      </w:r>
      <w:r>
        <w:rPr>
          <w:rFonts w:ascii="Times New Roman" w:hAnsi="Times New Roman" w:eastAsia="仿宋_GB2312"/>
          <w:color w:val="auto"/>
          <w:sz w:val="24"/>
          <w:szCs w:val="24"/>
          <w:highlight w:val="none"/>
        </w:rPr>
        <w:t>系</w:t>
      </w:r>
      <w:r>
        <w:rPr>
          <w:rFonts w:ascii="Times New Roman" w:hAnsi="Times New Roman" w:eastAsia="仿宋_GB2312"/>
          <w:color w:val="auto"/>
          <w:sz w:val="24"/>
          <w:szCs w:val="24"/>
          <w:highlight w:val="none"/>
          <w:u w:val="single"/>
        </w:rPr>
        <w:t xml:space="preserve">      （投标人名称）      </w:t>
      </w:r>
      <w:r>
        <w:rPr>
          <w:rFonts w:ascii="Times New Roman" w:hAnsi="Times New Roman" w:eastAsia="仿宋_GB2312"/>
          <w:color w:val="auto"/>
          <w:sz w:val="24"/>
          <w:szCs w:val="24"/>
          <w:highlight w:val="none"/>
        </w:rPr>
        <w:t>的法定代表人（或经营者/执行事务合伙人/负责人/自然人），现授权委托</w:t>
      </w:r>
      <w:r>
        <w:rPr>
          <w:rFonts w:ascii="Times New Roman" w:hAnsi="Times New Roman" w:eastAsia="仿宋_GB2312"/>
          <w:color w:val="auto"/>
          <w:sz w:val="24"/>
          <w:szCs w:val="24"/>
          <w:highlight w:val="none"/>
          <w:u w:val="single"/>
        </w:rPr>
        <w:t xml:space="preserve">   （姓名）     </w:t>
      </w:r>
      <w:r>
        <w:rPr>
          <w:rFonts w:ascii="Times New Roman" w:hAnsi="Times New Roman" w:eastAsia="仿宋_GB2312"/>
          <w:color w:val="auto"/>
          <w:sz w:val="24"/>
          <w:szCs w:val="24"/>
          <w:highlight w:val="none"/>
        </w:rPr>
        <w:t>为我单位授权代表，全权代表我单位参加由贵中心组织的</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项目（项目编号：</w:t>
      </w:r>
      <w:r>
        <w:rPr>
          <w:rFonts w:ascii="Times New Roman" w:hAnsi="Times New Roman" w:eastAsia="仿宋_GB2312"/>
          <w:color w:val="auto"/>
          <w:sz w:val="24"/>
          <w:szCs w:val="24"/>
          <w:highlight w:val="none"/>
          <w:u w:val="single"/>
        </w:rPr>
        <w:t xml:space="preserve">WZCG        </w:t>
      </w:r>
      <w:r>
        <w:rPr>
          <w:rFonts w:ascii="Times New Roman" w:hAnsi="Times New Roman" w:eastAsia="仿宋_GB2312"/>
          <w:color w:val="auto"/>
          <w:sz w:val="24"/>
          <w:szCs w:val="24"/>
          <w:highlight w:val="none"/>
        </w:rPr>
        <w:t>）的投标活动，授权代表在投标活动中的一切行为我公司均予以承认并由我单位承担法律责任和后果。</w:t>
      </w:r>
    </w:p>
    <w:p w14:paraId="281FACD2">
      <w:pPr>
        <w:adjustRightInd w:val="0"/>
        <w:snapToGrid w:val="0"/>
        <w:spacing w:line="440" w:lineRule="exact"/>
        <w:ind w:left="105" w:leftChars="50" w:firstLine="360" w:firstLineChars="15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授权代表无转委托权。</w:t>
      </w:r>
    </w:p>
    <w:p w14:paraId="77C03B25">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p>
    <w:p w14:paraId="1A536903">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法定代表人（或经营者/执行事务合伙人/负责人/自然人）的</w:t>
      </w:r>
    </w:p>
    <w:p w14:paraId="04EAA1A4">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证件号码（身份证）：</w:t>
      </w:r>
    </w:p>
    <w:p w14:paraId="1D87E73E">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授权代表证件号码（身份证）：</w:t>
      </w:r>
    </w:p>
    <w:p w14:paraId="61E4EF4C">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授权代表联系方式：</w:t>
      </w:r>
    </w:p>
    <w:p w14:paraId="68C9765C">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p>
    <w:p w14:paraId="26EBAA90">
      <w:pPr>
        <w:adjustRightInd w:val="0"/>
        <w:snapToGrid w:val="0"/>
        <w:spacing w:line="440" w:lineRule="exact"/>
        <w:ind w:left="3780" w:leftChars="18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w:t>
      </w:r>
      <w:r>
        <w:rPr>
          <w:rFonts w:ascii="Times New Roman" w:hAnsi="Times New Roman"/>
          <w:color w:val="auto"/>
          <w:highlight w:val="none"/>
        </w:rPr>
        <w:t>公章</w:t>
      </w:r>
      <w:r>
        <w:rPr>
          <w:rFonts w:ascii="Times New Roman" w:hAnsi="Times New Roman" w:eastAsia="仿宋_GB2312"/>
          <w:bCs/>
          <w:color w:val="auto"/>
          <w:sz w:val="24"/>
          <w:szCs w:val="24"/>
          <w:highlight w:val="none"/>
        </w:rPr>
        <w:t>）</w:t>
      </w:r>
    </w:p>
    <w:p w14:paraId="78E2EB7D">
      <w:pPr>
        <w:adjustRightInd w:val="0"/>
        <w:snapToGrid w:val="0"/>
        <w:spacing w:line="440" w:lineRule="exact"/>
        <w:ind w:left="3780" w:leftChars="18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法定代表人（或经营者/执行事务合伙人/负责人/自然人）：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（印章或签名）</w:t>
      </w:r>
    </w:p>
    <w:p w14:paraId="02084829">
      <w:pPr>
        <w:adjustRightInd w:val="0"/>
        <w:snapToGrid w:val="0"/>
        <w:spacing w:line="440" w:lineRule="exact"/>
        <w:ind w:left="3780" w:leftChars="1800" w:right="699" w:rightChars="333"/>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21D2E846">
      <w:pPr>
        <w:spacing w:line="400" w:lineRule="exact"/>
        <w:ind w:firstLine="420"/>
        <w:rPr>
          <w:rFonts w:ascii="Times New Roman" w:hAnsi="Times New Roman"/>
          <w:color w:val="auto"/>
          <w:highlight w:val="none"/>
        </w:rPr>
      </w:pPr>
      <w:r>
        <w:rPr>
          <w:rFonts w:ascii="Times New Roman" w:hAnsi="Times New Roman"/>
          <w:color w:val="auto"/>
          <w:szCs w:val="21"/>
          <w:highlight w:val="none"/>
        </w:rPr>
        <w:t xml:space="preserve">  </w:t>
      </w:r>
    </w:p>
    <w:tbl>
      <w:tblPr>
        <w:tblStyle w:val="29"/>
        <w:tblW w:w="0" w:type="dxa"/>
        <w:jc w:val="center"/>
        <w:tblLayout w:type="fixed"/>
        <w:tblCellMar>
          <w:top w:w="0" w:type="dxa"/>
          <w:left w:w="0" w:type="dxa"/>
          <w:bottom w:w="0" w:type="dxa"/>
          <w:right w:w="0" w:type="dxa"/>
        </w:tblCellMar>
      </w:tblPr>
      <w:tblGrid>
        <w:gridCol w:w="8014"/>
      </w:tblGrid>
      <w:tr w14:paraId="6BD1782E">
        <w:tblPrEx>
          <w:tblCellMar>
            <w:top w:w="0" w:type="dxa"/>
            <w:left w:w="0" w:type="dxa"/>
            <w:bottom w:w="0" w:type="dxa"/>
            <w:right w:w="0" w:type="dxa"/>
          </w:tblCellMar>
        </w:tblPrEx>
        <w:trPr>
          <w:trHeight w:val="4280" w:hRule="atLeast"/>
          <w:jc w:val="center"/>
        </w:trPr>
        <w:tc>
          <w:tcPr>
            <w:tcW w:w="801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C7EC154">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授权代表身份证影印件 </w:t>
            </w:r>
          </w:p>
        </w:tc>
      </w:tr>
    </w:tbl>
    <w:p w14:paraId="52ACDDE0">
      <w:pPr>
        <w:spacing w:line="400" w:lineRule="exact"/>
        <w:rPr>
          <w:rFonts w:ascii="Times New Roman" w:hAnsi="Times New Roman" w:eastAsia="Times New Roman"/>
          <w:color w:val="auto"/>
          <w:kern w:val="0"/>
          <w:sz w:val="24"/>
          <w:szCs w:val="24"/>
          <w:highlight w:val="none"/>
        </w:rPr>
      </w:pPr>
      <w:r>
        <w:rPr>
          <w:rFonts w:ascii="Times New Roman" w:hAnsi="Times New Roman" w:eastAsia="仿宋_GB2312"/>
          <w:color w:val="auto"/>
          <w:sz w:val="24"/>
          <w:szCs w:val="24"/>
          <w:highlight w:val="none"/>
        </w:rPr>
        <w:t> </w:t>
      </w:r>
    </w:p>
    <w:p w14:paraId="05420436">
      <w:pPr>
        <w:widowControl/>
        <w:jc w:val="left"/>
        <w:rPr>
          <w:rFonts w:ascii="Times New Roman" w:hAnsi="Times New Roman"/>
          <w:b/>
          <w:color w:val="auto"/>
          <w:sz w:val="32"/>
          <w:szCs w:val="32"/>
          <w:highlight w:val="none"/>
        </w:rPr>
      </w:pPr>
      <w:r>
        <w:rPr>
          <w:rFonts w:ascii="Times New Roman" w:hAnsi="Times New Roman"/>
          <w:b/>
          <w:color w:val="auto"/>
          <w:sz w:val="32"/>
          <w:szCs w:val="32"/>
          <w:highlight w:val="none"/>
        </w:rPr>
        <w:br w:type="page"/>
      </w:r>
    </w:p>
    <w:p w14:paraId="392C9CBA">
      <w:pPr>
        <w:jc w:val="center"/>
        <w:rPr>
          <w:rFonts w:ascii="Times New Roman" w:hAnsi="Times New Roman"/>
          <w:b/>
          <w:color w:val="auto"/>
          <w:sz w:val="32"/>
          <w:szCs w:val="32"/>
          <w:highlight w:val="none"/>
        </w:rPr>
      </w:pPr>
    </w:p>
    <w:p w14:paraId="34793A77">
      <w:pPr>
        <w:jc w:val="center"/>
        <w:rPr>
          <w:rFonts w:ascii="Times New Roman" w:hAnsi="Times New Roman"/>
          <w:b/>
          <w:color w:val="auto"/>
          <w:sz w:val="32"/>
          <w:szCs w:val="32"/>
          <w:highlight w:val="none"/>
        </w:rPr>
      </w:pPr>
      <w:r>
        <w:rPr>
          <w:rFonts w:ascii="Times New Roman" w:hAnsi="Times New Roman"/>
          <w:b/>
          <w:color w:val="auto"/>
          <w:sz w:val="32"/>
          <w:szCs w:val="32"/>
          <w:highlight w:val="none"/>
        </w:rPr>
        <w:t>三、身份证明书</w:t>
      </w:r>
    </w:p>
    <w:p w14:paraId="4E71FF26">
      <w:pPr>
        <w:spacing w:before="156" w:line="360" w:lineRule="auto"/>
        <w:rPr>
          <w:rFonts w:ascii="Times New Roman" w:hAnsi="Times New Roman"/>
          <w:color w:val="auto"/>
          <w:highlight w:val="none"/>
        </w:rPr>
      </w:pPr>
      <w:r>
        <w:rPr>
          <w:rFonts w:ascii="Times New Roman" w:hAnsi="Times New Roman"/>
          <w:color w:val="auto"/>
          <w:szCs w:val="21"/>
          <w:highlight w:val="none"/>
        </w:rPr>
        <w:t xml:space="preserve">  </w:t>
      </w:r>
    </w:p>
    <w:p w14:paraId="28F13FED">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投标人名称：</w:t>
      </w:r>
    </w:p>
    <w:p w14:paraId="0900B1FB">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企业类型：</w:t>
      </w:r>
    </w:p>
    <w:p w14:paraId="6B0E36FB">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地    址：</w:t>
      </w:r>
    </w:p>
    <w:p w14:paraId="41E92EF1">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营业期限：</w:t>
      </w:r>
    </w:p>
    <w:p w14:paraId="543125D8">
      <w:pPr>
        <w:spacing w:line="440" w:lineRule="exact"/>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成立时间：</w:t>
      </w:r>
    </w:p>
    <w:p w14:paraId="112D1F0F">
      <w:pPr>
        <w:spacing w:line="440" w:lineRule="exact"/>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姓   名：</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 性别：</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  年龄：</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 职务：</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 xml:space="preserve">，系 </w:t>
      </w:r>
      <w:r>
        <w:rPr>
          <w:rFonts w:ascii="Times New Roman" w:hAnsi="Times New Roman" w:eastAsia="仿宋_GB2312"/>
          <w:bCs/>
          <w:color w:val="auto"/>
          <w:sz w:val="24"/>
          <w:szCs w:val="24"/>
          <w:highlight w:val="none"/>
          <w:u w:val="single"/>
        </w:rPr>
        <w:t xml:space="preserve">         （投标人名称）              </w:t>
      </w:r>
      <w:r>
        <w:rPr>
          <w:rFonts w:ascii="Times New Roman" w:hAnsi="Times New Roman" w:eastAsia="仿宋_GB2312"/>
          <w:bCs/>
          <w:color w:val="auto"/>
          <w:sz w:val="24"/>
          <w:szCs w:val="24"/>
          <w:highlight w:val="none"/>
        </w:rPr>
        <w:t>的法定代表人</w:t>
      </w:r>
      <w:r>
        <w:rPr>
          <w:rFonts w:ascii="Times New Roman" w:hAnsi="Times New Roman" w:eastAsia="仿宋_GB2312"/>
          <w:color w:val="auto"/>
          <w:sz w:val="24"/>
          <w:szCs w:val="24"/>
          <w:highlight w:val="none"/>
        </w:rPr>
        <w:t>（或经营者/执行事务合伙人/负责人/自然人）</w:t>
      </w:r>
      <w:r>
        <w:rPr>
          <w:rFonts w:ascii="Times New Roman" w:hAnsi="Times New Roman" w:eastAsia="仿宋_GB2312"/>
          <w:bCs/>
          <w:color w:val="auto"/>
          <w:sz w:val="24"/>
          <w:szCs w:val="24"/>
          <w:highlight w:val="none"/>
        </w:rPr>
        <w:t>。法定代表人</w:t>
      </w:r>
      <w:r>
        <w:rPr>
          <w:rFonts w:ascii="Times New Roman" w:hAnsi="Times New Roman" w:eastAsia="仿宋_GB2312"/>
          <w:color w:val="auto"/>
          <w:sz w:val="24"/>
          <w:szCs w:val="24"/>
          <w:highlight w:val="none"/>
        </w:rPr>
        <w:t xml:space="preserve">联系方式：          </w:t>
      </w:r>
    </w:p>
    <w:p w14:paraId="6A5D8472">
      <w:pPr>
        <w:widowControl/>
        <w:jc w:val="left"/>
        <w:rPr>
          <w:rFonts w:ascii="Times New Roman" w:hAnsi="Times New Roman" w:eastAsia="仿宋_GB2312"/>
          <w:color w:val="auto"/>
          <w:kern w:val="0"/>
          <w:sz w:val="24"/>
          <w:szCs w:val="24"/>
          <w:highlight w:val="none"/>
        </w:rPr>
      </w:pPr>
    </w:p>
    <w:p w14:paraId="37EA96A6">
      <w:pPr>
        <w:spacing w:line="440" w:lineRule="exact"/>
        <w:ind w:firstLine="595" w:firstLineChars="248"/>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特此证明。</w:t>
      </w:r>
    </w:p>
    <w:p w14:paraId="24808C8A">
      <w:pPr>
        <w:spacing w:line="440" w:lineRule="exact"/>
        <w:ind w:firstLine="475" w:firstLineChars="198"/>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 xml:space="preserve">                                 投标人：</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（公章）</w:t>
      </w:r>
    </w:p>
    <w:p w14:paraId="0A3CF1DD">
      <w:pPr>
        <w:spacing w:line="440" w:lineRule="exact"/>
        <w:ind w:firstLine="475" w:firstLineChars="198"/>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 xml:space="preserve">                                日  期：</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年</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月</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日</w:t>
      </w:r>
    </w:p>
    <w:p w14:paraId="510F6E49">
      <w:pPr>
        <w:spacing w:line="400" w:lineRule="exact"/>
        <w:rPr>
          <w:rFonts w:ascii="Times New Roman" w:hAnsi="Times New Roman"/>
          <w:color w:val="auto"/>
          <w:highlight w:val="none"/>
        </w:rPr>
      </w:pPr>
      <w:r>
        <w:rPr>
          <w:rFonts w:ascii="Times New Roman" w:hAnsi="Times New Roman"/>
          <w:color w:val="auto"/>
          <w:szCs w:val="21"/>
          <w:highlight w:val="none"/>
        </w:rPr>
        <w:t xml:space="preserve">  </w:t>
      </w:r>
    </w:p>
    <w:tbl>
      <w:tblPr>
        <w:tblStyle w:val="29"/>
        <w:tblW w:w="0" w:type="dxa"/>
        <w:jc w:val="center"/>
        <w:tblLayout w:type="fixed"/>
        <w:tblCellMar>
          <w:top w:w="0" w:type="dxa"/>
          <w:left w:w="0" w:type="dxa"/>
          <w:bottom w:w="0" w:type="dxa"/>
          <w:right w:w="0" w:type="dxa"/>
        </w:tblCellMar>
      </w:tblPr>
      <w:tblGrid>
        <w:gridCol w:w="8344"/>
      </w:tblGrid>
      <w:tr w14:paraId="758C679A">
        <w:tblPrEx>
          <w:tblCellMar>
            <w:top w:w="0" w:type="dxa"/>
            <w:left w:w="0" w:type="dxa"/>
            <w:bottom w:w="0" w:type="dxa"/>
            <w:right w:w="0" w:type="dxa"/>
          </w:tblCellMar>
        </w:tblPrEx>
        <w:trPr>
          <w:trHeight w:val="4897" w:hRule="atLeast"/>
          <w:jc w:val="center"/>
        </w:trPr>
        <w:tc>
          <w:tcPr>
            <w:tcW w:w="83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518C2F3">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法定代表人（或经营者/执行事务合伙人/负责人/自然人）身份证影印件 </w:t>
            </w:r>
          </w:p>
        </w:tc>
      </w:tr>
    </w:tbl>
    <w:p w14:paraId="49101D84">
      <w:pPr>
        <w:spacing w:line="400" w:lineRule="exact"/>
        <w:rPr>
          <w:rFonts w:ascii="Times New Roman" w:hAnsi="Times New Roman"/>
          <w:color w:val="auto"/>
          <w:highlight w:val="none"/>
        </w:rPr>
      </w:pPr>
    </w:p>
    <w:p w14:paraId="44B77525">
      <w:pPr>
        <w:rPr>
          <w:rFonts w:ascii="Times New Roman" w:hAnsi="Times New Roman"/>
          <w:color w:val="auto"/>
          <w:highlight w:val="none"/>
        </w:rPr>
      </w:pPr>
    </w:p>
    <w:p w14:paraId="578E3C43">
      <w:pPr>
        <w:spacing w:line="400" w:lineRule="exact"/>
        <w:rPr>
          <w:rFonts w:ascii="Times New Roman" w:hAnsi="Times New Roman"/>
          <w:color w:val="auto"/>
          <w:sz w:val="28"/>
          <w:szCs w:val="28"/>
          <w:highlight w:val="none"/>
        </w:rPr>
      </w:pPr>
      <w:r>
        <w:rPr>
          <w:rFonts w:ascii="Times New Roman" w:hAnsi="Times New Roman"/>
          <w:color w:val="auto"/>
          <w:sz w:val="28"/>
          <w:szCs w:val="28"/>
          <w:highlight w:val="none"/>
        </w:rPr>
        <w:br w:type="page"/>
      </w:r>
    </w:p>
    <w:p w14:paraId="2E3E71CB">
      <w:pPr>
        <w:widowControl/>
        <w:spacing w:line="440" w:lineRule="exact"/>
        <w:jc w:val="center"/>
        <w:rPr>
          <w:rFonts w:ascii="Times New Roman" w:hAnsi="Times New Roman"/>
          <w:b/>
          <w:color w:val="auto"/>
          <w:kern w:val="0"/>
          <w:sz w:val="32"/>
          <w:szCs w:val="32"/>
          <w:highlight w:val="none"/>
        </w:rPr>
      </w:pPr>
    </w:p>
    <w:p w14:paraId="46663B82">
      <w:pPr>
        <w:spacing w:before="240" w:after="240"/>
        <w:jc w:val="center"/>
        <w:rPr>
          <w:rFonts w:ascii="Times New Roman" w:hAnsi="Times New Roman"/>
          <w:b/>
          <w:color w:val="auto"/>
          <w:sz w:val="32"/>
          <w:szCs w:val="32"/>
          <w:highlight w:val="none"/>
        </w:rPr>
      </w:pPr>
      <w:r>
        <w:rPr>
          <w:rFonts w:ascii="Times New Roman" w:hAnsi="Times New Roman"/>
          <w:b/>
          <w:color w:val="auto"/>
          <w:kern w:val="0"/>
          <w:sz w:val="32"/>
          <w:szCs w:val="32"/>
          <w:highlight w:val="none"/>
        </w:rPr>
        <w:t>四</w:t>
      </w:r>
      <w:r>
        <w:rPr>
          <w:rFonts w:hint="eastAsia" w:ascii="Times New Roman" w:hAnsi="Times New Roman"/>
          <w:b/>
          <w:color w:val="auto"/>
          <w:kern w:val="0"/>
          <w:sz w:val="32"/>
          <w:szCs w:val="32"/>
          <w:highlight w:val="none"/>
        </w:rPr>
        <w:t>、</w:t>
      </w:r>
      <w:r>
        <w:rPr>
          <w:rFonts w:ascii="Times New Roman" w:hAnsi="Times New Roman"/>
          <w:b/>
          <w:color w:val="auto"/>
          <w:sz w:val="32"/>
          <w:szCs w:val="32"/>
          <w:highlight w:val="none"/>
        </w:rPr>
        <w:t>反商业贿赂承诺书</w:t>
      </w:r>
    </w:p>
    <w:p w14:paraId="58E8A2DA">
      <w:pPr>
        <w:widowControl/>
        <w:jc w:val="left"/>
        <w:rPr>
          <w:rFonts w:ascii="Times New Roman" w:hAnsi="Times New Roman"/>
          <w:color w:val="auto"/>
          <w:kern w:val="0"/>
          <w:sz w:val="24"/>
          <w:szCs w:val="24"/>
          <w:highlight w:val="none"/>
        </w:rPr>
      </w:pPr>
    </w:p>
    <w:p w14:paraId="06B2110A">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为了从源头上防治腐败，杜绝商业贿赂行为的发生，更好地配合乌鲁木齐市公共资源交易中心（乌鲁木齐市政府采购中心）的工作，我们供应商承诺如下：</w:t>
      </w:r>
    </w:p>
    <w:p w14:paraId="520392A0">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1、不以各种名义给乌鲁木齐市公共资源交易中心（乌鲁木齐市政府采购中心）工作人员借或送现金、有价证券及物品。</w:t>
      </w:r>
    </w:p>
    <w:p w14:paraId="0A11DC01">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2、不以个人名义邀请乌鲁木齐市公共资源交易中心（乌鲁木齐市政府采购中心）工作人员参与考察旅游活动和宴请活动。</w:t>
      </w:r>
    </w:p>
    <w:p w14:paraId="4C6F304E">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3、不发生与采购事项有关的其他违规违纪行为。</w:t>
      </w:r>
    </w:p>
    <w:p w14:paraId="674738F4">
      <w:pPr>
        <w:widowControl/>
        <w:spacing w:line="440" w:lineRule="exact"/>
        <w:ind w:firstLine="480" w:firstLineChars="20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如违反其中一项，同意乌鲁木齐市公共资源交易中心（乌鲁木齐市政府采购中心）将我公司列入政府采购黑名单并终止投标资格，今后不得参与乌鲁木齐市政府采购活动，触犯法律由司法部门处理。</w:t>
      </w:r>
    </w:p>
    <w:p w14:paraId="341A77EC">
      <w:pPr>
        <w:widowControl/>
        <w:spacing w:line="440" w:lineRule="exact"/>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 xml:space="preserve">                 </w:t>
      </w:r>
    </w:p>
    <w:p w14:paraId="4DA2911A">
      <w:pPr>
        <w:widowControl/>
        <w:spacing w:line="440" w:lineRule="exact"/>
        <w:jc w:val="left"/>
        <w:rPr>
          <w:rFonts w:ascii="Times New Roman" w:hAnsi="Times New Roman" w:eastAsia="仿宋_GB2312"/>
          <w:color w:val="auto"/>
          <w:kern w:val="0"/>
          <w:sz w:val="24"/>
          <w:szCs w:val="24"/>
          <w:highlight w:val="none"/>
        </w:rPr>
      </w:pPr>
    </w:p>
    <w:p w14:paraId="2582280F">
      <w:pPr>
        <w:widowControl/>
        <w:spacing w:line="440" w:lineRule="exact"/>
        <w:jc w:val="left"/>
        <w:rPr>
          <w:rFonts w:ascii="Times New Roman" w:hAnsi="Times New Roman" w:eastAsia="仿宋_GB2312"/>
          <w:color w:val="auto"/>
          <w:kern w:val="0"/>
          <w:sz w:val="24"/>
          <w:szCs w:val="24"/>
          <w:highlight w:val="none"/>
        </w:rPr>
      </w:pPr>
    </w:p>
    <w:p w14:paraId="73FD7637">
      <w:pPr>
        <w:widowControl/>
        <w:spacing w:line="440" w:lineRule="exact"/>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2CE44BBA">
      <w:pPr>
        <w:widowControl/>
        <w:spacing w:line="440" w:lineRule="exact"/>
        <w:ind w:right="120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日  期：</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年</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月</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日</w:t>
      </w:r>
    </w:p>
    <w:p w14:paraId="373789AB">
      <w:pPr>
        <w:widowControl/>
        <w:spacing w:line="440" w:lineRule="exact"/>
        <w:jc w:val="left"/>
        <w:rPr>
          <w:rFonts w:ascii="Times New Roman" w:hAnsi="Times New Roman" w:eastAsia="仿宋_GB2312"/>
          <w:color w:val="auto"/>
          <w:kern w:val="0"/>
          <w:sz w:val="24"/>
          <w:szCs w:val="24"/>
          <w:highlight w:val="none"/>
        </w:rPr>
      </w:pPr>
    </w:p>
    <w:p w14:paraId="2C481B50">
      <w:pPr>
        <w:widowControl/>
        <w:spacing w:line="440" w:lineRule="exact"/>
        <w:jc w:val="left"/>
        <w:rPr>
          <w:rFonts w:ascii="Times New Roman" w:hAnsi="Times New Roman" w:eastAsia="仿宋_GB2312"/>
          <w:color w:val="auto"/>
          <w:kern w:val="0"/>
          <w:sz w:val="24"/>
          <w:szCs w:val="24"/>
          <w:highlight w:val="none"/>
        </w:rPr>
      </w:pPr>
    </w:p>
    <w:p w14:paraId="060963E0">
      <w:pPr>
        <w:widowControl/>
        <w:spacing w:line="440" w:lineRule="exact"/>
        <w:jc w:val="left"/>
        <w:rPr>
          <w:rFonts w:ascii="Times New Roman" w:hAnsi="Times New Roman" w:eastAsia="仿宋_GB2312"/>
          <w:color w:val="auto"/>
          <w:kern w:val="0"/>
          <w:sz w:val="24"/>
          <w:szCs w:val="24"/>
          <w:highlight w:val="none"/>
        </w:rPr>
      </w:pPr>
    </w:p>
    <w:p w14:paraId="7FF65E68">
      <w:pPr>
        <w:spacing w:line="480" w:lineRule="exact"/>
        <w:rPr>
          <w:rFonts w:ascii="Times New Roman" w:hAnsi="Times New Roman"/>
          <w:b/>
          <w:color w:val="auto"/>
          <w:sz w:val="32"/>
          <w:szCs w:val="32"/>
          <w:highlight w:val="none"/>
        </w:rPr>
      </w:pPr>
      <w:r>
        <w:rPr>
          <w:rFonts w:ascii="Times New Roman" w:hAnsi="Times New Roman" w:eastAsia="Times New Roman"/>
          <w:color w:val="auto"/>
          <w:kern w:val="0"/>
          <w:sz w:val="24"/>
          <w:szCs w:val="24"/>
          <w:highlight w:val="none"/>
        </w:rPr>
        <w:br w:type="page"/>
      </w:r>
    </w:p>
    <w:p w14:paraId="4115F7EB">
      <w:pPr>
        <w:pStyle w:val="37"/>
        <w:rPr>
          <w:color w:val="auto"/>
          <w:highlight w:val="none"/>
        </w:rPr>
      </w:pPr>
    </w:p>
    <w:p w14:paraId="013822EF">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eastAsia="zh-CN"/>
        </w:rPr>
        <w:t>五</w:t>
      </w:r>
      <w:r>
        <w:rPr>
          <w:rFonts w:hint="eastAsia" w:ascii="Times New Roman" w:hAnsi="Times New Roman"/>
          <w:b/>
          <w:color w:val="auto"/>
          <w:sz w:val="32"/>
          <w:szCs w:val="32"/>
          <w:highlight w:val="none"/>
        </w:rPr>
        <w:t>、</w:t>
      </w:r>
      <w:r>
        <w:rPr>
          <w:rFonts w:ascii="Times New Roman" w:hAnsi="Times New Roman"/>
          <w:b/>
          <w:color w:val="auto"/>
          <w:sz w:val="32"/>
          <w:szCs w:val="32"/>
          <w:highlight w:val="none"/>
        </w:rPr>
        <w:t>其他资格审查资料</w:t>
      </w:r>
    </w:p>
    <w:p w14:paraId="30B621FC">
      <w:pPr>
        <w:ind w:firstLine="480" w:firstLineChars="200"/>
        <w:jc w:val="left"/>
        <w:rPr>
          <w:rFonts w:hint="eastAsia"/>
          <w:color w:val="auto"/>
          <w:sz w:val="24"/>
          <w:highlight w:val="none"/>
        </w:rPr>
      </w:pPr>
    </w:p>
    <w:p w14:paraId="0E58A205">
      <w:pPr>
        <w:ind w:firstLine="480" w:firstLineChars="200"/>
        <w:jc w:val="left"/>
        <w:rPr>
          <w:rFonts w:hint="eastAsia"/>
          <w:color w:val="auto"/>
          <w:sz w:val="24"/>
          <w:highlight w:val="none"/>
          <w:lang w:val="en-US" w:eastAsia="zh-CN"/>
        </w:rPr>
      </w:pPr>
      <w:r>
        <w:rPr>
          <w:rFonts w:hint="eastAsia"/>
          <w:color w:val="auto"/>
          <w:sz w:val="24"/>
          <w:highlight w:val="none"/>
          <w:lang w:val="en-US" w:eastAsia="zh-CN"/>
        </w:rPr>
        <w:t>1、须具备有效期内的《基础电信业务经营许可证》（工信部核发）”（含附页），分支机构投标时，使用总公司的《基础电信业务经营许可证》（须提供总公司证书复印件 + 授权书）。</w:t>
      </w:r>
    </w:p>
    <w:p w14:paraId="55872B34">
      <w:pPr>
        <w:ind w:firstLine="480" w:firstLineChars="200"/>
        <w:jc w:val="left"/>
        <w:rPr>
          <w:rFonts w:ascii="Times New Roman" w:hAnsi="Times New Roman"/>
          <w:color w:val="auto"/>
          <w:sz w:val="24"/>
          <w:szCs w:val="24"/>
          <w:highlight w:val="none"/>
        </w:rPr>
      </w:pPr>
      <w:r>
        <w:rPr>
          <w:rFonts w:hint="eastAsia"/>
          <w:color w:val="auto"/>
          <w:sz w:val="24"/>
          <w:highlight w:val="none"/>
          <w:lang w:val="en-US" w:eastAsia="zh-CN"/>
        </w:rPr>
        <w:t>2、</w:t>
      </w:r>
      <w:r>
        <w:rPr>
          <w:color w:val="auto"/>
          <w:sz w:val="24"/>
          <w:highlight w:val="none"/>
        </w:rPr>
        <w:t>其它落实政府采购政策的资格要求</w:t>
      </w:r>
      <w:r>
        <w:rPr>
          <w:color w:val="auto"/>
          <w:sz w:val="24"/>
          <w:szCs w:val="20"/>
          <w:highlight w:val="none"/>
        </w:rPr>
        <w:t>（如有）</w:t>
      </w:r>
      <w:r>
        <w:rPr>
          <w:rFonts w:hint="eastAsia"/>
          <w:color w:val="auto"/>
          <w:sz w:val="24"/>
          <w:szCs w:val="20"/>
          <w:highlight w:val="none"/>
        </w:rPr>
        <w:t>等内容。</w:t>
      </w:r>
    </w:p>
    <w:p w14:paraId="627DF432">
      <w:pPr>
        <w:jc w:val="left"/>
        <w:rPr>
          <w:rFonts w:ascii="Times New Roman" w:hAnsi="Times New Roman"/>
          <w:b/>
          <w:color w:val="auto"/>
          <w:sz w:val="24"/>
          <w:szCs w:val="24"/>
          <w:highlight w:val="none"/>
        </w:rPr>
      </w:pPr>
    </w:p>
    <w:p w14:paraId="24D313F9">
      <w:pPr>
        <w:jc w:val="left"/>
        <w:rPr>
          <w:rFonts w:ascii="Times New Roman" w:hAnsi="Times New Roman"/>
          <w:b/>
          <w:color w:val="auto"/>
          <w:sz w:val="24"/>
          <w:szCs w:val="24"/>
          <w:highlight w:val="none"/>
        </w:rPr>
      </w:pPr>
    </w:p>
    <w:p w14:paraId="53F5AC6F">
      <w:pPr>
        <w:jc w:val="left"/>
        <w:rPr>
          <w:rFonts w:ascii="Times New Roman" w:hAnsi="Times New Roman"/>
          <w:b/>
          <w:color w:val="auto"/>
          <w:sz w:val="24"/>
          <w:szCs w:val="24"/>
          <w:highlight w:val="none"/>
        </w:rPr>
      </w:pPr>
    </w:p>
    <w:p w14:paraId="702882E5">
      <w:pPr>
        <w:jc w:val="left"/>
        <w:rPr>
          <w:rFonts w:ascii="Times New Roman" w:hAnsi="Times New Roman"/>
          <w:b/>
          <w:color w:val="auto"/>
          <w:sz w:val="24"/>
          <w:szCs w:val="24"/>
          <w:highlight w:val="none"/>
        </w:rPr>
      </w:pPr>
    </w:p>
    <w:p w14:paraId="7E69F575">
      <w:pPr>
        <w:jc w:val="left"/>
        <w:rPr>
          <w:rFonts w:ascii="Times New Roman" w:hAnsi="Times New Roman"/>
          <w:b/>
          <w:color w:val="auto"/>
          <w:sz w:val="24"/>
          <w:szCs w:val="24"/>
          <w:highlight w:val="none"/>
        </w:rPr>
      </w:pPr>
    </w:p>
    <w:p w14:paraId="01D39EF9">
      <w:pPr>
        <w:jc w:val="left"/>
        <w:rPr>
          <w:rFonts w:ascii="Times New Roman" w:hAnsi="Times New Roman"/>
          <w:b/>
          <w:color w:val="auto"/>
          <w:sz w:val="24"/>
          <w:szCs w:val="24"/>
          <w:highlight w:val="none"/>
        </w:rPr>
      </w:pPr>
    </w:p>
    <w:p w14:paraId="61E867DA">
      <w:pPr>
        <w:jc w:val="left"/>
        <w:rPr>
          <w:rFonts w:ascii="Times New Roman" w:hAnsi="Times New Roman"/>
          <w:b/>
          <w:color w:val="auto"/>
          <w:sz w:val="24"/>
          <w:szCs w:val="24"/>
          <w:highlight w:val="none"/>
        </w:rPr>
      </w:pPr>
    </w:p>
    <w:p w14:paraId="5CF6225B">
      <w:pPr>
        <w:jc w:val="left"/>
        <w:rPr>
          <w:rFonts w:ascii="Times New Roman" w:hAnsi="Times New Roman"/>
          <w:b/>
          <w:color w:val="auto"/>
          <w:sz w:val="24"/>
          <w:szCs w:val="24"/>
          <w:highlight w:val="none"/>
        </w:rPr>
      </w:pPr>
    </w:p>
    <w:p w14:paraId="48FACEEE">
      <w:pPr>
        <w:jc w:val="left"/>
        <w:rPr>
          <w:rFonts w:ascii="Times New Roman" w:hAnsi="Times New Roman"/>
          <w:b/>
          <w:color w:val="auto"/>
          <w:sz w:val="24"/>
          <w:szCs w:val="24"/>
          <w:highlight w:val="none"/>
        </w:rPr>
      </w:pPr>
    </w:p>
    <w:p w14:paraId="0996FAE2">
      <w:pPr>
        <w:jc w:val="left"/>
        <w:rPr>
          <w:rFonts w:ascii="Times New Roman" w:hAnsi="Times New Roman"/>
          <w:b/>
          <w:color w:val="auto"/>
          <w:sz w:val="24"/>
          <w:szCs w:val="24"/>
          <w:highlight w:val="none"/>
        </w:rPr>
      </w:pPr>
    </w:p>
    <w:p w14:paraId="0AC69428">
      <w:pPr>
        <w:jc w:val="left"/>
        <w:rPr>
          <w:rFonts w:ascii="Times New Roman" w:hAnsi="Times New Roman"/>
          <w:b/>
          <w:color w:val="auto"/>
          <w:sz w:val="24"/>
          <w:szCs w:val="24"/>
          <w:highlight w:val="none"/>
        </w:rPr>
      </w:pPr>
    </w:p>
    <w:p w14:paraId="04EF018D">
      <w:pPr>
        <w:jc w:val="left"/>
        <w:rPr>
          <w:rFonts w:ascii="Times New Roman" w:hAnsi="Times New Roman"/>
          <w:b/>
          <w:color w:val="auto"/>
          <w:sz w:val="24"/>
          <w:szCs w:val="24"/>
          <w:highlight w:val="none"/>
        </w:rPr>
      </w:pPr>
    </w:p>
    <w:p w14:paraId="4B3003BC">
      <w:pPr>
        <w:jc w:val="left"/>
        <w:rPr>
          <w:rFonts w:ascii="Times New Roman" w:hAnsi="Times New Roman"/>
          <w:b/>
          <w:color w:val="auto"/>
          <w:sz w:val="24"/>
          <w:szCs w:val="24"/>
          <w:highlight w:val="none"/>
        </w:rPr>
      </w:pPr>
    </w:p>
    <w:p w14:paraId="73CE2FC7">
      <w:pPr>
        <w:jc w:val="left"/>
        <w:rPr>
          <w:rFonts w:ascii="Times New Roman" w:hAnsi="Times New Roman"/>
          <w:b/>
          <w:color w:val="auto"/>
          <w:sz w:val="24"/>
          <w:szCs w:val="24"/>
          <w:highlight w:val="none"/>
        </w:rPr>
      </w:pPr>
    </w:p>
    <w:p w14:paraId="01037281">
      <w:pPr>
        <w:jc w:val="left"/>
        <w:rPr>
          <w:rFonts w:ascii="Times New Roman" w:hAnsi="Times New Roman"/>
          <w:b/>
          <w:color w:val="auto"/>
          <w:sz w:val="24"/>
          <w:szCs w:val="24"/>
          <w:highlight w:val="none"/>
        </w:rPr>
      </w:pPr>
    </w:p>
    <w:p w14:paraId="56C41F8D">
      <w:pPr>
        <w:jc w:val="left"/>
        <w:rPr>
          <w:rFonts w:ascii="Times New Roman" w:hAnsi="Times New Roman"/>
          <w:b/>
          <w:color w:val="auto"/>
          <w:sz w:val="24"/>
          <w:szCs w:val="24"/>
          <w:highlight w:val="none"/>
        </w:rPr>
      </w:pPr>
    </w:p>
    <w:p w14:paraId="20AB0AFF">
      <w:pPr>
        <w:jc w:val="left"/>
        <w:rPr>
          <w:rFonts w:ascii="Times New Roman" w:hAnsi="Times New Roman"/>
          <w:b/>
          <w:color w:val="auto"/>
          <w:sz w:val="24"/>
          <w:szCs w:val="24"/>
          <w:highlight w:val="none"/>
        </w:rPr>
      </w:pPr>
    </w:p>
    <w:p w14:paraId="77E381FC">
      <w:pPr>
        <w:jc w:val="left"/>
        <w:rPr>
          <w:rFonts w:ascii="Times New Roman" w:hAnsi="Times New Roman"/>
          <w:b/>
          <w:color w:val="auto"/>
          <w:sz w:val="24"/>
          <w:szCs w:val="24"/>
          <w:highlight w:val="none"/>
        </w:rPr>
      </w:pPr>
    </w:p>
    <w:p w14:paraId="717D0256">
      <w:pPr>
        <w:jc w:val="left"/>
        <w:rPr>
          <w:rFonts w:ascii="Times New Roman" w:hAnsi="Times New Roman"/>
          <w:b/>
          <w:color w:val="auto"/>
          <w:sz w:val="24"/>
          <w:szCs w:val="24"/>
          <w:highlight w:val="none"/>
        </w:rPr>
      </w:pPr>
    </w:p>
    <w:p w14:paraId="41769176">
      <w:pPr>
        <w:jc w:val="left"/>
        <w:rPr>
          <w:rFonts w:ascii="Times New Roman" w:hAnsi="Times New Roman"/>
          <w:b/>
          <w:color w:val="auto"/>
          <w:sz w:val="24"/>
          <w:szCs w:val="24"/>
          <w:highlight w:val="none"/>
        </w:rPr>
      </w:pPr>
    </w:p>
    <w:p w14:paraId="274246D6">
      <w:pPr>
        <w:adjustRightInd w:val="0"/>
        <w:snapToGrid w:val="0"/>
        <w:spacing w:line="440" w:lineRule="exact"/>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投标人：</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（公章）</w:t>
      </w:r>
    </w:p>
    <w:p w14:paraId="2097683A">
      <w:pPr>
        <w:adjustRightInd w:val="0"/>
        <w:snapToGrid w:val="0"/>
        <w:spacing w:line="440" w:lineRule="exact"/>
        <w:ind w:right="960"/>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日  期：</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年</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月</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日</w:t>
      </w:r>
    </w:p>
    <w:p w14:paraId="12FA6ACC">
      <w:pPr>
        <w:jc w:val="left"/>
        <w:rPr>
          <w:rFonts w:ascii="Times New Roman" w:hAnsi="Times New Roman"/>
          <w:b/>
          <w:color w:val="auto"/>
          <w:highlight w:val="none"/>
        </w:rPr>
      </w:pPr>
    </w:p>
    <w:p w14:paraId="64EDFD75">
      <w:pPr>
        <w:jc w:val="left"/>
        <w:rPr>
          <w:rFonts w:ascii="Times New Roman" w:hAnsi="Times New Roman"/>
          <w:b/>
          <w:color w:val="auto"/>
          <w:highlight w:val="none"/>
        </w:rPr>
      </w:pPr>
    </w:p>
    <w:p w14:paraId="01FD0D06">
      <w:pPr>
        <w:jc w:val="left"/>
        <w:rPr>
          <w:rFonts w:ascii="Times New Roman" w:hAnsi="Times New Roman"/>
          <w:b/>
          <w:color w:val="auto"/>
          <w:highlight w:val="none"/>
        </w:rPr>
      </w:pPr>
    </w:p>
    <w:p w14:paraId="4FF830B9">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p>
    <w:p w14:paraId="11B8DE0F">
      <w:pPr>
        <w:widowControl/>
        <w:spacing w:line="440" w:lineRule="exact"/>
        <w:jc w:val="left"/>
        <w:rPr>
          <w:rFonts w:ascii="Times New Roman" w:hAnsi="Times New Roman" w:eastAsia="Times New Roman"/>
          <w:color w:val="auto"/>
          <w:kern w:val="0"/>
          <w:sz w:val="24"/>
          <w:szCs w:val="24"/>
          <w:highlight w:val="none"/>
        </w:rPr>
      </w:pPr>
    </w:p>
    <w:p w14:paraId="73D417C4">
      <w:pPr>
        <w:spacing w:before="240" w:after="240"/>
        <w:rPr>
          <w:rFonts w:ascii="Times New Roman" w:hAnsi="Times New Roman" w:eastAsia="华文中宋"/>
          <w:color w:val="auto"/>
          <w:sz w:val="84"/>
          <w:szCs w:val="84"/>
          <w:highlight w:val="none"/>
        </w:rPr>
      </w:pPr>
    </w:p>
    <w:p w14:paraId="26BE4838">
      <w:pPr>
        <w:jc w:val="center"/>
        <w:rPr>
          <w:rFonts w:ascii="Times New Roman" w:hAnsi="Times New Roman"/>
          <w:b/>
          <w:bCs/>
          <w:color w:val="auto"/>
          <w:highlight w:val="none"/>
        </w:rPr>
      </w:pPr>
      <w:r>
        <w:rPr>
          <w:rFonts w:ascii="Times New Roman" w:hAnsi="Times New Roman"/>
          <w:b/>
          <w:bCs/>
          <w:color w:val="auto"/>
          <w:sz w:val="84"/>
          <w:szCs w:val="84"/>
          <w:highlight w:val="none"/>
        </w:rPr>
        <w:t>投 标 文 件</w:t>
      </w:r>
      <w:r>
        <w:rPr>
          <w:rFonts w:ascii="Times New Roman" w:hAnsi="Times New Roman"/>
          <w:b/>
          <w:bCs/>
          <w:color w:val="auto"/>
          <w:szCs w:val="21"/>
          <w:highlight w:val="none"/>
        </w:rPr>
        <w:t xml:space="preserve"> </w:t>
      </w:r>
    </w:p>
    <w:p w14:paraId="718E937D">
      <w:pPr>
        <w:spacing w:before="312"/>
        <w:jc w:val="center"/>
        <w:rPr>
          <w:rFonts w:ascii="Times New Roman" w:hAnsi="Times New Roman"/>
          <w:b/>
          <w:bCs/>
          <w:color w:val="auto"/>
          <w:highlight w:val="none"/>
        </w:rPr>
      </w:pPr>
      <w:r>
        <w:rPr>
          <w:rFonts w:ascii="Times New Roman" w:hAnsi="Times New Roman"/>
          <w:b/>
          <w:bCs/>
          <w:color w:val="auto"/>
          <w:sz w:val="44"/>
          <w:szCs w:val="44"/>
          <w:highlight w:val="none"/>
        </w:rPr>
        <w:t>(报价响应文件)</w:t>
      </w:r>
      <w:r>
        <w:rPr>
          <w:rFonts w:ascii="Times New Roman" w:hAnsi="Times New Roman"/>
          <w:b/>
          <w:bCs/>
          <w:color w:val="auto"/>
          <w:szCs w:val="21"/>
          <w:highlight w:val="none"/>
        </w:rPr>
        <w:t xml:space="preserve"> </w:t>
      </w:r>
    </w:p>
    <w:p w14:paraId="339237CF">
      <w:pPr>
        <w:rPr>
          <w:rFonts w:ascii="Times New Roman" w:hAnsi="Times New Roman"/>
          <w:color w:val="auto"/>
          <w:highlight w:val="none"/>
        </w:rPr>
      </w:pPr>
      <w:r>
        <w:rPr>
          <w:rFonts w:ascii="Times New Roman" w:hAnsi="Times New Roman"/>
          <w:color w:val="auto"/>
          <w:szCs w:val="21"/>
          <w:highlight w:val="none"/>
        </w:rPr>
        <w:t xml:space="preserve">  </w:t>
      </w:r>
    </w:p>
    <w:p w14:paraId="354203B0">
      <w:pPr>
        <w:rPr>
          <w:rFonts w:ascii="Times New Roman" w:hAnsi="Times New Roman"/>
          <w:color w:val="auto"/>
          <w:sz w:val="32"/>
          <w:szCs w:val="32"/>
          <w:highlight w:val="none"/>
        </w:rPr>
      </w:pPr>
    </w:p>
    <w:p w14:paraId="6ACF1EF9">
      <w:pPr>
        <w:rPr>
          <w:rFonts w:ascii="Times New Roman" w:hAnsi="Times New Roman"/>
          <w:color w:val="auto"/>
          <w:sz w:val="32"/>
          <w:szCs w:val="32"/>
          <w:highlight w:val="none"/>
        </w:rPr>
      </w:pPr>
      <w:r>
        <w:rPr>
          <w:rFonts w:ascii="Times New Roman" w:hAnsi="Times New Roman"/>
          <w:color w:val="auto"/>
          <w:sz w:val="32"/>
          <w:szCs w:val="32"/>
          <w:highlight w:val="none"/>
        </w:rPr>
        <w:t> </w:t>
      </w:r>
    </w:p>
    <w:p w14:paraId="378C16AC">
      <w:pPr>
        <w:rPr>
          <w:rFonts w:ascii="Times New Roman" w:hAnsi="Times New Roman"/>
          <w:color w:val="auto"/>
          <w:highlight w:val="none"/>
        </w:rPr>
      </w:pPr>
      <w:r>
        <w:rPr>
          <w:rFonts w:ascii="Times New Roman" w:hAnsi="Times New Roman"/>
          <w:color w:val="auto"/>
          <w:sz w:val="32"/>
          <w:szCs w:val="32"/>
          <w:highlight w:val="none"/>
        </w:rPr>
        <w:t>                   </w:t>
      </w:r>
      <w:r>
        <w:rPr>
          <w:rFonts w:ascii="Times New Roman" w:hAnsi="Times New Roman"/>
          <w:color w:val="auto"/>
          <w:szCs w:val="21"/>
          <w:highlight w:val="none"/>
        </w:rPr>
        <w:t xml:space="preserve"> </w:t>
      </w:r>
    </w:p>
    <w:p w14:paraId="51346C27">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项目名称：  </w:t>
      </w:r>
      <w:r>
        <w:rPr>
          <w:rFonts w:ascii="Times New Roman" w:hAnsi="Times New Roman"/>
          <w:color w:val="auto"/>
          <w:szCs w:val="21"/>
          <w:highlight w:val="none"/>
        </w:rPr>
        <w:t xml:space="preserve"> </w:t>
      </w:r>
    </w:p>
    <w:p w14:paraId="51C1FFD2">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项目编号：</w:t>
      </w:r>
      <w:r>
        <w:rPr>
          <w:rFonts w:ascii="Times New Roman" w:hAnsi="Times New Roman"/>
          <w:color w:val="auto"/>
          <w:szCs w:val="21"/>
          <w:highlight w:val="none"/>
        </w:rPr>
        <w:t xml:space="preserve"> </w:t>
      </w:r>
    </w:p>
    <w:p w14:paraId="16A4DEFF">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11659629">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1D004F5E">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44742A7C">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00DDD0F0">
      <w:pPr>
        <w:ind w:firstLine="1500"/>
        <w:rPr>
          <w:rFonts w:ascii="Times New Roman" w:hAnsi="Times New Roman"/>
          <w:color w:val="auto"/>
          <w:szCs w:val="21"/>
          <w:highlight w:val="none"/>
        </w:rPr>
      </w:pPr>
    </w:p>
    <w:p w14:paraId="40C735C6">
      <w:pPr>
        <w:ind w:firstLine="1500"/>
        <w:rPr>
          <w:rFonts w:ascii="Times New Roman" w:hAnsi="Times New Roman"/>
          <w:color w:val="auto"/>
          <w:szCs w:val="21"/>
          <w:highlight w:val="none"/>
        </w:rPr>
      </w:pPr>
    </w:p>
    <w:p w14:paraId="6C8EA8B0">
      <w:pPr>
        <w:ind w:firstLine="1500"/>
        <w:rPr>
          <w:rFonts w:ascii="Times New Roman" w:hAnsi="Times New Roman"/>
          <w:color w:val="auto"/>
          <w:szCs w:val="21"/>
          <w:highlight w:val="none"/>
        </w:rPr>
      </w:pPr>
    </w:p>
    <w:p w14:paraId="37856701">
      <w:pPr>
        <w:ind w:firstLine="1500"/>
        <w:rPr>
          <w:rFonts w:ascii="Times New Roman" w:hAnsi="Times New Roman"/>
          <w:color w:val="auto"/>
          <w:highlight w:val="none"/>
        </w:rPr>
      </w:pPr>
    </w:p>
    <w:p w14:paraId="1D475AF4">
      <w:pPr>
        <w:ind w:firstLine="1500"/>
        <w:rPr>
          <w:rFonts w:ascii="Times New Roman" w:hAnsi="Times New Roman"/>
          <w:color w:val="auto"/>
          <w:highlight w:val="none"/>
        </w:rPr>
      </w:pPr>
    </w:p>
    <w:p w14:paraId="1D391EC9">
      <w:pPr>
        <w:ind w:firstLine="1500"/>
        <w:rPr>
          <w:rFonts w:ascii="Times New Roman" w:hAnsi="Times New Roman"/>
          <w:color w:val="auto"/>
          <w:highlight w:val="none"/>
        </w:rPr>
      </w:pPr>
    </w:p>
    <w:p w14:paraId="03559565">
      <w:pPr>
        <w:ind w:firstLine="1500"/>
        <w:rPr>
          <w:rFonts w:ascii="Times New Roman" w:hAnsi="Times New Roman"/>
          <w:color w:val="auto"/>
          <w:highlight w:val="none"/>
        </w:rPr>
      </w:pPr>
    </w:p>
    <w:p w14:paraId="2CC29582">
      <w:pPr>
        <w:rPr>
          <w:rFonts w:ascii="Times New Roman" w:hAnsi="Times New Roman"/>
          <w:color w:val="auto"/>
          <w:highlight w:val="none"/>
        </w:rPr>
      </w:pPr>
    </w:p>
    <w:p w14:paraId="40DD0647">
      <w:pPr>
        <w:ind w:firstLine="1500"/>
        <w:rPr>
          <w:rFonts w:ascii="Times New Roman" w:hAnsi="Times New Roman"/>
          <w:color w:val="auto"/>
          <w:highlight w:val="none"/>
        </w:rPr>
      </w:pPr>
    </w:p>
    <w:p w14:paraId="65CE4FC9">
      <w:pPr>
        <w:rPr>
          <w:rFonts w:ascii="Times New Roman" w:hAnsi="Times New Roman"/>
          <w:color w:val="auto"/>
          <w:highlight w:val="none"/>
        </w:rPr>
      </w:pPr>
      <w:r>
        <w:rPr>
          <w:rFonts w:ascii="Times New Roman" w:hAnsi="Times New Roman"/>
          <w:color w:val="auto"/>
          <w:szCs w:val="21"/>
          <w:highlight w:val="none"/>
        </w:rPr>
        <w:t xml:space="preserve">  </w:t>
      </w:r>
    </w:p>
    <w:p w14:paraId="754651EC">
      <w:pPr>
        <w:ind w:firstLine="1767" w:firstLineChars="550"/>
        <w:rPr>
          <w:rFonts w:ascii="Times New Roman" w:hAnsi="Times New Roman"/>
          <w:b/>
          <w:color w:val="auto"/>
          <w:highlight w:val="none"/>
        </w:rPr>
      </w:pPr>
      <w:r>
        <w:rPr>
          <w:rFonts w:ascii="Times New Roman" w:hAnsi="Times New Roman"/>
          <w:b/>
          <w:color w:val="auto"/>
          <w:sz w:val="32"/>
          <w:szCs w:val="32"/>
          <w:highlight w:val="none"/>
        </w:rPr>
        <w:t>投标人：__________________________</w:t>
      </w:r>
      <w:r>
        <w:rPr>
          <w:rFonts w:ascii="Times New Roman" w:hAnsi="Times New Roman"/>
          <w:b/>
          <w:color w:val="auto"/>
          <w:szCs w:val="21"/>
          <w:highlight w:val="none"/>
        </w:rPr>
        <w:t xml:space="preserve"> </w:t>
      </w:r>
    </w:p>
    <w:p w14:paraId="0A0E9ED5">
      <w:pPr>
        <w:ind w:firstLine="4800"/>
        <w:rPr>
          <w:rFonts w:ascii="Times New Roman" w:hAnsi="Times New Roman"/>
          <w:b/>
          <w:color w:val="auto"/>
          <w:highlight w:val="none"/>
        </w:rPr>
      </w:pPr>
      <w:r>
        <w:rPr>
          <w:rFonts w:ascii="Times New Roman" w:hAnsi="Times New Roman"/>
          <w:b/>
          <w:color w:val="auto"/>
          <w:szCs w:val="21"/>
          <w:highlight w:val="none"/>
        </w:rPr>
        <w:t xml:space="preserve">    </w:t>
      </w:r>
    </w:p>
    <w:p w14:paraId="5864082C">
      <w:pPr>
        <w:ind w:firstLine="4800"/>
        <w:rPr>
          <w:rFonts w:ascii="Times New Roman" w:hAnsi="Times New Roman"/>
          <w:b/>
          <w:color w:val="auto"/>
          <w:sz w:val="32"/>
          <w:szCs w:val="32"/>
          <w:highlight w:val="none"/>
        </w:rPr>
      </w:pPr>
      <w:r>
        <w:rPr>
          <w:rFonts w:ascii="Times New Roman" w:hAnsi="Times New Roman"/>
          <w:b/>
          <w:color w:val="auto"/>
          <w:szCs w:val="21"/>
          <w:highlight w:val="none"/>
        </w:rPr>
        <w:t xml:space="preserve">  </w:t>
      </w:r>
    </w:p>
    <w:p w14:paraId="559144A1">
      <w:pPr>
        <w:ind w:firstLine="4176" w:firstLineChars="1300"/>
        <w:rPr>
          <w:rFonts w:ascii="Times New Roman" w:hAnsi="Times New Roman"/>
          <w:b/>
          <w:color w:val="auto"/>
          <w:highlight w:val="none"/>
        </w:rPr>
      </w:pPr>
      <w:r>
        <w:rPr>
          <w:rFonts w:ascii="Times New Roman" w:hAnsi="Times New Roman"/>
          <w:b/>
          <w:color w:val="auto"/>
          <w:sz w:val="32"/>
          <w:szCs w:val="32"/>
          <w:highlight w:val="none"/>
        </w:rPr>
        <w:t>年   月   日</w:t>
      </w:r>
      <w:r>
        <w:rPr>
          <w:rFonts w:ascii="Times New Roman" w:hAnsi="Times New Roman"/>
          <w:b/>
          <w:color w:val="auto"/>
          <w:szCs w:val="21"/>
          <w:highlight w:val="none"/>
        </w:rPr>
        <w:t xml:space="preserve"> </w:t>
      </w:r>
    </w:p>
    <w:p w14:paraId="461902C2">
      <w:pPr>
        <w:widowControl/>
        <w:jc w:val="left"/>
        <w:rPr>
          <w:rFonts w:ascii="Times New Roman" w:hAnsi="Times New Roman" w:eastAsia="Times New Roman"/>
          <w:color w:val="auto"/>
          <w:kern w:val="0"/>
          <w:sz w:val="28"/>
          <w:szCs w:val="28"/>
          <w:highlight w:val="none"/>
        </w:rPr>
      </w:pPr>
    </w:p>
    <w:p w14:paraId="0D2DFCFA">
      <w:pPr>
        <w:widowControl/>
        <w:jc w:val="center"/>
        <w:rPr>
          <w:rFonts w:ascii="Times New Roman" w:hAnsi="Times New Roman"/>
          <w:b/>
          <w:color w:val="auto"/>
          <w:kern w:val="0"/>
          <w:sz w:val="32"/>
          <w:szCs w:val="32"/>
          <w:highlight w:val="none"/>
        </w:rPr>
      </w:pPr>
      <w:r>
        <w:rPr>
          <w:rFonts w:ascii="Times New Roman" w:hAnsi="Times New Roman" w:eastAsia="仿宋_GB2312"/>
          <w:color w:val="auto"/>
          <w:sz w:val="24"/>
          <w:szCs w:val="24"/>
          <w:highlight w:val="none"/>
        </w:rPr>
        <w:t xml:space="preserve"> </w:t>
      </w:r>
      <w:r>
        <w:rPr>
          <w:rFonts w:ascii="Times New Roman" w:hAnsi="Times New Roman"/>
          <w:b/>
          <w:color w:val="auto"/>
          <w:kern w:val="0"/>
          <w:sz w:val="32"/>
          <w:szCs w:val="32"/>
          <w:highlight w:val="none"/>
        </w:rPr>
        <w:t>一、价格表</w:t>
      </w:r>
    </w:p>
    <w:p w14:paraId="39614E24">
      <w:pPr>
        <w:widowControl/>
        <w:spacing w:line="240" w:lineRule="exact"/>
        <w:jc w:val="center"/>
        <w:rPr>
          <w:rFonts w:ascii="Times New Roman" w:hAnsi="Times New Roman"/>
          <w:b/>
          <w:color w:val="auto"/>
          <w:kern w:val="0"/>
          <w:sz w:val="32"/>
          <w:szCs w:val="32"/>
          <w:highlight w:val="none"/>
        </w:rPr>
      </w:pPr>
    </w:p>
    <w:p w14:paraId="0904847B">
      <w:pPr>
        <w:pStyle w:val="2"/>
        <w:rPr>
          <w:color w:val="auto"/>
          <w:highlight w:val="none"/>
        </w:rPr>
      </w:pPr>
    </w:p>
    <w:p w14:paraId="3BA14E1B">
      <w:pPr>
        <w:widowControl/>
        <w:spacing w:line="240" w:lineRule="exact"/>
        <w:jc w:val="center"/>
        <w:rPr>
          <w:rFonts w:ascii="Times New Roman" w:hAnsi="Times New Roman"/>
          <w:b/>
          <w:color w:val="auto"/>
          <w:kern w:val="0"/>
          <w:sz w:val="32"/>
          <w:szCs w:val="32"/>
          <w:highlight w:val="none"/>
        </w:rPr>
      </w:pPr>
    </w:p>
    <w:p w14:paraId="66823F39">
      <w:pPr>
        <w:jc w:val="center"/>
        <w:rPr>
          <w:rFonts w:ascii="Times New Roman" w:hAnsi="Times New Roman"/>
          <w:b/>
          <w:bCs/>
          <w:color w:val="auto"/>
          <w:sz w:val="24"/>
          <w:szCs w:val="24"/>
          <w:highlight w:val="none"/>
        </w:rPr>
      </w:pPr>
      <w:r>
        <w:rPr>
          <w:rFonts w:ascii="Times New Roman" w:hAnsi="Times New Roman"/>
          <w:b/>
          <w:bCs/>
          <w:color w:val="auto"/>
          <w:sz w:val="24"/>
          <w:szCs w:val="24"/>
          <w:highlight w:val="none"/>
        </w:rPr>
        <w:t>（服务类）</w:t>
      </w:r>
    </w:p>
    <w:p w14:paraId="348A150D">
      <w:pPr>
        <w:spacing w:line="400" w:lineRule="exact"/>
        <w:jc w:val="righ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单位：</w:t>
      </w:r>
      <w:r>
        <w:rPr>
          <w:rFonts w:ascii="Times New Roman" w:hAnsi="Times New Roman" w:eastAsia="仿宋_GB2312"/>
          <w:bCs/>
          <w:color w:val="auto"/>
          <w:sz w:val="24"/>
          <w:szCs w:val="24"/>
          <w:highlight w:val="none"/>
        </w:rPr>
        <w:t>人民币/元</w:t>
      </w:r>
      <w:r>
        <w:rPr>
          <w:rFonts w:ascii="Times New Roman" w:hAnsi="Times New Roman" w:eastAsia="仿宋_GB2312"/>
          <w:color w:val="auto"/>
          <w:sz w:val="24"/>
          <w:szCs w:val="24"/>
          <w:highlight w:val="none"/>
        </w:rPr>
        <w:t xml:space="preserve"> </w:t>
      </w:r>
    </w:p>
    <w:tbl>
      <w:tblPr>
        <w:tblStyle w:val="29"/>
        <w:tblW w:w="952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55"/>
        <w:gridCol w:w="4333"/>
        <w:gridCol w:w="1397"/>
        <w:gridCol w:w="2235"/>
      </w:tblGrid>
      <w:tr w14:paraId="507F9E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67E3C061">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项目名称 </w:t>
            </w:r>
          </w:p>
        </w:tc>
        <w:tc>
          <w:tcPr>
            <w:tcW w:w="4333"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670B26CE">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1397" w:type="dxa"/>
            <w:tcBorders>
              <w:top w:val="single" w:color="000000" w:sz="8" w:space="0"/>
              <w:left w:val="single" w:color="000000" w:sz="8" w:space="0"/>
              <w:right w:val="single" w:color="000000" w:sz="8" w:space="0"/>
            </w:tcBorders>
            <w:tcMar>
              <w:top w:w="0" w:type="dxa"/>
              <w:left w:w="0" w:type="dxa"/>
              <w:bottom w:w="0" w:type="dxa"/>
              <w:right w:w="0" w:type="dxa"/>
            </w:tcMar>
            <w:vAlign w:val="center"/>
          </w:tcPr>
          <w:p w14:paraId="103B113A">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项目编号 </w:t>
            </w:r>
          </w:p>
        </w:tc>
        <w:tc>
          <w:tcPr>
            <w:tcW w:w="2235" w:type="dxa"/>
            <w:tcBorders>
              <w:top w:val="single" w:color="000000" w:sz="8" w:space="0"/>
              <w:left w:val="single" w:color="000000" w:sz="8" w:space="0"/>
              <w:right w:val="single" w:color="000000" w:sz="8" w:space="0"/>
            </w:tcBorders>
            <w:tcMar>
              <w:top w:w="0" w:type="dxa"/>
              <w:left w:w="0" w:type="dxa"/>
              <w:bottom w:w="0" w:type="dxa"/>
              <w:right w:w="0" w:type="dxa"/>
            </w:tcMar>
            <w:vAlign w:val="center"/>
          </w:tcPr>
          <w:p w14:paraId="16BF1D95">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059A4C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35710E0F">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标的名称</w:t>
            </w:r>
          </w:p>
        </w:tc>
        <w:tc>
          <w:tcPr>
            <w:tcW w:w="4333"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2DA43CB2">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1397"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5D3CDFAF">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所属行业</w:t>
            </w:r>
          </w:p>
        </w:tc>
        <w:tc>
          <w:tcPr>
            <w:tcW w:w="223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123ECC16">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1D3B6D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3BBB23FB">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服务期限</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1C23844A">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2BF6FC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42FCECAF">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服务范围</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641E641B">
            <w:pPr>
              <w:spacing w:line="400" w:lineRule="exact"/>
              <w:jc w:val="center"/>
              <w:rPr>
                <w:rFonts w:ascii="Times New Roman" w:hAnsi="Times New Roman" w:eastAsia="仿宋_GB2312"/>
                <w:color w:val="auto"/>
                <w:sz w:val="24"/>
                <w:szCs w:val="24"/>
                <w:highlight w:val="none"/>
              </w:rPr>
            </w:pPr>
          </w:p>
        </w:tc>
      </w:tr>
      <w:tr w14:paraId="61551E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7E54FCA4">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服务标准</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4DE4657E">
            <w:pPr>
              <w:spacing w:line="400" w:lineRule="exact"/>
              <w:jc w:val="center"/>
              <w:rPr>
                <w:rFonts w:ascii="Times New Roman" w:hAnsi="Times New Roman" w:eastAsia="仿宋_GB2312"/>
                <w:color w:val="auto"/>
                <w:sz w:val="24"/>
                <w:szCs w:val="24"/>
                <w:highlight w:val="none"/>
              </w:rPr>
            </w:pPr>
          </w:p>
        </w:tc>
      </w:tr>
      <w:tr w14:paraId="704AC6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4E596EE8">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服务要求</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078DD58D">
            <w:pPr>
              <w:spacing w:line="400" w:lineRule="exact"/>
              <w:jc w:val="center"/>
              <w:rPr>
                <w:rFonts w:ascii="Times New Roman" w:hAnsi="Times New Roman" w:eastAsia="仿宋_GB2312"/>
                <w:color w:val="auto"/>
                <w:sz w:val="24"/>
                <w:szCs w:val="24"/>
                <w:highlight w:val="none"/>
              </w:rPr>
            </w:pPr>
          </w:p>
        </w:tc>
      </w:tr>
      <w:tr w14:paraId="6CD050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2D91A097">
            <w:pPr>
              <w:spacing w:line="400" w:lineRule="exact"/>
              <w:jc w:val="center"/>
              <w:rPr>
                <w:rFonts w:hint="eastAsia" w:ascii="Times New Roman" w:hAnsi="Times New Roman" w:eastAsia="仿宋_GB2312"/>
                <w:color w:val="auto"/>
                <w:sz w:val="24"/>
                <w:szCs w:val="24"/>
                <w:highlight w:val="none"/>
                <w:lang w:eastAsia="zh-CN"/>
              </w:rPr>
            </w:pPr>
            <w:r>
              <w:rPr>
                <w:rFonts w:hint="eastAsia" w:ascii="Times New Roman" w:hAnsi="Times New Roman" w:eastAsia="仿宋_GB2312"/>
                <w:color w:val="auto"/>
                <w:sz w:val="24"/>
                <w:szCs w:val="24"/>
                <w:highlight w:val="none"/>
                <w:lang w:eastAsia="zh-CN"/>
              </w:rPr>
              <w:t>项目负责人</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30544F91">
            <w:pPr>
              <w:spacing w:line="400" w:lineRule="exact"/>
              <w:jc w:val="center"/>
              <w:rPr>
                <w:highlight w:val="none"/>
              </w:rPr>
            </w:pPr>
          </w:p>
        </w:tc>
      </w:tr>
      <w:tr w14:paraId="3C7446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14:paraId="7A871FA3">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总报价</w:t>
            </w:r>
            <w:r>
              <w:rPr>
                <w:rFonts w:ascii="Times New Roman" w:hAnsi="Times New Roman" w:eastAsia="仿宋_GB2312"/>
                <w:color w:val="auto"/>
                <w:sz w:val="24"/>
                <w:szCs w:val="24"/>
                <w:highlight w:val="none"/>
              </w:rPr>
              <w:t xml:space="preserve"> </w:t>
            </w:r>
          </w:p>
        </w:tc>
        <w:tc>
          <w:tcPr>
            <w:tcW w:w="7965" w:type="dxa"/>
            <w:gridSpan w:val="3"/>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3C613857">
            <w:pPr>
              <w:spacing w:line="400" w:lineRule="exact"/>
              <w:ind w:firstLine="105"/>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大写：</w:t>
            </w:r>
            <w:r>
              <w:rPr>
                <w:rFonts w:ascii="Times New Roman" w:hAnsi="Times New Roman" w:eastAsia="仿宋_GB2312"/>
                <w:b/>
                <w:bCs/>
                <w:color w:val="auto"/>
                <w:sz w:val="24"/>
                <w:szCs w:val="24"/>
                <w:highlight w:val="none"/>
                <w:u w:val="single"/>
              </w:rPr>
              <w:t>          </w:t>
            </w:r>
            <w:r>
              <w:rPr>
                <w:rFonts w:hint="eastAsia" w:ascii="Times New Roman" w:hAnsi="Times New Roman" w:eastAsia="仿宋_GB2312"/>
                <w:b/>
                <w:bCs/>
                <w:color w:val="auto"/>
                <w:sz w:val="24"/>
                <w:szCs w:val="24"/>
                <w:highlight w:val="none"/>
                <w:u w:val="single"/>
              </w:rPr>
              <w:t xml:space="preserve">                     </w:t>
            </w:r>
            <w:r>
              <w:rPr>
                <w:rFonts w:ascii="Times New Roman" w:hAnsi="Times New Roman" w:eastAsia="仿宋_GB2312"/>
                <w:b/>
                <w:bCs/>
                <w:color w:val="auto"/>
                <w:sz w:val="24"/>
                <w:szCs w:val="24"/>
                <w:highlight w:val="none"/>
                <w:u w:val="single"/>
              </w:rPr>
              <w:t>      </w:t>
            </w:r>
            <w:r>
              <w:rPr>
                <w:rFonts w:ascii="Times New Roman" w:hAnsi="Times New Roman" w:eastAsia="仿宋_GB2312"/>
                <w:b/>
                <w:bCs/>
                <w:color w:val="auto"/>
                <w:sz w:val="24"/>
                <w:szCs w:val="24"/>
                <w:highlight w:val="none"/>
              </w:rPr>
              <w:t xml:space="preserve"> </w:t>
            </w:r>
            <w:r>
              <w:rPr>
                <w:rFonts w:ascii="Times New Roman" w:hAnsi="Times New Roman" w:eastAsia="仿宋_GB2312"/>
                <w:color w:val="auto"/>
                <w:sz w:val="24"/>
                <w:szCs w:val="24"/>
                <w:highlight w:val="none"/>
              </w:rPr>
              <w:t xml:space="preserve"> </w:t>
            </w:r>
          </w:p>
          <w:p w14:paraId="6E48BA9D">
            <w:pPr>
              <w:spacing w:line="400" w:lineRule="exact"/>
              <w:ind w:firstLine="105"/>
              <w:rPr>
                <w:rFonts w:ascii="Times New Roman" w:hAnsi="Times New Roman" w:eastAsia="仿宋_GB2312"/>
                <w:color w:val="auto"/>
                <w:sz w:val="24"/>
                <w:szCs w:val="24"/>
                <w:highlight w:val="none"/>
              </w:rPr>
            </w:pPr>
            <w:r>
              <w:rPr>
                <w:rFonts w:ascii="Times New Roman" w:hAnsi="Times New Roman" w:eastAsia="仿宋_GB2312"/>
                <w:b/>
                <w:bCs/>
                <w:color w:val="auto"/>
                <w:sz w:val="24"/>
                <w:szCs w:val="24"/>
                <w:highlight w:val="none"/>
              </w:rPr>
              <w:t>小写：</w:t>
            </w:r>
            <w:r>
              <w:rPr>
                <w:rFonts w:ascii="Times New Roman" w:hAnsi="Times New Roman" w:eastAsia="仿宋_GB2312"/>
                <w:b/>
                <w:bCs/>
                <w:color w:val="auto"/>
                <w:sz w:val="24"/>
                <w:szCs w:val="24"/>
                <w:highlight w:val="none"/>
                <w:u w:val="single"/>
              </w:rPr>
              <w:t>           </w:t>
            </w:r>
            <w:r>
              <w:rPr>
                <w:rFonts w:hint="eastAsia" w:ascii="Times New Roman" w:hAnsi="Times New Roman" w:eastAsia="仿宋_GB2312"/>
                <w:b/>
                <w:bCs/>
                <w:color w:val="auto"/>
                <w:sz w:val="24"/>
                <w:szCs w:val="24"/>
                <w:highlight w:val="none"/>
                <w:u w:val="single"/>
              </w:rPr>
              <w:t xml:space="preserve">                     </w:t>
            </w:r>
            <w:r>
              <w:rPr>
                <w:rFonts w:ascii="Times New Roman" w:hAnsi="Times New Roman" w:eastAsia="仿宋_GB2312"/>
                <w:b/>
                <w:bCs/>
                <w:color w:val="auto"/>
                <w:sz w:val="24"/>
                <w:szCs w:val="24"/>
                <w:highlight w:val="none"/>
                <w:u w:val="single"/>
              </w:rPr>
              <w:t>     </w:t>
            </w:r>
            <w:r>
              <w:rPr>
                <w:rFonts w:ascii="Times New Roman" w:hAnsi="Times New Roman" w:eastAsia="仿宋_GB2312"/>
                <w:b/>
                <w:bCs/>
                <w:color w:val="auto"/>
                <w:sz w:val="24"/>
                <w:szCs w:val="24"/>
                <w:highlight w:val="none"/>
              </w:rPr>
              <w:t xml:space="preserve"> </w:t>
            </w:r>
            <w:r>
              <w:rPr>
                <w:rFonts w:ascii="Times New Roman" w:hAnsi="Times New Roman" w:eastAsia="仿宋_GB2312"/>
                <w:color w:val="auto"/>
                <w:sz w:val="24"/>
                <w:szCs w:val="24"/>
                <w:highlight w:val="none"/>
              </w:rPr>
              <w:t xml:space="preserve"> </w:t>
            </w:r>
          </w:p>
        </w:tc>
      </w:tr>
      <w:tr w14:paraId="2A2A9D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5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14:paraId="291CFA57">
            <w:pPr>
              <w:spacing w:line="400" w:lineRule="exact"/>
              <w:ind w:left="71"/>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备注</w:t>
            </w:r>
          </w:p>
        </w:tc>
        <w:tc>
          <w:tcPr>
            <w:tcW w:w="7965" w:type="dxa"/>
            <w:gridSpan w:val="3"/>
            <w:tcBorders>
              <w:top w:val="single" w:color="000000" w:sz="8" w:space="0"/>
              <w:left w:val="single" w:color="000000" w:sz="8" w:space="0"/>
              <w:bottom w:val="single" w:color="000000" w:sz="8" w:space="0"/>
              <w:right w:val="single" w:color="000000" w:sz="8" w:space="0"/>
            </w:tcBorders>
          </w:tcPr>
          <w:p w14:paraId="6B6AAA45">
            <w:pPr>
              <w:spacing w:line="400" w:lineRule="exact"/>
              <w:ind w:left="71"/>
              <w:rPr>
                <w:rFonts w:ascii="Times New Roman" w:hAnsi="Times New Roman" w:eastAsia="仿宋_GB2312"/>
                <w:color w:val="auto"/>
                <w:sz w:val="24"/>
                <w:szCs w:val="24"/>
                <w:highlight w:val="none"/>
              </w:rPr>
            </w:pPr>
          </w:p>
        </w:tc>
      </w:tr>
    </w:tbl>
    <w:p w14:paraId="3CA48B5C">
      <w:pPr>
        <w:widowControl/>
        <w:spacing w:line="400" w:lineRule="exact"/>
        <w:jc w:val="right"/>
        <w:rPr>
          <w:rFonts w:ascii="Times New Roman" w:hAnsi="Times New Roman" w:eastAsia="仿宋_GB2312"/>
          <w:color w:val="auto"/>
          <w:kern w:val="0"/>
          <w:sz w:val="24"/>
          <w:szCs w:val="24"/>
          <w:highlight w:val="none"/>
        </w:rPr>
      </w:pPr>
    </w:p>
    <w:p w14:paraId="5A016AE8">
      <w:pPr>
        <w:widowControl/>
        <w:spacing w:line="400" w:lineRule="exact"/>
        <w:jc w:val="right"/>
        <w:rPr>
          <w:rFonts w:ascii="Times New Roman" w:hAnsi="Times New Roman" w:eastAsia="仿宋_GB2312"/>
          <w:color w:val="auto"/>
          <w:kern w:val="0"/>
          <w:sz w:val="24"/>
          <w:szCs w:val="24"/>
          <w:highlight w:val="none"/>
        </w:rPr>
      </w:pPr>
    </w:p>
    <w:p w14:paraId="6A876F91">
      <w:pPr>
        <w:widowControl/>
        <w:spacing w:line="400" w:lineRule="exact"/>
        <w:jc w:val="right"/>
        <w:rPr>
          <w:rFonts w:ascii="Times New Roman" w:hAnsi="Times New Roman" w:eastAsia="仿宋_GB2312"/>
          <w:color w:val="auto"/>
          <w:kern w:val="0"/>
          <w:sz w:val="24"/>
          <w:szCs w:val="24"/>
          <w:highlight w:val="none"/>
        </w:rPr>
      </w:pPr>
    </w:p>
    <w:p w14:paraId="3D5A6B09">
      <w:pPr>
        <w:widowControl/>
        <w:spacing w:line="400" w:lineRule="exact"/>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2B59A078">
      <w:pPr>
        <w:widowControl/>
        <w:wordWrap w:val="0"/>
        <w:jc w:val="right"/>
        <w:rPr>
          <w:rFonts w:ascii="Times New Roman" w:hAnsi="Times New Roman" w:eastAsia="仿宋_GB2312"/>
          <w:b/>
          <w:color w:val="auto"/>
          <w:kern w:val="0"/>
          <w:sz w:val="32"/>
          <w:szCs w:val="32"/>
          <w:highlight w:val="none"/>
        </w:rPr>
      </w:pPr>
      <w:r>
        <w:rPr>
          <w:rFonts w:ascii="Times New Roman" w:hAnsi="Times New Roman" w:eastAsia="仿宋_GB2312"/>
          <w:color w:val="auto"/>
          <w:kern w:val="0"/>
          <w:sz w:val="24"/>
          <w:szCs w:val="24"/>
          <w:highlight w:val="none"/>
        </w:rPr>
        <w:t>日  期：</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年</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月</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日</w:t>
      </w:r>
      <w:r>
        <w:rPr>
          <w:rFonts w:hint="eastAsia" w:ascii="Times New Roman" w:hAnsi="Times New Roman" w:eastAsia="仿宋_GB2312"/>
          <w:color w:val="auto"/>
          <w:kern w:val="0"/>
          <w:sz w:val="24"/>
          <w:szCs w:val="24"/>
          <w:highlight w:val="none"/>
        </w:rPr>
        <w:t xml:space="preserve">    </w:t>
      </w:r>
    </w:p>
    <w:p w14:paraId="2C301784">
      <w:pP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br w:type="page"/>
      </w:r>
    </w:p>
    <w:p w14:paraId="3A4B84CE">
      <w:pPr>
        <w:widowControl/>
        <w:jc w:val="left"/>
        <w:rPr>
          <w:rFonts w:ascii="Times New Roman" w:hAnsi="Times New Roman" w:eastAsia="Times New Roman"/>
          <w:color w:val="auto"/>
          <w:kern w:val="0"/>
          <w:sz w:val="28"/>
          <w:szCs w:val="28"/>
          <w:highlight w:val="none"/>
        </w:rPr>
      </w:pPr>
    </w:p>
    <w:p w14:paraId="57A34CEB">
      <w:pPr>
        <w:jc w:val="center"/>
        <w:rPr>
          <w:rFonts w:ascii="Times New Roman" w:hAnsi="Times New Roman"/>
          <w:b/>
          <w:color w:val="auto"/>
          <w:sz w:val="32"/>
          <w:szCs w:val="32"/>
          <w:highlight w:val="none"/>
        </w:rPr>
      </w:pPr>
      <w:r>
        <w:rPr>
          <w:rFonts w:ascii="Times New Roman" w:hAnsi="Times New Roman"/>
          <w:b/>
          <w:color w:val="auto"/>
          <w:sz w:val="32"/>
          <w:szCs w:val="32"/>
          <w:highlight w:val="none"/>
        </w:rPr>
        <w:t>二、分项价格表</w:t>
      </w:r>
    </w:p>
    <w:p w14:paraId="61B1CCA9">
      <w:pPr>
        <w:ind w:left="416" w:leftChars="198"/>
        <w:rPr>
          <w:rFonts w:ascii="Times New Roman" w:hAnsi="Times New Roman"/>
          <w:b/>
          <w:color w:val="auto"/>
          <w:sz w:val="32"/>
          <w:szCs w:val="32"/>
          <w:highlight w:val="none"/>
        </w:rPr>
      </w:pPr>
    </w:p>
    <w:p w14:paraId="0662E581">
      <w:pPr>
        <w:adjustRightInd w:val="0"/>
        <w:snapToGrid w:val="0"/>
        <w:spacing w:line="400" w:lineRule="exact"/>
        <w:ind w:firstLine="211"/>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项目名称：</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u w:val="single"/>
        </w:rPr>
        <w:t>                              </w:t>
      </w:r>
      <w:r>
        <w:rPr>
          <w:rFonts w:ascii="Times New Roman" w:hAnsi="Times New Roman" w:eastAsia="仿宋_GB2312"/>
          <w:bCs/>
          <w:color w:val="auto"/>
          <w:sz w:val="24"/>
          <w:szCs w:val="24"/>
          <w:highlight w:val="none"/>
        </w:rPr>
        <w:t>项目编号：</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u w:val="single"/>
        </w:rPr>
        <w:t>                        </w:t>
      </w:r>
    </w:p>
    <w:p w14:paraId="16410007">
      <w:pPr>
        <w:adjustRightInd w:val="0"/>
        <w:snapToGrid w:val="0"/>
        <w:spacing w:line="400" w:lineRule="exact"/>
        <w:ind w:firstLine="211"/>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标段名称：</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标段编号：</w:t>
      </w:r>
      <w:r>
        <w:rPr>
          <w:rFonts w:ascii="Times New Roman" w:hAnsi="Times New Roman" w:eastAsia="仿宋_GB2312"/>
          <w:bCs/>
          <w:color w:val="auto"/>
          <w:sz w:val="24"/>
          <w:szCs w:val="24"/>
          <w:highlight w:val="none"/>
          <w:u w:val="single"/>
        </w:rPr>
        <w:t>                        </w:t>
      </w:r>
    </w:p>
    <w:p w14:paraId="2B463B57">
      <w:pPr>
        <w:spacing w:line="360" w:lineRule="atLeast"/>
        <w:ind w:firstLine="7320" w:firstLineChars="3050"/>
        <w:rPr>
          <w:rFonts w:ascii="Times New Roman" w:hAnsi="Times New Roman"/>
          <w:b/>
          <w:bCs/>
          <w:color w:val="auto"/>
          <w:szCs w:val="21"/>
          <w:highlight w:val="none"/>
        </w:rPr>
      </w:pPr>
      <w:r>
        <w:rPr>
          <w:rFonts w:ascii="Times New Roman" w:hAnsi="Times New Roman" w:eastAsia="仿宋_GB2312"/>
          <w:bCs/>
          <w:color w:val="auto"/>
          <w:sz w:val="24"/>
          <w:szCs w:val="24"/>
          <w:highlight w:val="none"/>
        </w:rPr>
        <w:t>单位：人民币/元</w:t>
      </w:r>
    </w:p>
    <w:p w14:paraId="6325020B">
      <w:pPr>
        <w:adjustRightInd w:val="0"/>
        <w:snapToGrid w:val="0"/>
        <w:spacing w:line="400" w:lineRule="exact"/>
        <w:ind w:firstLine="4200" w:firstLineChars="1750"/>
        <w:rPr>
          <w:rFonts w:ascii="Times New Roman" w:hAnsi="Times New Roman" w:eastAsia="仿宋_GB2312"/>
          <w:color w:val="auto"/>
          <w:sz w:val="24"/>
          <w:szCs w:val="24"/>
          <w:highlight w:val="none"/>
        </w:rPr>
      </w:pPr>
    </w:p>
    <w:tbl>
      <w:tblPr>
        <w:tblStyle w:val="29"/>
        <w:tblW w:w="500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77"/>
        <w:gridCol w:w="2291"/>
        <w:gridCol w:w="1043"/>
        <w:gridCol w:w="1867"/>
        <w:gridCol w:w="721"/>
        <w:gridCol w:w="609"/>
        <w:gridCol w:w="1217"/>
        <w:gridCol w:w="1241"/>
      </w:tblGrid>
      <w:tr w14:paraId="56749F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4A1FE84C">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序号</w:t>
            </w:r>
          </w:p>
        </w:tc>
        <w:tc>
          <w:tcPr>
            <w:tcW w:w="1173" w:type="pct"/>
            <w:tcBorders>
              <w:top w:val="single" w:color="000000" w:sz="8" w:space="0"/>
              <w:left w:val="single" w:color="000000" w:sz="8" w:space="0"/>
              <w:bottom w:val="single" w:color="000000" w:sz="8" w:space="0"/>
              <w:right w:val="single" w:color="000000" w:sz="8" w:space="0"/>
            </w:tcBorders>
            <w:vAlign w:val="center"/>
          </w:tcPr>
          <w:p w14:paraId="029CBFF9">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分项</w:t>
            </w:r>
            <w:r>
              <w:rPr>
                <w:rFonts w:hint="eastAsia" w:ascii="Times New Roman" w:hAnsi="Times New Roman" w:eastAsia="仿宋_GB2312"/>
                <w:color w:val="auto"/>
                <w:szCs w:val="21"/>
                <w:highlight w:val="none"/>
              </w:rPr>
              <w:t>服务</w:t>
            </w:r>
            <w:r>
              <w:rPr>
                <w:rFonts w:ascii="Times New Roman" w:hAnsi="Times New Roman" w:eastAsia="仿宋_GB2312"/>
                <w:color w:val="auto"/>
                <w:szCs w:val="21"/>
                <w:highlight w:val="none"/>
              </w:rPr>
              <w:t>名称</w:t>
            </w:r>
          </w:p>
        </w:tc>
        <w:tc>
          <w:tcPr>
            <w:tcW w:w="534" w:type="pct"/>
            <w:tcBorders>
              <w:top w:val="single" w:color="000000" w:sz="8" w:space="0"/>
              <w:left w:val="single" w:color="000000" w:sz="8" w:space="0"/>
              <w:bottom w:val="single" w:color="000000" w:sz="8" w:space="0"/>
              <w:right w:val="single" w:color="000000" w:sz="8" w:space="0"/>
            </w:tcBorders>
            <w:vAlign w:val="center"/>
          </w:tcPr>
          <w:p w14:paraId="38EB5897">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计量单位</w:t>
            </w:r>
          </w:p>
        </w:tc>
        <w:tc>
          <w:tcPr>
            <w:tcW w:w="956" w:type="pct"/>
            <w:tcBorders>
              <w:top w:val="single" w:color="000000" w:sz="8" w:space="0"/>
              <w:left w:val="single" w:color="000000" w:sz="8" w:space="0"/>
              <w:bottom w:val="single" w:color="000000" w:sz="8" w:space="0"/>
              <w:right w:val="single" w:color="000000" w:sz="8" w:space="0"/>
            </w:tcBorders>
            <w:vAlign w:val="center"/>
          </w:tcPr>
          <w:p w14:paraId="5B6E3895">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具体说明</w:t>
            </w:r>
          </w:p>
        </w:tc>
        <w:tc>
          <w:tcPr>
            <w:tcW w:w="369" w:type="pct"/>
            <w:tcBorders>
              <w:top w:val="single" w:color="000000" w:sz="8" w:space="0"/>
              <w:left w:val="single" w:color="000000" w:sz="8" w:space="0"/>
              <w:bottom w:val="single" w:color="000000" w:sz="8" w:space="0"/>
              <w:right w:val="single" w:color="000000" w:sz="8" w:space="0"/>
            </w:tcBorders>
            <w:vAlign w:val="center"/>
          </w:tcPr>
          <w:p w14:paraId="21C45908">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单价</w:t>
            </w:r>
          </w:p>
        </w:tc>
        <w:tc>
          <w:tcPr>
            <w:tcW w:w="312" w:type="pct"/>
            <w:tcBorders>
              <w:top w:val="single" w:color="000000" w:sz="8" w:space="0"/>
              <w:left w:val="single" w:color="000000" w:sz="8" w:space="0"/>
              <w:bottom w:val="single" w:color="000000" w:sz="8" w:space="0"/>
              <w:right w:val="single" w:color="000000" w:sz="8" w:space="0"/>
            </w:tcBorders>
            <w:vAlign w:val="center"/>
          </w:tcPr>
          <w:p w14:paraId="1C96F2A6">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数量</w:t>
            </w:r>
          </w:p>
        </w:tc>
        <w:tc>
          <w:tcPr>
            <w:tcW w:w="623" w:type="pct"/>
            <w:tcBorders>
              <w:top w:val="single" w:color="000000" w:sz="8" w:space="0"/>
              <w:left w:val="single" w:color="000000" w:sz="8" w:space="0"/>
              <w:bottom w:val="single" w:color="000000" w:sz="8" w:space="0"/>
              <w:right w:val="single" w:color="000000" w:sz="8" w:space="0"/>
            </w:tcBorders>
            <w:vAlign w:val="center"/>
          </w:tcPr>
          <w:p w14:paraId="5708A70F">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合计金额</w:t>
            </w:r>
          </w:p>
        </w:tc>
        <w:tc>
          <w:tcPr>
            <w:tcW w:w="635" w:type="pct"/>
            <w:tcBorders>
              <w:top w:val="single" w:color="000000" w:sz="8" w:space="0"/>
              <w:left w:val="single" w:color="000000" w:sz="8" w:space="0"/>
              <w:bottom w:val="single" w:color="000000" w:sz="8" w:space="0"/>
              <w:right w:val="single" w:color="000000" w:sz="8" w:space="0"/>
            </w:tcBorders>
            <w:vAlign w:val="center"/>
          </w:tcPr>
          <w:p w14:paraId="2BC51C9A">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备注</w:t>
            </w:r>
          </w:p>
        </w:tc>
      </w:tr>
      <w:tr w14:paraId="35ECFA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293C7B88">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173" w:type="pct"/>
            <w:tcBorders>
              <w:top w:val="single" w:color="000000" w:sz="8" w:space="0"/>
              <w:left w:val="single" w:color="000000" w:sz="8" w:space="0"/>
              <w:bottom w:val="single" w:color="000000" w:sz="8" w:space="0"/>
              <w:right w:val="single" w:color="000000" w:sz="8" w:space="0"/>
            </w:tcBorders>
            <w:vAlign w:val="center"/>
          </w:tcPr>
          <w:p w14:paraId="2ED2A712">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534" w:type="pct"/>
            <w:tcBorders>
              <w:top w:val="single" w:color="000000" w:sz="8" w:space="0"/>
              <w:left w:val="single" w:color="000000" w:sz="8" w:space="0"/>
              <w:bottom w:val="single" w:color="000000" w:sz="8" w:space="0"/>
              <w:right w:val="single" w:color="000000" w:sz="8" w:space="0"/>
            </w:tcBorders>
            <w:vAlign w:val="center"/>
          </w:tcPr>
          <w:p w14:paraId="6271BF0F">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956" w:type="pct"/>
            <w:tcBorders>
              <w:top w:val="single" w:color="000000" w:sz="8" w:space="0"/>
              <w:left w:val="single" w:color="000000" w:sz="8" w:space="0"/>
              <w:bottom w:val="single" w:color="000000" w:sz="8" w:space="0"/>
              <w:right w:val="single" w:color="000000" w:sz="8" w:space="0"/>
            </w:tcBorders>
          </w:tcPr>
          <w:p w14:paraId="25043E16">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69" w:type="pct"/>
            <w:tcBorders>
              <w:top w:val="single" w:color="000000" w:sz="8" w:space="0"/>
              <w:left w:val="single" w:color="000000" w:sz="8" w:space="0"/>
              <w:bottom w:val="single" w:color="000000" w:sz="8" w:space="0"/>
              <w:right w:val="single" w:color="000000" w:sz="8" w:space="0"/>
            </w:tcBorders>
            <w:vAlign w:val="center"/>
          </w:tcPr>
          <w:p w14:paraId="51829EDC">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12" w:type="pct"/>
            <w:tcBorders>
              <w:top w:val="single" w:color="000000" w:sz="8" w:space="0"/>
              <w:left w:val="single" w:color="000000" w:sz="8" w:space="0"/>
              <w:bottom w:val="single" w:color="000000" w:sz="8" w:space="0"/>
              <w:right w:val="single" w:color="000000" w:sz="8" w:space="0"/>
            </w:tcBorders>
            <w:vAlign w:val="center"/>
          </w:tcPr>
          <w:p w14:paraId="47763DE7">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23" w:type="pct"/>
            <w:tcBorders>
              <w:top w:val="single" w:color="000000" w:sz="8" w:space="0"/>
              <w:left w:val="single" w:color="000000" w:sz="8" w:space="0"/>
              <w:bottom w:val="single" w:color="000000" w:sz="8" w:space="0"/>
              <w:right w:val="single" w:color="000000" w:sz="8" w:space="0"/>
            </w:tcBorders>
          </w:tcPr>
          <w:p w14:paraId="2243CD12">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35" w:type="pct"/>
            <w:tcBorders>
              <w:top w:val="single" w:color="000000" w:sz="8" w:space="0"/>
              <w:left w:val="single" w:color="000000" w:sz="8" w:space="0"/>
              <w:bottom w:val="single" w:color="000000" w:sz="8" w:space="0"/>
              <w:right w:val="single" w:color="000000" w:sz="8" w:space="0"/>
            </w:tcBorders>
            <w:vAlign w:val="center"/>
          </w:tcPr>
          <w:p w14:paraId="6CDC3C01">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53BFF3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173A8A58">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173" w:type="pct"/>
            <w:tcBorders>
              <w:top w:val="single" w:color="000000" w:sz="8" w:space="0"/>
              <w:left w:val="single" w:color="000000" w:sz="8" w:space="0"/>
              <w:bottom w:val="single" w:color="000000" w:sz="8" w:space="0"/>
              <w:right w:val="single" w:color="000000" w:sz="8" w:space="0"/>
            </w:tcBorders>
            <w:vAlign w:val="center"/>
          </w:tcPr>
          <w:p w14:paraId="6FF8DE61">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534" w:type="pct"/>
            <w:tcBorders>
              <w:top w:val="single" w:color="000000" w:sz="8" w:space="0"/>
              <w:left w:val="single" w:color="000000" w:sz="8" w:space="0"/>
              <w:bottom w:val="single" w:color="000000" w:sz="8" w:space="0"/>
              <w:right w:val="single" w:color="000000" w:sz="8" w:space="0"/>
            </w:tcBorders>
            <w:vAlign w:val="center"/>
          </w:tcPr>
          <w:p w14:paraId="7BC47617">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956" w:type="pct"/>
            <w:tcBorders>
              <w:top w:val="single" w:color="000000" w:sz="8" w:space="0"/>
              <w:left w:val="single" w:color="000000" w:sz="8" w:space="0"/>
              <w:bottom w:val="single" w:color="000000" w:sz="8" w:space="0"/>
              <w:right w:val="single" w:color="000000" w:sz="8" w:space="0"/>
            </w:tcBorders>
          </w:tcPr>
          <w:p w14:paraId="7C9AD371">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69" w:type="pct"/>
            <w:tcBorders>
              <w:top w:val="single" w:color="000000" w:sz="8" w:space="0"/>
              <w:left w:val="single" w:color="000000" w:sz="8" w:space="0"/>
              <w:bottom w:val="single" w:color="000000" w:sz="8" w:space="0"/>
              <w:right w:val="single" w:color="000000" w:sz="8" w:space="0"/>
            </w:tcBorders>
            <w:vAlign w:val="center"/>
          </w:tcPr>
          <w:p w14:paraId="0AA930C9">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12" w:type="pct"/>
            <w:tcBorders>
              <w:top w:val="single" w:color="000000" w:sz="8" w:space="0"/>
              <w:left w:val="single" w:color="000000" w:sz="8" w:space="0"/>
              <w:bottom w:val="single" w:color="000000" w:sz="8" w:space="0"/>
              <w:right w:val="single" w:color="000000" w:sz="8" w:space="0"/>
            </w:tcBorders>
            <w:vAlign w:val="center"/>
          </w:tcPr>
          <w:p w14:paraId="164C99A3">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23" w:type="pct"/>
            <w:tcBorders>
              <w:top w:val="single" w:color="000000" w:sz="8" w:space="0"/>
              <w:left w:val="single" w:color="000000" w:sz="8" w:space="0"/>
              <w:bottom w:val="single" w:color="000000" w:sz="8" w:space="0"/>
              <w:right w:val="single" w:color="000000" w:sz="8" w:space="0"/>
            </w:tcBorders>
          </w:tcPr>
          <w:p w14:paraId="0C713D8E">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35" w:type="pct"/>
            <w:tcBorders>
              <w:top w:val="single" w:color="000000" w:sz="8" w:space="0"/>
              <w:left w:val="single" w:color="000000" w:sz="8" w:space="0"/>
              <w:bottom w:val="single" w:color="000000" w:sz="8" w:space="0"/>
              <w:right w:val="single" w:color="000000" w:sz="8" w:space="0"/>
            </w:tcBorders>
            <w:vAlign w:val="center"/>
          </w:tcPr>
          <w:p w14:paraId="1F2C4929">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374B5F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0BBAA0E4">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173" w:type="pct"/>
            <w:tcBorders>
              <w:top w:val="single" w:color="000000" w:sz="8" w:space="0"/>
              <w:left w:val="single" w:color="000000" w:sz="8" w:space="0"/>
              <w:bottom w:val="single" w:color="000000" w:sz="8" w:space="0"/>
              <w:right w:val="single" w:color="000000" w:sz="8" w:space="0"/>
            </w:tcBorders>
            <w:vAlign w:val="center"/>
          </w:tcPr>
          <w:p w14:paraId="4E06C186">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534" w:type="pct"/>
            <w:tcBorders>
              <w:top w:val="single" w:color="000000" w:sz="8" w:space="0"/>
              <w:left w:val="single" w:color="000000" w:sz="8" w:space="0"/>
              <w:bottom w:val="single" w:color="000000" w:sz="8" w:space="0"/>
              <w:right w:val="single" w:color="000000" w:sz="8" w:space="0"/>
            </w:tcBorders>
            <w:vAlign w:val="center"/>
          </w:tcPr>
          <w:p w14:paraId="076B430D">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956" w:type="pct"/>
            <w:tcBorders>
              <w:top w:val="single" w:color="000000" w:sz="8" w:space="0"/>
              <w:left w:val="single" w:color="000000" w:sz="8" w:space="0"/>
              <w:bottom w:val="single" w:color="000000" w:sz="8" w:space="0"/>
              <w:right w:val="single" w:color="000000" w:sz="8" w:space="0"/>
            </w:tcBorders>
          </w:tcPr>
          <w:p w14:paraId="207101BC">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69" w:type="pct"/>
            <w:tcBorders>
              <w:top w:val="single" w:color="000000" w:sz="8" w:space="0"/>
              <w:left w:val="single" w:color="000000" w:sz="8" w:space="0"/>
              <w:bottom w:val="single" w:color="000000" w:sz="8" w:space="0"/>
              <w:right w:val="single" w:color="000000" w:sz="8" w:space="0"/>
            </w:tcBorders>
            <w:vAlign w:val="center"/>
          </w:tcPr>
          <w:p w14:paraId="6AC59786">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312" w:type="pct"/>
            <w:tcBorders>
              <w:top w:val="single" w:color="000000" w:sz="8" w:space="0"/>
              <w:left w:val="single" w:color="000000" w:sz="8" w:space="0"/>
              <w:bottom w:val="single" w:color="000000" w:sz="8" w:space="0"/>
              <w:right w:val="single" w:color="000000" w:sz="8" w:space="0"/>
            </w:tcBorders>
            <w:vAlign w:val="center"/>
          </w:tcPr>
          <w:p w14:paraId="42CA63F5">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23" w:type="pct"/>
            <w:tcBorders>
              <w:top w:val="single" w:color="000000" w:sz="8" w:space="0"/>
              <w:left w:val="single" w:color="000000" w:sz="8" w:space="0"/>
              <w:bottom w:val="single" w:color="000000" w:sz="8" w:space="0"/>
              <w:right w:val="single" w:color="000000" w:sz="8" w:space="0"/>
            </w:tcBorders>
          </w:tcPr>
          <w:p w14:paraId="41904908">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35" w:type="pct"/>
            <w:tcBorders>
              <w:top w:val="single" w:color="000000" w:sz="8" w:space="0"/>
              <w:left w:val="single" w:color="000000" w:sz="8" w:space="0"/>
              <w:bottom w:val="single" w:color="000000" w:sz="8" w:space="0"/>
              <w:right w:val="single" w:color="000000" w:sz="8" w:space="0"/>
            </w:tcBorders>
            <w:vAlign w:val="center"/>
          </w:tcPr>
          <w:p w14:paraId="7509351F">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7E1419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2DA5E0DC">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1173" w:type="pct"/>
            <w:tcBorders>
              <w:top w:val="single" w:color="000000" w:sz="8" w:space="0"/>
              <w:left w:val="single" w:color="000000" w:sz="8" w:space="0"/>
              <w:bottom w:val="single" w:color="000000" w:sz="8" w:space="0"/>
              <w:right w:val="single" w:color="000000" w:sz="8" w:space="0"/>
            </w:tcBorders>
            <w:vAlign w:val="center"/>
          </w:tcPr>
          <w:p w14:paraId="1AC0805B">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534" w:type="pct"/>
            <w:tcBorders>
              <w:top w:val="single" w:color="000000" w:sz="8" w:space="0"/>
              <w:left w:val="single" w:color="000000" w:sz="8" w:space="0"/>
              <w:bottom w:val="single" w:color="000000" w:sz="8" w:space="0"/>
              <w:right w:val="single" w:color="000000" w:sz="8" w:space="0"/>
            </w:tcBorders>
            <w:vAlign w:val="center"/>
          </w:tcPr>
          <w:p w14:paraId="38A0C21B">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956" w:type="pct"/>
            <w:tcBorders>
              <w:top w:val="single" w:color="000000" w:sz="8" w:space="0"/>
              <w:left w:val="single" w:color="000000" w:sz="8" w:space="0"/>
              <w:bottom w:val="single" w:color="000000" w:sz="8" w:space="0"/>
              <w:right w:val="single" w:color="000000" w:sz="8" w:space="0"/>
            </w:tcBorders>
          </w:tcPr>
          <w:p w14:paraId="0DA679D0">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369" w:type="pct"/>
            <w:tcBorders>
              <w:top w:val="single" w:color="000000" w:sz="8" w:space="0"/>
              <w:left w:val="single" w:color="000000" w:sz="8" w:space="0"/>
              <w:bottom w:val="single" w:color="000000" w:sz="8" w:space="0"/>
              <w:right w:val="single" w:color="000000" w:sz="8" w:space="0"/>
            </w:tcBorders>
            <w:vAlign w:val="center"/>
          </w:tcPr>
          <w:p w14:paraId="04F15362">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312" w:type="pct"/>
            <w:tcBorders>
              <w:top w:val="single" w:color="000000" w:sz="8" w:space="0"/>
              <w:left w:val="single" w:color="000000" w:sz="8" w:space="0"/>
              <w:bottom w:val="single" w:color="000000" w:sz="8" w:space="0"/>
              <w:right w:val="single" w:color="000000" w:sz="8" w:space="0"/>
            </w:tcBorders>
            <w:vAlign w:val="center"/>
          </w:tcPr>
          <w:p w14:paraId="2889E79A">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623" w:type="pct"/>
            <w:tcBorders>
              <w:top w:val="single" w:color="000000" w:sz="8" w:space="0"/>
              <w:left w:val="single" w:color="000000" w:sz="8" w:space="0"/>
              <w:bottom w:val="single" w:color="000000" w:sz="8" w:space="0"/>
              <w:right w:val="single" w:color="000000" w:sz="8" w:space="0"/>
            </w:tcBorders>
          </w:tcPr>
          <w:p w14:paraId="75DC5925">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c>
          <w:tcPr>
            <w:tcW w:w="635" w:type="pct"/>
            <w:tcBorders>
              <w:top w:val="single" w:color="000000" w:sz="8" w:space="0"/>
              <w:left w:val="single" w:color="000000" w:sz="8" w:space="0"/>
              <w:bottom w:val="single" w:color="000000" w:sz="8" w:space="0"/>
              <w:right w:val="single" w:color="000000" w:sz="8" w:space="0"/>
            </w:tcBorders>
            <w:vAlign w:val="center"/>
          </w:tcPr>
          <w:p w14:paraId="79234C96">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w:t>
            </w:r>
          </w:p>
        </w:tc>
      </w:tr>
      <w:tr w14:paraId="11BD28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3C989ABA">
            <w:pPr>
              <w:adjustRightInd w:val="0"/>
              <w:snapToGrid w:val="0"/>
              <w:spacing w:line="400" w:lineRule="exact"/>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合计</w:t>
            </w:r>
          </w:p>
        </w:tc>
        <w:tc>
          <w:tcPr>
            <w:tcW w:w="1173" w:type="pct"/>
            <w:tcBorders>
              <w:top w:val="single" w:color="000000" w:sz="8" w:space="0"/>
              <w:left w:val="single" w:color="000000" w:sz="8" w:space="0"/>
              <w:bottom w:val="single" w:color="000000" w:sz="8" w:space="0"/>
              <w:right w:val="single" w:color="000000" w:sz="8" w:space="0"/>
            </w:tcBorders>
            <w:vAlign w:val="center"/>
          </w:tcPr>
          <w:p w14:paraId="449037ED">
            <w:pPr>
              <w:adjustRightInd w:val="0"/>
              <w:snapToGrid w:val="0"/>
              <w:spacing w:line="400" w:lineRule="exact"/>
              <w:jc w:val="center"/>
              <w:rPr>
                <w:rFonts w:ascii="Times New Roman" w:hAnsi="Times New Roman" w:eastAsia="方正仿宋_GBK"/>
                <w:color w:val="auto"/>
                <w:sz w:val="24"/>
                <w:szCs w:val="24"/>
                <w:highlight w:val="none"/>
              </w:rPr>
            </w:pPr>
          </w:p>
        </w:tc>
        <w:tc>
          <w:tcPr>
            <w:tcW w:w="534" w:type="pct"/>
            <w:tcBorders>
              <w:top w:val="single" w:color="000000" w:sz="8" w:space="0"/>
              <w:left w:val="single" w:color="000000" w:sz="8" w:space="0"/>
              <w:bottom w:val="single" w:color="000000" w:sz="8" w:space="0"/>
              <w:right w:val="single" w:color="000000" w:sz="8" w:space="0"/>
            </w:tcBorders>
            <w:vAlign w:val="center"/>
          </w:tcPr>
          <w:p w14:paraId="7C7F9758">
            <w:pPr>
              <w:adjustRightInd w:val="0"/>
              <w:snapToGrid w:val="0"/>
              <w:spacing w:line="400" w:lineRule="exact"/>
              <w:jc w:val="center"/>
              <w:rPr>
                <w:rFonts w:ascii="Times New Roman" w:hAnsi="Times New Roman" w:eastAsia="方正仿宋_GBK"/>
                <w:color w:val="auto"/>
                <w:sz w:val="24"/>
                <w:szCs w:val="24"/>
                <w:highlight w:val="none"/>
              </w:rPr>
            </w:pPr>
          </w:p>
        </w:tc>
        <w:tc>
          <w:tcPr>
            <w:tcW w:w="956" w:type="pct"/>
            <w:tcBorders>
              <w:top w:val="single" w:color="000000" w:sz="8" w:space="0"/>
              <w:left w:val="single" w:color="000000" w:sz="8" w:space="0"/>
              <w:bottom w:val="single" w:color="000000" w:sz="8" w:space="0"/>
              <w:right w:val="single" w:color="000000" w:sz="8" w:space="0"/>
            </w:tcBorders>
          </w:tcPr>
          <w:p w14:paraId="18B9BC2F">
            <w:pPr>
              <w:adjustRightInd w:val="0"/>
              <w:snapToGrid w:val="0"/>
              <w:spacing w:line="400" w:lineRule="exact"/>
              <w:jc w:val="center"/>
              <w:rPr>
                <w:rFonts w:ascii="Times New Roman" w:hAnsi="Times New Roman" w:eastAsia="方正仿宋_GBK"/>
                <w:color w:val="auto"/>
                <w:sz w:val="24"/>
                <w:szCs w:val="24"/>
                <w:highlight w:val="none"/>
              </w:rPr>
            </w:pPr>
          </w:p>
        </w:tc>
        <w:tc>
          <w:tcPr>
            <w:tcW w:w="369" w:type="pct"/>
            <w:tcBorders>
              <w:top w:val="single" w:color="000000" w:sz="8" w:space="0"/>
              <w:left w:val="single" w:color="000000" w:sz="8" w:space="0"/>
              <w:bottom w:val="single" w:color="000000" w:sz="8" w:space="0"/>
              <w:right w:val="single" w:color="000000" w:sz="8" w:space="0"/>
            </w:tcBorders>
            <w:vAlign w:val="center"/>
          </w:tcPr>
          <w:p w14:paraId="02459FA8">
            <w:pPr>
              <w:adjustRightInd w:val="0"/>
              <w:snapToGrid w:val="0"/>
              <w:spacing w:line="400" w:lineRule="exact"/>
              <w:jc w:val="center"/>
              <w:rPr>
                <w:rFonts w:ascii="Times New Roman" w:hAnsi="Times New Roman" w:eastAsia="方正仿宋_GBK"/>
                <w:color w:val="auto"/>
                <w:sz w:val="24"/>
                <w:szCs w:val="24"/>
                <w:highlight w:val="none"/>
              </w:rPr>
            </w:pPr>
          </w:p>
        </w:tc>
        <w:tc>
          <w:tcPr>
            <w:tcW w:w="312" w:type="pct"/>
            <w:tcBorders>
              <w:top w:val="single" w:color="000000" w:sz="8" w:space="0"/>
              <w:left w:val="single" w:color="000000" w:sz="8" w:space="0"/>
              <w:bottom w:val="single" w:color="000000" w:sz="8" w:space="0"/>
              <w:right w:val="single" w:color="000000" w:sz="8" w:space="0"/>
            </w:tcBorders>
            <w:vAlign w:val="center"/>
          </w:tcPr>
          <w:p w14:paraId="64D85F81">
            <w:pPr>
              <w:adjustRightInd w:val="0"/>
              <w:snapToGrid w:val="0"/>
              <w:spacing w:line="400" w:lineRule="exact"/>
              <w:jc w:val="center"/>
              <w:rPr>
                <w:rFonts w:ascii="Times New Roman" w:hAnsi="Times New Roman" w:eastAsia="方正仿宋_GBK"/>
                <w:color w:val="auto"/>
                <w:sz w:val="24"/>
                <w:szCs w:val="24"/>
                <w:highlight w:val="none"/>
              </w:rPr>
            </w:pPr>
          </w:p>
        </w:tc>
        <w:tc>
          <w:tcPr>
            <w:tcW w:w="623" w:type="pct"/>
            <w:tcBorders>
              <w:top w:val="single" w:color="000000" w:sz="8" w:space="0"/>
              <w:left w:val="single" w:color="000000" w:sz="8" w:space="0"/>
              <w:bottom w:val="single" w:color="000000" w:sz="8" w:space="0"/>
              <w:right w:val="single" w:color="000000" w:sz="8" w:space="0"/>
            </w:tcBorders>
          </w:tcPr>
          <w:p w14:paraId="1EEB5D62">
            <w:pPr>
              <w:adjustRightInd w:val="0"/>
              <w:snapToGrid w:val="0"/>
              <w:spacing w:line="400" w:lineRule="exact"/>
              <w:jc w:val="center"/>
              <w:rPr>
                <w:rFonts w:ascii="Times New Roman" w:hAnsi="Times New Roman" w:eastAsia="方正仿宋_GBK"/>
                <w:color w:val="auto"/>
                <w:sz w:val="24"/>
                <w:szCs w:val="24"/>
                <w:highlight w:val="none"/>
              </w:rPr>
            </w:pPr>
          </w:p>
        </w:tc>
        <w:tc>
          <w:tcPr>
            <w:tcW w:w="635" w:type="pct"/>
            <w:tcBorders>
              <w:top w:val="single" w:color="000000" w:sz="8" w:space="0"/>
              <w:left w:val="single" w:color="000000" w:sz="8" w:space="0"/>
              <w:bottom w:val="single" w:color="000000" w:sz="8" w:space="0"/>
              <w:right w:val="single" w:color="000000" w:sz="8" w:space="0"/>
            </w:tcBorders>
            <w:vAlign w:val="center"/>
          </w:tcPr>
          <w:p w14:paraId="0B29B70E">
            <w:pPr>
              <w:adjustRightInd w:val="0"/>
              <w:snapToGrid w:val="0"/>
              <w:spacing w:line="400" w:lineRule="exact"/>
              <w:jc w:val="center"/>
              <w:rPr>
                <w:rFonts w:ascii="Times New Roman" w:hAnsi="Times New Roman" w:eastAsia="方正仿宋_GBK"/>
                <w:color w:val="auto"/>
                <w:sz w:val="24"/>
                <w:szCs w:val="24"/>
                <w:highlight w:val="none"/>
              </w:rPr>
            </w:pPr>
          </w:p>
        </w:tc>
      </w:tr>
    </w:tbl>
    <w:p w14:paraId="5D5E4D1E">
      <w:pPr>
        <w:adjustRightInd w:val="0"/>
        <w:snapToGrid w:val="0"/>
        <w:spacing w:line="400" w:lineRule="exact"/>
        <w:ind w:firstLine="4200" w:firstLineChars="1750"/>
        <w:rPr>
          <w:rFonts w:ascii="Times New Roman" w:hAnsi="Times New Roman" w:eastAsia="仿宋_GB2312"/>
          <w:color w:val="auto"/>
          <w:sz w:val="24"/>
          <w:szCs w:val="24"/>
          <w:highlight w:val="none"/>
        </w:rPr>
      </w:pPr>
    </w:p>
    <w:p w14:paraId="46D9123B">
      <w:pPr>
        <w:pStyle w:val="2"/>
        <w:rPr>
          <w:rFonts w:ascii="Times New Roman" w:hAnsi="Times New Roman" w:eastAsia="仿宋_GB2312"/>
          <w:color w:val="auto"/>
          <w:sz w:val="24"/>
          <w:szCs w:val="24"/>
          <w:highlight w:val="none"/>
        </w:rPr>
      </w:pPr>
    </w:p>
    <w:p w14:paraId="6E15833A">
      <w:pPr>
        <w:pStyle w:val="2"/>
        <w:rPr>
          <w:rFonts w:ascii="Times New Roman" w:hAnsi="Times New Roman" w:eastAsia="仿宋_GB2312"/>
          <w:color w:val="auto"/>
          <w:sz w:val="24"/>
          <w:szCs w:val="24"/>
          <w:highlight w:val="none"/>
        </w:rPr>
      </w:pPr>
    </w:p>
    <w:p w14:paraId="38FB5E15">
      <w:pPr>
        <w:pStyle w:val="2"/>
        <w:rPr>
          <w:rFonts w:ascii="Times New Roman" w:hAnsi="Times New Roman" w:eastAsia="仿宋_GB2312"/>
          <w:color w:val="auto"/>
          <w:sz w:val="24"/>
          <w:szCs w:val="24"/>
          <w:highlight w:val="none"/>
        </w:rPr>
      </w:pPr>
    </w:p>
    <w:p w14:paraId="62D2DDC5">
      <w:pPr>
        <w:pStyle w:val="2"/>
        <w:rPr>
          <w:rFonts w:ascii="Times New Roman" w:hAnsi="Times New Roman" w:eastAsia="仿宋_GB2312"/>
          <w:color w:val="auto"/>
          <w:sz w:val="24"/>
          <w:szCs w:val="24"/>
          <w:highlight w:val="none"/>
        </w:rPr>
      </w:pPr>
    </w:p>
    <w:p w14:paraId="39D85244">
      <w:pPr>
        <w:adjustRightInd w:val="0"/>
        <w:snapToGrid w:val="0"/>
        <w:spacing w:line="400" w:lineRule="exact"/>
        <w:ind w:left="2940" w:firstLine="420"/>
        <w:rPr>
          <w:rFonts w:ascii="Times New Roman" w:hAnsi="Times New Roman" w:eastAsia="仿宋_GB2312"/>
          <w:color w:val="auto"/>
          <w:sz w:val="24"/>
          <w:szCs w:val="24"/>
          <w:highlight w:val="none"/>
        </w:rPr>
      </w:pPr>
    </w:p>
    <w:p w14:paraId="034325A4">
      <w:pPr>
        <w:adjustRightInd w:val="0"/>
        <w:snapToGrid w:val="0"/>
        <w:spacing w:line="400" w:lineRule="exact"/>
        <w:ind w:left="2940"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（公章）</w:t>
      </w:r>
    </w:p>
    <w:p w14:paraId="1DA3B917">
      <w:pPr>
        <w:adjustRightInd w:val="0"/>
        <w:snapToGrid w:val="0"/>
        <w:spacing w:line="400" w:lineRule="exact"/>
        <w:ind w:firstLine="4200" w:firstLineChars="17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74C2E971">
      <w:pPr>
        <w:spacing w:line="400" w:lineRule="exact"/>
        <w:rPr>
          <w:rFonts w:ascii="Times New Roman" w:hAnsi="Times New Roman"/>
          <w:b/>
          <w:bCs/>
          <w:color w:val="auto"/>
          <w:sz w:val="32"/>
          <w:szCs w:val="32"/>
          <w:highlight w:val="none"/>
        </w:rPr>
      </w:pPr>
      <w:r>
        <w:rPr>
          <w:rFonts w:ascii="Times New Roman" w:hAnsi="Times New Roman"/>
          <w:b/>
          <w:bCs/>
          <w:color w:val="auto"/>
          <w:sz w:val="32"/>
          <w:szCs w:val="32"/>
          <w:highlight w:val="none"/>
        </w:rPr>
        <w:br w:type="page"/>
      </w:r>
    </w:p>
    <w:p w14:paraId="6D9027B1">
      <w:pPr>
        <w:spacing w:line="400" w:lineRule="exact"/>
        <w:jc w:val="center"/>
        <w:rPr>
          <w:rFonts w:ascii="Times New Roman" w:hAnsi="Times New Roman"/>
          <w:b/>
          <w:bCs/>
          <w:color w:val="auto"/>
          <w:sz w:val="32"/>
          <w:szCs w:val="32"/>
          <w:highlight w:val="none"/>
        </w:rPr>
      </w:pPr>
    </w:p>
    <w:p w14:paraId="415029F6">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三、其他报价响应材料</w:t>
      </w:r>
    </w:p>
    <w:p w14:paraId="29510250">
      <w:pPr>
        <w:spacing w:line="360" w:lineRule="auto"/>
        <w:jc w:val="center"/>
        <w:rPr>
          <w:rFonts w:ascii="Times New Roman" w:hAnsi="Times New Roman"/>
          <w:color w:val="auto"/>
          <w:highlight w:val="none"/>
        </w:rPr>
      </w:pPr>
      <w:r>
        <w:rPr>
          <w:rFonts w:ascii="Times New Roman" w:hAnsi="Times New Roman"/>
          <w:color w:val="auto"/>
          <w:szCs w:val="21"/>
          <w:highlight w:val="none"/>
        </w:rPr>
        <w:t xml:space="preserve">  </w:t>
      </w:r>
    </w:p>
    <w:p w14:paraId="490EC0D2">
      <w:pPr>
        <w:spacing w:before="156" w:line="360" w:lineRule="auto"/>
        <w:rPr>
          <w:rFonts w:ascii="Times New Roman" w:hAnsi="Times New Roman"/>
          <w:color w:val="auto"/>
          <w:szCs w:val="21"/>
          <w:highlight w:val="none"/>
        </w:rPr>
      </w:pPr>
      <w:r>
        <w:rPr>
          <w:rFonts w:ascii="Times New Roman" w:hAnsi="Times New Roman"/>
          <w:color w:val="auto"/>
          <w:szCs w:val="21"/>
          <w:highlight w:val="none"/>
        </w:rPr>
        <w:t xml:space="preserve">  </w:t>
      </w:r>
    </w:p>
    <w:p w14:paraId="485886B7">
      <w:pPr>
        <w:spacing w:before="156" w:line="360" w:lineRule="auto"/>
        <w:rPr>
          <w:rFonts w:ascii="Times New Roman" w:hAnsi="Times New Roman"/>
          <w:color w:val="auto"/>
          <w:szCs w:val="21"/>
          <w:highlight w:val="none"/>
        </w:rPr>
      </w:pPr>
    </w:p>
    <w:p w14:paraId="1475D84D">
      <w:pPr>
        <w:spacing w:before="156" w:line="360" w:lineRule="auto"/>
        <w:rPr>
          <w:rFonts w:ascii="Times New Roman" w:hAnsi="Times New Roman"/>
          <w:color w:val="auto"/>
          <w:szCs w:val="21"/>
          <w:highlight w:val="none"/>
        </w:rPr>
      </w:pPr>
    </w:p>
    <w:p w14:paraId="2472051A">
      <w:pPr>
        <w:spacing w:before="156" w:line="360" w:lineRule="auto"/>
        <w:rPr>
          <w:rFonts w:ascii="Times New Roman" w:hAnsi="Times New Roman"/>
          <w:color w:val="auto"/>
          <w:szCs w:val="21"/>
          <w:highlight w:val="none"/>
        </w:rPr>
      </w:pPr>
    </w:p>
    <w:p w14:paraId="76513D4F">
      <w:pPr>
        <w:spacing w:before="156" w:line="360" w:lineRule="auto"/>
        <w:rPr>
          <w:rFonts w:ascii="Times New Roman" w:hAnsi="Times New Roman"/>
          <w:color w:val="auto"/>
          <w:szCs w:val="21"/>
          <w:highlight w:val="none"/>
        </w:rPr>
      </w:pPr>
    </w:p>
    <w:p w14:paraId="5F82856E">
      <w:pPr>
        <w:spacing w:before="156" w:line="360" w:lineRule="auto"/>
        <w:rPr>
          <w:rFonts w:ascii="Times New Roman" w:hAnsi="Times New Roman"/>
          <w:color w:val="auto"/>
          <w:szCs w:val="21"/>
          <w:highlight w:val="none"/>
        </w:rPr>
      </w:pPr>
    </w:p>
    <w:p w14:paraId="7CFDF354">
      <w:pPr>
        <w:spacing w:before="156" w:line="360" w:lineRule="auto"/>
        <w:rPr>
          <w:rFonts w:ascii="Times New Roman" w:hAnsi="Times New Roman"/>
          <w:color w:val="auto"/>
          <w:szCs w:val="21"/>
          <w:highlight w:val="none"/>
        </w:rPr>
      </w:pPr>
    </w:p>
    <w:p w14:paraId="6FF90EDC">
      <w:pPr>
        <w:spacing w:before="156" w:line="360" w:lineRule="auto"/>
        <w:rPr>
          <w:rFonts w:ascii="Times New Roman" w:hAnsi="Times New Roman"/>
          <w:color w:val="auto"/>
          <w:szCs w:val="21"/>
          <w:highlight w:val="none"/>
        </w:rPr>
      </w:pPr>
    </w:p>
    <w:p w14:paraId="0316BA44">
      <w:pPr>
        <w:spacing w:before="156" w:line="360" w:lineRule="auto"/>
        <w:rPr>
          <w:rFonts w:ascii="Times New Roman" w:hAnsi="Times New Roman"/>
          <w:color w:val="auto"/>
          <w:szCs w:val="21"/>
          <w:highlight w:val="none"/>
        </w:rPr>
      </w:pPr>
    </w:p>
    <w:p w14:paraId="59F30FAF">
      <w:pPr>
        <w:rPr>
          <w:rFonts w:ascii="Times New Roman" w:hAnsi="Times New Roman" w:eastAsia="仿宋_GB2312"/>
          <w:b/>
          <w:bCs/>
          <w:color w:val="auto"/>
          <w:sz w:val="24"/>
          <w:szCs w:val="24"/>
          <w:highlight w:val="none"/>
        </w:rPr>
      </w:pPr>
    </w:p>
    <w:p w14:paraId="118332D9">
      <w:pPr>
        <w:rPr>
          <w:rFonts w:ascii="Times New Roman" w:hAnsi="Times New Roman"/>
          <w:color w:val="auto"/>
          <w:highlight w:val="none"/>
        </w:rPr>
      </w:pPr>
      <w:r>
        <w:rPr>
          <w:rFonts w:ascii="Times New Roman" w:hAnsi="Times New Roman" w:eastAsia="仿宋_GB2312"/>
          <w:color w:val="auto"/>
          <w:sz w:val="24"/>
          <w:szCs w:val="24"/>
          <w:highlight w:val="none"/>
        </w:rPr>
        <w:t>注：编制其他报价响应相关文件（如果需要）</w:t>
      </w:r>
    </w:p>
    <w:p w14:paraId="37E8C381">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p>
    <w:p w14:paraId="37222A88">
      <w:pPr>
        <w:widowControl/>
        <w:spacing w:line="440" w:lineRule="exact"/>
        <w:jc w:val="left"/>
        <w:rPr>
          <w:rFonts w:ascii="Times New Roman" w:hAnsi="Times New Roman" w:eastAsia="Times New Roman"/>
          <w:color w:val="auto"/>
          <w:kern w:val="0"/>
          <w:sz w:val="24"/>
          <w:szCs w:val="24"/>
          <w:highlight w:val="none"/>
        </w:rPr>
      </w:pPr>
    </w:p>
    <w:p w14:paraId="6FC7E766">
      <w:pPr>
        <w:spacing w:before="240" w:after="240"/>
        <w:rPr>
          <w:rFonts w:ascii="Times New Roman" w:hAnsi="Times New Roman" w:eastAsia="华文中宋"/>
          <w:color w:val="auto"/>
          <w:sz w:val="84"/>
          <w:szCs w:val="84"/>
          <w:highlight w:val="none"/>
        </w:rPr>
      </w:pPr>
    </w:p>
    <w:p w14:paraId="7839A7EA">
      <w:pPr>
        <w:jc w:val="center"/>
        <w:rPr>
          <w:rFonts w:ascii="Times New Roman" w:hAnsi="Times New Roman"/>
          <w:b/>
          <w:bCs/>
          <w:color w:val="auto"/>
          <w:highlight w:val="none"/>
        </w:rPr>
      </w:pPr>
      <w:r>
        <w:rPr>
          <w:rFonts w:ascii="Times New Roman" w:hAnsi="Times New Roman"/>
          <w:b/>
          <w:bCs/>
          <w:color w:val="auto"/>
          <w:sz w:val="84"/>
          <w:szCs w:val="84"/>
          <w:highlight w:val="none"/>
        </w:rPr>
        <w:t>投 标 文 件</w:t>
      </w:r>
      <w:r>
        <w:rPr>
          <w:rFonts w:ascii="Times New Roman" w:hAnsi="Times New Roman"/>
          <w:b/>
          <w:bCs/>
          <w:color w:val="auto"/>
          <w:szCs w:val="21"/>
          <w:highlight w:val="none"/>
        </w:rPr>
        <w:t xml:space="preserve"> </w:t>
      </w:r>
    </w:p>
    <w:p w14:paraId="65CA3633">
      <w:pPr>
        <w:spacing w:before="312"/>
        <w:jc w:val="center"/>
        <w:rPr>
          <w:rFonts w:ascii="Times New Roman" w:hAnsi="Times New Roman"/>
          <w:b/>
          <w:bCs/>
          <w:color w:val="auto"/>
          <w:highlight w:val="none"/>
        </w:rPr>
      </w:pPr>
      <w:r>
        <w:rPr>
          <w:rFonts w:ascii="Times New Roman" w:hAnsi="Times New Roman"/>
          <w:b/>
          <w:bCs/>
          <w:color w:val="auto"/>
          <w:sz w:val="44"/>
          <w:szCs w:val="44"/>
          <w:highlight w:val="none"/>
        </w:rPr>
        <w:t>(商务技术响应文件)</w:t>
      </w:r>
      <w:r>
        <w:rPr>
          <w:rFonts w:ascii="Times New Roman" w:hAnsi="Times New Roman"/>
          <w:b/>
          <w:bCs/>
          <w:color w:val="auto"/>
          <w:szCs w:val="21"/>
          <w:highlight w:val="none"/>
        </w:rPr>
        <w:t xml:space="preserve"> </w:t>
      </w:r>
    </w:p>
    <w:p w14:paraId="5D6BE6E7">
      <w:pPr>
        <w:rPr>
          <w:rFonts w:ascii="Times New Roman" w:hAnsi="Times New Roman"/>
          <w:color w:val="auto"/>
          <w:highlight w:val="none"/>
        </w:rPr>
      </w:pPr>
      <w:r>
        <w:rPr>
          <w:rFonts w:ascii="Times New Roman" w:hAnsi="Times New Roman"/>
          <w:color w:val="auto"/>
          <w:szCs w:val="21"/>
          <w:highlight w:val="none"/>
        </w:rPr>
        <w:t xml:space="preserve">  </w:t>
      </w:r>
    </w:p>
    <w:p w14:paraId="7936A890">
      <w:pPr>
        <w:rPr>
          <w:rFonts w:ascii="Times New Roman" w:hAnsi="Times New Roman"/>
          <w:color w:val="auto"/>
          <w:sz w:val="32"/>
          <w:szCs w:val="32"/>
          <w:highlight w:val="none"/>
        </w:rPr>
      </w:pPr>
    </w:p>
    <w:p w14:paraId="7A102CCE">
      <w:pPr>
        <w:rPr>
          <w:rFonts w:ascii="Times New Roman" w:hAnsi="Times New Roman"/>
          <w:color w:val="auto"/>
          <w:sz w:val="32"/>
          <w:szCs w:val="32"/>
          <w:highlight w:val="none"/>
        </w:rPr>
      </w:pPr>
      <w:r>
        <w:rPr>
          <w:rFonts w:ascii="Times New Roman" w:hAnsi="Times New Roman"/>
          <w:color w:val="auto"/>
          <w:sz w:val="32"/>
          <w:szCs w:val="32"/>
          <w:highlight w:val="none"/>
        </w:rPr>
        <w:t> </w:t>
      </w:r>
    </w:p>
    <w:p w14:paraId="27B8D441">
      <w:pPr>
        <w:rPr>
          <w:rFonts w:ascii="Times New Roman" w:hAnsi="Times New Roman"/>
          <w:color w:val="auto"/>
          <w:highlight w:val="none"/>
        </w:rPr>
      </w:pPr>
      <w:r>
        <w:rPr>
          <w:rFonts w:ascii="Times New Roman" w:hAnsi="Times New Roman"/>
          <w:color w:val="auto"/>
          <w:sz w:val="32"/>
          <w:szCs w:val="32"/>
          <w:highlight w:val="none"/>
        </w:rPr>
        <w:t>                   </w:t>
      </w:r>
      <w:r>
        <w:rPr>
          <w:rFonts w:ascii="Times New Roman" w:hAnsi="Times New Roman"/>
          <w:color w:val="auto"/>
          <w:szCs w:val="21"/>
          <w:highlight w:val="none"/>
        </w:rPr>
        <w:t xml:space="preserve"> </w:t>
      </w:r>
    </w:p>
    <w:p w14:paraId="32A65BBE">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项目名称：  </w:t>
      </w:r>
      <w:r>
        <w:rPr>
          <w:rFonts w:ascii="Times New Roman" w:hAnsi="Times New Roman"/>
          <w:color w:val="auto"/>
          <w:szCs w:val="21"/>
          <w:highlight w:val="none"/>
        </w:rPr>
        <w:t xml:space="preserve"> </w:t>
      </w:r>
    </w:p>
    <w:p w14:paraId="190C6F8E">
      <w:pPr>
        <w:spacing w:line="360" w:lineRule="auto"/>
        <w:ind w:firstLine="321" w:firstLineChars="100"/>
        <w:rPr>
          <w:rFonts w:ascii="Times New Roman" w:hAnsi="Times New Roman"/>
          <w:color w:val="auto"/>
          <w:highlight w:val="none"/>
        </w:rPr>
      </w:pPr>
      <w:r>
        <w:rPr>
          <w:rFonts w:ascii="Times New Roman" w:hAnsi="Times New Roman"/>
          <w:b/>
          <w:bCs/>
          <w:color w:val="auto"/>
          <w:sz w:val="32"/>
          <w:szCs w:val="32"/>
          <w:highlight w:val="none"/>
        </w:rPr>
        <w:t>项目编号：</w:t>
      </w:r>
      <w:r>
        <w:rPr>
          <w:rFonts w:ascii="Times New Roman" w:hAnsi="Times New Roman"/>
          <w:color w:val="auto"/>
          <w:szCs w:val="21"/>
          <w:highlight w:val="none"/>
        </w:rPr>
        <w:t xml:space="preserve"> </w:t>
      </w:r>
    </w:p>
    <w:p w14:paraId="11EFAE07">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54D5DD42">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057BC58B">
      <w:pPr>
        <w:ind w:firstLine="1500"/>
        <w:rPr>
          <w:rFonts w:ascii="Times New Roman" w:hAnsi="Times New Roman"/>
          <w:color w:val="auto"/>
          <w:highlight w:val="none"/>
        </w:rPr>
      </w:pPr>
      <w:r>
        <w:rPr>
          <w:rFonts w:ascii="Times New Roman" w:hAnsi="Times New Roman"/>
          <w:color w:val="auto"/>
          <w:szCs w:val="21"/>
          <w:highlight w:val="none"/>
        </w:rPr>
        <w:t xml:space="preserve">  </w:t>
      </w:r>
    </w:p>
    <w:p w14:paraId="58A370D7">
      <w:pPr>
        <w:ind w:firstLine="1500"/>
        <w:rPr>
          <w:rFonts w:ascii="Times New Roman" w:hAnsi="Times New Roman"/>
          <w:color w:val="auto"/>
          <w:szCs w:val="21"/>
          <w:highlight w:val="none"/>
        </w:rPr>
      </w:pPr>
      <w:r>
        <w:rPr>
          <w:rFonts w:ascii="Times New Roman" w:hAnsi="Times New Roman"/>
          <w:color w:val="auto"/>
          <w:szCs w:val="21"/>
          <w:highlight w:val="none"/>
        </w:rPr>
        <w:t xml:space="preserve">  </w:t>
      </w:r>
    </w:p>
    <w:p w14:paraId="3E219C79">
      <w:pPr>
        <w:ind w:firstLine="1500"/>
        <w:rPr>
          <w:rFonts w:ascii="Times New Roman" w:hAnsi="Times New Roman"/>
          <w:color w:val="auto"/>
          <w:szCs w:val="21"/>
          <w:highlight w:val="none"/>
        </w:rPr>
      </w:pPr>
    </w:p>
    <w:p w14:paraId="65046723">
      <w:pPr>
        <w:ind w:firstLine="1500"/>
        <w:rPr>
          <w:rFonts w:ascii="Times New Roman" w:hAnsi="Times New Roman"/>
          <w:color w:val="auto"/>
          <w:szCs w:val="21"/>
          <w:highlight w:val="none"/>
        </w:rPr>
      </w:pPr>
    </w:p>
    <w:p w14:paraId="1D3FAF46">
      <w:pPr>
        <w:ind w:firstLine="1500"/>
        <w:rPr>
          <w:rFonts w:ascii="Times New Roman" w:hAnsi="Times New Roman"/>
          <w:color w:val="auto"/>
          <w:szCs w:val="21"/>
          <w:highlight w:val="none"/>
        </w:rPr>
      </w:pPr>
    </w:p>
    <w:p w14:paraId="34CF12E5">
      <w:pPr>
        <w:ind w:firstLine="1500"/>
        <w:rPr>
          <w:rFonts w:ascii="Times New Roman" w:hAnsi="Times New Roman"/>
          <w:color w:val="auto"/>
          <w:highlight w:val="none"/>
        </w:rPr>
      </w:pPr>
    </w:p>
    <w:p w14:paraId="1494431F">
      <w:pPr>
        <w:ind w:firstLine="1500"/>
        <w:rPr>
          <w:rFonts w:ascii="Times New Roman" w:hAnsi="Times New Roman"/>
          <w:color w:val="auto"/>
          <w:highlight w:val="none"/>
        </w:rPr>
      </w:pPr>
    </w:p>
    <w:p w14:paraId="043FA9F5">
      <w:pPr>
        <w:ind w:firstLine="1500"/>
        <w:rPr>
          <w:rFonts w:ascii="Times New Roman" w:hAnsi="Times New Roman"/>
          <w:color w:val="auto"/>
          <w:highlight w:val="none"/>
        </w:rPr>
      </w:pPr>
    </w:p>
    <w:p w14:paraId="6AC2E765">
      <w:pPr>
        <w:ind w:firstLine="1500"/>
        <w:rPr>
          <w:rFonts w:ascii="Times New Roman" w:hAnsi="Times New Roman"/>
          <w:color w:val="auto"/>
          <w:highlight w:val="none"/>
        </w:rPr>
      </w:pPr>
    </w:p>
    <w:p w14:paraId="7F62CC4C">
      <w:pPr>
        <w:rPr>
          <w:rFonts w:ascii="Times New Roman" w:hAnsi="Times New Roman"/>
          <w:color w:val="auto"/>
          <w:highlight w:val="none"/>
        </w:rPr>
      </w:pPr>
    </w:p>
    <w:p w14:paraId="4E7FA543">
      <w:pPr>
        <w:ind w:firstLine="1500"/>
        <w:rPr>
          <w:rFonts w:ascii="Times New Roman" w:hAnsi="Times New Roman"/>
          <w:color w:val="auto"/>
          <w:highlight w:val="none"/>
        </w:rPr>
      </w:pPr>
    </w:p>
    <w:p w14:paraId="6C40A643">
      <w:pPr>
        <w:rPr>
          <w:rFonts w:ascii="Times New Roman" w:hAnsi="Times New Roman"/>
          <w:color w:val="auto"/>
          <w:highlight w:val="none"/>
        </w:rPr>
      </w:pPr>
      <w:r>
        <w:rPr>
          <w:rFonts w:ascii="Times New Roman" w:hAnsi="Times New Roman"/>
          <w:color w:val="auto"/>
          <w:szCs w:val="21"/>
          <w:highlight w:val="none"/>
        </w:rPr>
        <w:t xml:space="preserve">  </w:t>
      </w:r>
    </w:p>
    <w:p w14:paraId="310302A6">
      <w:pPr>
        <w:ind w:firstLine="1767" w:firstLineChars="550"/>
        <w:rPr>
          <w:rFonts w:ascii="Times New Roman" w:hAnsi="Times New Roman"/>
          <w:b/>
          <w:color w:val="auto"/>
          <w:highlight w:val="none"/>
        </w:rPr>
      </w:pPr>
      <w:r>
        <w:rPr>
          <w:rFonts w:ascii="Times New Roman" w:hAnsi="Times New Roman"/>
          <w:b/>
          <w:color w:val="auto"/>
          <w:sz w:val="32"/>
          <w:szCs w:val="32"/>
          <w:highlight w:val="none"/>
        </w:rPr>
        <w:t>投标人：__________________________</w:t>
      </w:r>
      <w:r>
        <w:rPr>
          <w:rFonts w:ascii="Times New Roman" w:hAnsi="Times New Roman"/>
          <w:b/>
          <w:color w:val="auto"/>
          <w:szCs w:val="21"/>
          <w:highlight w:val="none"/>
        </w:rPr>
        <w:t xml:space="preserve"> </w:t>
      </w:r>
    </w:p>
    <w:p w14:paraId="1AEF2065">
      <w:pPr>
        <w:ind w:firstLine="4800"/>
        <w:rPr>
          <w:rFonts w:ascii="Times New Roman" w:hAnsi="Times New Roman"/>
          <w:b/>
          <w:color w:val="auto"/>
          <w:highlight w:val="none"/>
        </w:rPr>
      </w:pPr>
      <w:r>
        <w:rPr>
          <w:rFonts w:ascii="Times New Roman" w:hAnsi="Times New Roman"/>
          <w:b/>
          <w:color w:val="auto"/>
          <w:szCs w:val="21"/>
          <w:highlight w:val="none"/>
        </w:rPr>
        <w:t xml:space="preserve">    </w:t>
      </w:r>
    </w:p>
    <w:p w14:paraId="526374C5">
      <w:pPr>
        <w:ind w:firstLine="4800"/>
        <w:rPr>
          <w:rFonts w:ascii="Times New Roman" w:hAnsi="Times New Roman"/>
          <w:b/>
          <w:color w:val="auto"/>
          <w:sz w:val="32"/>
          <w:szCs w:val="32"/>
          <w:highlight w:val="none"/>
        </w:rPr>
      </w:pPr>
      <w:r>
        <w:rPr>
          <w:rFonts w:ascii="Times New Roman" w:hAnsi="Times New Roman"/>
          <w:b/>
          <w:color w:val="auto"/>
          <w:szCs w:val="21"/>
          <w:highlight w:val="none"/>
        </w:rPr>
        <w:t xml:space="preserve">  </w:t>
      </w:r>
    </w:p>
    <w:p w14:paraId="2DB5759A">
      <w:pPr>
        <w:widowControl/>
        <w:jc w:val="center"/>
        <w:rPr>
          <w:rFonts w:ascii="Times New Roman" w:hAnsi="Times New Roman" w:eastAsiaTheme="minorEastAsia"/>
          <w:color w:val="auto"/>
          <w:kern w:val="0"/>
          <w:sz w:val="24"/>
          <w:szCs w:val="24"/>
          <w:highlight w:val="none"/>
        </w:rPr>
      </w:pPr>
      <w:r>
        <w:rPr>
          <w:rFonts w:ascii="Times New Roman" w:hAnsi="Times New Roman"/>
          <w:b/>
          <w:color w:val="auto"/>
          <w:sz w:val="32"/>
          <w:szCs w:val="32"/>
          <w:highlight w:val="none"/>
        </w:rPr>
        <w:t>年   月   日</w:t>
      </w:r>
    </w:p>
    <w:p w14:paraId="3C3F5765">
      <w:pPr>
        <w:widowControl/>
        <w:jc w:val="left"/>
        <w:rPr>
          <w:rFonts w:ascii="Times New Roman" w:hAnsi="Times New Roman" w:eastAsia="Times New Roman"/>
          <w:color w:val="auto"/>
          <w:kern w:val="0"/>
          <w:sz w:val="24"/>
          <w:szCs w:val="24"/>
          <w:highlight w:val="none"/>
        </w:rPr>
      </w:pPr>
    </w:p>
    <w:p w14:paraId="25B4FD19">
      <w:pPr>
        <w:spacing w:line="400" w:lineRule="exact"/>
        <w:ind w:right="420"/>
        <w:jc w:val="center"/>
        <w:rPr>
          <w:rFonts w:ascii="Times New Roman" w:hAnsi="Times New Roman"/>
          <w:b/>
          <w:color w:val="auto"/>
          <w:sz w:val="32"/>
          <w:szCs w:val="32"/>
          <w:highlight w:val="none"/>
        </w:rPr>
      </w:pPr>
      <w:r>
        <w:rPr>
          <w:rFonts w:ascii="Times New Roman" w:hAnsi="Times New Roman"/>
          <w:b/>
          <w:color w:val="auto"/>
          <w:sz w:val="32"/>
          <w:szCs w:val="32"/>
          <w:highlight w:val="none"/>
        </w:rPr>
        <w:t>一、投标人基本情况</w:t>
      </w:r>
    </w:p>
    <w:p w14:paraId="336D4D31">
      <w:pPr>
        <w:spacing w:line="360" w:lineRule="auto"/>
        <w:rPr>
          <w:rFonts w:ascii="Times New Roman" w:hAnsi="Times New Roman"/>
          <w:color w:val="auto"/>
          <w:highlight w:val="none"/>
        </w:rPr>
      </w:pPr>
      <w:r>
        <w:rPr>
          <w:rFonts w:ascii="Times New Roman" w:hAnsi="Times New Roman"/>
          <w:color w:val="auto"/>
          <w:szCs w:val="21"/>
          <w:highlight w:val="none"/>
        </w:rPr>
        <w:t xml:space="preserve">  </w:t>
      </w:r>
    </w:p>
    <w:p w14:paraId="2AF6AC8D">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1、名称及概况： </w:t>
      </w:r>
    </w:p>
    <w:p w14:paraId="56D9170E">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 投标人名称：                          </w:t>
      </w:r>
    </w:p>
    <w:p w14:paraId="43473822">
      <w:pPr>
        <w:adjustRightInd w:val="0"/>
        <w:snapToGrid w:val="0"/>
        <w:spacing w:line="440" w:lineRule="exact"/>
        <w:ind w:firstLine="955" w:firstLineChars="3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地址：                          </w:t>
      </w:r>
    </w:p>
    <w:p w14:paraId="31604BEE">
      <w:pPr>
        <w:adjustRightInd w:val="0"/>
        <w:snapToGrid w:val="0"/>
        <w:spacing w:line="440" w:lineRule="exact"/>
        <w:ind w:firstLine="955" w:firstLineChars="3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传真/电话号码：                邮政编码：        </w:t>
      </w:r>
    </w:p>
    <w:p w14:paraId="459C64C8">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 成立或注册日期：                   ; </w:t>
      </w:r>
    </w:p>
    <w:p w14:paraId="02F8BE98">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 统一社会信用代码：                  </w:t>
      </w:r>
    </w:p>
    <w:p w14:paraId="267D9ADE">
      <w:pPr>
        <w:adjustRightInd w:val="0"/>
        <w:snapToGrid w:val="0"/>
        <w:spacing w:line="440" w:lineRule="exact"/>
        <w:ind w:firstLine="475" w:firstLineChars="198"/>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 法定代表人（或经营者/执行事务合伙人/负责人/自然人）姓名：                                              </w:t>
      </w:r>
    </w:p>
    <w:p w14:paraId="6784EA01">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2、经营范围：                          </w:t>
      </w:r>
    </w:p>
    <w:p w14:paraId="3D2C9CCC">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3、近年营业额： </w:t>
      </w:r>
    </w:p>
    <w:tbl>
      <w:tblPr>
        <w:tblStyle w:val="29"/>
        <w:tblW w:w="0" w:type="dxa"/>
        <w:tblInd w:w="817" w:type="dxa"/>
        <w:tblLayout w:type="fixed"/>
        <w:tblCellMar>
          <w:top w:w="0" w:type="dxa"/>
          <w:left w:w="0" w:type="dxa"/>
          <w:bottom w:w="0" w:type="dxa"/>
          <w:right w:w="0" w:type="dxa"/>
        </w:tblCellMar>
      </w:tblPr>
      <w:tblGrid>
        <w:gridCol w:w="2835"/>
        <w:gridCol w:w="4820"/>
      </w:tblGrid>
      <w:tr w14:paraId="75BF66F7">
        <w:tblPrEx>
          <w:tblCellMar>
            <w:top w:w="0" w:type="dxa"/>
            <w:left w:w="0" w:type="dxa"/>
            <w:bottom w:w="0" w:type="dxa"/>
            <w:right w:w="0" w:type="dxa"/>
          </w:tblCellMar>
        </w:tblPrEx>
        <w:trPr>
          <w:trHeight w:val="483" w:hRule="atLeast"/>
        </w:trPr>
        <w:tc>
          <w:tcPr>
            <w:tcW w:w="28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0F362334">
            <w:pPr>
              <w:adjustRightInd w:val="0"/>
              <w:snapToGrid w:val="0"/>
              <w:spacing w:line="4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年度 </w:t>
            </w:r>
          </w:p>
        </w:tc>
        <w:tc>
          <w:tcPr>
            <w:tcW w:w="482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1DBBB8E">
            <w:pPr>
              <w:adjustRightInd w:val="0"/>
              <w:snapToGrid w:val="0"/>
              <w:spacing w:line="44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总额 </w:t>
            </w:r>
          </w:p>
        </w:tc>
      </w:tr>
      <w:tr w14:paraId="024FBAFF">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02D2CC96">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04EA68EB">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7CE95690">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9C24D80">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4560F7AD">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r w14:paraId="64742A0B">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DB734C1">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2B3E232B">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r>
    </w:tbl>
    <w:p w14:paraId="69B84511">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4、近年该货物（服务）主要销售客户的名称地址(可另附页)： </w:t>
      </w:r>
    </w:p>
    <w:p w14:paraId="14066EF3">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（用户名称和地址） </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（销售项目名称） </w:t>
      </w:r>
    </w:p>
    <w:p w14:paraId="3C7AC996">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（用户名称和地址） </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（销售项目名称） </w:t>
      </w:r>
    </w:p>
    <w:p w14:paraId="5B030C4C">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5、同意为投标人制造货物的制造商名称、地址（非制造商填写） </w:t>
      </w:r>
    </w:p>
    <w:p w14:paraId="0403B069">
      <w:pPr>
        <w:adjustRightInd w:val="0"/>
        <w:snapToGrid w:val="0"/>
        <w:spacing w:line="440" w:lineRule="exact"/>
        <w:ind w:left="420"/>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rPr>
        <w:t xml:space="preserve">   </w:t>
      </w:r>
      <w:r>
        <w:rPr>
          <w:rFonts w:ascii="Times New Roman" w:hAnsi="Times New Roman" w:eastAsia="仿宋_GB2312"/>
          <w:color w:val="auto"/>
          <w:sz w:val="24"/>
          <w:szCs w:val="24"/>
          <w:highlight w:val="none"/>
          <w:u w:val="single"/>
        </w:rPr>
        <w:t>                              </w:t>
      </w:r>
    </w:p>
    <w:p w14:paraId="234893D5">
      <w:pPr>
        <w:adjustRightInd w:val="0"/>
        <w:snapToGrid w:val="0"/>
        <w:spacing w:line="440" w:lineRule="exact"/>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u w:val="single"/>
        </w:rPr>
        <w:t xml:space="preserve">                                   </w:t>
      </w:r>
    </w:p>
    <w:p w14:paraId="732BCEC9">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6、近年类似项目业绩（可另附页）： </w:t>
      </w:r>
    </w:p>
    <w:p w14:paraId="1FFE43FB">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采购人：</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w:t>
      </w:r>
    </w:p>
    <w:p w14:paraId="430ADFBC">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合同签订时间：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1F502EB7">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数量：</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622F865A">
      <w:pPr>
        <w:adjustRightInd w:val="0"/>
        <w:snapToGrid w:val="0"/>
        <w:spacing w:line="440" w:lineRule="exact"/>
        <w:ind w:left="420" w:firstLine="120" w:firstLineChars="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合同金额：</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5285B959">
      <w:pPr>
        <w:adjustRightInd w:val="0"/>
        <w:snapToGrid w:val="0"/>
        <w:spacing w:line="440" w:lineRule="exact"/>
        <w:ind w:left="420" w:leftChars="200" w:firstLine="120" w:firstLineChars="5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7、开立账户银行的名称和地址</w:t>
      </w:r>
      <w:r>
        <w:rPr>
          <w:rFonts w:ascii="Times New Roman" w:hAnsi="Times New Roman" w:eastAsia="仿宋_GB2312"/>
          <w:color w:val="auto"/>
          <w:sz w:val="24"/>
          <w:szCs w:val="24"/>
          <w:highlight w:val="none"/>
          <w:u w:val="single"/>
        </w:rPr>
        <w:t>                               </w:t>
      </w:r>
    </w:p>
    <w:p w14:paraId="43EF23E8">
      <w:pPr>
        <w:adjustRightInd w:val="0"/>
        <w:snapToGrid w:val="0"/>
        <w:spacing w:line="440" w:lineRule="exact"/>
        <w:ind w:left="420" w:leftChars="200" w:firstLine="120" w:firstLineChars="50"/>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（提供开立账户银行存款账户信息扫描件）</w:t>
      </w:r>
    </w:p>
    <w:tbl>
      <w:tblPr>
        <w:tblStyle w:val="29"/>
        <w:tblW w:w="0" w:type="dxa"/>
        <w:jc w:val="center"/>
        <w:tblLayout w:type="fixed"/>
        <w:tblCellMar>
          <w:top w:w="0" w:type="dxa"/>
          <w:left w:w="0" w:type="dxa"/>
          <w:bottom w:w="0" w:type="dxa"/>
          <w:right w:w="0" w:type="dxa"/>
        </w:tblCellMar>
      </w:tblPr>
      <w:tblGrid>
        <w:gridCol w:w="8485"/>
      </w:tblGrid>
      <w:tr w14:paraId="45C40DA9">
        <w:tblPrEx>
          <w:tblCellMar>
            <w:top w:w="0" w:type="dxa"/>
            <w:left w:w="0" w:type="dxa"/>
            <w:bottom w:w="0" w:type="dxa"/>
            <w:right w:w="0" w:type="dxa"/>
          </w:tblCellMar>
        </w:tblPrEx>
        <w:trPr>
          <w:trHeight w:val="3335" w:hRule="atLeast"/>
          <w:jc w:val="center"/>
        </w:trPr>
        <w:tc>
          <w:tcPr>
            <w:tcW w:w="84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EC5D554">
            <w:pPr>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存款账户信息扫描件</w:t>
            </w:r>
          </w:p>
        </w:tc>
      </w:tr>
    </w:tbl>
    <w:p w14:paraId="316BCD24">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8、供应商直接管理关系信息</w:t>
      </w:r>
    </w:p>
    <w:tbl>
      <w:tblPr>
        <w:tblStyle w:val="29"/>
        <w:tblW w:w="4989" w:type="pct"/>
        <w:tblInd w:w="0" w:type="dxa"/>
        <w:tblLayout w:type="autofit"/>
        <w:tblCellMar>
          <w:top w:w="0" w:type="dxa"/>
          <w:left w:w="0" w:type="dxa"/>
          <w:bottom w:w="0" w:type="dxa"/>
          <w:right w:w="0" w:type="dxa"/>
        </w:tblCellMar>
      </w:tblPr>
      <w:tblGrid>
        <w:gridCol w:w="725"/>
        <w:gridCol w:w="2836"/>
        <w:gridCol w:w="1490"/>
        <w:gridCol w:w="3739"/>
        <w:gridCol w:w="1150"/>
      </w:tblGrid>
      <w:tr w14:paraId="2CDE2E73">
        <w:tblPrEx>
          <w:tblCellMar>
            <w:top w:w="0" w:type="dxa"/>
            <w:left w:w="0" w:type="dxa"/>
            <w:bottom w:w="0" w:type="dxa"/>
            <w:right w:w="0" w:type="dxa"/>
          </w:tblCellMar>
        </w:tblPrEx>
        <w:trPr>
          <w:trHeight w:val="483" w:hRule="atLeast"/>
        </w:trPr>
        <w:tc>
          <w:tcPr>
            <w:tcW w:w="365"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7D79599E">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序号</w:t>
            </w:r>
            <w:r>
              <w:rPr>
                <w:rFonts w:ascii="Times New Roman" w:hAnsi="Times New Roman" w:eastAsia="仿宋_GB2312"/>
                <w:color w:val="auto"/>
                <w:sz w:val="24"/>
                <w:szCs w:val="24"/>
                <w:highlight w:val="none"/>
              </w:rPr>
              <w:t xml:space="preserve"> </w:t>
            </w:r>
          </w:p>
        </w:tc>
        <w:tc>
          <w:tcPr>
            <w:tcW w:w="1426"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759CFCDB">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直接控股股东名称</w:t>
            </w:r>
            <w:r>
              <w:rPr>
                <w:rFonts w:ascii="Times New Roman" w:hAnsi="Times New Roman" w:eastAsia="仿宋_GB2312"/>
                <w:color w:val="auto"/>
                <w:sz w:val="24"/>
                <w:szCs w:val="24"/>
                <w:highlight w:val="none"/>
              </w:rPr>
              <w:t xml:space="preserve"> </w:t>
            </w:r>
          </w:p>
        </w:tc>
        <w:tc>
          <w:tcPr>
            <w:tcW w:w="749"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622E129">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出资比例</w:t>
            </w:r>
          </w:p>
        </w:tc>
        <w:tc>
          <w:tcPr>
            <w:tcW w:w="18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0B114A8F">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身份证号码或统一社会信用代码</w:t>
            </w:r>
          </w:p>
        </w:tc>
        <w:tc>
          <w:tcPr>
            <w:tcW w:w="5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645572D2">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备注</w:t>
            </w:r>
          </w:p>
        </w:tc>
      </w:tr>
      <w:tr w14:paraId="3305ED8F">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6E88EB4">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1</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3DEAA6E2">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9C4CC67">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6787E1BC">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6BD91658">
            <w:pPr>
              <w:adjustRightInd w:val="0"/>
              <w:snapToGrid w:val="0"/>
              <w:spacing w:line="440" w:lineRule="exact"/>
              <w:rPr>
                <w:rFonts w:ascii="Times New Roman" w:hAnsi="Times New Roman" w:eastAsia="仿宋_GB2312"/>
                <w:color w:val="auto"/>
                <w:sz w:val="24"/>
                <w:szCs w:val="24"/>
                <w:highlight w:val="none"/>
              </w:rPr>
            </w:pPr>
          </w:p>
        </w:tc>
      </w:tr>
      <w:tr w14:paraId="005C9E0A">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7BE4F25">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2</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9B6FA53">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290576EB">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2424A421">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220C05F9">
            <w:pPr>
              <w:adjustRightInd w:val="0"/>
              <w:snapToGrid w:val="0"/>
              <w:spacing w:line="440" w:lineRule="exact"/>
              <w:rPr>
                <w:rFonts w:ascii="Times New Roman" w:hAnsi="Times New Roman" w:eastAsia="仿宋_GB2312"/>
                <w:color w:val="auto"/>
                <w:sz w:val="24"/>
                <w:szCs w:val="24"/>
                <w:highlight w:val="none"/>
              </w:rPr>
            </w:pPr>
          </w:p>
        </w:tc>
      </w:tr>
      <w:tr w14:paraId="38226305">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0CCE906">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ED6E88C">
            <w:pPr>
              <w:adjustRightInd w:val="0"/>
              <w:snapToGrid w:val="0"/>
              <w:spacing w:line="440" w:lineRule="exact"/>
              <w:rPr>
                <w:rFonts w:ascii="Times New Roman" w:hAnsi="Times New Roman" w:eastAsia="仿宋_GB2312"/>
                <w:color w:val="auto"/>
                <w:sz w:val="24"/>
                <w:szCs w:val="24"/>
                <w:highlight w:val="none"/>
              </w:rPr>
            </w:pP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6B0C5373">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4CAE626D">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3AAE7039">
            <w:pPr>
              <w:adjustRightInd w:val="0"/>
              <w:snapToGrid w:val="0"/>
              <w:spacing w:line="440" w:lineRule="exact"/>
              <w:rPr>
                <w:rFonts w:ascii="Times New Roman" w:hAnsi="Times New Roman" w:eastAsia="仿宋_GB2312"/>
                <w:color w:val="auto"/>
                <w:sz w:val="24"/>
                <w:szCs w:val="24"/>
                <w:highlight w:val="none"/>
              </w:rPr>
            </w:pPr>
          </w:p>
        </w:tc>
      </w:tr>
      <w:tr w14:paraId="7686E15F">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3471C3F">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19C2799">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2C02E1AC">
            <w:pPr>
              <w:adjustRightInd w:val="0"/>
              <w:snapToGrid w:val="0"/>
              <w:spacing w:line="440" w:lineRule="exact"/>
              <w:rPr>
                <w:rFonts w:ascii="Times New Roman" w:hAnsi="Times New Roman" w:eastAsia="仿宋_GB2312"/>
                <w:color w:val="auto"/>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5D020504">
            <w:pPr>
              <w:adjustRightInd w:val="0"/>
              <w:snapToGrid w:val="0"/>
              <w:spacing w:line="440" w:lineRule="exact"/>
              <w:rPr>
                <w:rFonts w:ascii="Times New Roman" w:hAnsi="Times New Roman" w:eastAsia="仿宋_GB2312"/>
                <w:color w:val="auto"/>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23517B85">
            <w:pPr>
              <w:adjustRightInd w:val="0"/>
              <w:snapToGrid w:val="0"/>
              <w:spacing w:line="440" w:lineRule="exact"/>
              <w:rPr>
                <w:rFonts w:ascii="Times New Roman" w:hAnsi="Times New Roman" w:eastAsia="仿宋_GB2312"/>
                <w:color w:val="auto"/>
                <w:sz w:val="24"/>
                <w:szCs w:val="24"/>
                <w:highlight w:val="none"/>
              </w:rPr>
            </w:pPr>
          </w:p>
        </w:tc>
      </w:tr>
    </w:tbl>
    <w:p w14:paraId="3A6C1722">
      <w:pPr>
        <w:adjustRightInd w:val="0"/>
        <w:snapToGrid w:val="0"/>
        <w:spacing w:line="440" w:lineRule="exact"/>
        <w:ind w:firstLine="442" w:firstLineChars="200"/>
        <w:rPr>
          <w:rFonts w:ascii="Times New Roman" w:hAnsi="Times New Roman" w:eastAsia="仿宋_GB2312"/>
          <w:color w:val="auto"/>
          <w:sz w:val="22"/>
          <w:highlight w:val="none"/>
        </w:rPr>
      </w:pPr>
      <w:r>
        <w:rPr>
          <w:rFonts w:hint="eastAsia" w:ascii="Times New Roman" w:hAnsi="Times New Roman" w:eastAsia="仿宋_GB2312"/>
          <w:b/>
          <w:bCs/>
          <w:color w:val="auto"/>
          <w:sz w:val="22"/>
          <w:highlight w:val="none"/>
        </w:rPr>
        <w:t>注：</w:t>
      </w:r>
      <w:r>
        <w:rPr>
          <w:rFonts w:hint="eastAsia" w:ascii="Times New Roman" w:hAnsi="Times New Roman" w:eastAsia="仿宋_GB2312"/>
          <w:color w:val="auto"/>
          <w:sz w:val="22"/>
          <w:highlight w:val="none"/>
        </w:rPr>
        <w:t>①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7869113">
      <w:pPr>
        <w:adjustRightInd w:val="0"/>
        <w:snapToGrid w:val="0"/>
        <w:spacing w:line="440" w:lineRule="exact"/>
        <w:ind w:firstLine="440" w:firstLineChars="200"/>
        <w:rPr>
          <w:rFonts w:ascii="Times New Roman" w:hAnsi="Times New Roman" w:eastAsia="仿宋_GB2312"/>
          <w:color w:val="auto"/>
          <w:sz w:val="22"/>
          <w:highlight w:val="none"/>
        </w:rPr>
      </w:pPr>
      <w:r>
        <w:rPr>
          <w:rFonts w:hint="eastAsia" w:ascii="Times New Roman" w:hAnsi="Times New Roman" w:eastAsia="仿宋_GB2312"/>
          <w:color w:val="auto"/>
          <w:sz w:val="22"/>
          <w:highlight w:val="none"/>
        </w:rPr>
        <w:t>②本表所指的控股关系仅限于直接控股关系，不包括间接的控股关系。公司实际控制人与公司之间的关系不属于本表所指的直接控股关系。</w:t>
      </w:r>
    </w:p>
    <w:p w14:paraId="47C9CBE8">
      <w:pPr>
        <w:adjustRightInd w:val="0"/>
        <w:snapToGrid w:val="0"/>
        <w:spacing w:line="440" w:lineRule="exact"/>
        <w:ind w:firstLine="44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2"/>
          <w:highlight w:val="none"/>
        </w:rPr>
        <w:t>③供应商不存在直接控股股东的，则填"无"。</w:t>
      </w:r>
    </w:p>
    <w:p w14:paraId="21281BE2">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9、供应商直接控股股东信息</w:t>
      </w:r>
    </w:p>
    <w:tbl>
      <w:tblPr>
        <w:tblStyle w:val="29"/>
        <w:tblW w:w="4998" w:type="pct"/>
        <w:tblInd w:w="0" w:type="dxa"/>
        <w:tblLayout w:type="autofit"/>
        <w:tblCellMar>
          <w:top w:w="0" w:type="dxa"/>
          <w:left w:w="0" w:type="dxa"/>
          <w:bottom w:w="0" w:type="dxa"/>
          <w:right w:w="0" w:type="dxa"/>
        </w:tblCellMar>
      </w:tblPr>
      <w:tblGrid>
        <w:gridCol w:w="851"/>
        <w:gridCol w:w="3343"/>
        <w:gridCol w:w="4409"/>
        <w:gridCol w:w="1355"/>
      </w:tblGrid>
      <w:tr w14:paraId="78C9266C">
        <w:tblPrEx>
          <w:tblCellMar>
            <w:top w:w="0" w:type="dxa"/>
            <w:left w:w="0" w:type="dxa"/>
            <w:bottom w:w="0" w:type="dxa"/>
            <w:right w:w="0" w:type="dxa"/>
          </w:tblCellMar>
        </w:tblPrEx>
        <w:trPr>
          <w:trHeight w:val="483" w:hRule="atLeast"/>
        </w:trPr>
        <w:tc>
          <w:tcPr>
            <w:tcW w:w="427"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786EB7E3">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序号</w:t>
            </w:r>
            <w:r>
              <w:rPr>
                <w:rFonts w:ascii="Times New Roman" w:hAnsi="Times New Roman" w:eastAsia="仿宋_GB2312"/>
                <w:color w:val="auto"/>
                <w:sz w:val="24"/>
                <w:szCs w:val="24"/>
                <w:highlight w:val="none"/>
              </w:rPr>
              <w:t xml:space="preserve"> </w:t>
            </w:r>
          </w:p>
        </w:tc>
        <w:tc>
          <w:tcPr>
            <w:tcW w:w="16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723DCA0">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直接管理关系单位名称</w:t>
            </w:r>
            <w:r>
              <w:rPr>
                <w:rFonts w:ascii="Times New Roman" w:hAnsi="Times New Roman" w:eastAsia="仿宋_GB2312"/>
                <w:color w:val="auto"/>
                <w:sz w:val="24"/>
                <w:szCs w:val="24"/>
                <w:highlight w:val="none"/>
              </w:rPr>
              <w:t xml:space="preserve"> </w:t>
            </w:r>
          </w:p>
        </w:tc>
        <w:tc>
          <w:tcPr>
            <w:tcW w:w="2213"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4709095">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统一社会信用代码</w:t>
            </w:r>
          </w:p>
        </w:tc>
        <w:tc>
          <w:tcPr>
            <w:tcW w:w="6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76F29A5D">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备注</w:t>
            </w:r>
          </w:p>
        </w:tc>
      </w:tr>
      <w:tr w14:paraId="5B62CB13">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3E97818">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1</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41CCAC6A">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08EE1390">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099BB33B">
            <w:pPr>
              <w:adjustRightInd w:val="0"/>
              <w:snapToGrid w:val="0"/>
              <w:spacing w:line="440" w:lineRule="exact"/>
              <w:rPr>
                <w:rFonts w:ascii="Times New Roman" w:hAnsi="Times New Roman" w:eastAsia="仿宋_GB2312"/>
                <w:color w:val="auto"/>
                <w:sz w:val="24"/>
                <w:szCs w:val="24"/>
                <w:highlight w:val="none"/>
              </w:rPr>
            </w:pPr>
          </w:p>
        </w:tc>
      </w:tr>
      <w:tr w14:paraId="659092C2">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FE48960">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2</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2D8ED30E">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3AD466C4">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721DA4A9">
            <w:pPr>
              <w:adjustRightInd w:val="0"/>
              <w:snapToGrid w:val="0"/>
              <w:spacing w:line="440" w:lineRule="exact"/>
              <w:rPr>
                <w:rFonts w:ascii="Times New Roman" w:hAnsi="Times New Roman" w:eastAsia="仿宋_GB2312"/>
                <w:color w:val="auto"/>
                <w:sz w:val="24"/>
                <w:szCs w:val="24"/>
                <w:highlight w:val="none"/>
              </w:rPr>
            </w:pPr>
          </w:p>
        </w:tc>
      </w:tr>
      <w:tr w14:paraId="2FB2E9C7">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C567CEA">
            <w:pPr>
              <w:adjustRightInd w:val="0"/>
              <w:snapToGrid w:val="0"/>
              <w:spacing w:line="44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3</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054A5395">
            <w:pPr>
              <w:adjustRightInd w:val="0"/>
              <w:snapToGrid w:val="0"/>
              <w:spacing w:line="440" w:lineRule="exact"/>
              <w:rPr>
                <w:rFonts w:ascii="Times New Roman" w:hAnsi="Times New Roman" w:eastAsia="仿宋_GB2312"/>
                <w:color w:val="auto"/>
                <w:sz w:val="24"/>
                <w:szCs w:val="24"/>
                <w:highlight w:val="none"/>
              </w:rPr>
            </w:pP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1DA0D6FA">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8E38C28">
            <w:pPr>
              <w:adjustRightInd w:val="0"/>
              <w:snapToGrid w:val="0"/>
              <w:spacing w:line="440" w:lineRule="exact"/>
              <w:rPr>
                <w:rFonts w:ascii="Times New Roman" w:hAnsi="Times New Roman" w:eastAsia="仿宋_GB2312"/>
                <w:color w:val="auto"/>
                <w:sz w:val="24"/>
                <w:szCs w:val="24"/>
                <w:highlight w:val="none"/>
              </w:rPr>
            </w:pPr>
          </w:p>
        </w:tc>
      </w:tr>
      <w:tr w14:paraId="13B7CF86">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30226DE">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r>
              <w:rPr>
                <w:rFonts w:hint="eastAsia" w:ascii="Times New Roman" w:hAnsi="Times New Roman" w:eastAsia="仿宋_GB2312"/>
                <w:color w:val="auto"/>
                <w:sz w:val="24"/>
                <w:szCs w:val="24"/>
                <w:highlight w:val="none"/>
              </w:rPr>
              <w:t>...</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1D4FF9D7">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311CA627">
            <w:pPr>
              <w:adjustRightInd w:val="0"/>
              <w:snapToGrid w:val="0"/>
              <w:spacing w:line="440" w:lineRule="exact"/>
              <w:rPr>
                <w:rFonts w:ascii="Times New Roman" w:hAnsi="Times New Roman" w:eastAsia="仿宋_GB2312"/>
                <w:color w:val="auto"/>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2AB02277">
            <w:pPr>
              <w:adjustRightInd w:val="0"/>
              <w:snapToGrid w:val="0"/>
              <w:spacing w:line="440" w:lineRule="exact"/>
              <w:rPr>
                <w:rFonts w:ascii="Times New Roman" w:hAnsi="Times New Roman" w:eastAsia="仿宋_GB2312"/>
                <w:color w:val="auto"/>
                <w:sz w:val="24"/>
                <w:szCs w:val="24"/>
                <w:highlight w:val="none"/>
              </w:rPr>
            </w:pPr>
          </w:p>
        </w:tc>
      </w:tr>
    </w:tbl>
    <w:p w14:paraId="3D2242D1">
      <w:pPr>
        <w:adjustRightInd w:val="0"/>
        <w:snapToGrid w:val="0"/>
        <w:spacing w:line="440" w:lineRule="exact"/>
        <w:ind w:firstLine="442" w:firstLineChars="200"/>
        <w:rPr>
          <w:rFonts w:ascii="Times New Roman" w:hAnsi="Times New Roman" w:eastAsia="仿宋_GB2312"/>
          <w:color w:val="auto"/>
          <w:sz w:val="22"/>
          <w:highlight w:val="none"/>
        </w:rPr>
      </w:pPr>
      <w:r>
        <w:rPr>
          <w:rFonts w:hint="eastAsia" w:ascii="Times New Roman" w:hAnsi="Times New Roman" w:eastAsia="仿宋_GB2312"/>
          <w:b/>
          <w:bCs/>
          <w:color w:val="auto"/>
          <w:sz w:val="22"/>
          <w:highlight w:val="none"/>
        </w:rPr>
        <w:t>注：</w:t>
      </w:r>
      <w:r>
        <w:rPr>
          <w:rFonts w:hint="eastAsia" w:ascii="Times New Roman" w:hAnsi="Times New Roman" w:eastAsia="仿宋_GB2312"/>
          <w:color w:val="auto"/>
          <w:sz w:val="22"/>
          <w:highlight w:val="none"/>
        </w:rPr>
        <w:t>①管理关系：是指不具有出资持股关系的其他单位之间存在的管理与被管理关系，如一些上下级关系的事业单位和团体组织。</w:t>
      </w:r>
    </w:p>
    <w:p w14:paraId="1E4C28F3">
      <w:pPr>
        <w:adjustRightInd w:val="0"/>
        <w:snapToGrid w:val="0"/>
        <w:spacing w:line="440" w:lineRule="exact"/>
        <w:ind w:firstLine="440" w:firstLineChars="200"/>
        <w:rPr>
          <w:rFonts w:ascii="Times New Roman" w:hAnsi="Times New Roman" w:eastAsia="仿宋_GB2312"/>
          <w:color w:val="auto"/>
          <w:sz w:val="22"/>
          <w:highlight w:val="none"/>
        </w:rPr>
      </w:pPr>
      <w:r>
        <w:rPr>
          <w:rFonts w:hint="eastAsia" w:ascii="Times New Roman" w:hAnsi="Times New Roman" w:eastAsia="仿宋_GB2312"/>
          <w:color w:val="auto"/>
          <w:sz w:val="22"/>
          <w:highlight w:val="none"/>
        </w:rPr>
        <w:t>②本表所指的管理关系仅限于直接管理关系，不包括间接的管理关系。</w:t>
      </w:r>
    </w:p>
    <w:p w14:paraId="38DB4040">
      <w:pPr>
        <w:adjustRightInd w:val="0"/>
        <w:snapToGrid w:val="0"/>
        <w:spacing w:line="440" w:lineRule="exact"/>
        <w:ind w:firstLine="44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2"/>
          <w:highlight w:val="none"/>
        </w:rPr>
        <w:t>③供应商不存在直接管理关系的，则填"无"。</w:t>
      </w:r>
    </w:p>
    <w:p w14:paraId="63320562">
      <w:pPr>
        <w:adjustRightInd w:val="0"/>
        <w:snapToGrid w:val="0"/>
        <w:spacing w:line="440" w:lineRule="exact"/>
        <w:ind w:firstLine="480" w:firstLineChars="200"/>
        <w:rPr>
          <w:rFonts w:ascii="Times New Roman" w:hAnsi="Times New Roman" w:eastAsia="仿宋_GB2312"/>
          <w:color w:val="auto"/>
          <w:sz w:val="24"/>
          <w:szCs w:val="24"/>
          <w:highlight w:val="none"/>
        </w:rPr>
      </w:pPr>
    </w:p>
    <w:p w14:paraId="2278F91F">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10</w:t>
      </w:r>
      <w:r>
        <w:rPr>
          <w:rFonts w:ascii="Times New Roman" w:hAnsi="Times New Roman" w:eastAsia="仿宋_GB2312"/>
          <w:color w:val="auto"/>
          <w:sz w:val="24"/>
          <w:szCs w:val="24"/>
          <w:highlight w:val="none"/>
        </w:rPr>
        <w:t>、其他情况：组织机构、技术力量、制造商体系认证情况等。</w:t>
      </w:r>
    </w:p>
    <w:p w14:paraId="2C80E533">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兹声明上述数据和资料是真实、有效的，我们同意遵照贵方要求出示有关证明文件。 </w:t>
      </w:r>
    </w:p>
    <w:p w14:paraId="5C68F684">
      <w:pPr>
        <w:adjustRightInd w:val="0"/>
        <w:snapToGrid w:val="0"/>
        <w:spacing w:line="440" w:lineRule="exact"/>
        <w:ind w:firstLine="42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p w14:paraId="46C49921">
      <w:pPr>
        <w:adjustRightInd w:val="0"/>
        <w:snapToGrid w:val="0"/>
        <w:spacing w:line="440" w:lineRule="exact"/>
        <w:ind w:firstLine="3960" w:firstLineChars="16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（公章） </w:t>
      </w:r>
    </w:p>
    <w:p w14:paraId="73983B29">
      <w:pPr>
        <w:adjustRightInd w:val="0"/>
        <w:snapToGrid w:val="0"/>
        <w:spacing w:line="440" w:lineRule="exact"/>
        <w:ind w:firstLine="3960" w:firstLineChars="16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月</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日 </w:t>
      </w:r>
    </w:p>
    <w:p w14:paraId="7F0D261F">
      <w:pPr>
        <w:widowControl/>
        <w:jc w:val="center"/>
        <w:rPr>
          <w:rFonts w:ascii="Times New Roman" w:hAnsi="Times New Roman"/>
          <w:b/>
          <w:bCs/>
          <w:color w:val="auto"/>
          <w:kern w:val="0"/>
          <w:sz w:val="32"/>
          <w:szCs w:val="32"/>
          <w:highlight w:val="none"/>
        </w:rPr>
      </w:pPr>
    </w:p>
    <w:p w14:paraId="393DBD26">
      <w:pPr>
        <w:widowControl/>
        <w:jc w:val="center"/>
        <w:rPr>
          <w:rFonts w:ascii="Times New Roman" w:hAnsi="Times New Roman"/>
          <w:b/>
          <w:bCs/>
          <w:color w:val="auto"/>
          <w:kern w:val="0"/>
          <w:sz w:val="32"/>
          <w:szCs w:val="32"/>
          <w:highlight w:val="none"/>
        </w:rPr>
      </w:pPr>
    </w:p>
    <w:p w14:paraId="602CC744">
      <w:pPr>
        <w:widowControl/>
        <w:jc w:val="center"/>
        <w:rPr>
          <w:rFonts w:ascii="Times New Roman" w:hAnsi="Times New Roman"/>
          <w:b/>
          <w:bCs/>
          <w:color w:val="auto"/>
          <w:kern w:val="0"/>
          <w:sz w:val="32"/>
          <w:szCs w:val="32"/>
          <w:highlight w:val="none"/>
        </w:rPr>
      </w:pPr>
      <w:r>
        <w:rPr>
          <w:rFonts w:ascii="Times New Roman" w:hAnsi="Times New Roman"/>
          <w:b/>
          <w:bCs/>
          <w:color w:val="auto"/>
          <w:kern w:val="0"/>
          <w:sz w:val="32"/>
          <w:szCs w:val="32"/>
          <w:highlight w:val="none"/>
        </w:rPr>
        <w:br w:type="page"/>
      </w:r>
    </w:p>
    <w:p w14:paraId="3A082FE8">
      <w:pPr>
        <w:widowControl/>
        <w:jc w:val="center"/>
        <w:rPr>
          <w:rFonts w:ascii="Times New Roman" w:hAnsi="Times New Roman"/>
          <w:color w:val="auto"/>
          <w:kern w:val="0"/>
          <w:sz w:val="32"/>
          <w:szCs w:val="32"/>
          <w:highlight w:val="none"/>
        </w:rPr>
      </w:pPr>
      <w:r>
        <w:rPr>
          <w:rFonts w:ascii="Times New Roman" w:hAnsi="Times New Roman"/>
          <w:b/>
          <w:bCs/>
          <w:color w:val="auto"/>
          <w:kern w:val="0"/>
          <w:sz w:val="32"/>
          <w:szCs w:val="32"/>
          <w:highlight w:val="none"/>
        </w:rPr>
        <w:t>二、投标函</w:t>
      </w:r>
    </w:p>
    <w:p w14:paraId="67588638">
      <w:pPr>
        <w:adjustRightInd w:val="0"/>
        <w:snapToGrid w:val="0"/>
        <w:spacing w:line="440" w:lineRule="exac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szCs w:val="21"/>
          <w:highlight w:val="none"/>
        </w:rPr>
        <w:t xml:space="preserve"> </w:t>
      </w:r>
    </w:p>
    <w:p w14:paraId="3F58DD60">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乌鲁木齐市公共资源交易中心（乌鲁木齐市政府采购中心）： </w:t>
      </w:r>
    </w:p>
    <w:p w14:paraId="41680F6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根据贵方</w:t>
      </w:r>
      <w:r>
        <w:rPr>
          <w:rFonts w:ascii="Times New Roman" w:hAnsi="Times New Roman" w:eastAsia="仿宋_GB2312"/>
          <w:color w:val="auto"/>
          <w:sz w:val="24"/>
          <w:szCs w:val="24"/>
          <w:highlight w:val="none"/>
          <w:u w:val="single"/>
        </w:rPr>
        <w:t>    （项目名称）     </w:t>
      </w:r>
      <w:r>
        <w:rPr>
          <w:rFonts w:ascii="Times New Roman" w:hAnsi="Times New Roman" w:eastAsia="仿宋_GB2312"/>
          <w:color w:val="auto"/>
          <w:sz w:val="24"/>
          <w:szCs w:val="24"/>
          <w:highlight w:val="none"/>
        </w:rPr>
        <w:t>（项目编号：</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）的投标邀请，正式授权签字代表</w:t>
      </w:r>
      <w:r>
        <w:rPr>
          <w:rFonts w:ascii="Times New Roman" w:hAnsi="Times New Roman" w:eastAsia="仿宋_GB2312"/>
          <w:color w:val="auto"/>
          <w:sz w:val="24"/>
          <w:szCs w:val="24"/>
          <w:highlight w:val="none"/>
          <w:u w:val="single"/>
        </w:rPr>
        <w:t xml:space="preserve">   （姓名、职务）  </w:t>
      </w:r>
      <w:r>
        <w:rPr>
          <w:rFonts w:ascii="Times New Roman" w:hAnsi="Times New Roman" w:eastAsia="仿宋_GB2312"/>
          <w:color w:val="auto"/>
          <w:sz w:val="24"/>
          <w:szCs w:val="24"/>
          <w:highlight w:val="none"/>
        </w:rPr>
        <w:t>代表投标人 </w:t>
      </w:r>
      <w:r>
        <w:rPr>
          <w:rFonts w:ascii="Times New Roman" w:hAnsi="Times New Roman" w:eastAsia="仿宋_GB2312"/>
          <w:color w:val="auto"/>
          <w:sz w:val="24"/>
          <w:szCs w:val="24"/>
          <w:highlight w:val="none"/>
          <w:u w:val="single"/>
        </w:rPr>
        <w:t xml:space="preserve">   （投标人名称）   </w:t>
      </w:r>
      <w:r>
        <w:rPr>
          <w:rFonts w:ascii="Times New Roman" w:hAnsi="Times New Roman" w:eastAsia="仿宋_GB2312"/>
          <w:color w:val="auto"/>
          <w:sz w:val="24"/>
          <w:szCs w:val="24"/>
          <w:highlight w:val="none"/>
        </w:rPr>
        <w:t xml:space="preserve">提交下述文件并在此声明，所有信息和文件是真实、完整、准确、最新的，并且未进行任何形式的篡改或伪造。因提供的任何资料存在虚假、不实的情况给主办方或任何第三方造成的所有损失，由我方承担法律责任。 </w:t>
      </w:r>
    </w:p>
    <w:p w14:paraId="79A74F2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1、资格响应文件；</w:t>
      </w:r>
    </w:p>
    <w:p w14:paraId="68C3EB1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2、报价响应文件； </w:t>
      </w:r>
    </w:p>
    <w:p w14:paraId="70512169">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3、商务技术响应文件；</w:t>
      </w:r>
    </w:p>
    <w:p w14:paraId="71A921B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4、演示视频（如有）。</w:t>
      </w:r>
    </w:p>
    <w:p w14:paraId="795DACAA">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在此，签字代表宣布同意如下： </w:t>
      </w:r>
    </w:p>
    <w:p w14:paraId="5A0D511E">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1、按招标文件规定提供的货物（或服务）投标总价为：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元(人民币大写)。 </w:t>
      </w:r>
    </w:p>
    <w:p w14:paraId="3BFCFFF4">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2、我方如果中标，将保证履行招标文件及其澄清、修改文件（如果有）中的全部责任和义务，按质、按量、按期完成《采购需求》及《合同书》中的全部任务。 </w:t>
      </w:r>
    </w:p>
    <w:p w14:paraId="7CF4449B">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3、我方已详细阅读全部招标文件，完全理解并同意放弃对招标文件有不明及误解的权利。 </w:t>
      </w:r>
    </w:p>
    <w:p w14:paraId="7AC5C416">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我方承诺以中标为目的参与本次采购活动，自开标之日起遵循本招标文件规定，若我方成交，在招标文件前附表中规定的投标有效期内我方将履行本投标文件中的承诺，且在此期限内投标文件对我方具有法律约束力。</w:t>
      </w:r>
    </w:p>
    <w:p w14:paraId="5F1E6C27">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5、同意提供贵方可能要求的与本次采购有关的一切数据或资料。 </w:t>
      </w:r>
    </w:p>
    <w:p w14:paraId="1B849161">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、我们完全理解贵方不一定要接受最低报价的投标或收到的任何投标。</w:t>
      </w:r>
    </w:p>
    <w:p w14:paraId="0B918871">
      <w:pPr>
        <w:pStyle w:val="37"/>
        <w:ind w:firstLine="48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7、我方对在本函及投标文件中所作的所有承诺承担法律责任。</w:t>
      </w:r>
    </w:p>
    <w:p w14:paraId="1F2B0843">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8</w:t>
      </w:r>
      <w:r>
        <w:rPr>
          <w:rFonts w:ascii="Times New Roman" w:hAnsi="Times New Roman" w:eastAsia="仿宋_GB2312"/>
          <w:color w:val="auto"/>
          <w:sz w:val="24"/>
          <w:szCs w:val="24"/>
          <w:highlight w:val="none"/>
        </w:rPr>
        <w:t>、投标有效期：自提交投标文件的截止之日起</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r>
        <w:rPr>
          <w:rFonts w:hint="eastAsia" w:ascii="Times New Roman" w:hAnsi="Times New Roman" w:eastAsia="仿宋_GB2312"/>
          <w:color w:val="auto"/>
          <w:sz w:val="24"/>
          <w:szCs w:val="24"/>
          <w:highlight w:val="none"/>
        </w:rPr>
        <w:t>。</w:t>
      </w:r>
    </w:p>
    <w:p w14:paraId="3A9E089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我方承诺未为本项目提供整体设计、规范编制或者项目管理、监理、检测等服务。</w:t>
      </w:r>
    </w:p>
    <w:p w14:paraId="22B1D7F1">
      <w:pPr>
        <w:pStyle w:val="37"/>
        <w:ind w:firstLine="480"/>
        <w:rPr>
          <w:rFonts w:ascii="Times New Roman" w:hAnsi="Times New Roman" w:eastAsia="仿宋_GB2312" w:cs="Times New Roman"/>
          <w:color w:val="auto"/>
          <w:kern w:val="2"/>
          <w:sz w:val="24"/>
          <w:szCs w:val="24"/>
          <w:highlight w:val="none"/>
        </w:rPr>
      </w:pPr>
      <w:r>
        <w:rPr>
          <w:rFonts w:ascii="Times New Roman" w:hAnsi="Times New Roman" w:eastAsia="仿宋_GB2312" w:cs="Times New Roman"/>
          <w:color w:val="auto"/>
          <w:kern w:val="2"/>
          <w:sz w:val="24"/>
          <w:szCs w:val="24"/>
          <w:highlight w:val="none"/>
        </w:rPr>
        <w:t>我方对在本函及投标文件中所作的所有承诺承担法律责任。</w:t>
      </w:r>
    </w:p>
    <w:p w14:paraId="49C7FD0A">
      <w:pPr>
        <w:adjustRightInd w:val="0"/>
        <w:snapToGrid w:val="0"/>
        <w:spacing w:line="440" w:lineRule="exact"/>
        <w:ind w:firstLine="480" w:firstLineChars="200"/>
        <w:rPr>
          <w:rFonts w:ascii="Times New Roman" w:hAnsi="Times New Roman" w:eastAsia="仿宋_GB2312"/>
          <w:color w:val="auto"/>
          <w:sz w:val="24"/>
          <w:szCs w:val="24"/>
          <w:highlight w:val="none"/>
          <w:u w:val="single"/>
        </w:rPr>
      </w:pPr>
      <w:r>
        <w:rPr>
          <w:rFonts w:ascii="Times New Roman" w:hAnsi="Times New Roman" w:eastAsia="仿宋_GB2312"/>
          <w:color w:val="auto"/>
          <w:sz w:val="24"/>
          <w:szCs w:val="24"/>
          <w:highlight w:val="none"/>
        </w:rPr>
        <w:t>投标人名称：</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（公章）</w:t>
      </w:r>
    </w:p>
    <w:p w14:paraId="63755C5E">
      <w:pPr>
        <w:adjustRightInd w:val="0"/>
        <w:snapToGrid w:val="0"/>
        <w:spacing w:line="440" w:lineRule="exact"/>
        <w:ind w:firstLine="480" w:firstLineChars="20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法定代表人（或经营者/执行事务合伙人/负责人/自然人）（或授权代表）：</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（印章或签名）</w:t>
      </w:r>
    </w:p>
    <w:p w14:paraId="59826A7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地址：</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75F23F7E">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电话：</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传真：</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hint="eastAsia"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76BB947E">
      <w:pPr>
        <w:adjustRightInd w:val="0"/>
        <w:snapToGrid w:val="0"/>
        <w:spacing w:line="44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开户行:</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14:paraId="27951F68">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账号: </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w:t>
      </w:r>
    </w:p>
    <w:p w14:paraId="1AE53BB0">
      <w:pPr>
        <w:adjustRightInd w:val="0"/>
        <w:snapToGrid w:val="0"/>
        <w:spacing w:line="44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日期：</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 xml:space="preserve"> 年</w:t>
      </w:r>
      <w:r>
        <w:rPr>
          <w:rFonts w:ascii="Times New Roman" w:hAnsi="Times New Roman" w:eastAsia="仿宋_GB2312"/>
          <w:color w:val="auto"/>
          <w:sz w:val="24"/>
          <w:szCs w:val="24"/>
          <w:highlight w:val="none"/>
          <w:u w:val="single"/>
        </w:rPr>
        <w:t>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25E622A5">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备注：</w:t>
      </w:r>
    </w:p>
    <w:p w14:paraId="487EB20F">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1、除可填信息外，对本投标函的任何修改将视为非实质性响应，在评审时视为无效投标。 </w:t>
      </w:r>
    </w:p>
    <w:p w14:paraId="1DEAB6F0">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2、投标人营业执照注册成立不足三年的，承诺声明时间自成立始至参加本次采购活动止。</w:t>
      </w:r>
    </w:p>
    <w:p w14:paraId="1CD403D6">
      <w:pPr>
        <w:adjustRightInd w:val="0"/>
        <w:snapToGrid w:val="0"/>
        <w:spacing w:line="440" w:lineRule="exact"/>
        <w:ind w:firstLine="475" w:firstLineChars="198"/>
        <w:rPr>
          <w:rFonts w:ascii="Times New Roman" w:hAnsi="Times New Roman" w:eastAsia="仿宋_GB2312"/>
          <w:color w:val="auto"/>
          <w:sz w:val="24"/>
          <w:szCs w:val="24"/>
          <w:highlight w:val="none"/>
        </w:rPr>
      </w:pPr>
    </w:p>
    <w:p w14:paraId="4A4B53DD">
      <w:pP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br w:type="page"/>
      </w:r>
    </w:p>
    <w:p w14:paraId="384FED11">
      <w:pPr>
        <w:spacing w:line="400" w:lineRule="exact"/>
        <w:jc w:val="center"/>
        <w:rPr>
          <w:rFonts w:ascii="Times New Roman" w:hAnsi="Times New Roman"/>
          <w:b/>
          <w:bCs/>
          <w:color w:val="auto"/>
          <w:sz w:val="32"/>
          <w:szCs w:val="32"/>
          <w:highlight w:val="none"/>
        </w:rPr>
      </w:pPr>
    </w:p>
    <w:p w14:paraId="177403BD">
      <w:pPr>
        <w:spacing w:line="400" w:lineRule="exact"/>
        <w:jc w:val="center"/>
        <w:rPr>
          <w:rFonts w:ascii="Times New Roman" w:hAnsi="Times New Roman"/>
          <w:b/>
          <w:color w:val="auto"/>
          <w:sz w:val="32"/>
          <w:szCs w:val="32"/>
          <w:highlight w:val="none"/>
        </w:rPr>
      </w:pPr>
      <w:r>
        <w:rPr>
          <w:rFonts w:hint="eastAsia" w:ascii="Times New Roman" w:hAnsi="Times New Roman"/>
          <w:b/>
          <w:color w:val="auto"/>
          <w:kern w:val="0"/>
          <w:sz w:val="32"/>
          <w:szCs w:val="32"/>
          <w:highlight w:val="none"/>
        </w:rPr>
        <w:t>三</w:t>
      </w:r>
      <w:r>
        <w:rPr>
          <w:rFonts w:ascii="Times New Roman" w:hAnsi="Times New Roman"/>
          <w:b/>
          <w:color w:val="auto"/>
          <w:kern w:val="0"/>
          <w:sz w:val="32"/>
          <w:szCs w:val="32"/>
          <w:highlight w:val="none"/>
        </w:rPr>
        <w:t>、</w:t>
      </w:r>
      <w:r>
        <w:rPr>
          <w:rFonts w:ascii="Times New Roman" w:hAnsi="Times New Roman"/>
          <w:b/>
          <w:bCs/>
          <w:color w:val="auto"/>
          <w:sz w:val="32"/>
          <w:szCs w:val="32"/>
          <w:highlight w:val="none"/>
        </w:rPr>
        <w:t>业</w:t>
      </w:r>
      <w:r>
        <w:rPr>
          <w:rFonts w:ascii="Times New Roman" w:hAnsi="Times New Roman"/>
          <w:b/>
          <w:color w:val="auto"/>
          <w:sz w:val="32"/>
          <w:szCs w:val="32"/>
          <w:highlight w:val="none"/>
        </w:rPr>
        <w:t>绩资料</w:t>
      </w:r>
    </w:p>
    <w:p w14:paraId="59F6E4D0">
      <w:pPr>
        <w:spacing w:line="400" w:lineRule="exact"/>
        <w:rPr>
          <w:rFonts w:ascii="Times New Roman" w:hAnsi="Times New Roman"/>
          <w:color w:val="auto"/>
          <w:highlight w:val="none"/>
        </w:rPr>
      </w:pPr>
    </w:p>
    <w:p w14:paraId="0F7E114E">
      <w:pPr>
        <w:adjustRightInd w:val="0"/>
        <w:snapToGrid w:val="0"/>
        <w:spacing w:line="400" w:lineRule="exact"/>
        <w:jc w:val="center"/>
        <w:rPr>
          <w:rFonts w:ascii="Times New Roman" w:hAnsi="Times New Roman"/>
          <w:b/>
          <w:color w:val="auto"/>
          <w:sz w:val="32"/>
          <w:szCs w:val="32"/>
          <w:highlight w:val="none"/>
        </w:rPr>
      </w:pPr>
      <w:r>
        <w:rPr>
          <w:rFonts w:ascii="Times New Roman" w:hAnsi="Times New Roman"/>
          <w:b/>
          <w:color w:val="auto"/>
          <w:sz w:val="32"/>
          <w:szCs w:val="32"/>
          <w:highlight w:val="none"/>
        </w:rPr>
        <w:t>类似业绩汇总表</w:t>
      </w:r>
    </w:p>
    <w:p w14:paraId="3092BD13">
      <w:pPr>
        <w:spacing w:line="400" w:lineRule="exact"/>
        <w:ind w:right="1680"/>
        <w:jc w:val="left"/>
        <w:rPr>
          <w:rFonts w:ascii="Times New Roman" w:hAnsi="Times New Roman" w:eastAsia="方正仿宋_GBK"/>
          <w:bCs/>
          <w:color w:val="auto"/>
          <w:sz w:val="24"/>
          <w:szCs w:val="24"/>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27"/>
        <w:gridCol w:w="1559"/>
        <w:gridCol w:w="1417"/>
        <w:gridCol w:w="1560"/>
        <w:gridCol w:w="1166"/>
        <w:gridCol w:w="1192"/>
      </w:tblGrid>
      <w:tr w14:paraId="5F65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C7DACF4">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vAlign w:val="center"/>
          </w:tcPr>
          <w:p w14:paraId="66D63EAE">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14:paraId="359012F0">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采购单位</w:t>
            </w:r>
          </w:p>
        </w:tc>
        <w:tc>
          <w:tcPr>
            <w:tcW w:w="1417" w:type="dxa"/>
            <w:tcBorders>
              <w:top w:val="single" w:color="auto" w:sz="4" w:space="0"/>
              <w:left w:val="single" w:color="auto" w:sz="4" w:space="0"/>
              <w:bottom w:val="single" w:color="auto" w:sz="4" w:space="0"/>
              <w:right w:val="single" w:color="auto" w:sz="4" w:space="0"/>
            </w:tcBorders>
            <w:vAlign w:val="center"/>
          </w:tcPr>
          <w:p w14:paraId="636ACFF6">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合同金额</w:t>
            </w:r>
          </w:p>
        </w:tc>
        <w:tc>
          <w:tcPr>
            <w:tcW w:w="1560" w:type="dxa"/>
            <w:tcBorders>
              <w:top w:val="single" w:color="auto" w:sz="4" w:space="0"/>
              <w:left w:val="single" w:color="auto" w:sz="4" w:space="0"/>
              <w:bottom w:val="single" w:color="auto" w:sz="4" w:space="0"/>
              <w:right w:val="single" w:color="auto" w:sz="4" w:space="0"/>
            </w:tcBorders>
            <w:vAlign w:val="center"/>
          </w:tcPr>
          <w:p w14:paraId="6254C650">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合同签订时间 </w:t>
            </w:r>
          </w:p>
        </w:tc>
        <w:tc>
          <w:tcPr>
            <w:tcW w:w="1166" w:type="dxa"/>
            <w:tcBorders>
              <w:top w:val="single" w:color="auto" w:sz="4" w:space="0"/>
              <w:left w:val="single" w:color="auto" w:sz="4" w:space="0"/>
              <w:bottom w:val="single" w:color="auto" w:sz="4" w:space="0"/>
              <w:right w:val="single" w:color="auto" w:sz="4" w:space="0"/>
            </w:tcBorders>
            <w:vAlign w:val="center"/>
          </w:tcPr>
          <w:p w14:paraId="7B2211EB">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完工时间 </w:t>
            </w:r>
          </w:p>
        </w:tc>
        <w:tc>
          <w:tcPr>
            <w:tcW w:w="1192" w:type="dxa"/>
            <w:tcBorders>
              <w:top w:val="single" w:color="auto" w:sz="4" w:space="0"/>
              <w:left w:val="single" w:color="auto" w:sz="4" w:space="0"/>
              <w:bottom w:val="single" w:color="auto" w:sz="4" w:space="0"/>
              <w:right w:val="single" w:color="auto" w:sz="4" w:space="0"/>
            </w:tcBorders>
            <w:vAlign w:val="center"/>
          </w:tcPr>
          <w:p w14:paraId="6A336994">
            <w:pPr>
              <w:adjustRightInd w:val="0"/>
              <w:snapToGrid w:val="0"/>
              <w:spacing w:line="400" w:lineRule="exact"/>
              <w:jc w:val="center"/>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备  注</w:t>
            </w:r>
          </w:p>
        </w:tc>
      </w:tr>
      <w:tr w14:paraId="6C29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149B6AB">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F409E9C">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1C38C86">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CE5703C">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D56AB40">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2B3C6410">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4E924E10">
            <w:pPr>
              <w:adjustRightInd w:val="0"/>
              <w:snapToGrid w:val="0"/>
              <w:spacing w:line="400" w:lineRule="exact"/>
              <w:jc w:val="center"/>
              <w:rPr>
                <w:rFonts w:ascii="Times New Roman" w:hAnsi="Times New Roman" w:eastAsia="仿宋_GB2312"/>
                <w:color w:val="auto"/>
                <w:sz w:val="24"/>
                <w:szCs w:val="24"/>
                <w:highlight w:val="none"/>
              </w:rPr>
            </w:pPr>
          </w:p>
        </w:tc>
      </w:tr>
      <w:tr w14:paraId="7188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EE4A8B1">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D76D3">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7165D2D">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D4BB684">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1D65556">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0B40F00C">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7AB848CA">
            <w:pPr>
              <w:adjustRightInd w:val="0"/>
              <w:snapToGrid w:val="0"/>
              <w:spacing w:line="400" w:lineRule="exact"/>
              <w:jc w:val="center"/>
              <w:rPr>
                <w:rFonts w:ascii="Times New Roman" w:hAnsi="Times New Roman" w:eastAsia="仿宋_GB2312"/>
                <w:color w:val="auto"/>
                <w:sz w:val="24"/>
                <w:szCs w:val="24"/>
                <w:highlight w:val="none"/>
              </w:rPr>
            </w:pPr>
          </w:p>
        </w:tc>
      </w:tr>
      <w:tr w14:paraId="15D0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74D126">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43632A1">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B0FF5A7">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BE6FC9C">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14D57C9">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0B6CB9E">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32EDF43D">
            <w:pPr>
              <w:adjustRightInd w:val="0"/>
              <w:snapToGrid w:val="0"/>
              <w:spacing w:line="400" w:lineRule="exact"/>
              <w:jc w:val="center"/>
              <w:rPr>
                <w:rFonts w:ascii="Times New Roman" w:hAnsi="Times New Roman" w:eastAsia="仿宋_GB2312"/>
                <w:color w:val="auto"/>
                <w:sz w:val="24"/>
                <w:szCs w:val="24"/>
                <w:highlight w:val="none"/>
              </w:rPr>
            </w:pPr>
          </w:p>
        </w:tc>
      </w:tr>
      <w:tr w14:paraId="4D55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35F540">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99F6CD8">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9CC97A2">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F1CD139">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6F1B950">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58A2851A">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A1A0FED">
            <w:pPr>
              <w:adjustRightInd w:val="0"/>
              <w:snapToGrid w:val="0"/>
              <w:spacing w:line="400" w:lineRule="exact"/>
              <w:jc w:val="center"/>
              <w:rPr>
                <w:rFonts w:ascii="Times New Roman" w:hAnsi="Times New Roman" w:eastAsia="仿宋_GB2312"/>
                <w:color w:val="auto"/>
                <w:sz w:val="24"/>
                <w:szCs w:val="24"/>
                <w:highlight w:val="none"/>
              </w:rPr>
            </w:pPr>
          </w:p>
        </w:tc>
      </w:tr>
      <w:tr w14:paraId="043F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1045AC7">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7B9991FF">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431CAE1">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CC8F0E7">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6E46DE5">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1BE65D06">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0D693590">
            <w:pPr>
              <w:adjustRightInd w:val="0"/>
              <w:snapToGrid w:val="0"/>
              <w:spacing w:line="400" w:lineRule="exact"/>
              <w:jc w:val="center"/>
              <w:rPr>
                <w:rFonts w:ascii="Times New Roman" w:hAnsi="Times New Roman" w:eastAsia="仿宋_GB2312"/>
                <w:color w:val="auto"/>
                <w:sz w:val="24"/>
                <w:szCs w:val="24"/>
                <w:highlight w:val="none"/>
              </w:rPr>
            </w:pPr>
          </w:p>
        </w:tc>
      </w:tr>
      <w:tr w14:paraId="7D0B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83731A6">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45FF54CC">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342E004">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7B228FA">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FF61C01">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32CC17D5">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D880A73">
            <w:pPr>
              <w:adjustRightInd w:val="0"/>
              <w:snapToGrid w:val="0"/>
              <w:spacing w:line="400" w:lineRule="exact"/>
              <w:jc w:val="center"/>
              <w:rPr>
                <w:rFonts w:ascii="Times New Roman" w:hAnsi="Times New Roman" w:eastAsia="仿宋_GB2312"/>
                <w:color w:val="auto"/>
                <w:sz w:val="24"/>
                <w:szCs w:val="24"/>
                <w:highlight w:val="none"/>
              </w:rPr>
            </w:pPr>
          </w:p>
        </w:tc>
      </w:tr>
      <w:tr w14:paraId="1101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3E8839A">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FB42C94">
            <w:pPr>
              <w:adjustRightInd w:val="0"/>
              <w:snapToGrid w:val="0"/>
              <w:spacing w:line="400" w:lineRule="exact"/>
              <w:jc w:val="center"/>
              <w:rPr>
                <w:rFonts w:ascii="Times New Roman" w:hAnsi="Times New Roman" w:eastAsia="仿宋_GB2312"/>
                <w:color w:val="auto"/>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5AC6363">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1C1D22D">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AEC19A8">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7B136E81">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11EA0AD9">
            <w:pPr>
              <w:adjustRightInd w:val="0"/>
              <w:snapToGrid w:val="0"/>
              <w:spacing w:line="400" w:lineRule="exact"/>
              <w:jc w:val="center"/>
              <w:rPr>
                <w:rFonts w:ascii="Times New Roman" w:hAnsi="Times New Roman" w:eastAsia="仿宋_GB2312"/>
                <w:color w:val="auto"/>
                <w:sz w:val="24"/>
                <w:szCs w:val="24"/>
                <w:highlight w:val="none"/>
              </w:rPr>
            </w:pPr>
          </w:p>
        </w:tc>
      </w:tr>
      <w:tr w14:paraId="073E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F660923">
            <w:pPr>
              <w:adjustRightInd w:val="0"/>
              <w:snapToGrid w:val="0"/>
              <w:spacing w:line="400" w:lineRule="exact"/>
              <w:jc w:val="center"/>
              <w:rPr>
                <w:rFonts w:ascii="Times New Roman" w:hAnsi="Times New Roman" w:eastAsia="仿宋_GB2312"/>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35A4908F">
            <w:pPr>
              <w:adjustRightInd w:val="0"/>
              <w:snapToGrid w:val="0"/>
              <w:spacing w:line="400" w:lineRule="exact"/>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合  计</w:t>
            </w:r>
          </w:p>
        </w:tc>
        <w:tc>
          <w:tcPr>
            <w:tcW w:w="1559" w:type="dxa"/>
            <w:tcBorders>
              <w:top w:val="single" w:color="auto" w:sz="4" w:space="0"/>
              <w:left w:val="single" w:color="auto" w:sz="4" w:space="0"/>
              <w:bottom w:val="single" w:color="auto" w:sz="4" w:space="0"/>
              <w:right w:val="single" w:color="auto" w:sz="4" w:space="0"/>
            </w:tcBorders>
            <w:vAlign w:val="center"/>
          </w:tcPr>
          <w:p w14:paraId="113FBEDA">
            <w:pPr>
              <w:adjustRightInd w:val="0"/>
              <w:snapToGrid w:val="0"/>
              <w:spacing w:line="400" w:lineRule="exact"/>
              <w:jc w:val="center"/>
              <w:rPr>
                <w:rFonts w:ascii="Times New Roman" w:hAnsi="Times New Roman" w:eastAsia="仿宋_GB2312"/>
                <w:color w:val="auto"/>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40D4FD6">
            <w:pPr>
              <w:adjustRightInd w:val="0"/>
              <w:snapToGrid w:val="0"/>
              <w:spacing w:line="400" w:lineRule="exact"/>
              <w:jc w:val="center"/>
              <w:rPr>
                <w:rFonts w:ascii="Times New Roman" w:hAnsi="Times New Roman" w:eastAsia="仿宋_GB2312"/>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CA6F764">
            <w:pPr>
              <w:adjustRightInd w:val="0"/>
              <w:snapToGrid w:val="0"/>
              <w:spacing w:line="400" w:lineRule="exact"/>
              <w:jc w:val="center"/>
              <w:rPr>
                <w:rFonts w:ascii="Times New Roman" w:hAnsi="Times New Roman" w:eastAsia="仿宋_GB2312"/>
                <w:color w:val="auto"/>
                <w:sz w:val="24"/>
                <w:szCs w:val="24"/>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7539D3C5">
            <w:pPr>
              <w:adjustRightInd w:val="0"/>
              <w:snapToGrid w:val="0"/>
              <w:spacing w:line="400" w:lineRule="exact"/>
              <w:jc w:val="center"/>
              <w:rPr>
                <w:rFonts w:ascii="Times New Roman" w:hAnsi="Times New Roman" w:eastAsia="仿宋_GB2312"/>
                <w:color w:val="auto"/>
                <w:sz w:val="24"/>
                <w:szCs w:val="24"/>
                <w:highlight w:val="none"/>
              </w:rPr>
            </w:pPr>
          </w:p>
        </w:tc>
        <w:tc>
          <w:tcPr>
            <w:tcW w:w="1192" w:type="dxa"/>
            <w:tcBorders>
              <w:top w:val="single" w:color="auto" w:sz="4" w:space="0"/>
              <w:left w:val="single" w:color="auto" w:sz="4" w:space="0"/>
              <w:bottom w:val="single" w:color="auto" w:sz="4" w:space="0"/>
              <w:right w:val="single" w:color="auto" w:sz="4" w:space="0"/>
            </w:tcBorders>
            <w:vAlign w:val="center"/>
          </w:tcPr>
          <w:p w14:paraId="560C3EAE">
            <w:pPr>
              <w:adjustRightInd w:val="0"/>
              <w:snapToGrid w:val="0"/>
              <w:spacing w:line="400" w:lineRule="exact"/>
              <w:jc w:val="center"/>
              <w:rPr>
                <w:rFonts w:ascii="Times New Roman" w:hAnsi="Times New Roman" w:eastAsia="仿宋_GB2312"/>
                <w:color w:val="auto"/>
                <w:sz w:val="24"/>
                <w:szCs w:val="24"/>
                <w:highlight w:val="none"/>
              </w:rPr>
            </w:pPr>
          </w:p>
        </w:tc>
      </w:tr>
    </w:tbl>
    <w:p w14:paraId="1431D326">
      <w:pPr>
        <w:autoSpaceDE w:val="0"/>
        <w:autoSpaceDN w:val="0"/>
        <w:adjustRightInd w:val="0"/>
        <w:ind w:right="640"/>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                               </w:t>
      </w:r>
    </w:p>
    <w:p w14:paraId="06650669">
      <w:pPr>
        <w:autoSpaceDE w:val="0"/>
        <w:autoSpaceDN w:val="0"/>
        <w:adjustRightInd w:val="0"/>
        <w:snapToGrid w:val="0"/>
        <w:spacing w:line="440" w:lineRule="exact"/>
        <w:ind w:right="16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 xml:space="preserve">  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w:t>
      </w:r>
      <w:r>
        <w:rPr>
          <w:rFonts w:ascii="Times New Roman" w:hAnsi="Times New Roman" w:eastAsia="仿宋_GB2312"/>
          <w:color w:val="auto"/>
          <w:sz w:val="24"/>
          <w:szCs w:val="24"/>
          <w:highlight w:val="none"/>
        </w:rPr>
        <w:t>公章</w:t>
      </w:r>
      <w:r>
        <w:rPr>
          <w:rFonts w:ascii="Times New Roman" w:hAnsi="Times New Roman" w:eastAsia="仿宋_GB2312"/>
          <w:color w:val="auto"/>
          <w:kern w:val="0"/>
          <w:sz w:val="24"/>
          <w:szCs w:val="24"/>
          <w:highlight w:val="none"/>
        </w:rPr>
        <w:t>）</w:t>
      </w:r>
    </w:p>
    <w:p w14:paraId="29FA903F">
      <w:pPr>
        <w:adjustRightInd w:val="0"/>
        <w:snapToGrid w:val="0"/>
        <w:spacing w:line="440" w:lineRule="exact"/>
        <w:ind w:right="960"/>
        <w:jc w:val="righ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415EE809">
      <w:pPr>
        <w:adjustRightInd w:val="0"/>
        <w:snapToGrid w:val="0"/>
        <w:spacing w:line="440" w:lineRule="exact"/>
        <w:jc w:val="left"/>
        <w:rPr>
          <w:rFonts w:ascii="Times New Roman" w:hAnsi="Times New Roman" w:eastAsia="仿宋_GB2312"/>
          <w:color w:val="auto"/>
          <w:sz w:val="24"/>
          <w:szCs w:val="24"/>
          <w:highlight w:val="none"/>
        </w:rPr>
      </w:pPr>
    </w:p>
    <w:p w14:paraId="0B1E3F7E">
      <w:pPr>
        <w:adjustRightInd w:val="0"/>
        <w:snapToGrid w:val="0"/>
        <w:spacing w:line="440" w:lineRule="exact"/>
        <w:jc w:val="left"/>
        <w:rPr>
          <w:rFonts w:ascii="Times New Roman" w:hAnsi="Times New Roman" w:eastAsia="仿宋_GB2312"/>
          <w:b/>
          <w:bCs/>
          <w:color w:val="auto"/>
          <w:sz w:val="24"/>
          <w:szCs w:val="24"/>
          <w:highlight w:val="none"/>
        </w:rPr>
      </w:pPr>
      <w:r>
        <w:rPr>
          <w:rFonts w:ascii="Times New Roman" w:hAnsi="Times New Roman" w:eastAsia="仿宋_GB2312"/>
          <w:b/>
          <w:bCs/>
          <w:color w:val="auto"/>
          <w:sz w:val="24"/>
          <w:szCs w:val="24"/>
          <w:highlight w:val="none"/>
        </w:rPr>
        <w:t>附：业绩合同扫描件（若合同页数过多，可只上传主要页。）</w:t>
      </w:r>
    </w:p>
    <w:p w14:paraId="698EE76D">
      <w:pPr>
        <w:adjustRightInd w:val="0"/>
        <w:snapToGrid w:val="0"/>
        <w:spacing w:line="440" w:lineRule="exact"/>
        <w:ind w:firstLine="475" w:firstLineChars="198"/>
        <w:rPr>
          <w:rFonts w:ascii="Times New Roman" w:hAnsi="Times New Roman" w:eastAsia="仿宋_GB2312"/>
          <w:color w:val="auto"/>
          <w:sz w:val="24"/>
          <w:szCs w:val="24"/>
          <w:highlight w:val="none"/>
        </w:rPr>
      </w:pPr>
    </w:p>
    <w:p w14:paraId="047A786F">
      <w:pPr>
        <w:jc w:val="center"/>
        <w:rPr>
          <w:rFonts w:ascii="Times New Roman" w:hAnsi="Times New Roman"/>
          <w:b/>
          <w:color w:val="auto"/>
          <w:kern w:val="0"/>
          <w:sz w:val="32"/>
          <w:szCs w:val="32"/>
          <w:highlight w:val="none"/>
        </w:rPr>
      </w:pPr>
    </w:p>
    <w:p w14:paraId="4EA10C03">
      <w:pPr>
        <w:rPr>
          <w:rFonts w:ascii="Times New Roman" w:hAnsi="Times New Roman"/>
          <w:b/>
          <w:color w:val="auto"/>
          <w:sz w:val="32"/>
          <w:szCs w:val="32"/>
          <w:highlight w:val="none"/>
        </w:rPr>
      </w:pPr>
      <w:r>
        <w:rPr>
          <w:rFonts w:hint="eastAsia" w:ascii="Times New Roman" w:hAnsi="Times New Roman"/>
          <w:b/>
          <w:color w:val="auto"/>
          <w:sz w:val="32"/>
          <w:szCs w:val="32"/>
          <w:highlight w:val="none"/>
        </w:rPr>
        <w:br w:type="page"/>
      </w:r>
    </w:p>
    <w:p w14:paraId="66B28E15">
      <w:pPr>
        <w:jc w:val="center"/>
        <w:rPr>
          <w:rFonts w:ascii="Times New Roman" w:hAnsi="Times New Roman"/>
          <w:b/>
          <w:color w:val="auto"/>
          <w:kern w:val="0"/>
          <w:sz w:val="32"/>
          <w:szCs w:val="32"/>
          <w:highlight w:val="none"/>
        </w:rPr>
      </w:pPr>
      <w:r>
        <w:rPr>
          <w:rFonts w:hint="eastAsia" w:ascii="Times New Roman" w:hAnsi="Times New Roman"/>
          <w:b/>
          <w:color w:val="auto"/>
          <w:sz w:val="32"/>
          <w:szCs w:val="32"/>
          <w:highlight w:val="none"/>
        </w:rPr>
        <w:t>四、</w:t>
      </w:r>
      <w:r>
        <w:rPr>
          <w:rFonts w:ascii="Times New Roman" w:hAnsi="Times New Roman"/>
          <w:b/>
          <w:color w:val="auto"/>
          <w:kern w:val="0"/>
          <w:sz w:val="32"/>
          <w:szCs w:val="32"/>
          <w:highlight w:val="none"/>
        </w:rPr>
        <w:t>服务内容响应/偏离表（服务类）</w:t>
      </w:r>
    </w:p>
    <w:p w14:paraId="7669ACCF">
      <w:pPr>
        <w:spacing w:line="360" w:lineRule="auto"/>
        <w:jc w:val="center"/>
        <w:rPr>
          <w:rFonts w:ascii="Times New Roman" w:hAnsi="Times New Roman"/>
          <w:color w:val="auto"/>
          <w:highlight w:val="none"/>
        </w:rPr>
      </w:pPr>
      <w:r>
        <w:rPr>
          <w:rFonts w:ascii="Times New Roman" w:hAnsi="Times New Roman"/>
          <w:color w:val="auto"/>
          <w:szCs w:val="21"/>
          <w:highlight w:val="none"/>
        </w:rPr>
        <w:t xml:space="preserve">   </w:t>
      </w:r>
    </w:p>
    <w:p w14:paraId="3F3FF539">
      <w:pPr>
        <w:adjustRightInd w:val="0"/>
        <w:snapToGrid w:val="0"/>
        <w:spacing w:line="400" w:lineRule="exact"/>
        <w:ind w:firstLine="211"/>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项目名称：</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u w:val="single"/>
        </w:rPr>
        <w:t>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w:t>
      </w:r>
      <w:r>
        <w:rPr>
          <w:rFonts w:ascii="Times New Roman" w:hAnsi="Times New Roman" w:eastAsia="仿宋_GB2312"/>
          <w:bCs/>
          <w:color w:val="auto"/>
          <w:sz w:val="24"/>
          <w:szCs w:val="24"/>
          <w:highlight w:val="none"/>
        </w:rPr>
        <w:t>项目编号：</w:t>
      </w:r>
      <w:r>
        <w:rPr>
          <w:rFonts w:ascii="Times New Roman" w:hAnsi="Times New Roman" w:eastAsia="仿宋_GB2312"/>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p>
    <w:p w14:paraId="108A699B">
      <w:pPr>
        <w:adjustRightInd w:val="0"/>
        <w:snapToGrid w:val="0"/>
        <w:spacing w:line="400" w:lineRule="exact"/>
        <w:ind w:firstLine="211"/>
        <w:rPr>
          <w:rFonts w:ascii="Times New Roman" w:hAnsi="Times New Roman" w:eastAsia="仿宋_GB2312"/>
          <w:bCs/>
          <w:color w:val="auto"/>
          <w:sz w:val="24"/>
          <w:szCs w:val="24"/>
          <w:highlight w:val="none"/>
          <w:u w:val="single"/>
        </w:rPr>
      </w:pPr>
      <w:r>
        <w:rPr>
          <w:rFonts w:ascii="Times New Roman" w:hAnsi="Times New Roman" w:eastAsia="仿宋_GB2312"/>
          <w:bCs/>
          <w:color w:val="auto"/>
          <w:sz w:val="24"/>
          <w:szCs w:val="24"/>
          <w:highlight w:val="none"/>
        </w:rPr>
        <w:t>标段名称：</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rPr>
        <w:t>标段编号：</w:t>
      </w:r>
      <w:r>
        <w:rPr>
          <w:rFonts w:ascii="Times New Roman" w:hAnsi="Times New Roman" w:eastAsia="仿宋_GB2312"/>
          <w:bCs/>
          <w:color w:val="auto"/>
          <w:sz w:val="24"/>
          <w:szCs w:val="24"/>
          <w:highlight w:val="none"/>
          <w:u w:val="single"/>
        </w:rPr>
        <w:t xml:space="preserve">        </w:t>
      </w:r>
      <w:r>
        <w:rPr>
          <w:rFonts w:hint="eastAsia" w:ascii="Times New Roman" w:hAnsi="Times New Roman" w:eastAsia="仿宋_GB2312"/>
          <w:bCs/>
          <w:color w:val="auto"/>
          <w:sz w:val="24"/>
          <w:szCs w:val="24"/>
          <w:highlight w:val="none"/>
          <w:u w:val="single"/>
        </w:rPr>
        <w:t xml:space="preserve">        </w:t>
      </w:r>
      <w:r>
        <w:rPr>
          <w:rFonts w:ascii="Times New Roman" w:hAnsi="Times New Roman" w:eastAsia="仿宋_GB2312"/>
          <w:bCs/>
          <w:color w:val="auto"/>
          <w:sz w:val="24"/>
          <w:szCs w:val="24"/>
          <w:highlight w:val="none"/>
          <w:u w:val="single"/>
        </w:rPr>
        <w:t xml:space="preserve">       </w:t>
      </w:r>
    </w:p>
    <w:tbl>
      <w:tblPr>
        <w:tblStyle w:val="29"/>
        <w:tblpPr w:leftFromText="180" w:rightFromText="180" w:vertAnchor="text" w:horzAnchor="page" w:tblpX="827" w:tblpY="346"/>
        <w:tblOverlap w:val="never"/>
        <w:tblW w:w="4995" w:type="pct"/>
        <w:jc w:val="center"/>
        <w:tblLayout w:type="autofit"/>
        <w:tblCellMar>
          <w:top w:w="0" w:type="dxa"/>
          <w:left w:w="0" w:type="dxa"/>
          <w:bottom w:w="0" w:type="dxa"/>
          <w:right w:w="0" w:type="dxa"/>
        </w:tblCellMar>
      </w:tblPr>
      <w:tblGrid>
        <w:gridCol w:w="589"/>
        <w:gridCol w:w="1211"/>
        <w:gridCol w:w="2816"/>
        <w:gridCol w:w="2514"/>
        <w:gridCol w:w="1331"/>
        <w:gridCol w:w="1331"/>
      </w:tblGrid>
      <w:tr w14:paraId="76FF9DE2">
        <w:tblPrEx>
          <w:tblCellMar>
            <w:top w:w="0" w:type="dxa"/>
            <w:left w:w="0" w:type="dxa"/>
            <w:bottom w:w="0" w:type="dxa"/>
            <w:right w:w="0" w:type="dxa"/>
          </w:tblCellMar>
        </w:tblPrEx>
        <w:trPr>
          <w:trHeight w:val="504" w:hRule="atLeast"/>
          <w:jc w:val="center"/>
        </w:trPr>
        <w:tc>
          <w:tcPr>
            <w:tcW w:w="301" w:type="pct"/>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4F35CC6E">
            <w:pPr>
              <w:jc w:val="both"/>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序号</w:t>
            </w:r>
          </w:p>
        </w:tc>
        <w:tc>
          <w:tcPr>
            <w:tcW w:w="618"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5096BD06">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服务名称 </w:t>
            </w:r>
          </w:p>
        </w:tc>
        <w:tc>
          <w:tcPr>
            <w:tcW w:w="1437"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7ADD93E2">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招标文件的技术要求 </w:t>
            </w:r>
          </w:p>
        </w:tc>
        <w:tc>
          <w:tcPr>
            <w:tcW w:w="1283"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69FFD6C4">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投标文件的技术响应 </w:t>
            </w:r>
          </w:p>
        </w:tc>
        <w:tc>
          <w:tcPr>
            <w:tcW w:w="679"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32FED385">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响应/偏离 </w:t>
            </w:r>
          </w:p>
        </w:tc>
        <w:tc>
          <w:tcPr>
            <w:tcW w:w="679" w:type="pct"/>
            <w:tcBorders>
              <w:top w:val="single" w:color="000000" w:sz="8" w:space="0"/>
              <w:left w:val="nil"/>
              <w:bottom w:val="single" w:color="000000" w:sz="8" w:space="0"/>
              <w:right w:val="single" w:color="000000" w:sz="8" w:space="0"/>
            </w:tcBorders>
            <w:tcMar>
              <w:top w:w="0" w:type="dxa"/>
              <w:left w:w="28" w:type="dxa"/>
              <w:bottom w:w="0" w:type="dxa"/>
              <w:right w:w="28" w:type="dxa"/>
            </w:tcMar>
            <w:vAlign w:val="center"/>
          </w:tcPr>
          <w:p w14:paraId="6D23768B">
            <w:pPr>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说明 </w:t>
            </w:r>
          </w:p>
        </w:tc>
      </w:tr>
      <w:tr w14:paraId="253BB507">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7B5574E2">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774E49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061F4D59">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C6FF94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B1DB15D">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D1B1BD2">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655C1B6C">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4B8E277C">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8DB423D">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7FA9F91">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83B653E">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610A22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7411893">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165511EE">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7606A13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7CBF07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78F1ED4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6D05BB7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9A52923">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6758583A">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2656845B">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3335278A">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57504A7">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DE481FD">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965CE50">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7A120457">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4AD25AD2">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54139EAC">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23D7A8F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268E088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CA4B321">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6DAE121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0F2E6ED1">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4656D06">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6656F1B5">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0F79EC8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2E7CAB57">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4548A45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0A61F86E">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252AA94">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003763A">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48863D7E">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187364C6">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434E2E5F">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157B7E6">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14B6B5C1">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402E77EF">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03B7506D">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3A988424">
        <w:tblPrEx>
          <w:tblCellMar>
            <w:top w:w="0" w:type="dxa"/>
            <w:left w:w="0" w:type="dxa"/>
            <w:bottom w:w="0" w:type="dxa"/>
            <w:right w:w="0" w:type="dxa"/>
          </w:tblCellMar>
        </w:tblPrEx>
        <w:trPr>
          <w:trHeight w:val="505" w:hRule="atLeast"/>
          <w:jc w:val="center"/>
        </w:trPr>
        <w:tc>
          <w:tcPr>
            <w:tcW w:w="301" w:type="pct"/>
            <w:tcBorders>
              <w:top w:val="nil"/>
              <w:left w:val="single" w:color="000000" w:sz="8" w:space="0"/>
              <w:bottom w:val="single" w:color="000000" w:sz="8" w:space="0"/>
              <w:right w:val="single" w:color="000000" w:sz="8" w:space="0"/>
            </w:tcBorders>
            <w:tcMar>
              <w:top w:w="0" w:type="dxa"/>
              <w:left w:w="28" w:type="dxa"/>
              <w:bottom w:w="0" w:type="dxa"/>
              <w:right w:w="28" w:type="dxa"/>
            </w:tcMar>
            <w:vAlign w:val="center"/>
          </w:tcPr>
          <w:p w14:paraId="57A751AE">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618" w:type="pct"/>
            <w:tcBorders>
              <w:top w:val="nil"/>
              <w:left w:val="nil"/>
              <w:bottom w:val="single" w:color="000000" w:sz="8" w:space="0"/>
              <w:right w:val="single" w:color="000000" w:sz="8" w:space="0"/>
            </w:tcBorders>
            <w:tcMar>
              <w:top w:w="0" w:type="dxa"/>
              <w:left w:w="28" w:type="dxa"/>
              <w:bottom w:w="0" w:type="dxa"/>
              <w:right w:w="28" w:type="dxa"/>
            </w:tcMar>
            <w:vAlign w:val="center"/>
          </w:tcPr>
          <w:p w14:paraId="2149C3B2">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1437"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4B5CD3D">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1283" w:type="pct"/>
            <w:tcBorders>
              <w:top w:val="nil"/>
              <w:left w:val="nil"/>
              <w:bottom w:val="single" w:color="000000" w:sz="8" w:space="0"/>
              <w:right w:val="single" w:color="000000" w:sz="8" w:space="0"/>
            </w:tcBorders>
            <w:tcMar>
              <w:top w:w="0" w:type="dxa"/>
              <w:left w:w="28" w:type="dxa"/>
              <w:bottom w:w="0" w:type="dxa"/>
              <w:right w:w="28" w:type="dxa"/>
            </w:tcMar>
            <w:vAlign w:val="center"/>
          </w:tcPr>
          <w:p w14:paraId="54AC57B9">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3318DEEC">
            <w:pPr>
              <w:jc w:val="center"/>
              <w:rPr>
                <w:rFonts w:ascii="Times New Roman" w:hAnsi="Times New Roman"/>
                <w:color w:val="auto"/>
                <w:highlight w:val="none"/>
              </w:rPr>
            </w:pPr>
            <w:r>
              <w:rPr>
                <w:rFonts w:ascii="Times New Roman" w:hAnsi="Times New Roman"/>
                <w:color w:val="auto"/>
                <w:szCs w:val="21"/>
                <w:highlight w:val="none"/>
              </w:rPr>
              <w:t xml:space="preserve">  </w:t>
            </w:r>
          </w:p>
        </w:tc>
        <w:tc>
          <w:tcPr>
            <w:tcW w:w="679" w:type="pct"/>
            <w:tcBorders>
              <w:top w:val="nil"/>
              <w:left w:val="nil"/>
              <w:bottom w:val="single" w:color="000000" w:sz="8" w:space="0"/>
              <w:right w:val="single" w:color="000000" w:sz="8" w:space="0"/>
            </w:tcBorders>
            <w:tcMar>
              <w:top w:w="0" w:type="dxa"/>
              <w:left w:w="28" w:type="dxa"/>
              <w:bottom w:w="0" w:type="dxa"/>
              <w:right w:w="28" w:type="dxa"/>
            </w:tcMar>
            <w:vAlign w:val="center"/>
          </w:tcPr>
          <w:p w14:paraId="750A3751">
            <w:pPr>
              <w:jc w:val="center"/>
              <w:rPr>
                <w:rFonts w:ascii="Times New Roman" w:hAnsi="Times New Roman"/>
                <w:color w:val="auto"/>
                <w:highlight w:val="none"/>
              </w:rPr>
            </w:pPr>
            <w:r>
              <w:rPr>
                <w:rFonts w:ascii="Times New Roman" w:hAnsi="Times New Roman"/>
                <w:color w:val="auto"/>
                <w:szCs w:val="21"/>
                <w:highlight w:val="none"/>
              </w:rPr>
              <w:t xml:space="preserve">  </w:t>
            </w:r>
          </w:p>
        </w:tc>
      </w:tr>
    </w:tbl>
    <w:p w14:paraId="6EDC1448">
      <w:pPr>
        <w:spacing w:line="360" w:lineRule="auto"/>
        <w:rPr>
          <w:rFonts w:ascii="Times New Roman" w:hAnsi="Times New Roman"/>
          <w:b/>
          <w:bCs/>
          <w:color w:val="auto"/>
          <w:szCs w:val="21"/>
          <w:highlight w:val="none"/>
        </w:rPr>
      </w:pPr>
    </w:p>
    <w:p w14:paraId="35F6F38C">
      <w:pPr>
        <w:spacing w:line="360" w:lineRule="auto"/>
        <w:rPr>
          <w:rFonts w:ascii="Times New Roman" w:hAnsi="Times New Roman"/>
          <w:b/>
          <w:bCs/>
          <w:color w:val="auto"/>
          <w:szCs w:val="21"/>
          <w:highlight w:val="none"/>
        </w:rPr>
      </w:pPr>
    </w:p>
    <w:p w14:paraId="03EE6AAB">
      <w:pPr>
        <w:autoSpaceDE w:val="0"/>
        <w:autoSpaceDN w:val="0"/>
        <w:adjustRightInd w:val="0"/>
        <w:snapToGrid w:val="0"/>
        <w:spacing w:line="440" w:lineRule="exact"/>
        <w:ind w:left="3360" w:right="640" w:firstLine="420"/>
        <w:jc w:val="lef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2489E757">
      <w:pPr>
        <w:adjustRightInd w:val="0"/>
        <w:snapToGrid w:val="0"/>
        <w:spacing w:line="440" w:lineRule="exact"/>
        <w:jc w:val="center"/>
        <w:rPr>
          <w:rFonts w:ascii="Times New Roman" w:hAnsi="Times New Roman" w:eastAsia="仿宋_GB2312"/>
          <w:color w:val="auto"/>
          <w:sz w:val="24"/>
          <w:szCs w:val="24"/>
          <w:highlight w:val="none"/>
        </w:rPr>
      </w:pPr>
      <w:r>
        <w:rPr>
          <w:rFonts w:ascii="Times New Roman" w:hAnsi="Times New Roman" w:eastAsia="仿宋_GB2312"/>
          <w:bCs/>
          <w:color w:val="auto"/>
          <w:sz w:val="24"/>
          <w:szCs w:val="24"/>
          <w:highlight w:val="none"/>
        </w:rPr>
        <w:t xml:space="preserve">                          </w:t>
      </w: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5F23B6FA">
      <w:pPr>
        <w:spacing w:line="360" w:lineRule="auto"/>
        <w:rPr>
          <w:rFonts w:ascii="Times New Roman" w:hAnsi="Times New Roman"/>
          <w:b/>
          <w:bCs/>
          <w:color w:val="auto"/>
          <w:szCs w:val="21"/>
          <w:highlight w:val="none"/>
        </w:rPr>
      </w:pPr>
    </w:p>
    <w:p w14:paraId="17F10F99">
      <w:pPr>
        <w:spacing w:line="360" w:lineRule="auto"/>
        <w:rPr>
          <w:rFonts w:ascii="Times New Roman" w:hAnsi="Times New Roman"/>
          <w:b/>
          <w:bCs/>
          <w:color w:val="auto"/>
          <w:szCs w:val="21"/>
          <w:highlight w:val="none"/>
        </w:rPr>
      </w:pPr>
    </w:p>
    <w:p w14:paraId="5A69588B">
      <w:pPr>
        <w:spacing w:line="400" w:lineRule="exact"/>
        <w:ind w:firstLine="482" w:firstLineChars="200"/>
        <w:rPr>
          <w:rFonts w:ascii="Times New Roman" w:hAnsi="Times New Roman" w:eastAsia="仿宋_GB2312"/>
          <w:bCs/>
          <w:color w:val="auto"/>
          <w:sz w:val="24"/>
          <w:szCs w:val="24"/>
          <w:highlight w:val="none"/>
        </w:rPr>
      </w:pPr>
      <w:r>
        <w:rPr>
          <w:rFonts w:ascii="Times New Roman" w:hAnsi="Times New Roman" w:eastAsia="仿宋_GB2312"/>
          <w:b/>
          <w:bCs/>
          <w:color w:val="auto"/>
          <w:sz w:val="24"/>
          <w:szCs w:val="24"/>
          <w:highlight w:val="none"/>
        </w:rPr>
        <w:t>注</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1、</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服务内容响应/偏离表</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，投标人应作详细的文字描述说明，不得简单填写</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均响应</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完全响应</w:t>
      </w:r>
      <w:r>
        <w:rPr>
          <w:rFonts w:ascii="Times New Roman" w:hAnsi="Times New Roman" w:eastAsia="仿宋_GB2312"/>
          <w:color w:val="auto"/>
          <w:sz w:val="24"/>
          <w:szCs w:val="24"/>
          <w:highlight w:val="none"/>
        </w:rPr>
        <w:t>”</w:t>
      </w:r>
      <w:r>
        <w:rPr>
          <w:rFonts w:ascii="Times New Roman" w:hAnsi="Times New Roman" w:eastAsia="仿宋_GB2312"/>
          <w:bCs/>
          <w:color w:val="auto"/>
          <w:sz w:val="24"/>
          <w:szCs w:val="24"/>
          <w:highlight w:val="none"/>
        </w:rPr>
        <w:t>，否则，评标委员会将视为未响应。</w:t>
      </w:r>
    </w:p>
    <w:p w14:paraId="23B774E5">
      <w:pPr>
        <w:spacing w:line="400" w:lineRule="exact"/>
        <w:ind w:firstLine="480" w:firstLineChars="200"/>
        <w:rPr>
          <w:rFonts w:ascii="Times New Roman" w:hAnsi="Times New Roman" w:eastAsia="仿宋_GB2312"/>
          <w:bCs/>
          <w:color w:val="auto"/>
          <w:sz w:val="24"/>
          <w:szCs w:val="24"/>
          <w:highlight w:val="none"/>
        </w:rPr>
      </w:pPr>
      <w:r>
        <w:rPr>
          <w:rFonts w:ascii="Times New Roman" w:hAnsi="Times New Roman" w:eastAsia="仿宋_GB2312"/>
          <w:bCs/>
          <w:color w:val="auto"/>
          <w:sz w:val="24"/>
          <w:szCs w:val="24"/>
          <w:highlight w:val="none"/>
        </w:rPr>
        <w:t>2、</w:t>
      </w:r>
      <w:r>
        <w:rPr>
          <w:rFonts w:ascii="Times New Roman" w:hAnsi="Times New Roman" w:eastAsia="仿宋_GB2312"/>
          <w:color w:val="auto"/>
          <w:sz w:val="24"/>
          <w:szCs w:val="24"/>
          <w:highlight w:val="none"/>
        </w:rPr>
        <w:t>“响应/偏离”应注明“响应”或“正/负偏离”。</w:t>
      </w:r>
    </w:p>
    <w:p w14:paraId="49388F68">
      <w:pPr>
        <w:adjustRightInd w:val="0"/>
        <w:snapToGrid w:val="0"/>
        <w:spacing w:line="440" w:lineRule="exact"/>
        <w:ind w:firstLine="475" w:firstLineChars="198"/>
        <w:rPr>
          <w:rFonts w:ascii="Times New Roman" w:hAnsi="Times New Roman" w:eastAsia="仿宋_GB2312"/>
          <w:color w:val="auto"/>
          <w:sz w:val="24"/>
          <w:szCs w:val="24"/>
          <w:highlight w:val="none"/>
        </w:rPr>
      </w:pPr>
    </w:p>
    <w:p w14:paraId="04E6918E">
      <w:pP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br w:type="page"/>
      </w:r>
    </w:p>
    <w:p w14:paraId="164A2DDC">
      <w:pPr>
        <w:widowControl/>
        <w:jc w:val="left"/>
        <w:rPr>
          <w:rFonts w:ascii="Times New Roman" w:hAnsi="Times New Roman" w:eastAsia="Times New Roman"/>
          <w:color w:val="auto"/>
          <w:kern w:val="0"/>
          <w:sz w:val="24"/>
          <w:szCs w:val="24"/>
          <w:highlight w:val="none"/>
        </w:rPr>
      </w:pPr>
    </w:p>
    <w:p w14:paraId="3CADC752">
      <w:pPr>
        <w:jc w:val="center"/>
        <w:rPr>
          <w:rFonts w:ascii="Times New Roman" w:hAnsi="Times New Roman"/>
          <w:color w:val="auto"/>
          <w:highlight w:val="none"/>
        </w:rPr>
      </w:pPr>
      <w:r>
        <w:rPr>
          <w:rFonts w:hint="eastAsia" w:ascii="Times New Roman" w:hAnsi="Times New Roman"/>
          <w:b/>
          <w:color w:val="auto"/>
          <w:sz w:val="32"/>
          <w:szCs w:val="32"/>
          <w:highlight w:val="none"/>
        </w:rPr>
        <w:t>五</w:t>
      </w:r>
      <w:r>
        <w:rPr>
          <w:rFonts w:ascii="Times New Roman" w:hAnsi="Times New Roman"/>
          <w:b/>
          <w:color w:val="auto"/>
          <w:sz w:val="32"/>
          <w:szCs w:val="32"/>
          <w:highlight w:val="none"/>
        </w:rPr>
        <w:t>、中小企业声明函</w:t>
      </w:r>
    </w:p>
    <w:p w14:paraId="10ADCE26">
      <w:pPr>
        <w:rPr>
          <w:rFonts w:ascii="Times New Roman" w:hAnsi="Times New Roman"/>
          <w:color w:val="auto"/>
          <w:highlight w:val="none"/>
        </w:rPr>
      </w:pPr>
      <w:bookmarkStart w:id="147" w:name="_bookmark1"/>
      <w:bookmarkEnd w:id="147"/>
    </w:p>
    <w:p w14:paraId="77C6F730">
      <w:pPr>
        <w:autoSpaceDE w:val="0"/>
        <w:autoSpaceDN w:val="0"/>
        <w:spacing w:line="480" w:lineRule="exact"/>
        <w:jc w:val="center"/>
        <w:rPr>
          <w:rFonts w:ascii="Times New Roman" w:hAnsi="Times New Roman" w:eastAsia="方正小标宋简体"/>
          <w:color w:val="auto"/>
          <w:kern w:val="0"/>
          <w:sz w:val="44"/>
          <w:highlight w:val="none"/>
          <w:lang w:val="zh-CN" w:bidi="zh-CN"/>
        </w:rPr>
      </w:pPr>
      <w:r>
        <w:rPr>
          <w:rFonts w:ascii="Times New Roman" w:hAnsi="Times New Roman" w:eastAsia="方正小标宋简体"/>
          <w:color w:val="auto"/>
          <w:kern w:val="0"/>
          <w:sz w:val="44"/>
          <w:highlight w:val="none"/>
          <w:lang w:val="zh-CN" w:bidi="zh-CN"/>
        </w:rPr>
        <w:t>中小企业声明函（工程、服务）</w:t>
      </w:r>
    </w:p>
    <w:p w14:paraId="39738E6F">
      <w:pPr>
        <w:autoSpaceDE w:val="0"/>
        <w:autoSpaceDN w:val="0"/>
        <w:spacing w:line="480" w:lineRule="exact"/>
        <w:jc w:val="left"/>
        <w:rPr>
          <w:rFonts w:ascii="Times New Roman" w:hAnsi="Times New Roman" w:eastAsia="仿宋_GB2312"/>
          <w:color w:val="auto"/>
          <w:kern w:val="0"/>
          <w:sz w:val="28"/>
          <w:highlight w:val="none"/>
          <w:lang w:val="zh-CN" w:bidi="zh-CN"/>
        </w:rPr>
      </w:pPr>
    </w:p>
    <w:p w14:paraId="6A114FAE">
      <w:pPr>
        <w:autoSpaceDE w:val="0"/>
        <w:autoSpaceDN w:val="0"/>
        <w:spacing w:line="560" w:lineRule="exact"/>
        <w:ind w:firstLine="560" w:firstLineChars="200"/>
        <w:jc w:val="lef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本公司（联合体）郑重声明，根据《政府采购促进中小企业发展管理办法》（财库</w:t>
      </w:r>
      <w:r>
        <w:rPr>
          <w:rFonts w:ascii="Times New Roman" w:hAnsi="Times New Roman" w:eastAsia="微软雅黑"/>
          <w:color w:val="auto"/>
          <w:kern w:val="0"/>
          <w:sz w:val="28"/>
          <w:highlight w:val="none"/>
          <w:lang w:val="zh-CN" w:bidi="zh-CN"/>
        </w:rPr>
        <w:t>﹝</w:t>
      </w:r>
      <w:r>
        <w:rPr>
          <w:rFonts w:ascii="Times New Roman" w:hAnsi="Times New Roman" w:eastAsia="仿宋_GB2312"/>
          <w:color w:val="auto"/>
          <w:kern w:val="0"/>
          <w:sz w:val="28"/>
          <w:highlight w:val="none"/>
          <w:lang w:val="zh-CN" w:bidi="zh-CN"/>
        </w:rPr>
        <w:t>2020</w:t>
      </w:r>
      <w:r>
        <w:rPr>
          <w:rFonts w:ascii="Times New Roman" w:hAnsi="Times New Roman" w:eastAsia="微软雅黑"/>
          <w:color w:val="auto"/>
          <w:kern w:val="0"/>
          <w:sz w:val="28"/>
          <w:highlight w:val="none"/>
          <w:lang w:val="zh-CN" w:bidi="zh-CN"/>
        </w:rPr>
        <w:t>﹞</w:t>
      </w:r>
      <w:r>
        <w:rPr>
          <w:rFonts w:ascii="Times New Roman" w:hAnsi="Times New Roman" w:eastAsia="仿宋_GB2312"/>
          <w:color w:val="auto"/>
          <w:kern w:val="0"/>
          <w:sz w:val="28"/>
          <w:highlight w:val="none"/>
          <w:lang w:val="zh-CN" w:bidi="zh-CN"/>
        </w:rPr>
        <w:t>46 号）的规定，本公司（联合体）参加</w:t>
      </w:r>
      <w:r>
        <w:rPr>
          <w:rFonts w:ascii="Times New Roman" w:hAnsi="Times New Roman" w:eastAsia="仿宋_GB2312"/>
          <w:color w:val="auto"/>
          <w:kern w:val="0"/>
          <w:sz w:val="28"/>
          <w:highlight w:val="none"/>
          <w:u w:val="single"/>
          <w:lang w:val="zh-CN" w:bidi="zh-CN"/>
        </w:rPr>
        <w:t xml:space="preserve">   （单位名称）    </w:t>
      </w:r>
      <w:r>
        <w:rPr>
          <w:rFonts w:ascii="Times New Roman" w:hAnsi="Times New Roman" w:eastAsia="仿宋_GB2312"/>
          <w:color w:val="auto"/>
          <w:kern w:val="0"/>
          <w:sz w:val="28"/>
          <w:highlight w:val="none"/>
          <w:lang w:val="zh-CN" w:bidi="zh-CN"/>
        </w:rPr>
        <w:t>的</w:t>
      </w:r>
      <w:r>
        <w:rPr>
          <w:rFonts w:ascii="Times New Roman" w:hAnsi="Times New Roman" w:eastAsia="仿宋_GB2312"/>
          <w:color w:val="auto"/>
          <w:kern w:val="0"/>
          <w:sz w:val="28"/>
          <w:highlight w:val="none"/>
          <w:u w:val="single"/>
          <w:lang w:val="zh-CN" w:bidi="zh-CN"/>
        </w:rPr>
        <w:t xml:space="preserve">    （项目名称）    </w:t>
      </w:r>
      <w:r>
        <w:rPr>
          <w:rFonts w:ascii="Times New Roman" w:hAnsi="Times New Roman" w:eastAsia="仿宋_GB2312"/>
          <w:color w:val="auto"/>
          <w:kern w:val="0"/>
          <w:sz w:val="28"/>
          <w:highlight w:val="none"/>
          <w:lang w:val="zh-CN" w:bidi="zh-CN"/>
        </w:rPr>
        <w:t>采购活动，工程的施工单位全部为符合政策要求的中小企业（或者：服务全部由符合政策要求的中小企业承接）。相关企业（含联合体中的中小企业、签订分包意向协议的中小企业）的具体情况如下：</w:t>
      </w:r>
    </w:p>
    <w:p w14:paraId="29CBAE8B">
      <w:pPr>
        <w:autoSpaceDE w:val="0"/>
        <w:autoSpaceDN w:val="0"/>
        <w:spacing w:line="560" w:lineRule="exact"/>
        <w:ind w:firstLine="560" w:firstLineChars="200"/>
        <w:jc w:val="lef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1.</w:t>
      </w:r>
      <w:r>
        <w:rPr>
          <w:rFonts w:ascii="Times New Roman" w:hAnsi="Times New Roman" w:eastAsia="仿宋_GB2312"/>
          <w:color w:val="auto"/>
          <w:kern w:val="0"/>
          <w:sz w:val="28"/>
          <w:highlight w:val="none"/>
          <w:u w:val="single"/>
          <w:lang w:val="zh-CN" w:bidi="zh-CN"/>
        </w:rPr>
        <w:t xml:space="preserve">   （标的名称）   </w:t>
      </w:r>
      <w:r>
        <w:rPr>
          <w:rFonts w:ascii="Times New Roman" w:hAnsi="Times New Roman" w:eastAsia="仿宋_GB2312"/>
          <w:color w:val="auto"/>
          <w:kern w:val="0"/>
          <w:sz w:val="28"/>
          <w:highlight w:val="none"/>
          <w:lang w:val="zh-CN" w:bidi="zh-CN"/>
        </w:rPr>
        <w:t>，属于</w:t>
      </w:r>
      <w:r>
        <w:rPr>
          <w:rFonts w:ascii="Times New Roman" w:hAnsi="Times New Roman" w:eastAsia="仿宋_GB2312"/>
          <w:color w:val="auto"/>
          <w:kern w:val="0"/>
          <w:sz w:val="28"/>
          <w:highlight w:val="none"/>
          <w:u w:val="single"/>
          <w:lang w:val="zh-CN" w:bidi="zh-CN"/>
        </w:rPr>
        <w:t>（采购文件中明确的所属行业）</w:t>
      </w:r>
      <w:r>
        <w:rPr>
          <w:rFonts w:ascii="Times New Roman" w:hAnsi="Times New Roman" w:eastAsia="仿宋_GB2312"/>
          <w:color w:val="auto"/>
          <w:kern w:val="0"/>
          <w:sz w:val="28"/>
          <w:highlight w:val="none"/>
          <w:lang w:val="zh-CN" w:bidi="zh-CN"/>
        </w:rPr>
        <w:t>；承建（承接）企业为</w:t>
      </w:r>
      <w:r>
        <w:rPr>
          <w:rFonts w:ascii="Times New Roman" w:hAnsi="Times New Roman" w:eastAsia="仿宋_GB2312"/>
          <w:color w:val="auto"/>
          <w:kern w:val="0"/>
          <w:sz w:val="28"/>
          <w:highlight w:val="none"/>
          <w:u w:val="single"/>
          <w:lang w:val="zh-CN" w:bidi="zh-CN"/>
        </w:rPr>
        <w:t xml:space="preserve">  （企业名称）  </w:t>
      </w:r>
      <w:r>
        <w:rPr>
          <w:rFonts w:ascii="Times New Roman" w:hAnsi="Times New Roman" w:eastAsia="仿宋_GB2312"/>
          <w:color w:val="auto"/>
          <w:kern w:val="0"/>
          <w:sz w:val="28"/>
          <w:highlight w:val="none"/>
          <w:lang w:val="zh-CN" w:bidi="zh-CN"/>
        </w:rPr>
        <w:t>，从业人员</w:t>
      </w:r>
      <w:r>
        <w:rPr>
          <w:rFonts w:ascii="Times New Roman" w:hAnsi="Times New Roman" w:eastAsia="仿宋_GB2312"/>
          <w:color w:val="auto"/>
          <w:kern w:val="0"/>
          <w:sz w:val="28"/>
          <w:highlight w:val="none"/>
          <w:u w:val="single"/>
          <w:lang w:val="zh-CN" w:bidi="zh-CN"/>
        </w:rPr>
        <w:t xml:space="preserve"> </w:t>
      </w:r>
      <w:r>
        <w:rPr>
          <w:rFonts w:ascii="Times New Roman" w:hAnsi="Times New Roman" w:eastAsia="仿宋_GB2312"/>
          <w:color w:val="auto"/>
          <w:kern w:val="0"/>
          <w:sz w:val="28"/>
          <w:highlight w:val="none"/>
          <w:u w:val="single"/>
          <w:lang w:val="zh-CN" w:bidi="zh-CN"/>
        </w:rPr>
        <w:tab/>
      </w:r>
      <w:r>
        <w:rPr>
          <w:rFonts w:ascii="Times New Roman" w:hAnsi="Times New Roman" w:eastAsia="仿宋_GB2312"/>
          <w:color w:val="auto"/>
          <w:kern w:val="0"/>
          <w:sz w:val="28"/>
          <w:highlight w:val="none"/>
          <w:lang w:val="zh-CN" w:bidi="zh-CN"/>
        </w:rPr>
        <w:t>人，营业收入为</w:t>
      </w:r>
      <w:r>
        <w:rPr>
          <w:rFonts w:ascii="Times New Roman" w:hAnsi="Times New Roman" w:eastAsia="仿宋_GB2312"/>
          <w:color w:val="auto"/>
          <w:kern w:val="0"/>
          <w:sz w:val="28"/>
          <w:highlight w:val="none"/>
          <w:u w:val="single"/>
          <w:lang w:val="zh-CN" w:bidi="zh-CN"/>
        </w:rPr>
        <w:t xml:space="preserve">    </w:t>
      </w:r>
      <w:r>
        <w:rPr>
          <w:rFonts w:ascii="Times New Roman" w:hAnsi="Times New Roman" w:eastAsia="仿宋_GB2312"/>
          <w:color w:val="auto"/>
          <w:kern w:val="0"/>
          <w:sz w:val="28"/>
          <w:highlight w:val="none"/>
          <w:u w:val="single"/>
          <w:lang w:val="zh-CN" w:bidi="zh-CN"/>
        </w:rPr>
        <w:tab/>
      </w:r>
      <w:r>
        <w:rPr>
          <w:rFonts w:ascii="Times New Roman" w:hAnsi="Times New Roman" w:eastAsia="仿宋_GB2312"/>
          <w:color w:val="auto"/>
          <w:kern w:val="0"/>
          <w:sz w:val="28"/>
          <w:highlight w:val="none"/>
          <w:lang w:val="zh-CN" w:bidi="zh-CN"/>
        </w:rPr>
        <w:t>万元，资产总额为</w:t>
      </w:r>
      <w:r>
        <w:rPr>
          <w:rFonts w:ascii="Times New Roman" w:hAnsi="Times New Roman" w:eastAsia="仿宋_GB2312"/>
          <w:color w:val="auto"/>
          <w:kern w:val="0"/>
          <w:sz w:val="28"/>
          <w:highlight w:val="none"/>
          <w:u w:val="single"/>
          <w:lang w:val="zh-CN" w:bidi="zh-CN"/>
        </w:rPr>
        <w:t xml:space="preserve">   </w:t>
      </w:r>
      <w:r>
        <w:rPr>
          <w:rFonts w:ascii="Times New Roman" w:hAnsi="Times New Roman" w:eastAsia="仿宋_GB2312"/>
          <w:color w:val="auto"/>
          <w:kern w:val="0"/>
          <w:sz w:val="28"/>
          <w:highlight w:val="none"/>
          <w:u w:val="single"/>
          <w:lang w:val="zh-CN" w:bidi="zh-CN"/>
        </w:rPr>
        <w:tab/>
      </w:r>
      <w:r>
        <w:rPr>
          <w:rFonts w:ascii="Times New Roman" w:hAnsi="Times New Roman" w:eastAsia="仿宋_GB2312"/>
          <w:color w:val="auto"/>
          <w:kern w:val="0"/>
          <w:sz w:val="28"/>
          <w:highlight w:val="none"/>
          <w:lang w:val="zh-CN" w:bidi="zh-CN"/>
        </w:rPr>
        <w:t>万元</w:t>
      </w:r>
      <w:r>
        <w:rPr>
          <w:rFonts w:ascii="Times New Roman" w:hAnsi="Times New Roman" w:eastAsia="仿宋_GB2312"/>
          <w:color w:val="auto"/>
          <w:kern w:val="0"/>
          <w:sz w:val="28"/>
          <w:highlight w:val="none"/>
          <w:vertAlign w:val="superscript"/>
          <w:lang w:val="zh-CN" w:bidi="zh-CN"/>
        </w:rPr>
        <w:t>1</w:t>
      </w:r>
      <w:r>
        <w:rPr>
          <w:rFonts w:ascii="Times New Roman" w:hAnsi="Times New Roman" w:eastAsia="仿宋_GB2312"/>
          <w:color w:val="auto"/>
          <w:kern w:val="0"/>
          <w:sz w:val="28"/>
          <w:highlight w:val="none"/>
          <w:lang w:val="zh-CN" w:bidi="zh-CN"/>
        </w:rPr>
        <w:t>，属于</w:t>
      </w:r>
      <w:r>
        <w:rPr>
          <w:rFonts w:ascii="Times New Roman" w:hAnsi="Times New Roman" w:eastAsia="仿宋_GB2312"/>
          <w:color w:val="auto"/>
          <w:kern w:val="0"/>
          <w:sz w:val="28"/>
          <w:highlight w:val="none"/>
          <w:u w:val="single"/>
          <w:lang w:val="zh-CN" w:bidi="zh-CN"/>
        </w:rPr>
        <w:t>（中型企业、小型企业、微型企业）</w:t>
      </w:r>
      <w:r>
        <w:rPr>
          <w:rFonts w:ascii="Times New Roman" w:hAnsi="Times New Roman" w:eastAsia="仿宋_GB2312"/>
          <w:color w:val="auto"/>
          <w:kern w:val="0"/>
          <w:sz w:val="28"/>
          <w:highlight w:val="none"/>
          <w:lang w:val="zh-CN" w:bidi="zh-CN"/>
        </w:rPr>
        <w:t>；</w:t>
      </w:r>
    </w:p>
    <w:p w14:paraId="7DA1CA44">
      <w:pPr>
        <w:autoSpaceDE w:val="0"/>
        <w:autoSpaceDN w:val="0"/>
        <w:spacing w:line="560" w:lineRule="exact"/>
        <w:ind w:firstLine="560" w:firstLineChars="200"/>
        <w:jc w:val="lef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2.</w:t>
      </w:r>
      <w:r>
        <w:rPr>
          <w:rFonts w:ascii="Times New Roman" w:hAnsi="Times New Roman" w:eastAsia="仿宋_GB2312"/>
          <w:color w:val="auto"/>
          <w:kern w:val="0"/>
          <w:sz w:val="28"/>
          <w:highlight w:val="none"/>
          <w:u w:val="single"/>
          <w:lang w:val="zh-CN" w:bidi="zh-CN"/>
        </w:rPr>
        <w:t xml:space="preserve">   （标的名称）   </w:t>
      </w:r>
      <w:r>
        <w:rPr>
          <w:rFonts w:ascii="Times New Roman" w:hAnsi="Times New Roman" w:eastAsia="仿宋_GB2312"/>
          <w:color w:val="auto"/>
          <w:kern w:val="0"/>
          <w:sz w:val="28"/>
          <w:highlight w:val="none"/>
          <w:lang w:val="zh-CN" w:bidi="zh-CN"/>
        </w:rPr>
        <w:t>，属于</w:t>
      </w:r>
      <w:r>
        <w:rPr>
          <w:rFonts w:ascii="Times New Roman" w:hAnsi="Times New Roman" w:eastAsia="仿宋_GB2312"/>
          <w:color w:val="auto"/>
          <w:kern w:val="0"/>
          <w:sz w:val="28"/>
          <w:highlight w:val="none"/>
          <w:u w:val="single"/>
          <w:lang w:val="zh-CN" w:bidi="zh-CN"/>
        </w:rPr>
        <w:t>（采购文件中明确的所属行业）</w:t>
      </w:r>
      <w:r>
        <w:rPr>
          <w:rFonts w:ascii="Times New Roman" w:hAnsi="Times New Roman" w:eastAsia="仿宋_GB2312"/>
          <w:color w:val="auto"/>
          <w:kern w:val="0"/>
          <w:sz w:val="28"/>
          <w:highlight w:val="none"/>
          <w:lang w:val="zh-CN" w:bidi="zh-CN"/>
        </w:rPr>
        <w:t>；承建（承接）企业为</w:t>
      </w:r>
      <w:r>
        <w:rPr>
          <w:rFonts w:ascii="Times New Roman" w:hAnsi="Times New Roman" w:eastAsia="仿宋_GB2312"/>
          <w:color w:val="auto"/>
          <w:kern w:val="0"/>
          <w:sz w:val="28"/>
          <w:highlight w:val="none"/>
          <w:u w:val="single"/>
          <w:lang w:val="zh-CN" w:bidi="zh-CN"/>
        </w:rPr>
        <w:t xml:space="preserve">  （企业名称）  </w:t>
      </w:r>
      <w:r>
        <w:rPr>
          <w:rFonts w:ascii="Times New Roman" w:hAnsi="Times New Roman" w:eastAsia="仿宋_GB2312"/>
          <w:color w:val="auto"/>
          <w:kern w:val="0"/>
          <w:sz w:val="28"/>
          <w:highlight w:val="none"/>
          <w:lang w:val="zh-CN" w:bidi="zh-CN"/>
        </w:rPr>
        <w:t>，从业人员</w:t>
      </w:r>
      <w:r>
        <w:rPr>
          <w:rFonts w:ascii="Times New Roman" w:hAnsi="Times New Roman" w:eastAsia="仿宋_GB2312"/>
          <w:color w:val="auto"/>
          <w:kern w:val="0"/>
          <w:sz w:val="28"/>
          <w:highlight w:val="none"/>
          <w:u w:val="single"/>
          <w:lang w:val="zh-CN" w:bidi="zh-CN"/>
        </w:rPr>
        <w:t xml:space="preserve"> </w:t>
      </w:r>
      <w:r>
        <w:rPr>
          <w:rFonts w:ascii="Times New Roman" w:hAnsi="Times New Roman" w:eastAsia="仿宋_GB2312"/>
          <w:color w:val="auto"/>
          <w:kern w:val="0"/>
          <w:sz w:val="28"/>
          <w:highlight w:val="none"/>
          <w:u w:val="single"/>
          <w:lang w:val="zh-CN" w:bidi="zh-CN"/>
        </w:rPr>
        <w:tab/>
      </w:r>
      <w:r>
        <w:rPr>
          <w:rFonts w:ascii="Times New Roman" w:hAnsi="Times New Roman" w:eastAsia="仿宋_GB2312"/>
          <w:color w:val="auto"/>
          <w:kern w:val="0"/>
          <w:sz w:val="28"/>
          <w:highlight w:val="none"/>
          <w:lang w:val="zh-CN" w:bidi="zh-CN"/>
        </w:rPr>
        <w:t>人，营业收入为</w:t>
      </w:r>
      <w:r>
        <w:rPr>
          <w:rFonts w:ascii="Times New Roman" w:hAnsi="Times New Roman" w:eastAsia="仿宋_GB2312"/>
          <w:color w:val="auto"/>
          <w:kern w:val="0"/>
          <w:sz w:val="28"/>
          <w:highlight w:val="none"/>
          <w:u w:val="single"/>
          <w:lang w:val="zh-CN" w:bidi="zh-CN"/>
        </w:rPr>
        <w:t xml:space="preserve">    </w:t>
      </w:r>
      <w:r>
        <w:rPr>
          <w:rFonts w:ascii="Times New Roman" w:hAnsi="Times New Roman" w:eastAsia="仿宋_GB2312"/>
          <w:color w:val="auto"/>
          <w:kern w:val="0"/>
          <w:sz w:val="28"/>
          <w:highlight w:val="none"/>
          <w:u w:val="single"/>
          <w:lang w:val="zh-CN" w:bidi="zh-CN"/>
        </w:rPr>
        <w:tab/>
      </w:r>
      <w:r>
        <w:rPr>
          <w:rFonts w:ascii="Times New Roman" w:hAnsi="Times New Roman" w:eastAsia="仿宋_GB2312"/>
          <w:color w:val="auto"/>
          <w:kern w:val="0"/>
          <w:sz w:val="28"/>
          <w:highlight w:val="none"/>
          <w:lang w:val="zh-CN" w:bidi="zh-CN"/>
        </w:rPr>
        <w:t>万元，资产总额为</w:t>
      </w:r>
      <w:r>
        <w:rPr>
          <w:rFonts w:ascii="Times New Roman" w:hAnsi="Times New Roman" w:eastAsia="仿宋_GB2312"/>
          <w:color w:val="auto"/>
          <w:kern w:val="0"/>
          <w:sz w:val="28"/>
          <w:highlight w:val="none"/>
          <w:u w:val="single"/>
          <w:lang w:val="zh-CN" w:bidi="zh-CN"/>
        </w:rPr>
        <w:t xml:space="preserve">   </w:t>
      </w:r>
      <w:r>
        <w:rPr>
          <w:rFonts w:ascii="Times New Roman" w:hAnsi="Times New Roman" w:eastAsia="仿宋_GB2312"/>
          <w:color w:val="auto"/>
          <w:kern w:val="0"/>
          <w:sz w:val="28"/>
          <w:highlight w:val="none"/>
          <w:u w:val="single"/>
          <w:lang w:val="zh-CN" w:bidi="zh-CN"/>
        </w:rPr>
        <w:tab/>
      </w:r>
      <w:r>
        <w:rPr>
          <w:rFonts w:ascii="Times New Roman" w:hAnsi="Times New Roman" w:eastAsia="仿宋_GB2312"/>
          <w:color w:val="auto"/>
          <w:kern w:val="0"/>
          <w:sz w:val="28"/>
          <w:highlight w:val="none"/>
          <w:lang w:val="zh-CN" w:bidi="zh-CN"/>
        </w:rPr>
        <w:t>万元，属于</w:t>
      </w:r>
      <w:r>
        <w:rPr>
          <w:rFonts w:ascii="Times New Roman" w:hAnsi="Times New Roman" w:eastAsia="仿宋_GB2312"/>
          <w:color w:val="auto"/>
          <w:kern w:val="0"/>
          <w:sz w:val="28"/>
          <w:highlight w:val="none"/>
          <w:u w:val="single"/>
          <w:lang w:val="zh-CN" w:bidi="zh-CN"/>
        </w:rPr>
        <w:t>（中型企业、小型企业、微型企业）</w:t>
      </w:r>
      <w:r>
        <w:rPr>
          <w:rFonts w:ascii="Times New Roman" w:hAnsi="Times New Roman" w:eastAsia="仿宋_GB2312"/>
          <w:color w:val="auto"/>
          <w:kern w:val="0"/>
          <w:sz w:val="28"/>
          <w:highlight w:val="none"/>
          <w:lang w:val="zh-CN" w:bidi="zh-CN"/>
        </w:rPr>
        <w:t>；</w:t>
      </w:r>
    </w:p>
    <w:p w14:paraId="1072EF09">
      <w:pPr>
        <w:autoSpaceDE w:val="0"/>
        <w:autoSpaceDN w:val="0"/>
        <w:spacing w:line="560" w:lineRule="exact"/>
        <w:ind w:firstLine="560" w:firstLineChars="200"/>
        <w:jc w:val="lef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w:t>
      </w:r>
    </w:p>
    <w:p w14:paraId="7BAE67B0">
      <w:pPr>
        <w:autoSpaceDE w:val="0"/>
        <w:autoSpaceDN w:val="0"/>
        <w:spacing w:line="560" w:lineRule="exact"/>
        <w:ind w:firstLine="560" w:firstLineChars="200"/>
        <w:jc w:val="lef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以上企业，不属于大企业的分支机构，不存在控股股东为大企业的情形，也不存在与大企业的负责人为同一人的情形。</w:t>
      </w:r>
    </w:p>
    <w:p w14:paraId="0FB04C6A">
      <w:pPr>
        <w:autoSpaceDE w:val="0"/>
        <w:autoSpaceDN w:val="0"/>
        <w:spacing w:line="560" w:lineRule="exact"/>
        <w:ind w:firstLine="560" w:firstLineChars="200"/>
        <w:jc w:val="lef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本企业对上述声明内容的真实性负责。如有虚假，将依法承担相应责任。</w:t>
      </w:r>
    </w:p>
    <w:p w14:paraId="175AC328">
      <w:pPr>
        <w:autoSpaceDE w:val="0"/>
        <w:autoSpaceDN w:val="0"/>
        <w:spacing w:line="560" w:lineRule="exact"/>
        <w:ind w:firstLine="560" w:firstLineChars="200"/>
        <w:jc w:val="left"/>
        <w:rPr>
          <w:rFonts w:ascii="Times New Roman" w:hAnsi="Times New Roman" w:eastAsia="仿宋_GB2312"/>
          <w:color w:val="auto"/>
          <w:kern w:val="0"/>
          <w:sz w:val="28"/>
          <w:highlight w:val="none"/>
          <w:lang w:val="zh-CN" w:bidi="zh-CN"/>
        </w:rPr>
      </w:pPr>
    </w:p>
    <w:p w14:paraId="2CA318FC">
      <w:pPr>
        <w:wordWrap w:val="0"/>
        <w:autoSpaceDE w:val="0"/>
        <w:autoSpaceDN w:val="0"/>
        <w:spacing w:line="560" w:lineRule="exact"/>
        <w:jc w:val="righ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 xml:space="preserve">企业名称（盖章）：                                  </w:t>
      </w:r>
    </w:p>
    <w:p w14:paraId="5E5F91DA">
      <w:pPr>
        <w:wordWrap w:val="0"/>
        <w:autoSpaceDE w:val="0"/>
        <w:autoSpaceDN w:val="0"/>
        <w:spacing w:line="560" w:lineRule="exact"/>
        <w:jc w:val="right"/>
        <w:rPr>
          <w:rFonts w:ascii="Times New Roman" w:hAnsi="Times New Roman" w:eastAsia="仿宋_GB2312"/>
          <w:color w:val="auto"/>
          <w:kern w:val="0"/>
          <w:sz w:val="28"/>
          <w:highlight w:val="none"/>
          <w:lang w:val="zh-CN" w:bidi="zh-CN"/>
        </w:rPr>
      </w:pPr>
      <w:r>
        <w:rPr>
          <w:rFonts w:ascii="Times New Roman" w:hAnsi="Times New Roman" w:eastAsia="仿宋_GB2312"/>
          <w:color w:val="auto"/>
          <w:kern w:val="0"/>
          <w:sz w:val="28"/>
          <w:highlight w:val="none"/>
          <w:lang w:val="zh-CN" w:bidi="zh-CN"/>
        </w:rPr>
        <w:t xml:space="preserve">日期：                                  </w:t>
      </w:r>
    </w:p>
    <w:p w14:paraId="4A04A916">
      <w:pPr>
        <w:autoSpaceDE w:val="0"/>
        <w:autoSpaceDN w:val="0"/>
        <w:spacing w:line="288" w:lineRule="auto"/>
        <w:jc w:val="left"/>
        <w:rPr>
          <w:rFonts w:ascii="Times New Roman" w:hAnsi="Times New Roman" w:eastAsia="仿宋_GB2312"/>
          <w:color w:val="auto"/>
          <w:kern w:val="0"/>
          <w:highlight w:val="none"/>
          <w:lang w:val="zh-CN" w:bidi="zh-CN"/>
        </w:rPr>
      </w:pPr>
    </w:p>
    <w:p w14:paraId="64E439EF">
      <w:pPr>
        <w:autoSpaceDE w:val="0"/>
        <w:autoSpaceDN w:val="0"/>
        <w:spacing w:line="288" w:lineRule="auto"/>
        <w:jc w:val="left"/>
        <w:rPr>
          <w:rFonts w:ascii="Times New Roman" w:hAnsi="Times New Roman" w:eastAsia="仿宋_GB2312"/>
          <w:color w:val="auto"/>
          <w:kern w:val="0"/>
          <w:highlight w:val="none"/>
          <w:lang w:val="zh-CN" w:bidi="zh-CN"/>
        </w:rPr>
      </w:pPr>
      <w:r>
        <w:rPr>
          <w:rFonts w:ascii="Times New Roman" w:hAnsi="Times New Roman" w:eastAsia="仿宋_GB2312"/>
          <w:color w:val="auto"/>
          <w:kern w:val="0"/>
          <w:highlight w:val="none"/>
          <w:lang w:val="zh-CN" w:bidi="zh-CN"/>
        </w:rPr>
        <w:t>注：填写前请认真阅读《政府采购促进中小企业发展管理办法》（财库</w:t>
      </w:r>
      <w:r>
        <w:rPr>
          <w:rFonts w:ascii="Times New Roman" w:hAnsi="Times New Roman" w:eastAsia="微软雅黑"/>
          <w:color w:val="auto"/>
          <w:kern w:val="0"/>
          <w:highlight w:val="none"/>
          <w:lang w:val="zh-CN" w:bidi="zh-CN"/>
        </w:rPr>
        <w:t>﹝</w:t>
      </w:r>
      <w:r>
        <w:rPr>
          <w:rFonts w:ascii="Times New Roman" w:hAnsi="Times New Roman" w:eastAsia="仿宋_GB2312"/>
          <w:color w:val="auto"/>
          <w:kern w:val="0"/>
          <w:highlight w:val="none"/>
          <w:lang w:val="zh-CN" w:bidi="zh-CN"/>
        </w:rPr>
        <w:t>2020</w:t>
      </w:r>
      <w:r>
        <w:rPr>
          <w:rFonts w:ascii="Times New Roman" w:hAnsi="Times New Roman" w:eastAsia="微软雅黑"/>
          <w:color w:val="auto"/>
          <w:kern w:val="0"/>
          <w:highlight w:val="none"/>
          <w:lang w:val="zh-CN" w:bidi="zh-CN"/>
        </w:rPr>
        <w:t>﹞</w:t>
      </w:r>
      <w:r>
        <w:rPr>
          <w:rFonts w:ascii="Times New Roman" w:hAnsi="Times New Roman" w:eastAsia="仿宋_GB2312"/>
          <w:color w:val="auto"/>
          <w:kern w:val="0"/>
          <w:highlight w:val="none"/>
          <w:lang w:val="zh-CN" w:bidi="zh-CN"/>
        </w:rPr>
        <w:t>46 号）的相关规定。</w:t>
      </w:r>
    </w:p>
    <w:p w14:paraId="46897CD8">
      <w:pPr>
        <w:widowControl/>
        <w:spacing w:line="288" w:lineRule="auto"/>
        <w:jc w:val="left"/>
        <w:rPr>
          <w:rFonts w:ascii="Times New Roman" w:hAnsi="Times New Roman" w:eastAsia="Times New Roman"/>
          <w:color w:val="auto"/>
          <w:kern w:val="0"/>
          <w:sz w:val="24"/>
          <w:szCs w:val="24"/>
          <w:highlight w:val="none"/>
        </w:rPr>
      </w:pPr>
      <w:r>
        <w:rPr>
          <w:rFonts w:ascii="Times New Roman" w:hAnsi="Times New Roman" w:eastAsia="仿宋_GB2312"/>
          <w:color w:val="auto"/>
          <w:kern w:val="0"/>
          <w:highlight w:val="none"/>
          <w:vertAlign w:val="superscript"/>
          <w:lang w:val="zh-CN" w:bidi="zh-CN"/>
        </w:rPr>
        <w:t>1</w:t>
      </w:r>
      <w:r>
        <w:rPr>
          <w:rFonts w:ascii="Times New Roman" w:hAnsi="Times New Roman" w:eastAsia="仿宋_GB2312"/>
          <w:color w:val="auto"/>
          <w:kern w:val="0"/>
          <w:highlight w:val="none"/>
          <w:lang w:val="zh-CN" w:bidi="zh-CN"/>
        </w:rPr>
        <w:t>从业人员、营业收入、资产总额填报上一年度数据，无上一年度数据的新成立企业可不填报。</w:t>
      </w:r>
    </w:p>
    <w:p w14:paraId="105615B4">
      <w:pPr>
        <w:spacing w:line="400" w:lineRule="exact"/>
        <w:jc w:val="center"/>
        <w:rPr>
          <w:rFonts w:ascii="Times New Roman" w:hAnsi="Times New Roman"/>
          <w:color w:val="auto"/>
          <w:sz w:val="28"/>
          <w:szCs w:val="28"/>
          <w:highlight w:val="none"/>
        </w:rPr>
      </w:pPr>
      <w:r>
        <w:rPr>
          <w:rFonts w:ascii="Times New Roman" w:hAnsi="Times New Roman"/>
          <w:color w:val="auto"/>
          <w:sz w:val="28"/>
          <w:szCs w:val="28"/>
          <w:highlight w:val="none"/>
        </w:rPr>
        <w:br w:type="page"/>
      </w:r>
    </w:p>
    <w:p w14:paraId="080897CF">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六</w:t>
      </w:r>
      <w:r>
        <w:rPr>
          <w:rFonts w:ascii="Times New Roman" w:hAnsi="Times New Roman"/>
          <w:b/>
          <w:color w:val="auto"/>
          <w:sz w:val="32"/>
          <w:szCs w:val="32"/>
          <w:highlight w:val="none"/>
        </w:rPr>
        <w:t>、关于符合本国产品标准的声明函</w:t>
      </w:r>
    </w:p>
    <w:p w14:paraId="1F5D86FE">
      <w:pPr>
        <w:pStyle w:val="25"/>
        <w:shd w:val="clear" w:color="auto" w:fill="FFFFFF"/>
        <w:spacing w:before="30" w:beforeAutospacing="0" w:after="30" w:afterAutospacing="0"/>
        <w:ind w:firstLine="420"/>
        <w:rPr>
          <w:color w:val="auto"/>
          <w:highlight w:val="none"/>
        </w:rPr>
      </w:pPr>
    </w:p>
    <w:p w14:paraId="4F7E6639">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3A8B27B">
      <w:pPr>
        <w:pStyle w:val="25"/>
        <w:spacing w:before="30" w:beforeAutospacing="0" w:after="30" w:afterAutospacing="0" w:line="0" w:lineRule="atLeast"/>
        <w:ind w:firstLine="420"/>
        <w:rPr>
          <w:rFonts w:ascii="Times New Roman" w:hAnsi="Times New Roman" w:eastAsia="仿宋_GB2312" w:cs="Times New Roman"/>
          <w:color w:val="auto"/>
          <w:highlight w:val="none"/>
        </w:rPr>
      </w:pPr>
      <w:r>
        <w:rPr>
          <w:rFonts w:ascii="Times New Roman" w:hAnsi="Times New Roman" w:eastAsia="仿宋_GB2312" w:cs="Times New Roman"/>
          <w:color w:val="auto"/>
          <w:highlight w:val="none"/>
          <w:shd w:val="clear" w:color="auto" w:fill="FFFFFF"/>
        </w:rPr>
        <w:t>1.</w:t>
      </w:r>
      <w:r>
        <w:rPr>
          <w:rStyle w:val="34"/>
          <w:rFonts w:ascii="Times New Roman" w:hAnsi="Times New Roman" w:eastAsia="仿宋_GB2312" w:cs="Times New Roman"/>
          <w:i w:val="0"/>
          <w:color w:val="auto"/>
          <w:highlight w:val="none"/>
          <w:u w:val="single"/>
          <w:shd w:val="clear" w:color="auto" w:fill="FFFFFF"/>
        </w:rPr>
        <w:t>（产品名称1）</w:t>
      </w:r>
      <w:r>
        <w:rPr>
          <w:rStyle w:val="34"/>
          <w:rFonts w:ascii="Times New Roman" w:hAnsi="Times New Roman" w:eastAsia="仿宋_GB2312" w:cs="Times New Roman"/>
          <w:i w:val="0"/>
          <w:color w:val="auto"/>
          <w:highlight w:val="none"/>
          <w:shd w:val="clear" w:color="auto" w:fill="FFFFFF"/>
          <w:vertAlign w:val="superscript"/>
        </w:rPr>
        <w:t>1</w:t>
      </w:r>
      <w:r>
        <w:rPr>
          <w:rFonts w:ascii="Times New Roman" w:hAnsi="Times New Roman" w:eastAsia="仿宋_GB2312" w:cs="Times New Roman"/>
          <w:color w:val="auto"/>
          <w:highlight w:val="none"/>
          <w:shd w:val="clear" w:color="auto" w:fill="FFFFFF"/>
        </w:rPr>
        <w:t>，生产厂为</w:t>
      </w:r>
      <w:r>
        <w:rPr>
          <w:rStyle w:val="34"/>
          <w:rFonts w:ascii="Times New Roman" w:hAnsi="Times New Roman" w:eastAsia="仿宋_GB2312" w:cs="Times New Roman"/>
          <w:i w:val="0"/>
          <w:color w:val="auto"/>
          <w:highlight w:val="none"/>
          <w:u w:val="single"/>
          <w:shd w:val="clear" w:color="auto" w:fill="FFFFFF"/>
        </w:rPr>
        <w:t>（厂名）</w:t>
      </w:r>
      <w:r>
        <w:rPr>
          <w:rStyle w:val="34"/>
          <w:rFonts w:ascii="Times New Roman" w:hAnsi="Times New Roman" w:eastAsia="仿宋_GB2312" w:cs="Times New Roman"/>
          <w:i w:val="0"/>
          <w:color w:val="auto"/>
          <w:highlight w:val="none"/>
          <w:shd w:val="clear" w:color="auto" w:fill="FFFFFF"/>
          <w:vertAlign w:val="superscript"/>
        </w:rPr>
        <w:t>2</w:t>
      </w:r>
      <w:r>
        <w:rPr>
          <w:rFonts w:ascii="Times New Roman" w:hAnsi="Times New Roman" w:eastAsia="仿宋_GB2312" w:cs="Times New Roman"/>
          <w:color w:val="auto"/>
          <w:highlight w:val="none"/>
          <w:shd w:val="clear" w:color="auto" w:fill="FFFFFF"/>
        </w:rPr>
        <w:t>，厂址为</w:t>
      </w:r>
      <w:r>
        <w:rPr>
          <w:rStyle w:val="34"/>
          <w:rFonts w:ascii="Times New Roman" w:hAnsi="Times New Roman" w:eastAsia="仿宋_GB2312" w:cs="Times New Roman"/>
          <w:i w:val="0"/>
          <w:color w:val="auto"/>
          <w:highlight w:val="none"/>
          <w:u w:val="single"/>
          <w:shd w:val="clear" w:color="auto" w:fill="FFFFFF"/>
        </w:rPr>
        <w:t>（生产厂址）</w:t>
      </w:r>
      <w:r>
        <w:rPr>
          <w:rFonts w:ascii="Times New Roman" w:hAnsi="Times New Roman" w:eastAsia="仿宋_GB2312" w:cs="Times New Roman"/>
          <w:color w:val="auto"/>
          <w:highlight w:val="none"/>
          <w:shd w:val="clear" w:color="auto" w:fill="FFFFFF"/>
        </w:rPr>
        <w:t>。</w:t>
      </w:r>
      <w:r>
        <w:rPr>
          <w:rFonts w:ascii="Times New Roman" w:hAnsi="Times New Roman" w:eastAsia="仿宋_GB2312" w:cs="Times New Roman"/>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u w:val="single"/>
          <w:shd w:val="clear" w:color="auto" w:fill="FFFFFF"/>
        </w:rPr>
        <w:t xml:space="preserve">/ </w:t>
      </w:r>
      <w:r>
        <w:rPr>
          <w:rFonts w:ascii="Times New Roman" w:hAnsi="Times New Roman" w:eastAsia="仿宋_GB2312" w:cs="Times New Roman"/>
          <w:color w:val="auto"/>
          <w:highlight w:val="none"/>
          <w:shd w:val="clear" w:color="auto" w:fill="FFFFFF"/>
        </w:rPr>
        <w:t>的中国境内生产的组件成本占比≥</w:t>
      </w:r>
      <w:r>
        <w:rPr>
          <w:rFonts w:ascii="Times New Roman" w:hAnsi="Times New Roman" w:eastAsia="仿宋_GB2312" w:cs="Times New Roman"/>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shd w:val="clear" w:color="auto" w:fill="FFFFFF"/>
          <w:vertAlign w:val="superscript"/>
        </w:rPr>
        <w:t>3</w:t>
      </w:r>
      <w:r>
        <w:rPr>
          <w:rFonts w:ascii="Times New Roman" w:hAnsi="Times New Roman" w:eastAsia="仿宋_GB2312" w:cs="Times New Roman"/>
          <w:color w:val="auto"/>
          <w:highlight w:val="none"/>
          <w:shd w:val="clear" w:color="auto" w:fill="FFFFFF"/>
        </w:rPr>
        <w:t>。</w:t>
      </w:r>
      <w:r>
        <w:rPr>
          <w:rFonts w:ascii="Times New Roman" w:hAnsi="Times New Roman" w:eastAsia="仿宋_GB2312" w:cs="Times New Roman"/>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u w:val="single"/>
          <w:shd w:val="clear" w:color="auto" w:fill="FFFFFF"/>
        </w:rPr>
        <w:t xml:space="preserve">/  </w:t>
      </w:r>
      <w:r>
        <w:rPr>
          <w:rFonts w:ascii="Times New Roman" w:hAnsi="Times New Roman" w:eastAsia="仿宋_GB2312" w:cs="Times New Roman"/>
          <w:color w:val="auto"/>
          <w:highlight w:val="none"/>
          <w:shd w:val="clear" w:color="auto" w:fill="FFFFFF"/>
        </w:rPr>
        <w:t>的</w:t>
      </w:r>
      <w:r>
        <w:rPr>
          <w:rFonts w:ascii="Times New Roman" w:hAnsi="Times New Roman" w:eastAsia="仿宋_GB2312" w:cs="Times New Roman"/>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shd w:val="clear" w:color="auto" w:fill="FFFFFF"/>
          <w:vertAlign w:val="superscript"/>
        </w:rPr>
        <w:t>4</w:t>
      </w:r>
      <w:r>
        <w:rPr>
          <w:rFonts w:ascii="Times New Roman" w:hAnsi="Times New Roman" w:eastAsia="仿宋_GB2312" w:cs="Times New Roman"/>
          <w:color w:val="auto"/>
          <w:highlight w:val="none"/>
          <w:shd w:val="clear" w:color="auto" w:fill="FFFFFF"/>
        </w:rPr>
        <w:t>在中国境内生产。</w:t>
      </w:r>
      <w:r>
        <w:rPr>
          <w:rFonts w:ascii="Times New Roman" w:hAnsi="Times New Roman" w:eastAsia="仿宋_GB2312" w:cs="Times New Roman"/>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u w:val="single"/>
          <w:shd w:val="clear" w:color="auto" w:fill="FFFFFF"/>
        </w:rPr>
        <w:t xml:space="preserve">/  </w:t>
      </w:r>
      <w:r>
        <w:rPr>
          <w:rFonts w:ascii="Times New Roman" w:hAnsi="Times New Roman" w:eastAsia="仿宋_GB2312" w:cs="Times New Roman"/>
          <w:color w:val="auto"/>
          <w:highlight w:val="none"/>
          <w:shd w:val="clear" w:color="auto" w:fill="FFFFFF"/>
        </w:rPr>
        <w:t>的</w:t>
      </w:r>
      <w:r>
        <w:rPr>
          <w:rFonts w:ascii="Times New Roman" w:hAnsi="Times New Roman" w:eastAsia="仿宋_GB2312" w:cs="Times New Roman"/>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u w:val="single"/>
          <w:shd w:val="clear" w:color="auto" w:fill="FFFFFF"/>
        </w:rPr>
        <w:t xml:space="preserve">/  </w:t>
      </w:r>
      <w:r>
        <w:rPr>
          <w:rStyle w:val="34"/>
          <w:rFonts w:ascii="Times New Roman" w:hAnsi="Times New Roman" w:eastAsia="仿宋_GB2312" w:cs="Times New Roman"/>
          <w:i w:val="0"/>
          <w:color w:val="auto"/>
          <w:highlight w:val="none"/>
          <w:shd w:val="clear" w:color="auto" w:fill="FFFFFF"/>
          <w:vertAlign w:val="superscript"/>
        </w:rPr>
        <w:t>5</w:t>
      </w:r>
      <w:r>
        <w:rPr>
          <w:rFonts w:ascii="Times New Roman" w:hAnsi="Times New Roman" w:eastAsia="仿宋_GB2312" w:cs="Times New Roman"/>
          <w:color w:val="auto"/>
          <w:highlight w:val="none"/>
          <w:shd w:val="clear" w:color="auto" w:fill="FFFFFF"/>
        </w:rPr>
        <w:t>在中国境内完成。</w:t>
      </w:r>
    </w:p>
    <w:p w14:paraId="363A670B">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shd w:val="clear" w:color="auto" w:fill="FFFFFF"/>
        </w:rPr>
        <w:t>2.</w:t>
      </w:r>
      <w:r>
        <w:rPr>
          <w:rStyle w:val="34"/>
          <w:rFonts w:ascii="Times New Roman" w:hAnsi="Times New Roman" w:eastAsia="仿宋_GB2312"/>
          <w:i w:val="0"/>
          <w:color w:val="auto"/>
          <w:sz w:val="24"/>
          <w:szCs w:val="24"/>
          <w:highlight w:val="none"/>
          <w:u w:val="single"/>
          <w:shd w:val="clear" w:color="auto" w:fill="FFFFFF"/>
        </w:rPr>
        <w:t>（产品名称2）</w:t>
      </w:r>
      <w:r>
        <w:rPr>
          <w:rFonts w:ascii="Times New Roman" w:hAnsi="Times New Roman" w:eastAsia="仿宋_GB2312"/>
          <w:color w:val="auto"/>
          <w:sz w:val="24"/>
          <w:szCs w:val="24"/>
          <w:highlight w:val="none"/>
          <w:shd w:val="clear" w:color="auto" w:fill="FFFFFF"/>
        </w:rPr>
        <w:t>，生产厂为</w:t>
      </w:r>
      <w:r>
        <w:rPr>
          <w:rStyle w:val="34"/>
          <w:rFonts w:ascii="Times New Roman" w:hAnsi="Times New Roman" w:eastAsia="仿宋_GB2312"/>
          <w:i w:val="0"/>
          <w:color w:val="auto"/>
          <w:sz w:val="24"/>
          <w:szCs w:val="24"/>
          <w:highlight w:val="none"/>
          <w:u w:val="single"/>
          <w:shd w:val="clear" w:color="auto" w:fill="FFFFFF"/>
        </w:rPr>
        <w:t>（厂名）</w:t>
      </w:r>
      <w:r>
        <w:rPr>
          <w:rFonts w:ascii="Times New Roman" w:hAnsi="Times New Roman" w:eastAsia="仿宋_GB2312"/>
          <w:color w:val="auto"/>
          <w:sz w:val="24"/>
          <w:szCs w:val="24"/>
          <w:highlight w:val="none"/>
          <w:shd w:val="clear" w:color="auto" w:fill="FFFFFF"/>
        </w:rPr>
        <w:t>，厂址为</w:t>
      </w:r>
      <w:r>
        <w:rPr>
          <w:rStyle w:val="34"/>
          <w:rFonts w:ascii="Times New Roman" w:hAnsi="Times New Roman" w:eastAsia="仿宋_GB2312"/>
          <w:i w:val="0"/>
          <w:color w:val="auto"/>
          <w:sz w:val="24"/>
          <w:szCs w:val="24"/>
          <w:highlight w:val="none"/>
          <w:u w:val="single"/>
          <w:shd w:val="clear" w:color="auto" w:fill="FFFFFF"/>
        </w:rPr>
        <w:t>（生产厂址）</w:t>
      </w:r>
      <w:r>
        <w:rPr>
          <w:rFonts w:ascii="Times New Roman" w:hAnsi="Times New Roman" w:eastAsia="仿宋_GB2312"/>
          <w:color w:val="auto"/>
          <w:sz w:val="24"/>
          <w:szCs w:val="24"/>
          <w:highlight w:val="none"/>
          <w:shd w:val="clear" w:color="auto" w:fill="FFFFFF"/>
        </w:rPr>
        <w:t>。</w:t>
      </w:r>
      <w:r>
        <w:rPr>
          <w:rFonts w:ascii="Times New Roman" w:hAnsi="Times New Roman" w:eastAsia="仿宋_GB2312"/>
          <w:color w:val="auto"/>
          <w:sz w:val="24"/>
          <w:szCs w:val="24"/>
          <w:highlight w:val="none"/>
          <w:u w:val="single"/>
          <w:shd w:val="clear" w:color="auto" w:fill="FFFFFF"/>
        </w:rPr>
        <w:t xml:space="preserve"> </w:t>
      </w:r>
      <w:r>
        <w:rPr>
          <w:rStyle w:val="34"/>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的中国境内生产的组件成本占比≥</w:t>
      </w:r>
      <w:r>
        <w:rPr>
          <w:rFonts w:ascii="Times New Roman" w:hAnsi="Times New Roman" w:eastAsia="仿宋_GB2312"/>
          <w:color w:val="auto"/>
          <w:sz w:val="24"/>
          <w:szCs w:val="24"/>
          <w:highlight w:val="none"/>
          <w:u w:val="single"/>
          <w:shd w:val="clear" w:color="auto" w:fill="FFFFFF"/>
        </w:rPr>
        <w:t xml:space="preserve">  </w:t>
      </w:r>
      <w:r>
        <w:rPr>
          <w:rStyle w:val="34"/>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w:t>
      </w:r>
      <w:r>
        <w:rPr>
          <w:rFonts w:ascii="Times New Roman" w:hAnsi="Times New Roman" w:eastAsia="仿宋_GB2312"/>
          <w:color w:val="auto"/>
          <w:sz w:val="24"/>
          <w:szCs w:val="24"/>
          <w:highlight w:val="none"/>
          <w:u w:val="single"/>
          <w:shd w:val="clear" w:color="auto" w:fill="FFFFFF"/>
        </w:rPr>
        <w:t xml:space="preserve">  </w:t>
      </w:r>
      <w:r>
        <w:rPr>
          <w:rStyle w:val="34"/>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的</w:t>
      </w:r>
      <w:r>
        <w:rPr>
          <w:rFonts w:ascii="Times New Roman" w:hAnsi="Times New Roman" w:eastAsia="仿宋_GB2312"/>
          <w:color w:val="auto"/>
          <w:sz w:val="24"/>
          <w:szCs w:val="24"/>
          <w:highlight w:val="none"/>
          <w:u w:val="single"/>
          <w:shd w:val="clear" w:color="auto" w:fill="FFFFFF"/>
        </w:rPr>
        <w:t xml:space="preserve">  </w:t>
      </w:r>
      <w:r>
        <w:rPr>
          <w:rStyle w:val="34"/>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在中国境内生产。</w:t>
      </w:r>
      <w:r>
        <w:rPr>
          <w:rFonts w:ascii="Times New Roman" w:hAnsi="Times New Roman" w:eastAsia="仿宋_GB2312"/>
          <w:color w:val="auto"/>
          <w:sz w:val="24"/>
          <w:szCs w:val="24"/>
          <w:highlight w:val="none"/>
          <w:u w:val="single"/>
          <w:shd w:val="clear" w:color="auto" w:fill="FFFFFF"/>
        </w:rPr>
        <w:t xml:space="preserve">  </w:t>
      </w:r>
      <w:r>
        <w:rPr>
          <w:rStyle w:val="34"/>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的</w:t>
      </w:r>
      <w:r>
        <w:rPr>
          <w:rFonts w:ascii="Times New Roman" w:hAnsi="Times New Roman" w:eastAsia="仿宋_GB2312"/>
          <w:color w:val="auto"/>
          <w:sz w:val="24"/>
          <w:szCs w:val="24"/>
          <w:highlight w:val="none"/>
          <w:u w:val="single"/>
          <w:shd w:val="clear" w:color="auto" w:fill="FFFFFF"/>
        </w:rPr>
        <w:t xml:space="preserve">  </w:t>
      </w:r>
      <w:r>
        <w:rPr>
          <w:rStyle w:val="34"/>
          <w:rFonts w:ascii="Times New Roman" w:hAnsi="Times New Roman" w:eastAsia="仿宋_GB2312"/>
          <w:i w:val="0"/>
          <w:color w:val="auto"/>
          <w:sz w:val="24"/>
          <w:szCs w:val="24"/>
          <w:highlight w:val="none"/>
          <w:u w:val="single"/>
          <w:shd w:val="clear" w:color="auto" w:fill="FFFFFF"/>
        </w:rPr>
        <w:t xml:space="preserve">/  </w:t>
      </w:r>
      <w:r>
        <w:rPr>
          <w:rFonts w:ascii="Times New Roman" w:hAnsi="Times New Roman" w:eastAsia="仿宋_GB2312"/>
          <w:color w:val="auto"/>
          <w:sz w:val="24"/>
          <w:szCs w:val="24"/>
          <w:highlight w:val="none"/>
          <w:shd w:val="clear" w:color="auto" w:fill="FFFFFF"/>
        </w:rPr>
        <w:t>在中国境内完成。</w:t>
      </w:r>
    </w:p>
    <w:p w14:paraId="64E68283">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w:t>
      </w:r>
    </w:p>
    <w:p w14:paraId="2B48B75D">
      <w:pPr>
        <w:adjustRightInd w:val="0"/>
        <w:snapToGrid w:val="0"/>
        <w:spacing w:line="440" w:lineRule="exact"/>
        <w:ind w:firstLine="475" w:firstLineChars="198"/>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本公司（单位）对上述声明内容的真实性负责。如有虚假，愿承担相应法律责任。</w:t>
      </w:r>
    </w:p>
    <w:p w14:paraId="502D5B08">
      <w:pPr>
        <w:adjustRightInd w:val="0"/>
        <w:snapToGrid w:val="0"/>
        <w:spacing w:line="440" w:lineRule="exact"/>
        <w:ind w:firstLine="475" w:firstLineChars="198"/>
        <w:jc w:val="right"/>
        <w:rPr>
          <w:rFonts w:ascii="Times New Roman" w:hAnsi="Times New Roman" w:eastAsia="仿宋_GB2312"/>
          <w:color w:val="auto"/>
          <w:sz w:val="24"/>
          <w:szCs w:val="24"/>
          <w:highlight w:val="none"/>
        </w:rPr>
      </w:pPr>
    </w:p>
    <w:p w14:paraId="3B2280C4">
      <w:pPr>
        <w:adjustRightInd w:val="0"/>
        <w:snapToGrid w:val="0"/>
        <w:spacing w:line="440" w:lineRule="exact"/>
        <w:ind w:firstLine="475" w:firstLineChars="198"/>
        <w:jc w:val="right"/>
        <w:rPr>
          <w:rFonts w:ascii="Times New Roman" w:hAnsi="Times New Roman" w:eastAsia="仿宋_GB2312"/>
          <w:color w:val="auto"/>
          <w:sz w:val="24"/>
          <w:szCs w:val="24"/>
          <w:highlight w:val="none"/>
        </w:rPr>
      </w:pPr>
    </w:p>
    <w:p w14:paraId="22173C2C">
      <w:pPr>
        <w:adjustRightInd w:val="0"/>
        <w:snapToGrid w:val="0"/>
        <w:spacing w:line="440" w:lineRule="exact"/>
        <w:ind w:firstLine="475" w:firstLineChars="198"/>
        <w:jc w:val="right"/>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公司（单位）名称（盖章）：      </w:t>
      </w:r>
    </w:p>
    <w:p w14:paraId="26ED9843">
      <w:pPr>
        <w:adjustRightInd w:val="0"/>
        <w:snapToGrid w:val="0"/>
        <w:spacing w:line="440" w:lineRule="exact"/>
        <w:ind w:firstLine="475" w:firstLineChars="198"/>
        <w:jc w:val="right"/>
        <w:rPr>
          <w:rFonts w:ascii="宋体" w:hAnsi="宋体" w:cs="宋体"/>
          <w:color w:val="auto"/>
          <w:sz w:val="24"/>
          <w:szCs w:val="24"/>
          <w:highlight w:val="none"/>
        </w:rPr>
      </w:pPr>
      <w:r>
        <w:rPr>
          <w:rFonts w:hint="eastAsia" w:ascii="Times New Roman" w:hAnsi="Times New Roman" w:eastAsia="仿宋_GB2312"/>
          <w:color w:val="auto"/>
          <w:sz w:val="24"/>
          <w:szCs w:val="24"/>
          <w:highlight w:val="none"/>
        </w:rPr>
        <w:t>日期：　　　　　年　　月　日</w:t>
      </w:r>
      <w:r>
        <w:rPr>
          <w:rFonts w:hint="eastAsia" w:ascii="宋体" w:hAnsi="宋体" w:cs="宋体"/>
          <w:color w:val="auto"/>
          <w:sz w:val="24"/>
          <w:szCs w:val="24"/>
          <w:highlight w:val="none"/>
          <w:shd w:val="clear" w:color="auto" w:fill="FFFFFF"/>
        </w:rPr>
        <w:t>    </w:t>
      </w:r>
    </w:p>
    <w:p w14:paraId="7E25AA04">
      <w:pPr>
        <w:pStyle w:val="25"/>
        <w:shd w:val="clear" w:color="auto" w:fill="FFFFFF"/>
        <w:spacing w:before="30" w:beforeAutospacing="0" w:after="30" w:afterAutospacing="0"/>
        <w:ind w:firstLine="420"/>
        <w:rPr>
          <w:color w:val="auto"/>
          <w:highlight w:val="none"/>
        </w:rPr>
      </w:pPr>
    </w:p>
    <w:p w14:paraId="6A0BF7FA">
      <w:pPr>
        <w:pStyle w:val="25"/>
        <w:shd w:val="clear" w:color="auto" w:fill="FFFFFF"/>
        <w:spacing w:before="30" w:beforeAutospacing="0" w:after="30" w:afterAutospacing="0"/>
        <w:ind w:firstLine="420"/>
        <w:rPr>
          <w:color w:val="auto"/>
          <w:highlight w:val="none"/>
        </w:rPr>
      </w:pPr>
    </w:p>
    <w:p w14:paraId="5524FBB4">
      <w:pPr>
        <w:pStyle w:val="25"/>
        <w:shd w:val="clear" w:color="auto" w:fill="FFFFFF"/>
        <w:spacing w:before="30" w:beforeAutospacing="0" w:after="30" w:afterAutospacing="0"/>
        <w:rPr>
          <w:color w:val="auto"/>
          <w:highlight w:val="none"/>
        </w:rPr>
      </w:pPr>
      <w:r>
        <w:rPr>
          <w:rFonts w:hint="eastAsia"/>
          <w:color w:val="auto"/>
          <w:highlight w:val="none"/>
          <w:shd w:val="clear" w:color="auto" w:fill="FFFFFF"/>
        </w:rPr>
        <w:t>_____________________________</w:t>
      </w:r>
    </w:p>
    <w:p w14:paraId="4F8DF56B">
      <w:pPr>
        <w:pStyle w:val="25"/>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1.产品如有型号，请在“产品名称”栏一并填写。</w:t>
      </w:r>
    </w:p>
    <w:p w14:paraId="5969465D">
      <w:pPr>
        <w:pStyle w:val="25"/>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2.生产厂名与厂址应与生产厂营业执照载明的相关信息保持一致。</w:t>
      </w:r>
    </w:p>
    <w:p w14:paraId="25292DFC">
      <w:pPr>
        <w:pStyle w:val="25"/>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3.该产品的中国境内生产的组件成本占比相关要求实施前，“规定比例”栏可不填，下同。</w:t>
      </w:r>
    </w:p>
    <w:p w14:paraId="40F1F7C3">
      <w:pPr>
        <w:pStyle w:val="25"/>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4.该产品的关键组件要求实施前，“关键组件”栏可不填，下同。</w:t>
      </w:r>
    </w:p>
    <w:p w14:paraId="564DAE3D">
      <w:pPr>
        <w:pStyle w:val="25"/>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5.该产品的关键工序要求实施前，“关键工序”栏可不填，下同。</w:t>
      </w:r>
    </w:p>
    <w:p w14:paraId="6C20E0C0">
      <w:pPr>
        <w:pStyle w:val="25"/>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r>
        <w:rPr>
          <w:rFonts w:hint="eastAsia" w:ascii="Times New Roman" w:hAnsi="Times New Roman" w:eastAsia="仿宋_GB2312" w:cs="Times New Roman"/>
          <w:color w:val="auto"/>
          <w:kern w:val="2"/>
          <w:sz w:val="21"/>
          <w:szCs w:val="21"/>
          <w:highlight w:val="none"/>
        </w:rPr>
        <w:t>6.《声明函》中标注“</w:t>
      </w:r>
      <w:r>
        <w:rPr>
          <w:rFonts w:hint="eastAsia" w:ascii="Times New Roman" w:hAnsi="Times New Roman" w:eastAsia="仿宋_GB2312" w:cs="Times New Roman"/>
          <w:color w:val="auto"/>
          <w:kern w:val="2"/>
          <w:sz w:val="21"/>
          <w:szCs w:val="21"/>
          <w:highlight w:val="none"/>
          <w:u w:val="single"/>
        </w:rPr>
        <w:t xml:space="preserve">  /  </w:t>
      </w:r>
      <w:r>
        <w:rPr>
          <w:rFonts w:hint="eastAsia" w:ascii="Times New Roman" w:hAnsi="Times New Roman" w:eastAsia="仿宋_GB2312" w:cs="Times New Roman"/>
          <w:color w:val="auto"/>
          <w:kern w:val="2"/>
          <w:sz w:val="21"/>
          <w:szCs w:val="21"/>
          <w:highlight w:val="none"/>
        </w:rPr>
        <w:t>”的地方无需填写。</w:t>
      </w:r>
    </w:p>
    <w:p w14:paraId="5FEC3B38">
      <w:pPr>
        <w:pStyle w:val="25"/>
        <w:shd w:val="clear" w:color="auto" w:fill="FFFFFF"/>
        <w:spacing w:before="30" w:beforeAutospacing="0" w:after="30" w:afterAutospacing="0"/>
        <w:ind w:firstLine="420"/>
        <w:rPr>
          <w:rFonts w:ascii="Times New Roman" w:hAnsi="Times New Roman" w:eastAsia="仿宋_GB2312" w:cs="Times New Roman"/>
          <w:color w:val="auto"/>
          <w:kern w:val="2"/>
          <w:sz w:val="21"/>
          <w:szCs w:val="21"/>
          <w:highlight w:val="none"/>
        </w:rPr>
      </w:pPr>
    </w:p>
    <w:p w14:paraId="1BCBDFB5">
      <w:pPr>
        <w:jc w:val="center"/>
        <w:rPr>
          <w:rFonts w:ascii="Times New Roman" w:hAnsi="Times New Roman"/>
          <w:b/>
          <w:color w:val="auto"/>
          <w:sz w:val="32"/>
          <w:szCs w:val="32"/>
          <w:highlight w:val="none"/>
        </w:rPr>
      </w:pPr>
      <w:r>
        <w:rPr>
          <w:rFonts w:hint="eastAsia" w:ascii="Times New Roman" w:hAnsi="Times New Roman" w:eastAsia="仿宋_GB2312"/>
          <w:color w:val="auto"/>
          <w:szCs w:val="21"/>
          <w:highlight w:val="none"/>
        </w:rPr>
        <w:br w:type="page"/>
      </w:r>
      <w:r>
        <w:rPr>
          <w:rFonts w:hint="eastAsia" w:ascii="Times New Roman" w:hAnsi="Times New Roman" w:eastAsia="仿宋_GB2312"/>
          <w:b/>
          <w:color w:val="auto"/>
          <w:sz w:val="32"/>
          <w:szCs w:val="32"/>
          <w:highlight w:val="none"/>
          <w:lang w:eastAsia="zh-CN"/>
        </w:rPr>
        <w:t>七</w:t>
      </w:r>
      <w:r>
        <w:rPr>
          <w:rFonts w:ascii="Times New Roman" w:hAnsi="Times New Roman"/>
          <w:b/>
          <w:color w:val="auto"/>
          <w:sz w:val="32"/>
          <w:szCs w:val="32"/>
          <w:highlight w:val="none"/>
        </w:rPr>
        <w:t>、残疾人福利性单位声明或监狱企业证明材料（如有）</w:t>
      </w:r>
    </w:p>
    <w:p w14:paraId="48FFD9B9">
      <w:pPr>
        <w:spacing w:line="400" w:lineRule="exact"/>
        <w:jc w:val="center"/>
        <w:rPr>
          <w:rFonts w:ascii="Times New Roman" w:hAnsi="Times New Roman"/>
          <w:b/>
          <w:color w:val="auto"/>
          <w:sz w:val="32"/>
          <w:szCs w:val="32"/>
          <w:highlight w:val="none"/>
        </w:rPr>
      </w:pPr>
    </w:p>
    <w:p w14:paraId="02EADCC2">
      <w:pPr>
        <w:widowControl/>
        <w:spacing w:line="400" w:lineRule="exact"/>
        <w:jc w:val="center"/>
        <w:rPr>
          <w:rFonts w:ascii="Times New Roman" w:hAnsi="Times New Roman"/>
          <w:b/>
          <w:bCs/>
          <w:color w:val="auto"/>
          <w:spacing w:val="6"/>
          <w:kern w:val="0"/>
          <w:sz w:val="32"/>
          <w:szCs w:val="32"/>
          <w:highlight w:val="none"/>
        </w:rPr>
      </w:pPr>
      <w:r>
        <w:rPr>
          <w:rFonts w:ascii="Times New Roman" w:hAnsi="Times New Roman"/>
          <w:b/>
          <w:bCs/>
          <w:color w:val="auto"/>
          <w:spacing w:val="6"/>
          <w:kern w:val="0"/>
          <w:sz w:val="32"/>
          <w:szCs w:val="32"/>
          <w:highlight w:val="none"/>
        </w:rPr>
        <w:t>残疾人福利性单位声明函</w:t>
      </w:r>
    </w:p>
    <w:p w14:paraId="1D896B17">
      <w:pPr>
        <w:spacing w:line="588" w:lineRule="exact"/>
        <w:rPr>
          <w:rFonts w:ascii="Times New Roman" w:hAnsi="Times New Roman" w:eastAsia="仿宋_GB2312"/>
          <w:b/>
          <w:bCs/>
          <w:color w:val="auto"/>
          <w:spacing w:val="6"/>
          <w:sz w:val="30"/>
          <w:szCs w:val="30"/>
          <w:highlight w:val="none"/>
        </w:rPr>
      </w:pPr>
    </w:p>
    <w:p w14:paraId="6956A8A2">
      <w:pPr>
        <w:adjustRightInd w:val="0"/>
        <w:snapToGrid w:val="0"/>
        <w:spacing w:line="440" w:lineRule="exact"/>
        <w:ind w:firstLine="554" w:firstLineChars="198"/>
        <w:rPr>
          <w:rFonts w:ascii="Times New Roman" w:hAnsi="Times New Roman" w:eastAsia="仿宋_GB2312"/>
          <w:color w:val="auto"/>
          <w:sz w:val="28"/>
          <w:highlight w:val="none"/>
        </w:rPr>
      </w:pPr>
      <w:r>
        <w:rPr>
          <w:rFonts w:ascii="Times New Roman" w:hAnsi="Times New Roman" w:eastAsia="仿宋_GB2312"/>
          <w:color w:val="auto"/>
          <w:sz w:val="28"/>
          <w:highlight w:val="none"/>
        </w:rPr>
        <w:t>本单位郑重声明，根据《财政部 民政部 中国残疾人联合会关于促进残疾人就业政府采购政策的通知》（财库〔2017〕141号）的规定，本单位为符合条件的残疾人福利性单位，且本单位参加</w:t>
      </w:r>
      <w:r>
        <w:rPr>
          <w:rFonts w:ascii="Times New Roman" w:hAnsi="Times New Roman" w:eastAsia="仿宋_GB2312"/>
          <w:color w:val="auto"/>
          <w:sz w:val="28"/>
          <w:highlight w:val="none"/>
          <w:u w:val="single"/>
        </w:rPr>
        <w:t xml:space="preserve">      </w:t>
      </w:r>
      <w:r>
        <w:rPr>
          <w:rFonts w:ascii="Times New Roman" w:hAnsi="Times New Roman" w:eastAsia="仿宋_GB2312"/>
          <w:color w:val="auto"/>
          <w:sz w:val="28"/>
          <w:highlight w:val="none"/>
        </w:rPr>
        <w:t>单位的</w:t>
      </w:r>
      <w:r>
        <w:rPr>
          <w:rFonts w:ascii="Times New Roman" w:hAnsi="Times New Roman" w:eastAsia="仿宋_GB2312"/>
          <w:color w:val="auto"/>
          <w:sz w:val="28"/>
          <w:highlight w:val="none"/>
          <w:u w:val="single"/>
        </w:rPr>
        <w:t xml:space="preserve">               </w:t>
      </w:r>
      <w:r>
        <w:rPr>
          <w:rFonts w:ascii="Times New Roman" w:hAnsi="Times New Roman" w:eastAsia="仿宋_GB2312"/>
          <w:color w:val="auto"/>
          <w:sz w:val="28"/>
          <w:highlight w:val="none"/>
        </w:rPr>
        <w:t>项目采购活动提供本单位制造的货物（由本单位承担工程/提供服务），或者提供其他残疾人福利性单位制造的货物（不包括使用非残疾人福利性单位注册商标的货物）。</w:t>
      </w:r>
    </w:p>
    <w:p w14:paraId="05A6E5C9">
      <w:pPr>
        <w:adjustRightInd w:val="0"/>
        <w:snapToGrid w:val="0"/>
        <w:spacing w:line="440" w:lineRule="exact"/>
        <w:ind w:firstLine="554" w:firstLineChars="198"/>
        <w:rPr>
          <w:rFonts w:ascii="Times New Roman" w:hAnsi="Times New Roman" w:eastAsia="仿宋_GB2312"/>
          <w:color w:val="auto"/>
          <w:sz w:val="28"/>
          <w:highlight w:val="none"/>
        </w:rPr>
      </w:pPr>
      <w:r>
        <w:rPr>
          <w:rFonts w:ascii="Times New Roman" w:hAnsi="Times New Roman" w:eastAsia="仿宋_GB2312"/>
          <w:color w:val="auto"/>
          <w:sz w:val="28"/>
          <w:highlight w:val="none"/>
        </w:rPr>
        <w:t>本单位对上述声明的真实性负责。如有虚假，将依法承担相应责任。</w:t>
      </w:r>
    </w:p>
    <w:p w14:paraId="1497A889">
      <w:pPr>
        <w:adjustRightInd w:val="0"/>
        <w:snapToGrid w:val="0"/>
        <w:spacing w:line="440" w:lineRule="exact"/>
        <w:ind w:firstLine="504" w:firstLineChars="200"/>
        <w:rPr>
          <w:rFonts w:ascii="Times New Roman" w:hAnsi="Times New Roman" w:eastAsia="仿宋_GB2312"/>
          <w:color w:val="auto"/>
          <w:spacing w:val="6"/>
          <w:sz w:val="24"/>
          <w:highlight w:val="none"/>
        </w:rPr>
      </w:pPr>
    </w:p>
    <w:p w14:paraId="28BEE3BF">
      <w:pPr>
        <w:adjustRightInd w:val="0"/>
        <w:snapToGrid w:val="0"/>
        <w:spacing w:line="440" w:lineRule="exact"/>
        <w:ind w:firstLine="504" w:firstLineChars="200"/>
        <w:rPr>
          <w:rFonts w:ascii="Times New Roman" w:hAnsi="Times New Roman" w:eastAsia="仿宋_GB2312"/>
          <w:color w:val="auto"/>
          <w:spacing w:val="6"/>
          <w:sz w:val="24"/>
          <w:highlight w:val="none"/>
        </w:rPr>
      </w:pPr>
    </w:p>
    <w:p w14:paraId="3DB60219">
      <w:pPr>
        <w:adjustRightInd w:val="0"/>
        <w:snapToGrid w:val="0"/>
        <w:spacing w:line="440" w:lineRule="exact"/>
        <w:ind w:firstLine="504" w:firstLineChars="200"/>
        <w:rPr>
          <w:rFonts w:ascii="Times New Roman" w:hAnsi="Times New Roman" w:eastAsia="仿宋_GB2312"/>
          <w:color w:val="auto"/>
          <w:spacing w:val="6"/>
          <w:sz w:val="24"/>
          <w:highlight w:val="none"/>
        </w:rPr>
      </w:pPr>
    </w:p>
    <w:p w14:paraId="4D92FE40">
      <w:pPr>
        <w:adjustRightInd w:val="0"/>
        <w:snapToGrid w:val="0"/>
        <w:spacing w:line="440" w:lineRule="exact"/>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投标人：</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（公章）</w:t>
      </w:r>
    </w:p>
    <w:p w14:paraId="180A5520">
      <w:pPr>
        <w:adjustRightInd w:val="0"/>
        <w:snapToGrid w:val="0"/>
        <w:spacing w:line="440" w:lineRule="exact"/>
        <w:ind w:right="960"/>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                         日  期：</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年</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月</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日</w:t>
      </w:r>
    </w:p>
    <w:p w14:paraId="74062D58">
      <w:pPr>
        <w:wordWrap w:val="0"/>
        <w:spacing w:line="560" w:lineRule="exact"/>
        <w:jc w:val="right"/>
        <w:rPr>
          <w:rFonts w:ascii="Times New Roman" w:hAnsi="Times New Roman" w:eastAsia="仿宋_GB2312"/>
          <w:color w:val="auto"/>
          <w:sz w:val="28"/>
          <w:szCs w:val="28"/>
          <w:highlight w:val="none"/>
        </w:rPr>
      </w:pPr>
    </w:p>
    <w:p w14:paraId="4A061C53">
      <w:pPr>
        <w:spacing w:line="560" w:lineRule="exact"/>
        <w:rPr>
          <w:rFonts w:ascii="Times New Roman" w:hAnsi="Times New Roman" w:eastAsia="仿宋_GB2312"/>
          <w:color w:val="auto"/>
          <w:sz w:val="28"/>
          <w:szCs w:val="28"/>
          <w:highlight w:val="none"/>
          <w:u w:val="single"/>
        </w:rPr>
      </w:pPr>
    </w:p>
    <w:p w14:paraId="46D47509">
      <w:pPr>
        <w:rPr>
          <w:rFonts w:ascii="Times New Roman" w:hAnsi="Times New Roman"/>
          <w:b/>
          <w:color w:val="auto"/>
          <w:sz w:val="28"/>
          <w:highlight w:val="none"/>
        </w:rPr>
      </w:pPr>
      <w:r>
        <w:rPr>
          <w:rFonts w:ascii="Times New Roman" w:hAnsi="Times New Roman" w:eastAsia="仿宋_GB2312"/>
          <w:b/>
          <w:color w:val="auto"/>
          <w:sz w:val="22"/>
          <w:szCs w:val="28"/>
          <w:highlight w:val="none"/>
        </w:rPr>
        <w:t>注：</w:t>
      </w:r>
      <w:r>
        <w:rPr>
          <w:rFonts w:ascii="Times New Roman" w:hAnsi="Times New Roman" w:eastAsia="仿宋_GB2312"/>
          <w:color w:val="auto"/>
          <w:sz w:val="22"/>
          <w:szCs w:val="28"/>
          <w:highlight w:val="none"/>
        </w:rPr>
        <w:t>供应商为非残疾人福利性单位的，可不提供此声明。</w:t>
      </w:r>
    </w:p>
    <w:p w14:paraId="2B1EADF5">
      <w:pPr>
        <w:spacing w:line="400" w:lineRule="exact"/>
        <w:jc w:val="center"/>
        <w:rPr>
          <w:rFonts w:ascii="Times New Roman" w:hAnsi="Times New Roman"/>
          <w:b/>
          <w:color w:val="auto"/>
          <w:sz w:val="32"/>
          <w:szCs w:val="32"/>
          <w:highlight w:val="none"/>
        </w:rPr>
      </w:pPr>
    </w:p>
    <w:p w14:paraId="6D30A90F">
      <w:pPr>
        <w:spacing w:line="400" w:lineRule="exact"/>
        <w:jc w:val="center"/>
        <w:rPr>
          <w:rFonts w:ascii="Times New Roman" w:hAnsi="Times New Roman"/>
          <w:b/>
          <w:color w:val="auto"/>
          <w:sz w:val="32"/>
          <w:szCs w:val="32"/>
          <w:highlight w:val="none"/>
        </w:rPr>
      </w:pPr>
    </w:p>
    <w:p w14:paraId="67AB8A74">
      <w:pPr>
        <w:widowControl/>
        <w:spacing w:line="400" w:lineRule="exact"/>
        <w:jc w:val="center"/>
        <w:rPr>
          <w:rFonts w:ascii="Times New Roman" w:hAnsi="Times New Roman" w:eastAsia="Times New Roman"/>
          <w:b/>
          <w:color w:val="auto"/>
          <w:kern w:val="0"/>
          <w:sz w:val="32"/>
          <w:szCs w:val="32"/>
          <w:highlight w:val="none"/>
        </w:rPr>
      </w:pPr>
      <w:r>
        <w:rPr>
          <w:rFonts w:ascii="Times New Roman" w:hAnsi="Times New Roman" w:eastAsia="Times New Roman"/>
          <w:b/>
          <w:color w:val="auto"/>
          <w:kern w:val="0"/>
          <w:sz w:val="32"/>
          <w:szCs w:val="32"/>
          <w:highlight w:val="none"/>
        </w:rPr>
        <w:br w:type="page"/>
      </w:r>
    </w:p>
    <w:p w14:paraId="0D87C8D5">
      <w:pPr>
        <w:widowControl/>
        <w:spacing w:line="400" w:lineRule="exact"/>
        <w:jc w:val="center"/>
        <w:rPr>
          <w:rFonts w:ascii="Times New Roman" w:hAnsi="Times New Roman"/>
          <w:b/>
          <w:bCs/>
          <w:color w:val="auto"/>
          <w:spacing w:val="6"/>
          <w:kern w:val="0"/>
          <w:sz w:val="32"/>
          <w:szCs w:val="32"/>
          <w:highlight w:val="none"/>
        </w:rPr>
      </w:pPr>
    </w:p>
    <w:p w14:paraId="1EEF734D">
      <w:pPr>
        <w:widowControl/>
        <w:spacing w:line="400" w:lineRule="exact"/>
        <w:jc w:val="center"/>
        <w:rPr>
          <w:rFonts w:ascii="Times New Roman" w:hAnsi="Times New Roman"/>
          <w:b/>
          <w:bCs/>
          <w:color w:val="auto"/>
          <w:spacing w:val="6"/>
          <w:kern w:val="0"/>
          <w:sz w:val="32"/>
          <w:szCs w:val="32"/>
          <w:highlight w:val="none"/>
        </w:rPr>
      </w:pPr>
      <w:r>
        <w:rPr>
          <w:rFonts w:hint="eastAsia" w:ascii="Times New Roman" w:hAnsi="Times New Roman"/>
          <w:b/>
          <w:bCs/>
          <w:color w:val="auto"/>
          <w:spacing w:val="6"/>
          <w:kern w:val="0"/>
          <w:sz w:val="32"/>
          <w:szCs w:val="32"/>
          <w:highlight w:val="none"/>
          <w:lang w:eastAsia="zh-CN"/>
        </w:rPr>
        <w:t>八、</w:t>
      </w:r>
      <w:r>
        <w:rPr>
          <w:rFonts w:ascii="Times New Roman" w:hAnsi="Times New Roman"/>
          <w:b/>
          <w:bCs/>
          <w:color w:val="auto"/>
          <w:spacing w:val="6"/>
          <w:kern w:val="0"/>
          <w:sz w:val="32"/>
          <w:szCs w:val="32"/>
          <w:highlight w:val="none"/>
        </w:rPr>
        <w:t>监狱企业证明材料</w:t>
      </w:r>
    </w:p>
    <w:p w14:paraId="46774AF5">
      <w:pPr>
        <w:spacing w:line="588" w:lineRule="exact"/>
        <w:rPr>
          <w:rFonts w:ascii="Times New Roman" w:hAnsi="Times New Roman" w:eastAsia="仿宋_GB2312"/>
          <w:b/>
          <w:bCs/>
          <w:color w:val="auto"/>
          <w:spacing w:val="6"/>
          <w:sz w:val="30"/>
          <w:szCs w:val="30"/>
          <w:highlight w:val="none"/>
        </w:rPr>
      </w:pPr>
    </w:p>
    <w:p w14:paraId="58B667A6">
      <w:pPr>
        <w:adjustRightInd w:val="0"/>
        <w:snapToGrid w:val="0"/>
        <w:spacing w:line="440" w:lineRule="exact"/>
        <w:rPr>
          <w:rFonts w:ascii="Times New Roman" w:hAnsi="Times New Roman" w:eastAsia="仿宋_GB2312"/>
          <w:color w:val="auto"/>
          <w:sz w:val="28"/>
          <w:highlight w:val="none"/>
        </w:rPr>
      </w:pPr>
    </w:p>
    <w:p w14:paraId="61B19F0A">
      <w:pPr>
        <w:adjustRightInd w:val="0"/>
        <w:snapToGrid w:val="0"/>
        <w:spacing w:line="440" w:lineRule="exact"/>
        <w:rPr>
          <w:rFonts w:ascii="Times New Roman" w:hAnsi="Times New Roman" w:eastAsia="仿宋_GB2312"/>
          <w:color w:val="auto"/>
          <w:sz w:val="28"/>
          <w:highlight w:val="none"/>
        </w:rPr>
      </w:pPr>
    </w:p>
    <w:p w14:paraId="7C48DAF2">
      <w:pPr>
        <w:adjustRightInd w:val="0"/>
        <w:snapToGrid w:val="0"/>
        <w:spacing w:line="440" w:lineRule="exact"/>
        <w:rPr>
          <w:rFonts w:ascii="Times New Roman" w:hAnsi="Times New Roman" w:eastAsia="仿宋_GB2312"/>
          <w:color w:val="auto"/>
          <w:sz w:val="28"/>
          <w:highlight w:val="none"/>
        </w:rPr>
      </w:pPr>
    </w:p>
    <w:p w14:paraId="1F93D583">
      <w:pPr>
        <w:adjustRightInd w:val="0"/>
        <w:snapToGrid w:val="0"/>
        <w:spacing w:line="440" w:lineRule="exact"/>
        <w:rPr>
          <w:rFonts w:ascii="Times New Roman" w:hAnsi="Times New Roman" w:eastAsia="仿宋_GB2312"/>
          <w:color w:val="auto"/>
          <w:sz w:val="28"/>
          <w:highlight w:val="none"/>
        </w:rPr>
      </w:pPr>
    </w:p>
    <w:p w14:paraId="75747996">
      <w:pPr>
        <w:adjustRightInd w:val="0"/>
        <w:snapToGrid w:val="0"/>
        <w:spacing w:line="440" w:lineRule="exact"/>
        <w:rPr>
          <w:rFonts w:ascii="Times New Roman" w:hAnsi="Times New Roman" w:eastAsia="仿宋_GB2312"/>
          <w:color w:val="auto"/>
          <w:sz w:val="28"/>
          <w:highlight w:val="none"/>
        </w:rPr>
      </w:pPr>
    </w:p>
    <w:p w14:paraId="5DE596C3">
      <w:pPr>
        <w:adjustRightInd w:val="0"/>
        <w:snapToGrid w:val="0"/>
        <w:spacing w:line="440" w:lineRule="exact"/>
        <w:rPr>
          <w:rFonts w:ascii="Times New Roman" w:hAnsi="Times New Roman" w:eastAsia="仿宋_GB2312"/>
          <w:color w:val="auto"/>
          <w:sz w:val="28"/>
          <w:highlight w:val="none"/>
        </w:rPr>
      </w:pPr>
    </w:p>
    <w:p w14:paraId="3285AD40">
      <w:pPr>
        <w:adjustRightInd w:val="0"/>
        <w:snapToGrid w:val="0"/>
        <w:spacing w:line="440" w:lineRule="exact"/>
        <w:rPr>
          <w:rFonts w:ascii="Times New Roman" w:hAnsi="Times New Roman" w:eastAsia="仿宋_GB2312"/>
          <w:color w:val="auto"/>
          <w:spacing w:val="6"/>
          <w:sz w:val="24"/>
          <w:highlight w:val="none"/>
        </w:rPr>
      </w:pPr>
    </w:p>
    <w:p w14:paraId="332108A4">
      <w:pPr>
        <w:adjustRightInd w:val="0"/>
        <w:snapToGrid w:val="0"/>
        <w:spacing w:line="440" w:lineRule="exact"/>
        <w:rPr>
          <w:rFonts w:ascii="Times New Roman" w:hAnsi="Times New Roman" w:eastAsia="仿宋_GB2312"/>
          <w:color w:val="auto"/>
          <w:spacing w:val="6"/>
          <w:sz w:val="24"/>
          <w:highlight w:val="none"/>
        </w:rPr>
      </w:pPr>
    </w:p>
    <w:p w14:paraId="2DC764F8">
      <w:pPr>
        <w:adjustRightInd w:val="0"/>
        <w:snapToGrid w:val="0"/>
        <w:spacing w:line="440" w:lineRule="exact"/>
        <w:rPr>
          <w:rFonts w:ascii="Times New Roman" w:hAnsi="Times New Roman" w:eastAsia="仿宋_GB2312"/>
          <w:color w:val="auto"/>
          <w:spacing w:val="6"/>
          <w:sz w:val="24"/>
          <w:highlight w:val="none"/>
        </w:rPr>
      </w:pPr>
    </w:p>
    <w:p w14:paraId="063FE08B">
      <w:pPr>
        <w:adjustRightInd w:val="0"/>
        <w:snapToGrid w:val="0"/>
        <w:spacing w:line="440" w:lineRule="exact"/>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投标人：</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（公章）</w:t>
      </w:r>
    </w:p>
    <w:p w14:paraId="0AE6C5F4">
      <w:pPr>
        <w:adjustRightInd w:val="0"/>
        <w:snapToGrid w:val="0"/>
        <w:spacing w:line="440" w:lineRule="exact"/>
        <w:ind w:right="960"/>
        <w:jc w:val="right"/>
        <w:rPr>
          <w:rFonts w:ascii="Times New Roman" w:hAnsi="Times New Roman" w:eastAsia="仿宋_GB2312"/>
          <w:color w:val="auto"/>
          <w:sz w:val="24"/>
          <w:highlight w:val="none"/>
        </w:rPr>
      </w:pPr>
      <w:r>
        <w:rPr>
          <w:rFonts w:ascii="Times New Roman" w:hAnsi="Times New Roman" w:eastAsia="仿宋_GB2312"/>
          <w:color w:val="auto"/>
          <w:sz w:val="24"/>
          <w:highlight w:val="none"/>
        </w:rPr>
        <w:t>日  期：</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年</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月</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日</w:t>
      </w:r>
    </w:p>
    <w:p w14:paraId="6ADA5220">
      <w:pPr>
        <w:wordWrap w:val="0"/>
        <w:spacing w:line="560" w:lineRule="exact"/>
        <w:jc w:val="right"/>
        <w:rPr>
          <w:rFonts w:ascii="Times New Roman" w:hAnsi="Times New Roman" w:eastAsia="仿宋_GB2312"/>
          <w:color w:val="auto"/>
          <w:sz w:val="28"/>
          <w:szCs w:val="28"/>
          <w:highlight w:val="none"/>
        </w:rPr>
      </w:pPr>
    </w:p>
    <w:p w14:paraId="5E981A7C">
      <w:pPr>
        <w:spacing w:line="560" w:lineRule="exact"/>
        <w:rPr>
          <w:rFonts w:ascii="Times New Roman" w:hAnsi="Times New Roman" w:eastAsia="仿宋_GB2312"/>
          <w:color w:val="auto"/>
          <w:sz w:val="28"/>
          <w:szCs w:val="28"/>
          <w:highlight w:val="none"/>
          <w:u w:val="single"/>
        </w:rPr>
      </w:pPr>
    </w:p>
    <w:p w14:paraId="15D897EE">
      <w:pPr>
        <w:spacing w:line="400" w:lineRule="exact"/>
        <w:rPr>
          <w:rFonts w:ascii="Times New Roman" w:hAnsi="Times New Roman"/>
          <w:color w:val="auto"/>
          <w:sz w:val="28"/>
          <w:szCs w:val="28"/>
          <w:highlight w:val="none"/>
        </w:rPr>
      </w:pPr>
      <w:r>
        <w:rPr>
          <w:rFonts w:ascii="Times New Roman" w:hAnsi="Times New Roman" w:eastAsia="仿宋_GB2312"/>
          <w:b/>
          <w:color w:val="auto"/>
          <w:sz w:val="22"/>
          <w:szCs w:val="28"/>
          <w:highlight w:val="none"/>
        </w:rPr>
        <w:t>注：</w:t>
      </w:r>
      <w:r>
        <w:rPr>
          <w:rFonts w:ascii="Times New Roman" w:hAnsi="Times New Roman" w:eastAsia="仿宋_GB2312"/>
          <w:color w:val="auto"/>
          <w:sz w:val="22"/>
          <w:szCs w:val="28"/>
          <w:highlight w:val="none"/>
        </w:rPr>
        <w:t>供应商非监狱企业的，可不提供此材料。</w:t>
      </w:r>
    </w:p>
    <w:p w14:paraId="20B70B37">
      <w:pPr>
        <w:jc w:val="center"/>
        <w:rPr>
          <w:rFonts w:ascii="Times New Roman" w:hAnsi="Times New Roman"/>
          <w:b/>
          <w:color w:val="auto"/>
          <w:sz w:val="32"/>
          <w:szCs w:val="32"/>
          <w:highlight w:val="none"/>
        </w:rPr>
      </w:pPr>
      <w:r>
        <w:rPr>
          <w:rFonts w:ascii="Times New Roman" w:hAnsi="Times New Roman"/>
          <w:color w:val="auto"/>
          <w:sz w:val="28"/>
          <w:szCs w:val="28"/>
          <w:highlight w:val="none"/>
        </w:rPr>
        <w:br w:type="page"/>
      </w:r>
    </w:p>
    <w:p w14:paraId="3B20F90A">
      <w:pPr>
        <w:rPr>
          <w:rFonts w:ascii="Times New Roman" w:hAnsi="Times New Roman" w:eastAsia="仿宋_GB2312"/>
          <w:color w:val="auto"/>
          <w:szCs w:val="21"/>
          <w:highlight w:val="none"/>
        </w:rPr>
      </w:pPr>
    </w:p>
    <w:p w14:paraId="23B9FF21">
      <w:pPr>
        <w:pStyle w:val="25"/>
        <w:shd w:val="clear" w:color="auto" w:fill="FFFFFF"/>
        <w:spacing w:before="30" w:beforeAutospacing="0" w:after="30" w:afterAutospacing="0"/>
        <w:jc w:val="center"/>
        <w:rPr>
          <w:rStyle w:val="32"/>
          <w:color w:val="auto"/>
          <w:sz w:val="36"/>
          <w:szCs w:val="36"/>
          <w:highlight w:val="none"/>
        </w:rPr>
      </w:pPr>
    </w:p>
    <w:p w14:paraId="18C7AB07">
      <w:pPr>
        <w:pStyle w:val="25"/>
        <w:shd w:val="clear" w:color="auto" w:fill="FFFFFF"/>
        <w:spacing w:before="0" w:beforeAutospacing="0" w:after="0" w:afterAutospacing="0" w:line="560" w:lineRule="exact"/>
        <w:jc w:val="center"/>
        <w:rPr>
          <w:rStyle w:val="32"/>
          <w:color w:val="auto"/>
          <w:sz w:val="36"/>
          <w:szCs w:val="36"/>
          <w:highlight w:val="none"/>
        </w:rPr>
      </w:pPr>
      <w:r>
        <w:rPr>
          <w:rFonts w:hint="eastAsia" w:ascii="Times New Roman" w:hAnsi="Times New Roman" w:cs="Times New Roman"/>
          <w:b/>
          <w:color w:val="auto"/>
          <w:kern w:val="2"/>
          <w:sz w:val="32"/>
          <w:szCs w:val="32"/>
          <w:highlight w:val="none"/>
        </w:rPr>
        <w:t>产品成本占比承诺函</w:t>
      </w:r>
    </w:p>
    <w:p w14:paraId="3734DAB6">
      <w:pPr>
        <w:pStyle w:val="25"/>
        <w:spacing w:before="0" w:beforeAutospacing="0" w:after="0" w:afterAutospacing="0" w:line="560" w:lineRule="exact"/>
        <w:ind w:firstLine="480" w:firstLineChars="200"/>
        <w:rPr>
          <w:rFonts w:ascii="Times New Roman" w:hAnsi="Times New Roman" w:eastAsia="仿宋_GB2312" w:cs="Times New Roman"/>
          <w:color w:val="auto"/>
          <w:highlight w:val="none"/>
          <w:shd w:val="clear" w:color="auto" w:fill="FFFFFF"/>
        </w:rPr>
      </w:pPr>
    </w:p>
    <w:p w14:paraId="12C7B78A">
      <w:pPr>
        <w:pStyle w:val="25"/>
        <w:spacing w:before="0" w:beforeAutospacing="0" w:after="0" w:afterAutospacing="0" w:line="560" w:lineRule="exact"/>
        <w:ind w:firstLine="480" w:firstLineChars="200"/>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我公司（单位）郑重承诺，我公司已阅读并理解《国务院办公厅关于在政府采购中实施本国产品标准及相关政策的通知》（国办发〔</w:t>
      </w:r>
      <w:r>
        <w:rPr>
          <w:rFonts w:ascii="Times New Roman" w:hAnsi="Times New Roman" w:eastAsia="仿宋_GB2312" w:cs="Times New Roman"/>
          <w:color w:val="auto"/>
          <w:highlight w:val="none"/>
          <w:shd w:val="clear" w:color="auto" w:fill="FFFFFF"/>
        </w:rPr>
        <w:t>2025</w:t>
      </w:r>
      <w:r>
        <w:rPr>
          <w:rFonts w:hint="eastAsia" w:ascii="Times New Roman" w:hAnsi="Times New Roman" w:eastAsia="仿宋_GB2312" w:cs="Times New Roman"/>
          <w:color w:val="auto"/>
          <w:highlight w:val="none"/>
          <w:shd w:val="clear" w:color="auto" w:fill="FFFFFF"/>
        </w:rPr>
        <w:t>〕</w:t>
      </w:r>
      <w:r>
        <w:rPr>
          <w:rFonts w:ascii="Times New Roman" w:hAnsi="Times New Roman" w:eastAsia="仿宋_GB2312" w:cs="Times New Roman"/>
          <w:color w:val="auto"/>
          <w:highlight w:val="none"/>
          <w:shd w:val="clear" w:color="auto" w:fill="FFFFFF"/>
        </w:rPr>
        <w:t>34</w:t>
      </w:r>
      <w:r>
        <w:rPr>
          <w:rFonts w:hint="eastAsia" w:ascii="Times New Roman" w:hAnsi="Times New Roman" w:eastAsia="仿宋_GB2312" w:cs="Times New Roman"/>
          <w:color w:val="auto"/>
          <w:highlight w:val="none"/>
          <w:shd w:val="clear" w:color="auto" w:fill="FFFFFF"/>
        </w:rPr>
        <w:t>号）的规定。据此承诺如下：</w:t>
      </w:r>
    </w:p>
    <w:p w14:paraId="227077FF">
      <w:pPr>
        <w:pStyle w:val="25"/>
        <w:spacing w:before="0" w:beforeAutospacing="0" w:after="0" w:afterAutospacing="0" w:line="560" w:lineRule="exact"/>
        <w:ind w:firstLine="480" w:firstLineChars="200"/>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为本采购项目或者采购标段提供的符合本国产品标准的产品成本之和占提供的全部产品成本之和的比例为</w:t>
      </w:r>
      <w:r>
        <w:rPr>
          <w:rFonts w:ascii="Times New Roman" w:hAnsi="Times New Roman" w:eastAsia="仿宋_GB2312" w:cs="Times New Roman"/>
          <w:color w:val="auto"/>
          <w:highlight w:val="none"/>
          <w:shd w:val="clear" w:color="auto" w:fill="FFFFFF"/>
        </w:rPr>
        <w:t>______%</w:t>
      </w:r>
      <w:r>
        <w:rPr>
          <w:rFonts w:hint="eastAsia" w:ascii="Times New Roman" w:hAnsi="Times New Roman" w:eastAsia="仿宋_GB2312" w:cs="Times New Roman"/>
          <w:color w:val="auto"/>
          <w:highlight w:val="none"/>
          <w:shd w:val="clear" w:color="auto" w:fill="FFFFFF"/>
        </w:rPr>
        <w:t>。</w:t>
      </w:r>
    </w:p>
    <w:p w14:paraId="096ADE9B">
      <w:pPr>
        <w:pStyle w:val="25"/>
        <w:spacing w:before="0" w:beforeAutospacing="0" w:after="0" w:afterAutospacing="0" w:line="560" w:lineRule="exact"/>
        <w:ind w:firstLine="420"/>
        <w:rPr>
          <w:rFonts w:ascii="Times New Roman" w:hAnsi="Times New Roman" w:eastAsia="仿宋_GB2312" w:cs="Times New Roman"/>
          <w:color w:val="auto"/>
          <w:highlight w:val="none"/>
          <w:shd w:val="clear" w:color="auto" w:fill="FFFFFF"/>
        </w:rPr>
      </w:pPr>
    </w:p>
    <w:p w14:paraId="09EDDA48">
      <w:pPr>
        <w:pStyle w:val="25"/>
        <w:spacing w:before="0" w:beforeAutospacing="0" w:after="0" w:afterAutospacing="0" w:line="560" w:lineRule="exact"/>
        <w:ind w:firstLine="420"/>
        <w:jc w:val="right"/>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公司（单位）名称（盖章）：      　        </w:t>
      </w:r>
    </w:p>
    <w:p w14:paraId="6864A461">
      <w:pPr>
        <w:pStyle w:val="25"/>
        <w:spacing w:before="0" w:beforeAutospacing="0" w:after="0" w:afterAutospacing="0" w:line="560" w:lineRule="exact"/>
        <w:ind w:firstLine="420"/>
        <w:jc w:val="right"/>
        <w:rPr>
          <w:rFonts w:ascii="Times New Roman" w:hAnsi="Times New Roman" w:eastAsia="仿宋_GB2312" w:cs="Times New Roman"/>
          <w:color w:val="auto"/>
          <w:highlight w:val="none"/>
          <w:shd w:val="clear" w:color="auto" w:fill="FFFFFF"/>
        </w:rPr>
      </w:pPr>
      <w:r>
        <w:rPr>
          <w:rFonts w:hint="eastAsia" w:ascii="Times New Roman" w:hAnsi="Times New Roman" w:eastAsia="仿宋_GB2312" w:cs="Times New Roman"/>
          <w:color w:val="auto"/>
          <w:highlight w:val="none"/>
          <w:shd w:val="clear" w:color="auto" w:fill="FFFFFF"/>
        </w:rPr>
        <w:t>日期：　     年　  月　  日     </w:t>
      </w:r>
    </w:p>
    <w:p w14:paraId="1C25BC3D">
      <w:pPr>
        <w:widowControl/>
        <w:jc w:val="left"/>
        <w:rPr>
          <w:color w:val="auto"/>
          <w:sz w:val="24"/>
          <w:highlight w:val="none"/>
        </w:rPr>
      </w:pPr>
    </w:p>
    <w:p w14:paraId="174A191E">
      <w:pPr>
        <w:widowControl/>
        <w:jc w:val="left"/>
        <w:rPr>
          <w:color w:val="auto"/>
          <w:sz w:val="24"/>
          <w:highlight w:val="none"/>
        </w:rPr>
      </w:pPr>
    </w:p>
    <w:p w14:paraId="1AD1D27C">
      <w:pPr>
        <w:rPr>
          <w:rFonts w:ascii="Times New Roman" w:hAnsi="Times New Roman" w:eastAsia="仿宋_GB2312"/>
          <w:b/>
          <w:bCs/>
          <w:color w:val="auto"/>
          <w:sz w:val="22"/>
          <w:highlight w:val="none"/>
        </w:rPr>
      </w:pPr>
      <w:r>
        <w:rPr>
          <w:rFonts w:ascii="Times New Roman" w:hAnsi="Times New Roman" w:eastAsia="仿宋_GB2312"/>
          <w:b/>
          <w:bCs/>
          <w:color w:val="auto"/>
          <w:sz w:val="22"/>
          <w:highlight w:val="none"/>
        </w:rPr>
        <w:t>注：</w:t>
      </w:r>
    </w:p>
    <w:p w14:paraId="5408C59A">
      <w:pPr>
        <w:rPr>
          <w:rFonts w:ascii="Times New Roman" w:hAnsi="Times New Roman" w:eastAsia="仿宋_GB2312"/>
          <w:color w:val="auto"/>
          <w:szCs w:val="21"/>
          <w:highlight w:val="none"/>
          <w:shd w:val="clear" w:color="auto" w:fill="FFFFFF"/>
        </w:rPr>
      </w:pPr>
      <w:r>
        <w:rPr>
          <w:rFonts w:ascii="Times New Roman" w:hAnsi="Times New Roman" w:eastAsia="仿宋_GB2312"/>
          <w:color w:val="auto"/>
          <w:szCs w:val="21"/>
          <w:highlight w:val="none"/>
          <w:shd w:val="clear" w:color="auto" w:fill="FFFFFF"/>
        </w:rPr>
        <w:t>1. 本承诺函应按标段分别提供。</w:t>
      </w:r>
    </w:p>
    <w:p w14:paraId="2FD5A284">
      <w:pPr>
        <w:rPr>
          <w:rFonts w:ascii="Times New Roman" w:hAnsi="Times New Roman" w:eastAsia="仿宋_GB2312"/>
          <w:color w:val="auto"/>
          <w:szCs w:val="21"/>
          <w:highlight w:val="none"/>
          <w:shd w:val="clear" w:color="auto" w:fill="FFFFFF"/>
        </w:rPr>
      </w:pPr>
      <w:r>
        <w:rPr>
          <w:rFonts w:ascii="Times New Roman" w:hAnsi="Times New Roman" w:eastAsia="仿宋_GB2312"/>
          <w:color w:val="auto"/>
          <w:szCs w:val="21"/>
          <w:highlight w:val="none"/>
          <w:shd w:val="clear" w:color="auto" w:fill="FFFFFF"/>
        </w:rPr>
        <w:t>2. 单一产品采购无须提供本承诺函；供应商提供产品全部为本国产品，且提供了《关于符合本国产品标准的声明函》时，无须提供本承诺函。</w:t>
      </w:r>
    </w:p>
    <w:p w14:paraId="43F68879">
      <w:pPr>
        <w:rPr>
          <w:color w:val="auto"/>
          <w:szCs w:val="21"/>
          <w:highlight w:val="none"/>
          <w:shd w:val="clear" w:color="auto" w:fill="FFFFFF"/>
        </w:rPr>
      </w:pPr>
      <w:r>
        <w:rPr>
          <w:rFonts w:ascii="Times New Roman" w:hAnsi="Times New Roman" w:eastAsia="仿宋_GB2312"/>
          <w:color w:val="auto"/>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ascii="Times New Roman" w:hAnsi="Times New Roman" w:eastAsia="仿宋_GB2312"/>
          <w:color w:val="auto"/>
          <w:highlight w:val="none"/>
        </w:rPr>
        <w:t>价格评审优惠</w:t>
      </w:r>
      <w:r>
        <w:rPr>
          <w:rFonts w:ascii="Times New Roman" w:hAnsi="Times New Roman" w:eastAsia="仿宋_GB2312"/>
          <w:color w:val="auto"/>
          <w:szCs w:val="21"/>
          <w:highlight w:val="none"/>
          <w:shd w:val="clear" w:color="auto" w:fill="FFFFFF"/>
        </w:rPr>
        <w:t>。</w:t>
      </w:r>
    </w:p>
    <w:p w14:paraId="48F85648">
      <w:pPr>
        <w:pStyle w:val="25"/>
        <w:shd w:val="clear" w:color="auto" w:fill="FFFFFF"/>
        <w:spacing w:before="0" w:beforeAutospacing="0" w:after="0" w:afterAutospacing="0"/>
        <w:ind w:firstLine="420"/>
        <w:rPr>
          <w:rFonts w:ascii="Times New Roman" w:hAnsi="Times New Roman" w:eastAsia="仿宋_GB2312" w:cs="Times New Roman"/>
          <w:color w:val="auto"/>
          <w:kern w:val="2"/>
          <w:sz w:val="21"/>
          <w:szCs w:val="21"/>
          <w:highlight w:val="none"/>
        </w:rPr>
      </w:pPr>
    </w:p>
    <w:p w14:paraId="43AFF8A5">
      <w:pPr>
        <w:pStyle w:val="25"/>
        <w:shd w:val="clear" w:color="auto" w:fill="FFFFFF"/>
        <w:spacing w:before="0" w:beforeAutospacing="0" w:after="0" w:afterAutospacing="0"/>
        <w:ind w:firstLine="420"/>
        <w:rPr>
          <w:rFonts w:ascii="Times New Roman" w:hAnsi="Times New Roman" w:eastAsia="仿宋_GB2312" w:cs="Times New Roman"/>
          <w:color w:val="auto"/>
          <w:kern w:val="2"/>
          <w:sz w:val="21"/>
          <w:szCs w:val="21"/>
          <w:highlight w:val="none"/>
        </w:rPr>
      </w:pPr>
    </w:p>
    <w:p w14:paraId="0C52DA2D">
      <w:pPr>
        <w:rPr>
          <w:rFonts w:ascii="Times New Roman" w:hAnsi="Times New Roman"/>
          <w:b/>
          <w:color w:val="auto"/>
          <w:sz w:val="32"/>
          <w:szCs w:val="32"/>
          <w:highlight w:val="none"/>
        </w:rPr>
      </w:pPr>
      <w:r>
        <w:rPr>
          <w:rFonts w:ascii="Times New Roman" w:hAnsi="Times New Roman"/>
          <w:b/>
          <w:color w:val="auto"/>
          <w:sz w:val="32"/>
          <w:szCs w:val="32"/>
          <w:highlight w:val="none"/>
        </w:rPr>
        <w:br w:type="page"/>
      </w:r>
    </w:p>
    <w:p w14:paraId="72B58695">
      <w:pPr>
        <w:jc w:val="center"/>
        <w:rPr>
          <w:rFonts w:ascii="Times New Roman" w:hAnsi="Times New Roman"/>
          <w:b/>
          <w:color w:val="auto"/>
          <w:sz w:val="32"/>
          <w:szCs w:val="32"/>
          <w:highlight w:val="none"/>
        </w:rPr>
      </w:pPr>
    </w:p>
    <w:p w14:paraId="45F170AC">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eastAsia="zh-CN"/>
        </w:rPr>
        <w:t>九</w:t>
      </w:r>
      <w:r>
        <w:rPr>
          <w:rFonts w:hint="eastAsia" w:ascii="Times New Roman" w:hAnsi="Times New Roman"/>
          <w:b/>
          <w:color w:val="auto"/>
          <w:sz w:val="32"/>
          <w:szCs w:val="32"/>
          <w:highlight w:val="none"/>
        </w:rPr>
        <w:t>、</w:t>
      </w:r>
      <w:r>
        <w:rPr>
          <w:rFonts w:ascii="Times New Roman" w:hAnsi="Times New Roman"/>
          <w:b/>
          <w:color w:val="auto"/>
          <w:sz w:val="32"/>
          <w:szCs w:val="32"/>
          <w:highlight w:val="none"/>
        </w:rPr>
        <w:t>项目团队</w:t>
      </w:r>
    </w:p>
    <w:p w14:paraId="56DAF78F">
      <w:pPr>
        <w:rPr>
          <w:rFonts w:ascii="Times New Roman" w:hAnsi="Times New Roman" w:eastAsia="仿宋"/>
          <w:color w:val="auto"/>
          <w:sz w:val="24"/>
          <w:szCs w:val="32"/>
          <w:highlight w:val="none"/>
        </w:rPr>
      </w:pPr>
      <w:r>
        <w:rPr>
          <w:rFonts w:ascii="Times New Roman" w:hAnsi="Times New Roman" w:eastAsia="仿宋"/>
          <w:color w:val="auto"/>
          <w:sz w:val="24"/>
          <w:szCs w:val="32"/>
          <w:highlight w:val="none"/>
        </w:rPr>
        <w:t>在此处编辑招标文件要求的提供佐证材料。</w:t>
      </w:r>
    </w:p>
    <w:p w14:paraId="3149C4C7">
      <w:pPr>
        <w:rPr>
          <w:rFonts w:ascii="Times New Roman" w:hAnsi="Times New Roman" w:eastAsia="仿宋"/>
          <w:color w:val="auto"/>
          <w:sz w:val="24"/>
          <w:szCs w:val="32"/>
          <w:highlight w:val="none"/>
        </w:rPr>
      </w:pPr>
      <w:r>
        <w:rPr>
          <w:rFonts w:ascii="Times New Roman" w:hAnsi="Times New Roman" w:eastAsia="仿宋"/>
          <w:b/>
          <w:color w:val="auto"/>
          <w:sz w:val="24"/>
          <w:szCs w:val="32"/>
          <w:highlight w:val="none"/>
        </w:rPr>
        <w:t>要求</w:t>
      </w:r>
      <w:r>
        <w:rPr>
          <w:rFonts w:ascii="Times New Roman" w:hAnsi="Times New Roman" w:eastAsia="仿宋"/>
          <w:color w:val="auto"/>
          <w:sz w:val="24"/>
          <w:szCs w:val="32"/>
          <w:highlight w:val="none"/>
        </w:rPr>
        <w:t>：1.按招标文件第五章罗列顺序编辑；</w:t>
      </w:r>
    </w:p>
    <w:p w14:paraId="33E57F52">
      <w:pPr>
        <w:rPr>
          <w:rFonts w:ascii="Times New Roman" w:hAnsi="Times New Roman" w:eastAsia="仿宋"/>
          <w:color w:val="auto"/>
          <w:sz w:val="24"/>
          <w:szCs w:val="32"/>
          <w:highlight w:val="none"/>
        </w:rPr>
      </w:pPr>
      <w:r>
        <w:rPr>
          <w:rFonts w:ascii="Times New Roman" w:hAnsi="Times New Roman" w:eastAsia="仿宋"/>
          <w:color w:val="auto"/>
          <w:sz w:val="24"/>
          <w:szCs w:val="32"/>
          <w:highlight w:val="none"/>
        </w:rPr>
        <w:t>2.</w:t>
      </w:r>
      <w:r>
        <w:rPr>
          <w:rFonts w:hint="eastAsia" w:ascii="Times New Roman" w:hAnsi="Times New Roman" w:eastAsia="仿宋"/>
          <w:color w:val="auto"/>
          <w:sz w:val="24"/>
          <w:szCs w:val="32"/>
          <w:highlight w:val="none"/>
        </w:rPr>
        <w:t>对照证书名称</w:t>
      </w:r>
      <w:r>
        <w:rPr>
          <w:rFonts w:ascii="Times New Roman" w:hAnsi="Times New Roman" w:eastAsia="仿宋"/>
          <w:color w:val="auto"/>
          <w:sz w:val="24"/>
          <w:szCs w:val="32"/>
          <w:highlight w:val="none"/>
        </w:rPr>
        <w:t>编制每项</w:t>
      </w:r>
      <w:r>
        <w:rPr>
          <w:rFonts w:hint="eastAsia" w:ascii="Times New Roman" w:hAnsi="Times New Roman" w:eastAsia="仿宋"/>
          <w:color w:val="auto"/>
          <w:sz w:val="24"/>
          <w:szCs w:val="32"/>
          <w:highlight w:val="none"/>
        </w:rPr>
        <w:t>证书</w:t>
      </w:r>
      <w:r>
        <w:rPr>
          <w:rFonts w:ascii="Times New Roman" w:hAnsi="Times New Roman" w:eastAsia="仿宋"/>
          <w:color w:val="auto"/>
          <w:sz w:val="24"/>
          <w:szCs w:val="32"/>
          <w:highlight w:val="none"/>
        </w:rPr>
        <w:t>资料小标题；</w:t>
      </w:r>
    </w:p>
    <w:p w14:paraId="26F359B1">
      <w:pPr>
        <w:spacing w:line="400" w:lineRule="exact"/>
        <w:rPr>
          <w:rFonts w:ascii="Times New Roman" w:hAnsi="Times New Roman"/>
          <w:color w:val="auto"/>
          <w:szCs w:val="21"/>
          <w:highlight w:val="none"/>
        </w:rPr>
      </w:pPr>
    </w:p>
    <w:p w14:paraId="311669A3">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20F14B74">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6290C423">
      <w:pPr>
        <w:spacing w:line="400" w:lineRule="exact"/>
        <w:rPr>
          <w:rFonts w:ascii="Times New Roman" w:hAnsi="Times New Roman"/>
          <w:color w:val="auto"/>
          <w:szCs w:val="21"/>
          <w:highlight w:val="none"/>
        </w:rPr>
      </w:pPr>
    </w:p>
    <w:p w14:paraId="6E0EC3A5">
      <w:pPr>
        <w:spacing w:line="400" w:lineRule="exact"/>
        <w:rPr>
          <w:rFonts w:ascii="Times New Roman" w:hAnsi="Times New Roman"/>
          <w:color w:val="auto"/>
          <w:szCs w:val="21"/>
          <w:highlight w:val="none"/>
        </w:rPr>
      </w:pPr>
    </w:p>
    <w:p w14:paraId="1E5BBE97">
      <w:pPr>
        <w:spacing w:line="400" w:lineRule="exact"/>
        <w:rPr>
          <w:rFonts w:ascii="Times New Roman" w:hAnsi="Times New Roman"/>
          <w:color w:val="auto"/>
          <w:szCs w:val="21"/>
          <w:highlight w:val="none"/>
        </w:rPr>
      </w:pPr>
    </w:p>
    <w:p w14:paraId="1C76687A">
      <w:pPr>
        <w:spacing w:line="400" w:lineRule="exact"/>
        <w:rPr>
          <w:rFonts w:ascii="Times New Roman" w:hAnsi="Times New Roman"/>
          <w:color w:val="auto"/>
          <w:szCs w:val="21"/>
          <w:highlight w:val="none"/>
        </w:rPr>
      </w:pPr>
    </w:p>
    <w:p w14:paraId="118C058D">
      <w:pPr>
        <w:spacing w:line="400" w:lineRule="exact"/>
        <w:rPr>
          <w:rFonts w:ascii="Times New Roman" w:hAnsi="Times New Roman"/>
          <w:color w:val="auto"/>
          <w:szCs w:val="21"/>
          <w:highlight w:val="none"/>
        </w:rPr>
      </w:pPr>
    </w:p>
    <w:p w14:paraId="72417BF3">
      <w:pPr>
        <w:spacing w:line="400" w:lineRule="exact"/>
        <w:rPr>
          <w:rFonts w:ascii="Times New Roman" w:hAnsi="Times New Roman"/>
          <w:color w:val="auto"/>
          <w:szCs w:val="21"/>
          <w:highlight w:val="none"/>
        </w:rPr>
      </w:pPr>
    </w:p>
    <w:p w14:paraId="11BD4FC4">
      <w:pPr>
        <w:spacing w:line="400" w:lineRule="exact"/>
        <w:rPr>
          <w:rFonts w:ascii="Times New Roman" w:hAnsi="Times New Roman"/>
          <w:color w:val="auto"/>
          <w:szCs w:val="21"/>
          <w:highlight w:val="none"/>
        </w:rPr>
      </w:pPr>
    </w:p>
    <w:p w14:paraId="28BE1C88">
      <w:pPr>
        <w:spacing w:line="400" w:lineRule="exact"/>
        <w:rPr>
          <w:rFonts w:ascii="Times New Roman" w:hAnsi="Times New Roman"/>
          <w:color w:val="auto"/>
          <w:szCs w:val="21"/>
          <w:highlight w:val="none"/>
        </w:rPr>
      </w:pPr>
    </w:p>
    <w:p w14:paraId="2E24C086">
      <w:pPr>
        <w:spacing w:line="400" w:lineRule="exact"/>
        <w:rPr>
          <w:rFonts w:ascii="Times New Roman" w:hAnsi="Times New Roman"/>
          <w:color w:val="auto"/>
          <w:szCs w:val="21"/>
          <w:highlight w:val="none"/>
        </w:rPr>
      </w:pPr>
    </w:p>
    <w:p w14:paraId="5D7DBB47">
      <w:pPr>
        <w:spacing w:line="400" w:lineRule="exact"/>
        <w:rPr>
          <w:rFonts w:ascii="Times New Roman" w:hAnsi="Times New Roman"/>
          <w:color w:val="auto"/>
          <w:szCs w:val="21"/>
          <w:highlight w:val="none"/>
        </w:rPr>
      </w:pPr>
    </w:p>
    <w:p w14:paraId="7BE3057B">
      <w:pPr>
        <w:spacing w:line="400" w:lineRule="exact"/>
        <w:rPr>
          <w:rFonts w:ascii="Times New Roman" w:hAnsi="Times New Roman"/>
          <w:color w:val="auto"/>
          <w:szCs w:val="21"/>
          <w:highlight w:val="none"/>
        </w:rPr>
      </w:pPr>
    </w:p>
    <w:p w14:paraId="480610B0">
      <w:pPr>
        <w:spacing w:line="400" w:lineRule="exact"/>
        <w:rPr>
          <w:rFonts w:ascii="Times New Roman" w:hAnsi="Times New Roman"/>
          <w:color w:val="auto"/>
          <w:szCs w:val="21"/>
          <w:highlight w:val="none"/>
        </w:rPr>
      </w:pPr>
    </w:p>
    <w:p w14:paraId="2DB127EC">
      <w:pPr>
        <w:spacing w:line="400" w:lineRule="exact"/>
        <w:rPr>
          <w:rFonts w:ascii="Times New Roman" w:hAnsi="Times New Roman"/>
          <w:color w:val="auto"/>
          <w:szCs w:val="21"/>
          <w:highlight w:val="none"/>
        </w:rPr>
      </w:pPr>
    </w:p>
    <w:p w14:paraId="097035F7">
      <w:pPr>
        <w:spacing w:line="400" w:lineRule="exact"/>
        <w:rPr>
          <w:rFonts w:ascii="Times New Roman" w:hAnsi="Times New Roman"/>
          <w:color w:val="auto"/>
          <w:szCs w:val="21"/>
          <w:highlight w:val="none"/>
        </w:rPr>
      </w:pPr>
    </w:p>
    <w:p w14:paraId="1719E58C">
      <w:pPr>
        <w:spacing w:line="400" w:lineRule="exact"/>
        <w:rPr>
          <w:rFonts w:ascii="Times New Roman" w:hAnsi="Times New Roman"/>
          <w:color w:val="auto"/>
          <w:szCs w:val="21"/>
          <w:highlight w:val="none"/>
        </w:rPr>
      </w:pPr>
    </w:p>
    <w:p w14:paraId="0DCD938E">
      <w:pPr>
        <w:autoSpaceDE w:val="0"/>
        <w:autoSpaceDN w:val="0"/>
        <w:adjustRightInd w:val="0"/>
        <w:snapToGrid w:val="0"/>
        <w:spacing w:line="440" w:lineRule="exact"/>
        <w:ind w:right="16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702890C6">
      <w:pPr>
        <w:adjustRightInd w:val="0"/>
        <w:snapToGrid w:val="0"/>
        <w:spacing w:line="440" w:lineRule="exact"/>
        <w:ind w:right="960"/>
        <w:jc w:val="righ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7FF6D4E0">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p>
    <w:p w14:paraId="619BD4C2">
      <w:pPr>
        <w:jc w:val="center"/>
        <w:rPr>
          <w:rFonts w:ascii="Times New Roman" w:hAnsi="Times New Roman"/>
          <w:b/>
          <w:color w:val="auto"/>
          <w:sz w:val="32"/>
          <w:szCs w:val="32"/>
          <w:highlight w:val="none"/>
        </w:rPr>
      </w:pPr>
    </w:p>
    <w:p w14:paraId="27860939">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eastAsia="zh-CN"/>
        </w:rPr>
        <w:t>十</w:t>
      </w:r>
      <w:r>
        <w:rPr>
          <w:rFonts w:ascii="Times New Roman" w:hAnsi="Times New Roman"/>
          <w:b/>
          <w:color w:val="auto"/>
          <w:sz w:val="32"/>
          <w:szCs w:val="32"/>
          <w:highlight w:val="none"/>
        </w:rPr>
        <w:t>、设备及配套软件</w:t>
      </w:r>
    </w:p>
    <w:p w14:paraId="66031845">
      <w:pPr>
        <w:rPr>
          <w:rFonts w:ascii="Times New Roman" w:hAnsi="Times New Roman" w:eastAsia="仿宋"/>
          <w:color w:val="auto"/>
          <w:sz w:val="24"/>
          <w:szCs w:val="32"/>
          <w:highlight w:val="none"/>
        </w:rPr>
      </w:pPr>
      <w:r>
        <w:rPr>
          <w:rFonts w:ascii="Times New Roman" w:hAnsi="Times New Roman" w:eastAsia="仿宋"/>
          <w:color w:val="auto"/>
          <w:sz w:val="24"/>
          <w:szCs w:val="32"/>
          <w:highlight w:val="none"/>
        </w:rPr>
        <w:t>在此处编辑招标文件要求的提供佐证材料。</w:t>
      </w:r>
    </w:p>
    <w:p w14:paraId="29C978EC">
      <w:pPr>
        <w:rPr>
          <w:rFonts w:ascii="Times New Roman" w:hAnsi="Times New Roman" w:eastAsia="仿宋"/>
          <w:color w:val="auto"/>
          <w:sz w:val="24"/>
          <w:szCs w:val="32"/>
          <w:highlight w:val="none"/>
        </w:rPr>
      </w:pPr>
      <w:r>
        <w:rPr>
          <w:rFonts w:ascii="Times New Roman" w:hAnsi="Times New Roman" w:eastAsia="仿宋"/>
          <w:b/>
          <w:color w:val="auto"/>
          <w:sz w:val="24"/>
          <w:szCs w:val="32"/>
          <w:highlight w:val="none"/>
        </w:rPr>
        <w:t>要求</w:t>
      </w:r>
      <w:r>
        <w:rPr>
          <w:rFonts w:ascii="Times New Roman" w:hAnsi="Times New Roman" w:eastAsia="仿宋"/>
          <w:color w:val="auto"/>
          <w:sz w:val="24"/>
          <w:szCs w:val="32"/>
          <w:highlight w:val="none"/>
        </w:rPr>
        <w:t>：1.按招标文件第五章罗列顺序编辑；</w:t>
      </w:r>
    </w:p>
    <w:p w14:paraId="344408BC">
      <w:pPr>
        <w:rPr>
          <w:rFonts w:ascii="Times New Roman" w:hAnsi="Times New Roman" w:eastAsia="仿宋"/>
          <w:color w:val="auto"/>
          <w:sz w:val="24"/>
          <w:szCs w:val="32"/>
          <w:highlight w:val="none"/>
        </w:rPr>
      </w:pPr>
      <w:r>
        <w:rPr>
          <w:rFonts w:ascii="Times New Roman" w:hAnsi="Times New Roman" w:eastAsia="仿宋"/>
          <w:color w:val="auto"/>
          <w:sz w:val="24"/>
          <w:szCs w:val="32"/>
          <w:highlight w:val="none"/>
        </w:rPr>
        <w:t>2.</w:t>
      </w:r>
      <w:r>
        <w:rPr>
          <w:rFonts w:hint="eastAsia" w:ascii="Times New Roman" w:hAnsi="Times New Roman" w:eastAsia="仿宋"/>
          <w:color w:val="auto"/>
          <w:sz w:val="24"/>
          <w:szCs w:val="32"/>
          <w:highlight w:val="none"/>
        </w:rPr>
        <w:t>对照材料名称</w:t>
      </w:r>
      <w:r>
        <w:rPr>
          <w:rFonts w:ascii="Times New Roman" w:hAnsi="Times New Roman" w:eastAsia="仿宋"/>
          <w:color w:val="auto"/>
          <w:sz w:val="24"/>
          <w:szCs w:val="32"/>
          <w:highlight w:val="none"/>
        </w:rPr>
        <w:t>编制小标题；</w:t>
      </w:r>
    </w:p>
    <w:p w14:paraId="48B7060E">
      <w:pPr>
        <w:spacing w:line="400" w:lineRule="exact"/>
        <w:rPr>
          <w:rFonts w:ascii="Times New Roman" w:hAnsi="Times New Roman"/>
          <w:color w:val="auto"/>
          <w:szCs w:val="21"/>
          <w:highlight w:val="none"/>
        </w:rPr>
      </w:pPr>
    </w:p>
    <w:p w14:paraId="2C1F95B9">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2697D853">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0F30415E">
      <w:pPr>
        <w:spacing w:line="400" w:lineRule="exact"/>
        <w:rPr>
          <w:rFonts w:ascii="Times New Roman" w:hAnsi="Times New Roman"/>
          <w:color w:val="auto"/>
          <w:szCs w:val="21"/>
          <w:highlight w:val="none"/>
        </w:rPr>
      </w:pPr>
    </w:p>
    <w:p w14:paraId="03815643">
      <w:pPr>
        <w:spacing w:line="400" w:lineRule="exact"/>
        <w:rPr>
          <w:rFonts w:ascii="Times New Roman" w:hAnsi="Times New Roman"/>
          <w:color w:val="auto"/>
          <w:szCs w:val="21"/>
          <w:highlight w:val="none"/>
        </w:rPr>
      </w:pPr>
    </w:p>
    <w:p w14:paraId="09A2938D">
      <w:pPr>
        <w:spacing w:line="400" w:lineRule="exact"/>
        <w:rPr>
          <w:rFonts w:ascii="Times New Roman" w:hAnsi="Times New Roman"/>
          <w:color w:val="auto"/>
          <w:szCs w:val="21"/>
          <w:highlight w:val="none"/>
        </w:rPr>
      </w:pPr>
    </w:p>
    <w:p w14:paraId="581052B9">
      <w:pPr>
        <w:spacing w:line="400" w:lineRule="exact"/>
        <w:rPr>
          <w:rFonts w:ascii="Times New Roman" w:hAnsi="Times New Roman"/>
          <w:color w:val="auto"/>
          <w:szCs w:val="21"/>
          <w:highlight w:val="none"/>
        </w:rPr>
      </w:pPr>
    </w:p>
    <w:p w14:paraId="0109586A">
      <w:pPr>
        <w:spacing w:line="400" w:lineRule="exact"/>
        <w:rPr>
          <w:rFonts w:ascii="Times New Roman" w:hAnsi="Times New Roman"/>
          <w:color w:val="auto"/>
          <w:szCs w:val="21"/>
          <w:highlight w:val="none"/>
        </w:rPr>
      </w:pPr>
    </w:p>
    <w:p w14:paraId="4D3F94AE">
      <w:pPr>
        <w:spacing w:line="400" w:lineRule="exact"/>
        <w:rPr>
          <w:rFonts w:ascii="Times New Roman" w:hAnsi="Times New Roman"/>
          <w:color w:val="auto"/>
          <w:szCs w:val="21"/>
          <w:highlight w:val="none"/>
        </w:rPr>
      </w:pPr>
    </w:p>
    <w:p w14:paraId="375C6E31">
      <w:pPr>
        <w:spacing w:line="400" w:lineRule="exact"/>
        <w:rPr>
          <w:rFonts w:ascii="Times New Roman" w:hAnsi="Times New Roman"/>
          <w:color w:val="auto"/>
          <w:szCs w:val="21"/>
          <w:highlight w:val="none"/>
        </w:rPr>
      </w:pPr>
    </w:p>
    <w:p w14:paraId="69B7B6DA">
      <w:pPr>
        <w:spacing w:line="400" w:lineRule="exact"/>
        <w:rPr>
          <w:rFonts w:ascii="Times New Roman" w:hAnsi="Times New Roman"/>
          <w:color w:val="auto"/>
          <w:szCs w:val="21"/>
          <w:highlight w:val="none"/>
        </w:rPr>
      </w:pPr>
    </w:p>
    <w:p w14:paraId="61E1184B">
      <w:pPr>
        <w:spacing w:line="400" w:lineRule="exact"/>
        <w:rPr>
          <w:rFonts w:ascii="Times New Roman" w:hAnsi="Times New Roman"/>
          <w:color w:val="auto"/>
          <w:szCs w:val="21"/>
          <w:highlight w:val="none"/>
        </w:rPr>
      </w:pPr>
    </w:p>
    <w:p w14:paraId="4583A90B">
      <w:pPr>
        <w:spacing w:line="400" w:lineRule="exact"/>
        <w:rPr>
          <w:rFonts w:ascii="Times New Roman" w:hAnsi="Times New Roman"/>
          <w:color w:val="auto"/>
          <w:szCs w:val="21"/>
          <w:highlight w:val="none"/>
        </w:rPr>
      </w:pPr>
    </w:p>
    <w:p w14:paraId="4E10DDBC">
      <w:pPr>
        <w:spacing w:line="400" w:lineRule="exact"/>
        <w:rPr>
          <w:rFonts w:ascii="Times New Roman" w:hAnsi="Times New Roman"/>
          <w:color w:val="auto"/>
          <w:szCs w:val="21"/>
          <w:highlight w:val="none"/>
        </w:rPr>
      </w:pPr>
    </w:p>
    <w:p w14:paraId="25871C65">
      <w:pPr>
        <w:spacing w:line="400" w:lineRule="exact"/>
        <w:rPr>
          <w:rFonts w:ascii="Times New Roman" w:hAnsi="Times New Roman"/>
          <w:color w:val="auto"/>
          <w:szCs w:val="21"/>
          <w:highlight w:val="none"/>
        </w:rPr>
      </w:pPr>
    </w:p>
    <w:p w14:paraId="47AA54B7">
      <w:pPr>
        <w:spacing w:line="400" w:lineRule="exact"/>
        <w:rPr>
          <w:rFonts w:ascii="Times New Roman" w:hAnsi="Times New Roman"/>
          <w:color w:val="auto"/>
          <w:szCs w:val="21"/>
          <w:highlight w:val="none"/>
        </w:rPr>
      </w:pPr>
    </w:p>
    <w:p w14:paraId="68051976">
      <w:pPr>
        <w:spacing w:line="400" w:lineRule="exact"/>
        <w:rPr>
          <w:rFonts w:ascii="Times New Roman" w:hAnsi="Times New Roman"/>
          <w:color w:val="auto"/>
          <w:szCs w:val="21"/>
          <w:highlight w:val="none"/>
        </w:rPr>
      </w:pPr>
    </w:p>
    <w:p w14:paraId="53DA188E">
      <w:pPr>
        <w:spacing w:line="400" w:lineRule="exact"/>
        <w:rPr>
          <w:rFonts w:ascii="Times New Roman" w:hAnsi="Times New Roman"/>
          <w:color w:val="auto"/>
          <w:szCs w:val="21"/>
          <w:highlight w:val="none"/>
        </w:rPr>
      </w:pPr>
    </w:p>
    <w:p w14:paraId="44AD8170">
      <w:pPr>
        <w:autoSpaceDE w:val="0"/>
        <w:autoSpaceDN w:val="0"/>
        <w:adjustRightInd w:val="0"/>
        <w:snapToGrid w:val="0"/>
        <w:spacing w:line="440" w:lineRule="exact"/>
        <w:ind w:right="16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45F79DF7">
      <w:pPr>
        <w:adjustRightInd w:val="0"/>
        <w:snapToGrid w:val="0"/>
        <w:spacing w:line="440" w:lineRule="exact"/>
        <w:ind w:right="960"/>
        <w:jc w:val="righ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680C666A">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p>
    <w:p w14:paraId="07EE6E31">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eastAsia="zh-CN"/>
        </w:rPr>
        <w:t>十一</w:t>
      </w:r>
      <w:r>
        <w:rPr>
          <w:rFonts w:ascii="Times New Roman" w:hAnsi="Times New Roman"/>
          <w:b/>
          <w:color w:val="auto"/>
          <w:sz w:val="32"/>
          <w:szCs w:val="32"/>
          <w:highlight w:val="none"/>
        </w:rPr>
        <w:t>、系统服务能力</w:t>
      </w:r>
    </w:p>
    <w:p w14:paraId="5A7B5FE4">
      <w:pPr>
        <w:rPr>
          <w:rFonts w:ascii="Times New Roman" w:hAnsi="Times New Roman" w:eastAsia="仿宋"/>
          <w:color w:val="auto"/>
          <w:sz w:val="24"/>
          <w:szCs w:val="32"/>
          <w:highlight w:val="none"/>
        </w:rPr>
      </w:pPr>
      <w:r>
        <w:rPr>
          <w:rFonts w:ascii="Times New Roman" w:hAnsi="Times New Roman" w:eastAsia="仿宋"/>
          <w:color w:val="auto"/>
          <w:sz w:val="24"/>
          <w:szCs w:val="32"/>
          <w:highlight w:val="none"/>
        </w:rPr>
        <w:t>在此处编辑招标文件要求的提供佐证材料。</w:t>
      </w:r>
    </w:p>
    <w:p w14:paraId="1CC035EE">
      <w:pPr>
        <w:rPr>
          <w:rFonts w:ascii="Times New Roman" w:hAnsi="Times New Roman" w:eastAsia="仿宋"/>
          <w:color w:val="auto"/>
          <w:sz w:val="24"/>
          <w:szCs w:val="32"/>
          <w:highlight w:val="none"/>
        </w:rPr>
      </w:pPr>
      <w:r>
        <w:rPr>
          <w:rFonts w:ascii="Times New Roman" w:hAnsi="Times New Roman" w:eastAsia="仿宋"/>
          <w:b/>
          <w:color w:val="auto"/>
          <w:sz w:val="24"/>
          <w:szCs w:val="32"/>
          <w:highlight w:val="none"/>
        </w:rPr>
        <w:t>要求</w:t>
      </w:r>
      <w:r>
        <w:rPr>
          <w:rFonts w:ascii="Times New Roman" w:hAnsi="Times New Roman" w:eastAsia="仿宋"/>
          <w:color w:val="auto"/>
          <w:sz w:val="24"/>
          <w:szCs w:val="32"/>
          <w:highlight w:val="none"/>
        </w:rPr>
        <w:t>：1.按招标文件第五章罗列顺序编辑；</w:t>
      </w:r>
    </w:p>
    <w:p w14:paraId="7C2CC41B">
      <w:pPr>
        <w:rPr>
          <w:rFonts w:ascii="Times New Roman" w:hAnsi="Times New Roman" w:eastAsia="仿宋"/>
          <w:color w:val="auto"/>
          <w:sz w:val="24"/>
          <w:szCs w:val="32"/>
          <w:highlight w:val="none"/>
        </w:rPr>
      </w:pPr>
      <w:r>
        <w:rPr>
          <w:rFonts w:ascii="Times New Roman" w:hAnsi="Times New Roman" w:eastAsia="仿宋"/>
          <w:color w:val="auto"/>
          <w:sz w:val="24"/>
          <w:szCs w:val="32"/>
          <w:highlight w:val="none"/>
        </w:rPr>
        <w:t>2.</w:t>
      </w:r>
      <w:r>
        <w:rPr>
          <w:rFonts w:hint="eastAsia" w:ascii="Times New Roman" w:hAnsi="Times New Roman" w:eastAsia="仿宋"/>
          <w:color w:val="auto"/>
          <w:sz w:val="24"/>
          <w:szCs w:val="32"/>
          <w:highlight w:val="none"/>
        </w:rPr>
        <w:t>对照材料名称</w:t>
      </w:r>
      <w:r>
        <w:rPr>
          <w:rFonts w:ascii="Times New Roman" w:hAnsi="Times New Roman" w:eastAsia="仿宋"/>
          <w:color w:val="auto"/>
          <w:sz w:val="24"/>
          <w:szCs w:val="32"/>
          <w:highlight w:val="none"/>
        </w:rPr>
        <w:t>编制小标题；</w:t>
      </w:r>
    </w:p>
    <w:p w14:paraId="05AF1A0D">
      <w:pPr>
        <w:spacing w:line="400" w:lineRule="exact"/>
        <w:rPr>
          <w:rFonts w:ascii="Times New Roman" w:hAnsi="Times New Roman"/>
          <w:color w:val="auto"/>
          <w:szCs w:val="21"/>
          <w:highlight w:val="none"/>
        </w:rPr>
      </w:pPr>
    </w:p>
    <w:p w14:paraId="41DA72B4">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14AB7629">
      <w:pPr>
        <w:spacing w:line="400" w:lineRule="exact"/>
        <w:rPr>
          <w:rFonts w:ascii="Times New Roman" w:hAnsi="Times New Roman"/>
          <w:color w:val="auto"/>
          <w:szCs w:val="21"/>
          <w:highlight w:val="none"/>
        </w:rPr>
      </w:pPr>
      <w:r>
        <w:rPr>
          <w:rFonts w:ascii="Times New Roman" w:hAnsi="Times New Roman"/>
          <w:color w:val="auto"/>
          <w:szCs w:val="21"/>
          <w:highlight w:val="none"/>
        </w:rPr>
        <w:t xml:space="preserve"> </w:t>
      </w:r>
    </w:p>
    <w:p w14:paraId="53392684">
      <w:pPr>
        <w:spacing w:line="400" w:lineRule="exact"/>
        <w:rPr>
          <w:rFonts w:ascii="Times New Roman" w:hAnsi="Times New Roman"/>
          <w:color w:val="auto"/>
          <w:szCs w:val="21"/>
          <w:highlight w:val="none"/>
        </w:rPr>
      </w:pPr>
    </w:p>
    <w:p w14:paraId="75C3B344">
      <w:pPr>
        <w:spacing w:line="400" w:lineRule="exact"/>
        <w:rPr>
          <w:rFonts w:ascii="Times New Roman" w:hAnsi="Times New Roman"/>
          <w:color w:val="auto"/>
          <w:szCs w:val="21"/>
          <w:highlight w:val="none"/>
        </w:rPr>
      </w:pPr>
    </w:p>
    <w:p w14:paraId="169133BD">
      <w:pPr>
        <w:spacing w:line="400" w:lineRule="exact"/>
        <w:rPr>
          <w:rFonts w:ascii="Times New Roman" w:hAnsi="Times New Roman"/>
          <w:color w:val="auto"/>
          <w:szCs w:val="21"/>
          <w:highlight w:val="none"/>
        </w:rPr>
      </w:pPr>
    </w:p>
    <w:p w14:paraId="55B9E050">
      <w:pPr>
        <w:spacing w:line="400" w:lineRule="exact"/>
        <w:rPr>
          <w:rFonts w:ascii="Times New Roman" w:hAnsi="Times New Roman"/>
          <w:color w:val="auto"/>
          <w:szCs w:val="21"/>
          <w:highlight w:val="none"/>
        </w:rPr>
      </w:pPr>
    </w:p>
    <w:p w14:paraId="75FB58B7">
      <w:pPr>
        <w:spacing w:line="400" w:lineRule="exact"/>
        <w:rPr>
          <w:rFonts w:ascii="Times New Roman" w:hAnsi="Times New Roman"/>
          <w:color w:val="auto"/>
          <w:szCs w:val="21"/>
          <w:highlight w:val="none"/>
        </w:rPr>
      </w:pPr>
    </w:p>
    <w:p w14:paraId="6C3D7B86">
      <w:pPr>
        <w:spacing w:line="400" w:lineRule="exact"/>
        <w:rPr>
          <w:rFonts w:ascii="Times New Roman" w:hAnsi="Times New Roman"/>
          <w:color w:val="auto"/>
          <w:szCs w:val="21"/>
          <w:highlight w:val="none"/>
        </w:rPr>
      </w:pPr>
    </w:p>
    <w:p w14:paraId="0BEF34AC">
      <w:pPr>
        <w:spacing w:line="400" w:lineRule="exact"/>
        <w:rPr>
          <w:rFonts w:ascii="Times New Roman" w:hAnsi="Times New Roman"/>
          <w:color w:val="auto"/>
          <w:szCs w:val="21"/>
          <w:highlight w:val="none"/>
        </w:rPr>
      </w:pPr>
    </w:p>
    <w:p w14:paraId="13F551C1">
      <w:pPr>
        <w:spacing w:line="400" w:lineRule="exact"/>
        <w:rPr>
          <w:rFonts w:ascii="Times New Roman" w:hAnsi="Times New Roman"/>
          <w:color w:val="auto"/>
          <w:szCs w:val="21"/>
          <w:highlight w:val="none"/>
        </w:rPr>
      </w:pPr>
    </w:p>
    <w:p w14:paraId="5D90E966">
      <w:pPr>
        <w:spacing w:line="400" w:lineRule="exact"/>
        <w:rPr>
          <w:rFonts w:ascii="Times New Roman" w:hAnsi="Times New Roman"/>
          <w:color w:val="auto"/>
          <w:szCs w:val="21"/>
          <w:highlight w:val="none"/>
        </w:rPr>
      </w:pPr>
    </w:p>
    <w:p w14:paraId="382CFFF3">
      <w:pPr>
        <w:spacing w:line="400" w:lineRule="exact"/>
        <w:rPr>
          <w:rFonts w:ascii="Times New Roman" w:hAnsi="Times New Roman"/>
          <w:color w:val="auto"/>
          <w:szCs w:val="21"/>
          <w:highlight w:val="none"/>
        </w:rPr>
      </w:pPr>
    </w:p>
    <w:p w14:paraId="37B78DAB">
      <w:pPr>
        <w:spacing w:line="400" w:lineRule="exact"/>
        <w:rPr>
          <w:rFonts w:ascii="Times New Roman" w:hAnsi="Times New Roman"/>
          <w:color w:val="auto"/>
          <w:szCs w:val="21"/>
          <w:highlight w:val="none"/>
        </w:rPr>
      </w:pPr>
    </w:p>
    <w:p w14:paraId="4EDE3700">
      <w:pPr>
        <w:spacing w:line="400" w:lineRule="exact"/>
        <w:rPr>
          <w:rFonts w:ascii="Times New Roman" w:hAnsi="Times New Roman"/>
          <w:color w:val="auto"/>
          <w:szCs w:val="21"/>
          <w:highlight w:val="none"/>
        </w:rPr>
      </w:pPr>
    </w:p>
    <w:p w14:paraId="09F80D62">
      <w:pPr>
        <w:spacing w:line="400" w:lineRule="exact"/>
        <w:rPr>
          <w:rFonts w:ascii="Times New Roman" w:hAnsi="Times New Roman"/>
          <w:color w:val="auto"/>
          <w:szCs w:val="21"/>
          <w:highlight w:val="none"/>
        </w:rPr>
      </w:pPr>
    </w:p>
    <w:p w14:paraId="2ECB0E67">
      <w:pPr>
        <w:spacing w:line="400" w:lineRule="exact"/>
        <w:rPr>
          <w:rFonts w:ascii="Times New Roman" w:hAnsi="Times New Roman"/>
          <w:color w:val="auto"/>
          <w:szCs w:val="21"/>
          <w:highlight w:val="none"/>
        </w:rPr>
      </w:pPr>
    </w:p>
    <w:p w14:paraId="3FF5513A">
      <w:pPr>
        <w:spacing w:line="400" w:lineRule="exact"/>
        <w:rPr>
          <w:rFonts w:ascii="Times New Roman" w:hAnsi="Times New Roman"/>
          <w:color w:val="auto"/>
          <w:szCs w:val="21"/>
          <w:highlight w:val="none"/>
        </w:rPr>
      </w:pPr>
    </w:p>
    <w:p w14:paraId="33FEAEBE">
      <w:pPr>
        <w:autoSpaceDE w:val="0"/>
        <w:autoSpaceDN w:val="0"/>
        <w:adjustRightInd w:val="0"/>
        <w:snapToGrid w:val="0"/>
        <w:spacing w:line="440" w:lineRule="exact"/>
        <w:ind w:right="16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68A113AF">
      <w:pPr>
        <w:adjustRightInd w:val="0"/>
        <w:snapToGrid w:val="0"/>
        <w:spacing w:line="440" w:lineRule="exact"/>
        <w:ind w:right="960"/>
        <w:jc w:val="righ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68B176BF">
      <w:pPr>
        <w:widowControl/>
        <w:jc w:val="left"/>
        <w:rPr>
          <w:rFonts w:ascii="Times New Roman" w:hAnsi="Times New Roman" w:eastAsia="Times New Roman"/>
          <w:color w:val="auto"/>
          <w:kern w:val="0"/>
          <w:sz w:val="24"/>
          <w:szCs w:val="24"/>
          <w:highlight w:val="none"/>
        </w:rPr>
      </w:pPr>
      <w:r>
        <w:rPr>
          <w:rFonts w:ascii="Times New Roman" w:hAnsi="Times New Roman" w:eastAsia="Times New Roman"/>
          <w:color w:val="auto"/>
          <w:kern w:val="0"/>
          <w:sz w:val="24"/>
          <w:szCs w:val="24"/>
          <w:highlight w:val="none"/>
        </w:rPr>
        <w:br w:type="page"/>
      </w:r>
    </w:p>
    <w:p w14:paraId="08417646">
      <w:pPr>
        <w:pStyle w:val="191"/>
        <w:jc w:val="both"/>
        <w:rPr>
          <w:b/>
          <w:color w:val="auto"/>
          <w:sz w:val="32"/>
          <w:szCs w:val="32"/>
          <w:highlight w:val="none"/>
        </w:rPr>
      </w:pPr>
    </w:p>
    <w:p w14:paraId="7A7F4923">
      <w:pPr>
        <w:rPr>
          <w:rFonts w:ascii="Times New Roman" w:hAnsi="Times New Roman"/>
          <w:b/>
          <w:color w:val="auto"/>
          <w:sz w:val="32"/>
          <w:szCs w:val="32"/>
          <w:highlight w:val="none"/>
        </w:rPr>
      </w:pPr>
    </w:p>
    <w:p w14:paraId="6ACD1613">
      <w:pPr>
        <w:jc w:val="center"/>
        <w:rPr>
          <w:rFonts w:ascii="Times New Roman" w:hAnsi="Times New Roman"/>
          <w:b/>
          <w:color w:val="auto"/>
          <w:sz w:val="32"/>
          <w:szCs w:val="32"/>
          <w:highlight w:val="none"/>
        </w:rPr>
      </w:pPr>
      <w:r>
        <w:rPr>
          <w:rFonts w:ascii="Times New Roman" w:hAnsi="Times New Roman"/>
          <w:b/>
          <w:color w:val="auto"/>
          <w:sz w:val="32"/>
          <w:szCs w:val="32"/>
          <w:highlight w:val="none"/>
        </w:rPr>
        <w:t>十</w:t>
      </w:r>
      <w:r>
        <w:rPr>
          <w:rFonts w:hint="eastAsia" w:ascii="Times New Roman" w:hAnsi="Times New Roman"/>
          <w:b/>
          <w:color w:val="auto"/>
          <w:sz w:val="32"/>
          <w:szCs w:val="32"/>
          <w:highlight w:val="none"/>
          <w:lang w:eastAsia="zh-CN"/>
        </w:rPr>
        <w:t>二</w:t>
      </w:r>
      <w:r>
        <w:rPr>
          <w:rFonts w:ascii="Times New Roman" w:hAnsi="Times New Roman"/>
          <w:b/>
          <w:color w:val="auto"/>
          <w:sz w:val="32"/>
          <w:szCs w:val="32"/>
          <w:highlight w:val="none"/>
        </w:rPr>
        <w:t>、</w:t>
      </w:r>
      <w:r>
        <w:rPr>
          <w:rFonts w:hint="eastAsia" w:ascii="Times New Roman" w:hAnsi="Times New Roman"/>
          <w:b/>
          <w:color w:val="auto"/>
          <w:sz w:val="32"/>
          <w:szCs w:val="32"/>
          <w:highlight w:val="none"/>
        </w:rPr>
        <w:t>服务承诺</w:t>
      </w:r>
    </w:p>
    <w:p w14:paraId="28A94076">
      <w:pPr>
        <w:rPr>
          <w:rFonts w:ascii="Times New Roman" w:hAnsi="Times New Roman" w:eastAsia="仿宋"/>
          <w:color w:val="auto"/>
          <w:sz w:val="24"/>
          <w:szCs w:val="32"/>
          <w:highlight w:val="none"/>
        </w:rPr>
      </w:pPr>
    </w:p>
    <w:p w14:paraId="48E58C52">
      <w:pPr>
        <w:rPr>
          <w:rFonts w:ascii="Times New Roman" w:hAnsi="Times New Roman" w:eastAsia="仿宋"/>
          <w:color w:val="auto"/>
          <w:sz w:val="24"/>
          <w:szCs w:val="32"/>
          <w:highlight w:val="none"/>
        </w:rPr>
      </w:pPr>
    </w:p>
    <w:p w14:paraId="392533DF">
      <w:pPr>
        <w:rPr>
          <w:rFonts w:ascii="Times New Roman" w:hAnsi="Times New Roman" w:eastAsia="仿宋"/>
          <w:color w:val="auto"/>
          <w:sz w:val="24"/>
          <w:szCs w:val="32"/>
          <w:highlight w:val="none"/>
        </w:rPr>
      </w:pPr>
      <w:r>
        <w:rPr>
          <w:rFonts w:ascii="Times New Roman" w:hAnsi="Times New Roman" w:eastAsia="仿宋"/>
          <w:color w:val="auto"/>
          <w:sz w:val="24"/>
          <w:szCs w:val="32"/>
          <w:highlight w:val="none"/>
        </w:rPr>
        <w:t>在此处编辑招标文件要求的提供佐证材料。</w:t>
      </w:r>
    </w:p>
    <w:p w14:paraId="5911487B">
      <w:pPr>
        <w:rPr>
          <w:rFonts w:ascii="Times New Roman" w:hAnsi="Times New Roman" w:eastAsia="仿宋"/>
          <w:color w:val="auto"/>
          <w:sz w:val="24"/>
          <w:szCs w:val="32"/>
          <w:highlight w:val="none"/>
        </w:rPr>
      </w:pPr>
      <w:r>
        <w:rPr>
          <w:rFonts w:ascii="Times New Roman" w:hAnsi="Times New Roman" w:eastAsia="仿宋"/>
          <w:b/>
          <w:color w:val="auto"/>
          <w:sz w:val="24"/>
          <w:szCs w:val="32"/>
          <w:highlight w:val="none"/>
        </w:rPr>
        <w:t>要求</w:t>
      </w:r>
      <w:r>
        <w:rPr>
          <w:rFonts w:ascii="Times New Roman" w:hAnsi="Times New Roman" w:eastAsia="仿宋"/>
          <w:color w:val="auto"/>
          <w:sz w:val="24"/>
          <w:szCs w:val="32"/>
          <w:highlight w:val="none"/>
        </w:rPr>
        <w:t>：1.按招标文件第五章罗列顺序编辑；</w:t>
      </w:r>
    </w:p>
    <w:p w14:paraId="43982DAE">
      <w:pPr>
        <w:rPr>
          <w:rFonts w:ascii="Times New Roman" w:hAnsi="Times New Roman" w:eastAsia="仿宋"/>
          <w:color w:val="auto"/>
          <w:sz w:val="24"/>
          <w:szCs w:val="32"/>
          <w:highlight w:val="none"/>
        </w:rPr>
      </w:pPr>
      <w:r>
        <w:rPr>
          <w:rFonts w:ascii="Times New Roman" w:hAnsi="Times New Roman" w:eastAsia="仿宋"/>
          <w:color w:val="auto"/>
          <w:sz w:val="24"/>
          <w:szCs w:val="32"/>
          <w:highlight w:val="none"/>
        </w:rPr>
        <w:t>2.</w:t>
      </w:r>
      <w:r>
        <w:rPr>
          <w:rFonts w:hint="eastAsia" w:ascii="Times New Roman" w:hAnsi="Times New Roman" w:eastAsia="仿宋"/>
          <w:color w:val="auto"/>
          <w:sz w:val="24"/>
          <w:szCs w:val="32"/>
          <w:highlight w:val="none"/>
        </w:rPr>
        <w:t>对照材料名称</w:t>
      </w:r>
      <w:r>
        <w:rPr>
          <w:rFonts w:ascii="Times New Roman" w:hAnsi="Times New Roman" w:eastAsia="仿宋"/>
          <w:color w:val="auto"/>
          <w:sz w:val="24"/>
          <w:szCs w:val="32"/>
          <w:highlight w:val="none"/>
        </w:rPr>
        <w:t>编制小标题；</w:t>
      </w:r>
    </w:p>
    <w:p w14:paraId="742EF930">
      <w:pPr>
        <w:pStyle w:val="191"/>
        <w:jc w:val="center"/>
        <w:rPr>
          <w:b/>
          <w:color w:val="auto"/>
          <w:sz w:val="32"/>
          <w:szCs w:val="32"/>
          <w:highlight w:val="none"/>
        </w:rPr>
      </w:pPr>
    </w:p>
    <w:p w14:paraId="727F5114">
      <w:pPr>
        <w:pStyle w:val="191"/>
        <w:jc w:val="center"/>
        <w:rPr>
          <w:b/>
          <w:color w:val="auto"/>
          <w:sz w:val="32"/>
          <w:szCs w:val="32"/>
          <w:highlight w:val="none"/>
        </w:rPr>
      </w:pPr>
    </w:p>
    <w:p w14:paraId="68580EF4">
      <w:pPr>
        <w:pStyle w:val="191"/>
        <w:jc w:val="center"/>
        <w:rPr>
          <w:b/>
          <w:color w:val="auto"/>
          <w:sz w:val="32"/>
          <w:szCs w:val="32"/>
          <w:highlight w:val="none"/>
        </w:rPr>
      </w:pPr>
    </w:p>
    <w:p w14:paraId="7973D348">
      <w:pPr>
        <w:pStyle w:val="191"/>
        <w:jc w:val="center"/>
        <w:rPr>
          <w:b/>
          <w:color w:val="auto"/>
          <w:sz w:val="32"/>
          <w:szCs w:val="32"/>
          <w:highlight w:val="none"/>
        </w:rPr>
      </w:pPr>
    </w:p>
    <w:p w14:paraId="66414B44">
      <w:pPr>
        <w:pStyle w:val="191"/>
        <w:jc w:val="center"/>
        <w:rPr>
          <w:b/>
          <w:color w:val="auto"/>
          <w:sz w:val="32"/>
          <w:szCs w:val="32"/>
          <w:highlight w:val="none"/>
        </w:rPr>
      </w:pPr>
    </w:p>
    <w:p w14:paraId="63817D37">
      <w:pPr>
        <w:pStyle w:val="191"/>
        <w:jc w:val="center"/>
        <w:rPr>
          <w:b/>
          <w:color w:val="auto"/>
          <w:sz w:val="32"/>
          <w:szCs w:val="32"/>
          <w:highlight w:val="none"/>
        </w:rPr>
      </w:pPr>
    </w:p>
    <w:p w14:paraId="375ED929">
      <w:pPr>
        <w:pStyle w:val="191"/>
        <w:jc w:val="center"/>
        <w:rPr>
          <w:b/>
          <w:color w:val="auto"/>
          <w:sz w:val="32"/>
          <w:szCs w:val="32"/>
          <w:highlight w:val="none"/>
        </w:rPr>
      </w:pPr>
    </w:p>
    <w:p w14:paraId="1847AB58">
      <w:pPr>
        <w:pStyle w:val="191"/>
        <w:jc w:val="center"/>
        <w:rPr>
          <w:b/>
          <w:color w:val="auto"/>
          <w:sz w:val="32"/>
          <w:szCs w:val="32"/>
          <w:highlight w:val="none"/>
        </w:rPr>
      </w:pPr>
    </w:p>
    <w:p w14:paraId="78DB77F2">
      <w:pPr>
        <w:pStyle w:val="191"/>
        <w:jc w:val="center"/>
        <w:rPr>
          <w:b/>
          <w:color w:val="auto"/>
          <w:sz w:val="32"/>
          <w:szCs w:val="32"/>
          <w:highlight w:val="none"/>
        </w:rPr>
      </w:pPr>
    </w:p>
    <w:p w14:paraId="65127E75">
      <w:pPr>
        <w:autoSpaceDE w:val="0"/>
        <w:autoSpaceDN w:val="0"/>
        <w:adjustRightInd w:val="0"/>
        <w:snapToGrid w:val="0"/>
        <w:spacing w:line="440" w:lineRule="exact"/>
        <w:ind w:right="160"/>
        <w:jc w:val="right"/>
        <w:rPr>
          <w:rFonts w:ascii="Times New Roman" w:hAnsi="Times New Roman" w:eastAsia="仿宋_GB2312"/>
          <w:color w:val="auto"/>
          <w:kern w:val="0"/>
          <w:sz w:val="24"/>
          <w:szCs w:val="24"/>
          <w:highlight w:val="none"/>
        </w:rPr>
      </w:pPr>
      <w:r>
        <w:rPr>
          <w:rFonts w:ascii="Times New Roman" w:hAnsi="Times New Roman" w:eastAsia="仿宋_GB2312"/>
          <w:color w:val="auto"/>
          <w:kern w:val="0"/>
          <w:sz w:val="24"/>
          <w:szCs w:val="24"/>
          <w:highlight w:val="none"/>
        </w:rPr>
        <w:t>投标人：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kern w:val="0"/>
          <w:sz w:val="24"/>
          <w:szCs w:val="24"/>
          <w:highlight w:val="none"/>
          <w:u w:val="single"/>
        </w:rPr>
        <w:t xml:space="preserve">        </w:t>
      </w:r>
      <w:r>
        <w:rPr>
          <w:rFonts w:ascii="Times New Roman" w:hAnsi="Times New Roman" w:eastAsia="仿宋_GB2312"/>
          <w:color w:val="auto"/>
          <w:kern w:val="0"/>
          <w:sz w:val="24"/>
          <w:szCs w:val="24"/>
          <w:highlight w:val="none"/>
        </w:rPr>
        <w:t>（公章）</w:t>
      </w:r>
    </w:p>
    <w:p w14:paraId="09C46503">
      <w:pPr>
        <w:adjustRightInd w:val="0"/>
        <w:snapToGrid w:val="0"/>
        <w:spacing w:line="440" w:lineRule="exact"/>
        <w:ind w:right="960"/>
        <w:jc w:val="righ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日  期：</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年</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月</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日</w:t>
      </w:r>
    </w:p>
    <w:p w14:paraId="23630E2E">
      <w:pPr>
        <w:pStyle w:val="191"/>
        <w:jc w:val="center"/>
        <w:rPr>
          <w:b/>
          <w:color w:val="auto"/>
          <w:sz w:val="32"/>
          <w:szCs w:val="32"/>
          <w:highlight w:val="none"/>
        </w:rPr>
      </w:pPr>
    </w:p>
    <w:p w14:paraId="757DB407">
      <w:pPr>
        <w:pStyle w:val="191"/>
        <w:jc w:val="center"/>
        <w:rPr>
          <w:b/>
          <w:color w:val="auto"/>
          <w:sz w:val="32"/>
          <w:szCs w:val="32"/>
          <w:highlight w:val="none"/>
        </w:rPr>
      </w:pPr>
    </w:p>
    <w:p w14:paraId="2C696B87">
      <w:pPr>
        <w:pStyle w:val="191"/>
        <w:jc w:val="center"/>
        <w:rPr>
          <w:b/>
          <w:color w:val="auto"/>
          <w:sz w:val="32"/>
          <w:szCs w:val="32"/>
          <w:highlight w:val="none"/>
        </w:rPr>
      </w:pPr>
    </w:p>
    <w:p w14:paraId="0AD55B5F">
      <w:pPr>
        <w:pStyle w:val="191"/>
        <w:jc w:val="center"/>
        <w:rPr>
          <w:b/>
          <w:color w:val="auto"/>
          <w:sz w:val="32"/>
          <w:szCs w:val="32"/>
          <w:highlight w:val="none"/>
        </w:rPr>
      </w:pPr>
    </w:p>
    <w:p w14:paraId="6DA2B56C">
      <w:pPr>
        <w:pStyle w:val="191"/>
        <w:jc w:val="center"/>
        <w:rPr>
          <w:b/>
          <w:color w:val="auto"/>
          <w:sz w:val="32"/>
          <w:szCs w:val="32"/>
          <w:highlight w:val="none"/>
        </w:rPr>
      </w:pPr>
    </w:p>
    <w:p w14:paraId="1F7F343D">
      <w:pPr>
        <w:pStyle w:val="191"/>
        <w:jc w:val="center"/>
        <w:rPr>
          <w:b/>
          <w:color w:val="auto"/>
          <w:sz w:val="32"/>
          <w:szCs w:val="32"/>
          <w:highlight w:val="none"/>
        </w:rPr>
      </w:pPr>
    </w:p>
    <w:p w14:paraId="4EAE5C9D">
      <w:pPr>
        <w:pStyle w:val="191"/>
        <w:rPr>
          <w:b/>
          <w:color w:val="auto"/>
          <w:sz w:val="32"/>
          <w:szCs w:val="32"/>
          <w:highlight w:val="none"/>
        </w:rPr>
      </w:pPr>
    </w:p>
    <w:p w14:paraId="0168EC4B">
      <w:pPr>
        <w:pStyle w:val="191"/>
        <w:jc w:val="center"/>
        <w:rPr>
          <w:b/>
          <w:color w:val="auto"/>
          <w:sz w:val="32"/>
          <w:szCs w:val="32"/>
          <w:highlight w:val="none"/>
        </w:rPr>
      </w:pPr>
      <w:r>
        <w:rPr>
          <w:b/>
          <w:color w:val="auto"/>
          <w:sz w:val="32"/>
          <w:szCs w:val="32"/>
          <w:highlight w:val="none"/>
        </w:rPr>
        <w:t>十</w:t>
      </w:r>
      <w:r>
        <w:rPr>
          <w:rFonts w:hint="eastAsia"/>
          <w:b/>
          <w:color w:val="auto"/>
          <w:sz w:val="32"/>
          <w:szCs w:val="32"/>
          <w:highlight w:val="none"/>
          <w:lang w:eastAsia="zh-CN"/>
        </w:rPr>
        <w:t>三</w:t>
      </w:r>
      <w:r>
        <w:rPr>
          <w:b/>
          <w:color w:val="auto"/>
          <w:sz w:val="32"/>
          <w:szCs w:val="32"/>
          <w:highlight w:val="none"/>
        </w:rPr>
        <w:t>、其他文件</w:t>
      </w:r>
    </w:p>
    <w:p w14:paraId="23F46D36">
      <w:pPr>
        <w:pStyle w:val="191"/>
        <w:spacing w:line="360" w:lineRule="auto"/>
        <w:jc w:val="center"/>
        <w:rPr>
          <w:color w:val="auto"/>
          <w:highlight w:val="none"/>
        </w:rPr>
      </w:pPr>
      <w:r>
        <w:rPr>
          <w:color w:val="auto"/>
          <w:szCs w:val="21"/>
          <w:highlight w:val="none"/>
        </w:rPr>
        <w:t xml:space="preserve">  </w:t>
      </w:r>
    </w:p>
    <w:p w14:paraId="0FEA1BA2">
      <w:pPr>
        <w:pStyle w:val="191"/>
        <w:spacing w:before="156" w:line="360" w:lineRule="auto"/>
        <w:rPr>
          <w:color w:val="auto"/>
          <w:szCs w:val="21"/>
          <w:highlight w:val="none"/>
        </w:rPr>
      </w:pPr>
      <w:r>
        <w:rPr>
          <w:color w:val="auto"/>
          <w:szCs w:val="21"/>
          <w:highlight w:val="none"/>
        </w:rPr>
        <w:t xml:space="preserve">  </w:t>
      </w:r>
    </w:p>
    <w:p w14:paraId="4894137B">
      <w:pPr>
        <w:pStyle w:val="191"/>
        <w:spacing w:before="156" w:line="360" w:lineRule="auto"/>
        <w:rPr>
          <w:color w:val="auto"/>
          <w:szCs w:val="21"/>
          <w:highlight w:val="none"/>
        </w:rPr>
      </w:pPr>
    </w:p>
    <w:p w14:paraId="18EFBAAE">
      <w:pPr>
        <w:pStyle w:val="191"/>
        <w:spacing w:before="156" w:line="360" w:lineRule="auto"/>
        <w:rPr>
          <w:color w:val="auto"/>
          <w:szCs w:val="21"/>
          <w:highlight w:val="none"/>
        </w:rPr>
      </w:pPr>
    </w:p>
    <w:p w14:paraId="6E15CD9B">
      <w:pPr>
        <w:pStyle w:val="191"/>
        <w:spacing w:before="156" w:line="360" w:lineRule="auto"/>
        <w:rPr>
          <w:color w:val="auto"/>
          <w:szCs w:val="21"/>
          <w:highlight w:val="none"/>
        </w:rPr>
      </w:pPr>
    </w:p>
    <w:p w14:paraId="3B70223D">
      <w:pPr>
        <w:pStyle w:val="191"/>
        <w:spacing w:before="156" w:line="360" w:lineRule="auto"/>
        <w:rPr>
          <w:color w:val="auto"/>
          <w:szCs w:val="21"/>
          <w:highlight w:val="none"/>
        </w:rPr>
      </w:pPr>
    </w:p>
    <w:p w14:paraId="751493AA">
      <w:pPr>
        <w:pStyle w:val="191"/>
        <w:spacing w:before="156" w:line="360" w:lineRule="auto"/>
        <w:rPr>
          <w:color w:val="auto"/>
          <w:szCs w:val="21"/>
          <w:highlight w:val="none"/>
        </w:rPr>
      </w:pPr>
    </w:p>
    <w:p w14:paraId="46338182">
      <w:pPr>
        <w:pStyle w:val="191"/>
        <w:spacing w:before="156" w:line="360" w:lineRule="auto"/>
        <w:rPr>
          <w:color w:val="auto"/>
          <w:szCs w:val="21"/>
          <w:highlight w:val="none"/>
        </w:rPr>
      </w:pPr>
    </w:p>
    <w:p w14:paraId="5F78F720">
      <w:pPr>
        <w:pStyle w:val="191"/>
        <w:spacing w:before="156" w:line="360" w:lineRule="auto"/>
        <w:rPr>
          <w:color w:val="auto"/>
          <w:szCs w:val="21"/>
          <w:highlight w:val="none"/>
        </w:rPr>
      </w:pPr>
    </w:p>
    <w:p w14:paraId="14984C41">
      <w:pPr>
        <w:pStyle w:val="191"/>
        <w:spacing w:before="156" w:line="360" w:lineRule="auto"/>
        <w:rPr>
          <w:color w:val="auto"/>
          <w:highlight w:val="none"/>
        </w:rPr>
      </w:pPr>
    </w:p>
    <w:p w14:paraId="71093619">
      <w:pPr>
        <w:pStyle w:val="191"/>
        <w:spacing w:line="400" w:lineRule="exact"/>
        <w:rPr>
          <w:rFonts w:eastAsia="仿宋_GB2312"/>
          <w:color w:val="auto"/>
          <w:sz w:val="24"/>
          <w:szCs w:val="24"/>
          <w:highlight w:val="none"/>
        </w:rPr>
      </w:pPr>
      <w:r>
        <w:rPr>
          <w:rFonts w:eastAsia="仿宋_GB2312"/>
          <w:b/>
          <w:bCs/>
          <w:color w:val="auto"/>
          <w:sz w:val="24"/>
          <w:szCs w:val="24"/>
          <w:highlight w:val="none"/>
        </w:rPr>
        <w:t>注</w:t>
      </w:r>
      <w:r>
        <w:rPr>
          <w:rFonts w:eastAsia="仿宋_GB2312"/>
          <w:color w:val="auto"/>
          <w:sz w:val="24"/>
          <w:szCs w:val="24"/>
          <w:highlight w:val="none"/>
        </w:rPr>
        <w:t>：编制招标文件要求的其他商务技术文件。</w:t>
      </w:r>
    </w:p>
    <w:p w14:paraId="752FADDD">
      <w:pPr>
        <w:jc w:val="center"/>
        <w:rPr>
          <w:rFonts w:ascii="Times New Roman" w:hAnsi="Times New Roman" w:eastAsia="Times New Roman"/>
          <w:color w:val="auto"/>
          <w:kern w:val="0"/>
          <w:sz w:val="20"/>
          <w:szCs w:val="24"/>
          <w:highlight w:val="none"/>
        </w:rPr>
      </w:pPr>
    </w:p>
    <w:p w14:paraId="6023C573">
      <w:pPr>
        <w:rPr>
          <w:rFonts w:ascii="Times New Roman" w:hAnsi="Times New Roman"/>
          <w:color w:val="auto"/>
          <w:highlight w:val="none"/>
        </w:rPr>
      </w:pPr>
      <w:r>
        <w:rPr>
          <w:rFonts w:ascii="Times New Roman" w:hAnsi="Times New Roman"/>
          <w:color w:val="auto"/>
          <w:highlight w:val="none"/>
        </w:rPr>
        <w:t xml:space="preserve"> </w:t>
      </w:r>
      <w:bookmarkEnd w:id="1"/>
    </w:p>
    <w:p w14:paraId="25876784">
      <w:pPr>
        <w:rPr>
          <w:rFonts w:ascii="Times New Roman" w:hAnsi="Times New Roman"/>
          <w:color w:val="auto"/>
          <w:highlight w:val="none"/>
        </w:rPr>
      </w:pPr>
    </w:p>
    <w:sectPr>
      <w:headerReference r:id="rId9" w:type="default"/>
      <w:footerReference r:id="rId10"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书宋简体">
    <w:panose1 w:val="02000000000000000000"/>
    <w:charset w:val="86"/>
    <w:family w:val="auto"/>
    <w:pitch w:val="default"/>
    <w:sig w:usb0="A00002BF" w:usb1="184F6CFA" w:usb2="00000012"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文鼎CS楷体">
    <w:altName w:val="微软雅黑"/>
    <w:panose1 w:val="00000000000000000000"/>
    <w:charset w:val="00"/>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713E5">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3B5F9">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B3B5F9">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7698">
    <w:pPr>
      <w:pStyle w:val="20"/>
      <w:tabs>
        <w:tab w:val="center" w:pos="4153"/>
        <w:tab w:val="right" w:pos="8306"/>
        <w:tab w:val="clear" w:pos="4680"/>
        <w:tab w:val="clear" w:pos="936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5CEE0">
                          <w:pPr>
                            <w:pStyle w:val="20"/>
                            <w:tabs>
                              <w:tab w:val="center" w:pos="4153"/>
                              <w:tab w:val="right" w:pos="8306"/>
                              <w:tab w:val="clear" w:pos="4680"/>
                              <w:tab w:val="clear" w:pos="9360"/>
                            </w:tabs>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365CEE0">
                    <w:pPr>
                      <w:pStyle w:val="20"/>
                      <w:tabs>
                        <w:tab w:val="center" w:pos="4153"/>
                        <w:tab w:val="right" w:pos="8306"/>
                        <w:tab w:val="clear" w:pos="4680"/>
                        <w:tab w:val="clear" w:pos="9360"/>
                      </w:tabs>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AEEA">
    <w:pPr>
      <w:tabs>
        <w:tab w:val="center" w:pos="4153"/>
        <w:tab w:val="right" w:pos="8306"/>
      </w:tabs>
      <w:snapToGrid w:val="0"/>
      <w:jc w:val="left"/>
      <w:rPr>
        <w:sz w:val="18"/>
        <w:szCs w:val="18"/>
      </w:rPr>
    </w:pPr>
    <w:r>
      <w:rPr>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8CBA4C">
                          <w:pPr>
                            <w:tabs>
                              <w:tab w:val="center" w:pos="4153"/>
                              <w:tab w:val="right" w:pos="8306"/>
                            </w:tabs>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44</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2F8CBA4C">
                    <w:pPr>
                      <w:tabs>
                        <w:tab w:val="center" w:pos="4153"/>
                        <w:tab w:val="right" w:pos="8306"/>
                      </w:tabs>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44</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78FA3">
    <w:pPr>
      <w:pStyle w:val="20"/>
      <w:tabs>
        <w:tab w:val="center" w:pos="4153"/>
        <w:tab w:val="right" w:pos="8306"/>
        <w:tab w:val="clear" w:pos="4680"/>
        <w:tab w:val="clear" w:pos="9360"/>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1B6C9">
                          <w:pPr>
                            <w:pStyle w:val="20"/>
                            <w:tabs>
                              <w:tab w:val="center" w:pos="4153"/>
                              <w:tab w:val="right" w:pos="8306"/>
                              <w:tab w:val="clear" w:pos="4680"/>
                              <w:tab w:val="clear" w:pos="9360"/>
                            </w:tabs>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211B6C9">
                    <w:pPr>
                      <w:pStyle w:val="20"/>
                      <w:tabs>
                        <w:tab w:val="center" w:pos="4153"/>
                        <w:tab w:val="right" w:pos="8306"/>
                        <w:tab w:val="clear" w:pos="4680"/>
                        <w:tab w:val="clear" w:pos="9360"/>
                      </w:tabs>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BE87F">
    <w:pPr>
      <w:pStyle w:val="20"/>
      <w:tabs>
        <w:tab w:val="center" w:pos="4153"/>
        <w:tab w:val="right" w:pos="8306"/>
        <w:tab w:val="clear" w:pos="4680"/>
        <w:tab w:val="clear" w:pos="9360"/>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8D751">
                          <w:pPr>
                            <w:pStyle w:val="20"/>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A78D751">
                    <w:pPr>
                      <w:pStyle w:val="20"/>
                    </w:pPr>
                    <w:r>
                      <w:fldChar w:fldCharType="begin"/>
                    </w:r>
                    <w:r>
                      <w:instrText xml:space="preserve"> PAGE  \* MERGEFORMAT </w:instrText>
                    </w:r>
                    <w:r>
                      <w:fldChar w:fldCharType="separate"/>
                    </w:r>
                    <w:r>
                      <w:t>91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4B7F">
    <w:pPr>
      <w:pStyle w:val="21"/>
    </w:pPr>
    <w:r>
      <w:rPr>
        <w:rFonts w:hint="eastAsia"/>
      </w:rPr>
      <w:t xml:space="preserve">                                                                                                  公开招标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CF563">
    <w:pPr>
      <w:pBdr>
        <w:bottom w:val="single" w:color="auto" w:sz="6" w:space="1"/>
      </w:pBdr>
      <w:tabs>
        <w:tab w:val="center" w:pos="4153"/>
        <w:tab w:val="right" w:pos="8306"/>
      </w:tabs>
      <w:snapToGrid w:val="0"/>
      <w:jc w:val="center"/>
      <w:rPr>
        <w:sz w:val="18"/>
        <w:szCs w:val="18"/>
      </w:rPr>
    </w:pPr>
    <w:r>
      <w:rPr>
        <w:rFonts w:hint="eastAsia"/>
        <w:sz w:val="18"/>
        <w:szCs w:val="18"/>
      </w:rPr>
      <w:t xml:space="preserve">                                                                                                  公开招标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570E">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D07C9"/>
    <w:multiLevelType w:val="singleLevel"/>
    <w:tmpl w:val="C57D07C9"/>
    <w:lvl w:ilvl="0" w:tentative="0">
      <w:start w:val="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70D5865"/>
    <w:multiLevelType w:val="singleLevel"/>
    <w:tmpl w:val="D70D5865"/>
    <w:lvl w:ilvl="0" w:tentative="0">
      <w:start w:val="1"/>
      <w:numFmt w:val="decimal"/>
      <w:suff w:val="space"/>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EB9B7CD8"/>
    <w:multiLevelType w:val="singleLevel"/>
    <w:tmpl w:val="EB9B7CD8"/>
    <w:lvl w:ilvl="0" w:tentative="0">
      <w:start w:val="1"/>
      <w:numFmt w:val="decimal"/>
      <w:suff w:val="space"/>
      <w:lvlText w:val="%1."/>
      <w:lvlJc w:val="left"/>
    </w:lvl>
  </w:abstractNum>
  <w:abstractNum w:abstractNumId="6">
    <w:nsid w:val="F4D6F053"/>
    <w:multiLevelType w:val="singleLevel"/>
    <w:tmpl w:val="F4D6F053"/>
    <w:lvl w:ilvl="0" w:tentative="0">
      <w:start w:val="1"/>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158CAB20"/>
    <w:multiLevelType w:val="singleLevel"/>
    <w:tmpl w:val="158CAB20"/>
    <w:lvl w:ilvl="0" w:tentative="0">
      <w:start w:val="5"/>
      <w:numFmt w:val="chineseCounting"/>
      <w:suff w:val="space"/>
      <w:lvlText w:val="第%1章"/>
      <w:lvlJc w:val="left"/>
      <w:rPr>
        <w:rFonts w:hint="eastAsia"/>
      </w:rPr>
    </w:lvl>
  </w:abstractNum>
  <w:abstractNum w:abstractNumId="9">
    <w:nsid w:val="68E74CD5"/>
    <w:multiLevelType w:val="singleLevel"/>
    <w:tmpl w:val="68E74CD5"/>
    <w:lvl w:ilvl="0" w:tentative="0">
      <w:start w:val="2"/>
      <w:numFmt w:val="chineseCounting"/>
      <w:suff w:val="nothing"/>
      <w:lvlText w:val="%1、"/>
      <w:lvlJc w:val="left"/>
      <w:rPr>
        <w:rFonts w:hint="eastAsia"/>
      </w:rPr>
    </w:lvl>
  </w:abstractNum>
  <w:abstractNum w:abstractNumId="10">
    <w:nsid w:val="7A0F6431"/>
    <w:multiLevelType w:val="singleLevel"/>
    <w:tmpl w:val="7A0F6431"/>
    <w:lvl w:ilvl="0" w:tentative="0">
      <w:start w:val="1"/>
      <w:numFmt w:val="decimal"/>
      <w:suff w:val="space"/>
      <w:lvlText w:val="%1."/>
      <w:lvlJc w:val="left"/>
    </w:lvl>
  </w:abstractNum>
  <w:num w:numId="1">
    <w:abstractNumId w:val="0"/>
  </w:num>
  <w:num w:numId="2">
    <w:abstractNumId w:val="6"/>
  </w:num>
  <w:num w:numId="3">
    <w:abstractNumId w:val="2"/>
  </w:num>
  <w:num w:numId="4">
    <w:abstractNumId w:val="5"/>
  </w:num>
  <w:num w:numId="5">
    <w:abstractNumId w:val="10"/>
  </w:num>
  <w:num w:numId="6">
    <w:abstractNumId w:val="1"/>
  </w:num>
  <w:num w:numId="7">
    <w:abstractNumId w:val="7"/>
  </w:num>
  <w:num w:numId="8">
    <w:abstractNumId w:val="4"/>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EA"/>
    <w:rsid w:val="00002FDE"/>
    <w:rsid w:val="000071B6"/>
    <w:rsid w:val="00007277"/>
    <w:rsid w:val="000144B2"/>
    <w:rsid w:val="00014FE8"/>
    <w:rsid w:val="00015D60"/>
    <w:rsid w:val="00017347"/>
    <w:rsid w:val="00032F35"/>
    <w:rsid w:val="000426D8"/>
    <w:rsid w:val="000454BF"/>
    <w:rsid w:val="00050ACD"/>
    <w:rsid w:val="000540C1"/>
    <w:rsid w:val="0005413F"/>
    <w:rsid w:val="0005535D"/>
    <w:rsid w:val="00060D9D"/>
    <w:rsid w:val="00064C91"/>
    <w:rsid w:val="0006501C"/>
    <w:rsid w:val="00066A64"/>
    <w:rsid w:val="00072288"/>
    <w:rsid w:val="00083177"/>
    <w:rsid w:val="00092513"/>
    <w:rsid w:val="000948DB"/>
    <w:rsid w:val="000A14B4"/>
    <w:rsid w:val="000A2CE9"/>
    <w:rsid w:val="000A6597"/>
    <w:rsid w:val="000C1D1F"/>
    <w:rsid w:val="000C296C"/>
    <w:rsid w:val="000C3B19"/>
    <w:rsid w:val="000C4B9E"/>
    <w:rsid w:val="000C65CD"/>
    <w:rsid w:val="000D1EAF"/>
    <w:rsid w:val="000E1C3C"/>
    <w:rsid w:val="000E262A"/>
    <w:rsid w:val="000E63A2"/>
    <w:rsid w:val="000F5760"/>
    <w:rsid w:val="00103BF0"/>
    <w:rsid w:val="001119EC"/>
    <w:rsid w:val="00114AF0"/>
    <w:rsid w:val="0012005C"/>
    <w:rsid w:val="00132ECF"/>
    <w:rsid w:val="0013702B"/>
    <w:rsid w:val="001437CF"/>
    <w:rsid w:val="001462DE"/>
    <w:rsid w:val="00154B01"/>
    <w:rsid w:val="00157C72"/>
    <w:rsid w:val="00161609"/>
    <w:rsid w:val="001628F8"/>
    <w:rsid w:val="00163161"/>
    <w:rsid w:val="00167E35"/>
    <w:rsid w:val="00173FB9"/>
    <w:rsid w:val="00176E1C"/>
    <w:rsid w:val="00176EC0"/>
    <w:rsid w:val="001814F4"/>
    <w:rsid w:val="001819E1"/>
    <w:rsid w:val="00182525"/>
    <w:rsid w:val="00184728"/>
    <w:rsid w:val="00191C23"/>
    <w:rsid w:val="001A4A19"/>
    <w:rsid w:val="001A5879"/>
    <w:rsid w:val="001B3FE0"/>
    <w:rsid w:val="001B45C4"/>
    <w:rsid w:val="001C06E7"/>
    <w:rsid w:val="001C6576"/>
    <w:rsid w:val="001D2B05"/>
    <w:rsid w:val="001D3655"/>
    <w:rsid w:val="001E1655"/>
    <w:rsid w:val="001E2C04"/>
    <w:rsid w:val="001E40CD"/>
    <w:rsid w:val="001E46C7"/>
    <w:rsid w:val="001F2E47"/>
    <w:rsid w:val="001F3966"/>
    <w:rsid w:val="0020215B"/>
    <w:rsid w:val="00212DEF"/>
    <w:rsid w:val="00213B40"/>
    <w:rsid w:val="00216F2C"/>
    <w:rsid w:val="00231595"/>
    <w:rsid w:val="002319C0"/>
    <w:rsid w:val="00234CD0"/>
    <w:rsid w:val="00245978"/>
    <w:rsid w:val="002501D5"/>
    <w:rsid w:val="0025646F"/>
    <w:rsid w:val="00260C2D"/>
    <w:rsid w:val="00261B3C"/>
    <w:rsid w:val="00264136"/>
    <w:rsid w:val="00266EEC"/>
    <w:rsid w:val="002676B8"/>
    <w:rsid w:val="00267D8D"/>
    <w:rsid w:val="00270438"/>
    <w:rsid w:val="0027346B"/>
    <w:rsid w:val="00281A97"/>
    <w:rsid w:val="00286FF2"/>
    <w:rsid w:val="002A0305"/>
    <w:rsid w:val="002A3A16"/>
    <w:rsid w:val="002B781B"/>
    <w:rsid w:val="002C3F16"/>
    <w:rsid w:val="002D56F4"/>
    <w:rsid w:val="002D57D0"/>
    <w:rsid w:val="002E2CDD"/>
    <w:rsid w:val="002E7FF5"/>
    <w:rsid w:val="002F713E"/>
    <w:rsid w:val="002F7B3E"/>
    <w:rsid w:val="003073E7"/>
    <w:rsid w:val="00311776"/>
    <w:rsid w:val="00320BC1"/>
    <w:rsid w:val="0032360E"/>
    <w:rsid w:val="003300FB"/>
    <w:rsid w:val="0033014A"/>
    <w:rsid w:val="003332B3"/>
    <w:rsid w:val="00341BEA"/>
    <w:rsid w:val="00352530"/>
    <w:rsid w:val="00354C80"/>
    <w:rsid w:val="00361647"/>
    <w:rsid w:val="0036229C"/>
    <w:rsid w:val="00364579"/>
    <w:rsid w:val="00364F3E"/>
    <w:rsid w:val="00367808"/>
    <w:rsid w:val="003716F4"/>
    <w:rsid w:val="00375278"/>
    <w:rsid w:val="003762C3"/>
    <w:rsid w:val="00382259"/>
    <w:rsid w:val="003832FB"/>
    <w:rsid w:val="00390012"/>
    <w:rsid w:val="00395B45"/>
    <w:rsid w:val="00395DC2"/>
    <w:rsid w:val="003A3C96"/>
    <w:rsid w:val="003A47B0"/>
    <w:rsid w:val="003A4AE3"/>
    <w:rsid w:val="003A5278"/>
    <w:rsid w:val="003A6D1A"/>
    <w:rsid w:val="003A7D3E"/>
    <w:rsid w:val="003B3307"/>
    <w:rsid w:val="003B5F8E"/>
    <w:rsid w:val="003B796B"/>
    <w:rsid w:val="003C290A"/>
    <w:rsid w:val="003C2B4A"/>
    <w:rsid w:val="003C77A2"/>
    <w:rsid w:val="003D0339"/>
    <w:rsid w:val="003D0809"/>
    <w:rsid w:val="003D18EF"/>
    <w:rsid w:val="003D2CF7"/>
    <w:rsid w:val="003D4500"/>
    <w:rsid w:val="003D48E8"/>
    <w:rsid w:val="003D4D73"/>
    <w:rsid w:val="003D586C"/>
    <w:rsid w:val="003E2B15"/>
    <w:rsid w:val="003F467D"/>
    <w:rsid w:val="003F5358"/>
    <w:rsid w:val="00400775"/>
    <w:rsid w:val="004139CD"/>
    <w:rsid w:val="00414430"/>
    <w:rsid w:val="00415A93"/>
    <w:rsid w:val="00423020"/>
    <w:rsid w:val="0043084A"/>
    <w:rsid w:val="00432B23"/>
    <w:rsid w:val="00432C52"/>
    <w:rsid w:val="00440AFC"/>
    <w:rsid w:val="004412A0"/>
    <w:rsid w:val="00444F70"/>
    <w:rsid w:val="004471F5"/>
    <w:rsid w:val="00455031"/>
    <w:rsid w:val="00455517"/>
    <w:rsid w:val="00460342"/>
    <w:rsid w:val="0046034D"/>
    <w:rsid w:val="0046131C"/>
    <w:rsid w:val="004653B7"/>
    <w:rsid w:val="00470748"/>
    <w:rsid w:val="00471E42"/>
    <w:rsid w:val="004728BA"/>
    <w:rsid w:val="004776B4"/>
    <w:rsid w:val="0048052B"/>
    <w:rsid w:val="00490D09"/>
    <w:rsid w:val="00493695"/>
    <w:rsid w:val="00495766"/>
    <w:rsid w:val="00497AB9"/>
    <w:rsid w:val="004A0B75"/>
    <w:rsid w:val="004A27CC"/>
    <w:rsid w:val="004A497F"/>
    <w:rsid w:val="004A5604"/>
    <w:rsid w:val="004A60B1"/>
    <w:rsid w:val="004A762E"/>
    <w:rsid w:val="004B1A7A"/>
    <w:rsid w:val="004C00E9"/>
    <w:rsid w:val="004C52EB"/>
    <w:rsid w:val="004E5CD3"/>
    <w:rsid w:val="004F40F8"/>
    <w:rsid w:val="004F59F3"/>
    <w:rsid w:val="004F5A7E"/>
    <w:rsid w:val="004F5D5B"/>
    <w:rsid w:val="004F6EE8"/>
    <w:rsid w:val="00506007"/>
    <w:rsid w:val="00507439"/>
    <w:rsid w:val="0051168E"/>
    <w:rsid w:val="0051184B"/>
    <w:rsid w:val="0052276D"/>
    <w:rsid w:val="00522B04"/>
    <w:rsid w:val="00527446"/>
    <w:rsid w:val="005332A0"/>
    <w:rsid w:val="0053580F"/>
    <w:rsid w:val="00544330"/>
    <w:rsid w:val="005447AE"/>
    <w:rsid w:val="00546D39"/>
    <w:rsid w:val="00547064"/>
    <w:rsid w:val="00550CC2"/>
    <w:rsid w:val="005608E8"/>
    <w:rsid w:val="00561995"/>
    <w:rsid w:val="005661AB"/>
    <w:rsid w:val="0056716F"/>
    <w:rsid w:val="00575566"/>
    <w:rsid w:val="00577308"/>
    <w:rsid w:val="00592C19"/>
    <w:rsid w:val="00596597"/>
    <w:rsid w:val="00596ED2"/>
    <w:rsid w:val="005A695F"/>
    <w:rsid w:val="005A69F5"/>
    <w:rsid w:val="005C79E0"/>
    <w:rsid w:val="005D36C5"/>
    <w:rsid w:val="005D3AF9"/>
    <w:rsid w:val="005E233E"/>
    <w:rsid w:val="005E4071"/>
    <w:rsid w:val="005F3738"/>
    <w:rsid w:val="0060018D"/>
    <w:rsid w:val="00605478"/>
    <w:rsid w:val="006060A9"/>
    <w:rsid w:val="00607979"/>
    <w:rsid w:val="006147B0"/>
    <w:rsid w:val="00624C16"/>
    <w:rsid w:val="006321E4"/>
    <w:rsid w:val="00632FA6"/>
    <w:rsid w:val="006528D3"/>
    <w:rsid w:val="0066166F"/>
    <w:rsid w:val="006617BE"/>
    <w:rsid w:val="00662085"/>
    <w:rsid w:val="00666741"/>
    <w:rsid w:val="006719D5"/>
    <w:rsid w:val="0067429C"/>
    <w:rsid w:val="00684D79"/>
    <w:rsid w:val="00685641"/>
    <w:rsid w:val="006A5201"/>
    <w:rsid w:val="006A7561"/>
    <w:rsid w:val="006A7F37"/>
    <w:rsid w:val="006B36A0"/>
    <w:rsid w:val="006B50A5"/>
    <w:rsid w:val="006C515D"/>
    <w:rsid w:val="006C6904"/>
    <w:rsid w:val="006D2C1E"/>
    <w:rsid w:val="006E0C2D"/>
    <w:rsid w:val="006F78EA"/>
    <w:rsid w:val="006F7929"/>
    <w:rsid w:val="0071454A"/>
    <w:rsid w:val="0071647F"/>
    <w:rsid w:val="007168F6"/>
    <w:rsid w:val="00727530"/>
    <w:rsid w:val="00735524"/>
    <w:rsid w:val="007402F0"/>
    <w:rsid w:val="00744721"/>
    <w:rsid w:val="00745F0F"/>
    <w:rsid w:val="00751E02"/>
    <w:rsid w:val="00753458"/>
    <w:rsid w:val="007571BC"/>
    <w:rsid w:val="007615CC"/>
    <w:rsid w:val="00762E79"/>
    <w:rsid w:val="007700BD"/>
    <w:rsid w:val="007757A4"/>
    <w:rsid w:val="00777364"/>
    <w:rsid w:val="0078546F"/>
    <w:rsid w:val="007861BA"/>
    <w:rsid w:val="00790E34"/>
    <w:rsid w:val="007A0093"/>
    <w:rsid w:val="007B3396"/>
    <w:rsid w:val="007B5DE2"/>
    <w:rsid w:val="007D2E20"/>
    <w:rsid w:val="007D6327"/>
    <w:rsid w:val="007D71A0"/>
    <w:rsid w:val="007E7863"/>
    <w:rsid w:val="007F6B46"/>
    <w:rsid w:val="008018B4"/>
    <w:rsid w:val="008036FD"/>
    <w:rsid w:val="008071D0"/>
    <w:rsid w:val="00807E41"/>
    <w:rsid w:val="008117FF"/>
    <w:rsid w:val="00812C96"/>
    <w:rsid w:val="00823C1E"/>
    <w:rsid w:val="00831B8F"/>
    <w:rsid w:val="00836F40"/>
    <w:rsid w:val="008410A2"/>
    <w:rsid w:val="00843F23"/>
    <w:rsid w:val="00844536"/>
    <w:rsid w:val="008537BD"/>
    <w:rsid w:val="00855084"/>
    <w:rsid w:val="00855280"/>
    <w:rsid w:val="00865D88"/>
    <w:rsid w:val="00872E17"/>
    <w:rsid w:val="00876F88"/>
    <w:rsid w:val="00880C8E"/>
    <w:rsid w:val="008824D5"/>
    <w:rsid w:val="008835F0"/>
    <w:rsid w:val="00886CE2"/>
    <w:rsid w:val="0088785D"/>
    <w:rsid w:val="00892027"/>
    <w:rsid w:val="00892FB3"/>
    <w:rsid w:val="00893081"/>
    <w:rsid w:val="008943F1"/>
    <w:rsid w:val="00895AE4"/>
    <w:rsid w:val="00895D3D"/>
    <w:rsid w:val="00896540"/>
    <w:rsid w:val="008A1468"/>
    <w:rsid w:val="008A3962"/>
    <w:rsid w:val="008B308A"/>
    <w:rsid w:val="008C2663"/>
    <w:rsid w:val="008D54E9"/>
    <w:rsid w:val="008D6458"/>
    <w:rsid w:val="008E48E7"/>
    <w:rsid w:val="008F2A58"/>
    <w:rsid w:val="00904893"/>
    <w:rsid w:val="009069FD"/>
    <w:rsid w:val="00912AB0"/>
    <w:rsid w:val="0092515E"/>
    <w:rsid w:val="009279EB"/>
    <w:rsid w:val="00931FAB"/>
    <w:rsid w:val="00932937"/>
    <w:rsid w:val="00934D9B"/>
    <w:rsid w:val="0094187F"/>
    <w:rsid w:val="0094791C"/>
    <w:rsid w:val="00951312"/>
    <w:rsid w:val="009530BA"/>
    <w:rsid w:val="00957345"/>
    <w:rsid w:val="009604CC"/>
    <w:rsid w:val="0096375F"/>
    <w:rsid w:val="009670CA"/>
    <w:rsid w:val="00967E71"/>
    <w:rsid w:val="00973AA1"/>
    <w:rsid w:val="0098164A"/>
    <w:rsid w:val="00983E2E"/>
    <w:rsid w:val="009855E6"/>
    <w:rsid w:val="009858F6"/>
    <w:rsid w:val="009938F1"/>
    <w:rsid w:val="009979AC"/>
    <w:rsid w:val="009A53BD"/>
    <w:rsid w:val="009B4C68"/>
    <w:rsid w:val="009C3924"/>
    <w:rsid w:val="009C5AC2"/>
    <w:rsid w:val="009C722F"/>
    <w:rsid w:val="009D4568"/>
    <w:rsid w:val="009D55C8"/>
    <w:rsid w:val="009D63FA"/>
    <w:rsid w:val="009D6F92"/>
    <w:rsid w:val="009E6926"/>
    <w:rsid w:val="009F078E"/>
    <w:rsid w:val="009F6887"/>
    <w:rsid w:val="00A057DA"/>
    <w:rsid w:val="00A07877"/>
    <w:rsid w:val="00A11B19"/>
    <w:rsid w:val="00A12A6A"/>
    <w:rsid w:val="00A16F33"/>
    <w:rsid w:val="00A249C5"/>
    <w:rsid w:val="00A52285"/>
    <w:rsid w:val="00A54157"/>
    <w:rsid w:val="00A60B86"/>
    <w:rsid w:val="00A60FA6"/>
    <w:rsid w:val="00A60FCC"/>
    <w:rsid w:val="00A620E7"/>
    <w:rsid w:val="00A62E34"/>
    <w:rsid w:val="00A71B5C"/>
    <w:rsid w:val="00A76B86"/>
    <w:rsid w:val="00A849BD"/>
    <w:rsid w:val="00A93021"/>
    <w:rsid w:val="00A96BC9"/>
    <w:rsid w:val="00AA0C1A"/>
    <w:rsid w:val="00AA15D0"/>
    <w:rsid w:val="00AA33DA"/>
    <w:rsid w:val="00AA55F0"/>
    <w:rsid w:val="00AA6108"/>
    <w:rsid w:val="00AA6CB7"/>
    <w:rsid w:val="00AB322B"/>
    <w:rsid w:val="00AB3236"/>
    <w:rsid w:val="00AB617F"/>
    <w:rsid w:val="00AB6E42"/>
    <w:rsid w:val="00AB7492"/>
    <w:rsid w:val="00AC49D7"/>
    <w:rsid w:val="00AC79D0"/>
    <w:rsid w:val="00AD042E"/>
    <w:rsid w:val="00AD788E"/>
    <w:rsid w:val="00AE0D1C"/>
    <w:rsid w:val="00AF32BE"/>
    <w:rsid w:val="00B00BF9"/>
    <w:rsid w:val="00B0269B"/>
    <w:rsid w:val="00B03284"/>
    <w:rsid w:val="00B0486C"/>
    <w:rsid w:val="00B060DE"/>
    <w:rsid w:val="00B06F06"/>
    <w:rsid w:val="00B10BAE"/>
    <w:rsid w:val="00B11AEB"/>
    <w:rsid w:val="00B11C66"/>
    <w:rsid w:val="00B23535"/>
    <w:rsid w:val="00B2607E"/>
    <w:rsid w:val="00B26AC7"/>
    <w:rsid w:val="00B27F9A"/>
    <w:rsid w:val="00B318CE"/>
    <w:rsid w:val="00B3415E"/>
    <w:rsid w:val="00B347B1"/>
    <w:rsid w:val="00B34F75"/>
    <w:rsid w:val="00B43473"/>
    <w:rsid w:val="00B45617"/>
    <w:rsid w:val="00B47D35"/>
    <w:rsid w:val="00B54DAD"/>
    <w:rsid w:val="00B55EF2"/>
    <w:rsid w:val="00B618F7"/>
    <w:rsid w:val="00B62B49"/>
    <w:rsid w:val="00B63251"/>
    <w:rsid w:val="00B65648"/>
    <w:rsid w:val="00B66091"/>
    <w:rsid w:val="00B66548"/>
    <w:rsid w:val="00B77097"/>
    <w:rsid w:val="00B83969"/>
    <w:rsid w:val="00B85AB3"/>
    <w:rsid w:val="00B87F7A"/>
    <w:rsid w:val="00B963C4"/>
    <w:rsid w:val="00B963CA"/>
    <w:rsid w:val="00BA24C0"/>
    <w:rsid w:val="00BA7FCB"/>
    <w:rsid w:val="00BB21B0"/>
    <w:rsid w:val="00BB2FE2"/>
    <w:rsid w:val="00BB33FC"/>
    <w:rsid w:val="00BB6E2A"/>
    <w:rsid w:val="00BC2EDC"/>
    <w:rsid w:val="00BC48E6"/>
    <w:rsid w:val="00BC4D92"/>
    <w:rsid w:val="00BD3DDB"/>
    <w:rsid w:val="00BD7CE7"/>
    <w:rsid w:val="00BE4030"/>
    <w:rsid w:val="00BE430D"/>
    <w:rsid w:val="00BE6D81"/>
    <w:rsid w:val="00BF3604"/>
    <w:rsid w:val="00C00B15"/>
    <w:rsid w:val="00C02FB0"/>
    <w:rsid w:val="00C057DC"/>
    <w:rsid w:val="00C07305"/>
    <w:rsid w:val="00C23FEB"/>
    <w:rsid w:val="00C40515"/>
    <w:rsid w:val="00C43B39"/>
    <w:rsid w:val="00C44248"/>
    <w:rsid w:val="00C46773"/>
    <w:rsid w:val="00C52E85"/>
    <w:rsid w:val="00C53E16"/>
    <w:rsid w:val="00C54418"/>
    <w:rsid w:val="00C54BE6"/>
    <w:rsid w:val="00C613CB"/>
    <w:rsid w:val="00C65864"/>
    <w:rsid w:val="00C80067"/>
    <w:rsid w:val="00C8156A"/>
    <w:rsid w:val="00C86100"/>
    <w:rsid w:val="00C879B7"/>
    <w:rsid w:val="00C93945"/>
    <w:rsid w:val="00CA0C6F"/>
    <w:rsid w:val="00CA27FC"/>
    <w:rsid w:val="00CA5737"/>
    <w:rsid w:val="00CB75EA"/>
    <w:rsid w:val="00CC7869"/>
    <w:rsid w:val="00CD10AA"/>
    <w:rsid w:val="00CD2E8F"/>
    <w:rsid w:val="00CD630D"/>
    <w:rsid w:val="00CD7324"/>
    <w:rsid w:val="00CE0255"/>
    <w:rsid w:val="00CF1DA5"/>
    <w:rsid w:val="00D1045B"/>
    <w:rsid w:val="00D10E57"/>
    <w:rsid w:val="00D12E41"/>
    <w:rsid w:val="00D12FA6"/>
    <w:rsid w:val="00D13D18"/>
    <w:rsid w:val="00D150C3"/>
    <w:rsid w:val="00D211FD"/>
    <w:rsid w:val="00D33029"/>
    <w:rsid w:val="00D330AE"/>
    <w:rsid w:val="00D33FE3"/>
    <w:rsid w:val="00D421E6"/>
    <w:rsid w:val="00D50C8E"/>
    <w:rsid w:val="00D61202"/>
    <w:rsid w:val="00D63232"/>
    <w:rsid w:val="00D64E8B"/>
    <w:rsid w:val="00D65E0B"/>
    <w:rsid w:val="00D74DC8"/>
    <w:rsid w:val="00D7679F"/>
    <w:rsid w:val="00D80942"/>
    <w:rsid w:val="00D82351"/>
    <w:rsid w:val="00D82801"/>
    <w:rsid w:val="00D83491"/>
    <w:rsid w:val="00D85BD1"/>
    <w:rsid w:val="00D86441"/>
    <w:rsid w:val="00D93B8C"/>
    <w:rsid w:val="00D97287"/>
    <w:rsid w:val="00DA0F6E"/>
    <w:rsid w:val="00DA15B7"/>
    <w:rsid w:val="00DA42C1"/>
    <w:rsid w:val="00DA5BA6"/>
    <w:rsid w:val="00DA70C9"/>
    <w:rsid w:val="00DB2451"/>
    <w:rsid w:val="00DB5C56"/>
    <w:rsid w:val="00DC5A43"/>
    <w:rsid w:val="00DD3661"/>
    <w:rsid w:val="00DE5CAE"/>
    <w:rsid w:val="00DE6A2D"/>
    <w:rsid w:val="00DE769E"/>
    <w:rsid w:val="00DF4B0A"/>
    <w:rsid w:val="00E0400B"/>
    <w:rsid w:val="00E06F99"/>
    <w:rsid w:val="00E110A7"/>
    <w:rsid w:val="00E24282"/>
    <w:rsid w:val="00E45724"/>
    <w:rsid w:val="00E520B7"/>
    <w:rsid w:val="00E56DB1"/>
    <w:rsid w:val="00E602A2"/>
    <w:rsid w:val="00E728DD"/>
    <w:rsid w:val="00E80DBC"/>
    <w:rsid w:val="00E81501"/>
    <w:rsid w:val="00E85AC0"/>
    <w:rsid w:val="00EA257E"/>
    <w:rsid w:val="00EC4167"/>
    <w:rsid w:val="00EC5EA9"/>
    <w:rsid w:val="00ED444C"/>
    <w:rsid w:val="00EE3BCA"/>
    <w:rsid w:val="00EF1E53"/>
    <w:rsid w:val="00EF5074"/>
    <w:rsid w:val="00EF5172"/>
    <w:rsid w:val="00EF5FCC"/>
    <w:rsid w:val="00EF6A7D"/>
    <w:rsid w:val="00F02060"/>
    <w:rsid w:val="00F03661"/>
    <w:rsid w:val="00F07BB1"/>
    <w:rsid w:val="00F22365"/>
    <w:rsid w:val="00F2405D"/>
    <w:rsid w:val="00F266E8"/>
    <w:rsid w:val="00F33F21"/>
    <w:rsid w:val="00F40C82"/>
    <w:rsid w:val="00F40F4D"/>
    <w:rsid w:val="00F440E2"/>
    <w:rsid w:val="00F52376"/>
    <w:rsid w:val="00F52999"/>
    <w:rsid w:val="00F52C35"/>
    <w:rsid w:val="00F54666"/>
    <w:rsid w:val="00F55437"/>
    <w:rsid w:val="00F56296"/>
    <w:rsid w:val="00F601D9"/>
    <w:rsid w:val="00F73444"/>
    <w:rsid w:val="00F8137F"/>
    <w:rsid w:val="00F84960"/>
    <w:rsid w:val="00F87476"/>
    <w:rsid w:val="00F9005E"/>
    <w:rsid w:val="00FA10A1"/>
    <w:rsid w:val="00FA3B36"/>
    <w:rsid w:val="00FA4AB2"/>
    <w:rsid w:val="00FA70F1"/>
    <w:rsid w:val="00FA7A6F"/>
    <w:rsid w:val="00FB6790"/>
    <w:rsid w:val="00FC558A"/>
    <w:rsid w:val="00FC7301"/>
    <w:rsid w:val="00FD26BD"/>
    <w:rsid w:val="00FD6361"/>
    <w:rsid w:val="00FD6A8D"/>
    <w:rsid w:val="00FD6C4B"/>
    <w:rsid w:val="00FE0DCD"/>
    <w:rsid w:val="00FE113B"/>
    <w:rsid w:val="00FE343B"/>
    <w:rsid w:val="00FE56F0"/>
    <w:rsid w:val="00FE66AA"/>
    <w:rsid w:val="00FE7330"/>
    <w:rsid w:val="00FF191C"/>
    <w:rsid w:val="00FF1953"/>
    <w:rsid w:val="00FF51A0"/>
    <w:rsid w:val="01580C56"/>
    <w:rsid w:val="01623ECD"/>
    <w:rsid w:val="01763232"/>
    <w:rsid w:val="01807AF1"/>
    <w:rsid w:val="01A37947"/>
    <w:rsid w:val="01A85FCF"/>
    <w:rsid w:val="01E75E57"/>
    <w:rsid w:val="0228131B"/>
    <w:rsid w:val="0258151A"/>
    <w:rsid w:val="027F0426"/>
    <w:rsid w:val="03130C9A"/>
    <w:rsid w:val="0398212A"/>
    <w:rsid w:val="03E9547A"/>
    <w:rsid w:val="04E33A5F"/>
    <w:rsid w:val="052027CE"/>
    <w:rsid w:val="05BD0878"/>
    <w:rsid w:val="0624284C"/>
    <w:rsid w:val="066B2E48"/>
    <w:rsid w:val="068F0BD1"/>
    <w:rsid w:val="06A72B5B"/>
    <w:rsid w:val="075445D5"/>
    <w:rsid w:val="07773408"/>
    <w:rsid w:val="07C74150"/>
    <w:rsid w:val="080E345D"/>
    <w:rsid w:val="08A81240"/>
    <w:rsid w:val="08BD59C0"/>
    <w:rsid w:val="08BE33E4"/>
    <w:rsid w:val="08D04D46"/>
    <w:rsid w:val="08DC5128"/>
    <w:rsid w:val="097C031F"/>
    <w:rsid w:val="0A4C5174"/>
    <w:rsid w:val="0A9B6AB0"/>
    <w:rsid w:val="0CCF2339"/>
    <w:rsid w:val="0D68630B"/>
    <w:rsid w:val="0DC161D1"/>
    <w:rsid w:val="0DF60BF1"/>
    <w:rsid w:val="0E5B4EA0"/>
    <w:rsid w:val="0E9B68FF"/>
    <w:rsid w:val="0EA444E7"/>
    <w:rsid w:val="0F5C607F"/>
    <w:rsid w:val="0FD348ED"/>
    <w:rsid w:val="1013176C"/>
    <w:rsid w:val="10460CC2"/>
    <w:rsid w:val="10734F8E"/>
    <w:rsid w:val="113C7AB0"/>
    <w:rsid w:val="11FF376C"/>
    <w:rsid w:val="12C403A4"/>
    <w:rsid w:val="12DD46A3"/>
    <w:rsid w:val="137C4806"/>
    <w:rsid w:val="14601D7C"/>
    <w:rsid w:val="14BF02AD"/>
    <w:rsid w:val="14F37FF3"/>
    <w:rsid w:val="1517097B"/>
    <w:rsid w:val="15455FD0"/>
    <w:rsid w:val="15B7232D"/>
    <w:rsid w:val="15D8600E"/>
    <w:rsid w:val="160C56C2"/>
    <w:rsid w:val="16101D7E"/>
    <w:rsid w:val="16AB3173"/>
    <w:rsid w:val="16D11BA4"/>
    <w:rsid w:val="16D66554"/>
    <w:rsid w:val="177D548D"/>
    <w:rsid w:val="179E331F"/>
    <w:rsid w:val="17C70EC5"/>
    <w:rsid w:val="17D34C26"/>
    <w:rsid w:val="17EF6030"/>
    <w:rsid w:val="183A43E2"/>
    <w:rsid w:val="184778F6"/>
    <w:rsid w:val="18721181"/>
    <w:rsid w:val="18C3452E"/>
    <w:rsid w:val="18E31BC7"/>
    <w:rsid w:val="19032A61"/>
    <w:rsid w:val="19B00A58"/>
    <w:rsid w:val="19B012E6"/>
    <w:rsid w:val="19C401D2"/>
    <w:rsid w:val="19C52E58"/>
    <w:rsid w:val="1A0F059D"/>
    <w:rsid w:val="1A1C3866"/>
    <w:rsid w:val="1A916B31"/>
    <w:rsid w:val="1B1514F2"/>
    <w:rsid w:val="1B1F138B"/>
    <w:rsid w:val="1B284CAF"/>
    <w:rsid w:val="1B2D36A3"/>
    <w:rsid w:val="1BB138FD"/>
    <w:rsid w:val="1BBB420C"/>
    <w:rsid w:val="1BF530EC"/>
    <w:rsid w:val="1C4739D0"/>
    <w:rsid w:val="1CC04A68"/>
    <w:rsid w:val="1D6A64D1"/>
    <w:rsid w:val="1DF45926"/>
    <w:rsid w:val="1E092B57"/>
    <w:rsid w:val="1E10773D"/>
    <w:rsid w:val="1E7159FF"/>
    <w:rsid w:val="1EED1859"/>
    <w:rsid w:val="1EFD3A9C"/>
    <w:rsid w:val="1F1D139B"/>
    <w:rsid w:val="1F513806"/>
    <w:rsid w:val="1F865547"/>
    <w:rsid w:val="1F9D4A9E"/>
    <w:rsid w:val="1FC66330"/>
    <w:rsid w:val="20015EDA"/>
    <w:rsid w:val="202136BF"/>
    <w:rsid w:val="2080575F"/>
    <w:rsid w:val="21743621"/>
    <w:rsid w:val="21AE1E97"/>
    <w:rsid w:val="21F75221"/>
    <w:rsid w:val="220B1C23"/>
    <w:rsid w:val="22464449"/>
    <w:rsid w:val="22CE58F5"/>
    <w:rsid w:val="230953F9"/>
    <w:rsid w:val="23237F25"/>
    <w:rsid w:val="232B11B7"/>
    <w:rsid w:val="23311076"/>
    <w:rsid w:val="2379093F"/>
    <w:rsid w:val="238734D8"/>
    <w:rsid w:val="238F7CFB"/>
    <w:rsid w:val="23D24851"/>
    <w:rsid w:val="241C182F"/>
    <w:rsid w:val="242023D2"/>
    <w:rsid w:val="246421F6"/>
    <w:rsid w:val="25281192"/>
    <w:rsid w:val="25641764"/>
    <w:rsid w:val="25A6506C"/>
    <w:rsid w:val="25CF7050"/>
    <w:rsid w:val="25ED6BFB"/>
    <w:rsid w:val="264C396C"/>
    <w:rsid w:val="268279BE"/>
    <w:rsid w:val="26F1696B"/>
    <w:rsid w:val="27501502"/>
    <w:rsid w:val="28886E0E"/>
    <w:rsid w:val="291455D7"/>
    <w:rsid w:val="29373AB9"/>
    <w:rsid w:val="297F5DA9"/>
    <w:rsid w:val="2A7B4CC0"/>
    <w:rsid w:val="2B4F051B"/>
    <w:rsid w:val="2B575927"/>
    <w:rsid w:val="2BFC3354"/>
    <w:rsid w:val="2C6815E9"/>
    <w:rsid w:val="2C7A0008"/>
    <w:rsid w:val="2CA84CD4"/>
    <w:rsid w:val="2CEB63EA"/>
    <w:rsid w:val="2D1D2509"/>
    <w:rsid w:val="2D580E67"/>
    <w:rsid w:val="2D782F00"/>
    <w:rsid w:val="2DF71D4B"/>
    <w:rsid w:val="2E14108C"/>
    <w:rsid w:val="2ECE4FDA"/>
    <w:rsid w:val="2F1E302B"/>
    <w:rsid w:val="302970F3"/>
    <w:rsid w:val="309B556A"/>
    <w:rsid w:val="30B567E5"/>
    <w:rsid w:val="31490108"/>
    <w:rsid w:val="31776F9A"/>
    <w:rsid w:val="318D3859"/>
    <w:rsid w:val="31BF7644"/>
    <w:rsid w:val="32A07E9E"/>
    <w:rsid w:val="32CD13EC"/>
    <w:rsid w:val="33093CBB"/>
    <w:rsid w:val="33127D84"/>
    <w:rsid w:val="331F268B"/>
    <w:rsid w:val="33A44248"/>
    <w:rsid w:val="33BA63EC"/>
    <w:rsid w:val="34CE04B2"/>
    <w:rsid w:val="353611F1"/>
    <w:rsid w:val="358124C9"/>
    <w:rsid w:val="362D5E70"/>
    <w:rsid w:val="377D2FE0"/>
    <w:rsid w:val="37B81AC6"/>
    <w:rsid w:val="37F741E2"/>
    <w:rsid w:val="383D3652"/>
    <w:rsid w:val="38524315"/>
    <w:rsid w:val="38785A35"/>
    <w:rsid w:val="388D68D4"/>
    <w:rsid w:val="389C1B3B"/>
    <w:rsid w:val="38BF2926"/>
    <w:rsid w:val="394D6D12"/>
    <w:rsid w:val="39872BE8"/>
    <w:rsid w:val="3A3D2A7E"/>
    <w:rsid w:val="3C0A06C8"/>
    <w:rsid w:val="3C145375"/>
    <w:rsid w:val="3C4A48D3"/>
    <w:rsid w:val="3C62397B"/>
    <w:rsid w:val="3CE80EF0"/>
    <w:rsid w:val="3CF06E89"/>
    <w:rsid w:val="3D37507E"/>
    <w:rsid w:val="3D3A2780"/>
    <w:rsid w:val="3DCC00F6"/>
    <w:rsid w:val="3DF927AD"/>
    <w:rsid w:val="3E1607D7"/>
    <w:rsid w:val="3E407AAF"/>
    <w:rsid w:val="3E5A30FD"/>
    <w:rsid w:val="3E5D2CC9"/>
    <w:rsid w:val="3F2D1CB6"/>
    <w:rsid w:val="3F431BC8"/>
    <w:rsid w:val="3F8D2AEF"/>
    <w:rsid w:val="3FA362DD"/>
    <w:rsid w:val="400E6DA6"/>
    <w:rsid w:val="401D6F8B"/>
    <w:rsid w:val="40220553"/>
    <w:rsid w:val="408F70EB"/>
    <w:rsid w:val="41380592"/>
    <w:rsid w:val="415D5357"/>
    <w:rsid w:val="41850D59"/>
    <w:rsid w:val="41884094"/>
    <w:rsid w:val="42111F5E"/>
    <w:rsid w:val="42272A47"/>
    <w:rsid w:val="4260230D"/>
    <w:rsid w:val="43982301"/>
    <w:rsid w:val="44015C7B"/>
    <w:rsid w:val="449E3321"/>
    <w:rsid w:val="44EA2F5D"/>
    <w:rsid w:val="45284162"/>
    <w:rsid w:val="45900801"/>
    <w:rsid w:val="46366141"/>
    <w:rsid w:val="464252CA"/>
    <w:rsid w:val="46B0445E"/>
    <w:rsid w:val="47296F58"/>
    <w:rsid w:val="4760213D"/>
    <w:rsid w:val="47A16F94"/>
    <w:rsid w:val="47C460CD"/>
    <w:rsid w:val="4837587F"/>
    <w:rsid w:val="48870389"/>
    <w:rsid w:val="48A55CFF"/>
    <w:rsid w:val="48B265F5"/>
    <w:rsid w:val="49180694"/>
    <w:rsid w:val="49406134"/>
    <w:rsid w:val="49E656E9"/>
    <w:rsid w:val="49EF65FB"/>
    <w:rsid w:val="4A4C4151"/>
    <w:rsid w:val="4AB740F4"/>
    <w:rsid w:val="4AC62318"/>
    <w:rsid w:val="4AD50ED2"/>
    <w:rsid w:val="4B45738D"/>
    <w:rsid w:val="4BB375DD"/>
    <w:rsid w:val="4C63620D"/>
    <w:rsid w:val="4D901524"/>
    <w:rsid w:val="4E5A441A"/>
    <w:rsid w:val="4E782283"/>
    <w:rsid w:val="4E8E286D"/>
    <w:rsid w:val="4F4D360D"/>
    <w:rsid w:val="504563F8"/>
    <w:rsid w:val="50A866F2"/>
    <w:rsid w:val="50C73805"/>
    <w:rsid w:val="50F10148"/>
    <w:rsid w:val="515B223B"/>
    <w:rsid w:val="516C5B50"/>
    <w:rsid w:val="52252DD4"/>
    <w:rsid w:val="52270ED5"/>
    <w:rsid w:val="528C2019"/>
    <w:rsid w:val="52AA50E1"/>
    <w:rsid w:val="52B6389C"/>
    <w:rsid w:val="52E83B07"/>
    <w:rsid w:val="539C3A03"/>
    <w:rsid w:val="53D1497F"/>
    <w:rsid w:val="53FE1652"/>
    <w:rsid w:val="54557C03"/>
    <w:rsid w:val="54D6703E"/>
    <w:rsid w:val="556D348C"/>
    <w:rsid w:val="55CF0356"/>
    <w:rsid w:val="55FC0ECF"/>
    <w:rsid w:val="5642787D"/>
    <w:rsid w:val="56F33326"/>
    <w:rsid w:val="575D6941"/>
    <w:rsid w:val="57F1549A"/>
    <w:rsid w:val="58244FA7"/>
    <w:rsid w:val="5830463D"/>
    <w:rsid w:val="58E53D30"/>
    <w:rsid w:val="59460125"/>
    <w:rsid w:val="59B24536"/>
    <w:rsid w:val="5ABE16F9"/>
    <w:rsid w:val="5B1B5005"/>
    <w:rsid w:val="5B773940"/>
    <w:rsid w:val="5BB23404"/>
    <w:rsid w:val="5BD228CE"/>
    <w:rsid w:val="5CA83D6A"/>
    <w:rsid w:val="5CCE758F"/>
    <w:rsid w:val="5D3A69D3"/>
    <w:rsid w:val="5D4D7E34"/>
    <w:rsid w:val="5DAF116F"/>
    <w:rsid w:val="5DBD74E4"/>
    <w:rsid w:val="5DDA2ADC"/>
    <w:rsid w:val="5DE6679D"/>
    <w:rsid w:val="5E330476"/>
    <w:rsid w:val="5E3E4C2D"/>
    <w:rsid w:val="5E471CBA"/>
    <w:rsid w:val="5E5935CB"/>
    <w:rsid w:val="5EAA032B"/>
    <w:rsid w:val="5EB02500"/>
    <w:rsid w:val="5EDE5F07"/>
    <w:rsid w:val="5F323DA7"/>
    <w:rsid w:val="5FA640EB"/>
    <w:rsid w:val="5FE65EE3"/>
    <w:rsid w:val="5FF81943"/>
    <w:rsid w:val="6008663C"/>
    <w:rsid w:val="601B50B8"/>
    <w:rsid w:val="60395667"/>
    <w:rsid w:val="607C3E58"/>
    <w:rsid w:val="60AC6765"/>
    <w:rsid w:val="60BE5A58"/>
    <w:rsid w:val="60CB745A"/>
    <w:rsid w:val="61343606"/>
    <w:rsid w:val="613E7F81"/>
    <w:rsid w:val="61873DA7"/>
    <w:rsid w:val="62022D5A"/>
    <w:rsid w:val="620B60B7"/>
    <w:rsid w:val="626E5007"/>
    <w:rsid w:val="628C0F03"/>
    <w:rsid w:val="62A37C9F"/>
    <w:rsid w:val="632737D7"/>
    <w:rsid w:val="633F2762"/>
    <w:rsid w:val="63A70B65"/>
    <w:rsid w:val="63B76BA9"/>
    <w:rsid w:val="63F7410E"/>
    <w:rsid w:val="64284669"/>
    <w:rsid w:val="64340321"/>
    <w:rsid w:val="646628FF"/>
    <w:rsid w:val="64783648"/>
    <w:rsid w:val="65CE2975"/>
    <w:rsid w:val="663E7D2D"/>
    <w:rsid w:val="66897745"/>
    <w:rsid w:val="66A72C8A"/>
    <w:rsid w:val="66EB5F60"/>
    <w:rsid w:val="67280744"/>
    <w:rsid w:val="67F14B3D"/>
    <w:rsid w:val="68637551"/>
    <w:rsid w:val="686D6D9D"/>
    <w:rsid w:val="68761B36"/>
    <w:rsid w:val="68F17D99"/>
    <w:rsid w:val="69245BE0"/>
    <w:rsid w:val="6A06384E"/>
    <w:rsid w:val="6AD74A57"/>
    <w:rsid w:val="6ADA35A3"/>
    <w:rsid w:val="6B313E6C"/>
    <w:rsid w:val="6B460705"/>
    <w:rsid w:val="6B472CBA"/>
    <w:rsid w:val="6BF53CA3"/>
    <w:rsid w:val="6C0A7FBF"/>
    <w:rsid w:val="6C5A7338"/>
    <w:rsid w:val="6C984089"/>
    <w:rsid w:val="6D6E46A8"/>
    <w:rsid w:val="6D727278"/>
    <w:rsid w:val="6D7D01AD"/>
    <w:rsid w:val="6DE36C58"/>
    <w:rsid w:val="6EAB637C"/>
    <w:rsid w:val="6F1F0BDE"/>
    <w:rsid w:val="6F6E4BFB"/>
    <w:rsid w:val="6F93311C"/>
    <w:rsid w:val="700465D9"/>
    <w:rsid w:val="707C3099"/>
    <w:rsid w:val="708C4CFF"/>
    <w:rsid w:val="70ED20D3"/>
    <w:rsid w:val="71105142"/>
    <w:rsid w:val="71144511"/>
    <w:rsid w:val="71203125"/>
    <w:rsid w:val="718070C4"/>
    <w:rsid w:val="72270127"/>
    <w:rsid w:val="72C5750D"/>
    <w:rsid w:val="72FB469E"/>
    <w:rsid w:val="730936C7"/>
    <w:rsid w:val="734C07CD"/>
    <w:rsid w:val="738D4541"/>
    <w:rsid w:val="73A96B65"/>
    <w:rsid w:val="73C05A2C"/>
    <w:rsid w:val="744B2AA3"/>
    <w:rsid w:val="74795EDA"/>
    <w:rsid w:val="747D3DE3"/>
    <w:rsid w:val="74985FFF"/>
    <w:rsid w:val="74E34252"/>
    <w:rsid w:val="758A7389"/>
    <w:rsid w:val="758E68E9"/>
    <w:rsid w:val="75A56820"/>
    <w:rsid w:val="75B82225"/>
    <w:rsid w:val="75E654F2"/>
    <w:rsid w:val="76B4160A"/>
    <w:rsid w:val="76FB34AD"/>
    <w:rsid w:val="77735805"/>
    <w:rsid w:val="77B72A76"/>
    <w:rsid w:val="79384F63"/>
    <w:rsid w:val="797807D6"/>
    <w:rsid w:val="79C417D7"/>
    <w:rsid w:val="79DC1781"/>
    <w:rsid w:val="7A432EF0"/>
    <w:rsid w:val="7A94376E"/>
    <w:rsid w:val="7B572BA9"/>
    <w:rsid w:val="7B972267"/>
    <w:rsid w:val="7BD45BEC"/>
    <w:rsid w:val="7BE11253"/>
    <w:rsid w:val="7C145E11"/>
    <w:rsid w:val="7C3054D0"/>
    <w:rsid w:val="7C933BEE"/>
    <w:rsid w:val="7CCD432F"/>
    <w:rsid w:val="7CD60559"/>
    <w:rsid w:val="7E1A042F"/>
    <w:rsid w:val="7E2364DE"/>
    <w:rsid w:val="7E2A2A0B"/>
    <w:rsid w:val="7EB50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0"/>
    <w:qFormat/>
    <w:uiPriority w:val="0"/>
    <w:pPr>
      <w:keepNext/>
      <w:spacing w:before="240" w:after="60"/>
      <w:jc w:val="center"/>
      <w:outlineLvl w:val="0"/>
    </w:pPr>
    <w:rPr>
      <w:rFonts w:ascii="Times New Roman" w:hAnsi="Times New Roman" w:eastAsia="黑体"/>
      <w:bCs/>
      <w:kern w:val="32"/>
      <w:sz w:val="36"/>
      <w:szCs w:val="48"/>
    </w:rPr>
  </w:style>
  <w:style w:type="paragraph" w:styleId="4">
    <w:name w:val="heading 2"/>
    <w:basedOn w:val="1"/>
    <w:next w:val="1"/>
    <w:link w:val="41"/>
    <w:unhideWhenUsed/>
    <w:qFormat/>
    <w:uiPriority w:val="0"/>
    <w:pPr>
      <w:keepNext/>
      <w:spacing w:before="60" w:after="60"/>
      <w:ind w:firstLine="400" w:firstLineChars="200"/>
      <w:jc w:val="left"/>
      <w:outlineLvl w:val="1"/>
    </w:pPr>
    <w:rPr>
      <w:rFonts w:ascii="Times New Roman" w:hAnsi="Times New Roman" w:eastAsia="仿宋_GB2312"/>
      <w:b/>
      <w:bCs/>
      <w:iCs/>
      <w:sz w:val="24"/>
      <w:szCs w:val="36"/>
    </w:rPr>
  </w:style>
  <w:style w:type="paragraph" w:styleId="5">
    <w:name w:val="heading 3"/>
    <w:basedOn w:val="1"/>
    <w:next w:val="1"/>
    <w:link w:val="42"/>
    <w:semiHidden/>
    <w:unhideWhenUsed/>
    <w:qFormat/>
    <w:uiPriority w:val="0"/>
    <w:pPr>
      <w:keepNext/>
      <w:spacing w:before="240" w:after="60"/>
      <w:outlineLvl w:val="2"/>
    </w:pPr>
    <w:rPr>
      <w:rFonts w:ascii="Times New Roman" w:hAnsi="Times New Roman" w:eastAsia="Times New Roman"/>
      <w:b/>
      <w:bCs/>
      <w:sz w:val="28"/>
      <w:szCs w:val="28"/>
    </w:rPr>
  </w:style>
  <w:style w:type="paragraph" w:styleId="6">
    <w:name w:val="heading 4"/>
    <w:basedOn w:val="1"/>
    <w:next w:val="1"/>
    <w:link w:val="43"/>
    <w:semiHidden/>
    <w:unhideWhenUsed/>
    <w:qFormat/>
    <w:uiPriority w:val="0"/>
    <w:pPr>
      <w:keepNext/>
      <w:spacing w:before="240" w:after="60"/>
      <w:outlineLvl w:val="3"/>
    </w:pPr>
    <w:rPr>
      <w:rFonts w:ascii="Times New Roman" w:hAnsi="Times New Roman" w:eastAsia="Times New Roman"/>
      <w:b/>
      <w:bCs/>
      <w:sz w:val="24"/>
      <w:szCs w:val="24"/>
    </w:rPr>
  </w:style>
  <w:style w:type="paragraph" w:styleId="7">
    <w:name w:val="heading 5"/>
    <w:basedOn w:val="1"/>
    <w:next w:val="1"/>
    <w:link w:val="44"/>
    <w:semiHidden/>
    <w:unhideWhenUsed/>
    <w:qFormat/>
    <w:uiPriority w:val="0"/>
    <w:pPr>
      <w:spacing w:before="240" w:after="60"/>
      <w:outlineLvl w:val="4"/>
    </w:pPr>
    <w:rPr>
      <w:rFonts w:ascii="Times New Roman" w:hAnsi="Times New Roman" w:eastAsia="Times New Roman"/>
      <w:b/>
      <w:bCs/>
      <w:iCs/>
      <w:sz w:val="20"/>
      <w:szCs w:val="20"/>
    </w:rPr>
  </w:style>
  <w:style w:type="paragraph" w:styleId="8">
    <w:name w:val="heading 6"/>
    <w:basedOn w:val="1"/>
    <w:next w:val="1"/>
    <w:link w:val="45"/>
    <w:semiHidden/>
    <w:unhideWhenUsed/>
    <w:qFormat/>
    <w:uiPriority w:val="0"/>
    <w:pPr>
      <w:spacing w:before="240" w:after="60"/>
      <w:outlineLvl w:val="5"/>
    </w:pPr>
    <w:rPr>
      <w:rFonts w:ascii="Times New Roman" w:hAnsi="Times New Roman" w:eastAsia="Times New Roman"/>
      <w:b/>
      <w:bCs/>
      <w:sz w:val="16"/>
      <w:szCs w:val="16"/>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semiHidden/>
    <w:unhideWhenUsed/>
    <w:qFormat/>
    <w:uiPriority w:val="0"/>
    <w:pPr>
      <w:spacing w:after="120"/>
    </w:pPr>
  </w:style>
  <w:style w:type="paragraph" w:styleId="9">
    <w:name w:val="Normal Indent"/>
    <w:basedOn w:val="1"/>
    <w:unhideWhenUsed/>
    <w:qFormat/>
    <w:uiPriority w:val="0"/>
    <w:pPr>
      <w:ind w:firstLine="420" w:firstLineChars="200"/>
    </w:pPr>
    <w:rPr>
      <w:rFonts w:ascii="Times New Roman" w:hAnsi="Times New Roman"/>
    </w:rPr>
  </w:style>
  <w:style w:type="paragraph" w:styleId="10">
    <w:name w:val="toa heading"/>
    <w:basedOn w:val="1"/>
    <w:next w:val="1"/>
    <w:semiHidden/>
    <w:unhideWhenUsed/>
    <w:qFormat/>
    <w:uiPriority w:val="0"/>
    <w:pPr>
      <w:spacing w:before="120"/>
    </w:pPr>
    <w:rPr>
      <w:rFonts w:ascii="Arial" w:hAnsi="Arial" w:cs="Arial"/>
      <w:sz w:val="24"/>
      <w:szCs w:val="24"/>
    </w:rPr>
  </w:style>
  <w:style w:type="paragraph" w:styleId="11">
    <w:name w:val="annotation text"/>
    <w:basedOn w:val="1"/>
    <w:link w:val="48"/>
    <w:semiHidden/>
    <w:unhideWhenUsed/>
    <w:qFormat/>
    <w:uiPriority w:val="99"/>
    <w:pPr>
      <w:jc w:val="left"/>
    </w:pPr>
  </w:style>
  <w:style w:type="paragraph" w:styleId="12">
    <w:name w:val="index 6"/>
    <w:basedOn w:val="13"/>
    <w:next w:val="13"/>
    <w:qFormat/>
    <w:uiPriority w:val="99"/>
    <w:pPr>
      <w:ind w:left="2100"/>
    </w:pPr>
  </w:style>
  <w:style w:type="paragraph" w:customStyle="1" w:styleId="13">
    <w:name w:val="正文_21_0"/>
    <w:next w:val="1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4">
    <w:name w:val="Body Text 3"/>
    <w:basedOn w:val="1"/>
    <w:next w:val="1"/>
    <w:unhideWhenUsed/>
    <w:qFormat/>
    <w:uiPriority w:val="99"/>
    <w:pPr>
      <w:spacing w:after="120"/>
    </w:pPr>
    <w:rPr>
      <w:rFonts w:ascii="Times New Roman" w:hAnsi="Times New Roman"/>
      <w:sz w:val="16"/>
      <w:szCs w:val="16"/>
    </w:rPr>
  </w:style>
  <w:style w:type="paragraph" w:styleId="15">
    <w:name w:val="Body Text Indent"/>
    <w:basedOn w:val="1"/>
    <w:link w:val="52"/>
    <w:semiHidden/>
    <w:unhideWhenUsed/>
    <w:qFormat/>
    <w:uiPriority w:val="99"/>
    <w:pPr>
      <w:spacing w:after="120"/>
      <w:ind w:left="420" w:leftChars="200"/>
    </w:pPr>
  </w:style>
  <w:style w:type="paragraph" w:styleId="16">
    <w:name w:val="toc 3"/>
    <w:basedOn w:val="1"/>
    <w:next w:val="1"/>
    <w:autoRedefine/>
    <w:semiHidden/>
    <w:unhideWhenUsed/>
    <w:qFormat/>
    <w:uiPriority w:val="39"/>
    <w:pPr>
      <w:spacing w:after="100" w:line="256" w:lineRule="auto"/>
      <w:ind w:left="440"/>
    </w:pPr>
    <w:rPr>
      <w:sz w:val="22"/>
    </w:rPr>
  </w:style>
  <w:style w:type="paragraph" w:styleId="17">
    <w:name w:val="Plain Text"/>
    <w:basedOn w:val="1"/>
    <w:link w:val="55"/>
    <w:semiHidden/>
    <w:unhideWhenUsed/>
    <w:qFormat/>
    <w:uiPriority w:val="0"/>
    <w:rPr>
      <w:rFonts w:ascii="宋体" w:hAnsi="Courier New" w:cs="Courier New"/>
      <w:szCs w:val="21"/>
    </w:rPr>
  </w:style>
  <w:style w:type="paragraph" w:styleId="18">
    <w:name w:val="Date"/>
    <w:basedOn w:val="1"/>
    <w:next w:val="1"/>
    <w:link w:val="53"/>
    <w:semiHidden/>
    <w:unhideWhenUsed/>
    <w:qFormat/>
    <w:uiPriority w:val="99"/>
    <w:pPr>
      <w:ind w:left="100" w:leftChars="2500"/>
    </w:pPr>
    <w:rPr>
      <w:rFonts w:cs="Calibri"/>
    </w:rPr>
  </w:style>
  <w:style w:type="paragraph" w:styleId="19">
    <w:name w:val="Balloon Text"/>
    <w:basedOn w:val="1"/>
    <w:link w:val="57"/>
    <w:semiHidden/>
    <w:unhideWhenUsed/>
    <w:qFormat/>
    <w:uiPriority w:val="0"/>
    <w:rPr>
      <w:rFonts w:ascii="Times New Roman" w:hAnsi="Times New Roman"/>
      <w:kern w:val="0"/>
      <w:sz w:val="18"/>
      <w:szCs w:val="18"/>
    </w:rPr>
  </w:style>
  <w:style w:type="paragraph" w:styleId="20">
    <w:name w:val="footer"/>
    <w:basedOn w:val="1"/>
    <w:link w:val="50"/>
    <w:unhideWhenUsed/>
    <w:qFormat/>
    <w:uiPriority w:val="0"/>
    <w:pPr>
      <w:widowControl/>
      <w:tabs>
        <w:tab w:val="center" w:pos="4680"/>
        <w:tab w:val="right" w:pos="9360"/>
      </w:tabs>
      <w:jc w:val="left"/>
    </w:pPr>
    <w:rPr>
      <w:rFonts w:ascii="等线" w:hAnsi="等线" w:eastAsia="等线"/>
      <w:kern w:val="0"/>
      <w:sz w:val="22"/>
    </w:rPr>
  </w:style>
  <w:style w:type="paragraph" w:styleId="21">
    <w:name w:val="header"/>
    <w:basedOn w:val="1"/>
    <w:link w:val="49"/>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2">
    <w:name w:val="toc 1"/>
    <w:basedOn w:val="1"/>
    <w:next w:val="1"/>
    <w:autoRedefine/>
    <w:semiHidden/>
    <w:unhideWhenUsed/>
    <w:qFormat/>
    <w:uiPriority w:val="39"/>
    <w:pPr>
      <w:spacing w:after="100" w:line="256" w:lineRule="auto"/>
    </w:pPr>
    <w:rPr>
      <w:sz w:val="22"/>
    </w:rPr>
  </w:style>
  <w:style w:type="paragraph" w:styleId="23">
    <w:name w:val="toc 2"/>
    <w:basedOn w:val="1"/>
    <w:next w:val="1"/>
    <w:autoRedefine/>
    <w:semiHidden/>
    <w:unhideWhenUsed/>
    <w:qFormat/>
    <w:uiPriority w:val="39"/>
    <w:pPr>
      <w:spacing w:after="100" w:line="256" w:lineRule="auto"/>
      <w:ind w:left="220"/>
    </w:pPr>
    <w:rPr>
      <w:sz w:val="22"/>
    </w:rPr>
  </w:style>
  <w:style w:type="paragraph" w:styleId="24">
    <w:name w:val="HTML Preformatted"/>
    <w:basedOn w:val="1"/>
    <w:link w:val="4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5">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1"/>
    <w:next w:val="11"/>
    <w:link w:val="56"/>
    <w:semiHidden/>
    <w:unhideWhenUsed/>
    <w:qFormat/>
    <w:uiPriority w:val="99"/>
    <w:rPr>
      <w:b/>
      <w:bCs/>
    </w:rPr>
  </w:style>
  <w:style w:type="paragraph" w:styleId="27">
    <w:name w:val="Body Text First Indent"/>
    <w:basedOn w:val="2"/>
    <w:qFormat/>
    <w:uiPriority w:val="0"/>
    <w:pPr>
      <w:spacing w:line="360" w:lineRule="auto"/>
      <w:ind w:firstLine="200" w:firstLineChars="200"/>
    </w:pPr>
    <w:rPr>
      <w:rFonts w:ascii="仿宋_GB2312" w:eastAsia="仿宋_GB2312"/>
      <w:sz w:val="30"/>
      <w:szCs w:val="30"/>
    </w:rPr>
  </w:style>
  <w:style w:type="paragraph" w:styleId="28">
    <w:name w:val="Body Text First Indent 2"/>
    <w:basedOn w:val="15"/>
    <w:next w:val="1"/>
    <w:link w:val="54"/>
    <w:semiHidden/>
    <w:unhideWhenUsed/>
    <w:qFormat/>
    <w:uiPriority w:val="99"/>
    <w:pPr>
      <w:keepNext/>
      <w:keepLines/>
      <w:spacing w:line="380" w:lineRule="exact"/>
      <w:ind w:firstLine="480" w:firstLineChars="200"/>
      <w:outlineLvl w:val="3"/>
    </w:pPr>
    <w:rPr>
      <w:rFonts w:eastAsia="方正书宋简体"/>
      <w:b/>
      <w:bCs/>
      <w:sz w:val="28"/>
      <w:szCs w:val="28"/>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FollowedHyperlink"/>
    <w:semiHidden/>
    <w:unhideWhenUsed/>
    <w:qFormat/>
    <w:uiPriority w:val="99"/>
    <w:rPr>
      <w:color w:val="800080"/>
      <w:u w:val="single"/>
    </w:rPr>
  </w:style>
  <w:style w:type="character" w:styleId="34">
    <w:name w:val="Emphasis"/>
    <w:basedOn w:val="31"/>
    <w:qFormat/>
    <w:uiPriority w:val="0"/>
    <w:rPr>
      <w:i/>
    </w:rPr>
  </w:style>
  <w:style w:type="character" w:styleId="35">
    <w:name w:val="Hyperlink"/>
    <w:semiHidden/>
    <w:unhideWhenUsed/>
    <w:qFormat/>
    <w:uiPriority w:val="99"/>
    <w:rPr>
      <w:color w:val="0000FF"/>
      <w:u w:val="single"/>
    </w:rPr>
  </w:style>
  <w:style w:type="character" w:styleId="36">
    <w:name w:val="annotation reference"/>
    <w:semiHidden/>
    <w:unhideWhenUsed/>
    <w:qFormat/>
    <w:uiPriority w:val="0"/>
    <w:rPr>
      <w:sz w:val="21"/>
      <w:szCs w:val="21"/>
    </w:rPr>
  </w:style>
  <w:style w:type="paragraph" w:customStyle="1" w:styleId="3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_21"/>
    <w:next w:val="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4_0"/>
    <w:basedOn w:val="38"/>
    <w:next w:val="38"/>
    <w:unhideWhenUsed/>
    <w:qFormat/>
    <w:uiPriority w:val="9"/>
    <w:pPr>
      <w:keepNext/>
      <w:keepLines/>
      <w:spacing w:before="280" w:after="290" w:line="376" w:lineRule="auto"/>
      <w:outlineLvl w:val="3"/>
    </w:pPr>
    <w:rPr>
      <w:rFonts w:eastAsia="华文仿宋"/>
      <w:b/>
      <w:bCs/>
      <w:sz w:val="28"/>
      <w:szCs w:val="28"/>
    </w:rPr>
  </w:style>
  <w:style w:type="character" w:customStyle="1" w:styleId="40">
    <w:name w:val="标题 1 Char"/>
    <w:basedOn w:val="31"/>
    <w:link w:val="3"/>
    <w:qFormat/>
    <w:uiPriority w:val="0"/>
    <w:rPr>
      <w:rFonts w:ascii="Times New Roman" w:hAnsi="Times New Roman" w:eastAsia="黑体" w:cs="Times New Roman"/>
      <w:bCs/>
      <w:kern w:val="32"/>
      <w:sz w:val="36"/>
      <w:szCs w:val="48"/>
    </w:rPr>
  </w:style>
  <w:style w:type="character" w:customStyle="1" w:styleId="41">
    <w:name w:val="标题 2 Char"/>
    <w:basedOn w:val="31"/>
    <w:link w:val="4"/>
    <w:semiHidden/>
    <w:qFormat/>
    <w:uiPriority w:val="0"/>
    <w:rPr>
      <w:rFonts w:ascii="Times New Roman" w:hAnsi="Times New Roman" w:eastAsia="仿宋_GB2312" w:cs="Times New Roman"/>
      <w:b/>
      <w:bCs/>
      <w:iCs/>
      <w:sz w:val="24"/>
      <w:szCs w:val="36"/>
    </w:rPr>
  </w:style>
  <w:style w:type="character" w:customStyle="1" w:styleId="42">
    <w:name w:val="标题 3 Char"/>
    <w:basedOn w:val="31"/>
    <w:link w:val="5"/>
    <w:semiHidden/>
    <w:qFormat/>
    <w:uiPriority w:val="0"/>
    <w:rPr>
      <w:rFonts w:ascii="Times New Roman" w:hAnsi="Times New Roman" w:eastAsia="Times New Roman" w:cs="Times New Roman"/>
      <w:b/>
      <w:bCs/>
      <w:sz w:val="28"/>
      <w:szCs w:val="28"/>
    </w:rPr>
  </w:style>
  <w:style w:type="character" w:customStyle="1" w:styleId="43">
    <w:name w:val="标题 4 Char"/>
    <w:basedOn w:val="31"/>
    <w:link w:val="6"/>
    <w:semiHidden/>
    <w:qFormat/>
    <w:uiPriority w:val="0"/>
    <w:rPr>
      <w:rFonts w:ascii="Times New Roman" w:hAnsi="Times New Roman" w:eastAsia="Times New Roman" w:cs="Times New Roman"/>
      <w:b/>
      <w:bCs/>
      <w:sz w:val="24"/>
      <w:szCs w:val="24"/>
    </w:rPr>
  </w:style>
  <w:style w:type="character" w:customStyle="1" w:styleId="44">
    <w:name w:val="标题 5 Char"/>
    <w:basedOn w:val="31"/>
    <w:link w:val="7"/>
    <w:semiHidden/>
    <w:qFormat/>
    <w:uiPriority w:val="0"/>
    <w:rPr>
      <w:rFonts w:ascii="Times New Roman" w:hAnsi="Times New Roman" w:eastAsia="Times New Roman" w:cs="Times New Roman"/>
      <w:b/>
      <w:bCs/>
      <w:iCs/>
      <w:sz w:val="20"/>
      <w:szCs w:val="20"/>
    </w:rPr>
  </w:style>
  <w:style w:type="character" w:customStyle="1" w:styleId="45">
    <w:name w:val="标题 6 Char"/>
    <w:basedOn w:val="31"/>
    <w:link w:val="8"/>
    <w:semiHidden/>
    <w:qFormat/>
    <w:uiPriority w:val="0"/>
    <w:rPr>
      <w:rFonts w:ascii="Times New Roman" w:hAnsi="Times New Roman" w:eastAsia="Times New Roman" w:cs="Times New Roman"/>
      <w:b/>
      <w:bCs/>
      <w:sz w:val="16"/>
      <w:szCs w:val="16"/>
    </w:rPr>
  </w:style>
  <w:style w:type="character" w:customStyle="1" w:styleId="46">
    <w:name w:val="HTML 预设格式 Char"/>
    <w:basedOn w:val="31"/>
    <w:link w:val="24"/>
    <w:semiHidden/>
    <w:qFormat/>
    <w:uiPriority w:val="99"/>
    <w:rPr>
      <w:rFonts w:ascii="宋体" w:hAnsi="宋体" w:eastAsia="宋体" w:cs="Times New Roman"/>
      <w:kern w:val="0"/>
      <w:sz w:val="24"/>
      <w:szCs w:val="24"/>
    </w:rPr>
  </w:style>
  <w:style w:type="paragraph" w:customStyle="1" w:styleId="47">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8">
    <w:name w:val="批注文字 Char"/>
    <w:basedOn w:val="31"/>
    <w:link w:val="11"/>
    <w:semiHidden/>
    <w:qFormat/>
    <w:uiPriority w:val="99"/>
    <w:rPr>
      <w:rFonts w:ascii="Calibri" w:hAnsi="Calibri" w:eastAsia="宋体" w:cs="Times New Roman"/>
    </w:rPr>
  </w:style>
  <w:style w:type="character" w:customStyle="1" w:styleId="49">
    <w:name w:val="页眉 Char"/>
    <w:basedOn w:val="31"/>
    <w:link w:val="21"/>
    <w:qFormat/>
    <w:uiPriority w:val="0"/>
    <w:rPr>
      <w:rFonts w:ascii="Times New Roman" w:hAnsi="Times New Roman" w:eastAsia="宋体" w:cs="Times New Roman"/>
      <w:kern w:val="0"/>
      <w:sz w:val="18"/>
      <w:szCs w:val="18"/>
    </w:rPr>
  </w:style>
  <w:style w:type="character" w:customStyle="1" w:styleId="50">
    <w:name w:val="页脚 Char"/>
    <w:basedOn w:val="31"/>
    <w:link w:val="20"/>
    <w:qFormat/>
    <w:uiPriority w:val="0"/>
    <w:rPr>
      <w:rFonts w:ascii="等线" w:hAnsi="等线" w:eastAsia="等线" w:cs="Times New Roman"/>
      <w:kern w:val="0"/>
      <w:sz w:val="22"/>
    </w:rPr>
  </w:style>
  <w:style w:type="character" w:customStyle="1" w:styleId="51">
    <w:name w:val="正文文本 Char"/>
    <w:basedOn w:val="31"/>
    <w:link w:val="2"/>
    <w:semiHidden/>
    <w:qFormat/>
    <w:uiPriority w:val="0"/>
    <w:rPr>
      <w:rFonts w:ascii="Calibri" w:hAnsi="Calibri" w:eastAsia="宋体" w:cs="Times New Roman"/>
    </w:rPr>
  </w:style>
  <w:style w:type="character" w:customStyle="1" w:styleId="52">
    <w:name w:val="正文文本缩进 Char"/>
    <w:basedOn w:val="31"/>
    <w:link w:val="15"/>
    <w:semiHidden/>
    <w:qFormat/>
    <w:uiPriority w:val="99"/>
    <w:rPr>
      <w:rFonts w:ascii="Calibri" w:hAnsi="Calibri" w:eastAsia="宋体" w:cs="Times New Roman"/>
    </w:rPr>
  </w:style>
  <w:style w:type="character" w:customStyle="1" w:styleId="53">
    <w:name w:val="日期 Char"/>
    <w:basedOn w:val="31"/>
    <w:link w:val="18"/>
    <w:semiHidden/>
    <w:qFormat/>
    <w:uiPriority w:val="99"/>
    <w:rPr>
      <w:rFonts w:ascii="Calibri" w:hAnsi="Calibri" w:eastAsia="宋体" w:cs="Calibri"/>
    </w:rPr>
  </w:style>
  <w:style w:type="character" w:customStyle="1" w:styleId="54">
    <w:name w:val="正文首行缩进 2 Char"/>
    <w:basedOn w:val="52"/>
    <w:link w:val="28"/>
    <w:semiHidden/>
    <w:qFormat/>
    <w:uiPriority w:val="99"/>
    <w:rPr>
      <w:rFonts w:ascii="Calibri" w:hAnsi="Calibri" w:eastAsia="方正书宋简体" w:cs="Times New Roman"/>
      <w:b/>
      <w:bCs/>
      <w:sz w:val="28"/>
      <w:szCs w:val="28"/>
    </w:rPr>
  </w:style>
  <w:style w:type="character" w:customStyle="1" w:styleId="55">
    <w:name w:val="纯文本 Char"/>
    <w:basedOn w:val="31"/>
    <w:link w:val="17"/>
    <w:semiHidden/>
    <w:qFormat/>
    <w:uiPriority w:val="0"/>
    <w:rPr>
      <w:rFonts w:ascii="宋体" w:hAnsi="Courier New" w:eastAsia="宋体" w:cs="Courier New"/>
      <w:szCs w:val="21"/>
    </w:rPr>
  </w:style>
  <w:style w:type="character" w:customStyle="1" w:styleId="56">
    <w:name w:val="批注主题 Char"/>
    <w:basedOn w:val="48"/>
    <w:link w:val="26"/>
    <w:semiHidden/>
    <w:qFormat/>
    <w:uiPriority w:val="99"/>
    <w:rPr>
      <w:rFonts w:ascii="Calibri" w:hAnsi="Calibri" w:eastAsia="宋体" w:cs="Times New Roman"/>
      <w:b/>
      <w:bCs/>
    </w:rPr>
  </w:style>
  <w:style w:type="character" w:customStyle="1" w:styleId="57">
    <w:name w:val="批注框文本 Char"/>
    <w:basedOn w:val="31"/>
    <w:link w:val="19"/>
    <w:semiHidden/>
    <w:qFormat/>
    <w:uiPriority w:val="0"/>
    <w:rPr>
      <w:rFonts w:ascii="Times New Roman" w:hAnsi="Times New Roman" w:eastAsia="宋体" w:cs="Times New Roman"/>
      <w:kern w:val="0"/>
      <w:sz w:val="18"/>
      <w:szCs w:val="18"/>
    </w:rPr>
  </w:style>
  <w:style w:type="paragraph" w:styleId="58">
    <w:name w:val="No Spacing"/>
    <w:basedOn w:val="1"/>
    <w:qFormat/>
    <w:uiPriority w:val="1"/>
  </w:style>
  <w:style w:type="paragraph" w:styleId="59">
    <w:name w:val="List Paragraph"/>
    <w:basedOn w:val="1"/>
    <w:qFormat/>
    <w:uiPriority w:val="99"/>
    <w:pPr>
      <w:ind w:firstLine="420" w:firstLineChars="200"/>
    </w:pPr>
  </w:style>
  <w:style w:type="paragraph" w:customStyle="1" w:styleId="60">
    <w:name w:val="TOC 标题1"/>
    <w:basedOn w:val="3"/>
    <w:next w:val="1"/>
    <w:semiHidden/>
    <w:unhideWhenUsed/>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61">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Normal_18"/>
    <w:qFormat/>
    <w:uiPriority w:val="0"/>
    <w:rPr>
      <w:rFonts w:ascii="Times New Roman" w:hAnsi="Times New Roman" w:eastAsia="Times New Roman" w:cs="Times New Roman"/>
      <w:sz w:val="24"/>
      <w:szCs w:val="24"/>
      <w:lang w:val="en-US" w:eastAsia="zh-CN" w:bidi="ar-SA"/>
    </w:rPr>
  </w:style>
  <w:style w:type="paragraph" w:customStyle="1" w:styleId="63">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Normal_8"/>
    <w:qFormat/>
    <w:uiPriority w:val="0"/>
    <w:rPr>
      <w:rFonts w:ascii="Times New Roman" w:hAnsi="Times New Roman" w:eastAsia="Times New Roman" w:cs="Times New Roman"/>
      <w:sz w:val="24"/>
      <w:szCs w:val="24"/>
      <w:lang w:val="en-US" w:eastAsia="zh-CN" w:bidi="ar-SA"/>
    </w:rPr>
  </w:style>
  <w:style w:type="paragraph" w:customStyle="1" w:styleId="65">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Normal_20"/>
    <w:qFormat/>
    <w:uiPriority w:val="0"/>
    <w:rPr>
      <w:rFonts w:ascii="Times New Roman" w:hAnsi="Times New Roman" w:eastAsia="Times New Roman" w:cs="Times New Roman"/>
      <w:sz w:val="24"/>
      <w:szCs w:val="24"/>
      <w:lang w:val="en-US" w:eastAsia="zh-CN" w:bidi="ar-SA"/>
    </w:rPr>
  </w:style>
  <w:style w:type="paragraph" w:customStyle="1" w:styleId="67">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Normal_22"/>
    <w:qFormat/>
    <w:uiPriority w:val="0"/>
    <w:rPr>
      <w:rFonts w:ascii="Times New Roman" w:hAnsi="Times New Roman" w:eastAsia="Times New Roman" w:cs="Times New Roman"/>
      <w:sz w:val="24"/>
      <w:szCs w:val="24"/>
      <w:lang w:val="en-US" w:eastAsia="zh-CN" w:bidi="ar-SA"/>
    </w:rPr>
  </w:style>
  <w:style w:type="paragraph" w:customStyle="1" w:styleId="69">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Normal_28"/>
    <w:qFormat/>
    <w:uiPriority w:val="0"/>
    <w:rPr>
      <w:rFonts w:ascii="Times New Roman" w:hAnsi="Times New Roman" w:eastAsia="Times New Roman" w:cs="Times New Roman"/>
      <w:sz w:val="24"/>
      <w:szCs w:val="24"/>
      <w:lang w:val="en-US" w:eastAsia="zh-CN" w:bidi="ar-SA"/>
    </w:rPr>
  </w:style>
  <w:style w:type="paragraph" w:customStyle="1" w:styleId="71">
    <w:name w:val="Normal_6"/>
    <w:qFormat/>
    <w:uiPriority w:val="0"/>
    <w:rPr>
      <w:rFonts w:ascii="Times New Roman" w:hAnsi="Times New Roman" w:eastAsia="Times New Roman" w:cs="Times New Roman"/>
      <w:sz w:val="24"/>
      <w:szCs w:val="24"/>
      <w:lang w:val="en-US" w:eastAsia="zh-CN" w:bidi="ar-SA"/>
    </w:rPr>
  </w:style>
  <w:style w:type="paragraph" w:customStyle="1" w:styleId="72">
    <w:name w:val="Normal_21"/>
    <w:qFormat/>
    <w:uiPriority w:val="0"/>
    <w:rPr>
      <w:rFonts w:ascii="Times New Roman" w:hAnsi="Times New Roman" w:eastAsia="Times New Roman" w:cs="Times New Roman"/>
      <w:sz w:val="24"/>
      <w:szCs w:val="24"/>
      <w:lang w:val="en-US" w:eastAsia="zh-CN" w:bidi="ar-SA"/>
    </w:rPr>
  </w:style>
  <w:style w:type="paragraph" w:customStyle="1" w:styleId="73">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p_1"/>
    <w:basedOn w:val="68"/>
    <w:qFormat/>
    <w:uiPriority w:val="0"/>
    <w:pPr>
      <w:spacing w:line="360" w:lineRule="auto"/>
      <w:jc w:val="both"/>
    </w:pPr>
  </w:style>
  <w:style w:type="paragraph" w:customStyle="1" w:styleId="75">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Normal_2"/>
    <w:qFormat/>
    <w:uiPriority w:val="0"/>
    <w:rPr>
      <w:rFonts w:ascii="Times New Roman" w:hAnsi="Times New Roman" w:eastAsia="Times New Roman" w:cs="Times New Roman"/>
      <w:sz w:val="24"/>
      <w:szCs w:val="24"/>
      <w:lang w:val="en-US" w:eastAsia="zh-CN" w:bidi="ar-SA"/>
    </w:rPr>
  </w:style>
  <w:style w:type="paragraph" w:customStyle="1" w:styleId="78">
    <w:name w:val="Normal_0_0"/>
    <w:qFormat/>
    <w:uiPriority w:val="0"/>
    <w:rPr>
      <w:rFonts w:ascii="Times New Roman" w:hAnsi="Times New Roman" w:eastAsia="Times New Roman" w:cs="Times New Roman"/>
      <w:sz w:val="24"/>
      <w:szCs w:val="24"/>
      <w:lang w:val="en-US" w:eastAsia="zh-CN" w:bidi="ar-SA"/>
    </w:rPr>
  </w:style>
  <w:style w:type="paragraph" w:customStyle="1" w:styleId="79">
    <w:name w:val="Normal_9"/>
    <w:qFormat/>
    <w:uiPriority w:val="0"/>
    <w:rPr>
      <w:rFonts w:ascii="Times New Roman" w:hAnsi="Times New Roman" w:eastAsia="Times New Roman" w:cs="Times New Roman"/>
      <w:sz w:val="24"/>
      <w:szCs w:val="24"/>
      <w:lang w:val="en-US" w:eastAsia="zh-CN" w:bidi="ar-SA"/>
    </w:rPr>
  </w:style>
  <w:style w:type="paragraph" w:customStyle="1" w:styleId="80">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Normal_13"/>
    <w:qFormat/>
    <w:uiPriority w:val="0"/>
    <w:rPr>
      <w:rFonts w:ascii="Times New Roman" w:hAnsi="Times New Roman" w:eastAsia="Times New Roman" w:cs="Times New Roman"/>
      <w:sz w:val="24"/>
      <w:szCs w:val="24"/>
      <w:lang w:val="en-US" w:eastAsia="zh-CN" w:bidi="ar-SA"/>
    </w:rPr>
  </w:style>
  <w:style w:type="paragraph" w:customStyle="1" w:styleId="83">
    <w:name w:val="Normal_5"/>
    <w:qFormat/>
    <w:uiPriority w:val="0"/>
    <w:rPr>
      <w:rFonts w:ascii="Times New Roman" w:hAnsi="Times New Roman" w:eastAsia="Times New Roman" w:cs="Times New Roman"/>
      <w:sz w:val="24"/>
      <w:szCs w:val="24"/>
      <w:lang w:val="en-US" w:eastAsia="zh-CN" w:bidi="ar-SA"/>
    </w:rPr>
  </w:style>
  <w:style w:type="paragraph" w:customStyle="1" w:styleId="84">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Normal_14"/>
    <w:qFormat/>
    <w:uiPriority w:val="0"/>
    <w:rPr>
      <w:rFonts w:ascii="Times New Roman" w:hAnsi="Times New Roman" w:eastAsia="Times New Roman" w:cs="Times New Roman"/>
      <w:sz w:val="24"/>
      <w:szCs w:val="24"/>
      <w:lang w:val="en-US" w:eastAsia="zh-CN" w:bidi="ar-SA"/>
    </w:rPr>
  </w:style>
  <w:style w:type="paragraph" w:customStyle="1" w:styleId="86">
    <w:name w:val="Normal_25"/>
    <w:qFormat/>
    <w:uiPriority w:val="0"/>
    <w:rPr>
      <w:rFonts w:ascii="Times New Roman" w:hAnsi="Times New Roman" w:eastAsia="Times New Roman" w:cs="Times New Roman"/>
      <w:sz w:val="24"/>
      <w:szCs w:val="24"/>
      <w:lang w:val="en-US" w:eastAsia="zh-CN" w:bidi="ar-SA"/>
    </w:rPr>
  </w:style>
  <w:style w:type="paragraph" w:customStyle="1" w:styleId="87">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Normal_23"/>
    <w:qFormat/>
    <w:uiPriority w:val="0"/>
    <w:rPr>
      <w:rFonts w:ascii="Times New Roman" w:hAnsi="Times New Roman" w:eastAsia="Times New Roman" w:cs="Times New Roman"/>
      <w:sz w:val="24"/>
      <w:szCs w:val="24"/>
      <w:lang w:val="en-US" w:eastAsia="zh-CN" w:bidi="ar-SA"/>
    </w:rPr>
  </w:style>
  <w:style w:type="paragraph" w:customStyle="1" w:styleId="89">
    <w:name w:val="Normal_3"/>
    <w:qFormat/>
    <w:uiPriority w:val="0"/>
    <w:rPr>
      <w:rFonts w:ascii="Times New Roman" w:hAnsi="Times New Roman" w:eastAsia="Times New Roman" w:cs="Times New Roman"/>
      <w:sz w:val="24"/>
      <w:szCs w:val="24"/>
      <w:lang w:val="en-US" w:eastAsia="zh-CN" w:bidi="ar-SA"/>
    </w:rPr>
  </w:style>
  <w:style w:type="paragraph" w:customStyle="1" w:styleId="90">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1">
    <w:name w:val="_Style 2"/>
    <w:basedOn w:val="3"/>
    <w:next w:val="1"/>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92">
    <w:name w:val="p_0"/>
    <w:basedOn w:val="66"/>
    <w:qFormat/>
    <w:uiPriority w:val="0"/>
    <w:pPr>
      <w:spacing w:line="360" w:lineRule="auto"/>
      <w:jc w:val="both"/>
    </w:pPr>
  </w:style>
  <w:style w:type="paragraph" w:customStyle="1" w:styleId="93">
    <w:name w:val="Normal_12"/>
    <w:qFormat/>
    <w:uiPriority w:val="0"/>
    <w:rPr>
      <w:rFonts w:ascii="Times New Roman" w:hAnsi="Times New Roman" w:eastAsia="Times New Roman" w:cs="Times New Roman"/>
      <w:sz w:val="24"/>
      <w:szCs w:val="24"/>
      <w:lang w:val="en-US" w:eastAsia="zh-CN" w:bidi="ar-SA"/>
    </w:rPr>
  </w:style>
  <w:style w:type="paragraph" w:customStyle="1" w:styleId="94">
    <w:name w:val="Normal_26"/>
    <w:qFormat/>
    <w:uiPriority w:val="0"/>
    <w:rPr>
      <w:rFonts w:ascii="Times New Roman" w:hAnsi="Times New Roman" w:eastAsia="Times New Roman" w:cs="Times New Roman"/>
      <w:sz w:val="24"/>
      <w:szCs w:val="24"/>
      <w:lang w:val="en-US" w:eastAsia="zh-CN" w:bidi="ar-SA"/>
    </w:rPr>
  </w:style>
  <w:style w:type="paragraph" w:customStyle="1" w:styleId="95">
    <w:name w:val="Normal_29"/>
    <w:qFormat/>
    <w:uiPriority w:val="0"/>
    <w:rPr>
      <w:rFonts w:ascii="Times New Roman" w:hAnsi="Times New Roman" w:eastAsia="Times New Roman" w:cs="Times New Roman"/>
      <w:sz w:val="24"/>
      <w:szCs w:val="24"/>
      <w:lang w:val="en-US" w:eastAsia="zh-CN" w:bidi="ar-SA"/>
    </w:rPr>
  </w:style>
  <w:style w:type="paragraph" w:customStyle="1" w:styleId="96">
    <w:name w:val="Normal_16"/>
    <w:qFormat/>
    <w:uiPriority w:val="0"/>
    <w:rPr>
      <w:rFonts w:ascii="Times New Roman" w:hAnsi="Times New Roman" w:eastAsia="Times New Roman" w:cs="Times New Roman"/>
      <w:sz w:val="24"/>
      <w:szCs w:val="24"/>
      <w:lang w:val="en-US" w:eastAsia="zh-CN" w:bidi="ar-SA"/>
    </w:rPr>
  </w:style>
  <w:style w:type="paragraph" w:customStyle="1" w:styleId="97">
    <w:name w:val="Normal_19"/>
    <w:qFormat/>
    <w:uiPriority w:val="0"/>
    <w:rPr>
      <w:rFonts w:ascii="Times New Roman" w:hAnsi="Times New Roman" w:eastAsia="Times New Roman" w:cs="Times New Roman"/>
      <w:sz w:val="24"/>
      <w:szCs w:val="24"/>
      <w:lang w:val="en-US" w:eastAsia="zh-CN" w:bidi="ar-SA"/>
    </w:rPr>
  </w:style>
  <w:style w:type="paragraph" w:customStyle="1" w:styleId="98">
    <w:name w:val="Normal_24"/>
    <w:qFormat/>
    <w:uiPriority w:val="0"/>
    <w:rPr>
      <w:rFonts w:ascii="Times New Roman" w:hAnsi="Times New Roman" w:eastAsia="Times New Roman" w:cs="Times New Roman"/>
      <w:sz w:val="24"/>
      <w:szCs w:val="24"/>
      <w:lang w:val="en-US" w:eastAsia="zh-CN" w:bidi="ar-SA"/>
    </w:rPr>
  </w:style>
  <w:style w:type="paragraph" w:customStyle="1" w:styleId="9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p_3"/>
    <w:basedOn w:val="94"/>
    <w:qFormat/>
    <w:uiPriority w:val="0"/>
    <w:pPr>
      <w:spacing w:line="360" w:lineRule="auto"/>
      <w:jc w:val="both"/>
    </w:pPr>
  </w:style>
  <w:style w:type="paragraph" w:customStyle="1" w:styleId="102">
    <w:name w:val="Normal_4"/>
    <w:qFormat/>
    <w:uiPriority w:val="0"/>
    <w:rPr>
      <w:rFonts w:ascii="Times New Roman" w:hAnsi="Times New Roman" w:eastAsia="Times New Roman" w:cs="Times New Roman"/>
      <w:sz w:val="24"/>
      <w:szCs w:val="24"/>
      <w:lang w:val="en-US" w:eastAsia="zh-CN" w:bidi="ar-SA"/>
    </w:rPr>
  </w:style>
  <w:style w:type="paragraph" w:customStyle="1" w:styleId="103">
    <w:name w:val="Normal_0"/>
    <w:qFormat/>
    <w:uiPriority w:val="0"/>
    <w:rPr>
      <w:rFonts w:ascii="Times New Roman" w:hAnsi="Times New Roman" w:eastAsia="Times New Roman" w:cs="Times New Roman"/>
      <w:sz w:val="24"/>
      <w:szCs w:val="24"/>
      <w:lang w:val="en-US" w:eastAsia="zh-CN" w:bidi="ar-SA"/>
    </w:rPr>
  </w:style>
  <w:style w:type="paragraph" w:customStyle="1" w:styleId="10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Normal_15"/>
    <w:qFormat/>
    <w:uiPriority w:val="0"/>
    <w:rPr>
      <w:rFonts w:ascii="Times New Roman" w:hAnsi="Times New Roman" w:eastAsia="Times New Roman" w:cs="Times New Roman"/>
      <w:sz w:val="24"/>
      <w:szCs w:val="24"/>
      <w:lang w:val="en-US" w:eastAsia="zh-CN" w:bidi="ar-SA"/>
    </w:rPr>
  </w:style>
  <w:style w:type="paragraph" w:customStyle="1" w:styleId="106">
    <w:name w:val="Normal_17"/>
    <w:qFormat/>
    <w:uiPriority w:val="0"/>
    <w:rPr>
      <w:rFonts w:ascii="Times New Roman" w:hAnsi="Times New Roman" w:eastAsia="Times New Roman" w:cs="Times New Roman"/>
      <w:sz w:val="24"/>
      <w:szCs w:val="24"/>
      <w:lang w:val="en-US" w:eastAsia="zh-CN" w:bidi="ar-SA"/>
    </w:rPr>
  </w:style>
  <w:style w:type="paragraph" w:customStyle="1" w:styleId="107">
    <w:name w:val="p"/>
    <w:basedOn w:val="93"/>
    <w:qFormat/>
    <w:uiPriority w:val="0"/>
    <w:pPr>
      <w:spacing w:line="360" w:lineRule="auto"/>
      <w:jc w:val="both"/>
    </w:pPr>
  </w:style>
  <w:style w:type="paragraph" w:customStyle="1" w:styleId="108">
    <w:name w:val="Normal_31"/>
    <w:qFormat/>
    <w:uiPriority w:val="0"/>
    <w:rPr>
      <w:rFonts w:ascii="Times New Roman" w:hAnsi="Times New Roman" w:eastAsia="Times New Roman" w:cs="Times New Roman"/>
      <w:sz w:val="24"/>
      <w:szCs w:val="24"/>
      <w:lang w:val="en-US" w:eastAsia="zh-CN" w:bidi="ar-SA"/>
    </w:rPr>
  </w:style>
  <w:style w:type="paragraph" w:customStyle="1" w:styleId="109">
    <w:name w:val="Normal_11"/>
    <w:qFormat/>
    <w:uiPriority w:val="0"/>
    <w:rPr>
      <w:rFonts w:ascii="Times New Roman" w:hAnsi="Times New Roman" w:eastAsia="Times New Roman" w:cs="Times New Roman"/>
      <w:sz w:val="24"/>
      <w:szCs w:val="24"/>
      <w:lang w:val="en-US" w:eastAsia="zh-CN" w:bidi="ar-SA"/>
    </w:rPr>
  </w:style>
  <w:style w:type="paragraph" w:customStyle="1" w:styleId="110">
    <w:name w:val="Normal_10"/>
    <w:qFormat/>
    <w:uiPriority w:val="0"/>
    <w:rPr>
      <w:rFonts w:ascii="Times New Roman" w:hAnsi="Times New Roman" w:eastAsia="Times New Roman" w:cs="Times New Roman"/>
      <w:sz w:val="24"/>
      <w:szCs w:val="24"/>
      <w:lang w:val="en-US" w:eastAsia="zh-CN" w:bidi="ar-SA"/>
    </w:rPr>
  </w:style>
  <w:style w:type="paragraph" w:customStyle="1" w:styleId="111">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3">
    <w:name w:val="Normal_7"/>
    <w:qFormat/>
    <w:uiPriority w:val="0"/>
    <w:rPr>
      <w:rFonts w:ascii="Times New Roman" w:hAnsi="Times New Roman" w:eastAsia="Times New Roman" w:cs="Times New Roman"/>
      <w:sz w:val="24"/>
      <w:szCs w:val="24"/>
      <w:lang w:val="en-US" w:eastAsia="zh-CN" w:bidi="ar-SA"/>
    </w:rPr>
  </w:style>
  <w:style w:type="paragraph" w:customStyle="1" w:styleId="114">
    <w:name w:val="p_2"/>
    <w:basedOn w:val="98"/>
    <w:qFormat/>
    <w:uiPriority w:val="0"/>
    <w:pPr>
      <w:spacing w:line="360" w:lineRule="auto"/>
      <w:jc w:val="both"/>
    </w:pPr>
  </w:style>
  <w:style w:type="paragraph" w:customStyle="1" w:styleId="11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
    <w:name w:val="Normal_1_0"/>
    <w:qFormat/>
    <w:uiPriority w:val="0"/>
    <w:rPr>
      <w:rFonts w:ascii="Times New Roman" w:hAnsi="Times New Roman" w:eastAsia="Times New Roman" w:cs="Times New Roman"/>
      <w:sz w:val="24"/>
      <w:szCs w:val="24"/>
      <w:lang w:val="en-US" w:eastAsia="zh-CN" w:bidi="ar-SA"/>
    </w:rPr>
  </w:style>
  <w:style w:type="paragraph" w:customStyle="1" w:styleId="117">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
    <w:name w:val="Normal_27"/>
    <w:qFormat/>
    <w:uiPriority w:val="0"/>
    <w:rPr>
      <w:rFonts w:ascii="Times New Roman" w:hAnsi="Times New Roman" w:eastAsia="Times New Roman" w:cs="Times New Roman"/>
      <w:sz w:val="24"/>
      <w:szCs w:val="24"/>
      <w:lang w:val="en-US" w:eastAsia="zh-CN" w:bidi="ar-SA"/>
    </w:rPr>
  </w:style>
  <w:style w:type="paragraph" w:customStyle="1" w:styleId="120">
    <w:name w:val="Normal_1"/>
    <w:qFormat/>
    <w:uiPriority w:val="0"/>
    <w:rPr>
      <w:rFonts w:ascii="Times New Roman" w:hAnsi="Times New Roman" w:eastAsia="Times New Roman" w:cs="Times New Roman"/>
      <w:sz w:val="24"/>
      <w:szCs w:val="24"/>
      <w:lang w:val="en-US" w:eastAsia="zh-CN" w:bidi="ar-SA"/>
    </w:rPr>
  </w:style>
  <w:style w:type="paragraph" w:customStyle="1" w:styleId="121">
    <w:name w:val="Normal_33"/>
    <w:qFormat/>
    <w:uiPriority w:val="0"/>
    <w:rPr>
      <w:rFonts w:ascii="Times New Roman" w:hAnsi="Times New Roman" w:eastAsia="Times New Roman" w:cs="Times New Roman"/>
      <w:sz w:val="24"/>
      <w:szCs w:val="24"/>
      <w:lang w:val="en-US" w:eastAsia="zh-CN" w:bidi="ar-SA"/>
    </w:rPr>
  </w:style>
  <w:style w:type="paragraph" w:customStyle="1" w:styleId="122">
    <w:name w:val="Normal_30"/>
    <w:qFormat/>
    <w:uiPriority w:val="0"/>
    <w:rPr>
      <w:rFonts w:ascii="Times New Roman" w:hAnsi="Times New Roman" w:eastAsia="Times New Roman" w:cs="Times New Roman"/>
      <w:sz w:val="24"/>
      <w:szCs w:val="24"/>
      <w:lang w:val="en-US" w:eastAsia="zh-CN" w:bidi="ar-SA"/>
    </w:rPr>
  </w:style>
  <w:style w:type="paragraph" w:customStyle="1" w:styleId="123">
    <w:name w:val="Normal_32"/>
    <w:qFormat/>
    <w:uiPriority w:val="0"/>
    <w:rPr>
      <w:rFonts w:ascii="Times New Roman" w:hAnsi="Times New Roman" w:eastAsia="Times New Roman" w:cs="Times New Roman"/>
      <w:sz w:val="24"/>
      <w:szCs w:val="24"/>
      <w:lang w:val="en-US" w:eastAsia="zh-CN" w:bidi="ar-SA"/>
    </w:rPr>
  </w:style>
  <w:style w:type="paragraph" w:customStyle="1" w:styleId="124">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page"/>
    <w:basedOn w:val="1"/>
    <w:qFormat/>
    <w:uiPriority w:val="0"/>
    <w:pPr>
      <w:spacing w:line="600" w:lineRule="atLeast"/>
      <w:jc w:val="center"/>
    </w:pPr>
    <w:rPr>
      <w:rFonts w:ascii="仿宋" w:hAnsi="仿宋" w:eastAsia="仿宋" w:cs="仿宋"/>
      <w:sz w:val="26"/>
      <w:szCs w:val="26"/>
    </w:rPr>
  </w:style>
  <w:style w:type="paragraph" w:customStyle="1" w:styleId="126">
    <w:name w:val="Normal_34"/>
    <w:qFormat/>
    <w:uiPriority w:val="0"/>
    <w:rPr>
      <w:rFonts w:ascii="Times New Roman" w:hAnsi="Times New Roman" w:eastAsia="Times New Roman" w:cs="Times New Roman"/>
      <w:sz w:val="24"/>
      <w:szCs w:val="24"/>
      <w:lang w:val="en-US" w:eastAsia="zh-CN" w:bidi="ar-SA"/>
    </w:rPr>
  </w:style>
  <w:style w:type="paragraph" w:customStyle="1" w:styleId="127">
    <w:name w:val="Normal_35"/>
    <w:qFormat/>
    <w:uiPriority w:val="0"/>
    <w:rPr>
      <w:rFonts w:ascii="Times New Roman" w:hAnsi="Times New Roman" w:eastAsia="Times New Roman" w:cs="Times New Roman"/>
      <w:sz w:val="24"/>
      <w:szCs w:val="24"/>
      <w:lang w:val="en-US" w:eastAsia="zh-CN" w:bidi="ar-SA"/>
    </w:rPr>
  </w:style>
  <w:style w:type="paragraph" w:customStyle="1" w:styleId="128">
    <w:name w:val="Normal_36"/>
    <w:qFormat/>
    <w:uiPriority w:val="0"/>
    <w:rPr>
      <w:rFonts w:ascii="Times New Roman" w:hAnsi="Times New Roman" w:eastAsia="Times New Roman" w:cs="Times New Roman"/>
      <w:sz w:val="24"/>
      <w:szCs w:val="24"/>
      <w:lang w:val="en-US" w:eastAsia="zh-CN" w:bidi="ar-SA"/>
    </w:rPr>
  </w:style>
  <w:style w:type="paragraph" w:customStyle="1" w:styleId="129">
    <w:name w:val="Normal_43"/>
    <w:qFormat/>
    <w:uiPriority w:val="0"/>
    <w:rPr>
      <w:rFonts w:ascii="Times New Roman" w:hAnsi="Times New Roman" w:eastAsia="Times New Roman" w:cs="Times New Roman"/>
      <w:sz w:val="24"/>
      <w:szCs w:val="24"/>
      <w:lang w:val="en-US" w:eastAsia="zh-CN" w:bidi="ar-SA"/>
    </w:rPr>
  </w:style>
  <w:style w:type="paragraph" w:customStyle="1" w:styleId="130">
    <w:name w:val="Normal_0_1"/>
    <w:qFormat/>
    <w:uiPriority w:val="0"/>
    <w:rPr>
      <w:rFonts w:ascii="Times New Roman" w:hAnsi="Times New Roman" w:eastAsia="Times New Roman" w:cs="Times New Roman"/>
      <w:sz w:val="24"/>
      <w:szCs w:val="24"/>
      <w:lang w:val="en-US" w:eastAsia="zh-CN" w:bidi="ar-SA"/>
    </w:rPr>
  </w:style>
  <w:style w:type="paragraph" w:customStyle="1" w:styleId="131">
    <w:name w:val="Normal_0_0_0"/>
    <w:qFormat/>
    <w:uiPriority w:val="0"/>
    <w:rPr>
      <w:rFonts w:ascii="Times New Roman" w:hAnsi="Times New Roman" w:eastAsia="Times New Roman" w:cs="Times New Roman"/>
      <w:sz w:val="24"/>
      <w:szCs w:val="24"/>
      <w:lang w:val="en-US" w:eastAsia="zh-CN" w:bidi="ar-SA"/>
    </w:rPr>
  </w:style>
  <w:style w:type="paragraph" w:customStyle="1" w:styleId="132">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Normal_1_1"/>
    <w:qFormat/>
    <w:uiPriority w:val="0"/>
    <w:rPr>
      <w:rFonts w:ascii="Times New Roman" w:hAnsi="Times New Roman" w:eastAsia="Times New Roman" w:cs="Times New Roman"/>
      <w:sz w:val="24"/>
      <w:szCs w:val="24"/>
      <w:lang w:val="en-US" w:eastAsia="zh-CN" w:bidi="ar-SA"/>
    </w:rPr>
  </w:style>
  <w:style w:type="paragraph" w:customStyle="1" w:styleId="134">
    <w:name w:val="Normal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Normal_10_0"/>
    <w:qFormat/>
    <w:uiPriority w:val="0"/>
    <w:rPr>
      <w:rFonts w:ascii="Times New Roman" w:hAnsi="Times New Roman" w:eastAsia="Times New Roman" w:cs="Times New Roman"/>
      <w:sz w:val="24"/>
      <w:szCs w:val="24"/>
      <w:lang w:val="en-US" w:eastAsia="zh-CN" w:bidi="ar-SA"/>
    </w:rPr>
  </w:style>
  <w:style w:type="paragraph" w:customStyle="1" w:styleId="136">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Normal_11_0"/>
    <w:qFormat/>
    <w:uiPriority w:val="0"/>
    <w:rPr>
      <w:rFonts w:ascii="Times New Roman" w:hAnsi="Times New Roman" w:eastAsia="Times New Roman" w:cs="Times New Roman"/>
      <w:sz w:val="24"/>
      <w:szCs w:val="24"/>
      <w:lang w:val="en-US" w:eastAsia="zh-CN" w:bidi="ar-SA"/>
    </w:rPr>
  </w:style>
  <w:style w:type="paragraph" w:customStyle="1" w:styleId="138">
    <w:name w:val="Normal_3_0"/>
    <w:qFormat/>
    <w:uiPriority w:val="0"/>
    <w:rPr>
      <w:rFonts w:ascii="Times New Roman" w:hAnsi="Times New Roman" w:eastAsia="Times New Roman" w:cs="Times New Roman"/>
      <w:sz w:val="24"/>
      <w:szCs w:val="24"/>
      <w:lang w:val="en-US" w:eastAsia="zh-CN" w:bidi="ar-SA"/>
    </w:rPr>
  </w:style>
  <w:style w:type="paragraph" w:customStyle="1" w:styleId="139">
    <w:name w:val="Normal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Normal_5_0"/>
    <w:basedOn w:val="139"/>
    <w:qFormat/>
    <w:uiPriority w:val="0"/>
    <w:pPr>
      <w:widowControl/>
      <w:jc w:val="left"/>
    </w:pPr>
    <w:rPr>
      <w:rFonts w:ascii="Times New Roman" w:hAnsi="Times New Roman"/>
      <w:kern w:val="0"/>
      <w:sz w:val="24"/>
      <w:szCs w:val="24"/>
    </w:rPr>
  </w:style>
  <w:style w:type="paragraph" w:customStyle="1" w:styleId="142">
    <w:name w:val="Normal_6_0"/>
    <w:qFormat/>
    <w:uiPriority w:val="0"/>
    <w:rPr>
      <w:rFonts w:ascii="Times New Roman" w:hAnsi="Times New Roman" w:eastAsia="Times New Roman" w:cs="Times New Roman"/>
      <w:sz w:val="24"/>
      <w:szCs w:val="24"/>
      <w:lang w:val="en-US" w:eastAsia="zh-CN" w:bidi="ar-SA"/>
    </w:rPr>
  </w:style>
  <w:style w:type="paragraph" w:customStyle="1" w:styleId="143">
    <w:name w:val="Normal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Normal_8_0"/>
    <w:qFormat/>
    <w:uiPriority w:val="0"/>
    <w:rPr>
      <w:rFonts w:ascii="Times New Roman" w:hAnsi="Times New Roman" w:eastAsia="Times New Roman" w:cs="Times New Roman"/>
      <w:sz w:val="24"/>
      <w:szCs w:val="24"/>
      <w:lang w:val="en-US" w:eastAsia="zh-CN" w:bidi="ar-SA"/>
    </w:rPr>
  </w:style>
  <w:style w:type="paragraph" w:customStyle="1" w:styleId="145">
    <w:name w:val="Normal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Normal_12_0"/>
    <w:qFormat/>
    <w:uiPriority w:val="0"/>
    <w:rPr>
      <w:rFonts w:ascii="Times New Roman" w:hAnsi="Times New Roman" w:eastAsia="Times New Roman" w:cs="Times New Roman"/>
      <w:sz w:val="24"/>
      <w:szCs w:val="24"/>
      <w:lang w:val="en-US" w:eastAsia="zh-CN" w:bidi="ar-SA"/>
    </w:rPr>
  </w:style>
  <w:style w:type="paragraph" w:customStyle="1" w:styleId="147">
    <w:name w:val="Normal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Normal_14_0"/>
    <w:qFormat/>
    <w:uiPriority w:val="0"/>
    <w:rPr>
      <w:rFonts w:ascii="Times New Roman" w:hAnsi="Times New Roman" w:eastAsia="Times New Roman" w:cs="Times New Roman"/>
      <w:sz w:val="24"/>
      <w:szCs w:val="24"/>
      <w:lang w:val="en-US" w:eastAsia="zh-CN" w:bidi="ar-SA"/>
    </w:rPr>
  </w:style>
  <w:style w:type="paragraph" w:customStyle="1" w:styleId="149">
    <w:name w:val="Normal_1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0">
    <w:name w:val="批注文字 Char_0"/>
    <w:link w:val="151"/>
    <w:qFormat/>
    <w:locked/>
    <w:uiPriority w:val="99"/>
  </w:style>
  <w:style w:type="paragraph" w:customStyle="1" w:styleId="151">
    <w:name w:val="Comment Text"/>
    <w:basedOn w:val="149"/>
    <w:link w:val="150"/>
    <w:qFormat/>
    <w:uiPriority w:val="99"/>
    <w:pPr>
      <w:jc w:val="left"/>
    </w:pPr>
    <w:rPr>
      <w:rFonts w:asciiTheme="minorHAnsi" w:hAnsiTheme="minorHAnsi" w:eastAsiaTheme="minorEastAsia" w:cstheme="minorBidi"/>
    </w:rPr>
  </w:style>
  <w:style w:type="paragraph" w:customStyle="1" w:styleId="152">
    <w:name w:val="Normal_16_0"/>
    <w:qFormat/>
    <w:uiPriority w:val="0"/>
    <w:rPr>
      <w:rFonts w:ascii="Times New Roman" w:hAnsi="Times New Roman" w:eastAsia="Times New Roman" w:cs="Times New Roman"/>
      <w:sz w:val="24"/>
      <w:szCs w:val="24"/>
      <w:lang w:val="en-US" w:eastAsia="zh-CN" w:bidi="ar-SA"/>
    </w:rPr>
  </w:style>
  <w:style w:type="paragraph" w:customStyle="1" w:styleId="153">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Normal_5_0_0"/>
    <w:basedOn w:val="153"/>
    <w:qFormat/>
    <w:uiPriority w:val="0"/>
    <w:pPr>
      <w:widowControl/>
      <w:jc w:val="left"/>
    </w:pPr>
    <w:rPr>
      <w:rFonts w:ascii="Times New Roman" w:hAnsi="Times New Roman"/>
      <w:kern w:val="0"/>
      <w:sz w:val="24"/>
      <w:szCs w:val="24"/>
    </w:rPr>
  </w:style>
  <w:style w:type="paragraph" w:customStyle="1" w:styleId="155">
    <w:name w:val="Normal_17_0"/>
    <w:qFormat/>
    <w:uiPriority w:val="0"/>
    <w:rPr>
      <w:rFonts w:ascii="Times New Roman" w:hAnsi="Times New Roman" w:eastAsia="Times New Roman" w:cs="Times New Roman"/>
      <w:sz w:val="24"/>
      <w:szCs w:val="24"/>
      <w:lang w:val="en-US" w:eastAsia="zh-CN" w:bidi="ar-SA"/>
    </w:rPr>
  </w:style>
  <w:style w:type="paragraph" w:customStyle="1" w:styleId="15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7">
    <w:name w:val="Normal_18_0"/>
    <w:qFormat/>
    <w:uiPriority w:val="0"/>
    <w:rPr>
      <w:rFonts w:ascii="Times New Roman" w:hAnsi="Times New Roman" w:eastAsia="Times New Roman" w:cs="Times New Roman"/>
      <w:sz w:val="24"/>
      <w:szCs w:val="24"/>
      <w:lang w:val="en-US" w:eastAsia="zh-CN" w:bidi="ar-SA"/>
    </w:rPr>
  </w:style>
  <w:style w:type="paragraph" w:customStyle="1" w:styleId="15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Normal_19_0"/>
    <w:qFormat/>
    <w:uiPriority w:val="0"/>
    <w:rPr>
      <w:rFonts w:ascii="Times New Roman" w:hAnsi="Times New Roman" w:eastAsia="Times New Roman" w:cs="Times New Roman"/>
      <w:sz w:val="24"/>
      <w:szCs w:val="24"/>
      <w:lang w:val="en-US" w:eastAsia="zh-CN" w:bidi="ar-SA"/>
    </w:rPr>
  </w:style>
  <w:style w:type="paragraph" w:customStyle="1" w:styleId="160">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Normal_20_0"/>
    <w:qFormat/>
    <w:uiPriority w:val="0"/>
    <w:rPr>
      <w:rFonts w:ascii="Times New Roman" w:hAnsi="Times New Roman" w:eastAsia="Times New Roman" w:cs="Times New Roman"/>
      <w:sz w:val="24"/>
      <w:szCs w:val="24"/>
      <w:lang w:val="en-US" w:eastAsia="zh-CN" w:bidi="ar-SA"/>
    </w:rPr>
  </w:style>
  <w:style w:type="paragraph" w:customStyle="1" w:styleId="16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Normal_2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Normal_21_0"/>
    <w:qFormat/>
    <w:uiPriority w:val="0"/>
    <w:rPr>
      <w:rFonts w:ascii="Times New Roman" w:hAnsi="Times New Roman" w:eastAsia="Times New Roman" w:cs="Times New Roman"/>
      <w:sz w:val="24"/>
      <w:szCs w:val="24"/>
      <w:lang w:val="en-US" w:eastAsia="zh-CN" w:bidi="ar-SA"/>
    </w:rPr>
  </w:style>
  <w:style w:type="paragraph" w:customStyle="1" w:styleId="165">
    <w:name w:val="Normal_8_0_0"/>
    <w:qFormat/>
    <w:uiPriority w:val="0"/>
    <w:rPr>
      <w:rFonts w:ascii="Times New Roman" w:hAnsi="Times New Roman" w:eastAsia="Times New Roman" w:cs="Times New Roman"/>
      <w:sz w:val="24"/>
      <w:szCs w:val="24"/>
      <w:lang w:val="en-US" w:eastAsia="zh-CN" w:bidi="ar-SA"/>
    </w:rPr>
  </w:style>
  <w:style w:type="paragraph" w:customStyle="1" w:styleId="166">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7">
    <w:name w:val="Normal_22_0"/>
    <w:qFormat/>
    <w:uiPriority w:val="0"/>
    <w:rPr>
      <w:rFonts w:ascii="Times New Roman" w:hAnsi="Times New Roman" w:eastAsia="Times New Roman" w:cs="Times New Roman"/>
      <w:sz w:val="24"/>
      <w:szCs w:val="24"/>
      <w:lang w:val="en-US" w:eastAsia="zh-CN" w:bidi="ar-SA"/>
    </w:rPr>
  </w:style>
  <w:style w:type="paragraph" w:customStyle="1" w:styleId="168">
    <w:name w:val="Normal_9_0_0"/>
    <w:qFormat/>
    <w:uiPriority w:val="0"/>
    <w:rPr>
      <w:rFonts w:ascii="Times New Roman" w:hAnsi="Times New Roman" w:eastAsia="Times New Roman" w:cs="Times New Roman"/>
      <w:sz w:val="24"/>
      <w:szCs w:val="24"/>
      <w:lang w:val="en-US" w:eastAsia="zh-CN" w:bidi="ar-SA"/>
    </w:rPr>
  </w:style>
  <w:style w:type="paragraph" w:customStyle="1" w:styleId="169">
    <w:name w:val="正文_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0">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23_0"/>
    <w:qFormat/>
    <w:uiPriority w:val="0"/>
    <w:rPr>
      <w:rFonts w:ascii="Times New Roman" w:hAnsi="Times New Roman" w:eastAsia="Times New Roman" w:cs="Times New Roman"/>
      <w:sz w:val="24"/>
      <w:szCs w:val="24"/>
      <w:lang w:val="en-US" w:eastAsia="zh-CN" w:bidi="ar-SA"/>
    </w:rPr>
  </w:style>
  <w:style w:type="paragraph" w:customStyle="1" w:styleId="172">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3">
    <w:name w:val="Normal_2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5">
    <w:name w:val="Normal_25_0"/>
    <w:qFormat/>
    <w:uiPriority w:val="0"/>
    <w:rPr>
      <w:rFonts w:ascii="Times New Roman" w:hAnsi="Times New Roman" w:eastAsia="Times New Roman" w:cs="Times New Roman"/>
      <w:sz w:val="24"/>
      <w:szCs w:val="24"/>
      <w:lang w:val="en-US" w:eastAsia="zh-CN" w:bidi="ar-SA"/>
    </w:rPr>
  </w:style>
  <w:style w:type="paragraph" w:customStyle="1" w:styleId="176">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Normal_26_0"/>
    <w:qFormat/>
    <w:uiPriority w:val="0"/>
    <w:rPr>
      <w:rFonts w:ascii="Times New Roman" w:hAnsi="Times New Roman" w:eastAsia="Times New Roman" w:cs="Times New Roman"/>
      <w:sz w:val="24"/>
      <w:szCs w:val="24"/>
      <w:lang w:val="en-US" w:eastAsia="zh-CN" w:bidi="ar-SA"/>
    </w:rPr>
  </w:style>
  <w:style w:type="paragraph" w:customStyle="1" w:styleId="179">
    <w:name w:val="Normal_31_0"/>
    <w:qFormat/>
    <w:uiPriority w:val="0"/>
    <w:rPr>
      <w:rFonts w:ascii="Times New Roman" w:hAnsi="Times New Roman" w:eastAsia="Times New Roman" w:cs="Times New Roman"/>
      <w:sz w:val="24"/>
      <w:szCs w:val="24"/>
      <w:lang w:val="en-US" w:eastAsia="zh-CN" w:bidi="ar-SA"/>
    </w:rPr>
  </w:style>
  <w:style w:type="paragraph" w:customStyle="1" w:styleId="180">
    <w:name w:val="正文_1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1">
    <w:name w:val="Normal_2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Normal_28_0"/>
    <w:qFormat/>
    <w:uiPriority w:val="0"/>
    <w:rPr>
      <w:rFonts w:ascii="Times New Roman" w:hAnsi="Times New Roman" w:eastAsia="Times New Roman" w:cs="Times New Roman"/>
      <w:sz w:val="24"/>
      <w:szCs w:val="24"/>
      <w:lang w:val="en-US" w:eastAsia="zh-CN" w:bidi="ar-SA"/>
    </w:rPr>
  </w:style>
  <w:style w:type="paragraph" w:customStyle="1" w:styleId="183">
    <w:name w:val="正文_8_0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4">
    <w:name w:val="正文_1_0_0_0_1_0_0"/>
    <w:basedOn w:val="183"/>
    <w:qFormat/>
    <w:uiPriority w:val="0"/>
    <w:rPr>
      <w:rFonts w:ascii="Times New Roman" w:hAnsi="Times New Roman"/>
      <w:szCs w:val="21"/>
    </w:rPr>
  </w:style>
  <w:style w:type="paragraph" w:customStyle="1" w:styleId="185">
    <w:name w:val="Normal_5_1_1_0_0"/>
    <w:basedOn w:val="183"/>
    <w:qFormat/>
    <w:uiPriority w:val="0"/>
    <w:pPr>
      <w:widowControl/>
      <w:jc w:val="left"/>
    </w:pPr>
    <w:rPr>
      <w:rFonts w:ascii="Times New Roman" w:hAnsi="Times New Roman"/>
      <w:kern w:val="0"/>
      <w:sz w:val="24"/>
      <w:szCs w:val="24"/>
    </w:rPr>
  </w:style>
  <w:style w:type="paragraph" w:customStyle="1" w:styleId="186">
    <w:name w:val="Normal_29_0"/>
    <w:qFormat/>
    <w:uiPriority w:val="0"/>
    <w:rPr>
      <w:rFonts w:ascii="Times New Roman" w:hAnsi="Times New Roman" w:eastAsia="Times New Roman" w:cs="Times New Roman"/>
      <w:sz w:val="24"/>
      <w:szCs w:val="24"/>
      <w:lang w:val="en-US" w:eastAsia="zh-CN" w:bidi="ar-SA"/>
    </w:rPr>
  </w:style>
  <w:style w:type="paragraph" w:customStyle="1" w:styleId="187">
    <w:name w:val="Normal_30_0"/>
    <w:qFormat/>
    <w:uiPriority w:val="0"/>
    <w:rPr>
      <w:rFonts w:ascii="Times New Roman" w:hAnsi="Times New Roman" w:eastAsia="Times New Roman" w:cs="Times New Roman"/>
      <w:sz w:val="24"/>
      <w:szCs w:val="24"/>
      <w:lang w:val="en-US" w:eastAsia="zh-CN" w:bidi="ar-SA"/>
    </w:rPr>
  </w:style>
  <w:style w:type="paragraph" w:customStyle="1" w:styleId="188">
    <w:name w:val="Normal_3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9">
    <w:name w:val="正文_1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0">
    <w:name w:val="Normal_33_0"/>
    <w:qFormat/>
    <w:uiPriority w:val="0"/>
    <w:rPr>
      <w:rFonts w:ascii="Times New Roman" w:hAnsi="Times New Roman" w:eastAsia="Times New Roman" w:cs="Times New Roman"/>
      <w:sz w:val="24"/>
      <w:szCs w:val="24"/>
      <w:lang w:val="en-US" w:eastAsia="zh-CN" w:bidi="ar-SA"/>
    </w:rPr>
  </w:style>
  <w:style w:type="paragraph" w:customStyle="1" w:styleId="191">
    <w:name w:val="正文_1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Normal_3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Normal_35_0"/>
    <w:qFormat/>
    <w:uiPriority w:val="0"/>
    <w:rPr>
      <w:rFonts w:ascii="Times New Roman" w:hAnsi="Times New Roman" w:eastAsia="Times New Roman" w:cs="Times New Roman"/>
      <w:sz w:val="24"/>
      <w:szCs w:val="24"/>
      <w:lang w:val="en-US" w:eastAsia="zh-CN" w:bidi="ar-SA"/>
    </w:rPr>
  </w:style>
  <w:style w:type="paragraph" w:customStyle="1" w:styleId="194">
    <w:name w:val="正文_18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Normal_3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6">
    <w:name w:val="Normal_37"/>
    <w:qFormat/>
    <w:uiPriority w:val="0"/>
    <w:rPr>
      <w:rFonts w:ascii="Times New Roman" w:hAnsi="Times New Roman" w:eastAsia="Times New Roman" w:cs="Times New Roman"/>
      <w:sz w:val="24"/>
      <w:szCs w:val="24"/>
      <w:lang w:val="en-US" w:eastAsia="zh-CN" w:bidi="ar-SA"/>
    </w:rPr>
  </w:style>
  <w:style w:type="paragraph" w:customStyle="1" w:styleId="197">
    <w:name w:val="Normal_31_0_0"/>
    <w:qFormat/>
    <w:uiPriority w:val="0"/>
    <w:rPr>
      <w:rFonts w:ascii="Times New Roman" w:hAnsi="Times New Roman" w:eastAsia="Times New Roman" w:cs="Times New Roman"/>
      <w:sz w:val="24"/>
      <w:szCs w:val="24"/>
      <w:lang w:val="en-US" w:eastAsia="zh-CN" w:bidi="ar-SA"/>
    </w:rPr>
  </w:style>
  <w:style w:type="paragraph" w:customStyle="1" w:styleId="198">
    <w:name w:val="正文_1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9">
    <w:name w:val="Normal_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Normal_39"/>
    <w:qFormat/>
    <w:uiPriority w:val="0"/>
    <w:rPr>
      <w:rFonts w:ascii="Times New Roman" w:hAnsi="Times New Roman" w:eastAsia="Times New Roman" w:cs="Times New Roman"/>
      <w:sz w:val="24"/>
      <w:szCs w:val="24"/>
      <w:lang w:val="en-US" w:eastAsia="zh-CN" w:bidi="ar-SA"/>
    </w:rPr>
  </w:style>
  <w:style w:type="paragraph" w:customStyle="1" w:styleId="201">
    <w:name w:val="Normal_33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2">
    <w:name w:val="Normal_40"/>
    <w:qFormat/>
    <w:uiPriority w:val="0"/>
    <w:rPr>
      <w:rFonts w:ascii="Times New Roman" w:hAnsi="Times New Roman" w:eastAsia="Times New Roman" w:cs="Times New Roman"/>
      <w:sz w:val="24"/>
      <w:szCs w:val="24"/>
      <w:lang w:val="en-US" w:eastAsia="zh-CN" w:bidi="ar-SA"/>
    </w:rPr>
  </w:style>
  <w:style w:type="paragraph" w:customStyle="1" w:styleId="203">
    <w:name w:val="正文_8_0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1_0_0_0"/>
    <w:basedOn w:val="203"/>
    <w:qFormat/>
    <w:uiPriority w:val="0"/>
    <w:rPr>
      <w:rFonts w:ascii="Times New Roman" w:hAnsi="Times New Roman"/>
      <w:szCs w:val="21"/>
    </w:rPr>
  </w:style>
  <w:style w:type="paragraph" w:customStyle="1" w:styleId="205">
    <w:name w:val="Normal_5_1_1_0_0_0"/>
    <w:basedOn w:val="203"/>
    <w:qFormat/>
    <w:uiPriority w:val="0"/>
    <w:pPr>
      <w:widowControl/>
      <w:jc w:val="left"/>
    </w:pPr>
    <w:rPr>
      <w:rFonts w:ascii="Times New Roman" w:hAnsi="Times New Roman"/>
      <w:kern w:val="0"/>
      <w:sz w:val="24"/>
      <w:szCs w:val="24"/>
    </w:rPr>
  </w:style>
  <w:style w:type="paragraph" w:customStyle="1" w:styleId="206">
    <w:name w:val="Normal_41"/>
    <w:qFormat/>
    <w:uiPriority w:val="0"/>
    <w:rPr>
      <w:rFonts w:ascii="Times New Roman" w:hAnsi="Times New Roman" w:eastAsia="Times New Roman" w:cs="Times New Roman"/>
      <w:sz w:val="24"/>
      <w:szCs w:val="24"/>
      <w:lang w:val="en-US" w:eastAsia="zh-CN" w:bidi="ar-SA"/>
    </w:rPr>
  </w:style>
  <w:style w:type="paragraph" w:customStyle="1" w:styleId="207">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Normal_42"/>
    <w:qFormat/>
    <w:uiPriority w:val="0"/>
    <w:rPr>
      <w:rFonts w:ascii="Times New Roman" w:hAnsi="Times New Roman" w:eastAsia="Times New Roman" w:cs="Times New Roman"/>
      <w:sz w:val="24"/>
      <w:szCs w:val="24"/>
      <w:lang w:val="en-US" w:eastAsia="zh-CN" w:bidi="ar-SA"/>
    </w:rPr>
  </w:style>
  <w:style w:type="paragraph" w:customStyle="1" w:styleId="209">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0">
    <w:name w:val="样式1"/>
    <w:basedOn w:val="38"/>
    <w:qFormat/>
    <w:uiPriority w:val="0"/>
    <w:pPr>
      <w:spacing w:before="120" w:after="120" w:line="300" w:lineRule="auto"/>
    </w:pPr>
    <w:rPr>
      <w:rFonts w:ascii="宋体" w:hAnsi="宋体"/>
      <w:b/>
      <w:sz w:val="24"/>
      <w:szCs w:val="20"/>
    </w:rPr>
  </w:style>
  <w:style w:type="paragraph" w:customStyle="1" w:styleId="211">
    <w:name w:val="标题 2_0"/>
    <w:basedOn w:val="38"/>
    <w:next w:val="38"/>
    <w:qFormat/>
    <w:uiPriority w:val="0"/>
    <w:pPr>
      <w:keepNext/>
      <w:keepLines/>
      <w:spacing w:before="260" w:after="260" w:line="412" w:lineRule="auto"/>
      <w:outlineLvl w:val="1"/>
    </w:pPr>
    <w:rPr>
      <w:rFonts w:ascii="Arial" w:hAnsi="Arial" w:eastAsia="黑体"/>
      <w:b/>
      <w:sz w:val="32"/>
    </w:rPr>
  </w:style>
  <w:style w:type="paragraph" w:customStyle="1" w:styleId="212">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正文_1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4">
    <w:name w:val="正文_7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5">
    <w:name w:val="正文_8_0_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6">
    <w:name w:val="正文_8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7">
    <w:name w:val="Normal_0_2"/>
    <w:qFormat/>
    <w:uiPriority w:val="0"/>
    <w:rPr>
      <w:rFonts w:ascii="Times New Roman" w:hAnsi="Times New Roman" w:eastAsia="Times New Roman" w:cs="Times New Roman"/>
      <w:sz w:val="24"/>
      <w:szCs w:val="24"/>
      <w:lang w:val="en-US" w:eastAsia="zh-CN" w:bidi="ar-SA"/>
    </w:rPr>
  </w:style>
  <w:style w:type="paragraph" w:customStyle="1" w:styleId="218">
    <w:name w:val="Normal_0_3"/>
    <w:qFormat/>
    <w:uiPriority w:val="0"/>
    <w:rPr>
      <w:rFonts w:ascii="Times New Roman" w:hAnsi="Times New Roman" w:eastAsia="Times New Roman" w:cs="Times New Roman"/>
      <w:sz w:val="24"/>
      <w:szCs w:val="24"/>
      <w:lang w:val="en-US" w:eastAsia="zh-CN" w:bidi="ar-SA"/>
    </w:rPr>
  </w:style>
  <w:style w:type="paragraph" w:customStyle="1" w:styleId="219">
    <w:name w:val="Normal_1_6"/>
    <w:qFormat/>
    <w:uiPriority w:val="0"/>
    <w:rPr>
      <w:rFonts w:ascii="Times New Roman" w:hAnsi="Times New Roman" w:eastAsia="Times New Roman" w:cs="Times New Roman"/>
      <w:sz w:val="24"/>
      <w:szCs w:val="24"/>
      <w:lang w:val="en-US" w:eastAsia="zh-CN" w:bidi="ar-SA"/>
    </w:rPr>
  </w:style>
  <w:style w:type="paragraph" w:customStyle="1" w:styleId="220">
    <w:name w:val="Normal_0_0_2"/>
    <w:qFormat/>
    <w:uiPriority w:val="0"/>
    <w:rPr>
      <w:rFonts w:ascii="Times New Roman" w:hAnsi="Times New Roman" w:eastAsia="Times New Roman" w:cs="Times New Roman"/>
      <w:sz w:val="24"/>
      <w:szCs w:val="24"/>
      <w:lang w:val="en-US" w:eastAsia="zh-CN" w:bidi="ar-SA"/>
    </w:rPr>
  </w:style>
  <w:style w:type="paragraph" w:customStyle="1" w:styleId="221">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2">
    <w:name w:val="Normal_2_5"/>
    <w:qFormat/>
    <w:uiPriority w:val="0"/>
    <w:rPr>
      <w:rFonts w:ascii="Times New Roman" w:hAnsi="Times New Roman" w:eastAsia="Times New Roman" w:cs="Times New Roman"/>
      <w:sz w:val="24"/>
      <w:szCs w:val="24"/>
      <w:lang w:val="en-US" w:eastAsia="zh-CN" w:bidi="ar-SA"/>
    </w:rPr>
  </w:style>
  <w:style w:type="paragraph" w:customStyle="1" w:styleId="223">
    <w:name w:val="正文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Normal_3_2"/>
    <w:qFormat/>
    <w:uiPriority w:val="0"/>
    <w:rPr>
      <w:rFonts w:ascii="Times New Roman" w:hAnsi="Times New Roman" w:eastAsia="Times New Roman" w:cs="Times New Roman"/>
      <w:sz w:val="24"/>
      <w:szCs w:val="24"/>
      <w:lang w:val="en-US" w:eastAsia="zh-CN" w:bidi="ar-SA"/>
    </w:rPr>
  </w:style>
  <w:style w:type="paragraph" w:customStyle="1" w:styleId="225">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Normal_4_2"/>
    <w:qFormat/>
    <w:uiPriority w:val="0"/>
    <w:rPr>
      <w:rFonts w:ascii="Times New Roman" w:hAnsi="Times New Roman" w:eastAsia="Times New Roman" w:cs="Times New Roman"/>
      <w:sz w:val="24"/>
      <w:szCs w:val="24"/>
      <w:lang w:val="en-US" w:eastAsia="zh-CN" w:bidi="ar-SA"/>
    </w:rPr>
  </w:style>
  <w:style w:type="paragraph" w:customStyle="1" w:styleId="227">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Normal_5_3"/>
    <w:qFormat/>
    <w:uiPriority w:val="0"/>
    <w:rPr>
      <w:rFonts w:ascii="Times New Roman" w:hAnsi="Times New Roman" w:eastAsia="Times New Roman" w:cs="Times New Roman"/>
      <w:sz w:val="24"/>
      <w:szCs w:val="24"/>
      <w:lang w:val="en-US" w:eastAsia="zh-CN" w:bidi="ar-SA"/>
    </w:rPr>
  </w:style>
  <w:style w:type="paragraph" w:customStyle="1" w:styleId="229">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Normal_6_2"/>
    <w:qFormat/>
    <w:uiPriority w:val="0"/>
    <w:rPr>
      <w:rFonts w:ascii="Times New Roman" w:hAnsi="Times New Roman" w:eastAsia="Times New Roman" w:cs="Times New Roman"/>
      <w:sz w:val="24"/>
      <w:szCs w:val="24"/>
      <w:lang w:val="en-US" w:eastAsia="zh-CN" w:bidi="ar-SA"/>
    </w:rPr>
  </w:style>
  <w:style w:type="paragraph" w:customStyle="1" w:styleId="231">
    <w:name w:val="Normal_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正文_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3">
    <w:name w:val="正文_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正文_1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Normal_11_2"/>
    <w:qFormat/>
    <w:uiPriority w:val="0"/>
    <w:rPr>
      <w:rFonts w:ascii="Times New Roman" w:hAnsi="Times New Roman" w:eastAsia="Times New Roman" w:cs="Times New Roman"/>
      <w:sz w:val="24"/>
      <w:szCs w:val="24"/>
      <w:lang w:val="en-US" w:eastAsia="zh-CN" w:bidi="ar-SA"/>
    </w:rPr>
  </w:style>
  <w:style w:type="paragraph" w:customStyle="1" w:styleId="236">
    <w:name w:val="Normal_8_2"/>
    <w:qFormat/>
    <w:uiPriority w:val="0"/>
    <w:rPr>
      <w:rFonts w:ascii="Times New Roman" w:hAnsi="Times New Roman" w:eastAsia="Times New Roman" w:cs="Times New Roman"/>
      <w:sz w:val="24"/>
      <w:szCs w:val="24"/>
      <w:lang w:val="en-US" w:eastAsia="zh-CN" w:bidi="ar-SA"/>
    </w:rPr>
  </w:style>
  <w:style w:type="paragraph" w:customStyle="1" w:styleId="237">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Normal_9_2"/>
    <w:qFormat/>
    <w:uiPriority w:val="0"/>
    <w:rPr>
      <w:rFonts w:ascii="Times New Roman" w:hAnsi="Times New Roman" w:eastAsia="Times New Roman" w:cs="Times New Roman"/>
      <w:sz w:val="24"/>
      <w:szCs w:val="24"/>
      <w:lang w:val="en-US" w:eastAsia="zh-CN" w:bidi="ar-SA"/>
    </w:rPr>
  </w:style>
  <w:style w:type="paragraph" w:customStyle="1" w:styleId="239">
    <w:name w:val="正文_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Normal_10_2"/>
    <w:qFormat/>
    <w:uiPriority w:val="0"/>
    <w:rPr>
      <w:rFonts w:ascii="Times New Roman" w:hAnsi="Times New Roman" w:eastAsia="Times New Roman" w:cs="Times New Roman"/>
      <w:sz w:val="24"/>
      <w:szCs w:val="24"/>
      <w:lang w:val="en-US" w:eastAsia="zh-CN" w:bidi="ar-SA"/>
    </w:rPr>
  </w:style>
  <w:style w:type="paragraph" w:customStyle="1" w:styleId="241">
    <w:name w:val="正文_7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Normal_12_2"/>
    <w:qFormat/>
    <w:uiPriority w:val="0"/>
    <w:rPr>
      <w:rFonts w:ascii="Times New Roman" w:hAnsi="Times New Roman" w:eastAsia="Times New Roman" w:cs="Times New Roman"/>
      <w:sz w:val="24"/>
      <w:szCs w:val="24"/>
      <w:lang w:val="en-US" w:eastAsia="zh-CN" w:bidi="ar-SA"/>
    </w:rPr>
  </w:style>
  <w:style w:type="paragraph" w:customStyle="1" w:styleId="243">
    <w:name w:val="Normal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4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5">
    <w:name w:val="Normal_19_2"/>
    <w:qFormat/>
    <w:uiPriority w:val="0"/>
    <w:rPr>
      <w:rFonts w:ascii="Times New Roman" w:hAnsi="Times New Roman" w:eastAsia="Times New Roman" w:cs="Times New Roman"/>
      <w:sz w:val="24"/>
      <w:szCs w:val="24"/>
      <w:lang w:val="en-US" w:eastAsia="zh-CN" w:bidi="ar-SA"/>
    </w:rPr>
  </w:style>
  <w:style w:type="paragraph" w:customStyle="1" w:styleId="246">
    <w:name w:val="Normal_14_2"/>
    <w:qFormat/>
    <w:uiPriority w:val="0"/>
    <w:rPr>
      <w:rFonts w:ascii="Times New Roman" w:hAnsi="Times New Roman" w:eastAsia="Times New Roman" w:cs="Times New Roman"/>
      <w:sz w:val="24"/>
      <w:szCs w:val="24"/>
      <w:lang w:val="en-US" w:eastAsia="zh-CN" w:bidi="ar-SA"/>
    </w:rPr>
  </w:style>
  <w:style w:type="paragraph" w:customStyle="1" w:styleId="247">
    <w:name w:val="Normal_20_0_7"/>
    <w:qFormat/>
    <w:uiPriority w:val="0"/>
    <w:rPr>
      <w:rFonts w:ascii="Times New Roman" w:hAnsi="Times New Roman" w:eastAsia="Times New Roman" w:cs="Times New Roman"/>
      <w:sz w:val="24"/>
      <w:szCs w:val="24"/>
      <w:lang w:val="en-US" w:eastAsia="zh-CN" w:bidi="ar-SA"/>
    </w:rPr>
  </w:style>
  <w:style w:type="paragraph" w:customStyle="1" w:styleId="248">
    <w:name w:val="正文_1_0_0_0_7"/>
    <w:basedOn w:val="1"/>
    <w:qFormat/>
    <w:uiPriority w:val="0"/>
    <w:rPr>
      <w:rFonts w:ascii="Times New Roman" w:hAnsi="Times New Roman"/>
      <w:szCs w:val="21"/>
    </w:rPr>
  </w:style>
  <w:style w:type="paragraph" w:customStyle="1" w:styleId="249">
    <w:name w:val="Normal_5_1_7"/>
    <w:basedOn w:val="1"/>
    <w:qFormat/>
    <w:uiPriority w:val="0"/>
    <w:pPr>
      <w:widowControl/>
      <w:jc w:val="left"/>
    </w:pPr>
    <w:rPr>
      <w:rFonts w:ascii="Times New Roman" w:hAnsi="Times New Roman"/>
      <w:kern w:val="0"/>
      <w:sz w:val="24"/>
      <w:szCs w:val="24"/>
    </w:rPr>
  </w:style>
  <w:style w:type="paragraph" w:customStyle="1" w:styleId="250">
    <w:name w:val="Normal_15_2"/>
    <w:qFormat/>
    <w:uiPriority w:val="0"/>
    <w:rPr>
      <w:rFonts w:ascii="Times New Roman" w:hAnsi="Times New Roman" w:eastAsia="Times New Roman" w:cs="Times New Roman"/>
      <w:sz w:val="24"/>
      <w:szCs w:val="24"/>
      <w:lang w:val="en-US" w:eastAsia="zh-CN" w:bidi="ar-SA"/>
    </w:rPr>
  </w:style>
  <w:style w:type="paragraph" w:customStyle="1" w:styleId="251">
    <w:name w:val="正文_1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Normal_16_2"/>
    <w:qFormat/>
    <w:uiPriority w:val="0"/>
    <w:rPr>
      <w:rFonts w:ascii="Times New Roman" w:hAnsi="Times New Roman" w:eastAsia="Times New Roman" w:cs="Times New Roman"/>
      <w:sz w:val="24"/>
      <w:szCs w:val="24"/>
      <w:lang w:val="en-US" w:eastAsia="zh-CN" w:bidi="ar-SA"/>
    </w:rPr>
  </w:style>
  <w:style w:type="paragraph" w:customStyle="1" w:styleId="253">
    <w:name w:val="Normal_1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Normal_18_2"/>
    <w:qFormat/>
    <w:uiPriority w:val="0"/>
    <w:rPr>
      <w:rFonts w:ascii="Times New Roman" w:hAnsi="Times New Roman" w:eastAsia="Times New Roman" w:cs="Times New Roman"/>
      <w:sz w:val="24"/>
      <w:szCs w:val="24"/>
      <w:lang w:val="en-US" w:eastAsia="zh-CN" w:bidi="ar-SA"/>
    </w:rPr>
  </w:style>
  <w:style w:type="paragraph" w:customStyle="1" w:styleId="255">
    <w:name w:val="正文_1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Normal_20_3"/>
    <w:qFormat/>
    <w:uiPriority w:val="0"/>
    <w:rPr>
      <w:rFonts w:ascii="Times New Roman" w:hAnsi="Times New Roman" w:eastAsia="Times New Roman" w:cs="Times New Roman"/>
      <w:sz w:val="24"/>
      <w:szCs w:val="24"/>
      <w:lang w:val="en-US" w:eastAsia="zh-CN" w:bidi="ar-SA"/>
    </w:rPr>
  </w:style>
  <w:style w:type="paragraph" w:customStyle="1" w:styleId="257">
    <w:name w:val="Normal_2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Normal_22_2"/>
    <w:qFormat/>
    <w:uiPriority w:val="0"/>
    <w:rPr>
      <w:rFonts w:ascii="Times New Roman" w:hAnsi="Times New Roman" w:eastAsia="Times New Roman" w:cs="Times New Roman"/>
      <w:sz w:val="24"/>
      <w:szCs w:val="24"/>
      <w:lang w:val="en-US" w:eastAsia="zh-CN" w:bidi="ar-SA"/>
    </w:rPr>
  </w:style>
  <w:style w:type="paragraph" w:customStyle="1" w:styleId="259">
    <w:name w:val="正文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Normal_23_2"/>
    <w:qFormat/>
    <w:uiPriority w:val="0"/>
    <w:rPr>
      <w:rFonts w:ascii="Times New Roman" w:hAnsi="Times New Roman" w:eastAsia="Times New Roman" w:cs="Times New Roman"/>
      <w:sz w:val="24"/>
      <w:szCs w:val="24"/>
      <w:lang w:val="en-US" w:eastAsia="zh-CN" w:bidi="ar-SA"/>
    </w:rPr>
  </w:style>
  <w:style w:type="paragraph" w:customStyle="1" w:styleId="261">
    <w:name w:val="Normal_31_2"/>
    <w:qFormat/>
    <w:uiPriority w:val="0"/>
    <w:rPr>
      <w:rFonts w:ascii="Times New Roman" w:hAnsi="Times New Roman" w:eastAsia="Times New Roman" w:cs="Times New Roman"/>
      <w:sz w:val="24"/>
      <w:szCs w:val="24"/>
      <w:lang w:val="en-US" w:eastAsia="zh-CN" w:bidi="ar-SA"/>
    </w:rPr>
  </w:style>
  <w:style w:type="paragraph" w:customStyle="1" w:styleId="262">
    <w:name w:val="正文_1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3">
    <w:name w:val="Normal_24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4">
    <w:name w:val="Normal_25_2"/>
    <w:qFormat/>
    <w:uiPriority w:val="0"/>
    <w:rPr>
      <w:rFonts w:ascii="Times New Roman" w:hAnsi="Times New Roman" w:eastAsia="Times New Roman" w:cs="Times New Roman"/>
      <w:sz w:val="24"/>
      <w:szCs w:val="24"/>
      <w:lang w:val="en-US" w:eastAsia="zh-CN" w:bidi="ar-SA"/>
    </w:rPr>
  </w:style>
  <w:style w:type="paragraph" w:customStyle="1" w:styleId="265">
    <w:name w:val="正文_1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6">
    <w:name w:val="正文_7_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7">
    <w:name w:val="Normal_27_2"/>
    <w:qFormat/>
    <w:uiPriority w:val="0"/>
    <w:rPr>
      <w:rFonts w:ascii="Times New Roman" w:hAnsi="Times New Roman" w:eastAsia="Times New Roman" w:cs="Times New Roman"/>
      <w:sz w:val="24"/>
      <w:szCs w:val="24"/>
      <w:lang w:val="en-US" w:eastAsia="zh-CN" w:bidi="ar-SA"/>
    </w:rPr>
  </w:style>
  <w:style w:type="paragraph" w:customStyle="1" w:styleId="268">
    <w:name w:val="正文_8_1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69">
    <w:name w:val="Normal_29_2"/>
    <w:qFormat/>
    <w:uiPriority w:val="0"/>
    <w:rPr>
      <w:rFonts w:ascii="Times New Roman" w:hAnsi="Times New Roman" w:eastAsia="Times New Roman" w:cs="Times New Roman"/>
      <w:sz w:val="24"/>
      <w:szCs w:val="24"/>
      <w:lang w:val="en-US" w:eastAsia="zh-CN" w:bidi="ar-SA"/>
    </w:rPr>
  </w:style>
  <w:style w:type="paragraph" w:customStyle="1" w:styleId="270">
    <w:name w:val="正文_8_2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71">
    <w:name w:val="Normal_30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2">
    <w:name w:val="Normal_31_0_2"/>
    <w:qFormat/>
    <w:uiPriority w:val="0"/>
    <w:pPr>
      <w:spacing w:after="200" w:line="276" w:lineRule="auto"/>
    </w:pPr>
    <w:rPr>
      <w:rFonts w:ascii="Times New Roman" w:hAnsi="Times New Roman" w:eastAsia="Times New Roman" w:cs="Times New Roman"/>
      <w:sz w:val="24"/>
      <w:szCs w:val="24"/>
      <w:lang w:val="en-US" w:eastAsia="zh-CN" w:bidi="ar-SA"/>
    </w:rPr>
  </w:style>
  <w:style w:type="paragraph" w:customStyle="1" w:styleId="273">
    <w:name w:val="Normal_33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4">
    <w:name w:val="Normal_20_0_0_1"/>
    <w:qFormat/>
    <w:uiPriority w:val="0"/>
    <w:rPr>
      <w:rFonts w:ascii="Times New Roman" w:hAnsi="Times New Roman" w:eastAsia="Times New Roman" w:cs="Times New Roman"/>
      <w:sz w:val="24"/>
      <w:szCs w:val="24"/>
      <w:lang w:val="en-US" w:eastAsia="zh-CN" w:bidi="ar-SA"/>
    </w:rPr>
  </w:style>
  <w:style w:type="paragraph" w:customStyle="1" w:styleId="275">
    <w:name w:val="正文_1_0_0_0_0_1"/>
    <w:basedOn w:val="1"/>
    <w:qFormat/>
    <w:uiPriority w:val="0"/>
    <w:rPr>
      <w:rFonts w:ascii="Times New Roman" w:hAnsi="Times New Roman"/>
      <w:szCs w:val="21"/>
    </w:rPr>
  </w:style>
  <w:style w:type="paragraph" w:customStyle="1" w:styleId="276">
    <w:name w:val="Normal_5_1_0_1"/>
    <w:basedOn w:val="1"/>
    <w:qFormat/>
    <w:uiPriority w:val="0"/>
    <w:pPr>
      <w:widowControl/>
      <w:jc w:val="left"/>
    </w:pPr>
    <w:rPr>
      <w:rFonts w:ascii="Times New Roman" w:hAnsi="Times New Roman"/>
      <w:kern w:val="0"/>
      <w:sz w:val="24"/>
      <w:szCs w:val="24"/>
    </w:rPr>
  </w:style>
  <w:style w:type="paragraph" w:customStyle="1" w:styleId="277">
    <w:name w:val="Normal_35_1"/>
    <w:qFormat/>
    <w:uiPriority w:val="0"/>
    <w:rPr>
      <w:rFonts w:ascii="Times New Roman" w:hAnsi="Times New Roman" w:eastAsia="Times New Roman" w:cs="Times New Roman"/>
      <w:sz w:val="24"/>
      <w:szCs w:val="24"/>
      <w:lang w:val="en-US" w:eastAsia="zh-CN" w:bidi="ar-SA"/>
    </w:rPr>
  </w:style>
  <w:style w:type="paragraph" w:customStyle="1" w:styleId="278">
    <w:name w:val="Normal_20_0_1_1"/>
    <w:qFormat/>
    <w:uiPriority w:val="0"/>
    <w:rPr>
      <w:rFonts w:ascii="Times New Roman" w:hAnsi="Times New Roman" w:eastAsia="Times New Roman" w:cs="Times New Roman"/>
      <w:sz w:val="24"/>
      <w:szCs w:val="24"/>
      <w:lang w:val="en-US" w:eastAsia="zh-CN" w:bidi="ar-SA"/>
    </w:rPr>
  </w:style>
  <w:style w:type="paragraph" w:customStyle="1" w:styleId="279">
    <w:name w:val="正文_1_0_0_0_1_1"/>
    <w:basedOn w:val="1"/>
    <w:qFormat/>
    <w:uiPriority w:val="0"/>
    <w:rPr>
      <w:rFonts w:ascii="Times New Roman" w:hAnsi="Times New Roman"/>
      <w:szCs w:val="21"/>
    </w:rPr>
  </w:style>
  <w:style w:type="paragraph" w:customStyle="1" w:styleId="280">
    <w:name w:val="Normal_5_1_1_1"/>
    <w:basedOn w:val="1"/>
    <w:qFormat/>
    <w:uiPriority w:val="0"/>
    <w:pPr>
      <w:widowControl/>
      <w:jc w:val="left"/>
    </w:pPr>
    <w:rPr>
      <w:rFonts w:ascii="Times New Roman" w:hAnsi="Times New Roman"/>
      <w:kern w:val="0"/>
      <w:sz w:val="24"/>
      <w:szCs w:val="24"/>
    </w:rPr>
  </w:style>
  <w:style w:type="paragraph" w:customStyle="1" w:styleId="281">
    <w:name w:val="Normal_36_1"/>
    <w:qFormat/>
    <w:uiPriority w:val="0"/>
    <w:rPr>
      <w:rFonts w:ascii="Times New Roman" w:hAnsi="Times New Roman" w:eastAsia="Times New Roman" w:cs="Times New Roman"/>
      <w:sz w:val="24"/>
      <w:szCs w:val="24"/>
      <w:lang w:val="en-US" w:eastAsia="zh-CN" w:bidi="ar-SA"/>
    </w:rPr>
  </w:style>
  <w:style w:type="paragraph" w:customStyle="1" w:styleId="282">
    <w:name w:val="Normal_20_0_2_1"/>
    <w:qFormat/>
    <w:uiPriority w:val="0"/>
    <w:rPr>
      <w:rFonts w:ascii="Times New Roman" w:hAnsi="Times New Roman" w:eastAsia="Times New Roman" w:cs="Times New Roman"/>
      <w:sz w:val="24"/>
      <w:szCs w:val="24"/>
      <w:lang w:val="en-US" w:eastAsia="zh-CN" w:bidi="ar-SA"/>
    </w:rPr>
  </w:style>
  <w:style w:type="paragraph" w:customStyle="1" w:styleId="283">
    <w:name w:val="正文_1_0_0_0_2_1"/>
    <w:basedOn w:val="1"/>
    <w:qFormat/>
    <w:uiPriority w:val="0"/>
    <w:rPr>
      <w:rFonts w:ascii="Times New Roman" w:hAnsi="Times New Roman"/>
      <w:szCs w:val="21"/>
    </w:rPr>
  </w:style>
  <w:style w:type="paragraph" w:customStyle="1" w:styleId="284">
    <w:name w:val="Normal_5_1_2_1"/>
    <w:basedOn w:val="1"/>
    <w:qFormat/>
    <w:uiPriority w:val="0"/>
    <w:pPr>
      <w:widowControl/>
      <w:jc w:val="left"/>
    </w:pPr>
    <w:rPr>
      <w:rFonts w:ascii="Times New Roman" w:hAnsi="Times New Roman"/>
      <w:kern w:val="0"/>
      <w:sz w:val="24"/>
      <w:szCs w:val="24"/>
    </w:rPr>
  </w:style>
  <w:style w:type="paragraph" w:customStyle="1" w:styleId="285">
    <w:name w:val="Normal_37_1"/>
    <w:qFormat/>
    <w:uiPriority w:val="0"/>
    <w:rPr>
      <w:rFonts w:ascii="Times New Roman" w:hAnsi="Times New Roman" w:eastAsia="Times New Roman" w:cs="Times New Roman"/>
      <w:sz w:val="24"/>
      <w:szCs w:val="24"/>
      <w:lang w:val="en-US" w:eastAsia="zh-CN" w:bidi="ar-SA"/>
    </w:rPr>
  </w:style>
  <w:style w:type="paragraph" w:customStyle="1" w:styleId="286">
    <w:name w:val="Normal_20_0_3_1"/>
    <w:qFormat/>
    <w:uiPriority w:val="0"/>
    <w:rPr>
      <w:rFonts w:ascii="Times New Roman" w:hAnsi="Times New Roman" w:eastAsia="Times New Roman" w:cs="Times New Roman"/>
      <w:sz w:val="24"/>
      <w:szCs w:val="24"/>
      <w:lang w:val="en-US" w:eastAsia="zh-CN" w:bidi="ar-SA"/>
    </w:rPr>
  </w:style>
  <w:style w:type="paragraph" w:customStyle="1" w:styleId="287">
    <w:name w:val="正文_1_0_0_0_3_1"/>
    <w:basedOn w:val="1"/>
    <w:qFormat/>
    <w:uiPriority w:val="0"/>
    <w:rPr>
      <w:rFonts w:ascii="Times New Roman" w:hAnsi="Times New Roman"/>
      <w:szCs w:val="21"/>
    </w:rPr>
  </w:style>
  <w:style w:type="paragraph" w:customStyle="1" w:styleId="288">
    <w:name w:val="Normal_5_1_3_1"/>
    <w:basedOn w:val="1"/>
    <w:qFormat/>
    <w:uiPriority w:val="0"/>
    <w:pPr>
      <w:widowControl/>
      <w:jc w:val="left"/>
    </w:pPr>
    <w:rPr>
      <w:rFonts w:ascii="Times New Roman" w:hAnsi="Times New Roman"/>
      <w:kern w:val="0"/>
      <w:sz w:val="24"/>
      <w:szCs w:val="24"/>
    </w:rPr>
  </w:style>
  <w:style w:type="paragraph" w:customStyle="1" w:styleId="289">
    <w:name w:val="Normal_38_1"/>
    <w:qFormat/>
    <w:uiPriority w:val="0"/>
    <w:rPr>
      <w:rFonts w:ascii="Times New Roman" w:hAnsi="Times New Roman" w:eastAsia="Times New Roman" w:cs="Times New Roman"/>
      <w:sz w:val="24"/>
      <w:szCs w:val="24"/>
      <w:lang w:val="en-US" w:eastAsia="zh-CN" w:bidi="ar-SA"/>
    </w:rPr>
  </w:style>
  <w:style w:type="paragraph" w:customStyle="1" w:styleId="290">
    <w:name w:val="Normal_20_0_4_1"/>
    <w:qFormat/>
    <w:uiPriority w:val="0"/>
    <w:rPr>
      <w:rFonts w:ascii="Times New Roman" w:hAnsi="Times New Roman" w:eastAsia="Times New Roman" w:cs="Times New Roman"/>
      <w:sz w:val="24"/>
      <w:szCs w:val="24"/>
      <w:lang w:val="en-US" w:eastAsia="zh-CN" w:bidi="ar-SA"/>
    </w:rPr>
  </w:style>
  <w:style w:type="paragraph" w:customStyle="1" w:styleId="291">
    <w:name w:val="正文_1_0_0_0_4_1"/>
    <w:basedOn w:val="1"/>
    <w:qFormat/>
    <w:uiPriority w:val="0"/>
    <w:rPr>
      <w:rFonts w:ascii="Times New Roman" w:hAnsi="Times New Roman"/>
      <w:szCs w:val="21"/>
    </w:rPr>
  </w:style>
  <w:style w:type="paragraph" w:customStyle="1" w:styleId="292">
    <w:name w:val="Normal_5_1_4_1"/>
    <w:basedOn w:val="1"/>
    <w:qFormat/>
    <w:uiPriority w:val="0"/>
    <w:pPr>
      <w:widowControl/>
      <w:jc w:val="left"/>
    </w:pPr>
    <w:rPr>
      <w:rFonts w:ascii="Times New Roman" w:hAnsi="Times New Roman"/>
      <w:kern w:val="0"/>
      <w:sz w:val="24"/>
      <w:szCs w:val="24"/>
    </w:rPr>
  </w:style>
  <w:style w:type="paragraph" w:customStyle="1" w:styleId="293">
    <w:name w:val="Normal_39_1"/>
    <w:qFormat/>
    <w:uiPriority w:val="0"/>
    <w:rPr>
      <w:rFonts w:ascii="Times New Roman" w:hAnsi="Times New Roman" w:eastAsia="Times New Roman" w:cs="Times New Roman"/>
      <w:sz w:val="24"/>
      <w:szCs w:val="24"/>
      <w:lang w:val="en-US" w:eastAsia="zh-CN" w:bidi="ar-SA"/>
    </w:rPr>
  </w:style>
  <w:style w:type="paragraph" w:customStyle="1" w:styleId="294">
    <w:name w:val="Normal_20_0_5_1"/>
    <w:qFormat/>
    <w:uiPriority w:val="0"/>
    <w:rPr>
      <w:rFonts w:ascii="Times New Roman" w:hAnsi="Times New Roman" w:eastAsia="Times New Roman" w:cs="Times New Roman"/>
      <w:sz w:val="24"/>
      <w:szCs w:val="24"/>
      <w:lang w:val="en-US" w:eastAsia="zh-CN" w:bidi="ar-SA"/>
    </w:rPr>
  </w:style>
  <w:style w:type="paragraph" w:customStyle="1" w:styleId="295">
    <w:name w:val="正文_1_0_0_0_5_1"/>
    <w:basedOn w:val="1"/>
    <w:qFormat/>
    <w:uiPriority w:val="0"/>
    <w:rPr>
      <w:rFonts w:ascii="Times New Roman" w:hAnsi="Times New Roman"/>
      <w:szCs w:val="21"/>
    </w:rPr>
  </w:style>
  <w:style w:type="paragraph" w:customStyle="1" w:styleId="296">
    <w:name w:val="Normal_5_1_5_1"/>
    <w:basedOn w:val="1"/>
    <w:qFormat/>
    <w:uiPriority w:val="0"/>
    <w:pPr>
      <w:widowControl/>
      <w:jc w:val="left"/>
    </w:pPr>
    <w:rPr>
      <w:rFonts w:ascii="Times New Roman" w:hAnsi="Times New Roman"/>
      <w:kern w:val="0"/>
      <w:sz w:val="24"/>
      <w:szCs w:val="24"/>
    </w:rPr>
  </w:style>
  <w:style w:type="paragraph" w:customStyle="1" w:styleId="297">
    <w:name w:val="Normal_37_1_0_0"/>
    <w:qFormat/>
    <w:uiPriority w:val="0"/>
    <w:rPr>
      <w:rFonts w:ascii="Times New Roman" w:hAnsi="Times New Roman" w:eastAsia="Times New Roman" w:cs="Times New Roman"/>
      <w:sz w:val="24"/>
      <w:szCs w:val="24"/>
      <w:lang w:val="en-US" w:eastAsia="zh-CN" w:bidi="ar-SA"/>
    </w:rPr>
  </w:style>
  <w:style w:type="paragraph" w:customStyle="1" w:styleId="298">
    <w:name w:val="Normal_33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9">
    <w:name w:val="Normal_1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0">
    <w:name w:val="批注文字_0"/>
    <w:basedOn w:val="124"/>
    <w:qFormat/>
    <w:uiPriority w:val="99"/>
    <w:pPr>
      <w:widowControl/>
      <w:kinsoku w:val="0"/>
      <w:autoSpaceDE w:val="0"/>
      <w:autoSpaceDN w:val="0"/>
      <w:adjustRightInd w:val="0"/>
      <w:snapToGrid w:val="0"/>
      <w:jc w:val="left"/>
    </w:pPr>
    <w:rPr>
      <w:rFonts w:ascii="Arial" w:hAnsi="Arial" w:eastAsia="Arial" w:cs="Arial"/>
      <w:color w:val="000000"/>
      <w:kern w:val="0"/>
      <w:szCs w:val="21"/>
    </w:rPr>
  </w:style>
  <w:style w:type="paragraph" w:customStyle="1" w:styleId="301">
    <w:name w:val="Normal_20_0_1_0_0"/>
    <w:qFormat/>
    <w:uiPriority w:val="0"/>
    <w:rPr>
      <w:rFonts w:ascii="Times New Roman" w:hAnsi="Times New Roman" w:eastAsia="Times New Roman" w:cs="Times New Roman"/>
      <w:sz w:val="24"/>
      <w:szCs w:val="24"/>
      <w:lang w:val="en-US" w:eastAsia="zh-CN" w:bidi="ar-SA"/>
    </w:rPr>
  </w:style>
  <w:style w:type="paragraph" w:customStyle="1" w:styleId="302">
    <w:name w:val="正文_1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3">
    <w:name w:val="正文_1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4">
    <w:name w:val="首行缩进"/>
    <w:basedOn w:val="1"/>
    <w:qFormat/>
    <w:uiPriority w:val="0"/>
    <w:pPr>
      <w:ind w:firstLine="480" w:firstLineChars="200"/>
    </w:pPr>
    <w:rPr>
      <w:szCs w:val="20"/>
      <w:lang w:val="zh-CN"/>
    </w:rPr>
  </w:style>
  <w:style w:type="paragraph" w:customStyle="1" w:styleId="305">
    <w:name w:val="Default"/>
    <w:next w:val="1"/>
    <w:autoRedefine/>
    <w:qFormat/>
    <w:uiPriority w:val="0"/>
    <w:pPr>
      <w:widowControl w:val="0"/>
      <w:autoSpaceDE w:val="0"/>
      <w:autoSpaceDN w:val="0"/>
      <w:adjustRightInd w:val="0"/>
      <w:spacing w:line="460" w:lineRule="exact"/>
    </w:pPr>
    <w:rPr>
      <w:rFonts w:ascii="方正仿宋_GBK" w:hAnsi="方正仿宋_GBK" w:eastAsia="方正仿宋_GBK" w:cs="方正仿宋_GBK"/>
      <w:b/>
      <w:color w:val="000000"/>
      <w:sz w:val="28"/>
      <w:szCs w:val="28"/>
      <w:lang w:val="en-US" w:eastAsia="zh-CN" w:bidi="ar-SA"/>
    </w:rPr>
  </w:style>
  <w:style w:type="paragraph" w:customStyle="1" w:styleId="306">
    <w:name w:val="列出段落1"/>
    <w:basedOn w:val="1"/>
    <w:qFormat/>
    <w:uiPriority w:val="0"/>
    <w:pPr>
      <w:ind w:firstLine="420" w:firstLineChars="200"/>
    </w:pPr>
    <w:rPr>
      <w:rFonts w:ascii="Times New Roman" w:hAnsi="Times New Roman"/>
      <w:szCs w:val="21"/>
    </w:rPr>
  </w:style>
  <w:style w:type="paragraph" w:customStyle="1" w:styleId="30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08">
    <w:name w:val="批注文字 字符1"/>
    <w:semiHidden/>
    <w:qFormat/>
    <w:uiPriority w:val="99"/>
    <w:rPr>
      <w:rFonts w:hint="default" w:ascii="Calibri" w:hAnsi="Calibri" w:cs="Calibri"/>
      <w:kern w:val="2"/>
      <w:sz w:val="21"/>
      <w:szCs w:val="22"/>
    </w:rPr>
  </w:style>
  <w:style w:type="character" w:customStyle="1" w:styleId="309">
    <w:name w:val="未处理的提及"/>
    <w:qFormat/>
    <w:uiPriority w:val="99"/>
    <w:rPr>
      <w:color w:val="605E5C"/>
      <w:shd w:val="clear" w:color="auto" w:fill="E1DFDD"/>
    </w:rPr>
  </w:style>
  <w:style w:type="character" w:customStyle="1" w:styleId="310">
    <w:name w:val="批注主题 字符1"/>
    <w:basedOn w:val="48"/>
    <w:semiHidden/>
    <w:qFormat/>
    <w:uiPriority w:val="99"/>
    <w:rPr>
      <w:rFonts w:hint="default" w:ascii="Calibri" w:hAnsi="Calibri" w:eastAsia="宋体" w:cs="Calibri"/>
      <w:b/>
      <w:bCs/>
      <w:kern w:val="2"/>
      <w:sz w:val="21"/>
      <w:szCs w:val="22"/>
    </w:rPr>
  </w:style>
  <w:style w:type="character" w:customStyle="1" w:styleId="311">
    <w:name w:val="批注框文本 字符1"/>
    <w:basedOn w:val="31"/>
    <w:semiHidden/>
    <w:qFormat/>
    <w:uiPriority w:val="99"/>
    <w:rPr>
      <w:rFonts w:hint="default" w:ascii="Calibri" w:hAnsi="Calibri" w:cs="Calibri"/>
      <w:kern w:val="2"/>
      <w:sz w:val="18"/>
      <w:szCs w:val="18"/>
    </w:rPr>
  </w:style>
  <w:style w:type="character" w:customStyle="1" w:styleId="312">
    <w:name w:val="页脚 字符1"/>
    <w:basedOn w:val="31"/>
    <w:semiHidden/>
    <w:qFormat/>
    <w:uiPriority w:val="99"/>
    <w:rPr>
      <w:rFonts w:hint="default" w:ascii="Calibri" w:hAnsi="Calibri" w:cs="Calibri"/>
      <w:kern w:val="2"/>
      <w:sz w:val="18"/>
      <w:szCs w:val="18"/>
    </w:rPr>
  </w:style>
  <w:style w:type="character" w:customStyle="1" w:styleId="313">
    <w:name w:val="页眉 字符1"/>
    <w:basedOn w:val="31"/>
    <w:semiHidden/>
    <w:qFormat/>
    <w:uiPriority w:val="99"/>
    <w:rPr>
      <w:rFonts w:hint="default" w:ascii="Calibri" w:hAnsi="Calibri" w:cs="Calibri"/>
      <w:kern w:val="2"/>
      <w:sz w:val="18"/>
      <w:szCs w:val="18"/>
    </w:rPr>
  </w:style>
  <w:style w:type="character" w:customStyle="1" w:styleId="314">
    <w:name w:val="批注文字 Char1"/>
    <w:semiHidden/>
    <w:qFormat/>
    <w:locked/>
    <w:uiPriority w:val="99"/>
    <w:rPr>
      <w:kern w:val="2"/>
      <w:sz w:val="21"/>
      <w:szCs w:val="22"/>
    </w:rPr>
  </w:style>
  <w:style w:type="paragraph" w:customStyle="1" w:styleId="315">
    <w:name w:val="Comment Text_1_0"/>
    <w:basedOn w:val="1"/>
    <w:link w:val="316"/>
    <w:qFormat/>
    <w:uiPriority w:val="0"/>
  </w:style>
  <w:style w:type="character" w:customStyle="1" w:styleId="316">
    <w:name w:val="批注文字 字符_0_0"/>
    <w:link w:val="315"/>
    <w:qFormat/>
    <w:locked/>
    <w:uiPriority w:val="0"/>
    <w:rPr>
      <w:rFonts w:ascii="Calibri" w:hAnsi="Calibri" w:eastAsia="宋体" w:cs="Times New Roman"/>
    </w:rPr>
  </w:style>
  <w:style w:type="character" w:customStyle="1" w:styleId="317">
    <w:name w:val="批注文字 Char_1"/>
    <w:qFormat/>
    <w:uiPriority w:val="99"/>
    <w:rPr>
      <w:rFonts w:hint="default" w:ascii="Times New Roman" w:hAnsi="Times New Roman" w:eastAsia="宋体" w:cs="Times New Roman"/>
    </w:rPr>
  </w:style>
  <w:style w:type="table" w:customStyle="1" w:styleId="318">
    <w:name w:val="网格型1"/>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
    <w:name w:val="Table Normal"/>
    <w:qFormat/>
    <w:uiPriority w:val="0"/>
    <w:rPr>
      <w:rFonts w:ascii="Calibri" w:hAnsi="Calibri"/>
    </w:rPr>
    <w:tblPr>
      <w:tblCellMar>
        <w:top w:w="0" w:type="dxa"/>
        <w:left w:w="0" w:type="dxa"/>
        <w:bottom w:w="0" w:type="dxa"/>
        <w:right w:w="0" w:type="dxa"/>
      </w:tblCellMar>
    </w:tblPr>
  </w:style>
  <w:style w:type="table" w:customStyle="1" w:styleId="320">
    <w:name w:val="网格型11"/>
    <w:basedOn w:val="29"/>
    <w:qFormat/>
    <w:uiPriority w:val="59"/>
    <w:rPr>
      <w:rFonts w:ascii="等线" w:hAnsi="等线" w:eastAsia="等线"/>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21">
    <w:name w:val="网格型2"/>
    <w:basedOn w:val="29"/>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
    <w:name w:val="网格型3"/>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3">
    <w:name w:val="p_4"/>
    <w:basedOn w:val="70"/>
    <w:qFormat/>
    <w:uiPriority w:val="0"/>
    <w:pPr>
      <w:spacing w:line="360" w:lineRule="auto"/>
      <w:jc w:val="both"/>
    </w:pPr>
  </w:style>
  <w:style w:type="paragraph" w:customStyle="1" w:styleId="324">
    <w:name w:val="Comment Text_0"/>
    <w:basedOn w:val="199"/>
    <w:qFormat/>
    <w:uiPriority w:val="99"/>
    <w:pPr>
      <w:jc w:val="left"/>
    </w:pPr>
  </w:style>
  <w:style w:type="paragraph" w:customStyle="1" w:styleId="325">
    <w:name w:val="正文_1_0"/>
    <w:basedOn w:val="153"/>
    <w:qFormat/>
    <w:uiPriority w:val="0"/>
    <w:rPr>
      <w:rFonts w:ascii="Times New Roman" w:hAnsi="Times New Roman"/>
      <w:szCs w:val="21"/>
    </w:rPr>
  </w:style>
  <w:style w:type="paragraph" w:customStyle="1" w:styleId="326">
    <w:name w:val="样式 右侧:  1.69 厘米"/>
    <w:basedOn w:val="1"/>
    <w:qFormat/>
    <w:uiPriority w:val="0"/>
    <w:pPr>
      <w:widowControl/>
      <w:adjustRightInd w:val="0"/>
      <w:snapToGrid w:val="0"/>
      <w:spacing w:line="288" w:lineRule="auto"/>
      <w:ind w:right="960"/>
      <w:jc w:val="left"/>
    </w:pPr>
    <w:rPr>
      <w:rFonts w:eastAsia="仿宋" w:cs="宋体"/>
      <w:kern w:val="0"/>
      <w:szCs w:val="20"/>
    </w:rPr>
  </w:style>
  <w:style w:type="paragraph" w:customStyle="1" w:styleId="327">
    <w:name w:val="Table Paragraph"/>
    <w:basedOn w:val="1"/>
    <w:qFormat/>
    <w:uiPriority w:val="1"/>
    <w:pPr>
      <w:widowControl/>
      <w:adjustRightInd w:val="0"/>
      <w:snapToGrid w:val="0"/>
      <w:spacing w:line="288" w:lineRule="auto"/>
      <w:jc w:val="left"/>
    </w:pPr>
    <w:rPr>
      <w:rFonts w:ascii="宋体" w:hAnsi="宋体" w:cs="宋体"/>
      <w:kern w:val="0"/>
      <w:szCs w:val="21"/>
    </w:rPr>
  </w:style>
  <w:style w:type="character" w:customStyle="1" w:styleId="328">
    <w:name w:val="font41"/>
    <w:basedOn w:val="31"/>
    <w:qFormat/>
    <w:uiPriority w:val="0"/>
    <w:rPr>
      <w:rFonts w:hint="default" w:ascii="Times New Roman" w:hAnsi="Times New Roman" w:cs="Times New Roman"/>
      <w:color w:val="000000"/>
      <w:sz w:val="21"/>
      <w:szCs w:val="21"/>
      <w:u w:val="none"/>
    </w:rPr>
  </w:style>
  <w:style w:type="character" w:customStyle="1" w:styleId="329">
    <w:name w:val="font31"/>
    <w:basedOn w:val="31"/>
    <w:qFormat/>
    <w:uiPriority w:val="0"/>
    <w:rPr>
      <w:rFonts w:hint="eastAsia" w:ascii="宋体" w:hAnsi="宋体" w:eastAsia="宋体" w:cs="宋体"/>
      <w:color w:val="000000"/>
      <w:sz w:val="21"/>
      <w:szCs w:val="21"/>
      <w:u w:val="none"/>
    </w:rPr>
  </w:style>
  <w:style w:type="character" w:customStyle="1" w:styleId="330">
    <w:name w:val="font21"/>
    <w:basedOn w:val="31"/>
    <w:qFormat/>
    <w:uiPriority w:val="0"/>
    <w:rPr>
      <w:rFonts w:hint="eastAsia" w:ascii="仿宋" w:hAnsi="仿宋" w:eastAsia="仿宋" w:cs="仿宋"/>
      <w:color w:val="000000"/>
      <w:sz w:val="22"/>
      <w:szCs w:val="22"/>
      <w:u w:val="none"/>
    </w:rPr>
  </w:style>
  <w:style w:type="character" w:customStyle="1" w:styleId="331">
    <w:name w:val="font51"/>
    <w:basedOn w:val="31"/>
    <w:qFormat/>
    <w:uiPriority w:val="0"/>
    <w:rPr>
      <w:rFonts w:hint="eastAsia" w:ascii="仿宋" w:hAnsi="仿宋" w:eastAsia="仿宋" w:cs="仿宋"/>
      <w:color w:val="FF0000"/>
      <w:sz w:val="24"/>
      <w:szCs w:val="24"/>
      <w:u w:val="none"/>
    </w:rPr>
  </w:style>
  <w:style w:type="paragraph" w:customStyle="1" w:styleId="332">
    <w:name w:val="列出段落2"/>
    <w:basedOn w:val="1"/>
    <w:qFormat/>
    <w:uiPriority w:val="99"/>
    <w:pPr>
      <w:ind w:firstLine="420" w:firstLineChars="200"/>
    </w:pPr>
  </w:style>
  <w:style w:type="paragraph" w:customStyle="1" w:styleId="333">
    <w:name w:val="wdcj_7_p"/>
    <w:basedOn w:val="1"/>
    <w:autoRedefine/>
    <w:qFormat/>
    <w:uiPriority w:val="0"/>
    <w:pPr>
      <w:widowControl/>
      <w:spacing w:before="100" w:beforeAutospacing="1" w:after="100" w:afterAutospacing="1"/>
      <w:ind w:firstLine="480"/>
      <w:jc w:val="left"/>
    </w:pPr>
    <w:rPr>
      <w:rFonts w:ascii="宋体" w:hAnsi="宋体" w:cs="宋体"/>
      <w:kern w:val="0"/>
      <w:szCs w:val="24"/>
    </w:rPr>
  </w:style>
  <w:style w:type="paragraph" w:customStyle="1" w:styleId="334">
    <w:name w:val="wdcj_5_p"/>
    <w:basedOn w:val="1"/>
    <w:autoRedefine/>
    <w:qFormat/>
    <w:uiPriority w:val="0"/>
    <w:pPr>
      <w:widowControl/>
      <w:spacing w:before="100" w:beforeAutospacing="1" w:after="100" w:afterAutospacing="1"/>
      <w:jc w:val="left"/>
    </w:pPr>
    <w:rPr>
      <w:rFonts w:ascii="宋体" w:hAnsi="宋体" w:cs="宋体"/>
      <w:b/>
      <w:bCs/>
      <w:kern w:val="0"/>
      <w:szCs w:val="24"/>
    </w:rPr>
  </w:style>
  <w:style w:type="paragraph" w:customStyle="1" w:styleId="335">
    <w:name w:val="wdcj_6_p"/>
    <w:basedOn w:val="1"/>
    <w:autoRedefine/>
    <w:qFormat/>
    <w:uiPriority w:val="0"/>
    <w:pPr>
      <w:widowControl/>
      <w:spacing w:before="100" w:beforeAutospacing="1" w:after="100" w:afterAutospacing="1"/>
      <w:jc w:val="left"/>
    </w:pPr>
    <w:rPr>
      <w:rFonts w:ascii="宋体" w:hAnsi="宋体" w:cs="宋体"/>
      <w:kern w:val="0"/>
      <w:szCs w:val="24"/>
    </w:rPr>
  </w:style>
  <w:style w:type="character" w:customStyle="1" w:styleId="336">
    <w:name w:val="wea-textarea-normal"/>
    <w:basedOn w:val="31"/>
    <w:autoRedefine/>
    <w:qFormat/>
    <w:uiPriority w:val="0"/>
  </w:style>
  <w:style w:type="paragraph" w:customStyle="1" w:styleId="337">
    <w:name w:val="标题二、"/>
    <w:basedOn w:val="1"/>
    <w:qFormat/>
    <w:uiPriority w:val="99"/>
    <w:pPr>
      <w:spacing w:line="360" w:lineRule="auto"/>
      <w:ind w:firstLine="200" w:firstLineChars="200"/>
      <w:outlineLvl w:val="2"/>
    </w:pPr>
    <w:rPr>
      <w:rFonts w:ascii="宋体" w:hAnsi="宋体"/>
      <w:b/>
      <w:szCs w:val="21"/>
    </w:rPr>
  </w:style>
  <w:style w:type="paragraph" w:customStyle="1" w:styleId="338">
    <w:name w:val="一级条标题"/>
    <w:basedOn w:val="339"/>
    <w:next w:val="340"/>
    <w:qFormat/>
    <w:uiPriority w:val="0"/>
    <w:pPr>
      <w:spacing w:line="240" w:lineRule="auto"/>
      <w:ind w:left="420"/>
      <w:outlineLvl w:val="2"/>
    </w:pPr>
  </w:style>
  <w:style w:type="paragraph" w:customStyle="1" w:styleId="339">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40">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341">
    <w:name w:val="font11"/>
    <w:basedOn w:val="31"/>
    <w:autoRedefine/>
    <w:qFormat/>
    <w:uiPriority w:val="0"/>
    <w:rPr>
      <w:rFonts w:hint="eastAsia" w:ascii="仿宋" w:hAnsi="仿宋" w:eastAsia="仿宋" w:cs="仿宋"/>
      <w:color w:val="000000"/>
      <w:sz w:val="24"/>
      <w:szCs w:val="24"/>
      <w:u w:val="none"/>
    </w:rPr>
  </w:style>
  <w:style w:type="paragraph" w:customStyle="1" w:styleId="342">
    <w:name w:val="表格文字2"/>
    <w:basedOn w:val="343"/>
    <w:qFormat/>
    <w:uiPriority w:val="99"/>
    <w:pPr>
      <w:spacing w:before="25" w:after="25"/>
      <w:jc w:val="left"/>
    </w:pPr>
    <w:rPr>
      <w:bCs/>
      <w:spacing w:val="10"/>
      <w:kern w:val="0"/>
    </w:rPr>
  </w:style>
  <w:style w:type="paragraph" w:customStyle="1" w:styleId="34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44">
    <w:name w:val="纯文本1"/>
    <w:basedOn w:val="1"/>
    <w:qFormat/>
    <w:uiPriority w:val="0"/>
    <w:pPr>
      <w:spacing w:beforeLines="50" w:afterLines="50" w:line="400" w:lineRule="exact"/>
    </w:pPr>
    <w:rPr>
      <w:rFonts w:ascii="宋体" w:hAnsi="Courier New"/>
      <w:kern w:val="0"/>
      <w:sz w:val="24"/>
    </w:rPr>
  </w:style>
  <w:style w:type="paragraph" w:customStyle="1" w:styleId="345">
    <w:name w:val="正文缩进2"/>
    <w:basedOn w:val="1"/>
    <w:autoRedefine/>
    <w:qFormat/>
    <w:uiPriority w:val="0"/>
    <w:pPr>
      <w:wordWrap w:val="0"/>
      <w:ind w:firstLine="480"/>
    </w:pPr>
    <w:rPr>
      <w:iCs/>
      <w:shd w:val="clear" w:color="auto" w:fill="FFFFFF" w:themeFill="background1"/>
      <w:lang w:val="zh-CN"/>
    </w:rPr>
  </w:style>
  <w:style w:type="paragraph" w:customStyle="1" w:styleId="346">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123</Pages>
  <Words>70530</Words>
  <Characters>73784</Characters>
  <Lines>619</Lines>
  <Paragraphs>174</Paragraphs>
  <TotalTime>1</TotalTime>
  <ScaleCrop>false</ScaleCrop>
  <LinksUpToDate>false</LinksUpToDate>
  <CharactersWithSpaces>82005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2026-04-09T04:06:00Z</dcterms:created>
  <dc:creator>PC-207-01</dc:creator>
  <cp:lastModifiedBy>Administrator</cp:lastModifiedBy>
  <cp:lastPrinted>2024-10-28T04:30:00Z</cp:lastPrinted>
  <dcterms:modified xsi:type="dcterms:W3CDTF">2026-04-20T04:36:24Z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0780CE05084E477FAB43978C3A59C60C_13</vt:lpwstr>
  </property>
  <property fmtid="{D5CDD505-2E9C-101B-9397-08002B2CF9AE}" pid="4" name="KSOTemplateDocerSaveRecord">
    <vt:lpwstr>eyJoZGlkIjoiNDljYzJjYzc3ZjVjZjZiNTk1MTIwYmJhMzhhOTk3ZTQiLCJ1c2VySWQiOiI2MjA5NjI1MzQifQ==</vt:lpwstr>
  </property>
</Properties>
</file>