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4838E">
      <w:pPr>
        <w:pStyle w:val="31"/>
        <w:keepNext/>
        <w:keepLines/>
        <w:adjustRightInd w:val="0"/>
        <w:snapToGrid w:val="0"/>
        <w:spacing w:before="120" w:line="360" w:lineRule="auto"/>
        <w:jc w:val="both"/>
        <w:rPr>
          <w:rFonts w:ascii="宋体" w:hAnsi="宋体"/>
          <w:b/>
          <w:sz w:val="28"/>
          <w:szCs w:val="22"/>
          <w:highlight w:val="none"/>
        </w:rPr>
      </w:pPr>
    </w:p>
    <w:p w14:paraId="48D740B1">
      <w:pPr>
        <w:pStyle w:val="31"/>
        <w:keepNext/>
        <w:keepLines/>
        <w:snapToGrid w:val="0"/>
        <w:spacing w:before="120" w:line="360" w:lineRule="auto"/>
        <w:jc w:val="center"/>
        <w:rPr>
          <w:rFonts w:hint="eastAsia" w:ascii="宋体" w:hAnsi="宋体" w:eastAsia="宋体"/>
          <w:b/>
          <w:sz w:val="32"/>
          <w:szCs w:val="32"/>
          <w:highlight w:val="none"/>
          <w:lang w:eastAsia="zh-CN"/>
        </w:rPr>
      </w:pPr>
      <w:r>
        <w:rPr>
          <w:rFonts w:hint="eastAsia" w:ascii="宋体" w:hAnsi="宋体"/>
          <w:b/>
          <w:sz w:val="32"/>
          <w:szCs w:val="32"/>
          <w:highlight w:val="none"/>
        </w:rPr>
        <w:t>项目名称：</w:t>
      </w:r>
      <w:r>
        <w:rPr>
          <w:rFonts w:hint="eastAsia" w:ascii="宋体" w:hAnsi="宋体"/>
          <w:b/>
          <w:sz w:val="32"/>
          <w:szCs w:val="32"/>
          <w:highlight w:val="none"/>
          <w:lang w:eastAsia="zh-CN"/>
        </w:rPr>
        <w:t>长治市中医研究所附属医院医疗设备更新提升项目</w:t>
      </w:r>
      <w:r>
        <w:rPr>
          <w:rFonts w:hint="eastAsia" w:ascii="宋体" w:hAnsi="宋体"/>
          <w:b/>
          <w:sz w:val="32"/>
          <w:szCs w:val="32"/>
          <w:highlight w:val="none"/>
          <w:lang w:val="en-US" w:eastAsia="zh-CN"/>
        </w:rPr>
        <w:t>-</w:t>
      </w:r>
      <w:r>
        <w:rPr>
          <w:rFonts w:hint="eastAsia" w:ascii="宋体" w:hAnsi="宋体"/>
          <w:b/>
          <w:sz w:val="32"/>
          <w:szCs w:val="32"/>
          <w:highlight w:val="none"/>
          <w:lang w:eastAsia="zh-CN"/>
        </w:rPr>
        <w:t>检验类、消毒类设备</w:t>
      </w:r>
    </w:p>
    <w:p w14:paraId="56E0237E">
      <w:pPr>
        <w:pStyle w:val="31"/>
        <w:keepNext/>
        <w:keepLines/>
        <w:snapToGrid w:val="0"/>
        <w:spacing w:before="120" w:line="360" w:lineRule="auto"/>
        <w:jc w:val="center"/>
        <w:rPr>
          <w:rFonts w:ascii="宋体" w:hAnsi="宋体"/>
          <w:b/>
          <w:sz w:val="32"/>
          <w:szCs w:val="32"/>
        </w:rPr>
      </w:pPr>
    </w:p>
    <w:p w14:paraId="6F67F097">
      <w:pPr>
        <w:pStyle w:val="31"/>
        <w:keepNext/>
        <w:keepLines/>
        <w:snapToGrid w:val="0"/>
        <w:spacing w:before="120" w:line="360" w:lineRule="auto"/>
        <w:jc w:val="center"/>
        <w:rPr>
          <w:rFonts w:ascii="宋体" w:hAnsi="宋体"/>
          <w:b/>
          <w:sz w:val="32"/>
          <w:szCs w:val="32"/>
        </w:rPr>
      </w:pPr>
    </w:p>
    <w:p w14:paraId="1C35D2A7">
      <w:pPr>
        <w:pStyle w:val="31"/>
        <w:keepNext/>
        <w:keepLines/>
        <w:snapToGrid w:val="0"/>
        <w:spacing w:before="120" w:line="360" w:lineRule="auto"/>
        <w:jc w:val="center"/>
        <w:rPr>
          <w:rFonts w:ascii="宋体" w:hAnsi="宋体"/>
          <w:b/>
          <w:sz w:val="32"/>
          <w:szCs w:val="32"/>
        </w:rPr>
      </w:pPr>
    </w:p>
    <w:p w14:paraId="4A420D46">
      <w:pPr>
        <w:pStyle w:val="31"/>
        <w:keepNext/>
        <w:keepLines/>
        <w:snapToGrid w:val="0"/>
        <w:spacing w:before="120" w:line="360" w:lineRule="auto"/>
        <w:jc w:val="center"/>
        <w:rPr>
          <w:rFonts w:ascii="宋体" w:hAnsi="宋体"/>
          <w:b/>
          <w:sz w:val="32"/>
          <w:highlight w:val="yellow"/>
        </w:rPr>
      </w:pPr>
      <w:r>
        <w:rPr>
          <w:rFonts w:hint="eastAsia" w:ascii="宋体" w:hAnsi="宋体"/>
          <w:b/>
          <w:sz w:val="32"/>
          <w:szCs w:val="32"/>
        </w:rPr>
        <w:t>项目编号：1404992026AGK00079</w:t>
      </w:r>
    </w:p>
    <w:p w14:paraId="6EC70B4C">
      <w:pPr>
        <w:pStyle w:val="31"/>
        <w:keepNext/>
        <w:keepLines/>
        <w:adjustRightInd w:val="0"/>
        <w:snapToGrid w:val="0"/>
        <w:spacing w:line="360" w:lineRule="auto"/>
        <w:jc w:val="both"/>
        <w:rPr>
          <w:rFonts w:ascii="宋体" w:hAnsi="宋体"/>
          <w:b/>
          <w:sz w:val="90"/>
        </w:rPr>
      </w:pPr>
    </w:p>
    <w:p w14:paraId="0DC7E23D">
      <w:pPr>
        <w:pStyle w:val="31"/>
        <w:keepNext/>
        <w:keepLines/>
        <w:adjustRightInd w:val="0"/>
        <w:snapToGrid w:val="0"/>
        <w:spacing w:line="360" w:lineRule="auto"/>
        <w:jc w:val="center"/>
        <w:rPr>
          <w:rFonts w:ascii="宋体" w:hAnsi="宋体"/>
          <w:sz w:val="32"/>
        </w:rPr>
      </w:pPr>
      <w:r>
        <w:rPr>
          <w:rFonts w:hint="eastAsia" w:ascii="宋体" w:hAnsi="宋体"/>
          <w:b/>
          <w:sz w:val="90"/>
        </w:rPr>
        <w:t>招标文件</w:t>
      </w:r>
    </w:p>
    <w:p w14:paraId="197FF7CD">
      <w:pPr>
        <w:pStyle w:val="31"/>
        <w:keepNext/>
        <w:keepLines/>
        <w:adjustRightInd w:val="0"/>
        <w:snapToGrid w:val="0"/>
        <w:spacing w:line="360" w:lineRule="auto"/>
        <w:jc w:val="center"/>
        <w:rPr>
          <w:rFonts w:ascii="宋体" w:hAnsi="宋体"/>
          <w:sz w:val="32"/>
        </w:rPr>
      </w:pPr>
      <w:r>
        <w:rPr>
          <w:rFonts w:hint="eastAsia" w:ascii="宋体" w:hAnsi="宋体"/>
          <w:sz w:val="32"/>
        </w:rPr>
        <w:t xml:space="preserve"> </w:t>
      </w:r>
    </w:p>
    <w:p w14:paraId="71F085E3">
      <w:pPr>
        <w:pStyle w:val="31"/>
        <w:keepNext/>
        <w:keepLines/>
        <w:adjustRightInd w:val="0"/>
        <w:snapToGrid w:val="0"/>
        <w:spacing w:line="360" w:lineRule="auto"/>
        <w:jc w:val="center"/>
        <w:rPr>
          <w:rFonts w:ascii="宋体" w:hAnsi="宋体"/>
          <w:sz w:val="32"/>
        </w:rPr>
      </w:pPr>
    </w:p>
    <w:p w14:paraId="1C4088E9">
      <w:pPr>
        <w:pStyle w:val="31"/>
        <w:keepNext/>
        <w:keepLines/>
        <w:adjustRightInd w:val="0"/>
        <w:snapToGrid w:val="0"/>
        <w:spacing w:line="360" w:lineRule="auto"/>
        <w:jc w:val="center"/>
        <w:rPr>
          <w:rFonts w:ascii="宋体" w:hAnsi="宋体"/>
          <w:sz w:val="32"/>
        </w:rPr>
      </w:pPr>
    </w:p>
    <w:p w14:paraId="2842685E">
      <w:pPr>
        <w:pStyle w:val="31"/>
        <w:keepNext/>
        <w:keepLines/>
        <w:adjustRightInd w:val="0"/>
        <w:snapToGrid w:val="0"/>
        <w:spacing w:line="360" w:lineRule="auto"/>
        <w:jc w:val="center"/>
        <w:rPr>
          <w:rFonts w:ascii="宋体" w:hAnsi="宋体"/>
          <w:sz w:val="32"/>
        </w:rPr>
      </w:pPr>
    </w:p>
    <w:p w14:paraId="2367754E">
      <w:pPr>
        <w:pStyle w:val="31"/>
        <w:keepNext/>
        <w:keepLines/>
        <w:adjustRightInd w:val="0"/>
        <w:snapToGrid w:val="0"/>
        <w:spacing w:line="360" w:lineRule="auto"/>
        <w:jc w:val="both"/>
        <w:rPr>
          <w:rFonts w:ascii="宋体" w:hAnsi="宋体"/>
          <w:sz w:val="32"/>
        </w:rPr>
      </w:pPr>
    </w:p>
    <w:p w14:paraId="5DA65555">
      <w:pPr>
        <w:pStyle w:val="31"/>
        <w:keepNext/>
        <w:keepLines/>
        <w:adjustRightInd w:val="0"/>
        <w:snapToGrid w:val="0"/>
        <w:spacing w:before="120" w:line="360" w:lineRule="auto"/>
        <w:ind w:left="1680" w:leftChars="800"/>
        <w:jc w:val="both"/>
        <w:rPr>
          <w:rFonts w:hint="eastAsia" w:ascii="宋体" w:hAnsi="宋体" w:eastAsia="宋体"/>
          <w:b/>
          <w:sz w:val="32"/>
          <w:lang w:eastAsia="zh-CN"/>
        </w:rPr>
      </w:pPr>
      <w:r>
        <w:rPr>
          <w:rFonts w:hint="eastAsia" w:ascii="宋体" w:hAnsi="宋体"/>
          <w:b/>
          <w:sz w:val="32"/>
        </w:rPr>
        <w:t>采</w:t>
      </w:r>
      <w:r>
        <w:rPr>
          <w:rFonts w:ascii="宋体" w:hAnsi="宋体"/>
          <w:b/>
          <w:sz w:val="32"/>
        </w:rPr>
        <w:t xml:space="preserve">   </w:t>
      </w:r>
      <w:r>
        <w:rPr>
          <w:rFonts w:hint="eastAsia" w:ascii="宋体" w:hAnsi="宋体"/>
          <w:b/>
          <w:sz w:val="32"/>
        </w:rPr>
        <w:t>购</w:t>
      </w:r>
      <w:r>
        <w:rPr>
          <w:rFonts w:ascii="宋体" w:hAnsi="宋体"/>
          <w:b/>
          <w:sz w:val="32"/>
        </w:rPr>
        <w:t xml:space="preserve">   </w:t>
      </w:r>
      <w:r>
        <w:rPr>
          <w:rFonts w:hint="eastAsia" w:ascii="宋体" w:hAnsi="宋体"/>
          <w:b/>
          <w:sz w:val="32"/>
        </w:rPr>
        <w:t>人：</w:t>
      </w:r>
      <w:r>
        <w:rPr>
          <w:rFonts w:hint="eastAsia" w:ascii="宋体" w:hAnsi="宋体"/>
          <w:b/>
          <w:sz w:val="32"/>
          <w:lang w:eastAsia="zh-CN"/>
        </w:rPr>
        <w:t>长治市中医研究所附属医院</w:t>
      </w:r>
    </w:p>
    <w:p w14:paraId="06B36E62">
      <w:pPr>
        <w:pStyle w:val="31"/>
        <w:keepNext/>
        <w:keepLines/>
        <w:adjustRightInd w:val="0"/>
        <w:snapToGrid w:val="0"/>
        <w:spacing w:before="120" w:line="360" w:lineRule="auto"/>
        <w:ind w:left="1680" w:leftChars="800"/>
        <w:jc w:val="both"/>
        <w:rPr>
          <w:rFonts w:ascii="宋体" w:hAnsi="宋体"/>
          <w:b/>
          <w:sz w:val="32"/>
        </w:rPr>
      </w:pPr>
      <w:r>
        <w:rPr>
          <w:rFonts w:hint="eastAsia" w:ascii="宋体" w:hAnsi="宋体"/>
          <w:b/>
          <w:sz w:val="32"/>
          <w:lang w:eastAsia="zh-CN"/>
        </w:rPr>
        <w:t>采购代理机构</w:t>
      </w:r>
      <w:r>
        <w:rPr>
          <w:rFonts w:hint="eastAsia" w:ascii="宋体" w:hAnsi="宋体"/>
          <w:b/>
          <w:sz w:val="32"/>
        </w:rPr>
        <w:t>：中环建(北京)工程管理有限责任公司</w:t>
      </w:r>
    </w:p>
    <w:p w14:paraId="41C36749">
      <w:pPr>
        <w:pStyle w:val="31"/>
        <w:keepNext/>
        <w:keepLines/>
        <w:adjustRightInd w:val="0"/>
        <w:snapToGrid w:val="0"/>
        <w:spacing w:before="120" w:line="360" w:lineRule="auto"/>
        <w:ind w:left="1680" w:leftChars="800"/>
        <w:jc w:val="both"/>
        <w:rPr>
          <w:rFonts w:ascii="宋体" w:hAnsi="宋体"/>
          <w:b/>
          <w:sz w:val="32"/>
        </w:rPr>
      </w:pPr>
      <w:r>
        <w:rPr>
          <w:rFonts w:hint="eastAsia" w:ascii="宋体" w:hAnsi="宋体"/>
          <w:b/>
          <w:sz w:val="32"/>
        </w:rPr>
        <w:t>日</w:t>
      </w:r>
      <w:r>
        <w:rPr>
          <w:rFonts w:ascii="宋体" w:hAnsi="宋体"/>
          <w:b/>
          <w:sz w:val="32"/>
        </w:rPr>
        <w:t xml:space="preserve">        </w:t>
      </w:r>
      <w:r>
        <w:rPr>
          <w:rFonts w:hint="eastAsia" w:ascii="宋体" w:hAnsi="宋体"/>
          <w:b/>
          <w:sz w:val="32"/>
        </w:rPr>
        <w:t>期：二○二</w:t>
      </w:r>
      <w:r>
        <w:rPr>
          <w:rFonts w:hint="eastAsia" w:ascii="宋体" w:hAnsi="宋体"/>
          <w:b/>
          <w:sz w:val="32"/>
          <w:lang w:val="en-US" w:eastAsia="zh-CN"/>
        </w:rPr>
        <w:t>六</w:t>
      </w:r>
      <w:r>
        <w:rPr>
          <w:rFonts w:hint="eastAsia" w:ascii="宋体" w:hAnsi="宋体"/>
          <w:b/>
          <w:sz w:val="32"/>
        </w:rPr>
        <w:t>年</w:t>
      </w:r>
      <w:r>
        <w:rPr>
          <w:rFonts w:hint="eastAsia" w:ascii="宋体" w:hAnsi="宋体"/>
          <w:b/>
          <w:sz w:val="32"/>
          <w:lang w:val="en-US" w:eastAsia="zh-CN"/>
        </w:rPr>
        <w:t>四</w:t>
      </w:r>
      <w:r>
        <w:rPr>
          <w:rFonts w:hint="eastAsia" w:ascii="宋体" w:hAnsi="宋体"/>
          <w:b/>
          <w:sz w:val="32"/>
        </w:rPr>
        <w:t>月</w:t>
      </w:r>
    </w:p>
    <w:p w14:paraId="458231CA">
      <w:pPr>
        <w:pStyle w:val="31"/>
        <w:keepNext/>
        <w:keepLines/>
        <w:adjustRightInd w:val="0"/>
        <w:snapToGrid w:val="0"/>
        <w:spacing w:line="360" w:lineRule="auto"/>
        <w:ind w:left="1680" w:leftChars="800"/>
        <w:jc w:val="center"/>
        <w:rPr>
          <w:rFonts w:ascii="宋体" w:hAnsi="宋体"/>
        </w:rPr>
        <w:sectPr>
          <w:headerReference r:id="rId4" w:type="first"/>
          <w:headerReference r:id="rId3" w:type="default"/>
          <w:pgSz w:w="11907" w:h="16840"/>
          <w:pgMar w:top="1134" w:right="1134" w:bottom="1134" w:left="1134" w:header="1134" w:footer="964" w:gutter="0"/>
          <w:pgNumType w:start="0"/>
          <w:cols w:space="720" w:num="1"/>
          <w:titlePg/>
          <w:docGrid w:linePitch="286" w:charSpace="0"/>
        </w:sectPr>
      </w:pPr>
    </w:p>
    <w:p w14:paraId="46EAA14E">
      <w:bookmarkStart w:id="0" w:name="_Toc28359011"/>
      <w:bookmarkStart w:id="1" w:name="_Toc35393797"/>
    </w:p>
    <w:p w14:paraId="1EB755B5">
      <w:pPr>
        <w:jc w:val="center"/>
      </w:pPr>
    </w:p>
    <w:sdt>
      <w:sdtPr>
        <w:rPr>
          <w:rFonts w:ascii="宋体" w:hAnsi="宋体" w:eastAsia="宋体" w:cs="Times New Roman"/>
          <w:b/>
          <w:bCs/>
          <w:kern w:val="2"/>
          <w:sz w:val="32"/>
          <w:szCs w:val="36"/>
          <w:lang w:val="en-US" w:eastAsia="zh-CN" w:bidi="ar-SA"/>
        </w:rPr>
        <w:id w:val="147453630"/>
        <w15:color w:val="DBDBDB"/>
        <w:docPartObj>
          <w:docPartGallery w:val="Table of Contents"/>
          <w:docPartUnique/>
        </w:docPartObj>
      </w:sdtPr>
      <w:sdtEndPr>
        <w:rPr>
          <w:rFonts w:ascii="宋体" w:hAnsi="宋体" w:eastAsia="宋体" w:cs="Times New Roman"/>
          <w:b/>
          <w:bCs/>
          <w:kern w:val="2"/>
          <w:sz w:val="32"/>
          <w:szCs w:val="36"/>
          <w:lang w:val="en-US" w:eastAsia="zh-CN" w:bidi="ar-SA"/>
        </w:rPr>
      </w:sdtEndPr>
      <w:sdtContent>
        <w:p w14:paraId="6436E2F6">
          <w:pPr>
            <w:spacing w:before="0" w:beforeLines="0" w:after="0" w:afterLines="0" w:line="240" w:lineRule="auto"/>
            <w:ind w:left="0" w:leftChars="0" w:right="0" w:rightChars="0" w:firstLine="0" w:firstLineChars="0"/>
            <w:jc w:val="center"/>
            <w:rPr>
              <w:b/>
              <w:bCs/>
              <w:sz w:val="32"/>
              <w:szCs w:val="36"/>
            </w:rPr>
          </w:pPr>
          <w:r>
            <w:rPr>
              <w:rFonts w:ascii="宋体" w:hAnsi="宋体" w:eastAsia="宋体"/>
              <w:b/>
              <w:bCs/>
              <w:sz w:val="32"/>
              <w:szCs w:val="36"/>
            </w:rPr>
            <w:t>目</w:t>
          </w:r>
          <w:r>
            <w:rPr>
              <w:rFonts w:hint="eastAsia" w:ascii="宋体" w:hAnsi="宋体"/>
              <w:b/>
              <w:bCs/>
              <w:sz w:val="32"/>
              <w:szCs w:val="36"/>
              <w:lang w:val="en-US" w:eastAsia="zh-CN"/>
            </w:rPr>
            <w:t xml:space="preserve"> </w:t>
          </w:r>
          <w:r>
            <w:rPr>
              <w:rFonts w:ascii="宋体" w:hAnsi="宋体" w:eastAsia="宋体"/>
              <w:b/>
              <w:bCs/>
              <w:sz w:val="32"/>
              <w:szCs w:val="36"/>
            </w:rPr>
            <w:t>录</w:t>
          </w:r>
        </w:p>
        <w:p w14:paraId="2C6D91E8">
          <w:pPr>
            <w:pStyle w:val="19"/>
            <w:tabs>
              <w:tab w:val="right" w:leader="dot" w:pos="8306"/>
            </w:tabs>
            <w:spacing w:line="480" w:lineRule="auto"/>
            <w:rPr>
              <w:sz w:val="24"/>
              <w:szCs w:val="24"/>
            </w:rPr>
          </w:pPr>
          <w:r>
            <w:rPr>
              <w:sz w:val="24"/>
              <w:szCs w:val="24"/>
            </w:rPr>
            <w:fldChar w:fldCharType="begin"/>
          </w:r>
          <w:r>
            <w:rPr>
              <w:sz w:val="24"/>
              <w:szCs w:val="24"/>
            </w:rPr>
            <w:instrText xml:space="preserve">TOC \o "1-3" \h \u </w:instrText>
          </w:r>
          <w:r>
            <w:rPr>
              <w:sz w:val="24"/>
              <w:szCs w:val="24"/>
            </w:rPr>
            <w:fldChar w:fldCharType="separate"/>
          </w:r>
          <w:r>
            <w:rPr>
              <w:sz w:val="24"/>
              <w:szCs w:val="24"/>
            </w:rPr>
            <w:fldChar w:fldCharType="begin"/>
          </w:r>
          <w:r>
            <w:rPr>
              <w:sz w:val="24"/>
              <w:szCs w:val="24"/>
            </w:rPr>
            <w:instrText xml:space="preserve"> HYPERLINK \l _Toc25991 </w:instrText>
          </w:r>
          <w:r>
            <w:rPr>
              <w:sz w:val="24"/>
              <w:szCs w:val="24"/>
            </w:rPr>
            <w:fldChar w:fldCharType="separate"/>
          </w:r>
          <w:r>
            <w:rPr>
              <w:rFonts w:hint="eastAsia"/>
              <w:sz w:val="24"/>
              <w:szCs w:val="36"/>
            </w:rPr>
            <w:t xml:space="preserve">第一章 </w:t>
          </w:r>
          <w:r>
            <w:rPr>
              <w:rFonts w:hint="eastAsia"/>
              <w:sz w:val="24"/>
              <w:szCs w:val="36"/>
              <w:lang w:val="en-US" w:eastAsia="zh-CN"/>
            </w:rPr>
            <w:t xml:space="preserve"> </w:t>
          </w:r>
          <w:r>
            <w:rPr>
              <w:rFonts w:hint="eastAsia"/>
              <w:sz w:val="24"/>
              <w:szCs w:val="36"/>
            </w:rPr>
            <w:t>公开招标公告</w:t>
          </w:r>
          <w:r>
            <w:rPr>
              <w:sz w:val="24"/>
              <w:szCs w:val="24"/>
            </w:rPr>
            <w:tab/>
          </w:r>
          <w:r>
            <w:rPr>
              <w:sz w:val="24"/>
              <w:szCs w:val="24"/>
            </w:rPr>
            <w:fldChar w:fldCharType="begin"/>
          </w:r>
          <w:r>
            <w:rPr>
              <w:sz w:val="24"/>
              <w:szCs w:val="24"/>
            </w:rPr>
            <w:instrText xml:space="preserve"> PAGEREF _Toc25991 \h </w:instrText>
          </w:r>
          <w:r>
            <w:rPr>
              <w:sz w:val="24"/>
              <w:szCs w:val="24"/>
            </w:rPr>
            <w:fldChar w:fldCharType="separate"/>
          </w:r>
          <w:r>
            <w:rPr>
              <w:sz w:val="24"/>
              <w:szCs w:val="24"/>
            </w:rPr>
            <w:t>2</w:t>
          </w:r>
          <w:r>
            <w:rPr>
              <w:sz w:val="24"/>
              <w:szCs w:val="24"/>
            </w:rPr>
            <w:fldChar w:fldCharType="end"/>
          </w:r>
          <w:r>
            <w:rPr>
              <w:sz w:val="24"/>
              <w:szCs w:val="24"/>
            </w:rPr>
            <w:fldChar w:fldCharType="end"/>
          </w:r>
        </w:p>
        <w:p w14:paraId="6008380D">
          <w:pPr>
            <w:pStyle w:val="19"/>
            <w:tabs>
              <w:tab w:val="right" w:leader="dot" w:pos="8306"/>
            </w:tabs>
            <w:spacing w:line="480" w:lineRule="auto"/>
            <w:rPr>
              <w:sz w:val="24"/>
              <w:szCs w:val="24"/>
            </w:rPr>
          </w:pPr>
          <w:r>
            <w:rPr>
              <w:sz w:val="24"/>
              <w:szCs w:val="24"/>
            </w:rPr>
            <w:fldChar w:fldCharType="begin"/>
          </w:r>
          <w:r>
            <w:rPr>
              <w:sz w:val="24"/>
              <w:szCs w:val="24"/>
            </w:rPr>
            <w:instrText xml:space="preserve"> HYPERLINK \l _Toc16362 </w:instrText>
          </w:r>
          <w:r>
            <w:rPr>
              <w:sz w:val="24"/>
              <w:szCs w:val="24"/>
            </w:rPr>
            <w:fldChar w:fldCharType="separate"/>
          </w:r>
          <w:r>
            <w:rPr>
              <w:rFonts w:hint="eastAsia" w:ascii="宋体" w:hAnsi="宋体"/>
              <w:bCs/>
              <w:sz w:val="24"/>
              <w:szCs w:val="40"/>
            </w:rPr>
            <w:t xml:space="preserve">第二章 </w:t>
          </w:r>
          <w:r>
            <w:rPr>
              <w:rFonts w:hint="eastAsia" w:ascii="宋体" w:hAnsi="宋体"/>
              <w:bCs/>
              <w:sz w:val="24"/>
              <w:szCs w:val="40"/>
              <w:lang w:val="en-US" w:eastAsia="zh-CN"/>
            </w:rPr>
            <w:t xml:space="preserve"> </w:t>
          </w:r>
          <w:r>
            <w:rPr>
              <w:rFonts w:hint="eastAsia" w:ascii="宋体" w:hAnsi="宋体"/>
              <w:bCs/>
              <w:sz w:val="24"/>
              <w:szCs w:val="40"/>
            </w:rPr>
            <w:t>供应商须知前附表</w:t>
          </w:r>
          <w:r>
            <w:rPr>
              <w:sz w:val="24"/>
              <w:szCs w:val="24"/>
            </w:rPr>
            <w:tab/>
          </w:r>
          <w:r>
            <w:rPr>
              <w:sz w:val="24"/>
              <w:szCs w:val="24"/>
            </w:rPr>
            <w:fldChar w:fldCharType="begin"/>
          </w:r>
          <w:r>
            <w:rPr>
              <w:sz w:val="24"/>
              <w:szCs w:val="24"/>
            </w:rPr>
            <w:instrText xml:space="preserve"> PAGEREF _Toc16362 \h </w:instrText>
          </w:r>
          <w:r>
            <w:rPr>
              <w:sz w:val="24"/>
              <w:szCs w:val="24"/>
            </w:rPr>
            <w:fldChar w:fldCharType="separate"/>
          </w:r>
          <w:r>
            <w:rPr>
              <w:sz w:val="24"/>
              <w:szCs w:val="24"/>
            </w:rPr>
            <w:t>5</w:t>
          </w:r>
          <w:r>
            <w:rPr>
              <w:sz w:val="24"/>
              <w:szCs w:val="24"/>
            </w:rPr>
            <w:fldChar w:fldCharType="end"/>
          </w:r>
          <w:r>
            <w:rPr>
              <w:sz w:val="24"/>
              <w:szCs w:val="24"/>
            </w:rPr>
            <w:fldChar w:fldCharType="end"/>
          </w:r>
        </w:p>
        <w:p w14:paraId="2D7D726F">
          <w:pPr>
            <w:pStyle w:val="19"/>
            <w:tabs>
              <w:tab w:val="right" w:leader="dot" w:pos="8306"/>
            </w:tabs>
            <w:spacing w:line="480" w:lineRule="auto"/>
            <w:rPr>
              <w:sz w:val="24"/>
              <w:szCs w:val="24"/>
            </w:rPr>
          </w:pPr>
          <w:r>
            <w:rPr>
              <w:sz w:val="24"/>
              <w:szCs w:val="24"/>
            </w:rPr>
            <w:fldChar w:fldCharType="begin"/>
          </w:r>
          <w:r>
            <w:rPr>
              <w:sz w:val="24"/>
              <w:szCs w:val="24"/>
            </w:rPr>
            <w:instrText xml:space="preserve"> HYPERLINK \l _Toc31389 </w:instrText>
          </w:r>
          <w:r>
            <w:rPr>
              <w:sz w:val="24"/>
              <w:szCs w:val="24"/>
            </w:rPr>
            <w:fldChar w:fldCharType="separate"/>
          </w:r>
          <w:r>
            <w:rPr>
              <w:rFonts w:hint="eastAsia" w:ascii="宋体" w:hAnsi="宋体"/>
              <w:bCs/>
              <w:sz w:val="24"/>
              <w:szCs w:val="40"/>
            </w:rPr>
            <w:t xml:space="preserve">第三章 </w:t>
          </w:r>
          <w:r>
            <w:rPr>
              <w:rFonts w:hint="eastAsia" w:ascii="宋体" w:hAnsi="宋体"/>
              <w:bCs/>
              <w:sz w:val="24"/>
              <w:szCs w:val="40"/>
              <w:lang w:val="en-US" w:eastAsia="zh-CN"/>
            </w:rPr>
            <w:t xml:space="preserve"> </w:t>
          </w:r>
          <w:r>
            <w:rPr>
              <w:rFonts w:hint="eastAsia" w:ascii="宋体" w:hAnsi="宋体"/>
              <w:bCs/>
              <w:sz w:val="24"/>
              <w:szCs w:val="40"/>
            </w:rPr>
            <w:t>供应商须知</w:t>
          </w:r>
          <w:r>
            <w:rPr>
              <w:sz w:val="24"/>
              <w:szCs w:val="24"/>
            </w:rPr>
            <w:tab/>
          </w:r>
          <w:r>
            <w:rPr>
              <w:sz w:val="24"/>
              <w:szCs w:val="24"/>
            </w:rPr>
            <w:fldChar w:fldCharType="begin"/>
          </w:r>
          <w:r>
            <w:rPr>
              <w:sz w:val="24"/>
              <w:szCs w:val="24"/>
            </w:rPr>
            <w:instrText xml:space="preserve"> PAGEREF _Toc31389 \h </w:instrText>
          </w:r>
          <w:r>
            <w:rPr>
              <w:sz w:val="24"/>
              <w:szCs w:val="24"/>
            </w:rPr>
            <w:fldChar w:fldCharType="separate"/>
          </w:r>
          <w:r>
            <w:rPr>
              <w:sz w:val="24"/>
              <w:szCs w:val="24"/>
            </w:rPr>
            <w:t>9</w:t>
          </w:r>
          <w:r>
            <w:rPr>
              <w:sz w:val="24"/>
              <w:szCs w:val="24"/>
            </w:rPr>
            <w:fldChar w:fldCharType="end"/>
          </w:r>
          <w:r>
            <w:rPr>
              <w:sz w:val="24"/>
              <w:szCs w:val="24"/>
            </w:rPr>
            <w:fldChar w:fldCharType="end"/>
          </w:r>
        </w:p>
        <w:p w14:paraId="7691EA6E">
          <w:pPr>
            <w:pStyle w:val="19"/>
            <w:tabs>
              <w:tab w:val="right" w:leader="dot" w:pos="8306"/>
            </w:tabs>
            <w:spacing w:line="480" w:lineRule="auto"/>
            <w:rPr>
              <w:sz w:val="24"/>
              <w:szCs w:val="24"/>
            </w:rPr>
          </w:pPr>
          <w:r>
            <w:rPr>
              <w:sz w:val="24"/>
              <w:szCs w:val="24"/>
            </w:rPr>
            <w:fldChar w:fldCharType="begin"/>
          </w:r>
          <w:r>
            <w:rPr>
              <w:sz w:val="24"/>
              <w:szCs w:val="24"/>
            </w:rPr>
            <w:instrText xml:space="preserve"> HYPERLINK \l _Toc18751 </w:instrText>
          </w:r>
          <w:r>
            <w:rPr>
              <w:sz w:val="24"/>
              <w:szCs w:val="24"/>
            </w:rPr>
            <w:fldChar w:fldCharType="separate"/>
          </w:r>
          <w:r>
            <w:rPr>
              <w:rFonts w:hint="eastAsia" w:ascii="宋体" w:hAnsi="宋体"/>
              <w:snapToGrid w:val="0"/>
              <w:kern w:val="0"/>
              <w:sz w:val="24"/>
              <w:szCs w:val="40"/>
            </w:rPr>
            <w:t>第四章</w:t>
          </w:r>
          <w:r>
            <w:rPr>
              <w:rFonts w:ascii="宋体" w:hAnsi="宋体"/>
              <w:snapToGrid w:val="0"/>
              <w:kern w:val="0"/>
              <w:sz w:val="24"/>
              <w:szCs w:val="40"/>
            </w:rPr>
            <w:t xml:space="preserve">  </w:t>
          </w:r>
          <w:r>
            <w:rPr>
              <w:rFonts w:hint="eastAsia" w:ascii="宋体" w:hAnsi="宋体"/>
              <w:snapToGrid w:val="0"/>
              <w:kern w:val="0"/>
              <w:sz w:val="24"/>
              <w:szCs w:val="40"/>
            </w:rPr>
            <w:t>评标标准和评标方法</w:t>
          </w:r>
          <w:r>
            <w:rPr>
              <w:sz w:val="24"/>
              <w:szCs w:val="24"/>
            </w:rPr>
            <w:tab/>
          </w:r>
          <w:r>
            <w:rPr>
              <w:sz w:val="24"/>
              <w:szCs w:val="24"/>
            </w:rPr>
            <w:fldChar w:fldCharType="begin"/>
          </w:r>
          <w:r>
            <w:rPr>
              <w:sz w:val="24"/>
              <w:szCs w:val="24"/>
            </w:rPr>
            <w:instrText xml:space="preserve"> PAGEREF _Toc18751 \h </w:instrText>
          </w:r>
          <w:r>
            <w:rPr>
              <w:sz w:val="24"/>
              <w:szCs w:val="24"/>
            </w:rPr>
            <w:fldChar w:fldCharType="separate"/>
          </w:r>
          <w:r>
            <w:rPr>
              <w:sz w:val="24"/>
              <w:szCs w:val="24"/>
            </w:rPr>
            <w:t>27</w:t>
          </w:r>
          <w:r>
            <w:rPr>
              <w:sz w:val="24"/>
              <w:szCs w:val="24"/>
            </w:rPr>
            <w:fldChar w:fldCharType="end"/>
          </w:r>
          <w:r>
            <w:rPr>
              <w:sz w:val="24"/>
              <w:szCs w:val="24"/>
            </w:rPr>
            <w:fldChar w:fldCharType="end"/>
          </w:r>
        </w:p>
        <w:p w14:paraId="670D1C96">
          <w:pPr>
            <w:pStyle w:val="19"/>
            <w:tabs>
              <w:tab w:val="right" w:leader="dot" w:pos="8306"/>
            </w:tabs>
            <w:spacing w:line="480" w:lineRule="auto"/>
            <w:rPr>
              <w:sz w:val="24"/>
              <w:szCs w:val="24"/>
            </w:rPr>
          </w:pPr>
          <w:r>
            <w:rPr>
              <w:sz w:val="24"/>
              <w:szCs w:val="24"/>
            </w:rPr>
            <w:fldChar w:fldCharType="begin"/>
          </w:r>
          <w:r>
            <w:rPr>
              <w:sz w:val="24"/>
              <w:szCs w:val="24"/>
            </w:rPr>
            <w:instrText xml:space="preserve"> HYPERLINK \l _Toc24238 </w:instrText>
          </w:r>
          <w:r>
            <w:rPr>
              <w:sz w:val="24"/>
              <w:szCs w:val="24"/>
            </w:rPr>
            <w:fldChar w:fldCharType="separate"/>
          </w:r>
          <w:r>
            <w:rPr>
              <w:rFonts w:hint="eastAsia" w:ascii="宋体" w:hAnsi="宋体"/>
              <w:snapToGrid w:val="0"/>
              <w:kern w:val="0"/>
              <w:sz w:val="24"/>
              <w:szCs w:val="40"/>
            </w:rPr>
            <w:t>第五章</w:t>
          </w:r>
          <w:r>
            <w:rPr>
              <w:rFonts w:ascii="宋体" w:hAnsi="宋体"/>
              <w:snapToGrid w:val="0"/>
              <w:kern w:val="0"/>
              <w:sz w:val="24"/>
              <w:szCs w:val="40"/>
            </w:rPr>
            <w:t xml:space="preserve">  </w:t>
          </w:r>
          <w:r>
            <w:rPr>
              <w:rFonts w:hint="eastAsia" w:ascii="宋体" w:hAnsi="宋体"/>
              <w:snapToGrid w:val="0"/>
              <w:kern w:val="0"/>
              <w:sz w:val="24"/>
              <w:szCs w:val="40"/>
            </w:rPr>
            <w:t>商务、技术要求</w:t>
          </w:r>
          <w:r>
            <w:rPr>
              <w:sz w:val="24"/>
              <w:szCs w:val="24"/>
            </w:rPr>
            <w:tab/>
          </w:r>
          <w:r>
            <w:rPr>
              <w:sz w:val="24"/>
              <w:szCs w:val="24"/>
            </w:rPr>
            <w:fldChar w:fldCharType="begin"/>
          </w:r>
          <w:r>
            <w:rPr>
              <w:sz w:val="24"/>
              <w:szCs w:val="24"/>
            </w:rPr>
            <w:instrText xml:space="preserve"> PAGEREF _Toc24238 \h </w:instrText>
          </w:r>
          <w:r>
            <w:rPr>
              <w:sz w:val="24"/>
              <w:szCs w:val="24"/>
            </w:rPr>
            <w:fldChar w:fldCharType="separate"/>
          </w:r>
          <w:r>
            <w:rPr>
              <w:sz w:val="24"/>
              <w:szCs w:val="24"/>
            </w:rPr>
            <w:t>31</w:t>
          </w:r>
          <w:r>
            <w:rPr>
              <w:sz w:val="24"/>
              <w:szCs w:val="24"/>
            </w:rPr>
            <w:fldChar w:fldCharType="end"/>
          </w:r>
          <w:r>
            <w:rPr>
              <w:sz w:val="24"/>
              <w:szCs w:val="24"/>
            </w:rPr>
            <w:fldChar w:fldCharType="end"/>
          </w:r>
        </w:p>
        <w:p w14:paraId="4BD7D63C">
          <w:pPr>
            <w:pStyle w:val="19"/>
            <w:tabs>
              <w:tab w:val="right" w:leader="dot" w:pos="8306"/>
            </w:tabs>
            <w:spacing w:line="480" w:lineRule="auto"/>
            <w:rPr>
              <w:sz w:val="24"/>
              <w:szCs w:val="24"/>
            </w:rPr>
          </w:pPr>
          <w:r>
            <w:rPr>
              <w:sz w:val="24"/>
              <w:szCs w:val="24"/>
            </w:rPr>
            <w:fldChar w:fldCharType="begin"/>
          </w:r>
          <w:r>
            <w:rPr>
              <w:sz w:val="24"/>
              <w:szCs w:val="24"/>
            </w:rPr>
            <w:instrText xml:space="preserve"> HYPERLINK \l _Toc6738 </w:instrText>
          </w:r>
          <w:r>
            <w:rPr>
              <w:sz w:val="24"/>
              <w:szCs w:val="24"/>
            </w:rPr>
            <w:fldChar w:fldCharType="separate"/>
          </w:r>
          <w:r>
            <w:rPr>
              <w:rFonts w:hint="eastAsia" w:ascii="宋体" w:hAnsi="宋体"/>
              <w:snapToGrid w:val="0"/>
              <w:kern w:val="0"/>
              <w:sz w:val="24"/>
              <w:szCs w:val="40"/>
            </w:rPr>
            <w:t>第六章</w:t>
          </w:r>
          <w:r>
            <w:rPr>
              <w:rFonts w:ascii="宋体" w:hAnsi="宋体"/>
              <w:snapToGrid w:val="0"/>
              <w:kern w:val="0"/>
              <w:sz w:val="24"/>
              <w:szCs w:val="40"/>
            </w:rPr>
            <w:t xml:space="preserve">  </w:t>
          </w:r>
          <w:r>
            <w:rPr>
              <w:rFonts w:hint="eastAsia" w:ascii="宋体" w:hAnsi="宋体" w:cs="宋体"/>
              <w:bCs/>
              <w:spacing w:val="20"/>
              <w:kern w:val="44"/>
              <w:sz w:val="24"/>
              <w:szCs w:val="40"/>
            </w:rPr>
            <w:t>合同原则</w:t>
          </w:r>
          <w:r>
            <w:rPr>
              <w:sz w:val="24"/>
              <w:szCs w:val="24"/>
            </w:rPr>
            <w:tab/>
          </w:r>
          <w:r>
            <w:rPr>
              <w:sz w:val="24"/>
              <w:szCs w:val="24"/>
            </w:rPr>
            <w:fldChar w:fldCharType="begin"/>
          </w:r>
          <w:r>
            <w:rPr>
              <w:sz w:val="24"/>
              <w:szCs w:val="24"/>
            </w:rPr>
            <w:instrText xml:space="preserve"> PAGEREF _Toc6738 \h </w:instrText>
          </w:r>
          <w:r>
            <w:rPr>
              <w:sz w:val="24"/>
              <w:szCs w:val="24"/>
            </w:rPr>
            <w:fldChar w:fldCharType="separate"/>
          </w:r>
          <w:r>
            <w:rPr>
              <w:sz w:val="24"/>
              <w:szCs w:val="24"/>
            </w:rPr>
            <w:t>31</w:t>
          </w:r>
          <w:r>
            <w:rPr>
              <w:sz w:val="24"/>
              <w:szCs w:val="24"/>
            </w:rPr>
            <w:fldChar w:fldCharType="end"/>
          </w:r>
          <w:r>
            <w:rPr>
              <w:sz w:val="24"/>
              <w:szCs w:val="24"/>
            </w:rPr>
            <w:fldChar w:fldCharType="end"/>
          </w:r>
        </w:p>
        <w:p w14:paraId="2454A1B9">
          <w:pPr>
            <w:pStyle w:val="19"/>
            <w:tabs>
              <w:tab w:val="right" w:leader="dot" w:pos="8306"/>
            </w:tabs>
            <w:spacing w:line="480" w:lineRule="auto"/>
          </w:pPr>
          <w:r>
            <w:rPr>
              <w:sz w:val="24"/>
              <w:szCs w:val="24"/>
            </w:rPr>
            <w:fldChar w:fldCharType="begin"/>
          </w:r>
          <w:r>
            <w:rPr>
              <w:sz w:val="24"/>
              <w:szCs w:val="24"/>
            </w:rPr>
            <w:instrText xml:space="preserve"> HYPERLINK \l _Toc21321 </w:instrText>
          </w:r>
          <w:r>
            <w:rPr>
              <w:sz w:val="24"/>
              <w:szCs w:val="24"/>
            </w:rPr>
            <w:fldChar w:fldCharType="separate"/>
          </w:r>
          <w:r>
            <w:rPr>
              <w:rFonts w:hint="eastAsia" w:ascii="宋体" w:hAnsi="宋体"/>
              <w:snapToGrid w:val="0"/>
              <w:kern w:val="0"/>
              <w:sz w:val="24"/>
              <w:szCs w:val="40"/>
            </w:rPr>
            <w:t>第七章</w:t>
          </w:r>
          <w:r>
            <w:rPr>
              <w:rFonts w:ascii="宋体" w:hAnsi="宋体"/>
              <w:snapToGrid w:val="0"/>
              <w:kern w:val="0"/>
              <w:sz w:val="24"/>
              <w:szCs w:val="40"/>
            </w:rPr>
            <w:t xml:space="preserve">  </w:t>
          </w:r>
          <w:r>
            <w:rPr>
              <w:rFonts w:hint="eastAsia" w:ascii="宋体" w:hAnsi="宋体"/>
              <w:snapToGrid w:val="0"/>
              <w:kern w:val="0"/>
              <w:sz w:val="24"/>
              <w:szCs w:val="40"/>
            </w:rPr>
            <w:t>投标文件格式</w:t>
          </w:r>
          <w:r>
            <w:rPr>
              <w:sz w:val="24"/>
              <w:szCs w:val="24"/>
            </w:rPr>
            <w:tab/>
          </w:r>
          <w:r>
            <w:rPr>
              <w:sz w:val="24"/>
              <w:szCs w:val="24"/>
            </w:rPr>
            <w:fldChar w:fldCharType="begin"/>
          </w:r>
          <w:r>
            <w:rPr>
              <w:sz w:val="24"/>
              <w:szCs w:val="24"/>
            </w:rPr>
            <w:instrText xml:space="preserve"> PAGEREF _Toc21321 \h </w:instrText>
          </w:r>
          <w:r>
            <w:rPr>
              <w:sz w:val="24"/>
              <w:szCs w:val="24"/>
            </w:rPr>
            <w:fldChar w:fldCharType="separate"/>
          </w:r>
          <w:r>
            <w:rPr>
              <w:sz w:val="24"/>
              <w:szCs w:val="24"/>
            </w:rPr>
            <w:t>56</w:t>
          </w:r>
          <w:r>
            <w:rPr>
              <w:sz w:val="24"/>
              <w:szCs w:val="24"/>
            </w:rPr>
            <w:fldChar w:fldCharType="end"/>
          </w:r>
          <w:r>
            <w:rPr>
              <w:sz w:val="24"/>
              <w:szCs w:val="24"/>
            </w:rPr>
            <w:fldChar w:fldCharType="end"/>
          </w:r>
          <w:r>
            <w:rPr>
              <w:sz w:val="24"/>
              <w:szCs w:val="24"/>
            </w:rPr>
            <w:fldChar w:fldCharType="end"/>
          </w:r>
        </w:p>
      </w:sdtContent>
    </w:sdt>
    <w:p w14:paraId="50F3F2CC"/>
    <w:p w14:paraId="7D1804D9">
      <w:pPr>
        <w:pStyle w:val="32"/>
        <w:tabs>
          <w:tab w:val="right" w:leader="dot" w:pos="8306"/>
        </w:tabs>
        <w:rPr>
          <w:b/>
          <w:bCs/>
          <w:sz w:val="28"/>
          <w:szCs w:val="28"/>
        </w:rPr>
      </w:pPr>
      <w:r>
        <w:fldChar w:fldCharType="begin"/>
      </w:r>
      <w:r>
        <w:instrText xml:space="preserve">TOC \o "1-1" \h \u </w:instrText>
      </w:r>
      <w:r>
        <w:fldChar w:fldCharType="separate"/>
      </w:r>
    </w:p>
    <w:p w14:paraId="6D04B3A4">
      <w:pPr>
        <w:pStyle w:val="32"/>
        <w:tabs>
          <w:tab w:val="right" w:leader="dot" w:pos="8306"/>
        </w:tabs>
      </w:pPr>
    </w:p>
    <w:p w14:paraId="1818F03E">
      <w:pPr>
        <w:widowControl/>
        <w:wordWrap w:val="0"/>
        <w:spacing w:line="480" w:lineRule="auto"/>
      </w:pPr>
      <w:r>
        <w:fldChar w:fldCharType="end"/>
      </w:r>
    </w:p>
    <w:p w14:paraId="7AFFDA99">
      <w:pPr>
        <w:rPr>
          <w:rFonts w:ascii="华文中宋" w:hAnsi="华文中宋" w:eastAsia="华文中宋"/>
        </w:rPr>
        <w:sectPr>
          <w:footerReference r:id="rId5" w:type="default"/>
          <w:pgSz w:w="11906" w:h="16838"/>
          <w:pgMar w:top="1440" w:right="1800" w:bottom="1440" w:left="1800" w:header="851" w:footer="992" w:gutter="0"/>
          <w:pgNumType w:start="1"/>
          <w:cols w:space="720" w:num="1"/>
          <w:docGrid w:type="lines" w:linePitch="312" w:charSpace="0"/>
        </w:sectPr>
      </w:pPr>
      <w:bookmarkStart w:id="2" w:name="_Toc1880"/>
    </w:p>
    <w:p w14:paraId="40D648B0">
      <w:pPr>
        <w:pStyle w:val="2"/>
        <w:tabs>
          <w:tab w:val="left" w:pos="0"/>
        </w:tabs>
        <w:wordWrap w:val="0"/>
        <w:autoSpaceDE w:val="0"/>
        <w:autoSpaceDN w:val="0"/>
        <w:adjustRightInd w:val="0"/>
        <w:spacing w:before="0" w:after="0" w:line="360" w:lineRule="auto"/>
        <w:jc w:val="center"/>
        <w:rPr>
          <w:sz w:val="24"/>
          <w:szCs w:val="24"/>
        </w:rPr>
      </w:pPr>
      <w:bookmarkStart w:id="3" w:name="_Toc25991"/>
      <w:bookmarkStart w:id="4" w:name="_Toc18339"/>
      <w:r>
        <w:rPr>
          <w:rFonts w:hint="eastAsia"/>
          <w:sz w:val="24"/>
          <w:szCs w:val="24"/>
        </w:rPr>
        <w:t>第一章 公开招标公告</w:t>
      </w:r>
      <w:bookmarkEnd w:id="0"/>
      <w:bookmarkEnd w:id="1"/>
      <w:bookmarkEnd w:id="2"/>
      <w:bookmarkEnd w:id="3"/>
      <w:bookmarkEnd w:id="4"/>
    </w:p>
    <w:p w14:paraId="05CA4B76">
      <w:pPr>
        <w:wordWrap w:val="0"/>
      </w:pPr>
    </w:p>
    <w:p w14:paraId="1DBA6653">
      <w:pPr>
        <w:pBdr>
          <w:top w:val="single" w:color="auto" w:sz="4" w:space="1"/>
          <w:left w:val="single" w:color="auto" w:sz="4" w:space="4"/>
          <w:bottom w:val="single" w:color="auto" w:sz="4" w:space="1"/>
          <w:right w:val="single" w:color="auto" w:sz="4" w:space="4"/>
        </w:pBdr>
        <w:spacing w:line="360" w:lineRule="auto"/>
        <w:ind w:firstLine="480" w:firstLineChars="200"/>
        <w:outlineLvl w:val="0"/>
        <w:rPr>
          <w:rFonts w:ascii="宋体" w:hAnsi="宋体" w:cs="宋体"/>
          <w:sz w:val="24"/>
          <w:szCs w:val="24"/>
        </w:rPr>
      </w:pPr>
      <w:bookmarkStart w:id="5" w:name="_Toc7283"/>
      <w:bookmarkStart w:id="6" w:name="_Toc17164"/>
      <w:bookmarkStart w:id="7" w:name="_Toc19234"/>
      <w:r>
        <w:rPr>
          <w:rFonts w:hint="eastAsia" w:ascii="宋体" w:hAnsi="宋体" w:cs="宋体"/>
          <w:sz w:val="24"/>
          <w:szCs w:val="24"/>
        </w:rPr>
        <w:t>项目概况</w:t>
      </w:r>
      <w:bookmarkEnd w:id="5"/>
      <w:bookmarkEnd w:id="6"/>
      <w:bookmarkEnd w:id="7"/>
    </w:p>
    <w:p w14:paraId="2E016CA5">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highlight w:val="none"/>
        </w:rPr>
      </w:pPr>
      <w:r>
        <w:rPr>
          <w:rFonts w:hint="eastAsia" w:ascii="宋体" w:hAnsi="宋体" w:cs="宋体"/>
          <w:sz w:val="24"/>
          <w:szCs w:val="24"/>
          <w:lang w:eastAsia="zh-CN"/>
        </w:rPr>
        <w:t>长治市中医研究所附属医院医疗设备更新</w:t>
      </w:r>
      <w:r>
        <w:rPr>
          <w:rFonts w:hint="eastAsia" w:ascii="宋体" w:hAnsi="宋体" w:cs="宋体"/>
          <w:sz w:val="24"/>
          <w:szCs w:val="24"/>
          <w:highlight w:val="none"/>
          <w:lang w:eastAsia="zh-CN"/>
        </w:rPr>
        <w:t>提升项目</w:t>
      </w:r>
      <w:r>
        <w:rPr>
          <w:rFonts w:hint="eastAsia" w:ascii="宋体" w:hAnsi="宋体" w:cs="宋体"/>
          <w:sz w:val="24"/>
          <w:szCs w:val="24"/>
          <w:highlight w:val="none"/>
          <w:lang w:val="en-US" w:eastAsia="zh-CN"/>
        </w:rPr>
        <w:t>-</w:t>
      </w:r>
      <w:r>
        <w:rPr>
          <w:rFonts w:hint="eastAsia" w:ascii="宋体" w:hAnsi="宋体" w:cs="宋体"/>
          <w:sz w:val="24"/>
          <w:szCs w:val="24"/>
          <w:highlight w:val="none"/>
          <w:lang w:eastAsia="zh-CN"/>
        </w:rPr>
        <w:t>检验类、消毒类设备</w:t>
      </w:r>
      <w:r>
        <w:rPr>
          <w:rFonts w:hint="eastAsia" w:ascii="宋体" w:hAnsi="宋体" w:cs="宋体"/>
          <w:sz w:val="24"/>
          <w:szCs w:val="24"/>
          <w:highlight w:val="none"/>
        </w:rPr>
        <w:t>招标项目的潜在</w:t>
      </w:r>
      <w:r>
        <w:rPr>
          <w:rFonts w:hint="eastAsia" w:ascii="宋体" w:hAnsi="宋体" w:cs="宋体"/>
          <w:sz w:val="24"/>
          <w:szCs w:val="24"/>
          <w:highlight w:val="none"/>
          <w:lang w:val="en-US" w:eastAsia="zh-CN"/>
        </w:rPr>
        <w:t>投标人</w:t>
      </w:r>
      <w:r>
        <w:rPr>
          <w:rFonts w:hint="eastAsia" w:ascii="宋体" w:hAnsi="宋体" w:cs="宋体"/>
          <w:sz w:val="24"/>
          <w:szCs w:val="24"/>
          <w:highlight w:val="none"/>
        </w:rPr>
        <w:t>应在政采云平台线上获取招标文件，并于</w:t>
      </w:r>
      <w:r>
        <w:rPr>
          <w:rFonts w:hint="eastAsia" w:ascii="宋体" w:hAnsi="宋体" w:cs="宋体"/>
          <w:sz w:val="24"/>
          <w:szCs w:val="24"/>
          <w:highlight w:val="none"/>
          <w:lang w:eastAsia="zh-CN"/>
        </w:rPr>
        <w:t>2026年05月09日</w:t>
      </w:r>
      <w:r>
        <w:rPr>
          <w:rFonts w:hint="eastAsia" w:ascii="宋体" w:hAnsi="宋体" w:cs="宋体"/>
          <w:sz w:val="24"/>
          <w:szCs w:val="24"/>
          <w:highlight w:val="none"/>
        </w:rPr>
        <w:t>09:</w:t>
      </w:r>
      <w:r>
        <w:rPr>
          <w:rFonts w:hint="eastAsia" w:ascii="宋体" w:hAnsi="宋体" w:cs="宋体"/>
          <w:sz w:val="24"/>
          <w:szCs w:val="24"/>
          <w:highlight w:val="none"/>
          <w:lang w:val="en-US" w:eastAsia="zh-CN"/>
        </w:rPr>
        <w:t>30</w:t>
      </w:r>
      <w:r>
        <w:rPr>
          <w:rFonts w:hint="eastAsia" w:ascii="宋体" w:hAnsi="宋体" w:cs="宋体"/>
          <w:bCs/>
          <w:sz w:val="24"/>
          <w:szCs w:val="24"/>
          <w:highlight w:val="none"/>
        </w:rPr>
        <w:t>（北京时间）前递交投标文件</w:t>
      </w:r>
      <w:r>
        <w:rPr>
          <w:rFonts w:hint="eastAsia" w:ascii="宋体" w:hAnsi="宋体" w:cs="宋体"/>
          <w:sz w:val="24"/>
          <w:szCs w:val="24"/>
          <w:highlight w:val="none"/>
        </w:rPr>
        <w:t>。</w:t>
      </w:r>
    </w:p>
    <w:p w14:paraId="19A1A533">
      <w:pPr>
        <w:wordWrap w:val="0"/>
        <w:topLinePunct/>
        <w:spacing w:line="360" w:lineRule="auto"/>
        <w:rPr>
          <w:rFonts w:ascii="宋体" w:hAnsi="宋体" w:cs="宋体"/>
          <w:sz w:val="24"/>
          <w:szCs w:val="24"/>
          <w:highlight w:val="none"/>
        </w:rPr>
      </w:pPr>
      <w:bookmarkStart w:id="8" w:name="_Toc14683"/>
      <w:bookmarkStart w:id="9" w:name="_Toc28359012"/>
      <w:bookmarkStart w:id="10" w:name="_Toc28359089"/>
      <w:bookmarkStart w:id="11" w:name="_Toc35393798"/>
      <w:bookmarkStart w:id="12" w:name="_Toc35393629"/>
    </w:p>
    <w:p w14:paraId="0EFD69D8">
      <w:pPr>
        <w:wordWrap w:val="0"/>
        <w:topLinePunct/>
        <w:spacing w:line="360" w:lineRule="auto"/>
        <w:outlineLvl w:val="0"/>
        <w:rPr>
          <w:rFonts w:ascii="宋体" w:hAnsi="宋体" w:cs="宋体"/>
          <w:sz w:val="24"/>
          <w:szCs w:val="24"/>
          <w:highlight w:val="none"/>
        </w:rPr>
      </w:pPr>
      <w:bookmarkStart w:id="13" w:name="_Toc14779"/>
      <w:r>
        <w:rPr>
          <w:rFonts w:hint="eastAsia" w:ascii="宋体" w:hAnsi="宋体" w:cs="宋体"/>
          <w:sz w:val="24"/>
          <w:szCs w:val="24"/>
          <w:highlight w:val="none"/>
        </w:rPr>
        <w:t>一、项目基本情况</w:t>
      </w:r>
      <w:bookmarkEnd w:id="8"/>
      <w:bookmarkEnd w:id="9"/>
      <w:bookmarkEnd w:id="10"/>
      <w:bookmarkEnd w:id="11"/>
      <w:bookmarkEnd w:id="12"/>
      <w:bookmarkEnd w:id="13"/>
    </w:p>
    <w:p w14:paraId="23A39EB8">
      <w:pPr>
        <w:pStyle w:val="21"/>
        <w:widowControl/>
        <w:wordWrap w:val="0"/>
        <w:spacing w:before="60" w:beforeAutospacing="0" w:after="60" w:afterAutospacing="0" w:line="360" w:lineRule="auto"/>
        <w:ind w:firstLine="420"/>
        <w:rPr>
          <w:rFonts w:hint="default" w:ascii="宋体" w:hAnsi="宋体" w:eastAsia="宋体" w:cs="宋体"/>
          <w:kern w:val="2"/>
          <w:szCs w:val="24"/>
          <w:highlight w:val="none"/>
          <w:lang w:val="en-US" w:eastAsia="zh-CN"/>
        </w:rPr>
      </w:pPr>
      <w:r>
        <w:rPr>
          <w:rFonts w:hint="eastAsia" w:ascii="宋体" w:hAnsi="宋体" w:cs="宋体"/>
          <w:kern w:val="2"/>
          <w:szCs w:val="24"/>
          <w:highlight w:val="none"/>
        </w:rPr>
        <w:t>项目编号：1404992026AGK00079</w:t>
      </w:r>
      <w:r>
        <w:rPr>
          <w:rFonts w:hint="eastAsia" w:ascii="宋体" w:hAnsi="宋体" w:cs="宋体"/>
          <w:kern w:val="2"/>
          <w:szCs w:val="24"/>
          <w:highlight w:val="none"/>
          <w:lang w:val="en-US" w:eastAsia="zh-CN"/>
        </w:rPr>
        <w:t xml:space="preserve">                  </w:t>
      </w:r>
    </w:p>
    <w:p w14:paraId="1A200933">
      <w:pPr>
        <w:pStyle w:val="21"/>
        <w:widowControl/>
        <w:wordWrap w:val="0"/>
        <w:spacing w:before="60" w:beforeAutospacing="0" w:after="60" w:afterAutospacing="0" w:line="360" w:lineRule="auto"/>
        <w:ind w:firstLine="420"/>
        <w:rPr>
          <w:rFonts w:ascii="宋体" w:hAnsi="宋体" w:cs="宋体"/>
          <w:kern w:val="2"/>
          <w:szCs w:val="24"/>
          <w:highlight w:val="none"/>
        </w:rPr>
      </w:pPr>
      <w:r>
        <w:rPr>
          <w:rFonts w:hint="eastAsia" w:ascii="宋体" w:hAnsi="宋体" w:cs="宋体"/>
          <w:kern w:val="2"/>
          <w:szCs w:val="24"/>
          <w:highlight w:val="none"/>
        </w:rPr>
        <w:t>项目名称：</w:t>
      </w:r>
      <w:r>
        <w:rPr>
          <w:rFonts w:hint="eastAsia" w:ascii="宋体" w:hAnsi="宋体" w:cs="宋体"/>
          <w:kern w:val="2"/>
          <w:szCs w:val="24"/>
          <w:highlight w:val="none"/>
          <w:lang w:eastAsia="zh-CN"/>
        </w:rPr>
        <w:t>长治市中医研究所附属医院医疗设备更新提升项目</w:t>
      </w:r>
      <w:r>
        <w:rPr>
          <w:rFonts w:hint="eastAsia" w:ascii="宋体" w:hAnsi="宋体" w:cs="宋体"/>
          <w:kern w:val="2"/>
          <w:szCs w:val="24"/>
          <w:highlight w:val="none"/>
          <w:lang w:val="en-US" w:eastAsia="zh-CN"/>
        </w:rPr>
        <w:t>-</w:t>
      </w:r>
      <w:r>
        <w:rPr>
          <w:rFonts w:hint="eastAsia" w:ascii="宋体" w:hAnsi="宋体" w:cs="宋体"/>
          <w:kern w:val="2"/>
          <w:szCs w:val="24"/>
          <w:highlight w:val="none"/>
          <w:lang w:eastAsia="zh-CN"/>
        </w:rPr>
        <w:t>检验类、消毒类设备</w:t>
      </w:r>
      <w:r>
        <w:rPr>
          <w:rFonts w:hint="eastAsia" w:ascii="宋体" w:hAnsi="宋体" w:cs="宋体"/>
          <w:kern w:val="2"/>
          <w:szCs w:val="24"/>
          <w:highlight w:val="none"/>
        </w:rPr>
        <w:t>   </w:t>
      </w:r>
    </w:p>
    <w:p w14:paraId="499B9161">
      <w:pPr>
        <w:pStyle w:val="23"/>
        <w:spacing w:line="360" w:lineRule="auto"/>
        <w:ind w:left="0" w:leftChars="0" w:firstLine="480"/>
        <w:jc w:val="left"/>
        <w:rPr>
          <w:rFonts w:hint="default" w:ascii="宋体" w:hAnsi="宋体" w:cs="宋体"/>
          <w:sz w:val="24"/>
          <w:szCs w:val="24"/>
          <w:highlight w:val="none"/>
          <w:lang w:val="en-US" w:eastAsia="zh-CN"/>
        </w:rPr>
      </w:pPr>
      <w:r>
        <w:rPr>
          <w:rFonts w:hint="eastAsia" w:ascii="宋体" w:hAnsi="宋体" w:cs="宋体"/>
          <w:sz w:val="24"/>
          <w:szCs w:val="24"/>
          <w:highlight w:val="none"/>
        </w:rPr>
        <w:t>预算金额（元）：</w:t>
      </w:r>
      <w:r>
        <w:rPr>
          <w:rFonts w:hint="eastAsia" w:ascii="宋体" w:hAnsi="宋体" w:cs="宋体"/>
          <w:sz w:val="24"/>
          <w:szCs w:val="24"/>
          <w:highlight w:val="none"/>
          <w:lang w:val="en-US" w:eastAsia="zh-CN"/>
        </w:rPr>
        <w:t>4350000</w:t>
      </w:r>
    </w:p>
    <w:p w14:paraId="0A9672D8">
      <w:pPr>
        <w:pStyle w:val="23"/>
        <w:spacing w:line="360" w:lineRule="auto"/>
        <w:ind w:left="0" w:leftChars="0" w:firstLine="480"/>
        <w:jc w:val="left"/>
        <w:rPr>
          <w:rFonts w:ascii="宋体" w:hAnsi="宋体" w:cs="宋体"/>
          <w:sz w:val="24"/>
          <w:szCs w:val="24"/>
          <w:highlight w:val="none"/>
        </w:rPr>
      </w:pPr>
      <w:r>
        <w:rPr>
          <w:rFonts w:hint="eastAsia" w:ascii="宋体" w:hAnsi="宋体" w:cs="宋体"/>
          <w:sz w:val="24"/>
          <w:szCs w:val="24"/>
          <w:highlight w:val="none"/>
        </w:rPr>
        <w:t>最高限价（元）：</w:t>
      </w:r>
      <w:r>
        <w:rPr>
          <w:rFonts w:hint="eastAsia" w:ascii="宋体" w:hAnsi="宋体" w:cs="宋体"/>
          <w:sz w:val="24"/>
          <w:szCs w:val="24"/>
          <w:highlight w:val="none"/>
          <w:lang w:val="en-US" w:eastAsia="zh-CN"/>
        </w:rPr>
        <w:t>4350000</w:t>
      </w:r>
    </w:p>
    <w:p w14:paraId="672C3F3E">
      <w:pPr>
        <w:pStyle w:val="21"/>
        <w:widowControl/>
        <w:wordWrap w:val="0"/>
        <w:spacing w:before="60" w:beforeAutospacing="0" w:after="60" w:afterAutospacing="0" w:line="360" w:lineRule="auto"/>
        <w:ind w:firstLine="480" w:firstLineChars="200"/>
        <w:rPr>
          <w:rFonts w:ascii="宋体" w:hAnsi="宋体" w:cs="宋体"/>
          <w:kern w:val="2"/>
          <w:szCs w:val="24"/>
          <w:highlight w:val="none"/>
        </w:rPr>
      </w:pPr>
      <w:r>
        <w:rPr>
          <w:rFonts w:hint="eastAsia" w:ascii="宋体" w:hAnsi="宋体" w:cs="宋体"/>
          <w:kern w:val="2"/>
          <w:szCs w:val="24"/>
          <w:highlight w:val="none"/>
        </w:rPr>
        <w:t>采购需求：        </w:t>
      </w:r>
    </w:p>
    <w:p w14:paraId="37DA80CE">
      <w:pPr>
        <w:pStyle w:val="21"/>
        <w:widowControl/>
        <w:wordWrap w:val="0"/>
        <w:spacing w:before="60" w:beforeAutospacing="0" w:after="60" w:afterAutospacing="0" w:line="360" w:lineRule="auto"/>
        <w:ind w:leftChars="300"/>
        <w:rPr>
          <w:rFonts w:ascii="宋体" w:hAnsi="宋体" w:cs="宋体"/>
          <w:kern w:val="2"/>
          <w:szCs w:val="24"/>
          <w:highlight w:val="none"/>
        </w:rPr>
      </w:pPr>
      <w:r>
        <w:rPr>
          <w:rFonts w:ascii="宋体" w:hAnsi="宋体" w:cs="宋体"/>
          <w:kern w:val="2"/>
          <w:szCs w:val="24"/>
          <w:highlight w:val="none"/>
        </w:rPr>
        <w:t>标项一</w:t>
      </w:r>
      <w:r>
        <w:rPr>
          <w:rFonts w:hint="eastAsia" w:ascii="宋体" w:hAnsi="宋体" w:cs="宋体"/>
          <w:kern w:val="2"/>
          <w:szCs w:val="24"/>
          <w:highlight w:val="none"/>
        </w:rPr>
        <w:br w:type="textWrapping"/>
      </w:r>
      <w:r>
        <w:rPr>
          <w:rFonts w:hint="eastAsia" w:ascii="宋体" w:hAnsi="宋体" w:cs="宋体"/>
          <w:kern w:val="2"/>
          <w:szCs w:val="24"/>
          <w:highlight w:val="none"/>
        </w:rPr>
        <w:t>标项名称: </w:t>
      </w:r>
      <w:r>
        <w:rPr>
          <w:rFonts w:ascii="宋体" w:hAnsi="宋体" w:cs="宋体"/>
          <w:kern w:val="2"/>
          <w:szCs w:val="24"/>
          <w:highlight w:val="none"/>
        </w:rPr>
        <w:t>采购包1</w:t>
      </w:r>
      <w:r>
        <w:rPr>
          <w:rFonts w:hint="eastAsia" w:ascii="宋体" w:hAnsi="宋体" w:cs="宋体"/>
          <w:kern w:val="2"/>
          <w:szCs w:val="24"/>
          <w:highlight w:val="none"/>
        </w:rPr>
        <w:t> </w:t>
      </w:r>
      <w:r>
        <w:rPr>
          <w:rFonts w:hint="eastAsia" w:ascii="宋体" w:hAnsi="宋体" w:cs="宋体"/>
          <w:kern w:val="2"/>
          <w:szCs w:val="24"/>
          <w:highlight w:val="none"/>
        </w:rPr>
        <w:br w:type="textWrapping"/>
      </w:r>
      <w:r>
        <w:rPr>
          <w:rFonts w:hint="eastAsia" w:ascii="宋体" w:hAnsi="宋体" w:cs="宋体"/>
          <w:kern w:val="2"/>
          <w:szCs w:val="24"/>
          <w:highlight w:val="none"/>
        </w:rPr>
        <w:t>数量:  </w:t>
      </w:r>
      <w:r>
        <w:rPr>
          <w:rFonts w:hint="eastAsia" w:ascii="宋体" w:hAnsi="宋体" w:cs="宋体"/>
          <w:kern w:val="2"/>
          <w:szCs w:val="24"/>
          <w:highlight w:val="none"/>
        </w:rPr>
        <w:br w:type="textWrapping"/>
      </w:r>
      <w:r>
        <w:rPr>
          <w:rFonts w:hint="eastAsia" w:ascii="宋体" w:hAnsi="宋体" w:cs="宋体"/>
          <w:kern w:val="2"/>
          <w:szCs w:val="24"/>
          <w:highlight w:val="none"/>
        </w:rPr>
        <w:t>预算金额（元）：</w:t>
      </w:r>
      <w:r>
        <w:rPr>
          <w:rFonts w:hint="eastAsia" w:ascii="宋体" w:hAnsi="宋体" w:cs="宋体"/>
          <w:kern w:val="2"/>
          <w:szCs w:val="24"/>
          <w:highlight w:val="none"/>
          <w:lang w:val="en-US" w:eastAsia="zh-CN"/>
        </w:rPr>
        <w:t>4350000</w:t>
      </w:r>
      <w:r>
        <w:rPr>
          <w:rFonts w:hint="eastAsia" w:ascii="宋体" w:hAnsi="宋体" w:cs="宋体"/>
          <w:kern w:val="2"/>
          <w:szCs w:val="24"/>
          <w:highlight w:val="none"/>
        </w:rPr>
        <w:br w:type="textWrapping"/>
      </w:r>
      <w:r>
        <w:rPr>
          <w:rFonts w:hint="eastAsia" w:ascii="宋体" w:hAnsi="宋体" w:cs="宋体"/>
          <w:kern w:val="2"/>
          <w:szCs w:val="24"/>
          <w:highlight w:val="none"/>
        </w:rPr>
        <w:t>简要规格描述或项目基本概况介绍、用途：</w:t>
      </w:r>
      <w:r>
        <w:rPr>
          <w:rFonts w:ascii="宋体" w:hAnsi="宋体" w:cs="宋体"/>
          <w:kern w:val="2"/>
          <w:szCs w:val="24"/>
          <w:highlight w:val="none"/>
        </w:rPr>
        <w:t>具体内容及要求详见招标文件</w:t>
      </w:r>
      <w:r>
        <w:rPr>
          <w:rFonts w:hint="eastAsia" w:ascii="宋体" w:hAnsi="宋体" w:cs="宋体"/>
          <w:kern w:val="2"/>
          <w:szCs w:val="24"/>
          <w:highlight w:val="none"/>
        </w:rPr>
        <w:t>   </w:t>
      </w:r>
    </w:p>
    <w:p w14:paraId="24EEE3DC">
      <w:pPr>
        <w:spacing w:line="360" w:lineRule="auto"/>
        <w:ind w:leftChars="300"/>
        <w:rPr>
          <w:rFonts w:hint="eastAsia" w:ascii="宋体" w:hAnsi="宋体" w:eastAsia="宋体" w:cs="宋体"/>
          <w:sz w:val="24"/>
          <w:szCs w:val="24"/>
          <w:highlight w:val="none"/>
          <w:lang w:eastAsia="zh-CN"/>
        </w:rPr>
      </w:pPr>
      <w:r>
        <w:rPr>
          <w:rFonts w:hint="eastAsia" w:ascii="宋体" w:hAnsi="宋体" w:cs="宋体"/>
          <w:sz w:val="24"/>
          <w:szCs w:val="24"/>
          <w:highlight w:val="none"/>
        </w:rPr>
        <w:t xml:space="preserve">合同履约期限：包 </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sz w:val="24"/>
          <w:szCs w:val="24"/>
          <w:highlight w:val="none"/>
          <w:lang w:eastAsia="zh-CN"/>
        </w:rPr>
        <w:t>签订合同后接到医院通知后60个工作日内完成供货</w:t>
      </w:r>
    </w:p>
    <w:p w14:paraId="732BF499">
      <w:pPr>
        <w:pStyle w:val="21"/>
        <w:widowControl/>
        <w:wordWrap w:val="0"/>
        <w:spacing w:before="60" w:beforeAutospacing="0" w:after="60" w:afterAutospacing="0" w:line="360" w:lineRule="auto"/>
        <w:ind w:leftChars="300"/>
        <w:rPr>
          <w:rFonts w:ascii="宋体" w:hAnsi="宋体" w:cs="宋体"/>
          <w:kern w:val="2"/>
          <w:szCs w:val="24"/>
          <w:highlight w:val="none"/>
        </w:rPr>
      </w:pPr>
      <w:r>
        <w:rPr>
          <w:rFonts w:hint="eastAsia" w:ascii="宋体" w:hAnsi="宋体" w:cs="宋体"/>
          <w:kern w:val="2"/>
          <w:szCs w:val="24"/>
          <w:highlight w:val="none"/>
        </w:rPr>
        <w:t>本项目（否）接受联合体投标。        </w:t>
      </w:r>
    </w:p>
    <w:p w14:paraId="42393B2A">
      <w:pPr>
        <w:pStyle w:val="21"/>
        <w:widowControl/>
        <w:wordWrap w:val="0"/>
        <w:spacing w:before="204" w:beforeAutospacing="0" w:after="204" w:afterAutospacing="0" w:line="360" w:lineRule="auto"/>
        <w:outlineLvl w:val="0"/>
        <w:rPr>
          <w:rFonts w:ascii="宋体" w:hAnsi="宋体" w:cs="宋体"/>
          <w:kern w:val="2"/>
          <w:szCs w:val="24"/>
          <w:highlight w:val="none"/>
        </w:rPr>
      </w:pPr>
      <w:bookmarkStart w:id="14" w:name="_Toc15587"/>
      <w:r>
        <w:rPr>
          <w:rFonts w:hint="eastAsia" w:ascii="宋体" w:hAnsi="宋体" w:cs="宋体"/>
          <w:kern w:val="2"/>
          <w:szCs w:val="24"/>
          <w:highlight w:val="none"/>
        </w:rPr>
        <w:t>二、申请人的资格要求     </w:t>
      </w:r>
      <w:bookmarkEnd w:id="14"/>
    </w:p>
    <w:p w14:paraId="61D7904C">
      <w:pPr>
        <w:pStyle w:val="21"/>
        <w:widowControl/>
        <w:wordWrap w:val="0"/>
        <w:spacing w:before="60" w:beforeAutospacing="0" w:after="60" w:afterAutospacing="0" w:line="360" w:lineRule="auto"/>
        <w:ind w:leftChars="300"/>
        <w:rPr>
          <w:rFonts w:ascii="宋体" w:hAnsi="宋体" w:cs="宋体"/>
          <w:kern w:val="2"/>
          <w:szCs w:val="24"/>
          <w:highlight w:val="none"/>
        </w:rPr>
      </w:pPr>
      <w:r>
        <w:rPr>
          <w:rFonts w:hint="eastAsia" w:ascii="宋体" w:hAnsi="宋体" w:cs="宋体"/>
          <w:kern w:val="2"/>
          <w:szCs w:val="24"/>
          <w:highlight w:val="none"/>
        </w:rPr>
        <w:t>1.满足《中华人民共和国政府采购法》第二十二条规定；    </w:t>
      </w:r>
    </w:p>
    <w:p w14:paraId="36721ADF">
      <w:pPr>
        <w:pStyle w:val="21"/>
        <w:widowControl/>
        <w:wordWrap w:val="0"/>
        <w:spacing w:before="60" w:beforeAutospacing="0" w:after="60" w:afterAutospacing="0" w:line="360" w:lineRule="auto"/>
        <w:ind w:leftChars="300"/>
        <w:rPr>
          <w:rFonts w:ascii="宋体" w:hAnsi="宋体" w:cs="宋体"/>
          <w:kern w:val="2"/>
          <w:szCs w:val="24"/>
          <w:highlight w:val="none"/>
        </w:rPr>
      </w:pPr>
      <w:r>
        <w:rPr>
          <w:rFonts w:hint="eastAsia" w:ascii="宋体" w:hAnsi="宋体" w:cs="宋体"/>
          <w:kern w:val="2"/>
          <w:szCs w:val="24"/>
          <w:highlight w:val="none"/>
        </w:rPr>
        <w:t>2.落实政府采购政策需满足的资格要求：包1：无  </w:t>
      </w:r>
    </w:p>
    <w:p w14:paraId="6EA1CBC9">
      <w:pPr>
        <w:pStyle w:val="21"/>
        <w:widowControl/>
        <w:wordWrap w:val="0"/>
        <w:spacing w:before="60" w:beforeAutospacing="0" w:after="60" w:afterAutospacing="0" w:line="360" w:lineRule="auto"/>
        <w:ind w:leftChars="300"/>
        <w:rPr>
          <w:rFonts w:ascii="宋体" w:hAnsi="宋体" w:cs="宋体"/>
          <w:kern w:val="2"/>
          <w:szCs w:val="24"/>
          <w:highlight w:val="none"/>
        </w:rPr>
      </w:pPr>
      <w:r>
        <w:rPr>
          <w:rFonts w:hint="eastAsia" w:ascii="宋体" w:hAnsi="宋体" w:cs="宋体"/>
          <w:kern w:val="2"/>
          <w:szCs w:val="24"/>
          <w:highlight w:val="none"/>
        </w:rPr>
        <w:t>3.本项目的特定资格要求：</w:t>
      </w:r>
      <w:r>
        <w:rPr>
          <w:rFonts w:hint="eastAsia" w:ascii="宋体" w:hAnsi="宋体" w:cs="宋体"/>
          <w:kern w:val="2"/>
          <w:szCs w:val="24"/>
          <w:highlight w:val="none"/>
        </w:rPr>
        <w:br w:type="textWrapping"/>
      </w:r>
      <w:r>
        <w:rPr>
          <w:rFonts w:hint="eastAsia" w:ascii="宋体" w:hAnsi="宋体" w:cs="宋体"/>
          <w:kern w:val="2"/>
          <w:szCs w:val="24"/>
          <w:highlight w:val="none"/>
        </w:rPr>
        <w:t>【包1】</w:t>
      </w:r>
      <w:r>
        <w:rPr>
          <w:rFonts w:hint="eastAsia" w:ascii="宋体" w:hAnsi="宋体" w:cs="宋体"/>
          <w:kern w:val="2"/>
          <w:szCs w:val="24"/>
          <w:highlight w:val="none"/>
        </w:rPr>
        <w:br w:type="textWrapping"/>
      </w:r>
      <w:r>
        <w:rPr>
          <w:rFonts w:hint="eastAsia" w:ascii="宋体" w:hAnsi="宋体" w:cs="宋体"/>
          <w:kern w:val="2"/>
          <w:szCs w:val="24"/>
          <w:highlight w:val="none"/>
          <w:lang w:val="en-US" w:eastAsia="zh-CN"/>
        </w:rPr>
        <w:t xml:space="preserve">    </w:t>
      </w:r>
      <w:r>
        <w:rPr>
          <w:rFonts w:hint="eastAsia" w:ascii="宋体" w:hAnsi="宋体" w:cs="宋体"/>
          <w:kern w:val="2"/>
          <w:szCs w:val="24"/>
          <w:highlight w:val="none"/>
        </w:rPr>
        <w:t>供应商属于医疗器械生产企业直接参加投标的，一类医疗器械提供生产备案凭证；二类、三类医疗器械提供生产企业许可证。供应商属于医疗器械经营企业的参加投标的，二类医疗器械提供经营备案凭证，三类医疗器械提供经营许可证，一类医疗器械可不提供（所投产品不属于医疗器械的，供应商可不提供）；本次所投产品属于二类、三类医疗器械的，须提供医疗器械注册证或注册登记表，属于一类医疗器械提供备案凭证（所投产品不属于医疗器械的，供应商可不提供）   </w:t>
      </w:r>
    </w:p>
    <w:p w14:paraId="5214A0AD">
      <w:pPr>
        <w:pStyle w:val="21"/>
        <w:widowControl/>
        <w:wordWrap w:val="0"/>
        <w:spacing w:before="204" w:beforeAutospacing="0" w:after="204" w:afterAutospacing="0" w:line="360" w:lineRule="auto"/>
        <w:outlineLvl w:val="0"/>
        <w:rPr>
          <w:rFonts w:ascii="宋体" w:hAnsi="宋体" w:cs="宋体"/>
          <w:kern w:val="2"/>
          <w:szCs w:val="24"/>
          <w:highlight w:val="none"/>
        </w:rPr>
      </w:pPr>
      <w:bookmarkStart w:id="15" w:name="_Toc32513"/>
      <w:r>
        <w:rPr>
          <w:rFonts w:hint="eastAsia" w:ascii="宋体" w:hAnsi="宋体" w:cs="宋体"/>
          <w:kern w:val="2"/>
          <w:szCs w:val="24"/>
          <w:highlight w:val="none"/>
        </w:rPr>
        <w:t>三、获取招标文件    </w:t>
      </w:r>
      <w:bookmarkEnd w:id="15"/>
    </w:p>
    <w:p w14:paraId="4AA8213F">
      <w:pPr>
        <w:pStyle w:val="21"/>
        <w:widowControl/>
        <w:wordWrap w:val="0"/>
        <w:spacing w:before="60" w:beforeAutospacing="0" w:after="60" w:afterAutospacing="0" w:line="360" w:lineRule="auto"/>
        <w:ind w:firstLine="420"/>
        <w:rPr>
          <w:rFonts w:ascii="宋体" w:hAnsi="宋体" w:cs="宋体"/>
          <w:kern w:val="2"/>
          <w:szCs w:val="24"/>
          <w:highlight w:val="none"/>
        </w:rPr>
      </w:pPr>
      <w:r>
        <w:rPr>
          <w:rFonts w:hint="eastAsia" w:ascii="宋体" w:hAnsi="宋体" w:cs="宋体"/>
          <w:kern w:val="2"/>
          <w:szCs w:val="24"/>
          <w:highlight w:val="none"/>
        </w:rPr>
        <w:t>时间：202</w:t>
      </w:r>
      <w:r>
        <w:rPr>
          <w:rFonts w:hint="eastAsia" w:ascii="宋体" w:hAnsi="宋体" w:cs="宋体"/>
          <w:kern w:val="2"/>
          <w:szCs w:val="24"/>
          <w:highlight w:val="none"/>
          <w:lang w:val="en-US" w:eastAsia="zh-CN"/>
        </w:rPr>
        <w:t>6</w:t>
      </w:r>
      <w:r>
        <w:rPr>
          <w:rFonts w:hint="eastAsia" w:ascii="宋体" w:hAnsi="宋体" w:cs="宋体"/>
          <w:kern w:val="2"/>
          <w:szCs w:val="24"/>
          <w:highlight w:val="none"/>
        </w:rPr>
        <w:t>年</w:t>
      </w:r>
      <w:r>
        <w:rPr>
          <w:rFonts w:hint="eastAsia" w:ascii="宋体" w:hAnsi="宋体" w:cs="宋体"/>
          <w:kern w:val="2"/>
          <w:szCs w:val="24"/>
          <w:highlight w:val="none"/>
          <w:lang w:val="en-US" w:eastAsia="zh-CN"/>
        </w:rPr>
        <w:t>4</w:t>
      </w:r>
      <w:r>
        <w:rPr>
          <w:rFonts w:hint="eastAsia" w:ascii="宋体" w:hAnsi="宋体" w:cs="宋体"/>
          <w:kern w:val="2"/>
          <w:szCs w:val="24"/>
          <w:highlight w:val="none"/>
        </w:rPr>
        <w:t>月</w:t>
      </w:r>
      <w:r>
        <w:rPr>
          <w:rFonts w:hint="eastAsia" w:ascii="宋体" w:hAnsi="宋体" w:cs="宋体"/>
          <w:kern w:val="2"/>
          <w:szCs w:val="24"/>
          <w:highlight w:val="none"/>
          <w:lang w:val="en-US" w:eastAsia="zh-CN"/>
        </w:rPr>
        <w:t>16</w:t>
      </w:r>
      <w:r>
        <w:rPr>
          <w:rFonts w:hint="eastAsia" w:ascii="宋体" w:hAnsi="宋体" w:cs="宋体"/>
          <w:kern w:val="2"/>
          <w:szCs w:val="24"/>
          <w:highlight w:val="none"/>
        </w:rPr>
        <w:t>至202</w:t>
      </w:r>
      <w:r>
        <w:rPr>
          <w:rFonts w:hint="eastAsia" w:ascii="宋体" w:hAnsi="宋体" w:cs="宋体"/>
          <w:kern w:val="2"/>
          <w:szCs w:val="24"/>
          <w:highlight w:val="none"/>
          <w:lang w:val="en-US" w:eastAsia="zh-CN"/>
        </w:rPr>
        <w:t>6</w:t>
      </w:r>
      <w:r>
        <w:rPr>
          <w:rFonts w:hint="eastAsia" w:ascii="宋体" w:hAnsi="宋体" w:cs="宋体"/>
          <w:kern w:val="2"/>
          <w:szCs w:val="24"/>
          <w:highlight w:val="none"/>
        </w:rPr>
        <w:t>年</w:t>
      </w:r>
      <w:r>
        <w:rPr>
          <w:rFonts w:hint="eastAsia" w:ascii="宋体" w:hAnsi="宋体" w:cs="宋体"/>
          <w:kern w:val="2"/>
          <w:szCs w:val="24"/>
          <w:highlight w:val="none"/>
          <w:lang w:val="en-US" w:eastAsia="zh-CN"/>
        </w:rPr>
        <w:t>4</w:t>
      </w:r>
      <w:r>
        <w:rPr>
          <w:rFonts w:hint="eastAsia" w:ascii="宋体" w:hAnsi="宋体" w:cs="宋体"/>
          <w:kern w:val="2"/>
          <w:szCs w:val="24"/>
          <w:highlight w:val="none"/>
        </w:rPr>
        <w:t>月</w:t>
      </w:r>
      <w:r>
        <w:rPr>
          <w:rFonts w:hint="eastAsia" w:ascii="宋体" w:hAnsi="宋体" w:cs="宋体"/>
          <w:kern w:val="2"/>
          <w:szCs w:val="24"/>
          <w:highlight w:val="none"/>
          <w:lang w:val="en-US" w:eastAsia="zh-CN"/>
        </w:rPr>
        <w:t>23</w:t>
      </w:r>
      <w:r>
        <w:rPr>
          <w:rFonts w:hint="eastAsia" w:ascii="宋体" w:hAnsi="宋体" w:cs="宋体"/>
          <w:kern w:val="2"/>
          <w:szCs w:val="24"/>
          <w:highlight w:val="none"/>
        </w:rPr>
        <w:t>日，每天上午00:00至12:00，下午12:00至23:59（北京时间，法定节假日除外）        </w:t>
      </w:r>
    </w:p>
    <w:p w14:paraId="3F39801C">
      <w:pPr>
        <w:pStyle w:val="21"/>
        <w:widowControl/>
        <w:wordWrap w:val="0"/>
        <w:spacing w:before="60" w:beforeAutospacing="0" w:after="60" w:afterAutospacing="0" w:line="360" w:lineRule="auto"/>
        <w:ind w:firstLine="420"/>
        <w:rPr>
          <w:rFonts w:ascii="宋体" w:hAnsi="宋体" w:cs="宋体"/>
          <w:kern w:val="2"/>
          <w:szCs w:val="24"/>
          <w:highlight w:val="none"/>
        </w:rPr>
      </w:pPr>
      <w:r>
        <w:rPr>
          <w:rFonts w:hint="eastAsia" w:ascii="宋体" w:hAnsi="宋体" w:cs="宋体"/>
          <w:kern w:val="2"/>
          <w:szCs w:val="24"/>
          <w:highlight w:val="none"/>
        </w:rPr>
        <w:t>地点：政采云平台线上获取</w:t>
      </w:r>
    </w:p>
    <w:p w14:paraId="47959A5C">
      <w:pPr>
        <w:pStyle w:val="21"/>
        <w:widowControl/>
        <w:wordWrap w:val="0"/>
        <w:spacing w:before="60" w:beforeAutospacing="0" w:after="60" w:afterAutospacing="0" w:line="360" w:lineRule="auto"/>
        <w:ind w:firstLine="420"/>
        <w:rPr>
          <w:rFonts w:ascii="宋体" w:hAnsi="宋体" w:cs="宋体"/>
          <w:kern w:val="2"/>
          <w:szCs w:val="24"/>
          <w:highlight w:val="none"/>
        </w:rPr>
      </w:pPr>
      <w:r>
        <w:rPr>
          <w:rFonts w:hint="eastAsia" w:ascii="宋体" w:hAnsi="宋体" w:cs="宋体"/>
          <w:kern w:val="2"/>
          <w:szCs w:val="24"/>
          <w:highlight w:val="none"/>
        </w:rPr>
        <w:t>方式：在线获取       </w:t>
      </w:r>
    </w:p>
    <w:p w14:paraId="18815732">
      <w:pPr>
        <w:pStyle w:val="21"/>
        <w:widowControl/>
        <w:wordWrap w:val="0"/>
        <w:spacing w:before="60" w:beforeAutospacing="0" w:after="60" w:afterAutospacing="0" w:line="360" w:lineRule="auto"/>
        <w:ind w:firstLine="420"/>
        <w:rPr>
          <w:rFonts w:ascii="宋体" w:hAnsi="宋体" w:cs="宋体"/>
          <w:kern w:val="2"/>
          <w:szCs w:val="24"/>
          <w:highlight w:val="none"/>
        </w:rPr>
      </w:pPr>
      <w:r>
        <w:rPr>
          <w:rFonts w:hint="eastAsia" w:ascii="宋体" w:hAnsi="宋体" w:cs="宋体"/>
          <w:kern w:val="2"/>
          <w:szCs w:val="24"/>
          <w:highlight w:val="none"/>
        </w:rPr>
        <w:t>售价（元）：0       </w:t>
      </w:r>
    </w:p>
    <w:p w14:paraId="5CB7D9DD">
      <w:pPr>
        <w:pStyle w:val="21"/>
        <w:widowControl/>
        <w:wordWrap w:val="0"/>
        <w:spacing w:before="204" w:beforeAutospacing="0" w:after="204" w:afterAutospacing="0" w:line="360" w:lineRule="auto"/>
        <w:outlineLvl w:val="0"/>
        <w:rPr>
          <w:rFonts w:ascii="宋体" w:hAnsi="宋体" w:cs="宋体"/>
          <w:kern w:val="2"/>
          <w:szCs w:val="24"/>
          <w:highlight w:val="none"/>
        </w:rPr>
      </w:pPr>
      <w:bookmarkStart w:id="16" w:name="_Toc27799"/>
      <w:r>
        <w:rPr>
          <w:rFonts w:hint="eastAsia" w:ascii="宋体" w:hAnsi="宋体" w:cs="宋体"/>
          <w:kern w:val="2"/>
          <w:szCs w:val="24"/>
          <w:highlight w:val="none"/>
        </w:rPr>
        <w:t>四、提交投标文件截止时间、开标时间和地点    </w:t>
      </w:r>
      <w:bookmarkEnd w:id="16"/>
    </w:p>
    <w:p w14:paraId="25AF2B66">
      <w:pPr>
        <w:pStyle w:val="21"/>
        <w:widowControl/>
        <w:wordWrap w:val="0"/>
        <w:spacing w:before="60" w:beforeAutospacing="0" w:after="60" w:afterAutospacing="0" w:line="360" w:lineRule="auto"/>
        <w:ind w:leftChars="200"/>
        <w:rPr>
          <w:rFonts w:ascii="宋体" w:hAnsi="宋体" w:cs="宋体"/>
          <w:kern w:val="2"/>
          <w:szCs w:val="24"/>
          <w:highlight w:val="none"/>
        </w:rPr>
      </w:pPr>
      <w:r>
        <w:rPr>
          <w:rFonts w:hint="eastAsia" w:ascii="宋体" w:hAnsi="宋体" w:cs="宋体"/>
          <w:kern w:val="2"/>
          <w:szCs w:val="24"/>
          <w:highlight w:val="none"/>
        </w:rPr>
        <w:t>提交投标文件截止时间：</w:t>
      </w:r>
      <w:r>
        <w:rPr>
          <w:rFonts w:hint="eastAsia" w:ascii="宋体" w:hAnsi="宋体" w:cs="宋体"/>
          <w:sz w:val="24"/>
          <w:szCs w:val="24"/>
          <w:highlight w:val="none"/>
          <w:lang w:eastAsia="zh-CN"/>
        </w:rPr>
        <w:t>2026年05月09日</w:t>
      </w:r>
      <w:r>
        <w:rPr>
          <w:rFonts w:hint="eastAsia" w:ascii="宋体" w:hAnsi="宋体" w:cs="宋体"/>
          <w:kern w:val="2"/>
          <w:szCs w:val="24"/>
          <w:highlight w:val="none"/>
        </w:rPr>
        <w:t>09:</w:t>
      </w:r>
      <w:r>
        <w:rPr>
          <w:rFonts w:hint="eastAsia" w:ascii="宋体" w:hAnsi="宋体" w:cs="宋体"/>
          <w:kern w:val="2"/>
          <w:szCs w:val="24"/>
          <w:highlight w:val="none"/>
          <w:lang w:val="en-US" w:eastAsia="zh-CN"/>
        </w:rPr>
        <w:t>30</w:t>
      </w:r>
      <w:r>
        <w:rPr>
          <w:rFonts w:hint="eastAsia" w:ascii="宋体" w:hAnsi="宋体" w:cs="宋体"/>
          <w:kern w:val="2"/>
          <w:szCs w:val="24"/>
          <w:highlight w:val="none"/>
        </w:rPr>
        <w:t>（北京时间）        </w:t>
      </w:r>
    </w:p>
    <w:p w14:paraId="64AAB369">
      <w:pPr>
        <w:pStyle w:val="21"/>
        <w:widowControl/>
        <w:wordWrap w:val="0"/>
        <w:spacing w:before="60" w:beforeAutospacing="0" w:after="60" w:afterAutospacing="0" w:line="360" w:lineRule="auto"/>
        <w:ind w:leftChars="200"/>
        <w:rPr>
          <w:rFonts w:ascii="宋体" w:hAnsi="宋体" w:cs="宋体"/>
          <w:kern w:val="2"/>
          <w:szCs w:val="24"/>
          <w:highlight w:val="none"/>
        </w:rPr>
      </w:pPr>
      <w:r>
        <w:rPr>
          <w:rFonts w:hint="eastAsia" w:ascii="宋体" w:hAnsi="宋体" w:cs="宋体"/>
          <w:kern w:val="2"/>
          <w:szCs w:val="24"/>
          <w:highlight w:val="none"/>
        </w:rPr>
        <w:t>投标地点（网址）：请登录政采云投标客户端投标     </w:t>
      </w:r>
    </w:p>
    <w:p w14:paraId="4B09DB7C">
      <w:pPr>
        <w:pStyle w:val="21"/>
        <w:widowControl/>
        <w:wordWrap w:val="0"/>
        <w:spacing w:before="60" w:beforeAutospacing="0" w:after="60" w:afterAutospacing="0" w:line="360" w:lineRule="auto"/>
        <w:ind w:leftChars="200"/>
        <w:rPr>
          <w:rFonts w:ascii="宋体" w:hAnsi="宋体" w:cs="宋体"/>
          <w:kern w:val="2"/>
          <w:szCs w:val="24"/>
          <w:highlight w:val="none"/>
        </w:rPr>
      </w:pPr>
      <w:r>
        <w:rPr>
          <w:rFonts w:hint="eastAsia" w:ascii="宋体" w:hAnsi="宋体" w:cs="宋体"/>
          <w:kern w:val="2"/>
          <w:szCs w:val="24"/>
          <w:highlight w:val="none"/>
        </w:rPr>
        <w:t>开标时间：</w:t>
      </w:r>
      <w:r>
        <w:rPr>
          <w:rFonts w:hint="eastAsia" w:ascii="宋体" w:hAnsi="宋体" w:cs="宋体"/>
          <w:sz w:val="24"/>
          <w:szCs w:val="24"/>
          <w:highlight w:val="none"/>
          <w:lang w:eastAsia="zh-CN"/>
        </w:rPr>
        <w:t>2026年05月09日</w:t>
      </w:r>
      <w:r>
        <w:rPr>
          <w:rFonts w:hint="eastAsia" w:ascii="宋体" w:hAnsi="宋体" w:cs="宋体"/>
          <w:kern w:val="2"/>
          <w:szCs w:val="24"/>
          <w:highlight w:val="none"/>
        </w:rPr>
        <w:t>0</w:t>
      </w:r>
      <w:r>
        <w:rPr>
          <w:rFonts w:hint="eastAsia" w:ascii="宋体" w:hAnsi="宋体" w:cs="宋体"/>
          <w:kern w:val="2"/>
          <w:szCs w:val="24"/>
          <w:highlight w:val="none"/>
          <w:lang w:val="en-US" w:eastAsia="zh-CN"/>
        </w:rPr>
        <w:t>9</w:t>
      </w:r>
      <w:r>
        <w:rPr>
          <w:rFonts w:hint="eastAsia" w:ascii="宋体" w:hAnsi="宋体" w:cs="宋体"/>
          <w:kern w:val="2"/>
          <w:szCs w:val="24"/>
          <w:highlight w:val="none"/>
        </w:rPr>
        <w:t>时</w:t>
      </w:r>
      <w:r>
        <w:rPr>
          <w:rFonts w:hint="eastAsia" w:ascii="宋体" w:hAnsi="宋体" w:cs="宋体"/>
          <w:kern w:val="2"/>
          <w:szCs w:val="24"/>
          <w:highlight w:val="none"/>
          <w:lang w:val="en-US" w:eastAsia="zh-CN"/>
        </w:rPr>
        <w:t>30</w:t>
      </w:r>
      <w:r>
        <w:rPr>
          <w:rFonts w:hint="eastAsia" w:ascii="宋体" w:hAnsi="宋体" w:cs="宋体"/>
          <w:kern w:val="2"/>
          <w:szCs w:val="24"/>
          <w:highlight w:val="none"/>
        </w:rPr>
        <w:t>分        </w:t>
      </w:r>
    </w:p>
    <w:p w14:paraId="68B97EE6">
      <w:pPr>
        <w:wordWrap w:val="0"/>
        <w:adjustRightInd w:val="0"/>
        <w:snapToGrid w:val="0"/>
        <w:spacing w:line="360" w:lineRule="auto"/>
        <w:ind w:leftChars="200"/>
        <w:rPr>
          <w:rFonts w:ascii="宋体" w:hAnsi="宋体" w:cs="宋体"/>
          <w:sz w:val="24"/>
          <w:szCs w:val="24"/>
          <w:highlight w:val="none"/>
        </w:rPr>
      </w:pPr>
      <w:r>
        <w:rPr>
          <w:rFonts w:hint="eastAsia" w:ascii="宋体" w:hAnsi="宋体" w:cs="宋体"/>
          <w:sz w:val="24"/>
          <w:szCs w:val="24"/>
          <w:highlight w:val="none"/>
        </w:rPr>
        <w:t>开标地点：</w:t>
      </w:r>
      <w:r>
        <w:rPr>
          <w:rFonts w:hint="eastAsia" w:ascii="宋体" w:hAnsi="宋体" w:cs="宋体"/>
          <w:sz w:val="24"/>
          <w:szCs w:val="24"/>
          <w:highlight w:val="none"/>
          <w:lang w:eastAsia="zh-CN"/>
        </w:rPr>
        <w:t>长治市潞州区世纪城写字楼1009</w:t>
      </w:r>
      <w:r>
        <w:rPr>
          <w:rFonts w:hint="eastAsia" w:ascii="宋体" w:hAnsi="宋体" w:cs="宋体"/>
          <w:sz w:val="24"/>
          <w:szCs w:val="24"/>
          <w:highlight w:val="none"/>
        </w:rPr>
        <w:t>   </w:t>
      </w:r>
    </w:p>
    <w:p w14:paraId="5B439A71">
      <w:pPr>
        <w:pStyle w:val="21"/>
        <w:widowControl/>
        <w:wordWrap w:val="0"/>
        <w:spacing w:before="204" w:beforeAutospacing="0" w:after="204" w:afterAutospacing="0" w:line="360" w:lineRule="auto"/>
        <w:outlineLvl w:val="0"/>
        <w:rPr>
          <w:rFonts w:ascii="宋体" w:hAnsi="宋体" w:cs="宋体"/>
          <w:kern w:val="2"/>
          <w:szCs w:val="24"/>
          <w:highlight w:val="none"/>
        </w:rPr>
      </w:pPr>
      <w:bookmarkStart w:id="17" w:name="_Toc1017"/>
      <w:r>
        <w:rPr>
          <w:rFonts w:hint="eastAsia" w:ascii="宋体" w:hAnsi="宋体" w:cs="宋体"/>
          <w:kern w:val="2"/>
          <w:szCs w:val="24"/>
          <w:highlight w:val="none"/>
        </w:rPr>
        <w:t>五、公告期限     </w:t>
      </w:r>
      <w:bookmarkEnd w:id="17"/>
    </w:p>
    <w:p w14:paraId="5D391C7A">
      <w:pPr>
        <w:pStyle w:val="21"/>
        <w:widowControl/>
        <w:wordWrap w:val="0"/>
        <w:spacing w:before="60" w:beforeAutospacing="0" w:after="60" w:afterAutospacing="0" w:line="360" w:lineRule="auto"/>
        <w:ind w:firstLine="420"/>
        <w:rPr>
          <w:rFonts w:ascii="宋体" w:hAnsi="宋体" w:cs="宋体"/>
          <w:kern w:val="2"/>
          <w:szCs w:val="24"/>
          <w:highlight w:val="none"/>
        </w:rPr>
      </w:pPr>
      <w:r>
        <w:rPr>
          <w:rFonts w:hint="eastAsia" w:ascii="宋体" w:hAnsi="宋体" w:cs="宋体"/>
          <w:kern w:val="2"/>
          <w:szCs w:val="24"/>
          <w:highlight w:val="none"/>
        </w:rPr>
        <w:t>自本公告发布之日起5个工作日。    </w:t>
      </w:r>
    </w:p>
    <w:p w14:paraId="4C6883B1">
      <w:pPr>
        <w:pStyle w:val="21"/>
        <w:widowControl/>
        <w:wordWrap w:val="0"/>
        <w:spacing w:before="204" w:beforeAutospacing="0" w:after="204" w:afterAutospacing="0" w:line="360" w:lineRule="auto"/>
        <w:outlineLvl w:val="0"/>
        <w:rPr>
          <w:rFonts w:ascii="宋体" w:hAnsi="宋体" w:cs="宋体"/>
          <w:kern w:val="2"/>
          <w:szCs w:val="24"/>
          <w:highlight w:val="none"/>
        </w:rPr>
      </w:pPr>
      <w:bookmarkStart w:id="18" w:name="_Toc27026"/>
      <w:r>
        <w:rPr>
          <w:rFonts w:hint="eastAsia" w:ascii="宋体" w:hAnsi="宋体" w:cs="宋体"/>
          <w:kern w:val="2"/>
          <w:szCs w:val="24"/>
          <w:highlight w:val="none"/>
        </w:rPr>
        <w:t>六、其他补充事宜    </w:t>
      </w:r>
      <w:bookmarkEnd w:id="18"/>
    </w:p>
    <w:p w14:paraId="63CCC9EC">
      <w:pPr>
        <w:pStyle w:val="21"/>
        <w:widowControl/>
        <w:wordWrap w:val="0"/>
        <w:spacing w:before="60" w:beforeAutospacing="0" w:after="60" w:afterAutospacing="0" w:line="360" w:lineRule="auto"/>
        <w:ind w:firstLine="480" w:firstLineChars="200"/>
        <w:rPr>
          <w:rFonts w:hint="eastAsia" w:ascii="宋体" w:hAnsi="宋体" w:cs="宋体"/>
          <w:kern w:val="2"/>
          <w:szCs w:val="24"/>
          <w:highlight w:val="none"/>
        </w:rPr>
      </w:pPr>
      <w:r>
        <w:rPr>
          <w:rFonts w:hint="eastAsia" w:ascii="宋体" w:hAnsi="宋体" w:cs="宋体"/>
          <w:kern w:val="2"/>
          <w:szCs w:val="24"/>
          <w:highlight w:val="none"/>
        </w:rPr>
        <w:t>1、针对本项目的质疑需一次性提出，多次提出将不予受理。供应商参与山西省政府采购项目时，符合法定质疑条件的，通过政府采购平台进入"项目质疑管理”栏目-质疑列表向采购人、</w:t>
      </w:r>
      <w:r>
        <w:rPr>
          <w:rFonts w:hint="eastAsia" w:ascii="宋体" w:hAnsi="宋体" w:cs="宋体"/>
          <w:kern w:val="2"/>
          <w:szCs w:val="24"/>
          <w:highlight w:val="none"/>
          <w:lang w:eastAsia="zh-CN"/>
        </w:rPr>
        <w:t>采购代理机构</w:t>
      </w:r>
      <w:r>
        <w:rPr>
          <w:rFonts w:hint="eastAsia" w:ascii="宋体" w:hAnsi="宋体" w:cs="宋体"/>
          <w:kern w:val="2"/>
          <w:szCs w:val="24"/>
          <w:highlight w:val="none"/>
        </w:rPr>
        <w:t>在线提起质疑。</w:t>
      </w:r>
    </w:p>
    <w:p w14:paraId="22860F8D">
      <w:pPr>
        <w:pStyle w:val="21"/>
        <w:widowControl/>
        <w:wordWrap w:val="0"/>
        <w:spacing w:before="60" w:beforeAutospacing="0" w:after="60" w:afterAutospacing="0" w:line="360" w:lineRule="auto"/>
        <w:ind w:firstLine="480" w:firstLineChars="200"/>
        <w:rPr>
          <w:rFonts w:hint="eastAsia" w:ascii="宋体" w:hAnsi="宋体" w:cs="宋体"/>
          <w:kern w:val="2"/>
          <w:szCs w:val="24"/>
          <w:highlight w:val="none"/>
        </w:rPr>
      </w:pPr>
      <w:r>
        <w:rPr>
          <w:rFonts w:hint="eastAsia" w:ascii="宋体" w:hAnsi="宋体" w:cs="宋体"/>
          <w:kern w:val="2"/>
          <w:szCs w:val="24"/>
          <w:highlight w:val="none"/>
        </w:rPr>
        <w:t>2、针对本项目质疑采购人、</w:t>
      </w:r>
      <w:r>
        <w:rPr>
          <w:rFonts w:hint="eastAsia" w:ascii="宋体" w:hAnsi="宋体" w:cs="宋体"/>
          <w:kern w:val="2"/>
          <w:szCs w:val="24"/>
          <w:highlight w:val="none"/>
          <w:lang w:eastAsia="zh-CN"/>
        </w:rPr>
        <w:t>采购代理机构</w:t>
      </w:r>
      <w:r>
        <w:rPr>
          <w:rFonts w:hint="eastAsia" w:ascii="宋体" w:hAnsi="宋体" w:cs="宋体"/>
          <w:kern w:val="2"/>
          <w:szCs w:val="24"/>
          <w:highlight w:val="none"/>
        </w:rPr>
        <w:t>的答复不满意，或者采购人、</w:t>
      </w:r>
      <w:r>
        <w:rPr>
          <w:rFonts w:hint="eastAsia" w:ascii="宋体" w:hAnsi="宋体" w:cs="宋体"/>
          <w:kern w:val="2"/>
          <w:szCs w:val="24"/>
          <w:highlight w:val="none"/>
          <w:lang w:eastAsia="zh-CN"/>
        </w:rPr>
        <w:t>采购代理机构</w:t>
      </w:r>
      <w:r>
        <w:rPr>
          <w:rFonts w:hint="eastAsia" w:ascii="宋体" w:hAnsi="宋体" w:cs="宋体"/>
          <w:kern w:val="2"/>
          <w:szCs w:val="24"/>
          <w:highlight w:val="none"/>
        </w:rPr>
        <w:t>未在规定时间内作出答复的，可以在答复期满后15个工作日内，通过政府采购平台进入"项目质疑管理”栏目-投诉列表向财政部门在线提起投诉。</w:t>
      </w:r>
    </w:p>
    <w:p w14:paraId="45BC3E74">
      <w:pPr>
        <w:pStyle w:val="21"/>
        <w:widowControl/>
        <w:wordWrap w:val="0"/>
        <w:spacing w:before="60" w:beforeAutospacing="0" w:after="60" w:afterAutospacing="0" w:line="360" w:lineRule="auto"/>
        <w:ind w:firstLine="480" w:firstLineChars="200"/>
        <w:rPr>
          <w:rFonts w:ascii="宋体" w:hAnsi="宋体" w:cs="宋体"/>
          <w:kern w:val="2"/>
          <w:szCs w:val="24"/>
          <w:highlight w:val="none"/>
        </w:rPr>
      </w:pPr>
      <w:r>
        <w:rPr>
          <w:rFonts w:hint="eastAsia" w:ascii="宋体" w:hAnsi="宋体" w:cs="宋体"/>
          <w:kern w:val="2"/>
          <w:szCs w:val="24"/>
          <w:highlight w:val="none"/>
        </w:rPr>
        <w:t>3、监督部门及电话:</w:t>
      </w:r>
      <w:r>
        <w:rPr>
          <w:rFonts w:hint="eastAsia" w:ascii="宋体" w:hAnsi="宋体" w:cs="宋体"/>
          <w:kern w:val="2"/>
          <w:szCs w:val="24"/>
          <w:highlight w:val="none"/>
          <w:lang w:val="en-US" w:eastAsia="zh-CN"/>
        </w:rPr>
        <w:t xml:space="preserve"> </w:t>
      </w:r>
      <w:r>
        <w:rPr>
          <w:rFonts w:hint="eastAsia" w:ascii="宋体" w:hAnsi="宋体" w:cs="宋体"/>
          <w:kern w:val="2"/>
          <w:szCs w:val="24"/>
          <w:highlight w:val="none"/>
        </w:rPr>
        <w:t>长治市财政局、</w:t>
      </w:r>
      <w:r>
        <w:rPr>
          <w:rFonts w:hint="eastAsia" w:ascii="宋体" w:hAnsi="宋体" w:cs="宋体"/>
          <w:kern w:val="2"/>
          <w:szCs w:val="24"/>
          <w:highlight w:val="none"/>
          <w:lang w:val="en-US" w:eastAsia="zh-CN"/>
        </w:rPr>
        <w:t xml:space="preserve"> </w:t>
      </w:r>
      <w:r>
        <w:rPr>
          <w:rFonts w:hint="eastAsia" w:ascii="宋体" w:hAnsi="宋体" w:cs="宋体"/>
          <w:kern w:val="2"/>
          <w:szCs w:val="24"/>
          <w:highlight w:val="none"/>
        </w:rPr>
        <w:t>0355-2110033      </w:t>
      </w:r>
    </w:p>
    <w:p w14:paraId="3F937FC5">
      <w:pPr>
        <w:pStyle w:val="21"/>
        <w:widowControl/>
        <w:wordWrap w:val="0"/>
        <w:spacing w:before="60" w:beforeAutospacing="0" w:after="60" w:afterAutospacing="0" w:line="360" w:lineRule="auto"/>
        <w:rPr>
          <w:rFonts w:ascii="宋体" w:hAnsi="宋体" w:cs="宋体"/>
          <w:kern w:val="2"/>
          <w:szCs w:val="24"/>
          <w:highlight w:val="none"/>
        </w:rPr>
      </w:pPr>
      <w:r>
        <w:rPr>
          <w:rFonts w:hint="eastAsia" w:ascii="宋体" w:hAnsi="宋体" w:cs="宋体"/>
          <w:kern w:val="2"/>
          <w:szCs w:val="24"/>
          <w:highlight w:val="none"/>
        </w:rPr>
        <w:t xml:space="preserve">  </w:t>
      </w:r>
      <w:r>
        <w:rPr>
          <w:rFonts w:hint="eastAsia" w:ascii="宋体" w:hAnsi="宋体" w:cs="宋体"/>
          <w:kern w:val="2"/>
          <w:szCs w:val="24"/>
          <w:highlight w:val="none"/>
          <w:lang w:val="en-US" w:eastAsia="zh-CN"/>
        </w:rPr>
        <w:t xml:space="preserve"> 4、</w:t>
      </w:r>
      <w:r>
        <w:rPr>
          <w:rFonts w:hint="eastAsia" w:ascii="宋体" w:hAnsi="宋体" w:cs="宋体"/>
          <w:kern w:val="2"/>
          <w:szCs w:val="24"/>
          <w:highlight w:val="none"/>
        </w:rPr>
        <w:t>代理费支付方式：供应商支付 </w:t>
      </w:r>
    </w:p>
    <w:p w14:paraId="3DD2E47E">
      <w:pPr>
        <w:pStyle w:val="21"/>
        <w:widowControl/>
        <w:wordWrap w:val="0"/>
        <w:spacing w:before="60" w:beforeAutospacing="0" w:after="60" w:afterAutospacing="0" w:line="360" w:lineRule="auto"/>
        <w:rPr>
          <w:rFonts w:ascii="宋体" w:hAnsi="宋体" w:cs="宋体"/>
          <w:kern w:val="2"/>
          <w:szCs w:val="24"/>
          <w:highlight w:val="none"/>
        </w:rPr>
      </w:pPr>
      <w:r>
        <w:rPr>
          <w:rFonts w:hint="eastAsia" w:ascii="宋体" w:hAnsi="宋体" w:cs="宋体"/>
          <w:kern w:val="2"/>
          <w:szCs w:val="24"/>
          <w:highlight w:val="none"/>
        </w:rPr>
        <w:t xml:space="preserve">  </w:t>
      </w:r>
      <w:r>
        <w:rPr>
          <w:rFonts w:ascii="宋体" w:hAnsi="宋体" w:cs="宋体"/>
          <w:kern w:val="2"/>
          <w:szCs w:val="24"/>
          <w:highlight w:val="none"/>
        </w:rPr>
        <w:t xml:space="preserve"> </w:t>
      </w:r>
      <w:r>
        <w:rPr>
          <w:rFonts w:hint="eastAsia" w:ascii="宋体" w:hAnsi="宋体" w:cs="宋体"/>
          <w:kern w:val="2"/>
          <w:szCs w:val="24"/>
          <w:highlight w:val="none"/>
          <w:lang w:val="en-US" w:eastAsia="zh-CN"/>
        </w:rPr>
        <w:t>5、</w:t>
      </w:r>
      <w:r>
        <w:rPr>
          <w:rFonts w:hint="eastAsia" w:ascii="宋体" w:hAnsi="宋体" w:cs="宋体"/>
          <w:kern w:val="2"/>
          <w:szCs w:val="24"/>
          <w:highlight w:val="none"/>
        </w:rPr>
        <w:t>代理费收费标准：</w:t>
      </w:r>
      <w:r>
        <w:rPr>
          <w:rFonts w:hint="eastAsia" w:ascii="宋体" w:hAnsi="宋体"/>
          <w:color w:val="000000"/>
          <w:highlight w:val="none"/>
        </w:rPr>
        <w:t>参照国家发展计划委员会文件计价格[2002]1980号、国家发展和改革委员会办公厅文件发改办价格[2003]857号和发改价格[2011]534号文70%执行。</w:t>
      </w:r>
    </w:p>
    <w:p w14:paraId="4D04500D">
      <w:pPr>
        <w:pStyle w:val="21"/>
        <w:widowControl/>
        <w:wordWrap w:val="0"/>
        <w:spacing w:before="60" w:beforeAutospacing="0" w:after="60" w:afterAutospacing="0" w:line="360" w:lineRule="auto"/>
        <w:rPr>
          <w:rFonts w:ascii="宋体" w:hAnsi="宋体" w:cs="宋体"/>
          <w:kern w:val="2"/>
          <w:szCs w:val="24"/>
          <w:highlight w:val="none"/>
        </w:rPr>
      </w:pPr>
      <w:r>
        <w:rPr>
          <w:rFonts w:hint="eastAsia" w:ascii="宋体" w:hAnsi="宋体" w:cs="宋体"/>
          <w:kern w:val="2"/>
          <w:szCs w:val="24"/>
          <w:highlight w:val="none"/>
        </w:rPr>
        <w:t xml:space="preserve">  </w:t>
      </w:r>
      <w:r>
        <w:rPr>
          <w:rFonts w:hint="eastAsia" w:ascii="宋体" w:hAnsi="宋体" w:cs="宋体"/>
          <w:kern w:val="2"/>
          <w:szCs w:val="24"/>
          <w:highlight w:val="none"/>
          <w:lang w:val="en-US" w:eastAsia="zh-CN"/>
        </w:rPr>
        <w:t xml:space="preserve"> 6、</w:t>
      </w:r>
      <w:r>
        <w:rPr>
          <w:rFonts w:hint="eastAsia" w:ascii="宋体" w:hAnsi="宋体" w:cs="宋体"/>
          <w:kern w:val="2"/>
          <w:szCs w:val="24"/>
          <w:highlight w:val="none"/>
        </w:rPr>
        <w:t>代理费收费金额（元）： /  </w:t>
      </w:r>
    </w:p>
    <w:p w14:paraId="6DFA4BA5">
      <w:pPr>
        <w:pStyle w:val="21"/>
        <w:widowControl/>
        <w:wordWrap w:val="0"/>
        <w:spacing w:before="204" w:beforeAutospacing="0" w:after="204" w:afterAutospacing="0" w:line="360" w:lineRule="auto"/>
        <w:outlineLvl w:val="0"/>
        <w:rPr>
          <w:rFonts w:ascii="宋体" w:hAnsi="宋体" w:cs="宋体"/>
          <w:kern w:val="2"/>
          <w:szCs w:val="24"/>
          <w:highlight w:val="none"/>
        </w:rPr>
      </w:pPr>
      <w:bookmarkStart w:id="19" w:name="_Toc4343"/>
      <w:r>
        <w:rPr>
          <w:rFonts w:hint="eastAsia" w:ascii="宋体" w:hAnsi="宋体" w:cs="宋体"/>
          <w:kern w:val="2"/>
          <w:szCs w:val="24"/>
          <w:highlight w:val="none"/>
        </w:rPr>
        <w:t>七、对本次采购提出询问，请按以下方式联系    </w:t>
      </w:r>
      <w:bookmarkEnd w:id="19"/>
    </w:p>
    <w:p w14:paraId="59280C99">
      <w:pPr>
        <w:pStyle w:val="3"/>
        <w:wordWrap w:val="0"/>
        <w:adjustRightInd w:val="0"/>
        <w:snapToGrid w:val="0"/>
        <w:spacing w:before="0" w:after="0" w:line="360" w:lineRule="auto"/>
        <w:ind w:firstLine="480" w:firstLineChars="200"/>
        <w:outlineLvl w:val="9"/>
        <w:rPr>
          <w:rFonts w:ascii="宋体" w:hAnsi="宋体" w:cs="宋体"/>
          <w:kern w:val="2"/>
          <w:sz w:val="24"/>
          <w:szCs w:val="24"/>
          <w:highlight w:val="none"/>
        </w:rPr>
      </w:pPr>
      <w:r>
        <w:rPr>
          <w:rFonts w:hint="eastAsia" w:ascii="宋体" w:hAnsi="宋体" w:cs="宋体"/>
          <w:kern w:val="2"/>
          <w:sz w:val="24"/>
          <w:szCs w:val="24"/>
          <w:highlight w:val="none"/>
        </w:rPr>
        <w:t>1.采购人信息</w:t>
      </w:r>
    </w:p>
    <w:p w14:paraId="7A82E92F">
      <w:pPr>
        <w:wordWrap w:val="0"/>
        <w:topLinePunct/>
        <w:spacing w:line="360" w:lineRule="auto"/>
        <w:ind w:left="210" w:leftChars="100" w:firstLine="480" w:firstLineChars="200"/>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采购单位：</w:t>
      </w:r>
      <w:r>
        <w:rPr>
          <w:rFonts w:hint="eastAsia" w:ascii="宋体" w:hAnsi="宋体" w:cs="宋体"/>
          <w:sz w:val="24"/>
          <w:szCs w:val="24"/>
          <w:highlight w:val="none"/>
          <w:lang w:eastAsia="zh-CN"/>
        </w:rPr>
        <w:t>长治市中医研究所附属医院</w:t>
      </w:r>
    </w:p>
    <w:p w14:paraId="14E1DF63">
      <w:pPr>
        <w:wordWrap w:val="0"/>
        <w:topLinePunct/>
        <w:spacing w:line="360" w:lineRule="auto"/>
        <w:ind w:left="210" w:leftChars="100" w:firstLine="480" w:firstLineChars="200"/>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联系地址：</w:t>
      </w:r>
      <w:r>
        <w:rPr>
          <w:rFonts w:hint="eastAsia" w:ascii="宋体" w:hAnsi="宋体" w:cs="宋体"/>
          <w:sz w:val="24"/>
          <w:szCs w:val="24"/>
          <w:highlight w:val="none"/>
          <w:lang w:eastAsia="zh-CN"/>
        </w:rPr>
        <w:t>长治市英雄南路紫坊巷2号</w:t>
      </w:r>
    </w:p>
    <w:p w14:paraId="7005BD0F">
      <w:pPr>
        <w:wordWrap w:val="0"/>
        <w:topLinePunct/>
        <w:spacing w:line="360" w:lineRule="auto"/>
        <w:ind w:left="210" w:leftChars="100" w:firstLine="480" w:firstLineChars="200"/>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联系电话：0355-</w:t>
      </w:r>
      <w:r>
        <w:rPr>
          <w:rFonts w:hint="eastAsia" w:ascii="宋体" w:hAnsi="宋体" w:cs="宋体"/>
          <w:sz w:val="24"/>
          <w:szCs w:val="24"/>
          <w:highlight w:val="none"/>
          <w:lang w:eastAsia="zh-CN"/>
        </w:rPr>
        <w:t>3018079</w:t>
      </w:r>
    </w:p>
    <w:p w14:paraId="4D66EF65">
      <w:pPr>
        <w:wordWrap w:val="0"/>
        <w:topLinePunct/>
        <w:spacing w:line="360" w:lineRule="auto"/>
        <w:ind w:firstLine="480" w:firstLineChars="200"/>
        <w:jc w:val="left"/>
        <w:rPr>
          <w:rFonts w:ascii="宋体" w:hAnsi="宋体" w:cs="宋体"/>
          <w:sz w:val="24"/>
          <w:szCs w:val="24"/>
          <w:highlight w:val="none"/>
        </w:rPr>
      </w:pPr>
    </w:p>
    <w:p w14:paraId="1D74974E">
      <w:pPr>
        <w:wordWrap w:val="0"/>
        <w:topLinePunct/>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eastAsia="zh-CN"/>
        </w:rPr>
        <w:t>采购代理机构</w:t>
      </w:r>
      <w:r>
        <w:rPr>
          <w:rFonts w:hint="eastAsia" w:ascii="宋体" w:hAnsi="宋体" w:cs="宋体"/>
          <w:sz w:val="24"/>
          <w:szCs w:val="24"/>
          <w:highlight w:val="none"/>
        </w:rPr>
        <w:t>信息</w:t>
      </w:r>
    </w:p>
    <w:p w14:paraId="60B8FCC2">
      <w:pPr>
        <w:wordWrap w:val="0"/>
        <w:topLinePunct/>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名 称：</w:t>
      </w:r>
      <w:bookmarkStart w:id="20" w:name="_Toc28359087"/>
      <w:bookmarkStart w:id="21" w:name="_Toc28359010"/>
      <w:r>
        <w:rPr>
          <w:rFonts w:hint="eastAsia" w:ascii="宋体" w:hAnsi="宋体" w:cs="宋体"/>
          <w:sz w:val="24"/>
          <w:szCs w:val="24"/>
          <w:highlight w:val="none"/>
        </w:rPr>
        <w:t>中环建(北京)工程管理有限责任公司</w:t>
      </w:r>
    </w:p>
    <w:p w14:paraId="279416C3">
      <w:pPr>
        <w:wordWrap w:val="0"/>
        <w:topLinePunct/>
        <w:spacing w:line="360" w:lineRule="auto"/>
        <w:ind w:firstLine="720" w:firstLineChars="3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地 址：长治市潞州区</w:t>
      </w:r>
      <w:r>
        <w:rPr>
          <w:rFonts w:hint="eastAsia" w:ascii="宋体" w:hAnsi="宋体" w:cs="宋体"/>
          <w:sz w:val="24"/>
          <w:szCs w:val="24"/>
          <w:highlight w:val="none"/>
          <w:lang w:val="en-US" w:eastAsia="zh-CN"/>
        </w:rPr>
        <w:t>世纪城写字楼1009</w:t>
      </w:r>
    </w:p>
    <w:p w14:paraId="6B2661D4">
      <w:pPr>
        <w:wordWrap w:val="0"/>
        <w:topLinePunct/>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联系方式：15534670097</w:t>
      </w:r>
    </w:p>
    <w:p w14:paraId="1DCB04A5">
      <w:pPr>
        <w:wordWrap w:val="0"/>
        <w:topLinePunct/>
        <w:spacing w:line="360" w:lineRule="auto"/>
        <w:ind w:firstLine="720" w:firstLineChars="300"/>
        <w:rPr>
          <w:rFonts w:ascii="宋体" w:hAnsi="宋体" w:cs="宋体"/>
          <w:sz w:val="24"/>
          <w:szCs w:val="24"/>
          <w:highlight w:val="none"/>
        </w:rPr>
      </w:pPr>
    </w:p>
    <w:p w14:paraId="5155FDCC">
      <w:pPr>
        <w:wordWrap w:val="0"/>
        <w:topLinePunct/>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3.项目联系方式</w:t>
      </w:r>
      <w:bookmarkEnd w:id="20"/>
      <w:bookmarkEnd w:id="21"/>
    </w:p>
    <w:p w14:paraId="7DD4E72C">
      <w:pPr>
        <w:pStyle w:val="16"/>
        <w:wordWrap w:val="0"/>
        <w:topLinePunct/>
        <w:spacing w:line="360" w:lineRule="auto"/>
        <w:ind w:firstLine="720" w:firstLineChars="300"/>
        <w:rPr>
          <w:rFonts w:hAnsi="宋体" w:cs="宋体"/>
          <w:sz w:val="24"/>
          <w:szCs w:val="24"/>
          <w:highlight w:val="none"/>
        </w:rPr>
      </w:pPr>
      <w:r>
        <w:rPr>
          <w:rFonts w:hint="eastAsia" w:hAnsi="宋体" w:cs="宋体"/>
          <w:sz w:val="24"/>
          <w:szCs w:val="24"/>
          <w:highlight w:val="none"/>
        </w:rPr>
        <w:t>项目联系人：王女士</w:t>
      </w:r>
    </w:p>
    <w:p w14:paraId="1877E336">
      <w:pPr>
        <w:wordWrap w:val="0"/>
        <w:topLinePunct/>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电　    话：15534670097</w:t>
      </w:r>
    </w:p>
    <w:p w14:paraId="0DD15B0F">
      <w:pPr>
        <w:pStyle w:val="12"/>
        <w:widowControl w:val="0"/>
        <w:wordWrap w:val="0"/>
        <w:spacing w:line="360" w:lineRule="auto"/>
        <w:ind w:firstLine="1120" w:firstLineChars="400"/>
        <w:rPr>
          <w:rFonts w:ascii="宋体" w:eastAsia="宋体" w:cs="宋体"/>
          <w:highlight w:val="none"/>
        </w:rPr>
      </w:pPr>
    </w:p>
    <w:p w14:paraId="1DB309C7">
      <w:pPr>
        <w:pStyle w:val="12"/>
        <w:widowControl w:val="0"/>
        <w:wordWrap w:val="0"/>
        <w:spacing w:line="360" w:lineRule="auto"/>
        <w:ind w:firstLine="1120" w:firstLineChars="400"/>
        <w:rPr>
          <w:rFonts w:ascii="宋体" w:eastAsia="宋体" w:cs="宋体"/>
          <w:highlight w:val="none"/>
        </w:rPr>
      </w:pPr>
    </w:p>
    <w:p w14:paraId="3F075525">
      <w:pPr>
        <w:pStyle w:val="12"/>
        <w:widowControl w:val="0"/>
        <w:wordWrap w:val="0"/>
        <w:spacing w:line="360" w:lineRule="auto"/>
        <w:ind w:firstLine="1120" w:firstLineChars="400"/>
        <w:rPr>
          <w:rFonts w:ascii="宋体" w:eastAsia="宋体" w:cs="宋体"/>
          <w:highlight w:val="none"/>
        </w:rPr>
      </w:pPr>
    </w:p>
    <w:p w14:paraId="5E762118">
      <w:pPr>
        <w:pStyle w:val="12"/>
        <w:widowControl w:val="0"/>
        <w:wordWrap w:val="0"/>
        <w:spacing w:line="360" w:lineRule="auto"/>
        <w:ind w:firstLine="1120" w:firstLineChars="400"/>
        <w:rPr>
          <w:rFonts w:ascii="宋体" w:eastAsia="宋体" w:cs="宋体"/>
          <w:highlight w:val="none"/>
        </w:rPr>
      </w:pPr>
    </w:p>
    <w:p w14:paraId="6C88D7F9">
      <w:pPr>
        <w:pStyle w:val="12"/>
        <w:widowControl w:val="0"/>
        <w:wordWrap w:val="0"/>
        <w:spacing w:line="360" w:lineRule="auto"/>
        <w:rPr>
          <w:rFonts w:ascii="宋体" w:cs="宋体"/>
          <w:sz w:val="24"/>
          <w:szCs w:val="24"/>
          <w:highlight w:val="none"/>
        </w:rPr>
      </w:pPr>
    </w:p>
    <w:p w14:paraId="7DC06874">
      <w:pPr>
        <w:pStyle w:val="12"/>
        <w:widowControl w:val="0"/>
        <w:wordWrap w:val="0"/>
        <w:spacing w:line="360" w:lineRule="auto"/>
        <w:rPr>
          <w:rFonts w:ascii="宋体" w:cs="宋体"/>
          <w:sz w:val="24"/>
          <w:szCs w:val="24"/>
          <w:highlight w:val="none"/>
        </w:rPr>
      </w:pPr>
    </w:p>
    <w:p w14:paraId="61AF8D10">
      <w:pPr>
        <w:pStyle w:val="12"/>
        <w:widowControl w:val="0"/>
        <w:wordWrap w:val="0"/>
        <w:spacing w:line="360" w:lineRule="auto"/>
        <w:rPr>
          <w:rFonts w:ascii="宋体" w:cs="宋体"/>
          <w:sz w:val="24"/>
          <w:szCs w:val="24"/>
          <w:highlight w:val="none"/>
        </w:rPr>
      </w:pPr>
    </w:p>
    <w:p w14:paraId="41E564B4">
      <w:pPr>
        <w:pStyle w:val="12"/>
        <w:widowControl w:val="0"/>
        <w:wordWrap w:val="0"/>
        <w:spacing w:line="360" w:lineRule="auto"/>
        <w:rPr>
          <w:rFonts w:ascii="宋体" w:cs="宋体"/>
          <w:sz w:val="24"/>
          <w:szCs w:val="24"/>
          <w:highlight w:val="none"/>
        </w:rPr>
      </w:pPr>
    </w:p>
    <w:p w14:paraId="48DA3A94">
      <w:pPr>
        <w:pStyle w:val="12"/>
        <w:widowControl w:val="0"/>
        <w:wordWrap w:val="0"/>
        <w:spacing w:line="360" w:lineRule="auto"/>
        <w:rPr>
          <w:rFonts w:ascii="宋体" w:cs="宋体"/>
          <w:sz w:val="24"/>
          <w:szCs w:val="24"/>
          <w:highlight w:val="none"/>
        </w:rPr>
      </w:pPr>
    </w:p>
    <w:p w14:paraId="2F5BB524">
      <w:pPr>
        <w:pStyle w:val="12"/>
        <w:widowControl w:val="0"/>
        <w:wordWrap w:val="0"/>
        <w:spacing w:line="360" w:lineRule="auto"/>
        <w:rPr>
          <w:rFonts w:ascii="宋体" w:cs="宋体"/>
          <w:sz w:val="24"/>
          <w:szCs w:val="24"/>
          <w:highlight w:val="none"/>
        </w:rPr>
      </w:pPr>
    </w:p>
    <w:p w14:paraId="0408E038">
      <w:pPr>
        <w:pStyle w:val="12"/>
        <w:widowControl w:val="0"/>
        <w:wordWrap w:val="0"/>
        <w:spacing w:line="360" w:lineRule="auto"/>
        <w:rPr>
          <w:rFonts w:ascii="宋体" w:cs="宋体"/>
          <w:sz w:val="24"/>
          <w:szCs w:val="24"/>
          <w:highlight w:val="none"/>
        </w:rPr>
      </w:pPr>
    </w:p>
    <w:p w14:paraId="2E8CCCB5">
      <w:pPr>
        <w:pStyle w:val="12"/>
        <w:widowControl w:val="0"/>
        <w:wordWrap w:val="0"/>
        <w:spacing w:line="360" w:lineRule="auto"/>
        <w:rPr>
          <w:rFonts w:ascii="宋体" w:cs="宋体"/>
          <w:sz w:val="24"/>
          <w:szCs w:val="24"/>
          <w:highlight w:val="none"/>
        </w:rPr>
      </w:pPr>
    </w:p>
    <w:p w14:paraId="08B1277F">
      <w:pPr>
        <w:pStyle w:val="12"/>
        <w:widowControl w:val="0"/>
        <w:wordWrap w:val="0"/>
        <w:spacing w:line="360" w:lineRule="auto"/>
        <w:rPr>
          <w:rFonts w:ascii="宋体" w:cs="宋体"/>
          <w:sz w:val="24"/>
          <w:szCs w:val="24"/>
          <w:highlight w:val="none"/>
        </w:rPr>
      </w:pPr>
    </w:p>
    <w:p w14:paraId="50F3ABF9">
      <w:pPr>
        <w:pStyle w:val="31"/>
        <w:wordWrap w:val="0"/>
        <w:spacing w:before="312" w:beforeLines="100" w:line="360" w:lineRule="auto"/>
        <w:jc w:val="center"/>
        <w:outlineLvl w:val="0"/>
        <w:rPr>
          <w:rFonts w:ascii="宋体" w:hAnsi="宋体" w:cs="宋体"/>
          <w:b/>
          <w:bCs/>
          <w:sz w:val="32"/>
          <w:szCs w:val="32"/>
          <w:highlight w:val="none"/>
        </w:rPr>
      </w:pPr>
      <w:bookmarkStart w:id="22" w:name="_Toc16362"/>
      <w:bookmarkStart w:id="23" w:name="_Toc29799"/>
      <w:bookmarkStart w:id="24" w:name="_Toc317"/>
      <w:r>
        <w:rPr>
          <w:rFonts w:hint="eastAsia" w:ascii="宋体" w:hAnsi="宋体"/>
          <w:b/>
          <w:bCs/>
          <w:color w:val="000000"/>
          <w:sz w:val="30"/>
          <w:szCs w:val="30"/>
          <w:highlight w:val="none"/>
        </w:rPr>
        <w:t xml:space="preserve">第二章 </w:t>
      </w:r>
      <w:bookmarkStart w:id="25" w:name="_Toc27881"/>
      <w:r>
        <w:rPr>
          <w:rFonts w:hint="eastAsia" w:ascii="宋体" w:hAnsi="宋体"/>
          <w:b/>
          <w:bCs/>
          <w:color w:val="000000"/>
          <w:sz w:val="30"/>
          <w:szCs w:val="30"/>
          <w:highlight w:val="none"/>
        </w:rPr>
        <w:t>供应商须知</w:t>
      </w:r>
      <w:bookmarkEnd w:id="25"/>
      <w:r>
        <w:rPr>
          <w:rFonts w:hint="eastAsia" w:ascii="宋体" w:hAnsi="宋体"/>
          <w:b/>
          <w:bCs/>
          <w:color w:val="000000"/>
          <w:sz w:val="30"/>
          <w:szCs w:val="30"/>
          <w:highlight w:val="none"/>
        </w:rPr>
        <w:t>前附表</w:t>
      </w:r>
      <w:bookmarkEnd w:id="22"/>
      <w:bookmarkEnd w:id="23"/>
    </w:p>
    <w:tbl>
      <w:tblPr>
        <w:tblStyle w:val="24"/>
        <w:tblW w:w="9961" w:type="dxa"/>
        <w:tblInd w:w="-2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9"/>
        <w:gridCol w:w="7782"/>
      </w:tblGrid>
      <w:tr w14:paraId="082A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179" w:type="dxa"/>
            <w:shd w:val="clear" w:color="auto" w:fill="FFFFFF"/>
            <w:vAlign w:val="center"/>
          </w:tcPr>
          <w:p w14:paraId="555503AD">
            <w:pPr>
              <w:spacing w:line="312" w:lineRule="auto"/>
              <w:jc w:val="center"/>
              <w:rPr>
                <w:rFonts w:ascii="宋体" w:hAnsi="宋体" w:cs="宋体"/>
                <w:b/>
                <w:bCs/>
                <w:color w:val="000000"/>
                <w:sz w:val="24"/>
                <w:szCs w:val="24"/>
                <w:highlight w:val="none"/>
              </w:rPr>
            </w:pPr>
            <w:r>
              <w:rPr>
                <w:rFonts w:hint="eastAsia" w:ascii="宋体" w:hAnsi="宋体" w:cs="宋体"/>
                <w:b/>
                <w:bCs/>
                <w:color w:val="000000"/>
                <w:sz w:val="24"/>
                <w:szCs w:val="24"/>
                <w:highlight w:val="none"/>
              </w:rPr>
              <w:t>编列名称</w:t>
            </w:r>
          </w:p>
        </w:tc>
        <w:tc>
          <w:tcPr>
            <w:tcW w:w="7782" w:type="dxa"/>
            <w:shd w:val="clear" w:color="auto" w:fill="FFFFFF"/>
            <w:vAlign w:val="center"/>
          </w:tcPr>
          <w:p w14:paraId="33690E5A">
            <w:pPr>
              <w:wordWrap w:val="0"/>
              <w:topLinePunct/>
              <w:spacing w:line="360" w:lineRule="auto"/>
              <w:jc w:val="center"/>
              <w:rPr>
                <w:rFonts w:ascii="宋体" w:hAnsi="宋体" w:cs="宋体"/>
                <w:b/>
                <w:bCs/>
                <w:color w:val="000000"/>
                <w:spacing w:val="-2"/>
                <w:sz w:val="24"/>
                <w:szCs w:val="24"/>
                <w:highlight w:val="none"/>
              </w:rPr>
            </w:pPr>
            <w:r>
              <w:rPr>
                <w:rFonts w:hint="eastAsia" w:ascii="宋体" w:hAnsi="宋体" w:cs="宋体"/>
                <w:b/>
                <w:bCs/>
                <w:color w:val="000000"/>
                <w:spacing w:val="-2"/>
                <w:sz w:val="24"/>
                <w:szCs w:val="24"/>
                <w:highlight w:val="none"/>
              </w:rPr>
              <w:t>编列内容</w:t>
            </w:r>
          </w:p>
        </w:tc>
      </w:tr>
      <w:tr w14:paraId="4685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179" w:type="dxa"/>
            <w:shd w:val="clear" w:color="auto" w:fill="FFFFFF"/>
            <w:vAlign w:val="center"/>
          </w:tcPr>
          <w:p w14:paraId="15BB2B9D">
            <w:pPr>
              <w:spacing w:line="312" w:lineRule="auto"/>
              <w:jc w:val="center"/>
              <w:rPr>
                <w:rFonts w:ascii="宋体" w:hAnsi="宋体" w:cs="宋体"/>
                <w:color w:val="000000"/>
                <w:sz w:val="24"/>
                <w:szCs w:val="24"/>
                <w:highlight w:val="none"/>
              </w:rPr>
            </w:pPr>
            <w:r>
              <w:rPr>
                <w:rFonts w:hint="eastAsia" w:ascii="宋体" w:hAnsi="宋体" w:cs="宋体"/>
                <w:sz w:val="24"/>
                <w:szCs w:val="24"/>
                <w:highlight w:val="none"/>
              </w:rPr>
              <w:t>采购人</w:t>
            </w:r>
          </w:p>
        </w:tc>
        <w:tc>
          <w:tcPr>
            <w:tcW w:w="7782" w:type="dxa"/>
            <w:shd w:val="clear" w:color="auto" w:fill="FFFFFF"/>
            <w:vAlign w:val="center"/>
          </w:tcPr>
          <w:p w14:paraId="0F4583B8">
            <w:pPr>
              <w:wordWrap w:val="0"/>
              <w:topLinePunct/>
              <w:spacing w:line="360" w:lineRule="auto"/>
              <w:rPr>
                <w:rFonts w:hint="eastAsia" w:ascii="宋体" w:hAnsi="宋体" w:eastAsia="宋体" w:cs="宋体"/>
                <w:color w:val="000000"/>
                <w:spacing w:val="-2"/>
                <w:sz w:val="24"/>
                <w:szCs w:val="24"/>
                <w:highlight w:val="none"/>
                <w:lang w:eastAsia="zh-CN"/>
              </w:rPr>
            </w:pPr>
            <w:r>
              <w:rPr>
                <w:rFonts w:hint="eastAsia" w:ascii="宋体" w:hAnsi="宋体" w:cs="宋体"/>
                <w:sz w:val="24"/>
                <w:szCs w:val="24"/>
                <w:highlight w:val="none"/>
                <w:lang w:eastAsia="zh-CN"/>
              </w:rPr>
              <w:t>长治市中医研究所附属医院</w:t>
            </w:r>
          </w:p>
        </w:tc>
      </w:tr>
      <w:bookmarkEnd w:id="24"/>
      <w:tr w14:paraId="026F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179" w:type="dxa"/>
            <w:shd w:val="clear" w:color="auto" w:fill="FFFFFF"/>
            <w:vAlign w:val="center"/>
          </w:tcPr>
          <w:p w14:paraId="24FF0246">
            <w:pPr>
              <w:spacing w:line="312" w:lineRule="auto"/>
              <w:jc w:val="center"/>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eastAsia="zh-CN"/>
              </w:rPr>
              <w:t>采购代理机构</w:t>
            </w:r>
          </w:p>
        </w:tc>
        <w:tc>
          <w:tcPr>
            <w:tcW w:w="7782" w:type="dxa"/>
            <w:shd w:val="clear" w:color="auto" w:fill="FFFFFF"/>
            <w:vAlign w:val="center"/>
          </w:tcPr>
          <w:p w14:paraId="0802A346">
            <w:pPr>
              <w:wordWrap w:val="0"/>
              <w:topLinePunct/>
              <w:spacing w:line="360" w:lineRule="auto"/>
              <w:rPr>
                <w:rFonts w:ascii="宋体" w:hAnsi="宋体" w:cs="宋体"/>
                <w:color w:val="000000"/>
                <w:spacing w:val="10"/>
                <w:kern w:val="0"/>
                <w:sz w:val="24"/>
                <w:szCs w:val="24"/>
                <w:highlight w:val="none"/>
              </w:rPr>
            </w:pPr>
            <w:r>
              <w:rPr>
                <w:rFonts w:hint="eastAsia" w:ascii="宋体" w:hAnsi="宋体" w:cs="宋体"/>
                <w:color w:val="000000"/>
                <w:spacing w:val="-2"/>
                <w:sz w:val="24"/>
                <w:szCs w:val="24"/>
                <w:highlight w:val="none"/>
              </w:rPr>
              <w:t>中环建(北京)工程管理有限责任公司</w:t>
            </w:r>
          </w:p>
        </w:tc>
      </w:tr>
      <w:tr w14:paraId="6821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9" w:type="dxa"/>
            <w:shd w:val="clear" w:color="auto" w:fill="FFFFFF"/>
            <w:vAlign w:val="center"/>
          </w:tcPr>
          <w:p w14:paraId="78BE00A6">
            <w:pPr>
              <w:spacing w:line="312"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项目名称</w:t>
            </w:r>
          </w:p>
        </w:tc>
        <w:tc>
          <w:tcPr>
            <w:tcW w:w="7782" w:type="dxa"/>
            <w:shd w:val="clear" w:color="auto" w:fill="FFFFFF"/>
            <w:vAlign w:val="center"/>
          </w:tcPr>
          <w:p w14:paraId="06526342">
            <w:pPr>
              <w:spacing w:line="312" w:lineRule="auto"/>
              <w:rPr>
                <w:rFonts w:hint="eastAsia" w:ascii="宋体" w:hAnsi="宋体" w:eastAsia="宋体" w:cs="宋体"/>
                <w:color w:val="000000"/>
                <w:spacing w:val="10"/>
                <w:kern w:val="0"/>
                <w:sz w:val="24"/>
                <w:szCs w:val="24"/>
                <w:highlight w:val="none"/>
                <w:lang w:eastAsia="zh-CN"/>
              </w:rPr>
            </w:pPr>
            <w:r>
              <w:rPr>
                <w:rFonts w:hint="eastAsia" w:ascii="宋体" w:hAnsi="宋体" w:cs="宋体"/>
                <w:color w:val="000000"/>
                <w:spacing w:val="10"/>
                <w:kern w:val="0"/>
                <w:sz w:val="24"/>
                <w:szCs w:val="24"/>
                <w:highlight w:val="none"/>
                <w:lang w:eastAsia="zh-CN"/>
              </w:rPr>
              <w:t>长治市中医研究所附属医院医疗设备更新提升项目</w:t>
            </w:r>
            <w:r>
              <w:rPr>
                <w:rFonts w:hint="eastAsia" w:ascii="宋体" w:hAnsi="宋体" w:cs="宋体"/>
                <w:color w:val="000000"/>
                <w:spacing w:val="10"/>
                <w:kern w:val="0"/>
                <w:sz w:val="24"/>
                <w:szCs w:val="24"/>
                <w:highlight w:val="none"/>
                <w:lang w:val="en-US" w:eastAsia="zh-CN"/>
              </w:rPr>
              <w:t>-</w:t>
            </w:r>
            <w:r>
              <w:rPr>
                <w:rFonts w:hint="eastAsia" w:ascii="宋体" w:hAnsi="宋体" w:cs="宋体"/>
                <w:color w:val="000000"/>
                <w:spacing w:val="10"/>
                <w:kern w:val="0"/>
                <w:sz w:val="24"/>
                <w:szCs w:val="24"/>
                <w:highlight w:val="none"/>
                <w:lang w:eastAsia="zh-CN"/>
              </w:rPr>
              <w:t>检验类、消毒类设备</w:t>
            </w:r>
          </w:p>
        </w:tc>
      </w:tr>
      <w:tr w14:paraId="45CF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179" w:type="dxa"/>
            <w:shd w:val="clear" w:color="auto" w:fill="FFFFFF"/>
            <w:vAlign w:val="center"/>
          </w:tcPr>
          <w:p w14:paraId="748A3279">
            <w:pPr>
              <w:spacing w:line="312"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资金来源</w:t>
            </w:r>
          </w:p>
        </w:tc>
        <w:tc>
          <w:tcPr>
            <w:tcW w:w="7782" w:type="dxa"/>
            <w:shd w:val="clear" w:color="auto" w:fill="FFFFFF"/>
            <w:vAlign w:val="center"/>
          </w:tcPr>
          <w:p w14:paraId="02A15530">
            <w:pPr>
              <w:spacing w:line="312" w:lineRule="auto"/>
              <w:rPr>
                <w:rFonts w:ascii="宋体" w:hAnsi="宋体" w:cs="宋体"/>
                <w:color w:val="000000"/>
                <w:spacing w:val="10"/>
                <w:kern w:val="0"/>
                <w:sz w:val="24"/>
                <w:szCs w:val="24"/>
                <w:highlight w:val="none"/>
              </w:rPr>
            </w:pPr>
            <w:r>
              <w:rPr>
                <w:rFonts w:hint="eastAsia" w:ascii="宋体" w:hAnsi="宋体" w:cs="宋体"/>
                <w:color w:val="000000"/>
                <w:spacing w:val="10"/>
                <w:kern w:val="0"/>
                <w:sz w:val="24"/>
                <w:szCs w:val="24"/>
                <w:highlight w:val="none"/>
              </w:rPr>
              <w:t>财政资金</w:t>
            </w:r>
          </w:p>
        </w:tc>
      </w:tr>
      <w:tr w14:paraId="491C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179" w:type="dxa"/>
            <w:shd w:val="clear" w:color="auto" w:fill="FFFFFF"/>
            <w:vAlign w:val="center"/>
          </w:tcPr>
          <w:p w14:paraId="16727894">
            <w:pPr>
              <w:spacing w:line="312"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资金落实情况</w:t>
            </w:r>
          </w:p>
        </w:tc>
        <w:tc>
          <w:tcPr>
            <w:tcW w:w="7782" w:type="dxa"/>
            <w:shd w:val="clear" w:color="auto" w:fill="FFFFFF"/>
            <w:vAlign w:val="center"/>
          </w:tcPr>
          <w:p w14:paraId="552A4C71">
            <w:pPr>
              <w:spacing w:line="312" w:lineRule="auto"/>
              <w:rPr>
                <w:rFonts w:ascii="宋体" w:hAnsi="宋体" w:cs="宋体"/>
                <w:color w:val="000000"/>
                <w:spacing w:val="10"/>
                <w:kern w:val="0"/>
                <w:sz w:val="24"/>
                <w:szCs w:val="24"/>
                <w:highlight w:val="none"/>
              </w:rPr>
            </w:pPr>
            <w:r>
              <w:rPr>
                <w:rFonts w:hint="eastAsia" w:ascii="宋体" w:hAnsi="宋体" w:cs="宋体"/>
                <w:color w:val="000000"/>
                <w:spacing w:val="10"/>
                <w:kern w:val="0"/>
                <w:sz w:val="24"/>
                <w:szCs w:val="24"/>
                <w:highlight w:val="none"/>
              </w:rPr>
              <w:t>已落实</w:t>
            </w:r>
          </w:p>
        </w:tc>
      </w:tr>
      <w:tr w14:paraId="31AD7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179" w:type="dxa"/>
            <w:shd w:val="clear" w:color="auto" w:fill="FFFFFF"/>
            <w:vAlign w:val="center"/>
          </w:tcPr>
          <w:p w14:paraId="42F2413C">
            <w:pPr>
              <w:spacing w:line="312"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项目内容</w:t>
            </w:r>
          </w:p>
        </w:tc>
        <w:tc>
          <w:tcPr>
            <w:tcW w:w="7782" w:type="dxa"/>
            <w:shd w:val="clear" w:color="auto" w:fill="FFFFFF"/>
            <w:vAlign w:val="center"/>
          </w:tcPr>
          <w:p w14:paraId="6AE1A65E">
            <w:pPr>
              <w:widowControl/>
              <w:spacing w:line="312" w:lineRule="auto"/>
              <w:rPr>
                <w:rFonts w:ascii="宋体" w:hAnsi="宋体" w:cs="宋体"/>
                <w:color w:val="000000"/>
                <w:kern w:val="0"/>
                <w:sz w:val="24"/>
                <w:szCs w:val="24"/>
                <w:highlight w:val="none"/>
              </w:rPr>
            </w:pPr>
            <w:r>
              <w:rPr>
                <w:rFonts w:hint="eastAsia" w:ascii="宋体" w:hAnsi="宋体" w:cs="宋体"/>
                <w:color w:val="000000"/>
                <w:sz w:val="24"/>
                <w:szCs w:val="24"/>
                <w:highlight w:val="none"/>
              </w:rPr>
              <w:t>详见第五章：商务、技术要求</w:t>
            </w:r>
          </w:p>
        </w:tc>
      </w:tr>
      <w:tr w14:paraId="1CF4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179" w:type="dxa"/>
            <w:shd w:val="clear" w:color="auto" w:fill="FFFFFF"/>
            <w:vAlign w:val="center"/>
          </w:tcPr>
          <w:p w14:paraId="5A90EA9F">
            <w:pPr>
              <w:spacing w:line="312"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预算金额</w:t>
            </w:r>
          </w:p>
        </w:tc>
        <w:tc>
          <w:tcPr>
            <w:tcW w:w="7782" w:type="dxa"/>
            <w:shd w:val="clear" w:color="auto" w:fill="FFFFFF"/>
            <w:vAlign w:val="center"/>
          </w:tcPr>
          <w:p w14:paraId="509873AA">
            <w:pPr>
              <w:pStyle w:val="23"/>
              <w:spacing w:line="360" w:lineRule="auto"/>
              <w:ind w:left="0" w:leftChars="0" w:firstLine="0" w:firstLineChars="0"/>
              <w:jc w:val="left"/>
              <w:rPr>
                <w:rFonts w:hint="default" w:eastAsia="宋体"/>
                <w:color w:val="000000"/>
                <w:highlight w:val="none"/>
                <w:lang w:val="en-US" w:eastAsia="zh-CN"/>
              </w:rPr>
            </w:pPr>
            <w:r>
              <w:rPr>
                <w:rFonts w:hint="eastAsia" w:ascii="宋体" w:hAnsi="宋体" w:eastAsia="宋体" w:cs="宋体"/>
                <w:color w:val="000000"/>
                <w:kern w:val="2"/>
                <w:sz w:val="24"/>
                <w:szCs w:val="24"/>
                <w:highlight w:val="none"/>
                <w:lang w:val="en-US" w:eastAsia="zh-CN" w:bidi="ar-SA"/>
              </w:rPr>
              <w:t>435000</w:t>
            </w:r>
            <w:r>
              <w:rPr>
                <w:rFonts w:hint="eastAsia" w:ascii="宋体" w:hAnsi="宋体" w:cs="宋体"/>
                <w:color w:val="000000"/>
                <w:kern w:val="2"/>
                <w:sz w:val="24"/>
                <w:szCs w:val="24"/>
                <w:highlight w:val="none"/>
                <w:lang w:val="en-US" w:eastAsia="zh-CN" w:bidi="ar-SA"/>
              </w:rPr>
              <w:t>0元</w:t>
            </w:r>
          </w:p>
        </w:tc>
      </w:tr>
      <w:tr w14:paraId="359D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9" w:type="dxa"/>
            <w:shd w:val="clear" w:color="auto" w:fill="FFFFFF"/>
            <w:vAlign w:val="center"/>
          </w:tcPr>
          <w:p w14:paraId="5C229123">
            <w:pPr>
              <w:spacing w:line="312"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合同履约期限（交货期）</w:t>
            </w:r>
          </w:p>
        </w:tc>
        <w:tc>
          <w:tcPr>
            <w:tcW w:w="7782" w:type="dxa"/>
            <w:shd w:val="clear" w:color="auto" w:fill="FFFFFF"/>
            <w:vAlign w:val="center"/>
          </w:tcPr>
          <w:p w14:paraId="4E22836A">
            <w:pPr>
              <w:spacing w:line="312" w:lineRule="auto"/>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eastAsia="zh-CN"/>
              </w:rPr>
              <w:t>签订合同后接到医院通知后60个工作日内完成供货</w:t>
            </w:r>
          </w:p>
        </w:tc>
      </w:tr>
      <w:tr w14:paraId="65276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9" w:type="dxa"/>
            <w:shd w:val="clear" w:color="auto" w:fill="FFFFFF"/>
            <w:vAlign w:val="center"/>
          </w:tcPr>
          <w:p w14:paraId="2CCBA0C3">
            <w:pPr>
              <w:spacing w:line="312"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质量要求</w:t>
            </w:r>
          </w:p>
        </w:tc>
        <w:tc>
          <w:tcPr>
            <w:tcW w:w="7782" w:type="dxa"/>
            <w:shd w:val="clear" w:color="auto" w:fill="FFFFFF"/>
            <w:vAlign w:val="center"/>
          </w:tcPr>
          <w:p w14:paraId="6B8B18CD">
            <w:pPr>
              <w:spacing w:line="312" w:lineRule="auto"/>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eastAsia="zh-CN"/>
              </w:rPr>
              <w:t>供应商应保证所供设备是全新的、未使用过的，采用厂家原装包装，保证产品和产品外包装完好，并符合国家有关标准、制造厂标准及合同技术标准要求，不侵害第三方知识产权。如果设备的质量或规格与合同不符，或证实设备是有缺陷的，包括潜在的缺陷或使用不符合要求的材料等，供应商应在接到采购人通知后7天内负责采用符合合同规定的规格、质量和性能要求的新零件、部件或设备来更换有缺陷的部分或修补缺陷部分，其费用由供应商负担。同时，供应商应按本合同规定，相应延长修补或更换件的质量保证期。如侵害第三方知识产权产生的纠纷，由供应商负责全部责任。</w:t>
            </w:r>
          </w:p>
        </w:tc>
      </w:tr>
      <w:tr w14:paraId="63625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2179" w:type="dxa"/>
            <w:shd w:val="clear" w:color="auto" w:fill="FFFFFF"/>
            <w:vAlign w:val="center"/>
          </w:tcPr>
          <w:p w14:paraId="2E71BBFE">
            <w:pPr>
              <w:spacing w:line="312"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供应商资格条件</w:t>
            </w:r>
          </w:p>
        </w:tc>
        <w:tc>
          <w:tcPr>
            <w:tcW w:w="7782" w:type="dxa"/>
            <w:shd w:val="clear" w:color="auto" w:fill="FFFFFF"/>
            <w:vAlign w:val="center"/>
          </w:tcPr>
          <w:p w14:paraId="02435C23">
            <w:pPr>
              <w:widowControl/>
              <w:spacing w:line="312" w:lineRule="auto"/>
              <w:rPr>
                <w:rFonts w:ascii="宋体" w:hAnsi="宋体" w:cs="宋体"/>
                <w:color w:val="000000"/>
                <w:sz w:val="24"/>
                <w:szCs w:val="24"/>
                <w:highlight w:val="none"/>
              </w:rPr>
            </w:pPr>
            <w:r>
              <w:rPr>
                <w:rFonts w:hint="eastAsia" w:ascii="宋体" w:hAnsi="宋体" w:cs="宋体"/>
                <w:color w:val="000000"/>
                <w:sz w:val="24"/>
                <w:szCs w:val="24"/>
                <w:highlight w:val="none"/>
              </w:rPr>
              <w:t>1.满足《中华人民共和国政府采购法》第二十二条规定；</w:t>
            </w:r>
          </w:p>
          <w:p w14:paraId="612B7066">
            <w:pPr>
              <w:widowControl/>
              <w:spacing w:line="312" w:lineRule="auto"/>
              <w:rPr>
                <w:rFonts w:ascii="宋体" w:hAnsi="宋体" w:cs="宋体"/>
                <w:color w:val="000000"/>
                <w:sz w:val="24"/>
                <w:szCs w:val="24"/>
                <w:highlight w:val="none"/>
              </w:rPr>
            </w:pPr>
            <w:r>
              <w:rPr>
                <w:rFonts w:hint="eastAsia" w:ascii="宋体" w:hAnsi="宋体" w:cs="宋体"/>
                <w:color w:val="000000"/>
                <w:sz w:val="24"/>
                <w:szCs w:val="24"/>
                <w:highlight w:val="none"/>
              </w:rPr>
              <w:t>2.落实政府采购政策需满足的资格要求：</w:t>
            </w:r>
            <w:r>
              <w:rPr>
                <w:rFonts w:hint="eastAsia" w:ascii="宋体" w:hAnsi="宋体" w:cs="宋体"/>
                <w:sz w:val="24"/>
                <w:szCs w:val="24"/>
                <w:highlight w:val="none"/>
              </w:rPr>
              <w:t>无。</w:t>
            </w:r>
          </w:p>
          <w:p w14:paraId="4AB35D70">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3.本项目的特定资格要求：</w:t>
            </w:r>
          </w:p>
          <w:p w14:paraId="5286A55E">
            <w:pPr>
              <w:spacing w:line="360" w:lineRule="auto"/>
              <w:ind w:firstLine="480" w:firstLineChars="200"/>
              <w:rPr>
                <w:rFonts w:ascii="宋体" w:hAnsi="宋体" w:cs="宋体"/>
                <w:sz w:val="24"/>
                <w:highlight w:val="none"/>
              </w:rPr>
            </w:pPr>
            <w:r>
              <w:rPr>
                <w:rFonts w:hint="eastAsia" w:ascii="宋体" w:hAnsi="宋体" w:cs="宋体"/>
                <w:sz w:val="24"/>
                <w:highlight w:val="none"/>
              </w:rPr>
              <w:t>供应商所投产品属于医疗器械生产企业直接参加投标的，一类医疗器械提供生产备案凭证;二类医疗器械提供生产企业许可证和经营备案凭证;三类医疗器械提供生产企业许可证和经营许可证;供应商属于医疗器械经营企业参加投标的，二类医疗器械提供经营备案凭证，三类医疗器械提供经营许可证，一类医疗器械可不提供，属于医疗器械产品需提供医疗器械注册证书；并在人员、设备、资金等方面具有满足本项目的相应服务能力。</w:t>
            </w:r>
          </w:p>
        </w:tc>
      </w:tr>
      <w:tr w14:paraId="35661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9" w:type="dxa"/>
            <w:shd w:val="clear" w:color="auto" w:fill="FFFFFF"/>
            <w:vAlign w:val="center"/>
          </w:tcPr>
          <w:p w14:paraId="1898F6E7">
            <w:pPr>
              <w:spacing w:line="312"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是否接受联合体报价</w:t>
            </w:r>
          </w:p>
        </w:tc>
        <w:tc>
          <w:tcPr>
            <w:tcW w:w="7782" w:type="dxa"/>
            <w:shd w:val="clear" w:color="auto" w:fill="FFFFFF"/>
            <w:vAlign w:val="center"/>
          </w:tcPr>
          <w:p w14:paraId="799E1797">
            <w:pPr>
              <w:spacing w:line="312" w:lineRule="auto"/>
              <w:rPr>
                <w:rFonts w:ascii="宋体" w:hAnsi="宋体" w:cs="宋体"/>
                <w:color w:val="000000"/>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color w:val="000000"/>
                <w:sz w:val="24"/>
                <w:szCs w:val="24"/>
                <w:highlight w:val="none"/>
              </w:rPr>
              <w:instrText xml:space="preserve"> eq \o\ac(</w:instrText>
            </w:r>
            <w:r>
              <w:rPr>
                <w:rFonts w:hint="eastAsia" w:ascii="宋体" w:hAnsi="宋体" w:cs="宋体"/>
                <w:color w:val="000000"/>
                <w:position w:val="-4"/>
                <w:sz w:val="24"/>
                <w:szCs w:val="24"/>
                <w:highlight w:val="none"/>
              </w:rPr>
              <w:instrText xml:space="preserve">□</w:instrText>
            </w:r>
            <w:r>
              <w:rPr>
                <w:rFonts w:hint="eastAsia" w:ascii="宋体" w:hAnsi="宋体" w:cs="宋体"/>
                <w:color w:val="000000"/>
                <w:sz w:val="24"/>
                <w:szCs w:val="24"/>
                <w:highlight w:val="none"/>
              </w:rPr>
              <w:instrText xml:space="preserve">,√)</w:instrText>
            </w:r>
            <w:r>
              <w:rPr>
                <w:rFonts w:hint="eastAsia" w:ascii="宋体" w:hAnsi="宋体" w:cs="宋体"/>
                <w:color w:val="000000"/>
                <w:sz w:val="24"/>
                <w:szCs w:val="24"/>
                <w:highlight w:val="none"/>
              </w:rPr>
              <w:fldChar w:fldCharType="end"/>
            </w:r>
            <w:r>
              <w:rPr>
                <w:rFonts w:hint="eastAsia" w:ascii="宋体" w:hAnsi="宋体" w:cs="宋体"/>
                <w:color w:val="000000"/>
                <w:sz w:val="24"/>
                <w:szCs w:val="24"/>
                <w:highlight w:val="none"/>
              </w:rPr>
              <w:t>不接受    □接受</w:t>
            </w:r>
          </w:p>
        </w:tc>
      </w:tr>
      <w:tr w14:paraId="01BF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9" w:type="dxa"/>
            <w:shd w:val="clear" w:color="auto" w:fill="FFFFFF"/>
            <w:vAlign w:val="center"/>
          </w:tcPr>
          <w:p w14:paraId="6E132A67">
            <w:pPr>
              <w:spacing w:line="312"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现场勘查（或标前答疑会）</w:t>
            </w:r>
          </w:p>
        </w:tc>
        <w:tc>
          <w:tcPr>
            <w:tcW w:w="7782" w:type="dxa"/>
            <w:shd w:val="clear" w:color="auto" w:fill="FFFFFF"/>
            <w:vAlign w:val="center"/>
          </w:tcPr>
          <w:p w14:paraId="08DAE59D">
            <w:pPr>
              <w:spacing w:line="312" w:lineRule="auto"/>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fldChar w:fldCharType="begin"/>
            </w:r>
            <w:r>
              <w:rPr>
                <w:rFonts w:hint="eastAsia" w:ascii="宋体" w:hAnsi="宋体" w:cs="宋体"/>
                <w:color w:val="000000"/>
                <w:sz w:val="24"/>
                <w:szCs w:val="24"/>
                <w:highlight w:val="none"/>
                <w:lang w:val="en-US" w:eastAsia="zh-CN"/>
              </w:rPr>
              <w:instrText xml:space="preserve"> eq \o\ac(□,√)</w:instrText>
            </w:r>
            <w:r>
              <w:rPr>
                <w:rFonts w:hint="eastAsia" w:ascii="宋体" w:hAnsi="宋体" w:cs="宋体"/>
                <w:color w:val="000000"/>
                <w:sz w:val="24"/>
                <w:szCs w:val="24"/>
                <w:highlight w:val="none"/>
                <w:lang w:val="en-US" w:eastAsia="zh-CN"/>
              </w:rPr>
              <w:fldChar w:fldCharType="end"/>
            </w:r>
            <w:r>
              <w:rPr>
                <w:rFonts w:hint="eastAsia" w:ascii="宋体" w:hAnsi="宋体" w:cs="宋体"/>
                <w:color w:val="000000"/>
                <w:sz w:val="24"/>
                <w:szCs w:val="24"/>
                <w:highlight w:val="none"/>
                <w:lang w:val="en-US" w:eastAsia="zh-CN"/>
              </w:rPr>
              <w:t>不组织    □</w:t>
            </w:r>
            <w:r>
              <w:rPr>
                <w:rFonts w:hint="eastAsia" w:ascii="宋体" w:hAnsi="宋体" w:cs="宋体"/>
                <w:color w:val="000000"/>
                <w:sz w:val="24"/>
                <w:szCs w:val="24"/>
                <w:highlight w:val="none"/>
                <w:lang w:val="en-US" w:eastAsia="zh-CN"/>
              </w:rPr>
              <w:t>组织</w:t>
            </w:r>
          </w:p>
        </w:tc>
      </w:tr>
      <w:tr w14:paraId="35A4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9" w:type="dxa"/>
            <w:shd w:val="clear" w:color="auto" w:fill="FFFFFF"/>
            <w:vAlign w:val="center"/>
          </w:tcPr>
          <w:p w14:paraId="0CFA0229">
            <w:pPr>
              <w:spacing w:line="312" w:lineRule="auto"/>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分包、转包</w:t>
            </w:r>
          </w:p>
        </w:tc>
        <w:tc>
          <w:tcPr>
            <w:tcW w:w="7782" w:type="dxa"/>
            <w:shd w:val="clear" w:color="auto" w:fill="FFFFFF"/>
            <w:vAlign w:val="center"/>
          </w:tcPr>
          <w:p w14:paraId="4373F7B5">
            <w:pPr>
              <w:spacing w:line="312" w:lineRule="auto"/>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fldChar w:fldCharType="begin"/>
            </w:r>
            <w:r>
              <w:rPr>
                <w:rFonts w:hint="eastAsia" w:ascii="宋体" w:hAnsi="宋体" w:cs="宋体"/>
                <w:color w:val="000000"/>
                <w:sz w:val="24"/>
                <w:szCs w:val="24"/>
                <w:highlight w:val="none"/>
                <w:lang w:val="en-US" w:eastAsia="zh-CN"/>
              </w:rPr>
              <w:instrText xml:space="preserve"> eq \o\ac(□,√)</w:instrText>
            </w:r>
            <w:r>
              <w:rPr>
                <w:rFonts w:hint="eastAsia" w:ascii="宋体" w:hAnsi="宋体" w:cs="宋体"/>
                <w:color w:val="000000"/>
                <w:sz w:val="24"/>
                <w:szCs w:val="24"/>
                <w:highlight w:val="none"/>
                <w:lang w:val="en-US" w:eastAsia="zh-CN"/>
              </w:rPr>
              <w:fldChar w:fldCharType="end"/>
            </w:r>
            <w:r>
              <w:rPr>
                <w:rFonts w:hint="eastAsia" w:ascii="宋体" w:hAnsi="宋体" w:cs="宋体"/>
                <w:color w:val="000000"/>
                <w:sz w:val="24"/>
                <w:szCs w:val="24"/>
                <w:highlight w:val="none"/>
                <w:lang w:val="en-US" w:eastAsia="zh-CN"/>
              </w:rPr>
              <w:t>不允许   □允许</w:t>
            </w:r>
          </w:p>
        </w:tc>
      </w:tr>
      <w:tr w14:paraId="56E8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9" w:type="dxa"/>
            <w:shd w:val="clear" w:color="auto" w:fill="FFFFFF"/>
            <w:vAlign w:val="center"/>
          </w:tcPr>
          <w:p w14:paraId="46969438">
            <w:pPr>
              <w:spacing w:line="312"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递交投标文件截止时间</w:t>
            </w:r>
          </w:p>
        </w:tc>
        <w:tc>
          <w:tcPr>
            <w:tcW w:w="7782" w:type="dxa"/>
            <w:shd w:val="clear" w:color="auto" w:fill="FFFFFF"/>
            <w:vAlign w:val="center"/>
          </w:tcPr>
          <w:p w14:paraId="5305BA52">
            <w:pPr>
              <w:spacing w:line="312" w:lineRule="auto"/>
              <w:rPr>
                <w:rFonts w:ascii="宋体" w:hAnsi="宋体" w:cs="宋体"/>
                <w:color w:val="000000"/>
                <w:sz w:val="24"/>
                <w:szCs w:val="24"/>
                <w:highlight w:val="none"/>
              </w:rPr>
            </w:pPr>
            <w:r>
              <w:rPr>
                <w:rFonts w:hint="eastAsia" w:ascii="宋体" w:hAnsi="宋体" w:cs="宋体"/>
                <w:sz w:val="24"/>
                <w:szCs w:val="24"/>
                <w:highlight w:val="none"/>
                <w:lang w:eastAsia="zh-CN"/>
              </w:rPr>
              <w:t>2026年05月09日</w:t>
            </w:r>
            <w:r>
              <w:rPr>
                <w:rFonts w:hint="eastAsia" w:ascii="宋体" w:hAnsi="宋体" w:cs="宋体"/>
                <w:sz w:val="24"/>
                <w:szCs w:val="24"/>
                <w:highlight w:val="none"/>
              </w:rPr>
              <w:t>09时</w:t>
            </w:r>
            <w:r>
              <w:rPr>
                <w:rFonts w:hint="eastAsia" w:ascii="宋体" w:hAnsi="宋体" w:cs="宋体"/>
                <w:sz w:val="24"/>
                <w:szCs w:val="24"/>
                <w:highlight w:val="none"/>
                <w:lang w:val="en-US" w:eastAsia="zh-CN"/>
              </w:rPr>
              <w:t>30</w:t>
            </w:r>
            <w:r>
              <w:rPr>
                <w:rFonts w:hint="eastAsia" w:ascii="宋体" w:hAnsi="宋体" w:cs="宋体"/>
                <w:sz w:val="24"/>
                <w:szCs w:val="24"/>
                <w:highlight w:val="none"/>
              </w:rPr>
              <w:t xml:space="preserve"> 分</w:t>
            </w:r>
            <w:r>
              <w:rPr>
                <w:rFonts w:hint="eastAsia" w:ascii="宋体" w:hAnsi="宋体" w:cs="宋体"/>
                <w:color w:val="000000"/>
                <w:kern w:val="0"/>
                <w:sz w:val="24"/>
                <w:szCs w:val="24"/>
                <w:highlight w:val="none"/>
              </w:rPr>
              <w:t>（北京时间，下同）</w:t>
            </w:r>
          </w:p>
        </w:tc>
      </w:tr>
      <w:tr w14:paraId="68032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9" w:type="dxa"/>
            <w:shd w:val="clear" w:color="auto" w:fill="FFFFFF"/>
            <w:vAlign w:val="center"/>
          </w:tcPr>
          <w:p w14:paraId="34C9606D">
            <w:pPr>
              <w:spacing w:line="312"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投标时间和地点</w:t>
            </w:r>
          </w:p>
        </w:tc>
        <w:tc>
          <w:tcPr>
            <w:tcW w:w="7782" w:type="dxa"/>
            <w:shd w:val="clear" w:color="auto" w:fill="FFFFFF"/>
            <w:vAlign w:val="center"/>
          </w:tcPr>
          <w:p w14:paraId="1094D0DE">
            <w:pPr>
              <w:spacing w:line="312" w:lineRule="auto"/>
              <w:rPr>
                <w:rFonts w:ascii="宋体" w:hAnsi="宋体" w:cs="宋体"/>
                <w:color w:val="000000"/>
                <w:kern w:val="0"/>
                <w:sz w:val="24"/>
                <w:szCs w:val="24"/>
                <w:highlight w:val="none"/>
              </w:rPr>
            </w:pPr>
            <w:r>
              <w:rPr>
                <w:rFonts w:hint="eastAsia" w:ascii="宋体" w:hAnsi="宋体" w:cs="宋体"/>
                <w:color w:val="000000"/>
                <w:sz w:val="24"/>
                <w:szCs w:val="24"/>
                <w:highlight w:val="none"/>
              </w:rPr>
              <w:t>投标时间：</w:t>
            </w:r>
            <w:r>
              <w:rPr>
                <w:rFonts w:hint="eastAsia" w:ascii="宋体" w:hAnsi="宋体" w:cs="宋体"/>
                <w:sz w:val="24"/>
                <w:szCs w:val="24"/>
                <w:highlight w:val="none"/>
                <w:lang w:eastAsia="zh-CN"/>
              </w:rPr>
              <w:t>2026年05月09日</w:t>
            </w:r>
            <w:r>
              <w:rPr>
                <w:rFonts w:hint="eastAsia" w:ascii="宋体" w:hAnsi="宋体" w:cs="宋体"/>
                <w:sz w:val="24"/>
                <w:szCs w:val="24"/>
                <w:highlight w:val="none"/>
              </w:rPr>
              <w:t>09时</w:t>
            </w:r>
            <w:r>
              <w:rPr>
                <w:rFonts w:hint="eastAsia" w:ascii="宋体" w:hAnsi="宋体" w:cs="宋体"/>
                <w:sz w:val="24"/>
                <w:szCs w:val="24"/>
                <w:highlight w:val="none"/>
                <w:lang w:val="en-US" w:eastAsia="zh-CN"/>
              </w:rPr>
              <w:t>30</w:t>
            </w:r>
            <w:r>
              <w:rPr>
                <w:rFonts w:hint="eastAsia" w:ascii="宋体" w:hAnsi="宋体" w:cs="宋体"/>
                <w:sz w:val="24"/>
                <w:szCs w:val="24"/>
                <w:highlight w:val="none"/>
              </w:rPr>
              <w:t>分</w:t>
            </w:r>
            <w:r>
              <w:rPr>
                <w:rFonts w:hint="eastAsia" w:ascii="宋体" w:hAnsi="宋体" w:cs="宋体"/>
                <w:color w:val="000000"/>
                <w:kern w:val="0"/>
                <w:sz w:val="24"/>
                <w:szCs w:val="24"/>
                <w:highlight w:val="none"/>
              </w:rPr>
              <w:t>（北京时间）</w:t>
            </w:r>
          </w:p>
          <w:p w14:paraId="76871F14">
            <w:pPr>
              <w:spacing w:line="312" w:lineRule="auto"/>
              <w:rPr>
                <w:rFonts w:ascii="宋体" w:hAnsi="宋体" w:cs="宋体"/>
                <w:color w:val="000000"/>
                <w:sz w:val="24"/>
                <w:szCs w:val="24"/>
                <w:highlight w:val="none"/>
              </w:rPr>
            </w:pPr>
            <w:r>
              <w:rPr>
                <w:rFonts w:hint="eastAsia" w:ascii="宋体" w:hAnsi="宋体" w:cs="宋体"/>
                <w:color w:val="000000"/>
                <w:sz w:val="24"/>
                <w:szCs w:val="24"/>
                <w:highlight w:val="none"/>
              </w:rPr>
              <w:t>投标地点：政采云投标客户端</w:t>
            </w:r>
          </w:p>
        </w:tc>
      </w:tr>
      <w:tr w14:paraId="6D05C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179" w:type="dxa"/>
            <w:shd w:val="clear" w:color="auto" w:fill="FFFFFF"/>
            <w:vAlign w:val="center"/>
          </w:tcPr>
          <w:p w14:paraId="1DEDDF60">
            <w:pPr>
              <w:spacing w:line="360" w:lineRule="auto"/>
              <w:jc w:val="center"/>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投标有效期</w:t>
            </w:r>
          </w:p>
        </w:tc>
        <w:tc>
          <w:tcPr>
            <w:tcW w:w="7782" w:type="dxa"/>
            <w:shd w:val="clear" w:color="auto" w:fill="FFFFFF"/>
            <w:vAlign w:val="center"/>
          </w:tcPr>
          <w:p w14:paraId="2F46AADB">
            <w:pPr>
              <w:spacing w:line="360" w:lineRule="auto"/>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 xml:space="preserve">自供应商提交投标文件截止之日起计算 </w:t>
            </w:r>
            <w:r>
              <w:rPr>
                <w:rFonts w:hint="eastAsia" w:asciiTheme="minorEastAsia" w:hAnsiTheme="minorEastAsia" w:eastAsiaTheme="minorEastAsia" w:cstheme="minorEastAsia"/>
                <w:color w:val="000000"/>
                <w:sz w:val="24"/>
                <w:highlight w:val="none"/>
                <w:u w:val="single"/>
              </w:rPr>
              <w:t>90</w:t>
            </w:r>
            <w:r>
              <w:rPr>
                <w:rFonts w:hint="eastAsia" w:asciiTheme="minorEastAsia" w:hAnsiTheme="minorEastAsia" w:eastAsiaTheme="minorEastAsia" w:cstheme="minorEastAsia"/>
                <w:color w:val="000000"/>
                <w:sz w:val="24"/>
                <w:highlight w:val="none"/>
              </w:rPr>
              <w:t xml:space="preserve"> 日历天</w:t>
            </w:r>
          </w:p>
        </w:tc>
      </w:tr>
      <w:tr w14:paraId="7764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179" w:type="dxa"/>
            <w:shd w:val="clear" w:color="auto" w:fill="FFFFFF"/>
            <w:vAlign w:val="center"/>
          </w:tcPr>
          <w:p w14:paraId="433406DD">
            <w:pPr>
              <w:spacing w:line="312" w:lineRule="auto"/>
              <w:jc w:val="center"/>
              <w:rPr>
                <w:rFonts w:ascii="宋体" w:hAnsi="宋体" w:cs="宋体"/>
                <w:color w:val="000000"/>
                <w:sz w:val="24"/>
                <w:szCs w:val="24"/>
              </w:rPr>
            </w:pPr>
            <w:r>
              <w:rPr>
                <w:rFonts w:hint="eastAsia" w:ascii="宋体" w:hAnsi="宋体" w:cs="宋体"/>
                <w:color w:val="000000"/>
                <w:sz w:val="24"/>
                <w:szCs w:val="24"/>
              </w:rPr>
              <w:t>递交投标文件地点</w:t>
            </w:r>
          </w:p>
        </w:tc>
        <w:tc>
          <w:tcPr>
            <w:tcW w:w="7782" w:type="dxa"/>
            <w:shd w:val="clear" w:color="auto" w:fill="FFFFFF"/>
            <w:vAlign w:val="center"/>
          </w:tcPr>
          <w:p w14:paraId="47FF1969">
            <w:pPr>
              <w:spacing w:line="312" w:lineRule="auto"/>
              <w:rPr>
                <w:rFonts w:ascii="宋体" w:hAnsi="宋体" w:cs="宋体"/>
                <w:color w:val="000000"/>
                <w:sz w:val="24"/>
                <w:szCs w:val="24"/>
              </w:rPr>
            </w:pPr>
            <w:r>
              <w:rPr>
                <w:rFonts w:hint="eastAsia" w:ascii="宋体" w:hAnsi="宋体" w:cs="宋体"/>
                <w:color w:val="000000"/>
                <w:sz w:val="24"/>
                <w:szCs w:val="24"/>
              </w:rPr>
              <w:t>政采云投标客户端</w:t>
            </w:r>
          </w:p>
        </w:tc>
      </w:tr>
      <w:tr w14:paraId="1F99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79" w:type="dxa"/>
            <w:shd w:val="clear" w:color="auto" w:fill="FFFFFF"/>
            <w:vAlign w:val="center"/>
          </w:tcPr>
          <w:p w14:paraId="412C1165">
            <w:pPr>
              <w:spacing w:line="312" w:lineRule="auto"/>
              <w:jc w:val="center"/>
              <w:rPr>
                <w:rFonts w:ascii="宋体" w:hAnsi="宋体" w:cs="宋体"/>
                <w:color w:val="000000"/>
                <w:sz w:val="24"/>
                <w:szCs w:val="24"/>
              </w:rPr>
            </w:pPr>
            <w:r>
              <w:rPr>
                <w:rFonts w:hint="eastAsia" w:ascii="宋体" w:hAnsi="宋体" w:cs="宋体"/>
                <w:color w:val="000000"/>
                <w:sz w:val="24"/>
                <w:szCs w:val="24"/>
              </w:rPr>
              <w:t>是否退投标文件</w:t>
            </w:r>
          </w:p>
        </w:tc>
        <w:tc>
          <w:tcPr>
            <w:tcW w:w="7782" w:type="dxa"/>
            <w:shd w:val="clear" w:color="auto" w:fill="FFFFFF"/>
            <w:vAlign w:val="center"/>
          </w:tcPr>
          <w:p w14:paraId="2D96AFBD">
            <w:pPr>
              <w:pStyle w:val="12"/>
              <w:topLinePunct/>
              <w:spacing w:line="312" w:lineRule="auto"/>
              <w:rPr>
                <w:rFonts w:ascii="宋体" w:eastAsia="宋体" w:cs="宋体"/>
                <w:color w:val="000000"/>
                <w:sz w:val="24"/>
                <w:szCs w:val="24"/>
              </w:rPr>
            </w:pPr>
            <w:r>
              <w:rPr>
                <w:rFonts w:hint="eastAsia" w:ascii="宋体" w:eastAsia="宋体" w:cs="宋体"/>
                <w:color w:val="000000"/>
                <w:sz w:val="24"/>
                <w:szCs w:val="24"/>
              </w:rPr>
              <w:t xml:space="preserve">□是    </w:t>
            </w:r>
            <w:r>
              <w:rPr>
                <w:rFonts w:hint="eastAsia" w:ascii="宋体" w:eastAsia="宋体" w:cs="宋体"/>
                <w:color w:val="000000"/>
                <w:sz w:val="24"/>
                <w:szCs w:val="24"/>
              </w:rPr>
              <w:fldChar w:fldCharType="begin"/>
            </w:r>
            <w:r>
              <w:rPr>
                <w:rFonts w:hint="eastAsia" w:ascii="宋体" w:eastAsia="宋体" w:cs="宋体"/>
                <w:color w:val="000000"/>
                <w:sz w:val="24"/>
                <w:szCs w:val="24"/>
              </w:rPr>
              <w:instrText xml:space="preserve"> eq \o\ac(</w:instrText>
            </w:r>
            <w:r>
              <w:rPr>
                <w:rFonts w:hint="eastAsia" w:ascii="宋体" w:eastAsia="宋体" w:cs="宋体"/>
                <w:color w:val="000000"/>
                <w:position w:val="-4"/>
                <w:sz w:val="24"/>
                <w:szCs w:val="24"/>
              </w:rPr>
              <w:instrText xml:space="preserve">□</w:instrText>
            </w:r>
            <w:r>
              <w:rPr>
                <w:rFonts w:hint="eastAsia" w:ascii="宋体" w:eastAsia="宋体" w:cs="宋体"/>
                <w:color w:val="000000"/>
                <w:sz w:val="24"/>
                <w:szCs w:val="24"/>
              </w:rPr>
              <w:instrText xml:space="preserve">,√)</w:instrText>
            </w:r>
            <w:r>
              <w:rPr>
                <w:rFonts w:hint="eastAsia" w:ascii="宋体" w:eastAsia="宋体" w:cs="宋体"/>
                <w:color w:val="000000"/>
                <w:sz w:val="24"/>
                <w:szCs w:val="24"/>
              </w:rPr>
              <w:fldChar w:fldCharType="end"/>
            </w:r>
            <w:r>
              <w:rPr>
                <w:rFonts w:hint="eastAsia" w:ascii="宋体" w:eastAsia="宋体" w:cs="宋体"/>
                <w:color w:val="000000"/>
                <w:sz w:val="24"/>
                <w:szCs w:val="24"/>
              </w:rPr>
              <w:t>否</w:t>
            </w:r>
          </w:p>
        </w:tc>
      </w:tr>
      <w:tr w14:paraId="1813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2179" w:type="dxa"/>
            <w:shd w:val="clear" w:color="auto" w:fill="FFFFFF"/>
            <w:vAlign w:val="center"/>
          </w:tcPr>
          <w:p w14:paraId="44FEE86D">
            <w:pPr>
              <w:spacing w:line="312" w:lineRule="auto"/>
              <w:jc w:val="center"/>
              <w:rPr>
                <w:rFonts w:ascii="宋体" w:hAnsi="宋体" w:cs="宋体"/>
                <w:color w:val="000000"/>
                <w:sz w:val="24"/>
                <w:szCs w:val="24"/>
              </w:rPr>
            </w:pPr>
            <w:r>
              <w:rPr>
                <w:rFonts w:hint="eastAsia" w:ascii="宋体" w:hAnsi="宋体" w:cs="宋体"/>
                <w:color w:val="000000"/>
                <w:sz w:val="24"/>
                <w:szCs w:val="24"/>
              </w:rPr>
              <w:t>投标文件份数</w:t>
            </w:r>
          </w:p>
        </w:tc>
        <w:tc>
          <w:tcPr>
            <w:tcW w:w="7782" w:type="dxa"/>
            <w:shd w:val="clear" w:color="auto" w:fill="FFFFFF"/>
            <w:vAlign w:val="center"/>
          </w:tcPr>
          <w:p w14:paraId="60FCC8BE">
            <w:pPr>
              <w:spacing w:line="312" w:lineRule="auto"/>
              <w:rPr>
                <w:rFonts w:ascii="宋体" w:hAnsi="宋体" w:cs="宋体"/>
                <w:color w:val="000000"/>
                <w:sz w:val="24"/>
                <w:szCs w:val="24"/>
              </w:rPr>
            </w:pPr>
            <w:r>
              <w:rPr>
                <w:color w:val="000000"/>
              </w:rPr>
              <w:fldChar w:fldCharType="begin"/>
            </w:r>
            <w:r>
              <w:rPr>
                <w:rFonts w:hint="eastAsia"/>
                <w:color w:val="000000"/>
              </w:rPr>
              <w:instrText xml:space="preserve"> eq \o\ac(□,</w:instrText>
            </w:r>
            <w:r>
              <w:rPr>
                <w:rFonts w:hint="eastAsia"/>
                <w:color w:val="000000"/>
                <w:position w:val="2"/>
                <w:sz w:val="13"/>
              </w:rPr>
              <w:instrText xml:space="preserve">√</w:instrText>
            </w:r>
            <w:r>
              <w:rPr>
                <w:rFonts w:hint="eastAsia"/>
                <w:color w:val="000000"/>
              </w:rPr>
              <w:instrText xml:space="preserve">)</w:instrText>
            </w:r>
            <w:r>
              <w:rPr>
                <w:color w:val="000000"/>
              </w:rPr>
              <w:fldChar w:fldCharType="end"/>
            </w:r>
            <w:r>
              <w:rPr>
                <w:rFonts w:hint="eastAsia"/>
                <w:color w:val="000000"/>
                <w:sz w:val="24"/>
                <w:szCs w:val="24"/>
              </w:rPr>
              <w:t xml:space="preserve">电子投标文件壹份  </w:t>
            </w:r>
          </w:p>
        </w:tc>
      </w:tr>
      <w:tr w14:paraId="4E8B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179" w:type="dxa"/>
            <w:shd w:val="clear" w:color="auto" w:fill="FFFFFF"/>
            <w:vAlign w:val="center"/>
          </w:tcPr>
          <w:p w14:paraId="78110F8E">
            <w:pPr>
              <w:spacing w:line="312" w:lineRule="auto"/>
              <w:jc w:val="center"/>
              <w:rPr>
                <w:rFonts w:ascii="宋体" w:hAnsi="宋体" w:cs="宋体"/>
                <w:color w:val="000000"/>
                <w:sz w:val="24"/>
                <w:szCs w:val="24"/>
              </w:rPr>
            </w:pPr>
            <w:r>
              <w:rPr>
                <w:rFonts w:hint="eastAsia" w:ascii="宋体" w:hAnsi="宋体" w:cs="宋体"/>
                <w:color w:val="000000"/>
                <w:sz w:val="24"/>
                <w:szCs w:val="24"/>
              </w:rPr>
              <w:t>电子投标文件的解密</w:t>
            </w:r>
          </w:p>
        </w:tc>
        <w:tc>
          <w:tcPr>
            <w:tcW w:w="7782" w:type="dxa"/>
            <w:shd w:val="clear" w:color="auto" w:fill="FFFFFF"/>
            <w:vAlign w:val="center"/>
          </w:tcPr>
          <w:p w14:paraId="6D865C40">
            <w:pPr>
              <w:wordWrap w:val="0"/>
              <w:spacing w:line="360" w:lineRule="auto"/>
              <w:rPr>
                <w:rFonts w:ascii="宋体" w:hAnsi="宋体" w:cs="宋体"/>
                <w:color w:val="000000"/>
                <w:sz w:val="24"/>
                <w:szCs w:val="24"/>
                <w:highlight w:val="yellow"/>
              </w:rPr>
            </w:pPr>
            <w:r>
              <w:rPr>
                <w:rFonts w:hint="eastAsia" w:ascii="宋体" w:hAnsi="宋体" w:cs="宋体"/>
                <w:color w:val="000000"/>
                <w:sz w:val="24"/>
                <w:szCs w:val="24"/>
              </w:rPr>
              <w:t>1、电子投标文件：供应商应使用“山西省政府采购网（http://www.ccgp-shanxi.gov.cn/home.html）”提供的“投标文件编写工具” 软件编制相应的电子投标文件，并按要求在相应位置签章（电子章）。</w:t>
            </w:r>
          </w:p>
          <w:p w14:paraId="394802BB">
            <w:pPr>
              <w:wordWrap w:val="0"/>
              <w:spacing w:line="360" w:lineRule="auto"/>
              <w:rPr>
                <w:rFonts w:ascii="宋体" w:hAnsi="宋体" w:cs="宋体"/>
                <w:color w:val="000000"/>
                <w:sz w:val="24"/>
                <w:szCs w:val="24"/>
              </w:rPr>
            </w:pPr>
            <w:r>
              <w:rPr>
                <w:rFonts w:hint="eastAsia" w:ascii="宋体" w:hAnsi="宋体" w:cs="宋体"/>
                <w:color w:val="000000"/>
                <w:sz w:val="24"/>
                <w:szCs w:val="24"/>
              </w:rPr>
              <w:t>2、电子签到超时（必须在投标截止时间之前完成签到）视为投标撤回。</w:t>
            </w:r>
          </w:p>
          <w:p w14:paraId="09325795">
            <w:pPr>
              <w:wordWrap w:val="0"/>
              <w:spacing w:line="360" w:lineRule="auto"/>
              <w:rPr>
                <w:rFonts w:ascii="宋体" w:hAnsi="宋体" w:cs="宋体"/>
                <w:color w:val="000000"/>
                <w:sz w:val="24"/>
                <w:szCs w:val="24"/>
              </w:rPr>
            </w:pPr>
            <w:r>
              <w:rPr>
                <w:rFonts w:hint="eastAsia" w:ascii="宋体" w:hAnsi="宋体" w:cs="宋体"/>
                <w:color w:val="000000"/>
                <w:sz w:val="24"/>
                <w:szCs w:val="24"/>
              </w:rPr>
              <w:t>3、详细内容参考《山西省政府采购网（http://www.ccgp-shanxi.gov.cn/home.html）》。</w:t>
            </w:r>
          </w:p>
          <w:p w14:paraId="10EF35FD">
            <w:pPr>
              <w:wordWrap w:val="0"/>
              <w:spacing w:line="360" w:lineRule="auto"/>
              <w:rPr>
                <w:rFonts w:ascii="宋体" w:hAnsi="宋体" w:cs="宋体"/>
                <w:color w:val="000000"/>
                <w:sz w:val="24"/>
                <w:szCs w:val="24"/>
              </w:rPr>
            </w:pPr>
            <w:r>
              <w:rPr>
                <w:rFonts w:hint="eastAsia" w:ascii="宋体" w:hAnsi="宋体" w:cs="宋体"/>
                <w:color w:val="000000"/>
                <w:sz w:val="24"/>
                <w:szCs w:val="24"/>
              </w:rPr>
              <w:t>4、电子投标客户端下载网址：山西省政府采购网＞办事指南＞下载专区”获取并安装</w:t>
            </w:r>
          </w:p>
          <w:p w14:paraId="36BF77E3">
            <w:pPr>
              <w:spacing w:line="312" w:lineRule="auto"/>
              <w:rPr>
                <w:rFonts w:ascii="宋体" w:hAnsi="宋体" w:cs="宋体"/>
                <w:color w:val="000000"/>
                <w:sz w:val="24"/>
                <w:szCs w:val="24"/>
              </w:rPr>
            </w:pPr>
            <w:r>
              <w:rPr>
                <w:rFonts w:hint="eastAsia" w:ascii="宋体" w:hAnsi="宋体" w:cs="宋体"/>
                <w:color w:val="000000"/>
                <w:sz w:val="24"/>
                <w:szCs w:val="24"/>
              </w:rPr>
              <w:t>5、请供应商认真阅读招标文件、山西省政府采购网发布的《山西-入驻与配置操作指南-供应商》及山西省政府采购网发布的相关信息，如遇问题需及时向系统支持部门提出（电子投标技术支持咨询电话：95763）</w:t>
            </w:r>
          </w:p>
        </w:tc>
      </w:tr>
      <w:tr w14:paraId="4C9D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2179" w:type="dxa"/>
            <w:shd w:val="clear" w:color="auto" w:fill="FFFFFF"/>
            <w:vAlign w:val="center"/>
          </w:tcPr>
          <w:p w14:paraId="5A4AB9F8">
            <w:pPr>
              <w:spacing w:line="312" w:lineRule="auto"/>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评标委员会</w:t>
            </w:r>
          </w:p>
        </w:tc>
        <w:tc>
          <w:tcPr>
            <w:tcW w:w="7782" w:type="dxa"/>
            <w:shd w:val="clear" w:color="auto" w:fill="FFFFFF"/>
            <w:vAlign w:val="center"/>
          </w:tcPr>
          <w:p w14:paraId="4C501994">
            <w:pPr>
              <w:spacing w:line="312" w:lineRule="auto"/>
              <w:rPr>
                <w:rFonts w:ascii="宋体" w:hAnsi="宋体" w:cs="宋体"/>
                <w:color w:val="000000"/>
                <w:sz w:val="24"/>
                <w:szCs w:val="24"/>
              </w:rPr>
            </w:pPr>
            <w:r>
              <w:rPr>
                <w:rFonts w:hint="eastAsia" w:ascii="宋体" w:hAnsi="宋体" w:cs="宋体"/>
                <w:color w:val="000000"/>
                <w:sz w:val="24"/>
                <w:szCs w:val="24"/>
                <w:lang w:eastAsia="zh-CN"/>
              </w:rPr>
              <w:t>评标委员会</w:t>
            </w:r>
            <w:r>
              <w:rPr>
                <w:rFonts w:hint="eastAsia" w:ascii="宋体" w:hAnsi="宋体" w:cs="宋体"/>
                <w:color w:val="000000"/>
                <w:sz w:val="24"/>
                <w:szCs w:val="24"/>
              </w:rPr>
              <w:t>由五人以上的单数组成，其中采购人代表1人，</w:t>
            </w:r>
            <w:r>
              <w:rPr>
                <w:rFonts w:hint="eastAsia" w:ascii="宋体" w:hAnsi="宋体" w:cs="宋体"/>
                <w:color w:val="000000"/>
                <w:sz w:val="24"/>
                <w:szCs w:val="24"/>
                <w:lang w:val="en-US" w:eastAsia="zh-CN"/>
              </w:rPr>
              <w:t>评审专家</w:t>
            </w:r>
            <w:r>
              <w:rPr>
                <w:rFonts w:hint="eastAsia" w:ascii="宋体" w:hAnsi="宋体" w:cs="宋体"/>
                <w:color w:val="000000"/>
                <w:sz w:val="24"/>
                <w:szCs w:val="24"/>
              </w:rPr>
              <w:t>4人，</w:t>
            </w:r>
            <w:r>
              <w:rPr>
                <w:rFonts w:hint="eastAsia" w:ascii="宋体" w:hAnsi="宋体" w:cs="宋体"/>
                <w:color w:val="000000"/>
                <w:sz w:val="24"/>
                <w:szCs w:val="24"/>
                <w:lang w:val="en-US" w:eastAsia="zh-CN"/>
              </w:rPr>
              <w:t>其中</w:t>
            </w:r>
            <w:r>
              <w:rPr>
                <w:rFonts w:hint="eastAsia" w:ascii="宋体" w:hAnsi="宋体" w:cs="宋体"/>
                <w:color w:val="000000"/>
                <w:sz w:val="24"/>
                <w:szCs w:val="24"/>
              </w:rPr>
              <w:t>经济、技术</w:t>
            </w:r>
            <w:r>
              <w:rPr>
                <w:rFonts w:hint="eastAsia" w:ascii="宋体" w:hAnsi="宋体" w:cs="宋体"/>
                <w:color w:val="000000"/>
                <w:sz w:val="24"/>
                <w:szCs w:val="24"/>
                <w:lang w:val="en-US" w:eastAsia="zh-CN"/>
              </w:rPr>
              <w:t>类</w:t>
            </w:r>
            <w:r>
              <w:rPr>
                <w:rFonts w:hint="eastAsia" w:ascii="宋体" w:hAnsi="宋体" w:cs="宋体"/>
                <w:color w:val="000000"/>
                <w:sz w:val="24"/>
                <w:szCs w:val="24"/>
              </w:rPr>
              <w:t>专家人数不得少于成员总数的三分之二</w:t>
            </w:r>
          </w:p>
        </w:tc>
      </w:tr>
      <w:tr w14:paraId="4F6F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179" w:type="dxa"/>
            <w:shd w:val="clear" w:color="auto" w:fill="FFFFFF"/>
            <w:vAlign w:val="center"/>
          </w:tcPr>
          <w:p w14:paraId="050B1ADE">
            <w:pPr>
              <w:spacing w:line="312" w:lineRule="auto"/>
              <w:jc w:val="center"/>
              <w:rPr>
                <w:rFonts w:ascii="宋体" w:hAnsi="宋体" w:cs="宋体"/>
                <w:color w:val="000000"/>
                <w:sz w:val="24"/>
                <w:szCs w:val="24"/>
              </w:rPr>
            </w:pPr>
            <w:r>
              <w:rPr>
                <w:rFonts w:hint="eastAsia" w:ascii="宋体" w:hAnsi="宋体" w:cs="宋体"/>
                <w:color w:val="000000"/>
                <w:sz w:val="24"/>
                <w:szCs w:val="24"/>
              </w:rPr>
              <w:t>评审办法</w:t>
            </w:r>
          </w:p>
        </w:tc>
        <w:tc>
          <w:tcPr>
            <w:tcW w:w="7782" w:type="dxa"/>
            <w:shd w:val="clear" w:color="auto" w:fill="FFFFFF"/>
            <w:vAlign w:val="center"/>
          </w:tcPr>
          <w:p w14:paraId="201A65B4">
            <w:pPr>
              <w:spacing w:line="312" w:lineRule="auto"/>
              <w:rPr>
                <w:rFonts w:ascii="宋体" w:hAnsi="宋体" w:cs="宋体"/>
                <w:color w:val="000000"/>
                <w:sz w:val="24"/>
                <w:szCs w:val="24"/>
              </w:rPr>
            </w:pPr>
            <w:r>
              <w:rPr>
                <w:rFonts w:hint="eastAsia" w:ascii="宋体" w:hAnsi="宋体" w:cs="宋体"/>
                <w:color w:val="000000"/>
                <w:sz w:val="24"/>
                <w:szCs w:val="24"/>
              </w:rPr>
              <w:t>综合评分法</w:t>
            </w:r>
          </w:p>
        </w:tc>
      </w:tr>
      <w:tr w14:paraId="27FB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2179" w:type="dxa"/>
            <w:shd w:val="clear" w:color="auto" w:fill="FFFFFF"/>
            <w:vAlign w:val="center"/>
          </w:tcPr>
          <w:p w14:paraId="13BF3531">
            <w:pPr>
              <w:spacing w:line="400" w:lineRule="exact"/>
              <w:jc w:val="center"/>
              <w:rPr>
                <w:rFonts w:ascii="宋体" w:hAnsi="宋体"/>
                <w:color w:val="000000"/>
                <w:sz w:val="24"/>
              </w:rPr>
            </w:pPr>
            <w:r>
              <w:rPr>
                <w:rFonts w:hint="eastAsia" w:ascii="宋体" w:hAnsi="宋体"/>
                <w:color w:val="000000"/>
                <w:sz w:val="24"/>
              </w:rPr>
              <w:t>投标保证金</w:t>
            </w:r>
          </w:p>
        </w:tc>
        <w:tc>
          <w:tcPr>
            <w:tcW w:w="7782" w:type="dxa"/>
            <w:shd w:val="clear" w:color="auto" w:fill="FFFFFF"/>
            <w:vAlign w:val="center"/>
          </w:tcPr>
          <w:p w14:paraId="26D0F7EC">
            <w:pPr>
              <w:spacing w:line="360"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投标保证金的形式：保函、银行汇款和支票</w:t>
            </w:r>
          </w:p>
          <w:p w14:paraId="3EA78E15">
            <w:pPr>
              <w:spacing w:line="360" w:lineRule="auto"/>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rPr>
              <w:t>递交方式：通过本单</w:t>
            </w:r>
            <w:r>
              <w:rPr>
                <w:rFonts w:hint="eastAsia" w:asciiTheme="minorEastAsia" w:hAnsiTheme="minorEastAsia" w:eastAsiaTheme="minorEastAsia" w:cstheme="minorEastAsia"/>
                <w:color w:val="000000"/>
                <w:sz w:val="24"/>
                <w:highlight w:val="none"/>
              </w:rPr>
              <w:t>位基本银行帐户递交</w:t>
            </w:r>
          </w:p>
          <w:p w14:paraId="76740ADA">
            <w:pPr>
              <w:spacing w:line="360" w:lineRule="auto"/>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递交截止时间：投标截止时间前</w:t>
            </w:r>
          </w:p>
          <w:p w14:paraId="57F48E2D">
            <w:pPr>
              <w:spacing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投标保证金的金额：包一：</w:t>
            </w:r>
            <w:r>
              <w:rPr>
                <w:rFonts w:hint="eastAsia" w:asciiTheme="minorEastAsia" w:hAnsiTheme="minorEastAsia" w:eastAsiaTheme="minorEastAsia" w:cstheme="minorEastAsia"/>
                <w:color w:val="000000"/>
                <w:sz w:val="24"/>
                <w:highlight w:val="none"/>
                <w:lang w:val="en-US" w:eastAsia="zh-CN"/>
              </w:rPr>
              <w:t>4</w:t>
            </w:r>
            <w:r>
              <w:rPr>
                <w:rFonts w:hint="eastAsia" w:asciiTheme="minorEastAsia" w:hAnsiTheme="minorEastAsia" w:eastAsiaTheme="minorEastAsia" w:cstheme="minorEastAsia"/>
                <w:color w:val="000000"/>
                <w:sz w:val="24"/>
                <w:highlight w:val="none"/>
              </w:rPr>
              <w:t>0000元（</w:t>
            </w:r>
            <w:r>
              <w:rPr>
                <w:rFonts w:hint="eastAsia" w:asciiTheme="minorEastAsia" w:hAnsiTheme="minorEastAsia" w:eastAsiaTheme="minorEastAsia" w:cstheme="minorEastAsia"/>
                <w:color w:val="000000"/>
                <w:sz w:val="24"/>
                <w:highlight w:val="none"/>
                <w:lang w:val="en-US" w:eastAsia="zh-CN"/>
              </w:rPr>
              <w:t>肆</w:t>
            </w:r>
            <w:r>
              <w:rPr>
                <w:rFonts w:hint="eastAsia" w:asciiTheme="minorEastAsia" w:hAnsiTheme="minorEastAsia" w:eastAsiaTheme="minorEastAsia" w:cstheme="minorEastAsia"/>
                <w:color w:val="000000"/>
                <w:sz w:val="24"/>
                <w:highlight w:val="none"/>
              </w:rPr>
              <w:t>万元整）</w:t>
            </w:r>
          </w:p>
          <w:p w14:paraId="092BCE54">
            <w:pPr>
              <w:spacing w:line="360"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退还方式：通过本单位基本银行帐户本息全额退还</w:t>
            </w:r>
          </w:p>
          <w:p w14:paraId="0B17C327">
            <w:pPr>
              <w:spacing w:line="360"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eastAsia="zh-CN"/>
              </w:rPr>
              <w:t>采购代理机构</w:t>
            </w:r>
            <w:r>
              <w:rPr>
                <w:rFonts w:hint="eastAsia" w:asciiTheme="minorEastAsia" w:hAnsiTheme="minorEastAsia" w:eastAsiaTheme="minorEastAsia" w:cstheme="minorEastAsia"/>
                <w:color w:val="000000"/>
                <w:sz w:val="24"/>
              </w:rPr>
              <w:t>的开户银行及账号如下：</w:t>
            </w:r>
          </w:p>
          <w:p w14:paraId="784BC1D7">
            <w:pPr>
              <w:spacing w:line="360"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开户名称：中环建（北京）工程管理有限责任公司</w:t>
            </w:r>
          </w:p>
          <w:p w14:paraId="7D523FE6">
            <w:pPr>
              <w:spacing w:line="360"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开户银行：</w:t>
            </w:r>
            <w:r>
              <w:rPr>
                <w:rFonts w:hint="eastAsia" w:asciiTheme="minorEastAsia" w:hAnsiTheme="minorEastAsia" w:eastAsiaTheme="minorEastAsia" w:cstheme="minorEastAsia"/>
                <w:color w:val="000000"/>
                <w:sz w:val="24"/>
                <w:lang w:val="zh-CN"/>
              </w:rPr>
              <w:t>南京银行北京亦庄支行</w:t>
            </w:r>
          </w:p>
          <w:p w14:paraId="38D6EE93">
            <w:pPr>
              <w:spacing w:line="360" w:lineRule="auto"/>
              <w:rPr>
                <w:rFonts w:ascii="宋体" w:hAnsi="宋体"/>
                <w:color w:val="000000"/>
                <w:sz w:val="24"/>
                <w:highlight w:val="yellow"/>
              </w:rPr>
            </w:pPr>
            <w:r>
              <w:rPr>
                <w:rFonts w:hint="eastAsia" w:asciiTheme="minorEastAsia" w:hAnsiTheme="minorEastAsia" w:eastAsiaTheme="minorEastAsia" w:cstheme="minorEastAsia"/>
                <w:color w:val="000000"/>
                <w:sz w:val="24"/>
              </w:rPr>
              <w:t>账   号：</w:t>
            </w:r>
            <w:r>
              <w:rPr>
                <w:rFonts w:hint="eastAsia" w:asciiTheme="minorEastAsia" w:hAnsiTheme="minorEastAsia" w:eastAsiaTheme="minorEastAsia" w:cstheme="minorEastAsia"/>
                <w:color w:val="000000"/>
                <w:sz w:val="24"/>
                <w:lang w:val="zh-CN"/>
              </w:rPr>
              <w:t>0523270000000169</w:t>
            </w:r>
          </w:p>
        </w:tc>
      </w:tr>
      <w:tr w14:paraId="0653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179" w:type="dxa"/>
            <w:shd w:val="clear" w:color="auto" w:fill="FFFFFF"/>
            <w:vAlign w:val="center"/>
          </w:tcPr>
          <w:p w14:paraId="40A5E83A">
            <w:pPr>
              <w:spacing w:line="312" w:lineRule="auto"/>
              <w:jc w:val="center"/>
              <w:rPr>
                <w:rFonts w:ascii="宋体" w:hAnsi="宋体" w:cs="宋体"/>
                <w:color w:val="000000"/>
                <w:sz w:val="24"/>
                <w:szCs w:val="24"/>
              </w:rPr>
            </w:pPr>
            <w:r>
              <w:rPr>
                <w:rFonts w:hint="eastAsia" w:ascii="宋体" w:hAnsi="宋体" w:cs="宋体"/>
                <w:color w:val="000000"/>
                <w:sz w:val="24"/>
                <w:szCs w:val="24"/>
              </w:rPr>
              <w:t>所属行业</w:t>
            </w:r>
          </w:p>
        </w:tc>
        <w:tc>
          <w:tcPr>
            <w:tcW w:w="7782" w:type="dxa"/>
            <w:shd w:val="clear" w:color="auto" w:fill="FFFFFF"/>
            <w:vAlign w:val="center"/>
          </w:tcPr>
          <w:p w14:paraId="02F7F27A">
            <w:pPr>
              <w:spacing w:line="312" w:lineRule="auto"/>
              <w:rPr>
                <w:rFonts w:ascii="宋体" w:hAnsi="宋体"/>
                <w:color w:val="000000"/>
                <w:sz w:val="24"/>
              </w:rPr>
            </w:pPr>
            <w:r>
              <w:rPr>
                <w:rFonts w:hint="eastAsia" w:ascii="宋体" w:hAnsi="宋体"/>
                <w:color w:val="000000"/>
                <w:sz w:val="24"/>
                <w:lang w:val="en-US" w:eastAsia="zh-CN"/>
              </w:rPr>
              <w:t>工</w:t>
            </w:r>
            <w:r>
              <w:rPr>
                <w:rFonts w:hint="eastAsia" w:ascii="宋体" w:hAnsi="宋体"/>
                <w:color w:val="000000"/>
                <w:sz w:val="24"/>
              </w:rPr>
              <w:t>业</w:t>
            </w:r>
          </w:p>
        </w:tc>
      </w:tr>
      <w:tr w14:paraId="5FA00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179" w:type="dxa"/>
            <w:shd w:val="clear" w:color="auto" w:fill="FFFFFF"/>
            <w:vAlign w:val="center"/>
          </w:tcPr>
          <w:p w14:paraId="261AD641">
            <w:pPr>
              <w:spacing w:line="312" w:lineRule="auto"/>
              <w:jc w:val="center"/>
              <w:rPr>
                <w:rFonts w:ascii="宋体" w:hAnsi="宋体" w:cs="宋体"/>
                <w:color w:val="000000"/>
                <w:sz w:val="24"/>
                <w:szCs w:val="24"/>
              </w:rPr>
            </w:pPr>
            <w:r>
              <w:rPr>
                <w:rFonts w:hint="eastAsia" w:ascii="宋体" w:hAnsi="宋体" w:cs="宋体"/>
                <w:color w:val="000000"/>
                <w:sz w:val="24"/>
                <w:szCs w:val="24"/>
              </w:rPr>
              <w:t>招标服务费</w:t>
            </w:r>
          </w:p>
        </w:tc>
        <w:tc>
          <w:tcPr>
            <w:tcW w:w="7782" w:type="dxa"/>
            <w:shd w:val="clear" w:color="auto" w:fill="FFFFFF"/>
            <w:vAlign w:val="center"/>
          </w:tcPr>
          <w:p w14:paraId="299AFE06">
            <w:pPr>
              <w:spacing w:line="312" w:lineRule="auto"/>
              <w:rPr>
                <w:rFonts w:ascii="宋体" w:hAnsi="宋体" w:cs="宋体"/>
                <w:color w:val="000000"/>
                <w:sz w:val="24"/>
                <w:szCs w:val="24"/>
              </w:rPr>
            </w:pPr>
            <w:bookmarkStart w:id="26" w:name="OLE_LINK2"/>
            <w:r>
              <w:rPr>
                <w:rFonts w:hint="eastAsia" w:ascii="宋体" w:hAnsi="宋体"/>
                <w:color w:val="000000"/>
                <w:sz w:val="24"/>
              </w:rPr>
              <w:t>参照国家发展计划委员会文件计价格[2002]1980号、国家发展和改革委员会办公厅文件发改办价格[2003]857号和发改价格[2011]534号文70%执行。由中标人支付。</w:t>
            </w:r>
            <w:bookmarkEnd w:id="26"/>
          </w:p>
        </w:tc>
      </w:tr>
      <w:tr w14:paraId="2E49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179" w:type="dxa"/>
            <w:shd w:val="clear" w:color="auto" w:fill="FFFFFF"/>
            <w:vAlign w:val="center"/>
          </w:tcPr>
          <w:p w14:paraId="22AAE643">
            <w:pPr>
              <w:spacing w:line="312" w:lineRule="auto"/>
              <w:rPr>
                <w:rFonts w:ascii="宋体" w:hAnsi="宋体" w:cs="宋体"/>
                <w:color w:val="000000"/>
                <w:sz w:val="24"/>
                <w:szCs w:val="24"/>
              </w:rPr>
            </w:pPr>
            <w:r>
              <w:rPr>
                <w:rFonts w:hint="eastAsia" w:ascii="宋体" w:hAnsi="宋体" w:cs="宋体"/>
                <w:color w:val="000000"/>
                <w:sz w:val="24"/>
                <w:szCs w:val="24"/>
              </w:rPr>
              <w:t>政府采购相关政策要求（如涉及）</w:t>
            </w:r>
          </w:p>
        </w:tc>
        <w:tc>
          <w:tcPr>
            <w:tcW w:w="7782" w:type="dxa"/>
            <w:shd w:val="clear" w:color="auto" w:fill="FFFFFF"/>
            <w:vAlign w:val="center"/>
          </w:tcPr>
          <w:p w14:paraId="22C27850">
            <w:pPr>
              <w:spacing w:line="312" w:lineRule="auto"/>
              <w:rPr>
                <w:rFonts w:ascii="宋体" w:hAnsi="宋体" w:cs="宋体"/>
                <w:color w:val="000000"/>
                <w:sz w:val="24"/>
                <w:szCs w:val="24"/>
              </w:rPr>
            </w:pPr>
            <w:r>
              <w:rPr>
                <w:rFonts w:hint="eastAsia" w:ascii="宋体" w:hAnsi="宋体" w:cs="宋体"/>
                <w:color w:val="000000"/>
                <w:sz w:val="24"/>
                <w:szCs w:val="24"/>
              </w:rPr>
              <w:t>投标货物未特别注明“进口产品”字样的，均必须采购国产产品，即非“通过中国海关报关验放进入中国境内且产自关境外的产品”，投标产品各项技术标准必须符合国家强制性标准，否则投标无效。</w:t>
            </w:r>
          </w:p>
          <w:p w14:paraId="142D9B5E">
            <w:pPr>
              <w:spacing w:line="312" w:lineRule="auto"/>
              <w:rPr>
                <w:rFonts w:ascii="宋体" w:hAnsi="宋体" w:cs="宋体"/>
                <w:color w:val="000000"/>
                <w:sz w:val="24"/>
                <w:szCs w:val="24"/>
              </w:rPr>
            </w:pPr>
            <w:r>
              <w:rPr>
                <w:rFonts w:hint="eastAsia" w:ascii="宋体" w:hAnsi="宋体" w:cs="宋体"/>
                <w:color w:val="000000"/>
                <w:sz w:val="24"/>
                <w:szCs w:val="24"/>
              </w:rPr>
              <w:t>本项目涉及节能产品、环境标志产品的要求：投标货物对“政府采购相关政策要求”的响应情况（投标货物中有“品目清单”中政府强制采购产品的，供应商必须投报“品目清单”范围内的产品，并提供处于有效期之内的中国政府采购网（http://www.ccgp.gov.cn）查询截图或国家确定的认证机构出具的节能产品、环境标志产品认证证书；否则，不予认定节能、环境标志产品；</w:t>
            </w:r>
          </w:p>
          <w:p w14:paraId="0F43F8BA">
            <w:pPr>
              <w:spacing w:line="312" w:lineRule="auto"/>
              <w:rPr>
                <w:rFonts w:ascii="宋体" w:hAnsi="宋体" w:cs="宋体"/>
                <w:color w:val="000000"/>
                <w:sz w:val="24"/>
                <w:szCs w:val="24"/>
              </w:rPr>
            </w:pPr>
            <w:r>
              <w:rPr>
                <w:rFonts w:hint="eastAsia" w:ascii="宋体" w:hAnsi="宋体" w:cs="宋体"/>
                <w:color w:val="000000"/>
                <w:sz w:val="24"/>
                <w:szCs w:val="24"/>
              </w:rPr>
              <w:t>中小微企业参加本项目投标时：须按照工信部联【2011】300号《中小企业划型标准规定》的标准如实填写《中小企业声明函》。</w:t>
            </w:r>
          </w:p>
          <w:p w14:paraId="00CE73B8">
            <w:pPr>
              <w:spacing w:line="312" w:lineRule="auto"/>
              <w:rPr>
                <w:rFonts w:ascii="宋体" w:hAnsi="宋体" w:cs="宋体"/>
                <w:color w:val="000000"/>
                <w:sz w:val="24"/>
                <w:szCs w:val="24"/>
              </w:rPr>
            </w:pPr>
            <w:r>
              <w:rPr>
                <w:rFonts w:hint="eastAsia" w:ascii="宋体" w:hAnsi="宋体" w:cs="宋体"/>
                <w:color w:val="000000"/>
                <w:sz w:val="24"/>
                <w:szCs w:val="24"/>
              </w:rPr>
              <w:t>价格折扣：小型、微型企业给予10%的价格扣除；用扣除后的报价参与评审。</w:t>
            </w:r>
          </w:p>
          <w:p w14:paraId="6D037A8A">
            <w:pPr>
              <w:spacing w:line="312" w:lineRule="auto"/>
              <w:rPr>
                <w:rFonts w:ascii="宋体" w:hAnsi="宋体" w:cs="宋体"/>
                <w:color w:val="000000"/>
                <w:sz w:val="24"/>
                <w:szCs w:val="24"/>
              </w:rPr>
            </w:pPr>
            <w:r>
              <w:rPr>
                <w:rFonts w:hint="eastAsia" w:ascii="宋体" w:hAnsi="宋体" w:cs="宋体"/>
                <w:color w:val="000000"/>
                <w:sz w:val="24"/>
                <w:szCs w:val="24"/>
              </w:rPr>
              <w:t>联合体投标价格折扣：本项目若允许联合体投标，大中型企业与小微型企业组成联合体投标的，小微企业须占到联合体协议合同金额30%以上；与小型企业联合的给予联合体4%的价格扣除、与微型企业联合的给予5%的价格扣除。需附相关佐证证明材料。由</w:t>
            </w:r>
            <w:r>
              <w:rPr>
                <w:rFonts w:hint="eastAsia" w:ascii="宋体" w:hAnsi="宋体" w:cs="宋体"/>
                <w:color w:val="000000"/>
                <w:sz w:val="24"/>
                <w:szCs w:val="24"/>
                <w:lang w:eastAsia="zh-CN"/>
              </w:rPr>
              <w:t>评标委员会</w:t>
            </w:r>
            <w:r>
              <w:rPr>
                <w:rFonts w:hint="eastAsia" w:ascii="宋体" w:hAnsi="宋体" w:cs="宋体"/>
                <w:color w:val="000000"/>
                <w:sz w:val="24"/>
                <w:szCs w:val="24"/>
              </w:rPr>
              <w:t>认定。</w:t>
            </w:r>
          </w:p>
          <w:p w14:paraId="7BABADB2">
            <w:pPr>
              <w:spacing w:line="312" w:lineRule="auto"/>
              <w:rPr>
                <w:rFonts w:ascii="宋体" w:hAnsi="宋体" w:cs="宋体"/>
                <w:color w:val="000000"/>
                <w:sz w:val="24"/>
                <w:szCs w:val="24"/>
              </w:rPr>
            </w:pPr>
            <w:r>
              <w:rPr>
                <w:rFonts w:hint="eastAsia" w:ascii="宋体" w:hAnsi="宋体" w:cs="宋体"/>
                <w:color w:val="000000"/>
                <w:sz w:val="24"/>
                <w:szCs w:val="24"/>
              </w:rPr>
              <w:t>残疾人福利性单位参加本项目投标时需附相关佐证证明材料。由</w:t>
            </w:r>
            <w:r>
              <w:rPr>
                <w:rFonts w:hint="eastAsia" w:ascii="宋体" w:hAnsi="宋体" w:cs="宋体"/>
                <w:color w:val="000000"/>
                <w:sz w:val="24"/>
                <w:szCs w:val="24"/>
                <w:lang w:eastAsia="zh-CN"/>
              </w:rPr>
              <w:t>评标委员会</w:t>
            </w:r>
            <w:r>
              <w:rPr>
                <w:rFonts w:hint="eastAsia" w:ascii="宋体" w:hAnsi="宋体" w:cs="宋体"/>
                <w:color w:val="000000"/>
                <w:sz w:val="24"/>
                <w:szCs w:val="24"/>
              </w:rPr>
              <w:t>认定。</w:t>
            </w:r>
          </w:p>
          <w:p w14:paraId="0AA3C7C3">
            <w:pPr>
              <w:spacing w:line="312" w:lineRule="auto"/>
              <w:rPr>
                <w:color w:val="000000"/>
              </w:rPr>
            </w:pPr>
            <w:r>
              <w:rPr>
                <w:rFonts w:hint="eastAsia"/>
                <w:color w:val="000000"/>
                <w:sz w:val="24"/>
                <w:szCs w:val="24"/>
              </w:rPr>
              <w:t>属于监狱企业的证明文件，</w:t>
            </w:r>
            <w:r>
              <w:rPr>
                <w:rFonts w:hint="eastAsia" w:ascii="宋体" w:hAnsi="宋体" w:cs="宋体"/>
                <w:color w:val="000000"/>
                <w:sz w:val="24"/>
                <w:szCs w:val="24"/>
              </w:rPr>
              <w:t>由</w:t>
            </w:r>
            <w:r>
              <w:rPr>
                <w:rFonts w:hint="eastAsia" w:ascii="宋体" w:hAnsi="宋体" w:cs="宋体"/>
                <w:color w:val="000000"/>
                <w:sz w:val="24"/>
                <w:szCs w:val="24"/>
                <w:lang w:eastAsia="zh-CN"/>
              </w:rPr>
              <w:t>评标委员会</w:t>
            </w:r>
            <w:r>
              <w:rPr>
                <w:rFonts w:hint="eastAsia" w:ascii="宋体" w:hAnsi="宋体" w:cs="宋体"/>
                <w:color w:val="000000"/>
                <w:sz w:val="24"/>
                <w:szCs w:val="24"/>
              </w:rPr>
              <w:t>认定。</w:t>
            </w:r>
          </w:p>
          <w:p w14:paraId="06D03DE2">
            <w:pPr>
              <w:spacing w:line="312" w:lineRule="auto"/>
              <w:rPr>
                <w:rFonts w:ascii="宋体" w:hAnsi="宋体" w:cs="宋体"/>
                <w:color w:val="000000"/>
                <w:sz w:val="24"/>
                <w:szCs w:val="24"/>
              </w:rPr>
            </w:pPr>
            <w:r>
              <w:rPr>
                <w:rFonts w:ascii="宋体" w:hAnsi="宋体" w:cs="宋体"/>
                <w:color w:val="000000"/>
                <w:sz w:val="24"/>
                <w:szCs w:val="24"/>
              </w:rPr>
              <w:t>具体</w:t>
            </w:r>
            <w:r>
              <w:rPr>
                <w:rFonts w:hint="eastAsia" w:ascii="宋体" w:hAnsi="宋体" w:cs="宋体"/>
                <w:color w:val="000000"/>
                <w:sz w:val="24"/>
                <w:szCs w:val="24"/>
              </w:rPr>
              <w:t>政策要求</w:t>
            </w:r>
            <w:r>
              <w:rPr>
                <w:rFonts w:ascii="宋体" w:hAnsi="宋体" w:cs="宋体"/>
                <w:color w:val="000000"/>
                <w:sz w:val="24"/>
                <w:szCs w:val="24"/>
              </w:rPr>
              <w:t>内容详见</w:t>
            </w:r>
            <w:r>
              <w:rPr>
                <w:rFonts w:hint="eastAsia" w:ascii="宋体" w:hAnsi="宋体" w:cs="宋体"/>
                <w:color w:val="000000"/>
                <w:sz w:val="24"/>
                <w:szCs w:val="24"/>
              </w:rPr>
              <w:t>招标文件供应商</w:t>
            </w:r>
            <w:r>
              <w:rPr>
                <w:rFonts w:ascii="宋体" w:hAnsi="宋体" w:cs="宋体"/>
                <w:color w:val="000000"/>
                <w:sz w:val="24"/>
                <w:szCs w:val="24"/>
              </w:rPr>
              <w:t>须知</w:t>
            </w:r>
            <w:r>
              <w:rPr>
                <w:rFonts w:hint="eastAsia" w:ascii="宋体" w:hAnsi="宋体" w:cs="宋体"/>
                <w:color w:val="000000"/>
                <w:sz w:val="24"/>
                <w:szCs w:val="24"/>
              </w:rPr>
              <w:t>部分38部分</w:t>
            </w:r>
          </w:p>
          <w:p w14:paraId="0B639CCB">
            <w:pPr>
              <w:widowControl/>
              <w:spacing w:line="440" w:lineRule="exact"/>
              <w:rPr>
                <w:rFonts w:ascii="宋体" w:hAnsi="宋体" w:cs="宋体"/>
                <w:color w:val="000000"/>
                <w:sz w:val="24"/>
                <w:szCs w:val="24"/>
              </w:rPr>
            </w:pPr>
            <w:r>
              <w:rPr>
                <w:rFonts w:hint="eastAsia" w:ascii="宋体" w:hAnsi="宋体" w:cs="宋体"/>
                <w:sz w:val="24"/>
                <w:lang w:bidi="ar"/>
              </w:rPr>
              <w:t>凡符合要求且自愿选择“政采智贷”的中标供应商，可在“中国政府采购网山西分网（山西省政府采购网，http://www.ccgp-shanxi.gov.cn/）”，点击“政采智贷”，进入“山西政府采购信用融资平台”页面，按照《山西省“政采智贷”业务操作指南》办理该项业务。同时，参与“政采智贷”的供应商，应严格按照政府采购合同履约，严格按照信贷合同偿还债务。</w:t>
            </w:r>
          </w:p>
        </w:tc>
      </w:tr>
    </w:tbl>
    <w:p w14:paraId="70D2C9FA">
      <w:pPr>
        <w:pStyle w:val="31"/>
        <w:wordWrap w:val="0"/>
        <w:spacing w:line="360" w:lineRule="auto"/>
        <w:jc w:val="both"/>
        <w:outlineLvl w:val="9"/>
        <w:rPr>
          <w:rFonts w:ascii="宋体" w:hAnsi="宋体"/>
          <w:sz w:val="21"/>
          <w:szCs w:val="21"/>
        </w:rPr>
      </w:pPr>
      <w:bookmarkStart w:id="27" w:name="_Toc11843"/>
      <w:bookmarkStart w:id="28" w:name="_Toc86202581"/>
      <w:r>
        <w:rPr>
          <w:rFonts w:hint="eastAsia" w:ascii="宋体" w:hAnsi="宋体"/>
          <w:sz w:val="21"/>
          <w:szCs w:val="21"/>
        </w:rPr>
        <w:t>若供应商须知与供应商须知前附表不一致以供应商须知前附表为准</w:t>
      </w:r>
    </w:p>
    <w:p w14:paraId="3E29D337">
      <w:pPr>
        <w:pStyle w:val="31"/>
        <w:wordWrap w:val="0"/>
        <w:spacing w:line="360" w:lineRule="auto"/>
        <w:jc w:val="center"/>
        <w:outlineLvl w:val="0"/>
        <w:rPr>
          <w:rFonts w:hint="eastAsia" w:ascii="宋体" w:hAnsi="宋体"/>
          <w:b/>
          <w:bCs/>
          <w:sz w:val="30"/>
          <w:szCs w:val="30"/>
        </w:rPr>
        <w:sectPr>
          <w:footerReference r:id="rId6" w:type="default"/>
          <w:pgSz w:w="11906" w:h="16838"/>
          <w:pgMar w:top="1134" w:right="1134" w:bottom="1134" w:left="1134" w:header="851" w:footer="992" w:gutter="0"/>
          <w:cols w:space="720" w:num="1"/>
          <w:docGrid w:type="lines" w:linePitch="312" w:charSpace="0"/>
        </w:sectPr>
      </w:pPr>
      <w:bookmarkStart w:id="29" w:name="_Toc31389"/>
    </w:p>
    <w:p w14:paraId="701FBBC9">
      <w:pPr>
        <w:pStyle w:val="31"/>
        <w:wordWrap w:val="0"/>
        <w:spacing w:line="360" w:lineRule="auto"/>
        <w:jc w:val="center"/>
        <w:outlineLvl w:val="0"/>
        <w:rPr>
          <w:rFonts w:ascii="宋体" w:hAnsi="宋体"/>
          <w:b/>
          <w:bCs/>
          <w:sz w:val="30"/>
          <w:szCs w:val="30"/>
        </w:rPr>
      </w:pPr>
      <w:r>
        <w:rPr>
          <w:rFonts w:hint="eastAsia" w:ascii="宋体" w:hAnsi="宋体"/>
          <w:b/>
          <w:bCs/>
          <w:sz w:val="30"/>
          <w:szCs w:val="30"/>
        </w:rPr>
        <w:t>第三章 供应商须知</w:t>
      </w:r>
      <w:bookmarkEnd w:id="27"/>
      <w:bookmarkEnd w:id="29"/>
    </w:p>
    <w:p w14:paraId="42B0386D">
      <w:pPr>
        <w:pStyle w:val="3"/>
        <w:keepNext w:val="0"/>
        <w:keepLines w:val="0"/>
        <w:tabs>
          <w:tab w:val="left" w:pos="567"/>
        </w:tabs>
        <w:wordWrap w:val="0"/>
        <w:topLinePunct/>
        <w:adjustRightInd w:val="0"/>
        <w:snapToGrid w:val="0"/>
        <w:spacing w:before="0" w:after="0" w:line="360" w:lineRule="auto"/>
        <w:outlineLvl w:val="0"/>
        <w:rPr>
          <w:rFonts w:cs="宋体"/>
          <w:sz w:val="24"/>
          <w:szCs w:val="24"/>
        </w:rPr>
      </w:pPr>
      <w:bookmarkStart w:id="30" w:name="_Toc3854"/>
      <w:bookmarkStart w:id="31" w:name="_Toc26924"/>
      <w:r>
        <w:rPr>
          <w:rFonts w:hint="eastAsia" w:cs="宋体"/>
          <w:sz w:val="24"/>
          <w:szCs w:val="24"/>
        </w:rPr>
        <w:t>一、总则</w:t>
      </w:r>
      <w:bookmarkEnd w:id="30"/>
      <w:bookmarkEnd w:id="31"/>
      <w:r>
        <w:rPr>
          <w:rFonts w:hint="eastAsia" w:cs="宋体"/>
          <w:sz w:val="24"/>
          <w:szCs w:val="24"/>
        </w:rPr>
        <w:t xml:space="preserve">     </w:t>
      </w:r>
    </w:p>
    <w:p w14:paraId="0515D3B1">
      <w:pPr>
        <w:tabs>
          <w:tab w:val="left" w:pos="737"/>
        </w:tabs>
        <w:wordWrap w:val="0"/>
        <w:topLinePunct/>
        <w:adjustRightInd w:val="0"/>
        <w:snapToGrid w:val="0"/>
        <w:spacing w:line="360" w:lineRule="auto"/>
        <w:rPr>
          <w:rFonts w:ascii="宋体" w:hAnsi="宋体" w:cs="宋体"/>
          <w:b/>
          <w:color w:val="000000"/>
          <w:kern w:val="0"/>
          <w:sz w:val="24"/>
        </w:rPr>
      </w:pPr>
      <w:r>
        <w:rPr>
          <w:rFonts w:hint="eastAsia" w:ascii="宋体" w:hAnsi="宋体" w:cs="宋体"/>
          <w:b/>
          <w:color w:val="000000"/>
          <w:kern w:val="0"/>
          <w:sz w:val="24"/>
        </w:rPr>
        <w:t>1. 适用范围</w:t>
      </w:r>
    </w:p>
    <w:p w14:paraId="6934437D">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本招标文件适用于本次招标活动的全过程。</w:t>
      </w:r>
    </w:p>
    <w:p w14:paraId="450C4659">
      <w:pPr>
        <w:tabs>
          <w:tab w:val="left" w:pos="0"/>
        </w:tabs>
        <w:wordWrap w:val="0"/>
        <w:topLinePunct/>
        <w:adjustRightInd w:val="0"/>
        <w:snapToGrid w:val="0"/>
        <w:spacing w:line="360" w:lineRule="auto"/>
        <w:rPr>
          <w:rFonts w:ascii="宋体" w:hAnsi="宋体" w:cs="宋体"/>
          <w:b/>
          <w:color w:val="000000"/>
          <w:kern w:val="0"/>
          <w:sz w:val="24"/>
        </w:rPr>
      </w:pPr>
      <w:r>
        <w:rPr>
          <w:rFonts w:hint="eastAsia" w:ascii="宋体" w:hAnsi="宋体" w:cs="宋体"/>
          <w:b/>
          <w:color w:val="000000"/>
          <w:kern w:val="0"/>
          <w:sz w:val="24"/>
        </w:rPr>
        <w:t>2. 定义</w:t>
      </w:r>
    </w:p>
    <w:p w14:paraId="6E114AA9">
      <w:pPr>
        <w:tabs>
          <w:tab w:val="left" w:pos="567"/>
        </w:tabs>
        <w:wordWrap w:val="0"/>
        <w:topLinePunct/>
        <w:adjustRightInd w:val="0"/>
        <w:snapToGrid w:val="0"/>
        <w:spacing w:line="360" w:lineRule="auto"/>
        <w:rPr>
          <w:rFonts w:ascii="宋体" w:hAnsi="宋体" w:cs="宋体"/>
          <w:kern w:val="0"/>
          <w:sz w:val="24"/>
        </w:rPr>
      </w:pPr>
      <w:r>
        <w:rPr>
          <w:rFonts w:hint="eastAsia" w:ascii="宋体" w:hAnsi="宋体" w:cs="宋体"/>
          <w:color w:val="000000"/>
          <w:kern w:val="0"/>
          <w:sz w:val="24"/>
        </w:rPr>
        <w:t>2.1</w:t>
      </w:r>
      <w:r>
        <w:rPr>
          <w:rFonts w:hint="eastAsia" w:ascii="宋体" w:hAnsi="宋体" w:cs="宋体"/>
          <w:color w:val="000000"/>
          <w:kern w:val="0"/>
          <w:sz w:val="24"/>
          <w:lang w:eastAsia="zh-CN"/>
        </w:rPr>
        <w:t>采购人</w:t>
      </w:r>
      <w:r>
        <w:rPr>
          <w:rFonts w:hint="eastAsia" w:ascii="宋体" w:hAnsi="宋体" w:cs="宋体"/>
          <w:color w:val="000000"/>
          <w:kern w:val="0"/>
          <w:sz w:val="24"/>
        </w:rPr>
        <w:t>：指依法进行本次招标活动的采购单位。</w:t>
      </w:r>
    </w:p>
    <w:p w14:paraId="577038FA">
      <w:pPr>
        <w:tabs>
          <w:tab w:val="left" w:pos="567"/>
        </w:tabs>
        <w:wordWrap w:val="0"/>
        <w:topLinePunct/>
        <w:adjustRightInd w:val="0"/>
        <w:snapToGrid w:val="0"/>
        <w:spacing w:line="360" w:lineRule="auto"/>
        <w:rPr>
          <w:rFonts w:ascii="宋体" w:hAnsi="宋体" w:cs="宋体"/>
          <w:kern w:val="0"/>
          <w:sz w:val="24"/>
        </w:rPr>
      </w:pPr>
      <w:r>
        <w:rPr>
          <w:rFonts w:hint="eastAsia" w:ascii="宋体" w:hAnsi="宋体" w:cs="宋体"/>
          <w:sz w:val="24"/>
        </w:rPr>
        <w:t xml:space="preserve">2.2 </w:t>
      </w:r>
      <w:r>
        <w:rPr>
          <w:rFonts w:hint="eastAsia" w:ascii="宋体" w:hAnsi="宋体" w:cs="宋体"/>
          <w:kern w:val="0"/>
          <w:sz w:val="24"/>
          <w:lang w:eastAsia="zh-CN"/>
        </w:rPr>
        <w:t>采购代理机构</w:t>
      </w:r>
      <w:r>
        <w:rPr>
          <w:rFonts w:hint="eastAsia" w:ascii="宋体" w:hAnsi="宋体" w:cs="宋体"/>
          <w:kern w:val="0"/>
          <w:sz w:val="24"/>
        </w:rPr>
        <w:t>：指在</w:t>
      </w:r>
      <w:r>
        <w:rPr>
          <w:rFonts w:hint="eastAsia" w:ascii="宋体" w:hAnsi="宋体" w:cs="宋体"/>
          <w:kern w:val="0"/>
          <w:sz w:val="24"/>
          <w:lang w:eastAsia="zh-CN"/>
        </w:rPr>
        <w:t>采购人</w:t>
      </w:r>
      <w:r>
        <w:rPr>
          <w:rFonts w:hint="eastAsia" w:ascii="宋体" w:hAnsi="宋体" w:cs="宋体"/>
          <w:kern w:val="0"/>
          <w:sz w:val="24"/>
        </w:rPr>
        <w:t>委托的范围内依法开展采购活动，组织本次招标活动的执行机构。</w:t>
      </w:r>
    </w:p>
    <w:p w14:paraId="4E7DA34F">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2.3 潜在供应商：指符合本招标文件各项规定的供应商。</w:t>
      </w:r>
    </w:p>
    <w:p w14:paraId="0B1EC0BF">
      <w:pPr>
        <w:tabs>
          <w:tab w:val="left" w:pos="567"/>
        </w:tabs>
        <w:wordWrap w:val="0"/>
        <w:topLinePunct/>
        <w:adjustRightInd w:val="0"/>
        <w:snapToGrid w:val="0"/>
        <w:spacing w:line="360" w:lineRule="auto"/>
        <w:rPr>
          <w:rFonts w:ascii="宋体" w:hAnsi="宋体" w:cs="宋体"/>
          <w:color w:val="000000"/>
          <w:sz w:val="24"/>
        </w:rPr>
      </w:pPr>
      <w:r>
        <w:rPr>
          <w:rFonts w:hint="eastAsia" w:ascii="宋体" w:hAnsi="宋体" w:cs="宋体"/>
          <w:color w:val="000000"/>
          <w:kern w:val="0"/>
          <w:sz w:val="24"/>
        </w:rPr>
        <w:t>2.4供应商：指响应本招标文件规定并提供投标文件参加投标竞争的供应商。</w:t>
      </w:r>
    </w:p>
    <w:p w14:paraId="6B3A427C">
      <w:pPr>
        <w:wordWrap w:val="0"/>
        <w:topLinePunct/>
        <w:adjustRightInd w:val="0"/>
        <w:snapToGrid w:val="0"/>
        <w:spacing w:line="360" w:lineRule="auto"/>
        <w:rPr>
          <w:rFonts w:ascii="宋体" w:hAnsi="宋体" w:cs="宋体"/>
          <w:sz w:val="24"/>
          <w:szCs w:val="24"/>
        </w:rPr>
      </w:pPr>
      <w:r>
        <w:rPr>
          <w:rFonts w:hint="eastAsia" w:ascii="宋体" w:hAnsi="宋体" w:cs="宋体"/>
          <w:color w:val="000000"/>
          <w:kern w:val="0"/>
          <w:sz w:val="24"/>
        </w:rPr>
        <w:t xml:space="preserve">2.5 </w:t>
      </w:r>
      <w:r>
        <w:rPr>
          <w:rFonts w:hint="eastAsia" w:ascii="宋体" w:hAnsi="宋体" w:cs="宋体"/>
          <w:sz w:val="24"/>
          <w:szCs w:val="24"/>
        </w:rPr>
        <w:t>货物：是指供应商按招标文件的规定，须向采购人提供的各种形态和种类的物品及其它有关技术资料和材料。</w:t>
      </w:r>
    </w:p>
    <w:p w14:paraId="413ACFE6">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2.6招标文件：是</w:t>
      </w:r>
      <w:r>
        <w:rPr>
          <w:rFonts w:hint="eastAsia" w:ascii="宋体" w:hAnsi="宋体" w:cs="宋体"/>
          <w:color w:val="000000"/>
          <w:kern w:val="0"/>
          <w:sz w:val="24"/>
          <w:lang w:eastAsia="zh-CN"/>
        </w:rPr>
        <w:t>采购代理机构</w:t>
      </w:r>
      <w:r>
        <w:rPr>
          <w:rFonts w:hint="eastAsia" w:ascii="宋体" w:hAnsi="宋体" w:cs="宋体"/>
          <w:color w:val="000000"/>
          <w:kern w:val="0"/>
          <w:sz w:val="24"/>
        </w:rPr>
        <w:t>根据相关法律法规和</w:t>
      </w:r>
      <w:r>
        <w:rPr>
          <w:rFonts w:hint="eastAsia" w:ascii="宋体" w:hAnsi="宋体" w:cs="宋体"/>
          <w:color w:val="000000"/>
          <w:kern w:val="0"/>
          <w:sz w:val="24"/>
          <w:lang w:eastAsia="zh-CN"/>
        </w:rPr>
        <w:t>采购人</w:t>
      </w:r>
      <w:r>
        <w:rPr>
          <w:rFonts w:hint="eastAsia" w:ascii="宋体" w:hAnsi="宋体" w:cs="宋体"/>
          <w:color w:val="000000"/>
          <w:kern w:val="0"/>
          <w:sz w:val="24"/>
        </w:rPr>
        <w:t>采购需求制定的向潜在供应商发出并告知项目需求、招标投标活动规则和合同条件等信息的要约文件，是项目招标投标活动的主要依据，对招标投标活动各方均具有法律约束力。</w:t>
      </w:r>
    </w:p>
    <w:p w14:paraId="3ACC89E7">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2.7投标文件：是指供应商应招标文件的条件和要求，按规定编制并按时提交的响应性文件。</w:t>
      </w:r>
    </w:p>
    <w:p w14:paraId="3CCE702E">
      <w:pPr>
        <w:tabs>
          <w:tab w:val="left" w:pos="0"/>
        </w:tabs>
        <w:wordWrap w:val="0"/>
        <w:topLinePunct/>
        <w:adjustRightInd w:val="0"/>
        <w:snapToGrid w:val="0"/>
        <w:spacing w:line="360" w:lineRule="auto"/>
        <w:rPr>
          <w:rFonts w:ascii="宋体" w:hAnsi="宋体" w:cs="宋体"/>
          <w:b/>
          <w:color w:val="000000"/>
          <w:kern w:val="0"/>
          <w:sz w:val="24"/>
        </w:rPr>
      </w:pPr>
      <w:r>
        <w:rPr>
          <w:rFonts w:hint="eastAsia" w:ascii="宋体" w:hAnsi="宋体" w:cs="宋体"/>
          <w:b/>
          <w:color w:val="000000"/>
          <w:kern w:val="0"/>
          <w:sz w:val="24"/>
        </w:rPr>
        <w:t>3. 合格供应商的条件</w:t>
      </w:r>
    </w:p>
    <w:p w14:paraId="3A428AB1">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3.1参加本次采购活动的供应商应当具备《中华人民共和国政府采购法》第二十二条</w:t>
      </w:r>
      <w:r>
        <w:rPr>
          <w:rFonts w:hint="eastAsia" w:ascii="宋体" w:hAnsi="宋体" w:cs="宋体"/>
          <w:color w:val="000000"/>
          <w:kern w:val="0"/>
          <w:sz w:val="24"/>
          <w:lang w:val="en-US" w:eastAsia="zh-CN"/>
        </w:rPr>
        <w:t>规定</w:t>
      </w:r>
      <w:r>
        <w:rPr>
          <w:rFonts w:hint="eastAsia" w:ascii="宋体" w:hAnsi="宋体" w:cs="宋体"/>
          <w:color w:val="000000"/>
          <w:kern w:val="0"/>
          <w:sz w:val="24"/>
        </w:rPr>
        <w:t>的</w:t>
      </w:r>
      <w:r>
        <w:rPr>
          <w:rFonts w:hint="eastAsia" w:ascii="宋体" w:hAnsi="宋体" w:cs="宋体"/>
          <w:color w:val="000000"/>
          <w:kern w:val="0"/>
          <w:sz w:val="24"/>
          <w:lang w:val="en-US" w:eastAsia="zh-CN"/>
        </w:rPr>
        <w:t>全部条件</w:t>
      </w:r>
      <w:r>
        <w:rPr>
          <w:rFonts w:hint="eastAsia" w:ascii="宋体" w:hAnsi="宋体" w:cs="宋体"/>
          <w:color w:val="000000"/>
          <w:kern w:val="0"/>
          <w:sz w:val="24"/>
        </w:rPr>
        <w:t>，并根据《中华人民共和国政府采购法实施条例》第十七条的规定，提供供应商须知前附表要求的资格证明文件。</w:t>
      </w:r>
    </w:p>
    <w:p w14:paraId="1C9D1CE2">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3.2单位负责人为同一人或者存在控股、管理关系的不同单位，不得同时参加本项目同一标段的投标。</w:t>
      </w:r>
    </w:p>
    <w:p w14:paraId="145CD4A4">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3.3供应商所投产品属于医疗器械生产企业直接参加投标的，一类医疗器械提供生产备案凭证;二类医疗器械提供生产企业许可证和经营备案凭证;三类医疗器械提供生产企业许可证和经营许可证;供应商属于医疗器械经营企业参加投标的，二类医疗器械提供经营备案凭证，三类医疗器械提供经营许可证，一类医疗器械可不提供，属于医疗器械产品需提供医疗器械注册证书；并在人员、设备、资金等方面具有满足本项目的相应服务能力。</w:t>
      </w:r>
    </w:p>
    <w:p w14:paraId="4D233824">
      <w:pPr>
        <w:wordWrap w:val="0"/>
        <w:topLinePunct/>
        <w:adjustRightInd w:val="0"/>
        <w:snapToGrid w:val="0"/>
        <w:spacing w:line="360" w:lineRule="auto"/>
        <w:rPr>
          <w:rFonts w:ascii="宋体" w:hAnsi="宋体" w:cs="宋体"/>
          <w:kern w:val="0"/>
          <w:sz w:val="24"/>
        </w:rPr>
      </w:pPr>
      <w:r>
        <w:rPr>
          <w:rFonts w:hint="eastAsia" w:ascii="宋体" w:hAnsi="宋体" w:cs="宋体"/>
          <w:color w:val="000000"/>
          <w:kern w:val="0"/>
          <w:sz w:val="24"/>
        </w:rPr>
        <w:t>3.4</w:t>
      </w:r>
      <w:r>
        <w:rPr>
          <w:rFonts w:hint="eastAsia" w:ascii="宋体" w:hAnsi="宋体" w:cs="宋体"/>
          <w:kern w:val="0"/>
          <w:sz w:val="24"/>
        </w:rPr>
        <w:t>本项目不允许联合体投标。</w:t>
      </w:r>
    </w:p>
    <w:p w14:paraId="672C7CBF">
      <w:pPr>
        <w:tabs>
          <w:tab w:val="left" w:pos="567"/>
        </w:tabs>
        <w:wordWrap w:val="0"/>
        <w:topLinePunct/>
        <w:adjustRightInd w:val="0"/>
        <w:snapToGrid w:val="0"/>
        <w:spacing w:line="360" w:lineRule="auto"/>
        <w:rPr>
          <w:rFonts w:ascii="宋体" w:hAnsi="宋体" w:cs="宋体"/>
          <w:b/>
          <w:color w:val="000000"/>
          <w:kern w:val="0"/>
          <w:sz w:val="24"/>
        </w:rPr>
      </w:pPr>
      <w:r>
        <w:rPr>
          <w:rFonts w:hint="eastAsia" w:ascii="宋体" w:hAnsi="宋体" w:cs="宋体"/>
          <w:b/>
          <w:color w:val="000000"/>
          <w:kern w:val="0"/>
          <w:sz w:val="24"/>
        </w:rPr>
        <w:t>4. 投标费用</w:t>
      </w:r>
    </w:p>
    <w:p w14:paraId="3516AA95">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4.1供应商应承担准备和参加投标有关的所有费用，</w:t>
      </w:r>
      <w:r>
        <w:rPr>
          <w:rFonts w:hint="eastAsia" w:ascii="宋体" w:hAnsi="宋体" w:cs="宋体"/>
          <w:color w:val="000000"/>
          <w:kern w:val="0"/>
          <w:sz w:val="24"/>
          <w:lang w:eastAsia="zh-CN"/>
        </w:rPr>
        <w:t>采购人</w:t>
      </w:r>
      <w:r>
        <w:rPr>
          <w:rFonts w:hint="eastAsia" w:ascii="宋体" w:hAnsi="宋体" w:cs="宋体"/>
          <w:color w:val="000000"/>
          <w:kern w:val="0"/>
          <w:sz w:val="24"/>
          <w:lang w:val="en-US" w:eastAsia="zh-CN"/>
        </w:rPr>
        <w:t>和</w:t>
      </w:r>
      <w:r>
        <w:rPr>
          <w:rFonts w:hint="eastAsia" w:ascii="宋体" w:hAnsi="宋体" w:cs="宋体"/>
          <w:color w:val="000000"/>
          <w:kern w:val="0"/>
          <w:sz w:val="24"/>
          <w:lang w:eastAsia="zh-CN"/>
        </w:rPr>
        <w:t>采购代理机构</w:t>
      </w:r>
      <w:r>
        <w:rPr>
          <w:rFonts w:hint="eastAsia" w:ascii="宋体" w:hAnsi="宋体" w:cs="宋体"/>
          <w:color w:val="000000"/>
          <w:kern w:val="0"/>
          <w:sz w:val="24"/>
        </w:rPr>
        <w:t>在任何情况下均无义务和责任承担这些费用。</w:t>
      </w:r>
    </w:p>
    <w:p w14:paraId="38C720A5">
      <w:pPr>
        <w:tabs>
          <w:tab w:val="left" w:pos="567"/>
        </w:tabs>
        <w:wordWrap w:val="0"/>
        <w:topLinePunct/>
        <w:adjustRightInd w:val="0"/>
        <w:snapToGrid w:val="0"/>
        <w:spacing w:line="360" w:lineRule="auto"/>
        <w:rPr>
          <w:rFonts w:ascii="宋体" w:hAnsi="宋体" w:cs="宋体"/>
          <w:b/>
          <w:color w:val="000000"/>
          <w:kern w:val="0"/>
          <w:sz w:val="24"/>
        </w:rPr>
      </w:pPr>
      <w:r>
        <w:rPr>
          <w:rFonts w:hint="eastAsia" w:ascii="宋体" w:hAnsi="宋体" w:cs="宋体"/>
          <w:b/>
          <w:color w:val="000000"/>
          <w:kern w:val="0"/>
          <w:sz w:val="24"/>
        </w:rPr>
        <w:t>5. 招标要求</w:t>
      </w:r>
    </w:p>
    <w:p w14:paraId="342EC597">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5.1供应商所提供的</w:t>
      </w:r>
      <w:r>
        <w:rPr>
          <w:rFonts w:hint="eastAsia" w:ascii="宋体" w:hAnsi="宋体" w:cs="宋体"/>
          <w:color w:val="000000"/>
          <w:kern w:val="0"/>
          <w:sz w:val="24"/>
          <w:lang w:val="en-US" w:eastAsia="zh-CN"/>
        </w:rPr>
        <w:t>货物及相关</w:t>
      </w:r>
      <w:r>
        <w:rPr>
          <w:rFonts w:hint="eastAsia" w:ascii="宋体" w:hAnsi="宋体" w:cs="宋体"/>
          <w:color w:val="000000"/>
          <w:kern w:val="0"/>
          <w:sz w:val="24"/>
        </w:rPr>
        <w:t>服务</w:t>
      </w:r>
      <w:r>
        <w:rPr>
          <w:rFonts w:hint="eastAsia" w:ascii="宋体" w:hAnsi="宋体" w:cs="宋体"/>
          <w:color w:val="000000"/>
          <w:kern w:val="0"/>
          <w:sz w:val="24"/>
          <w:lang w:val="en-US" w:eastAsia="zh-CN"/>
        </w:rPr>
        <w:t>等</w:t>
      </w:r>
      <w:r>
        <w:rPr>
          <w:rFonts w:hint="eastAsia" w:ascii="宋体" w:hAnsi="宋体" w:cs="宋体"/>
          <w:color w:val="000000"/>
          <w:kern w:val="0"/>
          <w:sz w:val="24"/>
        </w:rPr>
        <w:t>被</w:t>
      </w:r>
      <w:r>
        <w:rPr>
          <w:rFonts w:hint="eastAsia" w:ascii="宋体" w:hAnsi="宋体" w:cs="宋体"/>
          <w:color w:val="000000"/>
          <w:kern w:val="0"/>
          <w:sz w:val="24"/>
          <w:lang w:eastAsia="zh-CN"/>
        </w:rPr>
        <w:t>采购人</w:t>
      </w:r>
      <w:r>
        <w:rPr>
          <w:rFonts w:hint="eastAsia" w:ascii="宋体" w:hAnsi="宋体" w:cs="宋体"/>
          <w:color w:val="000000"/>
          <w:kern w:val="0"/>
          <w:sz w:val="24"/>
        </w:rPr>
        <w:t>采用时，中标供应商应按照招标文件、投标文件所响应的全部内容，认真履行合同规定的相关条款。</w:t>
      </w:r>
    </w:p>
    <w:p w14:paraId="612DF5B0">
      <w:pPr>
        <w:tabs>
          <w:tab w:val="left" w:pos="567"/>
        </w:tabs>
        <w:wordWrap w:val="0"/>
        <w:topLinePunct/>
        <w:adjustRightInd w:val="0"/>
        <w:snapToGrid w:val="0"/>
        <w:spacing w:line="360" w:lineRule="auto"/>
        <w:rPr>
          <w:rFonts w:ascii="宋体" w:hAnsi="宋体" w:cs="宋体"/>
          <w:b/>
          <w:color w:val="000000"/>
          <w:kern w:val="0"/>
          <w:sz w:val="24"/>
        </w:rPr>
      </w:pPr>
      <w:r>
        <w:rPr>
          <w:rFonts w:hint="eastAsia" w:ascii="宋体" w:hAnsi="宋体" w:cs="宋体"/>
          <w:b/>
          <w:color w:val="000000"/>
          <w:kern w:val="0"/>
          <w:sz w:val="24"/>
        </w:rPr>
        <w:t>6. 通知</w:t>
      </w:r>
    </w:p>
    <w:p w14:paraId="6AC31FB5">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6.1对与本项目有关的通知，</w:t>
      </w:r>
      <w:r>
        <w:rPr>
          <w:rFonts w:hint="eastAsia" w:ascii="宋体" w:hAnsi="宋体" w:cs="宋体"/>
          <w:color w:val="000000"/>
          <w:kern w:val="0"/>
          <w:sz w:val="24"/>
          <w:lang w:eastAsia="zh-CN"/>
        </w:rPr>
        <w:t>采购代理机构</w:t>
      </w:r>
      <w:r>
        <w:rPr>
          <w:rFonts w:hint="eastAsia" w:ascii="宋体" w:hAnsi="宋体" w:cs="宋体"/>
          <w:color w:val="000000"/>
          <w:kern w:val="0"/>
          <w:sz w:val="24"/>
        </w:rPr>
        <w:t>将在本次招标公告刊登的媒体上发布。供应商应密切关注项目公告页面的最新信息。通知一经发布，视为供应商已收到。因供应商未关注项目公告页面最新信息而错过通知的，</w:t>
      </w:r>
      <w:r>
        <w:rPr>
          <w:rFonts w:hint="eastAsia" w:ascii="宋体" w:hAnsi="宋体" w:cs="宋体"/>
          <w:color w:val="000000"/>
          <w:kern w:val="0"/>
          <w:sz w:val="24"/>
          <w:lang w:eastAsia="zh-CN"/>
        </w:rPr>
        <w:t>采购代理机构</w:t>
      </w:r>
      <w:r>
        <w:rPr>
          <w:rFonts w:hint="eastAsia" w:ascii="宋体" w:hAnsi="宋体" w:cs="宋体"/>
          <w:color w:val="000000"/>
          <w:kern w:val="0"/>
          <w:sz w:val="24"/>
        </w:rPr>
        <w:t>将不承担任何责任，有关的招标活动可以继续有效地进行。</w:t>
      </w:r>
    </w:p>
    <w:p w14:paraId="269C984F">
      <w:pPr>
        <w:pStyle w:val="3"/>
        <w:keepNext w:val="0"/>
        <w:keepLines w:val="0"/>
        <w:tabs>
          <w:tab w:val="left" w:pos="567"/>
        </w:tabs>
        <w:wordWrap w:val="0"/>
        <w:topLinePunct/>
        <w:adjustRightInd w:val="0"/>
        <w:snapToGrid w:val="0"/>
        <w:spacing w:before="0" w:after="0" w:line="360" w:lineRule="auto"/>
        <w:outlineLvl w:val="0"/>
        <w:rPr>
          <w:rFonts w:cs="宋体"/>
          <w:sz w:val="24"/>
          <w:szCs w:val="24"/>
        </w:rPr>
      </w:pPr>
      <w:bookmarkStart w:id="32" w:name="_Toc29327"/>
      <w:bookmarkStart w:id="33" w:name="_Toc175644017"/>
      <w:bookmarkStart w:id="34" w:name="_Toc18583"/>
      <w:r>
        <w:rPr>
          <w:rFonts w:hint="eastAsia" w:cs="宋体"/>
          <w:sz w:val="24"/>
          <w:szCs w:val="24"/>
        </w:rPr>
        <w:t>二、招标文件</w:t>
      </w:r>
      <w:bookmarkEnd w:id="32"/>
      <w:bookmarkEnd w:id="33"/>
      <w:bookmarkEnd w:id="34"/>
    </w:p>
    <w:p w14:paraId="1AF82A4E">
      <w:pPr>
        <w:tabs>
          <w:tab w:val="left" w:pos="0"/>
        </w:tabs>
        <w:wordWrap w:val="0"/>
        <w:topLinePunct/>
        <w:adjustRightInd w:val="0"/>
        <w:snapToGrid w:val="0"/>
        <w:spacing w:line="360" w:lineRule="auto"/>
        <w:rPr>
          <w:rFonts w:ascii="宋体" w:hAnsi="宋体" w:cs="宋体"/>
          <w:b/>
          <w:color w:val="000000"/>
          <w:kern w:val="0"/>
          <w:sz w:val="24"/>
        </w:rPr>
      </w:pPr>
      <w:r>
        <w:rPr>
          <w:rFonts w:hint="eastAsia" w:ascii="宋体" w:hAnsi="宋体" w:cs="宋体"/>
          <w:b/>
          <w:color w:val="000000"/>
          <w:kern w:val="0"/>
          <w:sz w:val="24"/>
        </w:rPr>
        <w:t>7. 招标文件的构成</w:t>
      </w:r>
    </w:p>
    <w:p w14:paraId="258F3232">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7.1 招标文件由下列七部分内容组成：</w:t>
      </w:r>
    </w:p>
    <w:p w14:paraId="699DCD99">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第一章 招标公告；</w:t>
      </w:r>
    </w:p>
    <w:p w14:paraId="75434769">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第二章 供应商须知前附表；</w:t>
      </w:r>
    </w:p>
    <w:p w14:paraId="3142656E">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第三章 供应商须知；</w:t>
      </w:r>
    </w:p>
    <w:p w14:paraId="5A52E624">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第四章 评标标准和评标方法；</w:t>
      </w:r>
    </w:p>
    <w:p w14:paraId="13F9A022">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第五章 商务、技术要求；</w:t>
      </w:r>
    </w:p>
    <w:p w14:paraId="3BB1C380">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第六章 合同原则（仅供参考）；</w:t>
      </w:r>
    </w:p>
    <w:p w14:paraId="5B1CDE54">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第七章 投标文件格式。</w:t>
      </w:r>
    </w:p>
    <w:p w14:paraId="607A4871">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7.2 供应商应认真阅读招标文件的全部内容，如果没有按照招标文件要求提交全部资料，或者没有对招标文件在各方面都做出明确响应</w:t>
      </w:r>
      <w:r>
        <w:rPr>
          <w:rFonts w:hint="eastAsia" w:ascii="宋体" w:hAnsi="宋体" w:cs="宋体"/>
          <w:kern w:val="0"/>
          <w:sz w:val="24"/>
        </w:rPr>
        <w:t>，</w:t>
      </w:r>
      <w:r>
        <w:rPr>
          <w:rFonts w:hint="eastAsia" w:ascii="宋体" w:hAnsi="宋体" w:cs="宋体"/>
          <w:color w:val="000000"/>
          <w:kern w:val="0"/>
          <w:sz w:val="24"/>
        </w:rPr>
        <w:t>有可能</w:t>
      </w:r>
      <w:r>
        <w:rPr>
          <w:rFonts w:hint="eastAsia" w:ascii="宋体" w:hAnsi="宋体" w:cs="宋体"/>
          <w:kern w:val="0"/>
          <w:sz w:val="24"/>
        </w:rPr>
        <w:t>被确定为无效投标</w:t>
      </w:r>
      <w:r>
        <w:rPr>
          <w:rFonts w:hint="eastAsia" w:ascii="宋体" w:hAnsi="宋体" w:cs="宋体"/>
          <w:color w:val="000000"/>
          <w:kern w:val="0"/>
          <w:sz w:val="24"/>
        </w:rPr>
        <w:t>。</w:t>
      </w:r>
    </w:p>
    <w:p w14:paraId="4CC95674">
      <w:pPr>
        <w:wordWrap w:val="0"/>
        <w:topLinePunct/>
        <w:adjustRightInd w:val="0"/>
        <w:snapToGrid w:val="0"/>
        <w:spacing w:line="360" w:lineRule="auto"/>
        <w:rPr>
          <w:rFonts w:ascii="宋体" w:hAnsi="宋体" w:cs="宋体"/>
          <w:kern w:val="0"/>
          <w:sz w:val="24"/>
        </w:rPr>
      </w:pPr>
      <w:r>
        <w:rPr>
          <w:rFonts w:hint="eastAsia" w:ascii="宋体" w:hAnsi="宋体" w:cs="宋体"/>
          <w:kern w:val="0"/>
          <w:sz w:val="24"/>
        </w:rPr>
        <w:t>7.3 除非特殊要求，招标文件不单独提供招标项目使用地的自然环境、气候条件、公用设施等情况，供应商被视为熟悉上述与履行合同有关的一切情况。</w:t>
      </w:r>
    </w:p>
    <w:p w14:paraId="6524D49A">
      <w:pPr>
        <w:wordWrap w:val="0"/>
        <w:topLinePunct/>
        <w:adjustRightInd w:val="0"/>
        <w:snapToGrid w:val="0"/>
        <w:spacing w:line="360" w:lineRule="auto"/>
        <w:rPr>
          <w:rFonts w:ascii="宋体" w:hAnsi="宋体" w:cs="宋体"/>
          <w:kern w:val="0"/>
          <w:sz w:val="24"/>
        </w:rPr>
      </w:pPr>
      <w:r>
        <w:rPr>
          <w:rFonts w:hint="eastAsia" w:ascii="宋体" w:hAnsi="宋体" w:cs="宋体"/>
          <w:kern w:val="0"/>
          <w:sz w:val="24"/>
        </w:rPr>
        <w:t>7.4 招标文件的解释权归</w:t>
      </w:r>
      <w:r>
        <w:rPr>
          <w:rFonts w:hint="eastAsia" w:ascii="宋体" w:hAnsi="宋体" w:cs="宋体"/>
          <w:kern w:val="0"/>
          <w:sz w:val="24"/>
          <w:lang w:eastAsia="zh-CN"/>
        </w:rPr>
        <w:t>采购代理机构</w:t>
      </w:r>
      <w:r>
        <w:rPr>
          <w:rFonts w:hint="eastAsia" w:ascii="宋体" w:hAnsi="宋体" w:cs="宋体"/>
          <w:kern w:val="0"/>
          <w:sz w:val="24"/>
        </w:rPr>
        <w:t>。当对一个问题有多种解释时以</w:t>
      </w:r>
      <w:r>
        <w:rPr>
          <w:rFonts w:hint="eastAsia" w:ascii="宋体" w:hAnsi="宋体" w:cs="宋体"/>
          <w:kern w:val="0"/>
          <w:sz w:val="24"/>
          <w:lang w:eastAsia="zh-CN"/>
        </w:rPr>
        <w:t>采购代理机构</w:t>
      </w:r>
      <w:r>
        <w:rPr>
          <w:rFonts w:hint="eastAsia" w:ascii="宋体" w:hAnsi="宋体" w:cs="宋体"/>
          <w:kern w:val="0"/>
          <w:sz w:val="24"/>
        </w:rPr>
        <w:t>的解释为准。</w:t>
      </w:r>
    </w:p>
    <w:p w14:paraId="4503FA16">
      <w:pPr>
        <w:wordWrap w:val="0"/>
        <w:topLinePunct/>
        <w:adjustRightInd w:val="0"/>
        <w:snapToGrid w:val="0"/>
        <w:spacing w:line="360" w:lineRule="auto"/>
        <w:rPr>
          <w:rFonts w:ascii="宋体" w:hAnsi="宋体" w:cs="宋体"/>
          <w:kern w:val="0"/>
          <w:sz w:val="24"/>
        </w:rPr>
      </w:pPr>
      <w:r>
        <w:rPr>
          <w:rFonts w:hint="eastAsia" w:ascii="宋体" w:hAnsi="宋体" w:cs="宋体"/>
          <w:kern w:val="0"/>
          <w:sz w:val="24"/>
        </w:rPr>
        <w:t>7.5 招标文件未作须知明示，而又有法律、法规规定的，</w:t>
      </w:r>
      <w:r>
        <w:rPr>
          <w:rFonts w:hint="eastAsia" w:ascii="宋体" w:hAnsi="宋体" w:cs="宋体"/>
          <w:kern w:val="0"/>
          <w:sz w:val="24"/>
          <w:lang w:eastAsia="zh-CN"/>
        </w:rPr>
        <w:t>采购代理机构</w:t>
      </w:r>
      <w:r>
        <w:rPr>
          <w:rFonts w:hint="eastAsia" w:ascii="宋体" w:hAnsi="宋体" w:cs="宋体"/>
          <w:kern w:val="0"/>
          <w:sz w:val="24"/>
        </w:rPr>
        <w:t>将依据相关法律法规的规定进行解释。</w:t>
      </w:r>
    </w:p>
    <w:p w14:paraId="6AA75488">
      <w:pPr>
        <w:wordWrap w:val="0"/>
        <w:topLinePunct/>
        <w:adjustRightInd w:val="0"/>
        <w:snapToGrid w:val="0"/>
        <w:spacing w:line="360" w:lineRule="auto"/>
        <w:rPr>
          <w:rFonts w:ascii="宋体" w:hAnsi="宋体" w:cs="宋体"/>
          <w:b/>
          <w:color w:val="000000"/>
          <w:kern w:val="0"/>
          <w:sz w:val="24"/>
        </w:rPr>
      </w:pPr>
      <w:r>
        <w:rPr>
          <w:rFonts w:hint="eastAsia" w:ascii="宋体" w:hAnsi="宋体" w:cs="宋体"/>
          <w:b/>
          <w:color w:val="000000"/>
          <w:kern w:val="0"/>
          <w:sz w:val="24"/>
        </w:rPr>
        <w:t>8．招标文件的澄清和修改</w:t>
      </w:r>
    </w:p>
    <w:p w14:paraId="32B905A1">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8.1澄清要求的处理：</w:t>
      </w:r>
      <w:r>
        <w:rPr>
          <w:rFonts w:hint="eastAsia" w:ascii="宋体" w:hAnsi="宋体" w:cs="宋体"/>
          <w:kern w:val="0"/>
          <w:sz w:val="24"/>
          <w:lang w:eastAsia="zh-CN"/>
        </w:rPr>
        <w:t>采购人</w:t>
      </w:r>
      <w:r>
        <w:rPr>
          <w:rFonts w:hint="eastAsia" w:ascii="宋体" w:hAnsi="宋体" w:cs="宋体"/>
          <w:kern w:val="0"/>
          <w:sz w:val="24"/>
        </w:rPr>
        <w:t>或者</w:t>
      </w:r>
      <w:r>
        <w:rPr>
          <w:rFonts w:hint="eastAsia" w:ascii="宋体" w:hAnsi="宋体" w:cs="宋体"/>
          <w:kern w:val="0"/>
          <w:sz w:val="24"/>
          <w:lang w:eastAsia="zh-CN"/>
        </w:rPr>
        <w:t>采购代理机构</w:t>
      </w:r>
      <w:r>
        <w:rPr>
          <w:rFonts w:hint="eastAsia" w:ascii="宋体" w:hAnsi="宋体" w:cs="宋体"/>
          <w:kern w:val="0"/>
          <w:sz w:val="24"/>
        </w:rPr>
        <w:t>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14:paraId="77691A6E">
      <w:pPr>
        <w:tabs>
          <w:tab w:val="left" w:pos="567"/>
        </w:tabs>
        <w:wordWrap w:val="0"/>
        <w:topLinePunct/>
        <w:adjustRightInd w:val="0"/>
        <w:snapToGrid w:val="0"/>
        <w:spacing w:line="360" w:lineRule="auto"/>
        <w:rPr>
          <w:rFonts w:ascii="宋体" w:hAnsi="宋体" w:cs="宋体"/>
          <w:kern w:val="0"/>
          <w:sz w:val="24"/>
        </w:rPr>
      </w:pPr>
      <w:r>
        <w:rPr>
          <w:rFonts w:hint="eastAsia" w:ascii="宋体" w:hAnsi="宋体" w:cs="宋体"/>
          <w:color w:val="000000"/>
          <w:kern w:val="0"/>
          <w:sz w:val="24"/>
        </w:rPr>
        <w:t>8.2澄清、修改时间；</w:t>
      </w:r>
      <w:r>
        <w:rPr>
          <w:rFonts w:hint="eastAsia" w:ascii="宋体" w:hAnsi="宋体" w:cs="宋体"/>
          <w:kern w:val="0"/>
          <w:sz w:val="24"/>
          <w:lang w:eastAsia="zh-CN"/>
        </w:rPr>
        <w:t>采购人</w:t>
      </w:r>
      <w:r>
        <w:rPr>
          <w:rFonts w:hint="eastAsia" w:ascii="宋体" w:hAnsi="宋体" w:cs="宋体"/>
          <w:kern w:val="0"/>
          <w:sz w:val="24"/>
        </w:rPr>
        <w:t>或者</w:t>
      </w:r>
      <w:r>
        <w:rPr>
          <w:rFonts w:hint="eastAsia" w:ascii="宋体" w:hAnsi="宋体" w:cs="宋体"/>
          <w:kern w:val="0"/>
          <w:sz w:val="24"/>
          <w:lang w:eastAsia="zh-CN"/>
        </w:rPr>
        <w:t>采购代理机构</w:t>
      </w:r>
      <w:r>
        <w:rPr>
          <w:rFonts w:hint="eastAsia" w:ascii="宋体" w:hAnsi="宋体" w:cs="宋体"/>
          <w:kern w:val="0"/>
          <w:sz w:val="24"/>
        </w:rPr>
        <w:t>可以对已发出的招标文件进行必要的澄清或者修改。</w:t>
      </w:r>
      <w:r>
        <w:rPr>
          <w:rFonts w:hint="eastAsia" w:ascii="宋体" w:hAnsi="宋体" w:cs="宋体"/>
          <w:color w:val="000000"/>
          <w:kern w:val="0"/>
          <w:sz w:val="24"/>
        </w:rPr>
        <w:t>澄清或者修改的内容可能影响投标文件编制的，</w:t>
      </w:r>
      <w:r>
        <w:rPr>
          <w:rFonts w:hint="eastAsia" w:ascii="宋体" w:hAnsi="宋体" w:cs="宋体"/>
          <w:kern w:val="0"/>
          <w:sz w:val="24"/>
          <w:lang w:eastAsia="zh-CN"/>
        </w:rPr>
        <w:t>采购人</w:t>
      </w:r>
      <w:r>
        <w:rPr>
          <w:rFonts w:hint="eastAsia" w:ascii="宋体" w:hAnsi="宋体" w:cs="宋体"/>
          <w:kern w:val="0"/>
          <w:sz w:val="24"/>
        </w:rPr>
        <w:t>或者</w:t>
      </w:r>
      <w:r>
        <w:rPr>
          <w:rFonts w:hint="eastAsia" w:ascii="宋体" w:hAnsi="宋体" w:cs="宋体"/>
          <w:kern w:val="0"/>
          <w:sz w:val="24"/>
          <w:lang w:eastAsia="zh-CN"/>
        </w:rPr>
        <w:t>采购代理机构</w:t>
      </w:r>
      <w:r>
        <w:rPr>
          <w:rFonts w:hint="eastAsia" w:ascii="宋体" w:hAnsi="宋体" w:cs="宋体"/>
          <w:color w:val="000000"/>
          <w:kern w:val="0"/>
          <w:sz w:val="24"/>
        </w:rPr>
        <w:t>应当在投标截止时间至少15日前，在</w:t>
      </w:r>
      <w:r>
        <w:rPr>
          <w:rFonts w:hint="eastAsia" w:ascii="宋体" w:hAnsi="宋体" w:cs="宋体"/>
          <w:sz w:val="24"/>
        </w:rPr>
        <w:t>山西省政府采购网-山西政府采购平台</w:t>
      </w:r>
      <w:r>
        <w:rPr>
          <w:rFonts w:hint="eastAsia" w:ascii="宋体" w:hAnsi="宋体" w:cs="宋体"/>
          <w:color w:val="000000"/>
          <w:kern w:val="0"/>
          <w:sz w:val="24"/>
        </w:rPr>
        <w:t>发布澄清公告；不足15日的，</w:t>
      </w:r>
      <w:r>
        <w:rPr>
          <w:rFonts w:hint="eastAsia" w:ascii="宋体" w:hAnsi="宋体" w:cs="宋体"/>
          <w:color w:val="000000"/>
          <w:kern w:val="0"/>
          <w:sz w:val="24"/>
          <w:lang w:eastAsia="zh-CN"/>
        </w:rPr>
        <w:t>采购人</w:t>
      </w:r>
      <w:r>
        <w:rPr>
          <w:rFonts w:hint="eastAsia" w:ascii="宋体" w:hAnsi="宋体" w:cs="宋体"/>
          <w:color w:val="000000"/>
          <w:kern w:val="0"/>
          <w:sz w:val="24"/>
        </w:rPr>
        <w:t>或者</w:t>
      </w:r>
      <w:r>
        <w:rPr>
          <w:rFonts w:hint="eastAsia" w:ascii="宋体" w:hAnsi="宋体" w:cs="宋体"/>
          <w:color w:val="000000"/>
          <w:kern w:val="0"/>
          <w:sz w:val="24"/>
          <w:lang w:eastAsia="zh-CN"/>
        </w:rPr>
        <w:t>采购代理机构</w:t>
      </w:r>
      <w:r>
        <w:rPr>
          <w:rFonts w:hint="eastAsia" w:ascii="宋体" w:hAnsi="宋体" w:cs="宋体"/>
          <w:color w:val="000000"/>
          <w:kern w:val="0"/>
          <w:sz w:val="24"/>
        </w:rPr>
        <w:t>应当顺延提交投标文件的截止时间。</w:t>
      </w:r>
    </w:p>
    <w:p w14:paraId="73AF05CF">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8.3</w:t>
      </w:r>
      <w:r>
        <w:rPr>
          <w:rFonts w:hint="eastAsia" w:ascii="宋体" w:hAnsi="宋体" w:cs="宋体"/>
          <w:sz w:val="24"/>
        </w:rPr>
        <w:t>供应商要求澄清招标文件</w:t>
      </w:r>
      <w:r>
        <w:rPr>
          <w:rFonts w:hint="eastAsia" w:ascii="宋体" w:hAnsi="宋体" w:cs="宋体"/>
          <w:color w:val="000000"/>
          <w:kern w:val="0"/>
          <w:sz w:val="24"/>
        </w:rPr>
        <w:t>：供应商在</w:t>
      </w:r>
      <w:r>
        <w:rPr>
          <w:rFonts w:hint="eastAsia" w:ascii="宋体" w:hAnsi="宋体" w:cs="宋体"/>
          <w:sz w:val="24"/>
        </w:rPr>
        <w:t>投标截止时间15日前，在山西省政府采购网-山西政府采购平台</w:t>
      </w:r>
      <w:r>
        <w:rPr>
          <w:rFonts w:hint="eastAsia" w:ascii="宋体" w:hAnsi="宋体" w:cs="宋体"/>
          <w:color w:val="000000"/>
          <w:kern w:val="0"/>
          <w:sz w:val="24"/>
        </w:rPr>
        <w:t>提出质疑和询问。供应商提出的询问，</w:t>
      </w:r>
      <w:r>
        <w:rPr>
          <w:rFonts w:hint="eastAsia" w:ascii="宋体" w:hAnsi="宋体" w:cs="宋体"/>
          <w:color w:val="000000"/>
          <w:kern w:val="0"/>
          <w:sz w:val="24"/>
          <w:lang w:eastAsia="zh-CN"/>
        </w:rPr>
        <w:t>采购代理机构</w:t>
      </w:r>
      <w:r>
        <w:rPr>
          <w:rFonts w:hint="eastAsia" w:ascii="宋体" w:hAnsi="宋体" w:cs="宋体"/>
          <w:color w:val="000000"/>
          <w:kern w:val="0"/>
          <w:sz w:val="24"/>
        </w:rPr>
        <w:t>应当对供应商依法提出的询问做出答复。</w:t>
      </w:r>
    </w:p>
    <w:p w14:paraId="1285A475">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kern w:val="0"/>
          <w:sz w:val="24"/>
        </w:rPr>
        <w:t>8.4澄清、</w:t>
      </w:r>
      <w:r>
        <w:rPr>
          <w:rFonts w:hint="eastAsia" w:ascii="宋体" w:hAnsi="宋体" w:cs="宋体"/>
          <w:color w:val="000000"/>
          <w:kern w:val="0"/>
          <w:sz w:val="24"/>
        </w:rPr>
        <w:t>修改及其它答复的效力：无论是否根据潜在供应商的澄清、修改或进行其它答复的要求，一旦对招标文件做出澄清、修改或进行其它答复，即刻发生效力，有关的补充文件，应当作为招标文件的组成部分，对所有潜在供应商均具有约束力。</w:t>
      </w:r>
    </w:p>
    <w:p w14:paraId="1ED18069">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8.5</w:t>
      </w:r>
      <w:r>
        <w:rPr>
          <w:rFonts w:hint="eastAsia" w:ascii="宋体" w:hAnsi="宋体" w:cs="宋体"/>
          <w:color w:val="000000"/>
          <w:kern w:val="0"/>
          <w:sz w:val="24"/>
          <w:lang w:eastAsia="zh-CN"/>
        </w:rPr>
        <w:t>采购人</w:t>
      </w:r>
      <w:r>
        <w:rPr>
          <w:rFonts w:hint="eastAsia" w:ascii="宋体" w:hAnsi="宋体" w:cs="宋体"/>
          <w:color w:val="000000"/>
          <w:kern w:val="0"/>
          <w:sz w:val="24"/>
        </w:rPr>
        <w:t>或者</w:t>
      </w:r>
      <w:r>
        <w:rPr>
          <w:rFonts w:hint="eastAsia" w:ascii="宋体" w:hAnsi="宋体" w:cs="宋体"/>
          <w:color w:val="000000"/>
          <w:kern w:val="0"/>
          <w:sz w:val="24"/>
          <w:lang w:eastAsia="zh-CN"/>
        </w:rPr>
        <w:t>采购代理机构</w:t>
      </w:r>
      <w:r>
        <w:rPr>
          <w:rFonts w:hint="eastAsia" w:ascii="宋体" w:hAnsi="宋体" w:cs="宋体"/>
          <w:color w:val="000000"/>
          <w:kern w:val="0"/>
          <w:sz w:val="24"/>
        </w:rPr>
        <w:t>可以在招标文件提供期限截止后，组织已获取招标文件的潜在供应商</w:t>
      </w:r>
      <w:r>
        <w:rPr>
          <w:rFonts w:hint="eastAsia" w:ascii="宋体" w:hAnsi="宋体" w:cs="宋体"/>
          <w:color w:val="000000"/>
          <w:kern w:val="0"/>
          <w:sz w:val="24"/>
          <w:lang w:eastAsia="zh-CN"/>
        </w:rPr>
        <w:t>现场勘查</w:t>
      </w:r>
      <w:r>
        <w:rPr>
          <w:rFonts w:hint="eastAsia" w:ascii="宋体" w:hAnsi="宋体" w:cs="宋体"/>
          <w:color w:val="000000"/>
          <w:kern w:val="0"/>
          <w:sz w:val="24"/>
        </w:rPr>
        <w:t>或者召开标前答疑会。是否组织</w:t>
      </w:r>
      <w:r>
        <w:rPr>
          <w:rFonts w:hint="eastAsia" w:ascii="宋体" w:hAnsi="宋体" w:cs="宋体"/>
          <w:color w:val="000000"/>
          <w:kern w:val="0"/>
          <w:sz w:val="24"/>
          <w:lang w:eastAsia="zh-CN"/>
        </w:rPr>
        <w:t>现场勘查</w:t>
      </w:r>
      <w:r>
        <w:rPr>
          <w:rFonts w:hint="eastAsia" w:ascii="宋体" w:hAnsi="宋体" w:cs="宋体"/>
          <w:color w:val="000000"/>
          <w:kern w:val="0"/>
          <w:sz w:val="24"/>
        </w:rPr>
        <w:t>或召开答疑会，详见供应商前附表。</w:t>
      </w:r>
    </w:p>
    <w:p w14:paraId="097D4210">
      <w:pPr>
        <w:pStyle w:val="3"/>
        <w:keepNext w:val="0"/>
        <w:keepLines w:val="0"/>
        <w:tabs>
          <w:tab w:val="left" w:pos="567"/>
        </w:tabs>
        <w:wordWrap w:val="0"/>
        <w:topLinePunct/>
        <w:adjustRightInd w:val="0"/>
        <w:snapToGrid w:val="0"/>
        <w:spacing w:before="0" w:after="0" w:line="360" w:lineRule="auto"/>
        <w:outlineLvl w:val="0"/>
        <w:rPr>
          <w:rFonts w:cs="宋体"/>
          <w:sz w:val="24"/>
          <w:szCs w:val="24"/>
        </w:rPr>
      </w:pPr>
      <w:bookmarkStart w:id="35" w:name="_Toc23100"/>
      <w:bookmarkStart w:id="36" w:name="_Toc175644018"/>
      <w:bookmarkStart w:id="37" w:name="_Toc22388"/>
      <w:r>
        <w:rPr>
          <w:rFonts w:hint="eastAsia" w:cs="宋体"/>
          <w:sz w:val="24"/>
          <w:szCs w:val="24"/>
        </w:rPr>
        <w:t>三、投标文件</w:t>
      </w:r>
      <w:bookmarkEnd w:id="35"/>
      <w:bookmarkEnd w:id="36"/>
      <w:bookmarkEnd w:id="37"/>
      <w:r>
        <w:rPr>
          <w:rFonts w:hint="eastAsia" w:cs="宋体"/>
          <w:sz w:val="24"/>
          <w:szCs w:val="24"/>
        </w:rPr>
        <w:t xml:space="preserve"> </w:t>
      </w:r>
    </w:p>
    <w:p w14:paraId="0F51D507">
      <w:pPr>
        <w:tabs>
          <w:tab w:val="left" w:pos="0"/>
        </w:tabs>
        <w:wordWrap w:val="0"/>
        <w:topLinePunct/>
        <w:adjustRightInd w:val="0"/>
        <w:snapToGrid w:val="0"/>
        <w:spacing w:line="360" w:lineRule="auto"/>
        <w:rPr>
          <w:rFonts w:ascii="宋体" w:hAnsi="宋体" w:cs="宋体"/>
          <w:b/>
          <w:color w:val="000000"/>
          <w:kern w:val="0"/>
          <w:sz w:val="24"/>
        </w:rPr>
      </w:pPr>
      <w:r>
        <w:rPr>
          <w:rFonts w:hint="eastAsia" w:ascii="宋体" w:hAnsi="宋体" w:cs="宋体"/>
          <w:b/>
          <w:color w:val="000000"/>
          <w:kern w:val="0"/>
          <w:sz w:val="24"/>
        </w:rPr>
        <w:t>9. 投标文件的语言和计量单位</w:t>
      </w:r>
    </w:p>
    <w:p w14:paraId="79C4A9DD">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9.1供应商提交的投标文件（包括技术文件、图纸中的说明等）以及供应商与</w:t>
      </w:r>
      <w:r>
        <w:rPr>
          <w:rFonts w:hint="eastAsia" w:ascii="宋体" w:hAnsi="宋体" w:cs="宋体"/>
          <w:color w:val="000000"/>
          <w:kern w:val="0"/>
          <w:sz w:val="24"/>
          <w:lang w:eastAsia="zh-CN"/>
        </w:rPr>
        <w:t>采购代理机构</w:t>
      </w:r>
      <w:r>
        <w:rPr>
          <w:rFonts w:hint="eastAsia" w:ascii="宋体" w:hAnsi="宋体" w:cs="宋体"/>
          <w:color w:val="000000"/>
          <w:kern w:val="0"/>
          <w:sz w:val="24"/>
        </w:rPr>
        <w:t>就有关投标的所有往来函电均应使用中文简体字。</w:t>
      </w:r>
    </w:p>
    <w:p w14:paraId="29661ECC">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9.2 投标文件所使用的计量单位，应使用国家法定计量单位。</w:t>
      </w:r>
    </w:p>
    <w:p w14:paraId="4B0071DD">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9.3原版为外文的证书类文件，以及由外国人做出的本人签名、外国公司的名称或外国印章等可以是外文，但应当提供中文翻译文件并加盖供应商公章。必要时评标委员会可以要求供应商提供附有公证书的中文翻译文件或者与原版文件签章相一致的中文翻译文件。否则，产生的不利后果由供应商承担。</w:t>
      </w:r>
    </w:p>
    <w:p w14:paraId="048AFF93">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原版为外文的证书类、证明类文件，与供应商名称或其它实际情况不符的，供应商应当提供相关证明文件。</w:t>
      </w:r>
    </w:p>
    <w:p w14:paraId="7255BC7D">
      <w:pPr>
        <w:tabs>
          <w:tab w:val="left" w:pos="0"/>
        </w:tabs>
        <w:wordWrap w:val="0"/>
        <w:topLinePunct/>
        <w:adjustRightInd w:val="0"/>
        <w:snapToGrid w:val="0"/>
        <w:spacing w:line="360" w:lineRule="auto"/>
        <w:rPr>
          <w:rFonts w:ascii="宋体" w:hAnsi="宋体" w:cs="宋体"/>
          <w:b/>
          <w:kern w:val="0"/>
          <w:sz w:val="24"/>
        </w:rPr>
      </w:pPr>
      <w:r>
        <w:rPr>
          <w:rFonts w:hint="eastAsia" w:ascii="宋体" w:hAnsi="宋体" w:cs="宋体"/>
          <w:b/>
          <w:kern w:val="0"/>
          <w:sz w:val="24"/>
        </w:rPr>
        <w:t>10.投标文件的组成及相关要求</w:t>
      </w:r>
    </w:p>
    <w:p w14:paraId="0D0A4CF1">
      <w:pPr>
        <w:tabs>
          <w:tab w:val="left" w:pos="567"/>
        </w:tabs>
        <w:wordWrap w:val="0"/>
        <w:topLinePunct/>
        <w:adjustRightInd w:val="0"/>
        <w:snapToGrid w:val="0"/>
        <w:spacing w:line="360" w:lineRule="auto"/>
        <w:rPr>
          <w:rFonts w:ascii="宋体" w:hAnsi="宋体" w:cs="宋体"/>
          <w:kern w:val="0"/>
          <w:sz w:val="24"/>
        </w:rPr>
      </w:pPr>
      <w:r>
        <w:rPr>
          <w:rFonts w:hint="eastAsia" w:ascii="宋体" w:hAnsi="宋体" w:cs="宋体"/>
          <w:kern w:val="0"/>
          <w:sz w:val="24"/>
        </w:rPr>
        <w:t>10.1投标文件分为资格证明文件和商务技术文件两部分。</w:t>
      </w:r>
    </w:p>
    <w:p w14:paraId="6957A4C8">
      <w:pPr>
        <w:wordWrap w:val="0"/>
        <w:topLinePunct/>
        <w:adjustRightInd w:val="0"/>
        <w:snapToGrid w:val="0"/>
        <w:spacing w:line="360" w:lineRule="auto"/>
        <w:rPr>
          <w:rFonts w:ascii="宋体" w:hAnsi="宋体" w:cs="宋体"/>
          <w:kern w:val="0"/>
          <w:sz w:val="24"/>
        </w:rPr>
      </w:pPr>
      <w:r>
        <w:rPr>
          <w:rFonts w:hint="eastAsia" w:ascii="宋体" w:hAnsi="宋体" w:cs="宋体"/>
          <w:kern w:val="0"/>
          <w:sz w:val="24"/>
        </w:rPr>
        <w:t>资格证明文件指供应商按招标文件要求提交的证明其有资格参加投标的文件。</w:t>
      </w:r>
    </w:p>
    <w:p w14:paraId="47F92014">
      <w:pPr>
        <w:wordWrap w:val="0"/>
        <w:topLinePunct/>
        <w:adjustRightInd w:val="0"/>
        <w:snapToGrid w:val="0"/>
        <w:spacing w:line="360" w:lineRule="auto"/>
        <w:rPr>
          <w:rFonts w:ascii="宋体" w:hAnsi="宋体" w:cs="宋体"/>
          <w:kern w:val="0"/>
          <w:sz w:val="24"/>
        </w:rPr>
      </w:pPr>
      <w:r>
        <w:rPr>
          <w:rFonts w:hint="eastAsia" w:ascii="宋体" w:hAnsi="宋体" w:cs="宋体"/>
          <w:kern w:val="0"/>
          <w:sz w:val="24"/>
        </w:rPr>
        <w:t>商务技术文件指供应商提交的能够证明其中标后有能力履行合同的文件和提供的服务符合招标文件实质性规定和政策要求的文件。</w:t>
      </w:r>
    </w:p>
    <w:p w14:paraId="6F4DA4F8">
      <w:pPr>
        <w:wordWrap w:val="0"/>
        <w:topLinePunct/>
        <w:adjustRightInd w:val="0"/>
        <w:snapToGrid w:val="0"/>
        <w:spacing w:line="360" w:lineRule="auto"/>
        <w:rPr>
          <w:rFonts w:ascii="宋体" w:hAnsi="宋体" w:cs="宋体"/>
          <w:kern w:val="0"/>
          <w:sz w:val="24"/>
        </w:rPr>
      </w:pPr>
      <w:r>
        <w:rPr>
          <w:rFonts w:hint="eastAsia" w:ascii="宋体" w:hAnsi="宋体" w:cs="宋体"/>
          <w:kern w:val="0"/>
          <w:sz w:val="24"/>
        </w:rPr>
        <w:t>10.2本次招标，</w:t>
      </w:r>
      <w:r>
        <w:rPr>
          <w:rFonts w:hint="eastAsia" w:ascii="宋体" w:hAnsi="宋体" w:cs="宋体"/>
          <w:bCs/>
          <w:kern w:val="0"/>
          <w:sz w:val="24"/>
        </w:rPr>
        <w:t>供应商应按前附表要求和招标文件第七部分编排顺序及格式要求提供资格证明文件和商务技术文件</w:t>
      </w:r>
      <w:r>
        <w:rPr>
          <w:rFonts w:hint="eastAsia" w:ascii="宋体" w:hAnsi="宋体" w:cs="宋体"/>
          <w:kern w:val="0"/>
          <w:sz w:val="24"/>
        </w:rPr>
        <w:t>。资格证明文件、商务技术文件中的加*项、政策性要求中国家强制性因素若有缺失或无效，将作无效投标处理。</w:t>
      </w:r>
    </w:p>
    <w:p w14:paraId="131B6B19">
      <w:pPr>
        <w:tabs>
          <w:tab w:val="left" w:pos="567"/>
        </w:tabs>
        <w:wordWrap w:val="0"/>
        <w:topLinePunct/>
        <w:adjustRightInd w:val="0"/>
        <w:snapToGrid w:val="0"/>
        <w:spacing w:line="360" w:lineRule="auto"/>
        <w:rPr>
          <w:rFonts w:ascii="宋体" w:hAnsi="宋体" w:cs="宋体"/>
          <w:kern w:val="0"/>
          <w:sz w:val="24"/>
        </w:rPr>
      </w:pPr>
      <w:r>
        <w:rPr>
          <w:rFonts w:hint="eastAsia" w:ascii="宋体" w:hAnsi="宋体" w:cs="宋体"/>
          <w:kern w:val="0"/>
          <w:sz w:val="24"/>
        </w:rPr>
        <w:t>10.3投标保证金</w:t>
      </w:r>
    </w:p>
    <w:p w14:paraId="7F2E033C">
      <w:pPr>
        <w:tabs>
          <w:tab w:val="left" w:pos="1080"/>
        </w:tabs>
        <w:spacing w:line="360" w:lineRule="auto"/>
        <w:rPr>
          <w:rFonts w:ascii="宋体" w:hAnsi="宋体"/>
          <w:sz w:val="24"/>
        </w:rPr>
      </w:pPr>
      <w:r>
        <w:rPr>
          <w:rFonts w:hint="eastAsia" w:ascii="宋体" w:hAnsi="宋体" w:cs="宋体"/>
          <w:kern w:val="0"/>
          <w:sz w:val="24"/>
        </w:rPr>
        <w:t xml:space="preserve">10.3.1 </w:t>
      </w:r>
      <w:r>
        <w:rPr>
          <w:rFonts w:hint="eastAsia" w:ascii="宋体" w:hAnsi="宋体"/>
          <w:sz w:val="24"/>
        </w:rPr>
        <w:t>供应商</w:t>
      </w:r>
      <w:r>
        <w:rPr>
          <w:rFonts w:ascii="宋体" w:hAnsi="宋体"/>
          <w:sz w:val="24"/>
        </w:rPr>
        <w:t>在递交投标文件的同时，应按</w:t>
      </w:r>
      <w:r>
        <w:rPr>
          <w:rFonts w:hint="eastAsia" w:ascii="宋体" w:hAnsi="宋体"/>
          <w:sz w:val="24"/>
        </w:rPr>
        <w:t>供应商</w:t>
      </w:r>
      <w:r>
        <w:rPr>
          <w:rFonts w:ascii="宋体" w:hAnsi="宋体"/>
          <w:sz w:val="24"/>
        </w:rPr>
        <w:t>须知前附表规定的金额、形式递交投标保证金，并作为其投标文件的组成部分。境内</w:t>
      </w:r>
      <w:r>
        <w:rPr>
          <w:rFonts w:hint="eastAsia" w:ascii="宋体" w:hAnsi="宋体"/>
          <w:sz w:val="24"/>
        </w:rPr>
        <w:t>供应商</w:t>
      </w:r>
      <w:r>
        <w:rPr>
          <w:rFonts w:ascii="宋体" w:hAnsi="宋体"/>
          <w:sz w:val="24"/>
        </w:rPr>
        <w:t>提交</w:t>
      </w:r>
      <w:r>
        <w:rPr>
          <w:rFonts w:hint="eastAsia" w:ascii="宋体" w:hAnsi="宋体"/>
          <w:sz w:val="24"/>
          <w:lang w:val="en-US" w:eastAsia="zh-CN"/>
        </w:rPr>
        <w:t>的</w:t>
      </w:r>
      <w:r>
        <w:rPr>
          <w:rFonts w:ascii="宋体" w:hAnsi="宋体"/>
          <w:sz w:val="24"/>
        </w:rPr>
        <w:t>投标保证金，应当从其基本账户转出并在投标文件中附上基本账户开户证明。</w:t>
      </w:r>
    </w:p>
    <w:p w14:paraId="5AFCA08C">
      <w:pPr>
        <w:tabs>
          <w:tab w:val="left" w:pos="1080"/>
        </w:tabs>
        <w:spacing w:line="360" w:lineRule="auto"/>
        <w:rPr>
          <w:rFonts w:ascii="宋体" w:hAnsi="宋体"/>
          <w:sz w:val="24"/>
        </w:rPr>
      </w:pPr>
      <w:r>
        <w:rPr>
          <w:rFonts w:hint="eastAsia" w:ascii="宋体" w:hAnsi="宋体"/>
          <w:sz w:val="24"/>
        </w:rPr>
        <w:t>10.3.2供应商</w:t>
      </w:r>
      <w:r>
        <w:rPr>
          <w:rFonts w:ascii="宋体" w:hAnsi="宋体"/>
          <w:sz w:val="24"/>
        </w:rPr>
        <w:t>不按本章第</w:t>
      </w:r>
      <w:r>
        <w:rPr>
          <w:rFonts w:hint="eastAsia" w:ascii="宋体" w:hAnsi="宋体"/>
          <w:sz w:val="24"/>
        </w:rPr>
        <w:t>10</w:t>
      </w:r>
      <w:r>
        <w:rPr>
          <w:rFonts w:ascii="宋体" w:hAnsi="宋体"/>
          <w:sz w:val="24"/>
        </w:rPr>
        <w:t>.</w:t>
      </w:r>
      <w:r>
        <w:rPr>
          <w:rFonts w:hint="eastAsia" w:ascii="宋体" w:hAnsi="宋体"/>
          <w:sz w:val="24"/>
        </w:rPr>
        <w:t>3</w:t>
      </w:r>
      <w:r>
        <w:rPr>
          <w:rFonts w:ascii="宋体" w:hAnsi="宋体"/>
          <w:sz w:val="24"/>
        </w:rPr>
        <w:t>.1 项要求提交投标保证金的，评标委员会将否决其投标。</w:t>
      </w:r>
    </w:p>
    <w:p w14:paraId="7EE0C1B5">
      <w:pPr>
        <w:tabs>
          <w:tab w:val="left" w:pos="1080"/>
        </w:tabs>
        <w:spacing w:line="360" w:lineRule="auto"/>
        <w:ind w:right="100"/>
        <w:rPr>
          <w:rFonts w:ascii="宋体" w:hAnsi="宋体"/>
          <w:sz w:val="24"/>
        </w:rPr>
      </w:pPr>
      <w:r>
        <w:rPr>
          <w:rFonts w:hint="eastAsia" w:ascii="宋体" w:hAnsi="宋体"/>
          <w:sz w:val="24"/>
        </w:rPr>
        <w:t>10.3.3发出中标通知书后5 个工作日内向未中标人全退还投标保证金；</w:t>
      </w:r>
      <w:r>
        <w:rPr>
          <w:rFonts w:hint="eastAsia" w:ascii="宋体" w:hAnsi="宋体"/>
          <w:sz w:val="24"/>
          <w:lang w:eastAsia="zh-CN"/>
        </w:rPr>
        <w:t>采购人</w:t>
      </w:r>
      <w:r>
        <w:rPr>
          <w:rFonts w:hint="eastAsia" w:ascii="宋体" w:hAnsi="宋体"/>
          <w:sz w:val="24"/>
        </w:rPr>
        <w:t>与中标人签订合同后5 个工作日内向中标人退还投标保证金。</w:t>
      </w:r>
    </w:p>
    <w:p w14:paraId="64DC2E61">
      <w:pPr>
        <w:tabs>
          <w:tab w:val="left" w:pos="1080"/>
        </w:tabs>
        <w:spacing w:line="360" w:lineRule="auto"/>
        <w:rPr>
          <w:rFonts w:ascii="宋体" w:hAnsi="宋体"/>
          <w:sz w:val="24"/>
        </w:rPr>
      </w:pPr>
      <w:r>
        <w:rPr>
          <w:rFonts w:hint="eastAsia" w:ascii="宋体" w:hAnsi="宋体"/>
          <w:sz w:val="24"/>
        </w:rPr>
        <w:t>10.3.4</w:t>
      </w:r>
      <w:r>
        <w:rPr>
          <w:rFonts w:ascii="宋体" w:hAnsi="宋体"/>
          <w:sz w:val="24"/>
        </w:rPr>
        <w:t>有下列情形之一的，投标保证金将不予退还：</w:t>
      </w:r>
    </w:p>
    <w:p w14:paraId="04F66AB5">
      <w:pPr>
        <w:spacing w:line="360" w:lineRule="auto"/>
        <w:ind w:left="320"/>
        <w:rPr>
          <w:rFonts w:ascii="宋体" w:hAnsi="宋体"/>
          <w:sz w:val="24"/>
        </w:rPr>
      </w:pPr>
      <w:r>
        <w:rPr>
          <w:rFonts w:ascii="宋体" w:hAnsi="宋体"/>
          <w:sz w:val="24"/>
        </w:rPr>
        <w:t>（1）</w:t>
      </w:r>
      <w:r>
        <w:rPr>
          <w:rFonts w:hint="eastAsia" w:ascii="宋体" w:hAnsi="宋体"/>
          <w:sz w:val="24"/>
        </w:rPr>
        <w:t>供应商</w:t>
      </w:r>
      <w:r>
        <w:rPr>
          <w:rFonts w:ascii="宋体" w:hAnsi="宋体"/>
          <w:sz w:val="24"/>
        </w:rPr>
        <w:t>在投标有效期内撤销投标文件；</w:t>
      </w:r>
    </w:p>
    <w:p w14:paraId="1C7F8129">
      <w:pPr>
        <w:spacing w:line="360" w:lineRule="auto"/>
        <w:ind w:firstLine="360" w:firstLineChars="150"/>
        <w:rPr>
          <w:rFonts w:hint="eastAsia" w:ascii="宋体" w:hAnsi="宋体" w:eastAsia="宋体" w:cs="宋体"/>
          <w:kern w:val="0"/>
          <w:sz w:val="24"/>
          <w:lang w:val="en-US" w:eastAsia="zh-CN"/>
        </w:rPr>
      </w:pPr>
      <w:r>
        <w:rPr>
          <w:rFonts w:ascii="宋体" w:hAnsi="宋体"/>
          <w:sz w:val="24"/>
        </w:rPr>
        <w:t>（2）中标人在收到中标通知书后，无正当理由不与</w:t>
      </w:r>
      <w:r>
        <w:rPr>
          <w:rFonts w:hint="eastAsia" w:ascii="宋体" w:hAnsi="宋体"/>
          <w:sz w:val="24"/>
          <w:lang w:eastAsia="zh-CN"/>
        </w:rPr>
        <w:t>采购人</w:t>
      </w:r>
      <w:r>
        <w:rPr>
          <w:rFonts w:ascii="宋体" w:hAnsi="宋体"/>
          <w:sz w:val="24"/>
        </w:rPr>
        <w:t>订立合同，在签订合同时向</w:t>
      </w:r>
      <w:r>
        <w:rPr>
          <w:rFonts w:hint="eastAsia" w:ascii="宋体" w:hAnsi="宋体"/>
          <w:sz w:val="24"/>
          <w:lang w:eastAsia="zh-CN"/>
        </w:rPr>
        <w:t>采购人</w:t>
      </w:r>
      <w:r>
        <w:rPr>
          <w:rFonts w:ascii="宋体" w:hAnsi="宋体"/>
          <w:sz w:val="24"/>
        </w:rPr>
        <w:t>提出附加条件</w:t>
      </w:r>
      <w:r>
        <w:rPr>
          <w:rFonts w:hint="eastAsia" w:ascii="宋体" w:hAnsi="宋体"/>
          <w:sz w:val="24"/>
          <w:lang w:val="en-US" w:eastAsia="zh-CN"/>
        </w:rPr>
        <w:t>等</w:t>
      </w:r>
    </w:p>
    <w:p w14:paraId="716B0940">
      <w:pPr>
        <w:wordWrap w:val="0"/>
        <w:topLinePunct/>
        <w:adjustRightInd w:val="0"/>
        <w:snapToGrid w:val="0"/>
        <w:spacing w:line="360" w:lineRule="auto"/>
        <w:rPr>
          <w:rFonts w:ascii="宋体" w:hAnsi="宋体" w:cs="宋体"/>
          <w:kern w:val="0"/>
          <w:sz w:val="24"/>
        </w:rPr>
      </w:pPr>
      <w:r>
        <w:rPr>
          <w:rFonts w:hint="eastAsia" w:ascii="宋体" w:hAnsi="宋体" w:cs="宋体"/>
          <w:kern w:val="0"/>
          <w:sz w:val="24"/>
        </w:rPr>
        <w:t>10.4投标报价</w:t>
      </w:r>
    </w:p>
    <w:p w14:paraId="0DBB496C">
      <w:pPr>
        <w:wordWrap w:val="0"/>
        <w:topLinePunct/>
        <w:adjustRightInd w:val="0"/>
        <w:snapToGrid w:val="0"/>
        <w:spacing w:line="360" w:lineRule="auto"/>
        <w:rPr>
          <w:rFonts w:ascii="宋体" w:hAnsi="宋体" w:cs="宋体"/>
          <w:kern w:val="0"/>
          <w:sz w:val="24"/>
        </w:rPr>
      </w:pPr>
      <w:r>
        <w:rPr>
          <w:rFonts w:hint="eastAsia" w:ascii="宋体" w:hAnsi="宋体" w:cs="宋体"/>
          <w:kern w:val="0"/>
          <w:sz w:val="24"/>
        </w:rPr>
        <w:t>10.4.1所有投标报价均以“</w:t>
      </w:r>
      <w:r>
        <w:rPr>
          <w:rFonts w:hint="eastAsia" w:ascii="宋体" w:hAnsi="宋体" w:cs="宋体"/>
          <w:bCs/>
          <w:kern w:val="0"/>
          <w:sz w:val="24"/>
        </w:rPr>
        <w:t>人民币</w:t>
      </w:r>
      <w:r>
        <w:rPr>
          <w:rFonts w:hint="eastAsia" w:ascii="宋体" w:hAnsi="宋体" w:cs="宋体"/>
          <w:kern w:val="0"/>
          <w:sz w:val="24"/>
        </w:rPr>
        <w:t>元”为计算单位。只要投报了一个确定数额的总价，无论分项价格是否全部填报了相应的金额或免费字样，报价</w:t>
      </w:r>
      <w:r>
        <w:rPr>
          <w:rFonts w:hint="eastAsia" w:ascii="宋体" w:hAnsi="宋体" w:cs="宋体"/>
          <w:kern w:val="0"/>
          <w:sz w:val="24"/>
          <w:lang w:val="en-US" w:eastAsia="zh-CN"/>
        </w:rPr>
        <w:t>均</w:t>
      </w:r>
      <w:r>
        <w:rPr>
          <w:rFonts w:hint="eastAsia" w:ascii="宋体" w:hAnsi="宋体" w:cs="宋体"/>
          <w:kern w:val="0"/>
          <w:sz w:val="24"/>
        </w:rPr>
        <w:t>被视为已经包含了但并不限于相关税费、工资费用、培训、保险和所需服务等所有相关费用。</w:t>
      </w:r>
    </w:p>
    <w:p w14:paraId="3BD6FE0E">
      <w:pPr>
        <w:wordWrap w:val="0"/>
        <w:topLinePunct/>
        <w:adjustRightInd w:val="0"/>
        <w:snapToGrid w:val="0"/>
        <w:spacing w:line="360" w:lineRule="auto"/>
        <w:rPr>
          <w:rFonts w:ascii="宋体" w:hAnsi="宋体" w:cs="宋体"/>
          <w:b/>
          <w:bCs/>
          <w:kern w:val="0"/>
          <w:sz w:val="24"/>
        </w:rPr>
      </w:pPr>
      <w:r>
        <w:rPr>
          <w:rFonts w:hint="eastAsia" w:ascii="宋体" w:hAnsi="宋体" w:cs="宋体"/>
          <w:kern w:val="0"/>
          <w:sz w:val="24"/>
        </w:rPr>
        <w:t>10.4.2供应商应按投标内容、总价及其他事项认真填报开标一览表，并由法定代表人或供应商代表签署。</w:t>
      </w:r>
    </w:p>
    <w:p w14:paraId="07286CDE">
      <w:pPr>
        <w:wordWrap w:val="0"/>
        <w:topLinePunct/>
        <w:adjustRightInd w:val="0"/>
        <w:snapToGrid w:val="0"/>
        <w:spacing w:line="360" w:lineRule="auto"/>
        <w:rPr>
          <w:rFonts w:ascii="宋体" w:hAnsi="宋体" w:cs="宋体"/>
          <w:kern w:val="0"/>
          <w:sz w:val="24"/>
        </w:rPr>
      </w:pPr>
      <w:r>
        <w:rPr>
          <w:rFonts w:hint="eastAsia" w:ascii="宋体" w:hAnsi="宋体" w:cs="宋体"/>
          <w:kern w:val="0"/>
          <w:sz w:val="24"/>
        </w:rPr>
        <w:t>10.4.3供应商</w:t>
      </w:r>
      <w:r>
        <w:rPr>
          <w:rFonts w:hint="eastAsia" w:ascii="宋体" w:hAnsi="宋体" w:cs="宋体"/>
          <w:kern w:val="0"/>
          <w:sz w:val="24"/>
          <w:lang w:val="en-US" w:eastAsia="zh-CN"/>
        </w:rPr>
        <w:t>对</w:t>
      </w:r>
      <w:r>
        <w:rPr>
          <w:rFonts w:hint="eastAsia" w:ascii="宋体" w:hAnsi="宋体" w:cs="宋体"/>
          <w:kern w:val="0"/>
          <w:sz w:val="24"/>
        </w:rPr>
        <w:t>所投标段必须完全响应招标文件所列</w:t>
      </w:r>
      <w:r>
        <w:rPr>
          <w:rFonts w:hint="eastAsia" w:ascii="宋体" w:hAnsi="宋体" w:cs="宋体"/>
          <w:kern w:val="0"/>
          <w:sz w:val="24"/>
          <w:lang w:val="en-US" w:eastAsia="zh-CN"/>
        </w:rPr>
        <w:t>全部</w:t>
      </w:r>
      <w:r>
        <w:rPr>
          <w:rFonts w:hint="eastAsia" w:ascii="宋体" w:hAnsi="宋体" w:cs="宋体"/>
          <w:kern w:val="0"/>
          <w:sz w:val="24"/>
        </w:rPr>
        <w:t>内容。</w:t>
      </w:r>
    </w:p>
    <w:p w14:paraId="3EF54B42">
      <w:pPr>
        <w:wordWrap w:val="0"/>
        <w:topLinePunct/>
        <w:adjustRightInd w:val="0"/>
        <w:snapToGrid w:val="0"/>
        <w:spacing w:line="360" w:lineRule="auto"/>
        <w:rPr>
          <w:rFonts w:ascii="宋体" w:hAnsi="宋体" w:cs="宋体"/>
          <w:kern w:val="0"/>
          <w:sz w:val="24"/>
        </w:rPr>
      </w:pPr>
      <w:r>
        <w:rPr>
          <w:rFonts w:hint="eastAsia" w:ascii="宋体" w:hAnsi="宋体" w:cs="宋体"/>
          <w:kern w:val="0"/>
          <w:sz w:val="24"/>
        </w:rPr>
        <w:t>10.4.4本次招标不接受可选择或可调整的投标和报价。</w:t>
      </w:r>
    </w:p>
    <w:p w14:paraId="20657948">
      <w:pPr>
        <w:wordWrap w:val="0"/>
        <w:topLinePunct/>
        <w:adjustRightInd w:val="0"/>
        <w:snapToGrid w:val="0"/>
        <w:spacing w:line="360" w:lineRule="auto"/>
        <w:rPr>
          <w:rFonts w:ascii="宋体" w:hAnsi="宋体" w:cs="宋体"/>
          <w:kern w:val="0"/>
          <w:sz w:val="24"/>
        </w:rPr>
      </w:pPr>
      <w:r>
        <w:rPr>
          <w:rFonts w:hint="eastAsia" w:ascii="宋体" w:hAnsi="宋体" w:cs="宋体"/>
          <w:kern w:val="0"/>
          <w:sz w:val="24"/>
        </w:rPr>
        <w:t>10.4.5供应商对投标报价若有说明应在开标一览表显著处注明，只有开标时唱出的报价优惠承诺才会在评标时予以考虑。</w:t>
      </w:r>
    </w:p>
    <w:p w14:paraId="3B7CE70C">
      <w:pPr>
        <w:wordWrap w:val="0"/>
        <w:topLinePunct/>
        <w:adjustRightInd w:val="0"/>
        <w:snapToGrid w:val="0"/>
        <w:spacing w:line="360" w:lineRule="auto"/>
        <w:rPr>
          <w:rFonts w:ascii="宋体" w:hAnsi="宋体" w:cs="宋体"/>
          <w:kern w:val="0"/>
          <w:sz w:val="24"/>
        </w:rPr>
      </w:pPr>
      <w:r>
        <w:rPr>
          <w:rFonts w:hint="eastAsia" w:ascii="宋体" w:hAnsi="宋体" w:cs="宋体"/>
          <w:kern w:val="0"/>
          <w:sz w:val="24"/>
        </w:rPr>
        <w:t>10.4.6</w:t>
      </w:r>
      <w:r>
        <w:rPr>
          <w:rFonts w:hint="eastAsia" w:ascii="宋体" w:hAnsi="宋体" w:cs="宋体"/>
          <w:bCs/>
          <w:kern w:val="0"/>
          <w:sz w:val="24"/>
        </w:rPr>
        <w:t>投标的报价优惠承诺应对开标一览表等提供相应的明细清单。除报价优惠承诺外，任何超出招标文件要求而额外赠送的服务、货物、免费培训等其他形式的优惠，在评标时将不作为价格折算的必备条件</w:t>
      </w:r>
      <w:r>
        <w:rPr>
          <w:rFonts w:hint="eastAsia" w:ascii="宋体" w:hAnsi="宋体" w:cs="宋体"/>
          <w:kern w:val="0"/>
          <w:sz w:val="24"/>
        </w:rPr>
        <w:t>。</w:t>
      </w:r>
    </w:p>
    <w:p w14:paraId="29E077E4">
      <w:pPr>
        <w:wordWrap w:val="0"/>
        <w:topLinePunct/>
        <w:adjustRightInd w:val="0"/>
        <w:snapToGrid w:val="0"/>
        <w:spacing w:line="360" w:lineRule="auto"/>
        <w:rPr>
          <w:rFonts w:ascii="宋体" w:hAnsi="宋体" w:cs="宋体"/>
          <w:kern w:val="0"/>
          <w:sz w:val="24"/>
        </w:rPr>
      </w:pPr>
      <w:r>
        <w:rPr>
          <w:rFonts w:hint="eastAsia" w:ascii="宋体" w:hAnsi="宋体" w:cs="宋体"/>
          <w:kern w:val="0"/>
          <w:sz w:val="24"/>
        </w:rPr>
        <w:t>10.4.7本项目采用综合评分法的，最低报价不能作为中标的保证。</w:t>
      </w:r>
    </w:p>
    <w:p w14:paraId="43F91737">
      <w:pPr>
        <w:tabs>
          <w:tab w:val="left" w:pos="0"/>
        </w:tabs>
        <w:wordWrap w:val="0"/>
        <w:topLinePunct/>
        <w:adjustRightInd w:val="0"/>
        <w:snapToGrid w:val="0"/>
        <w:spacing w:line="360" w:lineRule="auto"/>
        <w:rPr>
          <w:rFonts w:ascii="宋体" w:hAnsi="宋体" w:cs="宋体"/>
          <w:b/>
          <w:kern w:val="0"/>
          <w:sz w:val="24"/>
        </w:rPr>
      </w:pPr>
      <w:r>
        <w:rPr>
          <w:rFonts w:hint="eastAsia" w:ascii="宋体" w:hAnsi="宋体" w:cs="宋体"/>
          <w:b/>
          <w:kern w:val="0"/>
          <w:sz w:val="24"/>
        </w:rPr>
        <w:t>11.投标内容填写说明</w:t>
      </w:r>
    </w:p>
    <w:p w14:paraId="4F351800">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11.1 供应商应详细阅读招标文件的全部内容，按招标文件的要求提供投标文件，并保证所提供的全部资料的真实性，以使投标对招标文件中的内容做出实质性和完整性的响应，否则，供应商须自行承担由此引起的风险和责任。</w:t>
      </w:r>
    </w:p>
    <w:p w14:paraId="1DD6E62C">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11.2  投标文件有固定格式要求的须按第六部分提供的统一格式逐项填写；无相应内容可填的项，填写“无”、“未测试”、“没有相应指标”、 “/”等明确的回答。</w:t>
      </w:r>
    </w:p>
    <w:p w14:paraId="73D0A51A">
      <w:pPr>
        <w:wordWrap w:val="0"/>
        <w:topLinePunct/>
        <w:adjustRightInd w:val="0"/>
        <w:snapToGrid w:val="0"/>
        <w:spacing w:line="360" w:lineRule="auto"/>
        <w:rPr>
          <w:rFonts w:ascii="宋体" w:hAnsi="宋体" w:cs="宋体"/>
          <w:kern w:val="0"/>
          <w:sz w:val="24"/>
        </w:rPr>
      </w:pPr>
      <w:r>
        <w:rPr>
          <w:rFonts w:hint="eastAsia" w:ascii="宋体" w:hAnsi="宋体" w:cs="宋体"/>
          <w:color w:val="000000"/>
          <w:kern w:val="0"/>
          <w:sz w:val="24"/>
        </w:rPr>
        <w:t>11.3开标一览表为在开标仪式上唱标的内容，要求统一</w:t>
      </w:r>
      <w:r>
        <w:rPr>
          <w:rFonts w:hint="eastAsia" w:ascii="宋体" w:hAnsi="宋体" w:cs="宋体"/>
          <w:kern w:val="0"/>
          <w:sz w:val="24"/>
        </w:rPr>
        <w:t>填写，除不得自行增减表头内容外，可根据填报情况变换表格格式（指横排或竖排）和增减行。</w:t>
      </w:r>
    </w:p>
    <w:p w14:paraId="1B6C19EB">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11.4供应商必须保证投标文件所提供的全部资料真实有效，并接受评标委员会对其中任何资料进一步审查的要求，且承担相应的法律责任。</w:t>
      </w:r>
    </w:p>
    <w:p w14:paraId="13CF3651">
      <w:pPr>
        <w:tabs>
          <w:tab w:val="left" w:pos="0"/>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11.5因投标文件提交资料不清晰或表达不清楚所引起的不利后果由供应商承担。</w:t>
      </w:r>
    </w:p>
    <w:p w14:paraId="0138B1F3">
      <w:pPr>
        <w:tabs>
          <w:tab w:val="left" w:pos="0"/>
        </w:tabs>
        <w:wordWrap w:val="0"/>
        <w:topLinePunct/>
        <w:adjustRightInd w:val="0"/>
        <w:snapToGrid w:val="0"/>
        <w:spacing w:line="360" w:lineRule="auto"/>
        <w:rPr>
          <w:rFonts w:ascii="宋体" w:hAnsi="宋体" w:cs="宋体"/>
          <w:b/>
          <w:color w:val="000000"/>
          <w:kern w:val="0"/>
          <w:sz w:val="24"/>
        </w:rPr>
      </w:pPr>
      <w:r>
        <w:rPr>
          <w:rFonts w:hint="eastAsia" w:ascii="宋体" w:hAnsi="宋体" w:cs="宋体"/>
          <w:b/>
          <w:color w:val="000000"/>
          <w:kern w:val="0"/>
          <w:sz w:val="24"/>
        </w:rPr>
        <w:t>12.投标文件的有效期</w:t>
      </w:r>
    </w:p>
    <w:p w14:paraId="4657F9BA">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12.1本项目投标文件的有效期见供应商须知前附表。有效期短于该规定期限的投标文件投标无效。</w:t>
      </w:r>
    </w:p>
    <w:p w14:paraId="4DC06CC7">
      <w:pPr>
        <w:wordWrap w:val="0"/>
        <w:topLinePunct/>
        <w:adjustRightInd w:val="0"/>
        <w:snapToGrid w:val="0"/>
        <w:spacing w:line="360" w:lineRule="auto"/>
        <w:rPr>
          <w:rFonts w:ascii="宋体" w:hAnsi="宋体" w:cs="宋体"/>
          <w:sz w:val="24"/>
        </w:rPr>
      </w:pPr>
      <w:r>
        <w:rPr>
          <w:rFonts w:hint="eastAsia" w:ascii="宋体" w:hAnsi="宋体" w:cs="宋体"/>
          <w:sz w:val="24"/>
        </w:rPr>
        <w:t>12.2投标有效期从提交投标文件的截止之日起算。投标文件中承诺的投标有效期应当不少于招标文件中载明的投标有效期。</w:t>
      </w:r>
    </w:p>
    <w:p w14:paraId="19915A69">
      <w:pPr>
        <w:wordWrap w:val="0"/>
        <w:topLinePunct/>
        <w:adjustRightInd w:val="0"/>
        <w:snapToGrid w:val="0"/>
        <w:spacing w:line="360" w:lineRule="auto"/>
        <w:rPr>
          <w:rFonts w:ascii="宋体" w:hAnsi="宋体" w:cs="宋体"/>
          <w:sz w:val="24"/>
        </w:rPr>
      </w:pPr>
      <w:r>
        <w:rPr>
          <w:rFonts w:hint="eastAsia" w:ascii="宋体" w:hAnsi="宋体" w:cs="宋体"/>
          <w:sz w:val="24"/>
        </w:rPr>
        <w:t>12.3如果出现特殊情况，</w:t>
      </w:r>
      <w:r>
        <w:rPr>
          <w:rFonts w:hint="eastAsia" w:ascii="宋体" w:hAnsi="宋体" w:cs="宋体"/>
          <w:sz w:val="24"/>
          <w:lang w:eastAsia="zh-CN"/>
        </w:rPr>
        <w:t>采购人</w:t>
      </w:r>
      <w:r>
        <w:rPr>
          <w:rFonts w:hint="eastAsia" w:ascii="宋体" w:hAnsi="宋体" w:cs="宋体"/>
          <w:sz w:val="24"/>
        </w:rPr>
        <w:t>可要求供应商将投标有效期延长一段时间，这种要求和供应商的答复以书面形式进行。</w:t>
      </w:r>
    </w:p>
    <w:p w14:paraId="0CD29814">
      <w:pPr>
        <w:tabs>
          <w:tab w:val="left" w:pos="0"/>
        </w:tabs>
        <w:wordWrap w:val="0"/>
        <w:topLinePunct/>
        <w:adjustRightInd w:val="0"/>
        <w:snapToGrid w:val="0"/>
        <w:spacing w:line="360" w:lineRule="auto"/>
        <w:rPr>
          <w:rFonts w:ascii="宋体" w:hAnsi="宋体" w:cs="宋体"/>
          <w:b/>
          <w:color w:val="000000"/>
          <w:kern w:val="0"/>
          <w:sz w:val="24"/>
        </w:rPr>
      </w:pPr>
      <w:r>
        <w:rPr>
          <w:rFonts w:hint="eastAsia" w:ascii="宋体" w:hAnsi="宋体" w:cs="宋体"/>
          <w:b/>
          <w:color w:val="000000"/>
          <w:kern w:val="0"/>
          <w:sz w:val="24"/>
        </w:rPr>
        <w:t>13. 投标文件的签署及规定</w:t>
      </w:r>
    </w:p>
    <w:p w14:paraId="03707489">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13.1组成投标文件的各项文件均应遵守本条。</w:t>
      </w:r>
    </w:p>
    <w:p w14:paraId="17B06157">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13.2供应商在投标文件及相关文件的签订、履行、通知等事项的文件中的“单位盖章”、“印章”、“公章”“电子印章”等处均仅指与供应商名称全称相一致的标准公章，不得使用其它（如带有“专用章”等字样）的印章，否则作为无效投标处理。</w:t>
      </w:r>
    </w:p>
    <w:p w14:paraId="103C0CA2">
      <w:pPr>
        <w:tabs>
          <w:tab w:val="left" w:pos="567"/>
        </w:tabs>
        <w:wordWrap w:val="0"/>
        <w:topLinePunct/>
        <w:adjustRightInd w:val="0"/>
        <w:snapToGrid w:val="0"/>
        <w:spacing w:line="360" w:lineRule="auto"/>
        <w:rPr>
          <w:rFonts w:ascii="宋体" w:hAnsi="宋体" w:cs="宋体"/>
          <w:bCs/>
          <w:kern w:val="0"/>
          <w:sz w:val="24"/>
        </w:rPr>
      </w:pPr>
      <w:r>
        <w:rPr>
          <w:rFonts w:hint="eastAsia" w:ascii="宋体" w:hAnsi="宋体" w:cs="宋体"/>
          <w:kern w:val="0"/>
          <w:sz w:val="24"/>
        </w:rPr>
        <w:t>13.3</w:t>
      </w:r>
      <w:r>
        <w:rPr>
          <w:rFonts w:hint="eastAsia" w:ascii="宋体" w:hAnsi="宋体" w:cs="宋体"/>
          <w:bCs/>
          <w:kern w:val="0"/>
          <w:sz w:val="24"/>
        </w:rPr>
        <w:t>供应商应在投标文件中按照招标文件要求，在指定的位置签字（章）、加盖公章。</w:t>
      </w:r>
    </w:p>
    <w:p w14:paraId="1976772F">
      <w:pPr>
        <w:tabs>
          <w:tab w:val="left" w:pos="567"/>
        </w:tabs>
        <w:wordWrap w:val="0"/>
        <w:topLinePunct/>
        <w:adjustRightInd w:val="0"/>
        <w:snapToGrid w:val="0"/>
        <w:spacing w:line="360" w:lineRule="auto"/>
        <w:rPr>
          <w:rFonts w:ascii="宋体" w:hAnsi="宋体" w:cs="宋体"/>
          <w:kern w:val="0"/>
          <w:sz w:val="24"/>
        </w:rPr>
      </w:pPr>
      <w:r>
        <w:rPr>
          <w:rFonts w:hint="eastAsia" w:ascii="宋体" w:hAnsi="宋体" w:cs="宋体"/>
          <w:color w:val="000000"/>
          <w:kern w:val="0"/>
          <w:sz w:val="24"/>
        </w:rPr>
        <w:t>13.4供应商须注意：为合理节约采购评审成本，提倡诚实信用的投标行为，特别要求供应商应本着诚信精神，在本次投标文件的偏离表中（若本次招标文件中没有提供偏离表或其它偏离文件样本，供应商亦应当自制偏离表于本次投标文件中），以审慎的态度明确、清楚地披露各项偏离。若供应商对某一事项是否存在或是否属于偏离不能确定，亦必须在偏离表中清楚地表明该偏</w:t>
      </w:r>
      <w:r>
        <w:rPr>
          <w:rFonts w:hint="eastAsia" w:ascii="宋体" w:hAnsi="宋体" w:cs="宋体"/>
          <w:kern w:val="0"/>
          <w:sz w:val="24"/>
        </w:rPr>
        <w:t>离事项，并可以注明‘不能确定’的字样。任何情况下，对于供应商没有在偏离表中明确、清楚地披露的事项，包括可能属于被供应商在偏离表中遗漏的事项，一旦在评审中被发现存在重大偏离或被认定为属于重大偏离，则评委会有权决定对该投标予以拒绝。</w:t>
      </w:r>
    </w:p>
    <w:p w14:paraId="0E26B607">
      <w:pPr>
        <w:wordWrap w:val="0"/>
        <w:topLinePunct/>
        <w:adjustRightInd w:val="0"/>
        <w:snapToGrid w:val="0"/>
        <w:spacing w:line="360" w:lineRule="auto"/>
        <w:rPr>
          <w:rFonts w:ascii="宋体" w:hAnsi="宋体" w:cs="宋体"/>
          <w:kern w:val="0"/>
          <w:sz w:val="24"/>
        </w:rPr>
      </w:pPr>
      <w:r>
        <w:rPr>
          <w:rFonts w:hint="eastAsia" w:ascii="宋体" w:hAnsi="宋体" w:cs="宋体"/>
          <w:kern w:val="0"/>
          <w:sz w:val="24"/>
        </w:rPr>
        <w:t>13.5</w:t>
      </w:r>
      <w:r>
        <w:rPr>
          <w:rFonts w:hint="eastAsia" w:ascii="宋体" w:hAnsi="宋体" w:cs="宋体"/>
          <w:bCs/>
          <w:kern w:val="0"/>
          <w:sz w:val="24"/>
        </w:rPr>
        <w:t>投标文件应内容齐全、所提交资料清晰完整，不得涂改或增删。如有修改和增删，必须有供应商公章及法定代表人或其授权的供应商代表签字或盖章</w:t>
      </w:r>
      <w:r>
        <w:rPr>
          <w:rFonts w:hint="eastAsia" w:ascii="宋体" w:hAnsi="宋体" w:cs="宋体"/>
          <w:b/>
          <w:kern w:val="0"/>
          <w:sz w:val="24"/>
        </w:rPr>
        <w:t>。</w:t>
      </w:r>
    </w:p>
    <w:p w14:paraId="11BDC449">
      <w:pPr>
        <w:tabs>
          <w:tab w:val="left" w:pos="567"/>
        </w:tabs>
        <w:wordWrap w:val="0"/>
        <w:topLinePunct/>
        <w:adjustRightInd w:val="0"/>
        <w:snapToGrid w:val="0"/>
        <w:spacing w:line="360" w:lineRule="auto"/>
        <w:rPr>
          <w:rFonts w:ascii="宋体" w:hAnsi="宋体" w:cs="宋体"/>
          <w:kern w:val="0"/>
          <w:sz w:val="24"/>
        </w:rPr>
      </w:pPr>
      <w:r>
        <w:rPr>
          <w:rFonts w:hint="eastAsia" w:ascii="宋体" w:hAnsi="宋体" w:cs="宋体"/>
          <w:kern w:val="0"/>
          <w:sz w:val="24"/>
        </w:rPr>
        <w:t>13.6因投标文件提交资料不清晰或意思表达不清所引起的不利后果由供应商承担。</w:t>
      </w:r>
    </w:p>
    <w:p w14:paraId="1E70F6BD">
      <w:pPr>
        <w:pStyle w:val="3"/>
        <w:keepNext w:val="0"/>
        <w:keepLines w:val="0"/>
        <w:tabs>
          <w:tab w:val="left" w:pos="567"/>
        </w:tabs>
        <w:wordWrap w:val="0"/>
        <w:topLinePunct/>
        <w:adjustRightInd w:val="0"/>
        <w:snapToGrid w:val="0"/>
        <w:spacing w:before="0" w:after="0" w:line="360" w:lineRule="auto"/>
        <w:outlineLvl w:val="0"/>
        <w:rPr>
          <w:rFonts w:cs="宋体"/>
          <w:sz w:val="24"/>
          <w:szCs w:val="24"/>
        </w:rPr>
      </w:pPr>
      <w:bookmarkStart w:id="38" w:name="_Toc175644019"/>
      <w:bookmarkStart w:id="39" w:name="_Toc5043"/>
      <w:bookmarkStart w:id="40" w:name="_Toc20118"/>
      <w:r>
        <w:rPr>
          <w:rFonts w:hint="eastAsia" w:cs="宋体"/>
          <w:sz w:val="24"/>
          <w:szCs w:val="24"/>
        </w:rPr>
        <w:t>四、投标文件的</w:t>
      </w:r>
      <w:bookmarkEnd w:id="38"/>
      <w:r>
        <w:rPr>
          <w:rFonts w:hint="eastAsia" w:cs="宋体"/>
          <w:sz w:val="24"/>
          <w:szCs w:val="24"/>
        </w:rPr>
        <w:t>提交</w:t>
      </w:r>
      <w:bookmarkEnd w:id="39"/>
      <w:bookmarkEnd w:id="40"/>
    </w:p>
    <w:p w14:paraId="2C6A69AB">
      <w:pPr>
        <w:tabs>
          <w:tab w:val="left" w:pos="0"/>
        </w:tabs>
        <w:wordWrap w:val="0"/>
        <w:topLinePunct/>
        <w:adjustRightInd w:val="0"/>
        <w:snapToGrid w:val="0"/>
        <w:spacing w:line="360" w:lineRule="auto"/>
        <w:rPr>
          <w:rFonts w:ascii="宋体" w:hAnsi="宋体" w:cs="宋体"/>
          <w:b/>
          <w:kern w:val="0"/>
          <w:sz w:val="24"/>
        </w:rPr>
      </w:pPr>
      <w:r>
        <w:rPr>
          <w:rFonts w:hint="eastAsia" w:ascii="宋体" w:hAnsi="宋体" w:cs="宋体"/>
          <w:b/>
          <w:kern w:val="0"/>
          <w:sz w:val="24"/>
        </w:rPr>
        <w:t>14.投标文件的份数、上传及解密</w:t>
      </w:r>
    </w:p>
    <w:p w14:paraId="0F1EDA76">
      <w:pPr>
        <w:tabs>
          <w:tab w:val="left" w:pos="567"/>
        </w:tabs>
        <w:wordWrap w:val="0"/>
        <w:topLinePunct/>
        <w:adjustRightInd w:val="0"/>
        <w:snapToGrid w:val="0"/>
        <w:spacing w:line="360" w:lineRule="auto"/>
        <w:rPr>
          <w:rFonts w:ascii="宋体" w:hAnsi="宋体" w:cs="宋体"/>
          <w:kern w:val="0"/>
          <w:sz w:val="24"/>
        </w:rPr>
      </w:pPr>
      <w:r>
        <w:rPr>
          <w:rFonts w:hint="eastAsia" w:ascii="宋体" w:hAnsi="宋体" w:cs="宋体"/>
          <w:kern w:val="0"/>
          <w:sz w:val="24"/>
        </w:rPr>
        <w:t>14.1投标文件的份数，见供应商须知前附表</w:t>
      </w:r>
      <w:r>
        <w:rPr>
          <w:rFonts w:hint="eastAsia" w:ascii="宋体" w:hAnsi="宋体" w:cs="宋体"/>
          <w:b/>
          <w:kern w:val="0"/>
          <w:sz w:val="24"/>
        </w:rPr>
        <w:t>。</w:t>
      </w:r>
    </w:p>
    <w:p w14:paraId="1EF45C1F">
      <w:pPr>
        <w:tabs>
          <w:tab w:val="left" w:pos="567"/>
        </w:tabs>
        <w:wordWrap w:val="0"/>
        <w:topLinePunct/>
        <w:adjustRightInd w:val="0"/>
        <w:snapToGrid w:val="0"/>
        <w:spacing w:line="360" w:lineRule="auto"/>
        <w:rPr>
          <w:rFonts w:ascii="宋体" w:hAnsi="宋体" w:cs="宋体"/>
          <w:kern w:val="0"/>
          <w:sz w:val="24"/>
        </w:rPr>
      </w:pPr>
      <w:r>
        <w:rPr>
          <w:rFonts w:hint="eastAsia" w:ascii="宋体" w:hAnsi="宋体" w:cs="宋体"/>
          <w:kern w:val="0"/>
          <w:sz w:val="24"/>
        </w:rPr>
        <w:t>14.</w:t>
      </w:r>
      <w:r>
        <w:rPr>
          <w:rFonts w:hint="eastAsia" w:ascii="宋体" w:hAnsi="宋体" w:cs="宋体"/>
          <w:kern w:val="0"/>
          <w:sz w:val="24"/>
          <w:lang w:val="en-US" w:eastAsia="zh-CN"/>
        </w:rPr>
        <w:t>2</w:t>
      </w:r>
      <w:r>
        <w:rPr>
          <w:rFonts w:hint="eastAsia" w:ascii="宋体" w:hAnsi="宋体" w:cs="宋体"/>
          <w:kern w:val="0"/>
          <w:sz w:val="24"/>
        </w:rPr>
        <w:t>投标文件的上传、解密</w:t>
      </w:r>
    </w:p>
    <w:p w14:paraId="492D8715">
      <w:pPr>
        <w:tabs>
          <w:tab w:val="left" w:pos="567"/>
        </w:tabs>
        <w:wordWrap w:val="0"/>
        <w:topLinePunct/>
        <w:adjustRightInd w:val="0"/>
        <w:snapToGrid w:val="0"/>
        <w:spacing w:line="360" w:lineRule="auto"/>
        <w:rPr>
          <w:rFonts w:ascii="宋体" w:hAnsi="宋体" w:cs="宋体"/>
          <w:kern w:val="0"/>
          <w:sz w:val="24"/>
        </w:rPr>
      </w:pPr>
      <w:r>
        <w:rPr>
          <w:rFonts w:hint="eastAsia" w:ascii="宋体" w:hAnsi="宋体" w:cs="宋体"/>
          <w:kern w:val="0"/>
          <w:sz w:val="24"/>
        </w:rPr>
        <w:t>14.</w:t>
      </w:r>
      <w:r>
        <w:rPr>
          <w:rFonts w:hint="eastAsia" w:ascii="宋体" w:hAnsi="宋体" w:cs="宋体"/>
          <w:kern w:val="0"/>
          <w:sz w:val="24"/>
          <w:lang w:val="en-US" w:eastAsia="zh-CN"/>
        </w:rPr>
        <w:t>2</w:t>
      </w:r>
      <w:r>
        <w:rPr>
          <w:rFonts w:hint="eastAsia" w:ascii="宋体" w:hAnsi="宋体" w:cs="宋体"/>
          <w:kern w:val="0"/>
          <w:sz w:val="24"/>
        </w:rPr>
        <w:t>.1供应商通过</w:t>
      </w:r>
      <w:r>
        <w:rPr>
          <w:rFonts w:hint="eastAsia" w:ascii="宋体" w:hAnsi="宋体" w:cs="宋体"/>
          <w:color w:val="000000"/>
          <w:kern w:val="0"/>
          <w:sz w:val="24"/>
          <w:lang w:bidi="ar"/>
        </w:rPr>
        <w:t>政采云电子投标客户端</w:t>
      </w:r>
      <w:r>
        <w:rPr>
          <w:rFonts w:hint="eastAsia" w:ascii="宋体" w:hAnsi="宋体" w:cs="宋体"/>
          <w:kern w:val="0"/>
          <w:sz w:val="24"/>
        </w:rPr>
        <w:t>上传加密电子投标文件。</w:t>
      </w:r>
    </w:p>
    <w:p w14:paraId="62F8547E">
      <w:pPr>
        <w:tabs>
          <w:tab w:val="left" w:pos="567"/>
        </w:tabs>
        <w:wordWrap w:val="0"/>
        <w:topLinePunct/>
        <w:adjustRightInd w:val="0"/>
        <w:snapToGrid w:val="0"/>
        <w:spacing w:line="360" w:lineRule="auto"/>
        <w:rPr>
          <w:rFonts w:ascii="宋体" w:hAnsi="宋体" w:cs="宋体"/>
          <w:kern w:val="0"/>
          <w:sz w:val="24"/>
        </w:rPr>
      </w:pPr>
      <w:r>
        <w:rPr>
          <w:rFonts w:hint="eastAsia" w:ascii="宋体" w:hAnsi="宋体" w:cs="宋体"/>
          <w:kern w:val="0"/>
          <w:sz w:val="24"/>
        </w:rPr>
        <w:t>1.供应商在线签到：在投标截止时间前通过 CA 数字证书进行在线签到，未在线签到的投标无效。</w:t>
      </w:r>
    </w:p>
    <w:p w14:paraId="0739C956">
      <w:pPr>
        <w:tabs>
          <w:tab w:val="left" w:pos="567"/>
        </w:tabs>
        <w:wordWrap w:val="0"/>
        <w:topLinePunct/>
        <w:adjustRightInd w:val="0"/>
        <w:snapToGrid w:val="0"/>
        <w:spacing w:line="360" w:lineRule="auto"/>
        <w:rPr>
          <w:rFonts w:ascii="宋体" w:hAnsi="宋体" w:cs="宋体"/>
          <w:kern w:val="0"/>
          <w:sz w:val="24"/>
        </w:rPr>
      </w:pPr>
      <w:r>
        <w:rPr>
          <w:rFonts w:hint="eastAsia" w:ascii="宋体" w:hAnsi="宋体" w:cs="宋体"/>
          <w:kern w:val="0"/>
          <w:sz w:val="24"/>
        </w:rPr>
        <w:t>2．供应商接到解密提示后，应当在规定时限内通过CA 数字证书对电子投标文件开始解密。</w:t>
      </w:r>
    </w:p>
    <w:p w14:paraId="48ADD9EB">
      <w:pPr>
        <w:tabs>
          <w:tab w:val="left" w:pos="0"/>
        </w:tabs>
        <w:wordWrap w:val="0"/>
        <w:topLinePunct/>
        <w:adjustRightInd w:val="0"/>
        <w:snapToGrid w:val="0"/>
        <w:spacing w:line="360" w:lineRule="auto"/>
        <w:rPr>
          <w:rFonts w:ascii="宋体" w:hAnsi="宋体" w:cs="宋体"/>
          <w:b/>
          <w:kern w:val="0"/>
          <w:sz w:val="24"/>
        </w:rPr>
      </w:pPr>
      <w:r>
        <w:rPr>
          <w:rFonts w:hint="eastAsia" w:ascii="宋体" w:hAnsi="宋体" w:cs="宋体"/>
          <w:b/>
          <w:kern w:val="0"/>
          <w:sz w:val="24"/>
        </w:rPr>
        <w:t>15.投标截止时间</w:t>
      </w:r>
    </w:p>
    <w:p w14:paraId="2DB22A27">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kern w:val="0"/>
          <w:sz w:val="24"/>
        </w:rPr>
        <w:t>15.1开标时间即为投标截止时间</w:t>
      </w:r>
      <w:r>
        <w:rPr>
          <w:rFonts w:hint="eastAsia" w:ascii="宋体" w:hAnsi="宋体" w:cs="宋体"/>
          <w:color w:val="000000"/>
          <w:kern w:val="0"/>
          <w:sz w:val="24"/>
        </w:rPr>
        <w:t>。</w:t>
      </w:r>
    </w:p>
    <w:p w14:paraId="605DCA81">
      <w:pPr>
        <w:tabs>
          <w:tab w:val="left" w:pos="0"/>
        </w:tabs>
        <w:wordWrap w:val="0"/>
        <w:topLinePunct/>
        <w:adjustRightInd w:val="0"/>
        <w:snapToGrid w:val="0"/>
        <w:spacing w:line="360" w:lineRule="auto"/>
        <w:rPr>
          <w:rFonts w:ascii="宋体" w:hAnsi="宋体" w:cs="宋体"/>
          <w:b/>
          <w:color w:val="000000"/>
          <w:kern w:val="0"/>
          <w:sz w:val="24"/>
        </w:rPr>
      </w:pPr>
      <w:r>
        <w:rPr>
          <w:rFonts w:hint="eastAsia" w:ascii="宋体" w:hAnsi="宋体" w:cs="宋体"/>
          <w:b/>
          <w:color w:val="000000"/>
          <w:kern w:val="0"/>
          <w:sz w:val="24"/>
        </w:rPr>
        <w:t>16. 投标文件的补充、修改和撤回</w:t>
      </w:r>
    </w:p>
    <w:p w14:paraId="201E8AF6">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16.1供应商在投标文件解密截止时间前，可以对电子投标文件进行补充、修改或者撤回。</w:t>
      </w:r>
    </w:p>
    <w:p w14:paraId="774393A0">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16.2供应商对电子投标文件的补充、修改应在电子投标文件上进行，修改完成后重新上传。</w:t>
      </w:r>
    </w:p>
    <w:p w14:paraId="2D913CF2">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16.3在投标截止时间之后，供应商不得对其投标文件进行补充、修改或撤回。</w:t>
      </w:r>
    </w:p>
    <w:p w14:paraId="2FE76D5C">
      <w:pPr>
        <w:pStyle w:val="3"/>
        <w:keepNext w:val="0"/>
        <w:keepLines w:val="0"/>
        <w:tabs>
          <w:tab w:val="left" w:pos="567"/>
        </w:tabs>
        <w:wordWrap w:val="0"/>
        <w:topLinePunct/>
        <w:adjustRightInd w:val="0"/>
        <w:snapToGrid w:val="0"/>
        <w:spacing w:before="0" w:after="0" w:line="360" w:lineRule="auto"/>
        <w:outlineLvl w:val="0"/>
        <w:rPr>
          <w:rFonts w:cs="宋体"/>
          <w:sz w:val="24"/>
          <w:szCs w:val="24"/>
        </w:rPr>
      </w:pPr>
      <w:bookmarkStart w:id="41" w:name="_Toc175644020"/>
      <w:bookmarkStart w:id="42" w:name="_Toc5094"/>
      <w:bookmarkStart w:id="43" w:name="_Toc2454"/>
      <w:r>
        <w:rPr>
          <w:rFonts w:hint="eastAsia" w:cs="宋体"/>
          <w:sz w:val="24"/>
          <w:szCs w:val="24"/>
        </w:rPr>
        <w:t>五、开标</w:t>
      </w:r>
      <w:bookmarkEnd w:id="41"/>
      <w:bookmarkEnd w:id="42"/>
      <w:bookmarkEnd w:id="43"/>
      <w:r>
        <w:rPr>
          <w:rFonts w:hint="eastAsia" w:cs="宋体"/>
          <w:sz w:val="24"/>
          <w:szCs w:val="24"/>
        </w:rPr>
        <w:t xml:space="preserve"> </w:t>
      </w:r>
    </w:p>
    <w:p w14:paraId="03B08EBD">
      <w:pPr>
        <w:tabs>
          <w:tab w:val="left" w:pos="0"/>
        </w:tabs>
        <w:wordWrap w:val="0"/>
        <w:topLinePunct/>
        <w:adjustRightInd w:val="0"/>
        <w:snapToGrid w:val="0"/>
        <w:spacing w:line="360" w:lineRule="auto"/>
        <w:rPr>
          <w:rFonts w:ascii="宋体" w:hAnsi="宋体" w:cs="宋体"/>
          <w:b/>
          <w:color w:val="000000"/>
          <w:kern w:val="0"/>
          <w:sz w:val="24"/>
        </w:rPr>
      </w:pPr>
      <w:r>
        <w:rPr>
          <w:rFonts w:hint="eastAsia" w:ascii="宋体" w:hAnsi="宋体" w:cs="宋体"/>
          <w:b/>
          <w:color w:val="000000"/>
          <w:kern w:val="0"/>
          <w:sz w:val="24"/>
        </w:rPr>
        <w:t>17.开标及其有关事项</w:t>
      </w:r>
    </w:p>
    <w:p w14:paraId="7D295B69">
      <w:pPr>
        <w:tabs>
          <w:tab w:val="left" w:pos="567"/>
        </w:tabs>
        <w:wordWrap w:val="0"/>
        <w:topLinePunct/>
        <w:adjustRightInd w:val="0"/>
        <w:snapToGrid w:val="0"/>
        <w:spacing w:line="360" w:lineRule="auto"/>
        <w:rPr>
          <w:rFonts w:ascii="宋体" w:hAnsi="宋体" w:cs="宋体"/>
          <w:kern w:val="0"/>
          <w:sz w:val="24"/>
        </w:rPr>
      </w:pPr>
      <w:r>
        <w:rPr>
          <w:rFonts w:hint="eastAsia" w:ascii="宋体" w:hAnsi="宋体" w:cs="宋体"/>
          <w:color w:val="000000"/>
          <w:kern w:val="0"/>
          <w:sz w:val="24"/>
        </w:rPr>
        <w:t>17.1</w:t>
      </w:r>
      <w:r>
        <w:rPr>
          <w:rFonts w:hint="eastAsia" w:ascii="宋体" w:hAnsi="宋体" w:cs="宋体"/>
          <w:color w:val="000000"/>
          <w:kern w:val="0"/>
          <w:sz w:val="24"/>
          <w:lang w:eastAsia="zh-CN"/>
        </w:rPr>
        <w:t>采购代理机构</w:t>
      </w:r>
      <w:r>
        <w:rPr>
          <w:rFonts w:hint="eastAsia" w:ascii="宋体" w:hAnsi="宋体" w:cs="宋体"/>
          <w:color w:val="000000"/>
          <w:kern w:val="0"/>
          <w:sz w:val="24"/>
        </w:rPr>
        <w:t>在招标文件确定的提交投标文件截止时间的同一时间与招标文件</w:t>
      </w:r>
      <w:r>
        <w:rPr>
          <w:rFonts w:hint="eastAsia" w:ascii="宋体" w:hAnsi="宋体" w:cs="宋体"/>
          <w:color w:val="000000"/>
          <w:kern w:val="0"/>
          <w:sz w:val="24"/>
          <w:lang w:val="en-US" w:eastAsia="zh-CN"/>
        </w:rPr>
        <w:t>载明</w:t>
      </w:r>
      <w:r>
        <w:rPr>
          <w:rFonts w:hint="eastAsia" w:ascii="宋体" w:hAnsi="宋体" w:cs="宋体"/>
          <w:color w:val="000000"/>
          <w:kern w:val="0"/>
          <w:sz w:val="24"/>
        </w:rPr>
        <w:t>的地点</w:t>
      </w:r>
      <w:r>
        <w:rPr>
          <w:rFonts w:hint="eastAsia" w:ascii="宋体" w:hAnsi="宋体" w:cs="宋体"/>
          <w:bCs/>
          <w:color w:val="000000"/>
          <w:kern w:val="0"/>
          <w:sz w:val="24"/>
        </w:rPr>
        <w:t>组织</w:t>
      </w:r>
      <w:r>
        <w:rPr>
          <w:rFonts w:hint="eastAsia" w:ascii="宋体" w:hAnsi="宋体" w:cs="宋体"/>
          <w:color w:val="000000"/>
          <w:kern w:val="0"/>
          <w:sz w:val="24"/>
        </w:rPr>
        <w:t>公开开标活动，</w:t>
      </w:r>
      <w:r>
        <w:rPr>
          <w:rFonts w:hint="eastAsia" w:ascii="宋体" w:hAnsi="宋体" w:cs="宋体"/>
          <w:bCs/>
          <w:color w:val="000000"/>
          <w:kern w:val="0"/>
          <w:sz w:val="24"/>
        </w:rPr>
        <w:t>并且对开标、评标现场活动进行全程录音录像。录音录像应当清晰可辨，音像资料作为</w:t>
      </w:r>
      <w:r>
        <w:rPr>
          <w:rFonts w:hint="eastAsia" w:ascii="宋体" w:hAnsi="宋体" w:cs="宋体"/>
          <w:bCs/>
          <w:color w:val="000000"/>
          <w:kern w:val="0"/>
          <w:sz w:val="24"/>
          <w:lang w:val="en-US" w:eastAsia="zh-CN"/>
        </w:rPr>
        <w:t>归档</w:t>
      </w:r>
      <w:r>
        <w:rPr>
          <w:rFonts w:hint="eastAsia" w:ascii="宋体" w:hAnsi="宋体" w:cs="宋体"/>
          <w:bCs/>
          <w:color w:val="000000"/>
          <w:kern w:val="0"/>
          <w:sz w:val="24"/>
        </w:rPr>
        <w:t>文件一并存档。</w:t>
      </w:r>
    </w:p>
    <w:p w14:paraId="3002F196">
      <w:pPr>
        <w:tabs>
          <w:tab w:val="left" w:pos="567"/>
        </w:tabs>
        <w:wordWrap w:val="0"/>
        <w:topLinePunct/>
        <w:adjustRightInd w:val="0"/>
        <w:snapToGrid w:val="0"/>
        <w:spacing w:line="360" w:lineRule="auto"/>
        <w:rPr>
          <w:rFonts w:ascii="宋体" w:hAnsi="宋体" w:cs="宋体"/>
          <w:bCs/>
          <w:color w:val="000000"/>
          <w:kern w:val="0"/>
          <w:sz w:val="24"/>
        </w:rPr>
      </w:pPr>
      <w:r>
        <w:rPr>
          <w:rFonts w:hint="eastAsia" w:ascii="宋体" w:hAnsi="宋体" w:cs="宋体"/>
          <w:kern w:val="0"/>
          <w:sz w:val="24"/>
        </w:rPr>
        <w:t>17.2</w:t>
      </w:r>
      <w:r>
        <w:rPr>
          <w:rFonts w:hint="eastAsia" w:ascii="宋体" w:hAnsi="宋体" w:cs="宋体"/>
          <w:bCs/>
          <w:color w:val="000000"/>
          <w:kern w:val="0"/>
          <w:sz w:val="24"/>
        </w:rPr>
        <w:t>开标会由</w:t>
      </w:r>
      <w:r>
        <w:rPr>
          <w:rFonts w:hint="eastAsia" w:ascii="宋体" w:hAnsi="宋体" w:cs="宋体"/>
          <w:bCs/>
          <w:color w:val="000000"/>
          <w:kern w:val="0"/>
          <w:sz w:val="24"/>
          <w:lang w:eastAsia="zh-CN"/>
        </w:rPr>
        <w:t>采购代理机构</w:t>
      </w:r>
      <w:r>
        <w:rPr>
          <w:rFonts w:hint="eastAsia" w:ascii="宋体" w:hAnsi="宋体" w:cs="宋体"/>
          <w:bCs/>
          <w:color w:val="000000"/>
          <w:kern w:val="0"/>
          <w:sz w:val="24"/>
        </w:rPr>
        <w:t>主持。</w:t>
      </w:r>
    </w:p>
    <w:p w14:paraId="256A69E7">
      <w:pPr>
        <w:tabs>
          <w:tab w:val="left" w:pos="567"/>
        </w:tabs>
        <w:wordWrap w:val="0"/>
        <w:topLinePunct/>
        <w:adjustRightInd w:val="0"/>
        <w:snapToGrid w:val="0"/>
        <w:spacing w:line="360" w:lineRule="auto"/>
        <w:rPr>
          <w:rFonts w:ascii="宋体" w:hAnsi="宋体" w:cs="宋体"/>
          <w:bCs/>
          <w:color w:val="000000"/>
          <w:kern w:val="0"/>
          <w:sz w:val="24"/>
        </w:rPr>
      </w:pPr>
      <w:r>
        <w:rPr>
          <w:rFonts w:hint="eastAsia" w:ascii="宋体" w:hAnsi="宋体" w:cs="宋体"/>
          <w:bCs/>
          <w:color w:val="000000"/>
          <w:kern w:val="0"/>
          <w:sz w:val="24"/>
        </w:rPr>
        <w:t>17.3评标委员会成员和参与评标的</w:t>
      </w:r>
      <w:r>
        <w:rPr>
          <w:rFonts w:hint="eastAsia" w:ascii="宋体" w:hAnsi="宋体" w:cs="宋体"/>
          <w:bCs/>
          <w:color w:val="000000"/>
          <w:kern w:val="0"/>
          <w:sz w:val="24"/>
          <w:lang w:eastAsia="zh-CN"/>
        </w:rPr>
        <w:t>采购人</w:t>
      </w:r>
      <w:r>
        <w:rPr>
          <w:rFonts w:hint="eastAsia" w:ascii="宋体" w:hAnsi="宋体" w:cs="宋体"/>
          <w:bCs/>
          <w:color w:val="000000"/>
          <w:kern w:val="0"/>
          <w:sz w:val="24"/>
        </w:rPr>
        <w:t>代表不得参加开标活动。</w:t>
      </w:r>
    </w:p>
    <w:p w14:paraId="2C9FF561">
      <w:pPr>
        <w:tabs>
          <w:tab w:val="left" w:pos="567"/>
        </w:tabs>
        <w:wordWrap w:val="0"/>
        <w:topLinePunct/>
        <w:adjustRightInd w:val="0"/>
        <w:snapToGrid w:val="0"/>
        <w:spacing w:line="360" w:lineRule="auto"/>
        <w:rPr>
          <w:rFonts w:ascii="宋体" w:hAnsi="宋体" w:cs="宋体"/>
          <w:bCs/>
          <w:color w:val="000000"/>
          <w:kern w:val="0"/>
          <w:sz w:val="24"/>
        </w:rPr>
      </w:pPr>
      <w:r>
        <w:rPr>
          <w:rFonts w:hint="eastAsia" w:ascii="宋体" w:hAnsi="宋体" w:cs="宋体"/>
          <w:kern w:val="0"/>
          <w:sz w:val="24"/>
        </w:rPr>
        <w:t>17.4</w:t>
      </w:r>
      <w:r>
        <w:rPr>
          <w:rFonts w:hint="eastAsia" w:ascii="宋体" w:hAnsi="宋体" w:cs="宋体"/>
          <w:b/>
          <w:bCs/>
          <w:kern w:val="0"/>
          <w:sz w:val="24"/>
        </w:rPr>
        <w:t>单包（标段）供应商不足3家的，该包（标段）不得开标。</w:t>
      </w:r>
    </w:p>
    <w:p w14:paraId="1DD93EBF">
      <w:pPr>
        <w:tabs>
          <w:tab w:val="left" w:pos="567"/>
        </w:tabs>
        <w:wordWrap w:val="0"/>
        <w:topLinePunct/>
        <w:adjustRightInd w:val="0"/>
        <w:snapToGrid w:val="0"/>
        <w:spacing w:line="360" w:lineRule="auto"/>
        <w:rPr>
          <w:rFonts w:ascii="宋体" w:hAnsi="宋体" w:cs="宋体"/>
          <w:bCs/>
          <w:kern w:val="0"/>
          <w:sz w:val="24"/>
        </w:rPr>
      </w:pPr>
      <w:r>
        <w:rPr>
          <w:rFonts w:hint="eastAsia" w:ascii="宋体" w:hAnsi="宋体" w:cs="宋体"/>
          <w:kern w:val="0"/>
          <w:sz w:val="24"/>
        </w:rPr>
        <w:t>17.5</w:t>
      </w:r>
      <w:r>
        <w:rPr>
          <w:rFonts w:hint="eastAsia" w:ascii="宋体" w:hAnsi="宋体" w:cs="宋体"/>
          <w:bCs/>
          <w:kern w:val="0"/>
          <w:sz w:val="24"/>
        </w:rPr>
        <w:t>开标时，由主持人依据政府采购开标系统中的开标记录表进行唱标。宣布供应商名称、投标价格</w:t>
      </w:r>
      <w:r>
        <w:rPr>
          <w:rFonts w:hint="eastAsia" w:ascii="宋体" w:hAnsi="宋体" w:cs="宋体"/>
          <w:kern w:val="0"/>
          <w:sz w:val="24"/>
        </w:rPr>
        <w:t>、补充、修改和撤回投标的通知以及</w:t>
      </w:r>
      <w:r>
        <w:rPr>
          <w:rFonts w:hint="eastAsia" w:ascii="宋体" w:hAnsi="宋体" w:cs="宋体"/>
          <w:kern w:val="0"/>
          <w:sz w:val="24"/>
          <w:lang w:eastAsia="zh-CN"/>
        </w:rPr>
        <w:t>采购代理机构</w:t>
      </w:r>
      <w:r>
        <w:rPr>
          <w:rFonts w:hint="eastAsia" w:ascii="宋体" w:hAnsi="宋体" w:cs="宋体"/>
          <w:kern w:val="0"/>
          <w:sz w:val="24"/>
        </w:rPr>
        <w:t>认为适当</w:t>
      </w:r>
      <w:r>
        <w:rPr>
          <w:rFonts w:hint="eastAsia" w:ascii="宋体" w:hAnsi="宋体" w:cs="宋体"/>
          <w:color w:val="000000"/>
          <w:kern w:val="0"/>
          <w:sz w:val="24"/>
        </w:rPr>
        <w:t>的其他内容。供应商若有报价和优惠未被唱出，应在主持人征求澄清说明时及时声明或提请注意，否则</w:t>
      </w:r>
      <w:r>
        <w:rPr>
          <w:rFonts w:hint="eastAsia" w:ascii="宋体" w:hAnsi="宋体" w:cs="宋体"/>
          <w:color w:val="000000"/>
          <w:kern w:val="0"/>
          <w:sz w:val="24"/>
          <w:lang w:eastAsia="zh-CN"/>
        </w:rPr>
        <w:t>采购代理机构</w:t>
      </w:r>
      <w:r>
        <w:rPr>
          <w:rFonts w:hint="eastAsia" w:ascii="宋体" w:hAnsi="宋体" w:cs="宋体"/>
          <w:color w:val="000000"/>
          <w:kern w:val="0"/>
          <w:sz w:val="24"/>
        </w:rPr>
        <w:t>对此不承担任何责任。</w:t>
      </w:r>
    </w:p>
    <w:p w14:paraId="595C4949">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bCs/>
          <w:kern w:val="0"/>
          <w:sz w:val="24"/>
        </w:rPr>
        <w:t>17.6</w:t>
      </w:r>
      <w:r>
        <w:rPr>
          <w:rFonts w:hint="eastAsia" w:ascii="宋体" w:hAnsi="宋体" w:cs="宋体"/>
          <w:color w:val="000000"/>
          <w:kern w:val="0"/>
          <w:sz w:val="24"/>
        </w:rPr>
        <w:t>开标过程应当由</w:t>
      </w:r>
      <w:r>
        <w:rPr>
          <w:rFonts w:hint="eastAsia" w:ascii="宋体" w:hAnsi="宋体" w:cs="宋体"/>
          <w:color w:val="000000"/>
          <w:kern w:val="0"/>
          <w:sz w:val="24"/>
          <w:lang w:eastAsia="zh-CN"/>
        </w:rPr>
        <w:t>采购人</w:t>
      </w:r>
      <w:r>
        <w:rPr>
          <w:rFonts w:hint="eastAsia" w:ascii="宋体" w:hAnsi="宋体" w:cs="宋体"/>
          <w:color w:val="000000"/>
          <w:kern w:val="0"/>
          <w:sz w:val="24"/>
        </w:rPr>
        <w:t>或者</w:t>
      </w:r>
      <w:r>
        <w:rPr>
          <w:rFonts w:hint="eastAsia" w:ascii="宋体" w:hAnsi="宋体" w:cs="宋体"/>
          <w:color w:val="000000"/>
          <w:kern w:val="0"/>
          <w:sz w:val="24"/>
          <w:lang w:eastAsia="zh-CN"/>
        </w:rPr>
        <w:t>采购代理机构</w:t>
      </w:r>
      <w:r>
        <w:rPr>
          <w:rFonts w:hint="eastAsia" w:ascii="宋体" w:hAnsi="宋体" w:cs="宋体"/>
          <w:color w:val="000000"/>
          <w:kern w:val="0"/>
          <w:sz w:val="24"/>
        </w:rPr>
        <w:t>负责记录。</w:t>
      </w:r>
    </w:p>
    <w:p w14:paraId="763A9473">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bCs/>
          <w:kern w:val="0"/>
          <w:sz w:val="24"/>
        </w:rPr>
        <w:t>17.7供应商代表对开标过程和开标记录有疑义，以及认为</w:t>
      </w:r>
      <w:r>
        <w:rPr>
          <w:rFonts w:hint="eastAsia" w:ascii="宋体" w:hAnsi="宋体" w:cs="宋体"/>
          <w:bCs/>
          <w:kern w:val="0"/>
          <w:sz w:val="24"/>
          <w:lang w:eastAsia="zh-CN"/>
        </w:rPr>
        <w:t>采购人</w:t>
      </w:r>
      <w:r>
        <w:rPr>
          <w:rFonts w:hint="eastAsia" w:ascii="宋体" w:hAnsi="宋体" w:cs="宋体"/>
          <w:bCs/>
          <w:kern w:val="0"/>
          <w:sz w:val="24"/>
        </w:rPr>
        <w:t>、</w:t>
      </w:r>
      <w:r>
        <w:rPr>
          <w:rFonts w:hint="eastAsia" w:ascii="宋体" w:hAnsi="宋体" w:cs="宋体"/>
          <w:bCs/>
          <w:kern w:val="0"/>
          <w:sz w:val="24"/>
          <w:lang w:eastAsia="zh-CN"/>
        </w:rPr>
        <w:t>采购代理机构</w:t>
      </w:r>
      <w:r>
        <w:rPr>
          <w:rFonts w:hint="eastAsia" w:ascii="宋体" w:hAnsi="宋体" w:cs="宋体"/>
          <w:bCs/>
          <w:kern w:val="0"/>
          <w:sz w:val="24"/>
        </w:rPr>
        <w:t>相关工作人员有需要回避的情形的，应提出询问或者回避申请。</w:t>
      </w:r>
      <w:r>
        <w:rPr>
          <w:rFonts w:hint="eastAsia" w:ascii="宋体" w:hAnsi="宋体" w:cs="宋体"/>
          <w:bCs/>
          <w:kern w:val="0"/>
          <w:sz w:val="24"/>
          <w:lang w:eastAsia="zh-CN"/>
        </w:rPr>
        <w:t>采购人</w:t>
      </w:r>
      <w:r>
        <w:rPr>
          <w:rFonts w:hint="eastAsia" w:ascii="宋体" w:hAnsi="宋体" w:cs="宋体"/>
          <w:bCs/>
          <w:kern w:val="0"/>
          <w:sz w:val="24"/>
        </w:rPr>
        <w:t>、</w:t>
      </w:r>
      <w:r>
        <w:rPr>
          <w:rFonts w:hint="eastAsia" w:ascii="宋体" w:hAnsi="宋体" w:cs="宋体"/>
          <w:bCs/>
          <w:kern w:val="0"/>
          <w:sz w:val="24"/>
          <w:lang w:eastAsia="zh-CN"/>
        </w:rPr>
        <w:t>采购代理机构</w:t>
      </w:r>
      <w:r>
        <w:rPr>
          <w:rFonts w:hint="eastAsia" w:ascii="宋体" w:hAnsi="宋体" w:cs="宋体"/>
          <w:bCs/>
          <w:kern w:val="0"/>
          <w:sz w:val="24"/>
        </w:rPr>
        <w:t>对供应商代表提出的询问或者回避申请应当及时处理。</w:t>
      </w:r>
    </w:p>
    <w:p w14:paraId="379B8BDD">
      <w:pPr>
        <w:pStyle w:val="3"/>
        <w:keepNext w:val="0"/>
        <w:keepLines w:val="0"/>
        <w:tabs>
          <w:tab w:val="left" w:pos="567"/>
        </w:tabs>
        <w:wordWrap w:val="0"/>
        <w:topLinePunct/>
        <w:adjustRightInd w:val="0"/>
        <w:snapToGrid w:val="0"/>
        <w:spacing w:before="0" w:after="0" w:line="360" w:lineRule="auto"/>
        <w:outlineLvl w:val="0"/>
        <w:rPr>
          <w:rFonts w:cs="宋体"/>
          <w:sz w:val="24"/>
          <w:szCs w:val="24"/>
        </w:rPr>
      </w:pPr>
      <w:bookmarkStart w:id="44" w:name="_Toc175644021"/>
      <w:bookmarkStart w:id="45" w:name="_Toc478"/>
      <w:bookmarkStart w:id="46" w:name="_Toc26155"/>
      <w:r>
        <w:rPr>
          <w:rFonts w:hint="eastAsia" w:cs="宋体"/>
          <w:sz w:val="24"/>
          <w:szCs w:val="24"/>
        </w:rPr>
        <w:t>六、评标程序和要求</w:t>
      </w:r>
      <w:bookmarkEnd w:id="44"/>
      <w:bookmarkEnd w:id="45"/>
      <w:bookmarkEnd w:id="46"/>
    </w:p>
    <w:p w14:paraId="4E8B2AF0">
      <w:pPr>
        <w:tabs>
          <w:tab w:val="left" w:pos="0"/>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18．</w:t>
      </w:r>
      <w:r>
        <w:rPr>
          <w:rFonts w:hint="eastAsia" w:ascii="宋体" w:hAnsi="宋体" w:cs="宋体"/>
          <w:bCs/>
          <w:kern w:val="0"/>
          <w:sz w:val="24"/>
        </w:rPr>
        <w:t>组建</w:t>
      </w:r>
      <w:r>
        <w:rPr>
          <w:rFonts w:hint="eastAsia" w:ascii="宋体" w:hAnsi="宋体" w:cs="宋体"/>
          <w:color w:val="000000"/>
          <w:kern w:val="0"/>
          <w:sz w:val="24"/>
        </w:rPr>
        <w:t>评标委员会</w:t>
      </w:r>
    </w:p>
    <w:p w14:paraId="7BE5488B">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18.1组建评标委员会</w:t>
      </w:r>
    </w:p>
    <w:p w14:paraId="5599C9B5">
      <w:pPr>
        <w:tabs>
          <w:tab w:val="left" w:pos="567"/>
        </w:tabs>
        <w:wordWrap w:val="0"/>
        <w:topLinePunct/>
        <w:adjustRightInd w:val="0"/>
        <w:snapToGrid w:val="0"/>
        <w:spacing w:line="360" w:lineRule="auto"/>
        <w:rPr>
          <w:rFonts w:ascii="宋体" w:hAnsi="宋体" w:cs="宋体"/>
          <w:kern w:val="0"/>
          <w:sz w:val="24"/>
        </w:rPr>
      </w:pPr>
      <w:r>
        <w:rPr>
          <w:rFonts w:hint="eastAsia" w:ascii="宋体" w:hAnsi="宋体" w:cs="宋体"/>
          <w:color w:val="000000"/>
          <w:kern w:val="0"/>
          <w:sz w:val="24"/>
        </w:rPr>
        <w:t>18.1.1</w:t>
      </w:r>
      <w:r>
        <w:rPr>
          <w:rFonts w:hint="eastAsia" w:ascii="宋体" w:hAnsi="宋体" w:cs="宋体"/>
          <w:kern w:val="0"/>
          <w:sz w:val="24"/>
          <w:lang w:eastAsia="zh-CN"/>
        </w:rPr>
        <w:t>采购代理机构</w:t>
      </w:r>
      <w:r>
        <w:rPr>
          <w:rFonts w:hint="eastAsia" w:ascii="宋体" w:hAnsi="宋体" w:cs="宋体"/>
          <w:kern w:val="0"/>
          <w:sz w:val="24"/>
        </w:rPr>
        <w:t>根据有关法律法规和本招标文件的规定，结合本招标项目的特点组建评标委员会，评标委员会由五人及以上单数组成，其中经济、技术类专家不得少于成员总数的三分之二。</w:t>
      </w:r>
    </w:p>
    <w:p w14:paraId="3A1C3954">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kern w:val="0"/>
          <w:sz w:val="24"/>
        </w:rPr>
        <w:t>18.2.2评标委员会对资格性审查合格的供应商</w:t>
      </w:r>
      <w:r>
        <w:rPr>
          <w:rFonts w:hint="eastAsia" w:ascii="宋体" w:hAnsi="宋体" w:cs="宋体"/>
          <w:kern w:val="0"/>
          <w:sz w:val="24"/>
          <w:lang w:val="en-US" w:eastAsia="zh-CN"/>
        </w:rPr>
        <w:t>投标</w:t>
      </w:r>
      <w:r>
        <w:rPr>
          <w:rFonts w:hint="eastAsia" w:ascii="宋体" w:hAnsi="宋体" w:cs="宋体"/>
          <w:kern w:val="0"/>
          <w:sz w:val="24"/>
        </w:rPr>
        <w:t>文件，按照招</w:t>
      </w:r>
      <w:r>
        <w:rPr>
          <w:rFonts w:hint="eastAsia" w:ascii="宋体" w:hAnsi="宋体" w:cs="宋体"/>
          <w:color w:val="000000"/>
          <w:kern w:val="0"/>
          <w:sz w:val="24"/>
        </w:rPr>
        <w:t>标文件中规定的评标标准和评标办法进行</w:t>
      </w:r>
      <w:r>
        <w:rPr>
          <w:rFonts w:hint="eastAsia" w:ascii="宋体" w:hAnsi="宋体" w:cs="宋体"/>
          <w:color w:val="000000"/>
          <w:kern w:val="0"/>
          <w:sz w:val="24"/>
          <w:lang w:val="en-US" w:eastAsia="zh-CN"/>
        </w:rPr>
        <w:t>商务、技术部分的符合性审查</w:t>
      </w:r>
      <w:bookmarkStart w:id="130" w:name="_GoBack"/>
      <w:bookmarkEnd w:id="130"/>
      <w:r>
        <w:rPr>
          <w:rFonts w:hint="eastAsia" w:ascii="宋体" w:hAnsi="宋体" w:cs="宋体"/>
          <w:color w:val="000000"/>
          <w:kern w:val="0"/>
          <w:sz w:val="24"/>
          <w:lang w:val="en-US" w:eastAsia="zh-CN"/>
        </w:rPr>
        <w:t>评标工作</w:t>
      </w:r>
      <w:r>
        <w:rPr>
          <w:rFonts w:hint="eastAsia" w:ascii="宋体" w:hAnsi="宋体" w:cs="宋体"/>
          <w:color w:val="000000"/>
          <w:kern w:val="0"/>
          <w:sz w:val="24"/>
        </w:rPr>
        <w:t>。</w:t>
      </w:r>
    </w:p>
    <w:p w14:paraId="2325586B">
      <w:pPr>
        <w:tabs>
          <w:tab w:val="left" w:pos="567"/>
        </w:tabs>
        <w:wordWrap w:val="0"/>
        <w:topLinePunct/>
        <w:adjustRightInd w:val="0"/>
        <w:snapToGrid w:val="0"/>
        <w:spacing w:line="360" w:lineRule="auto"/>
        <w:rPr>
          <w:rFonts w:ascii="宋体" w:hAnsi="宋体" w:cs="宋体"/>
          <w:kern w:val="0"/>
          <w:sz w:val="24"/>
        </w:rPr>
      </w:pPr>
      <w:r>
        <w:rPr>
          <w:rFonts w:hint="eastAsia" w:ascii="宋体" w:hAnsi="宋体" w:cs="宋体"/>
          <w:kern w:val="0"/>
          <w:sz w:val="24"/>
        </w:rPr>
        <w:t>18.2.3评审专家对本单位的采购项目只能作为</w:t>
      </w:r>
      <w:r>
        <w:rPr>
          <w:rFonts w:hint="eastAsia" w:ascii="宋体" w:hAnsi="宋体" w:cs="宋体"/>
          <w:kern w:val="0"/>
          <w:sz w:val="24"/>
          <w:lang w:eastAsia="zh-CN"/>
        </w:rPr>
        <w:t>采购人</w:t>
      </w:r>
      <w:r>
        <w:rPr>
          <w:rFonts w:hint="eastAsia" w:ascii="宋体" w:hAnsi="宋体" w:cs="宋体"/>
          <w:kern w:val="0"/>
          <w:sz w:val="24"/>
        </w:rPr>
        <w:t>代表参与评标，法律规定的情形除外。</w:t>
      </w:r>
    </w:p>
    <w:p w14:paraId="6E44E4F5">
      <w:pPr>
        <w:tabs>
          <w:tab w:val="left" w:pos="567"/>
        </w:tabs>
        <w:wordWrap w:val="0"/>
        <w:topLinePunct/>
        <w:adjustRightInd w:val="0"/>
        <w:snapToGrid w:val="0"/>
        <w:spacing w:line="360" w:lineRule="auto"/>
        <w:rPr>
          <w:rFonts w:ascii="宋体" w:hAnsi="宋体" w:cs="宋体"/>
          <w:kern w:val="0"/>
          <w:sz w:val="24"/>
        </w:rPr>
      </w:pPr>
      <w:r>
        <w:rPr>
          <w:rFonts w:hint="eastAsia" w:ascii="宋体" w:hAnsi="宋体" w:cs="宋体"/>
          <w:kern w:val="0"/>
          <w:sz w:val="24"/>
        </w:rPr>
        <w:t>18.2.4</w:t>
      </w:r>
      <w:r>
        <w:rPr>
          <w:rFonts w:hint="eastAsia" w:ascii="宋体" w:hAnsi="宋体" w:cs="宋体"/>
          <w:kern w:val="0"/>
          <w:sz w:val="24"/>
          <w:lang w:eastAsia="zh-CN"/>
        </w:rPr>
        <w:t>采购代理机构</w:t>
      </w:r>
      <w:r>
        <w:rPr>
          <w:rFonts w:hint="eastAsia" w:ascii="宋体" w:hAnsi="宋体" w:cs="宋体"/>
          <w:kern w:val="0"/>
          <w:sz w:val="24"/>
        </w:rPr>
        <w:t>工作人员不得参加由本机构代理的政府采购项目的评标。</w:t>
      </w:r>
    </w:p>
    <w:p w14:paraId="1FADE2A7">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18. 2.5评标委员会成员名单在评标结果公告前应当保密。</w:t>
      </w:r>
    </w:p>
    <w:p w14:paraId="3E7920C1">
      <w:pPr>
        <w:tabs>
          <w:tab w:val="left" w:pos="567"/>
        </w:tabs>
        <w:wordWrap w:val="0"/>
        <w:topLinePunct/>
        <w:adjustRightInd w:val="0"/>
        <w:snapToGrid w:val="0"/>
        <w:spacing w:line="360" w:lineRule="auto"/>
        <w:rPr>
          <w:rFonts w:ascii="宋体" w:hAnsi="宋体" w:cs="宋体"/>
          <w:bCs/>
          <w:color w:val="000000"/>
          <w:kern w:val="0"/>
          <w:sz w:val="24"/>
        </w:rPr>
      </w:pPr>
      <w:r>
        <w:rPr>
          <w:rFonts w:hint="eastAsia" w:ascii="宋体" w:hAnsi="宋体" w:cs="宋体"/>
          <w:color w:val="000000"/>
          <w:kern w:val="0"/>
          <w:sz w:val="24"/>
        </w:rPr>
        <w:t>18.2.6评审专家由</w:t>
      </w:r>
      <w:r>
        <w:rPr>
          <w:rFonts w:hint="eastAsia" w:ascii="宋体" w:hAnsi="宋体" w:cs="宋体"/>
          <w:color w:val="000000"/>
          <w:kern w:val="0"/>
          <w:sz w:val="24"/>
          <w:lang w:eastAsia="zh-CN"/>
        </w:rPr>
        <w:t>采购代理机构</w:t>
      </w:r>
      <w:r>
        <w:rPr>
          <w:rFonts w:hint="eastAsia" w:ascii="宋体" w:hAnsi="宋体" w:cs="宋体"/>
          <w:color w:val="000000"/>
          <w:kern w:val="0"/>
          <w:sz w:val="24"/>
        </w:rPr>
        <w:t>从</w:t>
      </w:r>
      <w:r>
        <w:rPr>
          <w:rFonts w:hint="eastAsia" w:ascii="宋体" w:hAnsi="宋体" w:cs="宋体"/>
          <w:kern w:val="0"/>
          <w:sz w:val="24"/>
          <w:u w:val="single"/>
        </w:rPr>
        <w:t>山西省政府采购网</w:t>
      </w:r>
      <w:r>
        <w:rPr>
          <w:rFonts w:hint="eastAsia" w:ascii="宋体" w:hAnsi="宋体" w:cs="宋体"/>
          <w:color w:val="000000"/>
          <w:kern w:val="0"/>
          <w:sz w:val="24"/>
        </w:rPr>
        <w:t>评审专家库中，通过随机方式抽取。对技术复杂、专业性强的采购项目，通过随机方式难以确定合适评审专家的，</w:t>
      </w:r>
      <w:r>
        <w:rPr>
          <w:rFonts w:hint="eastAsia" w:ascii="宋体" w:hAnsi="宋体" w:cs="宋体"/>
          <w:bCs/>
          <w:color w:val="000000"/>
          <w:kern w:val="0"/>
          <w:sz w:val="24"/>
        </w:rPr>
        <w:t>经主管预算单位同意，</w:t>
      </w:r>
      <w:r>
        <w:rPr>
          <w:rFonts w:hint="eastAsia" w:ascii="宋体" w:hAnsi="宋体" w:cs="宋体"/>
          <w:bCs/>
          <w:color w:val="000000"/>
          <w:kern w:val="0"/>
          <w:sz w:val="24"/>
          <w:lang w:eastAsia="zh-CN"/>
        </w:rPr>
        <w:t>采购人</w:t>
      </w:r>
      <w:r>
        <w:rPr>
          <w:rFonts w:hint="eastAsia" w:ascii="宋体" w:hAnsi="宋体" w:cs="宋体"/>
          <w:bCs/>
          <w:color w:val="000000"/>
          <w:kern w:val="0"/>
          <w:sz w:val="24"/>
        </w:rPr>
        <w:t>可以自行选定相应专业领域的评审专家。</w:t>
      </w:r>
    </w:p>
    <w:p w14:paraId="0A858C27">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18.2.7评标中因评标委员会成员缺席、回避或者健康等特殊原因导致评标委员会组成不符合相关法律规定的，</w:t>
      </w:r>
      <w:r>
        <w:rPr>
          <w:rFonts w:hint="eastAsia" w:ascii="宋体" w:hAnsi="宋体" w:cs="宋体"/>
          <w:color w:val="000000"/>
          <w:kern w:val="0"/>
          <w:sz w:val="24"/>
          <w:lang w:eastAsia="zh-CN"/>
        </w:rPr>
        <w:t>采购代理机构</w:t>
      </w:r>
      <w:r>
        <w:rPr>
          <w:rFonts w:hint="eastAsia" w:ascii="宋体" w:hAnsi="宋体" w:cs="宋体"/>
          <w:color w:val="000000"/>
          <w:kern w:val="0"/>
          <w:sz w:val="24"/>
        </w:rPr>
        <w:t>应当依法补足后继续评标。被更换的评标委员会成员所作出的评标意见无效。</w:t>
      </w:r>
    </w:p>
    <w:p w14:paraId="7BC76728">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18.2.8无法及时补足评标委员会成员的，</w:t>
      </w:r>
      <w:r>
        <w:rPr>
          <w:rFonts w:hint="eastAsia" w:ascii="宋体" w:hAnsi="宋体" w:cs="宋体"/>
          <w:color w:val="000000"/>
          <w:kern w:val="0"/>
          <w:sz w:val="24"/>
          <w:lang w:eastAsia="zh-CN"/>
        </w:rPr>
        <w:t>采购代理机构</w:t>
      </w:r>
      <w:r>
        <w:rPr>
          <w:rFonts w:hint="eastAsia" w:ascii="宋体" w:hAnsi="宋体" w:cs="宋体"/>
          <w:color w:val="000000"/>
          <w:kern w:val="0"/>
          <w:sz w:val="24"/>
        </w:rPr>
        <w:t>应当停止评标活动，封存所有投标文件和开标、评标资料，依法重新组建评标委员会进行评标。原评标委员会所作出的评标意见无效。</w:t>
      </w:r>
    </w:p>
    <w:p w14:paraId="7D7B3EE3">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18.2.9</w:t>
      </w:r>
      <w:r>
        <w:rPr>
          <w:rFonts w:hint="eastAsia" w:ascii="宋体" w:hAnsi="宋体" w:cs="宋体"/>
          <w:color w:val="000000"/>
          <w:kern w:val="0"/>
          <w:sz w:val="24"/>
          <w:lang w:eastAsia="zh-CN"/>
        </w:rPr>
        <w:t>采购代理机构</w:t>
      </w:r>
      <w:r>
        <w:rPr>
          <w:rFonts w:hint="eastAsia" w:ascii="宋体" w:hAnsi="宋体" w:cs="宋体"/>
          <w:color w:val="000000"/>
          <w:kern w:val="0"/>
          <w:sz w:val="24"/>
        </w:rPr>
        <w:t>应当将变更、重新组建评标委员会的情况予以记录，并随采购文件一并存档。</w:t>
      </w:r>
    </w:p>
    <w:p w14:paraId="3DD7288F">
      <w:pPr>
        <w:tabs>
          <w:tab w:val="left" w:pos="0"/>
        </w:tabs>
        <w:wordWrap w:val="0"/>
        <w:topLinePunct/>
        <w:adjustRightInd w:val="0"/>
        <w:snapToGrid w:val="0"/>
        <w:spacing w:line="360" w:lineRule="auto"/>
        <w:rPr>
          <w:rFonts w:ascii="宋体" w:hAnsi="宋体" w:cs="宋体"/>
          <w:b/>
          <w:color w:val="000000"/>
          <w:kern w:val="0"/>
          <w:sz w:val="24"/>
        </w:rPr>
      </w:pPr>
      <w:r>
        <w:rPr>
          <w:rFonts w:hint="eastAsia" w:ascii="宋体" w:hAnsi="宋体" w:cs="宋体"/>
          <w:b/>
          <w:color w:val="000000"/>
          <w:kern w:val="0"/>
          <w:sz w:val="24"/>
        </w:rPr>
        <w:t>19．评审</w:t>
      </w:r>
    </w:p>
    <w:p w14:paraId="603E42C5">
      <w:pPr>
        <w:tabs>
          <w:tab w:val="left" w:pos="0"/>
        </w:tabs>
        <w:wordWrap w:val="0"/>
        <w:topLinePunct/>
        <w:adjustRightInd w:val="0"/>
        <w:snapToGrid w:val="0"/>
        <w:spacing w:line="360" w:lineRule="auto"/>
        <w:rPr>
          <w:rFonts w:ascii="宋体" w:hAnsi="宋体" w:cs="宋体"/>
          <w:b/>
          <w:color w:val="000000"/>
          <w:kern w:val="0"/>
          <w:sz w:val="24"/>
        </w:rPr>
      </w:pPr>
      <w:r>
        <w:rPr>
          <w:rFonts w:hint="eastAsia" w:ascii="宋体" w:hAnsi="宋体" w:cs="宋体"/>
          <w:b/>
          <w:color w:val="000000"/>
          <w:kern w:val="0"/>
          <w:sz w:val="24"/>
        </w:rPr>
        <w:t>19.1资格证明文件的审核</w:t>
      </w:r>
    </w:p>
    <w:p w14:paraId="2EC63543">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19.1.1公开招标采购项目开标</w:t>
      </w:r>
      <w:r>
        <w:rPr>
          <w:rFonts w:hint="eastAsia" w:ascii="宋体" w:hAnsi="宋体" w:cs="宋体"/>
          <w:color w:val="000000"/>
          <w:kern w:val="0"/>
          <w:sz w:val="24"/>
          <w:lang w:val="en-US" w:eastAsia="zh-CN"/>
        </w:rPr>
        <w:t>会</w:t>
      </w:r>
      <w:r>
        <w:rPr>
          <w:rFonts w:hint="eastAsia" w:ascii="宋体" w:hAnsi="宋体" w:cs="宋体"/>
          <w:color w:val="000000"/>
          <w:kern w:val="0"/>
          <w:sz w:val="24"/>
        </w:rPr>
        <w:t>结束后，</w:t>
      </w:r>
      <w:r>
        <w:rPr>
          <w:rFonts w:hint="eastAsia" w:ascii="宋体" w:hAnsi="宋体" w:cs="宋体"/>
          <w:color w:val="000000"/>
          <w:kern w:val="0"/>
          <w:sz w:val="24"/>
          <w:lang w:val="en-US" w:eastAsia="zh-CN"/>
        </w:rPr>
        <w:t>采购人或</w:t>
      </w:r>
      <w:r>
        <w:rPr>
          <w:rFonts w:hint="eastAsia" w:ascii="宋体" w:hAnsi="宋体" w:cs="宋体"/>
          <w:color w:val="000000"/>
          <w:kern w:val="0"/>
          <w:sz w:val="24"/>
          <w:lang w:eastAsia="zh-CN"/>
        </w:rPr>
        <w:t>采购代理机构</w:t>
      </w:r>
      <w:r>
        <w:rPr>
          <w:rFonts w:hint="eastAsia" w:ascii="宋体" w:hAnsi="宋体" w:cs="宋体"/>
          <w:color w:val="000000"/>
          <w:kern w:val="0"/>
          <w:sz w:val="24"/>
        </w:rPr>
        <w:t>依法按照招标文件中规定的评审办法对供应商的资格证明文件进行审查，以确定各供应商是否是符合招标文件要求的合格供应商。合格供应商不足3家的，不得进行商务技术评标。</w:t>
      </w:r>
    </w:p>
    <w:p w14:paraId="4E48F241">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19.1.2</w:t>
      </w:r>
      <w:r>
        <w:rPr>
          <w:rFonts w:hint="eastAsia" w:ascii="宋体" w:hAnsi="宋体" w:cs="宋体"/>
          <w:color w:val="000000"/>
          <w:kern w:val="0"/>
          <w:sz w:val="24"/>
          <w:lang w:val="en-US" w:eastAsia="zh-CN"/>
        </w:rPr>
        <w:t>采购人或</w:t>
      </w:r>
      <w:r>
        <w:rPr>
          <w:rFonts w:hint="eastAsia" w:ascii="宋体" w:hAnsi="宋体" w:cs="宋体"/>
          <w:color w:val="000000"/>
          <w:kern w:val="0"/>
          <w:sz w:val="24"/>
          <w:lang w:eastAsia="zh-CN"/>
        </w:rPr>
        <w:t>采购代理机构</w:t>
      </w:r>
      <w:r>
        <w:rPr>
          <w:rFonts w:hint="eastAsia" w:ascii="宋体" w:hAnsi="宋体" w:cs="宋体"/>
          <w:color w:val="000000"/>
          <w:kern w:val="0"/>
          <w:sz w:val="24"/>
        </w:rPr>
        <w:t>对投标文件的</w:t>
      </w:r>
      <w:r>
        <w:rPr>
          <w:rFonts w:hint="eastAsia" w:ascii="宋体" w:hAnsi="宋体" w:cs="宋体"/>
          <w:color w:val="000000"/>
          <w:kern w:val="0"/>
          <w:sz w:val="24"/>
          <w:lang w:val="en-US" w:eastAsia="zh-CN"/>
        </w:rPr>
        <w:t>资格性</w:t>
      </w:r>
      <w:r>
        <w:rPr>
          <w:rFonts w:hint="eastAsia" w:ascii="宋体" w:hAnsi="宋体" w:cs="宋体"/>
          <w:color w:val="000000"/>
          <w:kern w:val="0"/>
          <w:sz w:val="24"/>
        </w:rPr>
        <w:t>判定，只依据供应商的资格性证明文件内容本身（需要进行网上查询核实的证明材料除外）。</w:t>
      </w:r>
    </w:p>
    <w:p w14:paraId="31CF932C">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19.1.</w:t>
      </w:r>
      <w:r>
        <w:rPr>
          <w:rFonts w:hint="eastAsia" w:ascii="宋体" w:hAnsi="宋体" w:cs="宋体"/>
          <w:color w:val="000000"/>
          <w:kern w:val="0"/>
          <w:sz w:val="24"/>
          <w:lang w:val="en-US" w:eastAsia="zh-CN"/>
        </w:rPr>
        <w:t>3</w:t>
      </w:r>
      <w:r>
        <w:rPr>
          <w:rFonts w:hint="eastAsia" w:ascii="宋体" w:hAnsi="宋体" w:cs="宋体"/>
          <w:color w:val="000000"/>
          <w:kern w:val="0"/>
          <w:sz w:val="24"/>
        </w:rPr>
        <w:t>为保证投标的公开、公正、公平，供应商资格证明文件若有缺失或不符，开标后不允许补正或修正，且投标无效。</w:t>
      </w:r>
    </w:p>
    <w:p w14:paraId="6362A624">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19.1.5</w:t>
      </w:r>
      <w:r>
        <w:rPr>
          <w:rFonts w:hint="eastAsia" w:ascii="宋体" w:hAnsi="宋体" w:cs="宋体"/>
          <w:color w:val="000000"/>
          <w:kern w:val="0"/>
          <w:sz w:val="24"/>
          <w:lang w:val="en-US" w:eastAsia="zh-CN"/>
        </w:rPr>
        <w:t>采购人或</w:t>
      </w:r>
      <w:r>
        <w:rPr>
          <w:rFonts w:hint="eastAsia" w:ascii="宋体" w:hAnsi="宋体" w:cs="宋体"/>
          <w:color w:val="000000"/>
          <w:kern w:val="0"/>
          <w:sz w:val="24"/>
          <w:lang w:eastAsia="zh-CN"/>
        </w:rPr>
        <w:t>采购代理机构</w:t>
      </w:r>
      <w:r>
        <w:rPr>
          <w:rFonts w:hint="eastAsia" w:ascii="宋体" w:hAnsi="宋体" w:cs="宋体"/>
          <w:color w:val="000000"/>
          <w:kern w:val="0"/>
          <w:sz w:val="24"/>
        </w:rPr>
        <w:t>对模糊不清的或存在疑问的资格性证明文件，在不影响投标是否有效的前提下，须经供应商进行澄清或说明。</w:t>
      </w:r>
    </w:p>
    <w:p w14:paraId="01E335C8">
      <w:pPr>
        <w:tabs>
          <w:tab w:val="left" w:pos="567"/>
        </w:tabs>
        <w:wordWrap w:val="0"/>
        <w:topLinePunct/>
        <w:adjustRightInd w:val="0"/>
        <w:snapToGrid w:val="0"/>
        <w:spacing w:line="360" w:lineRule="auto"/>
        <w:rPr>
          <w:rFonts w:ascii="宋体" w:hAnsi="宋体" w:cs="宋体"/>
          <w:b/>
          <w:color w:val="000000"/>
          <w:kern w:val="0"/>
          <w:sz w:val="24"/>
        </w:rPr>
      </w:pPr>
      <w:r>
        <w:rPr>
          <w:rFonts w:hint="eastAsia" w:ascii="宋体" w:hAnsi="宋体" w:cs="宋体"/>
          <w:b/>
          <w:color w:val="000000"/>
          <w:kern w:val="0"/>
          <w:sz w:val="24"/>
        </w:rPr>
        <w:t>19. 2 商务技术文件符合性审查</w:t>
      </w:r>
    </w:p>
    <w:p w14:paraId="60280A2B">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19.2.1评标委员会审查、评价供应商商务技术文件是否符合招标文件的商务技术文件等实质性要求。</w:t>
      </w:r>
    </w:p>
    <w:p w14:paraId="54525899">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19.2.1.1评标委员会发现招标文件存在歧义、重大缺陷导致评标工作无法进行，或者招标文件内容违反国家有关强制性规定的，应当停止评标工作，与</w:t>
      </w:r>
      <w:r>
        <w:rPr>
          <w:rFonts w:hint="eastAsia" w:ascii="宋体" w:hAnsi="宋体" w:cs="宋体"/>
          <w:color w:val="000000"/>
          <w:kern w:val="0"/>
          <w:sz w:val="24"/>
          <w:lang w:eastAsia="zh-CN"/>
        </w:rPr>
        <w:t>采购人</w:t>
      </w:r>
      <w:r>
        <w:rPr>
          <w:rFonts w:hint="eastAsia" w:ascii="宋体" w:hAnsi="宋体" w:cs="宋体"/>
          <w:color w:val="000000"/>
          <w:kern w:val="0"/>
          <w:sz w:val="24"/>
        </w:rPr>
        <w:t>或者</w:t>
      </w:r>
      <w:r>
        <w:rPr>
          <w:rFonts w:hint="eastAsia" w:ascii="宋体" w:hAnsi="宋体" w:cs="宋体"/>
          <w:color w:val="000000"/>
          <w:kern w:val="0"/>
          <w:sz w:val="24"/>
          <w:lang w:eastAsia="zh-CN"/>
        </w:rPr>
        <w:t>采购代理机构</w:t>
      </w:r>
      <w:r>
        <w:rPr>
          <w:rFonts w:hint="eastAsia" w:ascii="宋体" w:hAnsi="宋体" w:cs="宋体"/>
          <w:color w:val="000000"/>
          <w:kern w:val="0"/>
          <w:sz w:val="24"/>
        </w:rPr>
        <w:t>沟通并作书面记录。</w:t>
      </w:r>
      <w:r>
        <w:rPr>
          <w:rFonts w:hint="eastAsia" w:ascii="宋体" w:hAnsi="宋体" w:cs="宋体"/>
          <w:color w:val="000000"/>
          <w:kern w:val="0"/>
          <w:sz w:val="24"/>
          <w:lang w:eastAsia="zh-CN"/>
        </w:rPr>
        <w:t>采购代理机构</w:t>
      </w:r>
      <w:r>
        <w:rPr>
          <w:rFonts w:hint="eastAsia" w:ascii="宋体" w:hAnsi="宋体" w:cs="宋体"/>
          <w:color w:val="000000"/>
          <w:kern w:val="0"/>
          <w:sz w:val="24"/>
        </w:rPr>
        <w:t>确认后，应当修改招标文件，重新组织采购活动。</w:t>
      </w:r>
    </w:p>
    <w:p w14:paraId="462CE5BB">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19.2.1.2评标委员会应当对3家及以上资格性审查合格的供应商的商务技术文件进行符合性审查，以确定其是否满足招标文件的实质性要求。</w:t>
      </w:r>
    </w:p>
    <w:p w14:paraId="4E3AADE5">
      <w:pPr>
        <w:tabs>
          <w:tab w:val="left" w:pos="567"/>
        </w:tabs>
        <w:wordWrap w:val="0"/>
        <w:topLinePunct/>
        <w:adjustRightInd w:val="0"/>
        <w:snapToGrid w:val="0"/>
        <w:spacing w:line="360" w:lineRule="auto"/>
        <w:rPr>
          <w:rFonts w:ascii="宋体" w:hAnsi="宋体" w:cs="宋体"/>
          <w:b/>
          <w:color w:val="000000"/>
          <w:kern w:val="0"/>
          <w:sz w:val="24"/>
        </w:rPr>
      </w:pPr>
      <w:r>
        <w:rPr>
          <w:rFonts w:hint="eastAsia" w:ascii="宋体" w:hAnsi="宋体" w:cs="宋体"/>
          <w:color w:val="000000"/>
          <w:kern w:val="0"/>
          <w:sz w:val="24"/>
        </w:rPr>
        <w:t>19.2.1.3</w:t>
      </w:r>
      <w:r>
        <w:rPr>
          <w:rFonts w:hint="eastAsia" w:ascii="宋体" w:hAnsi="宋体" w:cs="宋体"/>
          <w:kern w:val="0"/>
          <w:sz w:val="24"/>
        </w:rPr>
        <w:t>满足招标文件实质性要求的商务技术文件是指供应商的商务技术文件中的签署、商务与技术响应是否与招标文件的要求相符，并经评标委员会认定没有重大偏离或保留的商务技术文件。</w:t>
      </w:r>
    </w:p>
    <w:p w14:paraId="5827D8ED">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19.2.1.4重大偏离系指商务技术文件中的签署、盖章及投标服务名称、数量和供货期、付款方式、</w:t>
      </w:r>
      <w:r>
        <w:rPr>
          <w:rFonts w:hint="eastAsia" w:ascii="宋体" w:hAnsi="宋体" w:cs="宋体"/>
          <w:kern w:val="0"/>
          <w:sz w:val="24"/>
        </w:rPr>
        <w:t>履约保证金、服务需求</w:t>
      </w:r>
      <w:r>
        <w:rPr>
          <w:rFonts w:hint="eastAsia" w:ascii="宋体" w:hAnsi="宋体" w:cs="宋体"/>
          <w:color w:val="000000"/>
          <w:kern w:val="0"/>
          <w:sz w:val="24"/>
        </w:rPr>
        <w:t>等与招标文件要求不一致或不能满足招标文件要求，而且限制了</w:t>
      </w:r>
      <w:r>
        <w:rPr>
          <w:rFonts w:hint="eastAsia" w:ascii="宋体" w:hAnsi="宋体" w:cs="宋体"/>
          <w:color w:val="000000"/>
          <w:kern w:val="0"/>
          <w:sz w:val="24"/>
          <w:lang w:eastAsia="zh-CN"/>
        </w:rPr>
        <w:t>采购人</w:t>
      </w:r>
      <w:r>
        <w:rPr>
          <w:rFonts w:hint="eastAsia" w:ascii="宋体" w:hAnsi="宋体" w:cs="宋体"/>
          <w:color w:val="000000"/>
          <w:kern w:val="0"/>
          <w:sz w:val="24"/>
        </w:rPr>
        <w:t>的权利或供应商的义务，纠正这些偏离将对其他实质上响应招标要求的供应商的竞争地位产生不公正的影响。包括但不限于：</w:t>
      </w:r>
    </w:p>
    <w:p w14:paraId="2605977D">
      <w:pPr>
        <w:tabs>
          <w:tab w:val="left" w:pos="737"/>
          <w:tab w:val="left" w:pos="1200"/>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A．本文件对商务、技术要求未实质上响应；</w:t>
      </w:r>
    </w:p>
    <w:p w14:paraId="2CDA4FF8">
      <w:pPr>
        <w:tabs>
          <w:tab w:val="left" w:pos="737"/>
          <w:tab w:val="left" w:pos="1200"/>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B．未按招标文件的规定签署、盖章的；</w:t>
      </w:r>
    </w:p>
    <w:p w14:paraId="16253989">
      <w:pPr>
        <w:tabs>
          <w:tab w:val="left" w:pos="737"/>
          <w:tab w:val="left" w:pos="1200"/>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C．未按照招标文件规定报价的；报价超过招标文件中规定的预算金额或者最高限价的；</w:t>
      </w:r>
    </w:p>
    <w:p w14:paraId="582774BC">
      <w:pPr>
        <w:tabs>
          <w:tab w:val="left" w:pos="737"/>
          <w:tab w:val="left" w:pos="1200"/>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D．“开标一览表”中投标名称、数量等与招标文件要求不符的；投标供货期等不满足招标文件中的相关要求或超出</w:t>
      </w:r>
      <w:r>
        <w:rPr>
          <w:rFonts w:hint="eastAsia" w:ascii="宋体" w:hAnsi="宋体" w:cs="宋体"/>
          <w:color w:val="000000"/>
          <w:kern w:val="0"/>
          <w:sz w:val="24"/>
          <w:lang w:eastAsia="zh-CN"/>
        </w:rPr>
        <w:t>采购人</w:t>
      </w:r>
      <w:r>
        <w:rPr>
          <w:rFonts w:hint="eastAsia" w:ascii="宋体" w:hAnsi="宋体" w:cs="宋体"/>
          <w:color w:val="000000"/>
          <w:kern w:val="0"/>
          <w:sz w:val="24"/>
        </w:rPr>
        <w:t>可接受的偏差范围的；</w:t>
      </w:r>
    </w:p>
    <w:p w14:paraId="49C0E69B">
      <w:pPr>
        <w:tabs>
          <w:tab w:val="left" w:pos="737"/>
          <w:tab w:val="left" w:pos="1200"/>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投标内容、质量、供货期、其他承诺等不满足招标文件中的相关要求和规定的或超出</w:t>
      </w:r>
      <w:r>
        <w:rPr>
          <w:rFonts w:hint="eastAsia" w:ascii="宋体" w:hAnsi="宋体" w:cs="宋体"/>
          <w:color w:val="000000"/>
          <w:kern w:val="0"/>
          <w:sz w:val="24"/>
          <w:lang w:eastAsia="zh-CN"/>
        </w:rPr>
        <w:t>采购人</w:t>
      </w:r>
      <w:r>
        <w:rPr>
          <w:rFonts w:hint="eastAsia" w:ascii="宋体" w:hAnsi="宋体" w:cs="宋体"/>
          <w:color w:val="000000"/>
          <w:kern w:val="0"/>
          <w:sz w:val="24"/>
        </w:rPr>
        <w:t>可接受的偏差范围的；</w:t>
      </w:r>
    </w:p>
    <w:p w14:paraId="69C94402">
      <w:pPr>
        <w:tabs>
          <w:tab w:val="left" w:pos="737"/>
          <w:tab w:val="left" w:pos="1200"/>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E．不符合招标文件中有关分包、转包规定的；</w:t>
      </w:r>
    </w:p>
    <w:p w14:paraId="0744F7B8">
      <w:pPr>
        <w:tabs>
          <w:tab w:val="left" w:pos="737"/>
          <w:tab w:val="left" w:pos="1200"/>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F．投标文件含有</w:t>
      </w:r>
      <w:r>
        <w:rPr>
          <w:rFonts w:hint="eastAsia" w:ascii="宋体" w:hAnsi="宋体" w:cs="宋体"/>
          <w:color w:val="000000"/>
          <w:kern w:val="0"/>
          <w:sz w:val="24"/>
          <w:lang w:eastAsia="zh-CN"/>
        </w:rPr>
        <w:t>采购人</w:t>
      </w:r>
      <w:r>
        <w:rPr>
          <w:rFonts w:hint="eastAsia" w:ascii="宋体" w:hAnsi="宋体" w:cs="宋体"/>
          <w:color w:val="000000"/>
          <w:kern w:val="0"/>
          <w:sz w:val="24"/>
        </w:rPr>
        <w:t>不能接受的附加条件的；</w:t>
      </w:r>
    </w:p>
    <w:p w14:paraId="32A2D0D8">
      <w:pPr>
        <w:tabs>
          <w:tab w:val="left" w:pos="737"/>
          <w:tab w:val="left" w:pos="1200"/>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G．不符合招标文件中规定的其他实质性要求。</w:t>
      </w:r>
    </w:p>
    <w:p w14:paraId="76D6B577">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19.2.1.5重大偏离不允许在开标后修正。</w:t>
      </w:r>
    </w:p>
    <w:p w14:paraId="493ED5F9">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19.2.1.6如果供应商的商务技术文件没有实质上响应招标文件的要求，</w:t>
      </w:r>
      <w:r>
        <w:rPr>
          <w:rFonts w:hint="eastAsia" w:ascii="宋体" w:hAnsi="宋体" w:cs="宋体"/>
          <w:bCs/>
          <w:color w:val="000000"/>
          <w:kern w:val="0"/>
          <w:sz w:val="24"/>
        </w:rPr>
        <w:t>评标委员会将作无效投标处理，</w:t>
      </w:r>
      <w:r>
        <w:rPr>
          <w:rFonts w:hint="eastAsia" w:ascii="宋体" w:hAnsi="宋体" w:cs="宋体"/>
          <w:color w:val="000000"/>
          <w:kern w:val="0"/>
          <w:sz w:val="24"/>
        </w:rPr>
        <w:t>供应商不得再对其进行任何修正从而使其投标成为实质上响应的投标。</w:t>
      </w:r>
    </w:p>
    <w:p w14:paraId="2720A56D">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19.2.1.7细微偏差是指在实质上响应招标文件要求，但在个别地方存在漏项或者提供了不完整的技术信息和数据等情况，并且补正这些遗漏或者不完整不会对其他供应商造成不公平的结果。细微偏差不影响供应商商务技术文件的有效性。</w:t>
      </w:r>
    </w:p>
    <w:p w14:paraId="128111A9">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19.2.1.8投标报价出现前后不一致的，按照下列规定修正：</w:t>
      </w:r>
    </w:p>
    <w:p w14:paraId="770D239F">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（1）开标一览表内容与供应商商务技术文件中相应内容不一致的，以开标一览表为准；</w:t>
      </w:r>
    </w:p>
    <w:p w14:paraId="01B96B8D">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（2）大写金额和小写金额不一致的，以大写金额为准；</w:t>
      </w:r>
    </w:p>
    <w:p w14:paraId="12DDBCE6">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（3）单价金额小数点或者百分比有明显错位的，以开标一览表的总价为准，并修改单价；</w:t>
      </w:r>
    </w:p>
    <w:p w14:paraId="5ED09F30">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（4）总价金额与按单价汇总金额不一致的，以单价金额计算结果为准。</w:t>
      </w:r>
    </w:p>
    <w:p w14:paraId="5569B145">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同时出现两种以上不一致的，按照前款规定的顺序修正。修正后的报价经供应商确认后产生约束力，供应商不确认的，其投标无效。</w:t>
      </w:r>
    </w:p>
    <w:p w14:paraId="244B0314">
      <w:pPr>
        <w:tabs>
          <w:tab w:val="left" w:pos="567"/>
        </w:tabs>
        <w:wordWrap w:val="0"/>
        <w:topLinePunct/>
        <w:adjustRightInd w:val="0"/>
        <w:snapToGrid w:val="0"/>
        <w:spacing w:line="360" w:lineRule="auto"/>
        <w:rPr>
          <w:rFonts w:ascii="宋体" w:hAnsi="宋体" w:cs="宋体"/>
          <w:kern w:val="0"/>
          <w:sz w:val="24"/>
        </w:rPr>
      </w:pPr>
      <w:r>
        <w:rPr>
          <w:rFonts w:hint="eastAsia" w:ascii="宋体" w:hAnsi="宋体" w:cs="宋体"/>
          <w:kern w:val="0"/>
          <w:sz w:val="24"/>
        </w:rPr>
        <w:t>19.2.1.9采用最低评标价法评标时，除了算术修正和落实政府采购政策需进行的价格扣除外，不能对供应商的投标价格进行任何调整。</w:t>
      </w:r>
    </w:p>
    <w:p w14:paraId="31066C89">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19.2.2要求供应商对商务技术文件有关事项作出澄清或者说明。</w:t>
      </w:r>
    </w:p>
    <w:p w14:paraId="43725140">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19.2.2.1对于供应商商务技术文件中含义不明确、同类问题表述不一致或者有明显文字和计算错误的内容，评标委员会应当要求供应商作出必要的澄清、说明或者补正。</w:t>
      </w:r>
    </w:p>
    <w:p w14:paraId="6C7A9484">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19.2.2.2供应商的澄清、说明或者补正应当采用电子形式，并加盖公章，或者由法定代表人或其授权的代表签字。供应商的澄清、说明或者补正不得超出其的投标范围或者改变其商务技术文件的实质性内容。</w:t>
      </w:r>
    </w:p>
    <w:p w14:paraId="7C55FBB4">
      <w:pPr>
        <w:wordWrap w:val="0"/>
        <w:topLinePunct/>
        <w:adjustRightInd w:val="0"/>
        <w:snapToGrid w:val="0"/>
        <w:spacing w:line="360" w:lineRule="auto"/>
        <w:rPr>
          <w:rFonts w:ascii="宋体" w:hAnsi="宋体" w:cs="宋体"/>
          <w:kern w:val="0"/>
          <w:sz w:val="24"/>
        </w:rPr>
      </w:pPr>
      <w:r>
        <w:rPr>
          <w:rFonts w:hint="eastAsia" w:ascii="宋体" w:hAnsi="宋体" w:cs="宋体"/>
          <w:kern w:val="0"/>
          <w:sz w:val="24"/>
        </w:rPr>
        <w:t>19.2.2.3评标委员会将允许供应商澄清、</w:t>
      </w:r>
      <w:r>
        <w:rPr>
          <w:rFonts w:hint="eastAsia" w:ascii="宋体" w:hAnsi="宋体" w:cs="宋体"/>
          <w:color w:val="000000"/>
          <w:kern w:val="0"/>
          <w:sz w:val="24"/>
        </w:rPr>
        <w:t>说明或者补正</w:t>
      </w:r>
      <w:r>
        <w:rPr>
          <w:rFonts w:hint="eastAsia" w:ascii="宋体" w:hAnsi="宋体" w:cs="宋体"/>
          <w:kern w:val="0"/>
          <w:sz w:val="24"/>
        </w:rPr>
        <w:t>商务技术文件中不构成重大偏离、微小的、非正规、不一致或不规则的地方，但这些修改不能影响其他供应商的名次排列。</w:t>
      </w:r>
    </w:p>
    <w:p w14:paraId="349A4E67">
      <w:pPr>
        <w:tabs>
          <w:tab w:val="left" w:pos="567"/>
        </w:tabs>
        <w:wordWrap w:val="0"/>
        <w:topLinePunct/>
        <w:adjustRightInd w:val="0"/>
        <w:snapToGrid w:val="0"/>
        <w:spacing w:line="360" w:lineRule="auto"/>
        <w:rPr>
          <w:rFonts w:ascii="宋体" w:hAnsi="宋体" w:cs="宋体"/>
          <w:kern w:val="0"/>
          <w:sz w:val="24"/>
        </w:rPr>
      </w:pPr>
      <w:r>
        <w:rPr>
          <w:rFonts w:hint="eastAsia" w:ascii="宋体" w:hAnsi="宋体" w:cs="宋体"/>
          <w:color w:val="000000"/>
          <w:kern w:val="0"/>
          <w:sz w:val="24"/>
        </w:rPr>
        <w:t>19.2.2.4</w:t>
      </w:r>
      <w:r>
        <w:rPr>
          <w:rFonts w:hint="eastAsia" w:ascii="宋体" w:hAnsi="宋体" w:cs="宋体"/>
          <w:kern w:val="0"/>
          <w:sz w:val="24"/>
        </w:rPr>
        <w:t>评标委员会认为供应商的报价明显低于其他通过符合性审查供应商的报价，有可能影响服务质量或者不能诚信履约的，应当要求其在评标现场合理的时间内提供说明，必要时提交相关证明材料；供应商不能证明其报价合理性的，评标委员会应当将其作为无效投标处理。</w:t>
      </w:r>
    </w:p>
    <w:p w14:paraId="29417E65">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19.2.3对供应商的商务技术文件进行比较和评价</w:t>
      </w:r>
    </w:p>
    <w:p w14:paraId="24348F9B">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19.2.3.1评标委员会对投标文件的比较和评判，只依据供应商的商务技术文件内容本身，不依据任何外来证明。</w:t>
      </w:r>
    </w:p>
    <w:p w14:paraId="20113BCE">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19.2.3.2评标委员会应当按照招标文件中规定的评标标准和评标方法，对3家及以上符合性审查合格供应商的投标文件进行商务和技术评估，综合比较与</w:t>
      </w:r>
      <w:r>
        <w:rPr>
          <w:rFonts w:hint="eastAsia" w:ascii="宋体" w:hAnsi="宋体" w:cs="宋体"/>
          <w:color w:val="000000"/>
          <w:kern w:val="0"/>
          <w:sz w:val="24"/>
          <w:lang w:val="en-US" w:eastAsia="zh-CN"/>
        </w:rPr>
        <w:t>评审</w:t>
      </w:r>
      <w:r>
        <w:rPr>
          <w:rFonts w:hint="eastAsia" w:ascii="宋体" w:hAnsi="宋体" w:cs="宋体"/>
          <w:color w:val="000000"/>
          <w:kern w:val="0"/>
          <w:sz w:val="24"/>
        </w:rPr>
        <w:t>。</w:t>
      </w:r>
    </w:p>
    <w:p w14:paraId="20C1A20E">
      <w:pPr>
        <w:tabs>
          <w:tab w:val="left" w:pos="0"/>
        </w:tabs>
        <w:wordWrap w:val="0"/>
        <w:topLinePunct/>
        <w:adjustRightInd w:val="0"/>
        <w:snapToGrid w:val="0"/>
        <w:spacing w:line="360" w:lineRule="auto"/>
        <w:rPr>
          <w:rFonts w:ascii="宋体" w:hAnsi="宋体" w:cs="宋体"/>
          <w:b/>
          <w:color w:val="000000"/>
          <w:kern w:val="0"/>
          <w:sz w:val="24"/>
        </w:rPr>
      </w:pPr>
      <w:r>
        <w:rPr>
          <w:rFonts w:hint="eastAsia" w:ascii="宋体" w:hAnsi="宋体" w:cs="宋体"/>
          <w:b/>
          <w:color w:val="000000"/>
          <w:kern w:val="0"/>
          <w:sz w:val="24"/>
        </w:rPr>
        <w:t>20. 评审复核</w:t>
      </w:r>
    </w:p>
    <w:p w14:paraId="508413E7">
      <w:pPr>
        <w:tabs>
          <w:tab w:val="left" w:pos="0"/>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评标结果汇总完成后，除下列情形外，任何人不得修改评标结果：</w:t>
      </w:r>
    </w:p>
    <w:p w14:paraId="10E77DB2">
      <w:pPr>
        <w:tabs>
          <w:tab w:val="left" w:pos="0"/>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（一）分值汇总计算错误的；</w:t>
      </w:r>
    </w:p>
    <w:p w14:paraId="152F2FEE">
      <w:pPr>
        <w:tabs>
          <w:tab w:val="left" w:pos="0"/>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（二）分项评分超出评分标准范围的；</w:t>
      </w:r>
    </w:p>
    <w:p w14:paraId="0CA0139A">
      <w:pPr>
        <w:tabs>
          <w:tab w:val="left" w:pos="0"/>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（三）评标委员会成员对客观评审因素评分不一致的；</w:t>
      </w:r>
    </w:p>
    <w:p w14:paraId="0307954C">
      <w:pPr>
        <w:tabs>
          <w:tab w:val="left" w:pos="0"/>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（四）经评标委员会认定评分畸高、畸低的。</w:t>
      </w:r>
    </w:p>
    <w:p w14:paraId="3CE6DD22">
      <w:pPr>
        <w:tabs>
          <w:tab w:val="left" w:pos="0"/>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评标报告签署前，经复核发现存在以上情形之一的，评标委员会应当当场修改评标结果，并在评标报告中记载；评标报告签署后，</w:t>
      </w:r>
      <w:r>
        <w:rPr>
          <w:rFonts w:hint="eastAsia" w:ascii="宋体" w:hAnsi="宋体" w:cs="宋体"/>
          <w:color w:val="000000"/>
          <w:kern w:val="0"/>
          <w:sz w:val="24"/>
          <w:lang w:eastAsia="zh-CN"/>
        </w:rPr>
        <w:t>采购代理机构</w:t>
      </w:r>
      <w:r>
        <w:rPr>
          <w:rFonts w:hint="eastAsia" w:ascii="宋体" w:hAnsi="宋体" w:cs="宋体"/>
          <w:color w:val="000000"/>
          <w:kern w:val="0"/>
          <w:sz w:val="24"/>
        </w:rPr>
        <w:t>发现存在以上情形之一的，应当组织原评标委员会进行重新评审，重新评审改变评标结果的，书面报告本级财政部门。</w:t>
      </w:r>
    </w:p>
    <w:p w14:paraId="2D33962F">
      <w:pPr>
        <w:tabs>
          <w:tab w:val="left" w:pos="0"/>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供应商对本条第一款情形提出质疑的，</w:t>
      </w:r>
      <w:r>
        <w:rPr>
          <w:rFonts w:hint="eastAsia" w:ascii="宋体" w:hAnsi="宋体" w:cs="宋体"/>
          <w:color w:val="000000"/>
          <w:kern w:val="0"/>
          <w:sz w:val="24"/>
          <w:lang w:eastAsia="zh-CN"/>
        </w:rPr>
        <w:t>采购代理机构</w:t>
      </w:r>
      <w:r>
        <w:rPr>
          <w:rFonts w:hint="eastAsia" w:ascii="宋体" w:hAnsi="宋体" w:cs="宋体"/>
          <w:color w:val="000000"/>
          <w:kern w:val="0"/>
          <w:sz w:val="24"/>
        </w:rPr>
        <w:t>可以组织原评标委员会进行重新评审，重新评审改变评标结果的，应当书面报告本级财政部门。</w:t>
      </w:r>
    </w:p>
    <w:p w14:paraId="4305ECAA">
      <w:pPr>
        <w:tabs>
          <w:tab w:val="left" w:pos="0"/>
        </w:tabs>
        <w:wordWrap w:val="0"/>
        <w:topLinePunct/>
        <w:adjustRightInd w:val="0"/>
        <w:snapToGrid w:val="0"/>
        <w:spacing w:line="360" w:lineRule="auto"/>
        <w:rPr>
          <w:rFonts w:ascii="宋体" w:hAnsi="宋体" w:cs="宋体"/>
          <w:b/>
          <w:color w:val="000000"/>
          <w:kern w:val="0"/>
          <w:sz w:val="24"/>
        </w:rPr>
      </w:pPr>
      <w:r>
        <w:rPr>
          <w:rFonts w:hint="eastAsia" w:ascii="宋体" w:hAnsi="宋体" w:cs="宋体"/>
          <w:b/>
          <w:color w:val="000000"/>
          <w:kern w:val="0"/>
          <w:sz w:val="24"/>
        </w:rPr>
        <w:t>21. 确定中标人</w:t>
      </w:r>
    </w:p>
    <w:p w14:paraId="0B297DBB">
      <w:pPr>
        <w:tabs>
          <w:tab w:val="left" w:pos="0"/>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21.1确定中标候选人顺序</w:t>
      </w:r>
    </w:p>
    <w:p w14:paraId="293E0347">
      <w:pPr>
        <w:tabs>
          <w:tab w:val="left" w:pos="0"/>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21.1.1采用综合评分法的，采用下列原则</w:t>
      </w:r>
    </w:p>
    <w:p w14:paraId="18B66008">
      <w:pPr>
        <w:tabs>
          <w:tab w:val="left" w:pos="0"/>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21.1.1.1按评审后得分供应商的综合得分由高到低顺序排列。</w:t>
      </w:r>
    </w:p>
    <w:p w14:paraId="49E30BF5">
      <w:pPr>
        <w:tabs>
          <w:tab w:val="left" w:pos="0"/>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21.1.1.2综合得分相同的，按投标报价由低到高顺序排列。</w:t>
      </w:r>
    </w:p>
    <w:p w14:paraId="7F90380E">
      <w:pPr>
        <w:tabs>
          <w:tab w:val="left" w:pos="0"/>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21.1.1.3综合得分且投标报价相同的并列，供应商的商务技术文件满足招标文件全部实质性要求，第一中标候选人按照技术、服务等因素得分较高顺序排列。</w:t>
      </w:r>
    </w:p>
    <w:p w14:paraId="3AA32331">
      <w:pPr>
        <w:tabs>
          <w:tab w:val="left" w:pos="0"/>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21.2确定中标人</w:t>
      </w:r>
    </w:p>
    <w:p w14:paraId="2C32C962">
      <w:pPr>
        <w:tabs>
          <w:tab w:val="left" w:pos="0"/>
        </w:tabs>
        <w:wordWrap w:val="0"/>
        <w:topLinePunct/>
        <w:adjustRightInd w:val="0"/>
        <w:snapToGrid w:val="0"/>
        <w:spacing w:line="360" w:lineRule="auto"/>
        <w:rPr>
          <w:rFonts w:ascii="宋体" w:hAnsi="宋体" w:cs="宋体"/>
          <w:b/>
          <w:color w:val="FF0000"/>
          <w:kern w:val="0"/>
          <w:sz w:val="24"/>
        </w:rPr>
      </w:pPr>
      <w:r>
        <w:rPr>
          <w:rFonts w:hint="eastAsia" w:ascii="宋体" w:hAnsi="宋体" w:cs="宋体"/>
          <w:color w:val="000000"/>
          <w:kern w:val="0"/>
          <w:sz w:val="24"/>
          <w:lang w:eastAsia="zh-CN"/>
        </w:rPr>
        <w:t>采购人</w:t>
      </w:r>
      <w:r>
        <w:rPr>
          <w:rFonts w:hint="eastAsia" w:ascii="宋体" w:hAnsi="宋体" w:cs="宋体"/>
          <w:color w:val="000000"/>
          <w:kern w:val="0"/>
          <w:sz w:val="24"/>
        </w:rPr>
        <w:t>授权评标委员会确定中标人。评标委员会按照21.1原则确定中标人。</w:t>
      </w:r>
    </w:p>
    <w:p w14:paraId="53EBC76A">
      <w:pPr>
        <w:tabs>
          <w:tab w:val="left" w:pos="0"/>
        </w:tabs>
        <w:wordWrap w:val="0"/>
        <w:topLinePunct/>
        <w:adjustRightInd w:val="0"/>
        <w:snapToGrid w:val="0"/>
        <w:spacing w:line="360" w:lineRule="auto"/>
        <w:rPr>
          <w:rFonts w:ascii="宋体" w:hAnsi="宋体" w:cs="宋体"/>
          <w:b/>
          <w:color w:val="000000"/>
          <w:kern w:val="0"/>
          <w:sz w:val="24"/>
        </w:rPr>
      </w:pPr>
      <w:r>
        <w:rPr>
          <w:rFonts w:hint="eastAsia" w:ascii="宋体" w:hAnsi="宋体" w:cs="宋体"/>
          <w:b/>
          <w:color w:val="000000"/>
          <w:kern w:val="0"/>
          <w:sz w:val="24"/>
        </w:rPr>
        <w:t>22. 编写评标报告</w:t>
      </w:r>
    </w:p>
    <w:p w14:paraId="2478CC96">
      <w:pPr>
        <w:tabs>
          <w:tab w:val="left" w:pos="0"/>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22.1评标委员会根据评标记录和评标结果编写评标报告。</w:t>
      </w:r>
    </w:p>
    <w:p w14:paraId="46FC26E0">
      <w:pPr>
        <w:tabs>
          <w:tab w:val="left" w:pos="0"/>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22.2评标委员会成员对需要共同认定的事项存在争议的，应当按照少数服从多数的原则作出结论。持不同意见的评标委员会成员应当在评标报告上签署不同意见及理由，否则视为同意评标报告。</w:t>
      </w:r>
    </w:p>
    <w:p w14:paraId="6CD621FF">
      <w:pPr>
        <w:tabs>
          <w:tab w:val="left" w:pos="0"/>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22.3评标报告由全体评标成员共同签字确认。</w:t>
      </w:r>
    </w:p>
    <w:p w14:paraId="7738464C">
      <w:pPr>
        <w:tabs>
          <w:tab w:val="left" w:pos="0"/>
        </w:tabs>
        <w:wordWrap w:val="0"/>
        <w:topLinePunct/>
        <w:adjustRightInd w:val="0"/>
        <w:snapToGrid w:val="0"/>
        <w:spacing w:line="360" w:lineRule="auto"/>
        <w:rPr>
          <w:rFonts w:ascii="宋体" w:hAnsi="宋体" w:cs="宋体"/>
          <w:b/>
          <w:color w:val="000000"/>
          <w:kern w:val="0"/>
          <w:sz w:val="24"/>
        </w:rPr>
      </w:pPr>
      <w:r>
        <w:rPr>
          <w:rFonts w:hint="eastAsia" w:ascii="宋体" w:hAnsi="宋体" w:cs="宋体"/>
          <w:b/>
          <w:color w:val="000000"/>
          <w:kern w:val="0"/>
          <w:sz w:val="24"/>
        </w:rPr>
        <w:t>23. 评标过程保密</w:t>
      </w:r>
    </w:p>
    <w:p w14:paraId="1F9D1E3B">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23.1 </w:t>
      </w:r>
      <w:r>
        <w:rPr>
          <w:rFonts w:hint="eastAsia" w:ascii="宋体" w:hAnsi="宋体" w:cs="宋体"/>
          <w:color w:val="000000"/>
          <w:kern w:val="0"/>
          <w:sz w:val="24"/>
          <w:lang w:eastAsia="zh-CN"/>
        </w:rPr>
        <w:t>采购人</w:t>
      </w:r>
      <w:r>
        <w:rPr>
          <w:rFonts w:hint="eastAsia" w:ascii="宋体" w:hAnsi="宋体" w:cs="宋体"/>
          <w:color w:val="000000"/>
          <w:kern w:val="0"/>
          <w:sz w:val="24"/>
        </w:rPr>
        <w:t>、</w:t>
      </w:r>
      <w:r>
        <w:rPr>
          <w:rFonts w:hint="eastAsia" w:ascii="宋体" w:hAnsi="宋体" w:cs="宋体"/>
          <w:color w:val="000000"/>
          <w:kern w:val="0"/>
          <w:sz w:val="24"/>
          <w:lang w:eastAsia="zh-CN"/>
        </w:rPr>
        <w:t>采购代理机构</w:t>
      </w:r>
      <w:r>
        <w:rPr>
          <w:rFonts w:hint="eastAsia" w:ascii="宋体" w:hAnsi="宋体" w:cs="宋体"/>
          <w:color w:val="000000"/>
          <w:kern w:val="0"/>
          <w:sz w:val="24"/>
        </w:rPr>
        <w:t>应当采取必要措施，保证评标在严格保密的情况下进行。除</w:t>
      </w:r>
      <w:r>
        <w:rPr>
          <w:rFonts w:hint="eastAsia" w:ascii="宋体" w:hAnsi="宋体" w:cs="宋体"/>
          <w:color w:val="000000"/>
          <w:kern w:val="0"/>
          <w:sz w:val="24"/>
          <w:lang w:eastAsia="zh-CN"/>
        </w:rPr>
        <w:t>采购人</w:t>
      </w:r>
      <w:r>
        <w:rPr>
          <w:rFonts w:hint="eastAsia" w:ascii="宋体" w:hAnsi="宋体" w:cs="宋体"/>
          <w:color w:val="000000"/>
          <w:kern w:val="0"/>
          <w:sz w:val="24"/>
        </w:rPr>
        <w:t>代表、评标现场组织人员、监督人员外，</w:t>
      </w:r>
      <w:r>
        <w:rPr>
          <w:rFonts w:hint="eastAsia" w:ascii="宋体" w:hAnsi="宋体" w:cs="宋体"/>
          <w:color w:val="000000"/>
          <w:kern w:val="0"/>
          <w:sz w:val="24"/>
          <w:lang w:eastAsia="zh-CN"/>
        </w:rPr>
        <w:t>采购人</w:t>
      </w:r>
      <w:r>
        <w:rPr>
          <w:rFonts w:hint="eastAsia" w:ascii="宋体" w:hAnsi="宋体" w:cs="宋体"/>
          <w:color w:val="000000"/>
          <w:kern w:val="0"/>
          <w:sz w:val="24"/>
        </w:rPr>
        <w:t>的其他工作人员以及与评标工作无关的人员不得进入评标现场。</w:t>
      </w:r>
    </w:p>
    <w:p w14:paraId="1F250329">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23.2开标之后，直到授予中标人合同止，凡是属于投标有关资料等，均不得向供应商或其他与评标无关的人员透露。有关人员对评标情况以及在评标过程中获悉的国家秘密、商业秘密负有保密责任</w:t>
      </w:r>
      <w:r>
        <w:rPr>
          <w:rFonts w:hint="eastAsia" w:ascii="宋体" w:hAnsi="宋体" w:cs="宋体"/>
          <w:b/>
          <w:bCs/>
          <w:color w:val="000000"/>
          <w:kern w:val="0"/>
          <w:sz w:val="24"/>
        </w:rPr>
        <w:t>。</w:t>
      </w:r>
    </w:p>
    <w:p w14:paraId="402DCEEC">
      <w:pPr>
        <w:tabs>
          <w:tab w:val="left" w:pos="0"/>
        </w:tabs>
        <w:wordWrap w:val="0"/>
        <w:topLinePunct/>
        <w:adjustRightInd w:val="0"/>
        <w:snapToGrid w:val="0"/>
        <w:spacing w:line="360" w:lineRule="auto"/>
        <w:rPr>
          <w:rFonts w:ascii="宋体" w:hAnsi="宋体" w:cs="宋体"/>
          <w:b/>
          <w:color w:val="000000"/>
          <w:kern w:val="0"/>
          <w:sz w:val="24"/>
        </w:rPr>
      </w:pPr>
      <w:r>
        <w:rPr>
          <w:rFonts w:hint="eastAsia" w:ascii="宋体" w:hAnsi="宋体" w:cs="宋体"/>
          <w:b/>
          <w:color w:val="000000"/>
          <w:kern w:val="0"/>
          <w:sz w:val="24"/>
        </w:rPr>
        <w:t>24. 关于供应商非实质性响应滞后发现的处理规则</w:t>
      </w:r>
    </w:p>
    <w:p w14:paraId="185F3B99">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24.1无论基于何种原因，各项本应做拒绝投标处理的情形，即便未被及时发现而使该供应商进入评审或其它后续程序，包括已经签约的情形。一旦被发现存在上述情形，</w:t>
      </w:r>
      <w:r>
        <w:rPr>
          <w:rFonts w:hint="eastAsia" w:ascii="宋体" w:hAnsi="宋体" w:cs="宋体"/>
          <w:color w:val="000000"/>
          <w:kern w:val="0"/>
          <w:sz w:val="24"/>
          <w:lang w:eastAsia="zh-CN"/>
        </w:rPr>
        <w:t>采购人</w:t>
      </w:r>
      <w:r>
        <w:rPr>
          <w:rFonts w:hint="eastAsia" w:ascii="宋体" w:hAnsi="宋体" w:cs="宋体"/>
          <w:color w:val="000000"/>
          <w:kern w:val="0"/>
          <w:sz w:val="24"/>
        </w:rPr>
        <w:t>或</w:t>
      </w:r>
      <w:r>
        <w:rPr>
          <w:rFonts w:hint="eastAsia" w:ascii="宋体" w:hAnsi="宋体" w:cs="宋体"/>
          <w:color w:val="000000"/>
          <w:kern w:val="0"/>
          <w:sz w:val="24"/>
          <w:lang w:eastAsia="zh-CN"/>
        </w:rPr>
        <w:t>采购代理机构</w:t>
      </w:r>
      <w:r>
        <w:rPr>
          <w:rFonts w:hint="eastAsia" w:ascii="宋体" w:hAnsi="宋体" w:cs="宋体"/>
          <w:color w:val="000000"/>
          <w:kern w:val="0"/>
          <w:sz w:val="24"/>
        </w:rPr>
        <w:t>均有权</w:t>
      </w:r>
      <w:r>
        <w:rPr>
          <w:rFonts w:hint="eastAsia" w:ascii="宋体" w:hAnsi="宋体" w:cs="宋体"/>
          <w:kern w:val="0"/>
          <w:sz w:val="24"/>
        </w:rPr>
        <w:t>依法</w:t>
      </w:r>
      <w:r>
        <w:rPr>
          <w:rFonts w:hint="eastAsia" w:ascii="宋体" w:hAnsi="宋体" w:cs="宋体"/>
          <w:color w:val="000000"/>
          <w:kern w:val="0"/>
          <w:sz w:val="24"/>
        </w:rPr>
        <w:t>决定取消该供应商的此前评议结果，或决定对该投标予以拒绝，并有权采取相应的补救及纠正措施。</w:t>
      </w:r>
    </w:p>
    <w:p w14:paraId="5DD7A016">
      <w:pPr>
        <w:tabs>
          <w:tab w:val="left" w:pos="0"/>
        </w:tabs>
        <w:wordWrap w:val="0"/>
        <w:topLinePunct/>
        <w:adjustRightInd w:val="0"/>
        <w:snapToGrid w:val="0"/>
        <w:spacing w:line="360" w:lineRule="auto"/>
        <w:rPr>
          <w:rFonts w:ascii="宋体" w:hAnsi="宋体" w:cs="宋体"/>
          <w:b/>
          <w:color w:val="000000"/>
          <w:kern w:val="0"/>
          <w:sz w:val="24"/>
        </w:rPr>
      </w:pPr>
      <w:r>
        <w:rPr>
          <w:rFonts w:hint="eastAsia" w:ascii="宋体" w:hAnsi="宋体" w:cs="宋体"/>
          <w:b/>
          <w:color w:val="000000"/>
          <w:kern w:val="0"/>
          <w:sz w:val="24"/>
        </w:rPr>
        <w:t>25. 无效投标与无效评标</w:t>
      </w:r>
    </w:p>
    <w:p w14:paraId="62FB5065">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25.1供应商存在下列情况之一的，投标无效:</w:t>
      </w:r>
    </w:p>
    <w:p w14:paraId="08CCFD08">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（一）投标文件未按招标文件要求签署、盖章的；</w:t>
      </w:r>
    </w:p>
    <w:p w14:paraId="6DACFE86">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（二）不具备招标文件中规定的资格要求的；</w:t>
      </w:r>
    </w:p>
    <w:p w14:paraId="3D59F6F3">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（三）报价超过招标文件中规定的预算金额或者最高限价的；</w:t>
      </w:r>
    </w:p>
    <w:p w14:paraId="74F8C589">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（四）投标文件含有</w:t>
      </w:r>
      <w:r>
        <w:rPr>
          <w:rFonts w:hint="eastAsia" w:ascii="宋体" w:hAnsi="宋体" w:cs="宋体"/>
          <w:color w:val="000000"/>
          <w:kern w:val="0"/>
          <w:sz w:val="24"/>
          <w:lang w:eastAsia="zh-CN"/>
        </w:rPr>
        <w:t>采购人</w:t>
      </w:r>
      <w:r>
        <w:rPr>
          <w:rFonts w:hint="eastAsia" w:ascii="宋体" w:hAnsi="宋体" w:cs="宋体"/>
          <w:color w:val="000000"/>
          <w:kern w:val="0"/>
          <w:sz w:val="24"/>
        </w:rPr>
        <w:t>不能接受的附加条件的;</w:t>
      </w:r>
    </w:p>
    <w:p w14:paraId="5B7BEEF1">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（五）法律、法规和招标文件规定的其他无效情形。</w:t>
      </w:r>
    </w:p>
    <w:p w14:paraId="63584FD9">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25.2有下列情形之一的，视为供应商串通投标，其投标无效：</w:t>
      </w:r>
    </w:p>
    <w:p w14:paraId="69EAC7CE">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（一）不同供应商的投标文件由同一单位或者个人编制；</w:t>
      </w:r>
    </w:p>
    <w:p w14:paraId="62F8E33D">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（二）不同供应商委托同一单位或者个人办理投标事宜；</w:t>
      </w:r>
    </w:p>
    <w:p w14:paraId="6EF692E6">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（三）不同供应商的投标文件载明的项目管理成员或者联系人员为同一人；</w:t>
      </w:r>
    </w:p>
    <w:p w14:paraId="4EB30B09">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（四）不同供应商的投标文件异常一致或者投标报价呈规律性差异；</w:t>
      </w:r>
    </w:p>
    <w:p w14:paraId="6376E82A">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（五）不同供应商的投标文件相互混装。</w:t>
      </w:r>
    </w:p>
    <w:p w14:paraId="22E0E5C8">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25.3评标委员会或者其成员存在下列情形导致评标结果无效的，</w:t>
      </w:r>
      <w:r>
        <w:rPr>
          <w:rFonts w:hint="eastAsia" w:ascii="宋体" w:hAnsi="宋体" w:cs="宋体"/>
          <w:color w:val="000000"/>
          <w:kern w:val="0"/>
          <w:sz w:val="24"/>
          <w:lang w:eastAsia="zh-CN"/>
        </w:rPr>
        <w:t>采购人</w:t>
      </w:r>
      <w:r>
        <w:rPr>
          <w:rFonts w:hint="eastAsia" w:ascii="宋体" w:hAnsi="宋体" w:cs="宋体"/>
          <w:color w:val="000000"/>
          <w:kern w:val="0"/>
          <w:sz w:val="24"/>
        </w:rPr>
        <w:t>、</w:t>
      </w:r>
      <w:r>
        <w:rPr>
          <w:rFonts w:hint="eastAsia" w:ascii="宋体" w:hAnsi="宋体" w:cs="宋体"/>
          <w:color w:val="000000"/>
          <w:kern w:val="0"/>
          <w:sz w:val="24"/>
          <w:lang w:eastAsia="zh-CN"/>
        </w:rPr>
        <w:t>采购代理机构</w:t>
      </w:r>
      <w:r>
        <w:rPr>
          <w:rFonts w:hint="eastAsia" w:ascii="宋体" w:hAnsi="宋体" w:cs="宋体"/>
          <w:color w:val="000000"/>
          <w:kern w:val="0"/>
          <w:sz w:val="24"/>
        </w:rPr>
        <w:t>可以重新组建评标委员会进行评标，并书面报告本级财政部门，但采购合同已经履行的除外：</w:t>
      </w:r>
    </w:p>
    <w:p w14:paraId="7267BDAD">
      <w:pPr>
        <w:wordWrap w:val="0"/>
        <w:topLinePunct/>
        <w:adjustRightInd w:val="0"/>
        <w:snapToGrid w:val="0"/>
        <w:spacing w:line="360" w:lineRule="auto"/>
        <w:outlineLvl w:val="9"/>
        <w:rPr>
          <w:rFonts w:ascii="宋体" w:hAnsi="宋体" w:cs="宋体"/>
          <w:color w:val="000000"/>
          <w:kern w:val="0"/>
          <w:sz w:val="24"/>
        </w:rPr>
      </w:pPr>
      <w:bookmarkStart w:id="47" w:name="_Toc25008"/>
      <w:r>
        <w:rPr>
          <w:rFonts w:hint="eastAsia" w:ascii="宋体" w:hAnsi="宋体" w:cs="宋体"/>
          <w:color w:val="000000"/>
          <w:kern w:val="0"/>
          <w:sz w:val="24"/>
        </w:rPr>
        <w:t>（一）评标委员会组成不符合《政府采购货物和服务招标投标管理办法》规定的；</w:t>
      </w:r>
      <w:bookmarkEnd w:id="47"/>
    </w:p>
    <w:p w14:paraId="397481F2">
      <w:pPr>
        <w:wordWrap w:val="0"/>
        <w:topLinePunct/>
        <w:adjustRightInd w:val="0"/>
        <w:snapToGrid w:val="0"/>
        <w:spacing w:line="360" w:lineRule="auto"/>
        <w:outlineLvl w:val="9"/>
        <w:rPr>
          <w:rFonts w:ascii="宋体" w:hAnsi="宋体" w:cs="宋体"/>
          <w:color w:val="000000"/>
          <w:kern w:val="0"/>
          <w:sz w:val="24"/>
        </w:rPr>
      </w:pPr>
      <w:bookmarkStart w:id="48" w:name="_Toc5967"/>
      <w:r>
        <w:rPr>
          <w:rFonts w:hint="eastAsia" w:ascii="宋体" w:hAnsi="宋体" w:cs="宋体"/>
          <w:color w:val="000000"/>
          <w:kern w:val="0"/>
          <w:sz w:val="24"/>
        </w:rPr>
        <w:t>（二）有《政府采购货物和服务招标投标管理办法》第六十二条第一至五项情形的；</w:t>
      </w:r>
      <w:bookmarkEnd w:id="48"/>
    </w:p>
    <w:p w14:paraId="607B4A9A">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（三）评标委员会及其成员独立评标受到非法干预的；</w:t>
      </w:r>
    </w:p>
    <w:p w14:paraId="36B4AB48">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（四）有《中华人民共和国政府采购法实施条例》第七十五条规定的违法行为的。</w:t>
      </w:r>
    </w:p>
    <w:p w14:paraId="0A5EE500">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 xml:space="preserve"> 有违法违规行为的原评标委员会成员不得参加重新组建的评标委员会。</w:t>
      </w:r>
    </w:p>
    <w:p w14:paraId="693AA9B8">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b/>
          <w:color w:val="000000"/>
          <w:kern w:val="0"/>
          <w:sz w:val="24"/>
        </w:rPr>
        <w:t>26．采购项目终止与处理</w:t>
      </w:r>
    </w:p>
    <w:p w14:paraId="5E8B4798">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26.1</w:t>
      </w:r>
      <w:r>
        <w:rPr>
          <w:rFonts w:hint="eastAsia" w:ascii="宋体" w:hAnsi="宋体" w:cs="宋体"/>
          <w:color w:val="000000"/>
          <w:kern w:val="0"/>
          <w:sz w:val="24"/>
          <w:lang w:eastAsia="zh-CN"/>
        </w:rPr>
        <w:t>采购人</w:t>
      </w:r>
      <w:r>
        <w:rPr>
          <w:rFonts w:hint="eastAsia" w:ascii="宋体" w:hAnsi="宋体" w:cs="宋体"/>
          <w:color w:val="000000"/>
          <w:kern w:val="0"/>
          <w:sz w:val="24"/>
        </w:rPr>
        <w:t>、</w:t>
      </w:r>
      <w:r>
        <w:rPr>
          <w:rFonts w:hint="eastAsia" w:ascii="宋体" w:hAnsi="宋体" w:cs="宋体"/>
          <w:color w:val="000000"/>
          <w:kern w:val="0"/>
          <w:sz w:val="24"/>
          <w:lang w:eastAsia="zh-CN"/>
        </w:rPr>
        <w:t>采购代理机构</w:t>
      </w:r>
      <w:r>
        <w:rPr>
          <w:rFonts w:hint="eastAsia" w:ascii="宋体" w:hAnsi="宋体" w:cs="宋体"/>
          <w:color w:val="000000"/>
          <w:kern w:val="0"/>
          <w:sz w:val="24"/>
        </w:rPr>
        <w:t>在发布招标公告、资格预审公告或者发出投标邀请书后，除因重大变故采购任务取消情况外，不得擅自终止招标活动。</w:t>
      </w:r>
    </w:p>
    <w:p w14:paraId="60D8970D">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终止招标的，</w:t>
      </w:r>
      <w:r>
        <w:rPr>
          <w:rFonts w:hint="eastAsia" w:ascii="宋体" w:hAnsi="宋体" w:cs="宋体"/>
          <w:color w:val="000000"/>
          <w:kern w:val="0"/>
          <w:sz w:val="24"/>
          <w:lang w:eastAsia="zh-CN"/>
        </w:rPr>
        <w:t>采购代理机构</w:t>
      </w:r>
      <w:r>
        <w:rPr>
          <w:rFonts w:hint="eastAsia" w:ascii="宋体" w:hAnsi="宋体" w:cs="宋体"/>
          <w:color w:val="000000"/>
          <w:kern w:val="0"/>
          <w:sz w:val="24"/>
        </w:rPr>
        <w:t>应当及时在原公告发布媒体上发布终止公告。</w:t>
      </w:r>
    </w:p>
    <w:p w14:paraId="222120C5">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26.2公开招标数额标准以上的采购项目（如分包按包计），投标截止后供应商不足3家或者通过资格审查或符合性审查的供应商不足3家的，</w:t>
      </w:r>
      <w:r>
        <w:rPr>
          <w:rFonts w:hint="eastAsia" w:ascii="宋体" w:hAnsi="宋体" w:cs="宋体"/>
          <w:color w:val="000000"/>
          <w:kern w:val="0"/>
          <w:sz w:val="24"/>
          <w:lang w:eastAsia="zh-CN"/>
        </w:rPr>
        <w:t>采购代理机构</w:t>
      </w:r>
      <w:r>
        <w:rPr>
          <w:rFonts w:hint="eastAsia" w:ascii="宋体" w:hAnsi="宋体" w:cs="宋体"/>
          <w:color w:val="000000"/>
          <w:kern w:val="0"/>
          <w:sz w:val="24"/>
        </w:rPr>
        <w:t>将视具体情况报告政府采购监管部门，按政府采购监管部门答复的意见改为其他方式继续采购。</w:t>
      </w:r>
    </w:p>
    <w:p w14:paraId="32A58989">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26.3评标委员会发现招标文件存在歧义、重大缺陷导致评标工作无法进行，或者招标文件内容违反国家有关强制性规定的，应当停止评标工作，与</w:t>
      </w:r>
      <w:r>
        <w:rPr>
          <w:rFonts w:hint="eastAsia" w:ascii="宋体" w:hAnsi="宋体" w:cs="宋体"/>
          <w:color w:val="000000"/>
          <w:kern w:val="0"/>
          <w:sz w:val="24"/>
          <w:lang w:eastAsia="zh-CN"/>
        </w:rPr>
        <w:t>采购代理机构</w:t>
      </w:r>
      <w:r>
        <w:rPr>
          <w:rFonts w:hint="eastAsia" w:ascii="宋体" w:hAnsi="宋体" w:cs="宋体"/>
          <w:color w:val="000000"/>
          <w:kern w:val="0"/>
          <w:sz w:val="24"/>
        </w:rPr>
        <w:t>沟通并作书面记录。</w:t>
      </w:r>
      <w:r>
        <w:rPr>
          <w:rFonts w:hint="eastAsia" w:ascii="宋体" w:hAnsi="宋体" w:cs="宋体"/>
          <w:color w:val="000000"/>
          <w:kern w:val="0"/>
          <w:sz w:val="24"/>
          <w:lang w:eastAsia="zh-CN"/>
        </w:rPr>
        <w:t>采购代理机构</w:t>
      </w:r>
      <w:r>
        <w:rPr>
          <w:rFonts w:hint="eastAsia" w:ascii="宋体" w:hAnsi="宋体" w:cs="宋体"/>
          <w:color w:val="000000"/>
          <w:kern w:val="0"/>
          <w:sz w:val="24"/>
        </w:rPr>
        <w:t>确认后，应当修改招标文件，重新组织采购活动。</w:t>
      </w:r>
    </w:p>
    <w:p w14:paraId="5AC049D9">
      <w:pPr>
        <w:tabs>
          <w:tab w:val="left" w:pos="0"/>
        </w:tabs>
        <w:wordWrap w:val="0"/>
        <w:topLinePunct/>
        <w:adjustRightInd w:val="0"/>
        <w:snapToGrid w:val="0"/>
        <w:spacing w:line="360" w:lineRule="auto"/>
        <w:rPr>
          <w:rFonts w:ascii="宋体" w:hAnsi="宋体" w:cs="宋体"/>
          <w:b/>
          <w:color w:val="000000"/>
          <w:kern w:val="0"/>
          <w:sz w:val="24"/>
        </w:rPr>
      </w:pPr>
      <w:r>
        <w:rPr>
          <w:rFonts w:hint="eastAsia" w:ascii="宋体" w:hAnsi="宋体" w:cs="宋体"/>
          <w:b/>
          <w:color w:val="000000"/>
          <w:kern w:val="0"/>
          <w:sz w:val="24"/>
        </w:rPr>
        <w:t>27. 中标结果公告</w:t>
      </w:r>
    </w:p>
    <w:p w14:paraId="46235D5B">
      <w:pPr>
        <w:tabs>
          <w:tab w:val="left" w:pos="0"/>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27.1</w:t>
      </w:r>
      <w:r>
        <w:rPr>
          <w:rFonts w:hint="eastAsia" w:ascii="宋体" w:hAnsi="宋体" w:cs="宋体"/>
          <w:color w:val="000000"/>
          <w:kern w:val="0"/>
          <w:sz w:val="24"/>
          <w:lang w:eastAsia="zh-CN"/>
        </w:rPr>
        <w:t>采购代理机构</w:t>
      </w:r>
      <w:r>
        <w:rPr>
          <w:rFonts w:hint="eastAsia" w:ascii="宋体" w:hAnsi="宋体" w:cs="宋体"/>
          <w:color w:val="000000"/>
          <w:kern w:val="0"/>
          <w:sz w:val="24"/>
        </w:rPr>
        <w:t>应当自中标人确定之日起2个工作日内，在省级以上财政部门指定的媒体上公告中标结果。</w:t>
      </w:r>
    </w:p>
    <w:p w14:paraId="61280B34">
      <w:pPr>
        <w:tabs>
          <w:tab w:val="left" w:pos="0"/>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27.2中标结果公告内容应当包括</w:t>
      </w:r>
      <w:r>
        <w:rPr>
          <w:rFonts w:hint="eastAsia" w:ascii="宋体" w:hAnsi="宋体" w:cs="宋体"/>
          <w:color w:val="000000"/>
          <w:kern w:val="0"/>
          <w:sz w:val="24"/>
          <w:lang w:eastAsia="zh-CN"/>
        </w:rPr>
        <w:t>采购人</w:t>
      </w:r>
      <w:r>
        <w:rPr>
          <w:rFonts w:hint="eastAsia" w:ascii="宋体" w:hAnsi="宋体" w:cs="宋体"/>
          <w:color w:val="000000"/>
          <w:kern w:val="0"/>
          <w:sz w:val="24"/>
        </w:rPr>
        <w:t>及其委托的</w:t>
      </w:r>
      <w:r>
        <w:rPr>
          <w:rFonts w:hint="eastAsia" w:ascii="宋体" w:hAnsi="宋体" w:cs="宋体"/>
          <w:color w:val="000000"/>
          <w:kern w:val="0"/>
          <w:sz w:val="24"/>
          <w:lang w:eastAsia="zh-CN"/>
        </w:rPr>
        <w:t>采购代理机构</w:t>
      </w:r>
      <w:r>
        <w:rPr>
          <w:rFonts w:hint="eastAsia" w:ascii="宋体" w:hAnsi="宋体" w:cs="宋体"/>
          <w:color w:val="000000"/>
          <w:kern w:val="0"/>
          <w:sz w:val="24"/>
        </w:rPr>
        <w:t>的名称、地址、联系方式，项目名称和项目编号，中标人名称、地址和中标金额，主要中标标的的名称、规格型号、数量、单价、服务要求，中标公告期限以及评审专家名单。</w:t>
      </w:r>
    </w:p>
    <w:p w14:paraId="625A1350">
      <w:pPr>
        <w:tabs>
          <w:tab w:val="left" w:pos="0"/>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27.3中标公告期限为1个工作日。</w:t>
      </w:r>
    </w:p>
    <w:p w14:paraId="24133157">
      <w:pPr>
        <w:tabs>
          <w:tab w:val="left" w:pos="0"/>
        </w:tabs>
        <w:wordWrap w:val="0"/>
        <w:topLinePunct/>
        <w:adjustRightInd w:val="0"/>
        <w:snapToGrid w:val="0"/>
        <w:spacing w:line="360" w:lineRule="auto"/>
        <w:rPr>
          <w:rFonts w:ascii="宋体" w:hAnsi="宋体" w:cs="宋体"/>
          <w:b/>
          <w:color w:val="000000"/>
          <w:kern w:val="0"/>
          <w:sz w:val="24"/>
        </w:rPr>
      </w:pPr>
      <w:r>
        <w:rPr>
          <w:rFonts w:hint="eastAsia" w:ascii="宋体" w:hAnsi="宋体" w:cs="宋体"/>
          <w:b/>
          <w:color w:val="000000"/>
          <w:kern w:val="0"/>
          <w:sz w:val="24"/>
        </w:rPr>
        <w:t>28．中标通知</w:t>
      </w:r>
    </w:p>
    <w:p w14:paraId="663790BE">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28.1在公告中标结果的同时，</w:t>
      </w:r>
      <w:r>
        <w:rPr>
          <w:rFonts w:hint="eastAsia" w:ascii="宋体" w:hAnsi="宋体" w:cs="宋体"/>
          <w:color w:val="000000"/>
          <w:kern w:val="0"/>
          <w:sz w:val="24"/>
          <w:lang w:eastAsia="zh-CN"/>
        </w:rPr>
        <w:t>采购代理机构</w:t>
      </w:r>
      <w:r>
        <w:rPr>
          <w:rFonts w:hint="eastAsia" w:ascii="宋体" w:hAnsi="宋体" w:cs="宋体"/>
          <w:color w:val="000000"/>
          <w:kern w:val="0"/>
          <w:sz w:val="24"/>
        </w:rPr>
        <w:t>应当向中标人发出中标通知书。</w:t>
      </w:r>
    </w:p>
    <w:p w14:paraId="19A9DF9A">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28.2中标通知书发出后，</w:t>
      </w:r>
      <w:r>
        <w:rPr>
          <w:rFonts w:hint="eastAsia" w:ascii="宋体" w:hAnsi="宋体" w:cs="宋体"/>
          <w:color w:val="000000"/>
          <w:kern w:val="0"/>
          <w:sz w:val="24"/>
          <w:lang w:eastAsia="zh-CN"/>
        </w:rPr>
        <w:t>采购人</w:t>
      </w:r>
      <w:r>
        <w:rPr>
          <w:rFonts w:hint="eastAsia" w:ascii="宋体" w:hAnsi="宋体" w:cs="宋体"/>
          <w:color w:val="000000"/>
          <w:kern w:val="0"/>
          <w:sz w:val="24"/>
        </w:rPr>
        <w:t>不得违法改变中标结果，中标人无正当理由不得放弃中标。</w:t>
      </w:r>
    </w:p>
    <w:p w14:paraId="6D3662A5">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28.3中标通知书是合同的组成部分。</w:t>
      </w:r>
    </w:p>
    <w:p w14:paraId="01B3A5DD">
      <w:pPr>
        <w:tabs>
          <w:tab w:val="left" w:pos="0"/>
        </w:tabs>
        <w:wordWrap w:val="0"/>
        <w:topLinePunct/>
        <w:adjustRightInd w:val="0"/>
        <w:snapToGrid w:val="0"/>
        <w:spacing w:line="360" w:lineRule="auto"/>
        <w:rPr>
          <w:rFonts w:ascii="宋体" w:hAnsi="宋体" w:cs="宋体"/>
          <w:b/>
          <w:color w:val="000000"/>
          <w:kern w:val="0"/>
          <w:sz w:val="24"/>
        </w:rPr>
      </w:pPr>
      <w:r>
        <w:rPr>
          <w:rFonts w:hint="eastAsia" w:ascii="宋体" w:hAnsi="宋体" w:cs="宋体"/>
          <w:b/>
          <w:color w:val="000000"/>
          <w:kern w:val="0"/>
          <w:sz w:val="24"/>
        </w:rPr>
        <w:t>29.中标服务费</w:t>
      </w:r>
    </w:p>
    <w:p w14:paraId="24E8282D">
      <w:pPr>
        <w:pStyle w:val="39"/>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29.1 采购项目中标服务费由中标人缴纳，</w:t>
      </w:r>
      <w:r>
        <w:rPr>
          <w:rFonts w:hint="eastAsia" w:ascii="宋体" w:hAnsi="宋体" w:cs="宋体"/>
          <w:sz w:val="24"/>
        </w:rPr>
        <w:t>中标服务费参照国家发展计划委员会文件计价格[2002]1980号、国家发展和改革委员会办公厅文件发改办价格[2003]857号和发改价格[2011]534号之规定</w:t>
      </w:r>
      <w:r>
        <w:rPr>
          <w:rFonts w:hint="eastAsia" w:ascii="宋体" w:hAnsi="宋体" w:cs="宋体"/>
          <w:sz w:val="24"/>
          <w:lang w:val="en-US" w:eastAsia="zh-CN"/>
        </w:rPr>
        <w:t>的70%</w:t>
      </w:r>
      <w:r>
        <w:rPr>
          <w:rFonts w:hint="eastAsia" w:ascii="宋体" w:hAnsi="宋体" w:cs="宋体"/>
          <w:sz w:val="24"/>
        </w:rPr>
        <w:t>执行</w:t>
      </w:r>
      <w:r>
        <w:rPr>
          <w:rFonts w:hint="eastAsia" w:ascii="宋体" w:hAnsi="宋体" w:cs="宋体"/>
          <w:color w:val="000000"/>
          <w:kern w:val="0"/>
          <w:sz w:val="24"/>
        </w:rPr>
        <w:t>。</w:t>
      </w:r>
    </w:p>
    <w:p w14:paraId="2A99F04B">
      <w:pPr>
        <w:pStyle w:val="3"/>
        <w:keepNext w:val="0"/>
        <w:keepLines w:val="0"/>
        <w:tabs>
          <w:tab w:val="left" w:pos="567"/>
        </w:tabs>
        <w:wordWrap w:val="0"/>
        <w:topLinePunct/>
        <w:adjustRightInd w:val="0"/>
        <w:snapToGrid w:val="0"/>
        <w:spacing w:before="0" w:after="0" w:line="360" w:lineRule="auto"/>
        <w:outlineLvl w:val="0"/>
        <w:rPr>
          <w:rFonts w:cs="宋体"/>
          <w:sz w:val="24"/>
          <w:szCs w:val="24"/>
        </w:rPr>
      </w:pPr>
      <w:bookmarkStart w:id="49" w:name="_Toc2270"/>
      <w:bookmarkStart w:id="50" w:name="_Toc16474"/>
      <w:r>
        <w:rPr>
          <w:rFonts w:hint="eastAsia" w:cs="宋体"/>
          <w:sz w:val="24"/>
          <w:szCs w:val="24"/>
        </w:rPr>
        <w:t>七、签订合同</w:t>
      </w:r>
      <w:bookmarkEnd w:id="49"/>
      <w:bookmarkEnd w:id="50"/>
    </w:p>
    <w:p w14:paraId="70824453">
      <w:pPr>
        <w:tabs>
          <w:tab w:val="left" w:pos="567"/>
        </w:tabs>
        <w:wordWrap w:val="0"/>
        <w:topLinePunct/>
        <w:adjustRightInd w:val="0"/>
        <w:snapToGrid w:val="0"/>
        <w:spacing w:line="360" w:lineRule="auto"/>
        <w:rPr>
          <w:rFonts w:ascii="宋体" w:hAnsi="宋体" w:cs="宋体"/>
          <w:b/>
          <w:bCs/>
          <w:kern w:val="0"/>
          <w:sz w:val="24"/>
        </w:rPr>
      </w:pPr>
      <w:r>
        <w:rPr>
          <w:rFonts w:hint="eastAsia" w:ascii="宋体" w:hAnsi="宋体" w:cs="宋体"/>
          <w:b/>
          <w:bCs/>
          <w:kern w:val="0"/>
          <w:sz w:val="24"/>
        </w:rPr>
        <w:t>30.签订合同</w:t>
      </w:r>
    </w:p>
    <w:p w14:paraId="4B060F32">
      <w:pPr>
        <w:tabs>
          <w:tab w:val="left" w:pos="567"/>
        </w:tabs>
        <w:wordWrap w:val="0"/>
        <w:topLinePunct/>
        <w:adjustRightInd w:val="0"/>
        <w:snapToGrid w:val="0"/>
        <w:spacing w:line="360" w:lineRule="auto"/>
        <w:rPr>
          <w:rFonts w:ascii="宋体" w:hAnsi="宋体" w:cs="宋体"/>
          <w:kern w:val="0"/>
          <w:sz w:val="24"/>
        </w:rPr>
      </w:pPr>
      <w:r>
        <w:rPr>
          <w:rFonts w:hint="eastAsia" w:ascii="宋体" w:hAnsi="宋体" w:cs="宋体"/>
          <w:kern w:val="0"/>
          <w:sz w:val="24"/>
        </w:rPr>
        <w:t>30.1</w:t>
      </w:r>
      <w:r>
        <w:rPr>
          <w:rFonts w:hint="eastAsia" w:ascii="宋体" w:hAnsi="宋体" w:cs="宋体"/>
          <w:kern w:val="0"/>
          <w:sz w:val="24"/>
          <w:lang w:eastAsia="zh-CN"/>
        </w:rPr>
        <w:t>采购人</w:t>
      </w:r>
      <w:r>
        <w:rPr>
          <w:rFonts w:hint="eastAsia" w:ascii="宋体" w:hAnsi="宋体" w:cs="宋体"/>
          <w:kern w:val="0"/>
          <w:sz w:val="24"/>
        </w:rPr>
        <w:t>应当自中标通知书发出之日起30日内，按照招标文件和中标人投标文件的规定及评标过程中的有关澄清、说明或者补正文件的内容，与中标人签订书面合同。所签订的合同不得对招标文件确定的事项和中标人的投标文件作实质性修改。</w:t>
      </w:r>
    </w:p>
    <w:p w14:paraId="4EB819FD">
      <w:pPr>
        <w:tabs>
          <w:tab w:val="left" w:pos="567"/>
        </w:tabs>
        <w:wordWrap w:val="0"/>
        <w:topLinePunct/>
        <w:adjustRightInd w:val="0"/>
        <w:snapToGrid w:val="0"/>
        <w:spacing w:line="360" w:lineRule="auto"/>
        <w:rPr>
          <w:rFonts w:ascii="宋体" w:hAnsi="宋体" w:cs="宋体"/>
          <w:kern w:val="0"/>
          <w:sz w:val="24"/>
        </w:rPr>
      </w:pPr>
      <w:r>
        <w:rPr>
          <w:rFonts w:hint="eastAsia" w:ascii="宋体" w:hAnsi="宋体" w:cs="宋体"/>
          <w:kern w:val="0"/>
          <w:sz w:val="24"/>
        </w:rPr>
        <w:t>30.2</w:t>
      </w:r>
      <w:r>
        <w:rPr>
          <w:rFonts w:hint="eastAsia" w:ascii="宋体" w:hAnsi="宋体" w:cs="宋体"/>
          <w:kern w:val="0"/>
          <w:sz w:val="24"/>
          <w:lang w:eastAsia="zh-CN"/>
        </w:rPr>
        <w:t>采购人</w:t>
      </w:r>
      <w:r>
        <w:rPr>
          <w:rFonts w:hint="eastAsia" w:ascii="宋体" w:hAnsi="宋体" w:cs="宋体"/>
          <w:kern w:val="0"/>
          <w:sz w:val="24"/>
        </w:rPr>
        <w:t>不得向中标人提出任何不合理的要求作为签订合同的条件。</w:t>
      </w:r>
    </w:p>
    <w:p w14:paraId="5D66F560">
      <w:pPr>
        <w:tabs>
          <w:tab w:val="left" w:pos="567"/>
        </w:tabs>
        <w:wordWrap w:val="0"/>
        <w:topLinePunct/>
        <w:adjustRightInd w:val="0"/>
        <w:snapToGrid w:val="0"/>
        <w:spacing w:line="360" w:lineRule="auto"/>
        <w:rPr>
          <w:rFonts w:ascii="宋体" w:hAnsi="宋体" w:cs="宋体"/>
          <w:kern w:val="0"/>
          <w:sz w:val="24"/>
        </w:rPr>
      </w:pPr>
      <w:r>
        <w:rPr>
          <w:rFonts w:hint="eastAsia" w:ascii="宋体" w:hAnsi="宋体" w:cs="宋体"/>
          <w:kern w:val="0"/>
          <w:sz w:val="24"/>
        </w:rPr>
        <w:t>30.3在合同履行中，</w:t>
      </w:r>
      <w:r>
        <w:rPr>
          <w:rFonts w:hint="eastAsia" w:ascii="宋体" w:hAnsi="宋体" w:cs="宋体"/>
          <w:kern w:val="0"/>
          <w:sz w:val="24"/>
          <w:lang w:eastAsia="zh-CN"/>
        </w:rPr>
        <w:t>采购人</w:t>
      </w:r>
      <w:r>
        <w:rPr>
          <w:rFonts w:hint="eastAsia" w:ascii="宋体" w:hAnsi="宋体" w:cs="宋体"/>
          <w:kern w:val="0"/>
          <w:sz w:val="24"/>
        </w:rPr>
        <w:t>如需追加与合同标的相同的服务，在不改变合同其他条款的前提下，</w:t>
      </w:r>
      <w:r>
        <w:rPr>
          <w:rFonts w:hint="eastAsia" w:ascii="宋体" w:hAnsi="宋体" w:cs="宋体"/>
          <w:kern w:val="0"/>
          <w:sz w:val="24"/>
          <w:lang w:eastAsia="zh-CN"/>
        </w:rPr>
        <w:t>采购人</w:t>
      </w:r>
      <w:r>
        <w:rPr>
          <w:rFonts w:hint="eastAsia" w:ascii="宋体" w:hAnsi="宋体" w:cs="宋体"/>
          <w:kern w:val="0"/>
          <w:sz w:val="24"/>
        </w:rPr>
        <w:t xml:space="preserve">可与中标人协商签订补充合同，但所有补充合同的采购金额不得超过原合同金额的百分之十。 </w:t>
      </w:r>
    </w:p>
    <w:p w14:paraId="7744B59C">
      <w:pPr>
        <w:pStyle w:val="36"/>
        <w:wordWrap w:val="0"/>
        <w:topLinePunct/>
        <w:snapToGrid w:val="0"/>
        <w:spacing w:line="360" w:lineRule="auto"/>
        <w:rPr>
          <w:rFonts w:cs="宋体"/>
          <w:color w:val="000000"/>
          <w:sz w:val="24"/>
        </w:rPr>
      </w:pPr>
      <w:r>
        <w:rPr>
          <w:rFonts w:hint="eastAsia" w:cs="宋体"/>
          <w:color w:val="000000"/>
          <w:sz w:val="24"/>
        </w:rPr>
        <w:t>30.4中标人一旦中标，未经</w:t>
      </w:r>
      <w:r>
        <w:rPr>
          <w:rFonts w:hint="eastAsia" w:cs="宋体"/>
          <w:color w:val="000000"/>
          <w:sz w:val="24"/>
          <w:lang w:eastAsia="zh-CN"/>
        </w:rPr>
        <w:t>采购人</w:t>
      </w:r>
      <w:r>
        <w:rPr>
          <w:rFonts w:hint="eastAsia" w:cs="宋体"/>
          <w:color w:val="000000"/>
          <w:sz w:val="24"/>
        </w:rPr>
        <w:t>事先给予同意不得转包、分包，亦不得将合同全部及任何权利、义务向第三方转让，除符合《政府采购促进中小企业发展暂行办法》相关规定外，其他情形将被视为严重违约。或</w:t>
      </w:r>
      <w:r>
        <w:rPr>
          <w:rFonts w:hint="eastAsia" w:cs="宋体"/>
          <w:color w:val="000000"/>
          <w:sz w:val="24"/>
          <w:lang w:eastAsia="zh-CN"/>
        </w:rPr>
        <w:t>采购人</w:t>
      </w:r>
      <w:r>
        <w:rPr>
          <w:rFonts w:hint="eastAsia" w:cs="宋体"/>
          <w:color w:val="000000"/>
          <w:sz w:val="24"/>
        </w:rPr>
        <w:t xml:space="preserve">有权决定按照中标人中标后毁标、终止或解除合同等依约处理。 </w:t>
      </w:r>
    </w:p>
    <w:p w14:paraId="79C371D8">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30.5</w:t>
      </w:r>
      <w:r>
        <w:rPr>
          <w:rFonts w:hint="eastAsia" w:ascii="宋体" w:hAnsi="宋体" w:cs="宋体"/>
          <w:color w:val="000000"/>
          <w:kern w:val="0"/>
          <w:sz w:val="24"/>
          <w:lang w:eastAsia="zh-CN"/>
        </w:rPr>
        <w:t>采购人</w:t>
      </w:r>
      <w:r>
        <w:rPr>
          <w:rFonts w:hint="eastAsia" w:ascii="宋体" w:hAnsi="宋体" w:cs="宋体"/>
          <w:color w:val="000000"/>
          <w:kern w:val="0"/>
          <w:sz w:val="24"/>
        </w:rPr>
        <w:t>与中标人应当根据合同的约定依法履行合同义务。</w:t>
      </w:r>
    </w:p>
    <w:p w14:paraId="4753905E">
      <w:pPr>
        <w:tabs>
          <w:tab w:val="left" w:pos="567"/>
        </w:tabs>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30.6中标人应当自合同或补充合同签订之日起五个工作日内，将合同副本一份报</w:t>
      </w:r>
      <w:r>
        <w:rPr>
          <w:rFonts w:hint="eastAsia" w:ascii="宋体" w:hAnsi="宋体" w:cs="宋体"/>
          <w:color w:val="000000"/>
          <w:kern w:val="0"/>
          <w:sz w:val="24"/>
          <w:lang w:eastAsia="zh-CN"/>
        </w:rPr>
        <w:t>采购代理机构</w:t>
      </w:r>
      <w:r>
        <w:rPr>
          <w:rFonts w:hint="eastAsia" w:ascii="宋体" w:hAnsi="宋体" w:cs="宋体"/>
          <w:color w:val="000000"/>
          <w:kern w:val="0"/>
          <w:sz w:val="24"/>
        </w:rPr>
        <w:t>存档，</w:t>
      </w:r>
      <w:r>
        <w:rPr>
          <w:rFonts w:hint="eastAsia" w:ascii="宋体" w:hAnsi="宋体" w:cs="宋体"/>
          <w:color w:val="000000"/>
          <w:kern w:val="0"/>
          <w:sz w:val="24"/>
          <w:lang w:eastAsia="zh-CN"/>
        </w:rPr>
        <w:t>采购人</w:t>
      </w:r>
      <w:r>
        <w:rPr>
          <w:rFonts w:hint="eastAsia" w:ascii="宋体" w:hAnsi="宋体" w:cs="宋体"/>
          <w:color w:val="000000"/>
          <w:kern w:val="0"/>
          <w:sz w:val="24"/>
        </w:rPr>
        <w:t>同时在山西政府采购网进行公示。</w:t>
      </w:r>
    </w:p>
    <w:p w14:paraId="78D4F6B6">
      <w:pPr>
        <w:pStyle w:val="3"/>
        <w:keepNext w:val="0"/>
        <w:keepLines w:val="0"/>
        <w:tabs>
          <w:tab w:val="left" w:pos="567"/>
        </w:tabs>
        <w:wordWrap w:val="0"/>
        <w:topLinePunct/>
        <w:adjustRightInd w:val="0"/>
        <w:snapToGrid w:val="0"/>
        <w:spacing w:before="0" w:after="0" w:line="240" w:lineRule="auto"/>
        <w:outlineLvl w:val="0"/>
        <w:rPr>
          <w:rFonts w:cs="宋体"/>
          <w:sz w:val="24"/>
          <w:szCs w:val="24"/>
        </w:rPr>
      </w:pPr>
      <w:bookmarkStart w:id="51" w:name="_Toc8511"/>
      <w:bookmarkStart w:id="52" w:name="_Toc24630"/>
      <w:bookmarkStart w:id="53" w:name="_Toc175644024"/>
      <w:r>
        <w:rPr>
          <w:rFonts w:hint="eastAsia" w:cs="宋体"/>
          <w:sz w:val="24"/>
          <w:szCs w:val="24"/>
        </w:rPr>
        <w:t>八、保密和披露</w:t>
      </w:r>
      <w:bookmarkEnd w:id="51"/>
      <w:bookmarkEnd w:id="52"/>
      <w:bookmarkEnd w:id="53"/>
    </w:p>
    <w:p w14:paraId="5A5710FC">
      <w:pPr>
        <w:wordWrap w:val="0"/>
        <w:topLinePunct/>
        <w:adjustRightInd w:val="0"/>
        <w:snapToGrid w:val="0"/>
        <w:spacing w:line="360" w:lineRule="auto"/>
        <w:rPr>
          <w:rFonts w:ascii="宋体" w:hAnsi="宋体" w:cs="宋体"/>
          <w:b/>
          <w:color w:val="000000"/>
          <w:kern w:val="0"/>
          <w:sz w:val="24"/>
        </w:rPr>
      </w:pPr>
      <w:r>
        <w:rPr>
          <w:rFonts w:hint="eastAsia" w:ascii="宋体" w:hAnsi="宋体" w:cs="宋体"/>
          <w:b/>
          <w:color w:val="000000"/>
          <w:kern w:val="0"/>
          <w:sz w:val="24"/>
        </w:rPr>
        <w:t>31.保密</w:t>
      </w:r>
    </w:p>
    <w:p w14:paraId="0050A48B">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31.1潜在供应商自下载招标文件之日起，须承诺承担本招标项目项下保密义务，不得将因本次招标获得的信息向第三人外传。</w:t>
      </w:r>
    </w:p>
    <w:p w14:paraId="1227398A">
      <w:pPr>
        <w:wordWrap w:val="0"/>
        <w:topLinePunct/>
        <w:adjustRightInd w:val="0"/>
        <w:snapToGrid w:val="0"/>
        <w:spacing w:line="360" w:lineRule="auto"/>
        <w:rPr>
          <w:rFonts w:ascii="宋体" w:hAnsi="宋体" w:cs="宋体"/>
          <w:color w:val="000000"/>
          <w:kern w:val="0"/>
          <w:sz w:val="24"/>
        </w:rPr>
      </w:pPr>
      <w:r>
        <w:rPr>
          <w:rFonts w:hint="eastAsia" w:ascii="宋体" w:hAnsi="宋体" w:cs="宋体"/>
          <w:bCs/>
          <w:color w:val="000000"/>
          <w:kern w:val="0"/>
          <w:sz w:val="24"/>
        </w:rPr>
        <w:t>31.2有关人员对评标情况以及在评标过程中获悉的国家秘密、商业秘密负有保密责任。</w:t>
      </w:r>
    </w:p>
    <w:p w14:paraId="6CF5F473">
      <w:pPr>
        <w:wordWrap w:val="0"/>
        <w:topLinePunct/>
        <w:adjustRightInd w:val="0"/>
        <w:snapToGrid w:val="0"/>
        <w:spacing w:line="360" w:lineRule="auto"/>
        <w:rPr>
          <w:rFonts w:ascii="宋体" w:hAnsi="宋体" w:cs="宋体"/>
          <w:b/>
          <w:color w:val="000000"/>
          <w:kern w:val="0"/>
          <w:sz w:val="24"/>
        </w:rPr>
      </w:pPr>
      <w:r>
        <w:rPr>
          <w:rFonts w:hint="eastAsia" w:ascii="宋体" w:hAnsi="宋体" w:cs="宋体"/>
          <w:b/>
          <w:color w:val="000000"/>
          <w:kern w:val="0"/>
          <w:sz w:val="24"/>
        </w:rPr>
        <w:t>32.披露</w:t>
      </w:r>
    </w:p>
    <w:p w14:paraId="570FAFB1">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32.1</w:t>
      </w:r>
      <w:r>
        <w:rPr>
          <w:rFonts w:hint="eastAsia" w:ascii="宋体" w:hAnsi="宋体" w:cs="宋体"/>
          <w:kern w:val="0"/>
          <w:sz w:val="24"/>
          <w:lang w:eastAsia="zh-CN"/>
        </w:rPr>
        <w:t>采购人</w:t>
      </w:r>
      <w:r>
        <w:rPr>
          <w:rFonts w:hint="eastAsia" w:ascii="宋体" w:hAnsi="宋体" w:cs="宋体"/>
          <w:kern w:val="0"/>
          <w:sz w:val="24"/>
        </w:rPr>
        <w:t>或</w:t>
      </w:r>
      <w:r>
        <w:rPr>
          <w:rFonts w:hint="eastAsia" w:ascii="宋体" w:hAnsi="宋体" w:cs="宋体"/>
          <w:color w:val="000000"/>
          <w:kern w:val="0"/>
          <w:sz w:val="24"/>
          <w:lang w:eastAsia="zh-CN"/>
        </w:rPr>
        <w:t>采购代理机构</w:t>
      </w:r>
      <w:r>
        <w:rPr>
          <w:rFonts w:hint="eastAsia" w:ascii="宋体" w:hAnsi="宋体" w:cs="宋体"/>
          <w:color w:val="000000"/>
          <w:kern w:val="0"/>
          <w:sz w:val="24"/>
        </w:rPr>
        <w:t>有权将供应商提供的所有资料向政府有关部门或评审标书的有关人员披露。</w:t>
      </w:r>
    </w:p>
    <w:p w14:paraId="38C89380">
      <w:pPr>
        <w:wordWrap w:val="0"/>
        <w:topLinePunct/>
        <w:adjustRightInd w:val="0"/>
        <w:snapToGrid w:val="0"/>
        <w:spacing w:line="360" w:lineRule="auto"/>
        <w:rPr>
          <w:rStyle w:val="33"/>
          <w:rFonts w:cs="宋体"/>
          <w:sz w:val="24"/>
        </w:rPr>
      </w:pPr>
      <w:r>
        <w:rPr>
          <w:rFonts w:hint="eastAsia" w:ascii="宋体" w:hAnsi="宋体" w:cs="宋体"/>
          <w:color w:val="000000"/>
          <w:kern w:val="0"/>
          <w:sz w:val="24"/>
        </w:rPr>
        <w:t>32.2在</w:t>
      </w:r>
      <w:r>
        <w:rPr>
          <w:rFonts w:hint="eastAsia" w:ascii="宋体" w:hAnsi="宋体" w:cs="宋体"/>
          <w:color w:val="000000"/>
          <w:kern w:val="0"/>
          <w:sz w:val="24"/>
          <w:lang w:eastAsia="zh-CN"/>
        </w:rPr>
        <w:t>采购代理机构</w:t>
      </w:r>
      <w:r>
        <w:rPr>
          <w:rFonts w:hint="eastAsia" w:ascii="宋体" w:hAnsi="宋体" w:cs="宋体"/>
          <w:color w:val="000000"/>
          <w:kern w:val="0"/>
          <w:sz w:val="24"/>
        </w:rPr>
        <w:t>认为适当时、国家机关调查、审查、审计时以及其他符合法律规定的情形下，</w:t>
      </w:r>
      <w:r>
        <w:rPr>
          <w:rFonts w:hint="eastAsia" w:ascii="宋体" w:hAnsi="宋体" w:cs="宋体"/>
          <w:color w:val="000000"/>
          <w:kern w:val="0"/>
          <w:sz w:val="24"/>
          <w:lang w:eastAsia="zh-CN"/>
        </w:rPr>
        <w:t>采购代理机构</w:t>
      </w:r>
      <w:r>
        <w:rPr>
          <w:rFonts w:hint="eastAsia" w:ascii="宋体" w:hAnsi="宋体" w:cs="宋体"/>
          <w:kern w:val="0"/>
          <w:sz w:val="24"/>
        </w:rPr>
        <w:t>（或</w:t>
      </w:r>
      <w:r>
        <w:rPr>
          <w:rFonts w:hint="eastAsia" w:ascii="宋体" w:hAnsi="宋体" w:cs="宋体"/>
          <w:kern w:val="0"/>
          <w:sz w:val="24"/>
          <w:lang w:eastAsia="zh-CN"/>
        </w:rPr>
        <w:t>采购人</w:t>
      </w:r>
      <w:r>
        <w:rPr>
          <w:rFonts w:hint="eastAsia" w:ascii="宋体" w:hAnsi="宋体" w:cs="宋体"/>
          <w:kern w:val="0"/>
          <w:sz w:val="24"/>
        </w:rPr>
        <w:t>）</w:t>
      </w:r>
      <w:r>
        <w:rPr>
          <w:rFonts w:hint="eastAsia" w:ascii="宋体" w:hAnsi="宋体" w:cs="宋体"/>
          <w:color w:val="000000"/>
          <w:kern w:val="0"/>
          <w:sz w:val="24"/>
        </w:rPr>
        <w:t>无须事先征求供应商/中标人同意而可以披露关于采购过程、合同文本、签署情况的资料、供应商/中标人的名称及地址、投标文件的有关信息以及补充条款等，但应当在合理的必要范围内。对任何已经公布过的内容或与之内容相同的资料，以及供应商/中标人已经泄露或公开的，无须再承担保密责任。</w:t>
      </w:r>
    </w:p>
    <w:p w14:paraId="7A1CF564">
      <w:pPr>
        <w:pStyle w:val="3"/>
        <w:keepNext w:val="0"/>
        <w:keepLines w:val="0"/>
        <w:tabs>
          <w:tab w:val="left" w:pos="567"/>
        </w:tabs>
        <w:wordWrap w:val="0"/>
        <w:topLinePunct/>
        <w:adjustRightInd w:val="0"/>
        <w:snapToGrid w:val="0"/>
        <w:spacing w:before="0" w:after="0" w:line="360" w:lineRule="auto"/>
        <w:outlineLvl w:val="0"/>
        <w:rPr>
          <w:szCs w:val="24"/>
        </w:rPr>
      </w:pPr>
      <w:bookmarkStart w:id="54" w:name="_Toc6443"/>
      <w:bookmarkStart w:id="55" w:name="_Toc1435"/>
      <w:r>
        <w:rPr>
          <w:rFonts w:hint="eastAsia" w:cs="宋体"/>
          <w:sz w:val="24"/>
          <w:szCs w:val="24"/>
        </w:rPr>
        <w:t>九、询问和质疑</w:t>
      </w:r>
      <w:bookmarkEnd w:id="54"/>
      <w:bookmarkEnd w:id="55"/>
    </w:p>
    <w:p w14:paraId="0DCA26D5">
      <w:pPr>
        <w:wordWrap w:val="0"/>
        <w:topLinePunct/>
        <w:adjustRightInd w:val="0"/>
        <w:snapToGrid w:val="0"/>
        <w:spacing w:line="360" w:lineRule="auto"/>
        <w:rPr>
          <w:rFonts w:ascii="宋体" w:hAnsi="宋体" w:cs="宋体"/>
          <w:b/>
          <w:color w:val="000000"/>
          <w:kern w:val="0"/>
          <w:sz w:val="24"/>
        </w:rPr>
      </w:pPr>
      <w:r>
        <w:rPr>
          <w:rFonts w:hint="eastAsia" w:ascii="宋体" w:hAnsi="宋体" w:cs="宋体"/>
          <w:b/>
          <w:color w:val="000000"/>
          <w:kern w:val="0"/>
          <w:sz w:val="24"/>
        </w:rPr>
        <w:t>33.供应商有权就招标事宜提出询问和质疑。</w:t>
      </w:r>
    </w:p>
    <w:p w14:paraId="3EBB7E21">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33.1 招标程序受《中华人民共和国政府采购法》、《中华人民共和国政府采购法实施条例》、《政府采购货物和服务招标投标管理办法》和相关法律法规的约束，并受到严格的内部监督，以确保授予合同过程的公平公正。</w:t>
      </w:r>
    </w:p>
    <w:p w14:paraId="706388C4">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33.2 供应商对招标文件条款或商务、技术参数有异议的，应当在开标前通过澄清或修改程序提出。</w:t>
      </w:r>
    </w:p>
    <w:p w14:paraId="2C5C3620">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33.3 供应商对采购文件在法定质疑期内一次性提出针对同一采购程序环节的质疑。</w:t>
      </w:r>
    </w:p>
    <w:p w14:paraId="50E84A70">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33.4 供应商认为招标文件、采购过程、中标或者中标成交结果使自己的合法权益受到损害的，可以在知道或者应知其权益受到损害之日起7个工作日内，向</w:t>
      </w:r>
      <w:r>
        <w:rPr>
          <w:rFonts w:hint="eastAsia" w:ascii="宋体" w:hAnsi="宋体" w:cs="宋体"/>
          <w:color w:val="000000"/>
          <w:kern w:val="0"/>
          <w:sz w:val="24"/>
          <w:lang w:eastAsia="zh-CN"/>
        </w:rPr>
        <w:t>采购人</w:t>
      </w:r>
      <w:r>
        <w:rPr>
          <w:rFonts w:hint="eastAsia" w:ascii="宋体" w:hAnsi="宋体" w:cs="宋体"/>
          <w:color w:val="000000"/>
          <w:kern w:val="0"/>
          <w:sz w:val="24"/>
        </w:rPr>
        <w:t>、</w:t>
      </w:r>
      <w:r>
        <w:rPr>
          <w:rFonts w:hint="eastAsia" w:ascii="宋体" w:hAnsi="宋体" w:cs="宋体"/>
          <w:color w:val="000000"/>
          <w:kern w:val="0"/>
          <w:sz w:val="24"/>
          <w:lang w:eastAsia="zh-CN"/>
        </w:rPr>
        <w:t>采购代理机构</w:t>
      </w:r>
      <w:r>
        <w:rPr>
          <w:rFonts w:hint="eastAsia" w:ascii="宋体" w:hAnsi="宋体" w:cs="宋体"/>
          <w:color w:val="000000"/>
          <w:kern w:val="0"/>
          <w:sz w:val="24"/>
        </w:rPr>
        <w:t>提出质疑。</w:t>
      </w:r>
    </w:p>
    <w:p w14:paraId="20B5931F">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33.5 潜在供应商已依法获取其可质疑的采购文件的，可以对该文件提出质疑。对招标文件提出质疑的，在获取招标文件或者招标公告期限届满之日起7个工作日内提出。</w:t>
      </w:r>
    </w:p>
    <w:p w14:paraId="588ADDE5">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33.6质疑应当以电子形式向</w:t>
      </w:r>
      <w:r>
        <w:rPr>
          <w:rFonts w:hint="eastAsia" w:ascii="宋体" w:hAnsi="宋体" w:cs="宋体"/>
          <w:color w:val="000000"/>
          <w:kern w:val="0"/>
          <w:sz w:val="24"/>
          <w:lang w:eastAsia="zh-CN"/>
        </w:rPr>
        <w:t>采购代理机构</w:t>
      </w:r>
      <w:r>
        <w:rPr>
          <w:rFonts w:hint="eastAsia" w:ascii="宋体" w:hAnsi="宋体" w:cs="宋体"/>
          <w:color w:val="000000"/>
          <w:kern w:val="0"/>
          <w:sz w:val="24"/>
        </w:rPr>
        <w:t>提出，经法定代表人签字并加盖公章。</w:t>
      </w:r>
    </w:p>
    <w:p w14:paraId="7E4B45FC">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33.7 供应商提出质疑应当提交质疑函和必要的证明材料。质疑函应当包括以下主要内容：</w:t>
      </w:r>
    </w:p>
    <w:p w14:paraId="39DCCA4B">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33.7.1供应商的姓名或者名称、地址、邮编、联系人及联系电话；</w:t>
      </w:r>
    </w:p>
    <w:p w14:paraId="4B7908F6">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33.7.2质疑项目名称、编号、标段号（若分包）；</w:t>
      </w:r>
    </w:p>
    <w:p w14:paraId="629B06E5">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33.7.3具体、明确的质疑事项和与质疑事项相关的请求；</w:t>
      </w:r>
    </w:p>
    <w:p w14:paraId="03780DCF">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33.7.4事实依据；</w:t>
      </w:r>
    </w:p>
    <w:p w14:paraId="78E466B8">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33.7.5必要的法律依据；</w:t>
      </w:r>
    </w:p>
    <w:p w14:paraId="139FD728">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33.7.6提出质疑的日期。</w:t>
      </w:r>
    </w:p>
    <w:p w14:paraId="34914BB0">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供应商为自然人的，应当由本人签字；供应商为法人或者其他组织的，应当由法定代表人、主要负责人或者其授权代表签字或者盖章，并加盖公章。</w:t>
      </w:r>
    </w:p>
    <w:p w14:paraId="2CE90142">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33.8 质疑应按照“谁主张、谁举证”的原则，质疑书应当附相关证明材料。质疑材料应为简体中文。</w:t>
      </w:r>
    </w:p>
    <w:p w14:paraId="401807DC">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33.9有下列情形之一的，属于无效质疑，</w:t>
      </w:r>
      <w:r>
        <w:rPr>
          <w:rFonts w:hint="eastAsia" w:ascii="宋体" w:hAnsi="宋体" w:cs="宋体"/>
          <w:color w:val="000000"/>
          <w:kern w:val="0"/>
          <w:sz w:val="24"/>
          <w:lang w:eastAsia="zh-CN"/>
        </w:rPr>
        <w:t>采购代理机构</w:t>
      </w:r>
      <w:r>
        <w:rPr>
          <w:rFonts w:hint="eastAsia" w:ascii="宋体" w:hAnsi="宋体" w:cs="宋体"/>
          <w:color w:val="000000"/>
          <w:kern w:val="0"/>
          <w:sz w:val="24"/>
        </w:rPr>
        <w:t>可不予受理：</w:t>
      </w:r>
    </w:p>
    <w:p w14:paraId="27AD8DFF">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33.9.1未在有效期限内提出质疑的；</w:t>
      </w:r>
    </w:p>
    <w:p w14:paraId="160771A0">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33.9.2质疑未以电子形式提出的；</w:t>
      </w:r>
    </w:p>
    <w:p w14:paraId="273BE78C">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33.9.3所提交材料未明示属于质疑材料的；</w:t>
      </w:r>
    </w:p>
    <w:p w14:paraId="6F504E95">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33.9.4质疑书没有法定代表人签章并加盖单位公章的；质疑书由参加采购项目的授权代表签署本人姓名或印盖本人姓名章，但没有法定代表人特别授权的；</w:t>
      </w:r>
    </w:p>
    <w:p w14:paraId="30BEDE32">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33.9.5质疑书未提供有效联系人或联系方式的；</w:t>
      </w:r>
    </w:p>
    <w:p w14:paraId="4C566CC8">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33.8.6质疑事项已经进入投诉或者行政复议或者诉讼程序的；</w:t>
      </w:r>
    </w:p>
    <w:p w14:paraId="4D587AE9">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33.9.7质疑书未附相关证明材料，被视为无有效证据支持的；</w:t>
      </w:r>
    </w:p>
    <w:p w14:paraId="08AD3B24">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33.9.8供应商对招标文件条款或技术参数有异议，未在开标前通过澄清或修改程序提出，并且供应商已经参与投标，而于开标后对招标文件提出质疑的；</w:t>
      </w:r>
    </w:p>
    <w:p w14:paraId="0088BE15">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33.9.9在提出本次质疑前半年内连续三次质疑而无事实依据的；</w:t>
      </w:r>
    </w:p>
    <w:p w14:paraId="592CA61B">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33.9.10其它不符合受理条件的情形。</w:t>
      </w:r>
    </w:p>
    <w:p w14:paraId="64750329">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33.10</w:t>
      </w:r>
      <w:r>
        <w:rPr>
          <w:rFonts w:hint="eastAsia" w:ascii="宋体" w:hAnsi="宋体" w:cs="宋体"/>
          <w:color w:val="000000"/>
          <w:kern w:val="0"/>
          <w:sz w:val="24"/>
          <w:lang w:eastAsia="zh-CN"/>
        </w:rPr>
        <w:t>采购人</w:t>
      </w:r>
      <w:r>
        <w:rPr>
          <w:rFonts w:hint="eastAsia" w:ascii="宋体" w:hAnsi="宋体" w:cs="宋体"/>
          <w:color w:val="000000"/>
          <w:kern w:val="0"/>
          <w:sz w:val="24"/>
        </w:rPr>
        <w:t>、</w:t>
      </w:r>
      <w:r>
        <w:rPr>
          <w:rFonts w:hint="eastAsia" w:ascii="宋体" w:hAnsi="宋体" w:cs="宋体"/>
          <w:color w:val="000000"/>
          <w:kern w:val="0"/>
          <w:sz w:val="24"/>
          <w:lang w:eastAsia="zh-CN"/>
        </w:rPr>
        <w:t>采购代理机构</w:t>
      </w:r>
      <w:r>
        <w:rPr>
          <w:rFonts w:hint="eastAsia" w:ascii="宋体" w:hAnsi="宋体" w:cs="宋体"/>
          <w:color w:val="000000"/>
          <w:kern w:val="0"/>
          <w:sz w:val="24"/>
        </w:rPr>
        <w:t>不得拒收质疑供应商在法定质疑期内发出的质疑函，应当在收到质疑函后7个工作日内做出答复，通知质疑供应商和其他有关供应商。</w:t>
      </w:r>
    </w:p>
    <w:p w14:paraId="6B3126B7">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33.11供应商对评审过程、中标结果提出质疑的，</w:t>
      </w:r>
      <w:r>
        <w:rPr>
          <w:rFonts w:hint="eastAsia" w:ascii="宋体" w:hAnsi="宋体" w:cs="宋体"/>
          <w:color w:val="000000"/>
          <w:kern w:val="0"/>
          <w:sz w:val="24"/>
          <w:lang w:eastAsia="zh-CN"/>
        </w:rPr>
        <w:t>采购人</w:t>
      </w:r>
      <w:r>
        <w:rPr>
          <w:rFonts w:hint="eastAsia" w:ascii="宋体" w:hAnsi="宋体" w:cs="宋体"/>
          <w:color w:val="000000"/>
          <w:kern w:val="0"/>
          <w:sz w:val="24"/>
        </w:rPr>
        <w:t>、</w:t>
      </w:r>
      <w:r>
        <w:rPr>
          <w:rFonts w:hint="eastAsia" w:ascii="宋体" w:hAnsi="宋体" w:cs="宋体"/>
          <w:color w:val="000000"/>
          <w:kern w:val="0"/>
          <w:sz w:val="24"/>
          <w:lang w:eastAsia="zh-CN"/>
        </w:rPr>
        <w:t>采购代理机构</w:t>
      </w:r>
      <w:r>
        <w:rPr>
          <w:rFonts w:hint="eastAsia" w:ascii="宋体" w:hAnsi="宋体" w:cs="宋体"/>
          <w:color w:val="000000"/>
          <w:kern w:val="0"/>
          <w:sz w:val="24"/>
        </w:rPr>
        <w:t>可以组织原评标委员会协助答复质疑。</w:t>
      </w:r>
    </w:p>
    <w:p w14:paraId="2D822B22">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33.12质疑答复应当包含以下内容：</w:t>
      </w:r>
    </w:p>
    <w:p w14:paraId="4CE46AE6">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质疑供应商的姓名或者名称；收到质疑函的日期、质疑项目名称及编号；质疑事项、质疑答复的具体内容、事实依据和法律依据；告知质疑供应商依法投诉的权利；质疑答复人名称；答复质疑的日期。质疑答复的内容不得涉及商业秘密。</w:t>
      </w:r>
    </w:p>
    <w:p w14:paraId="734861FE">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33.13</w:t>
      </w:r>
      <w:r>
        <w:rPr>
          <w:rFonts w:hint="eastAsia" w:ascii="宋体" w:hAnsi="宋体" w:cs="宋体"/>
          <w:color w:val="000000"/>
          <w:kern w:val="0"/>
          <w:sz w:val="24"/>
          <w:lang w:eastAsia="zh-CN"/>
        </w:rPr>
        <w:t>采购人</w:t>
      </w:r>
      <w:r>
        <w:rPr>
          <w:rFonts w:hint="eastAsia" w:ascii="宋体" w:hAnsi="宋体" w:cs="宋体"/>
          <w:color w:val="000000"/>
          <w:kern w:val="0"/>
          <w:sz w:val="24"/>
        </w:rPr>
        <w:t>、</w:t>
      </w:r>
      <w:r>
        <w:rPr>
          <w:rFonts w:hint="eastAsia" w:ascii="宋体" w:hAnsi="宋体" w:cs="宋体"/>
          <w:color w:val="000000"/>
          <w:kern w:val="0"/>
          <w:sz w:val="24"/>
          <w:lang w:eastAsia="zh-CN"/>
        </w:rPr>
        <w:t>采购代理机构</w:t>
      </w:r>
      <w:r>
        <w:rPr>
          <w:rFonts w:hint="eastAsia" w:ascii="宋体" w:hAnsi="宋体" w:cs="宋体"/>
          <w:color w:val="000000"/>
          <w:kern w:val="0"/>
          <w:sz w:val="24"/>
        </w:rPr>
        <w:t>认为供应商质疑不成立，或者成立但未对中标结果构成影响的，继续开展采购活动；认为供应商质疑成立且影响或者可能影响中标结果的，按照下列情况处理：</w:t>
      </w:r>
    </w:p>
    <w:p w14:paraId="2D88002A">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33.13.1对招标文件提出的质疑，依法通过澄清或者修改可以继续开展招标活动；否则应当修改招标文件后重新开展活动。</w:t>
      </w:r>
    </w:p>
    <w:p w14:paraId="5CD55591">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33.13.2对招标过程、中标结果提出的质疑，合格供应商符合法定数量时，可以从合格的中标候选人中另行确定中标人的，应当依法另行确定中标人；否则应当重新开展招标活动。</w:t>
      </w:r>
    </w:p>
    <w:p w14:paraId="7E6B944B">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质疑答复导致中标结果改变的，采购</w:t>
      </w:r>
      <w:r>
        <w:rPr>
          <w:rFonts w:hint="eastAsia" w:ascii="宋体" w:hAnsi="宋体" w:cs="宋体"/>
          <w:color w:val="000000"/>
          <w:kern w:val="0"/>
          <w:sz w:val="24"/>
          <w:lang w:val="en-US" w:eastAsia="zh-CN"/>
        </w:rPr>
        <w:t>人</w:t>
      </w:r>
      <w:r>
        <w:rPr>
          <w:rFonts w:hint="eastAsia" w:ascii="宋体" w:hAnsi="宋体" w:cs="宋体"/>
          <w:color w:val="000000"/>
          <w:kern w:val="0"/>
          <w:sz w:val="24"/>
        </w:rPr>
        <w:t>或者</w:t>
      </w:r>
      <w:r>
        <w:rPr>
          <w:rFonts w:hint="eastAsia" w:ascii="宋体" w:hAnsi="宋体" w:cs="宋体"/>
          <w:color w:val="000000"/>
          <w:kern w:val="0"/>
          <w:sz w:val="24"/>
          <w:lang w:eastAsia="zh-CN"/>
        </w:rPr>
        <w:t>采购代理机构</w:t>
      </w:r>
      <w:r>
        <w:rPr>
          <w:rFonts w:hint="eastAsia" w:ascii="宋体" w:hAnsi="宋体" w:cs="宋体"/>
          <w:color w:val="000000"/>
          <w:kern w:val="0"/>
          <w:sz w:val="24"/>
        </w:rPr>
        <w:t>应当将有关情况书面报告本级财政部门。</w:t>
      </w:r>
    </w:p>
    <w:p w14:paraId="617B8291">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33.14质疑供应商对</w:t>
      </w:r>
      <w:r>
        <w:rPr>
          <w:rFonts w:hint="eastAsia" w:ascii="宋体" w:hAnsi="宋体" w:cs="宋体"/>
          <w:color w:val="000000"/>
          <w:kern w:val="0"/>
          <w:sz w:val="24"/>
          <w:lang w:eastAsia="zh-CN"/>
        </w:rPr>
        <w:t>采购人</w:t>
      </w:r>
      <w:r>
        <w:rPr>
          <w:rFonts w:hint="eastAsia" w:ascii="宋体" w:hAnsi="宋体" w:cs="宋体"/>
          <w:color w:val="000000"/>
          <w:kern w:val="0"/>
          <w:sz w:val="24"/>
        </w:rPr>
        <w:t>、</w:t>
      </w:r>
      <w:r>
        <w:rPr>
          <w:rFonts w:hint="eastAsia" w:ascii="宋体" w:hAnsi="宋体" w:cs="宋体"/>
          <w:color w:val="000000"/>
          <w:kern w:val="0"/>
          <w:sz w:val="24"/>
          <w:lang w:eastAsia="zh-CN"/>
        </w:rPr>
        <w:t>采购代理机构</w:t>
      </w:r>
      <w:r>
        <w:rPr>
          <w:rFonts w:hint="eastAsia" w:ascii="宋体" w:hAnsi="宋体" w:cs="宋体"/>
          <w:color w:val="000000"/>
          <w:kern w:val="0"/>
          <w:sz w:val="24"/>
        </w:rPr>
        <w:t>的答复不满意，或者</w:t>
      </w:r>
      <w:r>
        <w:rPr>
          <w:rFonts w:hint="eastAsia" w:ascii="宋体" w:hAnsi="宋体" w:cs="宋体"/>
          <w:color w:val="000000"/>
          <w:kern w:val="0"/>
          <w:sz w:val="24"/>
          <w:lang w:eastAsia="zh-CN"/>
        </w:rPr>
        <w:t>采购代理机构</w:t>
      </w:r>
      <w:r>
        <w:rPr>
          <w:rFonts w:hint="eastAsia" w:ascii="宋体" w:hAnsi="宋体" w:cs="宋体"/>
          <w:color w:val="000000"/>
          <w:kern w:val="0"/>
          <w:sz w:val="24"/>
        </w:rPr>
        <w:t>未在规定的时间内做出答复的，可以在答复期满后15个工作日内向政府采购监管部门投诉。</w:t>
      </w:r>
    </w:p>
    <w:p w14:paraId="5B87B8F3">
      <w:pPr>
        <w:pStyle w:val="3"/>
        <w:keepNext w:val="0"/>
        <w:keepLines w:val="0"/>
        <w:tabs>
          <w:tab w:val="left" w:pos="567"/>
        </w:tabs>
        <w:wordWrap w:val="0"/>
        <w:topLinePunct/>
        <w:adjustRightInd w:val="0"/>
        <w:snapToGrid w:val="0"/>
        <w:spacing w:before="0" w:after="0" w:line="360" w:lineRule="auto"/>
        <w:outlineLvl w:val="0"/>
        <w:rPr>
          <w:rFonts w:cs="宋体"/>
          <w:sz w:val="24"/>
          <w:szCs w:val="24"/>
        </w:rPr>
      </w:pPr>
      <w:bookmarkStart w:id="56" w:name="_Toc21164"/>
      <w:bookmarkStart w:id="57" w:name="_Toc17584"/>
      <w:r>
        <w:rPr>
          <w:rFonts w:hint="eastAsia" w:cs="宋体"/>
          <w:sz w:val="24"/>
          <w:szCs w:val="24"/>
        </w:rPr>
        <w:t>十、违约处罚</w:t>
      </w:r>
      <w:bookmarkEnd w:id="56"/>
      <w:bookmarkEnd w:id="57"/>
    </w:p>
    <w:p w14:paraId="56539C96">
      <w:pPr>
        <w:wordWrap w:val="0"/>
        <w:topLinePunct/>
        <w:adjustRightInd w:val="0"/>
        <w:snapToGrid w:val="0"/>
        <w:spacing w:line="360" w:lineRule="auto"/>
        <w:rPr>
          <w:rFonts w:ascii="宋体" w:hAnsi="宋体" w:cs="宋体"/>
          <w:sz w:val="24"/>
        </w:rPr>
      </w:pPr>
      <w:r>
        <w:rPr>
          <w:rFonts w:hint="eastAsia" w:ascii="宋体" w:hAnsi="宋体" w:cs="宋体"/>
          <w:color w:val="000000"/>
          <w:kern w:val="0"/>
          <w:sz w:val="24"/>
        </w:rPr>
        <w:t>34. 供应商发生下列情况之一的，可能被列入不良记录名单，</w:t>
      </w:r>
      <w:r>
        <w:rPr>
          <w:rFonts w:hint="eastAsia" w:ascii="宋体" w:hAnsi="宋体" w:cs="宋体"/>
          <w:sz w:val="24"/>
        </w:rPr>
        <w:t>同时</w:t>
      </w:r>
      <w:r>
        <w:rPr>
          <w:rFonts w:hint="eastAsia" w:ascii="宋体" w:hAnsi="宋体" w:cs="宋体"/>
          <w:sz w:val="24"/>
          <w:lang w:eastAsia="zh-CN"/>
        </w:rPr>
        <w:t>采购代理机构</w:t>
      </w:r>
      <w:r>
        <w:rPr>
          <w:rFonts w:hint="eastAsia" w:ascii="宋体" w:hAnsi="宋体" w:cs="宋体"/>
          <w:sz w:val="24"/>
        </w:rPr>
        <w:t xml:space="preserve">将提请政府采购监管部门，依据政府采购法律法规的规定作出处理。 </w:t>
      </w:r>
    </w:p>
    <w:p w14:paraId="5851AFF0">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34.1开标后在投标有效期内，供应商撤回其投标；</w:t>
      </w:r>
    </w:p>
    <w:p w14:paraId="20B42FAC">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34.2在评标期间，供应商企图影响</w:t>
      </w:r>
      <w:r>
        <w:rPr>
          <w:rFonts w:hint="eastAsia" w:ascii="宋体" w:hAnsi="宋体" w:cs="宋体"/>
          <w:color w:val="000000"/>
          <w:kern w:val="0"/>
          <w:sz w:val="24"/>
          <w:lang w:eastAsia="zh-CN"/>
        </w:rPr>
        <w:t>采购代理机构</w:t>
      </w:r>
      <w:r>
        <w:rPr>
          <w:rFonts w:hint="eastAsia" w:ascii="宋体" w:hAnsi="宋体" w:cs="宋体"/>
          <w:color w:val="000000"/>
          <w:kern w:val="0"/>
          <w:sz w:val="24"/>
        </w:rPr>
        <w:t>或评标委员会的任何活动，将导致投标被拒绝，并由其承担相应的法律责任；</w:t>
      </w:r>
    </w:p>
    <w:p w14:paraId="5E5415BD">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 xml:space="preserve">34.3中标人未按本招标文件规定签约； </w:t>
      </w:r>
    </w:p>
    <w:p w14:paraId="29A02801">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34.4中标人与</w:t>
      </w:r>
      <w:r>
        <w:rPr>
          <w:rFonts w:hint="eastAsia" w:ascii="宋体" w:hAnsi="宋体" w:cs="宋体"/>
          <w:color w:val="000000"/>
          <w:kern w:val="0"/>
          <w:sz w:val="24"/>
          <w:lang w:eastAsia="zh-CN"/>
        </w:rPr>
        <w:t>采购人</w:t>
      </w:r>
      <w:r>
        <w:rPr>
          <w:rFonts w:hint="eastAsia" w:ascii="宋体" w:hAnsi="宋体" w:cs="宋体"/>
          <w:color w:val="000000"/>
          <w:kern w:val="0"/>
          <w:sz w:val="24"/>
        </w:rPr>
        <w:t xml:space="preserve">订立背离合同实质性内容的其它协议； </w:t>
      </w:r>
    </w:p>
    <w:p w14:paraId="673A9649">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34.5供应商未按招标文件规定和合同约定履行义务的。</w:t>
      </w:r>
    </w:p>
    <w:p w14:paraId="29A6C7B4">
      <w:pPr>
        <w:wordWrap w:val="0"/>
        <w:topLinePunct/>
        <w:adjustRightInd w:val="0"/>
        <w:snapToGrid w:val="0"/>
        <w:spacing w:line="360" w:lineRule="auto"/>
        <w:rPr>
          <w:rFonts w:ascii="宋体" w:hAnsi="宋体" w:cs="宋体"/>
          <w:color w:val="000000"/>
          <w:kern w:val="0"/>
          <w:sz w:val="24"/>
        </w:rPr>
      </w:pPr>
      <w:r>
        <w:rPr>
          <w:rFonts w:hint="eastAsia" w:ascii="宋体" w:hAnsi="宋体" w:cs="宋体"/>
          <w:bCs/>
          <w:color w:val="000000"/>
          <w:kern w:val="0"/>
          <w:sz w:val="24"/>
        </w:rPr>
        <w:t>35．</w:t>
      </w:r>
      <w:r>
        <w:rPr>
          <w:rFonts w:hint="eastAsia" w:ascii="宋体" w:hAnsi="宋体" w:cs="宋体"/>
          <w:bCs/>
          <w:color w:val="000000"/>
          <w:kern w:val="0"/>
          <w:sz w:val="24"/>
          <w:lang w:eastAsia="zh-CN"/>
        </w:rPr>
        <w:t>采购人</w:t>
      </w:r>
      <w:r>
        <w:rPr>
          <w:rFonts w:hint="eastAsia" w:ascii="宋体" w:hAnsi="宋体" w:cs="宋体"/>
          <w:bCs/>
          <w:color w:val="000000"/>
          <w:kern w:val="0"/>
          <w:sz w:val="24"/>
        </w:rPr>
        <w:t>有下列情形之一的，由财政部门责令限期改正；情节严重的，给</w:t>
      </w:r>
      <w:r>
        <w:rPr>
          <w:rFonts w:hint="eastAsia" w:ascii="宋体" w:hAnsi="宋体" w:cs="宋体"/>
          <w:color w:val="000000"/>
          <w:kern w:val="0"/>
          <w:sz w:val="24"/>
        </w:rPr>
        <w:t>予警告，对直接负责的主管人员和其他直接责任人员由其行政主管部门或者有关机关依法给予处分，并予以通报；涉嫌犯罪的，移送司法机关处理：</w:t>
      </w:r>
    </w:p>
    <w:p w14:paraId="2ED90AE3">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（一）未按照本办法的规定编制采购需求的；</w:t>
      </w:r>
    </w:p>
    <w:p w14:paraId="6891459F">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（二）</w:t>
      </w:r>
      <w:r>
        <w:rPr>
          <w:rFonts w:hint="eastAsia" w:ascii="宋体" w:hAnsi="宋体" w:cs="宋体"/>
          <w:color w:val="000000"/>
          <w:kern w:val="0"/>
          <w:sz w:val="24"/>
          <w:lang w:eastAsia="zh-CN"/>
        </w:rPr>
        <w:t>采购人</w:t>
      </w:r>
      <w:r>
        <w:rPr>
          <w:rFonts w:hint="eastAsia" w:ascii="宋体" w:hAnsi="宋体" w:cs="宋体"/>
          <w:color w:val="000000"/>
          <w:kern w:val="0"/>
          <w:sz w:val="24"/>
        </w:rPr>
        <w:t>向供应商索要或者接受其给予的赠品、回扣或者与采购无关的其他商品、服务的；</w:t>
      </w:r>
    </w:p>
    <w:p w14:paraId="17C3F41C">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（三）向中标人提出不合理要求作为签订合同条件的。</w:t>
      </w:r>
    </w:p>
    <w:p w14:paraId="397B41B5">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36．评标委员会及其成员不得有下列行为：</w:t>
      </w:r>
    </w:p>
    <w:p w14:paraId="047DC62C">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（一）确定参与评标至评标结束前私自接触供应商；</w:t>
      </w:r>
    </w:p>
    <w:p w14:paraId="4E384D7A">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（二）接受供应商提出的与投标文件不一致的澄清或者说明，对于投标文件中含义不明确、同类问题表述不一致或者有明显文字和计算错误的内容的情形除外；</w:t>
      </w:r>
    </w:p>
    <w:p w14:paraId="759217A2">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（三）违反评标纪律发表倾向性意见或者征询</w:t>
      </w:r>
      <w:r>
        <w:rPr>
          <w:rFonts w:hint="eastAsia" w:ascii="宋体" w:hAnsi="宋体" w:cs="宋体"/>
          <w:color w:val="000000"/>
          <w:kern w:val="0"/>
          <w:sz w:val="24"/>
          <w:lang w:eastAsia="zh-CN"/>
        </w:rPr>
        <w:t>采购人</w:t>
      </w:r>
      <w:r>
        <w:rPr>
          <w:rFonts w:hint="eastAsia" w:ascii="宋体" w:hAnsi="宋体" w:cs="宋体"/>
          <w:color w:val="000000"/>
          <w:kern w:val="0"/>
          <w:sz w:val="24"/>
        </w:rPr>
        <w:t>的倾向性意见；</w:t>
      </w:r>
    </w:p>
    <w:p w14:paraId="77B31E49">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（四）对需要专业判断的主观评审因素协商评分；</w:t>
      </w:r>
    </w:p>
    <w:p w14:paraId="5816B901">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（五）在评标过程中擅离职守，影响评标程序正常进行的；</w:t>
      </w:r>
    </w:p>
    <w:p w14:paraId="49ECF9DE">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（六）记录、复制或者带走任何评标资料；</w:t>
      </w:r>
    </w:p>
    <w:p w14:paraId="623A86A0">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（七）其他不遵守评标纪律的行为。</w:t>
      </w:r>
    </w:p>
    <w:p w14:paraId="5A3555CE">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 xml:space="preserve"> 评标委员会成员有前款第一至五项行为之一的，其评审意见无效，并不得获取评审劳务报酬和报销异地评审差旅费。</w:t>
      </w:r>
    </w:p>
    <w:p w14:paraId="6A5853C4">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37．</w:t>
      </w:r>
      <w:r>
        <w:rPr>
          <w:rFonts w:hint="eastAsia" w:ascii="宋体" w:hAnsi="宋体" w:cs="宋体"/>
          <w:color w:val="000000"/>
          <w:kern w:val="0"/>
          <w:sz w:val="24"/>
          <w:lang w:eastAsia="zh-CN"/>
        </w:rPr>
        <w:t>采购人</w:t>
      </w:r>
      <w:r>
        <w:rPr>
          <w:rFonts w:hint="eastAsia" w:ascii="宋体" w:hAnsi="宋体" w:cs="宋体"/>
          <w:color w:val="000000"/>
          <w:kern w:val="0"/>
          <w:sz w:val="24"/>
        </w:rPr>
        <w:t>、</w:t>
      </w:r>
      <w:r>
        <w:rPr>
          <w:rFonts w:hint="eastAsia" w:ascii="宋体" w:hAnsi="宋体" w:cs="宋体"/>
          <w:color w:val="000000"/>
          <w:kern w:val="0"/>
          <w:sz w:val="24"/>
          <w:lang w:eastAsia="zh-CN"/>
        </w:rPr>
        <w:t>采购代理机构</w:t>
      </w:r>
      <w:r>
        <w:rPr>
          <w:rFonts w:hint="eastAsia" w:ascii="宋体" w:hAnsi="宋体" w:cs="宋体"/>
          <w:color w:val="000000"/>
          <w:kern w:val="0"/>
          <w:sz w:val="24"/>
        </w:rPr>
        <w:t>有下列情形之一的，由财政部门责令限期改正，情节严重的，给予警告，对直接负责的主管人员和其他直接责任人员，由其行政主管部门或者有关机关给予处分，并予通报；</w:t>
      </w:r>
      <w:r>
        <w:rPr>
          <w:rFonts w:hint="eastAsia" w:ascii="宋体" w:hAnsi="宋体" w:cs="宋体"/>
          <w:color w:val="000000"/>
          <w:kern w:val="0"/>
          <w:sz w:val="24"/>
          <w:lang w:eastAsia="zh-CN"/>
        </w:rPr>
        <w:t>采购代理机构</w:t>
      </w:r>
      <w:r>
        <w:rPr>
          <w:rFonts w:hint="eastAsia" w:ascii="宋体" w:hAnsi="宋体" w:cs="宋体"/>
          <w:color w:val="000000"/>
          <w:kern w:val="0"/>
          <w:sz w:val="24"/>
        </w:rPr>
        <w:t>有违法所得的，没收违法所得，并可以处以不超过违法所得3倍、最高不超过3万元的罚款，没有违法所得的，可以处以1万元以下的罚款：</w:t>
      </w:r>
    </w:p>
    <w:p w14:paraId="45E3465A">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（一）</w:t>
      </w:r>
      <w:r>
        <w:rPr>
          <w:rFonts w:hint="eastAsia" w:ascii="宋体" w:hAnsi="宋体" w:cs="宋体"/>
          <w:color w:val="000000"/>
          <w:kern w:val="0"/>
          <w:sz w:val="24"/>
          <w:lang w:eastAsia="zh-CN"/>
        </w:rPr>
        <w:t>采购代理机构</w:t>
      </w:r>
      <w:r>
        <w:rPr>
          <w:rFonts w:hint="eastAsia" w:ascii="宋体" w:hAnsi="宋体" w:cs="宋体"/>
          <w:color w:val="000000"/>
          <w:kern w:val="0"/>
          <w:sz w:val="24"/>
        </w:rPr>
        <w:t>及其分支机构在所代理的采购项目中投标或者代理投标，为所代理的采购项目的供应商参加本项目提供投标咨询的；</w:t>
      </w:r>
    </w:p>
    <w:p w14:paraId="01E8A14F">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（二）设定最低限价的；</w:t>
      </w:r>
    </w:p>
    <w:p w14:paraId="0B3B9F10">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（三）未按照规定进行资格预审或者资格审查的；</w:t>
      </w:r>
    </w:p>
    <w:p w14:paraId="17ED19DD">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（四）违反本办法规定确定招标文件售价的；</w:t>
      </w:r>
    </w:p>
    <w:p w14:paraId="64240857">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（五）未按规定对开标、评标活动进行全程录音录像的；</w:t>
      </w:r>
    </w:p>
    <w:p w14:paraId="24ADB1ED">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（六）擅自终止招投标活动的；</w:t>
      </w:r>
    </w:p>
    <w:p w14:paraId="6E390299">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（七）未按照规定进行开标和组织评标的；</w:t>
      </w:r>
    </w:p>
    <w:p w14:paraId="327DB270">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（八）违反本办法规定进行重新评审或者重新组建评标委员会进行评标的；</w:t>
      </w:r>
    </w:p>
    <w:p w14:paraId="115AAA25">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 xml:space="preserve">（九）开标前泄露已获取招标文件的潜在供应商的名称、数量或者其他可能影响公平竞争的有关招标投标情况的； </w:t>
      </w:r>
    </w:p>
    <w:p w14:paraId="6A2E38B9">
      <w:pPr>
        <w:wordWrap w:val="0"/>
        <w:topLinePunct/>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（十）未妥善保存采购文件的；</w:t>
      </w:r>
    </w:p>
    <w:p w14:paraId="27642D9D">
      <w:pPr>
        <w:wordWrap w:val="0"/>
        <w:topLinePunct/>
        <w:adjustRightInd w:val="0"/>
        <w:snapToGrid w:val="0"/>
        <w:spacing w:line="360" w:lineRule="auto"/>
        <w:rPr>
          <w:rFonts w:hint="eastAsia" w:ascii="宋体" w:hAnsi="宋体" w:cs="宋体"/>
          <w:color w:val="000000"/>
          <w:kern w:val="0"/>
          <w:sz w:val="24"/>
        </w:rPr>
      </w:pPr>
      <w:r>
        <w:rPr>
          <w:rFonts w:hint="eastAsia" w:ascii="宋体" w:hAnsi="宋体" w:cs="宋体"/>
          <w:color w:val="000000"/>
          <w:kern w:val="0"/>
          <w:sz w:val="24"/>
        </w:rPr>
        <w:t>（十一）其他违反本办法规定的情形。</w:t>
      </w:r>
      <w:bookmarkStart w:id="58" w:name="_Toc21769"/>
      <w:bookmarkStart w:id="59" w:name="_Toc32536"/>
    </w:p>
    <w:p w14:paraId="29E336B9">
      <w:pPr>
        <w:wordWrap w:val="0"/>
        <w:topLinePunct/>
        <w:adjustRightInd w:val="0"/>
        <w:snapToGrid w:val="0"/>
        <w:spacing w:after="315" w:afterLines="100" w:afterAutospacing="0" w:line="360" w:lineRule="auto"/>
        <w:rPr>
          <w:rFonts w:cs="宋体"/>
        </w:rPr>
      </w:pPr>
      <w:r>
        <w:rPr>
          <w:rFonts w:hint="eastAsia" w:cs="宋体"/>
        </w:rPr>
        <w:t>十一、相关政策要求</w:t>
      </w:r>
      <w:bookmarkEnd w:id="58"/>
      <w:bookmarkEnd w:id="59"/>
    </w:p>
    <w:p w14:paraId="572E73CC">
      <w:pPr>
        <w:pStyle w:val="31"/>
        <w:keepNext/>
        <w:snapToGrid w:val="0"/>
        <w:spacing w:line="360" w:lineRule="auto"/>
        <w:ind w:firstLine="480" w:firstLineChars="200"/>
        <w:jc w:val="both"/>
        <w:rPr>
          <w:rFonts w:ascii="宋体"/>
        </w:rPr>
      </w:pPr>
      <w:r>
        <w:rPr>
          <w:rFonts w:hint="eastAsia" w:ascii="宋体" w:hAnsi="宋体"/>
        </w:rPr>
        <w:t>38.政府采购政策性要求内容认定</w:t>
      </w:r>
      <w:r>
        <w:rPr>
          <w:rFonts w:ascii="宋体" w:hAnsi="宋体"/>
        </w:rPr>
        <w:t>(</w:t>
      </w:r>
      <w:r>
        <w:rPr>
          <w:rFonts w:hint="eastAsia" w:ascii="宋体" w:hAnsi="宋体"/>
        </w:rPr>
        <w:t>如适用</w:t>
      </w:r>
      <w:r>
        <w:rPr>
          <w:rFonts w:ascii="宋体" w:hAnsi="宋体"/>
        </w:rPr>
        <w:t>)</w:t>
      </w:r>
    </w:p>
    <w:p w14:paraId="29B348A5">
      <w:pPr>
        <w:pStyle w:val="31"/>
        <w:keepNext/>
        <w:snapToGrid w:val="0"/>
        <w:spacing w:line="360" w:lineRule="auto"/>
        <w:ind w:firstLine="480" w:firstLineChars="200"/>
        <w:jc w:val="both"/>
        <w:rPr>
          <w:rFonts w:ascii="宋体"/>
        </w:rPr>
      </w:pPr>
      <w:r>
        <w:rPr>
          <w:rFonts w:hint="eastAsia" w:ascii="宋体" w:hAnsi="宋体"/>
        </w:rPr>
        <w:t>38.1根据《国务院办公厅关于建立政府强制采购节能产品制度的通知》（国办发〔</w:t>
      </w:r>
      <w:r>
        <w:rPr>
          <w:rFonts w:ascii="宋体" w:hAnsi="宋体"/>
        </w:rPr>
        <w:t>2007</w:t>
      </w:r>
      <w:r>
        <w:rPr>
          <w:rFonts w:hint="eastAsia" w:ascii="宋体" w:hAnsi="宋体"/>
        </w:rPr>
        <w:t>〕</w:t>
      </w:r>
      <w:r>
        <w:rPr>
          <w:rFonts w:ascii="宋体" w:hAnsi="宋体"/>
        </w:rPr>
        <w:t>51</w:t>
      </w:r>
      <w:r>
        <w:rPr>
          <w:rFonts w:hint="eastAsia" w:ascii="宋体" w:hAnsi="宋体"/>
        </w:rPr>
        <w:t>号）的规定，本项目采购的货物中如包含财政部、发改委发布的最新一期《节能产品政府采购清单》中</w:t>
      </w:r>
      <w:r>
        <w:rPr>
          <w:rFonts w:hint="eastAsia" w:ascii="宋体"/>
        </w:rPr>
        <w:t>“★”</w:t>
      </w:r>
      <w:r>
        <w:rPr>
          <w:rFonts w:hint="eastAsia" w:ascii="宋体" w:hAnsi="宋体"/>
        </w:rPr>
        <w:t>标注的国家强制性采购产品，以及同时属于财政部、环保部发布的最新一期《环境标志产品政府采购清单》中的产品，均须提供清单中的国家强制性采购产品。本文件有规定允许采购清单以外产品的除外。</w:t>
      </w:r>
    </w:p>
    <w:p w14:paraId="46B38DFE">
      <w:pPr>
        <w:pStyle w:val="31"/>
        <w:keepNext/>
        <w:snapToGrid w:val="0"/>
        <w:spacing w:line="360" w:lineRule="auto"/>
        <w:ind w:firstLine="480" w:firstLineChars="200"/>
        <w:jc w:val="both"/>
        <w:rPr>
          <w:rFonts w:ascii="宋体"/>
        </w:rPr>
      </w:pPr>
      <w:r>
        <w:rPr>
          <w:rFonts w:hint="eastAsia" w:ascii="宋体" w:hAnsi="宋体"/>
        </w:rPr>
        <w:t>货物中有节能产品、环境标志产品的，须按第七章的格式如实填写节能产品明细表、环境标志产品明细表，同时，提供所投产品在最新一期《节能产品政府采购清单》和最新一期《环境标志产品政府采购清单》中所在页截图，并予以标记</w:t>
      </w:r>
      <w:r>
        <w:rPr>
          <w:rFonts w:ascii="宋体"/>
        </w:rPr>
        <w:t>,</w:t>
      </w:r>
      <w:r>
        <w:rPr>
          <w:rFonts w:hint="eastAsia" w:ascii="宋体" w:hAnsi="宋体"/>
        </w:rPr>
        <w:t>作为评定依据。包含有国家强制采购的节能、环保产品，供应商未在投标文件中进行标记，评标小组经审查所报产品不属于国家强制采购的节能、环保产品将对其投标文件作无效处理。</w:t>
      </w:r>
    </w:p>
    <w:p w14:paraId="5DAF3728">
      <w:pPr>
        <w:pStyle w:val="31"/>
        <w:keepNext/>
        <w:snapToGrid w:val="0"/>
        <w:spacing w:line="360" w:lineRule="auto"/>
        <w:ind w:firstLine="480" w:firstLineChars="200"/>
        <w:jc w:val="both"/>
        <w:rPr>
          <w:rFonts w:ascii="宋体"/>
        </w:rPr>
      </w:pPr>
      <w:r>
        <w:rPr>
          <w:rFonts w:hint="eastAsia" w:ascii="宋体" w:hAnsi="宋体"/>
        </w:rPr>
        <w:t>38.2本项目所采购的货物中如包含计算机，必须预装正版操作系统软件产品；所采购的其它软件必须为正版软件。</w:t>
      </w:r>
    </w:p>
    <w:p w14:paraId="7E6F37B6">
      <w:pPr>
        <w:pStyle w:val="31"/>
        <w:keepNext/>
        <w:snapToGrid w:val="0"/>
        <w:spacing w:line="360" w:lineRule="auto"/>
        <w:ind w:firstLine="480" w:firstLineChars="200"/>
        <w:jc w:val="both"/>
        <w:rPr>
          <w:rFonts w:ascii="宋体"/>
        </w:rPr>
      </w:pPr>
      <w:r>
        <w:rPr>
          <w:rFonts w:hint="eastAsia" w:ascii="宋体" w:hAnsi="宋体"/>
        </w:rPr>
        <w:t>38.3供应商提供货物中如含有财政部会同有关部门制定下发的《信息安全产品强制性认证目录》中的产品，须提供中国信息安全认证中心按国家标准认证颁发的有效认证证书。未附有效认证证书，将有可能导致投标文件无效。</w:t>
      </w:r>
    </w:p>
    <w:p w14:paraId="501472AC">
      <w:pPr>
        <w:pStyle w:val="31"/>
        <w:keepNext/>
        <w:snapToGrid w:val="0"/>
        <w:spacing w:line="360" w:lineRule="auto"/>
        <w:ind w:firstLine="480" w:firstLineChars="200"/>
        <w:jc w:val="both"/>
        <w:rPr>
          <w:rFonts w:ascii="宋体"/>
        </w:rPr>
      </w:pPr>
      <w:r>
        <w:rPr>
          <w:rFonts w:hint="eastAsia" w:ascii="宋体" w:hAnsi="宋体"/>
        </w:rPr>
        <w:t>38.4中小微企业参加本项目评审标准</w:t>
      </w:r>
    </w:p>
    <w:p w14:paraId="4E0032A0">
      <w:pPr>
        <w:pStyle w:val="31"/>
        <w:keepNext/>
        <w:snapToGrid w:val="0"/>
        <w:spacing w:line="360" w:lineRule="auto"/>
        <w:ind w:firstLine="480" w:firstLineChars="200"/>
        <w:jc w:val="both"/>
        <w:rPr>
          <w:rFonts w:ascii="宋体"/>
        </w:rPr>
      </w:pPr>
      <w:r>
        <w:rPr>
          <w:rFonts w:hint="eastAsia" w:ascii="宋体" w:hAnsi="宋体"/>
        </w:rPr>
        <w:t>（</w:t>
      </w:r>
      <w:r>
        <w:rPr>
          <w:rFonts w:ascii="宋体" w:hAnsi="宋体"/>
        </w:rPr>
        <w:t>1</w:t>
      </w:r>
      <w:r>
        <w:rPr>
          <w:rFonts w:hint="eastAsia" w:ascii="宋体" w:hAnsi="宋体"/>
        </w:rPr>
        <w:t>）审查《中小企业声明函》各项内容是否符合相关规定要求，同时需提供由</w:t>
      </w:r>
      <w:r>
        <w:rPr>
          <w:rFonts w:hint="eastAsia" w:ascii="宋体" w:hAnsi="宋体"/>
          <w:lang w:val="zh-CN"/>
        </w:rPr>
        <w:t>地市级以上</w:t>
      </w:r>
      <w:r>
        <w:rPr>
          <w:rFonts w:hint="eastAsia" w:ascii="宋体" w:hAnsi="宋体"/>
        </w:rPr>
        <w:t>中小企业管理部门对供应商出具的小、微企业认定证明材料（须提供原件），否则不予认定。如评标过程中发现虚假声明，则拒绝其报价，同时可认为供应商提供虚假材料谋取成交，可按《中华人民共和国政府采购法》第七十七条规定处理。</w:t>
      </w:r>
    </w:p>
    <w:p w14:paraId="3E6350C2">
      <w:pPr>
        <w:pStyle w:val="31"/>
        <w:keepNext/>
        <w:snapToGrid w:val="0"/>
        <w:spacing w:line="360" w:lineRule="auto"/>
        <w:ind w:firstLine="480" w:firstLineChars="200"/>
        <w:jc w:val="both"/>
        <w:rPr>
          <w:rFonts w:ascii="宋体"/>
        </w:rPr>
      </w:pPr>
      <w:r>
        <w:rPr>
          <w:rFonts w:hint="eastAsia" w:ascii="宋体" w:hAnsi="宋体"/>
        </w:rPr>
        <w:t>（</w:t>
      </w:r>
      <w:r>
        <w:rPr>
          <w:rFonts w:ascii="宋体" w:hAnsi="宋体"/>
        </w:rPr>
        <w:t>2</w:t>
      </w:r>
      <w:r>
        <w:rPr>
          <w:rFonts w:hint="eastAsia" w:ascii="宋体" w:hAnsi="宋体"/>
        </w:rPr>
        <w:t>）产品价格折扣：小、微型企业给予10%的价格扣除，用扣除后的价格参与评审。</w:t>
      </w:r>
    </w:p>
    <w:p w14:paraId="25C2844F">
      <w:pPr>
        <w:pStyle w:val="31"/>
        <w:keepNext/>
        <w:spacing w:line="360" w:lineRule="auto"/>
        <w:ind w:firstLine="480" w:firstLineChars="200"/>
        <w:rPr>
          <w:rFonts w:ascii="宋体"/>
          <w:snapToGrid w:val="0"/>
        </w:rPr>
      </w:pPr>
      <w:r>
        <w:rPr>
          <w:rFonts w:hint="eastAsia" w:ascii="宋体" w:hAnsi="宋体"/>
          <w:snapToGrid w:val="0"/>
        </w:rPr>
        <w:t>38.5支持残疾人福利单位：《三部门联合发布关于促进残疾人就业政府采购政策的通知》（财库</w:t>
      </w:r>
      <w:r>
        <w:rPr>
          <w:rFonts w:ascii="宋体" w:hAnsi="宋体"/>
          <w:snapToGrid w:val="0"/>
        </w:rPr>
        <w:t>[2017]141</w:t>
      </w:r>
      <w:r>
        <w:rPr>
          <w:rFonts w:hint="eastAsia" w:ascii="宋体" w:hAnsi="宋体"/>
          <w:snapToGrid w:val="0"/>
        </w:rPr>
        <w:t>号）第三条规定，在政府采购活动中，残疾人福利性单位视同小型、微型企业，享受预留份额、评审中价格扣除等促进中小企业发展的政府采购政策。在本项目中满足采购需求、质量和货物相等的情况下，对属于残疾人福利性单位的货物价格给予10％的扣除，用扣除后的价格参与评审；</w:t>
      </w:r>
    </w:p>
    <w:p w14:paraId="102F7740">
      <w:pPr>
        <w:pStyle w:val="31"/>
        <w:keepNext/>
        <w:spacing w:line="360" w:lineRule="auto"/>
        <w:ind w:firstLine="480" w:firstLineChars="200"/>
        <w:rPr>
          <w:rFonts w:ascii="宋体"/>
          <w:snapToGrid w:val="0"/>
        </w:rPr>
      </w:pPr>
      <w:r>
        <w:rPr>
          <w:rFonts w:hint="eastAsia" w:ascii="宋体" w:hAnsi="宋体"/>
          <w:snapToGrid w:val="0"/>
        </w:rPr>
        <w:t>注：残疾人福利性单位属于小型、微型企业的，不重复享受政策。</w:t>
      </w:r>
    </w:p>
    <w:p w14:paraId="770BA73E">
      <w:pPr>
        <w:pStyle w:val="31"/>
        <w:keepNext/>
        <w:spacing w:line="360" w:lineRule="auto"/>
        <w:ind w:firstLine="480" w:firstLineChars="200"/>
        <w:rPr>
          <w:rFonts w:ascii="宋体"/>
          <w:snapToGrid w:val="0"/>
        </w:rPr>
      </w:pPr>
      <w:r>
        <w:rPr>
          <w:rFonts w:hint="eastAsia" w:ascii="宋体" w:hAnsi="宋体"/>
          <w:snapToGrid w:val="0"/>
        </w:rPr>
        <w:t>享受政府采购支持政策的残疾人福利性单位应当同时满足以下条件：</w:t>
      </w:r>
    </w:p>
    <w:p w14:paraId="0C50A65C">
      <w:pPr>
        <w:pStyle w:val="31"/>
        <w:keepNext/>
        <w:spacing w:line="360" w:lineRule="auto"/>
        <w:ind w:firstLine="480" w:firstLineChars="200"/>
        <w:rPr>
          <w:rFonts w:ascii="宋体"/>
          <w:snapToGrid w:val="0"/>
        </w:rPr>
      </w:pPr>
      <w:r>
        <w:rPr>
          <w:rFonts w:ascii="宋体" w:hAnsi="宋体"/>
          <w:snapToGrid w:val="0"/>
        </w:rPr>
        <w:t>A.</w:t>
      </w:r>
      <w:r>
        <w:rPr>
          <w:rFonts w:hint="eastAsia" w:ascii="宋体" w:hAnsi="宋体"/>
          <w:snapToGrid w:val="0"/>
        </w:rPr>
        <w:t>安置的残疾人占本单位在职职工人数的比例不低于</w:t>
      </w:r>
      <w:r>
        <w:rPr>
          <w:rFonts w:ascii="宋体" w:hAnsi="宋体"/>
          <w:snapToGrid w:val="0"/>
        </w:rPr>
        <w:t>25%</w:t>
      </w:r>
      <w:r>
        <w:rPr>
          <w:rFonts w:hint="eastAsia" w:ascii="宋体" w:hAnsi="宋体"/>
          <w:snapToGrid w:val="0"/>
        </w:rPr>
        <w:t>（含</w:t>
      </w:r>
      <w:r>
        <w:rPr>
          <w:rFonts w:ascii="宋体" w:hAnsi="宋体"/>
          <w:snapToGrid w:val="0"/>
        </w:rPr>
        <w:t>25%</w:t>
      </w:r>
      <w:r>
        <w:rPr>
          <w:rFonts w:hint="eastAsia" w:ascii="宋体" w:hAnsi="宋体"/>
          <w:snapToGrid w:val="0"/>
        </w:rPr>
        <w:t>），并且安置的残疾人人数不少于</w:t>
      </w:r>
      <w:r>
        <w:rPr>
          <w:rFonts w:ascii="宋体" w:hAnsi="宋体"/>
          <w:snapToGrid w:val="0"/>
        </w:rPr>
        <w:t>10</w:t>
      </w:r>
      <w:r>
        <w:rPr>
          <w:rFonts w:hint="eastAsia" w:ascii="宋体" w:hAnsi="宋体"/>
          <w:snapToGrid w:val="0"/>
        </w:rPr>
        <w:t>人（含</w:t>
      </w:r>
      <w:r>
        <w:rPr>
          <w:rFonts w:ascii="宋体" w:hAnsi="宋体"/>
          <w:snapToGrid w:val="0"/>
        </w:rPr>
        <w:t>10</w:t>
      </w:r>
      <w:r>
        <w:rPr>
          <w:rFonts w:hint="eastAsia" w:ascii="宋体" w:hAnsi="宋体"/>
          <w:snapToGrid w:val="0"/>
        </w:rPr>
        <w:t>人）；</w:t>
      </w:r>
    </w:p>
    <w:p w14:paraId="2EE84AA3">
      <w:pPr>
        <w:pStyle w:val="31"/>
        <w:keepNext/>
        <w:spacing w:line="360" w:lineRule="auto"/>
        <w:ind w:firstLine="480" w:firstLineChars="200"/>
        <w:rPr>
          <w:rFonts w:ascii="宋体"/>
          <w:snapToGrid w:val="0"/>
        </w:rPr>
      </w:pPr>
      <w:r>
        <w:rPr>
          <w:rFonts w:ascii="宋体" w:hAnsi="宋体"/>
          <w:snapToGrid w:val="0"/>
        </w:rPr>
        <w:t>B.</w:t>
      </w:r>
      <w:r>
        <w:rPr>
          <w:rFonts w:hint="eastAsia" w:ascii="宋体" w:hAnsi="宋体"/>
          <w:snapToGrid w:val="0"/>
        </w:rPr>
        <w:t>依法与安置的每位残疾人签订了一年以上（含一年）的劳动合同或服务协议；</w:t>
      </w:r>
    </w:p>
    <w:p w14:paraId="4DE738EB">
      <w:pPr>
        <w:pStyle w:val="31"/>
        <w:keepNext/>
        <w:spacing w:line="360" w:lineRule="auto"/>
        <w:ind w:firstLine="480" w:firstLineChars="200"/>
        <w:rPr>
          <w:rFonts w:ascii="宋体"/>
          <w:snapToGrid w:val="0"/>
        </w:rPr>
      </w:pPr>
      <w:r>
        <w:rPr>
          <w:rFonts w:ascii="宋体" w:hAnsi="宋体"/>
          <w:snapToGrid w:val="0"/>
        </w:rPr>
        <w:t>C.</w:t>
      </w:r>
      <w:r>
        <w:rPr>
          <w:rFonts w:hint="eastAsia" w:ascii="宋体" w:hAnsi="宋体"/>
          <w:snapToGrid w:val="0"/>
        </w:rPr>
        <w:t>为安置的每位残疾人按月足额缴纳了基本养老保险、基本医疗保险、失业保险、工伤保险和生育保险等社会保险费；</w:t>
      </w:r>
    </w:p>
    <w:p w14:paraId="38182810">
      <w:pPr>
        <w:pStyle w:val="31"/>
        <w:keepNext/>
        <w:spacing w:line="360" w:lineRule="auto"/>
        <w:ind w:firstLine="480" w:firstLineChars="200"/>
        <w:rPr>
          <w:rFonts w:ascii="宋体"/>
          <w:snapToGrid w:val="0"/>
        </w:rPr>
      </w:pPr>
      <w:r>
        <w:rPr>
          <w:rFonts w:ascii="宋体" w:hAnsi="宋体"/>
          <w:snapToGrid w:val="0"/>
        </w:rPr>
        <w:t>D.</w:t>
      </w:r>
      <w:r>
        <w:rPr>
          <w:rFonts w:hint="eastAsia" w:ascii="宋体" w:hAnsi="宋体"/>
          <w:snapToGrid w:val="0"/>
        </w:rPr>
        <w:t>通过银行等金融机构向安置的每位残疾人，按月支付了不低于单位所在区县适用的经省级人民政府批准的月最低工资标准的工资；</w:t>
      </w:r>
    </w:p>
    <w:p w14:paraId="489583BE">
      <w:pPr>
        <w:pStyle w:val="31"/>
        <w:keepNext/>
        <w:spacing w:line="360" w:lineRule="auto"/>
        <w:ind w:firstLine="480" w:firstLineChars="200"/>
        <w:rPr>
          <w:rFonts w:ascii="宋体"/>
          <w:snapToGrid w:val="0"/>
        </w:rPr>
      </w:pPr>
      <w:r>
        <w:rPr>
          <w:rFonts w:ascii="宋体" w:hAnsi="宋体"/>
          <w:snapToGrid w:val="0"/>
        </w:rPr>
        <w:t>E</w:t>
      </w:r>
      <w:r>
        <w:rPr>
          <w:rFonts w:hint="eastAsia" w:ascii="宋体" w:hAnsi="宋体"/>
          <w:snapToGrid w:val="0"/>
        </w:rPr>
        <w:t>．提供本单位制造的货物、承担的工程或者服务（以下简称产品），或者提供其他残疾人福利性单位制造的货物（不包括使用非残疾人福利性单位注册商标的货物）。</w:t>
      </w:r>
    </w:p>
    <w:p w14:paraId="28F77475">
      <w:pPr>
        <w:pStyle w:val="31"/>
        <w:keepNext/>
        <w:spacing w:line="360" w:lineRule="auto"/>
        <w:ind w:firstLine="480" w:firstLineChars="200"/>
        <w:rPr>
          <w:rFonts w:ascii="宋体"/>
          <w:snapToGrid w:val="0"/>
        </w:rPr>
      </w:pPr>
      <w:r>
        <w:rPr>
          <w:rFonts w:hint="eastAsia" w:ascii="宋体" w:hAnsi="宋体"/>
          <w:snapToGrid w:val="0"/>
        </w:rPr>
        <w:t>前款所称残疾人是指法定劳动年龄内，持有《中华人民共和国残疾人证》或者《中华人民共和国残疾军人证（</w:t>
      </w:r>
      <w:r>
        <w:rPr>
          <w:rFonts w:ascii="宋体" w:hAnsi="宋体"/>
          <w:snapToGrid w:val="0"/>
        </w:rPr>
        <w:t>1</w:t>
      </w:r>
      <w:r>
        <w:rPr>
          <w:rFonts w:hint="eastAsia" w:ascii="宋体" w:hAnsi="宋体"/>
          <w:snapToGrid w:val="0"/>
        </w:rPr>
        <w:t>至</w:t>
      </w:r>
      <w:r>
        <w:rPr>
          <w:rFonts w:ascii="宋体" w:hAnsi="宋体"/>
          <w:snapToGrid w:val="0"/>
        </w:rPr>
        <w:t>8</w:t>
      </w:r>
      <w:r>
        <w:rPr>
          <w:rFonts w:hint="eastAsia" w:ascii="宋体" w:hAnsi="宋体"/>
          <w:snapToGrid w:val="0"/>
        </w:rPr>
        <w:t>级）》的自然人，包括具有劳动条件和劳动意愿的精神残疾人。在职职工人数是指与残疾人福利性单位建立劳动关系并依法签订劳动合同或者服务协议的雇员人数。</w:t>
      </w:r>
    </w:p>
    <w:p w14:paraId="19AAF490">
      <w:pPr>
        <w:pStyle w:val="31"/>
        <w:keepNext/>
        <w:spacing w:line="360" w:lineRule="auto"/>
        <w:ind w:firstLine="480" w:firstLineChars="200"/>
        <w:rPr>
          <w:rFonts w:ascii="宋体"/>
          <w:snapToGrid w:val="0"/>
        </w:rPr>
      </w:pPr>
      <w:r>
        <w:rPr>
          <w:rFonts w:hint="eastAsia" w:ascii="宋体" w:hAnsi="宋体"/>
          <w:snapToGrid w:val="0"/>
        </w:rPr>
        <w:t>38.6依据《财政部司法部关于政府采购支持监狱企业发展有关问题的通知》</w:t>
      </w:r>
      <w:r>
        <w:rPr>
          <w:rFonts w:ascii="宋体" w:hAnsi="宋体"/>
          <w:snapToGrid w:val="0"/>
        </w:rPr>
        <w:t>(</w:t>
      </w:r>
      <w:r>
        <w:rPr>
          <w:rFonts w:hint="eastAsia" w:ascii="宋体" w:hAnsi="宋体"/>
          <w:snapToGrid w:val="0"/>
        </w:rPr>
        <w:t>财库〔</w:t>
      </w:r>
      <w:r>
        <w:rPr>
          <w:rFonts w:ascii="宋体" w:hAnsi="宋体"/>
          <w:snapToGrid w:val="0"/>
        </w:rPr>
        <w:t>2014</w:t>
      </w:r>
      <w:r>
        <w:rPr>
          <w:rFonts w:hint="eastAsia" w:ascii="宋体" w:hAnsi="宋体"/>
          <w:snapToGrid w:val="0"/>
        </w:rPr>
        <w:t>〕</w:t>
      </w:r>
      <w:r>
        <w:rPr>
          <w:rFonts w:ascii="宋体" w:hAnsi="宋体"/>
          <w:snapToGrid w:val="0"/>
        </w:rPr>
        <w:t>68</w:t>
      </w:r>
      <w:r>
        <w:rPr>
          <w:rFonts w:hint="eastAsia" w:ascii="宋体" w:hAnsi="宋体"/>
          <w:snapToGrid w:val="0"/>
        </w:rPr>
        <w:t>号</w:t>
      </w:r>
      <w:r>
        <w:rPr>
          <w:rFonts w:ascii="宋体" w:hAnsi="宋体"/>
          <w:snapToGrid w:val="0"/>
        </w:rPr>
        <w:t>)</w:t>
      </w:r>
      <w:r>
        <w:rPr>
          <w:rFonts w:hint="eastAsia" w:ascii="宋体" w:hAnsi="宋体"/>
          <w:snapToGrid w:val="0"/>
        </w:rPr>
        <w:t>规定，监狱企业视同小型、微型企业，享受预留份额、评审中价格扣除等政府采购促进中小企业发展的政府采购政策。本项目供应商属于监狱企业的，货物价格给10％的扣除，用扣除后的价格参与评审。</w:t>
      </w:r>
    </w:p>
    <w:p w14:paraId="05536C5D">
      <w:pPr>
        <w:pStyle w:val="31"/>
        <w:keepNext/>
        <w:spacing w:line="360" w:lineRule="auto"/>
        <w:ind w:firstLine="480" w:firstLineChars="200"/>
        <w:rPr>
          <w:rFonts w:ascii="宋体"/>
          <w:snapToGrid w:val="0"/>
        </w:rPr>
      </w:pPr>
      <w:r>
        <w:rPr>
          <w:rFonts w:hint="eastAsia" w:ascii="宋体" w:hAnsi="宋体"/>
          <w:snapToGrid w:val="0"/>
        </w:rPr>
        <w:t>注：</w:t>
      </w:r>
      <w:r>
        <w:rPr>
          <w:rFonts w:ascii="宋体" w:hAnsi="宋体"/>
          <w:snapToGrid w:val="0"/>
        </w:rPr>
        <w:t>1</w:t>
      </w:r>
      <w:r>
        <w:rPr>
          <w:rFonts w:hint="eastAsia" w:ascii="宋体" w:hAnsi="宋体"/>
          <w:snapToGrid w:val="0"/>
        </w:rPr>
        <w:t>、监狱企业又属于小型、微型企业的，不重复享受政策。</w:t>
      </w:r>
    </w:p>
    <w:p w14:paraId="0C519362">
      <w:pPr>
        <w:pStyle w:val="31"/>
        <w:keepNext/>
        <w:spacing w:line="360" w:lineRule="auto"/>
        <w:ind w:firstLine="960" w:firstLineChars="400"/>
        <w:rPr>
          <w:rFonts w:ascii="宋体"/>
          <w:snapToGrid w:val="0"/>
        </w:rPr>
      </w:pPr>
      <w:r>
        <w:rPr>
          <w:rFonts w:ascii="宋体" w:hAnsi="宋体"/>
          <w:snapToGrid w:val="0"/>
        </w:rPr>
        <w:t>2</w:t>
      </w:r>
      <w:r>
        <w:rPr>
          <w:rFonts w:hint="eastAsia" w:ascii="宋体" w:hAnsi="宋体"/>
          <w:snapToGrid w:val="0"/>
        </w:rPr>
        <w:t>、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w:t>
      </w:r>
      <w:r>
        <w:rPr>
          <w:rFonts w:hint="eastAsia" w:ascii="宋体" w:hAnsi="宋体" w:cs="宋体"/>
          <w:lang w:eastAsia="zh-CN"/>
        </w:rPr>
        <w:t>合格</w:t>
      </w:r>
      <w:r>
        <w:rPr>
          <w:rFonts w:hint="eastAsia" w:ascii="宋体" w:hAnsi="宋体"/>
          <w:snapToGrid w:val="0"/>
        </w:rPr>
        <w:t>业的证明文件］。</w:t>
      </w:r>
    </w:p>
    <w:bookmarkEnd w:id="28"/>
    <w:p w14:paraId="2AB1435D">
      <w:pPr>
        <w:wordWrap w:val="0"/>
        <w:topLinePunct/>
        <w:spacing w:line="360" w:lineRule="auto"/>
        <w:ind w:firstLine="480" w:firstLineChars="200"/>
        <w:rPr>
          <w:rFonts w:ascii="宋体" w:hAnsi="宋体"/>
          <w:snapToGrid w:val="0"/>
          <w:kern w:val="0"/>
          <w:sz w:val="24"/>
          <w:szCs w:val="24"/>
        </w:rPr>
      </w:pPr>
    </w:p>
    <w:p w14:paraId="130630D7">
      <w:pPr>
        <w:wordWrap w:val="0"/>
        <w:topLinePunct/>
        <w:spacing w:line="360" w:lineRule="auto"/>
        <w:ind w:firstLine="480" w:firstLineChars="200"/>
        <w:rPr>
          <w:rFonts w:ascii="宋体" w:hAnsi="宋体"/>
          <w:snapToGrid w:val="0"/>
          <w:kern w:val="0"/>
          <w:sz w:val="24"/>
          <w:szCs w:val="24"/>
        </w:rPr>
      </w:pPr>
    </w:p>
    <w:p w14:paraId="07D8F785">
      <w:pPr>
        <w:pStyle w:val="7"/>
        <w:rPr>
          <w:rFonts w:ascii="宋体" w:hAnsi="宋体"/>
          <w:snapToGrid w:val="0"/>
          <w:kern w:val="0"/>
          <w:sz w:val="24"/>
          <w:szCs w:val="24"/>
        </w:rPr>
      </w:pPr>
    </w:p>
    <w:p w14:paraId="681984D8">
      <w:pPr>
        <w:rPr>
          <w:rFonts w:ascii="宋体" w:hAnsi="宋体"/>
          <w:snapToGrid w:val="0"/>
          <w:kern w:val="0"/>
          <w:sz w:val="24"/>
          <w:szCs w:val="24"/>
        </w:rPr>
      </w:pPr>
    </w:p>
    <w:p w14:paraId="3FDF83F7">
      <w:pPr>
        <w:rPr>
          <w:rFonts w:ascii="宋体" w:hAnsi="宋体"/>
          <w:snapToGrid w:val="0"/>
          <w:kern w:val="0"/>
          <w:sz w:val="24"/>
          <w:szCs w:val="24"/>
        </w:rPr>
      </w:pPr>
    </w:p>
    <w:p w14:paraId="606D8AD9">
      <w:pPr>
        <w:rPr>
          <w:rFonts w:ascii="宋体" w:hAnsi="宋体"/>
          <w:snapToGrid w:val="0"/>
          <w:kern w:val="0"/>
          <w:sz w:val="24"/>
          <w:szCs w:val="24"/>
        </w:rPr>
      </w:pPr>
    </w:p>
    <w:p w14:paraId="04399DFD">
      <w:pPr>
        <w:rPr>
          <w:rFonts w:ascii="宋体" w:hAnsi="宋体"/>
          <w:snapToGrid w:val="0"/>
          <w:kern w:val="0"/>
          <w:sz w:val="24"/>
          <w:szCs w:val="24"/>
        </w:rPr>
      </w:pPr>
    </w:p>
    <w:p w14:paraId="35CCCF59">
      <w:pPr>
        <w:pStyle w:val="23"/>
        <w:ind w:left="199" w:firstLine="480"/>
        <w:rPr>
          <w:rFonts w:ascii="宋体" w:hAnsi="宋体"/>
          <w:snapToGrid w:val="0"/>
          <w:kern w:val="0"/>
          <w:sz w:val="24"/>
          <w:szCs w:val="24"/>
        </w:rPr>
      </w:pPr>
    </w:p>
    <w:p w14:paraId="30C163E6">
      <w:pPr>
        <w:pStyle w:val="23"/>
        <w:ind w:left="199" w:firstLine="480"/>
        <w:rPr>
          <w:rFonts w:ascii="宋体" w:hAnsi="宋体"/>
          <w:snapToGrid w:val="0"/>
          <w:kern w:val="0"/>
          <w:sz w:val="24"/>
          <w:szCs w:val="24"/>
        </w:rPr>
      </w:pPr>
    </w:p>
    <w:p w14:paraId="7F1D5503">
      <w:pPr>
        <w:pStyle w:val="23"/>
        <w:ind w:left="199" w:firstLine="480"/>
        <w:rPr>
          <w:rFonts w:ascii="宋体" w:hAnsi="宋体"/>
          <w:snapToGrid w:val="0"/>
          <w:kern w:val="0"/>
          <w:sz w:val="24"/>
          <w:szCs w:val="24"/>
        </w:rPr>
      </w:pPr>
    </w:p>
    <w:p w14:paraId="0EBE84BF">
      <w:pPr>
        <w:pStyle w:val="23"/>
        <w:ind w:left="199" w:firstLine="480"/>
        <w:rPr>
          <w:rFonts w:ascii="宋体" w:hAnsi="宋体"/>
          <w:snapToGrid w:val="0"/>
          <w:kern w:val="0"/>
          <w:sz w:val="24"/>
          <w:szCs w:val="24"/>
        </w:rPr>
      </w:pPr>
    </w:p>
    <w:p w14:paraId="67D71EFD">
      <w:pPr>
        <w:pStyle w:val="23"/>
        <w:ind w:left="199" w:firstLine="480"/>
        <w:rPr>
          <w:rFonts w:ascii="宋体" w:hAnsi="宋体"/>
          <w:snapToGrid w:val="0"/>
          <w:kern w:val="0"/>
          <w:sz w:val="24"/>
          <w:szCs w:val="24"/>
        </w:rPr>
      </w:pPr>
    </w:p>
    <w:p w14:paraId="082E97F4">
      <w:pPr>
        <w:pStyle w:val="23"/>
        <w:ind w:left="199" w:firstLine="480"/>
        <w:rPr>
          <w:rFonts w:ascii="宋体" w:hAnsi="宋体"/>
          <w:snapToGrid w:val="0"/>
          <w:kern w:val="0"/>
          <w:sz w:val="24"/>
          <w:szCs w:val="24"/>
        </w:rPr>
      </w:pPr>
    </w:p>
    <w:p w14:paraId="0C5AED0D">
      <w:pPr>
        <w:pStyle w:val="23"/>
        <w:ind w:left="199" w:firstLine="480"/>
        <w:rPr>
          <w:rFonts w:ascii="宋体" w:hAnsi="宋体"/>
          <w:snapToGrid w:val="0"/>
          <w:kern w:val="0"/>
          <w:sz w:val="24"/>
          <w:szCs w:val="24"/>
        </w:rPr>
      </w:pPr>
    </w:p>
    <w:p w14:paraId="0C794C24">
      <w:pPr>
        <w:pStyle w:val="23"/>
        <w:ind w:left="199" w:firstLine="480"/>
        <w:rPr>
          <w:rFonts w:ascii="宋体" w:hAnsi="宋体"/>
          <w:snapToGrid w:val="0"/>
          <w:kern w:val="0"/>
          <w:sz w:val="24"/>
          <w:szCs w:val="24"/>
        </w:rPr>
      </w:pPr>
    </w:p>
    <w:p w14:paraId="12EE5AC9">
      <w:pPr>
        <w:pStyle w:val="23"/>
        <w:ind w:left="199" w:firstLine="480"/>
        <w:rPr>
          <w:rFonts w:ascii="宋体" w:hAnsi="宋体"/>
          <w:snapToGrid w:val="0"/>
          <w:kern w:val="0"/>
          <w:sz w:val="24"/>
          <w:szCs w:val="24"/>
        </w:rPr>
      </w:pPr>
    </w:p>
    <w:p w14:paraId="78548D61">
      <w:pPr>
        <w:pStyle w:val="23"/>
        <w:ind w:left="199" w:firstLine="480"/>
        <w:rPr>
          <w:rFonts w:ascii="宋体" w:hAnsi="宋体"/>
          <w:snapToGrid w:val="0"/>
          <w:kern w:val="0"/>
          <w:sz w:val="24"/>
          <w:szCs w:val="24"/>
        </w:rPr>
      </w:pPr>
    </w:p>
    <w:p w14:paraId="551CFDA4">
      <w:pPr>
        <w:pStyle w:val="23"/>
        <w:ind w:left="199" w:firstLine="480"/>
        <w:rPr>
          <w:rFonts w:ascii="宋体" w:hAnsi="宋体"/>
          <w:snapToGrid w:val="0"/>
          <w:kern w:val="0"/>
          <w:sz w:val="24"/>
          <w:szCs w:val="24"/>
        </w:rPr>
      </w:pPr>
    </w:p>
    <w:p w14:paraId="3B52865B">
      <w:pPr>
        <w:pStyle w:val="23"/>
        <w:ind w:left="199" w:firstLine="480"/>
        <w:rPr>
          <w:rFonts w:ascii="宋体" w:hAnsi="宋体"/>
          <w:snapToGrid w:val="0"/>
          <w:kern w:val="0"/>
          <w:sz w:val="24"/>
          <w:szCs w:val="24"/>
        </w:rPr>
      </w:pPr>
    </w:p>
    <w:p w14:paraId="0F028A63">
      <w:pPr>
        <w:pStyle w:val="23"/>
        <w:ind w:left="199" w:firstLine="480"/>
        <w:rPr>
          <w:rFonts w:ascii="宋体" w:hAnsi="宋体"/>
          <w:snapToGrid w:val="0"/>
          <w:kern w:val="0"/>
          <w:sz w:val="24"/>
          <w:szCs w:val="24"/>
        </w:rPr>
      </w:pPr>
    </w:p>
    <w:p w14:paraId="51C8F2C9">
      <w:pPr>
        <w:pStyle w:val="23"/>
        <w:ind w:left="199" w:firstLine="480"/>
        <w:rPr>
          <w:rFonts w:ascii="宋体" w:hAnsi="宋体"/>
          <w:snapToGrid w:val="0"/>
          <w:kern w:val="0"/>
          <w:sz w:val="24"/>
          <w:szCs w:val="24"/>
        </w:rPr>
      </w:pPr>
    </w:p>
    <w:p w14:paraId="23FB728B">
      <w:pPr>
        <w:pStyle w:val="23"/>
        <w:ind w:left="199" w:firstLine="480"/>
        <w:rPr>
          <w:rFonts w:ascii="宋体" w:hAnsi="宋体"/>
          <w:snapToGrid w:val="0"/>
          <w:kern w:val="0"/>
          <w:sz w:val="24"/>
          <w:szCs w:val="24"/>
        </w:rPr>
      </w:pPr>
    </w:p>
    <w:p w14:paraId="2DD8473A"/>
    <w:p w14:paraId="11CE93A3">
      <w:pPr>
        <w:rPr>
          <w:rFonts w:ascii="宋体" w:hAnsi="宋体"/>
          <w:snapToGrid w:val="0"/>
          <w:kern w:val="0"/>
          <w:sz w:val="24"/>
          <w:szCs w:val="24"/>
        </w:rPr>
      </w:pPr>
    </w:p>
    <w:p w14:paraId="39358D5A">
      <w:pPr>
        <w:keepNext/>
        <w:overflowPunct w:val="0"/>
        <w:topLinePunct/>
        <w:autoSpaceDN w:val="0"/>
        <w:adjustRightInd w:val="0"/>
        <w:snapToGrid w:val="0"/>
        <w:spacing w:line="360" w:lineRule="auto"/>
        <w:jc w:val="center"/>
        <w:outlineLvl w:val="0"/>
        <w:rPr>
          <w:rFonts w:ascii="宋体" w:hAnsi="宋体"/>
          <w:b/>
          <w:snapToGrid w:val="0"/>
          <w:kern w:val="0"/>
          <w:sz w:val="32"/>
          <w:szCs w:val="24"/>
        </w:rPr>
      </w:pPr>
      <w:bookmarkStart w:id="60" w:name="_Toc278543498"/>
      <w:bookmarkStart w:id="61" w:name="_Toc175644026"/>
      <w:bookmarkStart w:id="62" w:name="_Toc11910"/>
      <w:bookmarkStart w:id="63" w:name="_Toc11479"/>
      <w:bookmarkStart w:id="64" w:name="_Toc18751"/>
      <w:r>
        <w:rPr>
          <w:rFonts w:hint="eastAsia" w:ascii="宋体" w:hAnsi="宋体"/>
          <w:b/>
          <w:snapToGrid w:val="0"/>
          <w:kern w:val="0"/>
          <w:sz w:val="30"/>
          <w:szCs w:val="30"/>
        </w:rPr>
        <w:t>第四章</w:t>
      </w:r>
      <w:r>
        <w:rPr>
          <w:rFonts w:ascii="宋体" w:hAnsi="宋体"/>
          <w:b/>
          <w:snapToGrid w:val="0"/>
          <w:kern w:val="0"/>
          <w:sz w:val="30"/>
          <w:szCs w:val="30"/>
        </w:rPr>
        <w:t xml:space="preserve">  </w:t>
      </w:r>
      <w:r>
        <w:rPr>
          <w:rFonts w:hint="eastAsia" w:ascii="宋体" w:hAnsi="宋体"/>
          <w:b/>
          <w:snapToGrid w:val="0"/>
          <w:kern w:val="0"/>
          <w:sz w:val="30"/>
          <w:szCs w:val="30"/>
        </w:rPr>
        <w:t>评标标准和评标方法</w:t>
      </w:r>
      <w:bookmarkEnd w:id="60"/>
      <w:bookmarkEnd w:id="61"/>
      <w:bookmarkEnd w:id="62"/>
      <w:bookmarkEnd w:id="63"/>
      <w:bookmarkEnd w:id="64"/>
    </w:p>
    <w:p w14:paraId="5FDCA4E4">
      <w:pPr>
        <w:keepNext/>
        <w:overflowPunct w:val="0"/>
        <w:topLinePunct/>
        <w:autoSpaceDN w:val="0"/>
        <w:adjustRightInd w:val="0"/>
        <w:snapToGrid w:val="0"/>
        <w:spacing w:line="360" w:lineRule="auto"/>
        <w:outlineLvl w:val="0"/>
        <w:rPr>
          <w:rFonts w:ascii="宋体" w:hAnsi="宋体"/>
          <w:b/>
          <w:snapToGrid w:val="0"/>
          <w:kern w:val="0"/>
          <w:sz w:val="24"/>
          <w:szCs w:val="24"/>
        </w:rPr>
      </w:pPr>
      <w:bookmarkStart w:id="65" w:name="_Toc175644027"/>
      <w:bookmarkStart w:id="66" w:name="_Toc8937"/>
      <w:bookmarkStart w:id="67" w:name="_Toc10957"/>
      <w:bookmarkStart w:id="68" w:name="_Toc18037"/>
      <w:bookmarkStart w:id="69" w:name="_Toc278543499"/>
      <w:r>
        <w:rPr>
          <w:rFonts w:hint="eastAsia" w:ascii="宋体" w:hAnsi="宋体"/>
          <w:b/>
          <w:snapToGrid w:val="0"/>
          <w:kern w:val="0"/>
          <w:sz w:val="24"/>
          <w:szCs w:val="24"/>
        </w:rPr>
        <w:t>一、评标原则</w:t>
      </w:r>
      <w:bookmarkEnd w:id="65"/>
      <w:bookmarkEnd w:id="66"/>
    </w:p>
    <w:p w14:paraId="4AAB8C96">
      <w:pPr>
        <w:wordWrap w:val="0"/>
        <w:topLinePunct/>
        <w:spacing w:line="360" w:lineRule="auto"/>
        <w:ind w:firstLine="480" w:firstLineChars="200"/>
        <w:rPr>
          <w:rFonts w:ascii="宋体" w:hAnsi="宋体"/>
          <w:snapToGrid w:val="0"/>
          <w:kern w:val="0"/>
          <w:sz w:val="24"/>
          <w:szCs w:val="24"/>
        </w:rPr>
      </w:pPr>
      <w:bookmarkStart w:id="70" w:name="_Toc175644028"/>
      <w:r>
        <w:rPr>
          <w:rFonts w:hint="eastAsia" w:ascii="宋体" w:hAnsi="宋体"/>
          <w:snapToGrid w:val="0"/>
          <w:kern w:val="0"/>
          <w:sz w:val="24"/>
          <w:szCs w:val="24"/>
          <w:lang w:eastAsia="zh-CN"/>
        </w:rPr>
        <w:t>评标委员会</w:t>
      </w:r>
      <w:r>
        <w:rPr>
          <w:rFonts w:hint="eastAsia" w:ascii="宋体" w:hAnsi="宋体"/>
          <w:snapToGrid w:val="0"/>
          <w:kern w:val="0"/>
          <w:sz w:val="24"/>
          <w:szCs w:val="24"/>
        </w:rPr>
        <w:t>在评标时，依据最终报价和各项商务技术、要求对供应商进行综合评价。</w:t>
      </w:r>
      <w:r>
        <w:rPr>
          <w:rFonts w:ascii="宋体" w:hAnsi="宋体"/>
          <w:snapToGrid w:val="0"/>
          <w:kern w:val="0"/>
          <w:sz w:val="24"/>
          <w:szCs w:val="24"/>
        </w:rPr>
        <w:t xml:space="preserve"> </w:t>
      </w:r>
    </w:p>
    <w:p w14:paraId="32E5AE19">
      <w:pPr>
        <w:pStyle w:val="13"/>
        <w:numPr>
          <w:ilvl w:val="0"/>
          <w:numId w:val="4"/>
        </w:numPr>
        <w:wordWrap w:val="0"/>
        <w:topLinePunct/>
        <w:spacing w:line="360" w:lineRule="auto"/>
        <w:outlineLvl w:val="0"/>
        <w:rPr>
          <w:rFonts w:ascii="宋体" w:hAnsi="宋体"/>
          <w:b/>
          <w:snapToGrid w:val="0"/>
          <w:kern w:val="0"/>
          <w:sz w:val="24"/>
          <w:szCs w:val="24"/>
        </w:rPr>
      </w:pPr>
      <w:bookmarkStart w:id="71" w:name="_Toc14968"/>
      <w:r>
        <w:rPr>
          <w:rFonts w:hint="eastAsia" w:ascii="宋体" w:hAnsi="宋体"/>
          <w:b/>
          <w:snapToGrid w:val="0"/>
          <w:kern w:val="0"/>
          <w:sz w:val="24"/>
          <w:szCs w:val="24"/>
        </w:rPr>
        <w:t>初步评审内容及标准</w:t>
      </w:r>
      <w:bookmarkEnd w:id="71"/>
    </w:p>
    <w:tbl>
      <w:tblPr>
        <w:tblStyle w:val="24"/>
        <w:tblpPr w:leftFromText="180" w:rightFromText="180" w:vertAnchor="text" w:tblpXSpec="center" w:tblpY="1"/>
        <w:tblOverlap w:val="never"/>
        <w:tblW w:w="8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3633"/>
        <w:gridCol w:w="4437"/>
      </w:tblGrid>
      <w:tr w14:paraId="002B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blHeader/>
        </w:trPr>
        <w:tc>
          <w:tcPr>
            <w:tcW w:w="4382" w:type="dxa"/>
            <w:gridSpan w:val="2"/>
            <w:vAlign w:val="center"/>
          </w:tcPr>
          <w:p w14:paraId="6FF67E20">
            <w:pPr>
              <w:wordWrap w:val="0"/>
              <w:topLinePunct/>
              <w:spacing w:line="360" w:lineRule="auto"/>
              <w:jc w:val="center"/>
              <w:rPr>
                <w:rFonts w:ascii="宋体" w:hAnsi="宋体" w:cs="宋体"/>
                <w:b/>
                <w:sz w:val="24"/>
                <w:szCs w:val="24"/>
              </w:rPr>
            </w:pPr>
            <w:r>
              <w:rPr>
                <w:rFonts w:hint="eastAsia" w:ascii="宋体" w:hAnsi="宋体" w:cs="宋体"/>
                <w:b/>
                <w:sz w:val="24"/>
                <w:szCs w:val="24"/>
              </w:rPr>
              <w:t>评审因素</w:t>
            </w:r>
          </w:p>
        </w:tc>
        <w:tc>
          <w:tcPr>
            <w:tcW w:w="4437" w:type="dxa"/>
            <w:vAlign w:val="center"/>
          </w:tcPr>
          <w:p w14:paraId="5F34DA34">
            <w:pPr>
              <w:wordWrap w:val="0"/>
              <w:topLinePunct/>
              <w:spacing w:line="360" w:lineRule="auto"/>
              <w:jc w:val="center"/>
              <w:rPr>
                <w:rFonts w:ascii="宋体" w:hAnsi="宋体" w:cs="宋体"/>
                <w:b/>
                <w:sz w:val="24"/>
                <w:szCs w:val="24"/>
              </w:rPr>
            </w:pPr>
            <w:r>
              <w:rPr>
                <w:rFonts w:hint="eastAsia" w:ascii="宋体" w:hAnsi="宋体" w:cs="宋体"/>
                <w:b/>
                <w:sz w:val="24"/>
                <w:szCs w:val="24"/>
              </w:rPr>
              <w:t>评审标准</w:t>
            </w:r>
          </w:p>
        </w:tc>
      </w:tr>
      <w:tr w14:paraId="22FE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749" w:type="dxa"/>
            <w:vMerge w:val="restart"/>
            <w:vAlign w:val="center"/>
          </w:tcPr>
          <w:p w14:paraId="0E7864C9">
            <w:pPr>
              <w:wordWrap w:val="0"/>
              <w:topLinePunct/>
              <w:spacing w:line="360" w:lineRule="auto"/>
              <w:jc w:val="center"/>
              <w:rPr>
                <w:rFonts w:ascii="宋体" w:hAnsi="宋体" w:cs="宋体"/>
                <w:sz w:val="24"/>
                <w:szCs w:val="24"/>
              </w:rPr>
            </w:pPr>
            <w:r>
              <w:rPr>
                <w:rFonts w:hint="eastAsia" w:ascii="宋体" w:hAnsi="宋体" w:cs="宋体"/>
                <w:sz w:val="24"/>
                <w:szCs w:val="24"/>
              </w:rPr>
              <w:t>符</w:t>
            </w:r>
          </w:p>
          <w:p w14:paraId="7D7F99EF">
            <w:pPr>
              <w:wordWrap w:val="0"/>
              <w:topLinePunct/>
              <w:spacing w:line="360" w:lineRule="auto"/>
              <w:jc w:val="center"/>
              <w:rPr>
                <w:rFonts w:ascii="宋体" w:hAnsi="宋体" w:cs="宋体"/>
                <w:sz w:val="24"/>
                <w:szCs w:val="24"/>
              </w:rPr>
            </w:pPr>
            <w:r>
              <w:rPr>
                <w:rFonts w:hint="eastAsia" w:ascii="宋体" w:hAnsi="宋体" w:cs="宋体"/>
                <w:sz w:val="24"/>
                <w:szCs w:val="24"/>
              </w:rPr>
              <w:t>合</w:t>
            </w:r>
          </w:p>
          <w:p w14:paraId="7225A9F3">
            <w:pPr>
              <w:wordWrap w:val="0"/>
              <w:topLinePunct/>
              <w:spacing w:line="360" w:lineRule="auto"/>
              <w:jc w:val="center"/>
              <w:rPr>
                <w:rFonts w:ascii="宋体" w:hAnsi="宋体" w:cs="宋体"/>
                <w:sz w:val="24"/>
                <w:szCs w:val="24"/>
              </w:rPr>
            </w:pPr>
            <w:r>
              <w:rPr>
                <w:rFonts w:hint="eastAsia" w:ascii="宋体" w:hAnsi="宋体" w:cs="宋体"/>
                <w:sz w:val="24"/>
                <w:szCs w:val="24"/>
              </w:rPr>
              <w:t>性</w:t>
            </w:r>
          </w:p>
          <w:p w14:paraId="161FC1DD">
            <w:pPr>
              <w:wordWrap w:val="0"/>
              <w:topLinePunct/>
              <w:spacing w:line="360" w:lineRule="auto"/>
              <w:jc w:val="center"/>
              <w:rPr>
                <w:rFonts w:ascii="宋体" w:hAnsi="宋体" w:cs="宋体"/>
                <w:sz w:val="24"/>
                <w:szCs w:val="24"/>
              </w:rPr>
            </w:pPr>
            <w:r>
              <w:rPr>
                <w:rFonts w:hint="eastAsia" w:ascii="宋体" w:hAnsi="宋体" w:cs="宋体"/>
                <w:sz w:val="24"/>
                <w:szCs w:val="24"/>
              </w:rPr>
              <w:t>评</w:t>
            </w:r>
          </w:p>
          <w:p w14:paraId="53327499">
            <w:pPr>
              <w:wordWrap w:val="0"/>
              <w:topLinePunct/>
              <w:spacing w:line="360" w:lineRule="auto"/>
              <w:jc w:val="center"/>
              <w:rPr>
                <w:rFonts w:ascii="宋体" w:hAnsi="宋体" w:cs="宋体"/>
                <w:sz w:val="24"/>
                <w:szCs w:val="24"/>
              </w:rPr>
            </w:pPr>
            <w:r>
              <w:rPr>
                <w:rFonts w:hint="eastAsia" w:ascii="宋体" w:hAnsi="宋体" w:cs="宋体"/>
                <w:sz w:val="24"/>
                <w:szCs w:val="24"/>
              </w:rPr>
              <w:t>审</w:t>
            </w:r>
          </w:p>
          <w:p w14:paraId="4FBD390E">
            <w:pPr>
              <w:wordWrap w:val="0"/>
              <w:topLinePunct/>
              <w:spacing w:line="360" w:lineRule="auto"/>
              <w:jc w:val="center"/>
              <w:rPr>
                <w:rFonts w:ascii="宋体" w:hAnsi="宋体" w:cs="宋体"/>
                <w:sz w:val="24"/>
                <w:szCs w:val="24"/>
              </w:rPr>
            </w:pPr>
            <w:r>
              <w:rPr>
                <w:rFonts w:hint="eastAsia" w:ascii="宋体" w:hAnsi="宋体" w:cs="宋体"/>
                <w:sz w:val="24"/>
                <w:szCs w:val="24"/>
              </w:rPr>
              <w:t>标</w:t>
            </w:r>
          </w:p>
          <w:p w14:paraId="526A0B40">
            <w:pPr>
              <w:wordWrap w:val="0"/>
              <w:topLinePunct/>
              <w:spacing w:line="360" w:lineRule="auto"/>
              <w:jc w:val="center"/>
              <w:rPr>
                <w:rFonts w:ascii="宋体" w:hAnsi="宋体" w:cs="宋体"/>
                <w:sz w:val="24"/>
                <w:szCs w:val="24"/>
              </w:rPr>
            </w:pPr>
            <w:r>
              <w:rPr>
                <w:rFonts w:hint="eastAsia" w:ascii="宋体" w:hAnsi="宋体" w:cs="宋体"/>
                <w:sz w:val="24"/>
                <w:szCs w:val="24"/>
              </w:rPr>
              <w:t>准</w:t>
            </w:r>
          </w:p>
        </w:tc>
        <w:tc>
          <w:tcPr>
            <w:tcW w:w="3633" w:type="dxa"/>
            <w:vAlign w:val="center"/>
          </w:tcPr>
          <w:p w14:paraId="1938FE77">
            <w:pPr>
              <w:wordWrap w:val="0"/>
              <w:topLinePunct/>
              <w:spacing w:line="360" w:lineRule="auto"/>
              <w:ind w:left="29" w:leftChars="14"/>
              <w:rPr>
                <w:rFonts w:ascii="宋体" w:hAnsi="宋体" w:cs="宋体"/>
                <w:sz w:val="24"/>
                <w:szCs w:val="24"/>
              </w:rPr>
            </w:pPr>
            <w:r>
              <w:rPr>
                <w:rFonts w:hint="eastAsia" w:ascii="宋体" w:hAnsi="宋体" w:cs="宋体"/>
                <w:sz w:val="24"/>
                <w:szCs w:val="24"/>
              </w:rPr>
              <w:t>供应商名称</w:t>
            </w:r>
          </w:p>
        </w:tc>
        <w:tc>
          <w:tcPr>
            <w:tcW w:w="4437" w:type="dxa"/>
            <w:vAlign w:val="center"/>
          </w:tcPr>
          <w:p w14:paraId="0970F772">
            <w:pPr>
              <w:wordWrap w:val="0"/>
              <w:topLinePunct/>
              <w:spacing w:line="360" w:lineRule="auto"/>
              <w:ind w:left="29" w:leftChars="14"/>
              <w:rPr>
                <w:rFonts w:ascii="宋体" w:hAnsi="宋体" w:cs="宋体"/>
                <w:sz w:val="24"/>
                <w:szCs w:val="24"/>
              </w:rPr>
            </w:pPr>
            <w:r>
              <w:rPr>
                <w:rFonts w:hint="eastAsia" w:ascii="宋体" w:hAnsi="宋体" w:cs="宋体"/>
                <w:sz w:val="24"/>
                <w:szCs w:val="24"/>
              </w:rPr>
              <w:t>与营业执照、公章等相关证书名称一致</w:t>
            </w:r>
          </w:p>
        </w:tc>
      </w:tr>
      <w:tr w14:paraId="07190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749" w:type="dxa"/>
            <w:vMerge w:val="continue"/>
            <w:vAlign w:val="center"/>
          </w:tcPr>
          <w:p w14:paraId="6ECD408B">
            <w:pPr>
              <w:wordWrap w:val="0"/>
              <w:topLinePunct/>
              <w:spacing w:line="360" w:lineRule="auto"/>
              <w:jc w:val="left"/>
              <w:rPr>
                <w:rFonts w:ascii="宋体" w:hAnsi="宋体" w:cs="宋体"/>
                <w:sz w:val="24"/>
                <w:szCs w:val="24"/>
              </w:rPr>
            </w:pPr>
          </w:p>
        </w:tc>
        <w:tc>
          <w:tcPr>
            <w:tcW w:w="3633" w:type="dxa"/>
            <w:vAlign w:val="center"/>
          </w:tcPr>
          <w:p w14:paraId="62AF3416">
            <w:pPr>
              <w:wordWrap w:val="0"/>
              <w:topLinePunct/>
              <w:spacing w:line="360" w:lineRule="auto"/>
              <w:ind w:left="29" w:leftChars="14"/>
              <w:rPr>
                <w:rFonts w:ascii="宋体" w:hAnsi="宋体" w:cs="宋体"/>
                <w:sz w:val="24"/>
                <w:szCs w:val="24"/>
              </w:rPr>
            </w:pPr>
            <w:r>
              <w:rPr>
                <w:rFonts w:hint="eastAsia" w:ascii="宋体" w:hAnsi="宋体" w:cs="宋体"/>
                <w:sz w:val="24"/>
                <w:szCs w:val="24"/>
              </w:rPr>
              <w:t>投标文件格式</w:t>
            </w:r>
          </w:p>
        </w:tc>
        <w:tc>
          <w:tcPr>
            <w:tcW w:w="4437" w:type="dxa"/>
            <w:vAlign w:val="center"/>
          </w:tcPr>
          <w:p w14:paraId="09400A32">
            <w:pPr>
              <w:wordWrap w:val="0"/>
              <w:topLinePunct/>
              <w:spacing w:line="360" w:lineRule="auto"/>
              <w:ind w:left="29" w:leftChars="14"/>
              <w:rPr>
                <w:rFonts w:ascii="宋体" w:hAnsi="宋体" w:cs="宋体"/>
                <w:sz w:val="24"/>
                <w:szCs w:val="24"/>
              </w:rPr>
            </w:pPr>
            <w:r>
              <w:rPr>
                <w:rFonts w:hint="eastAsia" w:ascii="宋体" w:hAnsi="宋体" w:cs="宋体"/>
                <w:sz w:val="24"/>
                <w:szCs w:val="24"/>
              </w:rPr>
              <w:t>符合招标文件第七章投标文件格式要求</w:t>
            </w:r>
          </w:p>
        </w:tc>
      </w:tr>
      <w:tr w14:paraId="522D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trPr>
        <w:tc>
          <w:tcPr>
            <w:tcW w:w="749" w:type="dxa"/>
            <w:vMerge w:val="continue"/>
            <w:vAlign w:val="center"/>
          </w:tcPr>
          <w:p w14:paraId="5500F345">
            <w:pPr>
              <w:wordWrap w:val="0"/>
              <w:topLinePunct/>
              <w:spacing w:line="360" w:lineRule="auto"/>
              <w:jc w:val="left"/>
              <w:rPr>
                <w:rFonts w:ascii="宋体" w:hAnsi="宋体" w:cs="宋体"/>
                <w:sz w:val="24"/>
                <w:szCs w:val="24"/>
              </w:rPr>
            </w:pPr>
          </w:p>
        </w:tc>
        <w:tc>
          <w:tcPr>
            <w:tcW w:w="3633" w:type="dxa"/>
            <w:vAlign w:val="center"/>
          </w:tcPr>
          <w:p w14:paraId="44C464E6">
            <w:pPr>
              <w:wordWrap w:val="0"/>
              <w:topLinePunct/>
              <w:spacing w:line="360" w:lineRule="auto"/>
              <w:ind w:left="29" w:leftChars="14"/>
              <w:rPr>
                <w:rFonts w:ascii="宋体" w:hAnsi="宋体" w:cs="宋体"/>
                <w:sz w:val="24"/>
                <w:szCs w:val="24"/>
              </w:rPr>
            </w:pPr>
            <w:r>
              <w:rPr>
                <w:rFonts w:hint="eastAsia" w:ascii="宋体" w:hAnsi="宋体" w:cs="宋体"/>
                <w:sz w:val="24"/>
                <w:szCs w:val="24"/>
              </w:rPr>
              <w:t>法定代表人授权委托书及法定代表人身份证明</w:t>
            </w:r>
          </w:p>
        </w:tc>
        <w:tc>
          <w:tcPr>
            <w:tcW w:w="4437" w:type="dxa"/>
            <w:vAlign w:val="center"/>
          </w:tcPr>
          <w:p w14:paraId="2B54EF5C">
            <w:pPr>
              <w:wordWrap w:val="0"/>
              <w:topLinePunct/>
              <w:spacing w:line="360" w:lineRule="auto"/>
              <w:ind w:left="29" w:leftChars="14"/>
              <w:rPr>
                <w:rFonts w:ascii="宋体" w:hAnsi="宋体" w:cs="宋体"/>
                <w:sz w:val="24"/>
                <w:szCs w:val="24"/>
              </w:rPr>
            </w:pPr>
            <w:r>
              <w:rPr>
                <w:rFonts w:hint="eastAsia" w:ascii="宋体" w:hAnsi="宋体" w:cs="宋体"/>
                <w:sz w:val="24"/>
                <w:szCs w:val="24"/>
              </w:rPr>
              <w:t>严格按照招标文件给定的格式编写，供应商法定代表人或授权代表电子签章或电子签名，并加盖供应商电子公章。</w:t>
            </w:r>
          </w:p>
        </w:tc>
      </w:tr>
      <w:tr w14:paraId="1A02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749" w:type="dxa"/>
            <w:vMerge w:val="continue"/>
            <w:vAlign w:val="center"/>
          </w:tcPr>
          <w:p w14:paraId="188471C2">
            <w:pPr>
              <w:wordWrap w:val="0"/>
              <w:topLinePunct/>
              <w:spacing w:line="360" w:lineRule="auto"/>
              <w:jc w:val="left"/>
              <w:rPr>
                <w:rFonts w:ascii="宋体" w:hAnsi="宋体" w:cs="宋体"/>
                <w:sz w:val="24"/>
                <w:szCs w:val="24"/>
              </w:rPr>
            </w:pPr>
          </w:p>
        </w:tc>
        <w:tc>
          <w:tcPr>
            <w:tcW w:w="3633" w:type="dxa"/>
            <w:vAlign w:val="center"/>
          </w:tcPr>
          <w:p w14:paraId="04986FA5">
            <w:pPr>
              <w:wordWrap w:val="0"/>
              <w:topLinePunct/>
              <w:spacing w:line="360" w:lineRule="auto"/>
              <w:ind w:left="29" w:leftChars="14"/>
              <w:rPr>
                <w:rFonts w:ascii="宋体" w:hAnsi="宋体" w:cs="宋体"/>
                <w:sz w:val="24"/>
                <w:szCs w:val="24"/>
              </w:rPr>
            </w:pPr>
            <w:r>
              <w:rPr>
                <w:rFonts w:hint="eastAsia" w:ascii="宋体" w:hAnsi="宋体" w:cs="宋体"/>
                <w:sz w:val="24"/>
                <w:szCs w:val="24"/>
              </w:rPr>
              <w:t>投标保证金</w:t>
            </w:r>
          </w:p>
        </w:tc>
        <w:tc>
          <w:tcPr>
            <w:tcW w:w="4437" w:type="dxa"/>
            <w:vAlign w:val="center"/>
          </w:tcPr>
          <w:p w14:paraId="07E33D74">
            <w:pPr>
              <w:wordWrap w:val="0"/>
              <w:topLinePunct/>
              <w:spacing w:line="360" w:lineRule="auto"/>
              <w:rPr>
                <w:rFonts w:ascii="宋体" w:hAnsi="宋体" w:cs="宋体"/>
                <w:sz w:val="24"/>
                <w:szCs w:val="24"/>
              </w:rPr>
            </w:pPr>
            <w:r>
              <w:rPr>
                <w:rFonts w:hint="eastAsia" w:ascii="宋体" w:hAnsi="宋体" w:cs="宋体"/>
                <w:sz w:val="24"/>
                <w:szCs w:val="24"/>
              </w:rPr>
              <w:t>符合招标文件要求</w:t>
            </w:r>
          </w:p>
        </w:tc>
      </w:tr>
      <w:tr w14:paraId="727DD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749" w:type="dxa"/>
            <w:vMerge w:val="continue"/>
            <w:vAlign w:val="center"/>
          </w:tcPr>
          <w:p w14:paraId="4E2B4432">
            <w:pPr>
              <w:wordWrap w:val="0"/>
              <w:topLinePunct/>
              <w:spacing w:line="360" w:lineRule="auto"/>
              <w:jc w:val="left"/>
              <w:rPr>
                <w:rFonts w:ascii="宋体" w:hAnsi="宋体" w:cs="宋体"/>
                <w:sz w:val="24"/>
                <w:szCs w:val="24"/>
              </w:rPr>
            </w:pPr>
          </w:p>
        </w:tc>
        <w:tc>
          <w:tcPr>
            <w:tcW w:w="3633" w:type="dxa"/>
            <w:vAlign w:val="center"/>
          </w:tcPr>
          <w:p w14:paraId="09BE2D20">
            <w:pPr>
              <w:wordWrap w:val="0"/>
              <w:topLinePunct/>
              <w:spacing w:line="360" w:lineRule="auto"/>
              <w:ind w:left="29" w:leftChars="14"/>
              <w:rPr>
                <w:rFonts w:ascii="宋体" w:hAnsi="宋体" w:cs="宋体"/>
                <w:sz w:val="24"/>
                <w:szCs w:val="24"/>
              </w:rPr>
            </w:pPr>
            <w:r>
              <w:rPr>
                <w:rFonts w:hint="eastAsia" w:ascii="宋体" w:hAnsi="宋体" w:cs="宋体"/>
                <w:sz w:val="24"/>
                <w:szCs w:val="24"/>
              </w:rPr>
              <w:t>投标报价</w:t>
            </w:r>
          </w:p>
        </w:tc>
        <w:tc>
          <w:tcPr>
            <w:tcW w:w="4437" w:type="dxa"/>
            <w:vAlign w:val="center"/>
          </w:tcPr>
          <w:p w14:paraId="397A73C4">
            <w:pPr>
              <w:wordWrap w:val="0"/>
              <w:topLinePunct/>
              <w:spacing w:line="360" w:lineRule="auto"/>
              <w:rPr>
                <w:rFonts w:ascii="宋体" w:hAnsi="宋体" w:cs="宋体"/>
                <w:sz w:val="24"/>
                <w:szCs w:val="24"/>
              </w:rPr>
            </w:pPr>
            <w:r>
              <w:rPr>
                <w:rFonts w:hint="eastAsia" w:ascii="宋体" w:hAnsi="宋体" w:cs="宋体"/>
                <w:sz w:val="24"/>
                <w:szCs w:val="24"/>
              </w:rPr>
              <w:t>有效、唯一报价且不超过预算金额</w:t>
            </w:r>
          </w:p>
        </w:tc>
      </w:tr>
      <w:tr w14:paraId="59CA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749" w:type="dxa"/>
            <w:vMerge w:val="continue"/>
            <w:vAlign w:val="center"/>
          </w:tcPr>
          <w:p w14:paraId="312B8C9D">
            <w:pPr>
              <w:wordWrap w:val="0"/>
              <w:topLinePunct/>
              <w:spacing w:line="360" w:lineRule="auto"/>
              <w:jc w:val="left"/>
              <w:rPr>
                <w:rFonts w:ascii="宋体" w:hAnsi="宋体" w:cs="宋体"/>
                <w:sz w:val="24"/>
                <w:szCs w:val="24"/>
              </w:rPr>
            </w:pPr>
          </w:p>
        </w:tc>
        <w:tc>
          <w:tcPr>
            <w:tcW w:w="3633" w:type="dxa"/>
            <w:vAlign w:val="center"/>
          </w:tcPr>
          <w:p w14:paraId="3734452E">
            <w:pPr>
              <w:wordWrap w:val="0"/>
              <w:topLinePunct/>
              <w:spacing w:line="360" w:lineRule="auto"/>
              <w:ind w:left="29" w:leftChars="14"/>
              <w:rPr>
                <w:rFonts w:ascii="宋体" w:hAnsi="宋体" w:cs="宋体"/>
                <w:sz w:val="24"/>
                <w:szCs w:val="24"/>
              </w:rPr>
            </w:pPr>
            <w:r>
              <w:rPr>
                <w:rFonts w:hint="eastAsia" w:ascii="宋体" w:hAnsi="宋体" w:cs="宋体"/>
                <w:sz w:val="24"/>
                <w:szCs w:val="24"/>
              </w:rPr>
              <w:t>合同履约期限（交货期）</w:t>
            </w:r>
          </w:p>
        </w:tc>
        <w:tc>
          <w:tcPr>
            <w:tcW w:w="4437" w:type="dxa"/>
            <w:vAlign w:val="center"/>
          </w:tcPr>
          <w:p w14:paraId="31C9409B">
            <w:pPr>
              <w:wordWrap w:val="0"/>
              <w:topLinePunct/>
              <w:spacing w:line="360" w:lineRule="auto"/>
              <w:ind w:left="29" w:leftChars="14"/>
              <w:rPr>
                <w:rFonts w:ascii="宋体" w:hAnsi="宋体" w:cs="宋体"/>
                <w:sz w:val="24"/>
                <w:szCs w:val="24"/>
              </w:rPr>
            </w:pPr>
            <w:r>
              <w:rPr>
                <w:rFonts w:hint="eastAsia" w:ascii="宋体" w:hAnsi="宋体" w:cs="宋体"/>
                <w:sz w:val="24"/>
                <w:szCs w:val="24"/>
              </w:rPr>
              <w:t>符合招标文件要求</w:t>
            </w:r>
          </w:p>
        </w:tc>
      </w:tr>
      <w:tr w14:paraId="1DDC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749" w:type="dxa"/>
            <w:vMerge w:val="continue"/>
            <w:vAlign w:val="center"/>
          </w:tcPr>
          <w:p w14:paraId="74B661A4">
            <w:pPr>
              <w:wordWrap w:val="0"/>
              <w:topLinePunct/>
              <w:spacing w:line="360" w:lineRule="auto"/>
              <w:jc w:val="left"/>
              <w:rPr>
                <w:rFonts w:ascii="宋体" w:hAnsi="宋体" w:cs="宋体"/>
                <w:sz w:val="24"/>
                <w:szCs w:val="24"/>
              </w:rPr>
            </w:pPr>
          </w:p>
        </w:tc>
        <w:tc>
          <w:tcPr>
            <w:tcW w:w="3633" w:type="dxa"/>
            <w:vAlign w:val="center"/>
          </w:tcPr>
          <w:p w14:paraId="6FB3549E">
            <w:pPr>
              <w:wordWrap w:val="0"/>
              <w:topLinePunct/>
              <w:spacing w:line="360" w:lineRule="auto"/>
              <w:ind w:left="29" w:leftChars="14"/>
              <w:rPr>
                <w:rFonts w:ascii="宋体" w:hAnsi="宋体" w:cs="宋体"/>
                <w:sz w:val="24"/>
                <w:szCs w:val="24"/>
              </w:rPr>
            </w:pPr>
            <w:r>
              <w:rPr>
                <w:rFonts w:hint="eastAsia" w:ascii="宋体" w:hAnsi="宋体" w:cs="宋体"/>
                <w:sz w:val="24"/>
                <w:szCs w:val="24"/>
              </w:rPr>
              <w:t>投标有效期</w:t>
            </w:r>
          </w:p>
        </w:tc>
        <w:tc>
          <w:tcPr>
            <w:tcW w:w="4437" w:type="dxa"/>
            <w:vAlign w:val="center"/>
          </w:tcPr>
          <w:p w14:paraId="6347137A">
            <w:pPr>
              <w:wordWrap w:val="0"/>
              <w:topLinePunct/>
              <w:spacing w:line="360" w:lineRule="auto"/>
              <w:ind w:left="29" w:leftChars="14"/>
              <w:rPr>
                <w:rFonts w:ascii="宋体" w:hAnsi="宋体" w:cs="宋体"/>
                <w:sz w:val="24"/>
                <w:szCs w:val="24"/>
              </w:rPr>
            </w:pPr>
            <w:r>
              <w:rPr>
                <w:rFonts w:hint="eastAsia" w:ascii="宋体" w:hAnsi="宋体" w:cs="宋体"/>
                <w:sz w:val="24"/>
                <w:szCs w:val="24"/>
              </w:rPr>
              <w:t>符合招标文件要求</w:t>
            </w:r>
          </w:p>
        </w:tc>
      </w:tr>
      <w:tr w14:paraId="5634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49" w:type="dxa"/>
            <w:vMerge w:val="continue"/>
            <w:vAlign w:val="center"/>
          </w:tcPr>
          <w:p w14:paraId="649D2B9F">
            <w:pPr>
              <w:wordWrap w:val="0"/>
              <w:topLinePunct/>
              <w:spacing w:line="360" w:lineRule="auto"/>
              <w:jc w:val="left"/>
              <w:rPr>
                <w:rFonts w:ascii="宋体" w:hAnsi="宋体" w:cs="宋体"/>
                <w:sz w:val="24"/>
                <w:szCs w:val="24"/>
              </w:rPr>
            </w:pPr>
          </w:p>
        </w:tc>
        <w:tc>
          <w:tcPr>
            <w:tcW w:w="3633" w:type="dxa"/>
            <w:vAlign w:val="center"/>
          </w:tcPr>
          <w:p w14:paraId="2DF68B84">
            <w:pPr>
              <w:wordWrap w:val="0"/>
              <w:topLinePunct/>
              <w:spacing w:line="360" w:lineRule="auto"/>
              <w:ind w:left="29" w:leftChars="14"/>
              <w:rPr>
                <w:rFonts w:ascii="宋体" w:hAnsi="宋体" w:cs="宋体"/>
                <w:sz w:val="24"/>
                <w:szCs w:val="24"/>
              </w:rPr>
            </w:pPr>
            <w:r>
              <w:rPr>
                <w:rFonts w:hint="eastAsia" w:ascii="宋体" w:hAnsi="宋体" w:cs="宋体"/>
                <w:sz w:val="24"/>
                <w:szCs w:val="24"/>
              </w:rPr>
              <w:t>其他要求</w:t>
            </w:r>
          </w:p>
        </w:tc>
        <w:tc>
          <w:tcPr>
            <w:tcW w:w="4437" w:type="dxa"/>
            <w:vAlign w:val="center"/>
          </w:tcPr>
          <w:p w14:paraId="02EFE8EF">
            <w:pPr>
              <w:wordWrap w:val="0"/>
              <w:topLinePunct/>
              <w:spacing w:line="360" w:lineRule="auto"/>
              <w:ind w:left="29" w:leftChars="14"/>
              <w:rPr>
                <w:rFonts w:ascii="宋体" w:hAnsi="宋体" w:cs="宋体"/>
                <w:sz w:val="24"/>
                <w:szCs w:val="24"/>
              </w:rPr>
            </w:pPr>
            <w:r>
              <w:rPr>
                <w:rFonts w:hint="eastAsia" w:ascii="宋体" w:hAnsi="宋体" w:cs="宋体"/>
                <w:sz w:val="24"/>
                <w:szCs w:val="24"/>
              </w:rPr>
              <w:t>符合招标文件要求</w:t>
            </w:r>
          </w:p>
        </w:tc>
      </w:tr>
      <w:tr w14:paraId="1513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6" w:hRule="atLeast"/>
        </w:trPr>
        <w:tc>
          <w:tcPr>
            <w:tcW w:w="749" w:type="dxa"/>
            <w:vAlign w:val="center"/>
          </w:tcPr>
          <w:p w14:paraId="65015FBF">
            <w:pPr>
              <w:wordWrap w:val="0"/>
              <w:topLinePunct/>
              <w:spacing w:line="360" w:lineRule="auto"/>
              <w:jc w:val="left"/>
              <w:rPr>
                <w:rFonts w:ascii="宋体" w:hAnsi="宋体" w:cs="宋体"/>
                <w:sz w:val="24"/>
                <w:szCs w:val="24"/>
              </w:rPr>
            </w:pPr>
            <w:r>
              <w:rPr>
                <w:rFonts w:hint="eastAsia" w:ascii="宋体" w:hAnsi="宋体" w:cs="宋体"/>
                <w:sz w:val="24"/>
                <w:szCs w:val="24"/>
              </w:rPr>
              <w:t>说明</w:t>
            </w:r>
          </w:p>
        </w:tc>
        <w:tc>
          <w:tcPr>
            <w:tcW w:w="8070" w:type="dxa"/>
            <w:gridSpan w:val="2"/>
            <w:vAlign w:val="center"/>
          </w:tcPr>
          <w:p w14:paraId="67D5C070">
            <w:pPr>
              <w:overflowPunct w:val="0"/>
              <w:topLinePunct/>
              <w:autoSpaceDN w:val="0"/>
              <w:adjustRightInd w:val="0"/>
              <w:snapToGrid w:val="0"/>
              <w:spacing w:line="360" w:lineRule="auto"/>
              <w:rPr>
                <w:rFonts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1、审查内容若有一项未提供或提供的内容不符合规定，将导致其不具备投标资格，且不允许在开标后补正。</w:t>
            </w:r>
          </w:p>
          <w:p w14:paraId="6D65A240">
            <w:pPr>
              <w:wordWrap w:val="0"/>
              <w:topLinePunct/>
              <w:spacing w:line="360" w:lineRule="auto"/>
              <w:ind w:left="29" w:leftChars="14"/>
              <w:rPr>
                <w:rFonts w:ascii="宋体" w:hAnsi="宋体" w:cs="宋体"/>
                <w:sz w:val="24"/>
                <w:szCs w:val="24"/>
              </w:rPr>
            </w:pPr>
            <w:r>
              <w:rPr>
                <w:rFonts w:hint="eastAsia" w:ascii="华文中宋" w:hAnsi="华文中宋" w:eastAsia="华文中宋" w:cs="华文中宋"/>
                <w:snapToGrid w:val="0"/>
                <w:sz w:val="24"/>
                <w:szCs w:val="24"/>
              </w:rPr>
              <w:t>2、上述表中所列内容如与本项目所属行业的相关规定有不符之处，以行业相关规定为准。</w:t>
            </w:r>
          </w:p>
        </w:tc>
      </w:tr>
      <w:tr w14:paraId="0E97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3" w:hRule="atLeast"/>
        </w:trPr>
        <w:tc>
          <w:tcPr>
            <w:tcW w:w="749" w:type="dxa"/>
            <w:vMerge w:val="restart"/>
            <w:vAlign w:val="center"/>
          </w:tcPr>
          <w:p w14:paraId="47FA5E96">
            <w:pPr>
              <w:wordWrap w:val="0"/>
              <w:topLinePunct/>
              <w:spacing w:line="360" w:lineRule="auto"/>
              <w:jc w:val="center"/>
              <w:rPr>
                <w:rFonts w:ascii="宋体" w:hAnsi="宋体" w:cs="宋体"/>
                <w:sz w:val="24"/>
                <w:szCs w:val="24"/>
              </w:rPr>
            </w:pPr>
            <w:r>
              <w:rPr>
                <w:rFonts w:hint="eastAsia" w:ascii="宋体" w:hAnsi="宋体" w:cs="宋体"/>
                <w:sz w:val="24"/>
                <w:szCs w:val="24"/>
              </w:rPr>
              <w:t>资</w:t>
            </w:r>
          </w:p>
          <w:p w14:paraId="66287320">
            <w:pPr>
              <w:wordWrap w:val="0"/>
              <w:topLinePunct/>
              <w:spacing w:line="360" w:lineRule="auto"/>
              <w:jc w:val="center"/>
              <w:rPr>
                <w:rFonts w:ascii="宋体" w:hAnsi="宋体" w:cs="宋体"/>
                <w:sz w:val="24"/>
                <w:szCs w:val="24"/>
              </w:rPr>
            </w:pPr>
            <w:r>
              <w:rPr>
                <w:rFonts w:hint="eastAsia" w:ascii="宋体" w:hAnsi="宋体" w:cs="宋体"/>
                <w:sz w:val="24"/>
                <w:szCs w:val="24"/>
              </w:rPr>
              <w:t>格</w:t>
            </w:r>
          </w:p>
          <w:p w14:paraId="2B6FD6F9">
            <w:pPr>
              <w:wordWrap w:val="0"/>
              <w:topLinePunct/>
              <w:spacing w:line="360" w:lineRule="auto"/>
              <w:jc w:val="center"/>
              <w:rPr>
                <w:rFonts w:ascii="宋体" w:hAnsi="宋体" w:cs="宋体"/>
                <w:sz w:val="24"/>
                <w:szCs w:val="24"/>
              </w:rPr>
            </w:pPr>
            <w:r>
              <w:rPr>
                <w:rFonts w:hint="eastAsia" w:ascii="宋体" w:hAnsi="宋体" w:cs="宋体"/>
                <w:sz w:val="24"/>
                <w:szCs w:val="24"/>
              </w:rPr>
              <w:t>性</w:t>
            </w:r>
          </w:p>
          <w:p w14:paraId="08D1655A">
            <w:pPr>
              <w:wordWrap w:val="0"/>
              <w:topLinePunct/>
              <w:spacing w:line="360" w:lineRule="auto"/>
              <w:jc w:val="center"/>
              <w:rPr>
                <w:rFonts w:ascii="宋体" w:hAnsi="宋体" w:cs="宋体"/>
                <w:sz w:val="24"/>
                <w:szCs w:val="24"/>
              </w:rPr>
            </w:pPr>
            <w:r>
              <w:rPr>
                <w:rFonts w:hint="eastAsia" w:ascii="宋体" w:hAnsi="宋体" w:cs="宋体"/>
                <w:sz w:val="24"/>
                <w:szCs w:val="24"/>
              </w:rPr>
              <w:t>评</w:t>
            </w:r>
          </w:p>
          <w:p w14:paraId="5FABE9C4">
            <w:pPr>
              <w:wordWrap w:val="0"/>
              <w:topLinePunct/>
              <w:spacing w:line="360" w:lineRule="auto"/>
              <w:jc w:val="center"/>
              <w:rPr>
                <w:rFonts w:ascii="宋体" w:hAnsi="宋体" w:cs="宋体"/>
                <w:sz w:val="24"/>
                <w:szCs w:val="24"/>
              </w:rPr>
            </w:pPr>
            <w:r>
              <w:rPr>
                <w:rFonts w:hint="eastAsia" w:ascii="宋体" w:hAnsi="宋体" w:cs="宋体"/>
                <w:sz w:val="24"/>
                <w:szCs w:val="24"/>
              </w:rPr>
              <w:t>审</w:t>
            </w:r>
          </w:p>
          <w:p w14:paraId="2B916658">
            <w:pPr>
              <w:wordWrap w:val="0"/>
              <w:topLinePunct/>
              <w:spacing w:line="360" w:lineRule="auto"/>
              <w:jc w:val="center"/>
              <w:rPr>
                <w:rFonts w:ascii="宋体" w:hAnsi="宋体" w:cs="宋体"/>
                <w:sz w:val="24"/>
                <w:szCs w:val="24"/>
              </w:rPr>
            </w:pPr>
            <w:r>
              <w:rPr>
                <w:rFonts w:hint="eastAsia" w:ascii="宋体" w:hAnsi="宋体" w:cs="宋体"/>
                <w:sz w:val="24"/>
                <w:szCs w:val="24"/>
              </w:rPr>
              <w:t>标</w:t>
            </w:r>
          </w:p>
          <w:p w14:paraId="4FAE3A25">
            <w:pPr>
              <w:wordWrap w:val="0"/>
              <w:topLinePunct/>
              <w:ind w:firstLine="240" w:firstLineChars="100"/>
              <w:jc w:val="left"/>
              <w:rPr>
                <w:rFonts w:ascii="宋体" w:hAnsi="宋体" w:cs="宋体"/>
                <w:sz w:val="24"/>
                <w:szCs w:val="24"/>
              </w:rPr>
            </w:pPr>
            <w:r>
              <w:rPr>
                <w:rFonts w:hint="eastAsia" w:ascii="宋体" w:hAnsi="宋体" w:cs="宋体"/>
                <w:sz w:val="24"/>
                <w:szCs w:val="24"/>
              </w:rPr>
              <w:t>准</w:t>
            </w:r>
          </w:p>
        </w:tc>
        <w:tc>
          <w:tcPr>
            <w:tcW w:w="3633" w:type="dxa"/>
            <w:vAlign w:val="center"/>
          </w:tcPr>
          <w:p w14:paraId="419C8C20">
            <w:pPr>
              <w:spacing w:line="360" w:lineRule="exact"/>
              <w:rPr>
                <w:rFonts w:ascii="华文中宋" w:hAnsi="华文中宋" w:eastAsia="华文中宋" w:cs="华文中宋"/>
                <w:snapToGrid w:val="0"/>
                <w:sz w:val="24"/>
                <w:szCs w:val="24"/>
              </w:rPr>
            </w:pPr>
            <w:r>
              <w:rPr>
                <w:rFonts w:hint="eastAsia" w:ascii="宋体" w:hAnsi="宋体" w:cs="宋体"/>
                <w:sz w:val="24"/>
              </w:rPr>
              <w:t>具有独立承担民事责任的能力</w:t>
            </w:r>
          </w:p>
        </w:tc>
        <w:tc>
          <w:tcPr>
            <w:tcW w:w="4437" w:type="dxa"/>
            <w:vAlign w:val="center"/>
          </w:tcPr>
          <w:p w14:paraId="5B3989EA">
            <w:pPr>
              <w:spacing w:line="360" w:lineRule="exact"/>
              <w:rPr>
                <w:rFonts w:ascii="宋体" w:hAnsi="宋体" w:cs="宋体"/>
                <w:sz w:val="24"/>
                <w:szCs w:val="24"/>
              </w:rPr>
            </w:pPr>
            <w:r>
              <w:rPr>
                <w:rFonts w:hint="eastAsia" w:ascii="宋体" w:hAnsi="宋体" w:cs="宋体"/>
                <w:sz w:val="24"/>
                <w:szCs w:val="24"/>
              </w:rPr>
              <w:t>提供供应商信用承诺书。</w:t>
            </w:r>
          </w:p>
          <w:p w14:paraId="29A5584B">
            <w:pPr>
              <w:spacing w:line="360" w:lineRule="exact"/>
              <w:rPr>
                <w:rFonts w:ascii="宋体" w:hAnsi="宋体" w:cs="宋体"/>
                <w:sz w:val="24"/>
                <w:szCs w:val="24"/>
              </w:rPr>
            </w:pPr>
            <w:r>
              <w:rPr>
                <w:rFonts w:hint="eastAsia" w:ascii="宋体" w:hAnsi="宋体" w:cs="宋体"/>
                <w:sz w:val="24"/>
                <w:szCs w:val="24"/>
              </w:rPr>
              <w:t>以上证明材料须符合要求、有效、完整。否则，响应无效。</w:t>
            </w:r>
          </w:p>
        </w:tc>
      </w:tr>
      <w:tr w14:paraId="0E2A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749" w:type="dxa"/>
            <w:vMerge w:val="continue"/>
            <w:vAlign w:val="center"/>
          </w:tcPr>
          <w:p w14:paraId="6CD05826">
            <w:pPr>
              <w:wordWrap w:val="0"/>
              <w:topLinePunct/>
              <w:jc w:val="left"/>
              <w:rPr>
                <w:rFonts w:ascii="宋体" w:hAnsi="宋体" w:cs="宋体"/>
                <w:sz w:val="24"/>
                <w:szCs w:val="24"/>
              </w:rPr>
            </w:pPr>
          </w:p>
        </w:tc>
        <w:tc>
          <w:tcPr>
            <w:tcW w:w="3633" w:type="dxa"/>
            <w:vAlign w:val="center"/>
          </w:tcPr>
          <w:p w14:paraId="1BDCC094">
            <w:pPr>
              <w:wordWrap w:val="0"/>
              <w:topLinePunct/>
              <w:spacing w:line="360" w:lineRule="auto"/>
              <w:ind w:left="29" w:leftChars="14"/>
              <w:rPr>
                <w:rFonts w:ascii="宋体" w:hAnsi="宋体" w:cs="宋体"/>
                <w:sz w:val="24"/>
                <w:szCs w:val="24"/>
              </w:rPr>
            </w:pPr>
            <w:r>
              <w:rPr>
                <w:rFonts w:hint="eastAsia" w:ascii="宋体" w:hAnsi="宋体" w:cs="宋体"/>
                <w:sz w:val="24"/>
                <w:szCs w:val="24"/>
              </w:rPr>
              <w:t>具有良好的商业信誉和健全的财务会计制度</w:t>
            </w:r>
          </w:p>
        </w:tc>
        <w:tc>
          <w:tcPr>
            <w:tcW w:w="4437" w:type="dxa"/>
            <w:vAlign w:val="center"/>
          </w:tcPr>
          <w:p w14:paraId="10BCDB83">
            <w:pPr>
              <w:wordWrap w:val="0"/>
              <w:topLinePunct/>
              <w:spacing w:line="360" w:lineRule="auto"/>
              <w:ind w:left="29" w:leftChars="14"/>
              <w:rPr>
                <w:rFonts w:ascii="宋体" w:hAnsi="宋体" w:cs="宋体"/>
                <w:sz w:val="24"/>
                <w:szCs w:val="24"/>
              </w:rPr>
            </w:pPr>
            <w:r>
              <w:rPr>
                <w:rFonts w:hint="eastAsia" w:ascii="宋体" w:hAnsi="宋体" w:cs="宋体"/>
                <w:sz w:val="24"/>
                <w:szCs w:val="24"/>
              </w:rPr>
              <w:t>提供供应商信用承诺书。</w:t>
            </w:r>
          </w:p>
          <w:p w14:paraId="252270BD">
            <w:pPr>
              <w:wordWrap w:val="0"/>
              <w:topLinePunct/>
              <w:spacing w:line="360" w:lineRule="auto"/>
              <w:ind w:left="29" w:leftChars="14"/>
              <w:rPr>
                <w:rFonts w:ascii="宋体" w:hAnsi="宋体" w:cs="宋体"/>
                <w:sz w:val="24"/>
                <w:szCs w:val="24"/>
              </w:rPr>
            </w:pPr>
            <w:r>
              <w:rPr>
                <w:rFonts w:hint="eastAsia" w:ascii="宋体" w:hAnsi="宋体" w:cs="宋体"/>
                <w:sz w:val="24"/>
                <w:szCs w:val="24"/>
              </w:rPr>
              <w:t>以上证明材料须符合要求、有效、完整。否则，响应无效。</w:t>
            </w:r>
          </w:p>
        </w:tc>
      </w:tr>
      <w:tr w14:paraId="521FF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749" w:type="dxa"/>
            <w:vMerge w:val="continue"/>
            <w:vAlign w:val="center"/>
          </w:tcPr>
          <w:p w14:paraId="4489FD2D">
            <w:pPr>
              <w:wordWrap w:val="0"/>
              <w:topLinePunct/>
              <w:jc w:val="left"/>
              <w:rPr>
                <w:rFonts w:ascii="宋体" w:hAnsi="宋体" w:cs="宋体"/>
                <w:sz w:val="24"/>
                <w:szCs w:val="24"/>
              </w:rPr>
            </w:pPr>
          </w:p>
        </w:tc>
        <w:tc>
          <w:tcPr>
            <w:tcW w:w="3633" w:type="dxa"/>
            <w:vAlign w:val="center"/>
          </w:tcPr>
          <w:p w14:paraId="4FD0B05A">
            <w:pPr>
              <w:overflowPunct w:val="0"/>
              <w:topLinePunct/>
              <w:autoSpaceDN w:val="0"/>
              <w:adjustRightInd w:val="0"/>
              <w:snapToGrid w:val="0"/>
              <w:rPr>
                <w:rFonts w:ascii="华文中宋" w:hAnsi="华文中宋" w:eastAsia="华文中宋" w:cs="华文中宋"/>
                <w:snapToGrid w:val="0"/>
                <w:sz w:val="24"/>
                <w:szCs w:val="24"/>
              </w:rPr>
            </w:pPr>
            <w:r>
              <w:rPr>
                <w:rFonts w:hint="eastAsia" w:ascii="宋体" w:hAnsi="宋体" w:cs="宋体"/>
                <w:sz w:val="24"/>
                <w:szCs w:val="24"/>
              </w:rPr>
              <w:t>具有履行合同所必需的设备和专业技术能力</w:t>
            </w:r>
          </w:p>
        </w:tc>
        <w:tc>
          <w:tcPr>
            <w:tcW w:w="4437" w:type="dxa"/>
            <w:vAlign w:val="center"/>
          </w:tcPr>
          <w:p w14:paraId="20382F5D">
            <w:pPr>
              <w:spacing w:line="280" w:lineRule="exact"/>
              <w:rPr>
                <w:rFonts w:ascii="宋体" w:hAnsi="宋体" w:cs="宋体"/>
                <w:spacing w:val="-2"/>
                <w:sz w:val="24"/>
                <w:szCs w:val="24"/>
              </w:rPr>
            </w:pPr>
            <w:r>
              <w:rPr>
                <w:rFonts w:hint="eastAsia" w:ascii="宋体" w:hAnsi="宋体" w:cs="宋体"/>
                <w:spacing w:val="-2"/>
                <w:sz w:val="24"/>
                <w:szCs w:val="24"/>
              </w:rPr>
              <w:t>提供供应商信用承诺书。</w:t>
            </w:r>
          </w:p>
          <w:p w14:paraId="3ADF71C5">
            <w:pPr>
              <w:spacing w:line="280" w:lineRule="exact"/>
              <w:rPr>
                <w:rFonts w:ascii="宋体" w:hAnsi="宋体" w:cs="宋体"/>
                <w:sz w:val="24"/>
                <w:szCs w:val="24"/>
              </w:rPr>
            </w:pPr>
            <w:r>
              <w:rPr>
                <w:rFonts w:hint="eastAsia" w:ascii="宋体" w:hAnsi="宋体" w:cs="宋体"/>
                <w:spacing w:val="-2"/>
                <w:sz w:val="24"/>
                <w:szCs w:val="24"/>
              </w:rPr>
              <w:t>以上证明材料须符合要求、有效、完整。否则，响应无效。</w:t>
            </w:r>
          </w:p>
        </w:tc>
      </w:tr>
      <w:tr w14:paraId="270A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749" w:type="dxa"/>
            <w:vMerge w:val="continue"/>
            <w:vAlign w:val="center"/>
          </w:tcPr>
          <w:p w14:paraId="5CD1D137">
            <w:pPr>
              <w:wordWrap w:val="0"/>
              <w:topLinePunct/>
              <w:jc w:val="left"/>
              <w:rPr>
                <w:rFonts w:ascii="宋体" w:hAnsi="宋体" w:cs="宋体"/>
                <w:sz w:val="24"/>
                <w:szCs w:val="24"/>
              </w:rPr>
            </w:pPr>
          </w:p>
        </w:tc>
        <w:tc>
          <w:tcPr>
            <w:tcW w:w="3633" w:type="dxa"/>
            <w:vAlign w:val="center"/>
          </w:tcPr>
          <w:p w14:paraId="7437B3FD">
            <w:pPr>
              <w:overflowPunct w:val="0"/>
              <w:topLinePunct/>
              <w:autoSpaceDN w:val="0"/>
              <w:adjustRightInd w:val="0"/>
              <w:snapToGrid w:val="0"/>
              <w:rPr>
                <w:rFonts w:ascii="宋体" w:hAnsi="宋体" w:cs="宋体"/>
                <w:sz w:val="24"/>
                <w:szCs w:val="24"/>
              </w:rPr>
            </w:pPr>
            <w:r>
              <w:rPr>
                <w:rFonts w:hint="eastAsia" w:ascii="宋体" w:hAnsi="宋体" w:cs="宋体"/>
                <w:sz w:val="24"/>
              </w:rPr>
              <w:t>有依法缴纳税收和社会保障资金的良好记录</w:t>
            </w:r>
          </w:p>
        </w:tc>
        <w:tc>
          <w:tcPr>
            <w:tcW w:w="4437" w:type="dxa"/>
            <w:vAlign w:val="center"/>
          </w:tcPr>
          <w:p w14:paraId="3F0BC0E0">
            <w:pPr>
              <w:spacing w:line="280" w:lineRule="exact"/>
              <w:rPr>
                <w:rFonts w:ascii="宋体" w:hAnsi="宋体" w:cs="宋体"/>
                <w:spacing w:val="-2"/>
                <w:sz w:val="24"/>
                <w:szCs w:val="24"/>
              </w:rPr>
            </w:pPr>
            <w:r>
              <w:rPr>
                <w:rFonts w:hint="eastAsia" w:ascii="宋体" w:hAnsi="宋体" w:cs="宋体"/>
                <w:spacing w:val="-2"/>
                <w:sz w:val="24"/>
                <w:szCs w:val="24"/>
              </w:rPr>
              <w:t>提供供应商信用承诺书。</w:t>
            </w:r>
          </w:p>
          <w:p w14:paraId="4519CA71">
            <w:pPr>
              <w:spacing w:line="280" w:lineRule="exact"/>
              <w:rPr>
                <w:rFonts w:ascii="宋体" w:hAnsi="宋体" w:cs="宋体"/>
                <w:sz w:val="24"/>
                <w:szCs w:val="24"/>
              </w:rPr>
            </w:pPr>
            <w:r>
              <w:rPr>
                <w:rFonts w:hint="eastAsia" w:ascii="宋体" w:hAnsi="宋体" w:cs="宋体"/>
                <w:spacing w:val="-2"/>
                <w:sz w:val="24"/>
                <w:szCs w:val="24"/>
              </w:rPr>
              <w:t>以上证明材料须符合要求、有效、完整。否则，响应无效。</w:t>
            </w:r>
          </w:p>
        </w:tc>
      </w:tr>
      <w:tr w14:paraId="60871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trPr>
        <w:tc>
          <w:tcPr>
            <w:tcW w:w="749" w:type="dxa"/>
            <w:vMerge w:val="continue"/>
            <w:vAlign w:val="center"/>
          </w:tcPr>
          <w:p w14:paraId="71B21FD7">
            <w:pPr>
              <w:wordWrap w:val="0"/>
              <w:topLinePunct/>
              <w:jc w:val="left"/>
              <w:rPr>
                <w:rFonts w:ascii="宋体" w:hAnsi="宋体" w:cs="宋体"/>
                <w:sz w:val="24"/>
                <w:szCs w:val="24"/>
              </w:rPr>
            </w:pPr>
          </w:p>
        </w:tc>
        <w:tc>
          <w:tcPr>
            <w:tcW w:w="3633" w:type="dxa"/>
            <w:vAlign w:val="center"/>
          </w:tcPr>
          <w:p w14:paraId="6DB124DA">
            <w:pPr>
              <w:overflowPunct w:val="0"/>
              <w:topLinePunct/>
              <w:autoSpaceDN w:val="0"/>
              <w:adjustRightInd w:val="0"/>
              <w:snapToGrid w:val="0"/>
              <w:rPr>
                <w:rFonts w:ascii="华文中宋" w:hAnsi="华文中宋" w:eastAsia="华文中宋" w:cs="华文中宋"/>
                <w:snapToGrid w:val="0"/>
                <w:sz w:val="24"/>
                <w:szCs w:val="24"/>
              </w:rPr>
            </w:pPr>
            <w:r>
              <w:rPr>
                <w:rFonts w:hint="eastAsia" w:ascii="宋体" w:hAnsi="宋体" w:cs="宋体"/>
                <w:sz w:val="24"/>
              </w:rPr>
              <w:t>参加政府采购活动前三年内，在经营活动中没有重大违法记录</w:t>
            </w:r>
          </w:p>
        </w:tc>
        <w:tc>
          <w:tcPr>
            <w:tcW w:w="4437" w:type="dxa"/>
            <w:vAlign w:val="center"/>
          </w:tcPr>
          <w:p w14:paraId="08B411BA">
            <w:pPr>
              <w:spacing w:line="280" w:lineRule="exact"/>
              <w:rPr>
                <w:rFonts w:ascii="宋体" w:hAnsi="宋体" w:cs="宋体"/>
                <w:spacing w:val="-2"/>
                <w:sz w:val="24"/>
                <w:szCs w:val="24"/>
              </w:rPr>
            </w:pPr>
            <w:r>
              <w:rPr>
                <w:rFonts w:hint="eastAsia" w:ascii="宋体" w:hAnsi="宋体" w:cs="宋体"/>
                <w:spacing w:val="-2"/>
                <w:sz w:val="24"/>
                <w:szCs w:val="24"/>
              </w:rPr>
              <w:t>提供供应商信用承诺书。</w:t>
            </w:r>
          </w:p>
          <w:p w14:paraId="6A78EDD7">
            <w:pPr>
              <w:spacing w:line="280" w:lineRule="exact"/>
              <w:rPr>
                <w:rFonts w:ascii="华文中宋" w:hAnsi="华文中宋" w:eastAsia="华文中宋"/>
                <w:color w:val="000000"/>
                <w:sz w:val="24"/>
                <w:szCs w:val="24"/>
              </w:rPr>
            </w:pPr>
            <w:r>
              <w:rPr>
                <w:rFonts w:hint="eastAsia" w:ascii="宋体" w:hAnsi="宋体" w:cs="宋体"/>
                <w:spacing w:val="-2"/>
                <w:sz w:val="24"/>
                <w:szCs w:val="24"/>
              </w:rPr>
              <w:t>以上证明材料须符合要求、有效、完整。否则，响应无效。</w:t>
            </w:r>
          </w:p>
        </w:tc>
      </w:tr>
      <w:tr w14:paraId="25890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1" w:hRule="atLeast"/>
        </w:trPr>
        <w:tc>
          <w:tcPr>
            <w:tcW w:w="749" w:type="dxa"/>
            <w:vMerge w:val="continue"/>
            <w:vAlign w:val="center"/>
          </w:tcPr>
          <w:p w14:paraId="12F6E968">
            <w:pPr>
              <w:wordWrap w:val="0"/>
              <w:topLinePunct/>
              <w:jc w:val="left"/>
              <w:rPr>
                <w:rFonts w:ascii="宋体" w:hAnsi="宋体" w:cs="宋体"/>
                <w:sz w:val="24"/>
                <w:szCs w:val="24"/>
              </w:rPr>
            </w:pPr>
          </w:p>
        </w:tc>
        <w:tc>
          <w:tcPr>
            <w:tcW w:w="3633" w:type="dxa"/>
            <w:shd w:val="clear" w:color="auto" w:fill="auto"/>
            <w:vAlign w:val="center"/>
          </w:tcPr>
          <w:p w14:paraId="651CF0D5">
            <w:pPr>
              <w:spacing w:line="360" w:lineRule="auto"/>
              <w:ind w:firstLine="480" w:firstLineChars="200"/>
              <w:rPr>
                <w:rFonts w:ascii="宋体" w:hAnsi="宋体" w:cs="宋体"/>
                <w:sz w:val="24"/>
              </w:rPr>
            </w:pPr>
            <w:r>
              <w:rPr>
                <w:rFonts w:hint="eastAsia" w:ascii="宋体" w:hAnsi="宋体" w:cs="宋体"/>
                <w:sz w:val="24"/>
              </w:rPr>
              <w:t>供应商所投产品属于医疗器械生产企业直接参加投标的，一类医疗器械提供生产备案凭证;二类医疗器械提供生产企业许可证和经营备案凭证;三类医疗器械提供生产企业许可证和经营许可证;供应商属于医疗器械经营企业参加投标的，二类医疗器械提供经营备案凭证，三类医疗器械提供经营许可证，一类医疗器械可不提供，属于医疗器械产品需提供医疗器械注册证书；并在人员、设备、资金等方面具有满足本项目的相应服务能力。</w:t>
            </w:r>
          </w:p>
        </w:tc>
        <w:tc>
          <w:tcPr>
            <w:tcW w:w="4437" w:type="dxa"/>
            <w:shd w:val="clear" w:color="auto" w:fill="auto"/>
            <w:vAlign w:val="center"/>
          </w:tcPr>
          <w:p w14:paraId="60475284">
            <w:pPr>
              <w:spacing w:line="280" w:lineRule="exact"/>
              <w:rPr>
                <w:rFonts w:ascii="宋体" w:hAnsi="宋体" w:cs="宋体"/>
                <w:spacing w:val="-2"/>
                <w:sz w:val="24"/>
                <w:szCs w:val="24"/>
              </w:rPr>
            </w:pPr>
            <w:bookmarkStart w:id="72" w:name="OLE_LINK3"/>
            <w:r>
              <w:rPr>
                <w:rFonts w:hint="eastAsia" w:ascii="宋体" w:hAnsi="宋体" w:cs="宋体"/>
                <w:spacing w:val="-2"/>
                <w:sz w:val="24"/>
                <w:szCs w:val="24"/>
              </w:rPr>
              <w:t>符合招标文件要求</w:t>
            </w:r>
            <w:bookmarkEnd w:id="72"/>
          </w:p>
        </w:tc>
      </w:tr>
      <w:tr w14:paraId="0C3F8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1" w:hRule="atLeast"/>
        </w:trPr>
        <w:tc>
          <w:tcPr>
            <w:tcW w:w="749" w:type="dxa"/>
            <w:vAlign w:val="center"/>
          </w:tcPr>
          <w:p w14:paraId="05DC9BE6">
            <w:pPr>
              <w:overflowPunct w:val="0"/>
              <w:topLinePunct/>
              <w:autoSpaceDN w:val="0"/>
              <w:adjustRightInd w:val="0"/>
              <w:snapToGrid w:val="0"/>
              <w:spacing w:line="360" w:lineRule="auto"/>
              <w:jc w:val="center"/>
              <w:rPr>
                <w:rFonts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说明</w:t>
            </w:r>
          </w:p>
        </w:tc>
        <w:tc>
          <w:tcPr>
            <w:tcW w:w="8070" w:type="dxa"/>
            <w:gridSpan w:val="2"/>
            <w:vAlign w:val="center"/>
          </w:tcPr>
          <w:p w14:paraId="4D5336C6">
            <w:pPr>
              <w:overflowPunct w:val="0"/>
              <w:topLinePunct/>
              <w:autoSpaceDN w:val="0"/>
              <w:adjustRightInd w:val="0"/>
              <w:snapToGrid w:val="0"/>
              <w:spacing w:line="240" w:lineRule="atLeast"/>
              <w:rPr>
                <w:rFonts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1、资格检查的内容若有一项未提供或达不到检查标准，将导致其不具备投标资格，且不允许在招标时补正。</w:t>
            </w:r>
          </w:p>
          <w:p w14:paraId="5DEAFD18">
            <w:pPr>
              <w:overflowPunct w:val="0"/>
              <w:topLinePunct/>
              <w:autoSpaceDN w:val="0"/>
              <w:adjustRightInd w:val="0"/>
              <w:snapToGrid w:val="0"/>
              <w:spacing w:line="240" w:lineRule="atLeast"/>
              <w:rPr>
                <w:rFonts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2、以上任意一项证明文件清晰有效、符合要求。</w:t>
            </w:r>
          </w:p>
          <w:p w14:paraId="4086E47A">
            <w:pPr>
              <w:overflowPunct w:val="0"/>
              <w:topLinePunct/>
              <w:autoSpaceDN w:val="0"/>
              <w:adjustRightInd w:val="0"/>
              <w:snapToGrid w:val="0"/>
              <w:spacing w:line="240" w:lineRule="atLeast"/>
              <w:rPr>
                <w:rFonts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3、供应商提供的其他材料，不作为资格检查的内容。</w:t>
            </w:r>
          </w:p>
          <w:p w14:paraId="070E0FBB">
            <w:pPr>
              <w:overflowPunct w:val="0"/>
              <w:topLinePunct/>
              <w:autoSpaceDN w:val="0"/>
              <w:adjustRightInd w:val="0"/>
              <w:snapToGrid w:val="0"/>
              <w:spacing w:line="240" w:lineRule="atLeast"/>
              <w:rPr>
                <w:rFonts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说明：1.供应商在招标时，按照规定提供长治市政府采购供应商信用承诺函（详见附件），无需再提交以下6项证明材料：符合国家相关规定的财务状况报告；依法缴纳税收的证明材料；依法缴纳社会保障资金的证明材料；具备履行政府采购合同所必需的设备和专业技术能力的证明材料；参加政府采购活动前三年内在经营活动中没有重大违法记录的证明材料；未被列入失信被执行人、重大税收违法案件当事人名单政府采购严重违法失信行为记录名单的证明材料。2. 采购人有权在签订合同前要求成交供应商提供相关证明材料以核实成交供应商承诺事项的真实性。</w:t>
            </w:r>
          </w:p>
        </w:tc>
      </w:tr>
      <w:bookmarkEnd w:id="70"/>
    </w:tbl>
    <w:p w14:paraId="4387B56E">
      <w:pPr>
        <w:tabs>
          <w:tab w:val="left" w:pos="1303"/>
          <w:tab w:val="left" w:pos="6760"/>
        </w:tabs>
        <w:wordWrap w:val="0"/>
        <w:topLinePunct/>
        <w:spacing w:line="360" w:lineRule="auto"/>
        <w:jc w:val="left"/>
        <w:outlineLvl w:val="0"/>
        <w:rPr>
          <w:rFonts w:ascii="宋体" w:hAnsi="宋体"/>
          <w:b/>
          <w:snapToGrid w:val="0"/>
          <w:kern w:val="0"/>
          <w:sz w:val="24"/>
          <w:szCs w:val="24"/>
        </w:rPr>
      </w:pPr>
      <w:bookmarkStart w:id="73" w:name="_Toc28624"/>
      <w:r>
        <w:rPr>
          <w:rFonts w:hint="eastAsia" w:ascii="宋体" w:hAnsi="宋体"/>
          <w:b/>
          <w:snapToGrid w:val="0"/>
          <w:kern w:val="0"/>
          <w:sz w:val="24"/>
          <w:szCs w:val="24"/>
        </w:rPr>
        <w:t>三、详细评审内容及标准</w:t>
      </w:r>
      <w:bookmarkEnd w:id="73"/>
    </w:p>
    <w:p w14:paraId="7C34FCD9">
      <w:pPr>
        <w:wordWrap w:val="0"/>
        <w:spacing w:line="360" w:lineRule="auto"/>
        <w:rPr>
          <w:rFonts w:ascii="宋体" w:hAnsi="宋体"/>
          <w:color w:val="000000"/>
          <w:sz w:val="24"/>
          <w:szCs w:val="24"/>
        </w:rPr>
      </w:pPr>
      <w:r>
        <w:rPr>
          <w:rFonts w:hint="eastAsia" w:ascii="宋体" w:hAnsi="宋体"/>
          <w:color w:val="000000"/>
          <w:sz w:val="24"/>
          <w:szCs w:val="24"/>
        </w:rPr>
        <w:t>综合因素评标法，满分为100分，各类因素分值按下列比例确定：</w:t>
      </w:r>
    </w:p>
    <w:tbl>
      <w:tblPr>
        <w:tblStyle w:val="24"/>
        <w:tblpPr w:leftFromText="180" w:rightFromText="180" w:vertAnchor="text" w:horzAnchor="page" w:tblpX="1301" w:tblpY="397"/>
        <w:tblOverlap w:val="never"/>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5"/>
        <w:gridCol w:w="778"/>
      </w:tblGrid>
      <w:tr w14:paraId="59631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715" w:type="dxa"/>
            <w:tcBorders>
              <w:top w:val="single" w:color="auto" w:sz="4" w:space="0"/>
              <w:left w:val="single" w:color="auto" w:sz="4" w:space="0"/>
              <w:bottom w:val="single" w:color="auto" w:sz="4" w:space="0"/>
              <w:right w:val="single" w:color="auto" w:sz="4" w:space="0"/>
            </w:tcBorders>
            <w:vAlign w:val="center"/>
          </w:tcPr>
          <w:p w14:paraId="7178DA50">
            <w:pPr>
              <w:pStyle w:val="45"/>
              <w:widowControl w:val="0"/>
              <w:jc w:val="center"/>
              <w:rPr>
                <w:rFonts w:ascii="宋体" w:hAnsi="宋体" w:cs="宋体"/>
                <w:b/>
                <w:bCs/>
                <w:sz w:val="24"/>
                <w:szCs w:val="24"/>
              </w:rPr>
            </w:pPr>
            <w:r>
              <w:rPr>
                <w:rFonts w:hint="eastAsia" w:ascii="宋体" w:hAnsi="宋体" w:cs="宋体"/>
                <w:b/>
                <w:bCs/>
                <w:sz w:val="24"/>
                <w:szCs w:val="24"/>
              </w:rPr>
              <w:t>评定内容及标准</w:t>
            </w:r>
          </w:p>
        </w:tc>
        <w:tc>
          <w:tcPr>
            <w:tcW w:w="778" w:type="dxa"/>
            <w:tcBorders>
              <w:top w:val="single" w:color="auto" w:sz="4" w:space="0"/>
              <w:left w:val="single" w:color="auto" w:sz="4" w:space="0"/>
              <w:bottom w:val="single" w:color="auto" w:sz="4" w:space="0"/>
              <w:right w:val="single" w:color="auto" w:sz="4" w:space="0"/>
            </w:tcBorders>
            <w:vAlign w:val="center"/>
          </w:tcPr>
          <w:p w14:paraId="21C875EB">
            <w:pPr>
              <w:pStyle w:val="45"/>
              <w:widowControl w:val="0"/>
              <w:jc w:val="center"/>
              <w:rPr>
                <w:rFonts w:ascii="宋体" w:hAnsi="宋体" w:cs="宋体"/>
                <w:b/>
                <w:bCs/>
                <w:sz w:val="24"/>
                <w:szCs w:val="24"/>
              </w:rPr>
            </w:pPr>
            <w:r>
              <w:rPr>
                <w:rFonts w:hint="eastAsia" w:ascii="宋体" w:hAnsi="宋体" w:cs="宋体"/>
                <w:b/>
                <w:bCs/>
                <w:sz w:val="24"/>
                <w:szCs w:val="24"/>
              </w:rPr>
              <w:t>分值</w:t>
            </w:r>
          </w:p>
        </w:tc>
      </w:tr>
      <w:tr w14:paraId="5819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715" w:type="dxa"/>
            <w:tcBorders>
              <w:top w:val="single" w:color="auto" w:sz="4" w:space="0"/>
              <w:left w:val="single" w:color="auto" w:sz="4" w:space="0"/>
              <w:bottom w:val="single" w:color="auto" w:sz="4" w:space="0"/>
              <w:right w:val="single" w:color="auto" w:sz="4" w:space="0"/>
            </w:tcBorders>
            <w:vAlign w:val="center"/>
          </w:tcPr>
          <w:p w14:paraId="6591332B">
            <w:pPr>
              <w:pStyle w:val="45"/>
              <w:widowControl w:val="0"/>
              <w:jc w:val="left"/>
              <w:rPr>
                <w:rFonts w:ascii="宋体" w:hAnsi="宋体" w:cs="宋体"/>
                <w:b/>
                <w:bCs/>
                <w:sz w:val="24"/>
                <w:szCs w:val="24"/>
              </w:rPr>
            </w:pPr>
            <w:r>
              <w:rPr>
                <w:rFonts w:hint="eastAsia" w:ascii="宋体" w:hAnsi="宋体" w:cs="宋体"/>
                <w:b/>
                <w:bCs/>
                <w:sz w:val="24"/>
                <w:szCs w:val="24"/>
              </w:rPr>
              <w:t>一、商务部分（</w:t>
            </w:r>
            <w:r>
              <w:rPr>
                <w:rFonts w:hint="eastAsia" w:ascii="宋体" w:hAnsi="宋体" w:cs="宋体"/>
                <w:b/>
                <w:bCs/>
                <w:sz w:val="24"/>
                <w:szCs w:val="24"/>
                <w:lang w:val="en-US" w:eastAsia="zh-CN"/>
              </w:rPr>
              <w:t>30</w:t>
            </w:r>
            <w:r>
              <w:rPr>
                <w:rFonts w:hint="eastAsia" w:ascii="宋体" w:hAnsi="宋体" w:cs="宋体"/>
                <w:b/>
                <w:bCs/>
                <w:sz w:val="24"/>
                <w:szCs w:val="24"/>
              </w:rPr>
              <w:t>分）(由</w:t>
            </w:r>
            <w:r>
              <w:rPr>
                <w:rFonts w:hint="eastAsia" w:ascii="宋体" w:hAnsi="宋体" w:cs="宋体"/>
                <w:b/>
                <w:bCs/>
                <w:sz w:val="24"/>
                <w:szCs w:val="24"/>
                <w:lang w:eastAsia="zh-CN"/>
              </w:rPr>
              <w:t>评标委员会</w:t>
            </w:r>
            <w:r>
              <w:rPr>
                <w:rFonts w:hint="eastAsia" w:ascii="宋体" w:hAnsi="宋体" w:cs="宋体"/>
                <w:b/>
                <w:bCs/>
                <w:sz w:val="24"/>
                <w:szCs w:val="24"/>
              </w:rPr>
              <w:t>共同认定)</w:t>
            </w:r>
          </w:p>
        </w:tc>
        <w:tc>
          <w:tcPr>
            <w:tcW w:w="778" w:type="dxa"/>
            <w:tcBorders>
              <w:top w:val="single" w:color="auto" w:sz="4" w:space="0"/>
              <w:left w:val="single" w:color="auto" w:sz="4" w:space="0"/>
              <w:bottom w:val="single" w:color="auto" w:sz="4" w:space="0"/>
              <w:right w:val="single" w:color="auto" w:sz="4" w:space="0"/>
            </w:tcBorders>
            <w:vAlign w:val="center"/>
          </w:tcPr>
          <w:p w14:paraId="30065A6D">
            <w:pPr>
              <w:pStyle w:val="45"/>
              <w:widowControl w:val="0"/>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30</w:t>
            </w:r>
          </w:p>
        </w:tc>
      </w:tr>
      <w:tr w14:paraId="5DED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8715" w:type="dxa"/>
            <w:tcBorders>
              <w:top w:val="single" w:color="auto" w:sz="4" w:space="0"/>
              <w:left w:val="single" w:color="auto" w:sz="4" w:space="0"/>
              <w:bottom w:val="single" w:color="auto" w:sz="4" w:space="0"/>
              <w:right w:val="single" w:color="auto" w:sz="4" w:space="0"/>
            </w:tcBorders>
          </w:tcPr>
          <w:p w14:paraId="68ED3C0B">
            <w:pPr>
              <w:adjustRightInd w:val="0"/>
              <w:spacing w:line="440" w:lineRule="atLeast"/>
              <w:jc w:val="left"/>
              <w:textAlignment w:val="baseline"/>
              <w:rPr>
                <w:rFonts w:ascii="宋体" w:hAnsi="宋体" w:cs="宋体"/>
                <w:b/>
                <w:sz w:val="24"/>
                <w:szCs w:val="24"/>
              </w:rPr>
            </w:pPr>
            <w:r>
              <w:rPr>
                <w:rFonts w:hint="eastAsia" w:ascii="宋体" w:hAnsi="宋体" w:cs="宋体"/>
                <w:b/>
                <w:sz w:val="24"/>
                <w:szCs w:val="24"/>
              </w:rPr>
              <w:t>1、业绩（</w:t>
            </w:r>
            <w:r>
              <w:rPr>
                <w:rFonts w:hint="eastAsia" w:ascii="宋体" w:hAnsi="宋体" w:cs="宋体"/>
                <w:b/>
                <w:sz w:val="24"/>
                <w:szCs w:val="24"/>
                <w:lang w:val="en-US" w:eastAsia="zh-CN"/>
              </w:rPr>
              <w:t>15</w:t>
            </w:r>
            <w:r>
              <w:rPr>
                <w:rFonts w:hint="eastAsia" w:ascii="宋体" w:hAnsi="宋体" w:cs="宋体"/>
                <w:b/>
                <w:sz w:val="24"/>
                <w:szCs w:val="24"/>
              </w:rPr>
              <w:t>分）</w:t>
            </w:r>
          </w:p>
          <w:p w14:paraId="440EB523">
            <w:pPr>
              <w:adjustRightInd w:val="0"/>
              <w:spacing w:line="440" w:lineRule="atLeast"/>
              <w:jc w:val="left"/>
              <w:textAlignment w:val="baseline"/>
              <w:rPr>
                <w:rFonts w:ascii="宋体" w:hAnsi="宋体" w:cs="宋体"/>
                <w:b/>
                <w:sz w:val="24"/>
                <w:szCs w:val="24"/>
              </w:rPr>
            </w:pPr>
            <w:r>
              <w:rPr>
                <w:rFonts w:hint="eastAsia" w:ascii="宋体" w:hAnsi="宋体" w:cs="宋体"/>
                <w:bCs/>
                <w:sz w:val="24"/>
                <w:szCs w:val="24"/>
              </w:rPr>
              <w:t>供应商近三年内（202</w:t>
            </w:r>
            <w:r>
              <w:rPr>
                <w:rFonts w:hint="eastAsia" w:ascii="宋体" w:hAnsi="宋体" w:cs="宋体"/>
                <w:bCs/>
                <w:sz w:val="24"/>
                <w:szCs w:val="24"/>
                <w:lang w:val="en-US" w:eastAsia="zh-CN"/>
              </w:rPr>
              <w:t>3</w:t>
            </w:r>
            <w:r>
              <w:rPr>
                <w:rFonts w:hint="eastAsia" w:ascii="宋体" w:hAnsi="宋体" w:cs="宋体"/>
                <w:bCs/>
                <w:sz w:val="24"/>
                <w:szCs w:val="24"/>
              </w:rPr>
              <w:t>年</w:t>
            </w:r>
            <w:r>
              <w:rPr>
                <w:rFonts w:hint="eastAsia" w:ascii="宋体" w:hAnsi="宋体" w:cs="宋体"/>
                <w:bCs/>
                <w:sz w:val="24"/>
                <w:szCs w:val="24"/>
                <w:lang w:val="en-US" w:eastAsia="zh-CN"/>
              </w:rPr>
              <w:t>4</w:t>
            </w:r>
            <w:r>
              <w:rPr>
                <w:rFonts w:hint="eastAsia" w:ascii="宋体" w:hAnsi="宋体" w:cs="宋体"/>
                <w:bCs/>
                <w:sz w:val="24"/>
                <w:szCs w:val="24"/>
              </w:rPr>
              <w:t>月至今）</w:t>
            </w:r>
            <w:r>
              <w:rPr>
                <w:rFonts w:hint="eastAsia" w:ascii="宋体" w:hAnsi="宋体" w:cs="宋体"/>
                <w:bCs/>
                <w:sz w:val="24"/>
                <w:szCs w:val="24"/>
                <w:lang w:val="en-US" w:eastAsia="zh-CN"/>
              </w:rPr>
              <w:t>自身</w:t>
            </w:r>
            <w:r>
              <w:rPr>
                <w:rFonts w:hint="eastAsia" w:ascii="宋体" w:hAnsi="宋体" w:cs="宋体"/>
                <w:bCs/>
                <w:sz w:val="24"/>
                <w:szCs w:val="24"/>
              </w:rPr>
              <w:t>签署的</w:t>
            </w:r>
            <w:r>
              <w:rPr>
                <w:rFonts w:hint="eastAsia" w:ascii="宋体" w:hAnsi="宋体" w:cs="宋体"/>
                <w:bCs/>
                <w:sz w:val="24"/>
                <w:szCs w:val="24"/>
                <w:lang w:val="en-US" w:eastAsia="zh-CN"/>
              </w:rPr>
              <w:t>医疗器械</w:t>
            </w:r>
            <w:r>
              <w:rPr>
                <w:rFonts w:hint="eastAsia" w:ascii="宋体" w:hAnsi="宋体" w:cs="宋体"/>
                <w:bCs/>
                <w:sz w:val="24"/>
                <w:szCs w:val="24"/>
              </w:rPr>
              <w:t>案例，须提供供应商</w:t>
            </w:r>
            <w:r>
              <w:rPr>
                <w:rFonts w:hint="eastAsia" w:ascii="宋体" w:hAnsi="宋体" w:cs="宋体"/>
                <w:bCs/>
                <w:sz w:val="24"/>
                <w:szCs w:val="24"/>
                <w:lang w:val="en-US" w:eastAsia="zh-CN"/>
              </w:rPr>
              <w:t>自身</w:t>
            </w:r>
            <w:r>
              <w:rPr>
                <w:rFonts w:hint="eastAsia" w:ascii="宋体" w:hAnsi="宋体" w:cs="宋体"/>
                <w:bCs/>
                <w:sz w:val="24"/>
                <w:szCs w:val="24"/>
              </w:rPr>
              <w:t>与最终用户签订的合同首页、合同金额所在页、签字盖章页，每有一个案例得</w:t>
            </w:r>
            <w:r>
              <w:rPr>
                <w:rFonts w:hint="eastAsia" w:ascii="宋体" w:hAnsi="宋体" w:cs="宋体"/>
                <w:bCs/>
                <w:sz w:val="24"/>
                <w:szCs w:val="24"/>
                <w:lang w:val="en-US" w:eastAsia="zh-CN"/>
              </w:rPr>
              <w:t>3</w:t>
            </w:r>
            <w:r>
              <w:rPr>
                <w:rFonts w:hint="eastAsia" w:ascii="宋体" w:hAnsi="宋体" w:cs="宋体"/>
                <w:bCs/>
                <w:sz w:val="24"/>
                <w:szCs w:val="24"/>
              </w:rPr>
              <w:t>分，满分</w:t>
            </w:r>
            <w:r>
              <w:rPr>
                <w:rFonts w:hint="eastAsia" w:ascii="宋体" w:hAnsi="宋体" w:cs="宋体"/>
                <w:bCs/>
                <w:sz w:val="24"/>
                <w:szCs w:val="24"/>
                <w:lang w:val="en-US" w:eastAsia="zh-CN"/>
              </w:rPr>
              <w:t>15</w:t>
            </w:r>
            <w:r>
              <w:rPr>
                <w:rFonts w:hint="eastAsia" w:ascii="宋体" w:hAnsi="宋体" w:cs="宋体"/>
                <w:bCs/>
                <w:sz w:val="24"/>
                <w:szCs w:val="24"/>
              </w:rPr>
              <w:t>分，时间以合同签订时间为准，不提供不得分。</w:t>
            </w:r>
          </w:p>
        </w:tc>
        <w:tc>
          <w:tcPr>
            <w:tcW w:w="778" w:type="dxa"/>
            <w:tcBorders>
              <w:top w:val="single" w:color="auto" w:sz="4" w:space="0"/>
              <w:left w:val="single" w:color="auto" w:sz="4" w:space="0"/>
              <w:bottom w:val="single" w:color="auto" w:sz="4" w:space="0"/>
              <w:right w:val="single" w:color="auto" w:sz="4" w:space="0"/>
            </w:tcBorders>
            <w:vAlign w:val="center"/>
          </w:tcPr>
          <w:p w14:paraId="6D6CEC89">
            <w:pPr>
              <w:pStyle w:val="45"/>
              <w:widowControl w:val="0"/>
              <w:ind w:firstLine="964" w:firstLineChars="400"/>
              <w:jc w:val="center"/>
              <w:rPr>
                <w:rFonts w:ascii="宋体" w:hAnsi="宋体" w:cs="宋体"/>
                <w:b/>
                <w:bCs/>
                <w:sz w:val="24"/>
                <w:szCs w:val="24"/>
              </w:rPr>
            </w:pPr>
            <w:r>
              <w:rPr>
                <w:rFonts w:hint="eastAsia" w:ascii="宋体" w:hAnsi="宋体" w:cs="宋体"/>
                <w:b/>
                <w:bCs/>
                <w:sz w:val="24"/>
                <w:szCs w:val="24"/>
              </w:rPr>
              <w:t>3</w:t>
            </w:r>
          </w:p>
          <w:p w14:paraId="4CD7A253">
            <w:pPr>
              <w:pStyle w:val="45"/>
              <w:widowControl w:val="0"/>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15</w:t>
            </w:r>
          </w:p>
        </w:tc>
      </w:tr>
      <w:tr w14:paraId="79564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715" w:type="dxa"/>
            <w:tcBorders>
              <w:top w:val="single" w:color="auto" w:sz="4" w:space="0"/>
              <w:left w:val="single" w:color="auto" w:sz="4" w:space="0"/>
              <w:bottom w:val="single" w:color="auto" w:sz="4" w:space="0"/>
              <w:right w:val="single" w:color="auto" w:sz="4" w:space="0"/>
            </w:tcBorders>
          </w:tcPr>
          <w:p w14:paraId="6B8E3414">
            <w:pPr>
              <w:adjustRightInd w:val="0"/>
              <w:spacing w:line="440" w:lineRule="atLeast"/>
              <w:jc w:val="left"/>
              <w:textAlignment w:val="baseline"/>
              <w:rPr>
                <w:rFonts w:ascii="宋体" w:hAnsi="宋体" w:cs="宋体"/>
                <w:b/>
                <w:sz w:val="24"/>
                <w:szCs w:val="24"/>
              </w:rPr>
            </w:pPr>
            <w:r>
              <w:rPr>
                <w:rFonts w:hint="eastAsia" w:ascii="宋体" w:hAnsi="宋体" w:cs="宋体"/>
                <w:b/>
                <w:sz w:val="24"/>
                <w:szCs w:val="24"/>
              </w:rPr>
              <w:t>2、响应文件响应程度（</w:t>
            </w:r>
            <w:r>
              <w:rPr>
                <w:rFonts w:hint="eastAsia" w:ascii="宋体" w:hAnsi="宋体" w:cs="宋体"/>
                <w:b/>
                <w:sz w:val="24"/>
                <w:szCs w:val="24"/>
                <w:lang w:val="en-US" w:eastAsia="zh-CN"/>
              </w:rPr>
              <w:t>15</w:t>
            </w:r>
            <w:r>
              <w:rPr>
                <w:rFonts w:hint="eastAsia" w:ascii="宋体" w:hAnsi="宋体" w:cs="宋体"/>
                <w:b/>
                <w:sz w:val="24"/>
                <w:szCs w:val="24"/>
              </w:rPr>
              <w:t>分）</w:t>
            </w:r>
          </w:p>
          <w:p w14:paraId="5CA05DD3">
            <w:pPr>
              <w:adjustRightInd w:val="0"/>
              <w:spacing w:line="440" w:lineRule="atLeast"/>
              <w:jc w:val="left"/>
              <w:textAlignment w:val="baseline"/>
              <w:rPr>
                <w:rFonts w:ascii="宋体" w:hAnsi="宋体" w:cs="宋体"/>
                <w:bCs/>
                <w:sz w:val="24"/>
                <w:szCs w:val="24"/>
              </w:rPr>
            </w:pPr>
            <w:r>
              <w:rPr>
                <w:rFonts w:hint="eastAsia" w:ascii="宋体" w:hAnsi="宋体" w:cs="宋体"/>
                <w:bCs/>
                <w:sz w:val="24"/>
                <w:szCs w:val="24"/>
              </w:rPr>
              <w:t>供应商有且准确提供本项目总负责人的姓名、职务、详细的地址和联系方式得</w:t>
            </w:r>
            <w:r>
              <w:rPr>
                <w:rFonts w:hint="eastAsia" w:ascii="宋体" w:hAnsi="宋体" w:cs="宋体"/>
                <w:bCs/>
                <w:sz w:val="24"/>
                <w:szCs w:val="24"/>
                <w:lang w:val="en-US" w:eastAsia="zh-CN"/>
              </w:rPr>
              <w:t>5</w:t>
            </w:r>
            <w:r>
              <w:rPr>
                <w:rFonts w:hint="eastAsia" w:ascii="宋体" w:hAnsi="宋体" w:cs="宋体"/>
                <w:bCs/>
                <w:sz w:val="24"/>
                <w:szCs w:val="24"/>
              </w:rPr>
              <w:t>分，否则不得分;</w:t>
            </w:r>
          </w:p>
          <w:p w14:paraId="359A31EE">
            <w:pPr>
              <w:adjustRightInd w:val="0"/>
              <w:spacing w:line="440" w:lineRule="atLeast"/>
              <w:jc w:val="left"/>
              <w:textAlignment w:val="baseline"/>
              <w:rPr>
                <w:rFonts w:ascii="宋体" w:hAnsi="宋体" w:cs="宋体"/>
                <w:bCs/>
                <w:sz w:val="24"/>
                <w:szCs w:val="24"/>
              </w:rPr>
            </w:pPr>
            <w:r>
              <w:rPr>
                <w:rFonts w:hint="eastAsia" w:ascii="宋体" w:hAnsi="宋体" w:cs="宋体"/>
                <w:bCs/>
                <w:sz w:val="24"/>
                <w:szCs w:val="24"/>
              </w:rPr>
              <w:t>供应商有且准确提供本项目售后负责人的姓名、职务、详细的地址和联系方式得</w:t>
            </w:r>
            <w:r>
              <w:rPr>
                <w:rFonts w:hint="eastAsia" w:ascii="宋体" w:hAnsi="宋体" w:cs="宋体"/>
                <w:bCs/>
                <w:sz w:val="24"/>
                <w:szCs w:val="24"/>
                <w:lang w:val="en-US" w:eastAsia="zh-CN"/>
              </w:rPr>
              <w:t>5</w:t>
            </w:r>
            <w:r>
              <w:rPr>
                <w:rFonts w:hint="eastAsia" w:ascii="宋体" w:hAnsi="宋体" w:cs="宋体"/>
                <w:bCs/>
                <w:sz w:val="24"/>
                <w:szCs w:val="24"/>
              </w:rPr>
              <w:t>分，否则不得分。</w:t>
            </w:r>
          </w:p>
          <w:p w14:paraId="6E9E762D">
            <w:pPr>
              <w:adjustRightInd w:val="0"/>
              <w:spacing w:line="440" w:lineRule="atLeast"/>
              <w:jc w:val="left"/>
              <w:textAlignment w:val="baseline"/>
              <w:rPr>
                <w:rFonts w:ascii="宋体" w:hAnsi="宋体" w:cs="宋体"/>
                <w:b/>
                <w:sz w:val="24"/>
                <w:szCs w:val="24"/>
              </w:rPr>
            </w:pPr>
            <w:r>
              <w:rPr>
                <w:rFonts w:hint="eastAsia" w:ascii="宋体" w:hAnsi="宋体" w:cs="宋体"/>
                <w:bCs/>
                <w:sz w:val="24"/>
                <w:szCs w:val="24"/>
              </w:rPr>
              <w:t>供应商接到采购人的服务要求，1小时内（含1小时）响应得</w:t>
            </w:r>
            <w:r>
              <w:rPr>
                <w:rFonts w:hint="eastAsia" w:ascii="宋体" w:hAnsi="宋体" w:cs="宋体"/>
                <w:bCs/>
                <w:sz w:val="24"/>
                <w:szCs w:val="24"/>
                <w:lang w:val="en-US" w:eastAsia="zh-CN"/>
              </w:rPr>
              <w:t>5</w:t>
            </w:r>
            <w:r>
              <w:rPr>
                <w:rFonts w:hint="eastAsia" w:ascii="宋体" w:hAnsi="宋体" w:cs="宋体"/>
                <w:bCs/>
                <w:sz w:val="24"/>
                <w:szCs w:val="24"/>
              </w:rPr>
              <w:t>分， 2小时内（含2小时 ) 响应得</w:t>
            </w:r>
            <w:r>
              <w:rPr>
                <w:rFonts w:hint="eastAsia" w:ascii="宋体" w:hAnsi="宋体" w:cs="宋体"/>
                <w:bCs/>
                <w:sz w:val="24"/>
                <w:szCs w:val="24"/>
                <w:lang w:val="en-US" w:eastAsia="zh-CN"/>
              </w:rPr>
              <w:t>3</w:t>
            </w:r>
            <w:r>
              <w:rPr>
                <w:rFonts w:hint="eastAsia" w:ascii="宋体" w:hAnsi="宋体" w:cs="宋体"/>
                <w:bCs/>
                <w:sz w:val="24"/>
                <w:szCs w:val="24"/>
              </w:rPr>
              <w:t>分， 3小时（含3 小时）响应得</w:t>
            </w:r>
            <w:r>
              <w:rPr>
                <w:rFonts w:hint="eastAsia" w:ascii="宋体" w:hAnsi="宋体" w:cs="宋体"/>
                <w:bCs/>
                <w:sz w:val="24"/>
                <w:szCs w:val="24"/>
                <w:lang w:val="en-US" w:eastAsia="zh-CN"/>
              </w:rPr>
              <w:t>1</w:t>
            </w:r>
            <w:r>
              <w:rPr>
                <w:rFonts w:hint="eastAsia" w:ascii="宋体" w:hAnsi="宋体" w:cs="宋体"/>
                <w:bCs/>
                <w:sz w:val="24"/>
                <w:szCs w:val="24"/>
              </w:rPr>
              <w:t>分，</w:t>
            </w:r>
            <w:r>
              <w:rPr>
                <w:rFonts w:hint="eastAsia" w:ascii="宋体" w:hAnsi="宋体" w:cs="宋体"/>
                <w:bCs/>
                <w:sz w:val="24"/>
                <w:szCs w:val="24"/>
                <w:lang w:val="en-US" w:eastAsia="zh-CN"/>
              </w:rPr>
              <w:t>超过3小时以上不得分</w:t>
            </w:r>
            <w:r>
              <w:rPr>
                <w:rFonts w:hint="eastAsia" w:ascii="宋体" w:hAnsi="宋体" w:cs="宋体"/>
                <w:bCs/>
                <w:sz w:val="24"/>
                <w:szCs w:val="24"/>
              </w:rPr>
              <w:t>所承诺响应时间须符合自身实际情况, 具备合理性。需提供相关证明材料，不提供不得分。</w:t>
            </w:r>
          </w:p>
        </w:tc>
        <w:tc>
          <w:tcPr>
            <w:tcW w:w="778" w:type="dxa"/>
            <w:tcBorders>
              <w:top w:val="single" w:color="auto" w:sz="4" w:space="0"/>
              <w:left w:val="single" w:color="auto" w:sz="4" w:space="0"/>
              <w:bottom w:val="single" w:color="auto" w:sz="4" w:space="0"/>
              <w:right w:val="single" w:color="auto" w:sz="4" w:space="0"/>
            </w:tcBorders>
          </w:tcPr>
          <w:p w14:paraId="6DDA5959">
            <w:pPr>
              <w:pStyle w:val="45"/>
              <w:widowControl w:val="0"/>
              <w:jc w:val="center"/>
              <w:rPr>
                <w:rFonts w:ascii="宋体" w:hAnsi="宋体" w:cs="宋体"/>
                <w:b/>
                <w:bCs/>
                <w:sz w:val="24"/>
                <w:szCs w:val="24"/>
              </w:rPr>
            </w:pPr>
          </w:p>
          <w:p w14:paraId="02F7E672">
            <w:pPr>
              <w:pStyle w:val="45"/>
              <w:widowControl w:val="0"/>
              <w:jc w:val="center"/>
              <w:rPr>
                <w:rFonts w:ascii="宋体" w:hAnsi="宋体" w:cs="宋体"/>
                <w:b/>
                <w:bCs/>
                <w:sz w:val="24"/>
                <w:szCs w:val="24"/>
              </w:rPr>
            </w:pPr>
          </w:p>
          <w:p w14:paraId="0C5FA124">
            <w:pPr>
              <w:pStyle w:val="45"/>
              <w:widowControl w:val="0"/>
              <w:jc w:val="center"/>
              <w:rPr>
                <w:rFonts w:ascii="宋体" w:hAnsi="宋体" w:cs="宋体"/>
                <w:b/>
                <w:bCs/>
                <w:sz w:val="24"/>
                <w:szCs w:val="24"/>
              </w:rPr>
            </w:pPr>
          </w:p>
          <w:p w14:paraId="342183BF">
            <w:pPr>
              <w:pStyle w:val="45"/>
              <w:widowControl w:val="0"/>
              <w:jc w:val="center"/>
              <w:rPr>
                <w:rFonts w:ascii="宋体" w:hAnsi="宋体" w:cs="宋体"/>
                <w:b/>
                <w:bCs/>
                <w:sz w:val="24"/>
                <w:szCs w:val="24"/>
              </w:rPr>
            </w:pPr>
          </w:p>
          <w:p w14:paraId="28EA85C0">
            <w:pPr>
              <w:pStyle w:val="45"/>
              <w:widowControl w:val="0"/>
              <w:jc w:val="center"/>
              <w:rPr>
                <w:rFonts w:ascii="宋体" w:hAnsi="宋体" w:cs="宋体"/>
                <w:b/>
                <w:bCs/>
                <w:sz w:val="24"/>
                <w:szCs w:val="24"/>
              </w:rPr>
            </w:pPr>
          </w:p>
          <w:p w14:paraId="1774C985">
            <w:pPr>
              <w:pStyle w:val="45"/>
              <w:widowControl w:val="0"/>
              <w:jc w:val="center"/>
              <w:rPr>
                <w:rFonts w:ascii="宋体" w:hAnsi="宋体" w:cs="宋体"/>
                <w:b/>
                <w:bCs/>
                <w:sz w:val="24"/>
                <w:szCs w:val="24"/>
              </w:rPr>
            </w:pPr>
          </w:p>
          <w:p w14:paraId="4BFEBA61">
            <w:pPr>
              <w:pStyle w:val="45"/>
              <w:widowControl w:val="0"/>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15</w:t>
            </w:r>
          </w:p>
        </w:tc>
      </w:tr>
      <w:tr w14:paraId="61A31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715" w:type="dxa"/>
            <w:tcBorders>
              <w:top w:val="single" w:color="auto" w:sz="4" w:space="0"/>
              <w:left w:val="single" w:color="auto" w:sz="4" w:space="0"/>
              <w:bottom w:val="single" w:color="auto" w:sz="4" w:space="0"/>
              <w:right w:val="single" w:color="auto" w:sz="4" w:space="0"/>
            </w:tcBorders>
            <w:vAlign w:val="center"/>
          </w:tcPr>
          <w:p w14:paraId="6A7B165F">
            <w:pPr>
              <w:pStyle w:val="45"/>
              <w:widowControl w:val="0"/>
              <w:rPr>
                <w:rFonts w:ascii="宋体" w:hAnsi="宋体" w:cs="宋体"/>
                <w:b/>
                <w:bCs/>
                <w:sz w:val="24"/>
                <w:szCs w:val="24"/>
              </w:rPr>
            </w:pPr>
            <w:r>
              <w:rPr>
                <w:rFonts w:hint="eastAsia" w:ascii="宋体" w:hAnsi="宋体" w:cs="宋体"/>
                <w:b/>
                <w:bCs/>
                <w:sz w:val="24"/>
                <w:szCs w:val="24"/>
              </w:rPr>
              <w:t>二、技术服务部分（</w:t>
            </w:r>
            <w:r>
              <w:rPr>
                <w:rFonts w:hint="eastAsia" w:ascii="宋体" w:hAnsi="宋体" w:cs="宋体"/>
                <w:b/>
                <w:bCs/>
                <w:sz w:val="24"/>
                <w:szCs w:val="24"/>
                <w:lang w:val="en-US" w:eastAsia="zh-CN"/>
              </w:rPr>
              <w:t>40</w:t>
            </w:r>
            <w:r>
              <w:rPr>
                <w:rFonts w:hint="eastAsia" w:ascii="宋体" w:hAnsi="宋体" w:cs="宋体"/>
                <w:b/>
                <w:bCs/>
                <w:sz w:val="24"/>
                <w:szCs w:val="24"/>
              </w:rPr>
              <w:t>分）</w:t>
            </w:r>
          </w:p>
        </w:tc>
        <w:tc>
          <w:tcPr>
            <w:tcW w:w="778" w:type="dxa"/>
            <w:tcBorders>
              <w:top w:val="single" w:color="auto" w:sz="4" w:space="0"/>
              <w:left w:val="single" w:color="auto" w:sz="4" w:space="0"/>
              <w:bottom w:val="single" w:color="auto" w:sz="4" w:space="0"/>
              <w:right w:val="single" w:color="auto" w:sz="4" w:space="0"/>
            </w:tcBorders>
            <w:vAlign w:val="center"/>
          </w:tcPr>
          <w:p w14:paraId="252946F0">
            <w:pPr>
              <w:pStyle w:val="45"/>
              <w:widowControl w:val="0"/>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40</w:t>
            </w:r>
          </w:p>
        </w:tc>
      </w:tr>
      <w:tr w14:paraId="2760C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8715" w:type="dxa"/>
            <w:tcBorders>
              <w:top w:val="single" w:color="auto" w:sz="4" w:space="0"/>
              <w:left w:val="single" w:color="auto" w:sz="4" w:space="0"/>
              <w:bottom w:val="single" w:color="auto" w:sz="4" w:space="0"/>
              <w:right w:val="single" w:color="auto" w:sz="4" w:space="0"/>
            </w:tcBorders>
            <w:vAlign w:val="center"/>
          </w:tcPr>
          <w:p w14:paraId="53E7DB8D">
            <w:pPr>
              <w:adjustRightInd w:val="0"/>
              <w:spacing w:line="440" w:lineRule="atLeast"/>
              <w:jc w:val="left"/>
              <w:textAlignment w:val="baseline"/>
              <w:rPr>
                <w:rFonts w:ascii="宋体" w:hAnsi="宋体" w:cs="宋体"/>
                <w:b/>
                <w:sz w:val="24"/>
                <w:szCs w:val="24"/>
              </w:rPr>
            </w:pPr>
            <w:r>
              <w:rPr>
                <w:rFonts w:hint="eastAsia" w:ascii="宋体" w:hAnsi="宋体" w:cs="宋体"/>
                <w:b/>
                <w:sz w:val="24"/>
                <w:szCs w:val="24"/>
              </w:rPr>
              <w:t>1、供货方案（8分）</w:t>
            </w:r>
          </w:p>
          <w:p w14:paraId="4CD231F3">
            <w:pPr>
              <w:adjustRightInd w:val="0"/>
              <w:spacing w:line="440" w:lineRule="atLeast"/>
              <w:jc w:val="left"/>
              <w:textAlignment w:val="baseline"/>
              <w:rPr>
                <w:rFonts w:ascii="宋体" w:hAnsi="宋体" w:cs="宋体"/>
                <w:szCs w:val="24"/>
              </w:rPr>
            </w:pPr>
            <w:r>
              <w:rPr>
                <w:rFonts w:hint="eastAsia" w:ascii="宋体" w:hAnsi="宋体" w:cs="宋体"/>
                <w:bCs/>
                <w:sz w:val="24"/>
                <w:szCs w:val="24"/>
              </w:rPr>
              <w:t>供应商针对本项目制定相应的供货方案，供货方案中①供货时间（包含各个环节时间节点，时间安排满足项目需求）、②货物的供应运输（至少包含与供货时间相匹配的运输计划、运输方式）、③易损部件包装（保证易损部件运输过程中不受损坏的措施）、④安装调试（包含验收、安装施工、设备试运行等）方面，每提供一项且内容全面符合本项要求得2分，内容不全或者描述内容与本项不匹配的得1分，本项最高得8分，不提供不得分。</w:t>
            </w:r>
          </w:p>
        </w:tc>
        <w:tc>
          <w:tcPr>
            <w:tcW w:w="778" w:type="dxa"/>
            <w:tcBorders>
              <w:top w:val="single" w:color="auto" w:sz="4" w:space="0"/>
              <w:left w:val="single" w:color="auto" w:sz="4" w:space="0"/>
              <w:bottom w:val="single" w:color="auto" w:sz="4" w:space="0"/>
              <w:right w:val="single" w:color="auto" w:sz="4" w:space="0"/>
            </w:tcBorders>
            <w:vAlign w:val="center"/>
          </w:tcPr>
          <w:p w14:paraId="28849C2E">
            <w:pPr>
              <w:pStyle w:val="45"/>
              <w:widowControl w:val="0"/>
              <w:jc w:val="center"/>
              <w:rPr>
                <w:rFonts w:ascii="宋体" w:hAnsi="宋体" w:cs="宋体"/>
                <w:b/>
                <w:bCs/>
                <w:spacing w:val="6"/>
                <w:sz w:val="24"/>
                <w:szCs w:val="24"/>
              </w:rPr>
            </w:pPr>
            <w:r>
              <w:rPr>
                <w:rFonts w:hint="eastAsia" w:ascii="宋体" w:hAnsi="宋体" w:cs="宋体"/>
                <w:b/>
                <w:bCs/>
                <w:spacing w:val="6"/>
                <w:sz w:val="24"/>
                <w:szCs w:val="24"/>
              </w:rPr>
              <w:t>8</w:t>
            </w:r>
          </w:p>
        </w:tc>
      </w:tr>
      <w:tr w14:paraId="24A5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8715" w:type="dxa"/>
            <w:tcBorders>
              <w:top w:val="single" w:color="auto" w:sz="4" w:space="0"/>
              <w:left w:val="single" w:color="auto" w:sz="4" w:space="0"/>
              <w:bottom w:val="single" w:color="auto" w:sz="4" w:space="0"/>
              <w:right w:val="single" w:color="auto" w:sz="4" w:space="0"/>
            </w:tcBorders>
            <w:vAlign w:val="center"/>
          </w:tcPr>
          <w:p w14:paraId="0FC27DDB">
            <w:pPr>
              <w:adjustRightInd w:val="0"/>
              <w:spacing w:line="440" w:lineRule="atLeast"/>
              <w:jc w:val="left"/>
              <w:textAlignment w:val="baseline"/>
              <w:rPr>
                <w:rFonts w:ascii="宋体" w:hAnsi="宋体" w:cs="宋体"/>
                <w:b/>
                <w:sz w:val="24"/>
                <w:szCs w:val="24"/>
              </w:rPr>
            </w:pPr>
            <w:bookmarkStart w:id="74" w:name="OLE_LINK4"/>
            <w:r>
              <w:rPr>
                <w:rFonts w:hint="eastAsia" w:ascii="宋体" w:hAnsi="宋体" w:cs="宋体"/>
                <w:b/>
                <w:sz w:val="24"/>
                <w:szCs w:val="24"/>
              </w:rPr>
              <w:t>2、应急预案（</w:t>
            </w:r>
            <w:r>
              <w:rPr>
                <w:rFonts w:hint="eastAsia" w:ascii="宋体" w:hAnsi="宋体" w:cs="宋体"/>
                <w:b/>
                <w:sz w:val="24"/>
                <w:szCs w:val="24"/>
                <w:lang w:val="en-US" w:eastAsia="zh-CN"/>
              </w:rPr>
              <w:t>6</w:t>
            </w:r>
            <w:r>
              <w:rPr>
                <w:rFonts w:hint="eastAsia" w:ascii="宋体" w:hAnsi="宋体" w:cs="宋体"/>
                <w:b/>
                <w:sz w:val="24"/>
                <w:szCs w:val="24"/>
              </w:rPr>
              <w:t>分）</w:t>
            </w:r>
          </w:p>
          <w:p w14:paraId="5916A031">
            <w:pPr>
              <w:adjustRightInd w:val="0"/>
              <w:spacing w:line="440" w:lineRule="atLeast"/>
              <w:jc w:val="left"/>
              <w:textAlignment w:val="baseline"/>
              <w:rPr>
                <w:rFonts w:ascii="宋体" w:hAnsi="宋体" w:cs="宋体"/>
                <w:bCs/>
                <w:sz w:val="24"/>
                <w:szCs w:val="24"/>
              </w:rPr>
            </w:pPr>
            <w:r>
              <w:rPr>
                <w:rFonts w:ascii="宋体" w:hAnsi="宋体" w:cs="宋体"/>
                <w:bCs/>
                <w:sz w:val="24"/>
                <w:szCs w:val="24"/>
              </w:rPr>
              <w:t>供应商针对本项目设计组织相应的应急预案，供应商提供的应急预案应从①技术储备、人员</w:t>
            </w:r>
            <w:r>
              <w:rPr>
                <w:rFonts w:hint="eastAsia" w:ascii="宋体" w:hAnsi="宋体" w:cs="宋体"/>
                <w:bCs/>
                <w:sz w:val="24"/>
                <w:szCs w:val="24"/>
                <w:lang w:val="en-US" w:eastAsia="zh-CN"/>
              </w:rPr>
              <w:t xml:space="preserve"> </w:t>
            </w:r>
            <w:r>
              <w:rPr>
                <w:rFonts w:ascii="宋体" w:hAnsi="宋体" w:cs="宋体"/>
                <w:bCs/>
                <w:sz w:val="24"/>
                <w:szCs w:val="24"/>
              </w:rPr>
              <w:t>②资金等方面提供应急保障，每提供一项且内容全面符合本项要求的得</w:t>
            </w:r>
            <w:r>
              <w:rPr>
                <w:rFonts w:hint="eastAsia" w:ascii="宋体" w:hAnsi="宋体" w:cs="宋体"/>
                <w:bCs/>
                <w:sz w:val="24"/>
                <w:szCs w:val="24"/>
                <w:lang w:val="en-US" w:eastAsia="zh-CN"/>
              </w:rPr>
              <w:t>3</w:t>
            </w:r>
            <w:r>
              <w:rPr>
                <w:rFonts w:ascii="宋体" w:hAnsi="宋体" w:cs="宋体"/>
                <w:bCs/>
                <w:sz w:val="24"/>
                <w:szCs w:val="24"/>
              </w:rPr>
              <w:t>分，内容不全或者描述内容与本项不匹配的得</w:t>
            </w:r>
            <w:r>
              <w:rPr>
                <w:rFonts w:hint="eastAsia" w:ascii="宋体" w:hAnsi="宋体" w:cs="宋体"/>
                <w:bCs/>
                <w:sz w:val="24"/>
                <w:szCs w:val="24"/>
                <w:lang w:val="en-US" w:eastAsia="zh-CN"/>
              </w:rPr>
              <w:t>2</w:t>
            </w:r>
            <w:r>
              <w:rPr>
                <w:rFonts w:ascii="宋体" w:hAnsi="宋体" w:cs="宋体"/>
                <w:bCs/>
                <w:sz w:val="24"/>
                <w:szCs w:val="24"/>
              </w:rPr>
              <w:t>分，本项最高得</w:t>
            </w:r>
            <w:r>
              <w:rPr>
                <w:rFonts w:hint="eastAsia" w:ascii="宋体" w:hAnsi="宋体" w:cs="宋体"/>
                <w:bCs/>
                <w:sz w:val="24"/>
                <w:szCs w:val="24"/>
                <w:lang w:val="en-US" w:eastAsia="zh-CN"/>
              </w:rPr>
              <w:t>6</w:t>
            </w:r>
            <w:r>
              <w:rPr>
                <w:rFonts w:ascii="宋体" w:hAnsi="宋体" w:cs="宋体"/>
                <w:bCs/>
                <w:sz w:val="24"/>
                <w:szCs w:val="24"/>
              </w:rPr>
              <w:t>分，不提供不得分。</w:t>
            </w:r>
            <w:bookmarkEnd w:id="74"/>
          </w:p>
        </w:tc>
        <w:tc>
          <w:tcPr>
            <w:tcW w:w="778" w:type="dxa"/>
            <w:tcBorders>
              <w:top w:val="single" w:color="auto" w:sz="4" w:space="0"/>
              <w:left w:val="single" w:color="auto" w:sz="4" w:space="0"/>
              <w:bottom w:val="single" w:color="auto" w:sz="4" w:space="0"/>
              <w:right w:val="single" w:color="auto" w:sz="4" w:space="0"/>
            </w:tcBorders>
            <w:vAlign w:val="center"/>
          </w:tcPr>
          <w:p w14:paraId="09570E6A">
            <w:pPr>
              <w:pStyle w:val="45"/>
              <w:widowControl w:val="0"/>
              <w:jc w:val="center"/>
              <w:rPr>
                <w:rFonts w:hint="eastAsia" w:ascii="宋体" w:hAnsi="宋体" w:eastAsia="宋体" w:cs="宋体"/>
                <w:b/>
                <w:bCs/>
                <w:spacing w:val="6"/>
                <w:sz w:val="24"/>
                <w:szCs w:val="24"/>
                <w:lang w:eastAsia="zh-CN"/>
              </w:rPr>
            </w:pPr>
            <w:r>
              <w:rPr>
                <w:rFonts w:hint="eastAsia" w:ascii="宋体" w:hAnsi="宋体" w:cs="宋体"/>
                <w:b/>
                <w:bCs/>
                <w:spacing w:val="6"/>
                <w:sz w:val="24"/>
                <w:szCs w:val="24"/>
                <w:lang w:val="en-US" w:eastAsia="zh-CN"/>
              </w:rPr>
              <w:t>6</w:t>
            </w:r>
          </w:p>
        </w:tc>
      </w:tr>
      <w:tr w14:paraId="5E79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8715" w:type="dxa"/>
            <w:tcBorders>
              <w:top w:val="single" w:color="auto" w:sz="4" w:space="0"/>
              <w:left w:val="single" w:color="auto" w:sz="4" w:space="0"/>
              <w:bottom w:val="single" w:color="auto" w:sz="4" w:space="0"/>
              <w:right w:val="single" w:color="auto" w:sz="4" w:space="0"/>
            </w:tcBorders>
            <w:vAlign w:val="center"/>
          </w:tcPr>
          <w:p w14:paraId="190AFFA1">
            <w:pPr>
              <w:adjustRightInd w:val="0"/>
              <w:spacing w:line="440" w:lineRule="atLeast"/>
              <w:jc w:val="left"/>
              <w:textAlignment w:val="baseline"/>
              <w:rPr>
                <w:rFonts w:ascii="宋体" w:hAnsi="宋体" w:cs="宋体"/>
                <w:b/>
                <w:sz w:val="24"/>
                <w:szCs w:val="24"/>
              </w:rPr>
            </w:pPr>
            <w:bookmarkStart w:id="75" w:name="OLE_LINK5"/>
            <w:r>
              <w:rPr>
                <w:rFonts w:hint="eastAsia" w:ascii="宋体" w:hAnsi="宋体" w:cs="宋体"/>
                <w:b/>
                <w:sz w:val="24"/>
                <w:szCs w:val="24"/>
              </w:rPr>
              <w:t>3、质量保证措施（4分）</w:t>
            </w:r>
          </w:p>
          <w:p w14:paraId="41455E51">
            <w:pPr>
              <w:adjustRightInd w:val="0"/>
              <w:spacing w:line="440" w:lineRule="atLeast"/>
              <w:jc w:val="left"/>
              <w:textAlignment w:val="baseline"/>
              <w:rPr>
                <w:rFonts w:ascii="宋体" w:hAnsi="宋体" w:cs="宋体"/>
                <w:b/>
                <w:sz w:val="24"/>
                <w:szCs w:val="24"/>
              </w:rPr>
            </w:pPr>
            <w:r>
              <w:rPr>
                <w:rFonts w:hint="eastAsia" w:ascii="宋体" w:hAnsi="宋体" w:cs="宋体"/>
                <w:bCs/>
                <w:sz w:val="24"/>
                <w:szCs w:val="24"/>
              </w:rPr>
              <w:t>供应商针对本项目制定相应的质量保证措施，供应商提供的货物质量保证措施应包含①质量证明材料（包含但不限于官网查询截图、宣传图片等）、②使用说明（至少保证使用说明详细明确）、③产品功能描述（包含但不限于产品性能描述、操作方法及注意事项等）、④产品配置清单（货物规格型号、数量等），每提供一项且内容全面符合本项要求的得1分，内容不全或者描述内容与本项不匹配的得0.5分，本项最高得4分，不提供不得分。</w:t>
            </w:r>
            <w:bookmarkEnd w:id="75"/>
          </w:p>
        </w:tc>
        <w:tc>
          <w:tcPr>
            <w:tcW w:w="778" w:type="dxa"/>
            <w:tcBorders>
              <w:top w:val="single" w:color="auto" w:sz="4" w:space="0"/>
              <w:left w:val="single" w:color="auto" w:sz="4" w:space="0"/>
              <w:bottom w:val="single" w:color="auto" w:sz="4" w:space="0"/>
              <w:right w:val="single" w:color="auto" w:sz="4" w:space="0"/>
            </w:tcBorders>
            <w:vAlign w:val="center"/>
          </w:tcPr>
          <w:p w14:paraId="74763A85">
            <w:pPr>
              <w:jc w:val="center"/>
              <w:rPr>
                <w:rFonts w:ascii="宋体" w:hAnsi="宋体" w:cs="宋体"/>
                <w:sz w:val="24"/>
                <w:szCs w:val="24"/>
              </w:rPr>
            </w:pPr>
            <w:r>
              <w:rPr>
                <w:rFonts w:hint="eastAsia" w:ascii="宋体" w:hAnsi="宋体" w:cs="宋体"/>
                <w:b/>
                <w:bCs/>
                <w:spacing w:val="6"/>
                <w:kern w:val="0"/>
                <w:sz w:val="24"/>
                <w:szCs w:val="24"/>
              </w:rPr>
              <w:t>4</w:t>
            </w:r>
          </w:p>
        </w:tc>
      </w:tr>
      <w:tr w14:paraId="014F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715" w:type="dxa"/>
            <w:tcBorders>
              <w:top w:val="single" w:color="auto" w:sz="4" w:space="0"/>
              <w:left w:val="single" w:color="auto" w:sz="4" w:space="0"/>
              <w:bottom w:val="single" w:color="auto" w:sz="4" w:space="0"/>
              <w:right w:val="single" w:color="auto" w:sz="4" w:space="0"/>
            </w:tcBorders>
            <w:vAlign w:val="center"/>
          </w:tcPr>
          <w:p w14:paraId="7D706445">
            <w:pPr>
              <w:adjustRightInd w:val="0"/>
              <w:spacing w:line="440" w:lineRule="atLeast"/>
              <w:jc w:val="left"/>
              <w:textAlignment w:val="baseline"/>
              <w:rPr>
                <w:rFonts w:ascii="宋体" w:hAnsi="宋体" w:cs="宋体"/>
                <w:b/>
                <w:sz w:val="24"/>
                <w:szCs w:val="24"/>
              </w:rPr>
            </w:pPr>
            <w:bookmarkStart w:id="76" w:name="OLE_LINK6"/>
            <w:r>
              <w:rPr>
                <w:rFonts w:hint="eastAsia" w:ascii="宋体" w:hAnsi="宋体" w:cs="宋体"/>
                <w:b/>
                <w:sz w:val="24"/>
                <w:szCs w:val="24"/>
              </w:rPr>
              <w:t>4、售后服务方案（4分）</w:t>
            </w:r>
          </w:p>
          <w:p w14:paraId="6157ADC0">
            <w:pPr>
              <w:adjustRightInd w:val="0"/>
              <w:spacing w:line="440" w:lineRule="atLeast"/>
              <w:jc w:val="left"/>
              <w:textAlignment w:val="baseline"/>
              <w:rPr>
                <w:rFonts w:ascii="宋体" w:hAnsi="宋体" w:cs="宋体"/>
                <w:bCs/>
                <w:sz w:val="24"/>
                <w:szCs w:val="24"/>
              </w:rPr>
            </w:pPr>
            <w:r>
              <w:rPr>
                <w:rFonts w:hint="eastAsia" w:ascii="宋体" w:hAnsi="宋体" w:cs="宋体"/>
                <w:bCs/>
                <w:sz w:val="24"/>
                <w:szCs w:val="24"/>
              </w:rPr>
              <w:t xml:space="preserve">根据供应商提供的针对本项目的售后服务方案进行评审，包括但不限于售后服务管理制度（1分）售后服务方案体系（1分）、售后服务响应机制（1分）、售后服务响应时间和质量标准（1分）等进行综合评价，供应商提供内容的全面性，合理性，针对性及有利于项目实施，各评分点最高得1分。内容不全或者描述内容与本项目不匹配的得0.5分，本项最高得4分，不提供不得分。 </w:t>
            </w:r>
            <w:bookmarkEnd w:id="76"/>
            <w:r>
              <w:rPr>
                <w:rFonts w:hint="eastAsia" w:ascii="宋体" w:hAnsi="宋体" w:cs="宋体"/>
                <w:bCs/>
                <w:sz w:val="24"/>
                <w:szCs w:val="24"/>
              </w:rPr>
              <w:t xml:space="preserve">   </w:t>
            </w:r>
          </w:p>
        </w:tc>
        <w:tc>
          <w:tcPr>
            <w:tcW w:w="778" w:type="dxa"/>
            <w:tcBorders>
              <w:top w:val="single" w:color="auto" w:sz="4" w:space="0"/>
              <w:left w:val="single" w:color="auto" w:sz="4" w:space="0"/>
              <w:bottom w:val="single" w:color="auto" w:sz="4" w:space="0"/>
              <w:right w:val="single" w:color="auto" w:sz="4" w:space="0"/>
            </w:tcBorders>
            <w:vAlign w:val="center"/>
          </w:tcPr>
          <w:p w14:paraId="24FCC17A">
            <w:pPr>
              <w:pStyle w:val="45"/>
              <w:widowControl w:val="0"/>
              <w:jc w:val="center"/>
              <w:rPr>
                <w:rFonts w:ascii="宋体" w:hAnsi="宋体" w:cs="宋体"/>
                <w:b/>
                <w:bCs/>
                <w:spacing w:val="6"/>
                <w:sz w:val="24"/>
                <w:szCs w:val="24"/>
              </w:rPr>
            </w:pPr>
            <w:r>
              <w:rPr>
                <w:rFonts w:hint="eastAsia" w:ascii="宋体" w:hAnsi="宋体" w:cs="宋体"/>
                <w:b/>
                <w:bCs/>
                <w:spacing w:val="6"/>
                <w:sz w:val="24"/>
                <w:szCs w:val="24"/>
              </w:rPr>
              <w:t>4</w:t>
            </w:r>
          </w:p>
        </w:tc>
      </w:tr>
      <w:tr w14:paraId="675F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8715" w:type="dxa"/>
            <w:tcBorders>
              <w:top w:val="single" w:color="auto" w:sz="4" w:space="0"/>
              <w:left w:val="single" w:color="auto" w:sz="4" w:space="0"/>
              <w:bottom w:val="single" w:color="auto" w:sz="4" w:space="0"/>
              <w:right w:val="single" w:color="auto" w:sz="4" w:space="0"/>
            </w:tcBorders>
            <w:vAlign w:val="center"/>
          </w:tcPr>
          <w:p w14:paraId="34F73A22">
            <w:pPr>
              <w:adjustRightInd w:val="0"/>
              <w:spacing w:line="440" w:lineRule="atLeast"/>
              <w:jc w:val="left"/>
              <w:textAlignment w:val="baseline"/>
              <w:rPr>
                <w:rFonts w:ascii="宋体" w:hAnsi="宋体" w:cs="宋体"/>
                <w:b/>
                <w:sz w:val="24"/>
                <w:szCs w:val="24"/>
              </w:rPr>
            </w:pPr>
            <w:r>
              <w:rPr>
                <w:rFonts w:hint="eastAsia" w:ascii="宋体" w:hAnsi="宋体" w:cs="宋体"/>
                <w:b/>
                <w:sz w:val="24"/>
                <w:szCs w:val="24"/>
              </w:rPr>
              <w:t>5、产品技术性能指标（</w:t>
            </w:r>
            <w:r>
              <w:rPr>
                <w:rFonts w:hint="eastAsia" w:ascii="宋体" w:hAnsi="宋体" w:cs="宋体"/>
                <w:b/>
                <w:sz w:val="24"/>
                <w:szCs w:val="24"/>
                <w:lang w:val="en-US" w:eastAsia="zh-CN"/>
              </w:rPr>
              <w:t>15</w:t>
            </w:r>
            <w:r>
              <w:rPr>
                <w:rFonts w:hint="eastAsia" w:ascii="宋体" w:hAnsi="宋体" w:cs="宋体"/>
                <w:b/>
                <w:sz w:val="24"/>
                <w:szCs w:val="24"/>
              </w:rPr>
              <w:t>分）</w:t>
            </w:r>
          </w:p>
          <w:p w14:paraId="1450E9B5">
            <w:pPr>
              <w:adjustRightInd w:val="0"/>
              <w:spacing w:line="440" w:lineRule="atLeast"/>
              <w:jc w:val="left"/>
              <w:textAlignment w:val="baseline"/>
              <w:rPr>
                <w:rFonts w:ascii="宋体" w:hAnsi="宋体" w:cs="宋体"/>
                <w:sz w:val="24"/>
                <w:szCs w:val="24"/>
              </w:rPr>
            </w:pPr>
            <w:r>
              <w:rPr>
                <w:rFonts w:hint="eastAsia" w:ascii="宋体" w:hAnsi="宋体" w:cs="宋体"/>
                <w:bCs/>
                <w:sz w:val="24"/>
                <w:szCs w:val="24"/>
              </w:rPr>
              <w:t>产品技术性能指标，满足招标文件要求的全部技术性能指标得</w:t>
            </w:r>
            <w:r>
              <w:rPr>
                <w:rFonts w:hint="eastAsia" w:ascii="宋体" w:hAnsi="宋体" w:cs="宋体"/>
                <w:bCs/>
                <w:sz w:val="24"/>
                <w:szCs w:val="24"/>
                <w:lang w:val="en-US" w:eastAsia="zh-CN"/>
              </w:rPr>
              <w:t>15</w:t>
            </w:r>
            <w:r>
              <w:rPr>
                <w:rFonts w:hint="eastAsia" w:ascii="宋体" w:hAnsi="宋体" w:cs="宋体"/>
                <w:bCs/>
                <w:sz w:val="24"/>
                <w:szCs w:val="24"/>
              </w:rPr>
              <w:t>分，技术性能指标负偏离的扣1分，扣完为止。★号为主要技术参数，须完全响应，如有偏离，则导致废标。（如技术参数偏离表的响应情况与技术证明文件资料或其它合法证明文件描述不符，专家有权认定为负偏离）。</w:t>
            </w:r>
          </w:p>
        </w:tc>
        <w:tc>
          <w:tcPr>
            <w:tcW w:w="778" w:type="dxa"/>
            <w:tcBorders>
              <w:top w:val="single" w:color="auto" w:sz="4" w:space="0"/>
              <w:left w:val="single" w:color="auto" w:sz="4" w:space="0"/>
              <w:bottom w:val="single" w:color="auto" w:sz="4" w:space="0"/>
              <w:right w:val="single" w:color="auto" w:sz="4" w:space="0"/>
            </w:tcBorders>
            <w:vAlign w:val="center"/>
          </w:tcPr>
          <w:p w14:paraId="506AD456">
            <w:pPr>
              <w:pStyle w:val="45"/>
              <w:widowControl w:val="0"/>
              <w:jc w:val="center"/>
              <w:rPr>
                <w:rFonts w:hint="default" w:ascii="宋体" w:hAnsi="宋体" w:eastAsia="宋体" w:cs="宋体"/>
                <w:b/>
                <w:bCs/>
                <w:spacing w:val="6"/>
                <w:sz w:val="24"/>
                <w:szCs w:val="24"/>
                <w:lang w:val="en-US" w:eastAsia="zh-CN"/>
              </w:rPr>
            </w:pPr>
            <w:r>
              <w:rPr>
                <w:rFonts w:hint="eastAsia" w:ascii="宋体" w:hAnsi="宋体" w:cs="宋体"/>
                <w:b/>
                <w:bCs/>
                <w:spacing w:val="6"/>
                <w:sz w:val="24"/>
                <w:szCs w:val="24"/>
                <w:lang w:val="en-US" w:eastAsia="zh-CN"/>
              </w:rPr>
              <w:t>15</w:t>
            </w:r>
          </w:p>
        </w:tc>
      </w:tr>
      <w:tr w14:paraId="0892E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8715" w:type="dxa"/>
            <w:tcBorders>
              <w:top w:val="single" w:color="auto" w:sz="4" w:space="0"/>
              <w:left w:val="single" w:color="auto" w:sz="4" w:space="0"/>
              <w:bottom w:val="single" w:color="auto" w:sz="4" w:space="0"/>
              <w:right w:val="single" w:color="auto" w:sz="4" w:space="0"/>
            </w:tcBorders>
            <w:vAlign w:val="center"/>
          </w:tcPr>
          <w:p w14:paraId="7337B644">
            <w:pPr>
              <w:adjustRightInd w:val="0"/>
              <w:spacing w:line="440" w:lineRule="atLeast"/>
              <w:jc w:val="left"/>
              <w:textAlignment w:val="baseline"/>
              <w:rPr>
                <w:rFonts w:hint="eastAsia" w:ascii="宋体" w:hAnsi="宋体" w:cs="宋体"/>
                <w:b/>
                <w:bCs w:val="0"/>
                <w:sz w:val="24"/>
                <w:szCs w:val="24"/>
                <w:lang w:val="en-US" w:eastAsia="zh-CN"/>
              </w:rPr>
            </w:pPr>
            <w:r>
              <w:rPr>
                <w:rFonts w:hint="eastAsia" w:ascii="宋体" w:hAnsi="宋体" w:cs="宋体"/>
                <w:b/>
                <w:bCs w:val="0"/>
                <w:sz w:val="24"/>
                <w:szCs w:val="24"/>
                <w:lang w:val="en-US" w:eastAsia="zh-CN"/>
              </w:rPr>
              <w:t>6、质保期响应（3分）</w:t>
            </w:r>
          </w:p>
          <w:p w14:paraId="5CE0482C">
            <w:pPr>
              <w:adjustRightInd w:val="0"/>
              <w:spacing w:line="440" w:lineRule="atLeast"/>
              <w:jc w:val="left"/>
              <w:textAlignment w:val="baseline"/>
              <w:rPr>
                <w:rFonts w:hint="default" w:ascii="宋体" w:hAnsi="宋体" w:eastAsia="宋体" w:cs="宋体"/>
                <w:bCs/>
                <w:sz w:val="24"/>
                <w:szCs w:val="24"/>
                <w:lang w:val="en-US" w:eastAsia="zh-CN"/>
              </w:rPr>
            </w:pPr>
            <w:r>
              <w:rPr>
                <w:rFonts w:hint="eastAsia" w:ascii="宋体" w:hAnsi="宋体" w:cs="宋体"/>
                <w:bCs/>
                <w:sz w:val="24"/>
                <w:szCs w:val="24"/>
                <w:lang w:val="en-US" w:eastAsia="zh-CN"/>
              </w:rPr>
              <w:t>响应招标文件要求的基础上（质保期：原厂整机质保≥3年），质保期每增加1年加1.5分，最高得3分。</w:t>
            </w:r>
          </w:p>
        </w:tc>
        <w:tc>
          <w:tcPr>
            <w:tcW w:w="778" w:type="dxa"/>
            <w:tcBorders>
              <w:top w:val="single" w:color="auto" w:sz="4" w:space="0"/>
              <w:left w:val="single" w:color="auto" w:sz="4" w:space="0"/>
              <w:bottom w:val="single" w:color="auto" w:sz="4" w:space="0"/>
              <w:right w:val="single" w:color="auto" w:sz="4" w:space="0"/>
            </w:tcBorders>
            <w:vAlign w:val="center"/>
          </w:tcPr>
          <w:p w14:paraId="55414EF7">
            <w:pPr>
              <w:pStyle w:val="45"/>
              <w:widowControl w:val="0"/>
              <w:jc w:val="center"/>
              <w:rPr>
                <w:rFonts w:hint="default" w:ascii="宋体" w:hAnsi="宋体" w:eastAsia="宋体" w:cs="宋体"/>
                <w:b/>
                <w:bCs/>
                <w:spacing w:val="6"/>
                <w:sz w:val="24"/>
                <w:szCs w:val="24"/>
                <w:lang w:val="en-US" w:eastAsia="zh-CN"/>
              </w:rPr>
            </w:pPr>
            <w:r>
              <w:rPr>
                <w:rFonts w:hint="eastAsia" w:ascii="宋体" w:hAnsi="宋体" w:cs="宋体"/>
                <w:b/>
                <w:bCs/>
                <w:spacing w:val="6"/>
                <w:sz w:val="24"/>
                <w:szCs w:val="24"/>
                <w:lang w:val="en-US" w:eastAsia="zh-CN"/>
              </w:rPr>
              <w:t>3</w:t>
            </w:r>
          </w:p>
        </w:tc>
      </w:tr>
      <w:tr w14:paraId="568F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715" w:type="dxa"/>
            <w:tcBorders>
              <w:top w:val="single" w:color="auto" w:sz="4" w:space="0"/>
              <w:left w:val="single" w:color="auto" w:sz="4" w:space="0"/>
              <w:bottom w:val="single" w:color="auto" w:sz="4" w:space="0"/>
              <w:right w:val="single" w:color="auto" w:sz="4" w:space="0"/>
            </w:tcBorders>
            <w:vAlign w:val="center"/>
          </w:tcPr>
          <w:p w14:paraId="02A93DF1">
            <w:pPr>
              <w:pStyle w:val="45"/>
              <w:widowControl w:val="0"/>
              <w:rPr>
                <w:rFonts w:ascii="宋体" w:hAnsi="宋体" w:cs="宋体"/>
                <w:bCs/>
                <w:sz w:val="24"/>
                <w:szCs w:val="24"/>
              </w:rPr>
            </w:pPr>
            <w:r>
              <w:rPr>
                <w:rFonts w:hint="eastAsia" w:ascii="宋体" w:hAnsi="宋体" w:cs="宋体"/>
                <w:b/>
                <w:bCs/>
                <w:sz w:val="24"/>
                <w:szCs w:val="24"/>
              </w:rPr>
              <w:t>三、价格部分（30分）</w:t>
            </w:r>
          </w:p>
        </w:tc>
        <w:tc>
          <w:tcPr>
            <w:tcW w:w="778" w:type="dxa"/>
            <w:tcBorders>
              <w:top w:val="single" w:color="auto" w:sz="4" w:space="0"/>
              <w:left w:val="single" w:color="auto" w:sz="4" w:space="0"/>
              <w:bottom w:val="single" w:color="auto" w:sz="4" w:space="0"/>
              <w:right w:val="single" w:color="auto" w:sz="4" w:space="0"/>
            </w:tcBorders>
            <w:vAlign w:val="center"/>
          </w:tcPr>
          <w:p w14:paraId="015EC81B">
            <w:pPr>
              <w:pStyle w:val="45"/>
              <w:widowControl w:val="0"/>
              <w:jc w:val="center"/>
              <w:rPr>
                <w:rFonts w:ascii="宋体" w:hAnsi="宋体" w:cs="宋体"/>
                <w:b/>
                <w:bCs/>
                <w:spacing w:val="6"/>
                <w:sz w:val="24"/>
                <w:szCs w:val="24"/>
              </w:rPr>
            </w:pPr>
            <w:r>
              <w:rPr>
                <w:rFonts w:hint="eastAsia" w:ascii="宋体" w:hAnsi="宋体" w:cs="宋体"/>
                <w:b/>
                <w:bCs/>
                <w:spacing w:val="6"/>
                <w:sz w:val="24"/>
                <w:szCs w:val="24"/>
              </w:rPr>
              <w:t>30</w:t>
            </w:r>
          </w:p>
        </w:tc>
      </w:tr>
      <w:tr w14:paraId="690C5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8715" w:type="dxa"/>
            <w:tcBorders>
              <w:top w:val="single" w:color="auto" w:sz="4" w:space="0"/>
              <w:left w:val="single" w:color="auto" w:sz="4" w:space="0"/>
              <w:bottom w:val="single" w:color="auto" w:sz="4" w:space="0"/>
              <w:right w:val="single" w:color="auto" w:sz="4" w:space="0"/>
            </w:tcBorders>
          </w:tcPr>
          <w:p w14:paraId="0F6E42E4">
            <w:pPr>
              <w:adjustRightInd w:val="0"/>
              <w:spacing w:line="440" w:lineRule="atLeast"/>
              <w:jc w:val="left"/>
              <w:textAlignment w:val="baseline"/>
              <w:rPr>
                <w:rFonts w:ascii="宋体" w:hAnsi="宋体" w:cs="宋体"/>
                <w:bCs/>
                <w:sz w:val="24"/>
                <w:szCs w:val="24"/>
              </w:rPr>
            </w:pPr>
            <w:r>
              <w:rPr>
                <w:rFonts w:hint="eastAsia" w:ascii="宋体" w:hAnsi="宋体" w:cs="宋体"/>
                <w:bCs/>
                <w:sz w:val="24"/>
                <w:szCs w:val="24"/>
              </w:rPr>
              <w:t>满足招标文件要求且报价最低的供应商的报价为基准价，其价格分为满分。其他供应商的价格得分统一按照下列公式计算：</w:t>
            </w:r>
          </w:p>
          <w:p w14:paraId="4ED71C25">
            <w:pPr>
              <w:adjustRightInd w:val="0"/>
              <w:spacing w:line="440" w:lineRule="atLeast"/>
              <w:jc w:val="left"/>
              <w:textAlignment w:val="baseline"/>
              <w:rPr>
                <w:rFonts w:ascii="宋体" w:hAnsi="宋体" w:cs="宋体"/>
                <w:bCs/>
                <w:sz w:val="24"/>
                <w:szCs w:val="24"/>
              </w:rPr>
            </w:pPr>
            <w:r>
              <w:rPr>
                <w:rFonts w:hint="eastAsia" w:ascii="宋体" w:hAnsi="宋体" w:cs="宋体"/>
                <w:bCs/>
                <w:sz w:val="24"/>
                <w:szCs w:val="24"/>
              </w:rPr>
              <w:t xml:space="preserve">投标报价得分=（基准价/投标报价）×30%×100  </w:t>
            </w:r>
          </w:p>
          <w:p w14:paraId="233DC06E">
            <w:pPr>
              <w:adjustRightInd w:val="0"/>
              <w:spacing w:line="440" w:lineRule="atLeast"/>
              <w:jc w:val="left"/>
              <w:textAlignment w:val="baseline"/>
              <w:rPr>
                <w:rFonts w:ascii="宋体" w:hAnsi="宋体" w:cs="宋体"/>
                <w:bCs/>
                <w:sz w:val="24"/>
                <w:szCs w:val="24"/>
              </w:rPr>
            </w:pPr>
            <w:r>
              <w:rPr>
                <w:rFonts w:hint="eastAsia" w:ascii="宋体" w:hAnsi="宋体" w:cs="宋体"/>
                <w:bCs/>
                <w:sz w:val="24"/>
                <w:szCs w:val="24"/>
              </w:rPr>
              <w:t>报价得分保留两位小数。</w:t>
            </w:r>
          </w:p>
          <w:p w14:paraId="2229668B">
            <w:pPr>
              <w:adjustRightInd w:val="0"/>
              <w:spacing w:line="440" w:lineRule="atLeast"/>
              <w:jc w:val="left"/>
              <w:textAlignment w:val="baseline"/>
            </w:pPr>
            <w:r>
              <w:rPr>
                <w:rFonts w:hint="eastAsia" w:ascii="宋体" w:hAnsi="宋体" w:cs="宋体"/>
                <w:bCs/>
                <w:sz w:val="24"/>
                <w:szCs w:val="24"/>
              </w:rPr>
              <w:t>注：政府采购报价优惠政策：小型企业、微型企业、监狱企业和残疾人福利性单位参加投标时，给予10%的价格扣除，用扣除后的报价参与评审。</w:t>
            </w:r>
          </w:p>
        </w:tc>
        <w:tc>
          <w:tcPr>
            <w:tcW w:w="778" w:type="dxa"/>
            <w:tcBorders>
              <w:top w:val="single" w:color="auto" w:sz="4" w:space="0"/>
              <w:left w:val="single" w:color="auto" w:sz="4" w:space="0"/>
              <w:bottom w:val="single" w:color="auto" w:sz="4" w:space="0"/>
              <w:right w:val="single" w:color="auto" w:sz="4" w:space="0"/>
            </w:tcBorders>
            <w:vAlign w:val="center"/>
          </w:tcPr>
          <w:p w14:paraId="79556125">
            <w:pPr>
              <w:pStyle w:val="45"/>
              <w:widowControl w:val="0"/>
              <w:jc w:val="center"/>
              <w:rPr>
                <w:rFonts w:ascii="宋体" w:hAnsi="宋体" w:cs="宋体"/>
                <w:b/>
                <w:bCs/>
                <w:sz w:val="24"/>
                <w:szCs w:val="24"/>
              </w:rPr>
            </w:pPr>
            <w:r>
              <w:rPr>
                <w:rFonts w:hint="eastAsia" w:ascii="宋体" w:hAnsi="宋体" w:cs="宋体"/>
                <w:b/>
                <w:bCs/>
                <w:sz w:val="24"/>
                <w:szCs w:val="24"/>
              </w:rPr>
              <w:t>30</w:t>
            </w:r>
          </w:p>
        </w:tc>
      </w:tr>
    </w:tbl>
    <w:p w14:paraId="70750E47">
      <w:pPr>
        <w:wordWrap w:val="0"/>
        <w:spacing w:line="360" w:lineRule="auto"/>
        <w:rPr>
          <w:rFonts w:ascii="宋体" w:hAnsi="宋体"/>
          <w:color w:val="000000"/>
          <w:sz w:val="24"/>
          <w:szCs w:val="24"/>
        </w:rPr>
      </w:pPr>
    </w:p>
    <w:p w14:paraId="05C460F7">
      <w:pPr>
        <w:rPr>
          <w:rFonts w:ascii="宋体" w:hAnsi="宋体"/>
          <w:b/>
          <w:snapToGrid w:val="0"/>
          <w:sz w:val="30"/>
          <w:szCs w:val="30"/>
        </w:rPr>
      </w:pPr>
    </w:p>
    <w:p w14:paraId="1F70A94F">
      <w:pPr>
        <w:pStyle w:val="23"/>
        <w:ind w:left="199" w:firstLine="602"/>
        <w:rPr>
          <w:rFonts w:ascii="宋体" w:hAnsi="宋体"/>
          <w:b/>
          <w:snapToGrid w:val="0"/>
          <w:sz w:val="30"/>
          <w:szCs w:val="30"/>
        </w:rPr>
      </w:pPr>
    </w:p>
    <w:bookmarkEnd w:id="67"/>
    <w:bookmarkEnd w:id="68"/>
    <w:bookmarkEnd w:id="69"/>
    <w:p w14:paraId="080B7190">
      <w:pPr>
        <w:keepNext/>
        <w:overflowPunct w:val="0"/>
        <w:topLinePunct/>
        <w:autoSpaceDN w:val="0"/>
        <w:adjustRightInd w:val="0"/>
        <w:snapToGrid w:val="0"/>
        <w:spacing w:line="360" w:lineRule="auto"/>
        <w:jc w:val="center"/>
        <w:outlineLvl w:val="0"/>
        <w:rPr>
          <w:rFonts w:ascii="Calibri" w:hAnsi="Calibri"/>
          <w:b/>
          <w:bCs/>
          <w:sz w:val="28"/>
          <w:szCs w:val="36"/>
        </w:rPr>
      </w:pPr>
      <w:bookmarkStart w:id="77" w:name="_Toc24238"/>
      <w:bookmarkStart w:id="78" w:name="_Toc6738"/>
      <w:r>
        <w:rPr>
          <w:rFonts w:hint="eastAsia" w:ascii="宋体" w:hAnsi="宋体"/>
          <w:b/>
          <w:snapToGrid w:val="0"/>
          <w:kern w:val="0"/>
          <w:sz w:val="30"/>
          <w:szCs w:val="30"/>
        </w:rPr>
        <w:t>第五章</w:t>
      </w:r>
      <w:r>
        <w:rPr>
          <w:rFonts w:ascii="宋体" w:hAnsi="宋体"/>
          <w:b/>
          <w:snapToGrid w:val="0"/>
          <w:kern w:val="0"/>
          <w:sz w:val="30"/>
          <w:szCs w:val="30"/>
        </w:rPr>
        <w:t xml:space="preserve">  </w:t>
      </w:r>
      <w:r>
        <w:rPr>
          <w:rFonts w:hint="eastAsia" w:ascii="宋体" w:hAnsi="宋体"/>
          <w:b/>
          <w:snapToGrid w:val="0"/>
          <w:kern w:val="0"/>
          <w:sz w:val="30"/>
          <w:szCs w:val="30"/>
        </w:rPr>
        <w:t>商务、技术要求</w:t>
      </w:r>
      <w:bookmarkEnd w:id="77"/>
      <w:bookmarkStart w:id="79" w:name="_Toc17269"/>
      <w:bookmarkStart w:id="80" w:name="_Toc2372"/>
    </w:p>
    <w:bookmarkEnd w:id="79"/>
    <w:bookmarkEnd w:id="80"/>
    <w:p w14:paraId="568A9025">
      <w:pPr>
        <w:spacing w:line="360" w:lineRule="auto"/>
        <w:outlineLvl w:val="0"/>
        <w:rPr>
          <w:rFonts w:ascii="Calibri" w:hAnsi="Calibri"/>
          <w:b/>
          <w:bCs/>
          <w:sz w:val="28"/>
          <w:szCs w:val="28"/>
        </w:rPr>
      </w:pPr>
      <w:bookmarkStart w:id="81" w:name="_Toc7320"/>
      <w:r>
        <w:rPr>
          <w:rFonts w:hint="eastAsia" w:ascii="Calibri" w:hAnsi="Calibri"/>
          <w:b/>
          <w:bCs/>
          <w:sz w:val="28"/>
          <w:szCs w:val="28"/>
        </w:rPr>
        <w:t>一、商务要求：</w:t>
      </w:r>
      <w:bookmarkEnd w:id="81"/>
    </w:p>
    <w:p w14:paraId="313AE624">
      <w:pPr>
        <w:spacing w:line="480" w:lineRule="auto"/>
        <w:ind w:firstLine="720" w:firstLineChars="300"/>
        <w:rPr>
          <w:rFonts w:ascii="Calibri" w:hAnsi="Calibri"/>
          <w:sz w:val="24"/>
          <w:szCs w:val="24"/>
        </w:rPr>
      </w:pPr>
      <w:r>
        <w:rPr>
          <w:rFonts w:hint="eastAsia" w:ascii="Calibri" w:hAnsi="Calibri"/>
          <w:sz w:val="24"/>
          <w:szCs w:val="24"/>
        </w:rPr>
        <w:t>（一）交货时间：签订合同后接到医院通知后60个工作日内完成供货。</w:t>
      </w:r>
    </w:p>
    <w:p w14:paraId="18B7D1C0">
      <w:pPr>
        <w:spacing w:line="480" w:lineRule="auto"/>
        <w:ind w:firstLine="720" w:firstLineChars="300"/>
        <w:rPr>
          <w:rFonts w:ascii="Calibri" w:hAnsi="Calibri"/>
          <w:sz w:val="24"/>
          <w:szCs w:val="24"/>
        </w:rPr>
      </w:pPr>
      <w:r>
        <w:rPr>
          <w:rFonts w:hint="eastAsia" w:ascii="Calibri" w:hAnsi="Calibri"/>
          <w:sz w:val="24"/>
          <w:szCs w:val="24"/>
        </w:rPr>
        <w:t>（二）交货地点：长治市中医研究所附属医院。</w:t>
      </w:r>
    </w:p>
    <w:p w14:paraId="731A64AA">
      <w:pPr>
        <w:spacing w:line="480" w:lineRule="auto"/>
        <w:ind w:firstLine="720" w:firstLineChars="300"/>
        <w:rPr>
          <w:rFonts w:ascii="Calibri" w:hAnsi="Calibri"/>
          <w:sz w:val="24"/>
          <w:szCs w:val="24"/>
        </w:rPr>
      </w:pPr>
      <w:r>
        <w:rPr>
          <w:rFonts w:hint="eastAsia" w:ascii="Calibri" w:hAnsi="Calibri"/>
          <w:sz w:val="24"/>
          <w:szCs w:val="24"/>
        </w:rPr>
        <w:t>（三）预算金额：4350000元</w:t>
      </w:r>
    </w:p>
    <w:p w14:paraId="20327B8B">
      <w:pPr>
        <w:spacing w:line="480" w:lineRule="auto"/>
        <w:ind w:left="2520" w:leftChars="1200"/>
        <w:rPr>
          <w:rFonts w:ascii="Calibri" w:hAnsi="Calibri"/>
          <w:sz w:val="24"/>
          <w:szCs w:val="24"/>
        </w:rPr>
      </w:pPr>
      <w:r>
        <w:rPr>
          <w:rFonts w:hint="eastAsia" w:ascii="Calibri" w:hAnsi="Calibri"/>
          <w:sz w:val="24"/>
          <w:szCs w:val="24"/>
        </w:rPr>
        <w:t>全自动生化免疫流水线：3000000元/套  数量：1</w:t>
      </w:r>
    </w:p>
    <w:p w14:paraId="22B65182">
      <w:pPr>
        <w:spacing w:line="480" w:lineRule="auto"/>
        <w:ind w:left="2520" w:leftChars="1200"/>
        <w:rPr>
          <w:rFonts w:ascii="Calibri" w:hAnsi="Calibri"/>
          <w:sz w:val="24"/>
          <w:szCs w:val="24"/>
        </w:rPr>
      </w:pPr>
      <w:r>
        <w:rPr>
          <w:rFonts w:hint="eastAsia" w:ascii="Calibri" w:hAnsi="Calibri"/>
          <w:sz w:val="24"/>
          <w:szCs w:val="24"/>
        </w:rPr>
        <w:t>全自动</w:t>
      </w:r>
      <w:r>
        <w:rPr>
          <w:rFonts w:ascii="Calibri" w:hAnsi="Calibri"/>
          <w:sz w:val="24"/>
          <w:szCs w:val="24"/>
        </w:rPr>
        <w:t>尿液分析</w:t>
      </w:r>
      <w:r>
        <w:rPr>
          <w:rFonts w:hint="eastAsia" w:ascii="Calibri" w:hAnsi="Calibri"/>
          <w:sz w:val="24"/>
          <w:szCs w:val="24"/>
        </w:rPr>
        <w:t>流水线：1000000元/套  数量：1</w:t>
      </w:r>
    </w:p>
    <w:p w14:paraId="479C7B5B">
      <w:pPr>
        <w:spacing w:line="480" w:lineRule="auto"/>
        <w:ind w:left="2520" w:leftChars="1200"/>
        <w:rPr>
          <w:rFonts w:ascii="Calibri" w:hAnsi="Calibri"/>
          <w:sz w:val="24"/>
          <w:szCs w:val="24"/>
        </w:rPr>
      </w:pPr>
      <w:r>
        <w:rPr>
          <w:rFonts w:ascii="Calibri" w:hAnsi="Calibri"/>
          <w:sz w:val="24"/>
          <w:szCs w:val="24"/>
        </w:rPr>
        <w:t>过氧化氢低温等离子体灭菌器：350000元/台  数量：1</w:t>
      </w:r>
    </w:p>
    <w:p w14:paraId="3851D744">
      <w:pPr>
        <w:spacing w:line="480" w:lineRule="auto"/>
        <w:ind w:firstLine="720" w:firstLineChars="300"/>
        <w:rPr>
          <w:rFonts w:ascii="Calibri" w:hAnsi="Calibri"/>
          <w:sz w:val="24"/>
          <w:szCs w:val="24"/>
        </w:rPr>
      </w:pPr>
      <w:r>
        <w:rPr>
          <w:rFonts w:hint="eastAsia" w:ascii="Calibri" w:hAnsi="Calibri"/>
          <w:sz w:val="24"/>
          <w:szCs w:val="24"/>
        </w:rPr>
        <w:t>（四）报价要求：投标报价为到达用户指定地点的价格。应包含设备材料费安装调试费、运输费、保险费、培训费、税费、伴随服费等交付使用的一切费用。</w:t>
      </w:r>
    </w:p>
    <w:p w14:paraId="2B8AA11B">
      <w:pPr>
        <w:spacing w:line="480" w:lineRule="auto"/>
        <w:ind w:firstLine="720" w:firstLineChars="300"/>
        <w:rPr>
          <w:rFonts w:ascii="Calibri" w:hAnsi="Calibri"/>
          <w:sz w:val="24"/>
          <w:szCs w:val="24"/>
        </w:rPr>
      </w:pPr>
      <w:r>
        <w:rPr>
          <w:rFonts w:hint="eastAsia" w:ascii="Calibri" w:hAnsi="Calibri"/>
          <w:sz w:val="24"/>
          <w:szCs w:val="24"/>
        </w:rPr>
        <w:t>（五）质保期：原厂整机质保≥3年，质保期内所有配件及人工费用均由供应商承担，采购人不再支付额外费用。在设备质保期间严格按照国家三包标准，并且每年保养至少2次，每季度巡检至少1次。若采购人在使用过程中发现产品有质量瑕疵的，采购人仍有权要求供应商采取修理、更换等补救措施。设备在质保期内反复出现故障，供应商免费更换新的设备。终身免收维修技术服务费；终身免费软件升级。</w:t>
      </w:r>
    </w:p>
    <w:p w14:paraId="7628C87E">
      <w:pPr>
        <w:spacing w:line="480" w:lineRule="auto"/>
        <w:ind w:firstLine="720" w:firstLineChars="300"/>
        <w:rPr>
          <w:rFonts w:ascii="Calibri" w:hAnsi="Calibri"/>
          <w:bCs/>
          <w:sz w:val="24"/>
          <w:szCs w:val="24"/>
        </w:rPr>
      </w:pPr>
      <w:r>
        <w:rPr>
          <w:rFonts w:hint="eastAsia" w:ascii="Calibri" w:hAnsi="Calibri"/>
          <w:sz w:val="24"/>
          <w:szCs w:val="24"/>
        </w:rPr>
        <w:t>（六）质量要求：</w:t>
      </w:r>
      <w:r>
        <w:rPr>
          <w:rFonts w:hint="eastAsia" w:ascii="Calibri" w:hAnsi="Calibri"/>
          <w:bCs/>
          <w:sz w:val="24"/>
          <w:szCs w:val="24"/>
        </w:rPr>
        <w:t>供应商应保证所供设备是全新的、未使用过的，采用厂家原装包装，保证产品和产品外包装完好，并符合国家有关标准、制造厂标准及合同技术标准要求，不侵害第三方知识产权。如果设备的质量或规格与合同不符，或证实设备是有缺陷的，包括潜在的缺陷或使用不符合要求的材料等，供应商应在接到采购人通知后</w:t>
      </w:r>
      <w:r>
        <w:rPr>
          <w:rFonts w:ascii="Calibri" w:hAnsi="Calibri"/>
          <w:bCs/>
          <w:sz w:val="24"/>
          <w:szCs w:val="24"/>
        </w:rPr>
        <w:t>7</w:t>
      </w:r>
      <w:r>
        <w:rPr>
          <w:rFonts w:hint="eastAsia" w:ascii="Calibri" w:hAnsi="Calibri"/>
          <w:bCs/>
          <w:sz w:val="24"/>
          <w:szCs w:val="24"/>
        </w:rPr>
        <w:t>天内负责采用符合合同规定的规格、质量和性能要求的新零件、部件或设备来更换有缺陷的部分或修补缺陷部分，其费用由供应商负担。同时，供应商应按本合同规定，相应延长修补或更换件的质量保证期。如侵害第三方知识产权产生的纠纷，由供应商负责全部责任。</w:t>
      </w:r>
    </w:p>
    <w:p w14:paraId="15C14D94">
      <w:pPr>
        <w:spacing w:line="480" w:lineRule="auto"/>
        <w:ind w:firstLine="720" w:firstLineChars="300"/>
        <w:rPr>
          <w:rFonts w:ascii="Calibri" w:hAnsi="Calibri"/>
          <w:bCs/>
          <w:sz w:val="24"/>
          <w:szCs w:val="24"/>
        </w:rPr>
      </w:pPr>
      <w:r>
        <w:rPr>
          <w:rFonts w:hint="eastAsia" w:ascii="Calibri" w:hAnsi="Calibri"/>
          <w:bCs/>
          <w:sz w:val="24"/>
          <w:szCs w:val="24"/>
        </w:rPr>
        <w:t>（七）售后服务：工程师接到报修通知后</w:t>
      </w:r>
      <w:r>
        <w:rPr>
          <w:rFonts w:ascii="Calibri" w:hAnsi="Calibri"/>
          <w:bCs/>
          <w:sz w:val="24"/>
          <w:szCs w:val="24"/>
        </w:rPr>
        <w:t>1</w:t>
      </w:r>
      <w:r>
        <w:rPr>
          <w:rFonts w:hint="eastAsia" w:ascii="Calibri" w:hAnsi="Calibri"/>
          <w:bCs/>
          <w:sz w:val="24"/>
          <w:szCs w:val="24"/>
        </w:rPr>
        <w:t>小时内响应，</w:t>
      </w:r>
      <w:r>
        <w:rPr>
          <w:rFonts w:ascii="Calibri" w:hAnsi="Calibri"/>
          <w:bCs/>
          <w:sz w:val="24"/>
          <w:szCs w:val="24"/>
        </w:rPr>
        <w:t>12</w:t>
      </w:r>
      <w:r>
        <w:rPr>
          <w:rFonts w:hint="eastAsia" w:ascii="Calibri" w:hAnsi="Calibri"/>
          <w:bCs/>
          <w:sz w:val="24"/>
          <w:szCs w:val="24"/>
        </w:rPr>
        <w:t>小时内专业人员到现场。</w:t>
      </w:r>
    </w:p>
    <w:p w14:paraId="04B40B0C">
      <w:pPr>
        <w:spacing w:line="480" w:lineRule="auto"/>
        <w:ind w:firstLine="720" w:firstLineChars="300"/>
        <w:rPr>
          <w:rFonts w:ascii="Calibri" w:hAnsi="Calibri"/>
          <w:bCs/>
          <w:sz w:val="24"/>
          <w:szCs w:val="24"/>
        </w:rPr>
      </w:pPr>
      <w:r>
        <w:rPr>
          <w:rFonts w:hint="eastAsia" w:ascii="Calibri" w:hAnsi="Calibri"/>
          <w:bCs/>
          <w:sz w:val="24"/>
          <w:szCs w:val="24"/>
        </w:rPr>
        <w:t>（八）应急服务：如采购人遇紧急情况，供应商须通过电话或网络等途径30分钟内予以解决，如无法在规定时间内解决，供应商须</w:t>
      </w:r>
      <w:r>
        <w:rPr>
          <w:rFonts w:ascii="Calibri" w:hAnsi="Calibri"/>
          <w:bCs/>
          <w:sz w:val="24"/>
          <w:szCs w:val="24"/>
        </w:rPr>
        <w:t>2</w:t>
      </w:r>
      <w:r>
        <w:rPr>
          <w:rFonts w:hint="eastAsia" w:ascii="Calibri" w:hAnsi="Calibri"/>
          <w:bCs/>
          <w:sz w:val="24"/>
          <w:szCs w:val="24"/>
        </w:rPr>
        <w:t>小时应急响应到达医院现场。</w:t>
      </w:r>
    </w:p>
    <w:p w14:paraId="46958339">
      <w:pPr>
        <w:spacing w:line="480" w:lineRule="auto"/>
        <w:ind w:firstLine="720" w:firstLineChars="300"/>
        <w:rPr>
          <w:rFonts w:ascii="Calibri" w:hAnsi="Calibri"/>
          <w:bCs/>
          <w:sz w:val="24"/>
          <w:szCs w:val="24"/>
        </w:rPr>
      </w:pPr>
      <w:r>
        <w:rPr>
          <w:rFonts w:hint="eastAsia" w:ascii="Calibri" w:hAnsi="Calibri"/>
          <w:bCs/>
          <w:sz w:val="24"/>
          <w:szCs w:val="24"/>
        </w:rPr>
        <w:t>（九）包装和运输：供应商负责所投全部产品的包装、运输等，确保产品符合采购人验收标准。</w:t>
      </w:r>
    </w:p>
    <w:p w14:paraId="17C00FD4">
      <w:pPr>
        <w:spacing w:line="480" w:lineRule="auto"/>
        <w:ind w:firstLine="720" w:firstLineChars="300"/>
        <w:rPr>
          <w:rFonts w:ascii="Calibri" w:hAnsi="Calibri"/>
          <w:bCs/>
          <w:color w:val="000000"/>
          <w:sz w:val="24"/>
          <w:szCs w:val="24"/>
        </w:rPr>
      </w:pPr>
      <w:r>
        <w:rPr>
          <w:rFonts w:hint="eastAsia" w:ascii="Calibri" w:hAnsi="Calibri"/>
          <w:bCs/>
          <w:color w:val="000000"/>
          <w:sz w:val="24"/>
          <w:szCs w:val="24"/>
        </w:rPr>
        <w:t>（十）设备安装后培训服务：提供医师及技师培训。培训内容：设备操作使用、故障预防、清洁保养、使用安全理论培训及实际操作培训等；培训时间：与采购人协商确定；培训方式：使用科室现场培训；培训标准：以科室相关人员掌握设备性能及熟练安全操作为准。</w:t>
      </w:r>
    </w:p>
    <w:p w14:paraId="28A42B1A">
      <w:pPr>
        <w:spacing w:line="480" w:lineRule="auto"/>
        <w:ind w:firstLine="720" w:firstLineChars="300"/>
        <w:rPr>
          <w:rFonts w:ascii="Calibri" w:hAnsi="Calibri"/>
          <w:bCs/>
          <w:color w:val="000000"/>
          <w:sz w:val="24"/>
          <w:szCs w:val="24"/>
        </w:rPr>
      </w:pPr>
      <w:r>
        <w:rPr>
          <w:rFonts w:hint="eastAsia" w:ascii="Calibri" w:hAnsi="Calibri"/>
          <w:bCs/>
          <w:color w:val="000000"/>
          <w:sz w:val="24"/>
          <w:szCs w:val="24"/>
        </w:rPr>
        <w:t>（十一）提供完整的使用手册：安装时院方验收</w:t>
      </w:r>
      <w:r>
        <w:rPr>
          <w:rFonts w:ascii="Calibri" w:hAnsi="Calibri"/>
          <w:bCs/>
          <w:color w:val="000000"/>
          <w:sz w:val="24"/>
          <w:szCs w:val="24"/>
        </w:rPr>
        <w:t>.</w:t>
      </w:r>
    </w:p>
    <w:p w14:paraId="4E305DF0">
      <w:pPr>
        <w:spacing w:line="480" w:lineRule="auto"/>
        <w:ind w:firstLine="720" w:firstLineChars="300"/>
        <w:rPr>
          <w:rFonts w:ascii="Calibri" w:hAnsi="Calibri"/>
          <w:bCs/>
          <w:color w:val="auto"/>
          <w:sz w:val="24"/>
          <w:szCs w:val="24"/>
        </w:rPr>
      </w:pPr>
      <w:r>
        <w:rPr>
          <w:rFonts w:hint="eastAsia" w:ascii="Calibri" w:hAnsi="Calibri"/>
          <w:bCs/>
          <w:color w:val="000000"/>
          <w:sz w:val="24"/>
          <w:szCs w:val="24"/>
        </w:rPr>
        <w:t>（</w:t>
      </w:r>
      <w:r>
        <w:rPr>
          <w:rFonts w:hint="eastAsia" w:ascii="Calibri" w:hAnsi="Calibri"/>
          <w:bCs/>
          <w:color w:val="auto"/>
          <w:sz w:val="24"/>
          <w:szCs w:val="24"/>
        </w:rPr>
        <w:t>十二）所投产品如涉及网络接入的设备，须免费开放端口、数据兼容；如需接入医院信息网络系统或对接现有设备，供应商应承担由此产生的相关费用。</w:t>
      </w:r>
    </w:p>
    <w:p w14:paraId="1AC34D07">
      <w:pPr>
        <w:spacing w:line="480" w:lineRule="auto"/>
        <w:ind w:firstLine="720" w:firstLineChars="300"/>
        <w:rPr>
          <w:rFonts w:ascii="Calibri" w:hAnsi="Calibri"/>
          <w:color w:val="auto"/>
          <w:sz w:val="24"/>
          <w:szCs w:val="24"/>
        </w:rPr>
      </w:pPr>
      <w:r>
        <w:rPr>
          <w:rFonts w:hint="eastAsia" w:ascii="Calibri" w:hAnsi="Calibri"/>
          <w:color w:val="auto"/>
          <w:sz w:val="24"/>
          <w:szCs w:val="24"/>
        </w:rPr>
        <w:t>（十三）</w:t>
      </w:r>
      <w:r>
        <w:rPr>
          <w:rFonts w:ascii="Calibri" w:hAnsi="Calibri"/>
          <w:color w:val="auto"/>
          <w:sz w:val="24"/>
          <w:szCs w:val="24"/>
        </w:rPr>
        <w:t>其他商务要求：货物出厂日期至</w:t>
      </w:r>
      <w:r>
        <w:rPr>
          <w:rFonts w:hint="eastAsia" w:ascii="Calibri" w:hAnsi="Calibri"/>
          <w:color w:val="auto"/>
          <w:sz w:val="24"/>
          <w:szCs w:val="24"/>
        </w:rPr>
        <w:t>安装验收</w:t>
      </w:r>
      <w:r>
        <w:rPr>
          <w:rFonts w:ascii="Calibri" w:hAnsi="Calibri"/>
          <w:color w:val="auto"/>
          <w:sz w:val="24"/>
          <w:szCs w:val="24"/>
        </w:rPr>
        <w:t>日期不超过</w:t>
      </w:r>
      <w:r>
        <w:rPr>
          <w:rFonts w:hint="eastAsia" w:ascii="Calibri" w:hAnsi="Calibri"/>
          <w:color w:val="auto"/>
          <w:sz w:val="24"/>
          <w:szCs w:val="24"/>
        </w:rPr>
        <w:t>6</w:t>
      </w:r>
      <w:r>
        <w:rPr>
          <w:rFonts w:ascii="Calibri" w:hAnsi="Calibri"/>
          <w:color w:val="auto"/>
          <w:sz w:val="24"/>
          <w:szCs w:val="24"/>
        </w:rPr>
        <w:t>个月</w:t>
      </w:r>
    </w:p>
    <w:p w14:paraId="5F7E5B61">
      <w:pPr>
        <w:spacing w:line="480" w:lineRule="auto"/>
        <w:ind w:firstLine="720" w:firstLineChars="300"/>
        <w:rPr>
          <w:rFonts w:ascii="Calibri" w:hAnsi="Calibri"/>
          <w:color w:val="auto"/>
          <w:sz w:val="24"/>
          <w:szCs w:val="24"/>
        </w:rPr>
      </w:pPr>
      <w:r>
        <w:rPr>
          <w:rFonts w:hint="eastAsia" w:ascii="Calibri" w:hAnsi="Calibri"/>
          <w:color w:val="auto"/>
          <w:sz w:val="24"/>
          <w:szCs w:val="24"/>
        </w:rPr>
        <w:t>（十四）落实政府采购政策的要求：</w:t>
      </w:r>
    </w:p>
    <w:p w14:paraId="7B56949D">
      <w:pPr>
        <w:spacing w:line="480" w:lineRule="auto"/>
        <w:ind w:firstLine="720" w:firstLineChars="300"/>
        <w:rPr>
          <w:rFonts w:ascii="Calibri" w:hAnsi="Calibri"/>
          <w:color w:val="auto"/>
          <w:sz w:val="24"/>
          <w:szCs w:val="24"/>
        </w:rPr>
      </w:pPr>
      <w:r>
        <w:rPr>
          <w:rFonts w:hint="eastAsia" w:ascii="Calibri" w:hAnsi="Calibri"/>
          <w:color w:val="auto"/>
          <w:sz w:val="24"/>
          <w:szCs w:val="24"/>
        </w:rPr>
        <w:t>本项目不适宜中小企业；</w:t>
      </w:r>
    </w:p>
    <w:p w14:paraId="50D45572">
      <w:pPr>
        <w:spacing w:line="480" w:lineRule="auto"/>
        <w:ind w:firstLine="720" w:firstLineChars="300"/>
        <w:rPr>
          <w:rFonts w:ascii="Calibri" w:hAnsi="Calibri"/>
          <w:sz w:val="24"/>
          <w:szCs w:val="24"/>
        </w:rPr>
      </w:pPr>
      <w:r>
        <w:rPr>
          <w:rFonts w:hint="eastAsia" w:ascii="Calibri" w:hAnsi="Calibri"/>
          <w:color w:val="auto"/>
          <w:sz w:val="24"/>
          <w:szCs w:val="24"/>
        </w:rPr>
        <w:t>本项目执行节能环保、中小企业/小微企业、监狱企业、残疾人福</w:t>
      </w:r>
      <w:r>
        <w:rPr>
          <w:rFonts w:hint="eastAsia" w:ascii="Calibri" w:hAnsi="Calibri"/>
          <w:sz w:val="24"/>
          <w:szCs w:val="24"/>
        </w:rPr>
        <w:t>利性单位等相关政府采购政策。</w:t>
      </w:r>
    </w:p>
    <w:p w14:paraId="1A3579CF">
      <w:pPr>
        <w:spacing w:line="480" w:lineRule="auto"/>
        <w:ind w:firstLine="720" w:firstLineChars="300"/>
        <w:rPr>
          <w:rFonts w:ascii="Calibri" w:hAnsi="Calibri"/>
          <w:sz w:val="24"/>
          <w:szCs w:val="24"/>
        </w:rPr>
      </w:pPr>
      <w:r>
        <w:rPr>
          <w:rFonts w:hint="eastAsia" w:ascii="Calibri" w:hAnsi="Calibri"/>
          <w:sz w:val="24"/>
          <w:szCs w:val="24"/>
        </w:rPr>
        <w:t>（十五）本项目的特定资格要求：</w:t>
      </w:r>
      <w:r>
        <w:rPr>
          <w:rFonts w:ascii="Calibri" w:hAnsi="Calibri"/>
          <w:sz w:val="24"/>
          <w:szCs w:val="24"/>
        </w:rPr>
        <w:t xml:space="preserve"> </w:t>
      </w:r>
    </w:p>
    <w:p w14:paraId="600D4D5F">
      <w:pPr>
        <w:spacing w:line="480" w:lineRule="auto"/>
        <w:ind w:firstLine="480" w:firstLineChars="200"/>
        <w:rPr>
          <w:rFonts w:ascii="Calibri" w:hAnsi="Calibri"/>
          <w:sz w:val="24"/>
          <w:szCs w:val="24"/>
        </w:rPr>
      </w:pPr>
      <w:r>
        <w:rPr>
          <w:rFonts w:ascii="Calibri" w:hAnsi="Calibri"/>
          <w:sz w:val="24"/>
          <w:szCs w:val="24"/>
        </w:rPr>
        <w:t>1</w:t>
      </w:r>
      <w:r>
        <w:rPr>
          <w:rFonts w:hint="eastAsia" w:ascii="Calibri" w:hAnsi="Calibri"/>
          <w:sz w:val="24"/>
          <w:szCs w:val="24"/>
        </w:rPr>
        <w:t>、</w:t>
      </w:r>
      <w:r>
        <w:rPr>
          <w:rFonts w:hint="eastAsia" w:ascii="Calibri" w:hAnsi="Calibri"/>
          <w:sz w:val="24"/>
          <w:szCs w:val="24"/>
          <w:lang w:eastAsia="zh-CN"/>
        </w:rPr>
        <w:t>供应商</w:t>
      </w:r>
      <w:r>
        <w:rPr>
          <w:rFonts w:hint="eastAsia" w:ascii="Calibri" w:hAnsi="Calibri"/>
          <w:sz w:val="24"/>
          <w:szCs w:val="24"/>
        </w:rPr>
        <w:t>须在投标文件中提供以下医疗器械相关资料：</w:t>
      </w:r>
    </w:p>
    <w:p w14:paraId="0D9543F9">
      <w:pPr>
        <w:spacing w:line="480" w:lineRule="auto"/>
        <w:ind w:firstLine="480" w:firstLineChars="200"/>
        <w:rPr>
          <w:rFonts w:ascii="Calibri" w:hAnsi="Calibri"/>
          <w:sz w:val="24"/>
          <w:szCs w:val="24"/>
        </w:rPr>
      </w:pPr>
      <w:r>
        <w:rPr>
          <w:rFonts w:ascii="Calibri" w:hAnsi="Calibri"/>
          <w:sz w:val="24"/>
          <w:szCs w:val="24"/>
        </w:rPr>
        <w:t>1.1</w:t>
      </w:r>
      <w:r>
        <w:rPr>
          <w:rFonts w:hint="eastAsia" w:ascii="Calibri" w:hAnsi="Calibri"/>
          <w:sz w:val="24"/>
          <w:szCs w:val="24"/>
        </w:rPr>
        <w:t>如所投产品属于第一类医疗器械的，</w:t>
      </w:r>
      <w:r>
        <w:rPr>
          <w:rFonts w:hint="eastAsia" w:ascii="Calibri" w:hAnsi="Calibri"/>
          <w:sz w:val="24"/>
          <w:szCs w:val="24"/>
          <w:lang w:eastAsia="zh-CN"/>
        </w:rPr>
        <w:t>供应商</w:t>
      </w:r>
      <w:r>
        <w:rPr>
          <w:rFonts w:hint="eastAsia" w:ascii="Calibri" w:hAnsi="Calibri"/>
          <w:sz w:val="24"/>
          <w:szCs w:val="24"/>
        </w:rPr>
        <w:t>须提供与所投产品一致的有效的第一类医疗器械备案凭证；如所投产品属于第二类或第三类医疗器械，须提供与所投产品一致的有效的医疗器械注册证；</w:t>
      </w:r>
    </w:p>
    <w:p w14:paraId="0E651BDC">
      <w:pPr>
        <w:spacing w:line="480" w:lineRule="auto"/>
        <w:ind w:firstLine="480" w:firstLineChars="200"/>
        <w:rPr>
          <w:rFonts w:ascii="Calibri" w:hAnsi="Calibri"/>
          <w:sz w:val="24"/>
          <w:szCs w:val="24"/>
        </w:rPr>
      </w:pPr>
      <w:r>
        <w:rPr>
          <w:rFonts w:ascii="Calibri" w:hAnsi="Calibri"/>
          <w:sz w:val="24"/>
          <w:szCs w:val="24"/>
        </w:rPr>
        <w:t>1.2</w:t>
      </w:r>
      <w:r>
        <w:rPr>
          <w:rFonts w:hint="eastAsia" w:ascii="Calibri" w:hAnsi="Calibri"/>
          <w:sz w:val="24"/>
          <w:szCs w:val="24"/>
        </w:rPr>
        <w:t>如</w:t>
      </w:r>
      <w:r>
        <w:rPr>
          <w:rFonts w:hint="eastAsia" w:ascii="Calibri" w:hAnsi="Calibri"/>
          <w:sz w:val="24"/>
          <w:szCs w:val="24"/>
          <w:lang w:eastAsia="zh-CN"/>
        </w:rPr>
        <w:t>供应商</w:t>
      </w:r>
      <w:r>
        <w:rPr>
          <w:rFonts w:hint="eastAsia" w:ascii="Calibri" w:hAnsi="Calibri"/>
          <w:sz w:val="24"/>
          <w:szCs w:val="24"/>
        </w:rPr>
        <w:t>作为代理商参与投标：销售第二类医疗器械的，须提供有效的第二类医疗器械经营备案凭证；</w:t>
      </w:r>
      <w:r>
        <w:rPr>
          <w:rFonts w:hint="eastAsia" w:ascii="Calibri" w:hAnsi="Calibri"/>
          <w:sz w:val="24"/>
          <w:szCs w:val="24"/>
          <w:lang w:eastAsia="zh-CN"/>
        </w:rPr>
        <w:t>供应商</w:t>
      </w:r>
      <w:r>
        <w:rPr>
          <w:rFonts w:hint="eastAsia" w:ascii="Calibri" w:hAnsi="Calibri"/>
          <w:sz w:val="24"/>
          <w:szCs w:val="24"/>
        </w:rPr>
        <w:t>销售第三类医疗器械的，须提供有效的医疗器械经营许可证；</w:t>
      </w:r>
    </w:p>
    <w:p w14:paraId="5CD2AC3B">
      <w:pPr>
        <w:spacing w:line="480" w:lineRule="auto"/>
        <w:ind w:firstLine="480" w:firstLineChars="200"/>
        <w:rPr>
          <w:rFonts w:ascii="Calibri" w:hAnsi="Calibri"/>
          <w:sz w:val="24"/>
          <w:szCs w:val="24"/>
        </w:rPr>
      </w:pPr>
      <w:r>
        <w:rPr>
          <w:rFonts w:ascii="Calibri" w:hAnsi="Calibri"/>
          <w:sz w:val="24"/>
          <w:szCs w:val="24"/>
        </w:rPr>
        <w:t>2</w:t>
      </w:r>
      <w:r>
        <w:rPr>
          <w:rFonts w:hint="eastAsia" w:ascii="Calibri" w:hAnsi="Calibri"/>
          <w:sz w:val="24"/>
          <w:szCs w:val="24"/>
        </w:rPr>
        <w:t>、</w:t>
      </w:r>
      <w:r>
        <w:rPr>
          <w:rFonts w:hint="eastAsia" w:ascii="Calibri" w:hAnsi="Calibri"/>
          <w:sz w:val="24"/>
          <w:szCs w:val="24"/>
          <w:lang w:eastAsia="zh-CN"/>
        </w:rPr>
        <w:t>供应商</w:t>
      </w:r>
      <w:r>
        <w:rPr>
          <w:rFonts w:hint="eastAsia" w:ascii="Calibri" w:hAnsi="Calibri"/>
          <w:sz w:val="24"/>
          <w:szCs w:val="24"/>
        </w:rPr>
        <w:t>须在投标文件中提供以下技术支持资料：</w:t>
      </w:r>
    </w:p>
    <w:p w14:paraId="27913338">
      <w:pPr>
        <w:spacing w:line="480" w:lineRule="auto"/>
        <w:ind w:firstLine="480" w:firstLineChars="200"/>
        <w:rPr>
          <w:rFonts w:ascii="Calibri" w:hAnsi="Calibri"/>
          <w:sz w:val="24"/>
          <w:szCs w:val="24"/>
        </w:rPr>
      </w:pPr>
      <w:r>
        <w:rPr>
          <w:rFonts w:ascii="Calibri" w:hAnsi="Calibri"/>
          <w:sz w:val="24"/>
          <w:szCs w:val="24"/>
        </w:rPr>
        <w:t>2.1</w:t>
      </w:r>
      <w:r>
        <w:rPr>
          <w:rFonts w:hint="eastAsia" w:ascii="Calibri" w:hAnsi="Calibri"/>
          <w:sz w:val="24"/>
          <w:szCs w:val="24"/>
        </w:rPr>
        <w:t>所投产品的技术白皮书或产品说明书；所投机型产品提供的软件，硬件配置为完整的技术白皮书或产品说明书中的全套配置软件。</w:t>
      </w:r>
    </w:p>
    <w:p w14:paraId="21B82FC5">
      <w:pPr>
        <w:spacing w:line="480" w:lineRule="auto"/>
        <w:ind w:firstLine="480" w:firstLineChars="200"/>
        <w:rPr>
          <w:rFonts w:ascii="Calibri" w:hAnsi="Calibri"/>
          <w:sz w:val="24"/>
          <w:szCs w:val="24"/>
        </w:rPr>
      </w:pPr>
      <w:r>
        <w:rPr>
          <w:rFonts w:ascii="Calibri" w:hAnsi="Calibri"/>
          <w:sz w:val="24"/>
          <w:szCs w:val="24"/>
        </w:rPr>
        <w:t>2.2</w:t>
      </w:r>
      <w:r>
        <w:rPr>
          <w:rFonts w:hint="eastAsia" w:ascii="Calibri" w:hAnsi="Calibri"/>
          <w:sz w:val="24"/>
          <w:szCs w:val="24"/>
        </w:rPr>
        <w:t>所投产品的宣传彩页或检测报告，</w:t>
      </w:r>
      <w:r>
        <w:rPr>
          <w:rFonts w:ascii="Calibri" w:hAnsi="Calibri"/>
          <w:sz w:val="24"/>
          <w:szCs w:val="24"/>
        </w:rPr>
        <w:t>(</w:t>
      </w:r>
      <w:r>
        <w:rPr>
          <w:rFonts w:hint="eastAsia" w:ascii="Calibri" w:hAnsi="Calibri"/>
          <w:sz w:val="24"/>
          <w:szCs w:val="24"/>
        </w:rPr>
        <w:t>如所投产品非医疗器械，则可不提供检测报告</w:t>
      </w:r>
      <w:r>
        <w:rPr>
          <w:rFonts w:ascii="Calibri" w:hAnsi="Calibri"/>
          <w:sz w:val="24"/>
          <w:szCs w:val="24"/>
        </w:rPr>
        <w:t>)</w:t>
      </w:r>
      <w:r>
        <w:rPr>
          <w:rFonts w:hint="eastAsia" w:ascii="Calibri" w:hAnsi="Calibri"/>
          <w:sz w:val="24"/>
          <w:szCs w:val="24"/>
        </w:rPr>
        <w:t>若制造商公开发布的宣传彩页与检测机构出具的检测报告不一致，以检测机构出具的检测报告为准。</w:t>
      </w:r>
    </w:p>
    <w:p w14:paraId="73A26A84">
      <w:pPr>
        <w:spacing w:line="480" w:lineRule="auto"/>
        <w:ind w:firstLine="480" w:firstLineChars="200"/>
        <w:rPr>
          <w:rFonts w:ascii="Calibri" w:hAnsi="Calibri"/>
          <w:sz w:val="24"/>
          <w:szCs w:val="24"/>
        </w:rPr>
      </w:pPr>
      <w:r>
        <w:rPr>
          <w:rFonts w:ascii="Calibri" w:hAnsi="Calibri"/>
          <w:sz w:val="24"/>
          <w:szCs w:val="24"/>
        </w:rPr>
        <w:t>2.3</w:t>
      </w:r>
      <w:r>
        <w:rPr>
          <w:rFonts w:hint="eastAsia" w:ascii="Calibri" w:hAnsi="Calibri"/>
          <w:sz w:val="24"/>
          <w:szCs w:val="24"/>
        </w:rPr>
        <w:t>如有★参数，</w:t>
      </w:r>
      <w:r>
        <w:rPr>
          <w:rFonts w:hint="eastAsia" w:ascii="Calibri" w:hAnsi="Calibri"/>
          <w:sz w:val="24"/>
          <w:szCs w:val="24"/>
          <w:lang w:eastAsia="zh-CN"/>
        </w:rPr>
        <w:t>供应商</w:t>
      </w:r>
      <w:r>
        <w:rPr>
          <w:rFonts w:hint="eastAsia" w:ascii="Calibri" w:hAnsi="Calibri"/>
          <w:sz w:val="24"/>
          <w:szCs w:val="24"/>
        </w:rPr>
        <w:t>应对加注★的重要技术条款或技术参数必须在投标文件中提供技术支持资料，否则因此导致的废标由供应商自行负责；</w:t>
      </w:r>
    </w:p>
    <w:p w14:paraId="32B5F20B">
      <w:pPr>
        <w:spacing w:line="480" w:lineRule="auto"/>
        <w:ind w:firstLine="480" w:firstLineChars="200"/>
        <w:rPr>
          <w:rFonts w:ascii="Calibri" w:hAnsi="Calibri"/>
          <w:sz w:val="24"/>
          <w:szCs w:val="24"/>
        </w:rPr>
      </w:pPr>
      <w:r>
        <w:rPr>
          <w:rFonts w:hint="eastAsia" w:ascii="Calibri" w:hAnsi="Calibri"/>
          <w:sz w:val="24"/>
          <w:szCs w:val="24"/>
        </w:rPr>
        <w:t>3、如设备含有相关一次性试剂，耗材，易耗配件：</w:t>
      </w:r>
    </w:p>
    <w:p w14:paraId="7749E798">
      <w:pPr>
        <w:spacing w:line="480" w:lineRule="auto"/>
        <w:ind w:firstLine="480" w:firstLineChars="200"/>
        <w:rPr>
          <w:rFonts w:ascii="Calibri" w:hAnsi="Calibri"/>
          <w:sz w:val="24"/>
          <w:szCs w:val="24"/>
        </w:rPr>
      </w:pPr>
      <w:r>
        <w:rPr>
          <w:rFonts w:hint="eastAsia" w:ascii="Calibri" w:hAnsi="Calibri"/>
          <w:sz w:val="24"/>
          <w:szCs w:val="24"/>
        </w:rPr>
        <w:t>3.1</w:t>
      </w:r>
      <w:r>
        <w:rPr>
          <w:rFonts w:hint="eastAsia" w:ascii="Calibri" w:hAnsi="Calibri"/>
          <w:sz w:val="24"/>
          <w:szCs w:val="24"/>
          <w:lang w:eastAsia="zh-CN"/>
        </w:rPr>
        <w:t>供应商</w:t>
      </w:r>
      <w:r>
        <w:rPr>
          <w:rFonts w:hint="eastAsia" w:ascii="Calibri" w:hAnsi="Calibri"/>
          <w:sz w:val="24"/>
          <w:szCs w:val="24"/>
        </w:rPr>
        <w:t>必须在投标文件中按规格型号(注明开放式还是封闭式)在</w:t>
      </w:r>
      <w:bookmarkStart w:id="82" w:name="OLE_LINK17"/>
      <w:bookmarkStart w:id="83" w:name="OLE_LINK18"/>
      <w:r>
        <w:rPr>
          <w:rFonts w:hint="eastAsia" w:ascii="Calibri" w:hAnsi="Calibri"/>
          <w:sz w:val="24"/>
          <w:szCs w:val="24"/>
        </w:rPr>
        <w:t>《试剂，耗材，易耗配件报价表》</w:t>
      </w:r>
      <w:bookmarkEnd w:id="82"/>
      <w:bookmarkEnd w:id="83"/>
      <w:r>
        <w:rPr>
          <w:rFonts w:hint="eastAsia" w:ascii="Calibri" w:hAnsi="Calibri"/>
          <w:sz w:val="24"/>
          <w:szCs w:val="24"/>
        </w:rPr>
        <w:t>逐一报价，该价格供采购人参考但不计入投标价中。如试剂，耗材，易耗配件属于医疗器械的，则必须在投标文件中附有效的医疗器械注册证的复印件。</w:t>
      </w:r>
    </w:p>
    <w:p w14:paraId="4D6AA065">
      <w:pPr>
        <w:spacing w:line="480" w:lineRule="auto"/>
        <w:ind w:firstLine="480" w:firstLineChars="200"/>
        <w:rPr>
          <w:rFonts w:ascii="Calibri" w:hAnsi="Calibri"/>
          <w:sz w:val="24"/>
          <w:szCs w:val="24"/>
        </w:rPr>
      </w:pPr>
      <w:r>
        <w:rPr>
          <w:rFonts w:hint="eastAsia" w:ascii="Calibri" w:hAnsi="Calibri"/>
          <w:sz w:val="24"/>
          <w:szCs w:val="24"/>
        </w:rPr>
        <w:t>3.2</w:t>
      </w:r>
      <w:r>
        <w:rPr>
          <w:rFonts w:hint="eastAsia" w:ascii="Calibri" w:hAnsi="Calibri"/>
          <w:sz w:val="24"/>
          <w:szCs w:val="24"/>
          <w:lang w:eastAsia="zh-CN"/>
        </w:rPr>
        <w:t>供应商</w:t>
      </w:r>
      <w:r>
        <w:rPr>
          <w:rFonts w:hint="eastAsia" w:ascii="Calibri" w:hAnsi="Calibri"/>
          <w:sz w:val="24"/>
          <w:szCs w:val="24"/>
        </w:rPr>
        <w:t>须承诺:如采购人向其采购试剂、耗材、易耗配件，则供货价格不高于投标文件《试剂、耗材、易耗配件报价表》中的价格;且此价格不高于其他山西省同级别医院的供应价格，投标文件中必须附承诺书。</w:t>
      </w:r>
    </w:p>
    <w:p w14:paraId="2BEA855F">
      <w:pPr>
        <w:spacing w:line="480" w:lineRule="auto"/>
        <w:ind w:firstLine="480" w:firstLineChars="200"/>
        <w:rPr>
          <w:rFonts w:ascii="Calibri" w:hAnsi="Calibri"/>
          <w:sz w:val="24"/>
          <w:szCs w:val="24"/>
        </w:rPr>
      </w:pPr>
      <w:r>
        <w:rPr>
          <w:rFonts w:hint="eastAsia" w:ascii="Calibri" w:hAnsi="Calibri"/>
          <w:sz w:val="24"/>
          <w:szCs w:val="24"/>
        </w:rPr>
        <w:t>3.3供应商须承诺:同项目、同类型试剂及耗材不得高于《山西阳光服务采购平台信息服务平台》现有供货价格，投标文件中必须附承诺书。</w:t>
      </w:r>
    </w:p>
    <w:p w14:paraId="26A41F20">
      <w:pPr>
        <w:spacing w:line="360" w:lineRule="auto"/>
        <w:ind w:firstLine="562" w:firstLineChars="200"/>
        <w:outlineLvl w:val="0"/>
        <w:rPr>
          <w:rFonts w:ascii="Calibri" w:hAnsi="Calibri"/>
          <w:b/>
          <w:bCs/>
          <w:sz w:val="28"/>
          <w:szCs w:val="28"/>
        </w:rPr>
      </w:pPr>
      <w:r>
        <w:rPr>
          <w:rFonts w:hint="eastAsia" w:ascii="Calibri" w:hAnsi="Calibri"/>
          <w:b/>
          <w:bCs/>
          <w:sz w:val="28"/>
          <w:szCs w:val="28"/>
        </w:rPr>
        <w:br w:type="page"/>
      </w:r>
      <w:bookmarkStart w:id="84" w:name="_Toc23996"/>
      <w:r>
        <w:rPr>
          <w:rFonts w:hint="eastAsia" w:ascii="Calibri" w:hAnsi="Calibri"/>
          <w:b/>
          <w:bCs/>
          <w:sz w:val="28"/>
          <w:szCs w:val="28"/>
        </w:rPr>
        <w:t>二、技术要求：</w:t>
      </w:r>
      <w:bookmarkEnd w:id="84"/>
    </w:p>
    <w:p w14:paraId="7BAF6FCF">
      <w:pPr>
        <w:spacing w:line="360" w:lineRule="auto"/>
        <w:jc w:val="center"/>
        <w:rPr>
          <w:b/>
          <w:bCs/>
          <w:sz w:val="28"/>
          <w:szCs w:val="28"/>
        </w:rPr>
      </w:pPr>
      <w:r>
        <w:rPr>
          <w:rFonts w:hint="eastAsia"/>
          <w:b/>
          <w:bCs/>
          <w:sz w:val="28"/>
          <w:szCs w:val="28"/>
        </w:rPr>
        <w:t>全自动生化免疫流水线</w:t>
      </w:r>
    </w:p>
    <w:p w14:paraId="3AB150E0">
      <w:pPr>
        <w:spacing w:line="480" w:lineRule="auto"/>
        <w:ind w:firstLine="480" w:firstLineChars="200"/>
        <w:rPr>
          <w:rFonts w:ascii="Calibri" w:hAnsi="Calibri"/>
          <w:sz w:val="24"/>
          <w:szCs w:val="24"/>
        </w:rPr>
      </w:pPr>
      <w:r>
        <w:rPr>
          <w:rFonts w:hint="eastAsia" w:ascii="Calibri" w:hAnsi="Calibri"/>
          <w:sz w:val="24"/>
          <w:szCs w:val="24"/>
        </w:rPr>
        <w:t>用于检测人体各脏器、组织、细胞在功能性或器质性病理改变过程中相应物质的浓度，在对疾病的诊断、鉴别诊断、预后评估、疾病的预防评估、药物浓度及用药后药物疗效等。</w:t>
      </w:r>
    </w:p>
    <w:p w14:paraId="3C900106">
      <w:pPr>
        <w:numPr>
          <w:ilvl w:val="0"/>
          <w:numId w:val="5"/>
        </w:numPr>
        <w:spacing w:line="480" w:lineRule="auto"/>
        <w:ind w:firstLine="480" w:firstLineChars="200"/>
        <w:rPr>
          <w:rFonts w:ascii="Calibri" w:hAnsi="Calibri"/>
          <w:sz w:val="24"/>
          <w:szCs w:val="24"/>
        </w:rPr>
      </w:pPr>
      <w:r>
        <w:rPr>
          <w:rFonts w:hint="eastAsia" w:ascii="Calibri" w:hAnsi="Calibri"/>
          <w:sz w:val="24"/>
          <w:szCs w:val="24"/>
        </w:rPr>
        <w:t>系统总体要求：</w:t>
      </w:r>
    </w:p>
    <w:p w14:paraId="4B8BF70D">
      <w:pPr>
        <w:spacing w:line="480" w:lineRule="auto"/>
        <w:ind w:firstLine="480" w:firstLineChars="200"/>
        <w:rPr>
          <w:rFonts w:ascii="Calibri" w:hAnsi="Calibri"/>
          <w:sz w:val="24"/>
          <w:szCs w:val="24"/>
        </w:rPr>
      </w:pPr>
      <w:r>
        <w:rPr>
          <w:rFonts w:hint="eastAsia" w:ascii="Calibri" w:hAnsi="Calibri"/>
          <w:sz w:val="24"/>
          <w:szCs w:val="24"/>
        </w:rPr>
        <w:t>1.1全自动生化免疫流水线系统须包括进出样模块，离心模块、生化和化学发光免疫分析仪及其连接端口、加盖去盖模块、低温储存模块（储存模块≥8000管）、轨道传输模块以及数据信息管理系统。所有功能模块均由轨道连接实现全程自动化，并由数                   据信息管理系统进行统一管理和操作。</w:t>
      </w:r>
    </w:p>
    <w:p w14:paraId="45F81B1D">
      <w:pPr>
        <w:spacing w:line="480" w:lineRule="auto"/>
        <w:ind w:firstLine="480" w:firstLineChars="200"/>
        <w:rPr>
          <w:rFonts w:ascii="Calibri" w:hAnsi="Calibri"/>
          <w:sz w:val="24"/>
          <w:szCs w:val="24"/>
        </w:rPr>
      </w:pPr>
      <w:r>
        <w:rPr>
          <w:rFonts w:hint="eastAsia" w:ascii="Calibri" w:hAnsi="Calibri"/>
          <w:sz w:val="24"/>
          <w:szCs w:val="24"/>
        </w:rPr>
        <w:t>1.2流水线轨道须采用电力驱动，为科室节省空间、降低噪音和能耗。</w:t>
      </w:r>
    </w:p>
    <w:p w14:paraId="0341AE8A">
      <w:pPr>
        <w:spacing w:line="480" w:lineRule="auto"/>
        <w:ind w:firstLine="480" w:firstLineChars="200"/>
        <w:rPr>
          <w:rFonts w:ascii="Calibri" w:hAnsi="Calibri"/>
          <w:sz w:val="24"/>
          <w:szCs w:val="24"/>
        </w:rPr>
      </w:pPr>
      <w:r>
        <w:rPr>
          <w:rFonts w:hint="eastAsia" w:ascii="Calibri" w:hAnsi="Calibri"/>
          <w:sz w:val="24"/>
          <w:szCs w:val="24"/>
        </w:rPr>
        <w:t>2.进出样模块：</w:t>
      </w:r>
    </w:p>
    <w:p w14:paraId="27733554">
      <w:pPr>
        <w:spacing w:line="480" w:lineRule="auto"/>
        <w:ind w:firstLine="480" w:firstLineChars="200"/>
        <w:rPr>
          <w:rFonts w:ascii="Calibri" w:hAnsi="Calibri"/>
          <w:color w:val="000000"/>
          <w:sz w:val="24"/>
          <w:szCs w:val="24"/>
        </w:rPr>
      </w:pPr>
      <w:r>
        <w:rPr>
          <w:rFonts w:hint="eastAsia" w:ascii="Calibri" w:hAnsi="Calibri"/>
          <w:color w:val="000000"/>
          <w:sz w:val="24"/>
          <w:szCs w:val="24"/>
        </w:rPr>
        <w:t>2.1进出样模块的样本容量≥360管。</w:t>
      </w:r>
    </w:p>
    <w:p w14:paraId="2581B547">
      <w:pPr>
        <w:spacing w:line="480" w:lineRule="auto"/>
        <w:ind w:firstLine="480" w:firstLineChars="200"/>
        <w:rPr>
          <w:rFonts w:ascii="Calibri" w:hAnsi="Calibri"/>
          <w:color w:val="000000"/>
          <w:sz w:val="24"/>
          <w:szCs w:val="24"/>
        </w:rPr>
      </w:pPr>
      <w:r>
        <w:rPr>
          <w:rFonts w:hint="eastAsia" w:ascii="Calibri" w:hAnsi="Calibri"/>
          <w:color w:val="000000"/>
          <w:sz w:val="24"/>
          <w:szCs w:val="24"/>
        </w:rPr>
        <w:t>2.2进出样模块处理速度≥750管/小时。</w:t>
      </w:r>
    </w:p>
    <w:p w14:paraId="3838518C">
      <w:pPr>
        <w:spacing w:line="480" w:lineRule="auto"/>
        <w:ind w:firstLine="480" w:firstLineChars="200"/>
        <w:rPr>
          <w:rFonts w:ascii="Calibri" w:hAnsi="Calibri"/>
          <w:sz w:val="24"/>
          <w:szCs w:val="24"/>
        </w:rPr>
      </w:pPr>
      <w:r>
        <w:rPr>
          <w:rFonts w:hint="eastAsia" w:ascii="Calibri" w:hAnsi="Calibri"/>
          <w:sz w:val="24"/>
          <w:szCs w:val="24"/>
        </w:rPr>
        <w:t>2.3支持2ml和0.5ml等微量样本容器装载流水线进行样本检测。</w:t>
      </w:r>
    </w:p>
    <w:p w14:paraId="76B5E92C">
      <w:pPr>
        <w:spacing w:line="480" w:lineRule="auto"/>
        <w:ind w:firstLine="480" w:firstLineChars="200"/>
        <w:rPr>
          <w:rFonts w:ascii="Calibri" w:hAnsi="Calibri"/>
          <w:sz w:val="24"/>
          <w:szCs w:val="24"/>
        </w:rPr>
      </w:pPr>
      <w:r>
        <w:rPr>
          <w:rFonts w:hint="eastAsia" w:ascii="Calibri" w:hAnsi="Calibri"/>
          <w:sz w:val="24"/>
          <w:szCs w:val="24"/>
        </w:rPr>
        <w:t>3.离心模块</w:t>
      </w:r>
    </w:p>
    <w:p w14:paraId="68743C57">
      <w:pPr>
        <w:spacing w:line="480" w:lineRule="auto"/>
        <w:ind w:firstLine="480" w:firstLineChars="200"/>
        <w:rPr>
          <w:rFonts w:ascii="Calibri" w:hAnsi="Calibri"/>
          <w:sz w:val="24"/>
          <w:szCs w:val="24"/>
        </w:rPr>
      </w:pPr>
      <w:r>
        <w:rPr>
          <w:rFonts w:hint="eastAsia" w:ascii="Calibri" w:hAnsi="Calibri"/>
          <w:sz w:val="24"/>
          <w:szCs w:val="24"/>
        </w:rPr>
        <w:t>3.1离心模块速度≥400管/小时。</w:t>
      </w:r>
    </w:p>
    <w:p w14:paraId="49458623">
      <w:pPr>
        <w:spacing w:line="480" w:lineRule="auto"/>
        <w:ind w:firstLine="480" w:firstLineChars="200"/>
        <w:rPr>
          <w:rFonts w:ascii="Calibri" w:hAnsi="Calibri"/>
          <w:sz w:val="24"/>
          <w:szCs w:val="24"/>
        </w:rPr>
      </w:pPr>
      <w:r>
        <w:rPr>
          <w:rFonts w:hint="eastAsia" w:ascii="Calibri" w:hAnsi="Calibri"/>
          <w:sz w:val="24"/>
          <w:szCs w:val="24"/>
        </w:rPr>
        <w:t>3.2离心模块具有低温温控功能，温度范围：5~25℃。</w:t>
      </w:r>
    </w:p>
    <w:p w14:paraId="13D1345B">
      <w:pPr>
        <w:spacing w:line="480" w:lineRule="auto"/>
        <w:ind w:firstLine="480" w:firstLineChars="200"/>
        <w:rPr>
          <w:rFonts w:ascii="Calibri" w:hAnsi="Calibri"/>
          <w:sz w:val="24"/>
          <w:szCs w:val="24"/>
        </w:rPr>
      </w:pPr>
      <w:r>
        <w:rPr>
          <w:rFonts w:hint="eastAsia" w:ascii="Calibri" w:hAnsi="Calibri"/>
          <w:sz w:val="24"/>
          <w:szCs w:val="24"/>
        </w:rPr>
        <w:t xml:space="preserve">3.3单台离心模块单批次最大装载量≥80管。 </w:t>
      </w:r>
    </w:p>
    <w:p w14:paraId="74503A46">
      <w:pPr>
        <w:spacing w:line="480" w:lineRule="auto"/>
        <w:ind w:firstLine="480" w:firstLineChars="200"/>
        <w:rPr>
          <w:rFonts w:ascii="Calibri" w:hAnsi="Calibri"/>
          <w:color w:val="000000"/>
          <w:sz w:val="24"/>
          <w:szCs w:val="24"/>
        </w:rPr>
      </w:pPr>
      <w:r>
        <w:rPr>
          <w:rFonts w:hint="eastAsia" w:ascii="Calibri" w:hAnsi="Calibri"/>
          <w:color w:val="000000"/>
          <w:sz w:val="24"/>
          <w:szCs w:val="24"/>
        </w:rPr>
        <w:t>3.4离心机离心转速≥4500rpm。</w:t>
      </w:r>
    </w:p>
    <w:p w14:paraId="3ABB3E3D">
      <w:pPr>
        <w:spacing w:line="480" w:lineRule="auto"/>
        <w:ind w:firstLine="480" w:firstLineChars="200"/>
        <w:rPr>
          <w:rFonts w:ascii="Calibri" w:hAnsi="Calibri"/>
          <w:sz w:val="24"/>
          <w:szCs w:val="24"/>
        </w:rPr>
      </w:pPr>
      <w:r>
        <w:rPr>
          <w:rFonts w:hint="eastAsia" w:ascii="Calibri" w:hAnsi="Calibri"/>
          <w:sz w:val="24"/>
          <w:szCs w:val="24"/>
        </w:rPr>
        <w:t>4.去盖加盖模块</w:t>
      </w:r>
    </w:p>
    <w:p w14:paraId="535FA361">
      <w:pPr>
        <w:spacing w:line="480" w:lineRule="auto"/>
        <w:ind w:firstLine="480" w:firstLineChars="200"/>
        <w:rPr>
          <w:rFonts w:ascii="Calibri" w:hAnsi="Calibri"/>
          <w:sz w:val="24"/>
          <w:szCs w:val="24"/>
        </w:rPr>
      </w:pPr>
      <w:r>
        <w:rPr>
          <w:rFonts w:hint="eastAsia" w:ascii="Calibri" w:hAnsi="Calibri"/>
          <w:sz w:val="24"/>
          <w:szCs w:val="24"/>
        </w:rPr>
        <w:t>4.1去盖速度≥700管/小时，加盖模块速度≥700管/小时。</w:t>
      </w:r>
    </w:p>
    <w:p w14:paraId="36D47C19">
      <w:pPr>
        <w:spacing w:line="480" w:lineRule="auto"/>
        <w:ind w:firstLine="480" w:firstLineChars="200"/>
        <w:rPr>
          <w:rFonts w:ascii="Calibri" w:hAnsi="Calibri"/>
          <w:sz w:val="24"/>
          <w:szCs w:val="24"/>
        </w:rPr>
      </w:pPr>
      <w:r>
        <w:rPr>
          <w:rFonts w:hint="eastAsia" w:ascii="Calibri" w:hAnsi="Calibri"/>
          <w:sz w:val="24"/>
          <w:szCs w:val="24"/>
        </w:rPr>
        <w:t>4.2加盖模块封闭样本管时可用通用型管帽，不得锁定封闭管帽的类型和数量。</w:t>
      </w:r>
    </w:p>
    <w:p w14:paraId="34CAC4A0">
      <w:pPr>
        <w:spacing w:line="480" w:lineRule="auto"/>
        <w:ind w:firstLine="480" w:firstLineChars="200"/>
        <w:rPr>
          <w:rFonts w:ascii="Calibri" w:hAnsi="Calibri"/>
          <w:sz w:val="24"/>
          <w:szCs w:val="24"/>
        </w:rPr>
      </w:pPr>
      <w:r>
        <w:rPr>
          <w:rFonts w:hint="eastAsia" w:ascii="Calibri" w:hAnsi="Calibri"/>
          <w:sz w:val="24"/>
          <w:szCs w:val="24"/>
        </w:rPr>
        <w:t>5.轨道传输系统</w:t>
      </w:r>
    </w:p>
    <w:p w14:paraId="7422315A">
      <w:pPr>
        <w:spacing w:line="480" w:lineRule="auto"/>
        <w:ind w:firstLine="480" w:firstLineChars="200"/>
        <w:rPr>
          <w:rFonts w:ascii="Calibri" w:hAnsi="Calibri"/>
          <w:sz w:val="24"/>
          <w:szCs w:val="24"/>
        </w:rPr>
      </w:pPr>
      <w:r>
        <w:rPr>
          <w:rFonts w:hint="eastAsia" w:ascii="Calibri" w:hAnsi="Calibri"/>
          <w:sz w:val="24"/>
          <w:szCs w:val="24"/>
        </w:rPr>
        <w:t>5.1样品管在主轨道和分析仪取样轨道内可进行单管或架式传输。</w:t>
      </w:r>
    </w:p>
    <w:p w14:paraId="19AF7D7D">
      <w:pPr>
        <w:spacing w:line="480" w:lineRule="auto"/>
        <w:ind w:firstLine="480" w:firstLineChars="200"/>
        <w:rPr>
          <w:rFonts w:ascii="Calibri" w:hAnsi="Calibri"/>
          <w:sz w:val="24"/>
          <w:szCs w:val="24"/>
        </w:rPr>
      </w:pPr>
      <w:r>
        <w:rPr>
          <w:rFonts w:hint="eastAsia" w:ascii="Calibri" w:hAnsi="Calibri"/>
          <w:sz w:val="24"/>
          <w:szCs w:val="24"/>
        </w:rPr>
        <w:t>5.2轨道采用RFID或条码技术对样本进行定位追踪。</w:t>
      </w:r>
    </w:p>
    <w:p w14:paraId="5874032E">
      <w:pPr>
        <w:spacing w:line="480" w:lineRule="auto"/>
        <w:ind w:firstLine="480" w:firstLineChars="200"/>
        <w:rPr>
          <w:rFonts w:ascii="Calibri" w:hAnsi="Calibri"/>
          <w:sz w:val="24"/>
          <w:szCs w:val="24"/>
        </w:rPr>
      </w:pPr>
      <w:r>
        <w:rPr>
          <w:rFonts w:hint="eastAsia" w:ascii="Calibri" w:hAnsi="Calibri"/>
          <w:sz w:val="24"/>
          <w:szCs w:val="24"/>
        </w:rPr>
        <w:t>6.数据管理系统</w:t>
      </w:r>
    </w:p>
    <w:p w14:paraId="04A79322">
      <w:pPr>
        <w:spacing w:line="480" w:lineRule="auto"/>
        <w:ind w:firstLine="480" w:firstLineChars="200"/>
        <w:rPr>
          <w:rFonts w:ascii="Calibri" w:hAnsi="Calibri"/>
          <w:sz w:val="24"/>
          <w:szCs w:val="24"/>
        </w:rPr>
      </w:pPr>
      <w:r>
        <w:rPr>
          <w:rFonts w:hint="eastAsia" w:ascii="Calibri" w:hAnsi="Calibri"/>
          <w:sz w:val="24"/>
          <w:szCs w:val="24"/>
        </w:rPr>
        <w:t>6.1开放数据接口并能与本院LIS和HIS系统连接。</w:t>
      </w:r>
    </w:p>
    <w:p w14:paraId="4A3A053C">
      <w:pPr>
        <w:spacing w:line="480" w:lineRule="auto"/>
        <w:ind w:firstLine="480" w:firstLineChars="200"/>
        <w:rPr>
          <w:rFonts w:ascii="Calibri" w:hAnsi="Calibri"/>
          <w:sz w:val="24"/>
          <w:szCs w:val="24"/>
        </w:rPr>
      </w:pPr>
      <w:r>
        <w:rPr>
          <w:rFonts w:hint="eastAsia" w:ascii="Calibri" w:hAnsi="Calibri"/>
          <w:sz w:val="24"/>
          <w:szCs w:val="24"/>
        </w:rPr>
        <w:t>6.2具有集中控制并管理在线仪器，可实时监控检测标本状态、标本位置、仪器运行状态及试剂信息。</w:t>
      </w:r>
    </w:p>
    <w:p w14:paraId="0288A7E5">
      <w:pPr>
        <w:spacing w:line="480" w:lineRule="auto"/>
        <w:ind w:firstLine="480" w:firstLineChars="200"/>
        <w:rPr>
          <w:rFonts w:ascii="Calibri" w:hAnsi="Calibri"/>
          <w:sz w:val="24"/>
          <w:szCs w:val="24"/>
        </w:rPr>
      </w:pPr>
      <w:r>
        <w:rPr>
          <w:rFonts w:hint="eastAsia" w:ascii="Calibri" w:hAnsi="Calibri"/>
          <w:sz w:val="24"/>
          <w:szCs w:val="24"/>
        </w:rPr>
        <w:t>6.3具有样本TAT时间实时监控功能，包括急诊、门诊样本的TAT管控，并能及时提醒TAT超时样本及其状态。</w:t>
      </w:r>
    </w:p>
    <w:p w14:paraId="07A9653B">
      <w:pPr>
        <w:spacing w:line="480" w:lineRule="auto"/>
        <w:ind w:firstLine="480" w:firstLineChars="200"/>
        <w:rPr>
          <w:rFonts w:ascii="Calibri" w:hAnsi="Calibri"/>
          <w:sz w:val="24"/>
          <w:szCs w:val="24"/>
        </w:rPr>
      </w:pPr>
      <w:r>
        <w:rPr>
          <w:rFonts w:hint="eastAsia" w:ascii="Calibri" w:hAnsi="Calibri"/>
          <w:sz w:val="24"/>
          <w:szCs w:val="24"/>
        </w:rPr>
        <w:t>7.分析仪连接流水线端口</w:t>
      </w:r>
    </w:p>
    <w:p w14:paraId="3EBAFFC8">
      <w:pPr>
        <w:spacing w:line="480" w:lineRule="auto"/>
        <w:ind w:firstLine="480" w:firstLineChars="200"/>
        <w:rPr>
          <w:rFonts w:ascii="Calibri" w:hAnsi="Calibri"/>
          <w:sz w:val="24"/>
          <w:szCs w:val="24"/>
        </w:rPr>
      </w:pPr>
      <w:r>
        <w:rPr>
          <w:rFonts w:hint="eastAsia" w:ascii="Calibri" w:hAnsi="Calibri"/>
          <w:sz w:val="24"/>
          <w:szCs w:val="24"/>
        </w:rPr>
        <w:t>7.1生化分析仪可拓展连接生化分析仪模块，化学发光免疫分析仪可拓展连接化学发光模块。</w:t>
      </w:r>
    </w:p>
    <w:p w14:paraId="2A358306">
      <w:pPr>
        <w:spacing w:line="480" w:lineRule="auto"/>
        <w:ind w:firstLine="480" w:firstLineChars="200"/>
        <w:rPr>
          <w:rFonts w:ascii="Calibri" w:hAnsi="Calibri"/>
          <w:sz w:val="24"/>
          <w:szCs w:val="24"/>
        </w:rPr>
      </w:pPr>
      <w:r>
        <w:rPr>
          <w:rFonts w:hint="eastAsia" w:ascii="Calibri" w:hAnsi="Calibri"/>
          <w:sz w:val="24"/>
          <w:szCs w:val="24"/>
        </w:rPr>
        <w:t>7.2样本处理系统可连接两个以上品牌的生化分析仪和化学发光免疫分析仪。</w:t>
      </w:r>
    </w:p>
    <w:p w14:paraId="12724E89">
      <w:pPr>
        <w:spacing w:line="480" w:lineRule="auto"/>
        <w:ind w:firstLine="480" w:firstLineChars="200"/>
        <w:rPr>
          <w:rFonts w:ascii="Calibri" w:hAnsi="Calibri"/>
          <w:sz w:val="24"/>
          <w:szCs w:val="24"/>
        </w:rPr>
      </w:pPr>
      <w:r>
        <w:rPr>
          <w:rFonts w:hint="eastAsia" w:ascii="Calibri" w:hAnsi="Calibri"/>
          <w:sz w:val="24"/>
          <w:szCs w:val="24"/>
        </w:rPr>
        <w:t>7.3样本全程单管或架式运行。</w:t>
      </w:r>
    </w:p>
    <w:p w14:paraId="3EED8063">
      <w:pPr>
        <w:spacing w:line="480" w:lineRule="auto"/>
        <w:ind w:firstLine="480" w:firstLineChars="200"/>
        <w:rPr>
          <w:rFonts w:ascii="Calibri" w:hAnsi="Calibri"/>
          <w:sz w:val="24"/>
          <w:szCs w:val="24"/>
        </w:rPr>
      </w:pPr>
      <w:r>
        <w:rPr>
          <w:rFonts w:hint="eastAsia" w:ascii="Calibri" w:hAnsi="Calibri"/>
          <w:sz w:val="24"/>
          <w:szCs w:val="24"/>
        </w:rPr>
        <w:t>8.全自动生化分析仪</w:t>
      </w:r>
    </w:p>
    <w:p w14:paraId="56538E4E">
      <w:pPr>
        <w:spacing w:line="480" w:lineRule="auto"/>
        <w:ind w:firstLine="480" w:firstLineChars="200"/>
        <w:rPr>
          <w:rFonts w:ascii="Calibri" w:hAnsi="Calibri"/>
          <w:sz w:val="24"/>
          <w:szCs w:val="24"/>
        </w:rPr>
      </w:pPr>
      <w:r>
        <w:rPr>
          <w:rFonts w:hint="eastAsia" w:ascii="Calibri" w:hAnsi="Calibri"/>
          <w:sz w:val="24"/>
          <w:szCs w:val="24"/>
        </w:rPr>
        <w:t>★8.1单机或最小检测单元的光学速度≥2000测试/小时；单机检测模块离子（ISE电解质）速度≥900测试/小时；配置全自动生化分析仪1台。</w:t>
      </w:r>
      <w:r>
        <w:rPr>
          <w:rFonts w:hint="eastAsia" w:ascii="Calibri" w:hAnsi="Calibri"/>
          <w:color w:val="000000"/>
          <w:sz w:val="24"/>
          <w:szCs w:val="24"/>
        </w:rPr>
        <w:t>有自我备机功能，具备仪器样本处理及轨道系统发生故障时，可独立装载分析样本。</w:t>
      </w:r>
    </w:p>
    <w:p w14:paraId="61D47F99">
      <w:pPr>
        <w:spacing w:line="480" w:lineRule="auto"/>
        <w:ind w:firstLine="480" w:firstLineChars="200"/>
        <w:rPr>
          <w:rFonts w:ascii="Calibri" w:hAnsi="Calibri"/>
          <w:sz w:val="24"/>
          <w:szCs w:val="24"/>
        </w:rPr>
      </w:pPr>
      <w:r>
        <w:rPr>
          <w:rFonts w:hint="eastAsia" w:ascii="Calibri" w:hAnsi="Calibri"/>
          <w:sz w:val="24"/>
          <w:szCs w:val="24"/>
        </w:rPr>
        <w:t>8.2具备电解质模块。</w:t>
      </w:r>
    </w:p>
    <w:p w14:paraId="65377BEC">
      <w:pPr>
        <w:spacing w:line="480" w:lineRule="auto"/>
        <w:ind w:firstLine="480" w:firstLineChars="200"/>
        <w:rPr>
          <w:rFonts w:ascii="Calibri" w:hAnsi="Calibri"/>
          <w:sz w:val="24"/>
          <w:szCs w:val="24"/>
        </w:rPr>
      </w:pPr>
      <w:r>
        <w:rPr>
          <w:rFonts w:hint="eastAsia" w:ascii="Calibri" w:hAnsi="Calibri"/>
          <w:sz w:val="24"/>
          <w:szCs w:val="24"/>
        </w:rPr>
        <w:t>8.3比色杯采用硬质石英玻璃或UV反应杯。</w:t>
      </w:r>
    </w:p>
    <w:p w14:paraId="4CF9177E">
      <w:pPr>
        <w:spacing w:line="480" w:lineRule="auto"/>
        <w:ind w:firstLine="480" w:firstLineChars="200"/>
        <w:rPr>
          <w:rFonts w:ascii="Calibri" w:hAnsi="Calibri"/>
          <w:sz w:val="24"/>
          <w:szCs w:val="24"/>
        </w:rPr>
      </w:pPr>
      <w:r>
        <w:rPr>
          <w:rFonts w:hint="eastAsia" w:ascii="Calibri" w:hAnsi="Calibri"/>
          <w:sz w:val="24"/>
          <w:szCs w:val="24"/>
        </w:rPr>
        <w:t>★8.4反应盘控温方式：采用水浴或其他液体浴，保证温度控制精准在37±0.1℃范围。</w:t>
      </w:r>
    </w:p>
    <w:p w14:paraId="53BC430E">
      <w:pPr>
        <w:spacing w:line="480" w:lineRule="auto"/>
        <w:ind w:firstLine="480" w:firstLineChars="200"/>
        <w:rPr>
          <w:rFonts w:ascii="Calibri" w:hAnsi="Calibri"/>
          <w:sz w:val="24"/>
          <w:szCs w:val="24"/>
        </w:rPr>
      </w:pPr>
      <w:r>
        <w:rPr>
          <w:rFonts w:hint="eastAsia" w:ascii="Calibri" w:hAnsi="Calibri"/>
          <w:sz w:val="24"/>
          <w:szCs w:val="24"/>
        </w:rPr>
        <w:t>8.5试剂位≥70个，试剂全开放模式，不得有任何限制条件。</w:t>
      </w:r>
    </w:p>
    <w:p w14:paraId="3692DD60">
      <w:pPr>
        <w:spacing w:line="480" w:lineRule="auto"/>
        <w:ind w:firstLine="480" w:firstLineChars="200"/>
        <w:rPr>
          <w:rFonts w:ascii="Calibri" w:hAnsi="Calibri"/>
          <w:sz w:val="24"/>
          <w:szCs w:val="24"/>
        </w:rPr>
      </w:pPr>
      <w:r>
        <w:rPr>
          <w:rFonts w:hint="eastAsia" w:ascii="Calibri" w:hAnsi="Calibri"/>
          <w:sz w:val="24"/>
          <w:szCs w:val="24"/>
        </w:rPr>
        <w:t>8.6单测试最小反应总体积：80~ 250μ</w:t>
      </w:r>
      <w:r>
        <w:rPr>
          <w:rFonts w:ascii="Calibri" w:hAnsi="Calibri"/>
          <w:sz w:val="24"/>
          <w:szCs w:val="24"/>
        </w:rPr>
        <w:t>l</w:t>
      </w:r>
      <w:r>
        <w:rPr>
          <w:rFonts w:hint="eastAsia" w:ascii="Calibri" w:hAnsi="Calibri"/>
          <w:sz w:val="24"/>
          <w:szCs w:val="24"/>
        </w:rPr>
        <w:t>。样本量1.2~35μl，0.1μl步进。试剂量：20~180μl，1μl步进。</w:t>
      </w:r>
    </w:p>
    <w:p w14:paraId="4D3FB966">
      <w:pPr>
        <w:spacing w:line="480" w:lineRule="auto"/>
        <w:ind w:firstLine="480" w:firstLineChars="200"/>
        <w:rPr>
          <w:rFonts w:ascii="Calibri" w:hAnsi="Calibri"/>
          <w:sz w:val="24"/>
          <w:szCs w:val="24"/>
        </w:rPr>
      </w:pPr>
      <w:r>
        <w:rPr>
          <w:rFonts w:hint="eastAsia" w:ascii="Calibri" w:hAnsi="Calibri"/>
          <w:sz w:val="24"/>
          <w:szCs w:val="24"/>
        </w:rPr>
        <w:t>8.7光学系统：340nm~800nm，反应波长≥12个。</w:t>
      </w:r>
    </w:p>
    <w:p w14:paraId="792E5D3B">
      <w:pPr>
        <w:spacing w:line="480" w:lineRule="auto"/>
        <w:ind w:firstLine="480" w:firstLineChars="200"/>
        <w:rPr>
          <w:rFonts w:ascii="Calibri" w:hAnsi="Calibri"/>
          <w:sz w:val="24"/>
          <w:szCs w:val="24"/>
        </w:rPr>
      </w:pPr>
      <w:r>
        <w:rPr>
          <w:rFonts w:hint="eastAsia" w:ascii="Calibri" w:hAnsi="Calibri"/>
          <w:sz w:val="24"/>
          <w:szCs w:val="24"/>
        </w:rPr>
        <w:t>8.8生化样本针有堵塞检测功能，随时监控和解析吸样时样品针内压力变化，自动检测出吸样时的异常情况并及时发出预警，避免样本针部分堵塞时导致的结果误判。</w:t>
      </w:r>
    </w:p>
    <w:p w14:paraId="0F721754">
      <w:pPr>
        <w:spacing w:line="480" w:lineRule="auto"/>
        <w:ind w:firstLine="480" w:firstLineChars="200"/>
        <w:rPr>
          <w:rFonts w:ascii="Calibri" w:hAnsi="Calibri"/>
          <w:sz w:val="24"/>
          <w:szCs w:val="24"/>
        </w:rPr>
      </w:pPr>
      <w:r>
        <w:rPr>
          <w:rFonts w:hint="eastAsia" w:ascii="Calibri" w:hAnsi="Calibri"/>
          <w:sz w:val="24"/>
          <w:szCs w:val="24"/>
        </w:rPr>
        <w:t>9.全自动化学发光免疫分析仪</w:t>
      </w:r>
    </w:p>
    <w:p w14:paraId="05D0AEC8">
      <w:pPr>
        <w:spacing w:line="480" w:lineRule="auto"/>
        <w:ind w:firstLine="480" w:firstLineChars="200"/>
        <w:rPr>
          <w:rFonts w:ascii="Calibri" w:hAnsi="Calibri"/>
          <w:sz w:val="24"/>
          <w:szCs w:val="24"/>
        </w:rPr>
      </w:pPr>
      <w:r>
        <w:rPr>
          <w:rFonts w:hint="eastAsia" w:ascii="Calibri" w:hAnsi="Calibri"/>
          <w:sz w:val="24"/>
          <w:szCs w:val="24"/>
        </w:rPr>
        <w:t>9.1单机或最小检测单元的最大测试速度≥300测试/小时；配置全自动化学发光免疫分析仪1台。</w:t>
      </w:r>
    </w:p>
    <w:p w14:paraId="6B91C49E">
      <w:pPr>
        <w:spacing w:line="480" w:lineRule="auto"/>
        <w:ind w:firstLine="480" w:firstLineChars="200"/>
        <w:rPr>
          <w:rFonts w:ascii="Calibri" w:hAnsi="Calibri"/>
          <w:sz w:val="24"/>
          <w:szCs w:val="24"/>
        </w:rPr>
      </w:pPr>
      <w:r>
        <w:rPr>
          <w:rFonts w:hint="eastAsia" w:ascii="Calibri" w:hAnsi="Calibri"/>
          <w:sz w:val="24"/>
          <w:szCs w:val="24"/>
        </w:rPr>
        <w:t>9.2单机或单模块的试剂位≥45个，且试剂仓须有冷藏功能。</w:t>
      </w:r>
    </w:p>
    <w:p w14:paraId="344F8A43">
      <w:pPr>
        <w:spacing w:line="480" w:lineRule="auto"/>
        <w:ind w:firstLine="480" w:firstLineChars="200"/>
        <w:rPr>
          <w:rFonts w:ascii="Calibri" w:hAnsi="Calibri"/>
          <w:sz w:val="24"/>
          <w:szCs w:val="24"/>
        </w:rPr>
      </w:pPr>
      <w:r>
        <w:rPr>
          <w:rFonts w:hint="eastAsia" w:ascii="Calibri" w:hAnsi="Calibri"/>
          <w:sz w:val="24"/>
          <w:szCs w:val="24"/>
        </w:rPr>
        <w:t>9.3样本针：Tip头加样。</w:t>
      </w:r>
    </w:p>
    <w:p w14:paraId="3055E5FF">
      <w:pPr>
        <w:spacing w:line="480" w:lineRule="auto"/>
        <w:ind w:firstLine="480" w:firstLineChars="200"/>
        <w:rPr>
          <w:rFonts w:ascii="Calibri" w:hAnsi="Calibri"/>
          <w:sz w:val="24"/>
          <w:szCs w:val="24"/>
        </w:rPr>
      </w:pPr>
      <w:r>
        <w:rPr>
          <w:rFonts w:hint="eastAsia" w:ascii="Calibri" w:hAnsi="Calibri"/>
          <w:sz w:val="24"/>
          <w:szCs w:val="24"/>
        </w:rPr>
        <w:t>9.4样本针具备样品凝块检出、堵孔报警和防碰撞功能，具备样本管液面探测技术及气泡探测功能。</w:t>
      </w:r>
    </w:p>
    <w:p w14:paraId="1907E491">
      <w:pPr>
        <w:spacing w:line="480" w:lineRule="auto"/>
        <w:ind w:firstLine="480" w:firstLineChars="200"/>
        <w:rPr>
          <w:rFonts w:ascii="Calibri" w:hAnsi="Calibri"/>
          <w:sz w:val="24"/>
          <w:szCs w:val="24"/>
        </w:rPr>
      </w:pPr>
      <w:r>
        <w:rPr>
          <w:rFonts w:hint="eastAsia" w:ascii="Calibri" w:hAnsi="Calibri"/>
          <w:sz w:val="24"/>
          <w:szCs w:val="24"/>
        </w:rPr>
        <w:t>9.5定标类型：所有项目≥2点定标。</w:t>
      </w:r>
    </w:p>
    <w:p w14:paraId="65C12F21">
      <w:pPr>
        <w:spacing w:line="480" w:lineRule="auto"/>
        <w:ind w:firstLine="480" w:firstLineChars="200"/>
        <w:rPr>
          <w:rFonts w:ascii="Calibri" w:hAnsi="Calibri"/>
          <w:sz w:val="24"/>
          <w:szCs w:val="24"/>
        </w:rPr>
      </w:pPr>
      <w:r>
        <w:rPr>
          <w:rFonts w:hint="eastAsia" w:ascii="Calibri" w:hAnsi="Calibri"/>
          <w:sz w:val="24"/>
          <w:szCs w:val="24"/>
        </w:rPr>
        <w:t xml:space="preserve">9.6试剂针：具有液面探测、随量跟踪、立体防撞、气泡检测等功能。 </w:t>
      </w:r>
    </w:p>
    <w:p w14:paraId="1ADC567B">
      <w:pPr>
        <w:spacing w:line="480" w:lineRule="auto"/>
        <w:ind w:firstLine="480" w:firstLineChars="200"/>
        <w:rPr>
          <w:rFonts w:ascii="Calibri" w:hAnsi="Calibri"/>
          <w:sz w:val="24"/>
          <w:szCs w:val="24"/>
        </w:rPr>
      </w:pPr>
      <w:r>
        <w:rPr>
          <w:rFonts w:hint="eastAsia" w:ascii="Calibri" w:hAnsi="Calibri"/>
          <w:sz w:val="24"/>
          <w:szCs w:val="24"/>
        </w:rPr>
        <w:t>9.7</w:t>
      </w:r>
      <w:r>
        <w:rPr>
          <w:rFonts w:hint="eastAsia" w:ascii="Calibri" w:hAnsi="Calibri"/>
          <w:color w:val="000000"/>
          <w:sz w:val="24"/>
          <w:szCs w:val="24"/>
        </w:rPr>
        <w:t>拥有自我备机功能，具备仪器样本处理及轨道系统发生故障时，可独立装载分析样本。</w:t>
      </w:r>
    </w:p>
    <w:p w14:paraId="1A3C948F">
      <w:pPr>
        <w:spacing w:line="480" w:lineRule="auto"/>
        <w:ind w:firstLine="480" w:firstLineChars="200"/>
        <w:rPr>
          <w:rFonts w:ascii="Calibri" w:hAnsi="Calibri"/>
          <w:sz w:val="24"/>
          <w:szCs w:val="24"/>
        </w:rPr>
      </w:pPr>
      <w:r>
        <w:rPr>
          <w:rFonts w:hint="eastAsia" w:ascii="Calibri" w:hAnsi="Calibri"/>
          <w:sz w:val="24"/>
          <w:szCs w:val="24"/>
        </w:rPr>
        <w:t>9.8试剂瓶规格：提供50人份/瓶或100人份/瓶或300人份/瓶包装规格。</w:t>
      </w:r>
    </w:p>
    <w:p w14:paraId="3D65F712">
      <w:pPr>
        <w:spacing w:line="480" w:lineRule="auto"/>
        <w:ind w:firstLine="480" w:firstLineChars="200"/>
        <w:rPr>
          <w:rFonts w:ascii="Calibri" w:hAnsi="Calibri"/>
          <w:sz w:val="24"/>
          <w:szCs w:val="24"/>
        </w:rPr>
      </w:pPr>
      <w:r>
        <w:rPr>
          <w:rFonts w:hint="eastAsia" w:ascii="Calibri" w:hAnsi="Calibri"/>
          <w:sz w:val="24"/>
          <w:szCs w:val="24"/>
        </w:rPr>
        <w:t>9.9试剂最长在机稳定时间≥8周。</w:t>
      </w:r>
    </w:p>
    <w:p w14:paraId="0AD89FF0">
      <w:pPr>
        <w:spacing w:line="480" w:lineRule="auto"/>
        <w:ind w:firstLine="480" w:firstLineChars="200"/>
        <w:rPr>
          <w:rFonts w:ascii="Calibri" w:hAnsi="Calibri"/>
          <w:sz w:val="24"/>
          <w:szCs w:val="24"/>
        </w:rPr>
      </w:pPr>
      <w:r>
        <w:rPr>
          <w:rFonts w:hint="eastAsia" w:ascii="Calibri" w:hAnsi="Calibri"/>
          <w:sz w:val="24"/>
          <w:szCs w:val="24"/>
        </w:rPr>
        <w:t>9.10甲状腺检测项目种类和性能：除常规甲功检测项目外，可以提供甲状腺功能的TRAb（TSH受体抗体）检测，且TSH满足功能灵敏度≤0.02μIU/ml。</w:t>
      </w:r>
    </w:p>
    <w:p w14:paraId="0EE68DD3">
      <w:pPr>
        <w:spacing w:line="480" w:lineRule="auto"/>
        <w:ind w:firstLine="480" w:firstLineChars="200"/>
        <w:rPr>
          <w:rFonts w:ascii="Calibri" w:hAnsi="Calibri"/>
          <w:sz w:val="24"/>
          <w:szCs w:val="24"/>
        </w:rPr>
        <w:sectPr>
          <w:footerReference r:id="rId7" w:type="default"/>
          <w:pgSz w:w="11906" w:h="16838"/>
          <w:pgMar w:top="1134" w:right="1134" w:bottom="1134" w:left="1134" w:header="851" w:footer="992" w:gutter="0"/>
          <w:cols w:space="720" w:num="1"/>
          <w:docGrid w:type="lines" w:linePitch="312" w:charSpace="0"/>
        </w:sectPr>
      </w:pPr>
      <w:r>
        <w:rPr>
          <w:rFonts w:hint="eastAsia" w:ascii="Calibri" w:hAnsi="Calibri"/>
          <w:sz w:val="24"/>
          <w:szCs w:val="24"/>
        </w:rPr>
        <w:t>9.11可以提供的肿瘤标志物检测项目须包括：CEA、AFP、PSA、fPSA、CA12-5、CA19-9、CA15-3、CA72-4、NSE、CA24-2、PGI、PGII等。</w:t>
      </w:r>
    </w:p>
    <w:p w14:paraId="52AE57D4">
      <w:pPr>
        <w:spacing w:line="360" w:lineRule="auto"/>
        <w:jc w:val="center"/>
        <w:rPr>
          <w:rFonts w:ascii="Calibri" w:hAnsi="Calibri"/>
          <w:b/>
          <w:bCs/>
          <w:sz w:val="28"/>
          <w:szCs w:val="28"/>
        </w:rPr>
      </w:pPr>
      <w:r>
        <w:rPr>
          <w:rFonts w:hint="eastAsia" w:ascii="Calibri" w:hAnsi="Calibri"/>
          <w:b/>
          <w:bCs/>
          <w:sz w:val="28"/>
          <w:szCs w:val="28"/>
        </w:rPr>
        <w:t>全自动尿液分析流水线</w:t>
      </w:r>
    </w:p>
    <w:p w14:paraId="4C2EB861">
      <w:pPr>
        <w:spacing w:line="480" w:lineRule="auto"/>
        <w:ind w:firstLine="480" w:firstLineChars="200"/>
        <w:rPr>
          <w:rFonts w:ascii="Calibri" w:hAnsi="Calibri"/>
          <w:sz w:val="24"/>
          <w:szCs w:val="24"/>
        </w:rPr>
      </w:pPr>
      <w:r>
        <w:rPr>
          <w:rFonts w:hint="eastAsia" w:ascii="Calibri" w:hAnsi="Calibri"/>
          <w:sz w:val="24"/>
          <w:szCs w:val="24"/>
        </w:rPr>
        <w:t>用于测定人体尿液中的某些化学成分的含量、有形成分数量和形态分析，对泌尿系统、内分泌系统、肝胆系统等多系统疾病的有诊断和鉴别诊断作用，也作为常规人体健康情况监测和某些疾病的治疗效果、药物副作用的监测等。</w:t>
      </w:r>
    </w:p>
    <w:p w14:paraId="08532BFE">
      <w:pPr>
        <w:spacing w:line="480" w:lineRule="auto"/>
        <w:ind w:firstLine="480" w:firstLineChars="200"/>
        <w:rPr>
          <w:rFonts w:ascii="Calibri" w:hAnsi="Calibri"/>
          <w:sz w:val="24"/>
          <w:szCs w:val="24"/>
        </w:rPr>
      </w:pPr>
      <w:r>
        <w:rPr>
          <w:rFonts w:hint="eastAsia" w:ascii="Calibri" w:hAnsi="Calibri"/>
          <w:sz w:val="24"/>
          <w:szCs w:val="24"/>
        </w:rPr>
        <w:t>1.基本要求</w:t>
      </w:r>
    </w:p>
    <w:p w14:paraId="7D548C87">
      <w:pPr>
        <w:spacing w:line="480" w:lineRule="auto"/>
        <w:ind w:firstLine="480" w:firstLineChars="200"/>
        <w:rPr>
          <w:rFonts w:ascii="Calibri" w:hAnsi="Calibri"/>
          <w:sz w:val="24"/>
          <w:szCs w:val="24"/>
        </w:rPr>
      </w:pPr>
      <w:r>
        <w:rPr>
          <w:rFonts w:hint="eastAsia" w:ascii="Calibri" w:hAnsi="Calibri"/>
          <w:sz w:val="24"/>
          <w:szCs w:val="24"/>
        </w:rPr>
        <w:t>★（1）系统组成：服务器 1 套、全自动进样回收模块 1 套、具有尿液干化学分析及尿液有形成分分析功能模块2 套，各分析系统可联机，可拓展组成模块化流水线；</w:t>
      </w:r>
    </w:p>
    <w:p w14:paraId="754C781C">
      <w:pPr>
        <w:spacing w:line="480" w:lineRule="auto"/>
        <w:ind w:firstLine="480" w:firstLineChars="200"/>
        <w:rPr>
          <w:rFonts w:ascii="Calibri" w:hAnsi="Calibri"/>
          <w:sz w:val="24"/>
          <w:szCs w:val="24"/>
        </w:rPr>
      </w:pPr>
      <w:r>
        <w:rPr>
          <w:rFonts w:hint="eastAsia" w:ascii="Calibri" w:hAnsi="Calibri"/>
          <w:sz w:val="24"/>
          <w:szCs w:val="24"/>
        </w:rPr>
        <w:t>（2）待检区一次性可放置≥400 个待测标本；已检区一次性可放置≥400 个已检标本；</w:t>
      </w:r>
    </w:p>
    <w:p w14:paraId="614BF11B">
      <w:pPr>
        <w:spacing w:line="480" w:lineRule="auto"/>
        <w:ind w:firstLine="480" w:firstLineChars="200"/>
        <w:rPr>
          <w:rFonts w:ascii="Calibri" w:hAnsi="Calibri"/>
          <w:sz w:val="24"/>
          <w:szCs w:val="24"/>
        </w:rPr>
      </w:pPr>
      <w:r>
        <w:rPr>
          <w:rFonts w:hint="eastAsia" w:ascii="Calibri" w:hAnsi="Calibri"/>
          <w:sz w:val="24"/>
          <w:szCs w:val="24"/>
        </w:rPr>
        <w:t>（3）具有标本单管检测模式；</w:t>
      </w:r>
    </w:p>
    <w:p w14:paraId="748BF5C9">
      <w:pPr>
        <w:spacing w:line="480" w:lineRule="auto"/>
        <w:ind w:firstLine="480" w:firstLineChars="200"/>
        <w:rPr>
          <w:rFonts w:ascii="Calibri" w:hAnsi="Calibri"/>
          <w:sz w:val="24"/>
          <w:szCs w:val="24"/>
        </w:rPr>
      </w:pPr>
      <w:r>
        <w:rPr>
          <w:rFonts w:hint="eastAsia" w:ascii="Calibri" w:hAnsi="Calibri"/>
          <w:sz w:val="24"/>
          <w:szCs w:val="24"/>
        </w:rPr>
        <w:t>（4）具有条码识别功能；</w:t>
      </w:r>
    </w:p>
    <w:p w14:paraId="0145F0BA">
      <w:pPr>
        <w:spacing w:line="480" w:lineRule="auto"/>
        <w:ind w:firstLine="480" w:firstLineChars="200"/>
        <w:rPr>
          <w:rFonts w:ascii="Calibri" w:hAnsi="Calibri"/>
          <w:sz w:val="24"/>
          <w:szCs w:val="24"/>
        </w:rPr>
      </w:pPr>
      <w:r>
        <w:rPr>
          <w:rFonts w:hint="eastAsia" w:ascii="Calibri" w:hAnsi="Calibri"/>
          <w:sz w:val="24"/>
          <w:szCs w:val="24"/>
        </w:rPr>
        <w:t>（5）检测速度≥240 标本/小时；</w:t>
      </w:r>
    </w:p>
    <w:p w14:paraId="6CB40184">
      <w:pPr>
        <w:spacing w:line="480" w:lineRule="auto"/>
        <w:ind w:firstLine="480" w:firstLineChars="200"/>
        <w:rPr>
          <w:rFonts w:ascii="Calibri" w:hAnsi="Calibri"/>
          <w:sz w:val="24"/>
          <w:szCs w:val="24"/>
        </w:rPr>
      </w:pPr>
      <w:r>
        <w:rPr>
          <w:rFonts w:hint="eastAsia" w:ascii="Calibri" w:hAnsi="Calibri"/>
          <w:sz w:val="24"/>
          <w:szCs w:val="24"/>
        </w:rPr>
        <w:t>（6）数据信息管理免费与采购方 HIS 和 LIS 无缝连接；</w:t>
      </w:r>
    </w:p>
    <w:p w14:paraId="69D10B5C">
      <w:pPr>
        <w:spacing w:line="480" w:lineRule="auto"/>
        <w:ind w:firstLine="480" w:firstLineChars="200"/>
        <w:rPr>
          <w:rFonts w:ascii="Calibri" w:hAnsi="Calibri"/>
          <w:sz w:val="24"/>
          <w:szCs w:val="24"/>
        </w:rPr>
      </w:pPr>
      <w:r>
        <w:rPr>
          <w:rFonts w:hint="eastAsia" w:ascii="Calibri" w:hAnsi="Calibri"/>
          <w:sz w:val="24"/>
          <w:szCs w:val="24"/>
        </w:rPr>
        <w:t>（7）原厂配套的中文操作软件，并具备干化学测值异常时自动进行有形成分检测门控功能</w:t>
      </w:r>
    </w:p>
    <w:p w14:paraId="5F978CC3">
      <w:pPr>
        <w:spacing w:line="480" w:lineRule="auto"/>
        <w:ind w:firstLine="480" w:firstLineChars="200"/>
        <w:rPr>
          <w:rFonts w:ascii="Calibri" w:hAnsi="Calibri"/>
          <w:sz w:val="24"/>
          <w:szCs w:val="24"/>
        </w:rPr>
      </w:pPr>
      <w:r>
        <w:rPr>
          <w:rFonts w:hint="eastAsia" w:ascii="Calibri" w:hAnsi="Calibri"/>
          <w:sz w:val="24"/>
          <w:szCs w:val="24"/>
        </w:rPr>
        <w:t>2.尿有形成分检测部分技术要求</w:t>
      </w:r>
    </w:p>
    <w:p w14:paraId="42DAB917">
      <w:pPr>
        <w:spacing w:line="480" w:lineRule="auto"/>
        <w:ind w:firstLine="480" w:firstLineChars="200"/>
        <w:rPr>
          <w:rFonts w:ascii="Calibri" w:hAnsi="Calibri"/>
          <w:sz w:val="24"/>
          <w:szCs w:val="24"/>
        </w:rPr>
      </w:pPr>
      <w:r>
        <w:rPr>
          <w:rFonts w:hint="eastAsia" w:ascii="Calibri" w:hAnsi="Calibri"/>
          <w:sz w:val="24"/>
          <w:szCs w:val="24"/>
        </w:rPr>
        <w:t>（1）仪器要求一体化设计，全自动进样、混匀、稀释、清洗；封闭式设计；采用显微镜成像系统或流式图像分析技术，来鉴别尿液中有形成分；</w:t>
      </w:r>
    </w:p>
    <w:p w14:paraId="748CD55F">
      <w:pPr>
        <w:spacing w:line="480" w:lineRule="auto"/>
        <w:ind w:firstLine="480" w:firstLineChars="200"/>
        <w:rPr>
          <w:rFonts w:ascii="Calibri" w:hAnsi="Calibri"/>
          <w:sz w:val="24"/>
          <w:szCs w:val="24"/>
        </w:rPr>
      </w:pPr>
      <w:r>
        <w:rPr>
          <w:rFonts w:hint="eastAsia" w:ascii="Calibri" w:hAnsi="Calibri"/>
          <w:sz w:val="24"/>
          <w:szCs w:val="24"/>
        </w:rPr>
        <w:t>（2）采用流式图像分析技术检测或通道≥6 个显微镜成像系统检测</w:t>
      </w:r>
    </w:p>
    <w:p w14:paraId="43A834D3">
      <w:pPr>
        <w:spacing w:line="480" w:lineRule="auto"/>
        <w:ind w:firstLine="480" w:firstLineChars="200"/>
        <w:rPr>
          <w:rFonts w:ascii="Calibri" w:hAnsi="Calibri"/>
          <w:sz w:val="24"/>
          <w:szCs w:val="24"/>
        </w:rPr>
      </w:pPr>
      <w:r>
        <w:rPr>
          <w:rFonts w:hint="eastAsia" w:ascii="Calibri" w:hAnsi="Calibri"/>
          <w:sz w:val="24"/>
          <w:szCs w:val="24"/>
        </w:rPr>
        <w:t>（3）尿液有形成分报告参数≥25 项；</w:t>
      </w:r>
    </w:p>
    <w:p w14:paraId="3F08E292">
      <w:pPr>
        <w:spacing w:line="480" w:lineRule="auto"/>
        <w:ind w:firstLine="480" w:firstLineChars="200"/>
        <w:rPr>
          <w:rFonts w:ascii="Calibri" w:hAnsi="Calibri"/>
          <w:sz w:val="24"/>
          <w:szCs w:val="24"/>
        </w:rPr>
      </w:pPr>
      <w:r>
        <w:rPr>
          <w:rFonts w:hint="eastAsia" w:ascii="Calibri" w:hAnsi="Calibri"/>
          <w:sz w:val="24"/>
          <w:szCs w:val="24"/>
        </w:rPr>
        <w:t>（4）自动识别尿有形成分，提供有形成分形态学图像。提供红细胞形态学信息有助于判断血尿的来源；</w:t>
      </w:r>
    </w:p>
    <w:p w14:paraId="427885A8">
      <w:pPr>
        <w:spacing w:line="480" w:lineRule="auto"/>
        <w:ind w:firstLine="480" w:firstLineChars="200"/>
        <w:rPr>
          <w:rFonts w:ascii="Calibri" w:hAnsi="Calibri"/>
          <w:sz w:val="24"/>
          <w:szCs w:val="24"/>
        </w:rPr>
      </w:pPr>
      <w:r>
        <w:rPr>
          <w:rFonts w:hint="eastAsia" w:ascii="Calibri" w:hAnsi="Calibri"/>
          <w:sz w:val="24"/>
          <w:szCs w:val="24"/>
        </w:rPr>
        <w:t>（5）报告每 ul 有形成分数量或每视野有形成分数量，并可查看有形成分全景图。</w:t>
      </w:r>
    </w:p>
    <w:p w14:paraId="6E1415F5">
      <w:pPr>
        <w:spacing w:line="480" w:lineRule="auto"/>
        <w:ind w:firstLine="480" w:firstLineChars="200"/>
        <w:rPr>
          <w:rFonts w:ascii="Calibri" w:hAnsi="Calibri"/>
          <w:sz w:val="24"/>
          <w:szCs w:val="24"/>
        </w:rPr>
      </w:pPr>
      <w:r>
        <w:rPr>
          <w:rFonts w:hint="eastAsia" w:ascii="Calibri" w:hAnsi="Calibri"/>
          <w:sz w:val="24"/>
          <w:szCs w:val="24"/>
        </w:rPr>
        <w:t>（6）提供尿路感染提示信息，尿培养提示信息，判断是否触发镜检条件辅助临床；</w:t>
      </w:r>
    </w:p>
    <w:p w14:paraId="292CE937">
      <w:pPr>
        <w:spacing w:line="480" w:lineRule="auto"/>
        <w:ind w:firstLine="480" w:firstLineChars="200"/>
        <w:rPr>
          <w:rFonts w:ascii="Calibri" w:hAnsi="Calibri"/>
          <w:sz w:val="24"/>
          <w:szCs w:val="24"/>
        </w:rPr>
      </w:pPr>
      <w:r>
        <w:rPr>
          <w:rFonts w:hint="eastAsia" w:ascii="Calibri" w:hAnsi="Calibri"/>
          <w:sz w:val="24"/>
          <w:szCs w:val="24"/>
        </w:rPr>
        <w:t>（7）采用全自动进样系统。</w:t>
      </w:r>
    </w:p>
    <w:p w14:paraId="435357C8">
      <w:pPr>
        <w:spacing w:line="480" w:lineRule="auto"/>
        <w:ind w:firstLine="480" w:firstLineChars="200"/>
        <w:rPr>
          <w:rFonts w:ascii="Calibri" w:hAnsi="Calibri"/>
          <w:sz w:val="24"/>
          <w:szCs w:val="24"/>
        </w:rPr>
      </w:pPr>
      <w:r>
        <w:rPr>
          <w:rFonts w:hint="eastAsia" w:ascii="Calibri" w:hAnsi="Calibri"/>
          <w:sz w:val="24"/>
          <w:szCs w:val="24"/>
        </w:rPr>
        <w:t>（8）单机测定速度≥120 标本/小时；</w:t>
      </w:r>
    </w:p>
    <w:p w14:paraId="43B97A44">
      <w:pPr>
        <w:spacing w:line="480" w:lineRule="auto"/>
        <w:ind w:firstLine="480" w:firstLineChars="200"/>
        <w:rPr>
          <w:rFonts w:ascii="Calibri" w:hAnsi="Calibri"/>
          <w:sz w:val="24"/>
          <w:szCs w:val="24"/>
        </w:rPr>
      </w:pPr>
      <w:r>
        <w:rPr>
          <w:rFonts w:hint="eastAsia" w:ascii="Calibri" w:hAnsi="Calibri"/>
          <w:sz w:val="24"/>
          <w:szCs w:val="24"/>
        </w:rPr>
        <w:t>（9）手动或自动进样时标本量≥2ml；</w:t>
      </w:r>
    </w:p>
    <w:p w14:paraId="4EA95164">
      <w:pPr>
        <w:spacing w:line="480" w:lineRule="auto"/>
        <w:ind w:firstLine="480" w:firstLineChars="200"/>
        <w:rPr>
          <w:rFonts w:ascii="Calibri" w:hAnsi="Calibri"/>
          <w:sz w:val="24"/>
          <w:szCs w:val="24"/>
        </w:rPr>
      </w:pPr>
      <w:r>
        <w:rPr>
          <w:rFonts w:hint="eastAsia" w:ascii="Calibri" w:hAnsi="Calibri"/>
          <w:sz w:val="24"/>
          <w:szCs w:val="24"/>
        </w:rPr>
        <w:t>（10）数据存储能力≥1,0000 个样品的存储数据（含定量参数和质控数据）。</w:t>
      </w:r>
    </w:p>
    <w:p w14:paraId="4ADF907D">
      <w:pPr>
        <w:spacing w:line="480" w:lineRule="auto"/>
        <w:ind w:firstLine="480" w:firstLineChars="200"/>
        <w:rPr>
          <w:rFonts w:ascii="Calibri" w:hAnsi="Calibri"/>
          <w:sz w:val="24"/>
          <w:szCs w:val="24"/>
        </w:rPr>
      </w:pPr>
      <w:r>
        <w:rPr>
          <w:rFonts w:hint="eastAsia" w:ascii="Calibri" w:hAnsi="Calibri"/>
          <w:sz w:val="24"/>
          <w:szCs w:val="24"/>
        </w:rPr>
        <w:t>3.干化学检测部分技术要求</w:t>
      </w:r>
    </w:p>
    <w:p w14:paraId="34930175">
      <w:pPr>
        <w:spacing w:line="480" w:lineRule="auto"/>
        <w:ind w:firstLine="480" w:firstLineChars="200"/>
        <w:rPr>
          <w:rFonts w:ascii="Calibri" w:hAnsi="Calibri"/>
          <w:sz w:val="24"/>
          <w:szCs w:val="24"/>
        </w:rPr>
      </w:pPr>
      <w:r>
        <w:rPr>
          <w:rFonts w:hint="eastAsia" w:ascii="Calibri" w:hAnsi="Calibri"/>
          <w:sz w:val="24"/>
          <w:szCs w:val="24"/>
        </w:rPr>
        <w:t>（1）仪器采用多波长光电比色测定原理；</w:t>
      </w:r>
    </w:p>
    <w:p w14:paraId="637476DB">
      <w:pPr>
        <w:spacing w:line="480" w:lineRule="auto"/>
        <w:ind w:firstLine="480" w:firstLineChars="200"/>
        <w:rPr>
          <w:rFonts w:ascii="Calibri" w:hAnsi="Calibri"/>
          <w:sz w:val="24"/>
          <w:szCs w:val="24"/>
        </w:rPr>
      </w:pPr>
      <w:r>
        <w:rPr>
          <w:rFonts w:hint="eastAsia" w:ascii="Calibri" w:hAnsi="Calibri"/>
          <w:sz w:val="24"/>
          <w:szCs w:val="24"/>
        </w:rPr>
        <w:t>（2）尿液干化学测定项目≥14 项。可以自动报告肌酐，尿微量白蛋白，尿微量白蛋白/肌酐，蛋白/肌酐比值；</w:t>
      </w:r>
    </w:p>
    <w:p w14:paraId="48403413">
      <w:pPr>
        <w:spacing w:line="480" w:lineRule="auto"/>
        <w:ind w:firstLine="480" w:firstLineChars="200"/>
        <w:rPr>
          <w:rFonts w:ascii="Calibri" w:hAnsi="Calibri"/>
          <w:sz w:val="24"/>
          <w:szCs w:val="24"/>
        </w:rPr>
      </w:pPr>
      <w:r>
        <w:rPr>
          <w:rFonts w:hint="eastAsia" w:ascii="Calibri" w:hAnsi="Calibri"/>
          <w:sz w:val="24"/>
          <w:szCs w:val="24"/>
        </w:rPr>
        <w:t>（3）仪器要求自动加样，自动测定，测试完废条自动收集；</w:t>
      </w:r>
    </w:p>
    <w:p w14:paraId="1B5DA6F9">
      <w:pPr>
        <w:spacing w:line="480" w:lineRule="auto"/>
        <w:ind w:firstLine="480" w:firstLineChars="200"/>
        <w:rPr>
          <w:rFonts w:ascii="Calibri" w:hAnsi="Calibri"/>
          <w:sz w:val="24"/>
          <w:szCs w:val="24"/>
        </w:rPr>
      </w:pPr>
      <w:r>
        <w:rPr>
          <w:rFonts w:hint="eastAsia" w:ascii="Calibri" w:hAnsi="Calibri"/>
          <w:sz w:val="24"/>
          <w:szCs w:val="24"/>
        </w:rPr>
        <w:t>（4）检测速度≥240 标本/小时/模块；</w:t>
      </w:r>
    </w:p>
    <w:p w14:paraId="572591A3">
      <w:pPr>
        <w:spacing w:line="480" w:lineRule="auto"/>
        <w:ind w:firstLine="480" w:firstLineChars="200"/>
        <w:rPr>
          <w:rFonts w:ascii="Calibri" w:hAnsi="Calibri"/>
          <w:sz w:val="24"/>
          <w:szCs w:val="24"/>
        </w:rPr>
      </w:pPr>
      <w:r>
        <w:rPr>
          <w:rFonts w:hint="eastAsia" w:ascii="Calibri" w:hAnsi="Calibri"/>
          <w:sz w:val="24"/>
          <w:szCs w:val="24"/>
        </w:rPr>
        <w:t>（5）试纸条容量≥300 条，有试纸仓温湿度监控技术；</w:t>
      </w:r>
    </w:p>
    <w:p w14:paraId="1D4FABEF">
      <w:pPr>
        <w:spacing w:line="480" w:lineRule="auto"/>
        <w:ind w:firstLine="480" w:firstLineChars="200"/>
        <w:rPr>
          <w:rFonts w:ascii="Calibri" w:hAnsi="Calibri"/>
          <w:sz w:val="24"/>
          <w:szCs w:val="24"/>
        </w:rPr>
      </w:pPr>
      <w:r>
        <w:rPr>
          <w:rFonts w:hint="eastAsia" w:ascii="Calibri" w:hAnsi="Calibri"/>
          <w:sz w:val="24"/>
          <w:szCs w:val="24"/>
        </w:rPr>
        <w:t>（6）样品量≤2.5ml 非离心尿液，无需染色，少量样本也可检测；</w:t>
      </w:r>
    </w:p>
    <w:p w14:paraId="6F5C0F55">
      <w:pPr>
        <w:spacing w:line="480" w:lineRule="auto"/>
        <w:ind w:firstLine="480" w:firstLineChars="200"/>
        <w:rPr>
          <w:rFonts w:ascii="Calibri" w:hAnsi="Calibri"/>
          <w:sz w:val="24"/>
          <w:szCs w:val="24"/>
        </w:rPr>
      </w:pPr>
      <w:r>
        <w:rPr>
          <w:rFonts w:hint="eastAsia" w:ascii="Calibri" w:hAnsi="Calibri"/>
          <w:sz w:val="24"/>
          <w:szCs w:val="24"/>
        </w:rPr>
        <w:t>（7）主机样本存储量≥10000 份病人测定结果；</w:t>
      </w:r>
    </w:p>
    <w:p w14:paraId="62B3FD06">
      <w:pPr>
        <w:spacing w:line="480" w:lineRule="auto"/>
        <w:ind w:firstLine="480" w:firstLineChars="200"/>
        <w:rPr>
          <w:rFonts w:ascii="Calibri" w:hAnsi="Calibri"/>
          <w:sz w:val="24"/>
          <w:szCs w:val="24"/>
        </w:rPr>
      </w:pPr>
      <w:r>
        <w:rPr>
          <w:rFonts w:hint="eastAsia" w:ascii="Calibri" w:hAnsi="Calibri"/>
          <w:sz w:val="24"/>
          <w:szCs w:val="24"/>
        </w:rPr>
        <w:t>（8）加样模式为自动滴样。</w:t>
      </w:r>
    </w:p>
    <w:p w14:paraId="32B2F29C">
      <w:pPr>
        <w:keepNext/>
        <w:spacing w:line="360" w:lineRule="auto"/>
        <w:jc w:val="center"/>
        <w:rPr>
          <w:b/>
          <w:bCs/>
          <w:sz w:val="28"/>
          <w:szCs w:val="28"/>
        </w:rPr>
      </w:pPr>
      <w:r>
        <w:rPr>
          <w:b/>
          <w:bCs/>
          <w:sz w:val="28"/>
          <w:szCs w:val="28"/>
        </w:rPr>
        <w:br w:type="page"/>
      </w:r>
    </w:p>
    <w:p w14:paraId="61C062C8">
      <w:pPr>
        <w:keepNext/>
        <w:spacing w:line="360" w:lineRule="auto"/>
        <w:jc w:val="center"/>
        <w:rPr>
          <w:b/>
          <w:bCs/>
          <w:sz w:val="28"/>
          <w:szCs w:val="28"/>
        </w:rPr>
      </w:pPr>
      <w:r>
        <w:rPr>
          <w:rFonts w:hint="eastAsia"/>
          <w:b/>
          <w:bCs/>
          <w:sz w:val="28"/>
          <w:szCs w:val="28"/>
        </w:rPr>
        <w:t>过氧化氢低温等离子体灭菌器</w:t>
      </w:r>
    </w:p>
    <w:p w14:paraId="3B5D865F">
      <w:pPr>
        <w:spacing w:line="480" w:lineRule="auto"/>
        <w:ind w:firstLine="480" w:firstLineChars="200"/>
        <w:rPr>
          <w:rFonts w:ascii="Calibri" w:hAnsi="Calibri"/>
          <w:sz w:val="24"/>
          <w:szCs w:val="24"/>
        </w:rPr>
      </w:pPr>
      <w:r>
        <w:rPr>
          <w:rFonts w:hint="eastAsia" w:ascii="Calibri" w:hAnsi="Calibri"/>
          <w:sz w:val="24"/>
          <w:szCs w:val="24"/>
        </w:rPr>
        <w:t xml:space="preserve">★1.总容积≥160L。   </w:t>
      </w:r>
    </w:p>
    <w:p w14:paraId="0AB62B5E">
      <w:pPr>
        <w:spacing w:line="480" w:lineRule="auto"/>
        <w:ind w:firstLine="480" w:firstLineChars="200"/>
        <w:rPr>
          <w:rFonts w:ascii="Calibri" w:hAnsi="Calibri"/>
          <w:sz w:val="24"/>
          <w:szCs w:val="24"/>
        </w:rPr>
      </w:pPr>
      <w:r>
        <w:rPr>
          <w:rFonts w:hint="eastAsia" w:ascii="Calibri" w:hAnsi="Calibri"/>
          <w:sz w:val="24"/>
          <w:szCs w:val="24"/>
        </w:rPr>
        <w:t>2.腔体结构及材质：腔体结构要求为矩形，提高空间利用率，腔体材质采用优质航空铝材，</w:t>
      </w:r>
      <w:bookmarkStart w:id="85" w:name="_Toc28909"/>
      <w:r>
        <w:rPr>
          <w:rFonts w:hint="eastAsia" w:ascii="Calibri" w:hAnsi="Calibri"/>
          <w:sz w:val="24"/>
          <w:szCs w:val="24"/>
        </w:rPr>
        <w:t>电极网材质：铝合金材料，钣金成型。</w:t>
      </w:r>
      <w:bookmarkEnd w:id="85"/>
    </w:p>
    <w:p w14:paraId="44AB7111">
      <w:pPr>
        <w:spacing w:line="480" w:lineRule="auto"/>
        <w:ind w:firstLine="480" w:firstLineChars="200"/>
        <w:rPr>
          <w:rFonts w:ascii="Calibri" w:hAnsi="Calibri"/>
          <w:sz w:val="24"/>
          <w:szCs w:val="24"/>
        </w:rPr>
      </w:pPr>
      <w:r>
        <w:rPr>
          <w:rFonts w:hint="eastAsia" w:ascii="Calibri" w:hAnsi="Calibri"/>
          <w:sz w:val="24"/>
          <w:szCs w:val="24"/>
        </w:rPr>
        <w:t>3.腔体温度控制探头数量：≥1个，高精度温度探头，分辨率为0.1℃，准确检测和控制灭菌温度，采用多点壁温温度探头，温度控制更精确，保证温度分布均匀性，保证加热安全性。</w:t>
      </w:r>
    </w:p>
    <w:p w14:paraId="3756C002">
      <w:pPr>
        <w:spacing w:line="480" w:lineRule="auto"/>
        <w:ind w:firstLine="480" w:firstLineChars="200"/>
        <w:rPr>
          <w:rFonts w:ascii="Calibri" w:hAnsi="Calibri"/>
          <w:sz w:val="24"/>
          <w:szCs w:val="24"/>
        </w:rPr>
      </w:pPr>
      <w:r>
        <w:rPr>
          <w:rFonts w:hint="eastAsia" w:ascii="Calibri" w:hAnsi="Calibri"/>
          <w:sz w:val="24"/>
          <w:szCs w:val="24"/>
        </w:rPr>
        <w:t>4.主体保温采用橡塑海绵，阻燃保温效果好，无毒环保。</w:t>
      </w:r>
    </w:p>
    <w:p w14:paraId="10077B39">
      <w:pPr>
        <w:spacing w:line="480" w:lineRule="auto"/>
        <w:ind w:firstLine="480" w:firstLineChars="200"/>
        <w:rPr>
          <w:rFonts w:ascii="Calibri" w:hAnsi="Calibri"/>
          <w:sz w:val="24"/>
          <w:szCs w:val="24"/>
        </w:rPr>
      </w:pPr>
      <w:r>
        <w:rPr>
          <w:rFonts w:hint="eastAsia" w:ascii="Calibri" w:hAnsi="Calibri"/>
          <w:sz w:val="24"/>
          <w:szCs w:val="24"/>
        </w:rPr>
        <w:t>5.门开启方式：采用顶杆驱动式电动升降门，密封门数量：≥1。门材质要求航空铝材。</w:t>
      </w:r>
    </w:p>
    <w:p w14:paraId="0C378ECA">
      <w:pPr>
        <w:spacing w:line="480" w:lineRule="auto"/>
        <w:ind w:firstLine="480" w:firstLineChars="200"/>
        <w:rPr>
          <w:rFonts w:ascii="Calibri" w:hAnsi="Calibri"/>
          <w:sz w:val="24"/>
          <w:szCs w:val="24"/>
        </w:rPr>
      </w:pPr>
      <w:r>
        <w:rPr>
          <w:rFonts w:hint="eastAsia" w:ascii="Calibri" w:hAnsi="Calibri"/>
          <w:sz w:val="24"/>
          <w:szCs w:val="24"/>
        </w:rPr>
        <w:t>6.门板加热功能：加热膜数量≥2个，门板温度维持在≤50±2℃，防止过氧化氢气体冷凝，影响灭菌效果。</w:t>
      </w:r>
    </w:p>
    <w:p w14:paraId="2B407996">
      <w:pPr>
        <w:spacing w:line="480" w:lineRule="auto"/>
        <w:ind w:firstLine="480" w:firstLineChars="200"/>
        <w:rPr>
          <w:rFonts w:ascii="Calibri" w:hAnsi="Calibri"/>
          <w:sz w:val="24"/>
          <w:szCs w:val="24"/>
        </w:rPr>
      </w:pPr>
      <w:r>
        <w:rPr>
          <w:rFonts w:hint="eastAsia" w:ascii="Calibri" w:hAnsi="Calibri"/>
          <w:sz w:val="24"/>
          <w:szCs w:val="24"/>
        </w:rPr>
        <w:t>7.真空泵：采用真空度极高且耐过氧化氢腐蚀的旋片式真空泵。</w:t>
      </w:r>
    </w:p>
    <w:p w14:paraId="2C877085">
      <w:pPr>
        <w:spacing w:line="480" w:lineRule="auto"/>
        <w:ind w:firstLine="480" w:firstLineChars="200"/>
        <w:rPr>
          <w:rFonts w:ascii="Calibri" w:hAnsi="Calibri"/>
          <w:sz w:val="24"/>
          <w:szCs w:val="24"/>
        </w:rPr>
      </w:pPr>
      <w:r>
        <w:rPr>
          <w:rFonts w:hint="eastAsia" w:ascii="Calibri" w:hAnsi="Calibri"/>
          <w:sz w:val="24"/>
          <w:szCs w:val="24"/>
        </w:rPr>
        <w:t>8.具有过氧化氢过滤器有效吸收真空过程排出的过氧化氢气体，符合职业防护要求，有空气中过氧化氢残留量检测报告。</w:t>
      </w:r>
    </w:p>
    <w:p w14:paraId="2F0F198A">
      <w:pPr>
        <w:spacing w:line="480" w:lineRule="auto"/>
        <w:ind w:firstLine="480" w:firstLineChars="200"/>
        <w:rPr>
          <w:rFonts w:ascii="Calibri" w:hAnsi="Calibri"/>
          <w:sz w:val="24"/>
          <w:szCs w:val="24"/>
        </w:rPr>
      </w:pPr>
      <w:r>
        <w:rPr>
          <w:rFonts w:hint="eastAsia" w:ascii="Calibri" w:hAnsi="Calibri"/>
          <w:sz w:val="24"/>
          <w:szCs w:val="24"/>
        </w:rPr>
        <w:t>9.管路材质：采用304不锈钢卫生级管路和卫生级卡箍连接</w:t>
      </w:r>
    </w:p>
    <w:p w14:paraId="15D619BF">
      <w:pPr>
        <w:spacing w:line="480" w:lineRule="auto"/>
        <w:ind w:firstLine="480" w:firstLineChars="200"/>
        <w:rPr>
          <w:rFonts w:ascii="Calibri" w:hAnsi="Calibri"/>
          <w:sz w:val="24"/>
          <w:szCs w:val="24"/>
        </w:rPr>
      </w:pPr>
      <w:r>
        <w:rPr>
          <w:rFonts w:hint="eastAsia" w:ascii="Calibri" w:hAnsi="Calibri"/>
          <w:sz w:val="24"/>
          <w:szCs w:val="24"/>
        </w:rPr>
        <w:t>10.具有真空干燥模块：将等离子体灭菌器与真空干燥柜完美结合，彻底干燥管腔器械，确保灭菌质量。（提供生产厂家盖章说明书以及屏幕程序证明）</w:t>
      </w:r>
    </w:p>
    <w:p w14:paraId="4002607F">
      <w:pPr>
        <w:spacing w:line="480" w:lineRule="auto"/>
        <w:ind w:firstLine="480" w:firstLineChars="200"/>
        <w:rPr>
          <w:rFonts w:ascii="Calibri" w:hAnsi="Calibri"/>
          <w:sz w:val="24"/>
          <w:szCs w:val="24"/>
        </w:rPr>
      </w:pPr>
      <w:r>
        <w:rPr>
          <w:rFonts w:hint="eastAsia" w:ascii="Calibri" w:hAnsi="Calibri"/>
          <w:sz w:val="24"/>
          <w:szCs w:val="24"/>
        </w:rPr>
        <w:t>11.过氧化氢加注方式：采用卡匣式加注，卡匣胶囊式，加注量更准确，更安全。</w:t>
      </w:r>
    </w:p>
    <w:p w14:paraId="26E39ADB">
      <w:pPr>
        <w:spacing w:line="480" w:lineRule="auto"/>
        <w:ind w:firstLine="480" w:firstLineChars="200"/>
        <w:rPr>
          <w:rFonts w:ascii="Calibri" w:hAnsi="Calibri"/>
          <w:sz w:val="24"/>
          <w:szCs w:val="24"/>
        </w:rPr>
      </w:pPr>
      <w:r>
        <w:rPr>
          <w:rFonts w:hint="eastAsia" w:ascii="Calibri" w:hAnsi="Calibri"/>
          <w:sz w:val="24"/>
          <w:szCs w:val="24"/>
        </w:rPr>
        <w:t xml:space="preserve">12.胶囊计数记忆功能：卡匣安装后，自动计算胶囊使用个数，并提示剩余胶囊个数和可运行全循环的次数。 </w:t>
      </w:r>
    </w:p>
    <w:p w14:paraId="25D1484F">
      <w:pPr>
        <w:spacing w:line="480" w:lineRule="auto"/>
        <w:ind w:firstLine="480" w:firstLineChars="200"/>
        <w:rPr>
          <w:rFonts w:ascii="Calibri" w:hAnsi="Calibri"/>
          <w:sz w:val="24"/>
          <w:szCs w:val="24"/>
        </w:rPr>
      </w:pPr>
      <w:r>
        <w:rPr>
          <w:rFonts w:hint="eastAsia" w:ascii="Calibri" w:hAnsi="Calibri"/>
          <w:sz w:val="24"/>
          <w:szCs w:val="24"/>
        </w:rPr>
        <w:t>13.过氧化氢提纯功能：具有过氧化氢提纯功能，过氧化氢提纯后浓度大于95%。</w:t>
      </w:r>
    </w:p>
    <w:p w14:paraId="141CF101">
      <w:pPr>
        <w:spacing w:line="480" w:lineRule="auto"/>
        <w:ind w:firstLine="480" w:firstLineChars="200"/>
        <w:rPr>
          <w:rFonts w:ascii="Calibri" w:hAnsi="Calibri"/>
          <w:sz w:val="24"/>
          <w:szCs w:val="24"/>
        </w:rPr>
      </w:pPr>
      <w:r>
        <w:rPr>
          <w:rFonts w:hint="eastAsia" w:ascii="Calibri" w:hAnsi="Calibri"/>
          <w:sz w:val="24"/>
          <w:szCs w:val="24"/>
        </w:rPr>
        <w:t>14.等离子电源 要求，采用晶体管控制电源，解析能力强，灭菌后聚四氟乙烯管腔中过氧化氢残留量＜0.003mg/cm2，不锈钢中残留量＜0.01mg/cm2。（提供省级以上检测机构检测报告）</w:t>
      </w:r>
    </w:p>
    <w:p w14:paraId="09011B66">
      <w:pPr>
        <w:spacing w:line="480" w:lineRule="auto"/>
        <w:ind w:firstLine="480" w:firstLineChars="200"/>
        <w:rPr>
          <w:rFonts w:ascii="Calibri" w:hAnsi="Calibri"/>
          <w:sz w:val="24"/>
          <w:szCs w:val="24"/>
        </w:rPr>
      </w:pPr>
      <w:r>
        <w:rPr>
          <w:rFonts w:hint="eastAsia" w:ascii="Calibri" w:hAnsi="Calibri"/>
          <w:sz w:val="24"/>
          <w:szCs w:val="24"/>
        </w:rPr>
        <w:t>15.显示屏≥10寸彩色触摸屏，显示屏显示内容：温度，压力，时间，循环模式，过程阶段、胶囊使用数量和报警信息等。（提供实际界面照片）</w:t>
      </w:r>
    </w:p>
    <w:p w14:paraId="198AD8D9">
      <w:pPr>
        <w:spacing w:line="480" w:lineRule="auto"/>
        <w:ind w:firstLine="480" w:firstLineChars="200"/>
        <w:rPr>
          <w:rFonts w:ascii="Calibri" w:hAnsi="Calibri"/>
          <w:sz w:val="24"/>
          <w:szCs w:val="24"/>
        </w:rPr>
      </w:pPr>
      <w:r>
        <w:rPr>
          <w:rFonts w:hint="eastAsia" w:ascii="Calibri" w:hAnsi="Calibri"/>
          <w:sz w:val="24"/>
          <w:szCs w:val="24"/>
        </w:rPr>
        <w:t>16.自带打印机能够打印记录：程序名称、灭菌日期、灭菌锅次、灭菌起始结束时间和灭菌过程的压力、温度、阶段时间、电源功率和结束状态等信息；</w:t>
      </w:r>
    </w:p>
    <w:p w14:paraId="1112E579">
      <w:pPr>
        <w:tabs>
          <w:tab w:val="left" w:pos="567"/>
        </w:tabs>
        <w:spacing w:before="120" w:line="480" w:lineRule="auto"/>
        <w:ind w:firstLine="480" w:firstLineChars="200"/>
        <w:rPr>
          <w:rFonts w:ascii="Calibri" w:hAnsi="Calibri"/>
          <w:sz w:val="24"/>
          <w:szCs w:val="24"/>
        </w:rPr>
      </w:pPr>
      <w:r>
        <w:rPr>
          <w:rFonts w:hint="eastAsia" w:ascii="Calibri" w:hAnsi="Calibri"/>
          <w:sz w:val="24"/>
          <w:szCs w:val="24"/>
        </w:rPr>
        <w:t>★17.具有软式内镜专用灭菌程序，能对内径1mm长度4000mm管腔的软式内窥镜灭菌。</w:t>
      </w:r>
    </w:p>
    <w:p w14:paraId="19B80546">
      <w:pPr>
        <w:spacing w:line="480" w:lineRule="auto"/>
        <w:ind w:firstLine="480" w:firstLineChars="200"/>
        <w:rPr>
          <w:rFonts w:ascii="Calibri" w:hAnsi="Calibri"/>
          <w:sz w:val="24"/>
          <w:szCs w:val="24"/>
        </w:rPr>
      </w:pPr>
      <w:r>
        <w:rPr>
          <w:rFonts w:hint="eastAsia" w:ascii="Calibri" w:hAnsi="Calibri"/>
          <w:sz w:val="24"/>
          <w:szCs w:val="24"/>
        </w:rPr>
        <w:t>18. 提供与 Olympus、Storz、Stryker 等厂家的器械灭菌兼容许可证明文件（提供生产厂家盖章说明书）；</w:t>
      </w:r>
    </w:p>
    <w:p w14:paraId="3A5E695B">
      <w:pPr>
        <w:tabs>
          <w:tab w:val="left" w:pos="567"/>
        </w:tabs>
        <w:spacing w:before="120" w:line="480" w:lineRule="auto"/>
        <w:ind w:firstLine="480" w:firstLineChars="200"/>
        <w:rPr>
          <w:rFonts w:ascii="Calibri" w:hAnsi="Calibri"/>
          <w:sz w:val="24"/>
          <w:szCs w:val="24"/>
        </w:rPr>
      </w:pPr>
      <w:r>
        <w:rPr>
          <w:rFonts w:hint="eastAsia" w:ascii="Calibri" w:hAnsi="Calibri"/>
          <w:sz w:val="24"/>
          <w:szCs w:val="24"/>
        </w:rPr>
        <w:t xml:space="preserve">19. 有器械兼容性网络，投标厂家具备≥10000 条的器械灭菌兼容数据库（提供佐证材料） </w:t>
      </w:r>
    </w:p>
    <w:p w14:paraId="56A86EDA">
      <w:pPr>
        <w:tabs>
          <w:tab w:val="left" w:pos="567"/>
        </w:tabs>
        <w:spacing w:before="120" w:line="480" w:lineRule="auto"/>
        <w:ind w:firstLine="480" w:firstLineChars="200"/>
        <w:rPr>
          <w:rFonts w:ascii="Calibri" w:hAnsi="Calibri"/>
          <w:sz w:val="24"/>
          <w:szCs w:val="24"/>
        </w:rPr>
      </w:pPr>
      <w:r>
        <w:rPr>
          <w:rFonts w:hint="eastAsia" w:ascii="Calibri" w:hAnsi="Calibri"/>
          <w:sz w:val="24"/>
          <w:szCs w:val="24"/>
        </w:rPr>
        <w:t>20.设备使用寿命≥10 年（提供设备铭牌照片作为佐证材料）</w:t>
      </w:r>
    </w:p>
    <w:p w14:paraId="452F7C5C">
      <w:pPr>
        <w:tabs>
          <w:tab w:val="left" w:pos="567"/>
        </w:tabs>
        <w:spacing w:before="120" w:line="480" w:lineRule="auto"/>
        <w:ind w:firstLine="480" w:firstLineChars="200"/>
        <w:rPr>
          <w:rFonts w:ascii="Calibri" w:hAnsi="Calibri"/>
          <w:sz w:val="24"/>
          <w:szCs w:val="24"/>
        </w:rPr>
      </w:pPr>
    </w:p>
    <w:p w14:paraId="75509648">
      <w:pPr>
        <w:spacing w:line="460" w:lineRule="exact"/>
        <w:jc w:val="center"/>
        <w:outlineLvl w:val="0"/>
        <w:rPr>
          <w:rFonts w:hint="eastAsia" w:ascii="宋体" w:hAnsi="宋体"/>
          <w:b/>
          <w:snapToGrid w:val="0"/>
          <w:kern w:val="0"/>
          <w:sz w:val="30"/>
          <w:szCs w:val="30"/>
        </w:rPr>
      </w:pPr>
    </w:p>
    <w:p w14:paraId="506F6517">
      <w:pPr>
        <w:spacing w:line="460" w:lineRule="exact"/>
        <w:jc w:val="center"/>
        <w:outlineLvl w:val="0"/>
        <w:rPr>
          <w:rFonts w:hint="eastAsia" w:ascii="宋体" w:hAnsi="宋体"/>
          <w:b/>
          <w:snapToGrid w:val="0"/>
          <w:kern w:val="0"/>
          <w:sz w:val="30"/>
          <w:szCs w:val="30"/>
        </w:rPr>
      </w:pPr>
    </w:p>
    <w:p w14:paraId="2CF48E07">
      <w:pPr>
        <w:spacing w:line="460" w:lineRule="exact"/>
        <w:jc w:val="center"/>
        <w:outlineLvl w:val="0"/>
        <w:rPr>
          <w:rFonts w:hint="eastAsia" w:ascii="宋体" w:hAnsi="宋体"/>
          <w:b/>
          <w:snapToGrid w:val="0"/>
          <w:kern w:val="0"/>
          <w:sz w:val="30"/>
          <w:szCs w:val="30"/>
        </w:rPr>
      </w:pPr>
    </w:p>
    <w:p w14:paraId="00B2FEF0">
      <w:pPr>
        <w:spacing w:line="460" w:lineRule="exact"/>
        <w:jc w:val="center"/>
        <w:outlineLvl w:val="0"/>
        <w:rPr>
          <w:rFonts w:hint="eastAsia" w:ascii="宋体" w:hAnsi="宋体"/>
          <w:b/>
          <w:snapToGrid w:val="0"/>
          <w:kern w:val="0"/>
          <w:sz w:val="30"/>
          <w:szCs w:val="30"/>
        </w:rPr>
      </w:pPr>
    </w:p>
    <w:p w14:paraId="3A80EF00">
      <w:pPr>
        <w:spacing w:line="460" w:lineRule="exact"/>
        <w:jc w:val="center"/>
        <w:outlineLvl w:val="0"/>
        <w:rPr>
          <w:rFonts w:hint="eastAsia" w:ascii="宋体" w:hAnsi="宋体"/>
          <w:b/>
          <w:snapToGrid w:val="0"/>
          <w:kern w:val="0"/>
          <w:sz w:val="30"/>
          <w:szCs w:val="30"/>
        </w:rPr>
      </w:pPr>
    </w:p>
    <w:p w14:paraId="47E8A59C">
      <w:pPr>
        <w:spacing w:line="460" w:lineRule="exact"/>
        <w:jc w:val="center"/>
        <w:outlineLvl w:val="0"/>
        <w:rPr>
          <w:rFonts w:hint="eastAsia" w:ascii="宋体" w:hAnsi="宋体"/>
          <w:b/>
          <w:snapToGrid w:val="0"/>
          <w:kern w:val="0"/>
          <w:sz w:val="30"/>
          <w:szCs w:val="30"/>
        </w:rPr>
      </w:pPr>
    </w:p>
    <w:p w14:paraId="0B33B676">
      <w:pPr>
        <w:spacing w:line="460" w:lineRule="exact"/>
        <w:jc w:val="center"/>
        <w:outlineLvl w:val="0"/>
        <w:rPr>
          <w:rFonts w:hint="eastAsia" w:ascii="宋体" w:hAnsi="宋体"/>
          <w:b/>
          <w:snapToGrid w:val="0"/>
          <w:kern w:val="0"/>
          <w:sz w:val="30"/>
          <w:szCs w:val="30"/>
        </w:rPr>
      </w:pPr>
    </w:p>
    <w:p w14:paraId="1CE6AF8B">
      <w:pPr>
        <w:spacing w:line="460" w:lineRule="exact"/>
        <w:jc w:val="center"/>
        <w:outlineLvl w:val="0"/>
        <w:rPr>
          <w:rFonts w:hint="eastAsia" w:ascii="宋体" w:hAnsi="宋体"/>
          <w:b/>
          <w:snapToGrid w:val="0"/>
          <w:kern w:val="0"/>
          <w:sz w:val="30"/>
          <w:szCs w:val="30"/>
        </w:rPr>
      </w:pPr>
    </w:p>
    <w:p w14:paraId="1CF0EDC7">
      <w:pPr>
        <w:spacing w:line="460" w:lineRule="exact"/>
        <w:jc w:val="center"/>
        <w:outlineLvl w:val="0"/>
        <w:rPr>
          <w:rFonts w:hint="eastAsia" w:ascii="宋体" w:hAnsi="宋体"/>
          <w:b/>
          <w:snapToGrid w:val="0"/>
          <w:kern w:val="0"/>
          <w:sz w:val="30"/>
          <w:szCs w:val="30"/>
        </w:rPr>
      </w:pPr>
    </w:p>
    <w:p w14:paraId="1FA48A85">
      <w:pPr>
        <w:spacing w:line="460" w:lineRule="exact"/>
        <w:jc w:val="center"/>
        <w:outlineLvl w:val="0"/>
        <w:rPr>
          <w:rFonts w:hint="eastAsia" w:ascii="宋体" w:hAnsi="宋体"/>
          <w:b/>
          <w:snapToGrid w:val="0"/>
          <w:kern w:val="0"/>
          <w:sz w:val="30"/>
          <w:szCs w:val="30"/>
        </w:rPr>
      </w:pPr>
    </w:p>
    <w:p w14:paraId="112F2427">
      <w:pPr>
        <w:spacing w:line="460" w:lineRule="exact"/>
        <w:jc w:val="center"/>
        <w:outlineLvl w:val="0"/>
        <w:rPr>
          <w:rFonts w:hint="eastAsia" w:ascii="宋体" w:hAnsi="宋体"/>
          <w:b/>
          <w:snapToGrid w:val="0"/>
          <w:kern w:val="0"/>
          <w:sz w:val="30"/>
          <w:szCs w:val="30"/>
        </w:rPr>
      </w:pPr>
    </w:p>
    <w:p w14:paraId="22CB3D49">
      <w:pPr>
        <w:spacing w:line="460" w:lineRule="exact"/>
        <w:jc w:val="center"/>
        <w:outlineLvl w:val="0"/>
        <w:rPr>
          <w:rFonts w:hint="eastAsia" w:ascii="宋体" w:hAnsi="宋体"/>
          <w:b/>
          <w:snapToGrid w:val="0"/>
          <w:kern w:val="0"/>
          <w:sz w:val="30"/>
          <w:szCs w:val="30"/>
        </w:rPr>
      </w:pPr>
    </w:p>
    <w:p w14:paraId="55C6D131">
      <w:pPr>
        <w:spacing w:line="460" w:lineRule="exact"/>
        <w:jc w:val="center"/>
        <w:outlineLvl w:val="0"/>
        <w:rPr>
          <w:rFonts w:hint="eastAsia" w:ascii="宋体" w:hAnsi="宋体"/>
          <w:b/>
          <w:snapToGrid w:val="0"/>
          <w:kern w:val="0"/>
          <w:sz w:val="30"/>
          <w:szCs w:val="30"/>
        </w:rPr>
      </w:pPr>
    </w:p>
    <w:p w14:paraId="63AEE651">
      <w:pPr>
        <w:spacing w:line="460" w:lineRule="exact"/>
        <w:jc w:val="center"/>
        <w:outlineLvl w:val="0"/>
        <w:rPr>
          <w:rFonts w:hint="eastAsia" w:ascii="宋体" w:hAnsi="宋体"/>
          <w:b/>
          <w:snapToGrid w:val="0"/>
          <w:kern w:val="0"/>
          <w:sz w:val="30"/>
          <w:szCs w:val="30"/>
        </w:rPr>
      </w:pPr>
    </w:p>
    <w:p w14:paraId="3216AE00">
      <w:pPr>
        <w:pStyle w:val="2"/>
        <w:numPr>
          <w:ilvl w:val="0"/>
          <w:numId w:val="6"/>
        </w:numPr>
        <w:jc w:val="center"/>
        <w:rPr>
          <w:rFonts w:hint="eastAsia" w:ascii="宋体" w:hAnsi="宋体" w:eastAsia="宋体" w:cs="宋体"/>
          <w:color w:val="auto"/>
          <w:sz w:val="32"/>
          <w:szCs w:val="32"/>
          <w:highlight w:val="none"/>
        </w:rPr>
      </w:pPr>
      <w:r>
        <w:rPr>
          <w:rFonts w:ascii="宋体" w:hAnsi="宋体"/>
          <w:b/>
          <w:snapToGrid w:val="0"/>
          <w:kern w:val="0"/>
          <w:sz w:val="30"/>
          <w:szCs w:val="30"/>
        </w:rPr>
        <w:t xml:space="preserve"> </w:t>
      </w:r>
      <w:r>
        <w:rPr>
          <w:rFonts w:hint="eastAsia" w:ascii="宋体" w:hAnsi="宋体" w:cs="宋体"/>
          <w:b/>
          <w:bCs/>
          <w:spacing w:val="20"/>
          <w:kern w:val="44"/>
          <w:sz w:val="30"/>
          <w:szCs w:val="30"/>
        </w:rPr>
        <w:t xml:space="preserve"> </w:t>
      </w:r>
      <w:bookmarkEnd w:id="78"/>
      <w:r>
        <w:rPr>
          <w:rFonts w:hint="eastAsia" w:ascii="宋体" w:hAnsi="宋体" w:eastAsia="宋体" w:cs="宋体"/>
          <w:color w:val="auto"/>
          <w:sz w:val="32"/>
          <w:szCs w:val="32"/>
          <w:highlight w:val="none"/>
        </w:rPr>
        <w:t>合同文本</w:t>
      </w:r>
    </w:p>
    <w:p w14:paraId="70E1C99F">
      <w:pPr>
        <w:pStyle w:val="2"/>
        <w:numPr>
          <w:numId w:val="0"/>
        </w:numPr>
        <w:jc w:val="both"/>
        <w:rPr>
          <w:rFonts w:hint="eastAsia" w:ascii="宋体" w:hAnsi="宋体" w:eastAsia="宋体" w:cs="宋体"/>
          <w:b/>
          <w:bCs/>
          <w:color w:val="auto"/>
          <w:spacing w:val="-20"/>
          <w:kern w:val="44"/>
          <w:sz w:val="48"/>
          <w:szCs w:val="48"/>
          <w:highlight w:val="none"/>
        </w:rPr>
      </w:pPr>
      <w:r>
        <w:rPr>
          <w:rFonts w:hint="eastAsia" w:ascii="宋体" w:hAnsi="宋体" w:cs="宋体"/>
          <w:b/>
          <w:bCs/>
          <w:spacing w:val="20"/>
          <w:kern w:val="44"/>
          <w:sz w:val="30"/>
          <w:szCs w:val="30"/>
        </w:rPr>
        <w:t>（</w:t>
      </w:r>
      <w:r>
        <w:rPr>
          <w:rFonts w:hint="eastAsia" w:ascii="宋体" w:hAnsi="宋体" w:cs="宋体"/>
          <w:b/>
          <w:bCs/>
          <w:spacing w:val="20"/>
          <w:kern w:val="44"/>
          <w:sz w:val="30"/>
          <w:szCs w:val="30"/>
          <w:lang w:val="en-US" w:eastAsia="zh-CN"/>
        </w:rPr>
        <w:t>本合同格式仅为示范文本，具体内容以双方协商为准，但内容不得违反法律法规及招标文件实质性要求</w:t>
      </w:r>
      <w:r>
        <w:rPr>
          <w:rFonts w:hint="eastAsia" w:ascii="宋体" w:hAnsi="宋体" w:cs="宋体"/>
          <w:b/>
          <w:bCs/>
          <w:spacing w:val="20"/>
          <w:kern w:val="44"/>
          <w:sz w:val="30"/>
          <w:szCs w:val="30"/>
        </w:rPr>
        <w:t>）</w:t>
      </w:r>
    </w:p>
    <w:p w14:paraId="6F6CA173">
      <w:pPr>
        <w:pStyle w:val="13"/>
        <w:spacing w:after="0"/>
        <w:jc w:val="center"/>
        <w:rPr>
          <w:rFonts w:hint="eastAsia" w:ascii="宋体" w:hAnsi="宋体" w:eastAsia="宋体" w:cs="宋体"/>
          <w:b/>
          <w:bCs/>
          <w:color w:val="auto"/>
          <w:spacing w:val="-20"/>
          <w:kern w:val="44"/>
          <w:sz w:val="48"/>
          <w:szCs w:val="48"/>
          <w:highlight w:val="none"/>
        </w:rPr>
      </w:pPr>
      <w:r>
        <w:rPr>
          <w:rFonts w:hint="eastAsia" w:ascii="宋体" w:hAnsi="宋体" w:eastAsia="宋体" w:cs="宋体"/>
          <w:b/>
          <w:bCs/>
          <w:color w:val="auto"/>
          <w:spacing w:val="-20"/>
          <w:kern w:val="44"/>
          <w:sz w:val="48"/>
          <w:szCs w:val="48"/>
          <w:highlight w:val="none"/>
        </w:rPr>
        <w:t>政府采购</w:t>
      </w:r>
      <w:r>
        <w:rPr>
          <w:rFonts w:hint="eastAsia" w:ascii="宋体" w:hAnsi="宋体" w:eastAsia="宋体" w:cs="宋体"/>
          <w:b/>
          <w:bCs/>
          <w:color w:val="auto"/>
          <w:spacing w:val="-20"/>
          <w:kern w:val="44"/>
          <w:sz w:val="48"/>
          <w:szCs w:val="48"/>
          <w:highlight w:val="none"/>
          <w:lang w:eastAsia="zh-CN"/>
        </w:rPr>
        <w:t>货物买卖</w:t>
      </w:r>
      <w:r>
        <w:rPr>
          <w:rFonts w:hint="eastAsia" w:ascii="宋体" w:hAnsi="宋体" w:eastAsia="宋体" w:cs="宋体"/>
          <w:b/>
          <w:bCs/>
          <w:color w:val="auto"/>
          <w:spacing w:val="-20"/>
          <w:kern w:val="44"/>
          <w:sz w:val="48"/>
          <w:szCs w:val="48"/>
          <w:highlight w:val="none"/>
        </w:rPr>
        <w:t>合同</w:t>
      </w:r>
    </w:p>
    <w:p w14:paraId="27511347">
      <w:pPr>
        <w:pStyle w:val="13"/>
        <w:spacing w:after="0"/>
        <w:jc w:val="center"/>
        <w:rPr>
          <w:rFonts w:hint="eastAsia" w:ascii="宋体" w:hAnsi="宋体" w:eastAsia="宋体" w:cs="宋体"/>
          <w:b/>
          <w:bCs/>
          <w:color w:val="auto"/>
          <w:spacing w:val="-20"/>
          <w:kern w:val="44"/>
          <w:sz w:val="48"/>
          <w:szCs w:val="48"/>
          <w:highlight w:val="none"/>
          <w:lang w:eastAsia="zh-CN"/>
        </w:rPr>
      </w:pPr>
      <w:r>
        <w:rPr>
          <w:rFonts w:hint="eastAsia" w:ascii="宋体" w:hAnsi="宋体" w:eastAsia="宋体" w:cs="宋体"/>
          <w:b/>
          <w:bCs/>
          <w:color w:val="auto"/>
          <w:spacing w:val="-20"/>
          <w:kern w:val="44"/>
          <w:sz w:val="48"/>
          <w:szCs w:val="48"/>
          <w:highlight w:val="none"/>
          <w:lang w:eastAsia="zh-CN"/>
        </w:rPr>
        <w:t>（试行）</w:t>
      </w:r>
    </w:p>
    <w:p w14:paraId="0F9179E2">
      <w:pPr>
        <w:rPr>
          <w:rFonts w:hint="eastAsia" w:ascii="宋体" w:hAnsi="宋体" w:eastAsia="宋体" w:cs="宋体"/>
          <w:b/>
          <w:bCs/>
          <w:color w:val="auto"/>
          <w:spacing w:val="-20"/>
          <w:kern w:val="44"/>
          <w:sz w:val="40"/>
          <w:szCs w:val="40"/>
          <w:highlight w:val="none"/>
        </w:rPr>
      </w:pPr>
    </w:p>
    <w:p w14:paraId="36214BCC">
      <w:pPr>
        <w:rPr>
          <w:rFonts w:hint="eastAsia" w:ascii="宋体" w:hAnsi="宋体" w:eastAsia="宋体" w:cs="宋体"/>
          <w:b/>
          <w:bCs/>
          <w:color w:val="auto"/>
          <w:spacing w:val="-20"/>
          <w:kern w:val="44"/>
          <w:sz w:val="40"/>
          <w:szCs w:val="40"/>
          <w:highlight w:val="none"/>
        </w:rPr>
      </w:pPr>
    </w:p>
    <w:p w14:paraId="7CA73ABB">
      <w:pPr>
        <w:rPr>
          <w:rFonts w:hint="eastAsia" w:ascii="宋体" w:hAnsi="宋体" w:eastAsia="宋体" w:cs="宋体"/>
          <w:b/>
          <w:bCs/>
          <w:color w:val="auto"/>
          <w:spacing w:val="-20"/>
          <w:kern w:val="44"/>
          <w:sz w:val="40"/>
          <w:szCs w:val="40"/>
          <w:highlight w:val="none"/>
        </w:rPr>
      </w:pPr>
    </w:p>
    <w:p w14:paraId="633A9CB8">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rPr>
        <w:t>项目名称：</w:t>
      </w:r>
      <w:r>
        <w:rPr>
          <w:rFonts w:hint="eastAsia" w:ascii="宋体" w:hAnsi="宋体" w:eastAsia="宋体" w:cs="宋体"/>
          <w:color w:val="auto"/>
          <w:sz w:val="32"/>
          <w:szCs w:val="32"/>
          <w:highlight w:val="none"/>
          <w:u w:val="single"/>
        </w:rPr>
        <w:t xml:space="preserve">                             </w:t>
      </w:r>
    </w:p>
    <w:p w14:paraId="3EE0E235">
      <w:pPr>
        <w:spacing w:line="360" w:lineRule="auto"/>
        <w:ind w:left="42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合同编号：</w:t>
      </w:r>
      <w:r>
        <w:rPr>
          <w:rFonts w:hint="eastAsia" w:ascii="宋体" w:hAnsi="宋体" w:eastAsia="宋体" w:cs="宋体"/>
          <w:color w:val="auto"/>
          <w:sz w:val="32"/>
          <w:szCs w:val="32"/>
          <w:highlight w:val="none"/>
          <w:u w:val="single"/>
        </w:rPr>
        <w:t xml:space="preserve">                             </w:t>
      </w:r>
    </w:p>
    <w:p w14:paraId="572C0646">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甲    方：</w:t>
      </w:r>
      <w:r>
        <w:rPr>
          <w:rFonts w:hint="eastAsia" w:ascii="宋体" w:hAnsi="宋体" w:eastAsia="宋体" w:cs="宋体"/>
          <w:color w:val="auto"/>
          <w:sz w:val="32"/>
          <w:szCs w:val="32"/>
          <w:highlight w:val="none"/>
          <w:u w:val="single"/>
        </w:rPr>
        <w:t xml:space="preserve">                             </w:t>
      </w:r>
    </w:p>
    <w:p w14:paraId="7E5CDCD6">
      <w:pPr>
        <w:spacing w:line="360" w:lineRule="auto"/>
        <w:ind w:left="42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乙    方：</w:t>
      </w:r>
      <w:r>
        <w:rPr>
          <w:rFonts w:hint="eastAsia" w:ascii="宋体" w:hAnsi="宋体" w:eastAsia="宋体" w:cs="宋体"/>
          <w:color w:val="auto"/>
          <w:sz w:val="32"/>
          <w:szCs w:val="32"/>
          <w:highlight w:val="none"/>
          <w:u w:val="single"/>
        </w:rPr>
        <w:t xml:space="preserve">                             </w:t>
      </w:r>
    </w:p>
    <w:p w14:paraId="020769C8">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签订时间：</w:t>
      </w:r>
      <w:r>
        <w:rPr>
          <w:rFonts w:hint="eastAsia" w:ascii="宋体" w:hAnsi="宋体" w:eastAsia="宋体" w:cs="宋体"/>
          <w:color w:val="auto"/>
          <w:sz w:val="32"/>
          <w:szCs w:val="32"/>
          <w:highlight w:val="none"/>
          <w:u w:val="single"/>
        </w:rPr>
        <w:t xml:space="preserve">                             </w:t>
      </w:r>
    </w:p>
    <w:p w14:paraId="1AE41146">
      <w:pPr>
        <w:rPr>
          <w:rFonts w:hint="eastAsia" w:ascii="宋体" w:hAnsi="宋体" w:eastAsia="宋体" w:cs="宋体"/>
          <w:b/>
          <w:bCs/>
          <w:color w:val="auto"/>
          <w:sz w:val="24"/>
          <w:highlight w:val="none"/>
        </w:rPr>
      </w:pPr>
    </w:p>
    <w:p w14:paraId="7596915F">
      <w:pPr>
        <w:rPr>
          <w:rFonts w:hint="eastAsia" w:ascii="宋体" w:hAnsi="宋体" w:eastAsia="宋体" w:cs="宋体"/>
          <w:b/>
          <w:bCs/>
          <w:color w:val="auto"/>
          <w:sz w:val="24"/>
          <w:highlight w:val="none"/>
        </w:rPr>
      </w:pPr>
    </w:p>
    <w:p w14:paraId="326CD9B9">
      <w:pPr>
        <w:rPr>
          <w:rFonts w:hint="eastAsia" w:ascii="宋体" w:hAnsi="宋体" w:eastAsia="宋体" w:cs="宋体"/>
          <w:b/>
          <w:bCs/>
          <w:color w:val="auto"/>
          <w:sz w:val="24"/>
          <w:highlight w:val="none"/>
        </w:rPr>
      </w:pPr>
    </w:p>
    <w:p w14:paraId="227150E9">
      <w:pPr>
        <w:rPr>
          <w:rFonts w:hint="eastAsia" w:ascii="宋体" w:hAnsi="宋体" w:eastAsia="宋体" w:cs="宋体"/>
          <w:b/>
          <w:bCs/>
          <w:color w:val="auto"/>
          <w:sz w:val="24"/>
          <w:highlight w:val="none"/>
        </w:rPr>
      </w:pPr>
    </w:p>
    <w:p w14:paraId="6976665E">
      <w:pPr>
        <w:rPr>
          <w:rFonts w:hint="eastAsia" w:ascii="宋体" w:hAnsi="宋体" w:eastAsia="宋体" w:cs="宋体"/>
          <w:b/>
          <w:bCs/>
          <w:color w:val="auto"/>
          <w:sz w:val="24"/>
          <w:highlight w:val="none"/>
        </w:rPr>
      </w:pPr>
    </w:p>
    <w:p w14:paraId="12048D25">
      <w:pPr>
        <w:rPr>
          <w:rFonts w:hint="eastAsia" w:ascii="宋体" w:hAnsi="宋体" w:eastAsia="宋体" w:cs="宋体"/>
          <w:b/>
          <w:bCs/>
          <w:color w:val="auto"/>
          <w:sz w:val="24"/>
          <w:highlight w:val="none"/>
        </w:rPr>
      </w:pPr>
    </w:p>
    <w:p w14:paraId="691BB63D">
      <w:pPr>
        <w:rPr>
          <w:rFonts w:hint="eastAsia" w:ascii="宋体" w:hAnsi="宋体" w:eastAsia="宋体" w:cs="宋体"/>
          <w:b/>
          <w:bCs/>
          <w:color w:val="auto"/>
          <w:sz w:val="24"/>
          <w:highlight w:val="none"/>
        </w:rPr>
      </w:pPr>
    </w:p>
    <w:p w14:paraId="7C042D08">
      <w:pPr>
        <w:rPr>
          <w:rFonts w:hint="eastAsia" w:ascii="宋体" w:hAnsi="宋体" w:eastAsia="宋体" w:cs="宋体"/>
          <w:b/>
          <w:bCs/>
          <w:color w:val="auto"/>
          <w:sz w:val="24"/>
          <w:highlight w:val="none"/>
        </w:rPr>
      </w:pPr>
    </w:p>
    <w:p w14:paraId="54578313">
      <w:pPr>
        <w:rPr>
          <w:rFonts w:hint="eastAsia" w:ascii="宋体" w:hAnsi="宋体" w:eastAsia="宋体" w:cs="宋体"/>
          <w:b/>
          <w:bCs/>
          <w:color w:val="auto"/>
          <w:sz w:val="24"/>
          <w:highlight w:val="none"/>
        </w:rPr>
      </w:pPr>
    </w:p>
    <w:p w14:paraId="71C4052B">
      <w:pPr>
        <w:rPr>
          <w:rFonts w:hint="eastAsia" w:ascii="宋体" w:hAnsi="宋体" w:eastAsia="宋体" w:cs="宋体"/>
          <w:b/>
          <w:bCs/>
          <w:color w:val="auto"/>
          <w:sz w:val="24"/>
          <w:highlight w:val="none"/>
        </w:rPr>
      </w:pPr>
    </w:p>
    <w:p w14:paraId="0D69F407">
      <w:pPr>
        <w:rPr>
          <w:rFonts w:hint="eastAsia" w:ascii="宋体" w:hAnsi="宋体" w:eastAsia="宋体" w:cs="宋体"/>
          <w:b/>
          <w:bCs/>
          <w:color w:val="auto"/>
          <w:sz w:val="24"/>
          <w:highlight w:val="none"/>
        </w:rPr>
      </w:pPr>
    </w:p>
    <w:p w14:paraId="3DC81EC9">
      <w:pPr>
        <w:rPr>
          <w:rFonts w:hint="eastAsia" w:ascii="宋体" w:hAnsi="宋体" w:eastAsia="宋体" w:cs="宋体"/>
          <w:b/>
          <w:bCs/>
          <w:color w:val="auto"/>
          <w:sz w:val="24"/>
          <w:highlight w:val="none"/>
        </w:rPr>
      </w:pPr>
    </w:p>
    <w:p w14:paraId="1621B35B">
      <w:pPr>
        <w:rPr>
          <w:rFonts w:hint="eastAsia" w:ascii="宋体" w:hAnsi="宋体" w:eastAsia="宋体" w:cs="宋体"/>
          <w:b/>
          <w:bCs/>
          <w:color w:val="auto"/>
          <w:sz w:val="24"/>
          <w:highlight w:val="none"/>
        </w:rPr>
      </w:pPr>
    </w:p>
    <w:p w14:paraId="26C12558">
      <w:pPr>
        <w:rPr>
          <w:rFonts w:hint="eastAsia" w:ascii="宋体" w:hAnsi="宋体" w:eastAsia="宋体" w:cs="宋体"/>
          <w:b/>
          <w:bCs/>
          <w:color w:val="auto"/>
          <w:sz w:val="24"/>
          <w:highlight w:val="none"/>
        </w:rPr>
      </w:pPr>
    </w:p>
    <w:p w14:paraId="7BE41B16">
      <w:pPr>
        <w:jc w:val="center"/>
        <w:rPr>
          <w:rFonts w:hint="eastAsia" w:ascii="宋体" w:hAnsi="宋体" w:eastAsia="宋体" w:cs="宋体"/>
          <w:color w:val="auto"/>
          <w:sz w:val="44"/>
          <w:szCs w:val="44"/>
          <w:highlight w:val="none"/>
          <w:lang w:eastAsia="zh-CN"/>
        </w:rPr>
      </w:pPr>
    </w:p>
    <w:p w14:paraId="2DB4491F">
      <w:pPr>
        <w:jc w:val="center"/>
        <w:rPr>
          <w:rFonts w:hint="eastAsia" w:ascii="宋体" w:hAnsi="宋体" w:eastAsia="宋体" w:cs="宋体"/>
          <w:color w:val="auto"/>
          <w:sz w:val="44"/>
          <w:szCs w:val="44"/>
          <w:highlight w:val="none"/>
          <w:lang w:eastAsia="zh-CN"/>
        </w:rPr>
      </w:pPr>
      <w:r>
        <w:rPr>
          <w:rFonts w:hint="eastAsia" w:ascii="宋体" w:hAnsi="宋体" w:eastAsia="宋体" w:cs="宋体"/>
          <w:color w:val="auto"/>
          <w:sz w:val="44"/>
          <w:szCs w:val="44"/>
          <w:highlight w:val="none"/>
          <w:lang w:eastAsia="zh-CN"/>
        </w:rPr>
        <w:t>使</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lang w:eastAsia="zh-CN"/>
        </w:rPr>
        <w:t>用</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lang w:eastAsia="zh-CN"/>
        </w:rPr>
        <w:t>说</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lang w:eastAsia="zh-CN"/>
        </w:rPr>
        <w:t>明</w:t>
      </w:r>
    </w:p>
    <w:p w14:paraId="060EF59F">
      <w:pPr>
        <w:ind w:firstLine="640" w:firstLineChars="200"/>
        <w:rPr>
          <w:rFonts w:hint="eastAsia" w:ascii="宋体" w:hAnsi="宋体" w:eastAsia="宋体" w:cs="宋体"/>
          <w:color w:val="auto"/>
          <w:sz w:val="32"/>
          <w:szCs w:val="32"/>
          <w:highlight w:val="none"/>
          <w:lang w:val="en-US" w:eastAsia="zh-CN"/>
        </w:rPr>
      </w:pPr>
    </w:p>
    <w:p w14:paraId="2EA5F235">
      <w:pPr>
        <w:pStyle w:val="55"/>
        <w:rPr>
          <w:rFonts w:hint="eastAsia" w:ascii="宋体" w:hAnsi="宋体" w:eastAsia="宋体" w:cs="宋体"/>
          <w:color w:val="auto"/>
          <w:highlight w:val="none"/>
          <w:lang w:val="en-US" w:eastAsia="zh-CN"/>
        </w:rPr>
      </w:pPr>
    </w:p>
    <w:p w14:paraId="79E23A17">
      <w:pPr>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1.本合同标准文本适用于购买现成货物的采购项目，不包括需要供应商定制开发、创新研发的货物采购项目。</w:t>
      </w:r>
    </w:p>
    <w:p w14:paraId="7C9E1E9B">
      <w:pPr>
        <w:ind w:firstLine="0" w:firstLineChars="0"/>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32"/>
          <w:szCs w:val="32"/>
          <w:highlight w:val="none"/>
          <w:lang w:val="en-US" w:eastAsia="zh-CN"/>
        </w:rPr>
        <w:t>2.本合同标准文本为政府采购货物买卖合同编制提供参考，可以结合采购项目具体情况，对文本作必要的调整修订后使用。</w:t>
      </w:r>
    </w:p>
    <w:p w14:paraId="573C1DFB">
      <w:pPr>
        <w:ind w:firstLine="640" w:firstLineChars="200"/>
        <w:rPr>
          <w:rFonts w:hint="eastAsia" w:ascii="宋体" w:hAnsi="宋体" w:eastAsia="宋体" w:cs="宋体"/>
          <w:b/>
          <w:bCs/>
          <w:color w:val="auto"/>
          <w:sz w:val="24"/>
          <w:highlight w:val="none"/>
        </w:rPr>
      </w:pPr>
      <w:r>
        <w:rPr>
          <w:rFonts w:hint="eastAsia" w:ascii="宋体" w:hAnsi="宋体" w:eastAsia="宋体" w:cs="宋体"/>
          <w:color w:val="auto"/>
          <w:sz w:val="32"/>
          <w:szCs w:val="32"/>
          <w:highlight w:val="none"/>
          <w:lang w:val="en-US" w:eastAsia="zh-CN"/>
        </w:rPr>
        <w:t>3.本合同标准文本各条款中，如涉及填写多家供应商、制造商，多种采购标的、分包主要内容等信息的，可根据采购项目具体情况添加信息项。</w:t>
      </w:r>
    </w:p>
    <w:p w14:paraId="7632FD5E">
      <w:pPr>
        <w:rPr>
          <w:rFonts w:hint="eastAsia" w:ascii="宋体" w:hAnsi="宋体" w:eastAsia="宋体" w:cs="宋体"/>
          <w:b/>
          <w:bCs/>
          <w:color w:val="auto"/>
          <w:sz w:val="24"/>
          <w:highlight w:val="none"/>
        </w:rPr>
      </w:pPr>
    </w:p>
    <w:p w14:paraId="7A1F6D67">
      <w:pPr>
        <w:rPr>
          <w:rFonts w:hint="eastAsia" w:ascii="宋体" w:hAnsi="宋体" w:eastAsia="宋体" w:cs="宋体"/>
          <w:b/>
          <w:bCs/>
          <w:color w:val="auto"/>
          <w:sz w:val="24"/>
          <w:highlight w:val="none"/>
        </w:rPr>
      </w:pPr>
    </w:p>
    <w:p w14:paraId="3BF7665D">
      <w:pPr>
        <w:rPr>
          <w:rFonts w:hint="eastAsia" w:ascii="宋体" w:hAnsi="宋体" w:eastAsia="宋体" w:cs="宋体"/>
          <w:b/>
          <w:bCs/>
          <w:color w:val="auto"/>
          <w:sz w:val="24"/>
          <w:highlight w:val="none"/>
        </w:rPr>
      </w:pPr>
    </w:p>
    <w:p w14:paraId="7572D260">
      <w:pPr>
        <w:rPr>
          <w:rFonts w:hint="eastAsia" w:ascii="宋体" w:hAnsi="宋体" w:eastAsia="宋体" w:cs="宋体"/>
          <w:b/>
          <w:bCs/>
          <w:color w:val="auto"/>
          <w:sz w:val="24"/>
          <w:highlight w:val="none"/>
        </w:rPr>
      </w:pPr>
    </w:p>
    <w:p w14:paraId="44111279">
      <w:pPr>
        <w:rPr>
          <w:rFonts w:hint="eastAsia" w:ascii="宋体" w:hAnsi="宋体" w:eastAsia="宋体" w:cs="宋体"/>
          <w:b/>
          <w:bCs/>
          <w:color w:val="auto"/>
          <w:sz w:val="24"/>
          <w:highlight w:val="none"/>
        </w:rPr>
      </w:pPr>
    </w:p>
    <w:p w14:paraId="4F3E592B">
      <w:pPr>
        <w:rPr>
          <w:rFonts w:hint="eastAsia" w:ascii="宋体" w:hAnsi="宋体" w:eastAsia="宋体" w:cs="宋体"/>
          <w:b/>
          <w:bCs/>
          <w:color w:val="auto"/>
          <w:sz w:val="24"/>
          <w:highlight w:val="none"/>
        </w:rPr>
      </w:pPr>
    </w:p>
    <w:p w14:paraId="7FD646B6">
      <w:pPr>
        <w:rPr>
          <w:rFonts w:hint="eastAsia" w:ascii="宋体" w:hAnsi="宋体" w:eastAsia="宋体" w:cs="宋体"/>
          <w:b/>
          <w:bCs/>
          <w:color w:val="auto"/>
          <w:sz w:val="24"/>
          <w:highlight w:val="none"/>
        </w:rPr>
      </w:pPr>
    </w:p>
    <w:p w14:paraId="7B4BE65C">
      <w:pPr>
        <w:rPr>
          <w:rFonts w:hint="eastAsia" w:ascii="宋体" w:hAnsi="宋体" w:eastAsia="宋体" w:cs="宋体"/>
          <w:b/>
          <w:bCs/>
          <w:color w:val="auto"/>
          <w:sz w:val="24"/>
          <w:highlight w:val="none"/>
        </w:rPr>
      </w:pPr>
    </w:p>
    <w:p w14:paraId="108169E8">
      <w:pPr>
        <w:rPr>
          <w:rFonts w:hint="eastAsia" w:ascii="宋体" w:hAnsi="宋体" w:eastAsia="宋体" w:cs="宋体"/>
          <w:b/>
          <w:bCs/>
          <w:color w:val="auto"/>
          <w:sz w:val="24"/>
          <w:highlight w:val="none"/>
        </w:rPr>
      </w:pPr>
    </w:p>
    <w:p w14:paraId="2CEF76CF">
      <w:pPr>
        <w:rPr>
          <w:rFonts w:hint="eastAsia" w:ascii="宋体" w:hAnsi="宋体" w:eastAsia="宋体" w:cs="宋体"/>
          <w:b/>
          <w:bCs/>
          <w:color w:val="auto"/>
          <w:sz w:val="24"/>
          <w:highlight w:val="none"/>
        </w:rPr>
      </w:pPr>
    </w:p>
    <w:p w14:paraId="55590426">
      <w:pPr>
        <w:rPr>
          <w:rFonts w:hint="eastAsia" w:ascii="宋体" w:hAnsi="宋体" w:eastAsia="宋体" w:cs="宋体"/>
          <w:b/>
          <w:bCs/>
          <w:color w:val="auto"/>
          <w:sz w:val="24"/>
          <w:highlight w:val="none"/>
        </w:rPr>
      </w:pPr>
    </w:p>
    <w:p w14:paraId="699B1E6C">
      <w:pPr>
        <w:rPr>
          <w:rFonts w:hint="eastAsia" w:ascii="宋体" w:hAnsi="宋体" w:eastAsia="宋体" w:cs="宋体"/>
          <w:b/>
          <w:bCs/>
          <w:color w:val="auto"/>
          <w:sz w:val="24"/>
          <w:highlight w:val="none"/>
        </w:rPr>
      </w:pPr>
    </w:p>
    <w:p w14:paraId="39FCFD4B">
      <w:pPr>
        <w:rPr>
          <w:rFonts w:hint="eastAsia" w:ascii="宋体" w:hAnsi="宋体" w:eastAsia="宋体" w:cs="宋体"/>
          <w:b/>
          <w:bCs/>
          <w:color w:val="auto"/>
          <w:sz w:val="24"/>
          <w:highlight w:val="none"/>
        </w:rPr>
      </w:pPr>
    </w:p>
    <w:p w14:paraId="45DD6D74">
      <w:pPr>
        <w:rPr>
          <w:rFonts w:hint="eastAsia" w:ascii="宋体" w:hAnsi="宋体" w:eastAsia="宋体" w:cs="宋体"/>
          <w:b/>
          <w:bCs/>
          <w:color w:val="auto"/>
          <w:sz w:val="24"/>
          <w:highlight w:val="none"/>
        </w:rPr>
      </w:pPr>
    </w:p>
    <w:p w14:paraId="7942DA28">
      <w:pPr>
        <w:rPr>
          <w:rFonts w:hint="eastAsia" w:ascii="宋体" w:hAnsi="宋体" w:eastAsia="宋体" w:cs="宋体"/>
          <w:b/>
          <w:bCs/>
          <w:color w:val="auto"/>
          <w:sz w:val="24"/>
          <w:highlight w:val="none"/>
        </w:rPr>
      </w:pPr>
    </w:p>
    <w:p w14:paraId="46909DDB">
      <w:pPr>
        <w:rPr>
          <w:rFonts w:hint="eastAsia" w:ascii="宋体" w:hAnsi="宋体" w:eastAsia="宋体" w:cs="宋体"/>
          <w:b/>
          <w:bCs/>
          <w:color w:val="auto"/>
          <w:sz w:val="24"/>
          <w:highlight w:val="none"/>
        </w:rPr>
      </w:pPr>
    </w:p>
    <w:p w14:paraId="519E3B68">
      <w:pPr>
        <w:rPr>
          <w:rFonts w:hint="eastAsia" w:ascii="宋体" w:hAnsi="宋体" w:eastAsia="宋体" w:cs="宋体"/>
          <w:b/>
          <w:bCs/>
          <w:color w:val="auto"/>
          <w:sz w:val="24"/>
          <w:highlight w:val="none"/>
        </w:rPr>
      </w:pPr>
    </w:p>
    <w:p w14:paraId="7B9F435E">
      <w:pPr>
        <w:rPr>
          <w:rFonts w:hint="eastAsia" w:ascii="宋体" w:hAnsi="宋体" w:eastAsia="宋体" w:cs="宋体"/>
          <w:b/>
          <w:bCs/>
          <w:color w:val="auto"/>
          <w:sz w:val="24"/>
          <w:highlight w:val="none"/>
        </w:rPr>
      </w:pPr>
    </w:p>
    <w:p w14:paraId="75CD8376">
      <w:pPr>
        <w:rPr>
          <w:rFonts w:hint="eastAsia" w:ascii="宋体" w:hAnsi="宋体" w:eastAsia="宋体" w:cs="宋体"/>
          <w:b/>
          <w:bCs/>
          <w:color w:val="auto"/>
          <w:sz w:val="24"/>
          <w:highlight w:val="none"/>
        </w:rPr>
      </w:pPr>
    </w:p>
    <w:p w14:paraId="531B5B1D">
      <w:pPr>
        <w:rPr>
          <w:rFonts w:hint="eastAsia" w:ascii="宋体" w:hAnsi="宋体" w:eastAsia="宋体" w:cs="宋体"/>
          <w:b/>
          <w:bCs/>
          <w:color w:val="auto"/>
          <w:sz w:val="24"/>
          <w:highlight w:val="none"/>
        </w:rPr>
      </w:pPr>
    </w:p>
    <w:p w14:paraId="6F3CA6CE">
      <w:pPr>
        <w:rPr>
          <w:rFonts w:hint="eastAsia" w:ascii="宋体" w:hAnsi="宋体" w:eastAsia="宋体" w:cs="宋体"/>
          <w:b/>
          <w:bCs/>
          <w:color w:val="auto"/>
          <w:sz w:val="24"/>
          <w:highlight w:val="none"/>
        </w:rPr>
      </w:pPr>
    </w:p>
    <w:p w14:paraId="32DC3539">
      <w:pPr>
        <w:pStyle w:val="22"/>
        <w:tabs>
          <w:tab w:val="right" w:leader="middleDot" w:pos="7350"/>
          <w:tab w:val="right" w:leader="middleDot" w:pos="7392"/>
        </w:tabs>
        <w:rPr>
          <w:rFonts w:hint="eastAsia" w:ascii="宋体" w:hAnsi="宋体" w:eastAsia="宋体" w:cs="宋体"/>
          <w:b/>
          <w:bCs/>
          <w:color w:val="auto"/>
          <w:sz w:val="24"/>
          <w:highlight w:val="none"/>
        </w:rPr>
      </w:pPr>
    </w:p>
    <w:p w14:paraId="4DB89E58">
      <w:pPr>
        <w:pStyle w:val="3"/>
        <w:numPr>
          <w:ilvl w:val="1"/>
          <w:numId w:val="0"/>
        </w:numPr>
        <w:adjustRightInd w:val="0"/>
        <w:snapToGrid w:val="0"/>
        <w:spacing w:beforeLines="0" w:line="400" w:lineRule="exact"/>
        <w:jc w:val="center"/>
        <w:rPr>
          <w:rFonts w:hint="eastAsia" w:ascii="宋体" w:hAnsi="宋体" w:eastAsia="宋体" w:cs="宋体"/>
          <w:b/>
          <w:bCs/>
          <w:color w:val="auto"/>
          <w:sz w:val="28"/>
          <w:szCs w:val="28"/>
          <w:highlight w:val="none"/>
        </w:rPr>
      </w:pPr>
      <w:bookmarkStart w:id="86" w:name="_Toc22209"/>
      <w:r>
        <w:rPr>
          <w:rFonts w:hint="eastAsia" w:ascii="宋体" w:hAnsi="宋体" w:eastAsia="宋体" w:cs="宋体"/>
          <w:b/>
          <w:bCs/>
          <w:color w:val="auto"/>
          <w:sz w:val="28"/>
          <w:szCs w:val="28"/>
          <w:highlight w:val="none"/>
        </w:rPr>
        <w:t>第一节 政府采购合同协议书</w:t>
      </w:r>
      <w:bookmarkEnd w:id="86"/>
    </w:p>
    <w:p w14:paraId="7E325FFB">
      <w:pPr>
        <w:pStyle w:val="3"/>
        <w:numPr>
          <w:ilvl w:val="1"/>
          <w:numId w:val="0"/>
        </w:numPr>
        <w:adjustRightInd w:val="0"/>
        <w:snapToGrid w:val="0"/>
        <w:spacing w:beforeLines="0" w:line="400" w:lineRule="exact"/>
        <w:ind w:left="288" w:leftChars="0"/>
        <w:jc w:val="both"/>
        <w:rPr>
          <w:rFonts w:hint="eastAsia" w:ascii="宋体" w:hAnsi="宋体" w:eastAsia="宋体" w:cs="宋体"/>
          <w:b w:val="0"/>
          <w:bCs w:val="0"/>
          <w:color w:val="auto"/>
          <w:sz w:val="28"/>
          <w:szCs w:val="28"/>
          <w:highlight w:val="none"/>
        </w:rPr>
      </w:pPr>
    </w:p>
    <w:p w14:paraId="4B22AA9E">
      <w:pPr>
        <w:adjustRightInd w:val="0"/>
        <w:snapToGrid w:val="0"/>
        <w:spacing w:before="0" w:beforeLines="0"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（采购人</w:t>
      </w:r>
      <w:r>
        <w:rPr>
          <w:rFonts w:hint="eastAsia" w:ascii="宋体" w:hAnsi="宋体" w:eastAsia="宋体" w:cs="宋体"/>
          <w:color w:val="auto"/>
          <w:szCs w:val="21"/>
          <w:highlight w:val="none"/>
          <w:lang w:eastAsia="zh-CN"/>
        </w:rPr>
        <w:t>、受采购人委托签订合同的单位</w:t>
      </w:r>
      <w:r>
        <w:rPr>
          <w:rFonts w:hint="eastAsia" w:ascii="宋体" w:hAnsi="宋体" w:eastAsia="宋体" w:cs="宋体"/>
          <w:color w:val="auto"/>
          <w:szCs w:val="21"/>
          <w:highlight w:val="none"/>
        </w:rPr>
        <w:t>或采购</w:t>
      </w:r>
      <w:r>
        <w:rPr>
          <w:rFonts w:hint="eastAsia" w:ascii="宋体" w:hAnsi="宋体" w:eastAsia="宋体" w:cs="宋体"/>
          <w:color w:val="auto"/>
          <w:szCs w:val="21"/>
          <w:highlight w:val="none"/>
          <w:lang w:val="en-US" w:eastAsia="zh-CN"/>
        </w:rPr>
        <w:tab/>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文件约定的合同甲方）</w:t>
      </w:r>
    </w:p>
    <w:p w14:paraId="34056E7C">
      <w:pPr>
        <w:adjustRightInd w:val="0"/>
        <w:snapToGrid w:val="0"/>
        <w:spacing w:before="0" w:beforeLines="0"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（供应商）</w:t>
      </w:r>
    </w:p>
    <w:p w14:paraId="3A58C494">
      <w:pPr>
        <w:adjustRightInd w:val="0"/>
        <w:snapToGrid w:val="0"/>
        <w:spacing w:before="0" w:beforeLines="0"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乙方2（全称）：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（联合体成员供应商或其他合同主体）（如有）</w:t>
      </w:r>
    </w:p>
    <w:p w14:paraId="2AB4F220">
      <w:pPr>
        <w:adjustRightInd w:val="0"/>
        <w:snapToGrid w:val="0"/>
        <w:spacing w:before="0" w:beforeLines="0" w:line="400" w:lineRule="exact"/>
        <w:rPr>
          <w:rFonts w:hint="eastAsia" w:ascii="宋体" w:hAnsi="宋体" w:eastAsia="宋体" w:cs="宋体"/>
          <w:color w:val="auto"/>
          <w:szCs w:val="21"/>
          <w:highlight w:val="none"/>
        </w:rPr>
      </w:pPr>
      <w:r>
        <w:rPr>
          <w:rFonts w:hint="eastAsia" w:ascii="宋体" w:hAnsi="宋体" w:eastAsia="宋体" w:cs="宋体"/>
          <w:color w:val="auto"/>
          <w:highlight w:val="none"/>
          <w:lang w:eastAsia="zh-CN"/>
        </w:rPr>
        <w:t>乙方</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lang w:val="en-US" w:eastAsia="zh-CN"/>
        </w:rPr>
        <w:t>（全称）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（联合体成员供应商或其他合同主体）（如有）</w:t>
      </w:r>
    </w:p>
    <w:p w14:paraId="0A13A43C">
      <w:pPr>
        <w:spacing w:beforeLines="0" w:line="400" w:lineRule="exact"/>
        <w:rPr>
          <w:rFonts w:hint="eastAsia" w:ascii="宋体" w:hAnsi="宋体" w:eastAsia="宋体" w:cs="宋体"/>
          <w:color w:val="auto"/>
          <w:highlight w:val="none"/>
          <w:lang w:val="en-US" w:eastAsia="zh-CN"/>
        </w:rPr>
      </w:pPr>
    </w:p>
    <w:p w14:paraId="035150A5">
      <w:pPr>
        <w:pStyle w:val="14"/>
        <w:adjustRightInd w:val="0"/>
        <w:snapToGrid w:val="0"/>
        <w:spacing w:before="0" w:beforeLines="0" w:after="0" w:line="400" w:lineRule="exact"/>
        <w:ind w:left="0" w:leftChars="0" w:firstLine="6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依据《中华人民共和国民法典》</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《中华人民共和国政府采购法》等有关的法律法规，以及</w:t>
      </w:r>
      <w:r>
        <w:rPr>
          <w:rFonts w:hint="eastAsia" w:ascii="宋体" w:hAnsi="宋体" w:eastAsia="宋体" w:cs="宋体"/>
          <w:i w:val="0"/>
          <w:iCs w:val="0"/>
          <w:color w:val="auto"/>
          <w:szCs w:val="21"/>
          <w:highlight w:val="none"/>
          <w:u w:val="none"/>
          <w:lang w:eastAsia="zh-CN"/>
        </w:rPr>
        <w:t>本采购项目</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招标</w:t>
      </w:r>
      <w:r>
        <w:rPr>
          <w:rFonts w:hint="eastAsia" w:ascii="宋体" w:hAnsi="宋体" w:eastAsia="宋体" w:cs="宋体"/>
          <w:color w:val="auto"/>
          <w:szCs w:val="21"/>
          <w:highlight w:val="none"/>
          <w:lang w:val="en-US" w:eastAsia="zh-CN"/>
        </w:rPr>
        <w:t>/谈判</w:t>
      </w:r>
      <w:r>
        <w:rPr>
          <w:rFonts w:hint="eastAsia" w:ascii="宋体" w:hAnsi="宋体" w:eastAsia="宋体" w:cs="宋体"/>
          <w:color w:val="auto"/>
          <w:szCs w:val="21"/>
          <w:highlight w:val="none"/>
          <w:lang w:eastAsia="zh-CN"/>
        </w:rPr>
        <w:t>文件等</w:t>
      </w:r>
      <w:r>
        <w:rPr>
          <w:rFonts w:hint="eastAsia" w:ascii="宋体" w:hAnsi="宋体" w:eastAsia="宋体" w:cs="宋体"/>
          <w:color w:val="auto"/>
          <w:szCs w:val="21"/>
          <w:highlight w:val="none"/>
        </w:rPr>
        <w:t>采购文件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乙方的《投标（响应）文件》及《中标（成交）通知书》，甲乙双方同意签订本合同。具体情况及要求如下：     </w:t>
      </w:r>
    </w:p>
    <w:p w14:paraId="273C5734">
      <w:pPr>
        <w:numPr>
          <w:ilvl w:val="0"/>
          <w:numId w:val="7"/>
        </w:numPr>
        <w:adjustRightInd w:val="0"/>
        <w:snapToGrid w:val="0"/>
        <w:spacing w:before="0" w:beforeLines="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项目信息</w:t>
      </w:r>
    </w:p>
    <w:p w14:paraId="4BE0F912">
      <w:pPr>
        <w:pStyle w:val="14"/>
        <w:numPr>
          <w:ilvl w:val="0"/>
          <w:numId w:val="8"/>
        </w:numPr>
        <w:adjustRightInd w:val="0"/>
        <w:snapToGrid w:val="0"/>
        <w:spacing w:before="0" w:beforeLines="0" w:after="0" w:line="400" w:lineRule="exact"/>
        <w:ind w:left="0" w:leftChars="0" w:firstLine="64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采购项目名称：</w:t>
      </w:r>
      <w:r>
        <w:rPr>
          <w:rFonts w:hint="eastAsia" w:ascii="宋体" w:hAnsi="宋体" w:eastAsia="宋体" w:cs="宋体"/>
          <w:color w:val="auto"/>
          <w:szCs w:val="21"/>
          <w:highlight w:val="none"/>
          <w:u w:val="single"/>
        </w:rPr>
        <w:t xml:space="preserve">                                          </w:t>
      </w:r>
    </w:p>
    <w:p w14:paraId="233A9D86">
      <w:pPr>
        <w:pStyle w:val="14"/>
        <w:numPr>
          <w:ilvl w:val="-1"/>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 xml:space="preserve">         采购项目编号：</w:t>
      </w:r>
      <w:r>
        <w:rPr>
          <w:rFonts w:hint="eastAsia" w:ascii="宋体" w:hAnsi="宋体" w:eastAsia="宋体" w:cs="宋体"/>
          <w:color w:val="auto"/>
          <w:szCs w:val="21"/>
          <w:highlight w:val="none"/>
          <w:u w:val="single"/>
        </w:rPr>
        <w:t xml:space="preserve">                                          </w:t>
      </w:r>
    </w:p>
    <w:p w14:paraId="09011564">
      <w:pPr>
        <w:pStyle w:val="14"/>
        <w:adjustRightInd w:val="0"/>
        <w:snapToGrid w:val="0"/>
        <w:spacing w:before="0" w:beforeLines="0" w:after="0" w:line="400" w:lineRule="exact"/>
        <w:ind w:left="0" w:leftChars="0" w:firstLine="6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（2）采购计划编号：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8ED7C97">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（3）项目内容：</w:t>
      </w:r>
    </w:p>
    <w:p w14:paraId="2078913D">
      <w:pPr>
        <w:adjustRightInd w:val="0"/>
        <w:snapToGrid w:val="0"/>
        <w:spacing w:before="0" w:beforeLines="0"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采购标的及数量</w:t>
      </w:r>
      <w:r>
        <w:rPr>
          <w:rFonts w:hint="eastAsia" w:ascii="宋体" w:hAnsi="宋体" w:eastAsia="宋体" w:cs="宋体"/>
          <w:color w:val="auto"/>
          <w:szCs w:val="21"/>
          <w:highlight w:val="none"/>
          <w:lang w:val="en-US" w:eastAsia="zh-CN"/>
        </w:rPr>
        <w:t>（台/套</w:t>
      </w:r>
      <w:r>
        <w:rPr>
          <w:rFonts w:hint="eastAsia" w:ascii="宋体" w:hAnsi="宋体" w:eastAsia="宋体" w:cs="宋体"/>
          <w:color w:val="auto"/>
          <w:szCs w:val="21"/>
          <w:highlight w:val="none"/>
          <w:lang w:val="en" w:eastAsia="zh-CN"/>
        </w:rPr>
        <w:t>/个/架/组等</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3C4D0BE6">
      <w:pPr>
        <w:numPr>
          <w:ilvl w:val="-1"/>
          <w:numId w:val="0"/>
        </w:numPr>
        <w:adjustRightInd w:val="0"/>
        <w:snapToGrid w:val="0"/>
        <w:spacing w:before="0" w:beforeLines="0" w:line="400" w:lineRule="exact"/>
        <w:ind w:firstLine="420" w:firstLineChars="200"/>
        <w:rPr>
          <w:rFonts w:hint="eastAsia" w:ascii="宋体" w:hAnsi="宋体" w:eastAsia="宋体" w:cs="宋体"/>
          <w:color w:val="auto"/>
          <w:szCs w:val="21"/>
          <w:highlight w:val="none"/>
          <w:lang w:val="en" w:eastAsia="zh-CN"/>
        </w:rPr>
      </w:pP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 w:eastAsia="zh-CN"/>
        </w:rPr>
        <w:t xml:space="preserve">     </w:t>
      </w:r>
      <w:r>
        <w:rPr>
          <w:rFonts w:hint="eastAsia" w:ascii="宋体" w:hAnsi="宋体" w:eastAsia="宋体" w:cs="宋体"/>
          <w:color w:val="auto"/>
          <w:szCs w:val="21"/>
          <w:highlight w:val="none"/>
          <w:lang w:val="en-US" w:eastAsia="zh-CN"/>
        </w:rPr>
        <w:t>规格型号：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 w:eastAsia="zh-CN"/>
        </w:rPr>
        <w:t xml:space="preserve">   </w:t>
      </w:r>
    </w:p>
    <w:p w14:paraId="26E9DAC9">
      <w:pPr>
        <w:adjustRightInd w:val="0"/>
        <w:snapToGrid w:val="0"/>
        <w:spacing w:before="0" w:beforeLines="0" w:line="400" w:lineRule="exact"/>
        <w:ind w:firstLine="945" w:firstLineChars="4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采购标的的技术要求、商务要求具体见附件。</w:t>
      </w:r>
    </w:p>
    <w:p w14:paraId="0D1F66B8">
      <w:pPr>
        <w:numPr>
          <w:ilvl w:val="-1"/>
          <w:numId w:val="0"/>
        </w:numPr>
        <w:adjustRightInd w:val="0"/>
        <w:snapToGrid w:val="0"/>
        <w:spacing w:before="0" w:beforeLines="0" w:line="400" w:lineRule="exact"/>
        <w:ind w:firstLine="945" w:firstLineChars="4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①涉及信息类产品，请填写该产品关键部件的品牌、型号：</w:t>
      </w:r>
    </w:p>
    <w:p w14:paraId="6177BAAE">
      <w:pPr>
        <w:numPr>
          <w:ilvl w:val="-1"/>
          <w:numId w:val="0"/>
        </w:numPr>
        <w:adjustRightInd w:val="0"/>
        <w:snapToGrid w:val="0"/>
        <w:spacing w:before="0" w:beforeLines="0" w:line="400" w:lineRule="exact"/>
        <w:ind w:firstLine="420" w:firstLineChars="200"/>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szCs w:val="21"/>
          <w:highlight w:val="none"/>
          <w:lang w:val="en-US" w:eastAsia="zh-CN"/>
        </w:rPr>
        <w:t xml:space="preserve">     标的名称：</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val="en" w:eastAsia="zh-CN"/>
        </w:rPr>
        <w:t xml:space="preserve">               </w:t>
      </w:r>
      <w:r>
        <w:rPr>
          <w:rFonts w:hint="eastAsia" w:ascii="宋体" w:hAnsi="宋体" w:eastAsia="宋体" w:cs="宋体"/>
          <w:color w:val="auto"/>
          <w:kern w:val="0"/>
          <w:szCs w:val="21"/>
          <w:highlight w:val="none"/>
          <w:u w:val="single"/>
          <w:lang w:val="en-US" w:eastAsia="zh-CN"/>
        </w:rPr>
        <w:t xml:space="preserve">    </w:t>
      </w:r>
    </w:p>
    <w:p w14:paraId="68C30DB0">
      <w:pPr>
        <w:numPr>
          <w:ilvl w:val="-1"/>
          <w:numId w:val="0"/>
        </w:numPr>
        <w:adjustRightInd w:val="0"/>
        <w:snapToGrid w:val="0"/>
        <w:spacing w:before="0" w:beforeLines="0"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关键部件：</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lang w:val="en-US" w:eastAsia="zh-CN"/>
        </w:rPr>
        <w:t>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639C473D">
      <w:pPr>
        <w:pStyle w:val="55"/>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18773CFA">
      <w:pPr>
        <w:pStyle w:val="55"/>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35943FC4">
      <w:pPr>
        <w:pStyle w:val="55"/>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18958FB1">
      <w:pPr>
        <w:pStyle w:val="55"/>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②涉及车辆采购，请填写是否属于新能源汽车：</w:t>
      </w:r>
    </w:p>
    <w:p w14:paraId="3420A118">
      <w:pPr>
        <w:pStyle w:val="55"/>
        <w:numPr>
          <w:ilvl w:val="-1"/>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数量：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lang w:val="en-US" w:eastAsia="zh-CN"/>
        </w:rPr>
        <w:t xml:space="preserve"> </w:t>
      </w:r>
    </w:p>
    <w:p w14:paraId="3174753E">
      <w:pPr>
        <w:pStyle w:val="55"/>
        <w:numPr>
          <w:ilvl w:val="-1"/>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否</w:t>
      </w:r>
    </w:p>
    <w:p w14:paraId="43413EB9">
      <w:pPr>
        <w:pStyle w:val="55"/>
        <w:numPr>
          <w:ilvl w:val="-1"/>
          <w:numId w:val="0"/>
        </w:numPr>
        <w:adjustRightInd w:val="0"/>
        <w:snapToGrid w:val="0"/>
        <w:spacing w:before="0" w:beforeLines="0" w:line="400" w:lineRule="exact"/>
        <w:ind w:left="0"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lang w:val="en" w:eastAsia="zh-CN"/>
        </w:rPr>
        <w:t>4</w:t>
      </w:r>
      <w:r>
        <w:rPr>
          <w:rFonts w:hint="eastAsia" w:ascii="宋体" w:hAnsi="宋体" w:eastAsia="宋体" w:cs="宋体"/>
          <w:iCs w:val="0"/>
          <w:color w:val="auto"/>
          <w:sz w:val="21"/>
          <w:szCs w:val="21"/>
          <w:highlight w:val="none"/>
          <w:lang w:val="en-US" w:eastAsia="zh-CN"/>
        </w:rPr>
        <w:t>）政府采购组织形式：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政府集中采购</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 xml:space="preserve">部门集中采购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分散采购</w:t>
      </w:r>
    </w:p>
    <w:p w14:paraId="3EFE5C67">
      <w:pPr>
        <w:pStyle w:val="55"/>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w:t>
      </w:r>
      <w:r>
        <w:rPr>
          <w:rFonts w:hint="eastAsia" w:ascii="宋体" w:hAnsi="宋体" w:eastAsia="宋体" w:cs="宋体"/>
          <w:iCs w:val="0"/>
          <w:color w:val="auto"/>
          <w:sz w:val="21"/>
          <w:szCs w:val="21"/>
          <w:highlight w:val="none"/>
          <w:lang w:val="en" w:eastAsia="zh-CN"/>
        </w:rPr>
        <w:t>5</w:t>
      </w:r>
      <w:r>
        <w:rPr>
          <w:rFonts w:hint="eastAsia" w:ascii="宋体" w:hAnsi="宋体" w:eastAsia="宋体" w:cs="宋体"/>
          <w:iCs w:val="0"/>
          <w:color w:val="auto"/>
          <w:sz w:val="21"/>
          <w:szCs w:val="21"/>
          <w:highlight w:val="none"/>
          <w:lang w:val="en-US" w:eastAsia="zh-CN"/>
        </w:rPr>
        <w:t>）政府采购方式：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公开招标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邀请招标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竞争性谈判</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竞争性磋商</w:t>
      </w:r>
    </w:p>
    <w:p w14:paraId="394A07E4">
      <w:pPr>
        <w:pStyle w:val="55"/>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询价</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单一来源</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框架协议</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6210CDE0">
      <w:pPr>
        <w:pStyle w:val="55"/>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764886E6">
      <w:pPr>
        <w:pStyle w:val="55"/>
        <w:numPr>
          <w:ilvl w:val="-1"/>
          <w:numId w:val="0"/>
        </w:numPr>
        <w:adjustRightInd w:val="0"/>
        <w:snapToGrid w:val="0"/>
        <w:spacing w:before="0" w:beforeLines="0" w:line="400" w:lineRule="exact"/>
        <w:ind w:firstLine="220" w:firstLineChars="100"/>
        <w:rPr>
          <w:rFonts w:hint="eastAsia" w:ascii="宋体" w:hAnsi="宋体" w:eastAsia="宋体" w:cs="宋体"/>
          <w:color w:val="auto"/>
          <w:w w:val="100"/>
          <w:kern w:val="2"/>
          <w:sz w:val="21"/>
          <w:szCs w:val="21"/>
          <w:highlight w:val="none"/>
          <w:lang w:val="en-US" w:eastAsia="zh-CN" w:bidi="ar-SA"/>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en" w:eastAsia="zh-CN"/>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w w:val="100"/>
          <w:kern w:val="2"/>
          <w:sz w:val="21"/>
          <w:szCs w:val="21"/>
          <w:highlight w:val="none"/>
          <w:lang w:val="en-US" w:eastAsia="zh-CN" w:bidi="ar-SA"/>
        </w:rPr>
        <w:t>中标（成交）采购标的制造商是否为中小企业：</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 xml:space="preserve">是      </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否</w:t>
      </w:r>
    </w:p>
    <w:p w14:paraId="7F3F077B">
      <w:pPr>
        <w:numPr>
          <w:ilvl w:val="-1"/>
          <w:numId w:val="0"/>
        </w:numPr>
        <w:adjustRightInd w:val="0"/>
        <w:snapToGrid w:val="0"/>
        <w:spacing w:before="0" w:beforeLines="0" w:line="400" w:lineRule="exact"/>
        <w:ind w:left="0" w:leftChars="0" w:firstLine="0" w:firstLineChars="0"/>
        <w:rPr>
          <w:rFonts w:hint="eastAsia" w:ascii="宋体" w:hAnsi="宋体" w:eastAsia="宋体" w:cs="宋体"/>
          <w:iCs/>
          <w:color w:val="auto"/>
          <w:szCs w:val="21"/>
          <w:highlight w:val="none"/>
        </w:rPr>
      </w:pPr>
      <w:r>
        <w:rPr>
          <w:rFonts w:hint="eastAsia" w:ascii="宋体" w:hAnsi="宋体" w:eastAsia="宋体" w:cs="宋体"/>
          <w:color w:val="auto"/>
          <w:w w:val="100"/>
          <w:szCs w:val="21"/>
          <w:highlight w:val="none"/>
          <w:lang w:val="en-US" w:eastAsia="zh-CN"/>
        </w:rPr>
        <w:t xml:space="preserve">         本合同</w:t>
      </w:r>
      <w:r>
        <w:rPr>
          <w:rFonts w:hint="eastAsia" w:ascii="宋体" w:hAnsi="宋体" w:eastAsia="宋体" w:cs="宋体"/>
          <w:color w:val="auto"/>
          <w:w w:val="100"/>
          <w:szCs w:val="21"/>
          <w:highlight w:val="none"/>
        </w:rPr>
        <w:t>是否</w:t>
      </w:r>
      <w:r>
        <w:rPr>
          <w:rFonts w:hint="eastAsia" w:ascii="宋体" w:hAnsi="宋体" w:eastAsia="宋体" w:cs="宋体"/>
          <w:color w:val="auto"/>
          <w:w w:val="100"/>
          <w:szCs w:val="21"/>
          <w:highlight w:val="none"/>
          <w:lang w:eastAsia="zh-CN"/>
        </w:rPr>
        <w:t>为专门面向</w:t>
      </w:r>
      <w:r>
        <w:rPr>
          <w:rFonts w:hint="eastAsia" w:ascii="宋体" w:hAnsi="宋体" w:eastAsia="宋体" w:cs="宋体"/>
          <w:color w:val="auto"/>
          <w:w w:val="100"/>
          <w:szCs w:val="21"/>
          <w:highlight w:val="none"/>
        </w:rPr>
        <w:t>中小企业</w:t>
      </w:r>
      <w:r>
        <w:rPr>
          <w:rFonts w:hint="eastAsia" w:ascii="宋体" w:hAnsi="宋体" w:eastAsia="宋体" w:cs="宋体"/>
          <w:color w:val="auto"/>
          <w:w w:val="100"/>
          <w:szCs w:val="21"/>
          <w:highlight w:val="none"/>
          <w:lang w:eastAsia="zh-CN"/>
        </w:rPr>
        <w:t>的采</w:t>
      </w:r>
      <w:r>
        <w:rPr>
          <w:rFonts w:hint="eastAsia" w:ascii="宋体" w:hAnsi="宋体" w:eastAsia="宋体" w:cs="宋体"/>
          <w:color w:val="auto"/>
          <w:w w:val="100"/>
          <w:szCs w:val="21"/>
          <w:highlight w:val="none"/>
          <w:shd w:val="clear"/>
          <w:lang w:eastAsia="zh-CN"/>
        </w:rPr>
        <w:t>购</w:t>
      </w:r>
      <w:r>
        <w:rPr>
          <w:rFonts w:hint="eastAsia" w:ascii="宋体" w:hAnsi="宋体" w:eastAsia="宋体" w:cs="宋体"/>
          <w:color w:val="auto"/>
          <w:w w:val="100"/>
          <w:szCs w:val="21"/>
          <w:highlight w:val="none"/>
          <w:shd w:val="clear"/>
        </w:rPr>
        <w:t>合同</w:t>
      </w:r>
      <w:r>
        <w:rPr>
          <w:rFonts w:hint="eastAsia" w:ascii="宋体" w:hAnsi="宋体" w:eastAsia="宋体" w:cs="宋体"/>
          <w:color w:val="auto"/>
          <w:w w:val="100"/>
          <w:szCs w:val="21"/>
          <w:highlight w:val="none"/>
          <w:shd w:val="clear"/>
          <w:lang w:eastAsia="zh-CN"/>
        </w:rPr>
        <w:t>（中小企业预留合同）</w:t>
      </w:r>
      <w:r>
        <w:rPr>
          <w:rFonts w:hint="eastAsia" w:ascii="宋体" w:hAnsi="宋体" w:eastAsia="宋体" w:cs="宋体"/>
          <w:color w:val="auto"/>
          <w:szCs w:val="21"/>
          <w:highlight w:val="none"/>
          <w:shd w:val="clear"/>
        </w:rPr>
        <w:t>：</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4060B902">
      <w:pPr>
        <w:numPr>
          <w:ilvl w:val="-1"/>
          <w:numId w:val="0"/>
        </w:numPr>
        <w:adjustRightInd w:val="0"/>
        <w:snapToGrid w:val="0"/>
        <w:spacing w:before="0" w:beforeLines="0" w:line="400" w:lineRule="exact"/>
        <w:ind w:firstLine="0" w:firstLineChars="0"/>
        <w:rPr>
          <w:rFonts w:hint="eastAsia" w:ascii="宋体" w:hAnsi="宋体" w:eastAsia="宋体" w:cs="宋体"/>
          <w:iCs/>
          <w:color w:val="auto"/>
          <w:szCs w:val="21"/>
          <w:highlight w:val="none"/>
        </w:rPr>
      </w:pPr>
      <w:r>
        <w:rPr>
          <w:rFonts w:hint="eastAsia" w:ascii="宋体" w:hAnsi="宋体" w:eastAsia="宋体" w:cs="宋体"/>
          <w:color w:val="auto"/>
          <w:highlight w:val="none"/>
          <w:lang w:val="en-US" w:eastAsia="zh-CN"/>
        </w:rPr>
        <w:t xml:space="preserve">         若本项目不专门面向中小企业采购，是否给予小微企业评审优惠：</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4789C17F">
      <w:pPr>
        <w:numPr>
          <w:ilvl w:val="-1"/>
          <w:numId w:val="0"/>
        </w:numPr>
        <w:adjustRightInd w:val="0"/>
        <w:snapToGrid w:val="0"/>
        <w:spacing w:before="0" w:beforeLines="0" w:line="400" w:lineRule="exact"/>
        <w:ind w:firstLine="0" w:firstLineChars="0"/>
        <w:rPr>
          <w:rFonts w:hint="eastAsia" w:ascii="宋体" w:hAnsi="宋体" w:eastAsia="宋体" w:cs="宋体"/>
          <w:iCs/>
          <w:color w:val="auto"/>
          <w:szCs w:val="21"/>
          <w:highlight w:val="none"/>
        </w:rPr>
      </w:pPr>
      <w:r>
        <w:rPr>
          <w:rFonts w:hint="eastAsia" w:ascii="宋体" w:hAnsi="宋体" w:eastAsia="宋体" w:cs="宋体"/>
          <w:color w:val="auto"/>
          <w:highlight w:val="none"/>
          <w:lang w:val="en-US" w:eastAsia="zh-CN"/>
        </w:rPr>
        <w:t xml:space="preserve">         中标（成交）采购标的制造商是否为残疾人福利性单位：</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5A244641">
      <w:pPr>
        <w:numPr>
          <w:ilvl w:val="0"/>
          <w:numId w:val="0"/>
        </w:numPr>
        <w:snapToGrid w:val="0"/>
        <w:spacing w:beforeLines="0" w:line="400" w:lineRule="exact"/>
        <w:ind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中标（成交）采购标的制造商是否为监狱企业：</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5DAAF371">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 w:eastAsia="zh-CN"/>
        </w:rPr>
        <w:t>7</w:t>
      </w:r>
      <w:r>
        <w:rPr>
          <w:rFonts w:hint="eastAsia" w:ascii="宋体" w:hAnsi="宋体" w:eastAsia="宋体" w:cs="宋体"/>
          <w:color w:val="auto"/>
          <w:szCs w:val="21"/>
          <w:highlight w:val="none"/>
        </w:rPr>
        <w:t>）合同是否分包：</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759138DA">
      <w:pPr>
        <w:adjustRightInd w:val="0"/>
        <w:snapToGrid w:val="0"/>
        <w:spacing w:before="0" w:beforeLines="0" w:line="400" w:lineRule="exact"/>
        <w:ind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分包主要内容：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3F09F109">
      <w:pPr>
        <w:adjustRightInd w:val="0"/>
        <w:snapToGrid w:val="0"/>
        <w:spacing w:before="0" w:beforeLines="0" w:line="40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rPr>
        <w:t>分包供应商</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（如供应商和制造商不同，请分别填写）</w:t>
      </w:r>
      <w:r>
        <w:rPr>
          <w:rFonts w:hint="eastAsia" w:ascii="宋体" w:hAnsi="宋体" w:eastAsia="宋体" w:cs="宋体"/>
          <w:color w:val="auto"/>
          <w:szCs w:val="21"/>
          <w:highlight w:val="none"/>
        </w:rPr>
        <w:t>：</w:t>
      </w:r>
    </w:p>
    <w:p w14:paraId="26EE717B">
      <w:pPr>
        <w:adjustRightInd w:val="0"/>
        <w:snapToGrid w:val="0"/>
        <w:spacing w:before="0" w:beforeLines="0" w:line="400" w:lineRule="exact"/>
        <w:ind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14:paraId="195FC01E">
      <w:pPr>
        <w:adjustRightInd w:val="0"/>
        <w:snapToGrid w:val="0"/>
        <w:spacing w:before="0" w:beforeLines="0" w:line="40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分包供应商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类型</w:t>
      </w:r>
      <w:r>
        <w:rPr>
          <w:rFonts w:hint="eastAsia" w:ascii="宋体" w:hAnsi="宋体" w:eastAsia="宋体" w:cs="宋体"/>
          <w:color w:val="auto"/>
          <w:szCs w:val="21"/>
          <w:highlight w:val="none"/>
          <w:lang w:eastAsia="zh-CN"/>
        </w:rPr>
        <w:t>（如果供应商和制造商不同，只填写制造商类型）</w:t>
      </w:r>
      <w:r>
        <w:rPr>
          <w:rFonts w:hint="eastAsia" w:ascii="宋体" w:hAnsi="宋体" w:eastAsia="宋体" w:cs="宋体"/>
          <w:color w:val="auto"/>
          <w:szCs w:val="21"/>
          <w:highlight w:val="none"/>
        </w:rPr>
        <w:t>：</w:t>
      </w:r>
    </w:p>
    <w:p w14:paraId="522A4CB3">
      <w:pPr>
        <w:adjustRightInd w:val="0"/>
        <w:snapToGrid w:val="0"/>
        <w:spacing w:beforeLines="0" w:line="400" w:lineRule="exact"/>
        <w:ind w:firstLine="840" w:firstLineChars="400"/>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大型企业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中型企业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小微型企业</w:t>
      </w:r>
      <w:r>
        <w:rPr>
          <w:rFonts w:hint="eastAsia" w:ascii="宋体" w:hAnsi="宋体" w:eastAsia="宋体" w:cs="宋体"/>
          <w:iCs/>
          <w:color w:val="auto"/>
          <w:szCs w:val="21"/>
          <w:highlight w:val="none"/>
          <w:lang w:val="en-US" w:eastAsia="zh-CN"/>
        </w:rPr>
        <w:t xml:space="preserve">  </w:t>
      </w:r>
    </w:p>
    <w:p w14:paraId="53151D5B">
      <w:pPr>
        <w:adjustRightInd w:val="0"/>
        <w:snapToGrid w:val="0"/>
        <w:spacing w:beforeLines="0" w:line="400" w:lineRule="exact"/>
        <w:ind w:firstLine="840" w:firstLineChars="400"/>
        <w:rPr>
          <w:rFonts w:hint="eastAsia" w:ascii="宋体" w:hAnsi="宋体" w:eastAsia="宋体" w:cs="宋体"/>
          <w:color w:val="auto"/>
          <w:highlight w:val="none"/>
          <w:u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残疾人福利性单位</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监狱</w:t>
      </w:r>
      <w:r>
        <w:rPr>
          <w:rFonts w:hint="eastAsia" w:ascii="宋体" w:hAnsi="宋体" w:eastAsia="宋体" w:cs="宋体"/>
          <w:iCs/>
          <w:color w:val="auto"/>
          <w:szCs w:val="21"/>
          <w:highlight w:val="none"/>
        </w:rPr>
        <w:t>企业</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其他</w:t>
      </w:r>
    </w:p>
    <w:p w14:paraId="341EA2D0">
      <w:pPr>
        <w:numPr>
          <w:ilvl w:val="-1"/>
          <w:numId w:val="0"/>
        </w:numPr>
        <w:adjustRightInd w:val="0"/>
        <w:snapToGrid w:val="0"/>
        <w:spacing w:before="0" w:beforeLines="0" w:line="400" w:lineRule="exact"/>
        <w:ind w:left="0" w:leftChars="0" w:firstLine="0" w:firstLineChars="0"/>
        <w:rPr>
          <w:rFonts w:hint="eastAsia" w:ascii="宋体" w:hAnsi="宋体" w:eastAsia="宋体" w:cs="宋体"/>
          <w:iCs/>
          <w:color w:val="auto"/>
          <w:szCs w:val="21"/>
          <w:highlight w:val="none"/>
        </w:rPr>
      </w:pP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u w:val="none"/>
          <w:lang w:val="en" w:eastAsia="zh-CN"/>
        </w:rPr>
        <w:t>8</w:t>
      </w:r>
      <w:r>
        <w:rPr>
          <w:rFonts w:hint="eastAsia" w:ascii="宋体" w:hAnsi="宋体" w:eastAsia="宋体" w:cs="宋体"/>
          <w:color w:val="auto"/>
          <w:szCs w:val="21"/>
          <w:highlight w:val="none"/>
          <w:u w:val="none"/>
          <w:lang w:val="en-US" w:eastAsia="zh-CN"/>
        </w:rPr>
        <w:t>）中标（成交）供应商是否为外商投资企业：</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1EE6251D">
      <w:pPr>
        <w:pStyle w:val="55"/>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5331CF20">
      <w:pPr>
        <w:numPr>
          <w:ilvl w:val="-1"/>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3671A447">
      <w:pPr>
        <w:numPr>
          <w:ilvl w:val="-1"/>
          <w:numId w:val="0"/>
        </w:numPr>
        <w:adjustRightInd w:val="0"/>
        <w:snapToGrid w:val="0"/>
        <w:spacing w:before="0" w:beforeLines="0" w:line="400" w:lineRule="exact"/>
        <w:ind w:firstLine="840" w:firstLineChars="400"/>
        <w:rPr>
          <w:rFonts w:hint="eastAsia" w:ascii="宋体" w:hAnsi="宋体" w:eastAsia="宋体" w:cs="宋体"/>
          <w:color w:val="auto"/>
          <w:szCs w:val="21"/>
          <w:highlight w:val="none"/>
          <w:u w:val="single"/>
          <w:lang w:val="en-US" w:eastAsia="zh-CN"/>
        </w:rPr>
      </w:pPr>
      <w:r>
        <w:rPr>
          <w:rFonts w:hint="eastAsia" w:ascii="宋体" w:hAnsi="宋体" w:eastAsia="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，《政府采购品目分类目录》底级品目名称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金额：</w:t>
      </w:r>
      <w:r>
        <w:rPr>
          <w:rFonts w:hint="eastAsia" w:ascii="宋体" w:hAnsi="宋体" w:eastAsia="宋体" w:cs="宋体"/>
          <w:color w:val="auto"/>
          <w:szCs w:val="21"/>
          <w:highlight w:val="none"/>
          <w:u w:val="single"/>
          <w:lang w:val="en-US" w:eastAsia="zh-CN"/>
        </w:rPr>
        <w:t xml:space="preserve">        </w:t>
      </w:r>
    </w:p>
    <w:p w14:paraId="0862A36D">
      <w:pPr>
        <w:numPr>
          <w:ilvl w:val="-1"/>
          <w:numId w:val="0"/>
        </w:numPr>
        <w:adjustRightInd w:val="0"/>
        <w:snapToGrid w:val="0"/>
        <w:spacing w:before="0" w:beforeLines="0" w:line="400" w:lineRule="exact"/>
        <w:ind w:firstLine="840" w:firstLineChars="400"/>
        <w:rPr>
          <w:rFonts w:hint="eastAsia" w:ascii="宋体" w:hAnsi="宋体" w:eastAsia="宋体" w:cs="宋体"/>
          <w:iCs w:val="0"/>
          <w:color w:val="auto"/>
          <w:szCs w:val="21"/>
          <w:highlight w:val="none"/>
        </w:rPr>
      </w:pPr>
      <w:r>
        <w:rPr>
          <w:rFonts w:hint="eastAsia" w:ascii="宋体" w:hAnsi="宋体" w:eastAsia="宋体" w:cs="宋体"/>
          <w:color w:val="auto"/>
          <w:szCs w:val="21"/>
          <w:highlight w:val="none"/>
          <w:lang w:val="en-US" w:eastAsia="zh-CN"/>
        </w:rPr>
        <w:t xml:space="preserve">        国别：</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规格型号：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iCs w:val="0"/>
          <w:color w:val="auto"/>
          <w:szCs w:val="21"/>
          <w:highlight w:val="none"/>
        </w:rPr>
        <w:t xml:space="preserve">      </w:t>
      </w:r>
    </w:p>
    <w:p w14:paraId="0F83B6EA">
      <w:pPr>
        <w:adjustRightInd w:val="0"/>
        <w:snapToGrid w:val="0"/>
        <w:spacing w:before="0" w:beforeLines="0" w:line="400" w:lineRule="exact"/>
        <w:ind w:firstLine="840" w:firstLineChars="400"/>
        <w:rPr>
          <w:rFonts w:hint="eastAsia" w:ascii="宋体" w:hAnsi="宋体" w:eastAsia="宋体" w:cs="宋体"/>
          <w:color w:val="auto"/>
          <w:szCs w:val="21"/>
          <w:highlight w:val="none"/>
          <w:u w:val="none"/>
          <w:lang w:val="en-US" w:eastAsia="zh-CN"/>
        </w:rPr>
      </w:pPr>
      <w:r>
        <w:rPr>
          <w:rFonts w:hint="eastAsia" w:ascii="宋体" w:hAnsi="宋体" w:eastAsia="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lang w:eastAsia="zh-CN"/>
        </w:rPr>
        <w:t>否</w:t>
      </w:r>
    </w:p>
    <w:p w14:paraId="50CFBF5A">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（1</w:t>
      </w:r>
      <w:r>
        <w:rPr>
          <w:rFonts w:hint="eastAsia" w:ascii="宋体" w:hAnsi="宋体" w:eastAsia="宋体" w:cs="宋体"/>
          <w:b w:val="0"/>
          <w:bCs w:val="0"/>
          <w:color w:val="auto"/>
          <w:sz w:val="21"/>
          <w:szCs w:val="21"/>
          <w:highlight w:val="none"/>
          <w:u w:val="none"/>
          <w:lang w:val="en" w:eastAsia="zh-CN"/>
        </w:rPr>
        <w:t>0</w:t>
      </w:r>
      <w:r>
        <w:rPr>
          <w:rFonts w:hint="eastAsia" w:ascii="宋体" w:hAnsi="宋体" w:eastAsia="宋体" w:cs="宋体"/>
          <w:b w:val="0"/>
          <w:bCs w:val="0"/>
          <w:color w:val="auto"/>
          <w:sz w:val="21"/>
          <w:szCs w:val="21"/>
          <w:highlight w:val="none"/>
          <w:u w:val="none"/>
          <w:lang w:val="en-US" w:eastAsia="zh-CN"/>
        </w:rPr>
        <w:t>）是否涉及节能产品：</w:t>
      </w:r>
    </w:p>
    <w:p w14:paraId="24C8E41F">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Cs w:val="21"/>
          <w:highlight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，《节能产品政府采购品目清单》的底级品目名称：</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iCs/>
          <w:color w:val="auto"/>
          <w:szCs w:val="21"/>
          <w:highlight w:val="none"/>
          <w:lang w:val="en-US" w:eastAsia="zh-CN"/>
        </w:rPr>
        <w:t xml:space="preserve">     </w:t>
      </w:r>
    </w:p>
    <w:p w14:paraId="2D5E2B35">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强制采购</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优先采购</w:t>
      </w:r>
      <w:r>
        <w:rPr>
          <w:rFonts w:hint="eastAsia" w:ascii="宋体" w:hAnsi="宋体" w:eastAsia="宋体" w:cs="宋体"/>
          <w:iCs/>
          <w:color w:val="auto"/>
          <w:szCs w:val="21"/>
          <w:highlight w:val="none"/>
          <w:lang w:val="en-US" w:eastAsia="zh-CN"/>
        </w:rPr>
        <w:t xml:space="preserve">    </w:t>
      </w:r>
    </w:p>
    <w:p w14:paraId="167932E6">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Cs w:val="21"/>
          <w:highlight w:val="none"/>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否</w:t>
      </w:r>
    </w:p>
    <w:p w14:paraId="70E691F9">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是否涉及环境标志产品：</w:t>
      </w:r>
    </w:p>
    <w:p w14:paraId="3ECBDC9A">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Cs w:val="21"/>
          <w:highlight w:val="none"/>
          <w:lang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，《环境标志产品政府采购品目清单》的底级品目名称：</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iCs/>
          <w:color w:val="auto"/>
          <w:szCs w:val="21"/>
          <w:highlight w:val="none"/>
          <w:lang w:val="en-US" w:eastAsia="zh-CN"/>
        </w:rPr>
        <w:t xml:space="preserve"> </w:t>
      </w:r>
    </w:p>
    <w:p w14:paraId="4B930AC2">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强制采购</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优先采购</w:t>
      </w:r>
      <w:r>
        <w:rPr>
          <w:rFonts w:hint="eastAsia" w:ascii="宋体" w:hAnsi="宋体" w:eastAsia="宋体" w:cs="宋体"/>
          <w:iCs/>
          <w:color w:val="auto"/>
          <w:szCs w:val="21"/>
          <w:highlight w:val="none"/>
          <w:lang w:val="en-US" w:eastAsia="zh-CN"/>
        </w:rPr>
        <w:t xml:space="preserve">    </w:t>
      </w:r>
    </w:p>
    <w:p w14:paraId="45EF086E">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否</w:t>
      </w:r>
    </w:p>
    <w:p w14:paraId="2CAB3A2A">
      <w:pPr>
        <w:pStyle w:val="55"/>
        <w:numPr>
          <w:ilvl w:val="-1"/>
          <w:numId w:val="0"/>
        </w:numPr>
        <w:adjustRightInd w:val="0"/>
        <w:snapToGrid w:val="0"/>
        <w:spacing w:before="0" w:beforeLines="0" w:line="400" w:lineRule="exact"/>
        <w:ind w:firstLine="0" w:firstLineChars="0"/>
        <w:rPr>
          <w:rFonts w:hint="eastAsia" w:ascii="宋体" w:hAnsi="宋体" w:eastAsia="宋体" w:cs="宋体"/>
          <w:iCs w:val="0"/>
          <w:color w:val="auto"/>
          <w:kern w:val="2"/>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b w:val="0"/>
          <w:bCs w:val="0"/>
          <w:color w:val="auto"/>
          <w:kern w:val="2"/>
          <w:sz w:val="21"/>
          <w:szCs w:val="21"/>
          <w:highlight w:val="none"/>
          <w:u w:val="none"/>
          <w:lang w:val="en-US" w:eastAsia="zh-CN"/>
        </w:rPr>
        <w:t>是否涉及绿色产品：</w:t>
      </w:r>
      <w:r>
        <w:rPr>
          <w:rFonts w:hint="eastAsia" w:ascii="宋体" w:hAnsi="宋体" w:eastAsia="宋体" w:cs="宋体"/>
          <w:iCs w:val="0"/>
          <w:color w:val="auto"/>
          <w:kern w:val="2"/>
          <w:sz w:val="21"/>
          <w:szCs w:val="21"/>
          <w:highlight w:val="none"/>
          <w:u w:val="none"/>
          <w:lang w:val="en-US" w:eastAsia="zh-CN"/>
        </w:rPr>
        <w:t xml:space="preserve"> </w:t>
      </w:r>
    </w:p>
    <w:p w14:paraId="741A01E4">
      <w:pPr>
        <w:pStyle w:val="55"/>
        <w:spacing w:beforeLines="0"/>
        <w:ind w:firstLine="420" w:firstLineChars="0"/>
        <w:rPr>
          <w:rFonts w:hint="eastAsia" w:ascii="宋体" w:hAnsi="宋体" w:eastAsia="宋体" w:cs="宋体"/>
          <w:color w:val="auto"/>
          <w:szCs w:val="21"/>
          <w:highlight w:val="none"/>
          <w:u w:val="singl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是</w:t>
      </w:r>
      <w:r>
        <w:rPr>
          <w:rFonts w:hint="eastAsia" w:ascii="宋体" w:hAnsi="宋体" w:eastAsia="宋体" w:cs="宋体"/>
          <w:iCs w:val="0"/>
          <w:color w:val="auto"/>
          <w:kern w:val="2"/>
          <w:sz w:val="21"/>
          <w:szCs w:val="21"/>
          <w:highlight w:val="none"/>
          <w:u w:val="none"/>
          <w:lang w:eastAsia="zh-CN"/>
        </w:rPr>
        <w:t>，绿色产品政府采购相关政策确定的底级品目名称：</w:t>
      </w:r>
      <w:r>
        <w:rPr>
          <w:rFonts w:hint="eastAsia" w:ascii="宋体" w:hAnsi="宋体" w:eastAsia="宋体" w:cs="宋体"/>
          <w:color w:val="auto"/>
          <w:szCs w:val="21"/>
          <w:highlight w:val="none"/>
          <w:u w:val="single"/>
          <w:lang w:val="en-US" w:eastAsia="zh-CN"/>
        </w:rPr>
        <w:t xml:space="preserve">         </w:t>
      </w:r>
    </w:p>
    <w:p w14:paraId="31CD485F">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强制采购</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优先采购</w:t>
      </w:r>
      <w:r>
        <w:rPr>
          <w:rFonts w:hint="eastAsia" w:ascii="宋体" w:hAnsi="宋体" w:eastAsia="宋体" w:cs="宋体"/>
          <w:iCs/>
          <w:color w:val="auto"/>
          <w:szCs w:val="21"/>
          <w:highlight w:val="none"/>
          <w:lang w:val="en-US" w:eastAsia="zh-CN"/>
        </w:rPr>
        <w:t xml:space="preserve">    </w:t>
      </w:r>
    </w:p>
    <w:p w14:paraId="47788B52">
      <w:pPr>
        <w:pStyle w:val="55"/>
        <w:spacing w:beforeLines="0"/>
        <w:ind w:firstLine="42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否</w:t>
      </w:r>
    </w:p>
    <w:p w14:paraId="3BACA879">
      <w:pPr>
        <w:numPr>
          <w:ilvl w:val="-1"/>
          <w:numId w:val="0"/>
        </w:numPr>
        <w:adjustRightInd w:val="0"/>
        <w:snapToGrid w:val="0"/>
        <w:spacing w:before="0" w:beforeLines="0" w:line="40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（1</w:t>
      </w:r>
      <w:r>
        <w:rPr>
          <w:rFonts w:hint="eastAsia" w:ascii="宋体" w:hAnsi="宋体" w:eastAsia="宋体" w:cs="宋体"/>
          <w:color w:val="auto"/>
          <w:szCs w:val="21"/>
          <w:highlight w:val="none"/>
          <w:lang w:val="en" w:eastAsia="zh-CN"/>
        </w:rPr>
        <w:t>1</w:t>
      </w:r>
      <w:r>
        <w:rPr>
          <w:rFonts w:hint="eastAsia" w:ascii="宋体" w:hAnsi="宋体" w:eastAsia="宋体" w:cs="宋体"/>
          <w:color w:val="auto"/>
          <w:szCs w:val="21"/>
          <w:highlight w:val="none"/>
          <w:lang w:val="en-US" w:eastAsia="zh-CN"/>
        </w:rPr>
        <w:t>）涉及商品包装和快递包装的，是否参考</w:t>
      </w:r>
      <w:r>
        <w:rPr>
          <w:rFonts w:hint="eastAsia" w:ascii="宋体" w:hAnsi="宋体" w:eastAsia="宋体" w:cs="宋体"/>
          <w:color w:val="auto"/>
          <w:szCs w:val="21"/>
          <w:highlight w:val="none"/>
        </w:rPr>
        <w:t>《商品包装政府采购需求标准（试行）》、《快递包装政府采购需求标准（试行）》</w:t>
      </w:r>
      <w:r>
        <w:rPr>
          <w:rFonts w:hint="eastAsia" w:ascii="宋体" w:hAnsi="宋体" w:eastAsia="宋体" w:cs="宋体"/>
          <w:color w:val="auto"/>
          <w:szCs w:val="21"/>
          <w:highlight w:val="none"/>
          <w:lang w:eastAsia="zh-CN"/>
        </w:rPr>
        <w:t>明确产品及相关快递服务的具体包装要求：</w:t>
      </w:r>
    </w:p>
    <w:p w14:paraId="32B16745">
      <w:pPr>
        <w:numPr>
          <w:ilvl w:val="-1"/>
          <w:numId w:val="0"/>
        </w:numPr>
        <w:adjustRightInd w:val="0"/>
        <w:snapToGrid w:val="0"/>
        <w:spacing w:before="0" w:beforeLines="0" w:line="400" w:lineRule="exact"/>
        <w:ind w:firstLine="840" w:firstLineChars="400"/>
        <w:rPr>
          <w:rFonts w:hint="eastAsia" w:ascii="宋体" w:hAnsi="宋体" w:eastAsia="宋体" w:cs="宋体"/>
          <w:iCs w:val="0"/>
          <w:color w:val="auto"/>
          <w:szCs w:val="21"/>
          <w:highlight w:val="none"/>
          <w:lang w:val="en-US" w:eastAsia="zh-CN"/>
        </w:rPr>
      </w:pP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 xml:space="preserve">是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否</w:t>
      </w:r>
      <w:r>
        <w:rPr>
          <w:rFonts w:hint="eastAsia" w:ascii="宋体" w:hAnsi="宋体" w:eastAsia="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lang w:eastAsia="zh-CN"/>
        </w:rPr>
        <w:t>不涉及</w:t>
      </w:r>
    </w:p>
    <w:p w14:paraId="740CA9A7">
      <w:pPr>
        <w:numPr>
          <w:ilvl w:val="0"/>
          <w:numId w:val="7"/>
        </w:numPr>
        <w:adjustRightInd w:val="0"/>
        <w:snapToGrid w:val="0"/>
        <w:spacing w:before="0" w:beforeLines="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合同金额</w:t>
      </w:r>
    </w:p>
    <w:p w14:paraId="2D6FEE8F">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（1）合同金额小写：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5D52AA9E">
      <w:pPr>
        <w:adjustRightInd w:val="0"/>
        <w:snapToGrid w:val="0"/>
        <w:spacing w:before="0" w:beforeLines="0" w:line="400" w:lineRule="exact"/>
        <w:ind w:left="0"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5BB1551E">
      <w:pPr>
        <w:adjustRightInd w:val="0"/>
        <w:snapToGrid w:val="0"/>
        <w:spacing w:before="0" w:beforeLines="0" w:line="40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分包金额</w:t>
      </w:r>
      <w:r>
        <w:rPr>
          <w:rFonts w:hint="eastAsia" w:ascii="宋体" w:hAnsi="宋体" w:eastAsia="宋体" w:cs="宋体"/>
          <w:color w:val="auto"/>
          <w:szCs w:val="21"/>
          <w:highlight w:val="none"/>
          <w:lang w:eastAsia="zh-CN"/>
        </w:rPr>
        <w:t>（如有）</w:t>
      </w: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u w:val="single"/>
        </w:rPr>
        <w:t xml:space="preserve">                   </w:t>
      </w:r>
    </w:p>
    <w:p w14:paraId="050A5A28">
      <w:pPr>
        <w:adjustRightInd w:val="0"/>
        <w:snapToGrid w:val="0"/>
        <w:spacing w:before="0" w:beforeLines="0" w:line="400" w:lineRule="exact"/>
        <w:ind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3633418A">
      <w:pPr>
        <w:adjustRightInd w:val="0"/>
        <w:snapToGrid w:val="0"/>
        <w:spacing w:before="0" w:beforeLines="0" w:line="40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（注：固定单价合同应填写单价和最高限价）</w:t>
      </w:r>
    </w:p>
    <w:p w14:paraId="61BFA0DB">
      <w:pPr>
        <w:numPr>
          <w:ilvl w:val="-1"/>
          <w:numId w:val="0"/>
        </w:numPr>
        <w:adjustRightInd w:val="0"/>
        <w:snapToGrid w:val="0"/>
        <w:spacing w:before="0" w:beforeLines="0" w:line="40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合同定价方式</w:t>
      </w:r>
      <w:r>
        <w:rPr>
          <w:rFonts w:hint="eastAsia" w:ascii="宋体" w:hAnsi="宋体" w:eastAsia="宋体" w:cs="宋体"/>
          <w:color w:val="auto"/>
          <w:szCs w:val="21"/>
          <w:highlight w:val="none"/>
          <w:lang w:eastAsia="zh-CN"/>
        </w:rPr>
        <w:t>（采用组合定价方式的，可以勾选多项）</w:t>
      </w:r>
      <w:r>
        <w:rPr>
          <w:rFonts w:hint="eastAsia" w:ascii="宋体" w:hAnsi="宋体" w:eastAsia="宋体" w:cs="宋体"/>
          <w:color w:val="auto"/>
          <w:szCs w:val="21"/>
          <w:highlight w:val="none"/>
        </w:rPr>
        <w:t>：</w:t>
      </w:r>
    </w:p>
    <w:p w14:paraId="6405E125">
      <w:pPr>
        <w:adjustRightInd w:val="0"/>
        <w:snapToGrid w:val="0"/>
        <w:spacing w:before="0" w:beforeLines="0"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固定总价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固定单价</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固定费率</w:t>
      </w:r>
      <w:r>
        <w:rPr>
          <w:rFonts w:hint="eastAsia" w:ascii="宋体" w:hAnsi="宋体" w:eastAsia="宋体" w:cs="宋体"/>
          <w:iCs/>
          <w:color w:val="auto"/>
          <w:szCs w:val="21"/>
          <w:highlight w:val="none"/>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成本补偿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绩效激励</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其他</w:t>
      </w:r>
      <w:r>
        <w:rPr>
          <w:rFonts w:hint="eastAsia" w:ascii="宋体" w:hAnsi="宋体" w:eastAsia="宋体" w:cs="宋体"/>
          <w:color w:val="auto"/>
          <w:szCs w:val="21"/>
          <w:highlight w:val="none"/>
          <w:u w:val="single"/>
        </w:rPr>
        <w:t xml:space="preserve">       </w:t>
      </w:r>
    </w:p>
    <w:p w14:paraId="1257682D">
      <w:pPr>
        <w:pStyle w:val="56"/>
        <w:spacing w:beforeLines="0" w:line="400" w:lineRule="exac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）付款方式（按项目实际勾选填写）：</w:t>
      </w:r>
    </w:p>
    <w:p w14:paraId="02C54701">
      <w:pPr>
        <w:adjustRightInd w:val="0"/>
        <w:snapToGrid w:val="0"/>
        <w:spacing w:before="0" w:beforeLines="0" w:line="400" w:lineRule="exact"/>
        <w:ind w:firstLine="630" w:firstLineChars="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全额付款：</w:t>
      </w:r>
      <w:r>
        <w:rPr>
          <w:rFonts w:hint="eastAsia" w:ascii="宋体" w:hAnsi="宋体" w:eastAsia="宋体" w:cs="宋体"/>
          <w:color w:val="auto"/>
          <w:szCs w:val="21"/>
          <w:highlight w:val="none"/>
          <w:u w:val="single"/>
        </w:rPr>
        <w:t xml:space="preserve">     （应</w:t>
      </w:r>
      <w:r>
        <w:rPr>
          <w:rFonts w:hint="eastAsia" w:ascii="宋体" w:hAnsi="宋体" w:eastAsia="宋体" w:cs="宋体"/>
          <w:color w:val="auto"/>
          <w:szCs w:val="21"/>
          <w:highlight w:val="none"/>
          <w:u w:val="single"/>
          <w:lang w:eastAsia="zh-CN"/>
        </w:rPr>
        <w:t>明确</w:t>
      </w:r>
      <w:r>
        <w:rPr>
          <w:rFonts w:hint="eastAsia" w:ascii="宋体" w:hAnsi="宋体" w:eastAsia="宋体" w:cs="宋体"/>
          <w:color w:val="auto"/>
          <w:szCs w:val="21"/>
          <w:highlight w:val="none"/>
          <w:u w:val="single"/>
        </w:rPr>
        <w:t>一次性支付合同款项</w:t>
      </w:r>
      <w:r>
        <w:rPr>
          <w:rFonts w:hint="eastAsia" w:ascii="宋体" w:hAnsi="宋体" w:eastAsia="宋体" w:cs="宋体"/>
          <w:color w:val="auto"/>
          <w:szCs w:val="21"/>
          <w:highlight w:val="none"/>
          <w:u w:val="single"/>
          <w:lang w:eastAsia="zh-CN"/>
        </w:rPr>
        <w:t>的条件</w:t>
      </w:r>
      <w:r>
        <w:rPr>
          <w:rFonts w:hint="eastAsia" w:ascii="宋体" w:hAnsi="宋体" w:eastAsia="宋体" w:cs="宋体"/>
          <w:color w:val="auto"/>
          <w:szCs w:val="21"/>
          <w:highlight w:val="none"/>
          <w:u w:val="single"/>
        </w:rPr>
        <w:t xml:space="preserve">）                    </w:t>
      </w:r>
    </w:p>
    <w:p w14:paraId="3E2E638E">
      <w:pPr>
        <w:snapToGrid w:val="0"/>
        <w:spacing w:beforeLines="0" w:line="400" w:lineRule="exact"/>
        <w:ind w:firstLine="630" w:firstLineChars="300"/>
        <w:rPr>
          <w:rFonts w:hint="eastAsia" w:ascii="宋体" w:hAnsi="宋体" w:eastAsia="宋体" w:cs="宋体"/>
          <w:color w:val="auto"/>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分期付款：</w:t>
      </w:r>
      <w:r>
        <w:rPr>
          <w:rFonts w:hint="eastAsia" w:ascii="宋体" w:hAnsi="宋体" w:eastAsia="宋体" w:cs="宋体"/>
          <w:color w:val="auto"/>
          <w:szCs w:val="21"/>
          <w:highlight w:val="none"/>
          <w:u w:val="single"/>
        </w:rPr>
        <w:t xml:space="preserve">  （应明确分期支付合同款项的各期比例和支付条件</w:t>
      </w:r>
      <w:r>
        <w:rPr>
          <w:rFonts w:hint="eastAsia" w:ascii="宋体" w:hAnsi="宋体" w:eastAsia="宋体" w:cs="宋体"/>
          <w:color w:val="auto"/>
          <w:szCs w:val="21"/>
          <w:highlight w:val="none"/>
          <w:u w:val="single"/>
          <w:lang w:eastAsia="zh-CN"/>
        </w:rPr>
        <w:t>，各期支付条件应与分期履约验收情况挂钩</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lang w:eastAsia="zh-CN"/>
        </w:rPr>
        <w:t>其中涉及预付款的</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（应明确预付款的支付比例和支付条件） </w:t>
      </w:r>
    </w:p>
    <w:p w14:paraId="2751B4A8">
      <w:pPr>
        <w:adjustRightInd w:val="0"/>
        <w:snapToGrid w:val="0"/>
        <w:spacing w:before="0" w:beforeLines="0" w:line="400" w:lineRule="exact"/>
        <w:ind w:firstLine="630" w:firstLineChars="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成本补偿：</w:t>
      </w:r>
      <w:r>
        <w:rPr>
          <w:rFonts w:hint="eastAsia" w:ascii="宋体" w:hAnsi="宋体" w:eastAsia="宋体" w:cs="宋体"/>
          <w:color w:val="auto"/>
          <w:szCs w:val="21"/>
          <w:highlight w:val="none"/>
          <w:u w:val="single"/>
        </w:rPr>
        <w:t xml:space="preserve">      （应明确按照成本补偿方式的支付方式和支付条件）   </w:t>
      </w:r>
    </w:p>
    <w:p w14:paraId="03A19A4B">
      <w:pPr>
        <w:adjustRightInd w:val="0"/>
        <w:snapToGrid w:val="0"/>
        <w:spacing w:before="0" w:beforeLines="0" w:line="40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绩效激励：</w:t>
      </w:r>
      <w:r>
        <w:rPr>
          <w:rFonts w:hint="eastAsia" w:ascii="宋体" w:hAnsi="宋体" w:eastAsia="宋体" w:cs="宋体"/>
          <w:color w:val="auto"/>
          <w:szCs w:val="21"/>
          <w:highlight w:val="none"/>
          <w:u w:val="single"/>
        </w:rPr>
        <w:t xml:space="preserve">      （应明确按照绩效激励方式的支付方式和支付条件）   </w:t>
      </w:r>
    </w:p>
    <w:p w14:paraId="27E7F94D">
      <w:pPr>
        <w:numPr>
          <w:ilvl w:val="0"/>
          <w:numId w:val="7"/>
        </w:numPr>
        <w:adjustRightInd w:val="0"/>
        <w:snapToGrid w:val="0"/>
        <w:spacing w:before="0" w:beforeLines="0" w:line="400" w:lineRule="exact"/>
        <w:ind w:firstLine="422" w:firstLineChars="200"/>
        <w:rPr>
          <w:rFonts w:hint="eastAsia" w:ascii="宋体" w:hAnsi="宋体" w:eastAsia="宋体" w:cs="宋体"/>
          <w:b/>
          <w:bCs w:val="0"/>
          <w:color w:val="auto"/>
          <w:szCs w:val="21"/>
          <w:highlight w:val="none"/>
          <w:u w:val="single"/>
        </w:rPr>
      </w:pPr>
      <w:r>
        <w:rPr>
          <w:rFonts w:hint="eastAsia" w:ascii="宋体" w:hAnsi="宋体" w:eastAsia="宋体" w:cs="宋体"/>
          <w:b/>
          <w:bCs w:val="0"/>
          <w:color w:val="auto"/>
          <w:szCs w:val="21"/>
          <w:highlight w:val="none"/>
        </w:rPr>
        <w:t>合同履行</w:t>
      </w:r>
    </w:p>
    <w:p w14:paraId="6D76CE21">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（1）起始日期：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日，完成日期：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0FFEC45">
      <w:pPr>
        <w:adjustRightInd w:val="0"/>
        <w:snapToGrid w:val="0"/>
        <w:spacing w:before="0" w:beforeLines="0"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履约</w:t>
      </w:r>
      <w:r>
        <w:rPr>
          <w:rFonts w:hint="eastAsia" w:ascii="宋体" w:hAnsi="宋体" w:eastAsia="宋体" w:cs="宋体"/>
          <w:color w:val="auto"/>
          <w:szCs w:val="21"/>
          <w:highlight w:val="none"/>
        </w:rPr>
        <w:t>地点</w:t>
      </w:r>
      <w:r>
        <w:rPr>
          <w:rFonts w:hint="eastAsia" w:ascii="宋体" w:hAnsi="宋体" w:eastAsia="宋体" w:cs="宋体"/>
          <w:b w:val="0"/>
          <w:bCs/>
          <w:color w:val="auto"/>
          <w:szCs w:val="21"/>
          <w:highlight w:val="none"/>
        </w:rPr>
        <w:t>：</w:t>
      </w:r>
      <w:r>
        <w:rPr>
          <w:rFonts w:hint="eastAsia" w:ascii="宋体" w:hAnsi="宋体" w:eastAsia="宋体" w:cs="宋体"/>
          <w:color w:val="auto"/>
          <w:szCs w:val="21"/>
          <w:highlight w:val="none"/>
          <w:u w:val="single"/>
        </w:rPr>
        <w:t xml:space="preserve">                             </w:t>
      </w:r>
    </w:p>
    <w:p w14:paraId="6DC9A364">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Cs w:val="21"/>
          <w:highlight w:val="none"/>
        </w:rPr>
        <w:t>（3）履约担保：</w:t>
      </w:r>
      <w:r>
        <w:rPr>
          <w:rFonts w:hint="eastAsia" w:ascii="宋体" w:hAnsi="宋体" w:eastAsia="宋体" w:cs="宋体"/>
          <w:color w:val="auto"/>
          <w:sz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6CB2ECDE">
      <w:pPr>
        <w:pStyle w:val="55"/>
        <w:spacing w:beforeLines="0"/>
        <w:rPr>
          <w:rFonts w:hint="eastAsia" w:ascii="宋体" w:hAnsi="宋体" w:eastAsia="宋体" w:cs="宋体"/>
          <w:color w:val="auto"/>
          <w:sz w:val="21"/>
          <w:highlight w:val="none"/>
          <w:lang w:val="en-US" w:eastAsia="zh-CN"/>
        </w:rPr>
      </w:pPr>
      <w:r>
        <w:rPr>
          <w:rFonts w:hint="eastAsia" w:ascii="宋体" w:hAnsi="宋体" w:eastAsia="宋体" w:cs="宋体"/>
          <w:bCs/>
          <w:color w:val="auto"/>
          <w:szCs w:val="21"/>
          <w:highlight w:val="none"/>
          <w:u w:val="none"/>
          <w:lang w:val="en-US" w:eastAsia="zh-CN"/>
        </w:rPr>
        <w:t xml:space="preserve">  </w:t>
      </w:r>
      <w:r>
        <w:rPr>
          <w:rFonts w:hint="eastAsia" w:ascii="宋体" w:hAnsi="宋体" w:eastAsia="宋体" w:cs="宋体"/>
          <w:color w:val="auto"/>
          <w:sz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401AEA2D">
      <w:pPr>
        <w:pStyle w:val="55"/>
        <w:spacing w:beforeLines="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610C864E">
      <w:pPr>
        <w:snapToGrid w:val="0"/>
        <w:spacing w:beforeLines="0" w:line="400" w:lineRule="exact"/>
        <w:ind w:firstLine="420" w:firstLineChars="200"/>
        <w:rPr>
          <w:rFonts w:hint="eastAsia" w:ascii="宋体" w:hAnsi="宋体" w:eastAsia="宋体" w:cs="宋体"/>
          <w:color w:val="auto"/>
          <w:sz w:val="21"/>
          <w:highlight w:val="none"/>
          <w:lang w:val="en-US" w:eastAsia="zh-CN"/>
        </w:rPr>
      </w:pPr>
      <w:r>
        <w:rPr>
          <w:rFonts w:hint="eastAsia" w:ascii="宋体" w:hAnsi="宋体" w:eastAsia="宋体" w:cs="宋体"/>
          <w:bCs/>
          <w:color w:val="auto"/>
          <w:szCs w:val="21"/>
          <w:highlight w:val="none"/>
          <w:u w:val="none"/>
          <w:lang w:val="en-US" w:eastAsia="zh-CN"/>
        </w:rPr>
        <w:t xml:space="preserve">    履约担保期限</w:t>
      </w:r>
      <w:r>
        <w:rPr>
          <w:rFonts w:hint="eastAsia" w:ascii="宋体" w:hAnsi="宋体" w:eastAsia="宋体" w:cs="宋体"/>
          <w:bCs/>
          <w:color w:val="auto"/>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40C3703B">
      <w:pPr>
        <w:adjustRightInd w:val="0"/>
        <w:snapToGrid w:val="0"/>
        <w:spacing w:before="0" w:beforeLines="0"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（4）分期履行要求：</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rPr>
        <w:t xml:space="preserve"> </w:t>
      </w:r>
    </w:p>
    <w:p w14:paraId="2DBC005B">
      <w:pPr>
        <w:adjustRightInd w:val="0"/>
        <w:snapToGrid w:val="0"/>
        <w:spacing w:before="0" w:beforeLines="0"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eastAsia="zh-CN"/>
        </w:rPr>
        <w:t>风险处置措施和替代方案</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u w:val="single"/>
        </w:rPr>
        <w:t xml:space="preserve">                                                               </w:t>
      </w:r>
    </w:p>
    <w:p w14:paraId="0B0FF3DE">
      <w:pPr>
        <w:numPr>
          <w:ilvl w:val="0"/>
          <w:numId w:val="7"/>
        </w:numPr>
        <w:adjustRightInd w:val="0"/>
        <w:snapToGrid w:val="0"/>
        <w:spacing w:before="0" w:beforeLines="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合同验收</w:t>
      </w:r>
    </w:p>
    <w:p w14:paraId="25047BC8">
      <w:pPr>
        <w:numPr>
          <w:ilvl w:val="0"/>
          <w:numId w:val="9"/>
        </w:numPr>
        <w:adjustRightInd w:val="0"/>
        <w:snapToGrid w:val="0"/>
        <w:spacing w:before="0" w:beforeLines="0"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委托第三方组织</w:t>
      </w:r>
    </w:p>
    <w:p w14:paraId="764FE8E7">
      <w:pPr>
        <w:numPr>
          <w:ilvl w:val="0"/>
          <w:numId w:val="0"/>
        </w:numPr>
        <w:adjustRightInd w:val="0"/>
        <w:snapToGrid w:val="0"/>
        <w:spacing w:before="0" w:beforeLines="0"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验收主体：</w:t>
      </w:r>
      <w:r>
        <w:rPr>
          <w:rFonts w:hint="eastAsia" w:ascii="宋体" w:hAnsi="宋体" w:eastAsia="宋体" w:cs="宋体"/>
          <w:bCs/>
          <w:color w:val="auto"/>
          <w:szCs w:val="21"/>
          <w:highlight w:val="none"/>
          <w:u w:val="single"/>
        </w:rPr>
        <w:t xml:space="preserve">                  </w:t>
      </w:r>
    </w:p>
    <w:p w14:paraId="17296EEB">
      <w:pPr>
        <w:adjustRightInd w:val="0"/>
        <w:snapToGrid w:val="0"/>
        <w:spacing w:before="0" w:beforeLines="0"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是否邀请本项目的其他供应商</w:t>
      </w:r>
      <w:r>
        <w:rPr>
          <w:rFonts w:hint="eastAsia" w:ascii="宋体" w:hAnsi="宋体" w:eastAsia="宋体" w:cs="宋体"/>
          <w:bCs/>
          <w:color w:val="auto"/>
          <w:szCs w:val="21"/>
          <w:highlight w:val="none"/>
          <w:lang w:eastAsia="zh-CN"/>
        </w:rPr>
        <w:t>参加验收</w:t>
      </w:r>
      <w:r>
        <w:rPr>
          <w:rFonts w:hint="eastAsia" w:ascii="宋体" w:hAnsi="宋体" w:eastAsia="宋体" w:cs="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291780FE">
      <w:pPr>
        <w:adjustRightInd w:val="0"/>
        <w:snapToGrid w:val="0"/>
        <w:spacing w:before="0" w:beforeLines="0"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是否邀请专家</w:t>
      </w:r>
      <w:r>
        <w:rPr>
          <w:rFonts w:hint="eastAsia" w:ascii="宋体" w:hAnsi="宋体" w:eastAsia="宋体" w:cs="宋体"/>
          <w:bCs/>
          <w:color w:val="auto"/>
          <w:szCs w:val="21"/>
          <w:highlight w:val="none"/>
          <w:lang w:eastAsia="zh-CN"/>
        </w:rPr>
        <w:t>参加验收</w:t>
      </w:r>
      <w:r>
        <w:rPr>
          <w:rFonts w:hint="eastAsia" w:ascii="宋体" w:hAnsi="宋体" w:eastAsia="宋体" w:cs="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0D2CF019">
      <w:pPr>
        <w:adjustRightInd w:val="0"/>
        <w:snapToGrid w:val="0"/>
        <w:spacing w:before="0" w:beforeLines="0"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是否邀请服务对象</w:t>
      </w:r>
      <w:r>
        <w:rPr>
          <w:rFonts w:hint="eastAsia" w:ascii="宋体" w:hAnsi="宋体" w:eastAsia="宋体" w:cs="宋体"/>
          <w:bCs/>
          <w:color w:val="auto"/>
          <w:szCs w:val="21"/>
          <w:highlight w:val="none"/>
          <w:lang w:eastAsia="zh-CN"/>
        </w:rPr>
        <w:t>参加验收</w:t>
      </w:r>
      <w:r>
        <w:rPr>
          <w:rFonts w:hint="eastAsia" w:ascii="宋体" w:hAnsi="宋体" w:eastAsia="宋体" w:cs="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059A1549">
      <w:pPr>
        <w:adjustRightInd w:val="0"/>
        <w:snapToGrid w:val="0"/>
        <w:spacing w:before="0" w:beforeLines="0"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是否邀请第三方检测机构</w:t>
      </w:r>
      <w:r>
        <w:rPr>
          <w:rFonts w:hint="eastAsia" w:ascii="宋体" w:hAnsi="宋体" w:eastAsia="宋体" w:cs="宋体"/>
          <w:bCs/>
          <w:color w:val="auto"/>
          <w:szCs w:val="21"/>
          <w:highlight w:val="none"/>
          <w:lang w:eastAsia="zh-CN"/>
        </w:rPr>
        <w:t>参加验收</w:t>
      </w:r>
      <w:r>
        <w:rPr>
          <w:rFonts w:hint="eastAsia" w:ascii="宋体" w:hAnsi="宋体" w:eastAsia="宋体" w:cs="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0187ACF9">
      <w:pPr>
        <w:adjustRightInd w:val="0"/>
        <w:snapToGrid w:val="0"/>
        <w:spacing w:before="0" w:beforeLines="0"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是</w:t>
      </w:r>
      <w:r>
        <w:rPr>
          <w:rFonts w:hint="eastAsia" w:ascii="宋体" w:hAnsi="宋体" w:eastAsia="宋体" w:cs="宋体"/>
          <w:bCs/>
          <w:color w:val="auto"/>
          <w:szCs w:val="21"/>
          <w:highlight w:val="none"/>
          <w:lang w:eastAsia="zh-CN"/>
        </w:rPr>
        <w:t>，抽查比例：</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33597675">
      <w:pPr>
        <w:adjustRightInd w:val="0"/>
        <w:snapToGrid w:val="0"/>
        <w:spacing w:before="0" w:beforeLines="0" w:line="400" w:lineRule="exact"/>
        <w:ind w:firstLine="840" w:firstLineChars="400"/>
        <w:rPr>
          <w:rFonts w:hint="eastAsia" w:ascii="宋体" w:hAnsi="宋体" w:eastAsia="宋体" w:cs="宋体"/>
          <w:bCs/>
          <w:color w:val="auto"/>
          <w:szCs w:val="21"/>
          <w:highlight w:val="none"/>
          <w:u w:val="single"/>
          <w:lang w:eastAsia="zh-CN"/>
        </w:rPr>
      </w:pPr>
      <w:r>
        <w:rPr>
          <w:rFonts w:hint="eastAsia" w:ascii="宋体" w:hAnsi="宋体" w:eastAsia="宋体" w:cs="宋体"/>
          <w:bCs/>
          <w:color w:val="auto"/>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是</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u w:val="single"/>
          <w:lang w:eastAsia="zh-CN"/>
        </w:rPr>
        <w:t>（应明确对被破坏的检测产品的处理方式）</w:t>
      </w:r>
    </w:p>
    <w:p w14:paraId="6843BD57">
      <w:pPr>
        <w:adjustRightInd w:val="0"/>
        <w:snapToGrid w:val="0"/>
        <w:spacing w:before="0" w:beforeLines="0" w:line="400" w:lineRule="exact"/>
        <w:ind w:firstLine="840" w:firstLineChars="4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6D7DFE97">
      <w:pPr>
        <w:adjustRightInd w:val="0"/>
        <w:snapToGrid w:val="0"/>
        <w:spacing w:before="0" w:beforeLines="0" w:line="400" w:lineRule="exact"/>
        <w:ind w:firstLine="840" w:firstLineChars="4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验收组织的其他事项：</w:t>
      </w:r>
      <w:r>
        <w:rPr>
          <w:rFonts w:hint="eastAsia" w:ascii="宋体" w:hAnsi="宋体" w:eastAsia="宋体" w:cs="宋体"/>
          <w:bCs/>
          <w:color w:val="auto"/>
          <w:szCs w:val="21"/>
          <w:highlight w:val="none"/>
          <w:u w:val="single"/>
        </w:rPr>
        <w:t xml:space="preserve">                </w:t>
      </w:r>
    </w:p>
    <w:p w14:paraId="49A59E90">
      <w:pPr>
        <w:adjustRightInd w:val="0"/>
        <w:snapToGrid w:val="0"/>
        <w:spacing w:before="0" w:beforeLines="0"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（2）履约验收时间：</w:t>
      </w:r>
      <w:r>
        <w:rPr>
          <w:rFonts w:hint="eastAsia" w:ascii="宋体" w:hAnsi="宋体" w:eastAsia="宋体" w:cs="宋体"/>
          <w:bCs/>
          <w:color w:val="auto"/>
          <w:szCs w:val="21"/>
          <w:highlight w:val="none"/>
          <w:u w:val="single"/>
        </w:rPr>
        <w:t>（计划于何时验收/供应商提出验收申请之日起   日内组织验收）</w:t>
      </w:r>
      <w:r>
        <w:rPr>
          <w:rFonts w:hint="eastAsia" w:ascii="宋体" w:hAnsi="宋体" w:eastAsia="宋体" w:cs="宋体"/>
          <w:bCs/>
          <w:color w:val="auto"/>
          <w:szCs w:val="21"/>
          <w:highlight w:val="none"/>
          <w:u w:val="single"/>
          <w:lang w:val="en-US" w:eastAsia="zh-CN"/>
        </w:rPr>
        <w:t xml:space="preserve"> </w:t>
      </w:r>
    </w:p>
    <w:p w14:paraId="56AC4100">
      <w:pPr>
        <w:adjustRightInd w:val="0"/>
        <w:snapToGrid w:val="0"/>
        <w:spacing w:before="0" w:beforeLines="0"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一次性验收         </w:t>
      </w:r>
    </w:p>
    <w:p w14:paraId="6F0E5D7A">
      <w:pPr>
        <w:adjustRightInd w:val="0"/>
        <w:snapToGrid w:val="0"/>
        <w:spacing w:before="0" w:beforeLines="0" w:line="400" w:lineRule="exact"/>
        <w:ind w:firstLine="0" w:firstLineChars="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分期/分项验收</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eastAsia="zh-CN"/>
        </w:rPr>
        <w:t>（应明确分期</w:t>
      </w:r>
      <w:r>
        <w:rPr>
          <w:rFonts w:hint="eastAsia" w:ascii="宋体" w:hAnsi="宋体" w:eastAsia="宋体" w:cs="宋体"/>
          <w:bCs/>
          <w:color w:val="auto"/>
          <w:szCs w:val="21"/>
          <w:highlight w:val="none"/>
          <w:u w:val="single"/>
          <w:lang w:val="en" w:eastAsia="zh-CN"/>
        </w:rPr>
        <w:t>/分项验收的工作安排</w:t>
      </w:r>
      <w:r>
        <w:rPr>
          <w:rFonts w:hint="eastAsia" w:ascii="宋体" w:hAnsi="宋体" w:eastAsia="宋体" w:cs="宋体"/>
          <w:bCs/>
          <w:color w:val="auto"/>
          <w:szCs w:val="21"/>
          <w:highlight w:val="none"/>
          <w:u w:val="single"/>
          <w:lang w:eastAsia="zh-CN"/>
        </w:rPr>
        <w:t>）</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 xml:space="preserve"> </w:t>
      </w:r>
    </w:p>
    <w:p w14:paraId="10EB130B">
      <w:pPr>
        <w:adjustRightInd w:val="0"/>
        <w:snapToGrid w:val="0"/>
        <w:spacing w:before="0" w:beforeLines="0"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（4）履约验收程序：</w:t>
      </w:r>
      <w:r>
        <w:rPr>
          <w:rFonts w:hint="eastAsia" w:ascii="宋体" w:hAnsi="宋体" w:eastAsia="宋体" w:cs="宋体"/>
          <w:bCs/>
          <w:color w:val="auto"/>
          <w:szCs w:val="21"/>
          <w:highlight w:val="none"/>
          <w:u w:val="single"/>
        </w:rPr>
        <w:t xml:space="preserve">                                         </w:t>
      </w:r>
    </w:p>
    <w:p w14:paraId="08241862">
      <w:pPr>
        <w:adjustRightInd w:val="0"/>
        <w:snapToGrid w:val="0"/>
        <w:spacing w:before="0" w:beforeLines="0"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（5）履约验收的内容：</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Cs w:val="21"/>
          <w:highlight w:val="none"/>
          <w:u w:val="single"/>
        </w:rPr>
        <w:t xml:space="preserve">                                      </w:t>
      </w:r>
    </w:p>
    <w:p w14:paraId="533F3B28">
      <w:pPr>
        <w:adjustRightInd w:val="0"/>
        <w:snapToGrid w:val="0"/>
        <w:spacing w:before="0" w:beforeLines="0"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（6）履约验收标准：</w:t>
      </w:r>
      <w:r>
        <w:rPr>
          <w:rFonts w:hint="eastAsia" w:ascii="宋体" w:hAnsi="宋体" w:eastAsia="宋体" w:cs="宋体"/>
          <w:bCs/>
          <w:color w:val="auto"/>
          <w:szCs w:val="21"/>
          <w:highlight w:val="none"/>
          <w:u w:val="single"/>
        </w:rPr>
        <w:t xml:space="preserve">                                         </w:t>
      </w:r>
    </w:p>
    <w:p w14:paraId="7BA065C9">
      <w:pPr>
        <w:pStyle w:val="55"/>
        <w:spacing w:beforeLines="0"/>
        <w:rPr>
          <w:rFonts w:hint="eastAsia" w:ascii="宋体" w:hAnsi="宋体" w:eastAsia="宋体" w:cs="宋体"/>
          <w:color w:val="auto"/>
          <w:sz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19230A4E">
      <w:pPr>
        <w:adjustRightInd w:val="0"/>
        <w:snapToGrid w:val="0"/>
        <w:spacing w:before="0" w:beforeLines="0"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（8）履约验收其他事项：</w:t>
      </w:r>
      <w:r>
        <w:rPr>
          <w:rFonts w:hint="eastAsia" w:ascii="宋体" w:hAnsi="宋体" w:eastAsia="宋体" w:cs="宋体"/>
          <w:bCs/>
          <w:color w:val="auto"/>
          <w:szCs w:val="21"/>
          <w:highlight w:val="none"/>
          <w:u w:val="single"/>
        </w:rPr>
        <w:t xml:space="preserve">      </w:t>
      </w:r>
      <w:r>
        <w:rPr>
          <w:rFonts w:hint="eastAsia" w:ascii="宋体" w:hAnsi="宋体" w:eastAsia="宋体" w:cs="宋体"/>
          <w:bCs/>
          <w:i w:val="0"/>
          <w:iCs w:val="0"/>
          <w:color w:val="auto"/>
          <w:szCs w:val="21"/>
          <w:highlight w:val="none"/>
          <w:u w:val="single"/>
        </w:rPr>
        <w:t>（产权过户登记等）</w:t>
      </w:r>
      <w:r>
        <w:rPr>
          <w:rFonts w:hint="eastAsia" w:ascii="宋体" w:hAnsi="宋体" w:eastAsia="宋体" w:cs="宋体"/>
          <w:bCs/>
          <w:color w:val="auto"/>
          <w:szCs w:val="21"/>
          <w:highlight w:val="none"/>
          <w:u w:val="single"/>
        </w:rPr>
        <w:t xml:space="preserve">          </w:t>
      </w:r>
    </w:p>
    <w:p w14:paraId="2A375939">
      <w:pPr>
        <w:numPr>
          <w:ilvl w:val="0"/>
          <w:numId w:val="7"/>
        </w:numPr>
        <w:adjustRightInd w:val="0"/>
        <w:snapToGrid w:val="0"/>
        <w:spacing w:before="0" w:beforeLines="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组成合同的文件</w:t>
      </w:r>
    </w:p>
    <w:p w14:paraId="78643F87">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本协议书与下列文件一起构成合同文件，如下述文件之间有任何抵触、矛盾或歧义，应按以下顺序解释：</w:t>
      </w:r>
    </w:p>
    <w:p w14:paraId="5F5D4338">
      <w:pPr>
        <w:adjustRightInd w:val="0"/>
        <w:snapToGrid w:val="0"/>
        <w:spacing w:before="0" w:beforeLines="0"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政府采购</w:t>
      </w:r>
      <w:r>
        <w:rPr>
          <w:rFonts w:hint="eastAsia" w:ascii="宋体" w:hAnsi="宋体" w:eastAsia="宋体" w:cs="宋体"/>
          <w:color w:val="auto"/>
          <w:szCs w:val="21"/>
          <w:highlight w:val="none"/>
        </w:rPr>
        <w:t>合同协议书及其变更、补充</w:t>
      </w:r>
      <w:r>
        <w:rPr>
          <w:rFonts w:hint="eastAsia" w:ascii="宋体" w:hAnsi="宋体" w:eastAsia="宋体" w:cs="宋体"/>
          <w:color w:val="auto"/>
          <w:szCs w:val="21"/>
          <w:highlight w:val="none"/>
          <w:lang w:eastAsia="zh-CN"/>
        </w:rPr>
        <w:t>协议</w:t>
      </w:r>
    </w:p>
    <w:p w14:paraId="66C51AB0">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）政府采购合同专用条款</w:t>
      </w:r>
    </w:p>
    <w:p w14:paraId="7BF445C3">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）政府采购合同通用条款</w:t>
      </w:r>
    </w:p>
    <w:p w14:paraId="00D0DE32">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）中标</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w:t>
      </w:r>
    </w:p>
    <w:p w14:paraId="4FB34E68">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）投标（响应）文件</w:t>
      </w:r>
    </w:p>
    <w:p w14:paraId="3D2ACAEE">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（6）采购文件</w:t>
      </w:r>
    </w:p>
    <w:p w14:paraId="65FA9E94">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（7）有关技术文件，图纸</w:t>
      </w:r>
    </w:p>
    <w:p w14:paraId="05118A4B">
      <w:pPr>
        <w:pStyle w:val="55"/>
        <w:spacing w:beforeLines="0"/>
        <w:rPr>
          <w:rFonts w:hint="eastAsia" w:ascii="宋体" w:hAnsi="宋体" w:eastAsia="宋体" w:cs="宋体"/>
          <w:color w:val="auto"/>
          <w:kern w:val="2"/>
          <w:sz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4D46B916">
      <w:pPr>
        <w:numPr>
          <w:ilvl w:val="0"/>
          <w:numId w:val="7"/>
        </w:numPr>
        <w:adjustRightInd w:val="0"/>
        <w:snapToGrid w:val="0"/>
        <w:spacing w:before="0" w:beforeLines="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合同生效</w:t>
      </w:r>
    </w:p>
    <w:p w14:paraId="7580F76A">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生效。</w:t>
      </w:r>
    </w:p>
    <w:p w14:paraId="4B6D2904">
      <w:pPr>
        <w:numPr>
          <w:ilvl w:val="0"/>
          <w:numId w:val="7"/>
        </w:numPr>
        <w:adjustRightInd w:val="0"/>
        <w:snapToGrid w:val="0"/>
        <w:spacing w:before="0" w:beforeLines="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合同份数</w:t>
      </w:r>
    </w:p>
    <w:p w14:paraId="5ED7148F">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份，均具有同等法律效力。</w:t>
      </w:r>
    </w:p>
    <w:p w14:paraId="05C54F0D">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合同订立时间：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43A7AE6">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合同订立地点：</w:t>
      </w:r>
      <w:r>
        <w:rPr>
          <w:rFonts w:hint="eastAsia" w:ascii="宋体" w:hAnsi="宋体" w:eastAsia="宋体" w:cs="宋体"/>
          <w:color w:val="auto"/>
          <w:szCs w:val="21"/>
          <w:highlight w:val="none"/>
          <w:u w:val="single"/>
        </w:rPr>
        <w:t xml:space="preserve">                           </w:t>
      </w:r>
    </w:p>
    <w:p w14:paraId="52357240">
      <w:pPr>
        <w:adjustRightInd w:val="0"/>
        <w:snapToGrid w:val="0"/>
        <w:spacing w:before="0" w:beforeLines="0"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附件：具体标</w:t>
      </w:r>
      <w:r>
        <w:rPr>
          <w:rFonts w:hint="eastAsia" w:ascii="宋体" w:hAnsi="宋体" w:eastAsia="宋体" w:cs="宋体"/>
          <w:color w:val="auto"/>
          <w:szCs w:val="21"/>
          <w:highlight w:val="none"/>
          <w:lang w:eastAsia="zh-CN"/>
        </w:rPr>
        <w:t>的及其</w:t>
      </w:r>
      <w:r>
        <w:rPr>
          <w:rFonts w:hint="eastAsia" w:ascii="宋体" w:hAnsi="宋体" w:eastAsia="宋体" w:cs="宋体"/>
          <w:color w:val="auto"/>
          <w:szCs w:val="21"/>
          <w:highlight w:val="none"/>
          <w:u w:val="none"/>
          <w:lang w:val="en-US" w:eastAsia="zh-CN"/>
        </w:rPr>
        <w:t>技术要求和商务要求</w:t>
      </w:r>
      <w:r>
        <w:rPr>
          <w:rFonts w:hint="eastAsia" w:ascii="宋体" w:hAnsi="宋体" w:eastAsia="宋体" w:cs="宋体"/>
          <w:color w:val="auto"/>
          <w:szCs w:val="21"/>
          <w:highlight w:val="none"/>
        </w:rPr>
        <w:t>、联合协议、分包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协议等。</w:t>
      </w:r>
    </w:p>
    <w:p w14:paraId="06E2A3DE">
      <w:pPr>
        <w:pStyle w:val="56"/>
        <w:spacing w:beforeLines="0" w:line="400" w:lineRule="exact"/>
        <w:rPr>
          <w:rFonts w:hint="eastAsia" w:ascii="宋体" w:hAnsi="宋体" w:eastAsia="宋体" w:cs="宋体"/>
          <w:color w:val="auto"/>
          <w:highlight w:val="none"/>
        </w:rPr>
      </w:pPr>
    </w:p>
    <w:p w14:paraId="4126A3D7">
      <w:pPr>
        <w:pStyle w:val="3"/>
        <w:numPr>
          <w:ilvl w:val="1"/>
          <w:numId w:val="0"/>
        </w:numPr>
        <w:spacing w:beforeLines="0" w:line="400" w:lineRule="exact"/>
        <w:ind w:left="288" w:lef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highlight w:val="none"/>
          <w:lang w:val="en"/>
        </w:rPr>
        <w:t xml:space="preserve">   </w:t>
      </w:r>
    </w:p>
    <w:p w14:paraId="439BBB4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D4304E5">
      <w:pPr>
        <w:pStyle w:val="56"/>
        <w:rPr>
          <w:rFonts w:hint="eastAsia" w:ascii="宋体" w:hAnsi="宋体" w:eastAsia="宋体" w:cs="宋体"/>
          <w:color w:val="auto"/>
          <w:highlight w:val="none"/>
        </w:rPr>
      </w:pPr>
    </w:p>
    <w:tbl>
      <w:tblPr>
        <w:tblStyle w:val="24"/>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86"/>
        <w:gridCol w:w="2789"/>
        <w:gridCol w:w="2288"/>
        <w:gridCol w:w="2447"/>
      </w:tblGrid>
      <w:tr w14:paraId="46CCFB0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20983345">
            <w:pPr>
              <w:adjustRightInd w:val="0"/>
              <w:snapToGrid w:val="0"/>
              <w:spacing w:line="300" w:lineRule="exac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甲方（采购人</w:t>
            </w:r>
            <w:r>
              <w:rPr>
                <w:rFonts w:hint="eastAsia" w:ascii="宋体" w:hAnsi="宋体" w:eastAsia="宋体" w:cs="宋体"/>
                <w:color w:val="auto"/>
                <w:szCs w:val="21"/>
                <w:highlight w:val="none"/>
                <w:lang w:eastAsia="zh-CN"/>
              </w:rPr>
              <w:t>、受采购人委托签订合同的单位</w:t>
            </w:r>
            <w:r>
              <w:rPr>
                <w:rFonts w:hint="eastAsia" w:ascii="宋体" w:hAnsi="宋体" w:eastAsia="宋体" w:cs="宋体"/>
                <w:color w:val="auto"/>
                <w:szCs w:val="21"/>
                <w:highlight w:val="none"/>
              </w:rPr>
              <w:t>或采购文件约定的合同甲方）</w:t>
            </w:r>
          </w:p>
        </w:tc>
        <w:tc>
          <w:tcPr>
            <w:tcW w:w="2437" w:type="pct"/>
            <w:gridSpan w:val="2"/>
            <w:tcBorders>
              <w:left w:val="single" w:color="auto" w:sz="2" w:space="0"/>
              <w:bottom w:val="single" w:color="auto" w:sz="2" w:space="0"/>
            </w:tcBorders>
            <w:vAlign w:val="center"/>
          </w:tcPr>
          <w:p w14:paraId="6DDF371D">
            <w:pPr>
              <w:adjustRightInd w:val="0"/>
              <w:snapToGrid w:val="0"/>
              <w:spacing w:line="300" w:lineRule="exac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乙方（供应商）</w:t>
            </w:r>
          </w:p>
        </w:tc>
      </w:tr>
      <w:tr w14:paraId="2198B52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46B9FB17">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单位名称（公章</w:t>
            </w:r>
            <w:r>
              <w:rPr>
                <w:rFonts w:hint="eastAsia" w:ascii="宋体" w:hAnsi="宋体" w:eastAsia="宋体" w:cs="宋体"/>
                <w:color w:val="auto"/>
                <w:szCs w:val="21"/>
                <w:highlight w:val="none"/>
                <w:lang w:eastAsia="zh-CN"/>
              </w:rPr>
              <w:t>或合同章</w:t>
            </w:r>
            <w:r>
              <w:rPr>
                <w:rFonts w:hint="eastAsia" w:ascii="宋体" w:hAnsi="宋体" w:eastAsia="宋体" w:cs="宋体"/>
                <w:color w:val="auto"/>
                <w:szCs w:val="21"/>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536237E0">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55ACBD5">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单位名称（公章</w:t>
            </w:r>
            <w:r>
              <w:rPr>
                <w:rFonts w:hint="eastAsia" w:ascii="宋体" w:hAnsi="宋体" w:eastAsia="宋体" w:cs="宋体"/>
                <w:color w:val="auto"/>
                <w:szCs w:val="21"/>
                <w:highlight w:val="none"/>
                <w:lang w:eastAsia="zh-CN"/>
              </w:rPr>
              <w:t>或合同章</w:t>
            </w:r>
            <w:r>
              <w:rPr>
                <w:rFonts w:hint="eastAsia" w:ascii="宋体" w:hAnsi="宋体" w:eastAsia="宋体" w:cs="宋体"/>
                <w:color w:val="auto"/>
                <w:szCs w:val="21"/>
                <w:highlight w:val="none"/>
              </w:rPr>
              <w:t>）</w:t>
            </w:r>
          </w:p>
        </w:tc>
        <w:tc>
          <w:tcPr>
            <w:tcW w:w="1259" w:type="pct"/>
            <w:tcBorders>
              <w:top w:val="single" w:color="auto" w:sz="2" w:space="0"/>
              <w:left w:val="single" w:color="auto" w:sz="2" w:space="0"/>
              <w:bottom w:val="single" w:color="auto" w:sz="2" w:space="0"/>
            </w:tcBorders>
            <w:vAlign w:val="center"/>
          </w:tcPr>
          <w:p w14:paraId="5914793C">
            <w:pPr>
              <w:adjustRightInd w:val="0"/>
              <w:snapToGrid w:val="0"/>
              <w:spacing w:line="300" w:lineRule="exact"/>
              <w:jc w:val="center"/>
              <w:rPr>
                <w:rFonts w:hint="eastAsia" w:ascii="宋体" w:hAnsi="宋体" w:eastAsia="宋体" w:cs="宋体"/>
                <w:color w:val="auto"/>
                <w:spacing w:val="20"/>
                <w:szCs w:val="21"/>
                <w:highlight w:val="none"/>
              </w:rPr>
            </w:pPr>
          </w:p>
        </w:tc>
      </w:tr>
      <w:tr w14:paraId="45B009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6B3CDD03">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1B7235CF">
            <w:pPr>
              <w:adjustRightInd w:val="0"/>
              <w:snapToGrid w:val="0"/>
              <w:spacing w:line="300" w:lineRule="exact"/>
              <w:ind w:firstLine="100" w:firstLineChars="48"/>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4A236B06">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right w:val="single" w:color="auto" w:sz="2" w:space="0"/>
            </w:tcBorders>
            <w:vAlign w:val="center"/>
          </w:tcPr>
          <w:p w14:paraId="4333D093">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23F3FBD1">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38B5243D">
            <w:pPr>
              <w:adjustRightInd w:val="0"/>
              <w:snapToGrid w:val="0"/>
              <w:spacing w:line="300" w:lineRule="exact"/>
              <w:jc w:val="center"/>
              <w:rPr>
                <w:rFonts w:hint="eastAsia" w:ascii="宋体" w:hAnsi="宋体" w:eastAsia="宋体" w:cs="宋体"/>
                <w:color w:val="auto"/>
                <w:szCs w:val="21"/>
                <w:highlight w:val="none"/>
              </w:rPr>
            </w:pPr>
          </w:p>
        </w:tc>
      </w:tr>
      <w:tr w14:paraId="44F3AF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23E94C8E">
            <w:pPr>
              <w:adjustRightInd w:val="0"/>
              <w:snapToGrid w:val="0"/>
              <w:spacing w:line="300" w:lineRule="exact"/>
              <w:jc w:val="center"/>
              <w:rPr>
                <w:rFonts w:hint="eastAsia" w:ascii="宋体" w:hAnsi="宋体" w:eastAsia="宋体" w:cs="宋体"/>
                <w:color w:val="auto"/>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61F41100">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E0F953D">
            <w:pPr>
              <w:adjustRightInd w:val="0"/>
              <w:snapToGrid w:val="0"/>
              <w:spacing w:line="3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1A163856">
            <w:pPr>
              <w:adjustRightInd w:val="0"/>
              <w:snapToGrid w:val="0"/>
              <w:spacing w:line="300" w:lineRule="exact"/>
              <w:jc w:val="center"/>
              <w:rPr>
                <w:rFonts w:hint="eastAsia" w:ascii="宋体" w:hAnsi="宋体" w:eastAsia="宋体" w:cs="宋体"/>
                <w:color w:val="auto"/>
                <w:spacing w:val="20"/>
                <w:szCs w:val="21"/>
                <w:highlight w:val="none"/>
              </w:rPr>
            </w:pPr>
          </w:p>
        </w:tc>
      </w:tr>
      <w:tr w14:paraId="30B2C3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3BF7CDF">
            <w:pPr>
              <w:adjustRightInd w:val="0"/>
              <w:snapToGrid w:val="0"/>
              <w:spacing w:line="3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住</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4C219BC">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2BAA44A">
            <w:pPr>
              <w:adjustRightInd w:val="0"/>
              <w:snapToGrid w:val="0"/>
              <w:spacing w:line="3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住</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所</w:t>
            </w:r>
          </w:p>
        </w:tc>
        <w:tc>
          <w:tcPr>
            <w:tcW w:w="1259" w:type="pct"/>
            <w:tcBorders>
              <w:top w:val="single" w:color="auto" w:sz="2" w:space="0"/>
              <w:left w:val="single" w:color="auto" w:sz="2" w:space="0"/>
              <w:bottom w:val="single" w:color="auto" w:sz="2" w:space="0"/>
            </w:tcBorders>
            <w:vAlign w:val="center"/>
          </w:tcPr>
          <w:p w14:paraId="5FF23699">
            <w:pPr>
              <w:adjustRightInd w:val="0"/>
              <w:snapToGrid w:val="0"/>
              <w:spacing w:line="300" w:lineRule="exact"/>
              <w:jc w:val="center"/>
              <w:rPr>
                <w:rFonts w:hint="eastAsia" w:ascii="宋体" w:hAnsi="宋体" w:eastAsia="宋体" w:cs="宋体"/>
                <w:color w:val="auto"/>
                <w:spacing w:val="20"/>
                <w:szCs w:val="21"/>
                <w:highlight w:val="none"/>
              </w:rPr>
            </w:pPr>
          </w:p>
        </w:tc>
      </w:tr>
      <w:tr w14:paraId="26AB13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FBAB410">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0EB36DA6">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EDBDE3D">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p>
        </w:tc>
        <w:tc>
          <w:tcPr>
            <w:tcW w:w="1259" w:type="pct"/>
            <w:tcBorders>
              <w:top w:val="single" w:color="auto" w:sz="2" w:space="0"/>
              <w:left w:val="single" w:color="auto" w:sz="2" w:space="0"/>
              <w:bottom w:val="single" w:color="auto" w:sz="2" w:space="0"/>
            </w:tcBorders>
            <w:vAlign w:val="center"/>
          </w:tcPr>
          <w:p w14:paraId="0F579FED">
            <w:pPr>
              <w:adjustRightInd w:val="0"/>
              <w:snapToGrid w:val="0"/>
              <w:spacing w:line="300" w:lineRule="exact"/>
              <w:jc w:val="center"/>
              <w:rPr>
                <w:rFonts w:hint="eastAsia" w:ascii="宋体" w:hAnsi="宋体" w:eastAsia="宋体" w:cs="宋体"/>
                <w:color w:val="auto"/>
                <w:spacing w:val="20"/>
                <w:szCs w:val="21"/>
                <w:highlight w:val="none"/>
              </w:rPr>
            </w:pPr>
          </w:p>
        </w:tc>
      </w:tr>
      <w:tr w14:paraId="6007C1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A8CEB93">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6ADA00F5">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A8F4124">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70042AE0">
            <w:pPr>
              <w:adjustRightInd w:val="0"/>
              <w:snapToGrid w:val="0"/>
              <w:spacing w:line="300" w:lineRule="exact"/>
              <w:jc w:val="center"/>
              <w:rPr>
                <w:rFonts w:hint="eastAsia" w:ascii="宋体" w:hAnsi="宋体" w:eastAsia="宋体" w:cs="宋体"/>
                <w:color w:val="auto"/>
                <w:spacing w:val="20"/>
                <w:szCs w:val="21"/>
                <w:highlight w:val="none"/>
              </w:rPr>
            </w:pPr>
          </w:p>
        </w:tc>
      </w:tr>
      <w:tr w14:paraId="76E6A1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AE70060">
            <w:pPr>
              <w:adjustRightInd w:val="0"/>
              <w:snapToGrid w:val="0"/>
              <w:spacing w:line="3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0E2CE00E">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E795780">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2EFBCD18">
            <w:pPr>
              <w:adjustRightInd w:val="0"/>
              <w:snapToGrid w:val="0"/>
              <w:spacing w:line="300" w:lineRule="exact"/>
              <w:jc w:val="center"/>
              <w:rPr>
                <w:rFonts w:hint="eastAsia" w:ascii="宋体" w:hAnsi="宋体" w:eastAsia="宋体" w:cs="宋体"/>
                <w:color w:val="auto"/>
                <w:spacing w:val="20"/>
                <w:szCs w:val="21"/>
                <w:highlight w:val="none"/>
              </w:rPr>
            </w:pPr>
          </w:p>
        </w:tc>
      </w:tr>
      <w:tr w14:paraId="642ECE6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950356F">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D2D6350">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CDF8C9B">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6D3794ED">
            <w:pPr>
              <w:adjustRightInd w:val="0"/>
              <w:snapToGrid w:val="0"/>
              <w:spacing w:line="300" w:lineRule="exact"/>
              <w:jc w:val="center"/>
              <w:rPr>
                <w:rFonts w:hint="eastAsia" w:ascii="宋体" w:hAnsi="宋体" w:eastAsia="宋体" w:cs="宋体"/>
                <w:color w:val="auto"/>
                <w:spacing w:val="20"/>
                <w:szCs w:val="21"/>
                <w:highlight w:val="none"/>
              </w:rPr>
            </w:pPr>
          </w:p>
        </w:tc>
      </w:tr>
      <w:tr w14:paraId="3E5924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00928A8">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0246810">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BD6BED6">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57C15B8E">
            <w:pPr>
              <w:adjustRightInd w:val="0"/>
              <w:snapToGrid w:val="0"/>
              <w:spacing w:line="300" w:lineRule="exact"/>
              <w:jc w:val="center"/>
              <w:rPr>
                <w:rFonts w:hint="eastAsia" w:ascii="宋体" w:hAnsi="宋体" w:eastAsia="宋体" w:cs="宋体"/>
                <w:color w:val="auto"/>
                <w:spacing w:val="20"/>
                <w:szCs w:val="21"/>
                <w:highlight w:val="none"/>
              </w:rPr>
            </w:pPr>
          </w:p>
        </w:tc>
      </w:tr>
      <w:tr w14:paraId="4A17BCD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217E715">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10BD0CC3">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612AFAB">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791E60EA">
            <w:pPr>
              <w:adjustRightInd w:val="0"/>
              <w:snapToGrid w:val="0"/>
              <w:spacing w:line="300" w:lineRule="exact"/>
              <w:jc w:val="center"/>
              <w:rPr>
                <w:rFonts w:hint="eastAsia" w:ascii="宋体" w:hAnsi="宋体" w:eastAsia="宋体" w:cs="宋体"/>
                <w:color w:val="auto"/>
                <w:spacing w:val="20"/>
                <w:szCs w:val="21"/>
                <w:highlight w:val="none"/>
              </w:rPr>
            </w:pPr>
          </w:p>
        </w:tc>
      </w:tr>
      <w:tr w14:paraId="78E628C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14708BF">
            <w:pPr>
              <w:adjustRightInd w:val="0"/>
              <w:snapToGrid w:val="0"/>
              <w:spacing w:line="300" w:lineRule="exact"/>
              <w:jc w:val="center"/>
              <w:rPr>
                <w:rFonts w:hint="eastAsia" w:ascii="宋体" w:hAnsi="宋体" w:eastAsia="宋体" w:cs="宋体"/>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0933676">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B05CCD3">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530C6D97">
            <w:pPr>
              <w:adjustRightInd w:val="0"/>
              <w:snapToGrid w:val="0"/>
              <w:spacing w:line="300" w:lineRule="exact"/>
              <w:jc w:val="center"/>
              <w:rPr>
                <w:rFonts w:hint="eastAsia" w:ascii="宋体" w:hAnsi="宋体" w:eastAsia="宋体" w:cs="宋体"/>
                <w:color w:val="auto"/>
                <w:spacing w:val="20"/>
                <w:szCs w:val="21"/>
                <w:highlight w:val="none"/>
              </w:rPr>
            </w:pPr>
          </w:p>
        </w:tc>
      </w:tr>
      <w:tr w14:paraId="551ADF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DA2251A">
            <w:pPr>
              <w:adjustRightInd w:val="0"/>
              <w:snapToGrid w:val="0"/>
              <w:spacing w:line="300" w:lineRule="exact"/>
              <w:jc w:val="center"/>
              <w:rPr>
                <w:rFonts w:hint="eastAsia" w:ascii="宋体" w:hAnsi="宋体" w:eastAsia="宋体" w:cs="宋体"/>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05E954E">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43228AE">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2F9D77B6">
            <w:pPr>
              <w:adjustRightInd w:val="0"/>
              <w:snapToGrid w:val="0"/>
              <w:spacing w:line="300" w:lineRule="exact"/>
              <w:jc w:val="center"/>
              <w:rPr>
                <w:rFonts w:hint="eastAsia" w:ascii="宋体" w:hAnsi="宋体" w:eastAsia="宋体" w:cs="宋体"/>
                <w:color w:val="auto"/>
                <w:spacing w:val="20"/>
                <w:szCs w:val="21"/>
                <w:highlight w:val="none"/>
              </w:rPr>
            </w:pPr>
          </w:p>
        </w:tc>
      </w:tr>
      <w:tr w14:paraId="1FA408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BA8C4A8">
            <w:pPr>
              <w:adjustRightInd w:val="0"/>
              <w:snapToGrid w:val="0"/>
              <w:spacing w:line="300" w:lineRule="exact"/>
              <w:jc w:val="center"/>
              <w:rPr>
                <w:rFonts w:hint="eastAsia" w:ascii="宋体" w:hAnsi="宋体" w:eastAsia="宋体" w:cs="宋体"/>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654B713">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1B747CD">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5843D392">
            <w:pPr>
              <w:adjustRightInd w:val="0"/>
              <w:snapToGrid w:val="0"/>
              <w:spacing w:line="300" w:lineRule="exact"/>
              <w:jc w:val="center"/>
              <w:rPr>
                <w:rFonts w:hint="eastAsia" w:ascii="宋体" w:hAnsi="宋体" w:eastAsia="宋体" w:cs="宋体"/>
                <w:color w:val="auto"/>
                <w:spacing w:val="20"/>
                <w:szCs w:val="21"/>
                <w:highlight w:val="none"/>
              </w:rPr>
            </w:pPr>
          </w:p>
        </w:tc>
      </w:tr>
      <w:tr w14:paraId="4FE3874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44058518">
            <w:pPr>
              <w:pStyle w:val="14"/>
              <w:adjustRightInd w:val="0"/>
              <w:snapToGrid w:val="0"/>
              <w:spacing w:before="156" w:beforeLines="50" w:after="0" w:line="360" w:lineRule="auto"/>
              <w:ind w:left="0" w:leftChars="0"/>
              <w:jc w:val="left"/>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rPr>
              <w:t>注：涉及联合体或其他合同主体的信息应按上表格式加列。</w:t>
            </w:r>
          </w:p>
        </w:tc>
      </w:tr>
    </w:tbl>
    <w:p w14:paraId="4D5C113E">
      <w:pPr>
        <w:pStyle w:val="3"/>
        <w:numPr>
          <w:ilvl w:val="1"/>
          <w:numId w:val="0"/>
        </w:numPr>
        <w:adjustRightInd w:val="0"/>
        <w:snapToGrid w:val="0"/>
        <w:spacing w:before="156" w:beforeLines="50"/>
        <w:ind w:left="288" w:leftChars="0"/>
        <w:jc w:val="center"/>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u w:val="single"/>
        </w:rPr>
        <w:br w:type="page"/>
      </w:r>
      <w:bookmarkStart w:id="87" w:name="_Toc27624"/>
      <w:r>
        <w:rPr>
          <w:rFonts w:hint="eastAsia" w:ascii="宋体" w:hAnsi="宋体" w:eastAsia="宋体" w:cs="宋体"/>
          <w:b/>
          <w:bCs/>
          <w:color w:val="auto"/>
          <w:sz w:val="28"/>
          <w:szCs w:val="28"/>
          <w:highlight w:val="none"/>
        </w:rPr>
        <w:t>第二节</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 xml:space="preserve"> 政府采购合同通用条款</w:t>
      </w:r>
      <w:bookmarkEnd w:id="87"/>
    </w:p>
    <w:p w14:paraId="04F216AA">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bCs/>
          <w:color w:val="auto"/>
          <w:sz w:val="24"/>
          <w:highlight w:val="none"/>
        </w:rPr>
        <w:t>定义</w:t>
      </w:r>
    </w:p>
    <w:p w14:paraId="2AD1919B">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1.1合同当事人</w:t>
      </w:r>
    </w:p>
    <w:p w14:paraId="7A8B921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（1）采购人（以下称甲方）是指使用财政性资金，通过政府采购方式向供应商购买货物</w:t>
      </w:r>
      <w:r>
        <w:rPr>
          <w:rFonts w:hint="eastAsia" w:ascii="宋体" w:hAnsi="宋体" w:eastAsia="宋体" w:cs="宋体"/>
          <w:color w:val="auto"/>
          <w:szCs w:val="21"/>
          <w:highlight w:val="none"/>
          <w:lang w:val="en-US" w:eastAsia="zh-CN"/>
        </w:rPr>
        <w:t>及其相关服务的</w:t>
      </w:r>
      <w:r>
        <w:rPr>
          <w:rFonts w:hint="eastAsia" w:ascii="宋体" w:hAnsi="宋体" w:eastAsia="宋体" w:cs="宋体"/>
          <w:color w:val="auto"/>
          <w:szCs w:val="21"/>
          <w:highlight w:val="none"/>
        </w:rPr>
        <w:t>国家机关、事业单位、团体组织。</w:t>
      </w:r>
    </w:p>
    <w:p w14:paraId="3EF50F7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（2）供应商（以下称</w:t>
      </w:r>
      <w:r>
        <w:rPr>
          <w:rFonts w:hint="eastAsia" w:ascii="宋体" w:hAnsi="宋体" w:eastAsia="宋体" w:cs="宋体"/>
          <w:color w:val="auto"/>
          <w:szCs w:val="21"/>
          <w:highlight w:val="none"/>
          <w:lang w:eastAsia="zh-CN"/>
        </w:rPr>
        <w:t>乙</w:t>
      </w:r>
      <w:r>
        <w:rPr>
          <w:rFonts w:hint="eastAsia" w:ascii="宋体" w:hAnsi="宋体" w:eastAsia="宋体" w:cs="宋体"/>
          <w:color w:val="auto"/>
          <w:szCs w:val="21"/>
          <w:highlight w:val="none"/>
        </w:rPr>
        <w:t>方）是指参加政府采购活动并且中标（成交），向采购人提供</w:t>
      </w:r>
      <w:r>
        <w:rPr>
          <w:rFonts w:hint="eastAsia" w:ascii="宋体" w:hAnsi="宋体" w:eastAsia="宋体" w:cs="宋体"/>
          <w:color w:val="auto"/>
          <w:szCs w:val="21"/>
          <w:highlight w:val="none"/>
          <w:lang w:val="en-US" w:eastAsia="zh-CN"/>
        </w:rPr>
        <w:t>合同约定的货物及其相关服务的法人、非法人组织或者自然人</w:t>
      </w:r>
      <w:r>
        <w:rPr>
          <w:rFonts w:hint="eastAsia" w:ascii="宋体" w:hAnsi="宋体" w:eastAsia="宋体" w:cs="宋体"/>
          <w:color w:val="auto"/>
          <w:szCs w:val="21"/>
          <w:highlight w:val="none"/>
        </w:rPr>
        <w:t>。</w:t>
      </w:r>
    </w:p>
    <w:p w14:paraId="39734C2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（3）其他合同主体是指除采购人和供应商以外，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eastAsia="宋体" w:cs="宋体"/>
          <w:color w:val="auto"/>
          <w:szCs w:val="21"/>
          <w:highlight w:val="none"/>
        </w:rPr>
        <w:t>。</w:t>
      </w:r>
    </w:p>
    <w:p w14:paraId="4E494D00">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1.2本合同下列术语应解释为：</w:t>
      </w:r>
    </w:p>
    <w:p w14:paraId="7D4151F2">
      <w:pPr>
        <w:adjustRightInd w:val="0"/>
        <w:snapToGrid w:val="0"/>
        <w:spacing w:before="0" w:beforeLines="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eastAsia="宋体" w:cs="宋体"/>
          <w:color w:val="auto"/>
          <w:szCs w:val="21"/>
          <w:highlight w:val="none"/>
          <w:lang w:eastAsia="zh-CN"/>
        </w:rPr>
        <w:t>政府采购</w:t>
      </w:r>
      <w:r>
        <w:rPr>
          <w:rFonts w:hint="eastAsia" w:ascii="宋体" w:hAnsi="宋体" w:eastAsia="宋体" w:cs="宋体"/>
          <w:color w:val="auto"/>
          <w:szCs w:val="21"/>
          <w:highlight w:val="none"/>
        </w:rPr>
        <w:t>合同协议书及其变更、补充</w:t>
      </w:r>
      <w:r>
        <w:rPr>
          <w:rFonts w:hint="eastAsia" w:ascii="宋体" w:hAnsi="宋体" w:eastAsia="宋体" w:cs="宋体"/>
          <w:color w:val="auto"/>
          <w:szCs w:val="21"/>
          <w:highlight w:val="none"/>
          <w:lang w:eastAsia="zh-CN"/>
        </w:rPr>
        <w:t>协议，</w:t>
      </w:r>
      <w:r>
        <w:rPr>
          <w:rFonts w:hint="eastAsia" w:ascii="宋体" w:hAnsi="宋体" w:eastAsia="宋体" w:cs="宋体"/>
          <w:color w:val="auto"/>
          <w:szCs w:val="21"/>
          <w:highlight w:val="none"/>
        </w:rPr>
        <w:t>政府采购合同专用条款</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政府采购合同通用条款</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中标</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投标（响应）文件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采购文件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有关技术文件</w:t>
      </w:r>
      <w:r>
        <w:rPr>
          <w:rFonts w:hint="eastAsia" w:ascii="宋体" w:hAnsi="宋体" w:eastAsia="宋体" w:cs="宋体"/>
          <w:color w:val="auto"/>
          <w:szCs w:val="21"/>
          <w:highlight w:val="none"/>
          <w:lang w:eastAsia="zh-CN"/>
        </w:rPr>
        <w:t>和</w:t>
      </w:r>
      <w:r>
        <w:rPr>
          <w:rFonts w:hint="eastAsia" w:ascii="宋体" w:hAnsi="宋体" w:eastAsia="宋体" w:cs="宋体"/>
          <w:color w:val="auto"/>
          <w:szCs w:val="21"/>
          <w:highlight w:val="none"/>
        </w:rPr>
        <w:t>图纸</w:t>
      </w:r>
      <w:r>
        <w:rPr>
          <w:rFonts w:hint="eastAsia" w:ascii="宋体" w:hAnsi="宋体" w:eastAsia="宋体" w:cs="宋体"/>
          <w:color w:val="auto"/>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eastAsia="宋体" w:cs="宋体"/>
          <w:color w:val="auto"/>
          <w:szCs w:val="21"/>
          <w:highlight w:val="none"/>
        </w:rPr>
        <w:t>。</w:t>
      </w:r>
    </w:p>
    <w:p w14:paraId="4E098771">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）“合同价</w:t>
      </w:r>
      <w:r>
        <w:rPr>
          <w:rFonts w:hint="eastAsia" w:ascii="宋体" w:hAnsi="宋体" w:eastAsia="宋体" w:cs="宋体"/>
          <w:color w:val="auto"/>
          <w:szCs w:val="21"/>
          <w:highlight w:val="none"/>
          <w:lang w:val="en-US" w:eastAsia="zh-CN"/>
        </w:rPr>
        <w:t>款</w:t>
      </w:r>
      <w:r>
        <w:rPr>
          <w:rFonts w:hint="eastAsia" w:ascii="宋体" w:hAnsi="宋体" w:eastAsia="宋体" w:cs="宋体"/>
          <w:color w:val="auto"/>
          <w:szCs w:val="21"/>
          <w:highlight w:val="none"/>
        </w:rPr>
        <w:t>”系指根据本合同规定乙方在全面履行合同义务后甲方应支付给乙方的价款。</w:t>
      </w:r>
    </w:p>
    <w:p w14:paraId="6239D077">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Cs w:val="21"/>
          <w:highlight w:val="none"/>
          <w:lang w:val="en"/>
        </w:rPr>
        <w:t>其他</w:t>
      </w:r>
      <w:r>
        <w:rPr>
          <w:rFonts w:hint="eastAsia" w:ascii="宋体" w:hAnsi="宋体" w:eastAsia="宋体" w:cs="宋体"/>
          <w:color w:val="auto"/>
          <w:szCs w:val="21"/>
          <w:highlight w:val="none"/>
        </w:rPr>
        <w:t>技术资料和材料</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w:t>
      </w:r>
    </w:p>
    <w:p w14:paraId="7A744185">
      <w:pPr>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服务”系指根据合同规定，乙方应提供的</w:t>
      </w:r>
      <w:r>
        <w:rPr>
          <w:rFonts w:hint="eastAsia" w:ascii="宋体" w:hAnsi="宋体" w:eastAsia="宋体" w:cs="宋体"/>
          <w:color w:val="auto"/>
          <w:szCs w:val="21"/>
          <w:highlight w:val="none"/>
          <w:lang w:val="en-US" w:eastAsia="zh-CN"/>
        </w:rPr>
        <w:t>与货物有关的</w:t>
      </w:r>
      <w:r>
        <w:rPr>
          <w:rFonts w:hint="eastAsia" w:ascii="宋体" w:hAnsi="宋体" w:eastAsia="宋体" w:cs="宋体"/>
          <w:color w:val="auto"/>
          <w:szCs w:val="21"/>
          <w:highlight w:val="none"/>
        </w:rPr>
        <w:t>技术、管理和</w:t>
      </w:r>
      <w:r>
        <w:rPr>
          <w:rFonts w:hint="eastAsia" w:ascii="宋体" w:hAnsi="宋体" w:eastAsia="宋体" w:cs="宋体"/>
          <w:color w:val="auto"/>
          <w:szCs w:val="21"/>
          <w:highlight w:val="none"/>
          <w:lang w:val="en"/>
        </w:rPr>
        <w:t>其他</w:t>
      </w:r>
      <w:r>
        <w:rPr>
          <w:rFonts w:hint="eastAsia" w:ascii="宋体" w:hAnsi="宋体" w:eastAsia="宋体" w:cs="宋体"/>
          <w:color w:val="auto"/>
          <w:szCs w:val="21"/>
          <w:highlight w:val="none"/>
        </w:rPr>
        <w:t>服务，包括但不限于：管理和质量保证、运输、保险、检验、现场准备、安装、集成、调试、培训、维修、</w:t>
      </w:r>
      <w:r>
        <w:rPr>
          <w:rFonts w:hint="eastAsia" w:ascii="宋体" w:hAnsi="宋体" w:eastAsia="宋体" w:cs="宋体"/>
          <w:color w:val="auto"/>
          <w:szCs w:val="21"/>
          <w:highlight w:val="none"/>
          <w:lang w:eastAsia="zh-CN"/>
        </w:rPr>
        <w:t>废弃处置、</w:t>
      </w:r>
      <w:r>
        <w:rPr>
          <w:rFonts w:hint="eastAsia" w:ascii="宋体" w:hAnsi="宋体" w:eastAsia="宋体" w:cs="宋体"/>
          <w:color w:val="auto"/>
          <w:szCs w:val="21"/>
          <w:highlight w:val="none"/>
        </w:rPr>
        <w:t>技术支持等以及合同中规定乙方应承担的</w:t>
      </w:r>
      <w:r>
        <w:rPr>
          <w:rFonts w:hint="eastAsia" w:ascii="宋体" w:hAnsi="宋体" w:eastAsia="宋体" w:cs="宋体"/>
          <w:color w:val="auto"/>
          <w:szCs w:val="21"/>
          <w:highlight w:val="none"/>
          <w:lang w:val="en"/>
        </w:rPr>
        <w:t>其他</w:t>
      </w:r>
      <w:r>
        <w:rPr>
          <w:rFonts w:hint="eastAsia" w:ascii="宋体" w:hAnsi="宋体" w:eastAsia="宋体" w:cs="宋体"/>
          <w:color w:val="auto"/>
          <w:szCs w:val="21"/>
          <w:highlight w:val="none"/>
        </w:rPr>
        <w:t>义务。</w:t>
      </w:r>
    </w:p>
    <w:p w14:paraId="4F505D7C">
      <w:pPr>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）“分包”系指中标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成交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供应商按采购文件、投标（响应）文件的规定，根据分包意向协议，将中标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成交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项目中的部分履约内容，分给具有相应资质条件的供应商履行合同的行为。</w:t>
      </w:r>
    </w:p>
    <w:p w14:paraId="267B2A08">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）“联合体”系指</w:t>
      </w:r>
      <w:r>
        <w:rPr>
          <w:rFonts w:hint="eastAsia" w:ascii="宋体" w:hAnsi="宋体" w:eastAsia="宋体" w:cs="宋体"/>
          <w:color w:val="auto"/>
          <w:szCs w:val="21"/>
          <w:highlight w:val="none"/>
          <w:lang w:eastAsia="zh-CN"/>
        </w:rPr>
        <w:t>由</w:t>
      </w:r>
      <w:r>
        <w:rPr>
          <w:rFonts w:hint="eastAsia" w:ascii="宋体" w:hAnsi="宋体" w:eastAsia="宋体" w:cs="宋体"/>
          <w:color w:val="auto"/>
          <w:szCs w:val="21"/>
          <w:highlight w:val="none"/>
        </w:rPr>
        <w:t>两个以上的自然人、法人或者</w:t>
      </w:r>
      <w:r>
        <w:rPr>
          <w:rFonts w:hint="eastAsia" w:ascii="宋体" w:hAnsi="宋体" w:eastAsia="宋体" w:cs="宋体"/>
          <w:color w:val="auto"/>
          <w:szCs w:val="21"/>
          <w:highlight w:val="none"/>
          <w:lang w:val="en-US" w:eastAsia="zh-CN"/>
        </w:rPr>
        <w:t>非法人</w:t>
      </w:r>
      <w:r>
        <w:rPr>
          <w:rFonts w:hint="eastAsia" w:ascii="宋体" w:hAnsi="宋体" w:eastAsia="宋体" w:cs="宋体"/>
          <w:color w:val="auto"/>
          <w:szCs w:val="21"/>
          <w:highlight w:val="none"/>
        </w:rPr>
        <w:t>组织组成，</w:t>
      </w:r>
      <w:r>
        <w:rPr>
          <w:rFonts w:hint="eastAsia" w:ascii="宋体" w:hAnsi="宋体" w:eastAsia="宋体" w:cs="宋体"/>
          <w:color w:val="auto"/>
          <w:szCs w:val="21"/>
          <w:highlight w:val="none"/>
          <w:lang w:eastAsia="zh-CN"/>
        </w:rPr>
        <w:t>以一个供应商的身份共同参加政府采购的主体。</w:t>
      </w:r>
      <w:r>
        <w:rPr>
          <w:rFonts w:hint="eastAsia" w:ascii="宋体" w:hAnsi="宋体" w:eastAsia="宋体" w:cs="宋体"/>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承担连带责任。联合体具体要求见【</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w:t>
      </w:r>
    </w:p>
    <w:p w14:paraId="1C01B44B">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）其他术语解释，见【</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w:t>
      </w:r>
    </w:p>
    <w:p w14:paraId="2213F010">
      <w:pPr>
        <w:numPr>
          <w:ilvl w:val="0"/>
          <w:numId w:val="10"/>
        </w:num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合同标的及金额</w:t>
      </w:r>
    </w:p>
    <w:p w14:paraId="43ABB885">
      <w:pPr>
        <w:autoSpaceDE w:val="0"/>
        <w:autoSpaceDN w:val="0"/>
        <w:adjustRightInd w:val="0"/>
        <w:snapToGrid w:val="0"/>
        <w:spacing w:before="0" w:line="400" w:lineRule="exact"/>
        <w:ind w:firstLine="420" w:firstLineChars="200"/>
        <w:jc w:val="left"/>
        <w:rPr>
          <w:rFonts w:hint="eastAsia" w:ascii="宋体" w:hAnsi="宋体" w:eastAsia="宋体" w:cs="宋体"/>
          <w:b/>
          <w:bCs/>
          <w:i/>
          <w:iCs/>
          <w:color w:val="auto"/>
          <w:szCs w:val="21"/>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.1 合同标的及金额应与中标（成交）结果一致。乙方为履行本合同而发生的所有费用均应包含在合同</w:t>
      </w:r>
      <w:r>
        <w:rPr>
          <w:rFonts w:hint="eastAsia" w:ascii="宋体" w:hAnsi="宋体" w:eastAsia="宋体" w:cs="宋体"/>
          <w:color w:val="auto"/>
          <w:szCs w:val="21"/>
          <w:highlight w:val="none"/>
          <w:lang w:eastAsia="zh-CN"/>
        </w:rPr>
        <w:t>价款</w:t>
      </w:r>
      <w:r>
        <w:rPr>
          <w:rFonts w:hint="eastAsia" w:ascii="宋体" w:hAnsi="宋体" w:eastAsia="宋体" w:cs="宋体"/>
          <w:color w:val="auto"/>
          <w:szCs w:val="21"/>
          <w:highlight w:val="none"/>
        </w:rPr>
        <w:t>中，甲方不再另行支付</w:t>
      </w:r>
      <w:r>
        <w:rPr>
          <w:rFonts w:hint="eastAsia" w:ascii="宋体" w:hAnsi="宋体" w:eastAsia="宋体" w:cs="宋体"/>
          <w:color w:val="auto"/>
          <w:szCs w:val="21"/>
          <w:highlight w:val="none"/>
          <w:lang w:val="en"/>
        </w:rPr>
        <w:t>其他</w:t>
      </w:r>
      <w:r>
        <w:rPr>
          <w:rFonts w:hint="eastAsia" w:ascii="宋体" w:hAnsi="宋体" w:eastAsia="宋体" w:cs="宋体"/>
          <w:color w:val="auto"/>
          <w:szCs w:val="21"/>
          <w:highlight w:val="none"/>
        </w:rPr>
        <w:t>任何费用。</w:t>
      </w:r>
    </w:p>
    <w:p w14:paraId="1BF138BD">
      <w:pPr>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3</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履行合同的时间、地点和方式</w:t>
      </w:r>
    </w:p>
    <w:p w14:paraId="4828042A">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.1 乙方应当在约定的时间、地点</w:t>
      </w:r>
      <w:r>
        <w:rPr>
          <w:rFonts w:hint="eastAsia" w:ascii="宋体" w:hAnsi="宋体" w:eastAsia="宋体" w:cs="宋体"/>
          <w:color w:val="auto"/>
          <w:szCs w:val="21"/>
          <w:highlight w:val="none"/>
          <w:lang w:eastAsia="zh-CN"/>
        </w:rPr>
        <w:t>，按照约定</w:t>
      </w:r>
      <w:r>
        <w:rPr>
          <w:rFonts w:hint="eastAsia" w:ascii="宋体" w:hAnsi="宋体" w:eastAsia="宋体" w:cs="宋体"/>
          <w:color w:val="auto"/>
          <w:szCs w:val="21"/>
          <w:highlight w:val="none"/>
        </w:rPr>
        <w:t>方式履行合同。</w:t>
      </w:r>
    </w:p>
    <w:p w14:paraId="59A22FCB">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4</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甲方的权利和义务</w:t>
      </w:r>
    </w:p>
    <w:p w14:paraId="247FBBB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.1 签署合同后，甲方</w:t>
      </w:r>
      <w:r>
        <w:rPr>
          <w:rFonts w:hint="eastAsia" w:ascii="宋体" w:hAnsi="宋体" w:eastAsia="宋体" w:cs="宋体"/>
          <w:color w:val="auto"/>
          <w:szCs w:val="21"/>
          <w:highlight w:val="none"/>
          <w:lang w:eastAsia="zh-CN"/>
        </w:rPr>
        <w:t>应</w:t>
      </w:r>
      <w:r>
        <w:rPr>
          <w:rFonts w:hint="eastAsia" w:ascii="宋体" w:hAnsi="宋体" w:eastAsia="宋体" w:cs="宋体"/>
          <w:color w:val="auto"/>
          <w:szCs w:val="21"/>
          <w:highlight w:val="none"/>
        </w:rPr>
        <w:t>确定</w:t>
      </w:r>
      <w:r>
        <w:rPr>
          <w:rFonts w:hint="eastAsia" w:ascii="宋体" w:hAnsi="宋体" w:eastAsia="宋体" w:cs="宋体"/>
          <w:color w:val="auto"/>
          <w:szCs w:val="21"/>
          <w:highlight w:val="none"/>
          <w:lang w:val="en-US" w:eastAsia="zh-CN"/>
        </w:rPr>
        <w:t>项目负责人（或项目联系人）</w:t>
      </w:r>
      <w:r>
        <w:rPr>
          <w:rFonts w:hint="eastAsia" w:ascii="宋体" w:hAnsi="宋体" w:eastAsia="宋体" w:cs="宋体"/>
          <w:color w:val="auto"/>
          <w:szCs w:val="21"/>
          <w:highlight w:val="none"/>
        </w:rPr>
        <w:t>，负责与本合同有关的事务。甲方有权对乙方的履约行为进行检查，并及时确认乙方提交的事项。甲方应当配合乙方完成相关项目实施工作。</w:t>
      </w:r>
    </w:p>
    <w:p w14:paraId="6527FDE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.2 甲方有权要求乙方按时提交各阶段有关安排计划，并有权定期核对乙方提供货物数量、规格、质量等内容。甲方有权督促乙方工作并要求乙方更换不符合要求的货物。</w:t>
      </w:r>
    </w:p>
    <w:p w14:paraId="2B09E97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.3 甲方有权要求乙方对缺陷部分予以修复，并按合同约定享有货物保修及其他合同约定的权利。</w:t>
      </w:r>
    </w:p>
    <w:p w14:paraId="3F5DD3BE">
      <w:pPr>
        <w:snapToGrid w:val="0"/>
        <w:spacing w:line="40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4.4 甲方应当按照合同约定及时对交付的货物进行验收，</w:t>
      </w:r>
      <w:r>
        <w:rPr>
          <w:rFonts w:hint="eastAsia" w:ascii="宋体" w:hAnsi="宋体" w:eastAsia="宋体" w:cs="宋体"/>
          <w:b w:val="0"/>
          <w:bCs w:val="0"/>
          <w:color w:val="auto"/>
          <w:szCs w:val="21"/>
          <w:highlight w:val="none"/>
          <w:lang w:eastAsia="zh-CN"/>
        </w:rPr>
        <w:t>未</w:t>
      </w:r>
      <w:r>
        <w:rPr>
          <w:rFonts w:hint="eastAsia" w:ascii="宋体" w:hAnsi="宋体" w:eastAsia="宋体" w:cs="宋体"/>
          <w:color w:val="auto"/>
          <w:szCs w:val="21"/>
          <w:highlight w:val="none"/>
          <w:lang w:val="en-US" w:eastAsia="zh-CN"/>
        </w:rPr>
        <w:t>在</w:t>
      </w:r>
      <w:r>
        <w:rPr>
          <w:rFonts w:hint="eastAsia" w:ascii="宋体" w:hAnsi="宋体" w:eastAsia="宋体" w:cs="宋体"/>
          <w:b/>
          <w:bCs/>
          <w:color w:val="auto"/>
          <w:szCs w:val="21"/>
          <w:highlight w:val="none"/>
        </w:rPr>
        <w:t>【政府采购合同专用条款】</w:t>
      </w:r>
      <w:r>
        <w:rPr>
          <w:rFonts w:hint="eastAsia" w:ascii="宋体" w:hAnsi="宋体" w:eastAsia="宋体" w:cs="宋体"/>
          <w:b w:val="0"/>
          <w:bCs w:val="0"/>
          <w:color w:val="auto"/>
          <w:szCs w:val="21"/>
          <w:highlight w:val="none"/>
          <w:lang w:eastAsia="zh-CN"/>
        </w:rPr>
        <w:t>约定的期限内对乙方履约提出任何异议或者向乙方作出任何说明的，</w:t>
      </w:r>
      <w:r>
        <w:rPr>
          <w:rFonts w:hint="eastAsia" w:ascii="宋体" w:hAnsi="宋体" w:eastAsia="宋体" w:cs="宋体"/>
          <w:color w:val="auto"/>
          <w:szCs w:val="21"/>
          <w:highlight w:val="none"/>
          <w:lang w:val="en-US" w:eastAsia="zh-CN"/>
        </w:rPr>
        <w:t>视为验收通过。</w:t>
      </w:r>
    </w:p>
    <w:p w14:paraId="4937296A">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甲方应当根据合同约定</w:t>
      </w:r>
      <w:r>
        <w:rPr>
          <w:rFonts w:hint="eastAsia" w:ascii="宋体" w:hAnsi="宋体" w:eastAsia="宋体" w:cs="宋体"/>
          <w:color w:val="auto"/>
          <w:szCs w:val="21"/>
          <w:highlight w:val="none"/>
          <w:lang w:eastAsia="zh-CN"/>
        </w:rPr>
        <w:t>及</w:t>
      </w:r>
      <w:r>
        <w:rPr>
          <w:rFonts w:hint="eastAsia" w:ascii="宋体" w:hAnsi="宋体" w:eastAsia="宋体" w:cs="宋体"/>
          <w:color w:val="auto"/>
          <w:szCs w:val="21"/>
          <w:highlight w:val="none"/>
        </w:rPr>
        <w:t>时向乙方支付</w:t>
      </w:r>
      <w:r>
        <w:rPr>
          <w:rFonts w:hint="eastAsia" w:ascii="宋体" w:hAnsi="宋体" w:eastAsia="宋体" w:cs="宋体"/>
          <w:color w:val="auto"/>
          <w:szCs w:val="21"/>
          <w:highlight w:val="none"/>
          <w:lang w:eastAsia="zh-CN"/>
        </w:rPr>
        <w:t>合同价款，不得以内部人员变更、履行内部付款流程等为由，拒绝或迟延支付。</w:t>
      </w:r>
    </w:p>
    <w:p w14:paraId="23E4444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国家法律法规规定</w:t>
      </w:r>
      <w:r>
        <w:rPr>
          <w:rFonts w:hint="eastAsia" w:ascii="宋体" w:hAnsi="宋体" w:eastAsia="宋体" w:cs="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lang w:eastAsia="zh-CN"/>
        </w:rPr>
        <w:t>约定应</w:t>
      </w:r>
      <w:r>
        <w:rPr>
          <w:rFonts w:hint="eastAsia" w:ascii="宋体" w:hAnsi="宋体" w:eastAsia="宋体" w:cs="宋体"/>
          <w:color w:val="auto"/>
          <w:szCs w:val="21"/>
          <w:highlight w:val="none"/>
        </w:rPr>
        <w:t>由甲方承担的其他义务和责任。</w:t>
      </w:r>
    </w:p>
    <w:p w14:paraId="23EFF2F3">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5</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乙方的权利和义务</w:t>
      </w:r>
    </w:p>
    <w:p w14:paraId="6D3FEEA4">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.1 签署合同后，乙方</w:t>
      </w:r>
      <w:r>
        <w:rPr>
          <w:rFonts w:hint="eastAsia" w:ascii="宋体" w:hAnsi="宋体" w:eastAsia="宋体" w:cs="宋体"/>
          <w:color w:val="auto"/>
          <w:szCs w:val="21"/>
          <w:highlight w:val="none"/>
          <w:lang w:eastAsia="zh-CN"/>
        </w:rPr>
        <w:t>应</w:t>
      </w:r>
      <w:r>
        <w:rPr>
          <w:rFonts w:hint="eastAsia" w:ascii="宋体" w:hAnsi="宋体" w:eastAsia="宋体" w:cs="宋体"/>
          <w:color w:val="auto"/>
          <w:szCs w:val="21"/>
          <w:highlight w:val="none"/>
        </w:rPr>
        <w:t>确定</w:t>
      </w:r>
      <w:r>
        <w:rPr>
          <w:rFonts w:hint="eastAsia" w:ascii="宋体" w:hAnsi="宋体" w:eastAsia="宋体" w:cs="宋体"/>
          <w:color w:val="auto"/>
          <w:szCs w:val="21"/>
          <w:highlight w:val="none"/>
          <w:lang w:val="en-US" w:eastAsia="zh-CN"/>
        </w:rPr>
        <w:t>项目负责人（或项目联系人）</w:t>
      </w:r>
      <w:r>
        <w:rPr>
          <w:rFonts w:hint="eastAsia" w:ascii="宋体" w:hAnsi="宋体" w:eastAsia="宋体" w:cs="宋体"/>
          <w:color w:val="auto"/>
          <w:szCs w:val="21"/>
          <w:highlight w:val="none"/>
        </w:rPr>
        <w:t>，负责与本合同有关的事务。</w:t>
      </w:r>
    </w:p>
    <w:p w14:paraId="1D36E9E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.2 乙方应按照合同要求履约，充分合理安排，确保提供的货物</w:t>
      </w:r>
      <w:r>
        <w:rPr>
          <w:rFonts w:hint="eastAsia" w:ascii="宋体" w:hAnsi="宋体" w:eastAsia="宋体" w:cs="宋体"/>
          <w:color w:val="auto"/>
          <w:szCs w:val="21"/>
          <w:highlight w:val="none"/>
          <w:lang w:eastAsia="zh-CN"/>
        </w:rPr>
        <w:t>及相关</w:t>
      </w:r>
      <w:r>
        <w:rPr>
          <w:rFonts w:hint="eastAsia" w:ascii="宋体" w:hAnsi="宋体" w:eastAsia="宋体" w:cs="宋体"/>
          <w:color w:val="auto"/>
          <w:szCs w:val="21"/>
          <w:highlight w:val="none"/>
        </w:rPr>
        <w:t>服务符合合同</w:t>
      </w:r>
      <w:r>
        <w:rPr>
          <w:rFonts w:hint="eastAsia" w:ascii="宋体" w:hAnsi="宋体" w:eastAsia="宋体" w:cs="宋体"/>
          <w:color w:val="auto"/>
          <w:szCs w:val="21"/>
          <w:highlight w:val="none"/>
          <w:lang w:eastAsia="zh-CN"/>
        </w:rPr>
        <w:t>有关</w:t>
      </w:r>
      <w:r>
        <w:rPr>
          <w:rFonts w:hint="eastAsia" w:ascii="宋体" w:hAnsi="宋体" w:eastAsia="宋体" w:cs="宋体"/>
          <w:color w:val="auto"/>
          <w:szCs w:val="21"/>
          <w:highlight w:val="none"/>
        </w:rPr>
        <w:t>要求。接受项目行业管理部门及政府有关部门的指导，配合甲方的履约检查</w:t>
      </w:r>
      <w:r>
        <w:rPr>
          <w:rFonts w:hint="eastAsia" w:ascii="宋体" w:hAnsi="宋体" w:eastAsia="宋体" w:cs="宋体"/>
          <w:color w:val="auto"/>
          <w:szCs w:val="21"/>
          <w:highlight w:val="none"/>
          <w:lang w:eastAsia="zh-CN"/>
        </w:rPr>
        <w:t>及验收</w:t>
      </w:r>
      <w:r>
        <w:rPr>
          <w:rFonts w:hint="eastAsia" w:ascii="宋体" w:hAnsi="宋体" w:eastAsia="宋体" w:cs="宋体"/>
          <w:color w:val="auto"/>
          <w:szCs w:val="21"/>
          <w:highlight w:val="none"/>
        </w:rPr>
        <w:t>，并负责项目实施过程中的所有协调工作。</w:t>
      </w:r>
    </w:p>
    <w:p w14:paraId="05807E64">
      <w:pPr>
        <w:pStyle w:val="13"/>
        <w:spacing w:after="0" w:line="400" w:lineRule="exact"/>
        <w:ind w:firstLine="528" w:firstLineChars="176"/>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.3乙方有权根据合同约定向甲方收取</w:t>
      </w:r>
      <w:r>
        <w:rPr>
          <w:rFonts w:hint="eastAsia" w:ascii="宋体" w:hAnsi="宋体" w:eastAsia="宋体" w:cs="宋体"/>
          <w:color w:val="auto"/>
          <w:szCs w:val="21"/>
          <w:highlight w:val="none"/>
          <w:lang w:eastAsia="zh-CN"/>
        </w:rPr>
        <w:t>合同价款</w:t>
      </w:r>
      <w:r>
        <w:rPr>
          <w:rFonts w:hint="eastAsia" w:ascii="宋体" w:hAnsi="宋体" w:eastAsia="宋体" w:cs="宋体"/>
          <w:color w:val="auto"/>
          <w:szCs w:val="21"/>
          <w:highlight w:val="none"/>
        </w:rPr>
        <w:t>。</w:t>
      </w:r>
    </w:p>
    <w:p w14:paraId="0EA1D8F2">
      <w:pPr>
        <w:pStyle w:val="13"/>
        <w:spacing w:after="0" w:line="400" w:lineRule="exact"/>
        <w:ind w:firstLine="528" w:firstLineChars="176"/>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.4国家法律法规规定</w:t>
      </w:r>
      <w:r>
        <w:rPr>
          <w:rFonts w:hint="eastAsia" w:ascii="宋体" w:hAnsi="宋体" w:eastAsia="宋体" w:cs="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eastAsia="宋体" w:cs="宋体"/>
          <w:b w:val="0"/>
          <w:bCs w:val="0"/>
          <w:color w:val="auto"/>
          <w:szCs w:val="21"/>
          <w:highlight w:val="none"/>
          <w:lang w:eastAsia="zh-CN"/>
        </w:rPr>
        <w:t>约定应</w:t>
      </w:r>
      <w:r>
        <w:rPr>
          <w:rFonts w:hint="eastAsia" w:ascii="宋体" w:hAnsi="宋体" w:eastAsia="宋体" w:cs="宋体"/>
          <w:color w:val="auto"/>
          <w:szCs w:val="21"/>
          <w:highlight w:val="none"/>
        </w:rPr>
        <w:t>由乙方承担的其他义务和责任。</w:t>
      </w:r>
    </w:p>
    <w:p w14:paraId="153CE1C0">
      <w:pPr>
        <w:numPr>
          <w:ilvl w:val="0"/>
          <w:numId w:val="11"/>
        </w:num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合同履</w:t>
      </w:r>
      <w:r>
        <w:rPr>
          <w:rFonts w:hint="eastAsia" w:ascii="宋体" w:hAnsi="宋体" w:eastAsia="宋体" w:cs="宋体"/>
          <w:b/>
          <w:bCs/>
          <w:color w:val="auto"/>
          <w:sz w:val="24"/>
          <w:highlight w:val="none"/>
          <w:lang w:val="en-US" w:eastAsia="zh-CN"/>
        </w:rPr>
        <w:t>行</w:t>
      </w:r>
    </w:p>
    <w:p w14:paraId="58B8CA9B">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6</w:t>
      </w:r>
      <w:r>
        <w:rPr>
          <w:rFonts w:hint="eastAsia" w:ascii="宋体" w:hAnsi="宋体" w:eastAsia="宋体" w:cs="宋体"/>
          <w:color w:val="auto"/>
          <w:szCs w:val="21"/>
          <w:highlight w:val="none"/>
        </w:rPr>
        <w:t>.1 甲乙双方应当按照</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约定顺序履行合同义务；如果没有先后顺序的，应当同时履行。</w:t>
      </w:r>
    </w:p>
    <w:p w14:paraId="1BEBE85A">
      <w:pPr>
        <w:autoSpaceDE w:val="0"/>
        <w:autoSpaceDN w:val="0"/>
        <w:adjustRightInd w:val="0"/>
        <w:snapToGrid w:val="0"/>
        <w:spacing w:before="0"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6</w:t>
      </w:r>
      <w:r>
        <w:rPr>
          <w:rFonts w:hint="eastAsia" w:ascii="宋体" w:hAnsi="宋体" w:eastAsia="宋体" w:cs="宋体"/>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47BD244D">
      <w:p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7</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货物包装、运输</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保险</w:t>
      </w:r>
      <w:r>
        <w:rPr>
          <w:rFonts w:hint="eastAsia" w:ascii="宋体" w:hAnsi="宋体" w:eastAsia="宋体" w:cs="宋体"/>
          <w:b/>
          <w:bCs/>
          <w:color w:val="auto"/>
          <w:sz w:val="24"/>
          <w:highlight w:val="none"/>
          <w:lang w:eastAsia="zh-CN"/>
        </w:rPr>
        <w:t>和交付</w:t>
      </w:r>
      <w:r>
        <w:rPr>
          <w:rFonts w:hint="eastAsia" w:ascii="宋体" w:hAnsi="宋体" w:eastAsia="宋体" w:cs="宋体"/>
          <w:b/>
          <w:bCs/>
          <w:color w:val="auto"/>
          <w:sz w:val="24"/>
          <w:highlight w:val="none"/>
        </w:rPr>
        <w:t>要求</w:t>
      </w:r>
    </w:p>
    <w:p w14:paraId="43986CD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rPr>
        <w:t>.1 本合同</w:t>
      </w:r>
      <w:r>
        <w:rPr>
          <w:rFonts w:hint="eastAsia" w:ascii="宋体" w:hAnsi="宋体" w:eastAsia="宋体" w:cs="宋体"/>
          <w:bCs/>
          <w:color w:val="auto"/>
          <w:szCs w:val="21"/>
          <w:highlight w:val="none"/>
        </w:rPr>
        <w:t>涉及商品包装</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快递包装的，</w:t>
      </w:r>
      <w:r>
        <w:rPr>
          <w:rFonts w:hint="eastAsia" w:ascii="宋体" w:hAnsi="宋体" w:eastAsia="宋体" w:cs="宋体"/>
          <w:color w:val="auto"/>
          <w:szCs w:val="21"/>
          <w:highlight w:val="none"/>
        </w:rPr>
        <w:t>除</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另有</w:t>
      </w:r>
      <w:r>
        <w:rPr>
          <w:rFonts w:hint="eastAsia" w:ascii="宋体" w:hAnsi="宋体" w:eastAsia="宋体" w:cs="宋体"/>
          <w:bCs/>
          <w:color w:val="auto"/>
          <w:szCs w:val="21"/>
          <w:highlight w:val="none"/>
          <w:lang w:eastAsia="zh-CN"/>
        </w:rPr>
        <w:t>约</w:t>
      </w:r>
      <w:r>
        <w:rPr>
          <w:rFonts w:hint="eastAsia" w:ascii="宋体" w:hAnsi="宋体" w:eastAsia="宋体" w:cs="宋体"/>
          <w:bCs/>
          <w:color w:val="auto"/>
          <w:szCs w:val="21"/>
          <w:highlight w:val="none"/>
        </w:rPr>
        <w:t>定</w:t>
      </w:r>
      <w:r>
        <w:rPr>
          <w:rFonts w:hint="eastAsia" w:ascii="宋体" w:hAnsi="宋体" w:eastAsia="宋体" w:cs="宋体"/>
          <w:bCs/>
          <w:color w:val="auto"/>
          <w:szCs w:val="21"/>
          <w:highlight w:val="none"/>
          <w:lang w:eastAsia="zh-CN"/>
        </w:rPr>
        <w:t>外</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包装应适应远距离运输、防潮、防震、防锈和防野蛮装卸等要求，确保货物安全无损地运抵</w:t>
      </w:r>
      <w:r>
        <w:rPr>
          <w:rFonts w:hint="eastAsia" w:ascii="宋体" w:hAnsi="宋体" w:eastAsia="宋体" w:cs="宋体"/>
          <w:b/>
          <w:color w:val="auto"/>
          <w:szCs w:val="21"/>
          <w:highlight w:val="none"/>
        </w:rPr>
        <w:t>【政府采购合同专用条款】</w:t>
      </w:r>
      <w:r>
        <w:rPr>
          <w:rFonts w:hint="eastAsia" w:ascii="宋体" w:hAnsi="宋体" w:eastAsia="宋体" w:cs="宋体"/>
          <w:b w:val="0"/>
          <w:bCs/>
          <w:color w:val="auto"/>
          <w:szCs w:val="21"/>
          <w:highlight w:val="none"/>
          <w:lang w:eastAsia="zh-CN"/>
        </w:rPr>
        <w:t>约定的</w:t>
      </w:r>
      <w:r>
        <w:rPr>
          <w:rFonts w:hint="eastAsia" w:ascii="宋体" w:hAnsi="宋体" w:eastAsia="宋体" w:cs="宋体"/>
          <w:color w:val="auto"/>
          <w:szCs w:val="21"/>
          <w:highlight w:val="none"/>
        </w:rPr>
        <w:t>指定现场。</w:t>
      </w:r>
    </w:p>
    <w:p w14:paraId="1DE275F1">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rPr>
        <w:t>.2 除</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另有</w:t>
      </w:r>
      <w:r>
        <w:rPr>
          <w:rFonts w:hint="eastAsia" w:ascii="宋体" w:hAnsi="宋体" w:eastAsia="宋体" w:cs="宋体"/>
          <w:bCs/>
          <w:color w:val="auto"/>
          <w:szCs w:val="21"/>
          <w:highlight w:val="none"/>
          <w:lang w:eastAsia="zh-CN"/>
        </w:rPr>
        <w:t>约</w:t>
      </w:r>
      <w:r>
        <w:rPr>
          <w:rFonts w:hint="eastAsia" w:ascii="宋体" w:hAnsi="宋体" w:eastAsia="宋体" w:cs="宋体"/>
          <w:bCs/>
          <w:color w:val="auto"/>
          <w:szCs w:val="21"/>
          <w:highlight w:val="none"/>
        </w:rPr>
        <w:t>定</w:t>
      </w:r>
      <w:r>
        <w:rPr>
          <w:rFonts w:hint="eastAsia" w:ascii="宋体" w:hAnsi="宋体" w:eastAsia="宋体" w:cs="宋体"/>
          <w:bCs/>
          <w:color w:val="auto"/>
          <w:szCs w:val="21"/>
          <w:highlight w:val="none"/>
          <w:lang w:eastAsia="zh-CN"/>
        </w:rPr>
        <w:t>外</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乙方负责办理将货物运抵本合同规定的交货地点</w:t>
      </w:r>
      <w:r>
        <w:rPr>
          <w:rFonts w:hint="eastAsia" w:ascii="宋体" w:hAnsi="宋体" w:eastAsia="宋体" w:cs="宋体"/>
          <w:color w:val="auto"/>
          <w:szCs w:val="21"/>
          <w:highlight w:val="none"/>
          <w:lang w:eastAsia="zh-CN"/>
        </w:rPr>
        <w:t>，并装卸、交付至甲方</w:t>
      </w:r>
      <w:r>
        <w:rPr>
          <w:rFonts w:hint="eastAsia" w:ascii="宋体" w:hAnsi="宋体" w:eastAsia="宋体" w:cs="宋体"/>
          <w:color w:val="auto"/>
          <w:szCs w:val="21"/>
          <w:highlight w:val="none"/>
        </w:rPr>
        <w:t>的一切运输事项，相关费用应</w:t>
      </w:r>
      <w:r>
        <w:rPr>
          <w:rFonts w:hint="eastAsia" w:ascii="宋体" w:hAnsi="宋体" w:eastAsia="宋体" w:cs="宋体"/>
          <w:color w:val="auto"/>
          <w:szCs w:val="21"/>
          <w:highlight w:val="none"/>
          <w:lang w:eastAsia="zh-CN"/>
        </w:rPr>
        <w:t>包含</w:t>
      </w:r>
      <w:r>
        <w:rPr>
          <w:rFonts w:hint="eastAsia" w:ascii="宋体" w:hAnsi="宋体" w:eastAsia="宋体" w:cs="宋体"/>
          <w:color w:val="auto"/>
          <w:szCs w:val="21"/>
          <w:highlight w:val="none"/>
        </w:rPr>
        <w:t>在合同</w:t>
      </w:r>
      <w:r>
        <w:rPr>
          <w:rFonts w:hint="eastAsia" w:ascii="宋体" w:hAnsi="宋体" w:eastAsia="宋体" w:cs="宋体"/>
          <w:color w:val="auto"/>
          <w:szCs w:val="21"/>
          <w:highlight w:val="none"/>
          <w:lang w:eastAsia="zh-CN"/>
        </w:rPr>
        <w:t>价款</w:t>
      </w:r>
      <w:r>
        <w:rPr>
          <w:rFonts w:hint="eastAsia" w:ascii="宋体" w:hAnsi="宋体" w:eastAsia="宋体" w:cs="宋体"/>
          <w:color w:val="auto"/>
          <w:szCs w:val="21"/>
          <w:highlight w:val="none"/>
        </w:rPr>
        <w:t>中。</w:t>
      </w:r>
    </w:p>
    <w:p w14:paraId="11839904">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rPr>
        <w:t>.3 货物保险要求按</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规定执行</w:t>
      </w:r>
      <w:r>
        <w:rPr>
          <w:rFonts w:hint="eastAsia" w:ascii="宋体" w:hAnsi="宋体" w:eastAsia="宋体" w:cs="宋体"/>
          <w:color w:val="auto"/>
          <w:szCs w:val="21"/>
          <w:highlight w:val="none"/>
        </w:rPr>
        <w:t>。</w:t>
      </w:r>
    </w:p>
    <w:p w14:paraId="21BB4FA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rPr>
        <w:t xml:space="preserve">.4 </w:t>
      </w:r>
      <w:r>
        <w:rPr>
          <w:rFonts w:hint="eastAsia" w:ascii="宋体" w:hAnsi="宋体" w:eastAsia="宋体" w:cs="宋体"/>
          <w:color w:val="auto"/>
          <w:szCs w:val="21"/>
          <w:highlight w:val="none"/>
          <w:lang w:val="en-US" w:eastAsia="zh-CN"/>
        </w:rPr>
        <w:t>除采购活动</w:t>
      </w:r>
      <w:r>
        <w:rPr>
          <w:rFonts w:hint="eastAsia" w:ascii="宋体" w:hAnsi="宋体" w:eastAsia="宋体" w:cs="宋体"/>
          <w:color w:val="auto"/>
          <w:szCs w:val="21"/>
          <w:highlight w:val="none"/>
        </w:rPr>
        <w:t>对商品包装</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快递包装</w:t>
      </w:r>
      <w:r>
        <w:rPr>
          <w:rFonts w:hint="eastAsia" w:ascii="宋体" w:hAnsi="宋体" w:eastAsia="宋体" w:cs="宋体"/>
          <w:color w:val="auto"/>
          <w:szCs w:val="21"/>
          <w:highlight w:val="none"/>
          <w:lang w:val="en-US" w:eastAsia="zh-CN"/>
        </w:rPr>
        <w:t>达成具体约定外</w:t>
      </w:r>
      <w:r>
        <w:rPr>
          <w:rFonts w:hint="eastAsia" w:ascii="宋体" w:hAnsi="宋体" w:eastAsia="宋体" w:cs="宋体"/>
          <w:color w:val="auto"/>
          <w:szCs w:val="21"/>
          <w:highlight w:val="none"/>
        </w:rPr>
        <w:t>，乙方提供产品及相关快递服务</w:t>
      </w:r>
      <w:r>
        <w:rPr>
          <w:rFonts w:hint="eastAsia" w:ascii="宋体" w:hAnsi="宋体" w:eastAsia="宋体" w:cs="宋体"/>
          <w:color w:val="auto"/>
          <w:szCs w:val="21"/>
          <w:highlight w:val="none"/>
          <w:lang w:val="en-US" w:eastAsia="zh-CN"/>
        </w:rPr>
        <w:t>涉及到</w:t>
      </w:r>
      <w:r>
        <w:rPr>
          <w:rFonts w:hint="eastAsia" w:ascii="宋体" w:hAnsi="宋体" w:eastAsia="宋体" w:cs="宋体"/>
          <w:color w:val="auto"/>
          <w:szCs w:val="21"/>
          <w:highlight w:val="none"/>
        </w:rPr>
        <w:t>具体包装要求</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应</w:t>
      </w:r>
      <w:r>
        <w:rPr>
          <w:rFonts w:hint="eastAsia" w:ascii="宋体" w:hAnsi="宋体" w:eastAsia="宋体" w:cs="宋体"/>
          <w:color w:val="auto"/>
          <w:szCs w:val="21"/>
          <w:highlight w:val="none"/>
          <w:lang w:val="en-US" w:eastAsia="zh-CN"/>
        </w:rPr>
        <w:t>不低于</w:t>
      </w:r>
      <w:r>
        <w:rPr>
          <w:rFonts w:hint="eastAsia" w:ascii="宋体" w:hAnsi="宋体" w:eastAsia="宋体" w:cs="宋体"/>
          <w:color w:val="auto"/>
          <w:szCs w:val="21"/>
          <w:highlight w:val="none"/>
        </w:rPr>
        <w:t>《商品包装政府采购需求标准（试行）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快递包装政府采购需求标准（试行）》</w:t>
      </w:r>
      <w:r>
        <w:rPr>
          <w:rFonts w:hint="eastAsia" w:ascii="宋体" w:hAnsi="宋体" w:eastAsia="宋体" w:cs="宋体"/>
          <w:color w:val="auto"/>
          <w:szCs w:val="21"/>
          <w:highlight w:val="none"/>
          <w:lang w:val="en-US" w:eastAsia="zh-CN"/>
        </w:rPr>
        <w:t>标准</w:t>
      </w:r>
      <w:r>
        <w:rPr>
          <w:rFonts w:hint="eastAsia" w:ascii="宋体" w:hAnsi="宋体" w:eastAsia="宋体" w:cs="宋体"/>
          <w:color w:val="auto"/>
          <w:szCs w:val="21"/>
          <w:highlight w:val="none"/>
        </w:rPr>
        <w:t>，并作为履约验收的内容，必要时甲方可以要求乙方在履约验收环节出具检测报告。</w:t>
      </w:r>
    </w:p>
    <w:p w14:paraId="47B14BB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7.5 </w:t>
      </w:r>
      <w:r>
        <w:rPr>
          <w:rFonts w:hint="eastAsia" w:ascii="宋体" w:hAnsi="宋体" w:eastAsia="宋体" w:cs="宋体"/>
          <w:color w:val="auto"/>
          <w:szCs w:val="21"/>
          <w:highlight w:val="none"/>
        </w:rPr>
        <w:t>乙方在运输到达之前</w:t>
      </w:r>
      <w:r>
        <w:rPr>
          <w:rFonts w:hint="eastAsia" w:ascii="宋体" w:hAnsi="宋体" w:eastAsia="宋体" w:cs="宋体"/>
          <w:color w:val="auto"/>
          <w:szCs w:val="21"/>
          <w:highlight w:val="none"/>
          <w:lang w:eastAsia="zh-CN"/>
        </w:rPr>
        <w:t>应</w:t>
      </w:r>
      <w:r>
        <w:rPr>
          <w:rFonts w:hint="eastAsia" w:ascii="宋体" w:hAnsi="宋体" w:eastAsia="宋体" w:cs="宋体"/>
          <w:color w:val="auto"/>
          <w:szCs w:val="21"/>
          <w:highlight w:val="none"/>
        </w:rPr>
        <w:t>提前通知</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，并提示货物运输装卸的注意事项</w:t>
      </w:r>
      <w:r>
        <w:rPr>
          <w:rFonts w:hint="eastAsia" w:ascii="宋体" w:hAnsi="宋体" w:eastAsia="宋体" w:cs="宋体"/>
          <w:color w:val="auto"/>
          <w:szCs w:val="21"/>
          <w:highlight w:val="none"/>
          <w:lang w:eastAsia="zh-CN"/>
        </w:rPr>
        <w:t>，甲方配合乙方做好货物的接收工作。</w:t>
      </w:r>
    </w:p>
    <w:p w14:paraId="0443B669">
      <w:pPr>
        <w:pStyle w:val="55"/>
        <w:rPr>
          <w:rFonts w:hint="eastAsia" w:ascii="宋体" w:hAnsi="宋体" w:eastAsia="宋体" w:cs="宋体"/>
          <w:color w:val="auto"/>
          <w:sz w:val="21"/>
          <w:highlight w:val="none"/>
          <w:lang w:val="en-US" w:eastAsia="zh-CN"/>
        </w:rPr>
      </w:pPr>
      <w:r>
        <w:rPr>
          <w:rFonts w:hint="eastAsia" w:ascii="宋体" w:hAnsi="宋体" w:eastAsia="宋体" w:cs="宋体"/>
          <w:color w:val="auto"/>
          <w:kern w:val="2"/>
          <w:sz w:val="21"/>
          <w:szCs w:val="21"/>
          <w:highlight w:val="none"/>
          <w:lang w:val="en-US" w:eastAsia="zh-CN"/>
        </w:rPr>
        <w:t xml:space="preserve">7.6 </w:t>
      </w:r>
      <w:r>
        <w:rPr>
          <w:rFonts w:hint="eastAsia" w:ascii="宋体" w:hAnsi="宋体" w:eastAsia="宋体" w:cs="宋体"/>
          <w:color w:val="auto"/>
          <w:kern w:val="2"/>
          <w:sz w:val="21"/>
          <w:szCs w:val="21"/>
          <w:highlight w:val="none"/>
        </w:rPr>
        <w:t>如因包装</w:t>
      </w:r>
      <w:r>
        <w:rPr>
          <w:rFonts w:hint="eastAsia" w:ascii="宋体" w:hAnsi="宋体" w:eastAsia="宋体" w:cs="宋体"/>
          <w:color w:val="auto"/>
          <w:kern w:val="2"/>
          <w:sz w:val="21"/>
          <w:szCs w:val="21"/>
          <w:highlight w:val="none"/>
          <w:lang w:eastAsia="zh-CN"/>
        </w:rPr>
        <w:t>、运输</w:t>
      </w:r>
      <w:r>
        <w:rPr>
          <w:rFonts w:hint="eastAsia" w:ascii="宋体" w:hAnsi="宋体" w:eastAsia="宋体" w:cs="宋体"/>
          <w:color w:val="auto"/>
          <w:kern w:val="2"/>
          <w:sz w:val="21"/>
          <w:szCs w:val="21"/>
          <w:highlight w:val="none"/>
        </w:rPr>
        <w:t>问题导致货物</w:t>
      </w:r>
      <w:r>
        <w:rPr>
          <w:rFonts w:hint="eastAsia" w:ascii="宋体" w:hAnsi="宋体" w:eastAsia="宋体" w:cs="宋体"/>
          <w:color w:val="auto"/>
          <w:kern w:val="2"/>
          <w:sz w:val="21"/>
          <w:szCs w:val="21"/>
          <w:highlight w:val="none"/>
          <w:lang w:eastAsia="zh-CN"/>
        </w:rPr>
        <w:t>损毁、丢失</w:t>
      </w:r>
      <w:r>
        <w:rPr>
          <w:rFonts w:hint="eastAsia" w:ascii="宋体" w:hAnsi="宋体" w:eastAsia="宋体" w:cs="宋体"/>
          <w:color w:val="auto"/>
          <w:kern w:val="2"/>
          <w:sz w:val="21"/>
          <w:szCs w:val="21"/>
          <w:highlight w:val="none"/>
        </w:rPr>
        <w:t>或者品质下降，</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有权要求降价、换货、拒收部分或整批货物，由此</w:t>
      </w:r>
      <w:r>
        <w:rPr>
          <w:rFonts w:hint="eastAsia" w:ascii="宋体" w:hAnsi="宋体" w:eastAsia="宋体" w:cs="宋体"/>
          <w:color w:val="auto"/>
          <w:kern w:val="2"/>
          <w:sz w:val="21"/>
          <w:szCs w:val="21"/>
          <w:highlight w:val="none"/>
          <w:lang w:eastAsia="zh-CN"/>
        </w:rPr>
        <w:t>产生</w:t>
      </w:r>
      <w:r>
        <w:rPr>
          <w:rFonts w:hint="eastAsia" w:ascii="宋体" w:hAnsi="宋体" w:eastAsia="宋体" w:cs="宋体"/>
          <w:color w:val="auto"/>
          <w:kern w:val="2"/>
          <w:sz w:val="21"/>
          <w:szCs w:val="21"/>
          <w:highlight w:val="none"/>
        </w:rPr>
        <w:t>的费用和损失，均由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承担。</w:t>
      </w:r>
    </w:p>
    <w:p w14:paraId="11B52F8D">
      <w:pPr>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8</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质量标准和保证</w:t>
      </w:r>
    </w:p>
    <w:p w14:paraId="7730CDD7">
      <w:pPr>
        <w:pStyle w:val="16"/>
        <w:adjustRightInd w:val="0"/>
        <w:snapToGrid w:val="0"/>
        <w:spacing w:before="0" w:line="400" w:lineRule="exact"/>
        <w:ind w:firstLine="420" w:firstLineChars="200"/>
        <w:jc w:val="left"/>
        <w:rPr>
          <w:rFonts w:hint="eastAsia" w:ascii="宋体" w:hAnsi="宋体" w:eastAsia="宋体" w:cs="宋体"/>
          <w:b/>
          <w:color w:val="auto"/>
          <w:highlight w:val="none"/>
        </w:rPr>
      </w:pPr>
      <w:r>
        <w:rPr>
          <w:rFonts w:hint="eastAsia" w:ascii="宋体" w:hAnsi="宋体" w:eastAsia="宋体" w:cs="宋体"/>
          <w:color w:val="auto"/>
          <w:highlight w:val="none"/>
          <w:lang w:eastAsia="zh-CN"/>
        </w:rPr>
        <w:t>8</w:t>
      </w:r>
      <w:r>
        <w:rPr>
          <w:rFonts w:hint="eastAsia" w:ascii="宋体" w:hAnsi="宋体" w:eastAsia="宋体" w:cs="宋体"/>
          <w:color w:val="auto"/>
          <w:highlight w:val="none"/>
        </w:rPr>
        <w:t>.1 质量标准</w:t>
      </w:r>
    </w:p>
    <w:p w14:paraId="04069ACC">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（1）本合同下</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的货物应符合</w:t>
      </w:r>
      <w:r>
        <w:rPr>
          <w:rFonts w:hint="eastAsia" w:ascii="宋体" w:hAnsi="宋体" w:eastAsia="宋体" w:cs="宋体"/>
          <w:color w:val="auto"/>
          <w:szCs w:val="21"/>
          <w:highlight w:val="none"/>
          <w:lang w:eastAsia="zh-CN"/>
        </w:rPr>
        <w:t>合同约</w:t>
      </w:r>
      <w:r>
        <w:rPr>
          <w:rFonts w:hint="eastAsia" w:ascii="宋体" w:hAnsi="宋体" w:eastAsia="宋体" w:cs="宋体"/>
          <w:color w:val="auto"/>
          <w:szCs w:val="21"/>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Cs w:val="21"/>
          <w:highlight w:val="none"/>
          <w:lang w:eastAsia="zh-CN"/>
        </w:rPr>
        <w:t>。</w:t>
      </w:r>
    </w:p>
    <w:p w14:paraId="1D2F34C6">
      <w:pPr>
        <w:pStyle w:val="16"/>
        <w:adjustRightInd w:val="0"/>
        <w:snapToGrid w:val="0"/>
        <w:spacing w:before="0"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（2）采用中华人民共和国法定计量单位。</w:t>
      </w:r>
    </w:p>
    <w:p w14:paraId="6C08516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（3）乙方所</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的货物应符合国家有关安全、环保、卫生</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规定。</w:t>
      </w:r>
    </w:p>
    <w:p w14:paraId="540EAF0A">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（4）乙方应向甲方提交所</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货物的技术文件，包括相应的中文技术文件，如：产品目录、图纸、操作手册、使用说明、维护手册或服务指南</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上述</w:t>
      </w:r>
      <w:r>
        <w:rPr>
          <w:rFonts w:hint="eastAsia" w:ascii="宋体" w:hAnsi="宋体" w:eastAsia="宋体" w:cs="宋体"/>
          <w:color w:val="auto"/>
          <w:szCs w:val="21"/>
          <w:highlight w:val="none"/>
        </w:rPr>
        <w:t>文件应包装好随货物一同发运。</w:t>
      </w:r>
    </w:p>
    <w:p w14:paraId="3744B676">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8</w:t>
      </w:r>
      <w:r>
        <w:rPr>
          <w:rFonts w:hint="eastAsia" w:ascii="宋体" w:hAnsi="宋体" w:eastAsia="宋体" w:cs="宋体"/>
          <w:color w:val="auto"/>
          <w:szCs w:val="21"/>
          <w:highlight w:val="none"/>
        </w:rPr>
        <w:t>.2 保证</w:t>
      </w:r>
    </w:p>
    <w:p w14:paraId="398C2D2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w:t>
      </w:r>
      <w:r>
        <w:rPr>
          <w:rFonts w:hint="eastAsia" w:ascii="宋体" w:hAnsi="宋体" w:eastAsia="宋体" w:cs="宋体"/>
          <w:color w:val="auto"/>
          <w:szCs w:val="21"/>
          <w:highlight w:val="none"/>
          <w:lang w:eastAsia="zh-CN"/>
        </w:rPr>
        <w:t>提供的货物</w:t>
      </w:r>
      <w:r>
        <w:rPr>
          <w:rFonts w:hint="eastAsia" w:ascii="宋体" w:hAnsi="宋体" w:eastAsia="宋体" w:cs="宋体"/>
          <w:color w:val="auto"/>
          <w:szCs w:val="21"/>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Cs w:val="21"/>
          <w:highlight w:val="none"/>
          <w:lang w:eastAsia="zh-CN"/>
        </w:rPr>
        <w:t>备合同约定</w:t>
      </w:r>
      <w:r>
        <w:rPr>
          <w:rFonts w:hint="eastAsia" w:ascii="宋体" w:hAnsi="宋体" w:eastAsia="宋体" w:cs="宋体"/>
          <w:color w:val="auto"/>
          <w:szCs w:val="21"/>
          <w:highlight w:val="none"/>
        </w:rPr>
        <w:t>的性能。</w:t>
      </w:r>
      <w:r>
        <w:rPr>
          <w:rFonts w:hint="eastAsia" w:ascii="宋体" w:hAnsi="宋体" w:eastAsia="宋体" w:cs="宋体"/>
          <w:color w:val="auto"/>
          <w:szCs w:val="21"/>
          <w:highlight w:val="none"/>
          <w:lang w:eastAsia="zh-CN"/>
        </w:rPr>
        <w:t>存在</w:t>
      </w:r>
      <w:r>
        <w:rPr>
          <w:rFonts w:hint="eastAsia" w:ascii="宋体" w:hAnsi="宋体" w:eastAsia="宋体" w:cs="宋体"/>
          <w:color w:val="auto"/>
          <w:szCs w:val="21"/>
          <w:highlight w:val="none"/>
        </w:rPr>
        <w:t>质量保证期的，货物最终交付验收</w:t>
      </w:r>
      <w:r>
        <w:rPr>
          <w:rFonts w:hint="eastAsia" w:ascii="宋体" w:hAnsi="宋体" w:eastAsia="宋体" w:cs="宋体"/>
          <w:color w:val="auto"/>
          <w:szCs w:val="21"/>
          <w:highlight w:val="none"/>
          <w:lang w:eastAsia="zh-CN"/>
        </w:rPr>
        <w:t>合格</w:t>
      </w:r>
      <w:r>
        <w:rPr>
          <w:rFonts w:hint="eastAsia" w:ascii="宋体" w:hAnsi="宋体" w:eastAsia="宋体" w:cs="宋体"/>
          <w:color w:val="auto"/>
          <w:szCs w:val="21"/>
          <w:highlight w:val="none"/>
        </w:rPr>
        <w:t>后</w:t>
      </w:r>
      <w:r>
        <w:rPr>
          <w:rFonts w:hint="eastAsia" w:ascii="宋体" w:hAnsi="宋体" w:eastAsia="宋体" w:cs="宋体"/>
          <w:color w:val="auto"/>
          <w:szCs w:val="21"/>
          <w:highlight w:val="none"/>
          <w:lang w:eastAsia="zh-CN"/>
        </w:rPr>
        <w:t>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规定或乙方</w:t>
      </w:r>
      <w:r>
        <w:rPr>
          <w:rFonts w:hint="eastAsia" w:ascii="宋体" w:hAnsi="宋体" w:eastAsia="宋体" w:cs="宋体"/>
          <w:color w:val="auto"/>
          <w:szCs w:val="21"/>
          <w:highlight w:val="none"/>
          <w:lang w:eastAsia="zh-CN"/>
        </w:rPr>
        <w:t>书面</w:t>
      </w:r>
      <w:r>
        <w:rPr>
          <w:rFonts w:hint="eastAsia" w:ascii="宋体" w:hAnsi="宋体" w:eastAsia="宋体" w:cs="宋体"/>
          <w:color w:val="auto"/>
          <w:szCs w:val="21"/>
          <w:highlight w:val="none"/>
        </w:rPr>
        <w:t>承诺（两者以较长的为准）的质量保证期内，本保证保持有效。</w:t>
      </w:r>
    </w:p>
    <w:p w14:paraId="4B08887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（2）在质量保证期内所发现的缺陷，甲方应尽快以书面形式通知乙方。</w:t>
      </w:r>
    </w:p>
    <w:p w14:paraId="76633157">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（3）乙方收到通知后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应在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规定的响应时间内以合理的速度免费维修或更换有缺陷的货物或部件。</w:t>
      </w:r>
    </w:p>
    <w:p w14:paraId="1849605C">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.1条规定以书面形式</w:t>
      </w:r>
      <w:r>
        <w:rPr>
          <w:rFonts w:hint="eastAsia" w:ascii="宋体" w:hAnsi="宋体" w:eastAsia="宋体" w:cs="宋体"/>
          <w:color w:val="auto"/>
          <w:szCs w:val="21"/>
          <w:highlight w:val="none"/>
          <w:lang w:eastAsia="zh-CN"/>
        </w:rPr>
        <w:t>追究</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的违约责任</w:t>
      </w:r>
      <w:r>
        <w:rPr>
          <w:rFonts w:hint="eastAsia" w:ascii="宋体" w:hAnsi="宋体" w:eastAsia="宋体" w:cs="宋体"/>
          <w:color w:val="auto"/>
          <w:szCs w:val="21"/>
          <w:highlight w:val="none"/>
        </w:rPr>
        <w:t>。</w:t>
      </w:r>
    </w:p>
    <w:p w14:paraId="3B9B737C">
      <w:pPr>
        <w:adjustRightInd w:val="0"/>
        <w:snapToGrid w:val="0"/>
        <w:spacing w:before="0"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s="宋体"/>
          <w:color w:val="auto"/>
          <w:szCs w:val="21"/>
          <w:highlight w:val="none"/>
          <w:lang w:eastAsia="zh-CN"/>
        </w:rPr>
        <w:t>约定</w:t>
      </w:r>
      <w:r>
        <w:rPr>
          <w:rFonts w:hint="eastAsia" w:ascii="宋体" w:hAnsi="宋体" w:eastAsia="宋体" w:cs="宋体"/>
          <w:color w:val="auto"/>
          <w:szCs w:val="21"/>
          <w:highlight w:val="none"/>
        </w:rPr>
        <w:t>对乙方行使的其他权利不受影响。</w:t>
      </w:r>
    </w:p>
    <w:p w14:paraId="76372783">
      <w:p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9</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权利瑕疵担保</w:t>
      </w:r>
    </w:p>
    <w:p w14:paraId="792CA147">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9</w:t>
      </w:r>
      <w:r>
        <w:rPr>
          <w:rFonts w:hint="eastAsia" w:ascii="宋体" w:hAnsi="宋体" w:eastAsia="宋体" w:cs="宋体"/>
          <w:color w:val="auto"/>
          <w:szCs w:val="21"/>
          <w:highlight w:val="none"/>
        </w:rPr>
        <w:t>.1 乙方保证对其出售的货物享有合法的权利。</w:t>
      </w:r>
    </w:p>
    <w:p w14:paraId="679257B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9</w:t>
      </w:r>
      <w:r>
        <w:rPr>
          <w:rFonts w:hint="eastAsia" w:ascii="宋体" w:hAnsi="宋体" w:eastAsia="宋体" w:cs="宋体"/>
          <w:color w:val="auto"/>
          <w:szCs w:val="21"/>
          <w:highlight w:val="none"/>
        </w:rPr>
        <w:t xml:space="preserve">.2 </w:t>
      </w:r>
      <w:r>
        <w:rPr>
          <w:rFonts w:hint="eastAsia" w:ascii="宋体" w:hAnsi="宋体" w:eastAsia="宋体" w:cs="宋体"/>
          <w:color w:val="auto"/>
          <w:szCs w:val="15"/>
          <w:highlight w:val="none"/>
        </w:rPr>
        <w:t>乙方保证在交付的货物上不存在抵押权等担保物权。</w:t>
      </w:r>
    </w:p>
    <w:p w14:paraId="02A39D7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9</w:t>
      </w:r>
      <w:r>
        <w:rPr>
          <w:rFonts w:hint="eastAsia" w:ascii="宋体" w:hAnsi="宋体" w:eastAsia="宋体" w:cs="宋体"/>
          <w:color w:val="auto"/>
          <w:szCs w:val="21"/>
          <w:highlight w:val="none"/>
        </w:rPr>
        <w:t>.3 如甲方使用</w:t>
      </w:r>
      <w:r>
        <w:rPr>
          <w:rFonts w:hint="eastAsia" w:ascii="宋体" w:hAnsi="宋体" w:eastAsia="宋体" w:cs="宋体"/>
          <w:color w:val="auto"/>
          <w:szCs w:val="21"/>
          <w:highlight w:val="none"/>
          <w:lang w:val="en-US" w:eastAsia="zh-CN"/>
        </w:rPr>
        <w:t>上述</w:t>
      </w:r>
      <w:r>
        <w:rPr>
          <w:rFonts w:hint="eastAsia" w:ascii="宋体" w:hAnsi="宋体" w:eastAsia="宋体" w:cs="宋体"/>
          <w:color w:val="auto"/>
          <w:szCs w:val="21"/>
          <w:highlight w:val="none"/>
        </w:rPr>
        <w:t>货物构成</w:t>
      </w:r>
      <w:r>
        <w:rPr>
          <w:rFonts w:hint="eastAsia" w:ascii="宋体" w:hAnsi="宋体" w:eastAsia="宋体" w:cs="宋体"/>
          <w:color w:val="auto"/>
          <w:szCs w:val="21"/>
          <w:highlight w:val="none"/>
          <w:lang w:val="en-US" w:eastAsia="zh-CN"/>
        </w:rPr>
        <w:t>对第三人</w:t>
      </w:r>
      <w:r>
        <w:rPr>
          <w:rFonts w:hint="eastAsia" w:ascii="宋体" w:hAnsi="宋体" w:eastAsia="宋体" w:cs="宋体"/>
          <w:color w:val="auto"/>
          <w:szCs w:val="21"/>
          <w:highlight w:val="none"/>
        </w:rPr>
        <w:t>侵权的，则由乙方承担全部责任。</w:t>
      </w:r>
    </w:p>
    <w:p w14:paraId="3594C62E">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0</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知识产权保护</w:t>
      </w:r>
    </w:p>
    <w:p w14:paraId="2A28632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.1 乙方对其所销售的货物应当享有知识产权或经权利人合法授权，保证没有侵犯任何第三人的知识产权等权利。</w:t>
      </w:r>
      <w:bookmarkStart w:id="88" w:name="_Hlk163047038"/>
      <w:r>
        <w:rPr>
          <w:rFonts w:hint="eastAsia" w:ascii="宋体" w:hAnsi="宋体" w:eastAsia="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88"/>
      <w:r>
        <w:rPr>
          <w:rFonts w:hint="eastAsia" w:ascii="宋体" w:hAnsi="宋体" w:eastAsia="宋体" w:cs="宋体"/>
          <w:color w:val="auto"/>
          <w:szCs w:val="21"/>
          <w:highlight w:val="none"/>
        </w:rPr>
        <w:t>。</w:t>
      </w:r>
    </w:p>
    <w:p w14:paraId="402FF5C0">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1</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保密义务</w:t>
      </w:r>
    </w:p>
    <w:p w14:paraId="3ED5B114">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15"/>
          <w:highlight w:val="none"/>
        </w:rPr>
      </w:pPr>
      <w:r>
        <w:rPr>
          <w:rFonts w:hint="eastAsia" w:ascii="宋体" w:hAnsi="宋体" w:eastAsia="宋体" w:cs="宋体"/>
          <w:color w:val="auto"/>
          <w:szCs w:val="15"/>
          <w:highlight w:val="none"/>
          <w:lang w:val="en-US" w:eastAsia="zh-CN"/>
        </w:rPr>
        <w:t xml:space="preserve">11.1 </w:t>
      </w:r>
      <w:r>
        <w:rPr>
          <w:rFonts w:hint="eastAsia" w:ascii="宋体" w:hAnsi="宋体" w:eastAsia="宋体" w:cs="宋体"/>
          <w:color w:val="auto"/>
          <w:szCs w:val="15"/>
          <w:highlight w:val="none"/>
        </w:rPr>
        <w:t>甲、乙双方</w:t>
      </w:r>
      <w:r>
        <w:rPr>
          <w:rFonts w:hint="eastAsia" w:ascii="宋体" w:hAnsi="宋体" w:eastAsia="宋体" w:cs="宋体"/>
          <w:color w:val="auto"/>
          <w:szCs w:val="15"/>
          <w:highlight w:val="none"/>
          <w:lang w:eastAsia="zh-CN"/>
        </w:rPr>
        <w:t>对</w:t>
      </w:r>
      <w:r>
        <w:rPr>
          <w:rFonts w:hint="eastAsia" w:ascii="宋体" w:hAnsi="宋体" w:eastAsia="宋体" w:cs="宋体"/>
          <w:color w:val="auto"/>
          <w:szCs w:val="15"/>
          <w:highlight w:val="none"/>
        </w:rPr>
        <w:t>采购和合同履行过程中所获悉的</w:t>
      </w:r>
      <w:r>
        <w:rPr>
          <w:rFonts w:hint="eastAsia" w:ascii="宋体" w:hAnsi="宋体" w:eastAsia="宋体" w:cs="宋体"/>
          <w:color w:val="auto"/>
          <w:szCs w:val="15"/>
          <w:highlight w:val="none"/>
          <w:lang w:eastAsia="zh-CN"/>
        </w:rPr>
        <w:t>国家秘密、工作秘密、</w:t>
      </w:r>
      <w:r>
        <w:rPr>
          <w:rFonts w:hint="eastAsia" w:ascii="宋体" w:hAnsi="宋体" w:eastAsia="宋体" w:cs="宋体"/>
          <w:color w:val="auto"/>
          <w:szCs w:val="15"/>
          <w:highlight w:val="none"/>
        </w:rPr>
        <w:t>商业秘密或者其他应当保密的信息，均有保密义务</w:t>
      </w:r>
      <w:r>
        <w:rPr>
          <w:rFonts w:hint="eastAsia" w:ascii="宋体" w:hAnsi="宋体" w:eastAsia="宋体" w:cs="宋体"/>
          <w:color w:val="auto"/>
          <w:szCs w:val="15"/>
          <w:highlight w:val="none"/>
          <w:lang w:eastAsia="zh-CN"/>
        </w:rPr>
        <w:t>且不受合同有效期所限，直至该信息成为公开信息</w:t>
      </w:r>
      <w:r>
        <w:rPr>
          <w:rFonts w:hint="eastAsia" w:ascii="宋体" w:hAnsi="宋体" w:eastAsia="宋体" w:cs="宋体"/>
          <w:color w:val="auto"/>
          <w:szCs w:val="15"/>
          <w:highlight w:val="none"/>
        </w:rPr>
        <w:t>。泄露、不正当地使用</w:t>
      </w:r>
      <w:r>
        <w:rPr>
          <w:rFonts w:hint="eastAsia" w:ascii="宋体" w:hAnsi="宋体" w:eastAsia="宋体" w:cs="宋体"/>
          <w:color w:val="auto"/>
          <w:szCs w:val="15"/>
          <w:highlight w:val="none"/>
          <w:lang w:eastAsia="zh-CN"/>
        </w:rPr>
        <w:t>国家秘密、工作秘密、</w:t>
      </w:r>
      <w:r>
        <w:rPr>
          <w:rFonts w:hint="eastAsia" w:ascii="宋体" w:hAnsi="宋体" w:eastAsia="宋体" w:cs="宋体"/>
          <w:color w:val="auto"/>
          <w:szCs w:val="15"/>
          <w:highlight w:val="none"/>
        </w:rPr>
        <w:t>商业秘密或者</w:t>
      </w:r>
      <w:r>
        <w:rPr>
          <w:rFonts w:hint="eastAsia" w:ascii="宋体" w:hAnsi="宋体" w:eastAsia="宋体" w:cs="宋体"/>
          <w:color w:val="auto"/>
          <w:szCs w:val="15"/>
          <w:highlight w:val="none"/>
          <w:lang w:eastAsia="zh-CN"/>
        </w:rPr>
        <w:t>其他应当保密的</w:t>
      </w:r>
      <w:r>
        <w:rPr>
          <w:rFonts w:hint="eastAsia" w:ascii="宋体" w:hAnsi="宋体" w:eastAsia="宋体" w:cs="宋体"/>
          <w:color w:val="auto"/>
          <w:szCs w:val="15"/>
          <w:highlight w:val="none"/>
        </w:rPr>
        <w:t>信息，应当承担</w:t>
      </w:r>
      <w:r>
        <w:rPr>
          <w:rFonts w:hint="eastAsia" w:ascii="宋体" w:hAnsi="宋体" w:eastAsia="宋体" w:cs="宋体"/>
          <w:color w:val="auto"/>
          <w:szCs w:val="15"/>
          <w:highlight w:val="none"/>
          <w:lang w:eastAsia="zh-CN"/>
        </w:rPr>
        <w:t>相应</w:t>
      </w:r>
      <w:r>
        <w:rPr>
          <w:rFonts w:hint="eastAsia" w:ascii="宋体" w:hAnsi="宋体" w:eastAsia="宋体" w:cs="宋体"/>
          <w:color w:val="auto"/>
          <w:szCs w:val="15"/>
          <w:highlight w:val="none"/>
        </w:rPr>
        <w:t>责任。其他应当保密的信息由双方在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中约定。</w:t>
      </w:r>
    </w:p>
    <w:p w14:paraId="5BC4A869">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2</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合同价款支付</w:t>
      </w:r>
    </w:p>
    <w:p w14:paraId="5D274AB3">
      <w:pPr>
        <w:autoSpaceDE/>
        <w:autoSpaceDN/>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eastAsia="zh-CN"/>
        </w:rPr>
        <w:t>合同价款支付</w:t>
      </w:r>
      <w:r>
        <w:rPr>
          <w:rFonts w:hint="eastAsia" w:ascii="宋体" w:hAnsi="宋体" w:eastAsia="宋体" w:cs="宋体"/>
          <w:color w:val="auto"/>
          <w:szCs w:val="21"/>
          <w:highlight w:val="none"/>
        </w:rPr>
        <w:t>按照国库集中支付</w:t>
      </w:r>
      <w:r>
        <w:rPr>
          <w:rFonts w:hint="eastAsia" w:ascii="宋体" w:hAnsi="宋体" w:eastAsia="宋体" w:cs="宋体"/>
          <w:color w:val="auto"/>
          <w:szCs w:val="21"/>
          <w:highlight w:val="none"/>
          <w:lang w:eastAsia="zh-CN"/>
        </w:rPr>
        <w:t>制度及财政管理相关</w:t>
      </w:r>
      <w:r>
        <w:rPr>
          <w:rFonts w:hint="eastAsia" w:ascii="宋体" w:hAnsi="宋体" w:eastAsia="宋体" w:cs="宋体"/>
          <w:color w:val="auto"/>
          <w:szCs w:val="21"/>
          <w:highlight w:val="none"/>
        </w:rPr>
        <w:t>规定执行。</w:t>
      </w:r>
    </w:p>
    <w:p w14:paraId="20DCDF44">
      <w:pPr>
        <w:pStyle w:val="3"/>
        <w:numPr>
          <w:ilvl w:val="1"/>
          <w:numId w:val="0"/>
        </w:numPr>
        <w:spacing w:line="400" w:lineRule="exact"/>
        <w:ind w:left="0" w:leftChars="0" w:firstLine="643" w:firstLineChars="200"/>
        <w:rPr>
          <w:rFonts w:hint="eastAsia" w:ascii="宋体" w:hAnsi="宋体" w:eastAsia="宋体" w:cs="宋体"/>
          <w:color w:val="auto"/>
          <w:highlight w:val="none"/>
          <w:lang w:eastAsia="zh-CN"/>
        </w:rPr>
      </w:pPr>
      <w:r>
        <w:rPr>
          <w:rFonts w:hint="eastAsia" w:ascii="宋体" w:hAnsi="宋体" w:eastAsia="宋体" w:cs="宋体"/>
          <w:b/>
          <w:i w:val="0"/>
          <w:caps w:val="0"/>
          <w:strike w:val="0"/>
          <w:dstrike w:val="0"/>
          <w:snapToGrid/>
          <w:vanish w:val="0"/>
          <w:color w:val="auto"/>
          <w:spacing w:val="0"/>
          <w:w w:val="100"/>
          <w:kern w:val="2"/>
          <w:position w:val="0"/>
          <w:sz w:val="32"/>
          <w:szCs w:val="28"/>
          <w:highlight w:val="none"/>
          <w:u w:val="none"/>
          <w:vertAlign w:val="baseline"/>
          <w:lang w:val="en-US" w:eastAsia="zh-CN" w:bidi="ar-SA"/>
        </w:rPr>
        <w:t>第二节</w:t>
      </w:r>
      <w:r>
        <w:rPr>
          <w:rFonts w:hint="eastAsia" w:ascii="宋体" w:hAnsi="宋体" w:eastAsia="宋体" w:cs="宋体"/>
          <w:b w:val="0"/>
          <w:bCs w:val="0"/>
          <w:color w:val="auto"/>
          <w:sz w:val="21"/>
          <w:szCs w:val="21"/>
          <w:highlight w:val="none"/>
          <w:lang w:val="en-US" w:eastAsia="zh-CN"/>
        </w:rPr>
        <w:t xml:space="preserve">12.2 </w:t>
      </w:r>
      <w:r>
        <w:rPr>
          <w:rFonts w:hint="eastAsia" w:ascii="宋体" w:hAnsi="宋体" w:eastAsia="宋体" w:cs="宋体"/>
          <w:b w:val="0"/>
          <w:bCs w:val="0"/>
          <w:color w:val="auto"/>
          <w:kern w:val="2"/>
          <w:sz w:val="21"/>
          <w:szCs w:val="21"/>
          <w:highlight w:val="none"/>
        </w:rPr>
        <w:t>对于满足合同约定支付条件的，</w:t>
      </w:r>
      <w:r>
        <w:rPr>
          <w:rFonts w:hint="eastAsia" w:ascii="宋体" w:hAnsi="宋体" w:eastAsia="宋体" w:cs="宋体"/>
          <w:b w:val="0"/>
          <w:bCs w:val="0"/>
          <w:color w:val="auto"/>
          <w:kern w:val="2"/>
          <w:sz w:val="21"/>
          <w:szCs w:val="21"/>
          <w:highlight w:val="none"/>
          <w:lang w:val="en-US" w:eastAsia="zh-CN"/>
        </w:rPr>
        <w:t>甲方</w:t>
      </w:r>
      <w:r>
        <w:rPr>
          <w:rFonts w:hint="eastAsia" w:ascii="宋体" w:hAnsi="宋体" w:eastAsia="宋体" w:cs="宋体"/>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宋体"/>
          <w:b w:val="0"/>
          <w:bCs w:val="0"/>
          <w:color w:val="auto"/>
          <w:kern w:val="2"/>
          <w:sz w:val="21"/>
          <w:szCs w:val="21"/>
          <w:highlight w:val="none"/>
        </w:rPr>
        <w:t>将资金支付到合同约定的</w:t>
      </w:r>
      <w:r>
        <w:rPr>
          <w:rFonts w:hint="eastAsia" w:ascii="宋体" w:hAnsi="宋体" w:eastAsia="宋体" w:cs="宋体"/>
          <w:b w:val="0"/>
          <w:bCs w:val="0"/>
          <w:color w:val="auto"/>
          <w:kern w:val="2"/>
          <w:sz w:val="21"/>
          <w:szCs w:val="21"/>
          <w:highlight w:val="none"/>
          <w:lang w:eastAsia="zh-CN"/>
        </w:rPr>
        <w:t>乙方</w:t>
      </w:r>
      <w:r>
        <w:rPr>
          <w:rFonts w:hint="eastAsia" w:ascii="宋体" w:hAnsi="宋体" w:eastAsia="宋体" w:cs="宋体"/>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1"/>
          <w:szCs w:val="21"/>
          <w:highlight w:val="none"/>
          <w:lang w:val="en-US" w:eastAsia="zh-CN"/>
        </w:rPr>
        <w:t>乙方</w:t>
      </w:r>
      <w:r>
        <w:rPr>
          <w:rFonts w:hint="eastAsia" w:ascii="宋体" w:hAnsi="宋体" w:eastAsia="宋体" w:cs="宋体"/>
          <w:b w:val="0"/>
          <w:bCs w:val="0"/>
          <w:color w:val="auto"/>
          <w:kern w:val="2"/>
          <w:sz w:val="21"/>
          <w:szCs w:val="21"/>
          <w:highlight w:val="none"/>
        </w:rPr>
        <w:t>付款的条件。具体合同价款支付时间在【</w:t>
      </w:r>
      <w:r>
        <w:rPr>
          <w:rFonts w:hint="eastAsia" w:ascii="宋体" w:hAnsi="宋体" w:eastAsia="宋体" w:cs="宋体"/>
          <w:b/>
          <w:bCs/>
          <w:color w:val="auto"/>
          <w:kern w:val="2"/>
          <w:sz w:val="21"/>
          <w:szCs w:val="21"/>
          <w:highlight w:val="none"/>
        </w:rPr>
        <w:t>政府采购合同专用条款</w:t>
      </w:r>
      <w:r>
        <w:rPr>
          <w:rFonts w:hint="eastAsia" w:ascii="宋体" w:hAnsi="宋体" w:eastAsia="宋体" w:cs="宋体"/>
          <w:b w:val="0"/>
          <w:bCs w:val="0"/>
          <w:color w:val="auto"/>
          <w:kern w:val="2"/>
          <w:sz w:val="21"/>
          <w:szCs w:val="21"/>
          <w:highlight w:val="none"/>
        </w:rPr>
        <w:t>】中</w:t>
      </w:r>
      <w:r>
        <w:rPr>
          <w:rFonts w:hint="eastAsia" w:ascii="宋体" w:hAnsi="宋体" w:eastAsia="宋体" w:cs="宋体"/>
          <w:b w:val="0"/>
          <w:bCs w:val="0"/>
          <w:color w:val="auto"/>
          <w:kern w:val="2"/>
          <w:sz w:val="21"/>
          <w:szCs w:val="21"/>
          <w:highlight w:val="none"/>
          <w:lang w:eastAsia="zh-CN"/>
        </w:rPr>
        <w:t>约</w:t>
      </w:r>
      <w:r>
        <w:rPr>
          <w:rFonts w:hint="eastAsia" w:ascii="宋体" w:hAnsi="宋体" w:eastAsia="宋体" w:cs="宋体"/>
          <w:b w:val="0"/>
          <w:bCs w:val="0"/>
          <w:color w:val="auto"/>
          <w:kern w:val="2"/>
          <w:sz w:val="21"/>
          <w:szCs w:val="21"/>
          <w:highlight w:val="none"/>
        </w:rPr>
        <w:t>定。</w:t>
      </w:r>
    </w:p>
    <w:p w14:paraId="23A893CC">
      <w:pPr>
        <w:pStyle w:val="13"/>
        <w:spacing w:after="0"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315EDB17">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 xml:space="preserve">.1 </w:t>
      </w:r>
      <w:r>
        <w:rPr>
          <w:rFonts w:hint="eastAsia" w:ascii="宋体" w:hAnsi="宋体" w:eastAsia="宋体" w:cs="宋体"/>
          <w:color w:val="auto"/>
          <w:szCs w:val="15"/>
          <w:highlight w:val="none"/>
        </w:rPr>
        <w:t>乙方应当以支票、汇票、本票或者金融机构、担保机构出具的保函等非现金形式提交。</w:t>
      </w:r>
    </w:p>
    <w:p w14:paraId="1B0169F7">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.2 如果乙方</w:t>
      </w:r>
      <w:r>
        <w:rPr>
          <w:rFonts w:hint="eastAsia" w:ascii="宋体" w:hAnsi="宋体" w:eastAsia="宋体" w:cs="宋体"/>
          <w:color w:val="auto"/>
          <w:szCs w:val="21"/>
          <w:highlight w:val="none"/>
          <w:lang w:eastAsia="zh-CN"/>
        </w:rPr>
        <w:t>出现</w:t>
      </w:r>
      <w:r>
        <w:rPr>
          <w:rFonts w:hint="eastAsia" w:ascii="宋体" w:hAnsi="宋体" w:eastAsia="宋体" w:cs="宋体"/>
          <w:b/>
          <w:bCs/>
          <w:color w:val="auto"/>
          <w:szCs w:val="15"/>
          <w:highlight w:val="none"/>
        </w:rPr>
        <w:t>【政府采购合同专用条款】</w:t>
      </w:r>
      <w:r>
        <w:rPr>
          <w:rFonts w:hint="eastAsia" w:ascii="宋体" w:hAnsi="宋体" w:eastAsia="宋体" w:cs="宋体"/>
          <w:b w:val="0"/>
          <w:bCs w:val="0"/>
          <w:color w:val="auto"/>
          <w:szCs w:val="15"/>
          <w:highlight w:val="none"/>
          <w:lang w:eastAsia="zh-CN"/>
        </w:rPr>
        <w:t>约定情形的</w:t>
      </w:r>
      <w:r>
        <w:rPr>
          <w:rFonts w:hint="eastAsia" w:ascii="宋体" w:hAnsi="宋体" w:eastAsia="宋体" w:cs="宋体"/>
          <w:color w:val="auto"/>
          <w:szCs w:val="21"/>
          <w:highlight w:val="none"/>
        </w:rPr>
        <w:t>，履约保证金不予退还；如果乙方未能按合同约定全面履行义务，甲方有权从履约保证金中取得补偿或赔偿，</w:t>
      </w:r>
      <w:r>
        <w:rPr>
          <w:rFonts w:hint="eastAsia" w:ascii="宋体" w:hAnsi="宋体" w:eastAsia="宋体" w:cs="宋体"/>
          <w:color w:val="auto"/>
          <w:szCs w:val="21"/>
          <w:highlight w:val="none"/>
          <w:lang w:eastAsia="zh-CN"/>
        </w:rPr>
        <w:t>且</w:t>
      </w:r>
      <w:r>
        <w:rPr>
          <w:rFonts w:hint="eastAsia" w:ascii="宋体" w:hAnsi="宋体" w:eastAsia="宋体" w:cs="宋体"/>
          <w:color w:val="auto"/>
          <w:szCs w:val="21"/>
          <w:highlight w:val="none"/>
        </w:rPr>
        <w:t>不影响甲方要求乙方承担合同约定的超过履约保证金的违约责任的权利。</w:t>
      </w:r>
    </w:p>
    <w:p w14:paraId="3A6D5A08">
      <w:pPr>
        <w:spacing w:line="400" w:lineRule="exact"/>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.3 甲方在项目通过验收后按照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规定的时间内将履约保证金退还乙方；逾期退还的，乙方可要求甲方支付违约金，违约金按照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规定支付。</w:t>
      </w:r>
    </w:p>
    <w:p w14:paraId="312098CA">
      <w:p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4</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color w:val="auto"/>
          <w:sz w:val="24"/>
          <w:highlight w:val="none"/>
        </w:rPr>
        <w:t>售后服务</w:t>
      </w:r>
    </w:p>
    <w:p w14:paraId="3DF31CDA">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.1 除项目不涉及或采购活动中明确约定无须承担外，乙方还应提供下列服务：</w:t>
      </w:r>
    </w:p>
    <w:p w14:paraId="62E44B6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（1）货物的现场移动、安装、调试、启动监督及技术支持；</w:t>
      </w:r>
    </w:p>
    <w:p w14:paraId="1D786E9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（2）提供货物组装和维修所需的专用工具和辅助材料；</w:t>
      </w:r>
    </w:p>
    <w:p w14:paraId="1AC21FB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21"/>
          <w:highlight w:val="none"/>
          <w:lang w:eastAsia="zh-CN"/>
        </w:rPr>
        <w:t>约定</w:t>
      </w:r>
      <w:r>
        <w:rPr>
          <w:rFonts w:hint="eastAsia" w:ascii="宋体" w:hAnsi="宋体" w:eastAsia="宋体" w:cs="宋体"/>
          <w:color w:val="auto"/>
          <w:szCs w:val="21"/>
          <w:highlight w:val="none"/>
        </w:rPr>
        <w:t>的期限内对所有的货物实施运行监督、维修，但前提条件是该服务并不能免除乙方在质量保证期内所承担的义务；</w:t>
      </w:r>
    </w:p>
    <w:p w14:paraId="11BE93A6">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（4）在制造商</w:t>
      </w:r>
      <w:r>
        <w:rPr>
          <w:rFonts w:hint="eastAsia" w:ascii="宋体" w:hAnsi="宋体" w:eastAsia="宋体" w:cs="宋体"/>
          <w:color w:val="auto"/>
          <w:szCs w:val="21"/>
          <w:highlight w:val="none"/>
          <w:lang w:eastAsia="zh-CN"/>
        </w:rPr>
        <w:t>所在地</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指定</w:t>
      </w:r>
      <w:r>
        <w:rPr>
          <w:rFonts w:hint="eastAsia" w:ascii="宋体" w:hAnsi="宋体" w:eastAsia="宋体" w:cs="宋体"/>
          <w:color w:val="auto"/>
          <w:szCs w:val="21"/>
          <w:highlight w:val="none"/>
        </w:rPr>
        <w:t>现场就货物的安装、启动、运营、维护</w:t>
      </w:r>
      <w:r>
        <w:rPr>
          <w:rFonts w:hint="eastAsia" w:ascii="宋体" w:hAnsi="宋体" w:eastAsia="宋体" w:cs="宋体"/>
          <w:color w:val="auto"/>
          <w:szCs w:val="21"/>
          <w:highlight w:val="none"/>
          <w:lang w:eastAsia="zh-CN"/>
        </w:rPr>
        <w:t>、废弃处置等</w:t>
      </w:r>
      <w:r>
        <w:rPr>
          <w:rFonts w:hint="eastAsia" w:ascii="宋体" w:hAnsi="宋体" w:eastAsia="宋体" w:cs="宋体"/>
          <w:color w:val="auto"/>
          <w:szCs w:val="21"/>
          <w:highlight w:val="none"/>
        </w:rPr>
        <w:t>对甲方操作人员进行培训</w:t>
      </w:r>
      <w:r>
        <w:rPr>
          <w:rFonts w:hint="eastAsia" w:ascii="宋体" w:hAnsi="宋体" w:eastAsia="宋体" w:cs="宋体"/>
          <w:color w:val="auto"/>
          <w:szCs w:val="15"/>
          <w:highlight w:val="none"/>
          <w:lang w:eastAsia="zh-CN"/>
        </w:rPr>
        <w:t>；</w:t>
      </w:r>
    </w:p>
    <w:p w14:paraId="487E42BB">
      <w:pPr>
        <w:pStyle w:val="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7FD2B547">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规定由乙方提供的其他服务。</w:t>
      </w:r>
    </w:p>
    <w:p w14:paraId="6424FBA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.2 乙方提供的</w:t>
      </w:r>
      <w:r>
        <w:rPr>
          <w:rFonts w:hint="eastAsia" w:ascii="宋体" w:hAnsi="宋体" w:eastAsia="宋体" w:cs="宋体"/>
          <w:color w:val="auto"/>
          <w:szCs w:val="21"/>
          <w:highlight w:val="none"/>
          <w:lang w:eastAsia="zh-CN"/>
        </w:rPr>
        <w:t>售后</w:t>
      </w:r>
      <w:r>
        <w:rPr>
          <w:rFonts w:hint="eastAsia" w:ascii="宋体" w:hAnsi="宋体" w:eastAsia="宋体" w:cs="宋体"/>
          <w:color w:val="auto"/>
          <w:szCs w:val="21"/>
          <w:highlight w:val="none"/>
        </w:rPr>
        <w:t>服务的费用</w:t>
      </w:r>
      <w:r>
        <w:rPr>
          <w:rFonts w:hint="eastAsia" w:ascii="宋体" w:hAnsi="宋体" w:eastAsia="宋体" w:cs="宋体"/>
          <w:color w:val="auto"/>
          <w:szCs w:val="21"/>
          <w:highlight w:val="none"/>
          <w:lang w:val="en-US" w:eastAsia="zh-CN"/>
        </w:rPr>
        <w:t>已</w:t>
      </w:r>
      <w:r>
        <w:rPr>
          <w:rFonts w:hint="eastAsia" w:ascii="宋体" w:hAnsi="宋体" w:eastAsia="宋体" w:cs="宋体"/>
          <w:color w:val="auto"/>
          <w:szCs w:val="21"/>
          <w:highlight w:val="none"/>
        </w:rPr>
        <w:t>包含在合同价款中，甲方不再另行支付。</w:t>
      </w:r>
    </w:p>
    <w:p w14:paraId="79D24E11">
      <w:p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5</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违约责任</w:t>
      </w:r>
    </w:p>
    <w:p w14:paraId="6A5184F2">
      <w:pPr>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.1质量瑕疵的</w:t>
      </w:r>
      <w:r>
        <w:rPr>
          <w:rFonts w:hint="eastAsia" w:ascii="宋体" w:hAnsi="宋体" w:eastAsia="宋体" w:cs="宋体"/>
          <w:bCs/>
          <w:color w:val="auto"/>
          <w:szCs w:val="21"/>
          <w:highlight w:val="none"/>
          <w:lang w:eastAsia="zh-CN"/>
        </w:rPr>
        <w:t>违约责任</w:t>
      </w:r>
    </w:p>
    <w:p w14:paraId="7D3CDFF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的产品不符合</w:t>
      </w:r>
      <w:r>
        <w:rPr>
          <w:rFonts w:hint="eastAsia" w:ascii="宋体" w:hAnsi="宋体" w:eastAsia="宋体" w:cs="宋体"/>
          <w:color w:val="auto"/>
          <w:szCs w:val="21"/>
          <w:highlight w:val="none"/>
          <w:lang w:eastAsia="zh-CN"/>
        </w:rPr>
        <w:t>合同约定的</w:t>
      </w:r>
      <w:r>
        <w:rPr>
          <w:rFonts w:hint="eastAsia" w:ascii="宋体" w:hAnsi="宋体" w:eastAsia="宋体" w:cs="宋体"/>
          <w:color w:val="auto"/>
          <w:szCs w:val="21"/>
          <w:highlight w:val="none"/>
        </w:rPr>
        <w:t>质量标准或存在产品质量缺陷，</w:t>
      </w:r>
      <w:r>
        <w:rPr>
          <w:rFonts w:hint="eastAsia" w:ascii="宋体" w:hAnsi="宋体" w:eastAsia="宋体" w:cs="宋体"/>
          <w:color w:val="auto"/>
          <w:szCs w:val="21"/>
          <w:highlight w:val="none"/>
          <w:lang w:eastAsia="zh-CN"/>
        </w:rPr>
        <w:t>甲方有权要求乙方根据</w:t>
      </w:r>
      <w:r>
        <w:rPr>
          <w:rFonts w:hint="eastAsia" w:ascii="宋体" w:hAnsi="宋体" w:eastAsia="宋体" w:cs="宋体"/>
          <w:b/>
          <w:color w:val="auto"/>
          <w:szCs w:val="21"/>
          <w:highlight w:val="none"/>
        </w:rPr>
        <w:t>【政府采购合同专用条款】</w:t>
      </w:r>
      <w:r>
        <w:rPr>
          <w:rFonts w:hint="eastAsia" w:ascii="宋体" w:hAnsi="宋体" w:eastAsia="宋体" w:cs="宋体"/>
          <w:b w:val="0"/>
          <w:bCs/>
          <w:color w:val="auto"/>
          <w:szCs w:val="21"/>
          <w:highlight w:val="none"/>
          <w:lang w:eastAsia="zh-CN"/>
        </w:rPr>
        <w:t>要求</w:t>
      </w:r>
      <w:r>
        <w:rPr>
          <w:rFonts w:hint="eastAsia" w:ascii="宋体" w:hAnsi="宋体" w:eastAsia="宋体" w:cs="宋体"/>
          <w:color w:val="auto"/>
          <w:szCs w:val="21"/>
          <w:highlight w:val="none"/>
          <w:lang w:eastAsia="zh-CN"/>
        </w:rPr>
        <w:t>及时修理、重作、更换，并承担由此给甲</w:t>
      </w:r>
      <w:r>
        <w:rPr>
          <w:rFonts w:hint="eastAsia" w:ascii="宋体" w:hAnsi="宋体" w:eastAsia="宋体" w:cs="宋体"/>
          <w:color w:val="auto"/>
          <w:szCs w:val="21"/>
          <w:highlight w:val="none"/>
        </w:rPr>
        <w:t>方</w:t>
      </w:r>
      <w:r>
        <w:rPr>
          <w:rFonts w:hint="eastAsia" w:ascii="宋体" w:hAnsi="宋体" w:eastAsia="宋体" w:cs="宋体"/>
          <w:color w:val="auto"/>
          <w:szCs w:val="21"/>
          <w:highlight w:val="none"/>
          <w:lang w:eastAsia="zh-CN"/>
        </w:rPr>
        <w:t>造成的损失</w:t>
      </w:r>
      <w:r>
        <w:rPr>
          <w:rFonts w:hint="eastAsia" w:ascii="宋体" w:hAnsi="宋体" w:eastAsia="宋体" w:cs="宋体"/>
          <w:color w:val="auto"/>
          <w:szCs w:val="21"/>
          <w:highlight w:val="none"/>
        </w:rPr>
        <w:t>。</w:t>
      </w:r>
    </w:p>
    <w:p w14:paraId="2F1B40AB">
      <w:pPr>
        <w:autoSpaceDE w:val="0"/>
        <w:autoSpaceDN w:val="0"/>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.2 迟延交货的违约责任</w:t>
      </w:r>
    </w:p>
    <w:p w14:paraId="1241330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（1）乙方应按照本合同规定的时间、地点交货和提供</w:t>
      </w:r>
      <w:r>
        <w:rPr>
          <w:rFonts w:hint="eastAsia" w:ascii="宋体" w:hAnsi="宋体" w:eastAsia="宋体" w:cs="宋体"/>
          <w:color w:val="auto"/>
          <w:szCs w:val="21"/>
          <w:highlight w:val="none"/>
          <w:lang w:eastAsia="zh-CN"/>
        </w:rPr>
        <w:t>相关</w:t>
      </w:r>
      <w:r>
        <w:rPr>
          <w:rFonts w:hint="eastAsia" w:ascii="宋体" w:hAnsi="宋体" w:eastAsia="宋体" w:cs="宋体"/>
          <w:color w:val="auto"/>
          <w:szCs w:val="21"/>
          <w:highlight w:val="none"/>
        </w:rPr>
        <w:t>服务。在履行合同过程中，如果乙方遇到可能</w:t>
      </w:r>
      <w:r>
        <w:rPr>
          <w:rFonts w:hint="eastAsia" w:ascii="宋体" w:hAnsi="宋体" w:eastAsia="宋体" w:cs="宋体"/>
          <w:color w:val="auto"/>
          <w:szCs w:val="21"/>
          <w:highlight w:val="none"/>
          <w:lang w:eastAsia="zh-CN"/>
        </w:rPr>
        <w:t>影响</w:t>
      </w:r>
      <w:r>
        <w:rPr>
          <w:rFonts w:hint="eastAsia" w:ascii="宋体" w:hAnsi="宋体" w:eastAsia="宋体" w:cs="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Cs w:val="21"/>
          <w:highlight w:val="none"/>
          <w:lang w:eastAsia="zh-CN"/>
        </w:rPr>
        <w:t>长</w:t>
      </w:r>
      <w:r>
        <w:rPr>
          <w:rFonts w:hint="eastAsia" w:ascii="宋体" w:hAnsi="宋体" w:eastAsia="宋体" w:cs="宋体"/>
          <w:color w:val="auto"/>
          <w:szCs w:val="21"/>
          <w:highlight w:val="none"/>
        </w:rPr>
        <w:t>交货时间或延期提供服务。</w:t>
      </w:r>
    </w:p>
    <w:p w14:paraId="5B4A18F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（2）如果乙方没有按照合同规定的时间交货和提供</w:t>
      </w:r>
      <w:r>
        <w:rPr>
          <w:rFonts w:hint="eastAsia" w:ascii="宋体" w:hAnsi="宋体" w:eastAsia="宋体" w:cs="宋体"/>
          <w:color w:val="auto"/>
          <w:szCs w:val="21"/>
          <w:highlight w:val="none"/>
          <w:lang w:eastAsia="zh-CN"/>
        </w:rPr>
        <w:t>相关</w:t>
      </w:r>
      <w:r>
        <w:rPr>
          <w:rFonts w:hint="eastAsia" w:ascii="宋体" w:hAnsi="宋体" w:eastAsia="宋体" w:cs="宋体"/>
          <w:color w:val="auto"/>
          <w:szCs w:val="21"/>
          <w:highlight w:val="none"/>
        </w:rPr>
        <w:t>服务，甲方有权从货款中扣除误期赔偿费而不影响合同项下的其他补救方法，赔偿费按</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规定执行。如果涉及公共利益，且赔偿金额无法弥补公共利益损失，</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可要求继续履行或者</w:t>
      </w:r>
      <w:r>
        <w:rPr>
          <w:rFonts w:hint="eastAsia" w:ascii="宋体" w:hAnsi="宋体" w:eastAsia="宋体" w:cs="宋体"/>
          <w:color w:val="auto"/>
          <w:szCs w:val="21"/>
          <w:highlight w:val="none"/>
          <w:lang w:eastAsia="zh-CN"/>
        </w:rPr>
        <w:t>采取其他补救措施</w:t>
      </w:r>
      <w:r>
        <w:rPr>
          <w:rFonts w:hint="eastAsia" w:ascii="宋体" w:hAnsi="宋体" w:eastAsia="宋体" w:cs="宋体"/>
          <w:color w:val="auto"/>
          <w:szCs w:val="21"/>
          <w:highlight w:val="none"/>
        </w:rPr>
        <w:t>。</w:t>
      </w:r>
    </w:p>
    <w:p w14:paraId="47BE1EB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.3 迟延支付的违约责任</w:t>
      </w:r>
    </w:p>
    <w:p w14:paraId="490C8B6A">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甲方存在迟延支付乙方合同款项的，应当承担</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规定的逾期付款利息。</w:t>
      </w:r>
    </w:p>
    <w:p w14:paraId="70B469C8">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.4其他违约责任根据项目实际需要按</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规定执行。</w:t>
      </w:r>
    </w:p>
    <w:p w14:paraId="33D79E9B">
      <w:pPr>
        <w:numPr>
          <w:ilvl w:val="0"/>
          <w:numId w:val="12"/>
        </w:num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合同变更</w:t>
      </w:r>
      <w:r>
        <w:rPr>
          <w:rFonts w:hint="eastAsia" w:ascii="宋体" w:hAnsi="宋体" w:eastAsia="宋体" w:cs="宋体"/>
          <w:b/>
          <w:color w:val="auto"/>
          <w:sz w:val="24"/>
          <w:highlight w:val="none"/>
          <w:lang w:eastAsia="zh-CN"/>
        </w:rPr>
        <w:t>、中止与终止</w:t>
      </w:r>
    </w:p>
    <w:p w14:paraId="1B98469F">
      <w:pPr>
        <w:autoSpaceDE/>
        <w:autoSpaceDN/>
        <w:adjustRightInd w:val="0"/>
        <w:snapToGrid w:val="0"/>
        <w:spacing w:before="0" w:line="40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.1合同的</w:t>
      </w:r>
      <w:r>
        <w:rPr>
          <w:rFonts w:hint="eastAsia" w:ascii="宋体" w:hAnsi="宋体" w:eastAsia="宋体" w:cs="宋体"/>
          <w:color w:val="auto"/>
          <w:szCs w:val="21"/>
          <w:highlight w:val="none"/>
          <w:lang w:eastAsia="zh-CN"/>
        </w:rPr>
        <w:t>变更</w:t>
      </w:r>
    </w:p>
    <w:p w14:paraId="2ECF72B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政府采购合同履行中，</w:t>
      </w:r>
      <w:r>
        <w:rPr>
          <w:rFonts w:hint="eastAsia" w:ascii="宋体" w:hAnsi="宋体" w:eastAsia="宋体" w:cs="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s="宋体"/>
          <w:color w:val="auto"/>
          <w:szCs w:val="21"/>
          <w:highlight w:val="none"/>
          <w:lang w:eastAsia="zh-CN"/>
        </w:rPr>
        <w:t>一致后</w:t>
      </w:r>
      <w:r>
        <w:rPr>
          <w:rFonts w:hint="eastAsia" w:ascii="宋体" w:hAnsi="宋体" w:eastAsia="宋体" w:cs="宋体"/>
          <w:color w:val="auto"/>
          <w:szCs w:val="21"/>
          <w:highlight w:val="none"/>
        </w:rPr>
        <w:t>签订补充协议。</w:t>
      </w:r>
    </w:p>
    <w:p w14:paraId="67571C14">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合同的中止</w:t>
      </w:r>
    </w:p>
    <w:p w14:paraId="5C12F3AA">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（1）合同履行过程中因供应商就采购文件、采购过程或结果提起投诉的，甲方认为有必要的，</w:t>
      </w:r>
      <w:r>
        <w:rPr>
          <w:rFonts w:hint="eastAsia" w:ascii="宋体" w:hAnsi="宋体" w:eastAsia="宋体" w:cs="宋体"/>
          <w:color w:val="auto"/>
          <w:szCs w:val="21"/>
          <w:highlight w:val="none"/>
          <w:lang w:eastAsia="zh-CN"/>
        </w:rPr>
        <w:t>可以</w:t>
      </w:r>
      <w:r>
        <w:rPr>
          <w:rFonts w:hint="eastAsia" w:ascii="宋体" w:hAnsi="宋体" w:eastAsia="宋体" w:cs="宋体"/>
          <w:color w:val="auto"/>
          <w:szCs w:val="21"/>
          <w:highlight w:val="none"/>
        </w:rPr>
        <w:t>中止合同的履行。</w:t>
      </w:r>
    </w:p>
    <w:p w14:paraId="4E3CC0C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合同履行过程中，</w:t>
      </w:r>
      <w:r>
        <w:rPr>
          <w:rFonts w:hint="eastAsia" w:ascii="宋体" w:hAnsi="宋体" w:eastAsia="宋体" w:cs="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Cs w:val="21"/>
          <w:highlight w:val="none"/>
          <w:lang w:eastAsia="zh-CN"/>
        </w:rPr>
        <w:t>，乙方有义务及时告知甲方</w:t>
      </w: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eastAsia="zh-CN"/>
        </w:rPr>
        <w:t>有权</w:t>
      </w:r>
      <w:r>
        <w:rPr>
          <w:rFonts w:hint="eastAsia" w:ascii="宋体" w:hAnsi="宋体" w:eastAsia="宋体" w:cs="宋体"/>
          <w:color w:val="auto"/>
          <w:szCs w:val="21"/>
          <w:highlight w:val="none"/>
        </w:rPr>
        <w:t>以书面形式通知乙方中止合同</w:t>
      </w:r>
      <w:r>
        <w:rPr>
          <w:rFonts w:hint="eastAsia" w:ascii="宋体" w:hAnsi="宋体" w:eastAsia="宋体" w:cs="宋体"/>
          <w:color w:val="auto"/>
          <w:szCs w:val="21"/>
          <w:highlight w:val="none"/>
          <w:lang w:eastAsia="zh-CN"/>
        </w:rPr>
        <w:t>并要求乙方在合理期限内消除相关情形或者提供适当担保。</w:t>
      </w:r>
      <w:r>
        <w:rPr>
          <w:rFonts w:hint="eastAsia" w:ascii="宋体" w:hAnsi="宋体" w:eastAsia="宋体" w:cs="宋体"/>
          <w:color w:val="auto"/>
          <w:szCs w:val="21"/>
          <w:highlight w:val="none"/>
        </w:rPr>
        <w:t>乙方提供适当担保的，</w:t>
      </w:r>
      <w:r>
        <w:rPr>
          <w:rFonts w:hint="eastAsia" w:ascii="宋体" w:hAnsi="宋体" w:eastAsia="宋体" w:cs="宋体"/>
          <w:color w:val="auto"/>
          <w:szCs w:val="21"/>
          <w:highlight w:val="none"/>
          <w:lang w:eastAsia="zh-CN"/>
        </w:rPr>
        <w:t>合同继续</w:t>
      </w:r>
      <w:r>
        <w:rPr>
          <w:rFonts w:hint="eastAsia" w:ascii="宋体" w:hAnsi="宋体" w:eastAsia="宋体" w:cs="宋体"/>
          <w:color w:val="auto"/>
          <w:szCs w:val="21"/>
          <w:highlight w:val="none"/>
        </w:rPr>
        <w:t>履行</w:t>
      </w:r>
      <w:r>
        <w:rPr>
          <w:rFonts w:hint="eastAsia" w:ascii="宋体" w:hAnsi="宋体" w:eastAsia="宋体" w:cs="宋体"/>
          <w:color w:val="auto"/>
          <w:szCs w:val="21"/>
          <w:highlight w:val="none"/>
          <w:lang w:eastAsia="zh-CN"/>
        </w:rPr>
        <w:t>；乙</w:t>
      </w:r>
      <w:r>
        <w:rPr>
          <w:rFonts w:hint="eastAsia" w:ascii="宋体" w:hAnsi="宋体" w:eastAsia="宋体" w:cs="宋体"/>
          <w:color w:val="auto"/>
          <w:szCs w:val="21"/>
          <w:highlight w:val="none"/>
        </w:rPr>
        <w:t>方在合理期限内未恢复履约能力且未提供适当担保的，视为拒绝</w:t>
      </w:r>
      <w:r>
        <w:rPr>
          <w:rFonts w:hint="eastAsia" w:ascii="宋体" w:hAnsi="宋体" w:eastAsia="宋体" w:cs="宋体"/>
          <w:color w:val="auto"/>
          <w:szCs w:val="21"/>
          <w:highlight w:val="none"/>
          <w:lang w:eastAsia="zh-CN"/>
        </w:rPr>
        <w:t>继续</w:t>
      </w:r>
      <w:r>
        <w:rPr>
          <w:rFonts w:hint="eastAsia" w:ascii="宋体" w:hAnsi="宋体" w:eastAsia="宋体" w:cs="宋体"/>
          <w:color w:val="auto"/>
          <w:szCs w:val="21"/>
          <w:highlight w:val="none"/>
        </w:rPr>
        <w:t>履约，甲方</w:t>
      </w:r>
      <w:r>
        <w:rPr>
          <w:rFonts w:hint="eastAsia" w:ascii="宋体" w:hAnsi="宋体" w:eastAsia="宋体" w:cs="宋体"/>
          <w:color w:val="auto"/>
          <w:szCs w:val="21"/>
          <w:highlight w:val="none"/>
          <w:lang w:eastAsia="zh-CN"/>
        </w:rPr>
        <w:t>有权</w:t>
      </w:r>
      <w:r>
        <w:rPr>
          <w:rFonts w:hint="eastAsia" w:ascii="宋体" w:hAnsi="宋体" w:eastAsia="宋体" w:cs="宋体"/>
          <w:color w:val="auto"/>
          <w:szCs w:val="21"/>
          <w:highlight w:val="none"/>
        </w:rPr>
        <w:t>解除合同并要求乙方承担</w:t>
      </w:r>
      <w:r>
        <w:rPr>
          <w:rFonts w:hint="eastAsia" w:ascii="宋体" w:hAnsi="宋体" w:eastAsia="宋体" w:cs="宋体"/>
          <w:color w:val="auto"/>
          <w:szCs w:val="21"/>
          <w:highlight w:val="none"/>
          <w:lang w:eastAsia="zh-CN"/>
        </w:rPr>
        <w:t>由此给甲方造成的损失</w:t>
      </w:r>
      <w:r>
        <w:rPr>
          <w:rFonts w:hint="eastAsia" w:ascii="宋体" w:hAnsi="宋体" w:eastAsia="宋体" w:cs="宋体"/>
          <w:color w:val="auto"/>
          <w:szCs w:val="21"/>
          <w:highlight w:val="none"/>
        </w:rPr>
        <w:t>。</w:t>
      </w:r>
    </w:p>
    <w:p w14:paraId="458C23DD">
      <w:pPr>
        <w:pStyle w:val="55"/>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w:t>
      </w:r>
      <w:r>
        <w:rPr>
          <w:rFonts w:hint="eastAsia" w:ascii="宋体" w:hAnsi="宋体" w:eastAsia="宋体" w:cs="宋体"/>
          <w:color w:val="auto"/>
          <w:sz w:val="21"/>
          <w:highlight w:val="none"/>
          <w:lang w:eastAsia="zh-CN"/>
        </w:rPr>
        <w:t>及时告知</w:t>
      </w:r>
      <w:r>
        <w:rPr>
          <w:rFonts w:hint="eastAsia" w:ascii="宋体" w:hAnsi="宋体" w:eastAsia="宋体" w:cs="宋体"/>
          <w:color w:val="auto"/>
          <w:sz w:val="21"/>
          <w:highlight w:val="none"/>
        </w:rPr>
        <w:t>甲方，致使</w:t>
      </w:r>
      <w:r>
        <w:rPr>
          <w:rFonts w:hint="eastAsia" w:ascii="宋体" w:hAnsi="宋体" w:eastAsia="宋体" w:cs="宋体"/>
          <w:color w:val="auto"/>
          <w:sz w:val="21"/>
          <w:highlight w:val="none"/>
          <w:lang w:eastAsia="zh-CN"/>
        </w:rPr>
        <w:t>合同</w:t>
      </w:r>
      <w:r>
        <w:rPr>
          <w:rFonts w:hint="eastAsia" w:ascii="宋体" w:hAnsi="宋体" w:eastAsia="宋体" w:cs="宋体"/>
          <w:color w:val="auto"/>
          <w:sz w:val="21"/>
          <w:highlight w:val="none"/>
        </w:rPr>
        <w:t>履行发生困难的，甲方可以中止合同履行并要求乙方承担由此给甲方造成的损失。</w:t>
      </w:r>
    </w:p>
    <w:p w14:paraId="39588716">
      <w:pPr>
        <w:snapToGrid w:val="0"/>
        <w:spacing w:line="400" w:lineRule="exact"/>
        <w:ind w:firstLine="420" w:firstLineChars="200"/>
        <w:jc w:val="left"/>
        <w:rPr>
          <w:rFonts w:hint="eastAsia" w:ascii="宋体" w:hAnsi="宋体" w:eastAsia="宋体" w:cs="宋体"/>
          <w:color w:val="auto"/>
          <w:sz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）甲方不得以行政区划调整、政府换届、机构或者职能调整以及相关责任人更替为由中止合同。</w:t>
      </w:r>
    </w:p>
    <w:p w14:paraId="202F47A1">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合同的终止</w:t>
      </w:r>
    </w:p>
    <w:p w14:paraId="3E05340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（1）合同因有效期限届满而终止；</w:t>
      </w:r>
    </w:p>
    <w:p w14:paraId="6A3404A8">
      <w:pPr>
        <w:snapToGrid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（2）乙方未</w:t>
      </w:r>
      <w:r>
        <w:rPr>
          <w:rFonts w:hint="eastAsia" w:ascii="宋体" w:hAnsi="宋体" w:eastAsia="宋体" w:cs="宋体"/>
          <w:color w:val="auto"/>
          <w:szCs w:val="21"/>
          <w:highlight w:val="none"/>
          <w:lang w:eastAsia="zh-CN"/>
        </w:rPr>
        <w:t>按</w:t>
      </w:r>
      <w:r>
        <w:rPr>
          <w:rFonts w:hint="eastAsia" w:ascii="宋体" w:hAnsi="宋体" w:eastAsia="宋体" w:cs="宋体"/>
          <w:color w:val="auto"/>
          <w:szCs w:val="21"/>
          <w:highlight w:val="none"/>
        </w:rPr>
        <w:t>合同约定履行，构成根本性违约的，甲方有权终止合同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并追究乙方的违约责</w:t>
      </w:r>
      <w:r>
        <w:rPr>
          <w:rFonts w:hint="eastAsia" w:ascii="宋体" w:hAnsi="宋体" w:eastAsia="宋体" w:cs="宋体"/>
          <w:color w:val="auto"/>
          <w:szCs w:val="21"/>
          <w:highlight w:val="none"/>
          <w:lang w:val="en-US" w:eastAsia="zh-CN"/>
        </w:rPr>
        <w:t>任</w:t>
      </w:r>
      <w:r>
        <w:rPr>
          <w:rFonts w:hint="eastAsia" w:ascii="宋体" w:hAnsi="宋体" w:eastAsia="宋体" w:cs="宋体"/>
          <w:color w:val="auto"/>
          <w:szCs w:val="21"/>
          <w:highlight w:val="none"/>
        </w:rPr>
        <w:t>。</w:t>
      </w:r>
    </w:p>
    <w:p w14:paraId="2EB6F8D5">
      <w:pPr>
        <w:pStyle w:val="55"/>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16.4 </w:t>
      </w:r>
      <w:r>
        <w:rPr>
          <w:rFonts w:hint="eastAsia" w:ascii="宋体" w:hAnsi="宋体" w:eastAsia="宋体" w:cs="宋体"/>
          <w:color w:val="auto"/>
          <w:kern w:val="2"/>
          <w:sz w:val="21"/>
          <w:szCs w:val="21"/>
          <w:highlight w:val="none"/>
          <w:lang w:val="en-US" w:eastAsia="zh-CN"/>
        </w:rPr>
        <w:t>涉及国家利益、社会公共利益的情形</w:t>
      </w:r>
    </w:p>
    <w:p w14:paraId="209FBFE1">
      <w:pPr>
        <w:pStyle w:val="55"/>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w:t>
      </w:r>
      <w:r>
        <w:rPr>
          <w:rFonts w:hint="eastAsia" w:ascii="宋体" w:hAnsi="宋体" w:eastAsia="宋体" w:cs="宋体"/>
          <w:color w:val="auto"/>
          <w:sz w:val="21"/>
          <w:highlight w:val="none"/>
          <w:lang w:val="en-US" w:eastAsia="zh-CN"/>
        </w:rPr>
        <w:t>应当变更、</w:t>
      </w:r>
      <w:r>
        <w:rPr>
          <w:rFonts w:hint="eastAsia" w:ascii="宋体" w:hAnsi="宋体" w:eastAsia="宋体" w:cs="宋体"/>
          <w:color w:val="auto"/>
          <w:sz w:val="21"/>
          <w:highlight w:val="none"/>
        </w:rPr>
        <w:t>中止</w:t>
      </w:r>
      <w:r>
        <w:rPr>
          <w:rFonts w:hint="eastAsia" w:ascii="宋体" w:hAnsi="宋体" w:eastAsia="宋体" w:cs="宋体"/>
          <w:color w:val="auto"/>
          <w:sz w:val="21"/>
          <w:highlight w:val="none"/>
          <w:lang w:eastAsia="zh-CN"/>
        </w:rPr>
        <w:t>或者终止</w:t>
      </w:r>
      <w:r>
        <w:rPr>
          <w:rFonts w:hint="eastAsia" w:ascii="宋体" w:hAnsi="宋体" w:eastAsia="宋体" w:cs="宋体"/>
          <w:color w:val="auto"/>
          <w:sz w:val="21"/>
          <w:highlight w:val="none"/>
        </w:rPr>
        <w:t>合同。有过错的一方应当承担赔偿责任，双方都有过错的，各自承担相应的责任。</w:t>
      </w:r>
    </w:p>
    <w:p w14:paraId="778168D8">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合同分包</w:t>
      </w:r>
    </w:p>
    <w:p w14:paraId="2CFDE82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 乙方不得</w:t>
      </w:r>
      <w:r>
        <w:rPr>
          <w:rFonts w:hint="eastAsia" w:ascii="宋体" w:hAnsi="宋体" w:eastAsia="宋体" w:cs="宋体"/>
          <w:color w:val="auto"/>
          <w:szCs w:val="21"/>
          <w:highlight w:val="none"/>
          <w:lang w:eastAsia="zh-CN"/>
        </w:rPr>
        <w:t>将合同转包给其他供应商。涉及合同分包的，乙方</w:t>
      </w:r>
      <w:r>
        <w:rPr>
          <w:rFonts w:hint="eastAsia" w:ascii="宋体" w:hAnsi="宋体" w:eastAsia="宋体" w:cs="宋体"/>
          <w:color w:val="auto"/>
          <w:szCs w:val="21"/>
          <w:highlight w:val="none"/>
          <w:lang w:val="en-US" w:eastAsia="zh-CN"/>
        </w:rPr>
        <w:t>应</w:t>
      </w:r>
      <w:r>
        <w:rPr>
          <w:rFonts w:hint="eastAsia" w:ascii="宋体" w:hAnsi="宋体" w:eastAsia="宋体" w:cs="宋体"/>
          <w:color w:val="auto"/>
          <w:szCs w:val="21"/>
          <w:highlight w:val="none"/>
          <w:lang w:eastAsia="zh-CN"/>
        </w:rPr>
        <w:t>根据采购文件和投标（响应）文件规定进行</w:t>
      </w:r>
      <w:r>
        <w:rPr>
          <w:rFonts w:hint="eastAsia" w:ascii="宋体" w:hAnsi="宋体" w:eastAsia="宋体" w:cs="宋体"/>
          <w:color w:val="auto"/>
          <w:szCs w:val="21"/>
          <w:highlight w:val="none"/>
        </w:rPr>
        <w:t>合同分包。</w:t>
      </w:r>
    </w:p>
    <w:p w14:paraId="041358F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 乙方执行政府采购政策向中小企业依法分包的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乙方应当按采购文件</w:t>
      </w:r>
      <w:r>
        <w:rPr>
          <w:rFonts w:hint="eastAsia" w:ascii="宋体" w:hAnsi="宋体" w:eastAsia="宋体" w:cs="宋体"/>
          <w:color w:val="auto"/>
          <w:szCs w:val="21"/>
          <w:highlight w:val="none"/>
          <w:lang w:eastAsia="zh-CN"/>
        </w:rPr>
        <w:t>和</w:t>
      </w:r>
      <w:r>
        <w:rPr>
          <w:rFonts w:hint="eastAsia" w:ascii="宋体" w:hAnsi="宋体" w:eastAsia="宋体" w:cs="宋体"/>
          <w:color w:val="auto"/>
          <w:szCs w:val="21"/>
          <w:highlight w:val="none"/>
        </w:rPr>
        <w:t>投标（响应）文件签订分包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协议属于本合同组成部分。</w:t>
      </w:r>
    </w:p>
    <w:p w14:paraId="7AD913E2">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1</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不可抗力</w:t>
      </w:r>
    </w:p>
    <w:p w14:paraId="3C19BD3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不可抗力是指合同双方不能预见、不能避免且不能克服的客观情况。</w:t>
      </w:r>
    </w:p>
    <w:p w14:paraId="62DC920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任何一方对由于不可抗力造成的部分或全部不能履行合同不承担违约责任。但迟延履行后发生不可抗力的，不能免除责任。</w:t>
      </w:r>
    </w:p>
    <w:p w14:paraId="7EEE0FC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.3 遇有不可抗力的一方，应及时将事件情况以书面形式</w:t>
      </w:r>
      <w:r>
        <w:rPr>
          <w:rFonts w:hint="eastAsia" w:ascii="宋体" w:hAnsi="宋体" w:eastAsia="宋体" w:cs="宋体"/>
          <w:color w:val="auto"/>
          <w:szCs w:val="21"/>
          <w:highlight w:val="none"/>
          <w:lang w:eastAsia="zh-CN"/>
        </w:rPr>
        <w:t>告</w:t>
      </w:r>
      <w:r>
        <w:rPr>
          <w:rFonts w:hint="eastAsia" w:ascii="宋体" w:hAnsi="宋体" w:eastAsia="宋体" w:cs="宋体"/>
          <w:color w:val="auto"/>
          <w:szCs w:val="21"/>
          <w:highlight w:val="none"/>
        </w:rPr>
        <w:t>知另一方，并在事件发生后及时向另一方提交合同不能履行或部分不能履行或需要延期履行</w:t>
      </w:r>
      <w:r>
        <w:rPr>
          <w:rFonts w:hint="eastAsia" w:ascii="宋体" w:hAnsi="宋体" w:eastAsia="宋体" w:cs="宋体"/>
          <w:color w:val="auto"/>
          <w:szCs w:val="21"/>
          <w:highlight w:val="none"/>
          <w:lang w:eastAsia="zh-CN"/>
        </w:rPr>
        <w:t>的详细</w:t>
      </w:r>
      <w:r>
        <w:rPr>
          <w:rFonts w:hint="eastAsia" w:ascii="宋体" w:hAnsi="宋体" w:eastAsia="宋体" w:cs="宋体"/>
          <w:color w:val="auto"/>
          <w:szCs w:val="21"/>
          <w:highlight w:val="none"/>
        </w:rPr>
        <w:t>报告</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lang w:val="en-US" w:eastAsia="zh-CN"/>
        </w:rPr>
        <w:t>及证明不可抗力发生及其持续时间的证据</w:t>
      </w:r>
      <w:r>
        <w:rPr>
          <w:rFonts w:hint="eastAsia" w:ascii="宋体" w:hAnsi="宋体" w:eastAsia="宋体" w:cs="宋体"/>
          <w:color w:val="auto"/>
          <w:szCs w:val="21"/>
          <w:highlight w:val="none"/>
        </w:rPr>
        <w:t>。</w:t>
      </w:r>
    </w:p>
    <w:p w14:paraId="2E57AFD5">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19</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解决争议的方法</w:t>
      </w:r>
    </w:p>
    <w:p w14:paraId="67CA17CF">
      <w:pPr>
        <w:pStyle w:val="55"/>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.1 因本合同及合同有关事项发生的争议，由</w:t>
      </w:r>
      <w:r>
        <w:rPr>
          <w:rFonts w:hint="eastAsia" w:ascii="宋体" w:hAnsi="宋体" w:eastAsia="宋体" w:cs="宋体"/>
          <w:color w:val="auto"/>
          <w:sz w:val="21"/>
          <w:highlight w:val="none"/>
          <w:lang w:eastAsia="zh-CN"/>
        </w:rPr>
        <w:t>甲乙双</w:t>
      </w:r>
      <w:r>
        <w:rPr>
          <w:rFonts w:hint="eastAsia" w:ascii="宋体" w:hAnsi="宋体" w:eastAsia="宋体" w:cs="宋体"/>
          <w:color w:val="auto"/>
          <w:sz w:val="21"/>
          <w:highlight w:val="none"/>
        </w:rPr>
        <w:t>方友好协商解决。协商不成时，可以</w:t>
      </w:r>
      <w:r>
        <w:rPr>
          <w:rFonts w:hint="eastAsia" w:ascii="宋体" w:hAnsi="宋体" w:eastAsia="宋体" w:cs="宋体"/>
          <w:color w:val="auto"/>
          <w:sz w:val="21"/>
          <w:highlight w:val="none"/>
          <w:lang w:eastAsia="zh-CN"/>
        </w:rPr>
        <w:t>向有关组织申请</w:t>
      </w:r>
      <w:r>
        <w:rPr>
          <w:rFonts w:hint="eastAsia" w:ascii="宋体" w:hAnsi="宋体" w:eastAsia="宋体" w:cs="宋体"/>
          <w:color w:val="auto"/>
          <w:sz w:val="21"/>
          <w:highlight w:val="none"/>
        </w:rPr>
        <w:t>调解。合同一方或</w:t>
      </w:r>
      <w:r>
        <w:rPr>
          <w:rFonts w:hint="eastAsia" w:ascii="宋体" w:hAnsi="宋体" w:eastAsia="宋体" w:cs="宋体"/>
          <w:color w:val="auto"/>
          <w:sz w:val="21"/>
          <w:highlight w:val="none"/>
          <w:lang w:eastAsia="zh-CN"/>
        </w:rPr>
        <w:t>双</w:t>
      </w:r>
      <w:r>
        <w:rPr>
          <w:rFonts w:hint="eastAsia" w:ascii="宋体" w:hAnsi="宋体" w:eastAsia="宋体" w:cs="宋体"/>
          <w:color w:val="auto"/>
          <w:sz w:val="21"/>
          <w:highlight w:val="none"/>
        </w:rPr>
        <w:t>方不愿调解或调解不成的，可以通过仲裁或诉讼的方式解决争议。</w:t>
      </w:r>
    </w:p>
    <w:p w14:paraId="3E41C1C4">
      <w:pPr>
        <w:pStyle w:val="55"/>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66F5BB67">
      <w:pPr>
        <w:pStyle w:val="55"/>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.3 如</w:t>
      </w:r>
      <w:r>
        <w:rPr>
          <w:rFonts w:hint="eastAsia" w:ascii="宋体" w:hAnsi="宋体" w:eastAsia="宋体" w:cs="宋体"/>
          <w:color w:val="auto"/>
          <w:sz w:val="21"/>
          <w:highlight w:val="none"/>
          <w:lang w:eastAsia="zh-CN"/>
        </w:rPr>
        <w:t>甲乙双方</w:t>
      </w:r>
      <w:r>
        <w:rPr>
          <w:rFonts w:hint="eastAsia" w:ascii="宋体" w:hAnsi="宋体" w:eastAsia="宋体" w:cs="宋体"/>
          <w:color w:val="auto"/>
          <w:sz w:val="21"/>
          <w:highlight w:val="none"/>
        </w:rPr>
        <w:t>有争议的事项不影响合同其他部分的履行，在争议解决期间，合同其他部分应</w:t>
      </w:r>
      <w:r>
        <w:rPr>
          <w:rFonts w:hint="eastAsia" w:ascii="宋体" w:hAnsi="宋体" w:eastAsia="宋体" w:cs="宋体"/>
          <w:color w:val="auto"/>
          <w:sz w:val="21"/>
          <w:highlight w:val="none"/>
          <w:lang w:eastAsia="zh-CN"/>
        </w:rPr>
        <w:t>当</w:t>
      </w:r>
      <w:r>
        <w:rPr>
          <w:rFonts w:hint="eastAsia" w:ascii="宋体" w:hAnsi="宋体" w:eastAsia="宋体" w:cs="宋体"/>
          <w:color w:val="auto"/>
          <w:sz w:val="21"/>
          <w:highlight w:val="none"/>
        </w:rPr>
        <w:t>继续履行。</w:t>
      </w:r>
    </w:p>
    <w:p w14:paraId="3ED63050">
      <w:pPr>
        <w:autoSpaceDE w:val="0"/>
        <w:autoSpaceDN w:val="0"/>
        <w:adjustRightInd w:val="0"/>
        <w:snapToGrid w:val="0"/>
        <w:spacing w:before="0" w:line="400" w:lineRule="exact"/>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20</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政府采购政策</w:t>
      </w:r>
    </w:p>
    <w:p w14:paraId="27224B9B">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20.1 </w:t>
      </w:r>
      <w:r>
        <w:rPr>
          <w:rFonts w:hint="eastAsia" w:ascii="宋体" w:hAnsi="宋体" w:eastAsia="宋体" w:cs="宋体"/>
          <w:color w:val="auto"/>
          <w:highlight w:val="none"/>
          <w:lang w:val="en-GB"/>
        </w:rPr>
        <w:t>本合同应当按照规定执行政府采购政策。</w:t>
      </w:r>
    </w:p>
    <w:p w14:paraId="63D1CE4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本合同依法执行政府采购政策的方式和内容，属于合同履约验收的范围。</w:t>
      </w:r>
      <w:r>
        <w:rPr>
          <w:rFonts w:hint="eastAsia" w:ascii="宋体" w:hAnsi="宋体" w:eastAsia="宋体" w:cs="宋体"/>
          <w:color w:val="auto"/>
          <w:sz w:val="21"/>
          <w:highlight w:val="none"/>
          <w:lang w:eastAsia="zh-CN"/>
        </w:rPr>
        <w:t>甲乙双方</w:t>
      </w:r>
      <w:r>
        <w:rPr>
          <w:rFonts w:hint="eastAsia" w:ascii="宋体" w:hAnsi="宋体" w:eastAsia="宋体" w:cs="宋体"/>
          <w:color w:val="auto"/>
          <w:highlight w:val="none"/>
          <w:lang w:val="en-GB"/>
        </w:rPr>
        <w:t>未按规定要求执行政府采购政策造成损失的</w:t>
      </w:r>
      <w:r>
        <w:rPr>
          <w:rFonts w:hint="eastAsia" w:ascii="宋体" w:hAnsi="宋体" w:eastAsia="宋体" w:cs="宋体"/>
          <w:color w:val="auto"/>
          <w:szCs w:val="21"/>
          <w:highlight w:val="none"/>
        </w:rPr>
        <w:t>，有过错的一方应当承担赔偿责任，双方都有过错的，各自承担相应的责任。</w:t>
      </w:r>
    </w:p>
    <w:p w14:paraId="24EAC5C1">
      <w:pPr>
        <w:pStyle w:val="13"/>
        <w:spacing w:after="0" w:line="400" w:lineRule="exact"/>
        <w:ind w:firstLine="60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对于</w:t>
      </w:r>
      <w:r>
        <w:rPr>
          <w:rFonts w:hint="eastAsia" w:ascii="宋体" w:hAnsi="宋体" w:eastAsia="宋体" w:cs="宋体"/>
          <w:color w:val="auto"/>
          <w:szCs w:val="21"/>
          <w:highlight w:val="none"/>
          <w:lang w:eastAsia="zh-CN"/>
        </w:rPr>
        <w:t>为落实中小企业支持政策，</w:t>
      </w:r>
      <w:r>
        <w:rPr>
          <w:rFonts w:hint="eastAsia" w:ascii="宋体" w:hAnsi="宋体" w:eastAsia="宋体" w:cs="宋体"/>
          <w:color w:val="auto"/>
          <w:szCs w:val="21"/>
          <w:highlight w:val="none"/>
        </w:rPr>
        <w:t>通过采购项目</w:t>
      </w:r>
      <w:r>
        <w:rPr>
          <w:rFonts w:hint="eastAsia" w:ascii="宋体" w:hAnsi="宋体" w:eastAsia="宋体" w:cs="宋体"/>
          <w:color w:val="auto"/>
          <w:szCs w:val="21"/>
          <w:highlight w:val="none"/>
          <w:lang w:eastAsia="zh-CN"/>
        </w:rPr>
        <w:t>整体</w:t>
      </w:r>
      <w:r>
        <w:rPr>
          <w:rFonts w:hint="eastAsia" w:ascii="宋体" w:hAnsi="宋体" w:eastAsia="宋体" w:cs="宋体"/>
          <w:color w:val="auto"/>
          <w:szCs w:val="21"/>
          <w:highlight w:val="none"/>
        </w:rPr>
        <w:t>预留、</w:t>
      </w:r>
      <w:r>
        <w:rPr>
          <w:rFonts w:hint="eastAsia" w:ascii="宋体" w:hAnsi="宋体" w:eastAsia="宋体" w:cs="宋体"/>
          <w:color w:val="auto"/>
          <w:szCs w:val="21"/>
          <w:highlight w:val="none"/>
          <w:lang w:eastAsia="zh-CN"/>
        </w:rPr>
        <w:t>设置</w:t>
      </w:r>
      <w:r>
        <w:rPr>
          <w:rFonts w:hint="eastAsia" w:ascii="宋体" w:hAnsi="宋体" w:eastAsia="宋体" w:cs="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90C5E9A">
      <w:p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法律适用</w:t>
      </w:r>
    </w:p>
    <w:p w14:paraId="095009D7">
      <w:pPr>
        <w:pStyle w:val="55"/>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.1 本合同的订立、生效、解释、履行及与本合同有关的争议解决，均适用法律、行政法规。</w:t>
      </w:r>
    </w:p>
    <w:p w14:paraId="73CB0BE7">
      <w:pPr>
        <w:pStyle w:val="55"/>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.2 本合同条款与法律、行政法规的强制性规定不一致的，双方当事人应按照法律、行政法规的强制性规定修改本合同的相关条款。</w:t>
      </w:r>
    </w:p>
    <w:p w14:paraId="1FD67FA3">
      <w:pPr>
        <w:numPr>
          <w:ilvl w:val="-1"/>
          <w:numId w:val="0"/>
        </w:num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 xml:space="preserve">22. </w:t>
      </w:r>
      <w:r>
        <w:rPr>
          <w:rFonts w:hint="eastAsia" w:ascii="宋体" w:hAnsi="宋体" w:eastAsia="宋体" w:cs="宋体"/>
          <w:b/>
          <w:color w:val="auto"/>
          <w:sz w:val="24"/>
          <w:highlight w:val="none"/>
        </w:rPr>
        <w:t>通知</w:t>
      </w:r>
    </w:p>
    <w:p w14:paraId="345A272B">
      <w:pPr>
        <w:pStyle w:val="55"/>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本合同任何一方向对方发出的通知、信件、数据电文等，应当发送至本合同第一部分《政府采购合同协议书》所约定的通讯地址、联系人、联系电话或电子邮箱。</w:t>
      </w:r>
    </w:p>
    <w:p w14:paraId="4EB60639">
      <w:pPr>
        <w:pStyle w:val="55"/>
        <w:ind w:firstLine="0" w:firstLineChars="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一方当事人变更名称、</w:t>
      </w:r>
      <w:r>
        <w:rPr>
          <w:rFonts w:hint="eastAsia" w:ascii="宋体" w:hAnsi="宋体" w:eastAsia="宋体" w:cs="宋体"/>
          <w:color w:val="auto"/>
          <w:sz w:val="21"/>
          <w:highlight w:val="none"/>
          <w:lang w:eastAsia="zh-CN"/>
        </w:rPr>
        <w:t>住所</w:t>
      </w:r>
      <w:r>
        <w:rPr>
          <w:rFonts w:hint="eastAsia" w:ascii="宋体" w:hAnsi="宋体" w:eastAsia="宋体" w:cs="宋体"/>
          <w:color w:val="auto"/>
          <w:sz w:val="21"/>
          <w:highlight w:val="none"/>
        </w:rPr>
        <w:t>、联系人、联系电话或电子邮箱</w:t>
      </w:r>
      <w:r>
        <w:rPr>
          <w:rFonts w:hint="eastAsia" w:ascii="宋体" w:hAnsi="宋体" w:eastAsia="宋体" w:cs="宋体"/>
          <w:color w:val="auto"/>
          <w:sz w:val="21"/>
          <w:highlight w:val="none"/>
          <w:lang w:eastAsia="zh-CN"/>
        </w:rPr>
        <w:t>等信息</w:t>
      </w:r>
      <w:r>
        <w:rPr>
          <w:rFonts w:hint="eastAsia" w:ascii="宋体" w:hAnsi="宋体" w:eastAsia="宋体" w:cs="宋体"/>
          <w:color w:val="auto"/>
          <w:sz w:val="21"/>
          <w:highlight w:val="none"/>
        </w:rPr>
        <w:t>的，应当在变更后3日内及时书面通知对方，对方实际收到变更通知前的送达仍为有效送达。</w:t>
      </w:r>
    </w:p>
    <w:p w14:paraId="18CACB60">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本合同一方给另一方的通知均应采用书面形式，传真或快递送到本合同中规定的对方的地址和办理签收手续。</w:t>
      </w:r>
    </w:p>
    <w:p w14:paraId="77E7B85C">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通知以送达之日或通知书中规定的生效之日起生效，两者中以较迟之日为准。</w:t>
      </w:r>
    </w:p>
    <w:p w14:paraId="7F152898">
      <w:pPr>
        <w:numPr>
          <w:ilvl w:val="0"/>
          <w:numId w:val="13"/>
        </w:num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合同未尽事项</w:t>
      </w:r>
    </w:p>
    <w:p w14:paraId="11AB2CA4">
      <w:pPr>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.1合同未尽事项见</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w:t>
      </w:r>
    </w:p>
    <w:p w14:paraId="3BE4BE67">
      <w:pPr>
        <w:adjustRightInd w:val="0"/>
        <w:snapToGrid w:val="0"/>
        <w:spacing w:line="400" w:lineRule="exact"/>
        <w:ind w:firstLine="0" w:firstLineChars="0"/>
        <w:jc w:val="left"/>
        <w:rPr>
          <w:rFonts w:hint="eastAsia" w:ascii="宋体" w:hAnsi="宋体" w:eastAsia="宋体" w:cs="宋体"/>
          <w:color w:val="auto"/>
          <w:sz w:val="28"/>
          <w:szCs w:val="28"/>
          <w:highlight w:val="none"/>
        </w:rPr>
      </w:pPr>
      <w:r>
        <w:rPr>
          <w:rFonts w:hint="eastAsia" w:ascii="宋体" w:hAnsi="宋体" w:eastAsia="宋体" w:cs="宋体"/>
          <w:bCs/>
          <w:color w:val="auto"/>
          <w:szCs w:val="21"/>
          <w:highlight w:val="none"/>
          <w:lang w:val="en-US" w:eastAsia="zh-CN"/>
        </w:rPr>
        <w:t xml:space="preserve">    23.2 合同附件与合同正文具有同等的法律效力。</w:t>
      </w:r>
      <w:bookmarkStart w:id="89" w:name="_Toc20313"/>
    </w:p>
    <w:p w14:paraId="480178B5">
      <w:pPr>
        <w:adjustRightInd w:val="0"/>
        <w:snapToGrid w:val="0"/>
        <w:jc w:val="center"/>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br w:type="page"/>
      </w:r>
    </w:p>
    <w:p w14:paraId="17AC8A5A">
      <w:pPr>
        <w:pStyle w:val="3"/>
        <w:numPr>
          <w:ilvl w:val="1"/>
          <w:numId w:val="0"/>
        </w:numPr>
        <w:adjustRightInd w:val="0"/>
        <w:snapToGrid w:val="0"/>
        <w:ind w:left="288" w:leftChars="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第三节 政府采购合同专用条款</w:t>
      </w:r>
      <w:bookmarkEnd w:id="89"/>
    </w:p>
    <w:tbl>
      <w:tblPr>
        <w:tblStyle w:val="24"/>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A641E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10A289">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C586462">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）项</w:t>
            </w:r>
          </w:p>
        </w:tc>
        <w:tc>
          <w:tcPr>
            <w:tcW w:w="1742" w:type="dxa"/>
            <w:vAlign w:val="center"/>
          </w:tcPr>
          <w:p w14:paraId="138E836A">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联合体具体要求</w:t>
            </w:r>
          </w:p>
        </w:tc>
        <w:tc>
          <w:tcPr>
            <w:tcW w:w="5170" w:type="dxa"/>
            <w:vAlign w:val="center"/>
          </w:tcPr>
          <w:p w14:paraId="2D757D44">
            <w:pPr>
              <w:adjustRightInd w:val="0"/>
              <w:snapToGrid w:val="0"/>
              <w:jc w:val="left"/>
              <w:rPr>
                <w:rFonts w:hint="eastAsia" w:ascii="宋体" w:hAnsi="宋体" w:eastAsia="宋体" w:cs="宋体"/>
                <w:color w:val="auto"/>
                <w:szCs w:val="21"/>
                <w:highlight w:val="none"/>
              </w:rPr>
            </w:pPr>
          </w:p>
        </w:tc>
      </w:tr>
      <w:tr w14:paraId="125F6A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70FC04A1">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039BF873">
            <w:pPr>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第1.2（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w:t>
            </w:r>
          </w:p>
        </w:tc>
        <w:tc>
          <w:tcPr>
            <w:tcW w:w="1742" w:type="dxa"/>
            <w:vAlign w:val="center"/>
          </w:tcPr>
          <w:p w14:paraId="02EC429F">
            <w:pPr>
              <w:adjustRightInd w:val="0"/>
              <w:snapToGrid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其他术语解释</w:t>
            </w:r>
          </w:p>
        </w:tc>
        <w:tc>
          <w:tcPr>
            <w:tcW w:w="5170" w:type="dxa"/>
            <w:vAlign w:val="center"/>
          </w:tcPr>
          <w:p w14:paraId="00E3F007">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40F2DD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738AF6">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2203492">
            <w:pPr>
              <w:adjustRightInd w:val="0"/>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lang w:val="en-US" w:eastAsia="zh-CN"/>
              </w:rPr>
              <w:t>4.4款</w:t>
            </w:r>
          </w:p>
        </w:tc>
        <w:tc>
          <w:tcPr>
            <w:tcW w:w="1742" w:type="dxa"/>
            <w:vAlign w:val="center"/>
          </w:tcPr>
          <w:p w14:paraId="725F1CEC">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履约验收中甲方提出异议或作出说明的期限</w:t>
            </w:r>
          </w:p>
        </w:tc>
        <w:tc>
          <w:tcPr>
            <w:tcW w:w="5170" w:type="dxa"/>
            <w:vAlign w:val="center"/>
          </w:tcPr>
          <w:p w14:paraId="6E893150">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6548D0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F7AB13">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7F799A0">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lang w:val="en-US" w:eastAsia="zh-CN"/>
              </w:rPr>
              <w:t>4.6款</w:t>
            </w:r>
          </w:p>
        </w:tc>
        <w:tc>
          <w:tcPr>
            <w:tcW w:w="1742" w:type="dxa"/>
            <w:vAlign w:val="center"/>
          </w:tcPr>
          <w:p w14:paraId="30C0DDB8">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约定甲方承担的其他义务和责任</w:t>
            </w:r>
          </w:p>
        </w:tc>
        <w:tc>
          <w:tcPr>
            <w:tcW w:w="5170" w:type="dxa"/>
            <w:vAlign w:val="center"/>
          </w:tcPr>
          <w:p w14:paraId="0FDC5456">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531D4B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C062E09">
            <w:pPr>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第二节</w:t>
            </w:r>
          </w:p>
          <w:p w14:paraId="6ED24B07">
            <w:pPr>
              <w:snapToGrid w:val="0"/>
              <w:jc w:val="center"/>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lang w:val="en-US" w:eastAsia="zh-CN"/>
              </w:rPr>
              <w:t>5.4款</w:t>
            </w:r>
          </w:p>
        </w:tc>
        <w:tc>
          <w:tcPr>
            <w:tcW w:w="1742" w:type="dxa"/>
            <w:vAlign w:val="center"/>
          </w:tcPr>
          <w:p w14:paraId="365FDAC7">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约定乙方承担的其他义务和责任</w:t>
            </w:r>
          </w:p>
        </w:tc>
        <w:tc>
          <w:tcPr>
            <w:tcW w:w="5170" w:type="dxa"/>
            <w:vAlign w:val="center"/>
          </w:tcPr>
          <w:p w14:paraId="528C6472">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23B54C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63C0931">
            <w:pPr>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第二节</w:t>
            </w:r>
          </w:p>
          <w:p w14:paraId="10B32247">
            <w:pPr>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lang w:val="en-US" w:eastAsia="zh-CN"/>
              </w:rPr>
              <w:t>6.1款</w:t>
            </w:r>
          </w:p>
        </w:tc>
        <w:tc>
          <w:tcPr>
            <w:tcW w:w="1742" w:type="dxa"/>
            <w:vAlign w:val="center"/>
          </w:tcPr>
          <w:p w14:paraId="023129B2">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履行合同义务的顺序</w:t>
            </w:r>
          </w:p>
        </w:tc>
        <w:tc>
          <w:tcPr>
            <w:tcW w:w="5170" w:type="dxa"/>
            <w:vAlign w:val="center"/>
          </w:tcPr>
          <w:p w14:paraId="39AE8190">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645A05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3D702BF9">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8C3BA4B">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款</w:t>
            </w:r>
          </w:p>
        </w:tc>
        <w:tc>
          <w:tcPr>
            <w:tcW w:w="1742" w:type="dxa"/>
            <w:vAlign w:val="center"/>
          </w:tcPr>
          <w:p w14:paraId="42D27174">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包装</w:t>
            </w:r>
            <w:r>
              <w:rPr>
                <w:rFonts w:hint="eastAsia" w:ascii="宋体" w:hAnsi="宋体" w:eastAsia="宋体" w:cs="宋体"/>
                <w:color w:val="auto"/>
                <w:szCs w:val="21"/>
                <w:highlight w:val="none"/>
                <w:lang w:eastAsia="zh-CN"/>
              </w:rPr>
              <w:t>特殊要求</w:t>
            </w:r>
          </w:p>
        </w:tc>
        <w:tc>
          <w:tcPr>
            <w:tcW w:w="5170" w:type="dxa"/>
            <w:vAlign w:val="center"/>
          </w:tcPr>
          <w:p w14:paraId="7CD9BB2B">
            <w:pPr>
              <w:rPr>
                <w:rFonts w:hint="eastAsia" w:ascii="宋体" w:hAnsi="宋体" w:eastAsia="宋体" w:cs="宋体"/>
                <w:color w:val="auto"/>
                <w:highlight w:val="none"/>
              </w:rPr>
            </w:pPr>
          </w:p>
        </w:tc>
      </w:tr>
      <w:tr w14:paraId="065C1C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5C2BC791">
            <w:pPr>
              <w:adjustRightInd w:val="0"/>
              <w:snapToGrid w:val="0"/>
              <w:jc w:val="center"/>
              <w:rPr>
                <w:rFonts w:hint="eastAsia" w:ascii="宋体" w:hAnsi="宋体" w:eastAsia="宋体" w:cs="宋体"/>
                <w:color w:val="auto"/>
                <w:szCs w:val="21"/>
                <w:highlight w:val="none"/>
              </w:rPr>
            </w:pPr>
          </w:p>
        </w:tc>
        <w:tc>
          <w:tcPr>
            <w:tcW w:w="1742" w:type="dxa"/>
            <w:vAlign w:val="center"/>
          </w:tcPr>
          <w:p w14:paraId="39850664">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指定现场</w:t>
            </w:r>
          </w:p>
        </w:tc>
        <w:tc>
          <w:tcPr>
            <w:tcW w:w="5170" w:type="dxa"/>
            <w:vAlign w:val="center"/>
          </w:tcPr>
          <w:p w14:paraId="7F5EB24F">
            <w:pPr>
              <w:rPr>
                <w:rFonts w:hint="eastAsia" w:ascii="宋体" w:hAnsi="宋体" w:eastAsia="宋体" w:cs="宋体"/>
                <w:color w:val="auto"/>
                <w:highlight w:val="none"/>
              </w:rPr>
            </w:pPr>
          </w:p>
        </w:tc>
      </w:tr>
      <w:tr w14:paraId="4B1AB9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05916B6C">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D028346">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款</w:t>
            </w:r>
          </w:p>
        </w:tc>
        <w:tc>
          <w:tcPr>
            <w:tcW w:w="1742" w:type="dxa"/>
            <w:vAlign w:val="center"/>
          </w:tcPr>
          <w:p w14:paraId="3D6313D1">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运输特殊要求</w:t>
            </w:r>
          </w:p>
        </w:tc>
        <w:tc>
          <w:tcPr>
            <w:tcW w:w="5170" w:type="dxa"/>
            <w:vAlign w:val="center"/>
          </w:tcPr>
          <w:p w14:paraId="55818B8D">
            <w:pPr>
              <w:rPr>
                <w:rFonts w:hint="eastAsia" w:ascii="宋体" w:hAnsi="宋体" w:eastAsia="宋体" w:cs="宋体"/>
                <w:color w:val="auto"/>
                <w:highlight w:val="none"/>
              </w:rPr>
            </w:pPr>
          </w:p>
        </w:tc>
      </w:tr>
      <w:tr w14:paraId="06511A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48B131C8">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3E97EDF2">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款</w:t>
            </w:r>
          </w:p>
        </w:tc>
        <w:tc>
          <w:tcPr>
            <w:tcW w:w="1742" w:type="dxa"/>
            <w:vAlign w:val="center"/>
          </w:tcPr>
          <w:p w14:paraId="407952F2">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保险要求</w:t>
            </w:r>
          </w:p>
        </w:tc>
        <w:tc>
          <w:tcPr>
            <w:tcW w:w="5170" w:type="dxa"/>
            <w:vAlign w:val="center"/>
          </w:tcPr>
          <w:p w14:paraId="28FA7B29">
            <w:pPr>
              <w:rPr>
                <w:rFonts w:hint="eastAsia" w:ascii="宋体" w:hAnsi="宋体" w:eastAsia="宋体" w:cs="宋体"/>
                <w:color w:val="auto"/>
                <w:highlight w:val="none"/>
              </w:rPr>
            </w:pPr>
          </w:p>
        </w:tc>
      </w:tr>
      <w:tr w14:paraId="3906BC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839D2B6">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0A39B18F">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.2（1）项</w:t>
            </w:r>
          </w:p>
        </w:tc>
        <w:tc>
          <w:tcPr>
            <w:tcW w:w="1742" w:type="dxa"/>
            <w:vAlign w:val="center"/>
          </w:tcPr>
          <w:p w14:paraId="0D59A246">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质量保证期</w:t>
            </w:r>
          </w:p>
        </w:tc>
        <w:tc>
          <w:tcPr>
            <w:tcW w:w="5170" w:type="dxa"/>
            <w:vAlign w:val="center"/>
          </w:tcPr>
          <w:p w14:paraId="6181498F">
            <w:pPr>
              <w:autoSpaceDE w:val="0"/>
              <w:autoSpaceDN w:val="0"/>
              <w:adjustRightInd w:val="0"/>
              <w:snapToGrid w:val="0"/>
              <w:ind w:firstLine="420" w:firstLineChars="200"/>
              <w:jc w:val="left"/>
              <w:rPr>
                <w:rFonts w:hint="eastAsia" w:ascii="宋体" w:hAnsi="宋体" w:eastAsia="宋体" w:cs="宋体"/>
                <w:color w:val="auto"/>
                <w:szCs w:val="21"/>
                <w:highlight w:val="none"/>
              </w:rPr>
            </w:pPr>
          </w:p>
        </w:tc>
      </w:tr>
      <w:tr w14:paraId="76B815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A538176">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ABD1373">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.2（3）项</w:t>
            </w:r>
          </w:p>
        </w:tc>
        <w:tc>
          <w:tcPr>
            <w:tcW w:w="1742" w:type="dxa"/>
            <w:vAlign w:val="center"/>
          </w:tcPr>
          <w:p w14:paraId="7FAB6C2C">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货物质量缺陷</w:t>
            </w:r>
          </w:p>
          <w:p w14:paraId="44FD0A52">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响应时间</w:t>
            </w:r>
          </w:p>
        </w:tc>
        <w:tc>
          <w:tcPr>
            <w:tcW w:w="5170" w:type="dxa"/>
            <w:vAlign w:val="center"/>
          </w:tcPr>
          <w:p w14:paraId="4E1E2700">
            <w:pPr>
              <w:adjustRightInd w:val="0"/>
              <w:snapToGrid w:val="0"/>
              <w:jc w:val="left"/>
              <w:rPr>
                <w:rFonts w:hint="eastAsia" w:ascii="宋体" w:hAnsi="宋体" w:eastAsia="宋体" w:cs="宋体"/>
                <w:color w:val="auto"/>
                <w:szCs w:val="21"/>
                <w:highlight w:val="none"/>
              </w:rPr>
            </w:pPr>
          </w:p>
        </w:tc>
      </w:tr>
      <w:tr w14:paraId="537D9E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C26BF62">
            <w:pPr>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第二节</w:t>
            </w:r>
          </w:p>
          <w:p w14:paraId="1ADBD419">
            <w:pPr>
              <w:pStyle w:val="55"/>
              <w:ind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1742" w:type="dxa"/>
            <w:vAlign w:val="center"/>
          </w:tcPr>
          <w:p w14:paraId="16FC1EA7">
            <w:pPr>
              <w:adjustRightInd w:val="0"/>
              <w:snapToGrid w:val="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其他应当保密的信息</w:t>
            </w:r>
          </w:p>
        </w:tc>
        <w:tc>
          <w:tcPr>
            <w:tcW w:w="5170" w:type="dxa"/>
            <w:vAlign w:val="center"/>
          </w:tcPr>
          <w:p w14:paraId="29CE358A">
            <w:pPr>
              <w:adjustRightInd w:val="0"/>
              <w:snapToGrid w:val="0"/>
              <w:jc w:val="left"/>
              <w:rPr>
                <w:rFonts w:hint="eastAsia" w:ascii="宋体" w:hAnsi="宋体" w:eastAsia="宋体" w:cs="宋体"/>
                <w:color w:val="auto"/>
                <w:szCs w:val="21"/>
                <w:highlight w:val="none"/>
              </w:rPr>
            </w:pPr>
          </w:p>
        </w:tc>
      </w:tr>
      <w:tr w14:paraId="4A34E9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F8F675C">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28F36D1C">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.2款</w:t>
            </w:r>
          </w:p>
        </w:tc>
        <w:tc>
          <w:tcPr>
            <w:tcW w:w="1742" w:type="dxa"/>
            <w:vAlign w:val="center"/>
          </w:tcPr>
          <w:p w14:paraId="12EBDD39">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合同价款支付</w:t>
            </w:r>
            <w:r>
              <w:rPr>
                <w:rFonts w:hint="eastAsia" w:ascii="宋体" w:hAnsi="宋体" w:eastAsia="宋体" w:cs="宋体"/>
                <w:color w:val="auto"/>
                <w:szCs w:val="21"/>
                <w:highlight w:val="none"/>
                <w:lang w:eastAsia="zh-CN"/>
              </w:rPr>
              <w:t>时间</w:t>
            </w:r>
          </w:p>
        </w:tc>
        <w:tc>
          <w:tcPr>
            <w:tcW w:w="5170" w:type="dxa"/>
            <w:vAlign w:val="center"/>
          </w:tcPr>
          <w:p w14:paraId="46254B84">
            <w:pPr>
              <w:adjustRightInd w:val="0"/>
              <w:snapToGrid w:val="0"/>
              <w:jc w:val="left"/>
              <w:rPr>
                <w:rFonts w:hint="eastAsia" w:ascii="宋体" w:hAnsi="宋体" w:eastAsia="宋体" w:cs="宋体"/>
                <w:color w:val="auto"/>
                <w:szCs w:val="21"/>
                <w:highlight w:val="none"/>
              </w:rPr>
            </w:pPr>
          </w:p>
        </w:tc>
      </w:tr>
      <w:tr w14:paraId="083729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8293E54">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B52DDEC">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13.2</w:t>
            </w:r>
            <w:r>
              <w:rPr>
                <w:rFonts w:hint="eastAsia" w:ascii="宋体" w:hAnsi="宋体" w:eastAsia="宋体" w:cs="宋体"/>
                <w:color w:val="auto"/>
                <w:szCs w:val="21"/>
                <w:highlight w:val="none"/>
              </w:rPr>
              <w:t>款</w:t>
            </w:r>
          </w:p>
        </w:tc>
        <w:tc>
          <w:tcPr>
            <w:tcW w:w="1742" w:type="dxa"/>
            <w:vAlign w:val="center"/>
          </w:tcPr>
          <w:p w14:paraId="343D25EE">
            <w:pPr>
              <w:adjustRightInd w:val="0"/>
              <w:snapToGrid w:val="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履约保证金不予退还的情形</w:t>
            </w:r>
          </w:p>
        </w:tc>
        <w:tc>
          <w:tcPr>
            <w:tcW w:w="5170" w:type="dxa"/>
            <w:vAlign w:val="center"/>
          </w:tcPr>
          <w:p w14:paraId="44979C41">
            <w:pPr>
              <w:adjustRightInd w:val="0"/>
              <w:snapToGrid w:val="0"/>
              <w:jc w:val="left"/>
              <w:rPr>
                <w:rFonts w:hint="eastAsia" w:ascii="宋体" w:hAnsi="宋体" w:eastAsia="宋体" w:cs="宋体"/>
                <w:color w:val="auto"/>
                <w:szCs w:val="21"/>
                <w:highlight w:val="none"/>
              </w:rPr>
            </w:pPr>
          </w:p>
        </w:tc>
      </w:tr>
      <w:tr w14:paraId="66E5B8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D705F4B">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12445A1E">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13.3</w:t>
            </w:r>
            <w:r>
              <w:rPr>
                <w:rFonts w:hint="eastAsia" w:ascii="宋体" w:hAnsi="宋体" w:eastAsia="宋体" w:cs="宋体"/>
                <w:color w:val="auto"/>
                <w:szCs w:val="21"/>
                <w:highlight w:val="none"/>
              </w:rPr>
              <w:t>款</w:t>
            </w:r>
          </w:p>
        </w:tc>
        <w:tc>
          <w:tcPr>
            <w:tcW w:w="1742" w:type="dxa"/>
            <w:vAlign w:val="center"/>
          </w:tcPr>
          <w:p w14:paraId="3603CA7B">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履约保证金退还时间及</w:t>
            </w:r>
            <w:r>
              <w:rPr>
                <w:rFonts w:hint="eastAsia" w:ascii="宋体" w:hAnsi="宋体" w:eastAsia="宋体" w:cs="宋体"/>
                <w:color w:val="auto"/>
                <w:szCs w:val="21"/>
                <w:highlight w:val="none"/>
                <w:lang w:eastAsia="zh-CN"/>
              </w:rPr>
              <w:t>逾期退还的</w:t>
            </w:r>
            <w:r>
              <w:rPr>
                <w:rFonts w:hint="eastAsia" w:ascii="宋体" w:hAnsi="宋体" w:eastAsia="宋体" w:cs="宋体"/>
                <w:color w:val="auto"/>
                <w:szCs w:val="21"/>
                <w:highlight w:val="none"/>
              </w:rPr>
              <w:t>违约金</w:t>
            </w:r>
          </w:p>
        </w:tc>
        <w:tc>
          <w:tcPr>
            <w:tcW w:w="5170" w:type="dxa"/>
            <w:vAlign w:val="center"/>
          </w:tcPr>
          <w:p w14:paraId="28F3ED44">
            <w:pPr>
              <w:adjustRightInd w:val="0"/>
              <w:snapToGrid w:val="0"/>
              <w:jc w:val="left"/>
              <w:rPr>
                <w:rFonts w:hint="eastAsia" w:ascii="宋体" w:hAnsi="宋体" w:eastAsia="宋体" w:cs="宋体"/>
                <w:color w:val="auto"/>
                <w:szCs w:val="21"/>
                <w:highlight w:val="none"/>
              </w:rPr>
            </w:pPr>
          </w:p>
        </w:tc>
      </w:tr>
      <w:tr w14:paraId="129387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1B6BD56">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13E6F235">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）项</w:t>
            </w:r>
          </w:p>
        </w:tc>
        <w:tc>
          <w:tcPr>
            <w:tcW w:w="1742" w:type="dxa"/>
            <w:vAlign w:val="center"/>
          </w:tcPr>
          <w:p w14:paraId="5CA34BF5">
            <w:pPr>
              <w:adjustRightInd w:val="0"/>
              <w:snapToGrid w:val="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运行监督、维修期限</w:t>
            </w:r>
          </w:p>
        </w:tc>
        <w:tc>
          <w:tcPr>
            <w:tcW w:w="5170" w:type="dxa"/>
            <w:vAlign w:val="center"/>
          </w:tcPr>
          <w:p w14:paraId="54AA93D2">
            <w:pPr>
              <w:adjustRightInd w:val="0"/>
              <w:snapToGrid w:val="0"/>
              <w:jc w:val="left"/>
              <w:rPr>
                <w:rFonts w:hint="eastAsia" w:ascii="宋体" w:hAnsi="宋体" w:eastAsia="宋体" w:cs="宋体"/>
                <w:color w:val="auto"/>
                <w:szCs w:val="21"/>
                <w:highlight w:val="none"/>
              </w:rPr>
            </w:pPr>
          </w:p>
        </w:tc>
      </w:tr>
      <w:tr w14:paraId="681B3C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86AAD68">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21911F00">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）项</w:t>
            </w:r>
          </w:p>
        </w:tc>
        <w:tc>
          <w:tcPr>
            <w:tcW w:w="1742" w:type="dxa"/>
            <w:vAlign w:val="center"/>
          </w:tcPr>
          <w:p w14:paraId="74CF5495">
            <w:pPr>
              <w:adjustRightInd w:val="0"/>
              <w:snapToGrid w:val="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货物回收的约定</w:t>
            </w:r>
          </w:p>
        </w:tc>
        <w:tc>
          <w:tcPr>
            <w:tcW w:w="5170" w:type="dxa"/>
            <w:vAlign w:val="center"/>
          </w:tcPr>
          <w:p w14:paraId="197225FF">
            <w:pPr>
              <w:adjustRightInd w:val="0"/>
              <w:snapToGrid w:val="0"/>
              <w:jc w:val="left"/>
              <w:rPr>
                <w:rFonts w:hint="eastAsia" w:ascii="宋体" w:hAnsi="宋体" w:eastAsia="宋体" w:cs="宋体"/>
                <w:color w:val="auto"/>
                <w:szCs w:val="21"/>
                <w:highlight w:val="none"/>
              </w:rPr>
            </w:pPr>
          </w:p>
        </w:tc>
      </w:tr>
      <w:tr w14:paraId="5C476F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6A43915">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05993CF5">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）项</w:t>
            </w:r>
          </w:p>
        </w:tc>
        <w:tc>
          <w:tcPr>
            <w:tcW w:w="1742" w:type="dxa"/>
            <w:vAlign w:val="center"/>
          </w:tcPr>
          <w:p w14:paraId="0B9A60C4">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乙方提供的其他服务</w:t>
            </w:r>
          </w:p>
        </w:tc>
        <w:tc>
          <w:tcPr>
            <w:tcW w:w="5170" w:type="dxa"/>
            <w:vAlign w:val="center"/>
          </w:tcPr>
          <w:p w14:paraId="01E55772">
            <w:pPr>
              <w:adjustRightInd w:val="0"/>
              <w:snapToGrid w:val="0"/>
              <w:jc w:val="left"/>
              <w:rPr>
                <w:rFonts w:hint="eastAsia" w:ascii="宋体" w:hAnsi="宋体" w:eastAsia="宋体" w:cs="宋体"/>
                <w:color w:val="auto"/>
                <w:szCs w:val="21"/>
                <w:highlight w:val="none"/>
              </w:rPr>
            </w:pPr>
          </w:p>
        </w:tc>
      </w:tr>
      <w:tr w14:paraId="7C003C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E53951">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0A8D113">
            <w:pPr>
              <w:adjustRightInd w:val="0"/>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1款</w:t>
            </w:r>
          </w:p>
        </w:tc>
        <w:tc>
          <w:tcPr>
            <w:tcW w:w="1742" w:type="dxa"/>
            <w:vAlign w:val="center"/>
          </w:tcPr>
          <w:p w14:paraId="142D2864">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修理、重作、更换相关具体规定</w:t>
            </w:r>
          </w:p>
        </w:tc>
        <w:tc>
          <w:tcPr>
            <w:tcW w:w="5170" w:type="dxa"/>
            <w:vAlign w:val="center"/>
          </w:tcPr>
          <w:p w14:paraId="28ECCD8C">
            <w:pPr>
              <w:adjustRightInd w:val="0"/>
              <w:snapToGrid w:val="0"/>
              <w:jc w:val="left"/>
              <w:rPr>
                <w:rFonts w:hint="eastAsia" w:ascii="宋体" w:hAnsi="宋体" w:eastAsia="宋体" w:cs="宋体"/>
                <w:color w:val="auto"/>
                <w:szCs w:val="21"/>
                <w:highlight w:val="none"/>
              </w:rPr>
            </w:pPr>
          </w:p>
        </w:tc>
      </w:tr>
      <w:tr w14:paraId="3EF528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CEF15A3">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6612B57">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.2（2）项</w:t>
            </w:r>
          </w:p>
        </w:tc>
        <w:tc>
          <w:tcPr>
            <w:tcW w:w="1742" w:type="dxa"/>
            <w:vAlign w:val="center"/>
          </w:tcPr>
          <w:p w14:paraId="5E062F36">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迟延交货赔偿费</w:t>
            </w:r>
          </w:p>
        </w:tc>
        <w:tc>
          <w:tcPr>
            <w:tcW w:w="5170" w:type="dxa"/>
            <w:vAlign w:val="center"/>
          </w:tcPr>
          <w:p w14:paraId="2929A4C1">
            <w:pPr>
              <w:adjustRightInd w:val="0"/>
              <w:snapToGrid w:val="0"/>
              <w:jc w:val="left"/>
              <w:rPr>
                <w:rFonts w:hint="eastAsia" w:ascii="宋体" w:hAnsi="宋体" w:eastAsia="宋体" w:cs="宋体"/>
                <w:color w:val="auto"/>
                <w:szCs w:val="21"/>
                <w:highlight w:val="none"/>
                <w:u w:val="single"/>
              </w:rPr>
            </w:pPr>
          </w:p>
        </w:tc>
      </w:tr>
      <w:tr w14:paraId="0F1F40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4BB19C3">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3B162CD6">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3款</w:t>
            </w:r>
          </w:p>
        </w:tc>
        <w:tc>
          <w:tcPr>
            <w:tcW w:w="1742" w:type="dxa"/>
            <w:vAlign w:val="center"/>
          </w:tcPr>
          <w:p w14:paraId="5C715A0D">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逾期付款利息</w:t>
            </w:r>
          </w:p>
        </w:tc>
        <w:tc>
          <w:tcPr>
            <w:tcW w:w="5170" w:type="dxa"/>
            <w:vAlign w:val="center"/>
          </w:tcPr>
          <w:p w14:paraId="4F634F74">
            <w:pPr>
              <w:adjustRightInd w:val="0"/>
              <w:snapToGrid w:val="0"/>
              <w:jc w:val="left"/>
              <w:rPr>
                <w:rFonts w:hint="eastAsia" w:ascii="宋体" w:hAnsi="宋体" w:eastAsia="宋体" w:cs="宋体"/>
                <w:color w:val="auto"/>
                <w:szCs w:val="21"/>
                <w:highlight w:val="none"/>
                <w:u w:val="single"/>
              </w:rPr>
            </w:pPr>
          </w:p>
        </w:tc>
      </w:tr>
      <w:tr w14:paraId="1C054D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6528283">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7E629C4">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51F5AB36">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其他违约责任</w:t>
            </w:r>
          </w:p>
        </w:tc>
        <w:tc>
          <w:tcPr>
            <w:tcW w:w="5170" w:type="dxa"/>
            <w:tcBorders>
              <w:left w:val="single" w:color="auto" w:sz="2" w:space="0"/>
              <w:bottom w:val="single" w:color="auto" w:sz="2" w:space="0"/>
            </w:tcBorders>
            <w:vAlign w:val="center"/>
          </w:tcPr>
          <w:p w14:paraId="61C47EB8">
            <w:pPr>
              <w:adjustRightInd w:val="0"/>
              <w:snapToGrid w:val="0"/>
              <w:jc w:val="left"/>
              <w:rPr>
                <w:rFonts w:hint="eastAsia" w:ascii="宋体" w:hAnsi="宋体" w:eastAsia="宋体" w:cs="宋体"/>
                <w:color w:val="auto"/>
                <w:szCs w:val="21"/>
                <w:highlight w:val="none"/>
                <w:u w:val="single"/>
              </w:rPr>
            </w:pPr>
          </w:p>
        </w:tc>
      </w:tr>
      <w:tr w14:paraId="61C400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60D0E4C">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3E43FFFE">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628C2566">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解决争议的方法</w:t>
            </w:r>
          </w:p>
        </w:tc>
        <w:tc>
          <w:tcPr>
            <w:tcW w:w="5170" w:type="dxa"/>
            <w:tcBorders>
              <w:top w:val="single" w:color="auto" w:sz="2" w:space="0"/>
              <w:left w:val="single" w:color="auto" w:sz="2" w:space="0"/>
            </w:tcBorders>
            <w:vAlign w:val="center"/>
          </w:tcPr>
          <w:p w14:paraId="269FBC71">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09B7F15E">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7B7EE5BA">
            <w:pPr>
              <w:adjustRightInd w:val="0"/>
              <w:snapToGrid w:val="0"/>
              <w:ind w:firstLine="0" w:firstLineChars="0"/>
              <w:jc w:val="left"/>
              <w:rPr>
                <w:rFonts w:hint="eastAsia" w:ascii="宋体" w:hAnsi="宋体" w:eastAsia="宋体" w:cs="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5081F0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7369DB2A">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3845190F">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w:t>
            </w: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lang w:eastAsia="zh-CN"/>
              </w:rPr>
              <w:t>款</w:t>
            </w:r>
          </w:p>
        </w:tc>
        <w:tc>
          <w:tcPr>
            <w:tcW w:w="1742" w:type="dxa"/>
            <w:vAlign w:val="center"/>
          </w:tcPr>
          <w:p w14:paraId="6F2C3BFB">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eastAsia="zh-CN"/>
              </w:rPr>
              <w:t>其他专用条款</w:t>
            </w:r>
          </w:p>
        </w:tc>
        <w:tc>
          <w:tcPr>
            <w:tcW w:w="5170" w:type="dxa"/>
            <w:vAlign w:val="center"/>
          </w:tcPr>
          <w:p w14:paraId="53038426">
            <w:pPr>
              <w:adjustRightInd w:val="0"/>
              <w:snapToGrid w:val="0"/>
              <w:jc w:val="left"/>
              <w:rPr>
                <w:rFonts w:hint="eastAsia" w:ascii="宋体" w:hAnsi="宋体" w:eastAsia="宋体" w:cs="宋体"/>
                <w:color w:val="auto"/>
                <w:szCs w:val="21"/>
                <w:highlight w:val="none"/>
                <w:lang w:val="en-US" w:eastAsia="zh-CN"/>
              </w:rPr>
            </w:pPr>
          </w:p>
        </w:tc>
      </w:tr>
    </w:tbl>
    <w:p w14:paraId="54DF1F0B">
      <w:pPr>
        <w:rPr>
          <w:rFonts w:hint="eastAsia" w:ascii="宋体" w:hAnsi="宋体" w:eastAsia="宋体" w:cs="宋体"/>
          <w:color w:val="auto"/>
          <w:highlight w:val="none"/>
        </w:rPr>
      </w:pPr>
    </w:p>
    <w:p w14:paraId="60A35172">
      <w:pPr>
        <w:rPr>
          <w:rFonts w:hint="eastAsia" w:ascii="宋体" w:hAnsi="宋体" w:eastAsia="宋体" w:cs="宋体"/>
          <w:color w:val="auto"/>
          <w:highlight w:val="none"/>
        </w:rPr>
      </w:pPr>
    </w:p>
    <w:p w14:paraId="39BD3752">
      <w:pPr>
        <w:pStyle w:val="22"/>
        <w:tabs>
          <w:tab w:val="right" w:leader="middleDot" w:pos="7350"/>
          <w:tab w:val="right" w:leader="middleDot" w:pos="7392"/>
        </w:tabs>
        <w:rPr>
          <w:rFonts w:hint="eastAsia" w:ascii="宋体" w:hAnsi="宋体" w:eastAsia="宋体" w:cs="宋体"/>
          <w:b/>
          <w:bCs/>
          <w:color w:val="auto"/>
          <w:sz w:val="24"/>
          <w:highlight w:val="none"/>
        </w:rPr>
      </w:pPr>
    </w:p>
    <w:p w14:paraId="05FD79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（本合同仅供参考，最终合同内容及格式由双方协商确定后签订的为准）</w:t>
      </w:r>
    </w:p>
    <w:p w14:paraId="2849BFC1">
      <w:pPr>
        <w:keepNext/>
        <w:adjustRightInd w:val="0"/>
        <w:snapToGrid w:val="0"/>
        <w:spacing w:line="360" w:lineRule="auto"/>
        <w:rPr>
          <w:rFonts w:ascii="宋体" w:hAnsi="宋体"/>
          <w:b/>
          <w:sz w:val="24"/>
          <w:szCs w:val="24"/>
        </w:rPr>
      </w:pPr>
    </w:p>
    <w:p w14:paraId="0C5CE1A9">
      <w:pPr>
        <w:keepNext/>
        <w:adjustRightInd w:val="0"/>
        <w:snapToGrid w:val="0"/>
        <w:spacing w:line="360" w:lineRule="auto"/>
        <w:rPr>
          <w:rFonts w:ascii="宋体" w:hAnsi="宋体"/>
          <w:b/>
          <w:sz w:val="24"/>
          <w:szCs w:val="24"/>
        </w:rPr>
      </w:pPr>
    </w:p>
    <w:p w14:paraId="39309F28">
      <w:pPr>
        <w:keepNext/>
        <w:adjustRightInd w:val="0"/>
        <w:snapToGrid w:val="0"/>
        <w:spacing w:line="360" w:lineRule="auto"/>
        <w:rPr>
          <w:rFonts w:ascii="宋体" w:hAnsi="宋体"/>
          <w:b/>
          <w:sz w:val="24"/>
          <w:szCs w:val="24"/>
        </w:rPr>
      </w:pPr>
    </w:p>
    <w:p w14:paraId="193006DD">
      <w:pPr>
        <w:keepNext/>
        <w:adjustRightInd w:val="0"/>
        <w:snapToGrid w:val="0"/>
        <w:spacing w:line="360" w:lineRule="auto"/>
        <w:rPr>
          <w:rFonts w:ascii="宋体" w:hAnsi="宋体"/>
          <w:b/>
          <w:sz w:val="24"/>
          <w:szCs w:val="24"/>
        </w:rPr>
      </w:pPr>
    </w:p>
    <w:p w14:paraId="7F180DD0">
      <w:pPr>
        <w:keepNext/>
        <w:adjustRightInd w:val="0"/>
        <w:snapToGrid w:val="0"/>
        <w:spacing w:line="360" w:lineRule="auto"/>
        <w:rPr>
          <w:rFonts w:ascii="宋体" w:hAnsi="宋体"/>
          <w:b/>
          <w:sz w:val="24"/>
          <w:szCs w:val="24"/>
        </w:rPr>
      </w:pPr>
    </w:p>
    <w:p w14:paraId="7287EC03">
      <w:pPr>
        <w:keepNext/>
        <w:adjustRightInd w:val="0"/>
        <w:snapToGrid w:val="0"/>
        <w:spacing w:line="360" w:lineRule="auto"/>
        <w:rPr>
          <w:rFonts w:ascii="宋体" w:hAnsi="宋体"/>
          <w:b/>
          <w:sz w:val="24"/>
          <w:szCs w:val="24"/>
        </w:rPr>
      </w:pPr>
    </w:p>
    <w:p w14:paraId="1F7572FB">
      <w:pPr>
        <w:keepNext/>
        <w:adjustRightInd w:val="0"/>
        <w:snapToGrid w:val="0"/>
        <w:spacing w:line="360" w:lineRule="auto"/>
        <w:rPr>
          <w:rFonts w:ascii="宋体" w:hAnsi="宋体"/>
          <w:b/>
          <w:sz w:val="24"/>
          <w:szCs w:val="24"/>
        </w:rPr>
        <w:sectPr>
          <w:footerReference r:id="rId8" w:type="default"/>
          <w:pgSz w:w="11906" w:h="16838"/>
          <w:pgMar w:top="1134" w:right="1134" w:bottom="1134" w:left="1134" w:header="851" w:footer="992" w:gutter="0"/>
          <w:cols w:space="720" w:num="1"/>
          <w:docGrid w:type="lines" w:linePitch="312" w:charSpace="0"/>
        </w:sectPr>
      </w:pPr>
    </w:p>
    <w:p w14:paraId="3F58AF53">
      <w:pPr>
        <w:keepNext/>
        <w:adjustRightInd w:val="0"/>
        <w:snapToGrid w:val="0"/>
        <w:spacing w:line="360" w:lineRule="auto"/>
        <w:rPr>
          <w:rFonts w:ascii="宋体" w:hAnsi="宋体"/>
          <w:b/>
          <w:sz w:val="24"/>
          <w:szCs w:val="24"/>
        </w:rPr>
      </w:pPr>
    </w:p>
    <w:p w14:paraId="6AB89774">
      <w:pPr>
        <w:overflowPunct w:val="0"/>
        <w:topLinePunct/>
        <w:autoSpaceDN w:val="0"/>
        <w:adjustRightInd w:val="0"/>
        <w:snapToGrid w:val="0"/>
        <w:spacing w:line="360" w:lineRule="auto"/>
        <w:jc w:val="center"/>
        <w:outlineLvl w:val="0"/>
        <w:rPr>
          <w:rFonts w:ascii="宋体" w:hAnsi="宋体"/>
          <w:b/>
          <w:snapToGrid w:val="0"/>
          <w:kern w:val="0"/>
          <w:sz w:val="30"/>
          <w:szCs w:val="30"/>
        </w:rPr>
      </w:pPr>
      <w:bookmarkStart w:id="90" w:name="_Toc21321"/>
      <w:bookmarkStart w:id="91" w:name="_Toc278543501"/>
      <w:bookmarkStart w:id="92" w:name="_Toc21641"/>
      <w:bookmarkStart w:id="93" w:name="_Toc12479"/>
      <w:bookmarkStart w:id="94" w:name="_Toc175644061"/>
      <w:r>
        <w:rPr>
          <w:rFonts w:hint="eastAsia" w:ascii="宋体" w:hAnsi="宋体"/>
          <w:b/>
          <w:snapToGrid w:val="0"/>
          <w:kern w:val="0"/>
          <w:sz w:val="30"/>
          <w:szCs w:val="30"/>
        </w:rPr>
        <w:t>第七章</w:t>
      </w:r>
      <w:r>
        <w:rPr>
          <w:rFonts w:ascii="宋体" w:hAnsi="宋体"/>
          <w:b/>
          <w:snapToGrid w:val="0"/>
          <w:kern w:val="0"/>
          <w:sz w:val="30"/>
          <w:szCs w:val="30"/>
        </w:rPr>
        <w:t xml:space="preserve">  </w:t>
      </w:r>
      <w:bookmarkStart w:id="95" w:name="_Toc86202632"/>
      <w:r>
        <w:rPr>
          <w:rFonts w:hint="eastAsia" w:ascii="宋体" w:hAnsi="宋体"/>
          <w:b/>
          <w:snapToGrid w:val="0"/>
          <w:kern w:val="0"/>
          <w:sz w:val="30"/>
          <w:szCs w:val="30"/>
        </w:rPr>
        <w:t>投标文件格式</w:t>
      </w:r>
      <w:bookmarkEnd w:id="90"/>
      <w:bookmarkEnd w:id="91"/>
      <w:bookmarkEnd w:id="92"/>
      <w:bookmarkEnd w:id="93"/>
      <w:bookmarkEnd w:id="94"/>
      <w:bookmarkEnd w:id="95"/>
    </w:p>
    <w:p w14:paraId="426C51E9">
      <w:pPr>
        <w:pStyle w:val="3"/>
        <w:outlineLvl w:val="9"/>
        <w:rPr>
          <w:rFonts w:ascii="华文中宋" w:hAnsi="华文中宋" w:eastAsia="华文中宋" w:cs="华文中宋"/>
          <w:spacing w:val="20"/>
          <w:sz w:val="30"/>
          <w:szCs w:val="30"/>
        </w:rPr>
      </w:pPr>
      <w:bookmarkStart w:id="96" w:name="_Toc14949"/>
      <w:bookmarkStart w:id="97" w:name="_Toc22827"/>
      <w:r>
        <w:rPr>
          <w:rFonts w:hint="eastAsia" w:ascii="华文中宋" w:hAnsi="华文中宋" w:eastAsia="华文中宋" w:cs="华文中宋"/>
          <w:spacing w:val="20"/>
          <w:sz w:val="30"/>
          <w:szCs w:val="30"/>
        </w:rPr>
        <w:t>封面格式</w:t>
      </w:r>
      <w:bookmarkEnd w:id="96"/>
      <w:bookmarkEnd w:id="97"/>
    </w:p>
    <w:p w14:paraId="43C2CE7F">
      <w:pPr>
        <w:rPr>
          <w:rFonts w:ascii="华文中宋" w:hAnsi="华文中宋" w:eastAsia="华文中宋" w:cs="华文中宋"/>
          <w:sz w:val="28"/>
          <w:szCs w:val="28"/>
        </w:rPr>
      </w:pPr>
      <w:r>
        <w:rPr>
          <w:rFonts w:hint="eastAsia" w:ascii="华文中宋" w:hAnsi="华文中宋" w:eastAsia="华文中宋" w:cs="华文中宋"/>
          <w:sz w:val="28"/>
          <w:szCs w:val="28"/>
        </w:rPr>
        <w:t xml:space="preserve">                                                 </w:t>
      </w:r>
    </w:p>
    <w:p w14:paraId="0F3F9CD1">
      <w:pPr>
        <w:widowControl/>
        <w:snapToGrid w:val="0"/>
        <w:spacing w:line="360" w:lineRule="auto"/>
        <w:jc w:val="center"/>
        <w:rPr>
          <w:rFonts w:ascii="华文中宋" w:hAnsi="华文中宋" w:eastAsia="华文中宋" w:cs="华文中宋"/>
          <w:b/>
          <w:spacing w:val="60"/>
          <w:kern w:val="0"/>
          <w:sz w:val="28"/>
          <w:szCs w:val="28"/>
        </w:rPr>
      </w:pPr>
    </w:p>
    <w:p w14:paraId="7F9EA5F7">
      <w:pPr>
        <w:widowControl/>
        <w:snapToGrid w:val="0"/>
        <w:spacing w:line="360" w:lineRule="auto"/>
        <w:jc w:val="center"/>
        <w:outlineLvl w:val="0"/>
        <w:rPr>
          <w:rFonts w:ascii="华文中宋" w:hAnsi="华文中宋" w:eastAsia="华文中宋" w:cs="华文中宋"/>
          <w:b/>
          <w:spacing w:val="60"/>
          <w:kern w:val="0"/>
          <w:sz w:val="28"/>
          <w:szCs w:val="28"/>
        </w:rPr>
      </w:pPr>
      <w:bookmarkStart w:id="98" w:name="_Toc23194"/>
      <w:r>
        <w:rPr>
          <w:rFonts w:hint="eastAsia" w:ascii="华文中宋" w:hAnsi="华文中宋" w:eastAsia="华文中宋" w:cs="华文中宋"/>
          <w:b/>
          <w:spacing w:val="60"/>
          <w:kern w:val="0"/>
          <w:sz w:val="28"/>
          <w:szCs w:val="28"/>
        </w:rPr>
        <w:t>(项目名称)项目</w:t>
      </w:r>
      <w:bookmarkEnd w:id="98"/>
    </w:p>
    <w:p w14:paraId="6F6679C0">
      <w:pPr>
        <w:widowControl/>
        <w:snapToGrid w:val="0"/>
        <w:spacing w:line="800" w:lineRule="exact"/>
        <w:ind w:firstLine="1190" w:firstLineChars="350"/>
        <w:jc w:val="left"/>
        <w:outlineLvl w:val="9"/>
        <w:rPr>
          <w:rFonts w:ascii="华文中宋" w:hAnsi="华文中宋" w:eastAsia="华文中宋" w:cs="华文中宋"/>
          <w:spacing w:val="20"/>
          <w:kern w:val="0"/>
          <w:sz w:val="30"/>
          <w:szCs w:val="30"/>
        </w:rPr>
      </w:pPr>
      <w:bookmarkStart w:id="99" w:name="_Toc8432"/>
      <w:bookmarkStart w:id="100" w:name="_Toc12211"/>
      <w:r>
        <w:rPr>
          <w:rFonts w:hint="eastAsia" w:ascii="华文中宋" w:hAnsi="华文中宋" w:eastAsia="华文中宋" w:cs="华文中宋"/>
          <w:spacing w:val="20"/>
          <w:kern w:val="0"/>
          <w:sz w:val="30"/>
          <w:szCs w:val="30"/>
        </w:rPr>
        <w:t>项目编号：</w:t>
      </w:r>
      <w:bookmarkEnd w:id="99"/>
      <w:bookmarkEnd w:id="100"/>
    </w:p>
    <w:p w14:paraId="01B21D7D">
      <w:pPr>
        <w:widowControl/>
        <w:snapToGrid w:val="0"/>
        <w:spacing w:line="800" w:lineRule="exact"/>
        <w:jc w:val="center"/>
        <w:rPr>
          <w:rFonts w:ascii="华文中宋" w:hAnsi="华文中宋" w:eastAsia="华文中宋" w:cs="华文中宋"/>
          <w:spacing w:val="20"/>
          <w:kern w:val="0"/>
          <w:sz w:val="30"/>
          <w:szCs w:val="30"/>
        </w:rPr>
      </w:pPr>
    </w:p>
    <w:p w14:paraId="7FEB3885">
      <w:pPr>
        <w:widowControl/>
        <w:snapToGrid w:val="0"/>
        <w:spacing w:line="800" w:lineRule="exact"/>
        <w:jc w:val="center"/>
        <w:rPr>
          <w:rFonts w:ascii="华文中宋" w:hAnsi="华文中宋" w:eastAsia="华文中宋" w:cs="华文中宋"/>
          <w:kern w:val="0"/>
          <w:sz w:val="30"/>
          <w:szCs w:val="30"/>
        </w:rPr>
      </w:pPr>
      <w:r>
        <w:rPr>
          <w:rFonts w:hint="eastAsia" w:ascii="华文中宋" w:hAnsi="华文中宋" w:eastAsia="华文中宋" w:cs="华文中宋"/>
          <w:kern w:val="0"/>
          <w:sz w:val="30"/>
          <w:szCs w:val="30"/>
        </w:rPr>
        <w:t>投</w:t>
      </w:r>
    </w:p>
    <w:p w14:paraId="3BB9B845">
      <w:pPr>
        <w:widowControl/>
        <w:snapToGrid w:val="0"/>
        <w:spacing w:line="800" w:lineRule="exact"/>
        <w:jc w:val="center"/>
        <w:rPr>
          <w:rFonts w:ascii="华文中宋" w:hAnsi="华文中宋" w:eastAsia="华文中宋" w:cs="华文中宋"/>
          <w:kern w:val="0"/>
          <w:sz w:val="30"/>
          <w:szCs w:val="30"/>
        </w:rPr>
      </w:pPr>
      <w:r>
        <w:rPr>
          <w:rFonts w:hint="eastAsia" w:ascii="华文中宋" w:hAnsi="华文中宋" w:eastAsia="华文中宋" w:cs="华文中宋"/>
          <w:kern w:val="0"/>
          <w:sz w:val="30"/>
          <w:szCs w:val="30"/>
        </w:rPr>
        <w:t>标</w:t>
      </w:r>
    </w:p>
    <w:p w14:paraId="381A3F72">
      <w:pPr>
        <w:widowControl/>
        <w:snapToGrid w:val="0"/>
        <w:spacing w:line="800" w:lineRule="exact"/>
        <w:jc w:val="center"/>
        <w:rPr>
          <w:rFonts w:ascii="华文中宋" w:hAnsi="华文中宋" w:eastAsia="华文中宋" w:cs="华文中宋"/>
          <w:kern w:val="0"/>
          <w:sz w:val="30"/>
          <w:szCs w:val="30"/>
        </w:rPr>
      </w:pPr>
      <w:r>
        <w:rPr>
          <w:rFonts w:hint="eastAsia" w:ascii="华文中宋" w:hAnsi="华文中宋" w:eastAsia="华文中宋" w:cs="华文中宋"/>
          <w:kern w:val="0"/>
          <w:sz w:val="30"/>
          <w:szCs w:val="30"/>
        </w:rPr>
        <w:t>文</w:t>
      </w:r>
    </w:p>
    <w:p w14:paraId="5D94629E">
      <w:pPr>
        <w:widowControl/>
        <w:snapToGrid w:val="0"/>
        <w:spacing w:line="800" w:lineRule="exact"/>
        <w:jc w:val="center"/>
        <w:rPr>
          <w:rFonts w:ascii="华文中宋" w:hAnsi="华文中宋" w:eastAsia="华文中宋" w:cs="华文中宋"/>
          <w:kern w:val="0"/>
          <w:sz w:val="30"/>
          <w:szCs w:val="30"/>
        </w:rPr>
      </w:pPr>
      <w:r>
        <w:rPr>
          <w:rFonts w:hint="eastAsia" w:ascii="华文中宋" w:hAnsi="华文中宋" w:eastAsia="华文中宋" w:cs="华文中宋"/>
          <w:kern w:val="0"/>
          <w:sz w:val="30"/>
          <w:szCs w:val="30"/>
        </w:rPr>
        <w:t>件</w:t>
      </w:r>
    </w:p>
    <w:p w14:paraId="7A62E145">
      <w:pPr>
        <w:widowControl/>
        <w:snapToGrid w:val="0"/>
        <w:spacing w:line="800" w:lineRule="exact"/>
        <w:jc w:val="center"/>
        <w:rPr>
          <w:rFonts w:ascii="华文中宋" w:hAnsi="华文中宋" w:eastAsia="华文中宋" w:cs="华文中宋"/>
          <w:kern w:val="0"/>
          <w:sz w:val="30"/>
          <w:szCs w:val="30"/>
        </w:rPr>
      </w:pPr>
    </w:p>
    <w:p w14:paraId="5B2DF6AA">
      <w:pPr>
        <w:widowControl/>
        <w:snapToGrid w:val="0"/>
        <w:spacing w:line="800" w:lineRule="exact"/>
        <w:ind w:firstLine="450" w:firstLineChars="150"/>
        <w:outlineLvl w:val="9"/>
        <w:rPr>
          <w:rFonts w:ascii="华文中宋" w:hAnsi="华文中宋" w:eastAsia="华文中宋" w:cs="华文中宋"/>
          <w:kern w:val="0"/>
          <w:sz w:val="30"/>
          <w:szCs w:val="30"/>
          <w:u w:val="single"/>
        </w:rPr>
      </w:pPr>
      <w:bookmarkStart w:id="101" w:name="_Toc27127"/>
      <w:bookmarkStart w:id="102" w:name="_Toc21623"/>
      <w:r>
        <w:rPr>
          <w:rFonts w:hint="eastAsia" w:ascii="华文中宋" w:hAnsi="华文中宋" w:eastAsia="华文中宋" w:cs="华文中宋"/>
          <w:kern w:val="0"/>
          <w:sz w:val="30"/>
          <w:szCs w:val="30"/>
        </w:rPr>
        <w:t>供应商全称：</w:t>
      </w:r>
      <w:r>
        <w:rPr>
          <w:rFonts w:hint="eastAsia" w:ascii="华文中宋" w:hAnsi="华文中宋" w:eastAsia="华文中宋" w:cs="华文中宋"/>
          <w:kern w:val="0"/>
          <w:sz w:val="30"/>
          <w:szCs w:val="30"/>
          <w:u w:val="single"/>
        </w:rPr>
        <w:t xml:space="preserve">        （加盖单位电子公章）</w:t>
      </w:r>
      <w:bookmarkEnd w:id="101"/>
      <w:bookmarkEnd w:id="102"/>
      <w:r>
        <w:rPr>
          <w:rFonts w:hint="eastAsia" w:ascii="华文中宋" w:hAnsi="华文中宋" w:eastAsia="华文中宋" w:cs="华文中宋"/>
          <w:kern w:val="0"/>
          <w:sz w:val="30"/>
          <w:szCs w:val="30"/>
          <w:u w:val="single"/>
        </w:rPr>
        <w:t xml:space="preserve">       </w:t>
      </w:r>
    </w:p>
    <w:p w14:paraId="5D47555C">
      <w:pPr>
        <w:widowControl/>
        <w:snapToGrid w:val="0"/>
        <w:spacing w:line="800" w:lineRule="exact"/>
        <w:ind w:firstLine="450" w:firstLineChars="150"/>
        <w:outlineLvl w:val="9"/>
        <w:rPr>
          <w:rFonts w:ascii="华文中宋" w:hAnsi="华文中宋" w:eastAsia="华文中宋" w:cs="华文中宋"/>
          <w:spacing w:val="20"/>
          <w:kern w:val="0"/>
          <w:sz w:val="30"/>
          <w:szCs w:val="30"/>
          <w:u w:val="single"/>
        </w:rPr>
      </w:pPr>
      <w:bookmarkStart w:id="103" w:name="_Toc25484"/>
      <w:bookmarkStart w:id="104" w:name="_Toc15314"/>
      <w:r>
        <w:rPr>
          <w:rFonts w:hint="eastAsia" w:ascii="华文中宋" w:hAnsi="华文中宋" w:eastAsia="华文中宋" w:cs="华文中宋"/>
          <w:kern w:val="0"/>
          <w:sz w:val="30"/>
          <w:szCs w:val="30"/>
        </w:rPr>
        <w:t>法定代表人或委托代理人：</w:t>
      </w:r>
      <w:r>
        <w:rPr>
          <w:rFonts w:hint="eastAsia" w:ascii="华文中宋" w:hAnsi="华文中宋" w:eastAsia="华文中宋" w:cs="华文中宋"/>
          <w:kern w:val="0"/>
          <w:sz w:val="30"/>
          <w:szCs w:val="30"/>
          <w:u w:val="single"/>
        </w:rPr>
        <w:t xml:space="preserve">        （电子签字或盖章）</w:t>
      </w:r>
      <w:bookmarkEnd w:id="103"/>
      <w:bookmarkEnd w:id="104"/>
    </w:p>
    <w:p w14:paraId="295164EE">
      <w:pPr>
        <w:spacing w:line="800" w:lineRule="exact"/>
        <w:jc w:val="center"/>
        <w:rPr>
          <w:rFonts w:ascii="华文中宋" w:hAnsi="华文中宋" w:eastAsia="华文中宋" w:cs="华文中宋"/>
          <w:sz w:val="28"/>
          <w:szCs w:val="28"/>
        </w:rPr>
      </w:pPr>
      <w:r>
        <w:rPr>
          <w:rFonts w:hint="eastAsia" w:ascii="华文中宋" w:hAnsi="华文中宋" w:eastAsia="华文中宋" w:cs="华文中宋"/>
          <w:kern w:val="0"/>
          <w:sz w:val="30"/>
          <w:szCs w:val="30"/>
        </w:rPr>
        <w:t>年   月   日</w:t>
      </w:r>
    </w:p>
    <w:p w14:paraId="38FE3B2F">
      <w:pPr>
        <w:pStyle w:val="31"/>
        <w:spacing w:line="360" w:lineRule="auto"/>
        <w:rPr>
          <w:rFonts w:ascii="宋体" w:hAnsi="宋体"/>
          <w:snapToGrid w:val="0"/>
        </w:rPr>
      </w:pPr>
    </w:p>
    <w:p w14:paraId="79F16366">
      <w:pPr>
        <w:pStyle w:val="31"/>
        <w:spacing w:line="360" w:lineRule="auto"/>
        <w:rPr>
          <w:rFonts w:ascii="宋体" w:hAnsi="宋体"/>
          <w:snapToGrid w:val="0"/>
        </w:rPr>
      </w:pPr>
    </w:p>
    <w:p w14:paraId="08DD7317">
      <w:pPr>
        <w:pStyle w:val="31"/>
        <w:spacing w:line="360" w:lineRule="auto"/>
        <w:rPr>
          <w:rFonts w:ascii="宋体" w:hAnsi="宋体"/>
          <w:snapToGrid w:val="0"/>
        </w:rPr>
      </w:pPr>
    </w:p>
    <w:p w14:paraId="4E52F0BE">
      <w:pPr>
        <w:pStyle w:val="31"/>
        <w:spacing w:line="360" w:lineRule="auto"/>
        <w:rPr>
          <w:rFonts w:ascii="宋体" w:hAnsi="宋体"/>
          <w:snapToGrid w:val="0"/>
        </w:rPr>
      </w:pPr>
    </w:p>
    <w:p w14:paraId="0EAAB7A4">
      <w:pPr>
        <w:shd w:val="solid" w:color="FFFFFF" w:fill="auto"/>
        <w:autoSpaceDN w:val="0"/>
        <w:spacing w:line="360" w:lineRule="auto"/>
        <w:ind w:firstLine="561"/>
        <w:jc w:val="center"/>
        <w:rPr>
          <w:rFonts w:ascii="����" w:hAnsi="宋体"/>
          <w:b/>
          <w:sz w:val="24"/>
          <w:szCs w:val="24"/>
          <w:shd w:val="clear" w:color="auto" w:fill="FFFFFF"/>
        </w:rPr>
      </w:pPr>
    </w:p>
    <w:p w14:paraId="470DFAAE">
      <w:pPr>
        <w:shd w:val="solid" w:color="FFFFFF" w:fill="auto"/>
        <w:autoSpaceDN w:val="0"/>
        <w:spacing w:line="360" w:lineRule="auto"/>
        <w:ind w:firstLine="561"/>
        <w:jc w:val="center"/>
        <w:rPr>
          <w:rFonts w:ascii="����" w:hAnsi="宋体"/>
          <w:b/>
          <w:sz w:val="24"/>
          <w:szCs w:val="24"/>
          <w:shd w:val="clear" w:color="auto" w:fill="FFFFFF"/>
        </w:rPr>
      </w:pPr>
    </w:p>
    <w:p w14:paraId="762EB035">
      <w:pPr>
        <w:shd w:val="solid" w:color="FFFFFF" w:fill="auto"/>
        <w:autoSpaceDN w:val="0"/>
        <w:spacing w:line="360" w:lineRule="auto"/>
        <w:ind w:firstLine="561"/>
        <w:jc w:val="center"/>
        <w:rPr>
          <w:rFonts w:ascii="����" w:hAnsi="宋体"/>
          <w:b/>
          <w:sz w:val="24"/>
          <w:szCs w:val="24"/>
          <w:shd w:val="clear" w:color="auto" w:fill="FFFFFF"/>
        </w:rPr>
      </w:pPr>
    </w:p>
    <w:p w14:paraId="07827021">
      <w:pPr>
        <w:shd w:val="solid" w:color="FFFFFF" w:fill="auto"/>
        <w:autoSpaceDN w:val="0"/>
        <w:spacing w:line="360" w:lineRule="auto"/>
        <w:ind w:firstLine="561"/>
        <w:jc w:val="center"/>
        <w:rPr>
          <w:rFonts w:ascii="����" w:hAnsi="宋体"/>
          <w:b/>
          <w:sz w:val="24"/>
          <w:szCs w:val="24"/>
          <w:shd w:val="clear" w:color="auto" w:fill="FFFFFF"/>
        </w:rPr>
      </w:pPr>
    </w:p>
    <w:p w14:paraId="7694209D">
      <w:pPr>
        <w:shd w:val="solid" w:color="FFFFFF" w:fill="auto"/>
        <w:autoSpaceDN w:val="0"/>
        <w:spacing w:line="360" w:lineRule="auto"/>
        <w:ind w:firstLine="561"/>
        <w:jc w:val="center"/>
        <w:rPr>
          <w:rFonts w:ascii="����" w:hAnsi="宋体"/>
          <w:b/>
          <w:sz w:val="24"/>
          <w:szCs w:val="24"/>
          <w:shd w:val="clear" w:color="auto" w:fill="FFFFFF"/>
        </w:rPr>
      </w:pPr>
    </w:p>
    <w:p w14:paraId="7DC849FA">
      <w:pPr>
        <w:shd w:val="solid" w:color="FFFFFF" w:fill="auto"/>
        <w:autoSpaceDN w:val="0"/>
        <w:spacing w:line="360" w:lineRule="auto"/>
        <w:ind w:firstLine="561"/>
        <w:jc w:val="center"/>
        <w:rPr>
          <w:rFonts w:ascii="����" w:hAnsi="宋体"/>
          <w:b/>
          <w:sz w:val="24"/>
          <w:szCs w:val="24"/>
          <w:shd w:val="clear" w:color="auto" w:fill="FFFFFF"/>
        </w:rPr>
      </w:pPr>
      <w:r>
        <w:rPr>
          <w:rFonts w:ascii="����" w:hAnsi="宋体"/>
          <w:b/>
          <w:sz w:val="24"/>
          <w:szCs w:val="24"/>
          <w:shd w:val="clear" w:color="auto" w:fill="FFFFFF"/>
        </w:rPr>
        <w:t>目    录</w:t>
      </w:r>
    </w:p>
    <w:p w14:paraId="0D669F69">
      <w:pPr>
        <w:shd w:val="solid" w:color="FFFFFF" w:fill="auto"/>
        <w:autoSpaceDN w:val="0"/>
        <w:spacing w:line="360" w:lineRule="auto"/>
        <w:ind w:firstLine="561"/>
        <w:jc w:val="center"/>
        <w:rPr>
          <w:rFonts w:ascii="����" w:hAnsi="宋体"/>
          <w:b/>
          <w:sz w:val="24"/>
          <w:szCs w:val="24"/>
          <w:shd w:val="clear" w:color="auto" w:fill="FFFFFF"/>
        </w:rPr>
      </w:pPr>
    </w:p>
    <w:p w14:paraId="332B6A49">
      <w:pPr>
        <w:shd w:val="solid" w:color="FFFFFF" w:fill="auto"/>
        <w:autoSpaceDN w:val="0"/>
        <w:spacing w:line="360" w:lineRule="auto"/>
        <w:ind w:firstLine="561"/>
        <w:jc w:val="center"/>
        <w:rPr>
          <w:rFonts w:ascii="����" w:hAnsi="宋体"/>
          <w:b/>
          <w:sz w:val="24"/>
          <w:szCs w:val="24"/>
          <w:shd w:val="clear" w:color="auto" w:fill="FFFFFF"/>
        </w:rPr>
      </w:pPr>
    </w:p>
    <w:p w14:paraId="56046434">
      <w:pPr>
        <w:pStyle w:val="31"/>
        <w:spacing w:line="360" w:lineRule="auto"/>
        <w:jc w:val="center"/>
        <w:rPr>
          <w:rFonts w:ascii="宋体" w:hAnsi="宋体"/>
          <w:b/>
          <w:sz w:val="30"/>
        </w:rPr>
      </w:pPr>
      <w:r>
        <w:rPr>
          <w:rFonts w:hint="eastAsia" w:ascii="����" w:hAnsi="宋体"/>
          <w:b/>
          <w:shd w:val="clear" w:color="auto" w:fill="FFFFFF"/>
        </w:rPr>
        <w:t>（格式自拟）</w:t>
      </w:r>
      <w:r>
        <w:rPr>
          <w:rFonts w:ascii="宋体" w:hAnsi="宋体"/>
          <w:snapToGrid w:val="0"/>
        </w:rPr>
        <w:br w:type="page"/>
      </w:r>
    </w:p>
    <w:p w14:paraId="3D255D18">
      <w:pPr>
        <w:overflowPunct w:val="0"/>
        <w:topLinePunct/>
        <w:autoSpaceDN w:val="0"/>
        <w:adjustRightInd w:val="0"/>
        <w:snapToGrid w:val="0"/>
        <w:spacing w:line="360" w:lineRule="auto"/>
        <w:jc w:val="center"/>
        <w:outlineLvl w:val="0"/>
        <w:rPr>
          <w:rFonts w:ascii="宋体" w:hAnsi="宋体"/>
          <w:b/>
          <w:snapToGrid w:val="0"/>
          <w:kern w:val="0"/>
          <w:sz w:val="24"/>
          <w:szCs w:val="24"/>
        </w:rPr>
      </w:pPr>
      <w:bookmarkStart w:id="105" w:name="_Toc23422"/>
      <w:bookmarkStart w:id="106" w:name="_Toc14295"/>
      <w:r>
        <w:rPr>
          <w:rFonts w:hint="eastAsia" w:ascii="宋体" w:hAnsi="宋体"/>
          <w:b/>
          <w:snapToGrid w:val="0"/>
          <w:kern w:val="0"/>
          <w:sz w:val="24"/>
          <w:szCs w:val="24"/>
        </w:rPr>
        <w:t>一、投标函（格式）</w:t>
      </w:r>
      <w:bookmarkEnd w:id="105"/>
      <w:bookmarkEnd w:id="106"/>
    </w:p>
    <w:p w14:paraId="648C1AB9">
      <w:pPr>
        <w:tabs>
          <w:tab w:val="left" w:pos="4860"/>
        </w:tabs>
        <w:overflowPunct w:val="0"/>
        <w:topLinePunct/>
        <w:autoSpaceDN w:val="0"/>
        <w:adjustRightInd w:val="0"/>
        <w:snapToGrid w:val="0"/>
        <w:spacing w:line="360" w:lineRule="auto"/>
        <w:rPr>
          <w:rFonts w:ascii="宋体" w:hAnsi="宋体"/>
          <w:snapToGrid w:val="0"/>
          <w:kern w:val="0"/>
          <w:sz w:val="24"/>
          <w:szCs w:val="24"/>
          <w:u w:val="single"/>
        </w:rPr>
      </w:pPr>
    </w:p>
    <w:p w14:paraId="0581C9F8">
      <w:pPr>
        <w:tabs>
          <w:tab w:val="left" w:pos="4860"/>
        </w:tabs>
        <w:overflowPunct w:val="0"/>
        <w:topLinePunct/>
        <w:autoSpaceDN w:val="0"/>
        <w:adjustRightInd w:val="0"/>
        <w:snapToGrid w:val="0"/>
        <w:spacing w:line="360" w:lineRule="auto"/>
        <w:rPr>
          <w:rFonts w:ascii="宋体" w:hAnsi="宋体"/>
          <w:snapToGrid w:val="0"/>
          <w:kern w:val="0"/>
          <w:sz w:val="24"/>
          <w:szCs w:val="24"/>
          <w:u w:val="single"/>
        </w:rPr>
      </w:pPr>
      <w:r>
        <w:rPr>
          <w:rFonts w:hint="eastAsia" w:ascii="宋体" w:hAnsi="????" w:cs="宋体"/>
          <w:kern w:val="0"/>
          <w:sz w:val="24"/>
          <w:szCs w:val="24"/>
          <w:u w:val="single"/>
          <w:lang w:val="zh-CN"/>
        </w:rPr>
        <w:t>中环建(北京)工程管理有限责任公司</w:t>
      </w:r>
      <w:r>
        <w:rPr>
          <w:rFonts w:hint="eastAsia" w:ascii="宋体" w:hAnsi="宋体"/>
          <w:snapToGrid w:val="0"/>
          <w:kern w:val="0"/>
          <w:sz w:val="24"/>
          <w:szCs w:val="24"/>
          <w:u w:val="single"/>
        </w:rPr>
        <w:t>：</w:t>
      </w:r>
    </w:p>
    <w:p w14:paraId="5298A99E">
      <w:pPr>
        <w:overflowPunct w:val="0"/>
        <w:topLinePunct/>
        <w:autoSpaceDN w:val="0"/>
        <w:adjustRightInd w:val="0"/>
        <w:snapToGrid w:val="0"/>
        <w:spacing w:line="360" w:lineRule="auto"/>
        <w:ind w:firstLine="480" w:firstLineChars="200"/>
        <w:rPr>
          <w:rFonts w:ascii="宋体" w:hAnsi="宋体"/>
          <w:snapToGrid w:val="0"/>
          <w:kern w:val="0"/>
          <w:sz w:val="24"/>
          <w:szCs w:val="24"/>
        </w:rPr>
      </w:pPr>
      <w:r>
        <w:rPr>
          <w:rFonts w:ascii="宋体" w:hAnsi="宋体"/>
          <w:snapToGrid w:val="0"/>
          <w:kern w:val="0"/>
          <w:sz w:val="24"/>
          <w:szCs w:val="24"/>
          <w:u w:val="single"/>
        </w:rPr>
        <w:t xml:space="preserve">                              </w:t>
      </w:r>
      <w:r>
        <w:rPr>
          <w:rFonts w:ascii="宋体" w:hAnsi="宋体"/>
          <w:snapToGrid w:val="0"/>
          <w:kern w:val="0"/>
          <w:sz w:val="24"/>
          <w:szCs w:val="24"/>
        </w:rPr>
        <w:t>(</w:t>
      </w:r>
      <w:r>
        <w:rPr>
          <w:rFonts w:hint="eastAsia" w:ascii="宋体" w:hAnsi="宋体"/>
          <w:snapToGrid w:val="0"/>
          <w:kern w:val="0"/>
          <w:sz w:val="24"/>
          <w:szCs w:val="24"/>
        </w:rPr>
        <w:t>供应商全称</w:t>
      </w:r>
      <w:r>
        <w:rPr>
          <w:rFonts w:ascii="宋体" w:hAnsi="宋体"/>
          <w:snapToGrid w:val="0"/>
          <w:kern w:val="0"/>
          <w:sz w:val="24"/>
          <w:szCs w:val="24"/>
        </w:rPr>
        <w:t>)</w:t>
      </w:r>
      <w:r>
        <w:rPr>
          <w:rFonts w:hint="eastAsia" w:ascii="宋体" w:hAnsi="宋体"/>
          <w:snapToGrid w:val="0"/>
          <w:kern w:val="0"/>
          <w:sz w:val="24"/>
          <w:szCs w:val="24"/>
        </w:rPr>
        <w:t>授权</w:t>
      </w:r>
      <w:r>
        <w:rPr>
          <w:rFonts w:ascii="宋体" w:hAnsi="宋体"/>
          <w:snapToGrid w:val="0"/>
          <w:kern w:val="0"/>
          <w:sz w:val="24"/>
          <w:szCs w:val="24"/>
          <w:u w:val="single"/>
        </w:rPr>
        <w:t xml:space="preserve">          </w:t>
      </w:r>
      <w:r>
        <w:rPr>
          <w:rFonts w:ascii="宋体" w:hAnsi="宋体"/>
          <w:snapToGrid w:val="0"/>
          <w:kern w:val="0"/>
          <w:sz w:val="24"/>
          <w:szCs w:val="24"/>
        </w:rPr>
        <w:t>(</w:t>
      </w:r>
      <w:r>
        <w:rPr>
          <w:rFonts w:hint="eastAsia" w:ascii="宋体" w:hAnsi="宋体"/>
          <w:snapToGrid w:val="0"/>
          <w:kern w:val="0"/>
          <w:sz w:val="24"/>
          <w:szCs w:val="24"/>
        </w:rPr>
        <w:t>供应商代表姓名</w:t>
      </w:r>
      <w:r>
        <w:rPr>
          <w:rFonts w:ascii="宋体" w:hAnsi="宋体"/>
          <w:snapToGrid w:val="0"/>
          <w:kern w:val="0"/>
          <w:sz w:val="24"/>
          <w:szCs w:val="24"/>
        </w:rPr>
        <w:t>)</w:t>
      </w:r>
      <w:r>
        <w:rPr>
          <w:rFonts w:ascii="宋体" w:hAnsi="宋体"/>
          <w:snapToGrid w:val="0"/>
          <w:kern w:val="0"/>
          <w:sz w:val="24"/>
          <w:szCs w:val="24"/>
          <w:u w:val="single"/>
        </w:rPr>
        <w:t xml:space="preserve">            </w:t>
      </w:r>
      <w:r>
        <w:rPr>
          <w:rFonts w:ascii="宋体" w:hAnsi="宋体"/>
          <w:snapToGrid w:val="0"/>
          <w:kern w:val="0"/>
          <w:sz w:val="24"/>
          <w:szCs w:val="24"/>
        </w:rPr>
        <w:t>(</w:t>
      </w:r>
      <w:r>
        <w:rPr>
          <w:rFonts w:hint="eastAsia" w:ascii="宋体" w:hAnsi="宋体"/>
          <w:snapToGrid w:val="0"/>
          <w:kern w:val="0"/>
          <w:sz w:val="24"/>
          <w:szCs w:val="24"/>
        </w:rPr>
        <w:t>职务、职称</w:t>
      </w:r>
      <w:r>
        <w:rPr>
          <w:rFonts w:ascii="宋体" w:hAnsi="宋体"/>
          <w:snapToGrid w:val="0"/>
          <w:kern w:val="0"/>
          <w:sz w:val="24"/>
          <w:szCs w:val="24"/>
        </w:rPr>
        <w:t>)</w:t>
      </w:r>
      <w:r>
        <w:rPr>
          <w:rFonts w:hint="eastAsia" w:ascii="宋体" w:hAnsi="宋体"/>
          <w:snapToGrid w:val="0"/>
          <w:kern w:val="0"/>
          <w:sz w:val="24"/>
          <w:szCs w:val="24"/>
        </w:rPr>
        <w:t>为我方代表，参加贵方组织的</w:t>
      </w:r>
      <w:r>
        <w:rPr>
          <w:rFonts w:ascii="宋体" w:hAnsi="宋体"/>
          <w:snapToGrid w:val="0"/>
          <w:kern w:val="0"/>
          <w:sz w:val="24"/>
          <w:szCs w:val="24"/>
          <w:u w:val="single"/>
        </w:rPr>
        <w:t xml:space="preserve">                    </w:t>
      </w:r>
      <w:r>
        <w:rPr>
          <w:rFonts w:hint="eastAsia" w:ascii="宋体" w:hAnsi="宋体"/>
          <w:snapToGrid w:val="0"/>
          <w:kern w:val="0"/>
          <w:sz w:val="24"/>
          <w:szCs w:val="24"/>
          <w:u w:val="single"/>
        </w:rPr>
        <w:t xml:space="preserve">  </w:t>
      </w:r>
      <w:r>
        <w:rPr>
          <w:rFonts w:ascii="宋体" w:hAnsi="宋体"/>
          <w:snapToGrid w:val="0"/>
          <w:kern w:val="0"/>
          <w:sz w:val="24"/>
          <w:szCs w:val="24"/>
          <w:u w:val="single"/>
        </w:rPr>
        <w:t>(</w:t>
      </w:r>
      <w:r>
        <w:rPr>
          <w:rFonts w:hint="eastAsia" w:ascii="宋体" w:hAnsi="宋体"/>
          <w:snapToGrid w:val="0"/>
          <w:kern w:val="0"/>
          <w:sz w:val="24"/>
          <w:szCs w:val="24"/>
          <w:u w:val="single"/>
        </w:rPr>
        <w:t>项目名称、项目编号</w:t>
      </w:r>
      <w:r>
        <w:rPr>
          <w:rFonts w:ascii="宋体" w:hAnsi="宋体"/>
          <w:snapToGrid w:val="0"/>
          <w:kern w:val="0"/>
          <w:sz w:val="24"/>
          <w:szCs w:val="24"/>
          <w:u w:val="single"/>
        </w:rPr>
        <w:t>)</w:t>
      </w:r>
      <w:r>
        <w:rPr>
          <w:rFonts w:hint="eastAsia" w:ascii="宋体" w:hAnsi="宋体"/>
          <w:snapToGrid w:val="0"/>
          <w:kern w:val="0"/>
          <w:sz w:val="24"/>
          <w:szCs w:val="24"/>
          <w:u w:val="single"/>
        </w:rPr>
        <w:t xml:space="preserve">  </w:t>
      </w:r>
      <w:r>
        <w:rPr>
          <w:rFonts w:hint="eastAsia" w:ascii="宋体" w:hAnsi="宋体"/>
          <w:snapToGrid w:val="0"/>
          <w:kern w:val="0"/>
          <w:sz w:val="24"/>
          <w:szCs w:val="24"/>
        </w:rPr>
        <w:t>公开招标采购的有关活动，并对此项目进行投标。为此：</w:t>
      </w:r>
    </w:p>
    <w:p w14:paraId="6078E114">
      <w:pPr>
        <w:overflowPunct w:val="0"/>
        <w:topLinePunct/>
        <w:autoSpaceDN w:val="0"/>
        <w:adjustRightInd w:val="0"/>
        <w:snapToGrid w:val="0"/>
        <w:spacing w:line="360" w:lineRule="auto"/>
        <w:ind w:firstLine="480" w:firstLineChars="200"/>
        <w:rPr>
          <w:rFonts w:ascii="宋体" w:hAnsi="宋体"/>
          <w:snapToGrid w:val="0"/>
          <w:kern w:val="0"/>
          <w:sz w:val="24"/>
          <w:szCs w:val="24"/>
        </w:rPr>
      </w:pPr>
      <w:r>
        <w:rPr>
          <w:rFonts w:ascii="宋体" w:hAnsi="宋体"/>
          <w:snapToGrid w:val="0"/>
          <w:kern w:val="0"/>
          <w:sz w:val="24"/>
          <w:szCs w:val="24"/>
        </w:rPr>
        <w:t>1</w:t>
      </w:r>
      <w:r>
        <w:rPr>
          <w:rFonts w:hint="eastAsia" w:ascii="宋体" w:hAnsi="宋体"/>
          <w:snapToGrid w:val="0"/>
          <w:kern w:val="0"/>
          <w:sz w:val="24"/>
          <w:szCs w:val="24"/>
        </w:rPr>
        <w:t>、我方同意在本项目招标文件中规定的投标开启日起的有效期90日历天内遵守本投标文件中的承诺且在此期限期满之前均具有约束力。</w:t>
      </w:r>
    </w:p>
    <w:p w14:paraId="0250613A">
      <w:pPr>
        <w:overflowPunct w:val="0"/>
        <w:topLinePunct/>
        <w:autoSpaceDN w:val="0"/>
        <w:adjustRightInd w:val="0"/>
        <w:snapToGrid w:val="0"/>
        <w:spacing w:line="360" w:lineRule="auto"/>
        <w:ind w:firstLine="480" w:firstLineChars="200"/>
        <w:rPr>
          <w:rFonts w:ascii="宋体" w:hAnsi="宋体"/>
          <w:snapToGrid w:val="0"/>
          <w:kern w:val="0"/>
          <w:sz w:val="24"/>
          <w:szCs w:val="24"/>
        </w:rPr>
      </w:pPr>
      <w:r>
        <w:rPr>
          <w:rFonts w:ascii="宋体" w:hAnsi="宋体"/>
          <w:snapToGrid w:val="0"/>
          <w:kern w:val="0"/>
          <w:sz w:val="24"/>
          <w:szCs w:val="24"/>
        </w:rPr>
        <w:t>2</w:t>
      </w:r>
      <w:r>
        <w:rPr>
          <w:rFonts w:hint="eastAsia" w:ascii="宋体" w:hAnsi="宋体"/>
          <w:snapToGrid w:val="0"/>
          <w:kern w:val="0"/>
          <w:sz w:val="24"/>
          <w:szCs w:val="24"/>
        </w:rPr>
        <w:t>、我方承诺已经具备《中华人民共和国政府采购法》《中华人民共和国政府采购法实施条例》中规定的参加政府采购活动的供应商应当具备的全部条件。</w:t>
      </w:r>
    </w:p>
    <w:p w14:paraId="1B7C57C1">
      <w:pPr>
        <w:overflowPunct w:val="0"/>
        <w:topLinePunct/>
        <w:autoSpaceDN w:val="0"/>
        <w:adjustRightInd w:val="0"/>
        <w:snapToGrid w:val="0"/>
        <w:spacing w:line="360" w:lineRule="auto"/>
        <w:ind w:firstLine="480" w:firstLineChars="200"/>
        <w:rPr>
          <w:rFonts w:ascii="宋体" w:hAnsi="宋体"/>
          <w:snapToGrid w:val="0"/>
          <w:kern w:val="0"/>
          <w:sz w:val="24"/>
          <w:szCs w:val="24"/>
        </w:rPr>
      </w:pPr>
      <w:r>
        <w:rPr>
          <w:rFonts w:ascii="宋体" w:hAnsi="宋体"/>
          <w:snapToGrid w:val="0"/>
          <w:kern w:val="0"/>
          <w:sz w:val="24"/>
          <w:szCs w:val="24"/>
        </w:rPr>
        <w:t>3</w:t>
      </w:r>
      <w:r>
        <w:rPr>
          <w:rFonts w:hint="eastAsia" w:ascii="宋体" w:hAnsi="宋体"/>
          <w:snapToGrid w:val="0"/>
          <w:kern w:val="0"/>
          <w:sz w:val="24"/>
          <w:szCs w:val="24"/>
        </w:rPr>
        <w:t>、提供供应商须知规定的全部投标文件，包括投标文件、报价一览表。</w:t>
      </w:r>
    </w:p>
    <w:p w14:paraId="4FE00E84">
      <w:pPr>
        <w:overflowPunct w:val="0"/>
        <w:topLinePunct/>
        <w:autoSpaceDN w:val="0"/>
        <w:adjustRightInd w:val="0"/>
        <w:snapToGrid w:val="0"/>
        <w:spacing w:line="360" w:lineRule="auto"/>
        <w:ind w:firstLine="480" w:firstLineChars="200"/>
        <w:rPr>
          <w:rFonts w:ascii="宋体" w:hAnsi="宋体"/>
          <w:snapToGrid w:val="0"/>
          <w:kern w:val="0"/>
          <w:sz w:val="24"/>
          <w:szCs w:val="24"/>
        </w:rPr>
      </w:pPr>
      <w:r>
        <w:rPr>
          <w:rFonts w:ascii="宋体" w:hAnsi="宋体"/>
          <w:snapToGrid w:val="0"/>
          <w:kern w:val="0"/>
          <w:sz w:val="24"/>
          <w:szCs w:val="24"/>
        </w:rPr>
        <w:t>4</w:t>
      </w:r>
      <w:r>
        <w:rPr>
          <w:rFonts w:hint="eastAsia" w:ascii="宋体" w:hAnsi="宋体"/>
          <w:snapToGrid w:val="0"/>
          <w:kern w:val="0"/>
          <w:sz w:val="24"/>
          <w:szCs w:val="24"/>
        </w:rPr>
        <w:t>、按招标文件要求提供和交付的服务的投标报价详见报价一览表。</w:t>
      </w:r>
    </w:p>
    <w:p w14:paraId="0B16533A">
      <w:pPr>
        <w:overflowPunct w:val="0"/>
        <w:topLinePunct/>
        <w:autoSpaceDN w:val="0"/>
        <w:adjustRightInd w:val="0"/>
        <w:snapToGrid w:val="0"/>
        <w:spacing w:line="360" w:lineRule="auto"/>
        <w:ind w:firstLine="480" w:firstLineChars="200"/>
        <w:rPr>
          <w:rFonts w:ascii="宋体" w:hAnsi="宋体"/>
          <w:snapToGrid w:val="0"/>
          <w:kern w:val="0"/>
          <w:sz w:val="24"/>
          <w:szCs w:val="24"/>
        </w:rPr>
      </w:pPr>
      <w:r>
        <w:rPr>
          <w:rFonts w:ascii="宋体" w:hAnsi="宋体"/>
          <w:snapToGrid w:val="0"/>
          <w:kern w:val="0"/>
          <w:sz w:val="24"/>
          <w:szCs w:val="24"/>
        </w:rPr>
        <w:t>5</w:t>
      </w:r>
      <w:r>
        <w:rPr>
          <w:rFonts w:hint="eastAsia" w:ascii="宋体" w:hAnsi="宋体"/>
          <w:snapToGrid w:val="0"/>
          <w:kern w:val="0"/>
          <w:sz w:val="24"/>
          <w:szCs w:val="24"/>
        </w:rPr>
        <w:t>、我方承诺：完全理解投标报价超过预算金额时，投标将被拒绝。</w:t>
      </w:r>
    </w:p>
    <w:p w14:paraId="0D422491">
      <w:pPr>
        <w:overflowPunct w:val="0"/>
        <w:topLinePunct/>
        <w:autoSpaceDN w:val="0"/>
        <w:adjustRightInd w:val="0"/>
        <w:snapToGrid w:val="0"/>
        <w:spacing w:line="360" w:lineRule="auto"/>
        <w:ind w:firstLine="480" w:firstLineChars="200"/>
        <w:rPr>
          <w:rFonts w:ascii="宋体" w:hAnsi="宋体"/>
          <w:snapToGrid w:val="0"/>
          <w:kern w:val="0"/>
          <w:sz w:val="24"/>
          <w:szCs w:val="24"/>
        </w:rPr>
      </w:pPr>
      <w:r>
        <w:rPr>
          <w:rFonts w:ascii="宋体" w:hAnsi="宋体"/>
          <w:snapToGrid w:val="0"/>
          <w:kern w:val="0"/>
          <w:sz w:val="24"/>
          <w:szCs w:val="24"/>
        </w:rPr>
        <w:t>6</w:t>
      </w:r>
      <w:r>
        <w:rPr>
          <w:rFonts w:hint="eastAsia" w:ascii="宋体" w:hAnsi="宋体"/>
          <w:snapToGrid w:val="0"/>
          <w:kern w:val="0"/>
          <w:sz w:val="24"/>
          <w:szCs w:val="24"/>
        </w:rPr>
        <w:t>、保证忠实地执行双方所签订的合同，并承担合同规定的责任和义务。</w:t>
      </w:r>
    </w:p>
    <w:p w14:paraId="64BDF0FF">
      <w:pPr>
        <w:overflowPunct w:val="0"/>
        <w:topLinePunct/>
        <w:autoSpaceDN w:val="0"/>
        <w:adjustRightInd w:val="0"/>
        <w:snapToGrid w:val="0"/>
        <w:spacing w:line="360" w:lineRule="auto"/>
        <w:ind w:firstLine="480" w:firstLineChars="200"/>
        <w:rPr>
          <w:rFonts w:ascii="宋体" w:hAnsi="宋体"/>
          <w:snapToGrid w:val="0"/>
          <w:kern w:val="0"/>
          <w:sz w:val="24"/>
          <w:szCs w:val="24"/>
        </w:rPr>
      </w:pPr>
      <w:r>
        <w:rPr>
          <w:rFonts w:ascii="宋体" w:hAnsi="宋体"/>
          <w:snapToGrid w:val="0"/>
          <w:kern w:val="0"/>
          <w:sz w:val="24"/>
          <w:szCs w:val="24"/>
        </w:rPr>
        <w:t>7</w:t>
      </w:r>
      <w:r>
        <w:rPr>
          <w:rFonts w:hint="eastAsia" w:ascii="宋体" w:hAnsi="宋体"/>
          <w:snapToGrid w:val="0"/>
          <w:kern w:val="0"/>
          <w:sz w:val="24"/>
          <w:szCs w:val="24"/>
        </w:rPr>
        <w:t>、承诺完全满足和招标响应招标文件中的各项服务要求，若有偏差，已在投标文件服务条款偏离表中予以明确特别说明。</w:t>
      </w:r>
    </w:p>
    <w:p w14:paraId="7C345BC8">
      <w:pPr>
        <w:overflowPunct w:val="0"/>
        <w:topLinePunct/>
        <w:autoSpaceDN w:val="0"/>
        <w:adjustRightInd w:val="0"/>
        <w:snapToGrid w:val="0"/>
        <w:spacing w:line="360" w:lineRule="auto"/>
        <w:ind w:firstLine="480" w:firstLineChars="200"/>
        <w:rPr>
          <w:rFonts w:ascii="宋体" w:hAnsi="宋体"/>
          <w:snapToGrid w:val="0"/>
          <w:kern w:val="0"/>
          <w:sz w:val="24"/>
          <w:szCs w:val="24"/>
        </w:rPr>
      </w:pPr>
      <w:r>
        <w:rPr>
          <w:rFonts w:ascii="宋体" w:hAnsi="宋体"/>
          <w:snapToGrid w:val="0"/>
          <w:kern w:val="0"/>
          <w:sz w:val="24"/>
          <w:szCs w:val="24"/>
        </w:rPr>
        <w:t>8</w:t>
      </w:r>
      <w:r>
        <w:rPr>
          <w:rFonts w:hint="eastAsia" w:ascii="宋体" w:hAnsi="宋体"/>
          <w:snapToGrid w:val="0"/>
          <w:kern w:val="0"/>
          <w:sz w:val="24"/>
          <w:szCs w:val="24"/>
        </w:rPr>
        <w:t>、保证遵守招标文件的规定。</w:t>
      </w:r>
    </w:p>
    <w:p w14:paraId="137DA803">
      <w:pPr>
        <w:overflowPunct w:val="0"/>
        <w:topLinePunct/>
        <w:autoSpaceDN w:val="0"/>
        <w:adjustRightInd w:val="0"/>
        <w:snapToGrid w:val="0"/>
        <w:spacing w:line="360" w:lineRule="auto"/>
        <w:ind w:firstLine="480" w:firstLineChars="200"/>
        <w:rPr>
          <w:rFonts w:ascii="宋体" w:hAnsi="宋体"/>
          <w:snapToGrid w:val="0"/>
          <w:kern w:val="0"/>
          <w:sz w:val="24"/>
          <w:szCs w:val="24"/>
        </w:rPr>
      </w:pPr>
      <w:r>
        <w:rPr>
          <w:rFonts w:ascii="宋体" w:hAnsi="宋体"/>
          <w:snapToGrid w:val="0"/>
          <w:kern w:val="0"/>
          <w:sz w:val="24"/>
          <w:szCs w:val="24"/>
        </w:rPr>
        <w:t>9</w:t>
      </w:r>
      <w:r>
        <w:rPr>
          <w:rFonts w:hint="eastAsia" w:ascii="宋体" w:hAnsi="宋体"/>
          <w:snapToGrid w:val="0"/>
          <w:kern w:val="0"/>
          <w:sz w:val="24"/>
          <w:szCs w:val="24"/>
        </w:rPr>
        <w:t>、如果在投标开启后规定的投标有效期撤回投标，我方的投标保证金（如有）可被贵方没收。</w:t>
      </w:r>
    </w:p>
    <w:p w14:paraId="16E6769D">
      <w:pPr>
        <w:overflowPunct w:val="0"/>
        <w:topLinePunct/>
        <w:autoSpaceDN w:val="0"/>
        <w:adjustRightInd w:val="0"/>
        <w:snapToGrid w:val="0"/>
        <w:spacing w:line="360" w:lineRule="auto"/>
        <w:ind w:firstLine="480" w:firstLineChars="200"/>
        <w:rPr>
          <w:rFonts w:ascii="宋体" w:hAnsi="宋体"/>
          <w:snapToGrid w:val="0"/>
          <w:kern w:val="0"/>
          <w:sz w:val="24"/>
          <w:szCs w:val="24"/>
        </w:rPr>
      </w:pPr>
      <w:r>
        <w:rPr>
          <w:rFonts w:ascii="宋体" w:hAnsi="宋体"/>
          <w:snapToGrid w:val="0"/>
          <w:kern w:val="0"/>
          <w:sz w:val="24"/>
          <w:szCs w:val="24"/>
        </w:rPr>
        <w:t>10</w:t>
      </w:r>
      <w:r>
        <w:rPr>
          <w:rFonts w:hint="eastAsia" w:ascii="宋体" w:hAnsi="宋体"/>
          <w:snapToGrid w:val="0"/>
          <w:kern w:val="0"/>
          <w:sz w:val="24"/>
          <w:szCs w:val="24"/>
        </w:rPr>
        <w:t>、我方完全理解贵方不一定接受最低价的投标或收到的任何投标。</w:t>
      </w:r>
    </w:p>
    <w:p w14:paraId="4566A090">
      <w:pPr>
        <w:overflowPunct w:val="0"/>
        <w:topLinePunct/>
        <w:autoSpaceDN w:val="0"/>
        <w:adjustRightInd w:val="0"/>
        <w:snapToGrid w:val="0"/>
        <w:spacing w:line="360" w:lineRule="auto"/>
        <w:ind w:firstLine="480" w:firstLineChars="200"/>
        <w:rPr>
          <w:rFonts w:ascii="宋体" w:hAnsi="宋体"/>
          <w:snapToGrid w:val="0"/>
          <w:kern w:val="0"/>
          <w:sz w:val="24"/>
          <w:szCs w:val="24"/>
        </w:rPr>
      </w:pPr>
      <w:r>
        <w:rPr>
          <w:rFonts w:ascii="宋体" w:hAnsi="宋体"/>
          <w:snapToGrid w:val="0"/>
          <w:kern w:val="0"/>
          <w:sz w:val="24"/>
          <w:szCs w:val="24"/>
        </w:rPr>
        <w:t>11</w:t>
      </w:r>
      <w:r>
        <w:rPr>
          <w:rFonts w:hint="eastAsia" w:ascii="宋体" w:hAnsi="宋体"/>
          <w:snapToGrid w:val="0"/>
          <w:kern w:val="0"/>
          <w:sz w:val="24"/>
          <w:szCs w:val="24"/>
        </w:rPr>
        <w:t>、我方愿意向贵方提供任何与本项投标有关的数据、情况和技术资料。若贵方需要，我方愿意提供我方做出的一切承诺的证明材料。</w:t>
      </w:r>
    </w:p>
    <w:p w14:paraId="2BD3653C">
      <w:pPr>
        <w:overflowPunct w:val="0"/>
        <w:topLinePunct/>
        <w:autoSpaceDN w:val="0"/>
        <w:adjustRightInd w:val="0"/>
        <w:snapToGrid w:val="0"/>
        <w:spacing w:line="360" w:lineRule="auto"/>
        <w:ind w:firstLine="480" w:firstLineChars="200"/>
        <w:rPr>
          <w:rFonts w:ascii="宋体" w:hAnsi="宋体"/>
          <w:snapToGrid w:val="0"/>
          <w:kern w:val="0"/>
          <w:sz w:val="24"/>
          <w:szCs w:val="24"/>
        </w:rPr>
      </w:pPr>
      <w:r>
        <w:rPr>
          <w:rFonts w:ascii="宋体" w:hAnsi="宋体"/>
          <w:snapToGrid w:val="0"/>
          <w:kern w:val="0"/>
          <w:sz w:val="24"/>
          <w:szCs w:val="24"/>
        </w:rPr>
        <w:t>12</w:t>
      </w:r>
      <w:r>
        <w:rPr>
          <w:rFonts w:hint="eastAsia" w:ascii="宋体" w:hAnsi="宋体"/>
          <w:snapToGrid w:val="0"/>
          <w:kern w:val="0"/>
          <w:sz w:val="24"/>
          <w:szCs w:val="24"/>
        </w:rPr>
        <w:t>、我方已详细审核全部招标文件，包括招标文件修改书（如有）、参考资料及有关附件，确认无误。</w:t>
      </w:r>
    </w:p>
    <w:p w14:paraId="4253DBB7">
      <w:pPr>
        <w:overflowPunct w:val="0"/>
        <w:topLinePunct/>
        <w:autoSpaceDN w:val="0"/>
        <w:adjustRightInd w:val="0"/>
        <w:snapToGrid w:val="0"/>
        <w:spacing w:line="360" w:lineRule="auto"/>
        <w:ind w:firstLine="480" w:firstLineChars="200"/>
        <w:rPr>
          <w:rFonts w:ascii="宋体" w:hAnsi="宋体"/>
          <w:snapToGrid w:val="0"/>
          <w:kern w:val="0"/>
          <w:sz w:val="24"/>
          <w:szCs w:val="24"/>
        </w:rPr>
      </w:pPr>
      <w:r>
        <w:rPr>
          <w:rFonts w:ascii="宋体" w:hAnsi="宋体"/>
          <w:snapToGrid w:val="0"/>
          <w:kern w:val="0"/>
          <w:sz w:val="24"/>
          <w:szCs w:val="24"/>
        </w:rPr>
        <w:t>13</w:t>
      </w:r>
      <w:r>
        <w:rPr>
          <w:rFonts w:hint="eastAsia" w:ascii="宋体" w:hAnsi="宋体"/>
          <w:snapToGrid w:val="0"/>
          <w:kern w:val="0"/>
          <w:sz w:val="24"/>
          <w:szCs w:val="24"/>
        </w:rPr>
        <w:t>、我方承诺：采购人若需追加采购本项目招标文件所列相关服务的，在不改变合同其他实质性条款的前提下，按相同或更优惠的折扣率保证服务。</w:t>
      </w:r>
    </w:p>
    <w:p w14:paraId="43571AB5">
      <w:pPr>
        <w:overflowPunct w:val="0"/>
        <w:topLinePunct/>
        <w:autoSpaceDN w:val="0"/>
        <w:adjustRightInd w:val="0"/>
        <w:snapToGrid w:val="0"/>
        <w:spacing w:line="360" w:lineRule="auto"/>
        <w:ind w:firstLine="480" w:firstLineChars="200"/>
        <w:rPr>
          <w:rFonts w:ascii="宋体" w:hAnsi="宋体"/>
          <w:snapToGrid w:val="0"/>
          <w:kern w:val="0"/>
          <w:sz w:val="24"/>
          <w:szCs w:val="24"/>
        </w:rPr>
      </w:pPr>
      <w:r>
        <w:rPr>
          <w:rFonts w:ascii="宋体" w:hAnsi="宋体"/>
          <w:snapToGrid w:val="0"/>
          <w:kern w:val="0"/>
          <w:sz w:val="24"/>
          <w:szCs w:val="24"/>
        </w:rPr>
        <w:t>14</w:t>
      </w:r>
      <w:r>
        <w:rPr>
          <w:rFonts w:hint="eastAsia" w:ascii="宋体" w:hAnsi="宋体"/>
          <w:snapToGrid w:val="0"/>
          <w:kern w:val="0"/>
          <w:sz w:val="24"/>
          <w:szCs w:val="24"/>
        </w:rPr>
        <w:t>、我方将严格遵守《中华人民共和国政府采购法》《中华人民共和国政府采购法实施条例》的有关规定，若有下列情形之一的，将被处以采购金额</w:t>
      </w:r>
      <w:r>
        <w:rPr>
          <w:rFonts w:ascii="宋体" w:hAnsi="宋体"/>
          <w:snapToGrid w:val="0"/>
          <w:kern w:val="0"/>
          <w:sz w:val="24"/>
          <w:szCs w:val="24"/>
        </w:rPr>
        <w:t>5</w:t>
      </w:r>
      <w:r>
        <w:rPr>
          <w:rFonts w:hint="eastAsia" w:ascii="宋体" w:hAnsi="宋体"/>
          <w:snapToGrid w:val="0"/>
          <w:kern w:val="0"/>
          <w:sz w:val="24"/>
          <w:szCs w:val="24"/>
        </w:rPr>
        <w:t>‰以上</w:t>
      </w:r>
      <w:r>
        <w:rPr>
          <w:rFonts w:ascii="宋体" w:hAnsi="宋体"/>
          <w:snapToGrid w:val="0"/>
          <w:kern w:val="0"/>
          <w:sz w:val="24"/>
          <w:szCs w:val="24"/>
        </w:rPr>
        <w:t>10</w:t>
      </w:r>
      <w:r>
        <w:rPr>
          <w:rFonts w:hint="eastAsia" w:ascii="宋体" w:hAnsi="宋体"/>
          <w:snapToGrid w:val="0"/>
          <w:kern w:val="0"/>
          <w:sz w:val="24"/>
          <w:szCs w:val="24"/>
        </w:rPr>
        <w:t>‰以下的罚款，列入不良行为记录名单，在一至三年内禁止参加政府采购活动；有违法所得的，并处没收违法所得；情节严重的，由工商行政管理局（市场监督管理局）吊销营业执照或事业单位法人证书；构成犯罪的，依法追究刑事责任：</w:t>
      </w:r>
    </w:p>
    <w:p w14:paraId="00E0501C">
      <w:pPr>
        <w:overflowPunct w:val="0"/>
        <w:topLinePunct/>
        <w:autoSpaceDN w:val="0"/>
        <w:adjustRightInd w:val="0"/>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w:t>
      </w:r>
      <w:r>
        <w:rPr>
          <w:rFonts w:ascii="宋体" w:hAnsi="宋体"/>
          <w:snapToGrid w:val="0"/>
          <w:kern w:val="0"/>
          <w:sz w:val="24"/>
          <w:szCs w:val="24"/>
        </w:rPr>
        <w:t>1</w:t>
      </w:r>
      <w:r>
        <w:rPr>
          <w:rFonts w:hint="eastAsia" w:ascii="宋体" w:hAnsi="宋体"/>
          <w:snapToGrid w:val="0"/>
          <w:kern w:val="0"/>
          <w:sz w:val="24"/>
          <w:szCs w:val="24"/>
        </w:rPr>
        <w:t>）提供虚假材料谋取成交、成交的；</w:t>
      </w:r>
    </w:p>
    <w:p w14:paraId="52FE9C98">
      <w:pPr>
        <w:overflowPunct w:val="0"/>
        <w:topLinePunct/>
        <w:autoSpaceDN w:val="0"/>
        <w:adjustRightInd w:val="0"/>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w:t>
      </w:r>
      <w:r>
        <w:rPr>
          <w:rFonts w:ascii="宋体" w:hAnsi="宋体"/>
          <w:snapToGrid w:val="0"/>
          <w:kern w:val="0"/>
          <w:sz w:val="24"/>
          <w:szCs w:val="24"/>
        </w:rPr>
        <w:t>2</w:t>
      </w:r>
      <w:r>
        <w:rPr>
          <w:rFonts w:hint="eastAsia" w:ascii="宋体" w:hAnsi="宋体"/>
          <w:snapToGrid w:val="0"/>
          <w:kern w:val="0"/>
          <w:sz w:val="24"/>
          <w:szCs w:val="24"/>
        </w:rPr>
        <w:t>）采取不正当手段诋毁、排挤其他供应商的；</w:t>
      </w:r>
    </w:p>
    <w:p w14:paraId="77BF7607">
      <w:pPr>
        <w:overflowPunct w:val="0"/>
        <w:topLinePunct/>
        <w:autoSpaceDN w:val="0"/>
        <w:adjustRightInd w:val="0"/>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w:t>
      </w:r>
      <w:r>
        <w:rPr>
          <w:rFonts w:ascii="宋体" w:hAnsi="宋体"/>
          <w:snapToGrid w:val="0"/>
          <w:kern w:val="0"/>
          <w:sz w:val="24"/>
          <w:szCs w:val="24"/>
        </w:rPr>
        <w:t>3</w:t>
      </w:r>
      <w:r>
        <w:rPr>
          <w:rFonts w:hint="eastAsia" w:ascii="宋体" w:hAnsi="宋体"/>
          <w:snapToGrid w:val="0"/>
          <w:kern w:val="0"/>
          <w:sz w:val="24"/>
          <w:szCs w:val="24"/>
        </w:rPr>
        <w:t>）与采购人、其它供应商或者</w:t>
      </w:r>
      <w:r>
        <w:rPr>
          <w:rFonts w:hint="eastAsia" w:ascii="宋体" w:hAnsi="宋体"/>
          <w:snapToGrid w:val="0"/>
          <w:kern w:val="0"/>
          <w:sz w:val="24"/>
          <w:szCs w:val="24"/>
          <w:lang w:eastAsia="zh-CN"/>
        </w:rPr>
        <w:t>采购代理机构</w:t>
      </w:r>
      <w:r>
        <w:rPr>
          <w:rFonts w:hint="eastAsia" w:ascii="宋体" w:hAnsi="宋体"/>
          <w:snapToGrid w:val="0"/>
          <w:kern w:val="0"/>
          <w:sz w:val="24"/>
          <w:szCs w:val="24"/>
        </w:rPr>
        <w:t>工作人员恶意串通的；</w:t>
      </w:r>
    </w:p>
    <w:p w14:paraId="447A75C7">
      <w:pPr>
        <w:overflowPunct w:val="0"/>
        <w:topLinePunct/>
        <w:autoSpaceDN w:val="0"/>
        <w:adjustRightInd w:val="0"/>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w:t>
      </w:r>
      <w:r>
        <w:rPr>
          <w:rFonts w:ascii="宋体" w:hAnsi="宋体"/>
          <w:snapToGrid w:val="0"/>
          <w:kern w:val="0"/>
          <w:sz w:val="24"/>
          <w:szCs w:val="24"/>
        </w:rPr>
        <w:t>4</w:t>
      </w:r>
      <w:r>
        <w:rPr>
          <w:rFonts w:hint="eastAsia" w:ascii="宋体" w:hAnsi="宋体"/>
          <w:snapToGrid w:val="0"/>
          <w:kern w:val="0"/>
          <w:sz w:val="24"/>
          <w:szCs w:val="24"/>
        </w:rPr>
        <w:t>）向采购人、</w:t>
      </w:r>
      <w:r>
        <w:rPr>
          <w:rFonts w:hint="eastAsia" w:ascii="宋体" w:hAnsi="宋体"/>
          <w:snapToGrid w:val="0"/>
          <w:kern w:val="0"/>
          <w:sz w:val="24"/>
          <w:szCs w:val="24"/>
          <w:lang w:eastAsia="zh-CN"/>
        </w:rPr>
        <w:t>采购代理机构</w:t>
      </w:r>
      <w:r>
        <w:rPr>
          <w:rFonts w:hint="eastAsia" w:ascii="宋体" w:hAnsi="宋体"/>
          <w:snapToGrid w:val="0"/>
          <w:kern w:val="0"/>
          <w:sz w:val="24"/>
          <w:szCs w:val="24"/>
        </w:rPr>
        <w:t>工作人员行贿或者提供其他不正当利益的；</w:t>
      </w:r>
    </w:p>
    <w:p w14:paraId="7237E9CF">
      <w:pPr>
        <w:overflowPunct w:val="0"/>
        <w:topLinePunct/>
        <w:autoSpaceDN w:val="0"/>
        <w:adjustRightInd w:val="0"/>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w:t>
      </w:r>
      <w:r>
        <w:rPr>
          <w:rFonts w:ascii="宋体" w:hAnsi="宋体"/>
          <w:snapToGrid w:val="0"/>
          <w:kern w:val="0"/>
          <w:sz w:val="24"/>
          <w:szCs w:val="24"/>
        </w:rPr>
        <w:t>5</w:t>
      </w:r>
      <w:r>
        <w:rPr>
          <w:rFonts w:hint="eastAsia" w:ascii="宋体" w:hAnsi="宋体"/>
          <w:snapToGrid w:val="0"/>
          <w:kern w:val="0"/>
          <w:sz w:val="24"/>
          <w:szCs w:val="24"/>
        </w:rPr>
        <w:t>）未经</w:t>
      </w:r>
      <w:r>
        <w:rPr>
          <w:rFonts w:hint="eastAsia" w:ascii="宋体" w:hAnsi="宋体"/>
          <w:snapToGrid w:val="0"/>
          <w:kern w:val="0"/>
          <w:sz w:val="24"/>
          <w:szCs w:val="24"/>
          <w:lang w:eastAsia="zh-CN"/>
        </w:rPr>
        <w:t>采购代理机构</w:t>
      </w:r>
      <w:r>
        <w:rPr>
          <w:rFonts w:hint="eastAsia" w:ascii="宋体" w:hAnsi="宋体"/>
          <w:snapToGrid w:val="0"/>
          <w:kern w:val="0"/>
          <w:sz w:val="24"/>
          <w:szCs w:val="24"/>
        </w:rPr>
        <w:t>同意，在采购过程中与采购人进行协商投标的；</w:t>
      </w:r>
    </w:p>
    <w:p w14:paraId="61B92239">
      <w:pPr>
        <w:overflowPunct w:val="0"/>
        <w:topLinePunct/>
        <w:autoSpaceDN w:val="0"/>
        <w:adjustRightInd w:val="0"/>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w:t>
      </w:r>
      <w:r>
        <w:rPr>
          <w:rFonts w:ascii="宋体" w:hAnsi="宋体"/>
          <w:snapToGrid w:val="0"/>
          <w:kern w:val="0"/>
          <w:sz w:val="24"/>
          <w:szCs w:val="24"/>
        </w:rPr>
        <w:t>6</w:t>
      </w:r>
      <w:r>
        <w:rPr>
          <w:rFonts w:hint="eastAsia" w:ascii="宋体" w:hAnsi="宋体"/>
          <w:snapToGrid w:val="0"/>
          <w:kern w:val="0"/>
          <w:sz w:val="24"/>
          <w:szCs w:val="24"/>
        </w:rPr>
        <w:t>）拒绝有关部门监督检查或提供虚假情况的。</w:t>
      </w:r>
    </w:p>
    <w:p w14:paraId="00E918F3">
      <w:pPr>
        <w:overflowPunct w:val="0"/>
        <w:topLinePunct/>
        <w:autoSpaceDN w:val="0"/>
        <w:adjustRightInd w:val="0"/>
        <w:snapToGrid w:val="0"/>
        <w:spacing w:line="360" w:lineRule="auto"/>
        <w:ind w:firstLine="480" w:firstLineChars="200"/>
        <w:rPr>
          <w:rFonts w:ascii="宋体" w:hAnsi="宋体"/>
          <w:snapToGrid w:val="0"/>
          <w:kern w:val="0"/>
          <w:sz w:val="24"/>
          <w:szCs w:val="24"/>
        </w:rPr>
      </w:pPr>
    </w:p>
    <w:p w14:paraId="7EDC8588">
      <w:pPr>
        <w:overflowPunct w:val="0"/>
        <w:topLinePunct/>
        <w:autoSpaceDN w:val="0"/>
        <w:adjustRightInd w:val="0"/>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所有有关本投标的一切往来联系方式为：</w:t>
      </w:r>
    </w:p>
    <w:p w14:paraId="13458BF5">
      <w:pPr>
        <w:overflowPunct w:val="0"/>
        <w:topLinePunct/>
        <w:autoSpaceDN w:val="0"/>
        <w:adjustRightInd w:val="0"/>
        <w:snapToGrid w:val="0"/>
        <w:spacing w:line="360" w:lineRule="auto"/>
        <w:ind w:firstLine="480" w:firstLineChars="200"/>
        <w:rPr>
          <w:rFonts w:ascii="宋体" w:hAnsi="宋体"/>
          <w:snapToGrid w:val="0"/>
          <w:kern w:val="0"/>
          <w:sz w:val="24"/>
          <w:szCs w:val="24"/>
          <w:u w:val="single"/>
        </w:rPr>
      </w:pPr>
      <w:r>
        <w:rPr>
          <w:rFonts w:hint="eastAsia" w:ascii="宋体" w:hAnsi="宋体"/>
          <w:snapToGrid w:val="0"/>
          <w:kern w:val="0"/>
          <w:sz w:val="24"/>
          <w:szCs w:val="24"/>
        </w:rPr>
        <w:t>地址：</w:t>
      </w:r>
      <w:r>
        <w:rPr>
          <w:rFonts w:ascii="宋体" w:hAnsi="宋体"/>
          <w:snapToGrid w:val="0"/>
          <w:kern w:val="0"/>
          <w:sz w:val="24"/>
          <w:szCs w:val="24"/>
          <w:u w:val="single"/>
        </w:rPr>
        <w:tab/>
      </w:r>
      <w:r>
        <w:rPr>
          <w:rFonts w:ascii="宋体" w:hAnsi="宋体"/>
          <w:snapToGrid w:val="0"/>
          <w:kern w:val="0"/>
          <w:sz w:val="24"/>
          <w:szCs w:val="24"/>
          <w:u w:val="single"/>
        </w:rPr>
        <w:t xml:space="preserve">                      </w:t>
      </w:r>
      <w:r>
        <w:rPr>
          <w:rFonts w:ascii="宋体" w:hAnsi="宋体"/>
          <w:snapToGrid w:val="0"/>
          <w:kern w:val="0"/>
          <w:sz w:val="24"/>
          <w:szCs w:val="24"/>
        </w:rPr>
        <w:t xml:space="preserve">      </w:t>
      </w:r>
      <w:r>
        <w:rPr>
          <w:rFonts w:hint="eastAsia" w:ascii="宋体" w:hAnsi="宋体"/>
          <w:snapToGrid w:val="0"/>
          <w:kern w:val="0"/>
          <w:sz w:val="24"/>
          <w:szCs w:val="24"/>
        </w:rPr>
        <w:t>邮编：</w:t>
      </w:r>
      <w:r>
        <w:rPr>
          <w:rFonts w:ascii="宋体" w:hAnsi="宋体"/>
          <w:snapToGrid w:val="0"/>
          <w:kern w:val="0"/>
          <w:sz w:val="24"/>
          <w:szCs w:val="24"/>
          <w:u w:val="single"/>
        </w:rPr>
        <w:t xml:space="preserve">                      </w:t>
      </w:r>
    </w:p>
    <w:p w14:paraId="4FBEB2F1">
      <w:pPr>
        <w:overflowPunct w:val="0"/>
        <w:topLinePunct/>
        <w:autoSpaceDN w:val="0"/>
        <w:adjustRightInd w:val="0"/>
        <w:snapToGrid w:val="0"/>
        <w:spacing w:line="360" w:lineRule="auto"/>
        <w:ind w:firstLine="480" w:firstLineChars="200"/>
        <w:rPr>
          <w:rFonts w:ascii="宋体" w:hAnsi="宋体"/>
          <w:snapToGrid w:val="0"/>
          <w:kern w:val="0"/>
          <w:sz w:val="24"/>
          <w:szCs w:val="24"/>
          <w:u w:val="single"/>
        </w:rPr>
      </w:pPr>
      <w:r>
        <w:rPr>
          <w:rFonts w:hint="eastAsia" w:ascii="宋体" w:hAnsi="宋体"/>
          <w:snapToGrid w:val="0"/>
          <w:kern w:val="0"/>
          <w:sz w:val="24"/>
          <w:szCs w:val="24"/>
        </w:rPr>
        <w:t>电话：</w:t>
      </w:r>
      <w:r>
        <w:rPr>
          <w:rFonts w:ascii="宋体" w:hAnsi="宋体"/>
          <w:snapToGrid w:val="0"/>
          <w:kern w:val="0"/>
          <w:sz w:val="24"/>
          <w:szCs w:val="24"/>
          <w:u w:val="single"/>
        </w:rPr>
        <w:tab/>
      </w:r>
      <w:r>
        <w:rPr>
          <w:rFonts w:ascii="宋体" w:hAnsi="宋体"/>
          <w:snapToGrid w:val="0"/>
          <w:kern w:val="0"/>
          <w:sz w:val="24"/>
          <w:szCs w:val="24"/>
          <w:u w:val="single"/>
        </w:rPr>
        <w:t xml:space="preserve">                      </w:t>
      </w:r>
      <w:r>
        <w:rPr>
          <w:rFonts w:ascii="宋体" w:hAnsi="宋体"/>
          <w:snapToGrid w:val="0"/>
          <w:kern w:val="0"/>
          <w:sz w:val="24"/>
          <w:szCs w:val="24"/>
        </w:rPr>
        <w:t xml:space="preserve">      </w:t>
      </w:r>
      <w:r>
        <w:rPr>
          <w:rFonts w:hint="eastAsia" w:ascii="宋体" w:hAnsi="宋体"/>
          <w:snapToGrid w:val="0"/>
          <w:kern w:val="0"/>
          <w:sz w:val="24"/>
          <w:szCs w:val="24"/>
        </w:rPr>
        <w:t>传真：</w:t>
      </w:r>
      <w:r>
        <w:rPr>
          <w:rFonts w:ascii="宋体" w:hAnsi="宋体"/>
          <w:snapToGrid w:val="0"/>
          <w:kern w:val="0"/>
          <w:sz w:val="24"/>
          <w:szCs w:val="24"/>
          <w:u w:val="single"/>
        </w:rPr>
        <w:t xml:space="preserve">                      </w:t>
      </w:r>
    </w:p>
    <w:p w14:paraId="3B2AD1E5">
      <w:pPr>
        <w:tabs>
          <w:tab w:val="left" w:pos="480"/>
        </w:tabs>
        <w:overflowPunct w:val="0"/>
        <w:topLinePunct/>
        <w:autoSpaceDN w:val="0"/>
        <w:adjustRightInd w:val="0"/>
        <w:snapToGrid w:val="0"/>
        <w:spacing w:line="360" w:lineRule="auto"/>
        <w:ind w:firstLine="480" w:firstLineChars="200"/>
        <w:rPr>
          <w:rFonts w:ascii="宋体" w:hAnsi="宋体"/>
          <w:snapToGrid w:val="0"/>
          <w:kern w:val="0"/>
          <w:sz w:val="24"/>
          <w:szCs w:val="24"/>
          <w:u w:val="single"/>
        </w:rPr>
      </w:pPr>
      <w:r>
        <w:rPr>
          <w:rFonts w:hint="eastAsia" w:ascii="宋体" w:hAnsi="宋体"/>
          <w:snapToGrid w:val="0"/>
          <w:kern w:val="0"/>
          <w:sz w:val="24"/>
          <w:szCs w:val="24"/>
        </w:rPr>
        <w:t>供应商代表姓名：</w:t>
      </w:r>
      <w:r>
        <w:rPr>
          <w:rFonts w:ascii="宋体" w:hAnsi="宋体"/>
          <w:snapToGrid w:val="0"/>
          <w:kern w:val="0"/>
          <w:sz w:val="24"/>
          <w:szCs w:val="24"/>
          <w:u w:val="single"/>
        </w:rPr>
        <w:t xml:space="preserve">            </w:t>
      </w:r>
    </w:p>
    <w:p w14:paraId="18D489B1">
      <w:pPr>
        <w:tabs>
          <w:tab w:val="left" w:pos="480"/>
        </w:tabs>
        <w:overflowPunct w:val="0"/>
        <w:topLinePunct/>
        <w:autoSpaceDN w:val="0"/>
        <w:adjustRightInd w:val="0"/>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供应商代表联系电话：</w:t>
      </w:r>
      <w:r>
        <w:rPr>
          <w:rFonts w:ascii="宋体" w:hAnsi="宋体"/>
          <w:snapToGrid w:val="0"/>
          <w:kern w:val="0"/>
          <w:sz w:val="24"/>
          <w:szCs w:val="24"/>
          <w:u w:val="single"/>
        </w:rPr>
        <w:t xml:space="preserve">              </w:t>
      </w:r>
      <w:r>
        <w:rPr>
          <w:rFonts w:ascii="宋体" w:hAnsi="宋体"/>
          <w:snapToGrid w:val="0"/>
          <w:kern w:val="0"/>
          <w:sz w:val="24"/>
          <w:szCs w:val="24"/>
        </w:rPr>
        <w:t xml:space="preserve"> </w:t>
      </w:r>
      <w:r>
        <w:rPr>
          <w:rFonts w:hint="eastAsia" w:ascii="宋体" w:hAnsi="宋体"/>
          <w:snapToGrid w:val="0"/>
          <w:kern w:val="0"/>
          <w:sz w:val="24"/>
          <w:szCs w:val="24"/>
        </w:rPr>
        <w:t>（办公）</w:t>
      </w:r>
      <w:r>
        <w:rPr>
          <w:rFonts w:ascii="宋体" w:hAnsi="宋体"/>
          <w:snapToGrid w:val="0"/>
          <w:kern w:val="0"/>
          <w:sz w:val="24"/>
          <w:szCs w:val="24"/>
          <w:u w:val="single"/>
        </w:rPr>
        <w:t xml:space="preserve">             </w:t>
      </w:r>
      <w:r>
        <w:rPr>
          <w:rFonts w:hint="eastAsia" w:ascii="宋体" w:hAnsi="宋体"/>
          <w:snapToGrid w:val="0"/>
          <w:kern w:val="0"/>
          <w:sz w:val="24"/>
          <w:szCs w:val="24"/>
        </w:rPr>
        <w:t>（移动）</w:t>
      </w:r>
    </w:p>
    <w:p w14:paraId="60DDA19D">
      <w:pPr>
        <w:tabs>
          <w:tab w:val="left" w:pos="480"/>
        </w:tabs>
        <w:overflowPunct w:val="0"/>
        <w:topLinePunct/>
        <w:autoSpaceDN w:val="0"/>
        <w:adjustRightInd w:val="0"/>
        <w:snapToGrid w:val="0"/>
        <w:spacing w:line="360" w:lineRule="auto"/>
        <w:ind w:firstLine="480" w:firstLineChars="200"/>
        <w:rPr>
          <w:rFonts w:ascii="宋体" w:hAnsi="宋体"/>
          <w:snapToGrid w:val="0"/>
          <w:kern w:val="0"/>
          <w:sz w:val="24"/>
          <w:szCs w:val="24"/>
          <w:u w:val="single"/>
        </w:rPr>
      </w:pPr>
      <w:r>
        <w:rPr>
          <w:rFonts w:ascii="宋体" w:hAnsi="宋体"/>
          <w:snapToGrid w:val="0"/>
          <w:kern w:val="0"/>
          <w:sz w:val="24"/>
          <w:szCs w:val="24"/>
        </w:rPr>
        <w:t>E-mail</w:t>
      </w:r>
      <w:r>
        <w:rPr>
          <w:rFonts w:hint="eastAsia" w:ascii="宋体" w:hAnsi="宋体"/>
          <w:snapToGrid w:val="0"/>
          <w:kern w:val="0"/>
          <w:sz w:val="24"/>
          <w:szCs w:val="24"/>
        </w:rPr>
        <w:t>：</w:t>
      </w:r>
      <w:r>
        <w:rPr>
          <w:rFonts w:ascii="宋体" w:hAnsi="宋体"/>
          <w:snapToGrid w:val="0"/>
          <w:kern w:val="0"/>
          <w:sz w:val="24"/>
          <w:szCs w:val="24"/>
          <w:u w:val="single"/>
        </w:rPr>
        <w:t xml:space="preserve">                    </w:t>
      </w:r>
    </w:p>
    <w:p w14:paraId="25EB704C">
      <w:pPr>
        <w:overflowPunct w:val="0"/>
        <w:topLinePunct/>
        <w:autoSpaceDN w:val="0"/>
        <w:adjustRightInd w:val="0"/>
        <w:snapToGrid w:val="0"/>
        <w:spacing w:line="360" w:lineRule="auto"/>
        <w:ind w:firstLine="480" w:firstLineChars="200"/>
        <w:rPr>
          <w:rFonts w:ascii="宋体" w:hAnsi="宋体"/>
          <w:snapToGrid w:val="0"/>
          <w:kern w:val="0"/>
          <w:sz w:val="24"/>
          <w:szCs w:val="24"/>
        </w:rPr>
      </w:pPr>
    </w:p>
    <w:p w14:paraId="5A165D31">
      <w:pPr>
        <w:tabs>
          <w:tab w:val="left" w:pos="4000"/>
        </w:tabs>
        <w:overflowPunct w:val="0"/>
        <w:topLinePunct/>
        <w:autoSpaceDN w:val="0"/>
        <w:adjustRightInd w:val="0"/>
        <w:snapToGrid w:val="0"/>
        <w:spacing w:line="360" w:lineRule="auto"/>
        <w:ind w:firstLine="480" w:firstLineChars="200"/>
        <w:rPr>
          <w:rFonts w:ascii="宋体" w:hAnsi="宋体"/>
          <w:snapToGrid w:val="0"/>
          <w:kern w:val="0"/>
          <w:sz w:val="24"/>
          <w:szCs w:val="24"/>
          <w:u w:val="single"/>
        </w:rPr>
      </w:pPr>
      <w:r>
        <w:rPr>
          <w:rFonts w:ascii="宋体" w:hAnsi="宋体"/>
          <w:snapToGrid w:val="0"/>
          <w:kern w:val="0"/>
          <w:sz w:val="24"/>
          <w:szCs w:val="24"/>
        </w:rPr>
        <w:tab/>
      </w:r>
      <w:r>
        <w:rPr>
          <w:rFonts w:hint="eastAsia" w:ascii="宋体" w:hAnsi="宋体"/>
          <w:snapToGrid w:val="0"/>
          <w:kern w:val="0"/>
          <w:sz w:val="24"/>
          <w:szCs w:val="24"/>
        </w:rPr>
        <w:t>供应商</w:t>
      </w:r>
      <w:r>
        <w:rPr>
          <w:rFonts w:ascii="宋体" w:hAnsi="宋体"/>
          <w:snapToGrid w:val="0"/>
          <w:kern w:val="0"/>
          <w:sz w:val="24"/>
          <w:szCs w:val="24"/>
        </w:rPr>
        <w:t>(</w:t>
      </w:r>
      <w:r>
        <w:rPr>
          <w:rFonts w:hint="eastAsia" w:ascii="宋体" w:hAnsi="宋体" w:cs="宋体"/>
          <w:kern w:val="0"/>
          <w:sz w:val="24"/>
          <w:szCs w:val="24"/>
        </w:rPr>
        <w:t>电子公章</w:t>
      </w:r>
      <w:r>
        <w:rPr>
          <w:rFonts w:ascii="宋体" w:hAnsi="宋体"/>
          <w:snapToGrid w:val="0"/>
          <w:kern w:val="0"/>
          <w:sz w:val="24"/>
          <w:szCs w:val="24"/>
        </w:rPr>
        <w:t>)</w:t>
      </w:r>
      <w:r>
        <w:rPr>
          <w:rFonts w:hint="eastAsia" w:ascii="宋体" w:hAnsi="宋体"/>
          <w:snapToGrid w:val="0"/>
          <w:kern w:val="0"/>
          <w:sz w:val="24"/>
          <w:szCs w:val="24"/>
        </w:rPr>
        <w:t>：</w:t>
      </w:r>
      <w:r>
        <w:rPr>
          <w:rFonts w:ascii="宋体" w:hAnsi="宋体"/>
          <w:snapToGrid w:val="0"/>
          <w:kern w:val="0"/>
          <w:sz w:val="24"/>
          <w:szCs w:val="24"/>
          <w:u w:val="single"/>
        </w:rPr>
        <w:t xml:space="preserve">  </w:t>
      </w:r>
      <w:r>
        <w:rPr>
          <w:rFonts w:hint="eastAsia" w:ascii="宋体" w:hAnsi="宋体"/>
          <w:snapToGrid w:val="0"/>
          <w:kern w:val="0"/>
          <w:sz w:val="24"/>
          <w:szCs w:val="24"/>
          <w:u w:val="single"/>
        </w:rPr>
        <w:t xml:space="preserve"> </w:t>
      </w:r>
      <w:r>
        <w:rPr>
          <w:rFonts w:ascii="宋体" w:hAnsi="宋体"/>
          <w:snapToGrid w:val="0"/>
          <w:kern w:val="0"/>
          <w:sz w:val="24"/>
          <w:szCs w:val="24"/>
          <w:u w:val="single"/>
        </w:rPr>
        <w:t xml:space="preserve">               </w:t>
      </w:r>
    </w:p>
    <w:p w14:paraId="1D4EF7B2">
      <w:pPr>
        <w:tabs>
          <w:tab w:val="left" w:pos="4000"/>
        </w:tabs>
        <w:overflowPunct w:val="0"/>
        <w:topLinePunct/>
        <w:autoSpaceDN w:val="0"/>
        <w:adjustRightInd w:val="0"/>
        <w:snapToGrid w:val="0"/>
        <w:spacing w:line="360" w:lineRule="auto"/>
        <w:ind w:firstLine="480" w:firstLineChars="200"/>
        <w:rPr>
          <w:rFonts w:ascii="宋体" w:hAnsi="宋体"/>
          <w:snapToGrid w:val="0"/>
          <w:kern w:val="0"/>
          <w:sz w:val="24"/>
          <w:szCs w:val="24"/>
          <w:u w:val="single"/>
        </w:rPr>
      </w:pPr>
      <w:r>
        <w:rPr>
          <w:rFonts w:ascii="宋体" w:hAnsi="宋体"/>
          <w:snapToGrid w:val="0"/>
          <w:kern w:val="0"/>
          <w:sz w:val="24"/>
          <w:szCs w:val="24"/>
        </w:rPr>
        <w:tab/>
      </w:r>
      <w:r>
        <w:rPr>
          <w:rFonts w:hint="eastAsia" w:ascii="宋体" w:hAnsi="宋体"/>
          <w:snapToGrid w:val="0"/>
          <w:kern w:val="0"/>
          <w:sz w:val="24"/>
          <w:szCs w:val="24"/>
        </w:rPr>
        <w:t>委托代理人</w:t>
      </w:r>
      <w:r>
        <w:rPr>
          <w:rFonts w:ascii="宋体" w:hAnsi="宋体"/>
          <w:snapToGrid w:val="0"/>
          <w:kern w:val="0"/>
          <w:sz w:val="24"/>
          <w:szCs w:val="24"/>
        </w:rPr>
        <w:t>(</w:t>
      </w:r>
      <w:r>
        <w:rPr>
          <w:rFonts w:hint="eastAsia" w:ascii="宋体" w:hAnsi="宋体" w:cs="宋体"/>
          <w:kern w:val="0"/>
          <w:sz w:val="24"/>
          <w:szCs w:val="24"/>
        </w:rPr>
        <w:t>电子签字或盖章</w:t>
      </w:r>
      <w:r>
        <w:rPr>
          <w:rFonts w:ascii="宋体" w:hAnsi="宋体"/>
          <w:snapToGrid w:val="0"/>
          <w:kern w:val="0"/>
          <w:sz w:val="24"/>
          <w:szCs w:val="24"/>
        </w:rPr>
        <w:t>)</w:t>
      </w:r>
      <w:r>
        <w:rPr>
          <w:rFonts w:hint="eastAsia" w:ascii="宋体" w:hAnsi="宋体"/>
          <w:snapToGrid w:val="0"/>
          <w:kern w:val="0"/>
          <w:sz w:val="24"/>
          <w:szCs w:val="24"/>
        </w:rPr>
        <w:t>：</w:t>
      </w:r>
      <w:r>
        <w:rPr>
          <w:rFonts w:ascii="宋体" w:hAnsi="宋体"/>
          <w:snapToGrid w:val="0"/>
          <w:kern w:val="0"/>
          <w:sz w:val="24"/>
          <w:szCs w:val="24"/>
          <w:u w:val="single"/>
        </w:rPr>
        <w:t xml:space="preserve">  </w:t>
      </w:r>
      <w:r>
        <w:rPr>
          <w:rFonts w:hint="eastAsia" w:ascii="宋体" w:hAnsi="宋体"/>
          <w:snapToGrid w:val="0"/>
          <w:kern w:val="0"/>
          <w:sz w:val="24"/>
          <w:szCs w:val="24"/>
          <w:u w:val="single"/>
        </w:rPr>
        <w:t xml:space="preserve"> </w:t>
      </w:r>
      <w:r>
        <w:rPr>
          <w:rFonts w:ascii="宋体" w:hAnsi="宋体"/>
          <w:snapToGrid w:val="0"/>
          <w:kern w:val="0"/>
          <w:sz w:val="24"/>
          <w:szCs w:val="24"/>
          <w:u w:val="single"/>
        </w:rPr>
        <w:t xml:space="preserve">     </w:t>
      </w:r>
    </w:p>
    <w:p w14:paraId="03F54B02">
      <w:pPr>
        <w:tabs>
          <w:tab w:val="left" w:pos="4000"/>
        </w:tabs>
        <w:overflowPunct w:val="0"/>
        <w:topLinePunct/>
        <w:autoSpaceDN w:val="0"/>
        <w:adjustRightInd w:val="0"/>
        <w:snapToGrid w:val="0"/>
        <w:spacing w:line="360" w:lineRule="auto"/>
        <w:ind w:firstLine="480" w:firstLineChars="200"/>
        <w:rPr>
          <w:rFonts w:ascii="宋体" w:hAnsi="宋体"/>
          <w:snapToGrid w:val="0"/>
          <w:kern w:val="0"/>
          <w:sz w:val="24"/>
          <w:szCs w:val="24"/>
          <w:u w:val="single"/>
        </w:rPr>
      </w:pPr>
      <w:r>
        <w:rPr>
          <w:rFonts w:ascii="宋体" w:hAnsi="宋体"/>
          <w:snapToGrid w:val="0"/>
          <w:kern w:val="0"/>
          <w:sz w:val="24"/>
          <w:szCs w:val="24"/>
        </w:rPr>
        <w:tab/>
      </w:r>
      <w:r>
        <w:rPr>
          <w:rFonts w:hint="eastAsia" w:ascii="宋体" w:hAnsi="宋体"/>
          <w:snapToGrid w:val="0"/>
          <w:kern w:val="0"/>
          <w:sz w:val="24"/>
          <w:szCs w:val="24"/>
        </w:rPr>
        <w:t>日　期：</w:t>
      </w:r>
      <w:r>
        <w:rPr>
          <w:rFonts w:ascii="宋体" w:hAnsi="宋体"/>
          <w:snapToGrid w:val="0"/>
          <w:kern w:val="0"/>
          <w:sz w:val="24"/>
          <w:szCs w:val="24"/>
          <w:u w:val="single"/>
        </w:rPr>
        <w:t xml:space="preserve">                                </w:t>
      </w:r>
    </w:p>
    <w:p w14:paraId="1481706A">
      <w:pPr>
        <w:overflowPunct w:val="0"/>
        <w:topLinePunct/>
        <w:autoSpaceDN w:val="0"/>
        <w:adjustRightInd w:val="0"/>
        <w:snapToGrid w:val="0"/>
        <w:spacing w:line="360" w:lineRule="auto"/>
        <w:ind w:firstLine="480" w:firstLineChars="200"/>
        <w:rPr>
          <w:rFonts w:ascii="宋体" w:hAnsi="宋体"/>
          <w:snapToGrid w:val="0"/>
          <w:kern w:val="0"/>
          <w:sz w:val="24"/>
          <w:szCs w:val="24"/>
        </w:rPr>
      </w:pPr>
    </w:p>
    <w:p w14:paraId="2790F73F">
      <w:pPr>
        <w:overflowPunct w:val="0"/>
        <w:topLinePunct/>
        <w:autoSpaceDN w:val="0"/>
        <w:adjustRightInd w:val="0"/>
        <w:snapToGrid w:val="0"/>
        <w:spacing w:line="360" w:lineRule="auto"/>
        <w:ind w:firstLine="480" w:firstLineChars="200"/>
        <w:rPr>
          <w:rFonts w:ascii="宋体" w:hAnsi="宋体"/>
          <w:snapToGrid w:val="0"/>
          <w:kern w:val="0"/>
          <w:sz w:val="24"/>
          <w:szCs w:val="24"/>
        </w:rPr>
      </w:pPr>
    </w:p>
    <w:p w14:paraId="164D7E60">
      <w:pPr>
        <w:overflowPunct w:val="0"/>
        <w:topLinePunct/>
        <w:autoSpaceDN w:val="0"/>
        <w:adjustRightInd w:val="0"/>
        <w:snapToGrid w:val="0"/>
        <w:spacing w:line="360" w:lineRule="auto"/>
        <w:ind w:firstLine="480" w:firstLineChars="200"/>
        <w:rPr>
          <w:rFonts w:ascii="宋体" w:hAnsi="宋体"/>
          <w:snapToGrid w:val="0"/>
          <w:kern w:val="0"/>
          <w:sz w:val="24"/>
          <w:szCs w:val="24"/>
        </w:rPr>
      </w:pPr>
      <w:r>
        <w:rPr>
          <w:rFonts w:ascii="宋体" w:hAnsi="宋体"/>
          <w:snapToGrid w:val="0"/>
          <w:kern w:val="0"/>
          <w:sz w:val="24"/>
          <w:szCs w:val="24"/>
        </w:rPr>
        <w:br w:type="page"/>
      </w:r>
    </w:p>
    <w:p w14:paraId="324F1B82">
      <w:pPr>
        <w:overflowPunct w:val="0"/>
        <w:topLinePunct/>
        <w:autoSpaceDN w:val="0"/>
        <w:adjustRightInd w:val="0"/>
        <w:snapToGrid w:val="0"/>
        <w:spacing w:line="360" w:lineRule="auto"/>
        <w:jc w:val="center"/>
        <w:outlineLvl w:val="0"/>
        <w:rPr>
          <w:rFonts w:ascii="宋体" w:hAnsi="宋体"/>
          <w:b/>
          <w:snapToGrid w:val="0"/>
          <w:kern w:val="0"/>
          <w:sz w:val="24"/>
          <w:szCs w:val="24"/>
        </w:rPr>
      </w:pPr>
      <w:bookmarkStart w:id="107" w:name="_Toc14128"/>
      <w:bookmarkStart w:id="108" w:name="_Toc6339"/>
      <w:r>
        <w:rPr>
          <w:rFonts w:hint="eastAsia" w:ascii="宋体" w:hAnsi="宋体"/>
          <w:b/>
          <w:snapToGrid w:val="0"/>
          <w:kern w:val="0"/>
          <w:sz w:val="24"/>
          <w:szCs w:val="24"/>
        </w:rPr>
        <w:t>二、法定代表人身份证明书（格式）</w:t>
      </w:r>
      <w:bookmarkEnd w:id="107"/>
      <w:bookmarkEnd w:id="108"/>
    </w:p>
    <w:p w14:paraId="65C095F4">
      <w:pPr>
        <w:overflowPunct w:val="0"/>
        <w:topLinePunct/>
        <w:autoSpaceDN w:val="0"/>
        <w:adjustRightInd w:val="0"/>
        <w:snapToGrid w:val="0"/>
        <w:spacing w:line="360" w:lineRule="auto"/>
        <w:ind w:firstLine="480" w:firstLineChars="200"/>
        <w:rPr>
          <w:rFonts w:ascii="宋体" w:hAnsi="宋体"/>
          <w:snapToGrid w:val="0"/>
          <w:kern w:val="0"/>
          <w:sz w:val="24"/>
          <w:szCs w:val="24"/>
        </w:rPr>
      </w:pPr>
    </w:p>
    <w:p w14:paraId="237A75D4">
      <w:pPr>
        <w:overflowPunct w:val="0"/>
        <w:topLinePunct/>
        <w:autoSpaceDN w:val="0"/>
        <w:adjustRightInd w:val="0"/>
        <w:snapToGrid w:val="0"/>
        <w:spacing w:line="360" w:lineRule="auto"/>
        <w:ind w:firstLine="480" w:firstLineChars="200"/>
        <w:rPr>
          <w:rFonts w:ascii="宋体" w:hAnsi="宋体"/>
          <w:snapToGrid w:val="0"/>
          <w:kern w:val="0"/>
          <w:sz w:val="24"/>
          <w:szCs w:val="24"/>
          <w:u w:val="single"/>
        </w:rPr>
      </w:pPr>
      <w:r>
        <w:rPr>
          <w:rFonts w:hint="eastAsia" w:ascii="宋体" w:hAnsi="宋体"/>
          <w:snapToGrid w:val="0"/>
          <w:kern w:val="0"/>
          <w:sz w:val="24"/>
          <w:szCs w:val="24"/>
        </w:rPr>
        <w:t>单位名称：</w:t>
      </w:r>
      <w:r>
        <w:rPr>
          <w:rFonts w:ascii="宋体" w:hAnsi="宋体"/>
          <w:snapToGrid w:val="0"/>
          <w:kern w:val="0"/>
          <w:sz w:val="24"/>
          <w:szCs w:val="24"/>
          <w:u w:val="single"/>
        </w:rPr>
        <w:t xml:space="preserve">                                                     </w:t>
      </w:r>
    </w:p>
    <w:p w14:paraId="4B7DD51C">
      <w:pPr>
        <w:overflowPunct w:val="0"/>
        <w:topLinePunct/>
        <w:autoSpaceDN w:val="0"/>
        <w:adjustRightInd w:val="0"/>
        <w:snapToGrid w:val="0"/>
        <w:spacing w:line="360" w:lineRule="auto"/>
        <w:ind w:firstLine="480" w:firstLineChars="200"/>
        <w:rPr>
          <w:rFonts w:ascii="宋体" w:hAnsi="宋体"/>
          <w:snapToGrid w:val="0"/>
          <w:kern w:val="0"/>
          <w:sz w:val="24"/>
          <w:szCs w:val="24"/>
          <w:u w:val="single"/>
        </w:rPr>
      </w:pPr>
      <w:r>
        <w:rPr>
          <w:rFonts w:hint="eastAsia" w:ascii="宋体" w:hAnsi="宋体"/>
          <w:snapToGrid w:val="0"/>
          <w:kern w:val="0"/>
          <w:sz w:val="24"/>
          <w:szCs w:val="24"/>
        </w:rPr>
        <w:t>单位性质：</w:t>
      </w:r>
      <w:r>
        <w:rPr>
          <w:rFonts w:ascii="宋体" w:hAnsi="宋体"/>
          <w:snapToGrid w:val="0"/>
          <w:kern w:val="0"/>
          <w:sz w:val="24"/>
          <w:szCs w:val="24"/>
          <w:u w:val="single"/>
        </w:rPr>
        <w:t xml:space="preserve">                                                     </w:t>
      </w:r>
    </w:p>
    <w:p w14:paraId="2CD047ED">
      <w:pPr>
        <w:overflowPunct w:val="0"/>
        <w:topLinePunct/>
        <w:autoSpaceDN w:val="0"/>
        <w:adjustRightInd w:val="0"/>
        <w:snapToGrid w:val="0"/>
        <w:spacing w:line="360" w:lineRule="auto"/>
        <w:ind w:firstLine="480" w:firstLineChars="200"/>
        <w:rPr>
          <w:rFonts w:ascii="宋体" w:hAnsi="宋体"/>
          <w:snapToGrid w:val="0"/>
          <w:kern w:val="0"/>
          <w:sz w:val="24"/>
          <w:szCs w:val="24"/>
          <w:u w:val="single"/>
        </w:rPr>
      </w:pPr>
      <w:r>
        <w:rPr>
          <w:rFonts w:hint="eastAsia" w:ascii="宋体" w:hAnsi="宋体"/>
          <w:snapToGrid w:val="0"/>
          <w:kern w:val="0"/>
          <w:sz w:val="24"/>
          <w:szCs w:val="24"/>
        </w:rPr>
        <w:t>地</w:t>
      </w:r>
      <w:r>
        <w:rPr>
          <w:rFonts w:ascii="宋体" w:hAnsi="宋体"/>
          <w:snapToGrid w:val="0"/>
          <w:kern w:val="0"/>
          <w:sz w:val="24"/>
          <w:szCs w:val="24"/>
        </w:rPr>
        <w:t xml:space="preserve">    </w:t>
      </w:r>
      <w:r>
        <w:rPr>
          <w:rFonts w:hint="eastAsia" w:ascii="宋体" w:hAnsi="宋体"/>
          <w:snapToGrid w:val="0"/>
          <w:kern w:val="0"/>
          <w:sz w:val="24"/>
          <w:szCs w:val="24"/>
        </w:rPr>
        <w:t>址：</w:t>
      </w:r>
      <w:r>
        <w:rPr>
          <w:rFonts w:ascii="宋体" w:hAnsi="宋体"/>
          <w:snapToGrid w:val="0"/>
          <w:kern w:val="0"/>
          <w:sz w:val="24"/>
          <w:szCs w:val="24"/>
          <w:u w:val="single"/>
        </w:rPr>
        <w:t xml:space="preserve">                                                     </w:t>
      </w:r>
    </w:p>
    <w:p w14:paraId="76D85172">
      <w:pPr>
        <w:overflowPunct w:val="0"/>
        <w:topLinePunct/>
        <w:autoSpaceDN w:val="0"/>
        <w:adjustRightInd w:val="0"/>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成立时间：</w:t>
      </w:r>
      <w:r>
        <w:rPr>
          <w:rFonts w:ascii="宋体" w:hAnsi="宋体"/>
          <w:snapToGrid w:val="0"/>
          <w:kern w:val="0"/>
          <w:sz w:val="24"/>
          <w:szCs w:val="24"/>
          <w:u w:val="single"/>
        </w:rPr>
        <w:t xml:space="preserve">           </w:t>
      </w:r>
      <w:r>
        <w:rPr>
          <w:rFonts w:hint="eastAsia" w:ascii="宋体" w:hAnsi="宋体"/>
          <w:snapToGrid w:val="0"/>
          <w:kern w:val="0"/>
          <w:sz w:val="24"/>
          <w:szCs w:val="24"/>
        </w:rPr>
        <w:t>年</w:t>
      </w:r>
      <w:r>
        <w:rPr>
          <w:rFonts w:ascii="宋体" w:hAnsi="宋体"/>
          <w:snapToGrid w:val="0"/>
          <w:kern w:val="0"/>
          <w:sz w:val="24"/>
          <w:szCs w:val="24"/>
          <w:u w:val="single"/>
        </w:rPr>
        <w:t xml:space="preserve">    </w:t>
      </w:r>
      <w:r>
        <w:rPr>
          <w:rFonts w:hint="eastAsia" w:ascii="宋体" w:hAnsi="宋体"/>
          <w:snapToGrid w:val="0"/>
          <w:kern w:val="0"/>
          <w:sz w:val="24"/>
          <w:szCs w:val="24"/>
        </w:rPr>
        <w:t>月</w:t>
      </w:r>
      <w:r>
        <w:rPr>
          <w:rFonts w:ascii="宋体" w:hAnsi="宋体"/>
          <w:snapToGrid w:val="0"/>
          <w:kern w:val="0"/>
          <w:sz w:val="24"/>
          <w:szCs w:val="24"/>
          <w:u w:val="single"/>
        </w:rPr>
        <w:t xml:space="preserve">    </w:t>
      </w:r>
      <w:r>
        <w:rPr>
          <w:rFonts w:hint="eastAsia" w:ascii="宋体" w:hAnsi="宋体"/>
          <w:snapToGrid w:val="0"/>
          <w:kern w:val="0"/>
          <w:sz w:val="24"/>
          <w:szCs w:val="24"/>
        </w:rPr>
        <w:t>日</w:t>
      </w:r>
    </w:p>
    <w:p w14:paraId="7F45BA57">
      <w:pPr>
        <w:overflowPunct w:val="0"/>
        <w:topLinePunct/>
        <w:autoSpaceDN w:val="0"/>
        <w:adjustRightInd w:val="0"/>
        <w:snapToGrid w:val="0"/>
        <w:spacing w:line="360" w:lineRule="auto"/>
        <w:ind w:firstLine="480" w:firstLineChars="200"/>
        <w:rPr>
          <w:rFonts w:ascii="宋体" w:hAnsi="宋体"/>
          <w:snapToGrid w:val="0"/>
          <w:kern w:val="0"/>
          <w:sz w:val="24"/>
          <w:szCs w:val="24"/>
          <w:u w:val="single"/>
        </w:rPr>
      </w:pPr>
      <w:r>
        <w:rPr>
          <w:rFonts w:hint="eastAsia" w:ascii="宋体" w:hAnsi="宋体"/>
          <w:snapToGrid w:val="0"/>
          <w:kern w:val="0"/>
          <w:sz w:val="24"/>
          <w:szCs w:val="24"/>
        </w:rPr>
        <w:t>经营期限：</w:t>
      </w:r>
      <w:r>
        <w:rPr>
          <w:rFonts w:ascii="宋体" w:hAnsi="宋体"/>
          <w:snapToGrid w:val="0"/>
          <w:kern w:val="0"/>
          <w:sz w:val="24"/>
          <w:szCs w:val="24"/>
          <w:u w:val="single"/>
        </w:rPr>
        <w:t xml:space="preserve">                                                     </w:t>
      </w:r>
    </w:p>
    <w:p w14:paraId="398E9BBA">
      <w:pPr>
        <w:overflowPunct w:val="0"/>
        <w:topLinePunct/>
        <w:autoSpaceDN w:val="0"/>
        <w:adjustRightInd w:val="0"/>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姓</w:t>
      </w:r>
      <w:r>
        <w:rPr>
          <w:rFonts w:ascii="宋体" w:hAnsi="宋体"/>
          <w:snapToGrid w:val="0"/>
          <w:kern w:val="0"/>
          <w:sz w:val="24"/>
          <w:szCs w:val="24"/>
        </w:rPr>
        <w:t xml:space="preserve">    </w:t>
      </w:r>
      <w:r>
        <w:rPr>
          <w:rFonts w:hint="eastAsia" w:ascii="宋体" w:hAnsi="宋体"/>
          <w:snapToGrid w:val="0"/>
          <w:kern w:val="0"/>
          <w:sz w:val="24"/>
          <w:szCs w:val="24"/>
        </w:rPr>
        <w:t>名：</w:t>
      </w:r>
      <w:r>
        <w:rPr>
          <w:rFonts w:ascii="宋体" w:hAnsi="宋体"/>
          <w:snapToGrid w:val="0"/>
          <w:kern w:val="0"/>
          <w:sz w:val="24"/>
          <w:szCs w:val="24"/>
          <w:u w:val="single"/>
        </w:rPr>
        <w:t xml:space="preserve">             </w:t>
      </w:r>
      <w:r>
        <w:rPr>
          <w:rFonts w:ascii="宋体" w:hAnsi="宋体"/>
          <w:snapToGrid w:val="0"/>
          <w:kern w:val="0"/>
          <w:sz w:val="24"/>
          <w:szCs w:val="24"/>
        </w:rPr>
        <w:t xml:space="preserve"> </w:t>
      </w:r>
      <w:r>
        <w:rPr>
          <w:rFonts w:hint="eastAsia" w:ascii="宋体" w:hAnsi="宋体"/>
          <w:snapToGrid w:val="0"/>
          <w:kern w:val="0"/>
          <w:sz w:val="24"/>
          <w:szCs w:val="24"/>
        </w:rPr>
        <w:t>性</w:t>
      </w:r>
      <w:r>
        <w:rPr>
          <w:rFonts w:ascii="宋体" w:hAnsi="宋体"/>
          <w:snapToGrid w:val="0"/>
          <w:kern w:val="0"/>
          <w:sz w:val="24"/>
          <w:szCs w:val="24"/>
        </w:rPr>
        <w:t xml:space="preserve">  </w:t>
      </w:r>
      <w:r>
        <w:rPr>
          <w:rFonts w:hint="eastAsia" w:ascii="宋体" w:hAnsi="宋体"/>
          <w:snapToGrid w:val="0"/>
          <w:kern w:val="0"/>
          <w:sz w:val="24"/>
          <w:szCs w:val="24"/>
        </w:rPr>
        <w:t>别：</w:t>
      </w:r>
      <w:r>
        <w:rPr>
          <w:rFonts w:ascii="宋体" w:hAnsi="宋体"/>
          <w:snapToGrid w:val="0"/>
          <w:kern w:val="0"/>
          <w:sz w:val="24"/>
          <w:szCs w:val="24"/>
          <w:u w:val="single"/>
        </w:rPr>
        <w:t xml:space="preserve">         </w:t>
      </w:r>
    </w:p>
    <w:p w14:paraId="54183826">
      <w:pPr>
        <w:overflowPunct w:val="0"/>
        <w:topLinePunct/>
        <w:autoSpaceDN w:val="0"/>
        <w:adjustRightInd w:val="0"/>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年</w:t>
      </w:r>
      <w:r>
        <w:rPr>
          <w:rFonts w:ascii="宋体" w:hAnsi="宋体"/>
          <w:snapToGrid w:val="0"/>
          <w:kern w:val="0"/>
          <w:sz w:val="24"/>
          <w:szCs w:val="24"/>
        </w:rPr>
        <w:t xml:space="preserve">    </w:t>
      </w:r>
      <w:r>
        <w:rPr>
          <w:rFonts w:hint="eastAsia" w:ascii="宋体" w:hAnsi="宋体"/>
          <w:snapToGrid w:val="0"/>
          <w:kern w:val="0"/>
          <w:sz w:val="24"/>
          <w:szCs w:val="24"/>
        </w:rPr>
        <w:t>龄：</w:t>
      </w:r>
      <w:r>
        <w:rPr>
          <w:rFonts w:ascii="宋体" w:hAnsi="宋体"/>
          <w:snapToGrid w:val="0"/>
          <w:kern w:val="0"/>
          <w:sz w:val="24"/>
          <w:szCs w:val="24"/>
          <w:u w:val="single"/>
        </w:rPr>
        <w:t xml:space="preserve">             </w:t>
      </w:r>
      <w:r>
        <w:rPr>
          <w:rFonts w:ascii="宋体" w:hAnsi="宋体"/>
          <w:snapToGrid w:val="0"/>
          <w:kern w:val="0"/>
          <w:sz w:val="24"/>
          <w:szCs w:val="24"/>
        </w:rPr>
        <w:t xml:space="preserve"> </w:t>
      </w:r>
      <w:r>
        <w:rPr>
          <w:rFonts w:hint="eastAsia" w:ascii="宋体" w:hAnsi="宋体"/>
          <w:snapToGrid w:val="0"/>
          <w:kern w:val="0"/>
          <w:sz w:val="24"/>
          <w:szCs w:val="24"/>
        </w:rPr>
        <w:t>职</w:t>
      </w:r>
      <w:r>
        <w:rPr>
          <w:rFonts w:ascii="宋体" w:hAnsi="宋体"/>
          <w:snapToGrid w:val="0"/>
          <w:kern w:val="0"/>
          <w:sz w:val="24"/>
          <w:szCs w:val="24"/>
        </w:rPr>
        <w:t xml:space="preserve">  </w:t>
      </w:r>
      <w:r>
        <w:rPr>
          <w:rFonts w:hint="eastAsia" w:ascii="宋体" w:hAnsi="宋体"/>
          <w:snapToGrid w:val="0"/>
          <w:kern w:val="0"/>
          <w:sz w:val="24"/>
          <w:szCs w:val="24"/>
        </w:rPr>
        <w:t>务：</w:t>
      </w:r>
      <w:r>
        <w:rPr>
          <w:rFonts w:ascii="宋体" w:hAnsi="宋体"/>
          <w:snapToGrid w:val="0"/>
          <w:kern w:val="0"/>
          <w:sz w:val="24"/>
          <w:szCs w:val="24"/>
          <w:u w:val="single"/>
        </w:rPr>
        <w:t xml:space="preserve">         </w:t>
      </w:r>
    </w:p>
    <w:p w14:paraId="40D4967A">
      <w:pPr>
        <w:overflowPunct w:val="0"/>
        <w:topLinePunct/>
        <w:autoSpaceDN w:val="0"/>
        <w:adjustRightInd w:val="0"/>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系</w:t>
      </w:r>
      <w:r>
        <w:rPr>
          <w:rFonts w:ascii="宋体" w:hAnsi="宋体"/>
          <w:snapToGrid w:val="0"/>
          <w:kern w:val="0"/>
          <w:sz w:val="24"/>
          <w:szCs w:val="24"/>
          <w:u w:val="single"/>
        </w:rPr>
        <w:t xml:space="preserve">       </w:t>
      </w:r>
      <w:r>
        <w:rPr>
          <w:rFonts w:hint="eastAsia" w:ascii="宋体" w:hAnsi="宋体"/>
          <w:snapToGrid w:val="0"/>
          <w:kern w:val="0"/>
          <w:sz w:val="24"/>
          <w:szCs w:val="24"/>
          <w:u w:val="single"/>
        </w:rPr>
        <w:t>（供应商名称）</w:t>
      </w:r>
      <w:r>
        <w:rPr>
          <w:rFonts w:ascii="宋体" w:hAnsi="宋体"/>
          <w:snapToGrid w:val="0"/>
          <w:kern w:val="0"/>
          <w:sz w:val="24"/>
          <w:szCs w:val="24"/>
          <w:u w:val="single"/>
        </w:rPr>
        <w:t xml:space="preserve">          </w:t>
      </w:r>
      <w:r>
        <w:rPr>
          <w:rFonts w:hint="eastAsia" w:ascii="宋体" w:hAnsi="宋体"/>
          <w:snapToGrid w:val="0"/>
          <w:kern w:val="0"/>
          <w:sz w:val="24"/>
          <w:szCs w:val="24"/>
        </w:rPr>
        <w:t>的法定代表人。</w:t>
      </w:r>
    </w:p>
    <w:p w14:paraId="0E80E011">
      <w:pPr>
        <w:overflowPunct w:val="0"/>
        <w:topLinePunct/>
        <w:autoSpaceDN w:val="0"/>
        <w:adjustRightInd w:val="0"/>
        <w:snapToGrid w:val="0"/>
        <w:spacing w:line="360" w:lineRule="auto"/>
        <w:rPr>
          <w:rFonts w:ascii="宋体" w:hAnsi="宋体"/>
          <w:snapToGrid w:val="0"/>
          <w:kern w:val="0"/>
          <w:sz w:val="24"/>
          <w:szCs w:val="24"/>
        </w:rPr>
      </w:pPr>
    </w:p>
    <w:p w14:paraId="28A24E18">
      <w:pPr>
        <w:overflowPunct w:val="0"/>
        <w:topLinePunct/>
        <w:autoSpaceDN w:val="0"/>
        <w:adjustRightInd w:val="0"/>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特此证明。</w:t>
      </w:r>
    </w:p>
    <w:p w14:paraId="2EFF2809">
      <w:pPr>
        <w:pStyle w:val="31"/>
        <w:keepNext/>
        <w:snapToGrid w:val="0"/>
        <w:spacing w:line="360" w:lineRule="auto"/>
        <w:ind w:firstLine="472" w:firstLineChars="196"/>
        <w:jc w:val="both"/>
        <w:rPr>
          <w:rFonts w:ascii="宋体" w:hAnsi="宋体"/>
          <w:b/>
          <w:snapToGrid w:val="0"/>
        </w:rPr>
      </w:pPr>
      <w:r>
        <w:rPr>
          <w:rFonts w:hint="eastAsia" w:ascii="宋体" w:hAnsi="宋体"/>
          <w:b/>
          <w:snapToGrid w:val="0"/>
        </w:rPr>
        <w:t>后附：法定代表人身份证</w:t>
      </w:r>
    </w:p>
    <w:p w14:paraId="122DCEC9">
      <w:pPr>
        <w:overflowPunct w:val="0"/>
        <w:topLinePunct/>
        <w:autoSpaceDN w:val="0"/>
        <w:adjustRightInd w:val="0"/>
        <w:snapToGrid w:val="0"/>
        <w:spacing w:line="360" w:lineRule="auto"/>
        <w:ind w:firstLine="480" w:firstLineChars="200"/>
        <w:rPr>
          <w:rFonts w:ascii="宋体" w:hAnsi="宋体"/>
          <w:snapToGrid w:val="0"/>
          <w:kern w:val="0"/>
          <w:sz w:val="24"/>
          <w:szCs w:val="24"/>
        </w:rPr>
      </w:pPr>
    </w:p>
    <w:p w14:paraId="454CA4B1">
      <w:pPr>
        <w:overflowPunct w:val="0"/>
        <w:topLinePunct/>
        <w:autoSpaceDN w:val="0"/>
        <w:adjustRightInd w:val="0"/>
        <w:snapToGrid w:val="0"/>
        <w:spacing w:line="360" w:lineRule="auto"/>
        <w:rPr>
          <w:rFonts w:ascii="宋体" w:hAnsi="宋体"/>
          <w:snapToGrid w:val="0"/>
          <w:kern w:val="0"/>
          <w:sz w:val="24"/>
          <w:szCs w:val="24"/>
        </w:rPr>
      </w:pPr>
    </w:p>
    <w:p w14:paraId="6F748B73">
      <w:pPr>
        <w:overflowPunct w:val="0"/>
        <w:topLinePunct/>
        <w:autoSpaceDN w:val="0"/>
        <w:adjustRightInd w:val="0"/>
        <w:snapToGrid w:val="0"/>
        <w:spacing w:line="360" w:lineRule="auto"/>
        <w:rPr>
          <w:rFonts w:ascii="宋体" w:hAnsi="宋体"/>
          <w:snapToGrid w:val="0"/>
          <w:kern w:val="0"/>
          <w:sz w:val="24"/>
          <w:szCs w:val="24"/>
        </w:rPr>
      </w:pPr>
    </w:p>
    <w:p w14:paraId="50325DFD">
      <w:pPr>
        <w:overflowPunct w:val="0"/>
        <w:topLinePunct/>
        <w:autoSpaceDN w:val="0"/>
        <w:adjustRightInd w:val="0"/>
        <w:snapToGrid w:val="0"/>
        <w:spacing w:line="360" w:lineRule="auto"/>
        <w:ind w:firstLine="480" w:firstLineChars="200"/>
        <w:rPr>
          <w:rFonts w:ascii="宋体" w:hAnsi="宋体"/>
          <w:snapToGrid w:val="0"/>
          <w:kern w:val="0"/>
          <w:sz w:val="24"/>
          <w:szCs w:val="24"/>
        </w:rPr>
      </w:pPr>
    </w:p>
    <w:p w14:paraId="4EDAFAB8">
      <w:pPr>
        <w:tabs>
          <w:tab w:val="left" w:pos="4000"/>
        </w:tabs>
        <w:overflowPunct w:val="0"/>
        <w:topLinePunct/>
        <w:autoSpaceDN w:val="0"/>
        <w:adjustRightInd w:val="0"/>
        <w:snapToGrid w:val="0"/>
        <w:spacing w:line="360" w:lineRule="auto"/>
        <w:ind w:firstLine="4080" w:firstLineChars="1700"/>
        <w:rPr>
          <w:rFonts w:ascii="宋体" w:hAnsi="宋体"/>
          <w:snapToGrid w:val="0"/>
          <w:kern w:val="0"/>
          <w:sz w:val="24"/>
          <w:szCs w:val="24"/>
          <w:u w:val="single"/>
        </w:rPr>
      </w:pPr>
      <w:bookmarkStart w:id="109" w:name="_Toc175644065"/>
      <w:bookmarkStart w:id="110" w:name="_Toc86202635"/>
      <w:r>
        <w:rPr>
          <w:rFonts w:hint="eastAsia" w:ascii="宋体" w:hAnsi="宋体"/>
          <w:snapToGrid w:val="0"/>
          <w:kern w:val="0"/>
          <w:sz w:val="24"/>
          <w:szCs w:val="24"/>
        </w:rPr>
        <w:t>供应商</w:t>
      </w:r>
      <w:r>
        <w:rPr>
          <w:rFonts w:ascii="宋体" w:hAnsi="宋体"/>
          <w:snapToGrid w:val="0"/>
          <w:kern w:val="0"/>
          <w:sz w:val="24"/>
          <w:szCs w:val="24"/>
        </w:rPr>
        <w:t>(</w:t>
      </w:r>
      <w:r>
        <w:rPr>
          <w:rFonts w:hint="eastAsia" w:ascii="宋体" w:hAnsi="宋体" w:cs="宋体"/>
          <w:kern w:val="0"/>
          <w:sz w:val="24"/>
          <w:szCs w:val="24"/>
        </w:rPr>
        <w:t>电子公章</w:t>
      </w:r>
      <w:r>
        <w:rPr>
          <w:rFonts w:ascii="宋体" w:hAnsi="宋体"/>
          <w:snapToGrid w:val="0"/>
          <w:kern w:val="0"/>
          <w:sz w:val="24"/>
          <w:szCs w:val="24"/>
        </w:rPr>
        <w:t>)</w:t>
      </w:r>
      <w:r>
        <w:rPr>
          <w:rFonts w:hint="eastAsia" w:ascii="宋体" w:hAnsi="宋体"/>
          <w:snapToGrid w:val="0"/>
          <w:kern w:val="0"/>
          <w:sz w:val="24"/>
          <w:szCs w:val="24"/>
        </w:rPr>
        <w:t>：</w:t>
      </w:r>
      <w:r>
        <w:rPr>
          <w:rFonts w:ascii="宋体" w:hAnsi="宋体"/>
          <w:snapToGrid w:val="0"/>
          <w:kern w:val="0"/>
          <w:sz w:val="24"/>
          <w:szCs w:val="24"/>
          <w:u w:val="single"/>
        </w:rPr>
        <w:t xml:space="preserve">  </w:t>
      </w:r>
      <w:r>
        <w:rPr>
          <w:rFonts w:hint="eastAsia" w:ascii="宋体" w:hAnsi="宋体"/>
          <w:snapToGrid w:val="0"/>
          <w:kern w:val="0"/>
          <w:sz w:val="24"/>
          <w:szCs w:val="24"/>
          <w:u w:val="single"/>
        </w:rPr>
        <w:t xml:space="preserve"> </w:t>
      </w:r>
      <w:r>
        <w:rPr>
          <w:rFonts w:ascii="宋体" w:hAnsi="宋体"/>
          <w:snapToGrid w:val="0"/>
          <w:kern w:val="0"/>
          <w:sz w:val="24"/>
          <w:szCs w:val="24"/>
          <w:u w:val="single"/>
        </w:rPr>
        <w:t xml:space="preserve">               </w:t>
      </w:r>
    </w:p>
    <w:p w14:paraId="7949757B">
      <w:pPr>
        <w:tabs>
          <w:tab w:val="left" w:pos="4000"/>
        </w:tabs>
        <w:overflowPunct w:val="0"/>
        <w:topLinePunct/>
        <w:autoSpaceDN w:val="0"/>
        <w:adjustRightInd w:val="0"/>
        <w:snapToGrid w:val="0"/>
        <w:spacing w:line="360" w:lineRule="auto"/>
        <w:ind w:firstLine="480" w:firstLineChars="200"/>
        <w:rPr>
          <w:rFonts w:ascii="宋体" w:hAnsi="宋体"/>
          <w:snapToGrid w:val="0"/>
          <w:kern w:val="0"/>
          <w:sz w:val="24"/>
          <w:szCs w:val="24"/>
          <w:u w:val="single"/>
        </w:rPr>
      </w:pPr>
      <w:r>
        <w:rPr>
          <w:rFonts w:ascii="宋体" w:hAnsi="宋体"/>
          <w:snapToGrid w:val="0"/>
          <w:kern w:val="0"/>
          <w:sz w:val="24"/>
          <w:szCs w:val="24"/>
        </w:rPr>
        <w:tab/>
      </w:r>
      <w:r>
        <w:rPr>
          <w:rFonts w:hint="eastAsia" w:ascii="宋体" w:hAnsi="宋体"/>
          <w:snapToGrid w:val="0"/>
          <w:kern w:val="0"/>
          <w:sz w:val="24"/>
          <w:szCs w:val="24"/>
        </w:rPr>
        <w:t>日　期：</w:t>
      </w:r>
      <w:r>
        <w:rPr>
          <w:rFonts w:ascii="宋体" w:hAnsi="宋体"/>
          <w:snapToGrid w:val="0"/>
          <w:kern w:val="0"/>
          <w:sz w:val="24"/>
          <w:szCs w:val="24"/>
          <w:u w:val="single"/>
        </w:rPr>
        <w:t xml:space="preserve">                                </w:t>
      </w:r>
    </w:p>
    <w:p w14:paraId="1AC75BBF">
      <w:pPr>
        <w:overflowPunct w:val="0"/>
        <w:topLinePunct/>
        <w:autoSpaceDN w:val="0"/>
        <w:adjustRightInd w:val="0"/>
        <w:snapToGrid w:val="0"/>
        <w:spacing w:line="360" w:lineRule="auto"/>
        <w:ind w:firstLine="480" w:firstLineChars="200"/>
        <w:rPr>
          <w:rFonts w:ascii="宋体" w:hAnsi="宋体"/>
          <w:snapToGrid w:val="0"/>
          <w:kern w:val="0"/>
          <w:sz w:val="24"/>
          <w:szCs w:val="24"/>
        </w:rPr>
      </w:pPr>
      <w:r>
        <w:rPr>
          <w:rFonts w:ascii="宋体" w:hAnsi="宋体"/>
          <w:snapToGrid w:val="0"/>
          <w:kern w:val="0"/>
          <w:sz w:val="24"/>
          <w:szCs w:val="24"/>
        </w:rPr>
        <w:br w:type="page"/>
      </w:r>
    </w:p>
    <w:p w14:paraId="2149DFEB">
      <w:pPr>
        <w:overflowPunct w:val="0"/>
        <w:topLinePunct/>
        <w:autoSpaceDN w:val="0"/>
        <w:adjustRightInd w:val="0"/>
        <w:snapToGrid w:val="0"/>
        <w:spacing w:line="360" w:lineRule="auto"/>
        <w:jc w:val="center"/>
        <w:outlineLvl w:val="0"/>
        <w:rPr>
          <w:rFonts w:ascii="宋体" w:hAnsi="宋体"/>
          <w:b/>
          <w:snapToGrid w:val="0"/>
          <w:kern w:val="0"/>
          <w:sz w:val="24"/>
          <w:szCs w:val="24"/>
        </w:rPr>
      </w:pPr>
      <w:bookmarkStart w:id="111" w:name="_Toc42"/>
      <w:bookmarkStart w:id="112" w:name="_Toc21893"/>
      <w:r>
        <w:rPr>
          <w:rFonts w:hint="eastAsia" w:ascii="宋体" w:hAnsi="宋体"/>
          <w:b/>
          <w:snapToGrid w:val="0"/>
          <w:kern w:val="0"/>
          <w:sz w:val="24"/>
          <w:szCs w:val="24"/>
        </w:rPr>
        <w:t>三、法定代表人授权委托书（格式）</w:t>
      </w:r>
      <w:bookmarkEnd w:id="111"/>
      <w:bookmarkEnd w:id="112"/>
    </w:p>
    <w:p w14:paraId="5415EFC4">
      <w:pPr>
        <w:overflowPunct w:val="0"/>
        <w:topLinePunct/>
        <w:autoSpaceDN w:val="0"/>
        <w:adjustRightInd w:val="0"/>
        <w:snapToGrid w:val="0"/>
        <w:spacing w:line="360" w:lineRule="auto"/>
        <w:ind w:firstLine="480" w:firstLineChars="200"/>
        <w:rPr>
          <w:rFonts w:ascii="宋体" w:hAnsi="宋体"/>
          <w:snapToGrid w:val="0"/>
          <w:kern w:val="0"/>
          <w:sz w:val="24"/>
          <w:szCs w:val="24"/>
        </w:rPr>
      </w:pPr>
    </w:p>
    <w:p w14:paraId="6BEDEB3B">
      <w:pPr>
        <w:tabs>
          <w:tab w:val="left" w:pos="4860"/>
        </w:tabs>
        <w:overflowPunct w:val="0"/>
        <w:topLinePunct/>
        <w:autoSpaceDN w:val="0"/>
        <w:adjustRightInd w:val="0"/>
        <w:snapToGrid w:val="0"/>
        <w:spacing w:line="360" w:lineRule="auto"/>
        <w:rPr>
          <w:rFonts w:ascii="宋体" w:hAnsi="宋体"/>
          <w:snapToGrid w:val="0"/>
          <w:kern w:val="0"/>
          <w:sz w:val="24"/>
          <w:szCs w:val="24"/>
        </w:rPr>
      </w:pPr>
      <w:r>
        <w:rPr>
          <w:rFonts w:hint="eastAsia" w:ascii="宋体" w:hAnsi="????" w:cs="宋体"/>
          <w:kern w:val="0"/>
          <w:sz w:val="24"/>
          <w:szCs w:val="24"/>
          <w:u w:val="single"/>
          <w:lang w:val="zh-CN"/>
        </w:rPr>
        <w:t>中环建(北京)工程管理有限责任公司</w:t>
      </w:r>
      <w:r>
        <w:rPr>
          <w:rFonts w:hint="eastAsia" w:ascii="宋体" w:hAnsi="宋体"/>
          <w:snapToGrid w:val="0"/>
          <w:kern w:val="0"/>
          <w:sz w:val="24"/>
          <w:szCs w:val="24"/>
        </w:rPr>
        <w:t>：</w:t>
      </w:r>
    </w:p>
    <w:p w14:paraId="56D2F1B1">
      <w:pPr>
        <w:overflowPunct w:val="0"/>
        <w:topLinePunct/>
        <w:autoSpaceDN w:val="0"/>
        <w:adjustRightInd w:val="0"/>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本授权书声明：注册于</w:t>
      </w:r>
      <w:r>
        <w:rPr>
          <w:rFonts w:ascii="宋体" w:hAnsi="宋体"/>
          <w:snapToGrid w:val="0"/>
          <w:kern w:val="0"/>
          <w:sz w:val="24"/>
          <w:szCs w:val="24"/>
          <w:u w:val="single"/>
        </w:rPr>
        <w:t xml:space="preserve">             </w:t>
      </w:r>
      <w:r>
        <w:rPr>
          <w:rFonts w:hint="eastAsia" w:ascii="宋体" w:hAnsi="宋体"/>
          <w:snapToGrid w:val="0"/>
          <w:kern w:val="0"/>
          <w:sz w:val="24"/>
          <w:szCs w:val="24"/>
        </w:rPr>
        <w:t>（供应商住址）的</w:t>
      </w:r>
      <w:r>
        <w:rPr>
          <w:rFonts w:ascii="宋体" w:hAnsi="宋体"/>
          <w:snapToGrid w:val="0"/>
          <w:kern w:val="0"/>
          <w:sz w:val="24"/>
          <w:szCs w:val="24"/>
          <w:u w:val="single"/>
        </w:rPr>
        <w:t xml:space="preserve">               </w:t>
      </w:r>
      <w:r>
        <w:rPr>
          <w:rFonts w:hint="eastAsia" w:ascii="宋体" w:hAnsi="宋体"/>
          <w:snapToGrid w:val="0"/>
          <w:kern w:val="0"/>
          <w:sz w:val="24"/>
          <w:szCs w:val="24"/>
        </w:rPr>
        <w:t>（供应商名称）法定代表人</w:t>
      </w:r>
      <w:r>
        <w:rPr>
          <w:rFonts w:ascii="宋体" w:hAnsi="宋体"/>
          <w:snapToGrid w:val="0"/>
          <w:kern w:val="0"/>
          <w:sz w:val="24"/>
          <w:szCs w:val="24"/>
          <w:u w:val="single"/>
        </w:rPr>
        <w:t xml:space="preserve">            </w:t>
      </w:r>
      <w:r>
        <w:rPr>
          <w:rFonts w:hint="eastAsia" w:ascii="宋体" w:hAnsi="宋体"/>
          <w:snapToGrid w:val="0"/>
          <w:kern w:val="0"/>
          <w:sz w:val="24"/>
          <w:szCs w:val="24"/>
        </w:rPr>
        <w:t>（法定代表人姓名、职务）代表本公司（单位）授权在下面签字的</w:t>
      </w:r>
      <w:r>
        <w:rPr>
          <w:rFonts w:ascii="宋体" w:hAnsi="宋体"/>
          <w:snapToGrid w:val="0"/>
          <w:kern w:val="0"/>
          <w:sz w:val="24"/>
          <w:szCs w:val="24"/>
          <w:u w:val="single"/>
        </w:rPr>
        <w:t xml:space="preserve">                 </w:t>
      </w:r>
      <w:r>
        <w:rPr>
          <w:rFonts w:hint="eastAsia" w:ascii="宋体" w:hAnsi="宋体"/>
          <w:snapToGrid w:val="0"/>
          <w:kern w:val="0"/>
          <w:sz w:val="24"/>
          <w:szCs w:val="24"/>
        </w:rPr>
        <w:t>（供应商代表姓名、职务）为本公司（单位）的合法代理人，就贵方组织的</w:t>
      </w:r>
      <w:r>
        <w:rPr>
          <w:rFonts w:ascii="宋体" w:hAnsi="宋体"/>
          <w:snapToGrid w:val="0"/>
          <w:kern w:val="0"/>
          <w:sz w:val="24"/>
          <w:szCs w:val="24"/>
          <w:u w:val="single"/>
        </w:rPr>
        <w:t xml:space="preserve">                 </w:t>
      </w:r>
      <w:r>
        <w:rPr>
          <w:rFonts w:ascii="宋体" w:hAnsi="宋体"/>
          <w:snapToGrid w:val="0"/>
          <w:kern w:val="0"/>
          <w:sz w:val="24"/>
          <w:szCs w:val="24"/>
        </w:rPr>
        <w:t xml:space="preserve"> </w:t>
      </w:r>
      <w:r>
        <w:rPr>
          <w:rFonts w:hint="eastAsia" w:ascii="宋体" w:hAnsi="宋体"/>
          <w:snapToGrid w:val="0"/>
          <w:kern w:val="0"/>
          <w:sz w:val="24"/>
          <w:szCs w:val="24"/>
        </w:rPr>
        <w:t>项目，标段号：</w:t>
      </w:r>
      <w:r>
        <w:rPr>
          <w:rFonts w:hint="eastAsia" w:ascii="宋体" w:hAnsi="宋体"/>
          <w:snapToGrid w:val="0"/>
          <w:kern w:val="0"/>
          <w:sz w:val="24"/>
          <w:szCs w:val="24"/>
          <w:u w:val="single"/>
        </w:rPr>
        <w:t xml:space="preserve">       </w:t>
      </w:r>
      <w:r>
        <w:rPr>
          <w:rFonts w:hint="eastAsia" w:ascii="宋体" w:hAnsi="宋体"/>
          <w:snapToGrid w:val="0"/>
          <w:kern w:val="0"/>
          <w:sz w:val="24"/>
          <w:szCs w:val="24"/>
        </w:rPr>
        <w:t>项目编号：</w:t>
      </w:r>
      <w:r>
        <w:rPr>
          <w:rFonts w:ascii="宋体" w:hAnsi="宋体"/>
          <w:snapToGrid w:val="0"/>
          <w:kern w:val="0"/>
          <w:sz w:val="24"/>
          <w:szCs w:val="24"/>
          <w:u w:val="single"/>
        </w:rPr>
        <w:t xml:space="preserve">        </w:t>
      </w:r>
      <w:r>
        <w:rPr>
          <w:rFonts w:hint="eastAsia" w:ascii="宋体" w:hAnsi="宋体"/>
          <w:snapToGrid w:val="0"/>
          <w:kern w:val="0"/>
          <w:sz w:val="24"/>
          <w:szCs w:val="24"/>
        </w:rPr>
        <w:t>，以本公司（单位）名义处理一切与之有关的事务。</w:t>
      </w:r>
    </w:p>
    <w:p w14:paraId="1D7CA735">
      <w:pPr>
        <w:overflowPunct w:val="0"/>
        <w:topLinePunct/>
        <w:autoSpaceDN w:val="0"/>
        <w:adjustRightInd w:val="0"/>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本授权书于</w:t>
      </w:r>
      <w:r>
        <w:rPr>
          <w:rFonts w:ascii="宋体" w:hAnsi="宋体"/>
          <w:snapToGrid w:val="0"/>
          <w:kern w:val="0"/>
          <w:sz w:val="24"/>
          <w:szCs w:val="24"/>
          <w:u w:val="single"/>
        </w:rPr>
        <w:t xml:space="preserve">    </w:t>
      </w:r>
      <w:r>
        <w:rPr>
          <w:rFonts w:hint="eastAsia" w:ascii="宋体" w:hAnsi="宋体"/>
          <w:snapToGrid w:val="0"/>
          <w:kern w:val="0"/>
          <w:sz w:val="24"/>
          <w:szCs w:val="24"/>
        </w:rPr>
        <w:t>年</w:t>
      </w:r>
      <w:r>
        <w:rPr>
          <w:rFonts w:ascii="宋体" w:hAnsi="宋体"/>
          <w:snapToGrid w:val="0"/>
          <w:kern w:val="0"/>
          <w:sz w:val="24"/>
          <w:szCs w:val="24"/>
          <w:u w:val="single"/>
        </w:rPr>
        <w:t xml:space="preserve">  </w:t>
      </w:r>
      <w:r>
        <w:rPr>
          <w:rFonts w:hint="eastAsia" w:ascii="宋体" w:hAnsi="宋体"/>
          <w:snapToGrid w:val="0"/>
          <w:kern w:val="0"/>
          <w:sz w:val="24"/>
          <w:szCs w:val="24"/>
        </w:rPr>
        <w:t>月</w:t>
      </w:r>
      <w:r>
        <w:rPr>
          <w:rFonts w:ascii="宋体" w:hAnsi="宋体"/>
          <w:snapToGrid w:val="0"/>
          <w:kern w:val="0"/>
          <w:sz w:val="24"/>
          <w:szCs w:val="24"/>
          <w:u w:val="single"/>
        </w:rPr>
        <w:t xml:space="preserve">  </w:t>
      </w:r>
      <w:r>
        <w:rPr>
          <w:rFonts w:hint="eastAsia" w:ascii="宋体" w:hAnsi="宋体"/>
          <w:snapToGrid w:val="0"/>
          <w:kern w:val="0"/>
          <w:sz w:val="24"/>
          <w:szCs w:val="24"/>
        </w:rPr>
        <w:t>日签字或盖章生效，特此声明。</w:t>
      </w:r>
    </w:p>
    <w:p w14:paraId="2A4883EF">
      <w:pPr>
        <w:overflowPunct w:val="0"/>
        <w:topLinePunct/>
        <w:autoSpaceDN w:val="0"/>
        <w:adjustRightInd w:val="0"/>
        <w:snapToGrid w:val="0"/>
        <w:spacing w:line="360" w:lineRule="auto"/>
        <w:ind w:firstLine="480" w:firstLineChars="200"/>
        <w:rPr>
          <w:rFonts w:ascii="宋体" w:hAnsi="宋体"/>
          <w:snapToGrid w:val="0"/>
          <w:kern w:val="0"/>
          <w:sz w:val="24"/>
          <w:szCs w:val="24"/>
        </w:rPr>
      </w:pPr>
    </w:p>
    <w:p w14:paraId="723E033C">
      <w:pPr>
        <w:pStyle w:val="31"/>
        <w:keepNext/>
        <w:snapToGrid w:val="0"/>
        <w:spacing w:line="360" w:lineRule="auto"/>
        <w:ind w:firstLine="477" w:firstLineChars="198"/>
        <w:jc w:val="both"/>
        <w:rPr>
          <w:rFonts w:ascii="宋体" w:hAnsi="宋体"/>
          <w:b/>
        </w:rPr>
      </w:pPr>
      <w:r>
        <w:rPr>
          <w:rFonts w:hint="eastAsia" w:ascii="宋体" w:hAnsi="宋体"/>
          <w:b/>
        </w:rPr>
        <w:t>后附：委托代理人身份证</w:t>
      </w:r>
    </w:p>
    <w:p w14:paraId="7EB03E21">
      <w:pPr>
        <w:overflowPunct w:val="0"/>
        <w:topLinePunct/>
        <w:autoSpaceDN w:val="0"/>
        <w:adjustRightInd w:val="0"/>
        <w:snapToGrid w:val="0"/>
        <w:spacing w:line="360" w:lineRule="auto"/>
        <w:ind w:firstLine="480" w:firstLineChars="200"/>
        <w:rPr>
          <w:rFonts w:ascii="宋体" w:hAnsi="宋体"/>
          <w:snapToGrid w:val="0"/>
          <w:kern w:val="0"/>
          <w:sz w:val="24"/>
          <w:szCs w:val="24"/>
        </w:rPr>
      </w:pPr>
    </w:p>
    <w:p w14:paraId="1124235A">
      <w:pPr>
        <w:overflowPunct w:val="0"/>
        <w:topLinePunct/>
        <w:autoSpaceDN w:val="0"/>
        <w:adjustRightInd w:val="0"/>
        <w:snapToGrid w:val="0"/>
        <w:spacing w:line="360" w:lineRule="auto"/>
        <w:ind w:firstLine="480" w:firstLineChars="200"/>
        <w:rPr>
          <w:rFonts w:ascii="宋体" w:hAnsi="宋体"/>
          <w:snapToGrid w:val="0"/>
          <w:kern w:val="0"/>
          <w:sz w:val="24"/>
          <w:szCs w:val="24"/>
        </w:rPr>
      </w:pPr>
    </w:p>
    <w:p w14:paraId="7F8650B4">
      <w:pPr>
        <w:overflowPunct w:val="0"/>
        <w:topLinePunct/>
        <w:autoSpaceDN w:val="0"/>
        <w:adjustRightInd w:val="0"/>
        <w:snapToGrid w:val="0"/>
        <w:spacing w:line="360" w:lineRule="auto"/>
        <w:ind w:firstLine="480" w:firstLineChars="200"/>
        <w:rPr>
          <w:rFonts w:ascii="宋体" w:hAnsi="宋体"/>
          <w:snapToGrid w:val="0"/>
          <w:kern w:val="0"/>
          <w:sz w:val="24"/>
          <w:szCs w:val="24"/>
        </w:rPr>
      </w:pPr>
    </w:p>
    <w:p w14:paraId="3C175846">
      <w:pPr>
        <w:overflowPunct w:val="0"/>
        <w:topLinePunct/>
        <w:autoSpaceDN w:val="0"/>
        <w:adjustRightInd w:val="0"/>
        <w:snapToGrid w:val="0"/>
        <w:spacing w:line="360" w:lineRule="auto"/>
        <w:ind w:firstLine="480" w:firstLineChars="200"/>
        <w:rPr>
          <w:rFonts w:ascii="宋体" w:hAnsi="宋体"/>
          <w:snapToGrid w:val="0"/>
          <w:kern w:val="0"/>
          <w:sz w:val="24"/>
          <w:szCs w:val="24"/>
        </w:rPr>
      </w:pPr>
    </w:p>
    <w:p w14:paraId="64A836E4">
      <w:pPr>
        <w:spacing w:line="360" w:lineRule="auto"/>
        <w:jc w:val="center"/>
        <w:rPr>
          <w:rFonts w:ascii="宋体" w:hAnsi="宋体"/>
          <w:snapToGrid w:val="0"/>
          <w:kern w:val="0"/>
          <w:sz w:val="24"/>
          <w:szCs w:val="24"/>
        </w:rPr>
      </w:pPr>
      <w:r>
        <w:rPr>
          <w:rFonts w:hint="eastAsia" w:ascii="宋体" w:hAnsi="宋体" w:cs="宋体"/>
          <w:sz w:val="24"/>
          <w:szCs w:val="24"/>
          <w:lang w:val="en-US" w:eastAsia="zh-CN"/>
        </w:rPr>
        <w:t xml:space="preserve">                            供应商</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ascii="宋体" w:hAnsi="宋体"/>
          <w:snapToGrid w:val="0"/>
          <w:kern w:val="0"/>
          <w:sz w:val="24"/>
          <w:szCs w:val="24"/>
        </w:rPr>
        <w:t>(</w:t>
      </w:r>
      <w:r>
        <w:rPr>
          <w:rFonts w:hint="eastAsia" w:ascii="宋体" w:hAnsi="宋体" w:cs="宋体"/>
          <w:kern w:val="0"/>
          <w:sz w:val="24"/>
          <w:szCs w:val="24"/>
        </w:rPr>
        <w:t>电子公章</w:t>
      </w:r>
      <w:r>
        <w:rPr>
          <w:rFonts w:ascii="宋体" w:hAnsi="宋体"/>
          <w:snapToGrid w:val="0"/>
          <w:kern w:val="0"/>
          <w:sz w:val="24"/>
          <w:szCs w:val="24"/>
        </w:rPr>
        <w:t>)</w:t>
      </w:r>
    </w:p>
    <w:p w14:paraId="352BD442">
      <w:pPr>
        <w:spacing w:line="360" w:lineRule="auto"/>
        <w:jc w:val="right"/>
        <w:rPr>
          <w:rFonts w:ascii="宋体"/>
          <w:sz w:val="24"/>
          <w:szCs w:val="24"/>
        </w:rPr>
      </w:pPr>
      <w:r>
        <w:rPr>
          <w:rFonts w:hint="eastAsia" w:ascii="宋体" w:hAnsi="宋体" w:cs="宋体"/>
          <w:sz w:val="24"/>
          <w:szCs w:val="24"/>
        </w:rPr>
        <w:t>法定代表人：</w:t>
      </w:r>
      <w:r>
        <w:rPr>
          <w:rFonts w:ascii="宋体" w:hAnsi="宋体" w:cs="宋体"/>
          <w:sz w:val="24"/>
          <w:szCs w:val="24"/>
          <w:u w:val="single"/>
        </w:rPr>
        <w:t xml:space="preserve">                 </w:t>
      </w:r>
      <w:r>
        <w:rPr>
          <w:rFonts w:hint="eastAsia" w:ascii="宋体" w:hAnsi="宋体" w:cs="宋体"/>
          <w:sz w:val="24"/>
          <w:szCs w:val="24"/>
        </w:rPr>
        <w:t>（</w:t>
      </w:r>
      <w:r>
        <w:rPr>
          <w:rFonts w:hint="eastAsia" w:ascii="宋体" w:hAnsi="宋体" w:cs="宋体"/>
          <w:kern w:val="0"/>
          <w:sz w:val="24"/>
          <w:szCs w:val="24"/>
        </w:rPr>
        <w:t>电子签字或盖章</w:t>
      </w:r>
      <w:r>
        <w:rPr>
          <w:rFonts w:hint="eastAsia" w:ascii="宋体" w:hAnsi="宋体" w:cs="宋体"/>
          <w:sz w:val="24"/>
          <w:szCs w:val="24"/>
        </w:rPr>
        <w:t>）</w:t>
      </w:r>
    </w:p>
    <w:p w14:paraId="2A26A763">
      <w:pPr>
        <w:spacing w:line="360" w:lineRule="auto"/>
        <w:ind w:firstLine="4080" w:firstLineChars="1700"/>
        <w:rPr>
          <w:rFonts w:ascii="宋体"/>
          <w:sz w:val="24"/>
          <w:szCs w:val="24"/>
          <w:u w:val="single"/>
        </w:rPr>
      </w:pPr>
      <w:r>
        <w:rPr>
          <w:rFonts w:hint="eastAsia" w:ascii="宋体" w:hAnsi="宋体" w:cs="宋体"/>
          <w:sz w:val="24"/>
          <w:szCs w:val="24"/>
        </w:rPr>
        <w:t>身份证号码：</w:t>
      </w:r>
      <w:r>
        <w:rPr>
          <w:rFonts w:ascii="宋体" w:hAnsi="宋体" w:cs="宋体"/>
          <w:sz w:val="24"/>
          <w:szCs w:val="24"/>
          <w:u w:val="single"/>
        </w:rPr>
        <w:t xml:space="preserve">                                   </w:t>
      </w:r>
    </w:p>
    <w:p w14:paraId="4BA6A4D4">
      <w:pPr>
        <w:spacing w:line="360" w:lineRule="auto"/>
        <w:jc w:val="right"/>
        <w:rPr>
          <w:rFonts w:ascii="宋体"/>
          <w:sz w:val="24"/>
          <w:szCs w:val="24"/>
        </w:rPr>
      </w:pPr>
      <w:r>
        <w:rPr>
          <w:rFonts w:hint="eastAsia" w:ascii="宋体" w:hAnsi="宋体" w:cs="宋体"/>
          <w:sz w:val="24"/>
          <w:szCs w:val="24"/>
        </w:rPr>
        <w:t>委托代理人：</w:t>
      </w:r>
      <w:r>
        <w:rPr>
          <w:rFonts w:ascii="宋体" w:hAnsi="宋体" w:cs="宋体"/>
          <w:sz w:val="24"/>
          <w:szCs w:val="24"/>
          <w:u w:val="single"/>
        </w:rPr>
        <w:t xml:space="preserve">                 </w:t>
      </w:r>
      <w:r>
        <w:rPr>
          <w:rFonts w:hint="eastAsia" w:ascii="宋体" w:hAnsi="宋体" w:cs="宋体"/>
          <w:sz w:val="24"/>
          <w:szCs w:val="24"/>
        </w:rPr>
        <w:t>（</w:t>
      </w:r>
      <w:r>
        <w:rPr>
          <w:rFonts w:hint="eastAsia" w:ascii="宋体" w:hAnsi="宋体" w:cs="宋体"/>
          <w:kern w:val="0"/>
          <w:sz w:val="24"/>
          <w:szCs w:val="24"/>
        </w:rPr>
        <w:t>电子签字或盖章</w:t>
      </w:r>
      <w:r>
        <w:rPr>
          <w:rFonts w:hint="eastAsia" w:ascii="宋体" w:hAnsi="宋体" w:cs="宋体"/>
          <w:sz w:val="24"/>
          <w:szCs w:val="24"/>
        </w:rPr>
        <w:t>）</w:t>
      </w:r>
    </w:p>
    <w:p w14:paraId="45597212">
      <w:pPr>
        <w:spacing w:line="360" w:lineRule="auto"/>
        <w:ind w:firstLine="4080" w:firstLineChars="1700"/>
        <w:rPr>
          <w:rFonts w:ascii="宋体"/>
          <w:sz w:val="24"/>
          <w:szCs w:val="24"/>
        </w:rPr>
      </w:pPr>
      <w:r>
        <w:rPr>
          <w:rFonts w:hint="eastAsia" w:ascii="宋体" w:hAnsi="宋体" w:cs="宋体"/>
          <w:sz w:val="24"/>
          <w:szCs w:val="24"/>
        </w:rPr>
        <w:t>身份证号码：</w:t>
      </w:r>
      <w:r>
        <w:rPr>
          <w:rFonts w:ascii="宋体" w:hAnsi="宋体" w:cs="宋体"/>
          <w:sz w:val="24"/>
          <w:szCs w:val="24"/>
          <w:u w:val="single"/>
        </w:rPr>
        <w:t xml:space="preserve">                                   </w:t>
      </w:r>
    </w:p>
    <w:p w14:paraId="2505EF58">
      <w:pPr>
        <w:spacing w:line="360" w:lineRule="auto"/>
        <w:ind w:firstLine="4320" w:firstLineChars="1800"/>
        <w:rPr>
          <w:rFonts w:ascii="宋体"/>
          <w:sz w:val="24"/>
          <w:szCs w:val="24"/>
        </w:rPr>
      </w:pP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p>
    <w:p w14:paraId="641BD184">
      <w:pPr>
        <w:tabs>
          <w:tab w:val="left" w:pos="730"/>
        </w:tabs>
        <w:overflowPunct w:val="0"/>
        <w:topLinePunct/>
        <w:autoSpaceDN w:val="0"/>
        <w:adjustRightInd w:val="0"/>
        <w:snapToGrid w:val="0"/>
        <w:spacing w:line="360" w:lineRule="auto"/>
        <w:ind w:firstLine="480" w:firstLineChars="200"/>
        <w:rPr>
          <w:rFonts w:ascii="宋体" w:hAnsi="宋体"/>
          <w:snapToGrid w:val="0"/>
          <w:kern w:val="0"/>
          <w:sz w:val="24"/>
          <w:szCs w:val="24"/>
        </w:rPr>
      </w:pPr>
      <w:r>
        <w:rPr>
          <w:rFonts w:ascii="宋体" w:hAnsi="宋体"/>
          <w:snapToGrid w:val="0"/>
          <w:kern w:val="0"/>
          <w:sz w:val="24"/>
          <w:szCs w:val="24"/>
        </w:rPr>
        <w:t xml:space="preserve">  </w:t>
      </w:r>
      <w:bookmarkEnd w:id="109"/>
      <w:bookmarkEnd w:id="110"/>
    </w:p>
    <w:p w14:paraId="35BAB4EA">
      <w:pPr>
        <w:overflowPunct w:val="0"/>
        <w:topLinePunct/>
        <w:autoSpaceDN w:val="0"/>
        <w:adjustRightInd w:val="0"/>
        <w:snapToGrid w:val="0"/>
        <w:spacing w:line="360" w:lineRule="auto"/>
        <w:ind w:firstLine="480" w:firstLineChars="200"/>
        <w:rPr>
          <w:rFonts w:ascii="宋体" w:hAnsi="宋体"/>
          <w:snapToGrid w:val="0"/>
          <w:kern w:val="0"/>
          <w:sz w:val="24"/>
          <w:szCs w:val="24"/>
        </w:rPr>
      </w:pPr>
    </w:p>
    <w:p w14:paraId="29BA8569">
      <w:pPr>
        <w:overflowPunct w:val="0"/>
        <w:topLinePunct/>
        <w:autoSpaceDN w:val="0"/>
        <w:adjustRightInd w:val="0"/>
        <w:snapToGrid w:val="0"/>
        <w:spacing w:line="360" w:lineRule="auto"/>
        <w:ind w:firstLine="480" w:firstLineChars="200"/>
        <w:rPr>
          <w:rFonts w:ascii="宋体" w:hAnsi="宋体"/>
          <w:snapToGrid w:val="0"/>
          <w:kern w:val="0"/>
          <w:sz w:val="24"/>
          <w:szCs w:val="24"/>
        </w:rPr>
      </w:pPr>
    </w:p>
    <w:p w14:paraId="095F8D29">
      <w:pPr>
        <w:spacing w:line="384" w:lineRule="auto"/>
        <w:jc w:val="center"/>
        <w:rPr>
          <w:rFonts w:ascii="宋体" w:hAnsi="宋体"/>
          <w:snapToGrid w:val="0"/>
          <w:kern w:val="0"/>
          <w:sz w:val="24"/>
          <w:szCs w:val="24"/>
        </w:rPr>
      </w:pPr>
      <w:r>
        <w:rPr>
          <w:rFonts w:ascii="宋体" w:hAnsi="宋体"/>
          <w:snapToGrid w:val="0"/>
          <w:kern w:val="0"/>
          <w:sz w:val="24"/>
          <w:szCs w:val="24"/>
        </w:rPr>
        <w:br w:type="page"/>
      </w:r>
    </w:p>
    <w:p w14:paraId="01CC60C7">
      <w:pPr>
        <w:overflowPunct w:val="0"/>
        <w:topLinePunct/>
        <w:autoSpaceDN w:val="0"/>
        <w:adjustRightInd w:val="0"/>
        <w:snapToGrid w:val="0"/>
        <w:spacing w:line="360" w:lineRule="auto"/>
        <w:outlineLvl w:val="0"/>
        <w:rPr>
          <w:rFonts w:ascii="宋体" w:hAnsi="宋体"/>
          <w:b/>
          <w:bCs/>
          <w:snapToGrid w:val="0"/>
          <w:kern w:val="0"/>
          <w:sz w:val="24"/>
          <w:szCs w:val="24"/>
        </w:rPr>
      </w:pPr>
      <w:bookmarkStart w:id="113" w:name="_Toc25697"/>
      <w:r>
        <w:rPr>
          <w:rFonts w:hint="eastAsia" w:ascii="宋体" w:hAnsi="宋体"/>
          <w:b/>
          <w:bCs/>
          <w:snapToGrid w:val="0"/>
          <w:kern w:val="0"/>
          <w:sz w:val="24"/>
          <w:szCs w:val="24"/>
        </w:rPr>
        <w:t>四、具有独立承担民事责任的能力</w:t>
      </w:r>
      <w:bookmarkEnd w:id="113"/>
    </w:p>
    <w:p w14:paraId="2039B4B5">
      <w:pPr>
        <w:overflowPunct w:val="0"/>
        <w:topLinePunct/>
        <w:autoSpaceDN w:val="0"/>
        <w:adjustRightInd w:val="0"/>
        <w:snapToGrid w:val="0"/>
        <w:spacing w:line="360" w:lineRule="auto"/>
        <w:rPr>
          <w:rFonts w:ascii="宋体" w:hAnsi="宋体"/>
          <w:snapToGrid w:val="0"/>
          <w:kern w:val="0"/>
          <w:sz w:val="24"/>
          <w:szCs w:val="24"/>
        </w:rPr>
      </w:pPr>
      <w:r>
        <w:rPr>
          <w:rFonts w:hint="eastAsia" w:ascii="宋体" w:hAnsi="宋体"/>
          <w:snapToGrid w:val="0"/>
          <w:kern w:val="0"/>
          <w:sz w:val="24"/>
          <w:szCs w:val="24"/>
        </w:rPr>
        <w:t>1、提供有效的供应商营业执照，或事业单位法人登记证书，</w:t>
      </w:r>
      <w:r>
        <w:rPr>
          <w:rFonts w:ascii="宋体" w:hAnsi="宋体"/>
          <w:snapToGrid w:val="0"/>
          <w:kern w:val="0"/>
          <w:sz w:val="24"/>
          <w:szCs w:val="24"/>
        </w:rPr>
        <w:t xml:space="preserve"> </w:t>
      </w:r>
      <w:r>
        <w:rPr>
          <w:rFonts w:hint="eastAsia" w:ascii="宋体" w:hAnsi="宋体"/>
          <w:snapToGrid w:val="0"/>
          <w:kern w:val="0"/>
          <w:sz w:val="24"/>
          <w:szCs w:val="24"/>
        </w:rPr>
        <w:t>自然人或其他非企业组织参加投标的，提供自然人身份证明或其他非企业组织证明独立承担民事责任能力的文件扫描件。</w:t>
      </w:r>
    </w:p>
    <w:p w14:paraId="5FC00653">
      <w:pPr>
        <w:pStyle w:val="19"/>
        <w:rPr>
          <w:b w:val="0"/>
          <w:bCs w:val="0"/>
          <w:sz w:val="24"/>
          <w:szCs w:val="24"/>
        </w:rPr>
      </w:pPr>
      <w:r>
        <w:rPr>
          <w:rFonts w:hint="eastAsia"/>
          <w:b w:val="0"/>
          <w:bCs w:val="0"/>
          <w:sz w:val="24"/>
          <w:szCs w:val="24"/>
        </w:rPr>
        <w:t>2、本项目其他特定资格条件</w:t>
      </w:r>
    </w:p>
    <w:p w14:paraId="6B103DF4">
      <w:r>
        <w:rPr>
          <w:rFonts w:hint="eastAsia"/>
          <w:sz w:val="24"/>
          <w:szCs w:val="24"/>
        </w:rPr>
        <w:t>3、基本开户许可证或基本存款账户信息</w:t>
      </w:r>
    </w:p>
    <w:p w14:paraId="78C49BF7"/>
    <w:p w14:paraId="6AB66D51">
      <w:pPr>
        <w:overflowPunct w:val="0"/>
        <w:topLinePunct/>
        <w:autoSpaceDN w:val="0"/>
        <w:adjustRightInd w:val="0"/>
        <w:snapToGrid w:val="0"/>
        <w:spacing w:line="360" w:lineRule="auto"/>
        <w:rPr>
          <w:rFonts w:ascii="宋体" w:hAnsi="宋体"/>
          <w:snapToGrid w:val="0"/>
          <w:kern w:val="0"/>
          <w:sz w:val="24"/>
          <w:szCs w:val="24"/>
        </w:rPr>
      </w:pPr>
    </w:p>
    <w:p w14:paraId="4C852940">
      <w:pPr>
        <w:overflowPunct w:val="0"/>
        <w:topLinePunct/>
        <w:autoSpaceDN w:val="0"/>
        <w:adjustRightInd w:val="0"/>
        <w:snapToGrid w:val="0"/>
        <w:spacing w:line="360" w:lineRule="auto"/>
        <w:rPr>
          <w:rFonts w:ascii="宋体" w:hAnsi="宋体"/>
          <w:snapToGrid w:val="0"/>
          <w:kern w:val="0"/>
          <w:sz w:val="24"/>
          <w:szCs w:val="24"/>
        </w:rPr>
      </w:pPr>
    </w:p>
    <w:p w14:paraId="3107A004">
      <w:pPr>
        <w:overflowPunct w:val="0"/>
        <w:topLinePunct/>
        <w:autoSpaceDN w:val="0"/>
        <w:adjustRightInd w:val="0"/>
        <w:snapToGrid w:val="0"/>
        <w:spacing w:line="360" w:lineRule="auto"/>
        <w:rPr>
          <w:rFonts w:ascii="宋体" w:hAnsi="宋体"/>
          <w:snapToGrid w:val="0"/>
          <w:kern w:val="0"/>
          <w:sz w:val="24"/>
          <w:szCs w:val="24"/>
        </w:rPr>
      </w:pPr>
    </w:p>
    <w:p w14:paraId="16BDD073">
      <w:pPr>
        <w:overflowPunct w:val="0"/>
        <w:topLinePunct/>
        <w:autoSpaceDN w:val="0"/>
        <w:adjustRightInd w:val="0"/>
        <w:snapToGrid w:val="0"/>
        <w:spacing w:line="360" w:lineRule="auto"/>
        <w:rPr>
          <w:rFonts w:ascii="宋体" w:hAnsi="宋体"/>
          <w:snapToGrid w:val="0"/>
          <w:kern w:val="0"/>
          <w:sz w:val="24"/>
          <w:szCs w:val="24"/>
        </w:rPr>
      </w:pPr>
    </w:p>
    <w:p w14:paraId="4249F6BD">
      <w:pPr>
        <w:overflowPunct w:val="0"/>
        <w:topLinePunct/>
        <w:autoSpaceDN w:val="0"/>
        <w:adjustRightInd w:val="0"/>
        <w:snapToGrid w:val="0"/>
        <w:spacing w:line="360" w:lineRule="auto"/>
        <w:rPr>
          <w:rFonts w:ascii="宋体" w:hAnsi="宋体"/>
          <w:snapToGrid w:val="0"/>
          <w:kern w:val="0"/>
          <w:sz w:val="24"/>
          <w:szCs w:val="24"/>
        </w:rPr>
      </w:pPr>
    </w:p>
    <w:p w14:paraId="7BB16B53">
      <w:pPr>
        <w:overflowPunct w:val="0"/>
        <w:topLinePunct/>
        <w:autoSpaceDN w:val="0"/>
        <w:adjustRightInd w:val="0"/>
        <w:snapToGrid w:val="0"/>
        <w:spacing w:line="360" w:lineRule="auto"/>
        <w:rPr>
          <w:rFonts w:ascii="宋体" w:hAnsi="宋体"/>
          <w:snapToGrid w:val="0"/>
          <w:kern w:val="0"/>
          <w:sz w:val="24"/>
          <w:szCs w:val="24"/>
        </w:rPr>
      </w:pPr>
    </w:p>
    <w:p w14:paraId="0282F9F5">
      <w:pPr>
        <w:overflowPunct w:val="0"/>
        <w:topLinePunct/>
        <w:autoSpaceDN w:val="0"/>
        <w:adjustRightInd w:val="0"/>
        <w:snapToGrid w:val="0"/>
        <w:spacing w:line="360" w:lineRule="auto"/>
        <w:rPr>
          <w:rFonts w:ascii="宋体" w:hAnsi="宋体"/>
          <w:snapToGrid w:val="0"/>
          <w:kern w:val="0"/>
          <w:sz w:val="24"/>
          <w:szCs w:val="24"/>
        </w:rPr>
      </w:pPr>
    </w:p>
    <w:p w14:paraId="15240E1A">
      <w:pPr>
        <w:overflowPunct w:val="0"/>
        <w:topLinePunct/>
        <w:autoSpaceDN w:val="0"/>
        <w:adjustRightInd w:val="0"/>
        <w:snapToGrid w:val="0"/>
        <w:spacing w:line="360" w:lineRule="auto"/>
        <w:rPr>
          <w:rFonts w:ascii="宋体" w:hAnsi="宋体"/>
          <w:snapToGrid w:val="0"/>
          <w:kern w:val="0"/>
          <w:sz w:val="24"/>
          <w:szCs w:val="24"/>
        </w:rPr>
      </w:pPr>
    </w:p>
    <w:p w14:paraId="49A55221">
      <w:pPr>
        <w:overflowPunct w:val="0"/>
        <w:topLinePunct/>
        <w:autoSpaceDN w:val="0"/>
        <w:adjustRightInd w:val="0"/>
        <w:snapToGrid w:val="0"/>
        <w:spacing w:line="360" w:lineRule="auto"/>
        <w:rPr>
          <w:rFonts w:ascii="宋体" w:hAnsi="宋体"/>
          <w:snapToGrid w:val="0"/>
          <w:kern w:val="0"/>
          <w:sz w:val="24"/>
          <w:szCs w:val="24"/>
        </w:rPr>
      </w:pPr>
    </w:p>
    <w:p w14:paraId="5E604CEF">
      <w:pPr>
        <w:overflowPunct w:val="0"/>
        <w:topLinePunct/>
        <w:autoSpaceDN w:val="0"/>
        <w:adjustRightInd w:val="0"/>
        <w:snapToGrid w:val="0"/>
        <w:spacing w:line="360" w:lineRule="auto"/>
        <w:rPr>
          <w:rFonts w:ascii="宋体" w:hAnsi="宋体"/>
          <w:snapToGrid w:val="0"/>
          <w:kern w:val="0"/>
          <w:sz w:val="24"/>
          <w:szCs w:val="24"/>
        </w:rPr>
      </w:pPr>
    </w:p>
    <w:p w14:paraId="657898F4">
      <w:pPr>
        <w:overflowPunct w:val="0"/>
        <w:topLinePunct/>
        <w:autoSpaceDN w:val="0"/>
        <w:adjustRightInd w:val="0"/>
        <w:snapToGrid w:val="0"/>
        <w:spacing w:line="360" w:lineRule="auto"/>
        <w:rPr>
          <w:rFonts w:ascii="宋体" w:hAnsi="宋体"/>
          <w:snapToGrid w:val="0"/>
          <w:kern w:val="0"/>
          <w:sz w:val="24"/>
          <w:szCs w:val="24"/>
        </w:rPr>
      </w:pPr>
    </w:p>
    <w:p w14:paraId="01914354">
      <w:pPr>
        <w:overflowPunct w:val="0"/>
        <w:topLinePunct/>
        <w:autoSpaceDN w:val="0"/>
        <w:adjustRightInd w:val="0"/>
        <w:snapToGrid w:val="0"/>
        <w:spacing w:line="360" w:lineRule="auto"/>
        <w:rPr>
          <w:rFonts w:ascii="宋体" w:hAnsi="宋体"/>
          <w:snapToGrid w:val="0"/>
          <w:kern w:val="0"/>
          <w:sz w:val="24"/>
          <w:szCs w:val="24"/>
        </w:rPr>
      </w:pPr>
    </w:p>
    <w:p w14:paraId="0CF86722">
      <w:pPr>
        <w:overflowPunct w:val="0"/>
        <w:topLinePunct/>
        <w:autoSpaceDN w:val="0"/>
        <w:adjustRightInd w:val="0"/>
        <w:snapToGrid w:val="0"/>
        <w:spacing w:line="360" w:lineRule="auto"/>
        <w:rPr>
          <w:rFonts w:ascii="宋体" w:hAnsi="宋体"/>
          <w:snapToGrid w:val="0"/>
          <w:kern w:val="0"/>
          <w:sz w:val="24"/>
          <w:szCs w:val="24"/>
        </w:rPr>
      </w:pPr>
    </w:p>
    <w:p w14:paraId="41D40ECD">
      <w:pPr>
        <w:overflowPunct w:val="0"/>
        <w:topLinePunct/>
        <w:autoSpaceDN w:val="0"/>
        <w:adjustRightInd w:val="0"/>
        <w:snapToGrid w:val="0"/>
        <w:spacing w:line="360" w:lineRule="auto"/>
        <w:rPr>
          <w:rFonts w:ascii="宋体" w:hAnsi="宋体"/>
          <w:snapToGrid w:val="0"/>
          <w:kern w:val="0"/>
          <w:sz w:val="24"/>
          <w:szCs w:val="24"/>
        </w:rPr>
      </w:pPr>
    </w:p>
    <w:p w14:paraId="6A1998E4">
      <w:pPr>
        <w:overflowPunct w:val="0"/>
        <w:topLinePunct/>
        <w:autoSpaceDN w:val="0"/>
        <w:adjustRightInd w:val="0"/>
        <w:snapToGrid w:val="0"/>
        <w:spacing w:line="360" w:lineRule="auto"/>
        <w:rPr>
          <w:rFonts w:ascii="宋体" w:hAnsi="宋体"/>
          <w:snapToGrid w:val="0"/>
          <w:kern w:val="0"/>
          <w:sz w:val="24"/>
          <w:szCs w:val="24"/>
        </w:rPr>
      </w:pPr>
    </w:p>
    <w:p w14:paraId="7D599748">
      <w:pPr>
        <w:overflowPunct w:val="0"/>
        <w:topLinePunct/>
        <w:autoSpaceDN w:val="0"/>
        <w:adjustRightInd w:val="0"/>
        <w:snapToGrid w:val="0"/>
        <w:spacing w:line="360" w:lineRule="auto"/>
        <w:rPr>
          <w:rFonts w:ascii="宋体" w:hAnsi="宋体"/>
          <w:snapToGrid w:val="0"/>
          <w:kern w:val="0"/>
          <w:sz w:val="24"/>
          <w:szCs w:val="24"/>
        </w:rPr>
      </w:pPr>
    </w:p>
    <w:p w14:paraId="16A06657">
      <w:pPr>
        <w:overflowPunct w:val="0"/>
        <w:topLinePunct/>
        <w:autoSpaceDN w:val="0"/>
        <w:adjustRightInd w:val="0"/>
        <w:snapToGrid w:val="0"/>
        <w:spacing w:line="360" w:lineRule="auto"/>
        <w:rPr>
          <w:rFonts w:ascii="宋体" w:hAnsi="宋体"/>
          <w:snapToGrid w:val="0"/>
          <w:kern w:val="0"/>
          <w:sz w:val="24"/>
          <w:szCs w:val="24"/>
        </w:rPr>
      </w:pPr>
    </w:p>
    <w:p w14:paraId="1F5DCF58">
      <w:pPr>
        <w:overflowPunct w:val="0"/>
        <w:topLinePunct/>
        <w:autoSpaceDN w:val="0"/>
        <w:adjustRightInd w:val="0"/>
        <w:snapToGrid w:val="0"/>
        <w:spacing w:line="360" w:lineRule="auto"/>
        <w:rPr>
          <w:rFonts w:ascii="宋体" w:hAnsi="宋体"/>
          <w:snapToGrid w:val="0"/>
          <w:kern w:val="0"/>
          <w:sz w:val="24"/>
          <w:szCs w:val="24"/>
        </w:rPr>
      </w:pPr>
    </w:p>
    <w:p w14:paraId="7BABC62F">
      <w:pPr>
        <w:overflowPunct w:val="0"/>
        <w:topLinePunct/>
        <w:autoSpaceDN w:val="0"/>
        <w:adjustRightInd w:val="0"/>
        <w:snapToGrid w:val="0"/>
        <w:spacing w:line="360" w:lineRule="auto"/>
        <w:rPr>
          <w:rFonts w:ascii="宋体" w:hAnsi="宋体"/>
          <w:snapToGrid w:val="0"/>
          <w:kern w:val="0"/>
          <w:sz w:val="24"/>
          <w:szCs w:val="24"/>
        </w:rPr>
      </w:pPr>
    </w:p>
    <w:p w14:paraId="618981C3">
      <w:pPr>
        <w:overflowPunct w:val="0"/>
        <w:topLinePunct/>
        <w:autoSpaceDN w:val="0"/>
        <w:adjustRightInd w:val="0"/>
        <w:snapToGrid w:val="0"/>
        <w:spacing w:line="360" w:lineRule="auto"/>
        <w:rPr>
          <w:rFonts w:ascii="宋体" w:hAnsi="宋体"/>
          <w:snapToGrid w:val="0"/>
          <w:kern w:val="0"/>
          <w:sz w:val="24"/>
          <w:szCs w:val="24"/>
        </w:rPr>
      </w:pPr>
    </w:p>
    <w:p w14:paraId="31277B8E">
      <w:pPr>
        <w:overflowPunct w:val="0"/>
        <w:topLinePunct/>
        <w:autoSpaceDN w:val="0"/>
        <w:adjustRightInd w:val="0"/>
        <w:snapToGrid w:val="0"/>
        <w:spacing w:line="360" w:lineRule="auto"/>
        <w:rPr>
          <w:rFonts w:ascii="宋体" w:hAnsi="宋体"/>
          <w:snapToGrid w:val="0"/>
          <w:kern w:val="0"/>
          <w:sz w:val="24"/>
          <w:szCs w:val="24"/>
        </w:rPr>
      </w:pPr>
    </w:p>
    <w:p w14:paraId="720C139C">
      <w:pPr>
        <w:overflowPunct w:val="0"/>
        <w:topLinePunct/>
        <w:autoSpaceDN w:val="0"/>
        <w:adjustRightInd w:val="0"/>
        <w:snapToGrid w:val="0"/>
        <w:spacing w:line="360" w:lineRule="auto"/>
        <w:rPr>
          <w:rFonts w:ascii="宋体" w:hAnsi="宋体"/>
          <w:snapToGrid w:val="0"/>
          <w:kern w:val="0"/>
          <w:sz w:val="24"/>
          <w:szCs w:val="24"/>
        </w:rPr>
      </w:pPr>
    </w:p>
    <w:p w14:paraId="7079982B">
      <w:pPr>
        <w:overflowPunct w:val="0"/>
        <w:topLinePunct/>
        <w:autoSpaceDN w:val="0"/>
        <w:adjustRightInd w:val="0"/>
        <w:snapToGrid w:val="0"/>
        <w:spacing w:line="360" w:lineRule="auto"/>
        <w:rPr>
          <w:rFonts w:ascii="宋体" w:hAnsi="宋体"/>
          <w:snapToGrid w:val="0"/>
          <w:kern w:val="0"/>
          <w:sz w:val="24"/>
          <w:szCs w:val="24"/>
        </w:rPr>
      </w:pPr>
    </w:p>
    <w:p w14:paraId="4D97FB73">
      <w:pPr>
        <w:overflowPunct w:val="0"/>
        <w:topLinePunct/>
        <w:autoSpaceDN w:val="0"/>
        <w:adjustRightInd w:val="0"/>
        <w:snapToGrid w:val="0"/>
        <w:spacing w:line="360" w:lineRule="auto"/>
        <w:rPr>
          <w:rFonts w:ascii="宋体" w:hAnsi="宋体"/>
          <w:snapToGrid w:val="0"/>
          <w:kern w:val="0"/>
          <w:sz w:val="24"/>
          <w:szCs w:val="24"/>
        </w:rPr>
      </w:pPr>
    </w:p>
    <w:p w14:paraId="472D8D7E">
      <w:pPr>
        <w:overflowPunct w:val="0"/>
        <w:topLinePunct/>
        <w:autoSpaceDN w:val="0"/>
        <w:adjustRightInd w:val="0"/>
        <w:snapToGrid w:val="0"/>
        <w:spacing w:line="360" w:lineRule="auto"/>
        <w:rPr>
          <w:rFonts w:ascii="宋体" w:hAnsi="宋体"/>
          <w:snapToGrid w:val="0"/>
          <w:kern w:val="0"/>
          <w:sz w:val="24"/>
          <w:szCs w:val="24"/>
        </w:rPr>
      </w:pPr>
    </w:p>
    <w:p w14:paraId="124E63DE">
      <w:pPr>
        <w:overflowPunct w:val="0"/>
        <w:topLinePunct/>
        <w:autoSpaceDN w:val="0"/>
        <w:adjustRightInd w:val="0"/>
        <w:snapToGrid w:val="0"/>
        <w:spacing w:line="360" w:lineRule="auto"/>
        <w:outlineLvl w:val="0"/>
        <w:rPr>
          <w:rFonts w:ascii="宋体" w:hAnsi="宋体"/>
          <w:b/>
          <w:bCs/>
          <w:snapToGrid w:val="0"/>
          <w:kern w:val="0"/>
          <w:sz w:val="24"/>
          <w:szCs w:val="24"/>
        </w:rPr>
      </w:pPr>
      <w:bookmarkStart w:id="114" w:name="_Toc32091"/>
      <w:r>
        <w:rPr>
          <w:rFonts w:hint="eastAsia" w:ascii="宋体" w:hAnsi="宋体"/>
          <w:b/>
          <w:bCs/>
          <w:snapToGrid w:val="0"/>
          <w:kern w:val="0"/>
          <w:sz w:val="24"/>
          <w:szCs w:val="24"/>
        </w:rPr>
        <w:t>五、长治市政府采购供应商信用承诺函（格式）</w:t>
      </w:r>
      <w:bookmarkEnd w:id="114"/>
    </w:p>
    <w:p w14:paraId="7DD94BCF">
      <w:pPr>
        <w:overflowPunct w:val="0"/>
        <w:topLinePunct/>
        <w:autoSpaceDN w:val="0"/>
        <w:adjustRightInd w:val="0"/>
        <w:snapToGrid w:val="0"/>
        <w:spacing w:line="360" w:lineRule="auto"/>
        <w:jc w:val="center"/>
        <w:rPr>
          <w:rFonts w:ascii="宋体" w:hAnsi="宋体"/>
          <w:snapToGrid w:val="0"/>
          <w:kern w:val="0"/>
          <w:sz w:val="24"/>
          <w:szCs w:val="24"/>
        </w:rPr>
      </w:pPr>
      <w:r>
        <w:rPr>
          <w:rFonts w:ascii="宋体" w:hAnsi="宋体"/>
          <w:snapToGrid w:val="0"/>
          <w:kern w:val="0"/>
          <w:sz w:val="24"/>
          <w:szCs w:val="24"/>
        </w:rPr>
        <w:t>长治市政府采购</w:t>
      </w:r>
      <w:r>
        <w:rPr>
          <w:rFonts w:hint="eastAsia" w:ascii="宋体" w:hAnsi="宋体"/>
          <w:snapToGrid w:val="0"/>
          <w:kern w:val="0"/>
          <w:sz w:val="24"/>
          <w:szCs w:val="24"/>
        </w:rPr>
        <w:t>供应商</w:t>
      </w:r>
      <w:r>
        <w:rPr>
          <w:rFonts w:ascii="宋体" w:hAnsi="宋体"/>
          <w:snapToGrid w:val="0"/>
          <w:kern w:val="0"/>
          <w:sz w:val="24"/>
          <w:szCs w:val="24"/>
        </w:rPr>
        <w:t>信用承诺函</w:t>
      </w:r>
    </w:p>
    <w:p w14:paraId="2A2F7580">
      <w:pPr>
        <w:overflowPunct w:val="0"/>
        <w:topLinePunct/>
        <w:autoSpaceDN w:val="0"/>
        <w:adjustRightInd w:val="0"/>
        <w:snapToGrid w:val="0"/>
        <w:spacing w:line="360" w:lineRule="auto"/>
        <w:rPr>
          <w:rFonts w:ascii="宋体" w:hAnsi="宋体"/>
          <w:snapToGrid w:val="0"/>
          <w:kern w:val="0"/>
          <w:sz w:val="24"/>
          <w:szCs w:val="24"/>
        </w:rPr>
      </w:pPr>
      <w:r>
        <w:rPr>
          <w:rFonts w:hint="eastAsia" w:ascii="宋体" w:hAnsi="宋体"/>
          <w:snapToGrid w:val="0"/>
          <w:kern w:val="0"/>
          <w:sz w:val="24"/>
          <w:szCs w:val="24"/>
        </w:rPr>
        <w:t>致  （采购人或</w:t>
      </w:r>
      <w:r>
        <w:rPr>
          <w:rFonts w:hint="eastAsia" w:ascii="宋体" w:hAnsi="宋体"/>
          <w:snapToGrid w:val="0"/>
          <w:kern w:val="0"/>
          <w:sz w:val="24"/>
          <w:szCs w:val="24"/>
          <w:lang w:eastAsia="zh-CN"/>
        </w:rPr>
        <w:t>采购代理机构</w:t>
      </w:r>
      <w:r>
        <w:rPr>
          <w:rFonts w:hint="eastAsia" w:ascii="宋体" w:hAnsi="宋体"/>
          <w:snapToGrid w:val="0"/>
          <w:kern w:val="0"/>
          <w:sz w:val="24"/>
          <w:szCs w:val="24"/>
        </w:rPr>
        <w:t>）   ：</w:t>
      </w:r>
    </w:p>
    <w:p w14:paraId="6C2554A3">
      <w:pPr>
        <w:overflowPunct w:val="0"/>
        <w:topLinePunct/>
        <w:autoSpaceDN w:val="0"/>
        <w:adjustRightInd w:val="0"/>
        <w:snapToGrid w:val="0"/>
        <w:spacing w:line="360" w:lineRule="auto"/>
        <w:rPr>
          <w:rFonts w:ascii="宋体" w:hAnsi="宋体"/>
          <w:snapToGrid w:val="0"/>
          <w:kern w:val="0"/>
          <w:sz w:val="24"/>
          <w:szCs w:val="24"/>
        </w:rPr>
      </w:pPr>
      <w:r>
        <w:rPr>
          <w:rFonts w:hint="eastAsia" w:ascii="宋体" w:hAnsi="宋体"/>
          <w:snapToGrid w:val="0"/>
          <w:kern w:val="0"/>
          <w:sz w:val="24"/>
          <w:szCs w:val="24"/>
        </w:rPr>
        <w:t xml:space="preserve">供应商名称（自然人姓名）：                       </w:t>
      </w:r>
    </w:p>
    <w:p w14:paraId="7D9DF9EB">
      <w:pPr>
        <w:overflowPunct w:val="0"/>
        <w:topLinePunct/>
        <w:autoSpaceDN w:val="0"/>
        <w:adjustRightInd w:val="0"/>
        <w:snapToGrid w:val="0"/>
        <w:spacing w:line="360" w:lineRule="auto"/>
        <w:rPr>
          <w:rFonts w:ascii="宋体" w:hAnsi="宋体"/>
          <w:snapToGrid w:val="0"/>
          <w:kern w:val="0"/>
          <w:sz w:val="24"/>
          <w:szCs w:val="24"/>
        </w:rPr>
      </w:pPr>
      <w:r>
        <w:rPr>
          <w:rFonts w:hint="eastAsia" w:ascii="宋体" w:hAnsi="宋体"/>
          <w:snapToGrid w:val="0"/>
          <w:kern w:val="0"/>
          <w:sz w:val="24"/>
          <w:szCs w:val="24"/>
        </w:rPr>
        <w:t xml:space="preserve">统一社会信用代码（身份证号码）：                   </w:t>
      </w:r>
    </w:p>
    <w:p w14:paraId="3625133C">
      <w:pPr>
        <w:overflowPunct w:val="0"/>
        <w:topLinePunct/>
        <w:autoSpaceDN w:val="0"/>
        <w:adjustRightInd w:val="0"/>
        <w:snapToGrid w:val="0"/>
        <w:spacing w:line="360" w:lineRule="auto"/>
        <w:rPr>
          <w:rFonts w:ascii="宋体" w:hAnsi="宋体"/>
          <w:snapToGrid w:val="0"/>
          <w:kern w:val="0"/>
          <w:sz w:val="24"/>
          <w:szCs w:val="24"/>
        </w:rPr>
      </w:pPr>
      <w:r>
        <w:rPr>
          <w:rFonts w:hint="eastAsia" w:ascii="宋体" w:hAnsi="宋体"/>
          <w:snapToGrid w:val="0"/>
          <w:kern w:val="0"/>
          <w:sz w:val="24"/>
          <w:szCs w:val="24"/>
        </w:rPr>
        <w:t xml:space="preserve">法定代表人（负责人）：                           </w:t>
      </w:r>
    </w:p>
    <w:p w14:paraId="445BE7AB">
      <w:pPr>
        <w:overflowPunct w:val="0"/>
        <w:topLinePunct/>
        <w:autoSpaceDN w:val="0"/>
        <w:adjustRightInd w:val="0"/>
        <w:snapToGrid w:val="0"/>
        <w:spacing w:line="360" w:lineRule="auto"/>
        <w:rPr>
          <w:rFonts w:ascii="宋体" w:hAnsi="宋体"/>
          <w:snapToGrid w:val="0"/>
          <w:kern w:val="0"/>
          <w:sz w:val="24"/>
          <w:szCs w:val="24"/>
        </w:rPr>
      </w:pPr>
      <w:r>
        <w:rPr>
          <w:rFonts w:hint="eastAsia" w:ascii="宋体" w:hAnsi="宋体"/>
          <w:snapToGrid w:val="0"/>
          <w:kern w:val="0"/>
          <w:sz w:val="24"/>
          <w:szCs w:val="24"/>
        </w:rPr>
        <w:t xml:space="preserve">联系地址和电话：                                 </w:t>
      </w:r>
    </w:p>
    <w:p w14:paraId="5331833C">
      <w:pPr>
        <w:overflowPunct w:val="0"/>
        <w:topLinePunct/>
        <w:autoSpaceDN w:val="0"/>
        <w:adjustRightInd w:val="0"/>
        <w:snapToGrid w:val="0"/>
        <w:spacing w:line="360" w:lineRule="auto"/>
        <w:rPr>
          <w:rFonts w:ascii="宋体" w:hAnsi="宋体"/>
          <w:snapToGrid w:val="0"/>
          <w:kern w:val="0"/>
          <w:sz w:val="24"/>
          <w:szCs w:val="24"/>
        </w:rPr>
      </w:pPr>
      <w:r>
        <w:rPr>
          <w:rFonts w:hint="eastAsia" w:ascii="宋体" w:hAnsi="宋体"/>
          <w:snapToGrid w:val="0"/>
          <w:kern w:val="0"/>
          <w:sz w:val="24"/>
          <w:szCs w:val="24"/>
        </w:rPr>
        <w:t>为维护公平、公正、公开的政府采购市场秩序，树立诚实守信的政府采购供应商形象，本单位（本人）自愿作出以下承诺：</w:t>
      </w:r>
    </w:p>
    <w:p w14:paraId="579DFBB1">
      <w:pPr>
        <w:overflowPunct w:val="0"/>
        <w:topLinePunct/>
        <w:autoSpaceDN w:val="0"/>
        <w:adjustRightInd w:val="0"/>
        <w:snapToGrid w:val="0"/>
        <w:spacing w:line="360" w:lineRule="auto"/>
        <w:rPr>
          <w:rFonts w:ascii="宋体" w:hAnsi="宋体"/>
          <w:snapToGrid w:val="0"/>
          <w:kern w:val="0"/>
          <w:sz w:val="24"/>
          <w:szCs w:val="24"/>
        </w:rPr>
      </w:pPr>
      <w:r>
        <w:rPr>
          <w:rFonts w:hint="eastAsia" w:ascii="宋体" w:hAnsi="宋体"/>
          <w:snapToGrid w:val="0"/>
          <w:kern w:val="0"/>
          <w:sz w:val="24"/>
          <w:szCs w:val="24"/>
        </w:rPr>
        <w:t>一、我单位（本人）自愿参加本次政府采购活动（项目名称：，项目编号： ），严格遵守《中华人民共和国政府采购法》及相关法律法规，依法诚信经营，无条件遵守本次政府采购活动的各项规定。我单位（本人）郑重承诺，我单位（本人）符合《中华人民共和国政府采购法》第二十二条规定和采购文件、本承诺函的条件：</w:t>
      </w:r>
    </w:p>
    <w:p w14:paraId="4EBEA811">
      <w:pPr>
        <w:overflowPunct w:val="0"/>
        <w:topLinePunct/>
        <w:autoSpaceDN w:val="0"/>
        <w:adjustRightInd w:val="0"/>
        <w:snapToGrid w:val="0"/>
        <w:spacing w:line="360" w:lineRule="auto"/>
        <w:rPr>
          <w:rFonts w:ascii="宋体" w:hAnsi="宋体"/>
          <w:snapToGrid w:val="0"/>
          <w:kern w:val="0"/>
          <w:sz w:val="24"/>
          <w:szCs w:val="24"/>
        </w:rPr>
      </w:pPr>
      <w:r>
        <w:rPr>
          <w:rFonts w:hint="eastAsia" w:ascii="宋体" w:hAnsi="宋体"/>
          <w:snapToGrid w:val="0"/>
          <w:kern w:val="0"/>
          <w:sz w:val="24"/>
          <w:szCs w:val="24"/>
        </w:rPr>
        <w:t>（一）具有独立承担民事责任的能力；</w:t>
      </w:r>
    </w:p>
    <w:p w14:paraId="3AC5C5DE">
      <w:pPr>
        <w:overflowPunct w:val="0"/>
        <w:topLinePunct/>
        <w:autoSpaceDN w:val="0"/>
        <w:adjustRightInd w:val="0"/>
        <w:snapToGrid w:val="0"/>
        <w:spacing w:line="360" w:lineRule="auto"/>
        <w:rPr>
          <w:rFonts w:ascii="宋体" w:hAnsi="宋体"/>
          <w:snapToGrid w:val="0"/>
          <w:kern w:val="0"/>
          <w:sz w:val="24"/>
          <w:szCs w:val="24"/>
        </w:rPr>
      </w:pPr>
      <w:r>
        <w:rPr>
          <w:rFonts w:hint="eastAsia" w:ascii="宋体" w:hAnsi="宋体"/>
          <w:snapToGrid w:val="0"/>
          <w:kern w:val="0"/>
          <w:sz w:val="24"/>
          <w:szCs w:val="24"/>
        </w:rPr>
        <w:t>（二）具有良好的商业信誉和健全的财务会计制度；</w:t>
      </w:r>
    </w:p>
    <w:p w14:paraId="63871CD4">
      <w:pPr>
        <w:overflowPunct w:val="0"/>
        <w:topLinePunct/>
        <w:autoSpaceDN w:val="0"/>
        <w:adjustRightInd w:val="0"/>
        <w:snapToGrid w:val="0"/>
        <w:spacing w:line="360" w:lineRule="auto"/>
        <w:rPr>
          <w:rFonts w:ascii="宋体" w:hAnsi="宋体"/>
          <w:snapToGrid w:val="0"/>
          <w:kern w:val="0"/>
          <w:sz w:val="24"/>
          <w:szCs w:val="24"/>
        </w:rPr>
      </w:pPr>
      <w:r>
        <w:rPr>
          <w:rFonts w:hint="eastAsia" w:ascii="宋体" w:hAnsi="宋体"/>
          <w:snapToGrid w:val="0"/>
          <w:kern w:val="0"/>
          <w:sz w:val="24"/>
          <w:szCs w:val="24"/>
        </w:rPr>
        <w:t>（三）具有履行合同所必需的设备和专业技术能力；</w:t>
      </w:r>
    </w:p>
    <w:p w14:paraId="4774CFB8">
      <w:pPr>
        <w:overflowPunct w:val="0"/>
        <w:topLinePunct/>
        <w:autoSpaceDN w:val="0"/>
        <w:adjustRightInd w:val="0"/>
        <w:snapToGrid w:val="0"/>
        <w:spacing w:line="360" w:lineRule="auto"/>
        <w:rPr>
          <w:rFonts w:ascii="宋体" w:hAnsi="宋体"/>
          <w:snapToGrid w:val="0"/>
          <w:kern w:val="0"/>
          <w:sz w:val="24"/>
          <w:szCs w:val="24"/>
        </w:rPr>
      </w:pPr>
      <w:r>
        <w:rPr>
          <w:rFonts w:hint="eastAsia" w:ascii="宋体" w:hAnsi="宋体"/>
          <w:snapToGrid w:val="0"/>
          <w:kern w:val="0"/>
          <w:sz w:val="24"/>
          <w:szCs w:val="24"/>
        </w:rPr>
        <w:t>（四）有依法缴纳税收和社会保障资金的良好记录；</w:t>
      </w:r>
    </w:p>
    <w:p w14:paraId="714FC8A3">
      <w:pPr>
        <w:overflowPunct w:val="0"/>
        <w:topLinePunct/>
        <w:autoSpaceDN w:val="0"/>
        <w:adjustRightInd w:val="0"/>
        <w:snapToGrid w:val="0"/>
        <w:spacing w:line="360" w:lineRule="auto"/>
        <w:rPr>
          <w:rFonts w:ascii="宋体" w:hAnsi="宋体"/>
          <w:snapToGrid w:val="0"/>
          <w:kern w:val="0"/>
          <w:sz w:val="24"/>
          <w:szCs w:val="24"/>
        </w:rPr>
      </w:pPr>
      <w:r>
        <w:rPr>
          <w:rFonts w:hint="eastAsia" w:ascii="宋体" w:hAnsi="宋体"/>
          <w:snapToGrid w:val="0"/>
          <w:kern w:val="0"/>
          <w:sz w:val="24"/>
          <w:szCs w:val="24"/>
        </w:rPr>
        <w:t>（五）参加政府采购活动前三年内，在经营活动中没有重大违法记录；</w:t>
      </w:r>
    </w:p>
    <w:p w14:paraId="31040CE5">
      <w:pPr>
        <w:overflowPunct w:val="0"/>
        <w:topLinePunct/>
        <w:autoSpaceDN w:val="0"/>
        <w:adjustRightInd w:val="0"/>
        <w:snapToGrid w:val="0"/>
        <w:spacing w:line="360" w:lineRule="auto"/>
        <w:rPr>
          <w:rFonts w:ascii="宋体" w:hAnsi="宋体"/>
          <w:snapToGrid w:val="0"/>
          <w:kern w:val="0"/>
          <w:sz w:val="24"/>
          <w:szCs w:val="24"/>
        </w:rPr>
      </w:pPr>
      <w:r>
        <w:rPr>
          <w:rFonts w:hint="eastAsia" w:ascii="宋体" w:hAnsi="宋体"/>
          <w:snapToGrid w:val="0"/>
          <w:kern w:val="0"/>
          <w:sz w:val="24"/>
          <w:szCs w:val="24"/>
        </w:rPr>
        <w:t>（六）符合法律、行政法规规定的其他条件。</w:t>
      </w:r>
    </w:p>
    <w:p w14:paraId="394BAD71">
      <w:pPr>
        <w:overflowPunct w:val="0"/>
        <w:topLinePunct/>
        <w:autoSpaceDN w:val="0"/>
        <w:adjustRightInd w:val="0"/>
        <w:snapToGrid w:val="0"/>
        <w:spacing w:line="360" w:lineRule="auto"/>
        <w:rPr>
          <w:rFonts w:ascii="宋体" w:hAnsi="宋体"/>
          <w:snapToGrid w:val="0"/>
          <w:kern w:val="0"/>
          <w:sz w:val="24"/>
          <w:szCs w:val="24"/>
        </w:rPr>
      </w:pPr>
      <w:r>
        <w:rPr>
          <w:rFonts w:hint="eastAsia" w:ascii="宋体" w:hAnsi="宋体"/>
          <w:snapToGrid w:val="0"/>
          <w:kern w:val="0"/>
          <w:sz w:val="24"/>
          <w:szCs w:val="24"/>
        </w:rPr>
        <w:t>二、我单位（本人）保证上述承诺事项的真实性。如所作信用承诺不实，自愿承担一切法律责任，接受政府采购监管部门和其他机关的审查和处罚。</w:t>
      </w:r>
    </w:p>
    <w:p w14:paraId="69B8FF29">
      <w:pPr>
        <w:overflowPunct w:val="0"/>
        <w:topLinePunct/>
        <w:autoSpaceDN w:val="0"/>
        <w:adjustRightInd w:val="0"/>
        <w:snapToGrid w:val="0"/>
        <w:spacing w:line="360" w:lineRule="auto"/>
        <w:rPr>
          <w:rFonts w:ascii="宋体" w:hAnsi="宋体"/>
          <w:snapToGrid w:val="0"/>
          <w:kern w:val="0"/>
          <w:sz w:val="24"/>
          <w:szCs w:val="24"/>
        </w:rPr>
      </w:pPr>
      <w:r>
        <w:rPr>
          <w:rFonts w:hint="eastAsia" w:ascii="宋体" w:hAnsi="宋体"/>
          <w:snapToGrid w:val="0"/>
          <w:kern w:val="0"/>
          <w:sz w:val="24"/>
          <w:szCs w:val="24"/>
        </w:rPr>
        <w:t>供应商（电子章）：</w:t>
      </w:r>
    </w:p>
    <w:p w14:paraId="78AA1DE1">
      <w:pPr>
        <w:overflowPunct w:val="0"/>
        <w:topLinePunct/>
        <w:autoSpaceDN w:val="0"/>
        <w:adjustRightInd w:val="0"/>
        <w:snapToGrid w:val="0"/>
        <w:spacing w:line="360" w:lineRule="auto"/>
        <w:rPr>
          <w:rFonts w:ascii="宋体" w:hAnsi="宋体"/>
          <w:snapToGrid w:val="0"/>
          <w:kern w:val="0"/>
          <w:sz w:val="24"/>
          <w:szCs w:val="24"/>
        </w:rPr>
      </w:pPr>
      <w:r>
        <w:rPr>
          <w:rFonts w:hint="eastAsia" w:ascii="宋体" w:hAnsi="宋体"/>
          <w:snapToGrid w:val="0"/>
          <w:kern w:val="0"/>
          <w:sz w:val="24"/>
          <w:szCs w:val="24"/>
        </w:rPr>
        <w:t>法定代表人或授权代表、负责人、本人 (签字或电子印章)：</w:t>
      </w:r>
    </w:p>
    <w:p w14:paraId="5F2A9914">
      <w:pPr>
        <w:overflowPunct w:val="0"/>
        <w:topLinePunct/>
        <w:autoSpaceDN w:val="0"/>
        <w:adjustRightInd w:val="0"/>
        <w:snapToGrid w:val="0"/>
        <w:spacing w:line="360" w:lineRule="auto"/>
        <w:rPr>
          <w:rFonts w:ascii="宋体" w:hAnsi="宋体"/>
          <w:snapToGrid w:val="0"/>
          <w:kern w:val="0"/>
          <w:sz w:val="24"/>
          <w:szCs w:val="24"/>
        </w:rPr>
      </w:pPr>
      <w:r>
        <w:rPr>
          <w:rFonts w:hint="eastAsia" w:ascii="宋体" w:hAnsi="宋体"/>
          <w:snapToGrid w:val="0"/>
          <w:kern w:val="0"/>
          <w:sz w:val="24"/>
          <w:szCs w:val="24"/>
        </w:rPr>
        <w:t>日期：   年  月  日</w:t>
      </w:r>
    </w:p>
    <w:p w14:paraId="40CD9B6E">
      <w:pPr>
        <w:overflowPunct w:val="0"/>
        <w:topLinePunct/>
        <w:autoSpaceDN w:val="0"/>
        <w:adjustRightInd w:val="0"/>
        <w:snapToGrid w:val="0"/>
        <w:spacing w:line="360" w:lineRule="auto"/>
        <w:rPr>
          <w:rFonts w:ascii="宋体" w:hAnsi="宋体"/>
          <w:snapToGrid w:val="0"/>
          <w:kern w:val="0"/>
          <w:sz w:val="24"/>
          <w:szCs w:val="24"/>
        </w:rPr>
      </w:pPr>
    </w:p>
    <w:p w14:paraId="57431C2C">
      <w:pPr>
        <w:overflowPunct w:val="0"/>
        <w:topLinePunct/>
        <w:autoSpaceDN w:val="0"/>
        <w:adjustRightInd w:val="0"/>
        <w:snapToGrid w:val="0"/>
        <w:spacing w:line="360" w:lineRule="auto"/>
        <w:rPr>
          <w:rFonts w:ascii="宋体" w:hAnsi="宋体"/>
          <w:snapToGrid w:val="0"/>
          <w:kern w:val="0"/>
          <w:sz w:val="24"/>
          <w:szCs w:val="24"/>
        </w:rPr>
      </w:pPr>
      <w:r>
        <w:rPr>
          <w:rFonts w:hint="eastAsia" w:ascii="宋体" w:hAnsi="宋体"/>
          <w:snapToGrid w:val="0"/>
          <w:kern w:val="0"/>
          <w:sz w:val="24"/>
          <w:szCs w:val="24"/>
        </w:rPr>
        <w:t>注：1.供应商须在投标（响应）文件中按此模板提供承诺函，既未提供上述承诺函，又未提供对应事项证明材料的，视为未实质性响应采购文件要求，按无效投标（响应）处理。</w:t>
      </w:r>
    </w:p>
    <w:p w14:paraId="348D0D30">
      <w:pPr>
        <w:overflowPunct w:val="0"/>
        <w:topLinePunct/>
        <w:autoSpaceDN w:val="0"/>
        <w:adjustRightInd w:val="0"/>
        <w:snapToGrid w:val="0"/>
        <w:spacing w:line="360" w:lineRule="auto"/>
        <w:rPr>
          <w:rFonts w:hint="eastAsia" w:ascii="宋体" w:hAnsi="宋体"/>
          <w:snapToGrid w:val="0"/>
          <w:kern w:val="0"/>
          <w:sz w:val="24"/>
          <w:szCs w:val="24"/>
        </w:rPr>
        <w:sectPr>
          <w:pgSz w:w="11906" w:h="16838"/>
          <w:pgMar w:top="1134" w:right="1134" w:bottom="1134" w:left="1134" w:header="851" w:footer="992" w:gutter="0"/>
          <w:cols w:space="720" w:num="1"/>
          <w:docGrid w:type="lines" w:linePitch="312" w:charSpace="0"/>
        </w:sectPr>
      </w:pPr>
      <w:r>
        <w:rPr>
          <w:rFonts w:hint="eastAsia" w:ascii="宋体" w:hAnsi="宋体"/>
          <w:snapToGrid w:val="0"/>
          <w:kern w:val="0"/>
          <w:sz w:val="24"/>
          <w:szCs w:val="24"/>
        </w:rPr>
        <w:t>2.供应商的法定代表人或者授权代表的签字或盖章应真实、有效，如由授权代表签字或盖章的，应提供“法定代表人授权书”。</w:t>
      </w:r>
    </w:p>
    <w:p w14:paraId="78CD0FD5">
      <w:pPr>
        <w:jc w:val="center"/>
        <w:rPr>
          <w:rFonts w:hint="eastAsia" w:ascii="宋体" w:hAnsi="宋体" w:eastAsia="宋体" w:cs="宋体"/>
          <w:sz w:val="24"/>
          <w:szCs w:val="24"/>
        </w:rPr>
      </w:pPr>
      <w:r>
        <w:rPr>
          <w:rFonts w:hint="eastAsia" w:ascii="宋体" w:hAnsi="宋体" w:eastAsia="宋体" w:cs="宋体"/>
          <w:sz w:val="24"/>
          <w:szCs w:val="24"/>
        </w:rPr>
        <w:t>采购项目供应商承诺书</w:t>
      </w:r>
    </w:p>
    <w:p w14:paraId="61550FFF">
      <w:pPr>
        <w:rPr>
          <w:rFonts w:hint="eastAsia" w:ascii="宋体" w:hAnsi="宋体" w:eastAsia="宋体" w:cs="宋体"/>
          <w:sz w:val="24"/>
          <w:szCs w:val="24"/>
        </w:rPr>
      </w:pPr>
    </w:p>
    <w:p w14:paraId="5FC0C388">
      <w:pPr>
        <w:spacing w:line="560" w:lineRule="exact"/>
        <w:rPr>
          <w:rFonts w:hint="eastAsia" w:ascii="宋体" w:hAnsi="宋体" w:eastAsia="宋体" w:cs="宋体"/>
          <w:sz w:val="24"/>
          <w:szCs w:val="24"/>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p>
    <w:p w14:paraId="6ACE11A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为进一步规范采购工作行为，维护国家利益和社会公共利益，保护政府采购当事人的合法权益，防止发生违纪违法行为，落实公开、公平、公正、诚信的原则，根据国家有关法律、法规和廉政建设相关的规定，现就本项目有关事项郑重承诺如下：</w:t>
      </w:r>
    </w:p>
    <w:p w14:paraId="7EBA8B8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一、严格遵守《中华人民共和国政府采购法》《中华人民共和国政府采购法实施条例》《中华人民共和国招标投标法》《中华人民共和国招标投标法实施条例》等有关法律法规，公开公平公正开展采购活动；</w:t>
      </w:r>
    </w:p>
    <w:p w14:paraId="1114663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二、对本项目的实施承担直接责任，绝不利用其他单位资质进行投标（响应），绝不利用本单位资质为他人投标（响应），或提供虚假的证件、财务状况、业绩、资信等资料；</w:t>
      </w:r>
    </w:p>
    <w:p w14:paraId="69A94FF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三、绝不通过采购人、</w:t>
      </w:r>
      <w:r>
        <w:rPr>
          <w:rFonts w:hint="eastAsia" w:ascii="宋体" w:hAnsi="宋体" w:cs="宋体"/>
          <w:sz w:val="24"/>
          <w:szCs w:val="24"/>
          <w:lang w:eastAsia="zh-CN"/>
        </w:rPr>
        <w:t>采购代理机构</w:t>
      </w:r>
      <w:r>
        <w:rPr>
          <w:rFonts w:hint="eastAsia" w:ascii="宋体" w:hAnsi="宋体" w:eastAsia="宋体" w:cs="宋体"/>
          <w:sz w:val="24"/>
          <w:szCs w:val="24"/>
        </w:rPr>
        <w:t>违规获取标底、评标委员会成员等信息，绝不向采购人、</w:t>
      </w:r>
      <w:r>
        <w:rPr>
          <w:rFonts w:hint="eastAsia" w:ascii="宋体" w:hAnsi="宋体" w:cs="宋体"/>
          <w:sz w:val="24"/>
          <w:szCs w:val="24"/>
          <w:lang w:eastAsia="zh-CN"/>
        </w:rPr>
        <w:t>采购代理机构</w:t>
      </w:r>
      <w:r>
        <w:rPr>
          <w:rFonts w:hint="eastAsia" w:ascii="宋体" w:hAnsi="宋体" w:eastAsia="宋体" w:cs="宋体"/>
          <w:sz w:val="24"/>
          <w:szCs w:val="24"/>
        </w:rPr>
        <w:t xml:space="preserve">、评标专家行贿； </w:t>
      </w:r>
    </w:p>
    <w:p w14:paraId="7B7079DB">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四、绝不参与围标、串标，包括与其他供应商协商报价等投标（响应）文件的实质性内容，为参与同一采购项目（标段）的其他供应商代办投标（响应）事宜，或与其他供应商约定部分供应商放弃或者中标（成交）等； </w:t>
      </w:r>
    </w:p>
    <w:p w14:paraId="02D5D4C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五、绝不接受采购人或</w:t>
      </w:r>
      <w:r>
        <w:rPr>
          <w:rFonts w:hint="eastAsia" w:ascii="宋体" w:hAnsi="宋体" w:cs="宋体"/>
          <w:sz w:val="24"/>
          <w:szCs w:val="24"/>
          <w:lang w:eastAsia="zh-CN"/>
        </w:rPr>
        <w:t>采购代理机构</w:t>
      </w:r>
      <w:r>
        <w:rPr>
          <w:rFonts w:hint="eastAsia" w:ascii="宋体" w:hAnsi="宋体" w:eastAsia="宋体" w:cs="宋体"/>
          <w:sz w:val="24"/>
          <w:szCs w:val="24"/>
        </w:rPr>
        <w:t>明示、暗示等协助其违规操作确定中标（成交）供应商；</w:t>
      </w:r>
    </w:p>
    <w:p w14:paraId="482D4CE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绝不为获取中标（成交）资格而满足采购人或其他利益相关人提出与采购活动无关的其他不正当要求；绝不为获取中标（成交）资格而向采购人或其他利益相关人的配偶、子女及其他特定关系人等谋取私利提供便利；</w:t>
      </w:r>
    </w:p>
    <w:p w14:paraId="390CB7FB">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七、绝不宴请采购人、</w:t>
      </w:r>
      <w:r>
        <w:rPr>
          <w:rFonts w:hint="eastAsia" w:ascii="宋体" w:hAnsi="宋体" w:cs="宋体"/>
          <w:sz w:val="24"/>
          <w:szCs w:val="24"/>
          <w:lang w:eastAsia="zh-CN"/>
        </w:rPr>
        <w:t>采购代理机构</w:t>
      </w:r>
      <w:r>
        <w:rPr>
          <w:rFonts w:hint="eastAsia" w:ascii="宋体" w:hAnsi="宋体" w:eastAsia="宋体" w:cs="宋体"/>
          <w:sz w:val="24"/>
          <w:szCs w:val="24"/>
        </w:rPr>
        <w:t>或其他利益相关人，或为其提供旅游、健身、娱乐等活动安排，或向采购人或其他利益相关人赠送礼品礼金和红包，特别是礼券、代金券、购物券、购物卡和名贵特产等；</w:t>
      </w:r>
    </w:p>
    <w:p w14:paraId="306B2B1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八、绝不采取胁迫、威胁等非法手段影响采购活动的正常进行； </w:t>
      </w:r>
    </w:p>
    <w:p w14:paraId="26FB38D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九、若本单位中标（成交），将严格按照投标（响应）文件承诺及实施方案，组织项目实施，绝不违法转包、分包所中标（成交）项目；</w:t>
      </w:r>
    </w:p>
    <w:p w14:paraId="3EE7580B">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十、拒绝以任何形式向</w:t>
      </w:r>
      <w:r>
        <w:rPr>
          <w:rFonts w:hint="eastAsia" w:ascii="宋体" w:hAnsi="宋体" w:cs="宋体"/>
          <w:sz w:val="24"/>
          <w:szCs w:val="24"/>
          <w:lang w:eastAsia="zh-CN"/>
        </w:rPr>
        <w:t>采购代理机构</w:t>
      </w:r>
      <w:r>
        <w:rPr>
          <w:rFonts w:hint="eastAsia" w:ascii="宋体" w:hAnsi="宋体" w:eastAsia="宋体" w:cs="宋体"/>
          <w:sz w:val="24"/>
          <w:szCs w:val="24"/>
        </w:rPr>
        <w:t>支付正常服务费用以外的其他款项；</w:t>
      </w:r>
    </w:p>
    <w:p w14:paraId="41FCF84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十一、对采购活动过程中发现的违法、违规行为，绝不包庇，及时向监管部门反映；</w:t>
      </w:r>
    </w:p>
    <w:p w14:paraId="0EB8E14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十二、绝不违反法律、法规、规章相关规定。</w:t>
      </w:r>
    </w:p>
    <w:p w14:paraId="448E5AFB">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此次采购活动中如出现任何违法违规行为，自愿接受行政监督部门和纪检监察机关依规依纪依法处理。</w:t>
      </w:r>
    </w:p>
    <w:p w14:paraId="1E402913">
      <w:pPr>
        <w:spacing w:line="560" w:lineRule="exact"/>
        <w:ind w:firstLine="480" w:firstLineChars="200"/>
        <w:rPr>
          <w:rFonts w:hint="eastAsia" w:ascii="宋体" w:hAnsi="宋体" w:eastAsia="宋体" w:cs="宋体"/>
          <w:sz w:val="24"/>
          <w:szCs w:val="24"/>
        </w:rPr>
      </w:pPr>
    </w:p>
    <w:p w14:paraId="1E7813F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w:t>
      </w:r>
    </w:p>
    <w:p w14:paraId="1C851FA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或委托代理人(签字):          </w:t>
      </w:r>
      <w:r>
        <w:rPr>
          <w:rFonts w:hint="eastAsia" w:ascii="宋体" w:hAnsi="宋体" w:cs="宋体"/>
          <w:sz w:val="24"/>
          <w:szCs w:val="24"/>
          <w:lang w:val="en-US" w:eastAsia="zh-CN"/>
        </w:rPr>
        <w:t xml:space="preserve">          </w:t>
      </w:r>
      <w:r>
        <w:rPr>
          <w:rFonts w:hint="eastAsia" w:ascii="宋体" w:hAnsi="宋体" w:eastAsia="宋体" w:cs="宋体"/>
          <w:sz w:val="24"/>
          <w:szCs w:val="24"/>
        </w:rPr>
        <w:t>供应商（公章）：</w:t>
      </w:r>
    </w:p>
    <w:p w14:paraId="4D7CE18A">
      <w:pPr>
        <w:spacing w:line="560" w:lineRule="exact"/>
        <w:ind w:firstLine="480" w:firstLineChars="200"/>
        <w:rPr>
          <w:rFonts w:hint="eastAsia" w:ascii="宋体" w:hAnsi="宋体" w:eastAsia="宋体" w:cs="宋体"/>
          <w:sz w:val="24"/>
          <w:szCs w:val="24"/>
        </w:rPr>
      </w:pPr>
    </w:p>
    <w:p w14:paraId="50240F89">
      <w:pPr>
        <w:spacing w:line="560" w:lineRule="exact"/>
        <w:ind w:firstLine="480" w:firstLineChars="200"/>
        <w:jc w:val="right"/>
        <w:rPr>
          <w:rFonts w:hint="eastAsia" w:ascii="宋体" w:hAnsi="宋体" w:eastAsia="宋体" w:cs="宋体"/>
          <w:sz w:val="24"/>
          <w:szCs w:val="24"/>
        </w:rPr>
      </w:pPr>
      <w:r>
        <w:rPr>
          <w:rFonts w:hint="eastAsia" w:ascii="宋体" w:hAnsi="宋体" w:eastAsia="宋体" w:cs="宋体"/>
          <w:sz w:val="24"/>
          <w:szCs w:val="24"/>
        </w:rPr>
        <w:t>年  月  日</w:t>
      </w:r>
    </w:p>
    <w:p w14:paraId="75AEC0C6">
      <w:pPr>
        <w:overflowPunct w:val="0"/>
        <w:topLinePunct/>
        <w:autoSpaceDN w:val="0"/>
        <w:adjustRightInd w:val="0"/>
        <w:snapToGrid w:val="0"/>
        <w:spacing w:line="360" w:lineRule="auto"/>
        <w:rPr>
          <w:rFonts w:hint="eastAsia" w:ascii="宋体" w:hAnsi="宋体"/>
          <w:snapToGrid w:val="0"/>
          <w:kern w:val="0"/>
          <w:sz w:val="24"/>
          <w:szCs w:val="24"/>
        </w:rPr>
        <w:sectPr>
          <w:pgSz w:w="11906" w:h="16838"/>
          <w:pgMar w:top="1134" w:right="1134" w:bottom="1134" w:left="1134" w:header="851" w:footer="992" w:gutter="0"/>
          <w:cols w:space="720" w:num="1"/>
          <w:docGrid w:type="lines" w:linePitch="312" w:charSpace="0"/>
        </w:sectPr>
      </w:pPr>
    </w:p>
    <w:p w14:paraId="3C387B75">
      <w:pPr>
        <w:spacing w:line="384" w:lineRule="auto"/>
        <w:jc w:val="center"/>
        <w:outlineLvl w:val="0"/>
        <w:rPr>
          <w:rFonts w:ascii="宋体" w:hAnsi="宋体"/>
          <w:b/>
          <w:snapToGrid w:val="0"/>
          <w:kern w:val="0"/>
          <w:sz w:val="24"/>
          <w:szCs w:val="24"/>
        </w:rPr>
      </w:pPr>
      <w:bookmarkStart w:id="115" w:name="_Toc25329"/>
      <w:bookmarkStart w:id="116" w:name="_Toc11389"/>
      <w:r>
        <w:rPr>
          <w:rFonts w:hint="eastAsia" w:ascii="宋体" w:hAnsi="宋体"/>
          <w:b/>
          <w:snapToGrid w:val="0"/>
          <w:kern w:val="0"/>
          <w:sz w:val="24"/>
          <w:szCs w:val="24"/>
        </w:rPr>
        <w:t>六、供应商企业简况</w:t>
      </w:r>
      <w:bookmarkEnd w:id="115"/>
      <w:bookmarkEnd w:id="116"/>
    </w:p>
    <w:tbl>
      <w:tblPr>
        <w:tblStyle w:val="24"/>
        <w:tblpPr w:leftFromText="180" w:rightFromText="180" w:vertAnchor="text" w:horzAnchor="page" w:tblpX="1752" w:tblpY="526"/>
        <w:tblOverlap w:val="never"/>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782"/>
        <w:gridCol w:w="1346"/>
        <w:gridCol w:w="1074"/>
        <w:gridCol w:w="432"/>
        <w:gridCol w:w="694"/>
        <w:gridCol w:w="561"/>
        <w:gridCol w:w="753"/>
        <w:gridCol w:w="502"/>
        <w:gridCol w:w="1255"/>
      </w:tblGrid>
      <w:tr w14:paraId="195F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343" w:type="dxa"/>
            <w:gridSpan w:val="2"/>
            <w:tcBorders>
              <w:top w:val="single" w:color="auto" w:sz="4" w:space="0"/>
              <w:left w:val="single" w:color="auto" w:sz="4" w:space="0"/>
              <w:bottom w:val="single" w:color="auto" w:sz="4" w:space="0"/>
              <w:right w:val="single" w:color="auto" w:sz="4" w:space="0"/>
            </w:tcBorders>
            <w:vAlign w:val="center"/>
          </w:tcPr>
          <w:p w14:paraId="0E7D7F54">
            <w:pPr>
              <w:spacing w:line="360" w:lineRule="auto"/>
              <w:jc w:val="center"/>
              <w:rPr>
                <w:sz w:val="24"/>
                <w:szCs w:val="24"/>
              </w:rPr>
            </w:pPr>
            <w:r>
              <w:rPr>
                <w:rFonts w:hint="eastAsia"/>
                <w:sz w:val="24"/>
                <w:szCs w:val="24"/>
              </w:rPr>
              <w:t>供应商名称</w:t>
            </w:r>
          </w:p>
        </w:tc>
        <w:tc>
          <w:tcPr>
            <w:tcW w:w="6617" w:type="dxa"/>
            <w:gridSpan w:val="8"/>
            <w:tcBorders>
              <w:top w:val="single" w:color="auto" w:sz="4" w:space="0"/>
              <w:left w:val="single" w:color="auto" w:sz="4" w:space="0"/>
              <w:bottom w:val="single" w:color="auto" w:sz="4" w:space="0"/>
              <w:right w:val="single" w:color="auto" w:sz="4" w:space="0"/>
            </w:tcBorders>
            <w:vAlign w:val="center"/>
          </w:tcPr>
          <w:p w14:paraId="4BC2E631">
            <w:pPr>
              <w:spacing w:line="360" w:lineRule="auto"/>
              <w:jc w:val="center"/>
              <w:rPr>
                <w:sz w:val="24"/>
                <w:szCs w:val="24"/>
              </w:rPr>
            </w:pPr>
          </w:p>
        </w:tc>
      </w:tr>
      <w:tr w14:paraId="0B63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343" w:type="dxa"/>
            <w:gridSpan w:val="2"/>
            <w:tcBorders>
              <w:top w:val="single" w:color="auto" w:sz="4" w:space="0"/>
              <w:left w:val="single" w:color="auto" w:sz="4" w:space="0"/>
              <w:bottom w:val="single" w:color="auto" w:sz="4" w:space="0"/>
              <w:right w:val="single" w:color="auto" w:sz="4" w:space="0"/>
            </w:tcBorders>
            <w:vAlign w:val="center"/>
          </w:tcPr>
          <w:p w14:paraId="5C0B7597">
            <w:pPr>
              <w:spacing w:line="360" w:lineRule="auto"/>
              <w:jc w:val="center"/>
              <w:rPr>
                <w:sz w:val="24"/>
                <w:szCs w:val="24"/>
              </w:rPr>
            </w:pPr>
            <w:r>
              <w:rPr>
                <w:rFonts w:hint="eastAsia"/>
                <w:sz w:val="24"/>
                <w:szCs w:val="24"/>
              </w:rPr>
              <w:t>注册地址</w:t>
            </w:r>
          </w:p>
        </w:tc>
        <w:tc>
          <w:tcPr>
            <w:tcW w:w="3546" w:type="dxa"/>
            <w:gridSpan w:val="4"/>
            <w:tcBorders>
              <w:top w:val="single" w:color="auto" w:sz="4" w:space="0"/>
              <w:left w:val="single" w:color="auto" w:sz="4" w:space="0"/>
              <w:bottom w:val="single" w:color="auto" w:sz="4" w:space="0"/>
              <w:right w:val="single" w:color="auto" w:sz="4" w:space="0"/>
            </w:tcBorders>
            <w:vAlign w:val="center"/>
          </w:tcPr>
          <w:p w14:paraId="4696E05E">
            <w:pPr>
              <w:spacing w:line="360" w:lineRule="auto"/>
              <w:jc w:val="center"/>
              <w:rPr>
                <w:sz w:val="24"/>
                <w:szCs w:val="24"/>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14:paraId="3E080132">
            <w:pPr>
              <w:spacing w:line="360" w:lineRule="auto"/>
              <w:jc w:val="center"/>
              <w:rPr>
                <w:sz w:val="24"/>
                <w:szCs w:val="24"/>
              </w:rPr>
            </w:pPr>
            <w:r>
              <w:rPr>
                <w:rFonts w:hint="eastAsia"/>
                <w:sz w:val="24"/>
                <w:szCs w:val="24"/>
              </w:rPr>
              <w:t>邮政编码</w:t>
            </w:r>
          </w:p>
        </w:tc>
        <w:tc>
          <w:tcPr>
            <w:tcW w:w="1757" w:type="dxa"/>
            <w:gridSpan w:val="2"/>
            <w:tcBorders>
              <w:top w:val="single" w:color="auto" w:sz="4" w:space="0"/>
              <w:left w:val="single" w:color="auto" w:sz="4" w:space="0"/>
              <w:bottom w:val="single" w:color="auto" w:sz="4" w:space="0"/>
              <w:right w:val="single" w:color="auto" w:sz="4" w:space="0"/>
            </w:tcBorders>
            <w:vAlign w:val="center"/>
          </w:tcPr>
          <w:p w14:paraId="284243D0">
            <w:pPr>
              <w:spacing w:line="360" w:lineRule="auto"/>
              <w:jc w:val="center"/>
              <w:rPr>
                <w:sz w:val="24"/>
                <w:szCs w:val="24"/>
              </w:rPr>
            </w:pPr>
          </w:p>
        </w:tc>
      </w:tr>
      <w:tr w14:paraId="5CF4E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343" w:type="dxa"/>
            <w:gridSpan w:val="2"/>
            <w:vMerge w:val="restart"/>
            <w:tcBorders>
              <w:top w:val="single" w:color="auto" w:sz="4" w:space="0"/>
              <w:left w:val="single" w:color="auto" w:sz="4" w:space="0"/>
              <w:bottom w:val="single" w:color="auto" w:sz="4" w:space="0"/>
              <w:right w:val="single" w:color="auto" w:sz="4" w:space="0"/>
            </w:tcBorders>
            <w:vAlign w:val="center"/>
          </w:tcPr>
          <w:p w14:paraId="7C7BE8FC">
            <w:pPr>
              <w:spacing w:line="360" w:lineRule="auto"/>
              <w:jc w:val="center"/>
              <w:rPr>
                <w:sz w:val="24"/>
                <w:szCs w:val="24"/>
              </w:rPr>
            </w:pPr>
            <w:r>
              <w:rPr>
                <w:rFonts w:hint="eastAsia"/>
                <w:sz w:val="24"/>
                <w:szCs w:val="24"/>
              </w:rPr>
              <w:t>联系方式</w:t>
            </w:r>
          </w:p>
        </w:tc>
        <w:tc>
          <w:tcPr>
            <w:tcW w:w="1346" w:type="dxa"/>
            <w:tcBorders>
              <w:top w:val="single" w:color="auto" w:sz="4" w:space="0"/>
              <w:left w:val="single" w:color="auto" w:sz="4" w:space="0"/>
              <w:bottom w:val="single" w:color="auto" w:sz="4" w:space="0"/>
              <w:right w:val="single" w:color="auto" w:sz="4" w:space="0"/>
            </w:tcBorders>
            <w:vAlign w:val="center"/>
          </w:tcPr>
          <w:p w14:paraId="7C20E605">
            <w:pPr>
              <w:spacing w:line="360" w:lineRule="auto"/>
              <w:jc w:val="center"/>
              <w:rPr>
                <w:sz w:val="24"/>
                <w:szCs w:val="24"/>
              </w:rPr>
            </w:pPr>
            <w:r>
              <w:rPr>
                <w:rFonts w:hint="eastAsia"/>
                <w:sz w:val="24"/>
                <w:szCs w:val="24"/>
              </w:rPr>
              <w:t>联系人</w:t>
            </w:r>
          </w:p>
        </w:tc>
        <w:tc>
          <w:tcPr>
            <w:tcW w:w="2200" w:type="dxa"/>
            <w:gridSpan w:val="3"/>
            <w:tcBorders>
              <w:top w:val="single" w:color="auto" w:sz="4" w:space="0"/>
              <w:left w:val="single" w:color="auto" w:sz="4" w:space="0"/>
              <w:bottom w:val="single" w:color="auto" w:sz="4" w:space="0"/>
              <w:right w:val="single" w:color="auto" w:sz="4" w:space="0"/>
            </w:tcBorders>
            <w:vAlign w:val="center"/>
          </w:tcPr>
          <w:p w14:paraId="68C63816">
            <w:pPr>
              <w:spacing w:line="360" w:lineRule="auto"/>
              <w:jc w:val="center"/>
              <w:rPr>
                <w:sz w:val="24"/>
                <w:szCs w:val="24"/>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14:paraId="2A6E9F55">
            <w:pPr>
              <w:spacing w:line="360" w:lineRule="auto"/>
              <w:jc w:val="center"/>
              <w:rPr>
                <w:sz w:val="24"/>
                <w:szCs w:val="24"/>
              </w:rPr>
            </w:pPr>
            <w:r>
              <w:rPr>
                <w:rFonts w:hint="eastAsia"/>
                <w:sz w:val="24"/>
                <w:szCs w:val="24"/>
              </w:rPr>
              <w:t>电话</w:t>
            </w:r>
          </w:p>
        </w:tc>
        <w:tc>
          <w:tcPr>
            <w:tcW w:w="1757" w:type="dxa"/>
            <w:gridSpan w:val="2"/>
            <w:tcBorders>
              <w:top w:val="single" w:color="auto" w:sz="4" w:space="0"/>
              <w:left w:val="single" w:color="auto" w:sz="4" w:space="0"/>
              <w:bottom w:val="single" w:color="auto" w:sz="4" w:space="0"/>
              <w:right w:val="single" w:color="auto" w:sz="4" w:space="0"/>
            </w:tcBorders>
            <w:vAlign w:val="center"/>
          </w:tcPr>
          <w:p w14:paraId="67B3E79E">
            <w:pPr>
              <w:spacing w:line="360" w:lineRule="auto"/>
              <w:jc w:val="center"/>
              <w:rPr>
                <w:sz w:val="24"/>
                <w:szCs w:val="24"/>
              </w:rPr>
            </w:pPr>
          </w:p>
        </w:tc>
      </w:tr>
      <w:tr w14:paraId="59F1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343" w:type="dxa"/>
            <w:gridSpan w:val="2"/>
            <w:vMerge w:val="continue"/>
            <w:tcBorders>
              <w:top w:val="single" w:color="auto" w:sz="4" w:space="0"/>
              <w:left w:val="single" w:color="auto" w:sz="4" w:space="0"/>
              <w:bottom w:val="single" w:color="auto" w:sz="4" w:space="0"/>
              <w:right w:val="single" w:color="auto" w:sz="4" w:space="0"/>
            </w:tcBorders>
            <w:vAlign w:val="center"/>
          </w:tcPr>
          <w:p w14:paraId="31A4DE7E">
            <w:pPr>
              <w:spacing w:line="360" w:lineRule="auto"/>
              <w:jc w:val="center"/>
              <w:rPr>
                <w:sz w:val="24"/>
                <w:szCs w:val="24"/>
              </w:rPr>
            </w:pPr>
          </w:p>
        </w:tc>
        <w:tc>
          <w:tcPr>
            <w:tcW w:w="1346" w:type="dxa"/>
            <w:tcBorders>
              <w:top w:val="single" w:color="auto" w:sz="4" w:space="0"/>
              <w:left w:val="single" w:color="auto" w:sz="4" w:space="0"/>
              <w:bottom w:val="single" w:color="auto" w:sz="4" w:space="0"/>
              <w:right w:val="single" w:color="auto" w:sz="4" w:space="0"/>
            </w:tcBorders>
            <w:vAlign w:val="center"/>
          </w:tcPr>
          <w:p w14:paraId="389D2AFD">
            <w:pPr>
              <w:spacing w:line="360" w:lineRule="auto"/>
              <w:jc w:val="center"/>
              <w:rPr>
                <w:sz w:val="24"/>
                <w:szCs w:val="24"/>
              </w:rPr>
            </w:pPr>
            <w:r>
              <w:rPr>
                <w:rFonts w:hint="eastAsia"/>
                <w:sz w:val="24"/>
                <w:szCs w:val="24"/>
              </w:rPr>
              <w:t>传真</w:t>
            </w:r>
          </w:p>
        </w:tc>
        <w:tc>
          <w:tcPr>
            <w:tcW w:w="2200" w:type="dxa"/>
            <w:gridSpan w:val="3"/>
            <w:tcBorders>
              <w:top w:val="single" w:color="auto" w:sz="4" w:space="0"/>
              <w:left w:val="single" w:color="auto" w:sz="4" w:space="0"/>
              <w:bottom w:val="single" w:color="auto" w:sz="4" w:space="0"/>
              <w:right w:val="single" w:color="auto" w:sz="4" w:space="0"/>
            </w:tcBorders>
            <w:vAlign w:val="center"/>
          </w:tcPr>
          <w:p w14:paraId="503084D2">
            <w:pPr>
              <w:spacing w:line="360" w:lineRule="auto"/>
              <w:jc w:val="center"/>
              <w:rPr>
                <w:sz w:val="24"/>
                <w:szCs w:val="24"/>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14:paraId="6224EE28">
            <w:pPr>
              <w:spacing w:line="360" w:lineRule="auto"/>
              <w:jc w:val="center"/>
              <w:rPr>
                <w:sz w:val="24"/>
                <w:szCs w:val="24"/>
              </w:rPr>
            </w:pPr>
            <w:r>
              <w:rPr>
                <w:rFonts w:hint="eastAsia"/>
                <w:sz w:val="24"/>
                <w:szCs w:val="24"/>
              </w:rPr>
              <w:t>邮箱</w:t>
            </w:r>
          </w:p>
        </w:tc>
        <w:tc>
          <w:tcPr>
            <w:tcW w:w="1757" w:type="dxa"/>
            <w:gridSpan w:val="2"/>
            <w:tcBorders>
              <w:top w:val="single" w:color="auto" w:sz="4" w:space="0"/>
              <w:left w:val="single" w:color="auto" w:sz="4" w:space="0"/>
              <w:bottom w:val="single" w:color="auto" w:sz="4" w:space="0"/>
              <w:right w:val="single" w:color="auto" w:sz="4" w:space="0"/>
            </w:tcBorders>
            <w:vAlign w:val="center"/>
          </w:tcPr>
          <w:p w14:paraId="4CDDC8D0">
            <w:pPr>
              <w:spacing w:line="360" w:lineRule="auto"/>
              <w:jc w:val="center"/>
              <w:rPr>
                <w:sz w:val="24"/>
                <w:szCs w:val="24"/>
              </w:rPr>
            </w:pPr>
          </w:p>
        </w:tc>
      </w:tr>
      <w:tr w14:paraId="31DD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343" w:type="dxa"/>
            <w:gridSpan w:val="2"/>
            <w:tcBorders>
              <w:top w:val="single" w:color="auto" w:sz="4" w:space="0"/>
              <w:left w:val="single" w:color="auto" w:sz="4" w:space="0"/>
              <w:bottom w:val="single" w:color="auto" w:sz="4" w:space="0"/>
              <w:right w:val="single" w:color="auto" w:sz="4" w:space="0"/>
            </w:tcBorders>
            <w:vAlign w:val="center"/>
          </w:tcPr>
          <w:p w14:paraId="6DF199C9">
            <w:pPr>
              <w:spacing w:line="360" w:lineRule="auto"/>
              <w:jc w:val="center"/>
              <w:rPr>
                <w:sz w:val="24"/>
                <w:szCs w:val="24"/>
              </w:rPr>
            </w:pPr>
            <w:r>
              <w:rPr>
                <w:rFonts w:hint="eastAsia"/>
                <w:sz w:val="24"/>
                <w:szCs w:val="24"/>
              </w:rPr>
              <w:t>组织机构</w:t>
            </w:r>
          </w:p>
        </w:tc>
        <w:tc>
          <w:tcPr>
            <w:tcW w:w="6617" w:type="dxa"/>
            <w:gridSpan w:val="8"/>
            <w:tcBorders>
              <w:top w:val="single" w:color="auto" w:sz="4" w:space="0"/>
              <w:left w:val="single" w:color="auto" w:sz="4" w:space="0"/>
              <w:bottom w:val="single" w:color="auto" w:sz="4" w:space="0"/>
              <w:right w:val="single" w:color="auto" w:sz="4" w:space="0"/>
            </w:tcBorders>
            <w:vAlign w:val="center"/>
          </w:tcPr>
          <w:p w14:paraId="53AD1E1D">
            <w:pPr>
              <w:spacing w:line="360" w:lineRule="auto"/>
              <w:jc w:val="center"/>
              <w:rPr>
                <w:sz w:val="24"/>
                <w:szCs w:val="24"/>
              </w:rPr>
            </w:pPr>
          </w:p>
        </w:tc>
      </w:tr>
      <w:tr w14:paraId="6CAAA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561" w:type="dxa"/>
            <w:tcBorders>
              <w:top w:val="single" w:color="auto" w:sz="4" w:space="0"/>
              <w:left w:val="single" w:color="auto" w:sz="4" w:space="0"/>
              <w:bottom w:val="single" w:color="auto" w:sz="4" w:space="0"/>
              <w:right w:val="single" w:color="auto" w:sz="4" w:space="0"/>
            </w:tcBorders>
            <w:vAlign w:val="center"/>
          </w:tcPr>
          <w:p w14:paraId="19DA8C55">
            <w:pPr>
              <w:spacing w:line="360" w:lineRule="auto"/>
              <w:jc w:val="center"/>
              <w:rPr>
                <w:sz w:val="24"/>
                <w:szCs w:val="24"/>
              </w:rPr>
            </w:pPr>
            <w:r>
              <w:rPr>
                <w:rFonts w:hint="eastAsia"/>
                <w:sz w:val="24"/>
                <w:szCs w:val="24"/>
              </w:rPr>
              <w:t>法定代表人</w:t>
            </w:r>
          </w:p>
        </w:tc>
        <w:tc>
          <w:tcPr>
            <w:tcW w:w="782" w:type="dxa"/>
            <w:tcBorders>
              <w:top w:val="single" w:color="auto" w:sz="4" w:space="0"/>
              <w:left w:val="single" w:color="auto" w:sz="4" w:space="0"/>
              <w:bottom w:val="single" w:color="auto" w:sz="4" w:space="0"/>
              <w:right w:val="single" w:color="auto" w:sz="4" w:space="0"/>
            </w:tcBorders>
            <w:vAlign w:val="center"/>
          </w:tcPr>
          <w:p w14:paraId="5E33D302">
            <w:pPr>
              <w:spacing w:line="360" w:lineRule="auto"/>
              <w:jc w:val="center"/>
              <w:rPr>
                <w:sz w:val="24"/>
                <w:szCs w:val="24"/>
              </w:rPr>
            </w:pPr>
            <w:r>
              <w:rPr>
                <w:rFonts w:hint="eastAsia"/>
                <w:sz w:val="24"/>
                <w:szCs w:val="24"/>
              </w:rPr>
              <w:t>姓名</w:t>
            </w:r>
          </w:p>
        </w:tc>
        <w:tc>
          <w:tcPr>
            <w:tcW w:w="1346" w:type="dxa"/>
            <w:tcBorders>
              <w:top w:val="single" w:color="auto" w:sz="4" w:space="0"/>
              <w:left w:val="single" w:color="auto" w:sz="4" w:space="0"/>
              <w:bottom w:val="single" w:color="auto" w:sz="4" w:space="0"/>
              <w:right w:val="single" w:color="auto" w:sz="4" w:space="0"/>
            </w:tcBorders>
            <w:vAlign w:val="center"/>
          </w:tcPr>
          <w:p w14:paraId="07B7843F">
            <w:pPr>
              <w:spacing w:line="360" w:lineRule="auto"/>
              <w:jc w:val="center"/>
              <w:rPr>
                <w:sz w:val="24"/>
                <w:szCs w:val="24"/>
              </w:rPr>
            </w:pP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6BB5F5D1">
            <w:pPr>
              <w:spacing w:line="360" w:lineRule="auto"/>
              <w:jc w:val="center"/>
              <w:rPr>
                <w:sz w:val="24"/>
                <w:szCs w:val="24"/>
              </w:rPr>
            </w:pPr>
            <w:r>
              <w:rPr>
                <w:rFonts w:hint="eastAsia"/>
                <w:sz w:val="24"/>
                <w:szCs w:val="24"/>
              </w:rPr>
              <w:t>技术职称</w:t>
            </w:r>
          </w:p>
        </w:tc>
        <w:tc>
          <w:tcPr>
            <w:tcW w:w="1255" w:type="dxa"/>
            <w:gridSpan w:val="2"/>
            <w:tcBorders>
              <w:top w:val="single" w:color="auto" w:sz="4" w:space="0"/>
              <w:left w:val="single" w:color="auto" w:sz="4" w:space="0"/>
              <w:bottom w:val="single" w:color="auto" w:sz="4" w:space="0"/>
              <w:right w:val="single" w:color="auto" w:sz="4" w:space="0"/>
            </w:tcBorders>
            <w:vAlign w:val="center"/>
          </w:tcPr>
          <w:p w14:paraId="217CF21F">
            <w:pPr>
              <w:spacing w:line="360" w:lineRule="auto"/>
              <w:jc w:val="center"/>
              <w:rPr>
                <w:sz w:val="24"/>
                <w:szCs w:val="24"/>
              </w:rPr>
            </w:pPr>
          </w:p>
        </w:tc>
        <w:tc>
          <w:tcPr>
            <w:tcW w:w="1255" w:type="dxa"/>
            <w:gridSpan w:val="2"/>
            <w:tcBorders>
              <w:top w:val="single" w:color="auto" w:sz="4" w:space="0"/>
              <w:left w:val="single" w:color="auto" w:sz="4" w:space="0"/>
              <w:bottom w:val="single" w:color="auto" w:sz="4" w:space="0"/>
              <w:right w:val="single" w:color="auto" w:sz="4" w:space="0"/>
            </w:tcBorders>
            <w:vAlign w:val="center"/>
          </w:tcPr>
          <w:p w14:paraId="2107FDED">
            <w:pPr>
              <w:spacing w:line="360" w:lineRule="auto"/>
              <w:jc w:val="center"/>
              <w:rPr>
                <w:sz w:val="24"/>
                <w:szCs w:val="24"/>
              </w:rPr>
            </w:pPr>
            <w:r>
              <w:rPr>
                <w:rFonts w:hint="eastAsia"/>
                <w:sz w:val="24"/>
                <w:szCs w:val="24"/>
              </w:rPr>
              <w:t>电话</w:t>
            </w:r>
          </w:p>
        </w:tc>
        <w:tc>
          <w:tcPr>
            <w:tcW w:w="1255" w:type="dxa"/>
            <w:tcBorders>
              <w:top w:val="single" w:color="auto" w:sz="4" w:space="0"/>
              <w:left w:val="single" w:color="auto" w:sz="4" w:space="0"/>
              <w:bottom w:val="single" w:color="auto" w:sz="4" w:space="0"/>
              <w:right w:val="single" w:color="auto" w:sz="4" w:space="0"/>
            </w:tcBorders>
            <w:vAlign w:val="center"/>
          </w:tcPr>
          <w:p w14:paraId="6A26154E">
            <w:pPr>
              <w:spacing w:line="360" w:lineRule="auto"/>
              <w:jc w:val="center"/>
              <w:rPr>
                <w:sz w:val="24"/>
                <w:szCs w:val="24"/>
              </w:rPr>
            </w:pPr>
          </w:p>
        </w:tc>
      </w:tr>
      <w:tr w14:paraId="0F7A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561" w:type="dxa"/>
            <w:tcBorders>
              <w:top w:val="single" w:color="auto" w:sz="4" w:space="0"/>
              <w:left w:val="single" w:color="auto" w:sz="4" w:space="0"/>
              <w:bottom w:val="single" w:color="auto" w:sz="4" w:space="0"/>
              <w:right w:val="single" w:color="auto" w:sz="4" w:space="0"/>
            </w:tcBorders>
            <w:vAlign w:val="center"/>
          </w:tcPr>
          <w:p w14:paraId="0F079E3C">
            <w:pPr>
              <w:spacing w:line="360" w:lineRule="auto"/>
              <w:jc w:val="center"/>
              <w:rPr>
                <w:sz w:val="24"/>
                <w:szCs w:val="24"/>
              </w:rPr>
            </w:pPr>
            <w:r>
              <w:rPr>
                <w:rFonts w:hint="eastAsia"/>
                <w:sz w:val="24"/>
                <w:szCs w:val="24"/>
              </w:rPr>
              <w:t>项目负责人</w:t>
            </w:r>
          </w:p>
        </w:tc>
        <w:tc>
          <w:tcPr>
            <w:tcW w:w="782" w:type="dxa"/>
            <w:tcBorders>
              <w:top w:val="single" w:color="auto" w:sz="4" w:space="0"/>
              <w:left w:val="single" w:color="auto" w:sz="4" w:space="0"/>
              <w:bottom w:val="single" w:color="auto" w:sz="4" w:space="0"/>
              <w:right w:val="single" w:color="auto" w:sz="4" w:space="0"/>
            </w:tcBorders>
            <w:vAlign w:val="center"/>
          </w:tcPr>
          <w:p w14:paraId="2CAF1A9F">
            <w:pPr>
              <w:spacing w:line="360" w:lineRule="auto"/>
              <w:jc w:val="center"/>
              <w:rPr>
                <w:sz w:val="24"/>
                <w:szCs w:val="24"/>
              </w:rPr>
            </w:pPr>
            <w:r>
              <w:rPr>
                <w:rFonts w:hint="eastAsia"/>
                <w:sz w:val="24"/>
                <w:szCs w:val="24"/>
              </w:rPr>
              <w:t>姓名</w:t>
            </w:r>
          </w:p>
        </w:tc>
        <w:tc>
          <w:tcPr>
            <w:tcW w:w="1346" w:type="dxa"/>
            <w:tcBorders>
              <w:top w:val="single" w:color="auto" w:sz="4" w:space="0"/>
              <w:left w:val="single" w:color="auto" w:sz="4" w:space="0"/>
              <w:bottom w:val="single" w:color="auto" w:sz="4" w:space="0"/>
              <w:right w:val="single" w:color="auto" w:sz="4" w:space="0"/>
            </w:tcBorders>
            <w:vAlign w:val="center"/>
          </w:tcPr>
          <w:p w14:paraId="02A38A92">
            <w:pPr>
              <w:spacing w:line="360" w:lineRule="auto"/>
              <w:jc w:val="center"/>
              <w:rPr>
                <w:sz w:val="24"/>
                <w:szCs w:val="24"/>
              </w:rPr>
            </w:pP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7542EBC2">
            <w:pPr>
              <w:spacing w:line="360" w:lineRule="auto"/>
              <w:jc w:val="center"/>
              <w:rPr>
                <w:sz w:val="24"/>
                <w:szCs w:val="24"/>
              </w:rPr>
            </w:pPr>
            <w:r>
              <w:rPr>
                <w:rFonts w:hint="eastAsia"/>
                <w:sz w:val="24"/>
                <w:szCs w:val="24"/>
              </w:rPr>
              <w:t>技术职称</w:t>
            </w:r>
          </w:p>
        </w:tc>
        <w:tc>
          <w:tcPr>
            <w:tcW w:w="1255" w:type="dxa"/>
            <w:gridSpan w:val="2"/>
            <w:tcBorders>
              <w:top w:val="single" w:color="auto" w:sz="4" w:space="0"/>
              <w:left w:val="single" w:color="auto" w:sz="4" w:space="0"/>
              <w:bottom w:val="single" w:color="auto" w:sz="4" w:space="0"/>
              <w:right w:val="single" w:color="auto" w:sz="4" w:space="0"/>
            </w:tcBorders>
            <w:vAlign w:val="center"/>
          </w:tcPr>
          <w:p w14:paraId="676E1933">
            <w:pPr>
              <w:spacing w:line="360" w:lineRule="auto"/>
              <w:jc w:val="center"/>
              <w:rPr>
                <w:sz w:val="24"/>
                <w:szCs w:val="24"/>
              </w:rPr>
            </w:pPr>
          </w:p>
        </w:tc>
        <w:tc>
          <w:tcPr>
            <w:tcW w:w="1255" w:type="dxa"/>
            <w:gridSpan w:val="2"/>
            <w:tcBorders>
              <w:top w:val="single" w:color="auto" w:sz="4" w:space="0"/>
              <w:left w:val="single" w:color="auto" w:sz="4" w:space="0"/>
              <w:bottom w:val="single" w:color="auto" w:sz="4" w:space="0"/>
              <w:right w:val="single" w:color="auto" w:sz="4" w:space="0"/>
            </w:tcBorders>
            <w:vAlign w:val="center"/>
          </w:tcPr>
          <w:p w14:paraId="627C4E12">
            <w:pPr>
              <w:spacing w:line="360" w:lineRule="auto"/>
              <w:jc w:val="center"/>
              <w:rPr>
                <w:sz w:val="24"/>
                <w:szCs w:val="24"/>
              </w:rPr>
            </w:pPr>
            <w:r>
              <w:rPr>
                <w:rFonts w:hint="eastAsia"/>
                <w:sz w:val="24"/>
                <w:szCs w:val="24"/>
              </w:rPr>
              <w:t>电话</w:t>
            </w:r>
          </w:p>
        </w:tc>
        <w:tc>
          <w:tcPr>
            <w:tcW w:w="1255" w:type="dxa"/>
            <w:tcBorders>
              <w:top w:val="single" w:color="auto" w:sz="4" w:space="0"/>
              <w:left w:val="single" w:color="auto" w:sz="4" w:space="0"/>
              <w:bottom w:val="single" w:color="auto" w:sz="4" w:space="0"/>
              <w:right w:val="single" w:color="auto" w:sz="4" w:space="0"/>
            </w:tcBorders>
            <w:vAlign w:val="center"/>
          </w:tcPr>
          <w:p w14:paraId="443C5E7C">
            <w:pPr>
              <w:spacing w:line="360" w:lineRule="auto"/>
              <w:jc w:val="center"/>
              <w:rPr>
                <w:sz w:val="24"/>
                <w:szCs w:val="24"/>
              </w:rPr>
            </w:pPr>
          </w:p>
        </w:tc>
      </w:tr>
      <w:tr w14:paraId="2AFD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61" w:type="dxa"/>
            <w:tcBorders>
              <w:top w:val="single" w:color="auto" w:sz="4" w:space="0"/>
              <w:left w:val="single" w:color="auto" w:sz="4" w:space="0"/>
              <w:bottom w:val="single" w:color="auto" w:sz="4" w:space="0"/>
              <w:right w:val="single" w:color="auto" w:sz="4" w:space="0"/>
            </w:tcBorders>
            <w:vAlign w:val="center"/>
          </w:tcPr>
          <w:p w14:paraId="0869F63D">
            <w:pPr>
              <w:spacing w:line="360" w:lineRule="auto"/>
              <w:jc w:val="center"/>
              <w:rPr>
                <w:sz w:val="24"/>
                <w:szCs w:val="24"/>
              </w:rPr>
            </w:pPr>
            <w:r>
              <w:rPr>
                <w:rFonts w:hint="eastAsia"/>
                <w:sz w:val="24"/>
                <w:szCs w:val="24"/>
              </w:rPr>
              <w:t>成立时间</w:t>
            </w:r>
          </w:p>
        </w:tc>
        <w:tc>
          <w:tcPr>
            <w:tcW w:w="2128" w:type="dxa"/>
            <w:gridSpan w:val="2"/>
            <w:tcBorders>
              <w:top w:val="single" w:color="auto" w:sz="4" w:space="0"/>
              <w:left w:val="single" w:color="auto" w:sz="4" w:space="0"/>
              <w:bottom w:val="single" w:color="auto" w:sz="4" w:space="0"/>
              <w:right w:val="single" w:color="auto" w:sz="4" w:space="0"/>
            </w:tcBorders>
            <w:vAlign w:val="center"/>
          </w:tcPr>
          <w:p w14:paraId="6E01D7FC">
            <w:pPr>
              <w:spacing w:line="360" w:lineRule="auto"/>
              <w:jc w:val="center"/>
              <w:rPr>
                <w:sz w:val="24"/>
                <w:szCs w:val="24"/>
              </w:rPr>
            </w:pPr>
          </w:p>
        </w:tc>
        <w:tc>
          <w:tcPr>
            <w:tcW w:w="5271" w:type="dxa"/>
            <w:gridSpan w:val="7"/>
            <w:tcBorders>
              <w:top w:val="single" w:color="auto" w:sz="4" w:space="0"/>
              <w:left w:val="single" w:color="auto" w:sz="4" w:space="0"/>
              <w:bottom w:val="single" w:color="auto" w:sz="4" w:space="0"/>
              <w:right w:val="single" w:color="auto" w:sz="4" w:space="0"/>
            </w:tcBorders>
            <w:vAlign w:val="center"/>
          </w:tcPr>
          <w:p w14:paraId="1206E99E">
            <w:pPr>
              <w:spacing w:line="360" w:lineRule="auto"/>
              <w:jc w:val="center"/>
              <w:rPr>
                <w:sz w:val="24"/>
                <w:szCs w:val="24"/>
              </w:rPr>
            </w:pPr>
            <w:r>
              <w:rPr>
                <w:rFonts w:hint="eastAsia"/>
                <w:sz w:val="24"/>
                <w:szCs w:val="24"/>
              </w:rPr>
              <w:t>员工总人数：</w:t>
            </w:r>
          </w:p>
        </w:tc>
      </w:tr>
      <w:tr w14:paraId="5819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1561" w:type="dxa"/>
            <w:tcBorders>
              <w:top w:val="single" w:color="auto" w:sz="4" w:space="0"/>
              <w:left w:val="single" w:color="auto" w:sz="4" w:space="0"/>
              <w:bottom w:val="single" w:color="auto" w:sz="4" w:space="0"/>
              <w:right w:val="single" w:color="auto" w:sz="4" w:space="0"/>
            </w:tcBorders>
            <w:vAlign w:val="center"/>
          </w:tcPr>
          <w:p w14:paraId="3C858491">
            <w:pPr>
              <w:spacing w:line="360" w:lineRule="auto"/>
              <w:jc w:val="center"/>
              <w:rPr>
                <w:sz w:val="24"/>
                <w:szCs w:val="24"/>
              </w:rPr>
            </w:pPr>
            <w:r>
              <w:rPr>
                <w:rFonts w:hint="eastAsia"/>
                <w:sz w:val="24"/>
                <w:szCs w:val="24"/>
              </w:rPr>
              <w:t>企业资质</w:t>
            </w:r>
          </w:p>
          <w:p w14:paraId="435A5B11">
            <w:pPr>
              <w:spacing w:line="360" w:lineRule="auto"/>
              <w:jc w:val="center"/>
              <w:rPr>
                <w:sz w:val="24"/>
                <w:szCs w:val="24"/>
              </w:rPr>
            </w:pPr>
            <w:r>
              <w:rPr>
                <w:rFonts w:hint="eastAsia"/>
                <w:sz w:val="24"/>
                <w:szCs w:val="24"/>
              </w:rPr>
              <w:t>等级</w:t>
            </w:r>
          </w:p>
        </w:tc>
        <w:tc>
          <w:tcPr>
            <w:tcW w:w="2128" w:type="dxa"/>
            <w:gridSpan w:val="2"/>
            <w:tcBorders>
              <w:top w:val="single" w:color="auto" w:sz="4" w:space="0"/>
              <w:left w:val="single" w:color="auto" w:sz="4" w:space="0"/>
              <w:bottom w:val="single" w:color="auto" w:sz="4" w:space="0"/>
              <w:right w:val="single" w:color="auto" w:sz="4" w:space="0"/>
            </w:tcBorders>
            <w:vAlign w:val="center"/>
          </w:tcPr>
          <w:p w14:paraId="7EEBD8A4">
            <w:pPr>
              <w:spacing w:line="360" w:lineRule="auto"/>
              <w:jc w:val="center"/>
              <w:rPr>
                <w:sz w:val="24"/>
                <w:szCs w:val="24"/>
              </w:rPr>
            </w:pPr>
          </w:p>
        </w:tc>
        <w:tc>
          <w:tcPr>
            <w:tcW w:w="1074" w:type="dxa"/>
            <w:vMerge w:val="restart"/>
            <w:tcBorders>
              <w:top w:val="single" w:color="auto" w:sz="4" w:space="0"/>
              <w:left w:val="single" w:color="auto" w:sz="4" w:space="0"/>
              <w:bottom w:val="single" w:color="auto" w:sz="4" w:space="0"/>
              <w:right w:val="single" w:color="auto" w:sz="4" w:space="0"/>
            </w:tcBorders>
            <w:vAlign w:val="center"/>
          </w:tcPr>
          <w:p w14:paraId="3736964B">
            <w:pPr>
              <w:spacing w:line="360" w:lineRule="auto"/>
              <w:jc w:val="center"/>
              <w:rPr>
                <w:sz w:val="24"/>
                <w:szCs w:val="24"/>
              </w:rPr>
            </w:pPr>
            <w:r>
              <w:rPr>
                <w:rFonts w:hint="eastAsia"/>
                <w:sz w:val="24"/>
                <w:szCs w:val="24"/>
              </w:rPr>
              <w:t>其中</w:t>
            </w:r>
          </w:p>
        </w:tc>
        <w:tc>
          <w:tcPr>
            <w:tcW w:w="1687" w:type="dxa"/>
            <w:gridSpan w:val="3"/>
            <w:tcBorders>
              <w:top w:val="single" w:color="auto" w:sz="4" w:space="0"/>
              <w:left w:val="single" w:color="auto" w:sz="4" w:space="0"/>
              <w:bottom w:val="single" w:color="auto" w:sz="4" w:space="0"/>
              <w:right w:val="single" w:color="auto" w:sz="4" w:space="0"/>
            </w:tcBorders>
            <w:vAlign w:val="center"/>
          </w:tcPr>
          <w:p w14:paraId="57753F3C">
            <w:pPr>
              <w:spacing w:line="360" w:lineRule="auto"/>
              <w:jc w:val="center"/>
              <w:rPr>
                <w:sz w:val="24"/>
                <w:szCs w:val="24"/>
              </w:rPr>
            </w:pPr>
            <w:r>
              <w:rPr>
                <w:rFonts w:hint="eastAsia"/>
                <w:sz w:val="24"/>
                <w:szCs w:val="24"/>
              </w:rPr>
              <w:t>高级职称人员</w:t>
            </w:r>
          </w:p>
        </w:tc>
        <w:tc>
          <w:tcPr>
            <w:tcW w:w="2510" w:type="dxa"/>
            <w:gridSpan w:val="3"/>
            <w:tcBorders>
              <w:top w:val="single" w:color="auto" w:sz="4" w:space="0"/>
              <w:left w:val="single" w:color="auto" w:sz="4" w:space="0"/>
              <w:bottom w:val="single" w:color="auto" w:sz="4" w:space="0"/>
              <w:right w:val="single" w:color="auto" w:sz="4" w:space="0"/>
            </w:tcBorders>
            <w:vAlign w:val="center"/>
          </w:tcPr>
          <w:p w14:paraId="70F72895">
            <w:pPr>
              <w:spacing w:line="360" w:lineRule="auto"/>
              <w:jc w:val="center"/>
              <w:rPr>
                <w:sz w:val="24"/>
                <w:szCs w:val="24"/>
              </w:rPr>
            </w:pPr>
          </w:p>
        </w:tc>
      </w:tr>
      <w:tr w14:paraId="10EF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561" w:type="dxa"/>
            <w:tcBorders>
              <w:top w:val="single" w:color="auto" w:sz="4" w:space="0"/>
              <w:left w:val="single" w:color="auto" w:sz="4" w:space="0"/>
              <w:bottom w:val="single" w:color="auto" w:sz="4" w:space="0"/>
              <w:right w:val="single" w:color="auto" w:sz="4" w:space="0"/>
            </w:tcBorders>
            <w:vAlign w:val="center"/>
          </w:tcPr>
          <w:p w14:paraId="75E2F2F4">
            <w:pPr>
              <w:spacing w:line="360" w:lineRule="auto"/>
              <w:jc w:val="center"/>
              <w:rPr>
                <w:sz w:val="24"/>
                <w:szCs w:val="24"/>
              </w:rPr>
            </w:pPr>
            <w:r>
              <w:rPr>
                <w:rFonts w:hint="eastAsia"/>
                <w:sz w:val="24"/>
                <w:szCs w:val="24"/>
              </w:rPr>
              <w:t>营业执照号</w:t>
            </w:r>
          </w:p>
        </w:tc>
        <w:tc>
          <w:tcPr>
            <w:tcW w:w="2128" w:type="dxa"/>
            <w:gridSpan w:val="2"/>
            <w:tcBorders>
              <w:top w:val="single" w:color="auto" w:sz="4" w:space="0"/>
              <w:left w:val="single" w:color="auto" w:sz="4" w:space="0"/>
              <w:bottom w:val="single" w:color="auto" w:sz="4" w:space="0"/>
              <w:right w:val="single" w:color="auto" w:sz="4" w:space="0"/>
            </w:tcBorders>
            <w:vAlign w:val="center"/>
          </w:tcPr>
          <w:p w14:paraId="773C4671">
            <w:pPr>
              <w:spacing w:line="360" w:lineRule="auto"/>
              <w:jc w:val="center"/>
              <w:rPr>
                <w:sz w:val="24"/>
                <w:szCs w:val="24"/>
              </w:rPr>
            </w:pPr>
          </w:p>
        </w:tc>
        <w:tc>
          <w:tcPr>
            <w:tcW w:w="1074" w:type="dxa"/>
            <w:vMerge w:val="continue"/>
            <w:tcBorders>
              <w:top w:val="single" w:color="auto" w:sz="4" w:space="0"/>
              <w:left w:val="single" w:color="auto" w:sz="4" w:space="0"/>
              <w:bottom w:val="single" w:color="auto" w:sz="4" w:space="0"/>
              <w:right w:val="single" w:color="auto" w:sz="4" w:space="0"/>
            </w:tcBorders>
            <w:vAlign w:val="center"/>
          </w:tcPr>
          <w:p w14:paraId="53511E78">
            <w:pPr>
              <w:spacing w:line="360" w:lineRule="auto"/>
              <w:jc w:val="center"/>
              <w:rPr>
                <w:sz w:val="24"/>
                <w:szCs w:val="24"/>
              </w:rPr>
            </w:pPr>
          </w:p>
        </w:tc>
        <w:tc>
          <w:tcPr>
            <w:tcW w:w="1687" w:type="dxa"/>
            <w:gridSpan w:val="3"/>
            <w:tcBorders>
              <w:top w:val="single" w:color="auto" w:sz="4" w:space="0"/>
              <w:left w:val="single" w:color="auto" w:sz="4" w:space="0"/>
              <w:bottom w:val="single" w:color="auto" w:sz="4" w:space="0"/>
              <w:right w:val="single" w:color="auto" w:sz="4" w:space="0"/>
            </w:tcBorders>
            <w:vAlign w:val="center"/>
          </w:tcPr>
          <w:p w14:paraId="377A5A46">
            <w:pPr>
              <w:spacing w:line="360" w:lineRule="auto"/>
              <w:jc w:val="center"/>
              <w:rPr>
                <w:sz w:val="24"/>
                <w:szCs w:val="24"/>
              </w:rPr>
            </w:pPr>
            <w:r>
              <w:rPr>
                <w:rFonts w:hint="eastAsia"/>
                <w:sz w:val="24"/>
                <w:szCs w:val="24"/>
              </w:rPr>
              <w:t>中级职称人员</w:t>
            </w:r>
          </w:p>
        </w:tc>
        <w:tc>
          <w:tcPr>
            <w:tcW w:w="2510" w:type="dxa"/>
            <w:gridSpan w:val="3"/>
            <w:tcBorders>
              <w:top w:val="single" w:color="auto" w:sz="4" w:space="0"/>
              <w:left w:val="single" w:color="auto" w:sz="4" w:space="0"/>
              <w:bottom w:val="single" w:color="auto" w:sz="4" w:space="0"/>
              <w:right w:val="single" w:color="auto" w:sz="4" w:space="0"/>
            </w:tcBorders>
            <w:vAlign w:val="center"/>
          </w:tcPr>
          <w:p w14:paraId="061D2F8F">
            <w:pPr>
              <w:spacing w:line="360" w:lineRule="auto"/>
              <w:jc w:val="center"/>
              <w:rPr>
                <w:sz w:val="24"/>
                <w:szCs w:val="24"/>
              </w:rPr>
            </w:pPr>
          </w:p>
        </w:tc>
      </w:tr>
      <w:tr w14:paraId="1260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561" w:type="dxa"/>
            <w:tcBorders>
              <w:top w:val="single" w:color="auto" w:sz="4" w:space="0"/>
              <w:left w:val="single" w:color="auto" w:sz="4" w:space="0"/>
              <w:bottom w:val="single" w:color="auto" w:sz="4" w:space="0"/>
              <w:right w:val="single" w:color="auto" w:sz="4" w:space="0"/>
            </w:tcBorders>
            <w:vAlign w:val="center"/>
          </w:tcPr>
          <w:p w14:paraId="0F20F498">
            <w:pPr>
              <w:spacing w:line="360" w:lineRule="auto"/>
              <w:jc w:val="center"/>
              <w:rPr>
                <w:sz w:val="24"/>
                <w:szCs w:val="24"/>
              </w:rPr>
            </w:pPr>
            <w:r>
              <w:rPr>
                <w:rFonts w:hint="eastAsia"/>
                <w:sz w:val="24"/>
                <w:szCs w:val="24"/>
              </w:rPr>
              <w:t>注册资金</w:t>
            </w:r>
          </w:p>
        </w:tc>
        <w:tc>
          <w:tcPr>
            <w:tcW w:w="2128" w:type="dxa"/>
            <w:gridSpan w:val="2"/>
            <w:tcBorders>
              <w:top w:val="single" w:color="auto" w:sz="4" w:space="0"/>
              <w:left w:val="single" w:color="auto" w:sz="4" w:space="0"/>
              <w:bottom w:val="single" w:color="auto" w:sz="4" w:space="0"/>
              <w:right w:val="single" w:color="auto" w:sz="4" w:space="0"/>
            </w:tcBorders>
            <w:vAlign w:val="center"/>
          </w:tcPr>
          <w:p w14:paraId="4D965C84">
            <w:pPr>
              <w:spacing w:line="360" w:lineRule="auto"/>
              <w:jc w:val="center"/>
              <w:rPr>
                <w:sz w:val="24"/>
                <w:szCs w:val="24"/>
              </w:rPr>
            </w:pPr>
          </w:p>
        </w:tc>
        <w:tc>
          <w:tcPr>
            <w:tcW w:w="1074" w:type="dxa"/>
            <w:vMerge w:val="continue"/>
            <w:tcBorders>
              <w:top w:val="single" w:color="auto" w:sz="4" w:space="0"/>
              <w:left w:val="single" w:color="auto" w:sz="4" w:space="0"/>
              <w:bottom w:val="single" w:color="auto" w:sz="4" w:space="0"/>
              <w:right w:val="single" w:color="auto" w:sz="4" w:space="0"/>
            </w:tcBorders>
            <w:vAlign w:val="center"/>
          </w:tcPr>
          <w:p w14:paraId="2F67DE9A">
            <w:pPr>
              <w:spacing w:line="360" w:lineRule="auto"/>
              <w:jc w:val="center"/>
              <w:rPr>
                <w:sz w:val="24"/>
                <w:szCs w:val="24"/>
              </w:rPr>
            </w:pPr>
          </w:p>
        </w:tc>
        <w:tc>
          <w:tcPr>
            <w:tcW w:w="1687" w:type="dxa"/>
            <w:gridSpan w:val="3"/>
            <w:tcBorders>
              <w:top w:val="single" w:color="auto" w:sz="4" w:space="0"/>
              <w:left w:val="single" w:color="auto" w:sz="4" w:space="0"/>
              <w:bottom w:val="single" w:color="auto" w:sz="4" w:space="0"/>
              <w:right w:val="single" w:color="auto" w:sz="4" w:space="0"/>
            </w:tcBorders>
            <w:vAlign w:val="center"/>
          </w:tcPr>
          <w:p w14:paraId="102CC1F8">
            <w:pPr>
              <w:spacing w:line="360" w:lineRule="auto"/>
              <w:jc w:val="center"/>
              <w:rPr>
                <w:sz w:val="24"/>
                <w:szCs w:val="24"/>
              </w:rPr>
            </w:pPr>
            <w:r>
              <w:rPr>
                <w:rFonts w:hint="eastAsia"/>
                <w:sz w:val="24"/>
                <w:szCs w:val="24"/>
              </w:rPr>
              <w:t>初级职称人员</w:t>
            </w:r>
          </w:p>
        </w:tc>
        <w:tc>
          <w:tcPr>
            <w:tcW w:w="2510" w:type="dxa"/>
            <w:gridSpan w:val="3"/>
            <w:tcBorders>
              <w:top w:val="single" w:color="auto" w:sz="4" w:space="0"/>
              <w:left w:val="single" w:color="auto" w:sz="4" w:space="0"/>
              <w:bottom w:val="single" w:color="auto" w:sz="4" w:space="0"/>
              <w:right w:val="single" w:color="auto" w:sz="4" w:space="0"/>
            </w:tcBorders>
            <w:vAlign w:val="center"/>
          </w:tcPr>
          <w:p w14:paraId="6595EF3D">
            <w:pPr>
              <w:spacing w:line="360" w:lineRule="auto"/>
              <w:jc w:val="center"/>
              <w:rPr>
                <w:sz w:val="24"/>
                <w:szCs w:val="24"/>
              </w:rPr>
            </w:pPr>
          </w:p>
        </w:tc>
      </w:tr>
      <w:tr w14:paraId="30508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561" w:type="dxa"/>
            <w:tcBorders>
              <w:top w:val="single" w:color="auto" w:sz="4" w:space="0"/>
              <w:left w:val="single" w:color="auto" w:sz="4" w:space="0"/>
              <w:bottom w:val="single" w:color="auto" w:sz="4" w:space="0"/>
              <w:right w:val="single" w:color="auto" w:sz="4" w:space="0"/>
            </w:tcBorders>
            <w:vAlign w:val="center"/>
          </w:tcPr>
          <w:p w14:paraId="04957ACD">
            <w:pPr>
              <w:spacing w:line="360" w:lineRule="auto"/>
              <w:jc w:val="center"/>
              <w:rPr>
                <w:sz w:val="24"/>
                <w:szCs w:val="24"/>
              </w:rPr>
            </w:pPr>
            <w:r>
              <w:rPr>
                <w:rFonts w:hint="eastAsia"/>
                <w:sz w:val="24"/>
                <w:szCs w:val="24"/>
              </w:rPr>
              <w:t>开户银行</w:t>
            </w:r>
          </w:p>
        </w:tc>
        <w:tc>
          <w:tcPr>
            <w:tcW w:w="2128" w:type="dxa"/>
            <w:gridSpan w:val="2"/>
            <w:tcBorders>
              <w:top w:val="single" w:color="auto" w:sz="4" w:space="0"/>
              <w:left w:val="single" w:color="auto" w:sz="4" w:space="0"/>
              <w:bottom w:val="single" w:color="auto" w:sz="4" w:space="0"/>
              <w:right w:val="single" w:color="auto" w:sz="4" w:space="0"/>
            </w:tcBorders>
            <w:vAlign w:val="center"/>
          </w:tcPr>
          <w:p w14:paraId="4448D601">
            <w:pPr>
              <w:spacing w:line="360" w:lineRule="auto"/>
              <w:jc w:val="center"/>
              <w:rPr>
                <w:sz w:val="24"/>
                <w:szCs w:val="24"/>
              </w:rPr>
            </w:pPr>
          </w:p>
        </w:tc>
        <w:tc>
          <w:tcPr>
            <w:tcW w:w="1074" w:type="dxa"/>
            <w:vMerge w:val="continue"/>
            <w:tcBorders>
              <w:top w:val="single" w:color="auto" w:sz="4" w:space="0"/>
              <w:left w:val="single" w:color="auto" w:sz="4" w:space="0"/>
              <w:bottom w:val="single" w:color="auto" w:sz="4" w:space="0"/>
              <w:right w:val="single" w:color="auto" w:sz="4" w:space="0"/>
            </w:tcBorders>
            <w:vAlign w:val="center"/>
          </w:tcPr>
          <w:p w14:paraId="2C32482F">
            <w:pPr>
              <w:spacing w:line="360" w:lineRule="auto"/>
              <w:jc w:val="center"/>
              <w:rPr>
                <w:sz w:val="24"/>
                <w:szCs w:val="24"/>
              </w:rPr>
            </w:pPr>
          </w:p>
        </w:tc>
        <w:tc>
          <w:tcPr>
            <w:tcW w:w="1687" w:type="dxa"/>
            <w:gridSpan w:val="3"/>
            <w:tcBorders>
              <w:top w:val="single" w:color="auto" w:sz="4" w:space="0"/>
              <w:left w:val="single" w:color="auto" w:sz="4" w:space="0"/>
              <w:bottom w:val="single" w:color="auto" w:sz="4" w:space="0"/>
              <w:right w:val="single" w:color="auto" w:sz="4" w:space="0"/>
            </w:tcBorders>
            <w:vAlign w:val="center"/>
          </w:tcPr>
          <w:p w14:paraId="63163586">
            <w:pPr>
              <w:spacing w:line="360" w:lineRule="auto"/>
              <w:jc w:val="center"/>
              <w:rPr>
                <w:sz w:val="24"/>
                <w:szCs w:val="24"/>
              </w:rPr>
            </w:pPr>
            <w:r>
              <w:rPr>
                <w:rFonts w:hint="eastAsia"/>
                <w:sz w:val="24"/>
                <w:szCs w:val="24"/>
              </w:rPr>
              <w:t>技工</w:t>
            </w:r>
          </w:p>
        </w:tc>
        <w:tc>
          <w:tcPr>
            <w:tcW w:w="2510" w:type="dxa"/>
            <w:gridSpan w:val="3"/>
            <w:tcBorders>
              <w:top w:val="single" w:color="auto" w:sz="4" w:space="0"/>
              <w:left w:val="single" w:color="auto" w:sz="4" w:space="0"/>
              <w:bottom w:val="single" w:color="auto" w:sz="4" w:space="0"/>
              <w:right w:val="single" w:color="auto" w:sz="4" w:space="0"/>
            </w:tcBorders>
            <w:vAlign w:val="center"/>
          </w:tcPr>
          <w:p w14:paraId="22033A31">
            <w:pPr>
              <w:spacing w:line="360" w:lineRule="auto"/>
              <w:jc w:val="center"/>
              <w:rPr>
                <w:sz w:val="24"/>
                <w:szCs w:val="24"/>
              </w:rPr>
            </w:pPr>
          </w:p>
        </w:tc>
      </w:tr>
      <w:tr w14:paraId="6CD3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561" w:type="dxa"/>
            <w:tcBorders>
              <w:top w:val="single" w:color="auto" w:sz="4" w:space="0"/>
              <w:left w:val="single" w:color="auto" w:sz="4" w:space="0"/>
              <w:bottom w:val="single" w:color="auto" w:sz="4" w:space="0"/>
              <w:right w:val="single" w:color="auto" w:sz="4" w:space="0"/>
            </w:tcBorders>
            <w:vAlign w:val="center"/>
          </w:tcPr>
          <w:p w14:paraId="394B0F31">
            <w:pPr>
              <w:spacing w:line="360" w:lineRule="auto"/>
              <w:jc w:val="center"/>
              <w:rPr>
                <w:sz w:val="24"/>
                <w:szCs w:val="24"/>
              </w:rPr>
            </w:pPr>
            <w:r>
              <w:rPr>
                <w:rFonts w:hint="eastAsia"/>
                <w:sz w:val="24"/>
                <w:szCs w:val="24"/>
              </w:rPr>
              <w:t>账号</w:t>
            </w:r>
          </w:p>
        </w:tc>
        <w:tc>
          <w:tcPr>
            <w:tcW w:w="2128" w:type="dxa"/>
            <w:gridSpan w:val="2"/>
            <w:tcBorders>
              <w:top w:val="single" w:color="auto" w:sz="4" w:space="0"/>
              <w:left w:val="single" w:color="auto" w:sz="4" w:space="0"/>
              <w:bottom w:val="single" w:color="auto" w:sz="4" w:space="0"/>
              <w:right w:val="single" w:color="auto" w:sz="4" w:space="0"/>
            </w:tcBorders>
            <w:vAlign w:val="center"/>
          </w:tcPr>
          <w:p w14:paraId="2CE4747F">
            <w:pPr>
              <w:spacing w:line="360" w:lineRule="auto"/>
              <w:jc w:val="center"/>
              <w:rPr>
                <w:sz w:val="24"/>
                <w:szCs w:val="24"/>
              </w:rPr>
            </w:pPr>
          </w:p>
        </w:tc>
        <w:tc>
          <w:tcPr>
            <w:tcW w:w="1074" w:type="dxa"/>
            <w:vMerge w:val="continue"/>
            <w:tcBorders>
              <w:top w:val="single" w:color="auto" w:sz="4" w:space="0"/>
              <w:left w:val="single" w:color="auto" w:sz="4" w:space="0"/>
              <w:bottom w:val="single" w:color="auto" w:sz="4" w:space="0"/>
              <w:right w:val="single" w:color="auto" w:sz="4" w:space="0"/>
            </w:tcBorders>
            <w:vAlign w:val="center"/>
          </w:tcPr>
          <w:p w14:paraId="211EB7BF">
            <w:pPr>
              <w:spacing w:line="360" w:lineRule="auto"/>
              <w:jc w:val="center"/>
              <w:rPr>
                <w:sz w:val="24"/>
                <w:szCs w:val="24"/>
              </w:rPr>
            </w:pPr>
          </w:p>
        </w:tc>
        <w:tc>
          <w:tcPr>
            <w:tcW w:w="1687" w:type="dxa"/>
            <w:gridSpan w:val="3"/>
            <w:tcBorders>
              <w:top w:val="single" w:color="auto" w:sz="4" w:space="0"/>
              <w:left w:val="single" w:color="auto" w:sz="4" w:space="0"/>
              <w:bottom w:val="single" w:color="auto" w:sz="4" w:space="0"/>
              <w:right w:val="single" w:color="auto" w:sz="4" w:space="0"/>
            </w:tcBorders>
            <w:vAlign w:val="center"/>
          </w:tcPr>
          <w:p w14:paraId="0EF284CA">
            <w:pPr>
              <w:spacing w:line="360" w:lineRule="auto"/>
              <w:jc w:val="center"/>
              <w:rPr>
                <w:sz w:val="24"/>
                <w:szCs w:val="24"/>
              </w:rPr>
            </w:pPr>
            <w:r>
              <w:rPr>
                <w:rFonts w:hint="eastAsia"/>
                <w:sz w:val="24"/>
                <w:szCs w:val="24"/>
              </w:rPr>
              <w:t>...........</w:t>
            </w:r>
          </w:p>
        </w:tc>
        <w:tc>
          <w:tcPr>
            <w:tcW w:w="2510" w:type="dxa"/>
            <w:gridSpan w:val="3"/>
            <w:tcBorders>
              <w:top w:val="single" w:color="auto" w:sz="4" w:space="0"/>
              <w:left w:val="single" w:color="auto" w:sz="4" w:space="0"/>
              <w:bottom w:val="single" w:color="auto" w:sz="4" w:space="0"/>
              <w:right w:val="single" w:color="auto" w:sz="4" w:space="0"/>
            </w:tcBorders>
            <w:vAlign w:val="center"/>
          </w:tcPr>
          <w:p w14:paraId="28204B98">
            <w:pPr>
              <w:spacing w:line="360" w:lineRule="auto"/>
              <w:jc w:val="center"/>
              <w:rPr>
                <w:sz w:val="24"/>
                <w:szCs w:val="24"/>
              </w:rPr>
            </w:pPr>
          </w:p>
        </w:tc>
      </w:tr>
      <w:tr w14:paraId="215C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561" w:type="dxa"/>
            <w:tcBorders>
              <w:top w:val="single" w:color="auto" w:sz="4" w:space="0"/>
              <w:left w:val="single" w:color="auto" w:sz="4" w:space="0"/>
              <w:bottom w:val="single" w:color="auto" w:sz="4" w:space="0"/>
              <w:right w:val="single" w:color="auto" w:sz="4" w:space="0"/>
            </w:tcBorders>
            <w:vAlign w:val="center"/>
          </w:tcPr>
          <w:p w14:paraId="2F5B8C03">
            <w:pPr>
              <w:spacing w:line="360" w:lineRule="auto"/>
              <w:jc w:val="center"/>
              <w:rPr>
                <w:sz w:val="24"/>
                <w:szCs w:val="24"/>
              </w:rPr>
            </w:pPr>
            <w:r>
              <w:rPr>
                <w:rFonts w:hint="eastAsia"/>
                <w:sz w:val="24"/>
                <w:szCs w:val="24"/>
              </w:rPr>
              <w:t>经营范围</w:t>
            </w:r>
          </w:p>
        </w:tc>
        <w:tc>
          <w:tcPr>
            <w:tcW w:w="7399" w:type="dxa"/>
            <w:gridSpan w:val="9"/>
            <w:tcBorders>
              <w:top w:val="single" w:color="auto" w:sz="4" w:space="0"/>
              <w:left w:val="single" w:color="auto" w:sz="4" w:space="0"/>
              <w:bottom w:val="single" w:color="auto" w:sz="4" w:space="0"/>
              <w:right w:val="single" w:color="auto" w:sz="4" w:space="0"/>
            </w:tcBorders>
            <w:vAlign w:val="center"/>
          </w:tcPr>
          <w:p w14:paraId="2671CC4F">
            <w:pPr>
              <w:spacing w:line="360" w:lineRule="auto"/>
              <w:jc w:val="center"/>
              <w:rPr>
                <w:sz w:val="24"/>
                <w:szCs w:val="24"/>
              </w:rPr>
            </w:pPr>
          </w:p>
        </w:tc>
      </w:tr>
      <w:tr w14:paraId="0E83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561" w:type="dxa"/>
            <w:tcBorders>
              <w:top w:val="single" w:color="auto" w:sz="4" w:space="0"/>
              <w:left w:val="single" w:color="auto" w:sz="4" w:space="0"/>
              <w:bottom w:val="single" w:color="auto" w:sz="4" w:space="0"/>
              <w:right w:val="single" w:color="auto" w:sz="4" w:space="0"/>
            </w:tcBorders>
            <w:vAlign w:val="center"/>
          </w:tcPr>
          <w:p w14:paraId="10DE0170">
            <w:pPr>
              <w:spacing w:line="360" w:lineRule="auto"/>
              <w:jc w:val="center"/>
              <w:rPr>
                <w:sz w:val="24"/>
                <w:szCs w:val="24"/>
              </w:rPr>
            </w:pPr>
            <w:r>
              <w:rPr>
                <w:rFonts w:hint="eastAsia"/>
                <w:sz w:val="24"/>
                <w:szCs w:val="24"/>
              </w:rPr>
              <w:t>备注</w:t>
            </w:r>
          </w:p>
        </w:tc>
        <w:tc>
          <w:tcPr>
            <w:tcW w:w="7399" w:type="dxa"/>
            <w:gridSpan w:val="9"/>
            <w:tcBorders>
              <w:top w:val="single" w:color="auto" w:sz="4" w:space="0"/>
              <w:left w:val="single" w:color="auto" w:sz="4" w:space="0"/>
              <w:bottom w:val="single" w:color="auto" w:sz="4" w:space="0"/>
              <w:right w:val="single" w:color="auto" w:sz="4" w:space="0"/>
            </w:tcBorders>
            <w:vAlign w:val="center"/>
          </w:tcPr>
          <w:p w14:paraId="0CBC29D1">
            <w:pPr>
              <w:spacing w:line="360" w:lineRule="auto"/>
              <w:jc w:val="center"/>
              <w:rPr>
                <w:sz w:val="24"/>
                <w:szCs w:val="24"/>
              </w:rPr>
            </w:pPr>
          </w:p>
        </w:tc>
      </w:tr>
    </w:tbl>
    <w:p w14:paraId="1C1C54B9">
      <w:pPr>
        <w:spacing w:line="384" w:lineRule="auto"/>
        <w:jc w:val="center"/>
        <w:rPr>
          <w:rFonts w:ascii="宋体" w:hAnsi="宋体"/>
          <w:b/>
          <w:snapToGrid w:val="0"/>
          <w:kern w:val="0"/>
          <w:sz w:val="24"/>
          <w:szCs w:val="24"/>
        </w:rPr>
      </w:pPr>
    </w:p>
    <w:p w14:paraId="712E6DF4"/>
    <w:p w14:paraId="18051C30">
      <w:pPr>
        <w:spacing w:line="384" w:lineRule="auto"/>
        <w:jc w:val="center"/>
        <w:rPr>
          <w:rFonts w:ascii="宋体" w:hAnsi="宋体"/>
          <w:b/>
          <w:snapToGrid w:val="0"/>
          <w:kern w:val="0"/>
          <w:sz w:val="24"/>
          <w:szCs w:val="24"/>
        </w:rPr>
      </w:pPr>
    </w:p>
    <w:p w14:paraId="6620CC70">
      <w:pPr>
        <w:spacing w:line="384" w:lineRule="auto"/>
        <w:jc w:val="center"/>
        <w:rPr>
          <w:rFonts w:ascii="宋体" w:hAnsi="宋体"/>
          <w:b/>
          <w:snapToGrid w:val="0"/>
          <w:kern w:val="0"/>
          <w:sz w:val="24"/>
          <w:szCs w:val="24"/>
        </w:rPr>
      </w:pPr>
    </w:p>
    <w:p w14:paraId="12A0283C">
      <w:pPr>
        <w:spacing w:line="384" w:lineRule="auto"/>
        <w:jc w:val="center"/>
        <w:rPr>
          <w:rFonts w:ascii="宋体" w:hAnsi="宋体"/>
          <w:b/>
          <w:snapToGrid w:val="0"/>
          <w:kern w:val="0"/>
          <w:sz w:val="24"/>
          <w:szCs w:val="24"/>
        </w:rPr>
      </w:pPr>
    </w:p>
    <w:p w14:paraId="62E9A78A">
      <w:pPr>
        <w:spacing w:line="384" w:lineRule="auto"/>
        <w:jc w:val="center"/>
        <w:rPr>
          <w:rFonts w:ascii="宋体" w:hAnsi="宋体"/>
          <w:b/>
          <w:snapToGrid w:val="0"/>
          <w:kern w:val="0"/>
          <w:sz w:val="24"/>
          <w:szCs w:val="24"/>
        </w:rPr>
      </w:pPr>
    </w:p>
    <w:p w14:paraId="0A9BB0E4">
      <w:pPr>
        <w:spacing w:line="384" w:lineRule="auto"/>
        <w:jc w:val="center"/>
        <w:rPr>
          <w:rFonts w:ascii="宋体" w:hAnsi="宋体"/>
          <w:b/>
          <w:snapToGrid w:val="0"/>
          <w:kern w:val="0"/>
          <w:sz w:val="24"/>
          <w:szCs w:val="24"/>
        </w:rPr>
      </w:pPr>
    </w:p>
    <w:p w14:paraId="2C9C7591">
      <w:pPr>
        <w:spacing w:line="384" w:lineRule="auto"/>
        <w:jc w:val="center"/>
        <w:rPr>
          <w:rFonts w:ascii="宋体" w:hAnsi="宋体"/>
          <w:b/>
          <w:snapToGrid w:val="0"/>
          <w:kern w:val="0"/>
          <w:sz w:val="24"/>
          <w:szCs w:val="24"/>
        </w:rPr>
      </w:pPr>
    </w:p>
    <w:p w14:paraId="5212A528">
      <w:pPr>
        <w:spacing w:line="384" w:lineRule="auto"/>
        <w:jc w:val="center"/>
        <w:rPr>
          <w:rFonts w:ascii="宋体" w:hAnsi="宋体"/>
          <w:b/>
          <w:snapToGrid w:val="0"/>
          <w:kern w:val="0"/>
          <w:sz w:val="24"/>
          <w:szCs w:val="24"/>
        </w:rPr>
      </w:pPr>
    </w:p>
    <w:p w14:paraId="58955D0C">
      <w:pPr>
        <w:tabs>
          <w:tab w:val="left" w:pos="4000"/>
        </w:tabs>
        <w:overflowPunct w:val="0"/>
        <w:topLinePunct/>
        <w:autoSpaceDN w:val="0"/>
        <w:adjustRightInd w:val="0"/>
        <w:snapToGrid w:val="0"/>
        <w:spacing w:line="360" w:lineRule="auto"/>
        <w:rPr>
          <w:rFonts w:ascii="宋体" w:hAnsi="宋体"/>
          <w:b/>
          <w:snapToGrid w:val="0"/>
          <w:kern w:val="0"/>
          <w:sz w:val="24"/>
          <w:szCs w:val="24"/>
        </w:rPr>
      </w:pPr>
    </w:p>
    <w:p w14:paraId="7323E326">
      <w:pPr>
        <w:widowControl/>
        <w:adjustRightInd w:val="0"/>
        <w:snapToGrid w:val="0"/>
        <w:spacing w:line="360" w:lineRule="auto"/>
        <w:jc w:val="center"/>
        <w:outlineLvl w:val="0"/>
        <w:rPr>
          <w:rFonts w:ascii="宋体" w:hAnsi="宋体" w:cs="宋体"/>
          <w:b/>
          <w:kern w:val="0"/>
          <w:sz w:val="24"/>
          <w:szCs w:val="24"/>
        </w:rPr>
      </w:pPr>
      <w:bookmarkStart w:id="117" w:name="_Toc23827"/>
      <w:r>
        <w:rPr>
          <w:rFonts w:hint="eastAsia" w:ascii="宋体" w:hAnsi="宋体" w:cs="宋体"/>
          <w:b/>
          <w:kern w:val="0"/>
          <w:sz w:val="24"/>
          <w:szCs w:val="24"/>
        </w:rPr>
        <w:t>七、供应商业绩</w:t>
      </w:r>
      <w:bookmarkEnd w:id="117"/>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2877"/>
        <w:gridCol w:w="1758"/>
        <w:gridCol w:w="1196"/>
        <w:gridCol w:w="1125"/>
        <w:gridCol w:w="1024"/>
      </w:tblGrid>
      <w:tr w14:paraId="52FD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1042" w:type="dxa"/>
            <w:vAlign w:val="center"/>
          </w:tcPr>
          <w:p w14:paraId="569F7D49">
            <w:pPr>
              <w:jc w:val="center"/>
              <w:rPr>
                <w:rFonts w:ascii="宋体" w:hAnsi="宋体" w:cs="宋体"/>
                <w:sz w:val="24"/>
                <w:szCs w:val="24"/>
              </w:rPr>
            </w:pPr>
            <w:r>
              <w:rPr>
                <w:rFonts w:hint="eastAsia" w:ascii="宋体" w:hAnsi="宋体" w:cs="宋体"/>
                <w:sz w:val="24"/>
                <w:szCs w:val="24"/>
              </w:rPr>
              <w:t>序号</w:t>
            </w:r>
          </w:p>
        </w:tc>
        <w:tc>
          <w:tcPr>
            <w:tcW w:w="2877" w:type="dxa"/>
            <w:vAlign w:val="center"/>
          </w:tcPr>
          <w:p w14:paraId="5CD0E49C">
            <w:pPr>
              <w:jc w:val="center"/>
              <w:rPr>
                <w:rFonts w:ascii="宋体" w:hAnsi="宋体" w:cs="宋体"/>
                <w:sz w:val="24"/>
                <w:szCs w:val="24"/>
              </w:rPr>
            </w:pPr>
            <w:r>
              <w:rPr>
                <w:rFonts w:hint="eastAsia" w:ascii="宋体" w:hAnsi="宋体" w:cs="宋体"/>
                <w:sz w:val="24"/>
                <w:szCs w:val="24"/>
              </w:rPr>
              <w:t>业主单位</w:t>
            </w:r>
          </w:p>
        </w:tc>
        <w:tc>
          <w:tcPr>
            <w:tcW w:w="1758" w:type="dxa"/>
            <w:vAlign w:val="center"/>
          </w:tcPr>
          <w:p w14:paraId="1545CAF4">
            <w:pPr>
              <w:jc w:val="center"/>
              <w:rPr>
                <w:rFonts w:ascii="宋体" w:hAnsi="宋体" w:cs="宋体"/>
                <w:sz w:val="24"/>
                <w:szCs w:val="24"/>
              </w:rPr>
            </w:pPr>
            <w:r>
              <w:rPr>
                <w:rFonts w:hint="eastAsia" w:ascii="宋体" w:hAnsi="宋体" w:cs="宋体"/>
                <w:sz w:val="24"/>
                <w:szCs w:val="24"/>
              </w:rPr>
              <w:t>项目名称</w:t>
            </w:r>
          </w:p>
        </w:tc>
        <w:tc>
          <w:tcPr>
            <w:tcW w:w="1196" w:type="dxa"/>
            <w:vAlign w:val="center"/>
          </w:tcPr>
          <w:p w14:paraId="0445C005">
            <w:pPr>
              <w:jc w:val="center"/>
              <w:rPr>
                <w:rFonts w:ascii="宋体" w:hAnsi="宋体" w:cs="宋体"/>
                <w:sz w:val="24"/>
                <w:szCs w:val="24"/>
              </w:rPr>
            </w:pPr>
            <w:r>
              <w:rPr>
                <w:rFonts w:hint="eastAsia" w:ascii="宋体" w:hAnsi="宋体" w:cs="宋体"/>
                <w:sz w:val="24"/>
                <w:szCs w:val="24"/>
              </w:rPr>
              <w:t>合同额（元）</w:t>
            </w:r>
          </w:p>
        </w:tc>
        <w:tc>
          <w:tcPr>
            <w:tcW w:w="1125" w:type="dxa"/>
            <w:vAlign w:val="center"/>
          </w:tcPr>
          <w:p w14:paraId="6083598B">
            <w:pPr>
              <w:jc w:val="center"/>
              <w:rPr>
                <w:rFonts w:ascii="宋体" w:hAnsi="宋体" w:cs="宋体"/>
                <w:sz w:val="24"/>
                <w:szCs w:val="24"/>
              </w:rPr>
            </w:pPr>
            <w:r>
              <w:rPr>
                <w:rFonts w:hint="eastAsia" w:ascii="宋体"/>
                <w:sz w:val="24"/>
                <w:szCs w:val="24"/>
              </w:rPr>
              <w:t>供货期</w:t>
            </w:r>
          </w:p>
        </w:tc>
        <w:tc>
          <w:tcPr>
            <w:tcW w:w="1024" w:type="dxa"/>
            <w:vAlign w:val="center"/>
          </w:tcPr>
          <w:p w14:paraId="3D76444F">
            <w:pPr>
              <w:jc w:val="center"/>
              <w:rPr>
                <w:rFonts w:ascii="宋体" w:hAnsi="宋体" w:cs="宋体"/>
                <w:sz w:val="24"/>
                <w:szCs w:val="24"/>
              </w:rPr>
            </w:pPr>
            <w:r>
              <w:rPr>
                <w:rFonts w:hint="eastAsia" w:ascii="宋体" w:hAnsi="宋体" w:cs="宋体"/>
                <w:sz w:val="24"/>
                <w:szCs w:val="24"/>
              </w:rPr>
              <w:t>备注</w:t>
            </w:r>
          </w:p>
        </w:tc>
      </w:tr>
      <w:tr w14:paraId="215C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42" w:type="dxa"/>
          </w:tcPr>
          <w:p w14:paraId="02FFB7BD">
            <w:pPr>
              <w:rPr>
                <w:rFonts w:ascii="宋体" w:hAnsi="宋体" w:cs="宋体"/>
                <w:sz w:val="24"/>
                <w:szCs w:val="24"/>
              </w:rPr>
            </w:pPr>
          </w:p>
        </w:tc>
        <w:tc>
          <w:tcPr>
            <w:tcW w:w="2877" w:type="dxa"/>
          </w:tcPr>
          <w:p w14:paraId="41BECD08">
            <w:pPr>
              <w:rPr>
                <w:rFonts w:ascii="宋体" w:hAnsi="宋体" w:cs="宋体"/>
                <w:sz w:val="24"/>
                <w:szCs w:val="24"/>
              </w:rPr>
            </w:pPr>
          </w:p>
        </w:tc>
        <w:tc>
          <w:tcPr>
            <w:tcW w:w="1758" w:type="dxa"/>
          </w:tcPr>
          <w:p w14:paraId="3335D101">
            <w:pPr>
              <w:rPr>
                <w:rFonts w:ascii="宋体" w:hAnsi="宋体" w:cs="宋体"/>
                <w:sz w:val="24"/>
                <w:szCs w:val="24"/>
              </w:rPr>
            </w:pPr>
          </w:p>
        </w:tc>
        <w:tc>
          <w:tcPr>
            <w:tcW w:w="1196" w:type="dxa"/>
          </w:tcPr>
          <w:p w14:paraId="6BEB2072">
            <w:pPr>
              <w:rPr>
                <w:rFonts w:ascii="宋体" w:hAnsi="宋体" w:cs="宋体"/>
                <w:sz w:val="24"/>
                <w:szCs w:val="24"/>
              </w:rPr>
            </w:pPr>
          </w:p>
        </w:tc>
        <w:tc>
          <w:tcPr>
            <w:tcW w:w="1125" w:type="dxa"/>
          </w:tcPr>
          <w:p w14:paraId="06E1B42A">
            <w:pPr>
              <w:rPr>
                <w:rFonts w:ascii="宋体" w:hAnsi="宋体" w:cs="宋体"/>
                <w:sz w:val="24"/>
                <w:szCs w:val="24"/>
              </w:rPr>
            </w:pPr>
          </w:p>
        </w:tc>
        <w:tc>
          <w:tcPr>
            <w:tcW w:w="1024" w:type="dxa"/>
          </w:tcPr>
          <w:p w14:paraId="463FC169">
            <w:pPr>
              <w:rPr>
                <w:rFonts w:ascii="宋体" w:hAnsi="宋体" w:cs="宋体"/>
                <w:sz w:val="24"/>
                <w:szCs w:val="24"/>
              </w:rPr>
            </w:pPr>
          </w:p>
        </w:tc>
      </w:tr>
      <w:tr w14:paraId="0B96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42" w:type="dxa"/>
          </w:tcPr>
          <w:p w14:paraId="40288DAA">
            <w:pPr>
              <w:rPr>
                <w:rFonts w:ascii="宋体" w:hAnsi="宋体" w:cs="宋体"/>
                <w:sz w:val="24"/>
                <w:szCs w:val="24"/>
              </w:rPr>
            </w:pPr>
          </w:p>
        </w:tc>
        <w:tc>
          <w:tcPr>
            <w:tcW w:w="2877" w:type="dxa"/>
          </w:tcPr>
          <w:p w14:paraId="6402C418">
            <w:pPr>
              <w:rPr>
                <w:rFonts w:ascii="宋体" w:hAnsi="宋体" w:cs="宋体"/>
                <w:sz w:val="24"/>
                <w:szCs w:val="24"/>
              </w:rPr>
            </w:pPr>
          </w:p>
        </w:tc>
        <w:tc>
          <w:tcPr>
            <w:tcW w:w="1758" w:type="dxa"/>
          </w:tcPr>
          <w:p w14:paraId="4DEA3255">
            <w:pPr>
              <w:rPr>
                <w:rFonts w:ascii="宋体" w:hAnsi="宋体" w:cs="宋体"/>
                <w:sz w:val="24"/>
                <w:szCs w:val="24"/>
              </w:rPr>
            </w:pPr>
          </w:p>
        </w:tc>
        <w:tc>
          <w:tcPr>
            <w:tcW w:w="1196" w:type="dxa"/>
          </w:tcPr>
          <w:p w14:paraId="343807F1">
            <w:pPr>
              <w:rPr>
                <w:rFonts w:ascii="宋体" w:hAnsi="宋体" w:cs="宋体"/>
                <w:sz w:val="24"/>
                <w:szCs w:val="24"/>
              </w:rPr>
            </w:pPr>
          </w:p>
        </w:tc>
        <w:tc>
          <w:tcPr>
            <w:tcW w:w="1125" w:type="dxa"/>
          </w:tcPr>
          <w:p w14:paraId="5F1CCD2C">
            <w:pPr>
              <w:rPr>
                <w:rFonts w:ascii="宋体" w:hAnsi="宋体" w:cs="宋体"/>
                <w:sz w:val="24"/>
                <w:szCs w:val="24"/>
              </w:rPr>
            </w:pPr>
          </w:p>
        </w:tc>
        <w:tc>
          <w:tcPr>
            <w:tcW w:w="1024" w:type="dxa"/>
          </w:tcPr>
          <w:p w14:paraId="27389C3A">
            <w:pPr>
              <w:rPr>
                <w:rFonts w:ascii="宋体" w:hAnsi="宋体" w:cs="宋体"/>
                <w:sz w:val="24"/>
                <w:szCs w:val="24"/>
              </w:rPr>
            </w:pPr>
          </w:p>
        </w:tc>
      </w:tr>
      <w:tr w14:paraId="7BA1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42" w:type="dxa"/>
          </w:tcPr>
          <w:p w14:paraId="7676AF99">
            <w:pPr>
              <w:rPr>
                <w:rFonts w:ascii="宋体" w:hAnsi="宋体" w:cs="宋体"/>
                <w:sz w:val="24"/>
                <w:szCs w:val="24"/>
              </w:rPr>
            </w:pPr>
          </w:p>
        </w:tc>
        <w:tc>
          <w:tcPr>
            <w:tcW w:w="2877" w:type="dxa"/>
          </w:tcPr>
          <w:p w14:paraId="026023DB">
            <w:pPr>
              <w:rPr>
                <w:rFonts w:ascii="宋体" w:hAnsi="宋体" w:cs="宋体"/>
                <w:sz w:val="24"/>
                <w:szCs w:val="24"/>
              </w:rPr>
            </w:pPr>
          </w:p>
        </w:tc>
        <w:tc>
          <w:tcPr>
            <w:tcW w:w="1758" w:type="dxa"/>
          </w:tcPr>
          <w:p w14:paraId="6E163B15">
            <w:pPr>
              <w:rPr>
                <w:rFonts w:ascii="宋体" w:hAnsi="宋体" w:cs="宋体"/>
                <w:sz w:val="24"/>
                <w:szCs w:val="24"/>
              </w:rPr>
            </w:pPr>
          </w:p>
        </w:tc>
        <w:tc>
          <w:tcPr>
            <w:tcW w:w="1196" w:type="dxa"/>
          </w:tcPr>
          <w:p w14:paraId="498F20F4">
            <w:pPr>
              <w:rPr>
                <w:rFonts w:ascii="宋体" w:hAnsi="宋体" w:cs="宋体"/>
                <w:sz w:val="24"/>
                <w:szCs w:val="24"/>
              </w:rPr>
            </w:pPr>
          </w:p>
        </w:tc>
        <w:tc>
          <w:tcPr>
            <w:tcW w:w="1125" w:type="dxa"/>
          </w:tcPr>
          <w:p w14:paraId="00373ECA">
            <w:pPr>
              <w:rPr>
                <w:rFonts w:ascii="宋体" w:hAnsi="宋体" w:cs="宋体"/>
                <w:sz w:val="24"/>
                <w:szCs w:val="24"/>
              </w:rPr>
            </w:pPr>
          </w:p>
        </w:tc>
        <w:tc>
          <w:tcPr>
            <w:tcW w:w="1024" w:type="dxa"/>
          </w:tcPr>
          <w:p w14:paraId="7B6040D3">
            <w:pPr>
              <w:rPr>
                <w:rFonts w:ascii="宋体" w:hAnsi="宋体" w:cs="宋体"/>
                <w:sz w:val="24"/>
                <w:szCs w:val="24"/>
              </w:rPr>
            </w:pPr>
          </w:p>
        </w:tc>
      </w:tr>
      <w:tr w14:paraId="75D9E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42" w:type="dxa"/>
          </w:tcPr>
          <w:p w14:paraId="493B79EF">
            <w:pPr>
              <w:rPr>
                <w:rFonts w:ascii="宋体" w:hAnsi="宋体" w:cs="宋体"/>
                <w:sz w:val="24"/>
                <w:szCs w:val="24"/>
              </w:rPr>
            </w:pPr>
          </w:p>
        </w:tc>
        <w:tc>
          <w:tcPr>
            <w:tcW w:w="2877" w:type="dxa"/>
          </w:tcPr>
          <w:p w14:paraId="46C29D34">
            <w:pPr>
              <w:rPr>
                <w:rFonts w:ascii="宋体" w:hAnsi="宋体" w:cs="宋体"/>
                <w:sz w:val="24"/>
                <w:szCs w:val="24"/>
              </w:rPr>
            </w:pPr>
          </w:p>
        </w:tc>
        <w:tc>
          <w:tcPr>
            <w:tcW w:w="1758" w:type="dxa"/>
          </w:tcPr>
          <w:p w14:paraId="30E40495">
            <w:pPr>
              <w:rPr>
                <w:rFonts w:ascii="宋体" w:hAnsi="宋体" w:cs="宋体"/>
                <w:sz w:val="24"/>
                <w:szCs w:val="24"/>
              </w:rPr>
            </w:pPr>
          </w:p>
        </w:tc>
        <w:tc>
          <w:tcPr>
            <w:tcW w:w="1196" w:type="dxa"/>
          </w:tcPr>
          <w:p w14:paraId="05714D4E">
            <w:pPr>
              <w:rPr>
                <w:rFonts w:ascii="宋体" w:hAnsi="宋体" w:cs="宋体"/>
                <w:sz w:val="24"/>
                <w:szCs w:val="24"/>
              </w:rPr>
            </w:pPr>
          </w:p>
        </w:tc>
        <w:tc>
          <w:tcPr>
            <w:tcW w:w="1125" w:type="dxa"/>
          </w:tcPr>
          <w:p w14:paraId="30322B2A">
            <w:pPr>
              <w:rPr>
                <w:rFonts w:ascii="宋体" w:hAnsi="宋体" w:cs="宋体"/>
                <w:sz w:val="24"/>
                <w:szCs w:val="24"/>
              </w:rPr>
            </w:pPr>
          </w:p>
        </w:tc>
        <w:tc>
          <w:tcPr>
            <w:tcW w:w="1024" w:type="dxa"/>
          </w:tcPr>
          <w:p w14:paraId="40AF2312">
            <w:pPr>
              <w:rPr>
                <w:rFonts w:ascii="宋体" w:hAnsi="宋体" w:cs="宋体"/>
                <w:sz w:val="24"/>
                <w:szCs w:val="24"/>
              </w:rPr>
            </w:pPr>
          </w:p>
        </w:tc>
      </w:tr>
      <w:tr w14:paraId="1161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42" w:type="dxa"/>
          </w:tcPr>
          <w:p w14:paraId="7587AD9B">
            <w:pPr>
              <w:rPr>
                <w:rFonts w:ascii="宋体" w:hAnsi="宋体" w:cs="宋体"/>
                <w:sz w:val="24"/>
                <w:szCs w:val="24"/>
              </w:rPr>
            </w:pPr>
          </w:p>
        </w:tc>
        <w:tc>
          <w:tcPr>
            <w:tcW w:w="2877" w:type="dxa"/>
          </w:tcPr>
          <w:p w14:paraId="3B4B48A3">
            <w:pPr>
              <w:rPr>
                <w:rFonts w:ascii="宋体" w:hAnsi="宋体" w:cs="宋体"/>
                <w:sz w:val="24"/>
                <w:szCs w:val="24"/>
              </w:rPr>
            </w:pPr>
          </w:p>
        </w:tc>
        <w:tc>
          <w:tcPr>
            <w:tcW w:w="1758" w:type="dxa"/>
          </w:tcPr>
          <w:p w14:paraId="5A34A614">
            <w:pPr>
              <w:rPr>
                <w:rFonts w:ascii="宋体" w:hAnsi="宋体" w:cs="宋体"/>
                <w:sz w:val="24"/>
                <w:szCs w:val="24"/>
              </w:rPr>
            </w:pPr>
          </w:p>
        </w:tc>
        <w:tc>
          <w:tcPr>
            <w:tcW w:w="1196" w:type="dxa"/>
          </w:tcPr>
          <w:p w14:paraId="71BAA2AC">
            <w:pPr>
              <w:rPr>
                <w:rFonts w:ascii="宋体" w:hAnsi="宋体" w:cs="宋体"/>
                <w:sz w:val="24"/>
                <w:szCs w:val="24"/>
              </w:rPr>
            </w:pPr>
          </w:p>
        </w:tc>
        <w:tc>
          <w:tcPr>
            <w:tcW w:w="1125" w:type="dxa"/>
          </w:tcPr>
          <w:p w14:paraId="7930BF6D">
            <w:pPr>
              <w:rPr>
                <w:rFonts w:ascii="宋体" w:hAnsi="宋体" w:cs="宋体"/>
                <w:sz w:val="24"/>
                <w:szCs w:val="24"/>
              </w:rPr>
            </w:pPr>
          </w:p>
        </w:tc>
        <w:tc>
          <w:tcPr>
            <w:tcW w:w="1024" w:type="dxa"/>
          </w:tcPr>
          <w:p w14:paraId="2BC8E0D8">
            <w:pPr>
              <w:rPr>
                <w:rFonts w:ascii="宋体" w:hAnsi="宋体" w:cs="宋体"/>
                <w:sz w:val="24"/>
                <w:szCs w:val="24"/>
              </w:rPr>
            </w:pPr>
          </w:p>
        </w:tc>
      </w:tr>
      <w:tr w14:paraId="6690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42" w:type="dxa"/>
          </w:tcPr>
          <w:p w14:paraId="190FA1BE">
            <w:pPr>
              <w:rPr>
                <w:rFonts w:ascii="宋体" w:hAnsi="宋体" w:cs="宋体"/>
                <w:sz w:val="24"/>
                <w:szCs w:val="24"/>
              </w:rPr>
            </w:pPr>
          </w:p>
        </w:tc>
        <w:tc>
          <w:tcPr>
            <w:tcW w:w="2877" w:type="dxa"/>
          </w:tcPr>
          <w:p w14:paraId="67471946">
            <w:pPr>
              <w:rPr>
                <w:rFonts w:ascii="宋体" w:hAnsi="宋体" w:cs="宋体"/>
                <w:sz w:val="24"/>
                <w:szCs w:val="24"/>
              </w:rPr>
            </w:pPr>
          </w:p>
        </w:tc>
        <w:tc>
          <w:tcPr>
            <w:tcW w:w="1758" w:type="dxa"/>
          </w:tcPr>
          <w:p w14:paraId="62FF7C7A">
            <w:pPr>
              <w:rPr>
                <w:rFonts w:ascii="宋体" w:hAnsi="宋体" w:cs="宋体"/>
                <w:sz w:val="24"/>
                <w:szCs w:val="24"/>
              </w:rPr>
            </w:pPr>
          </w:p>
        </w:tc>
        <w:tc>
          <w:tcPr>
            <w:tcW w:w="1196" w:type="dxa"/>
          </w:tcPr>
          <w:p w14:paraId="2BB9E1FF">
            <w:pPr>
              <w:rPr>
                <w:rFonts w:ascii="宋体" w:hAnsi="宋体" w:cs="宋体"/>
                <w:sz w:val="24"/>
                <w:szCs w:val="24"/>
              </w:rPr>
            </w:pPr>
          </w:p>
        </w:tc>
        <w:tc>
          <w:tcPr>
            <w:tcW w:w="1125" w:type="dxa"/>
          </w:tcPr>
          <w:p w14:paraId="3BCF8253">
            <w:pPr>
              <w:rPr>
                <w:rFonts w:ascii="宋体" w:hAnsi="宋体" w:cs="宋体"/>
                <w:sz w:val="24"/>
                <w:szCs w:val="24"/>
              </w:rPr>
            </w:pPr>
          </w:p>
        </w:tc>
        <w:tc>
          <w:tcPr>
            <w:tcW w:w="1024" w:type="dxa"/>
          </w:tcPr>
          <w:p w14:paraId="20514A6D">
            <w:pPr>
              <w:rPr>
                <w:rFonts w:ascii="宋体" w:hAnsi="宋体" w:cs="宋体"/>
                <w:sz w:val="24"/>
                <w:szCs w:val="24"/>
              </w:rPr>
            </w:pPr>
          </w:p>
        </w:tc>
      </w:tr>
      <w:tr w14:paraId="042B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42" w:type="dxa"/>
          </w:tcPr>
          <w:p w14:paraId="161863BD">
            <w:pPr>
              <w:rPr>
                <w:rFonts w:ascii="宋体" w:hAnsi="宋体" w:cs="宋体"/>
                <w:sz w:val="24"/>
                <w:szCs w:val="24"/>
              </w:rPr>
            </w:pPr>
          </w:p>
        </w:tc>
        <w:tc>
          <w:tcPr>
            <w:tcW w:w="2877" w:type="dxa"/>
          </w:tcPr>
          <w:p w14:paraId="27670DE1">
            <w:pPr>
              <w:rPr>
                <w:rFonts w:ascii="宋体" w:hAnsi="宋体" w:cs="宋体"/>
                <w:sz w:val="24"/>
                <w:szCs w:val="24"/>
              </w:rPr>
            </w:pPr>
          </w:p>
        </w:tc>
        <w:tc>
          <w:tcPr>
            <w:tcW w:w="1758" w:type="dxa"/>
          </w:tcPr>
          <w:p w14:paraId="4D6DEFFC">
            <w:pPr>
              <w:rPr>
                <w:rFonts w:ascii="宋体" w:hAnsi="宋体" w:cs="宋体"/>
                <w:sz w:val="24"/>
                <w:szCs w:val="24"/>
              </w:rPr>
            </w:pPr>
          </w:p>
        </w:tc>
        <w:tc>
          <w:tcPr>
            <w:tcW w:w="1196" w:type="dxa"/>
          </w:tcPr>
          <w:p w14:paraId="32D71237">
            <w:pPr>
              <w:rPr>
                <w:rFonts w:ascii="宋体" w:hAnsi="宋体" w:cs="宋体"/>
                <w:sz w:val="24"/>
                <w:szCs w:val="24"/>
              </w:rPr>
            </w:pPr>
          </w:p>
        </w:tc>
        <w:tc>
          <w:tcPr>
            <w:tcW w:w="1125" w:type="dxa"/>
          </w:tcPr>
          <w:p w14:paraId="52EA104A">
            <w:pPr>
              <w:rPr>
                <w:rFonts w:ascii="宋体" w:hAnsi="宋体" w:cs="宋体"/>
                <w:sz w:val="24"/>
                <w:szCs w:val="24"/>
              </w:rPr>
            </w:pPr>
          </w:p>
        </w:tc>
        <w:tc>
          <w:tcPr>
            <w:tcW w:w="1024" w:type="dxa"/>
          </w:tcPr>
          <w:p w14:paraId="0D5ADB2C">
            <w:pPr>
              <w:rPr>
                <w:rFonts w:ascii="宋体" w:hAnsi="宋体" w:cs="宋体"/>
                <w:sz w:val="24"/>
                <w:szCs w:val="24"/>
              </w:rPr>
            </w:pPr>
          </w:p>
        </w:tc>
      </w:tr>
      <w:tr w14:paraId="2D2D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42" w:type="dxa"/>
          </w:tcPr>
          <w:p w14:paraId="075C0C85">
            <w:pPr>
              <w:rPr>
                <w:rFonts w:ascii="宋体" w:hAnsi="宋体" w:cs="宋体"/>
                <w:sz w:val="24"/>
                <w:szCs w:val="24"/>
              </w:rPr>
            </w:pPr>
          </w:p>
        </w:tc>
        <w:tc>
          <w:tcPr>
            <w:tcW w:w="2877" w:type="dxa"/>
          </w:tcPr>
          <w:p w14:paraId="7AE14E3B">
            <w:pPr>
              <w:rPr>
                <w:rFonts w:ascii="宋体" w:hAnsi="宋体" w:cs="宋体"/>
                <w:sz w:val="24"/>
                <w:szCs w:val="24"/>
              </w:rPr>
            </w:pPr>
          </w:p>
        </w:tc>
        <w:tc>
          <w:tcPr>
            <w:tcW w:w="1758" w:type="dxa"/>
          </w:tcPr>
          <w:p w14:paraId="34DA6E02">
            <w:pPr>
              <w:rPr>
                <w:rFonts w:ascii="宋体" w:hAnsi="宋体" w:cs="宋体"/>
                <w:sz w:val="24"/>
                <w:szCs w:val="24"/>
              </w:rPr>
            </w:pPr>
          </w:p>
        </w:tc>
        <w:tc>
          <w:tcPr>
            <w:tcW w:w="1196" w:type="dxa"/>
          </w:tcPr>
          <w:p w14:paraId="236121CF">
            <w:pPr>
              <w:rPr>
                <w:rFonts w:ascii="宋体" w:hAnsi="宋体" w:cs="宋体"/>
                <w:sz w:val="24"/>
                <w:szCs w:val="24"/>
              </w:rPr>
            </w:pPr>
          </w:p>
        </w:tc>
        <w:tc>
          <w:tcPr>
            <w:tcW w:w="1125" w:type="dxa"/>
          </w:tcPr>
          <w:p w14:paraId="7C9B42F1">
            <w:pPr>
              <w:rPr>
                <w:rFonts w:ascii="宋体" w:hAnsi="宋体" w:cs="宋体"/>
                <w:sz w:val="24"/>
                <w:szCs w:val="24"/>
              </w:rPr>
            </w:pPr>
          </w:p>
        </w:tc>
        <w:tc>
          <w:tcPr>
            <w:tcW w:w="1024" w:type="dxa"/>
          </w:tcPr>
          <w:p w14:paraId="7548C9D3">
            <w:pPr>
              <w:rPr>
                <w:rFonts w:ascii="宋体" w:hAnsi="宋体" w:cs="宋体"/>
                <w:sz w:val="24"/>
                <w:szCs w:val="24"/>
              </w:rPr>
            </w:pPr>
          </w:p>
        </w:tc>
      </w:tr>
      <w:tr w14:paraId="2F0B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42" w:type="dxa"/>
          </w:tcPr>
          <w:p w14:paraId="0CD90B0C">
            <w:pPr>
              <w:rPr>
                <w:rFonts w:ascii="宋体" w:hAnsi="宋体" w:cs="宋体"/>
                <w:sz w:val="24"/>
                <w:szCs w:val="24"/>
              </w:rPr>
            </w:pPr>
          </w:p>
        </w:tc>
        <w:tc>
          <w:tcPr>
            <w:tcW w:w="2877" w:type="dxa"/>
          </w:tcPr>
          <w:p w14:paraId="424737EA">
            <w:pPr>
              <w:rPr>
                <w:rFonts w:ascii="宋体" w:hAnsi="宋体" w:cs="宋体"/>
                <w:sz w:val="24"/>
                <w:szCs w:val="24"/>
              </w:rPr>
            </w:pPr>
          </w:p>
        </w:tc>
        <w:tc>
          <w:tcPr>
            <w:tcW w:w="1758" w:type="dxa"/>
          </w:tcPr>
          <w:p w14:paraId="57BCDADE">
            <w:pPr>
              <w:rPr>
                <w:rFonts w:ascii="宋体" w:hAnsi="宋体" w:cs="宋体"/>
                <w:sz w:val="24"/>
                <w:szCs w:val="24"/>
              </w:rPr>
            </w:pPr>
          </w:p>
        </w:tc>
        <w:tc>
          <w:tcPr>
            <w:tcW w:w="1196" w:type="dxa"/>
          </w:tcPr>
          <w:p w14:paraId="69BEA2DA">
            <w:pPr>
              <w:rPr>
                <w:rFonts w:ascii="宋体" w:hAnsi="宋体" w:cs="宋体"/>
                <w:sz w:val="24"/>
                <w:szCs w:val="24"/>
              </w:rPr>
            </w:pPr>
          </w:p>
        </w:tc>
        <w:tc>
          <w:tcPr>
            <w:tcW w:w="1125" w:type="dxa"/>
          </w:tcPr>
          <w:p w14:paraId="426746F2">
            <w:pPr>
              <w:rPr>
                <w:rFonts w:ascii="宋体" w:hAnsi="宋体" w:cs="宋体"/>
                <w:sz w:val="24"/>
                <w:szCs w:val="24"/>
              </w:rPr>
            </w:pPr>
          </w:p>
        </w:tc>
        <w:tc>
          <w:tcPr>
            <w:tcW w:w="1024" w:type="dxa"/>
          </w:tcPr>
          <w:p w14:paraId="4E2DDB4E">
            <w:pPr>
              <w:rPr>
                <w:rFonts w:ascii="宋体" w:hAnsi="宋体" w:cs="宋体"/>
                <w:sz w:val="24"/>
                <w:szCs w:val="24"/>
              </w:rPr>
            </w:pPr>
          </w:p>
        </w:tc>
      </w:tr>
    </w:tbl>
    <w:p w14:paraId="196117F9">
      <w:pPr>
        <w:rPr>
          <w:rFonts w:ascii="宋体" w:hAnsi="宋体" w:cs="宋体"/>
          <w:szCs w:val="21"/>
        </w:rPr>
      </w:pPr>
    </w:p>
    <w:p w14:paraId="56BDAB66">
      <w:pPr>
        <w:spacing w:line="500" w:lineRule="exact"/>
        <w:ind w:left="158" w:hanging="158" w:hangingChars="75"/>
        <w:rPr>
          <w:rFonts w:ascii="宋体" w:hAnsi="宋体" w:cs="宋体"/>
          <w:szCs w:val="21"/>
        </w:rPr>
      </w:pPr>
      <w:r>
        <w:rPr>
          <w:rFonts w:hint="eastAsia" w:ascii="宋体" w:hAnsi="宋体" w:cs="宋体"/>
          <w:b/>
          <w:szCs w:val="21"/>
        </w:rPr>
        <w:t>注：</w:t>
      </w:r>
      <w:r>
        <w:rPr>
          <w:rFonts w:hint="eastAsia" w:ascii="宋体" w:hAnsi="宋体" w:cs="宋体"/>
          <w:szCs w:val="21"/>
        </w:rPr>
        <w:t xml:space="preserve"> 1.供应商应在备注栏内填写项目进展情况；</w:t>
      </w:r>
    </w:p>
    <w:p w14:paraId="26EF54F4">
      <w:pPr>
        <w:ind w:firstLine="630" w:firstLineChars="300"/>
        <w:rPr>
          <w:rFonts w:ascii="宋体" w:hAnsi="宋体" w:cs="宋体"/>
          <w:szCs w:val="21"/>
        </w:rPr>
      </w:pPr>
      <w:r>
        <w:rPr>
          <w:rFonts w:hint="eastAsia" w:ascii="宋体" w:hAnsi="宋体" w:cs="宋体"/>
          <w:szCs w:val="21"/>
        </w:rPr>
        <w:t>2.本表后附相关业绩证明材料（合同扫描件）。</w:t>
      </w:r>
    </w:p>
    <w:p w14:paraId="608B83A7">
      <w:pPr>
        <w:keepNext/>
        <w:keepLines/>
        <w:widowControl w:val="0"/>
        <w:spacing w:before="260" w:after="260" w:line="413" w:lineRule="auto"/>
        <w:jc w:val="center"/>
        <w:outlineLvl w:val="9"/>
        <w:rPr>
          <w:rFonts w:ascii="宋体" w:hAnsi="宋体" w:eastAsia="宋体" w:cs="Times New Roman"/>
          <w:b/>
          <w:snapToGrid w:val="0"/>
          <w:kern w:val="0"/>
          <w:sz w:val="24"/>
          <w:szCs w:val="24"/>
          <w:lang w:val="en-US" w:eastAsia="zh-CN" w:bidi="ar-SA"/>
        </w:rPr>
      </w:pPr>
    </w:p>
    <w:p w14:paraId="676D0843">
      <w:pPr>
        <w:keepNext/>
        <w:keepLines/>
        <w:widowControl w:val="0"/>
        <w:spacing w:before="260" w:after="260" w:line="413" w:lineRule="auto"/>
        <w:jc w:val="center"/>
        <w:outlineLvl w:val="9"/>
        <w:rPr>
          <w:rFonts w:ascii="宋体" w:hAnsi="宋体" w:eastAsia="宋体" w:cs="Times New Roman"/>
          <w:b/>
          <w:snapToGrid w:val="0"/>
          <w:kern w:val="0"/>
          <w:sz w:val="24"/>
          <w:szCs w:val="24"/>
          <w:lang w:val="en-US" w:eastAsia="zh-CN" w:bidi="ar-SA"/>
        </w:rPr>
      </w:pPr>
    </w:p>
    <w:p w14:paraId="121422CD">
      <w:pPr>
        <w:rPr>
          <w:rFonts w:ascii="宋体" w:hAnsi="宋体"/>
          <w:b/>
          <w:snapToGrid w:val="0"/>
          <w:sz w:val="24"/>
          <w:szCs w:val="24"/>
        </w:rPr>
      </w:pPr>
    </w:p>
    <w:p w14:paraId="09463800">
      <w:pPr>
        <w:pStyle w:val="19"/>
      </w:pPr>
    </w:p>
    <w:p w14:paraId="28AE624E"/>
    <w:p w14:paraId="634DBF35"/>
    <w:p w14:paraId="17E47AB2"/>
    <w:p w14:paraId="334E6CB4"/>
    <w:p w14:paraId="47D3DCC1"/>
    <w:p w14:paraId="4479AA34"/>
    <w:p w14:paraId="0298E80A">
      <w:pPr>
        <w:pStyle w:val="3"/>
        <w:jc w:val="center"/>
        <w:outlineLvl w:val="0"/>
      </w:pPr>
      <w:bookmarkStart w:id="118" w:name="_Toc30900"/>
      <w:r>
        <w:rPr>
          <w:rFonts w:hint="eastAsia" w:ascii="宋体" w:hAnsi="宋体"/>
          <w:b/>
          <w:snapToGrid w:val="0"/>
          <w:sz w:val="24"/>
          <w:szCs w:val="24"/>
        </w:rPr>
        <w:t>八、招标文件中要求提供及供应商认为需要提供的其他商务资料</w:t>
      </w:r>
      <w:bookmarkEnd w:id="118"/>
    </w:p>
    <w:p w14:paraId="2724AEE4">
      <w:pPr>
        <w:overflowPunct w:val="0"/>
        <w:topLinePunct/>
        <w:autoSpaceDN w:val="0"/>
        <w:adjustRightInd w:val="0"/>
        <w:snapToGrid w:val="0"/>
        <w:spacing w:line="360" w:lineRule="auto"/>
        <w:jc w:val="center"/>
        <w:outlineLvl w:val="9"/>
        <w:rPr>
          <w:rFonts w:ascii="宋体" w:hAnsi="宋体"/>
          <w:bCs/>
          <w:snapToGrid w:val="0"/>
          <w:kern w:val="0"/>
          <w:sz w:val="24"/>
          <w:szCs w:val="24"/>
        </w:rPr>
      </w:pPr>
      <w:bookmarkStart w:id="119" w:name="_Toc8421"/>
      <w:r>
        <w:rPr>
          <w:rFonts w:hint="eastAsia" w:ascii="宋体" w:hAnsi="宋体"/>
          <w:bCs/>
          <w:snapToGrid w:val="0"/>
          <w:kern w:val="0"/>
          <w:sz w:val="24"/>
          <w:szCs w:val="24"/>
        </w:rPr>
        <w:t>附投标保证金凭证等</w:t>
      </w:r>
    </w:p>
    <w:p w14:paraId="48FCEDCE">
      <w:pPr>
        <w:overflowPunct w:val="0"/>
        <w:topLinePunct/>
        <w:autoSpaceDN w:val="0"/>
        <w:adjustRightInd w:val="0"/>
        <w:snapToGrid w:val="0"/>
        <w:spacing w:line="360" w:lineRule="auto"/>
        <w:jc w:val="center"/>
        <w:outlineLvl w:val="9"/>
        <w:rPr>
          <w:rFonts w:ascii="宋体" w:hAnsi="宋体"/>
          <w:b/>
          <w:snapToGrid w:val="0"/>
          <w:kern w:val="0"/>
          <w:sz w:val="24"/>
          <w:szCs w:val="24"/>
        </w:rPr>
      </w:pPr>
    </w:p>
    <w:p w14:paraId="2A6FA642">
      <w:pPr>
        <w:pStyle w:val="19"/>
      </w:pPr>
    </w:p>
    <w:p w14:paraId="7863033C">
      <w:pPr>
        <w:overflowPunct w:val="0"/>
        <w:topLinePunct/>
        <w:autoSpaceDN w:val="0"/>
        <w:adjustRightInd w:val="0"/>
        <w:snapToGrid w:val="0"/>
        <w:spacing w:line="360" w:lineRule="auto"/>
        <w:jc w:val="center"/>
        <w:outlineLvl w:val="9"/>
        <w:rPr>
          <w:rFonts w:ascii="宋体" w:hAnsi="宋体"/>
          <w:b/>
          <w:snapToGrid w:val="0"/>
          <w:kern w:val="0"/>
          <w:sz w:val="24"/>
          <w:szCs w:val="24"/>
        </w:rPr>
      </w:pPr>
    </w:p>
    <w:p w14:paraId="7C04AA57">
      <w:pPr>
        <w:overflowPunct w:val="0"/>
        <w:topLinePunct/>
        <w:autoSpaceDN w:val="0"/>
        <w:adjustRightInd w:val="0"/>
        <w:snapToGrid w:val="0"/>
        <w:spacing w:line="360" w:lineRule="auto"/>
        <w:jc w:val="center"/>
        <w:outlineLvl w:val="9"/>
        <w:rPr>
          <w:rFonts w:ascii="宋体" w:hAnsi="宋体"/>
          <w:b/>
          <w:snapToGrid w:val="0"/>
          <w:kern w:val="0"/>
          <w:sz w:val="24"/>
          <w:szCs w:val="24"/>
        </w:rPr>
      </w:pPr>
    </w:p>
    <w:p w14:paraId="4B77269D">
      <w:pPr>
        <w:overflowPunct w:val="0"/>
        <w:topLinePunct/>
        <w:autoSpaceDN w:val="0"/>
        <w:adjustRightInd w:val="0"/>
        <w:snapToGrid w:val="0"/>
        <w:spacing w:line="360" w:lineRule="auto"/>
        <w:jc w:val="center"/>
        <w:outlineLvl w:val="9"/>
        <w:rPr>
          <w:rFonts w:ascii="宋体" w:hAnsi="宋体"/>
          <w:b/>
          <w:snapToGrid w:val="0"/>
          <w:kern w:val="0"/>
          <w:sz w:val="24"/>
          <w:szCs w:val="24"/>
        </w:rPr>
      </w:pPr>
    </w:p>
    <w:p w14:paraId="40925CEC">
      <w:pPr>
        <w:overflowPunct w:val="0"/>
        <w:topLinePunct/>
        <w:autoSpaceDN w:val="0"/>
        <w:adjustRightInd w:val="0"/>
        <w:snapToGrid w:val="0"/>
        <w:spacing w:line="360" w:lineRule="auto"/>
        <w:jc w:val="center"/>
        <w:outlineLvl w:val="9"/>
        <w:rPr>
          <w:rFonts w:ascii="宋体" w:hAnsi="宋体"/>
          <w:b/>
          <w:snapToGrid w:val="0"/>
          <w:kern w:val="0"/>
          <w:sz w:val="24"/>
          <w:szCs w:val="24"/>
        </w:rPr>
      </w:pPr>
    </w:p>
    <w:p w14:paraId="1F3A39D0">
      <w:pPr>
        <w:overflowPunct w:val="0"/>
        <w:topLinePunct/>
        <w:autoSpaceDN w:val="0"/>
        <w:adjustRightInd w:val="0"/>
        <w:snapToGrid w:val="0"/>
        <w:spacing w:line="360" w:lineRule="auto"/>
        <w:jc w:val="center"/>
        <w:outlineLvl w:val="9"/>
        <w:rPr>
          <w:rFonts w:ascii="宋体" w:hAnsi="宋体"/>
          <w:b/>
          <w:snapToGrid w:val="0"/>
          <w:kern w:val="0"/>
          <w:sz w:val="24"/>
          <w:szCs w:val="24"/>
        </w:rPr>
      </w:pPr>
    </w:p>
    <w:p w14:paraId="2190C87D">
      <w:pPr>
        <w:overflowPunct w:val="0"/>
        <w:topLinePunct/>
        <w:autoSpaceDN w:val="0"/>
        <w:adjustRightInd w:val="0"/>
        <w:snapToGrid w:val="0"/>
        <w:spacing w:line="360" w:lineRule="auto"/>
        <w:jc w:val="center"/>
        <w:outlineLvl w:val="9"/>
        <w:rPr>
          <w:rFonts w:ascii="宋体" w:hAnsi="宋体"/>
          <w:b/>
          <w:snapToGrid w:val="0"/>
          <w:kern w:val="0"/>
          <w:sz w:val="24"/>
          <w:szCs w:val="24"/>
        </w:rPr>
      </w:pPr>
    </w:p>
    <w:p w14:paraId="16FA9CA3">
      <w:pPr>
        <w:overflowPunct w:val="0"/>
        <w:topLinePunct/>
        <w:autoSpaceDN w:val="0"/>
        <w:adjustRightInd w:val="0"/>
        <w:snapToGrid w:val="0"/>
        <w:spacing w:line="360" w:lineRule="auto"/>
        <w:jc w:val="center"/>
        <w:outlineLvl w:val="9"/>
        <w:rPr>
          <w:rFonts w:ascii="宋体" w:hAnsi="宋体"/>
          <w:b/>
          <w:snapToGrid w:val="0"/>
          <w:kern w:val="0"/>
          <w:sz w:val="24"/>
          <w:szCs w:val="24"/>
        </w:rPr>
      </w:pPr>
    </w:p>
    <w:p w14:paraId="3B9137A0">
      <w:pPr>
        <w:overflowPunct w:val="0"/>
        <w:topLinePunct/>
        <w:autoSpaceDN w:val="0"/>
        <w:adjustRightInd w:val="0"/>
        <w:snapToGrid w:val="0"/>
        <w:spacing w:line="360" w:lineRule="auto"/>
        <w:jc w:val="center"/>
        <w:outlineLvl w:val="9"/>
        <w:rPr>
          <w:rFonts w:ascii="宋体" w:hAnsi="宋体"/>
          <w:b/>
          <w:snapToGrid w:val="0"/>
          <w:kern w:val="0"/>
          <w:sz w:val="24"/>
          <w:szCs w:val="24"/>
        </w:rPr>
      </w:pPr>
    </w:p>
    <w:p w14:paraId="4EF7A7A0">
      <w:pPr>
        <w:overflowPunct w:val="0"/>
        <w:topLinePunct/>
        <w:autoSpaceDN w:val="0"/>
        <w:adjustRightInd w:val="0"/>
        <w:snapToGrid w:val="0"/>
        <w:spacing w:line="360" w:lineRule="auto"/>
        <w:jc w:val="center"/>
        <w:outlineLvl w:val="9"/>
        <w:rPr>
          <w:rFonts w:ascii="宋体" w:hAnsi="宋体"/>
          <w:b/>
          <w:snapToGrid w:val="0"/>
          <w:kern w:val="0"/>
          <w:sz w:val="24"/>
          <w:szCs w:val="24"/>
        </w:rPr>
      </w:pPr>
    </w:p>
    <w:p w14:paraId="0A9623BA">
      <w:pPr>
        <w:overflowPunct w:val="0"/>
        <w:topLinePunct/>
        <w:autoSpaceDN w:val="0"/>
        <w:adjustRightInd w:val="0"/>
        <w:snapToGrid w:val="0"/>
        <w:spacing w:line="360" w:lineRule="auto"/>
        <w:jc w:val="center"/>
        <w:outlineLvl w:val="9"/>
        <w:rPr>
          <w:rFonts w:ascii="宋体" w:hAnsi="宋体"/>
          <w:b/>
          <w:snapToGrid w:val="0"/>
          <w:kern w:val="0"/>
          <w:sz w:val="24"/>
          <w:szCs w:val="24"/>
        </w:rPr>
      </w:pPr>
    </w:p>
    <w:p w14:paraId="55035F90">
      <w:pPr>
        <w:overflowPunct w:val="0"/>
        <w:topLinePunct/>
        <w:autoSpaceDN w:val="0"/>
        <w:adjustRightInd w:val="0"/>
        <w:snapToGrid w:val="0"/>
        <w:spacing w:line="360" w:lineRule="auto"/>
        <w:jc w:val="center"/>
        <w:outlineLvl w:val="9"/>
        <w:rPr>
          <w:rFonts w:ascii="宋体" w:hAnsi="宋体"/>
          <w:b/>
          <w:snapToGrid w:val="0"/>
          <w:kern w:val="0"/>
          <w:sz w:val="24"/>
          <w:szCs w:val="24"/>
        </w:rPr>
      </w:pPr>
    </w:p>
    <w:p w14:paraId="067E3727">
      <w:pPr>
        <w:overflowPunct w:val="0"/>
        <w:topLinePunct/>
        <w:autoSpaceDN w:val="0"/>
        <w:adjustRightInd w:val="0"/>
        <w:snapToGrid w:val="0"/>
        <w:spacing w:line="360" w:lineRule="auto"/>
        <w:jc w:val="center"/>
        <w:outlineLvl w:val="9"/>
        <w:rPr>
          <w:rFonts w:ascii="宋体" w:hAnsi="宋体"/>
          <w:b/>
          <w:snapToGrid w:val="0"/>
          <w:kern w:val="0"/>
          <w:sz w:val="24"/>
          <w:szCs w:val="24"/>
        </w:rPr>
      </w:pPr>
    </w:p>
    <w:p w14:paraId="3CD46316">
      <w:pPr>
        <w:overflowPunct w:val="0"/>
        <w:topLinePunct/>
        <w:autoSpaceDN w:val="0"/>
        <w:adjustRightInd w:val="0"/>
        <w:snapToGrid w:val="0"/>
        <w:spacing w:line="360" w:lineRule="auto"/>
        <w:jc w:val="center"/>
        <w:outlineLvl w:val="9"/>
        <w:rPr>
          <w:rFonts w:ascii="宋体" w:hAnsi="宋体"/>
          <w:b/>
          <w:snapToGrid w:val="0"/>
          <w:kern w:val="0"/>
          <w:sz w:val="24"/>
          <w:szCs w:val="24"/>
        </w:rPr>
      </w:pPr>
    </w:p>
    <w:p w14:paraId="7BB5131C">
      <w:pPr>
        <w:overflowPunct w:val="0"/>
        <w:topLinePunct/>
        <w:autoSpaceDN w:val="0"/>
        <w:adjustRightInd w:val="0"/>
        <w:snapToGrid w:val="0"/>
        <w:spacing w:line="360" w:lineRule="auto"/>
        <w:jc w:val="center"/>
        <w:outlineLvl w:val="9"/>
        <w:rPr>
          <w:rFonts w:ascii="宋体" w:hAnsi="宋体"/>
          <w:b/>
          <w:snapToGrid w:val="0"/>
          <w:kern w:val="0"/>
          <w:sz w:val="24"/>
          <w:szCs w:val="24"/>
        </w:rPr>
      </w:pPr>
    </w:p>
    <w:p w14:paraId="2684D580">
      <w:pPr>
        <w:overflowPunct w:val="0"/>
        <w:topLinePunct/>
        <w:autoSpaceDN w:val="0"/>
        <w:adjustRightInd w:val="0"/>
        <w:snapToGrid w:val="0"/>
        <w:spacing w:line="360" w:lineRule="auto"/>
        <w:jc w:val="center"/>
        <w:outlineLvl w:val="9"/>
        <w:rPr>
          <w:rFonts w:ascii="宋体" w:hAnsi="宋体"/>
          <w:b/>
          <w:snapToGrid w:val="0"/>
          <w:kern w:val="0"/>
          <w:sz w:val="24"/>
          <w:szCs w:val="24"/>
        </w:rPr>
      </w:pPr>
    </w:p>
    <w:p w14:paraId="12A9D739">
      <w:pPr>
        <w:overflowPunct w:val="0"/>
        <w:topLinePunct/>
        <w:autoSpaceDN w:val="0"/>
        <w:adjustRightInd w:val="0"/>
        <w:snapToGrid w:val="0"/>
        <w:spacing w:line="360" w:lineRule="auto"/>
        <w:jc w:val="center"/>
        <w:outlineLvl w:val="9"/>
        <w:rPr>
          <w:rFonts w:ascii="宋体" w:hAnsi="宋体"/>
          <w:b/>
          <w:snapToGrid w:val="0"/>
          <w:kern w:val="0"/>
          <w:sz w:val="24"/>
          <w:szCs w:val="24"/>
        </w:rPr>
      </w:pPr>
    </w:p>
    <w:p w14:paraId="24D3B484">
      <w:pPr>
        <w:overflowPunct w:val="0"/>
        <w:topLinePunct/>
        <w:autoSpaceDN w:val="0"/>
        <w:adjustRightInd w:val="0"/>
        <w:snapToGrid w:val="0"/>
        <w:spacing w:line="360" w:lineRule="auto"/>
        <w:jc w:val="center"/>
        <w:outlineLvl w:val="9"/>
        <w:rPr>
          <w:rFonts w:ascii="宋体" w:hAnsi="宋体"/>
          <w:b/>
          <w:snapToGrid w:val="0"/>
          <w:kern w:val="0"/>
          <w:sz w:val="24"/>
          <w:szCs w:val="24"/>
        </w:rPr>
      </w:pPr>
    </w:p>
    <w:p w14:paraId="4FC31011">
      <w:pPr>
        <w:overflowPunct w:val="0"/>
        <w:topLinePunct/>
        <w:autoSpaceDN w:val="0"/>
        <w:adjustRightInd w:val="0"/>
        <w:snapToGrid w:val="0"/>
        <w:spacing w:line="360" w:lineRule="auto"/>
        <w:jc w:val="center"/>
        <w:outlineLvl w:val="9"/>
        <w:rPr>
          <w:rFonts w:ascii="宋体" w:hAnsi="宋体"/>
          <w:b/>
          <w:snapToGrid w:val="0"/>
          <w:kern w:val="0"/>
          <w:sz w:val="24"/>
          <w:szCs w:val="24"/>
        </w:rPr>
      </w:pPr>
    </w:p>
    <w:p w14:paraId="2E34AB2F">
      <w:pPr>
        <w:overflowPunct w:val="0"/>
        <w:topLinePunct/>
        <w:autoSpaceDN w:val="0"/>
        <w:adjustRightInd w:val="0"/>
        <w:snapToGrid w:val="0"/>
        <w:spacing w:line="360" w:lineRule="auto"/>
        <w:jc w:val="center"/>
        <w:outlineLvl w:val="9"/>
        <w:rPr>
          <w:rFonts w:ascii="宋体" w:hAnsi="宋体"/>
          <w:b/>
          <w:snapToGrid w:val="0"/>
          <w:kern w:val="0"/>
          <w:sz w:val="24"/>
          <w:szCs w:val="24"/>
        </w:rPr>
      </w:pPr>
    </w:p>
    <w:p w14:paraId="3016BB01">
      <w:pPr>
        <w:overflowPunct w:val="0"/>
        <w:topLinePunct/>
        <w:autoSpaceDN w:val="0"/>
        <w:adjustRightInd w:val="0"/>
        <w:snapToGrid w:val="0"/>
        <w:spacing w:line="360" w:lineRule="auto"/>
        <w:jc w:val="center"/>
        <w:outlineLvl w:val="9"/>
        <w:rPr>
          <w:rFonts w:ascii="宋体" w:hAnsi="宋体"/>
          <w:b/>
          <w:snapToGrid w:val="0"/>
          <w:kern w:val="0"/>
          <w:sz w:val="24"/>
          <w:szCs w:val="24"/>
        </w:rPr>
      </w:pPr>
    </w:p>
    <w:p w14:paraId="7C0041D5">
      <w:pPr>
        <w:overflowPunct w:val="0"/>
        <w:topLinePunct/>
        <w:autoSpaceDN w:val="0"/>
        <w:adjustRightInd w:val="0"/>
        <w:snapToGrid w:val="0"/>
        <w:spacing w:line="360" w:lineRule="auto"/>
        <w:jc w:val="center"/>
        <w:outlineLvl w:val="9"/>
        <w:rPr>
          <w:rFonts w:ascii="宋体" w:hAnsi="宋体"/>
          <w:b/>
          <w:snapToGrid w:val="0"/>
          <w:kern w:val="0"/>
          <w:sz w:val="24"/>
          <w:szCs w:val="24"/>
        </w:rPr>
      </w:pPr>
    </w:p>
    <w:p w14:paraId="70A15DEF">
      <w:pPr>
        <w:overflowPunct w:val="0"/>
        <w:topLinePunct/>
        <w:autoSpaceDN w:val="0"/>
        <w:adjustRightInd w:val="0"/>
        <w:snapToGrid w:val="0"/>
        <w:spacing w:line="360" w:lineRule="auto"/>
        <w:jc w:val="center"/>
        <w:outlineLvl w:val="9"/>
        <w:rPr>
          <w:rFonts w:ascii="宋体" w:hAnsi="宋体"/>
          <w:b/>
          <w:snapToGrid w:val="0"/>
          <w:kern w:val="0"/>
          <w:sz w:val="24"/>
          <w:szCs w:val="24"/>
        </w:rPr>
      </w:pPr>
    </w:p>
    <w:p w14:paraId="25C66589">
      <w:pPr>
        <w:overflowPunct w:val="0"/>
        <w:topLinePunct/>
        <w:autoSpaceDN w:val="0"/>
        <w:adjustRightInd w:val="0"/>
        <w:snapToGrid w:val="0"/>
        <w:spacing w:line="360" w:lineRule="auto"/>
        <w:jc w:val="center"/>
        <w:outlineLvl w:val="9"/>
        <w:rPr>
          <w:rFonts w:ascii="宋体" w:hAnsi="宋体"/>
          <w:b/>
          <w:snapToGrid w:val="0"/>
          <w:kern w:val="0"/>
          <w:sz w:val="24"/>
          <w:szCs w:val="24"/>
        </w:rPr>
      </w:pPr>
    </w:p>
    <w:p w14:paraId="5BE7E786">
      <w:pPr>
        <w:overflowPunct w:val="0"/>
        <w:topLinePunct/>
        <w:autoSpaceDN w:val="0"/>
        <w:adjustRightInd w:val="0"/>
        <w:snapToGrid w:val="0"/>
        <w:spacing w:line="360" w:lineRule="auto"/>
        <w:jc w:val="center"/>
        <w:outlineLvl w:val="9"/>
        <w:rPr>
          <w:rFonts w:ascii="宋体" w:hAnsi="宋体"/>
          <w:b/>
          <w:snapToGrid w:val="0"/>
          <w:kern w:val="0"/>
          <w:sz w:val="24"/>
          <w:szCs w:val="24"/>
        </w:rPr>
      </w:pPr>
    </w:p>
    <w:p w14:paraId="380A0F7E">
      <w:pPr>
        <w:overflowPunct w:val="0"/>
        <w:topLinePunct/>
        <w:autoSpaceDN w:val="0"/>
        <w:adjustRightInd w:val="0"/>
        <w:snapToGrid w:val="0"/>
        <w:spacing w:line="360" w:lineRule="auto"/>
        <w:jc w:val="center"/>
        <w:outlineLvl w:val="9"/>
        <w:rPr>
          <w:rFonts w:ascii="宋体" w:hAnsi="宋体"/>
          <w:b/>
          <w:snapToGrid w:val="0"/>
          <w:kern w:val="0"/>
          <w:sz w:val="24"/>
          <w:szCs w:val="24"/>
        </w:rPr>
      </w:pPr>
    </w:p>
    <w:p w14:paraId="5C6EFF7E">
      <w:pPr>
        <w:overflowPunct w:val="0"/>
        <w:topLinePunct/>
        <w:autoSpaceDN w:val="0"/>
        <w:adjustRightInd w:val="0"/>
        <w:snapToGrid w:val="0"/>
        <w:spacing w:line="360" w:lineRule="auto"/>
        <w:jc w:val="center"/>
        <w:outlineLvl w:val="9"/>
        <w:rPr>
          <w:rFonts w:ascii="宋体" w:hAnsi="宋体"/>
          <w:b/>
          <w:snapToGrid w:val="0"/>
          <w:kern w:val="0"/>
          <w:sz w:val="24"/>
          <w:szCs w:val="24"/>
        </w:rPr>
      </w:pPr>
    </w:p>
    <w:p w14:paraId="5F0C0CFC">
      <w:pPr>
        <w:overflowPunct w:val="0"/>
        <w:topLinePunct/>
        <w:autoSpaceDN w:val="0"/>
        <w:adjustRightInd w:val="0"/>
        <w:snapToGrid w:val="0"/>
        <w:spacing w:line="360" w:lineRule="auto"/>
        <w:jc w:val="center"/>
        <w:outlineLvl w:val="0"/>
        <w:rPr>
          <w:rFonts w:ascii="宋体" w:hAnsi="宋体"/>
          <w:b/>
          <w:snapToGrid w:val="0"/>
          <w:kern w:val="0"/>
          <w:sz w:val="24"/>
          <w:szCs w:val="24"/>
        </w:rPr>
      </w:pPr>
      <w:bookmarkStart w:id="120" w:name="_Toc10154"/>
      <w:r>
        <w:rPr>
          <w:rFonts w:hint="eastAsia" w:ascii="宋体" w:hAnsi="宋体"/>
          <w:b/>
          <w:snapToGrid w:val="0"/>
          <w:kern w:val="0"/>
          <w:sz w:val="24"/>
          <w:szCs w:val="24"/>
        </w:rPr>
        <w:t>九、报价一览表（格式）</w:t>
      </w:r>
      <w:bookmarkEnd w:id="119"/>
      <w:bookmarkEnd w:id="120"/>
    </w:p>
    <w:p w14:paraId="14F427AC">
      <w:pPr>
        <w:overflowPunct w:val="0"/>
        <w:topLinePunct/>
        <w:autoSpaceDN w:val="0"/>
        <w:adjustRightInd w:val="0"/>
        <w:snapToGrid w:val="0"/>
        <w:spacing w:line="360" w:lineRule="auto"/>
        <w:ind w:firstLine="480" w:firstLineChars="200"/>
        <w:rPr>
          <w:rFonts w:ascii="宋体" w:hAnsi="宋体"/>
          <w:snapToGrid w:val="0"/>
          <w:kern w:val="0"/>
          <w:sz w:val="24"/>
          <w:szCs w:val="24"/>
        </w:rPr>
      </w:pPr>
    </w:p>
    <w:p w14:paraId="29D33735">
      <w:pPr>
        <w:pStyle w:val="31"/>
        <w:spacing w:line="360" w:lineRule="auto"/>
        <w:ind w:firstLine="475" w:firstLineChars="198"/>
        <w:jc w:val="both"/>
        <w:rPr>
          <w:rFonts w:ascii="宋体" w:hAnsi="宋体"/>
          <w:snapToGrid w:val="0"/>
          <w:u w:val="single"/>
        </w:rPr>
      </w:pPr>
      <w:r>
        <w:rPr>
          <w:rFonts w:hint="eastAsia" w:ascii="宋体" w:hAnsi="宋体"/>
        </w:rPr>
        <w:t>项目名称：</w:t>
      </w:r>
      <w:r>
        <w:rPr>
          <w:rFonts w:ascii="宋体" w:hAnsi="宋体"/>
          <w:snapToGrid w:val="0"/>
          <w:u w:val="single"/>
        </w:rPr>
        <w:t xml:space="preserve">                         </w:t>
      </w:r>
    </w:p>
    <w:p w14:paraId="7EC880DB">
      <w:pPr>
        <w:pStyle w:val="31"/>
        <w:spacing w:line="360" w:lineRule="auto"/>
        <w:ind w:firstLine="475" w:firstLineChars="198"/>
        <w:jc w:val="both"/>
        <w:rPr>
          <w:rFonts w:ascii="宋体" w:hAnsi="宋体"/>
          <w:snapToGrid w:val="0"/>
          <w:u w:val="single"/>
        </w:rPr>
      </w:pPr>
      <w:r>
        <w:rPr>
          <w:rFonts w:hint="eastAsia" w:ascii="宋体" w:hAnsi="宋体"/>
        </w:rPr>
        <w:t>项目编号：</w:t>
      </w:r>
      <w:r>
        <w:rPr>
          <w:rFonts w:ascii="宋体" w:hAnsi="宋体"/>
          <w:snapToGrid w:val="0"/>
          <w:u w:val="single"/>
        </w:rPr>
        <w:t xml:space="preserve">                         </w:t>
      </w:r>
    </w:p>
    <w:tbl>
      <w:tblPr>
        <w:tblStyle w:val="24"/>
        <w:tblW w:w="8874" w:type="dxa"/>
        <w:tblInd w:w="135"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
      <w:tblGrid>
        <w:gridCol w:w="659"/>
        <w:gridCol w:w="1054"/>
        <w:gridCol w:w="166"/>
        <w:gridCol w:w="861"/>
        <w:gridCol w:w="876"/>
        <w:gridCol w:w="1385"/>
        <w:gridCol w:w="775"/>
        <w:gridCol w:w="611"/>
        <w:gridCol w:w="934"/>
        <w:gridCol w:w="817"/>
        <w:gridCol w:w="736"/>
      </w:tblGrid>
      <w:tr w14:paraId="2F21B7F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763" w:hRule="atLeast"/>
        </w:trPr>
        <w:tc>
          <w:tcPr>
            <w:tcW w:w="6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7BCBEB0">
            <w:pPr>
              <w:pStyle w:val="21"/>
              <w:widowControl/>
              <w:spacing w:before="0" w:beforeAutospacing="0" w:after="0" w:afterAutospacing="0" w:line="21" w:lineRule="atLeast"/>
              <w:jc w:val="center"/>
              <w:rPr>
                <w:rFonts w:ascii="宋体" w:hAnsi="宋体" w:cs="宋体"/>
                <w:szCs w:val="24"/>
              </w:rPr>
            </w:pPr>
            <w:r>
              <w:rPr>
                <w:rFonts w:hint="eastAsia" w:ascii="宋体" w:hAnsi="宋体" w:cs="宋体"/>
                <w:szCs w:val="24"/>
              </w:rPr>
              <w:t>序号</w:t>
            </w:r>
          </w:p>
        </w:tc>
        <w:tc>
          <w:tcPr>
            <w:tcW w:w="1220" w:type="dxa"/>
            <w:gridSpan w:val="2"/>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14:paraId="1D134DE8">
            <w:pPr>
              <w:pStyle w:val="21"/>
              <w:widowControl/>
              <w:spacing w:before="0" w:beforeAutospacing="0" w:after="0" w:afterAutospacing="0" w:line="21" w:lineRule="atLeast"/>
              <w:jc w:val="center"/>
              <w:rPr>
                <w:rFonts w:ascii="宋体" w:hAnsi="宋体" w:cs="宋体"/>
                <w:szCs w:val="24"/>
              </w:rPr>
            </w:pPr>
            <w:r>
              <w:rPr>
                <w:rFonts w:hint="eastAsia" w:ascii="宋体" w:hAnsi="宋体" w:cs="宋体"/>
                <w:szCs w:val="24"/>
              </w:rPr>
              <w:t>货物名称</w:t>
            </w:r>
          </w:p>
        </w:tc>
        <w:tc>
          <w:tcPr>
            <w:tcW w:w="861" w:type="dxa"/>
            <w:tcBorders>
              <w:top w:val="single" w:color="auto" w:sz="8" w:space="0"/>
              <w:left w:val="single" w:color="auto" w:sz="4" w:space="0"/>
              <w:bottom w:val="single" w:color="auto" w:sz="8" w:space="0"/>
              <w:right w:val="single" w:color="auto" w:sz="4" w:space="0"/>
            </w:tcBorders>
            <w:tcMar>
              <w:top w:w="0" w:type="dxa"/>
              <w:left w:w="108" w:type="dxa"/>
              <w:bottom w:w="0" w:type="dxa"/>
              <w:right w:w="108" w:type="dxa"/>
            </w:tcMar>
            <w:vAlign w:val="center"/>
          </w:tcPr>
          <w:p w14:paraId="6E6BE697">
            <w:pPr>
              <w:pStyle w:val="21"/>
              <w:widowControl/>
              <w:spacing w:before="0" w:beforeAutospacing="0" w:after="0" w:afterAutospacing="0" w:line="21" w:lineRule="atLeast"/>
              <w:jc w:val="center"/>
              <w:rPr>
                <w:rFonts w:ascii="宋体" w:hAnsi="宋体" w:cs="宋体"/>
                <w:szCs w:val="24"/>
              </w:rPr>
            </w:pPr>
            <w:r>
              <w:rPr>
                <w:rFonts w:hint="eastAsia" w:ascii="宋体" w:hAnsi="宋体" w:cs="宋体"/>
                <w:szCs w:val="24"/>
              </w:rPr>
              <w:t>品牌</w:t>
            </w:r>
          </w:p>
        </w:tc>
        <w:tc>
          <w:tcPr>
            <w:tcW w:w="876"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39F8730F">
            <w:pPr>
              <w:pStyle w:val="21"/>
              <w:widowControl/>
              <w:spacing w:before="0" w:beforeAutospacing="0" w:after="0" w:afterAutospacing="0" w:line="21" w:lineRule="atLeast"/>
              <w:jc w:val="center"/>
              <w:rPr>
                <w:rFonts w:ascii="宋体" w:hAnsi="宋体" w:cs="宋体"/>
                <w:szCs w:val="24"/>
              </w:rPr>
            </w:pPr>
            <w:r>
              <w:rPr>
                <w:rFonts w:hint="eastAsia" w:ascii="宋体" w:hAnsi="宋体" w:cs="宋体"/>
                <w:szCs w:val="24"/>
              </w:rPr>
              <w:t>型号</w:t>
            </w:r>
          </w:p>
        </w:tc>
        <w:tc>
          <w:tcPr>
            <w:tcW w:w="138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1845989">
            <w:pPr>
              <w:pStyle w:val="21"/>
              <w:widowControl/>
              <w:spacing w:before="0" w:beforeAutospacing="0" w:after="0" w:afterAutospacing="0" w:line="21" w:lineRule="atLeast"/>
              <w:jc w:val="center"/>
              <w:rPr>
                <w:rFonts w:ascii="宋体" w:hAnsi="宋体" w:cs="宋体"/>
                <w:szCs w:val="24"/>
              </w:rPr>
            </w:pPr>
            <w:r>
              <w:rPr>
                <w:rFonts w:hint="eastAsia" w:ascii="宋体" w:hAnsi="宋体" w:cs="宋体"/>
                <w:kern w:val="2"/>
                <w:szCs w:val="24"/>
              </w:rPr>
              <w:t>产地及厂家</w:t>
            </w:r>
          </w:p>
        </w:tc>
        <w:tc>
          <w:tcPr>
            <w:tcW w:w="7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7AFEB6C">
            <w:pPr>
              <w:pStyle w:val="21"/>
              <w:widowControl/>
              <w:spacing w:before="0" w:beforeAutospacing="0" w:after="0" w:afterAutospacing="0" w:line="21" w:lineRule="atLeast"/>
              <w:jc w:val="center"/>
              <w:rPr>
                <w:rFonts w:ascii="宋体" w:hAnsi="宋体" w:cs="宋体"/>
                <w:szCs w:val="24"/>
              </w:rPr>
            </w:pPr>
            <w:r>
              <w:rPr>
                <w:rFonts w:hint="eastAsia" w:ascii="宋体" w:hAnsi="宋体" w:cs="宋体"/>
                <w:szCs w:val="24"/>
              </w:rPr>
              <w:t>单位</w:t>
            </w:r>
          </w:p>
        </w:tc>
        <w:tc>
          <w:tcPr>
            <w:tcW w:w="6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A3059F0">
            <w:pPr>
              <w:pStyle w:val="21"/>
              <w:widowControl/>
              <w:spacing w:before="0" w:beforeAutospacing="0" w:after="0" w:afterAutospacing="0" w:line="21" w:lineRule="atLeast"/>
              <w:jc w:val="center"/>
              <w:rPr>
                <w:rFonts w:ascii="宋体" w:hAnsi="宋体" w:cs="宋体"/>
                <w:szCs w:val="24"/>
              </w:rPr>
            </w:pPr>
            <w:r>
              <w:rPr>
                <w:rFonts w:hint="eastAsia" w:ascii="宋体" w:hAnsi="宋体" w:cs="宋体"/>
                <w:szCs w:val="24"/>
              </w:rPr>
              <w:t>数量</w:t>
            </w:r>
          </w:p>
        </w:tc>
        <w:tc>
          <w:tcPr>
            <w:tcW w:w="93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3A141BC">
            <w:pPr>
              <w:pStyle w:val="21"/>
              <w:widowControl/>
              <w:spacing w:before="0" w:beforeAutospacing="0" w:after="0" w:afterAutospacing="0" w:line="21" w:lineRule="atLeast"/>
              <w:jc w:val="center"/>
              <w:rPr>
                <w:rFonts w:ascii="宋体" w:hAnsi="宋体" w:cs="宋体"/>
                <w:szCs w:val="24"/>
              </w:rPr>
            </w:pPr>
            <w:r>
              <w:rPr>
                <w:rFonts w:hint="eastAsia" w:ascii="宋体" w:hAnsi="宋体" w:cs="宋体"/>
                <w:szCs w:val="24"/>
              </w:rPr>
              <w:t>单价（元）</w:t>
            </w:r>
          </w:p>
        </w:tc>
        <w:tc>
          <w:tcPr>
            <w:tcW w:w="81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A4C3B7F">
            <w:pPr>
              <w:pStyle w:val="21"/>
              <w:widowControl/>
              <w:spacing w:before="0" w:beforeAutospacing="0" w:after="0" w:afterAutospacing="0" w:line="21" w:lineRule="atLeast"/>
              <w:jc w:val="center"/>
              <w:rPr>
                <w:rFonts w:ascii="宋体" w:hAnsi="宋体" w:cs="宋体"/>
                <w:szCs w:val="24"/>
              </w:rPr>
            </w:pPr>
            <w:r>
              <w:rPr>
                <w:rFonts w:hint="eastAsia" w:ascii="宋体" w:hAnsi="宋体" w:cs="宋体"/>
                <w:szCs w:val="24"/>
              </w:rPr>
              <w:t>总价（元）</w:t>
            </w:r>
          </w:p>
        </w:tc>
        <w:tc>
          <w:tcPr>
            <w:tcW w:w="73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185E2A0">
            <w:pPr>
              <w:pStyle w:val="21"/>
              <w:widowControl/>
              <w:spacing w:before="0" w:beforeAutospacing="0" w:after="0" w:afterAutospacing="0" w:line="21" w:lineRule="atLeast"/>
              <w:jc w:val="center"/>
              <w:rPr>
                <w:rFonts w:ascii="宋体" w:hAnsi="宋体" w:cs="宋体"/>
                <w:szCs w:val="24"/>
              </w:rPr>
            </w:pPr>
            <w:r>
              <w:rPr>
                <w:rFonts w:hint="eastAsia" w:ascii="宋体" w:hAnsi="宋体" w:cs="宋体"/>
                <w:szCs w:val="24"/>
              </w:rPr>
              <w:t>备注</w:t>
            </w:r>
          </w:p>
        </w:tc>
      </w:tr>
      <w:tr w14:paraId="1E1967D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689" w:hRule="atLeast"/>
        </w:trPr>
        <w:tc>
          <w:tcPr>
            <w:tcW w:w="65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56DA2E8">
            <w:pPr>
              <w:pStyle w:val="21"/>
              <w:widowControl/>
              <w:spacing w:before="0" w:beforeAutospacing="0" w:after="0" w:afterAutospacing="0" w:line="21" w:lineRule="atLeast"/>
              <w:jc w:val="both"/>
              <w:rPr>
                <w:rFonts w:ascii="宋体" w:hAnsi="宋体" w:cs="宋体"/>
                <w:szCs w:val="24"/>
              </w:rPr>
            </w:pPr>
          </w:p>
        </w:tc>
        <w:tc>
          <w:tcPr>
            <w:tcW w:w="1220" w:type="dxa"/>
            <w:gridSpan w:val="2"/>
            <w:tcBorders>
              <w:top w:val="nil"/>
              <w:left w:val="nil"/>
              <w:bottom w:val="single" w:color="auto" w:sz="8" w:space="0"/>
              <w:right w:val="single" w:color="auto" w:sz="4" w:space="0"/>
            </w:tcBorders>
            <w:tcMar>
              <w:top w:w="0" w:type="dxa"/>
              <w:left w:w="108" w:type="dxa"/>
              <w:bottom w:w="0" w:type="dxa"/>
              <w:right w:w="108" w:type="dxa"/>
            </w:tcMar>
            <w:vAlign w:val="center"/>
          </w:tcPr>
          <w:p w14:paraId="07A3F1FA">
            <w:pPr>
              <w:pStyle w:val="21"/>
              <w:widowControl/>
              <w:spacing w:before="0" w:beforeAutospacing="0" w:after="0" w:afterAutospacing="0" w:line="21" w:lineRule="atLeast"/>
              <w:jc w:val="center"/>
              <w:rPr>
                <w:rFonts w:ascii="宋体" w:hAnsi="宋体" w:cs="宋体"/>
                <w:szCs w:val="24"/>
              </w:rPr>
            </w:pPr>
          </w:p>
        </w:tc>
        <w:tc>
          <w:tcPr>
            <w:tcW w:w="861" w:type="dxa"/>
            <w:tcBorders>
              <w:top w:val="nil"/>
              <w:left w:val="single" w:color="auto" w:sz="4" w:space="0"/>
              <w:bottom w:val="single" w:color="auto" w:sz="8" w:space="0"/>
              <w:right w:val="single" w:color="auto" w:sz="4" w:space="0"/>
            </w:tcBorders>
            <w:tcMar>
              <w:top w:w="0" w:type="dxa"/>
              <w:left w:w="108" w:type="dxa"/>
              <w:bottom w:w="0" w:type="dxa"/>
              <w:right w:w="108" w:type="dxa"/>
            </w:tcMar>
            <w:vAlign w:val="center"/>
          </w:tcPr>
          <w:p w14:paraId="1A58D3E1">
            <w:pPr>
              <w:pStyle w:val="21"/>
              <w:widowControl/>
              <w:spacing w:before="0" w:beforeAutospacing="0" w:after="0" w:afterAutospacing="0" w:line="21" w:lineRule="atLeast"/>
              <w:jc w:val="center"/>
              <w:rPr>
                <w:rFonts w:ascii="宋体" w:hAnsi="宋体" w:cs="宋体"/>
                <w:szCs w:val="24"/>
              </w:rPr>
            </w:pPr>
          </w:p>
        </w:tc>
        <w:tc>
          <w:tcPr>
            <w:tcW w:w="876"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432E23A3">
            <w:pPr>
              <w:pStyle w:val="21"/>
              <w:widowControl/>
              <w:spacing w:before="0" w:beforeAutospacing="0" w:after="0" w:afterAutospacing="0" w:line="21" w:lineRule="atLeast"/>
              <w:jc w:val="center"/>
              <w:rPr>
                <w:rFonts w:ascii="宋体" w:hAnsi="宋体" w:cs="宋体"/>
                <w:szCs w:val="24"/>
              </w:rPr>
            </w:pPr>
          </w:p>
        </w:tc>
        <w:tc>
          <w:tcPr>
            <w:tcW w:w="1385" w:type="dxa"/>
            <w:tcBorders>
              <w:top w:val="nil"/>
              <w:left w:val="nil"/>
              <w:bottom w:val="single" w:color="auto" w:sz="8" w:space="0"/>
              <w:right w:val="single" w:color="auto" w:sz="8" w:space="0"/>
            </w:tcBorders>
            <w:tcMar>
              <w:top w:w="0" w:type="dxa"/>
              <w:left w:w="108" w:type="dxa"/>
              <w:bottom w:w="0" w:type="dxa"/>
              <w:right w:w="108" w:type="dxa"/>
            </w:tcMar>
            <w:vAlign w:val="center"/>
          </w:tcPr>
          <w:p w14:paraId="2A637E76">
            <w:pPr>
              <w:pStyle w:val="21"/>
              <w:widowControl/>
              <w:spacing w:before="0" w:beforeAutospacing="0" w:after="0" w:afterAutospacing="0" w:line="21" w:lineRule="atLeast"/>
              <w:jc w:val="center"/>
              <w:rPr>
                <w:rFonts w:ascii="宋体" w:hAnsi="宋体" w:cs="宋体"/>
                <w:szCs w:val="24"/>
              </w:rPr>
            </w:pPr>
          </w:p>
        </w:tc>
        <w:tc>
          <w:tcPr>
            <w:tcW w:w="775" w:type="dxa"/>
            <w:tcBorders>
              <w:top w:val="nil"/>
              <w:left w:val="nil"/>
              <w:bottom w:val="single" w:color="auto" w:sz="8" w:space="0"/>
              <w:right w:val="single" w:color="auto" w:sz="8" w:space="0"/>
            </w:tcBorders>
            <w:tcMar>
              <w:top w:w="0" w:type="dxa"/>
              <w:left w:w="108" w:type="dxa"/>
              <w:bottom w:w="0" w:type="dxa"/>
              <w:right w:w="108" w:type="dxa"/>
            </w:tcMar>
            <w:vAlign w:val="center"/>
          </w:tcPr>
          <w:p w14:paraId="146647D7">
            <w:pPr>
              <w:pStyle w:val="21"/>
              <w:widowControl/>
              <w:spacing w:before="0" w:beforeAutospacing="0" w:after="0" w:afterAutospacing="0" w:line="21" w:lineRule="atLeast"/>
              <w:jc w:val="center"/>
              <w:rPr>
                <w:rFonts w:ascii="宋体" w:hAnsi="宋体" w:cs="宋体"/>
                <w:szCs w:val="24"/>
              </w:rPr>
            </w:pPr>
          </w:p>
        </w:tc>
        <w:tc>
          <w:tcPr>
            <w:tcW w:w="611" w:type="dxa"/>
            <w:tcBorders>
              <w:top w:val="nil"/>
              <w:left w:val="nil"/>
              <w:bottom w:val="single" w:color="auto" w:sz="8" w:space="0"/>
              <w:right w:val="single" w:color="auto" w:sz="8" w:space="0"/>
            </w:tcBorders>
            <w:tcMar>
              <w:top w:w="0" w:type="dxa"/>
              <w:left w:w="108" w:type="dxa"/>
              <w:bottom w:w="0" w:type="dxa"/>
              <w:right w:w="108" w:type="dxa"/>
            </w:tcMar>
            <w:vAlign w:val="center"/>
          </w:tcPr>
          <w:p w14:paraId="029913D1">
            <w:pPr>
              <w:pStyle w:val="21"/>
              <w:widowControl/>
              <w:spacing w:before="0" w:beforeAutospacing="0" w:after="0" w:afterAutospacing="0" w:line="21" w:lineRule="atLeast"/>
              <w:jc w:val="center"/>
              <w:rPr>
                <w:rFonts w:ascii="宋体" w:hAnsi="宋体" w:cs="宋体"/>
                <w:szCs w:val="24"/>
              </w:rPr>
            </w:pPr>
          </w:p>
        </w:tc>
        <w:tc>
          <w:tcPr>
            <w:tcW w:w="934" w:type="dxa"/>
            <w:tcBorders>
              <w:top w:val="nil"/>
              <w:left w:val="nil"/>
              <w:bottom w:val="single" w:color="auto" w:sz="8" w:space="0"/>
              <w:right w:val="single" w:color="auto" w:sz="8" w:space="0"/>
            </w:tcBorders>
            <w:tcMar>
              <w:top w:w="0" w:type="dxa"/>
              <w:left w:w="108" w:type="dxa"/>
              <w:bottom w:w="0" w:type="dxa"/>
              <w:right w:w="108" w:type="dxa"/>
            </w:tcMar>
            <w:vAlign w:val="center"/>
          </w:tcPr>
          <w:p w14:paraId="61B0204B">
            <w:pPr>
              <w:pStyle w:val="21"/>
              <w:widowControl/>
              <w:spacing w:before="0" w:beforeAutospacing="0" w:after="0" w:afterAutospacing="0" w:line="21" w:lineRule="atLeast"/>
              <w:jc w:val="center"/>
              <w:rPr>
                <w:rFonts w:ascii="宋体" w:hAnsi="宋体" w:cs="宋体"/>
                <w:szCs w:val="24"/>
              </w:rPr>
            </w:pP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14:paraId="73613EB3">
            <w:pPr>
              <w:pStyle w:val="21"/>
              <w:widowControl/>
              <w:spacing w:before="0" w:beforeAutospacing="0" w:after="0" w:afterAutospacing="0" w:line="21" w:lineRule="atLeast"/>
              <w:jc w:val="center"/>
              <w:rPr>
                <w:rFonts w:ascii="宋体" w:hAnsi="宋体" w:cs="宋体"/>
                <w:szCs w:val="24"/>
              </w:rPr>
            </w:pPr>
          </w:p>
        </w:tc>
        <w:tc>
          <w:tcPr>
            <w:tcW w:w="736" w:type="dxa"/>
            <w:tcBorders>
              <w:top w:val="nil"/>
              <w:left w:val="nil"/>
              <w:bottom w:val="single" w:color="auto" w:sz="8" w:space="0"/>
              <w:right w:val="single" w:color="auto" w:sz="8" w:space="0"/>
            </w:tcBorders>
            <w:tcMar>
              <w:top w:w="0" w:type="dxa"/>
              <w:left w:w="108" w:type="dxa"/>
              <w:bottom w:w="0" w:type="dxa"/>
              <w:right w:w="108" w:type="dxa"/>
            </w:tcMar>
            <w:vAlign w:val="center"/>
          </w:tcPr>
          <w:p w14:paraId="447BC4B9">
            <w:pPr>
              <w:pStyle w:val="21"/>
              <w:widowControl/>
              <w:spacing w:before="0" w:beforeAutospacing="0" w:after="0" w:afterAutospacing="0" w:line="21" w:lineRule="atLeast"/>
              <w:jc w:val="center"/>
              <w:rPr>
                <w:rFonts w:ascii="宋体" w:hAnsi="宋体" w:cs="宋体"/>
                <w:szCs w:val="24"/>
              </w:rPr>
            </w:pPr>
          </w:p>
        </w:tc>
      </w:tr>
      <w:tr w14:paraId="28CD907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689" w:hRule="atLeast"/>
        </w:trPr>
        <w:tc>
          <w:tcPr>
            <w:tcW w:w="65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E5C6DA1">
            <w:pPr>
              <w:pStyle w:val="21"/>
              <w:widowControl/>
              <w:spacing w:before="0" w:beforeAutospacing="0" w:after="0" w:afterAutospacing="0" w:line="21" w:lineRule="atLeast"/>
              <w:jc w:val="both"/>
              <w:rPr>
                <w:rFonts w:ascii="宋体" w:hAnsi="宋体" w:cs="宋体"/>
                <w:szCs w:val="24"/>
              </w:rPr>
            </w:pPr>
          </w:p>
        </w:tc>
        <w:tc>
          <w:tcPr>
            <w:tcW w:w="1220" w:type="dxa"/>
            <w:gridSpan w:val="2"/>
            <w:tcBorders>
              <w:top w:val="nil"/>
              <w:left w:val="nil"/>
              <w:bottom w:val="single" w:color="auto" w:sz="8" w:space="0"/>
              <w:right w:val="single" w:color="auto" w:sz="4" w:space="0"/>
            </w:tcBorders>
            <w:tcMar>
              <w:top w:w="0" w:type="dxa"/>
              <w:left w:w="108" w:type="dxa"/>
              <w:bottom w:w="0" w:type="dxa"/>
              <w:right w:w="108" w:type="dxa"/>
            </w:tcMar>
            <w:vAlign w:val="center"/>
          </w:tcPr>
          <w:p w14:paraId="4922CB35">
            <w:pPr>
              <w:pStyle w:val="21"/>
              <w:widowControl/>
              <w:spacing w:before="0" w:beforeAutospacing="0" w:after="0" w:afterAutospacing="0" w:line="21" w:lineRule="atLeast"/>
              <w:jc w:val="center"/>
              <w:rPr>
                <w:rFonts w:ascii="宋体" w:hAnsi="宋体" w:cs="宋体"/>
                <w:szCs w:val="24"/>
              </w:rPr>
            </w:pPr>
          </w:p>
        </w:tc>
        <w:tc>
          <w:tcPr>
            <w:tcW w:w="861" w:type="dxa"/>
            <w:tcBorders>
              <w:top w:val="nil"/>
              <w:left w:val="single" w:color="auto" w:sz="4" w:space="0"/>
              <w:bottom w:val="single" w:color="auto" w:sz="8" w:space="0"/>
              <w:right w:val="single" w:color="auto" w:sz="4" w:space="0"/>
            </w:tcBorders>
            <w:tcMar>
              <w:top w:w="0" w:type="dxa"/>
              <w:left w:w="108" w:type="dxa"/>
              <w:bottom w:w="0" w:type="dxa"/>
              <w:right w:w="108" w:type="dxa"/>
            </w:tcMar>
            <w:vAlign w:val="center"/>
          </w:tcPr>
          <w:p w14:paraId="781BA14C">
            <w:pPr>
              <w:pStyle w:val="21"/>
              <w:widowControl/>
              <w:spacing w:before="0" w:beforeAutospacing="0" w:after="0" w:afterAutospacing="0" w:line="21" w:lineRule="atLeast"/>
              <w:jc w:val="center"/>
              <w:rPr>
                <w:rFonts w:ascii="宋体" w:hAnsi="宋体" w:cs="宋体"/>
                <w:szCs w:val="24"/>
              </w:rPr>
            </w:pPr>
          </w:p>
        </w:tc>
        <w:tc>
          <w:tcPr>
            <w:tcW w:w="876"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11E2D767">
            <w:pPr>
              <w:pStyle w:val="21"/>
              <w:widowControl/>
              <w:spacing w:before="0" w:beforeAutospacing="0" w:after="0" w:afterAutospacing="0" w:line="21" w:lineRule="atLeast"/>
              <w:jc w:val="center"/>
              <w:rPr>
                <w:rFonts w:ascii="宋体" w:hAnsi="宋体" w:cs="宋体"/>
                <w:szCs w:val="24"/>
              </w:rPr>
            </w:pPr>
          </w:p>
        </w:tc>
        <w:tc>
          <w:tcPr>
            <w:tcW w:w="1385" w:type="dxa"/>
            <w:tcBorders>
              <w:top w:val="nil"/>
              <w:left w:val="nil"/>
              <w:bottom w:val="single" w:color="auto" w:sz="8" w:space="0"/>
              <w:right w:val="single" w:color="auto" w:sz="8" w:space="0"/>
            </w:tcBorders>
            <w:tcMar>
              <w:top w:w="0" w:type="dxa"/>
              <w:left w:w="108" w:type="dxa"/>
              <w:bottom w:w="0" w:type="dxa"/>
              <w:right w:w="108" w:type="dxa"/>
            </w:tcMar>
            <w:vAlign w:val="center"/>
          </w:tcPr>
          <w:p w14:paraId="5BF0ED49">
            <w:pPr>
              <w:pStyle w:val="21"/>
              <w:widowControl/>
              <w:spacing w:before="0" w:beforeAutospacing="0" w:after="0" w:afterAutospacing="0" w:line="21" w:lineRule="atLeast"/>
              <w:jc w:val="center"/>
              <w:rPr>
                <w:rFonts w:ascii="宋体" w:hAnsi="宋体" w:cs="宋体"/>
                <w:szCs w:val="24"/>
              </w:rPr>
            </w:pPr>
          </w:p>
        </w:tc>
        <w:tc>
          <w:tcPr>
            <w:tcW w:w="775" w:type="dxa"/>
            <w:tcBorders>
              <w:top w:val="nil"/>
              <w:left w:val="nil"/>
              <w:bottom w:val="single" w:color="auto" w:sz="8" w:space="0"/>
              <w:right w:val="single" w:color="auto" w:sz="8" w:space="0"/>
            </w:tcBorders>
            <w:tcMar>
              <w:top w:w="0" w:type="dxa"/>
              <w:left w:w="108" w:type="dxa"/>
              <w:bottom w:w="0" w:type="dxa"/>
              <w:right w:w="108" w:type="dxa"/>
            </w:tcMar>
            <w:vAlign w:val="center"/>
          </w:tcPr>
          <w:p w14:paraId="21605045">
            <w:pPr>
              <w:pStyle w:val="21"/>
              <w:widowControl/>
              <w:spacing w:before="0" w:beforeAutospacing="0" w:after="0" w:afterAutospacing="0" w:line="21" w:lineRule="atLeast"/>
              <w:jc w:val="center"/>
              <w:rPr>
                <w:rFonts w:ascii="宋体" w:hAnsi="宋体" w:cs="宋体"/>
                <w:szCs w:val="24"/>
              </w:rPr>
            </w:pPr>
          </w:p>
        </w:tc>
        <w:tc>
          <w:tcPr>
            <w:tcW w:w="611" w:type="dxa"/>
            <w:tcBorders>
              <w:top w:val="nil"/>
              <w:left w:val="nil"/>
              <w:bottom w:val="single" w:color="auto" w:sz="8" w:space="0"/>
              <w:right w:val="single" w:color="auto" w:sz="8" w:space="0"/>
            </w:tcBorders>
            <w:tcMar>
              <w:top w:w="0" w:type="dxa"/>
              <w:left w:w="108" w:type="dxa"/>
              <w:bottom w:w="0" w:type="dxa"/>
              <w:right w:w="108" w:type="dxa"/>
            </w:tcMar>
            <w:vAlign w:val="center"/>
          </w:tcPr>
          <w:p w14:paraId="421ADA3C">
            <w:pPr>
              <w:pStyle w:val="21"/>
              <w:widowControl/>
              <w:spacing w:before="0" w:beforeAutospacing="0" w:after="0" w:afterAutospacing="0" w:line="21" w:lineRule="atLeast"/>
              <w:jc w:val="center"/>
              <w:rPr>
                <w:rFonts w:ascii="宋体" w:hAnsi="宋体" w:cs="宋体"/>
                <w:szCs w:val="24"/>
              </w:rPr>
            </w:pPr>
          </w:p>
        </w:tc>
        <w:tc>
          <w:tcPr>
            <w:tcW w:w="934" w:type="dxa"/>
            <w:tcBorders>
              <w:top w:val="nil"/>
              <w:left w:val="nil"/>
              <w:bottom w:val="single" w:color="auto" w:sz="8" w:space="0"/>
              <w:right w:val="single" w:color="auto" w:sz="8" w:space="0"/>
            </w:tcBorders>
            <w:tcMar>
              <w:top w:w="0" w:type="dxa"/>
              <w:left w:w="108" w:type="dxa"/>
              <w:bottom w:w="0" w:type="dxa"/>
              <w:right w:w="108" w:type="dxa"/>
            </w:tcMar>
            <w:vAlign w:val="center"/>
          </w:tcPr>
          <w:p w14:paraId="1340969E">
            <w:pPr>
              <w:pStyle w:val="21"/>
              <w:widowControl/>
              <w:spacing w:before="0" w:beforeAutospacing="0" w:after="0" w:afterAutospacing="0" w:line="21" w:lineRule="atLeast"/>
              <w:jc w:val="center"/>
              <w:rPr>
                <w:rFonts w:ascii="宋体" w:hAnsi="宋体" w:cs="宋体"/>
                <w:szCs w:val="24"/>
              </w:rPr>
            </w:pP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14:paraId="171BEBB3">
            <w:pPr>
              <w:pStyle w:val="21"/>
              <w:widowControl/>
              <w:spacing w:before="0" w:beforeAutospacing="0" w:after="0" w:afterAutospacing="0" w:line="21" w:lineRule="atLeast"/>
              <w:jc w:val="center"/>
              <w:rPr>
                <w:rFonts w:ascii="宋体" w:hAnsi="宋体" w:cs="宋体"/>
                <w:szCs w:val="24"/>
              </w:rPr>
            </w:pPr>
          </w:p>
        </w:tc>
        <w:tc>
          <w:tcPr>
            <w:tcW w:w="736" w:type="dxa"/>
            <w:tcBorders>
              <w:top w:val="nil"/>
              <w:left w:val="nil"/>
              <w:bottom w:val="single" w:color="auto" w:sz="8" w:space="0"/>
              <w:right w:val="single" w:color="auto" w:sz="8" w:space="0"/>
            </w:tcBorders>
            <w:tcMar>
              <w:top w:w="0" w:type="dxa"/>
              <w:left w:w="108" w:type="dxa"/>
              <w:bottom w:w="0" w:type="dxa"/>
              <w:right w:w="108" w:type="dxa"/>
            </w:tcMar>
            <w:vAlign w:val="center"/>
          </w:tcPr>
          <w:p w14:paraId="11D0AB90">
            <w:pPr>
              <w:pStyle w:val="21"/>
              <w:widowControl/>
              <w:spacing w:before="0" w:beforeAutospacing="0" w:after="0" w:afterAutospacing="0" w:line="21" w:lineRule="atLeast"/>
              <w:jc w:val="center"/>
              <w:rPr>
                <w:rFonts w:ascii="宋体" w:hAnsi="宋体" w:cs="宋体"/>
                <w:szCs w:val="24"/>
              </w:rPr>
            </w:pPr>
          </w:p>
        </w:tc>
      </w:tr>
      <w:tr w14:paraId="1DECB44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689" w:hRule="atLeast"/>
        </w:trPr>
        <w:tc>
          <w:tcPr>
            <w:tcW w:w="65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5C662E7">
            <w:pPr>
              <w:pStyle w:val="21"/>
              <w:widowControl/>
              <w:spacing w:before="0" w:beforeAutospacing="0" w:after="0" w:afterAutospacing="0" w:line="21" w:lineRule="atLeast"/>
              <w:jc w:val="both"/>
              <w:rPr>
                <w:rFonts w:ascii="宋体" w:hAnsi="宋体" w:cs="宋体"/>
                <w:szCs w:val="24"/>
              </w:rPr>
            </w:pPr>
          </w:p>
        </w:tc>
        <w:tc>
          <w:tcPr>
            <w:tcW w:w="1220" w:type="dxa"/>
            <w:gridSpan w:val="2"/>
            <w:tcBorders>
              <w:top w:val="nil"/>
              <w:left w:val="nil"/>
              <w:bottom w:val="single" w:color="auto" w:sz="8" w:space="0"/>
              <w:right w:val="single" w:color="auto" w:sz="4" w:space="0"/>
            </w:tcBorders>
            <w:tcMar>
              <w:top w:w="0" w:type="dxa"/>
              <w:left w:w="108" w:type="dxa"/>
              <w:bottom w:w="0" w:type="dxa"/>
              <w:right w:w="108" w:type="dxa"/>
            </w:tcMar>
            <w:vAlign w:val="center"/>
          </w:tcPr>
          <w:p w14:paraId="550509C3">
            <w:pPr>
              <w:pStyle w:val="21"/>
              <w:widowControl/>
              <w:spacing w:before="0" w:beforeAutospacing="0" w:after="0" w:afterAutospacing="0" w:line="21" w:lineRule="atLeast"/>
              <w:jc w:val="center"/>
              <w:rPr>
                <w:rFonts w:ascii="宋体" w:hAnsi="宋体" w:cs="宋体"/>
                <w:szCs w:val="24"/>
              </w:rPr>
            </w:pPr>
          </w:p>
        </w:tc>
        <w:tc>
          <w:tcPr>
            <w:tcW w:w="861" w:type="dxa"/>
            <w:tcBorders>
              <w:top w:val="nil"/>
              <w:left w:val="single" w:color="auto" w:sz="4" w:space="0"/>
              <w:bottom w:val="single" w:color="auto" w:sz="8" w:space="0"/>
              <w:right w:val="single" w:color="auto" w:sz="4" w:space="0"/>
            </w:tcBorders>
            <w:tcMar>
              <w:top w:w="0" w:type="dxa"/>
              <w:left w:w="108" w:type="dxa"/>
              <w:bottom w:w="0" w:type="dxa"/>
              <w:right w:w="108" w:type="dxa"/>
            </w:tcMar>
            <w:vAlign w:val="center"/>
          </w:tcPr>
          <w:p w14:paraId="50A7DCD0">
            <w:pPr>
              <w:pStyle w:val="21"/>
              <w:widowControl/>
              <w:spacing w:before="0" w:beforeAutospacing="0" w:after="0" w:afterAutospacing="0" w:line="21" w:lineRule="atLeast"/>
              <w:jc w:val="center"/>
              <w:rPr>
                <w:rFonts w:ascii="宋体" w:hAnsi="宋体" w:cs="宋体"/>
                <w:szCs w:val="24"/>
              </w:rPr>
            </w:pPr>
          </w:p>
        </w:tc>
        <w:tc>
          <w:tcPr>
            <w:tcW w:w="876"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28550CBE">
            <w:pPr>
              <w:pStyle w:val="21"/>
              <w:widowControl/>
              <w:spacing w:before="0" w:beforeAutospacing="0" w:after="0" w:afterAutospacing="0" w:line="21" w:lineRule="atLeast"/>
              <w:jc w:val="center"/>
              <w:rPr>
                <w:rFonts w:ascii="宋体" w:hAnsi="宋体" w:cs="宋体"/>
                <w:szCs w:val="24"/>
              </w:rPr>
            </w:pPr>
          </w:p>
        </w:tc>
        <w:tc>
          <w:tcPr>
            <w:tcW w:w="1385" w:type="dxa"/>
            <w:tcBorders>
              <w:top w:val="nil"/>
              <w:left w:val="nil"/>
              <w:bottom w:val="single" w:color="auto" w:sz="8" w:space="0"/>
              <w:right w:val="single" w:color="auto" w:sz="8" w:space="0"/>
            </w:tcBorders>
            <w:tcMar>
              <w:top w:w="0" w:type="dxa"/>
              <w:left w:w="108" w:type="dxa"/>
              <w:bottom w:w="0" w:type="dxa"/>
              <w:right w:w="108" w:type="dxa"/>
            </w:tcMar>
            <w:vAlign w:val="center"/>
          </w:tcPr>
          <w:p w14:paraId="42948A66">
            <w:pPr>
              <w:pStyle w:val="21"/>
              <w:widowControl/>
              <w:spacing w:before="0" w:beforeAutospacing="0" w:after="0" w:afterAutospacing="0" w:line="21" w:lineRule="atLeast"/>
              <w:jc w:val="center"/>
              <w:rPr>
                <w:rFonts w:ascii="宋体" w:hAnsi="宋体" w:cs="宋体"/>
                <w:szCs w:val="24"/>
              </w:rPr>
            </w:pPr>
          </w:p>
        </w:tc>
        <w:tc>
          <w:tcPr>
            <w:tcW w:w="775" w:type="dxa"/>
            <w:tcBorders>
              <w:top w:val="nil"/>
              <w:left w:val="nil"/>
              <w:bottom w:val="single" w:color="auto" w:sz="8" w:space="0"/>
              <w:right w:val="single" w:color="auto" w:sz="8" w:space="0"/>
            </w:tcBorders>
            <w:tcMar>
              <w:top w:w="0" w:type="dxa"/>
              <w:left w:w="108" w:type="dxa"/>
              <w:bottom w:w="0" w:type="dxa"/>
              <w:right w:w="108" w:type="dxa"/>
            </w:tcMar>
            <w:vAlign w:val="center"/>
          </w:tcPr>
          <w:p w14:paraId="661E0FDD">
            <w:pPr>
              <w:pStyle w:val="21"/>
              <w:widowControl/>
              <w:spacing w:before="0" w:beforeAutospacing="0" w:after="0" w:afterAutospacing="0" w:line="21" w:lineRule="atLeast"/>
              <w:jc w:val="center"/>
              <w:rPr>
                <w:rFonts w:ascii="宋体" w:hAnsi="宋体" w:cs="宋体"/>
                <w:szCs w:val="24"/>
              </w:rPr>
            </w:pPr>
          </w:p>
        </w:tc>
        <w:tc>
          <w:tcPr>
            <w:tcW w:w="6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CB8BB2A">
            <w:pPr>
              <w:pStyle w:val="21"/>
              <w:widowControl/>
              <w:spacing w:before="0" w:beforeAutospacing="0" w:after="0" w:afterAutospacing="0" w:line="21" w:lineRule="atLeast"/>
              <w:jc w:val="center"/>
              <w:rPr>
                <w:rFonts w:ascii="宋体" w:hAnsi="宋体" w:cs="宋体"/>
                <w:szCs w:val="24"/>
              </w:rPr>
            </w:pPr>
          </w:p>
        </w:tc>
        <w:tc>
          <w:tcPr>
            <w:tcW w:w="934" w:type="dxa"/>
            <w:tcBorders>
              <w:top w:val="nil"/>
              <w:left w:val="nil"/>
              <w:bottom w:val="single" w:color="auto" w:sz="8" w:space="0"/>
              <w:right w:val="single" w:color="auto" w:sz="8" w:space="0"/>
            </w:tcBorders>
            <w:tcMar>
              <w:top w:w="0" w:type="dxa"/>
              <w:left w:w="108" w:type="dxa"/>
              <w:bottom w:w="0" w:type="dxa"/>
              <w:right w:w="108" w:type="dxa"/>
            </w:tcMar>
            <w:vAlign w:val="center"/>
          </w:tcPr>
          <w:p w14:paraId="39B207CD">
            <w:pPr>
              <w:pStyle w:val="21"/>
              <w:widowControl/>
              <w:spacing w:before="0" w:beforeAutospacing="0" w:after="0" w:afterAutospacing="0" w:line="21" w:lineRule="atLeast"/>
              <w:jc w:val="center"/>
              <w:rPr>
                <w:rFonts w:ascii="宋体" w:hAnsi="宋体" w:cs="宋体"/>
                <w:szCs w:val="24"/>
              </w:rPr>
            </w:pP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14:paraId="75BCAAA6">
            <w:pPr>
              <w:pStyle w:val="21"/>
              <w:widowControl/>
              <w:spacing w:before="0" w:beforeAutospacing="0" w:after="0" w:afterAutospacing="0" w:line="21" w:lineRule="atLeast"/>
              <w:jc w:val="center"/>
              <w:rPr>
                <w:rFonts w:ascii="宋体" w:hAnsi="宋体" w:cs="宋体"/>
                <w:szCs w:val="24"/>
              </w:rPr>
            </w:pPr>
          </w:p>
        </w:tc>
        <w:tc>
          <w:tcPr>
            <w:tcW w:w="736" w:type="dxa"/>
            <w:tcBorders>
              <w:top w:val="nil"/>
              <w:left w:val="nil"/>
              <w:bottom w:val="single" w:color="auto" w:sz="8" w:space="0"/>
              <w:right w:val="single" w:color="auto" w:sz="8" w:space="0"/>
            </w:tcBorders>
            <w:tcMar>
              <w:top w:w="0" w:type="dxa"/>
              <w:left w:w="108" w:type="dxa"/>
              <w:bottom w:w="0" w:type="dxa"/>
              <w:right w:w="108" w:type="dxa"/>
            </w:tcMar>
            <w:vAlign w:val="center"/>
          </w:tcPr>
          <w:p w14:paraId="363C387F">
            <w:pPr>
              <w:pStyle w:val="21"/>
              <w:widowControl/>
              <w:spacing w:before="0" w:beforeAutospacing="0" w:after="0" w:afterAutospacing="0" w:line="21" w:lineRule="atLeast"/>
              <w:jc w:val="center"/>
              <w:rPr>
                <w:rFonts w:ascii="宋体" w:hAnsi="宋体" w:cs="宋体"/>
                <w:szCs w:val="24"/>
              </w:rPr>
            </w:pPr>
          </w:p>
        </w:tc>
      </w:tr>
      <w:tr w14:paraId="215164D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689" w:hRule="atLeast"/>
        </w:trPr>
        <w:tc>
          <w:tcPr>
            <w:tcW w:w="659"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417B985F">
            <w:pPr>
              <w:pStyle w:val="21"/>
              <w:widowControl/>
              <w:spacing w:before="0" w:beforeAutospacing="0" w:after="0" w:afterAutospacing="0" w:line="21" w:lineRule="atLeast"/>
              <w:jc w:val="center"/>
              <w:rPr>
                <w:rFonts w:ascii="宋体" w:hAnsi="宋体" w:cs="宋体"/>
                <w:szCs w:val="24"/>
              </w:rPr>
            </w:pPr>
            <w:r>
              <w:rPr>
                <w:rFonts w:hint="eastAsia" w:ascii="宋体" w:hAnsi="宋体" w:cs="宋体"/>
                <w:szCs w:val="24"/>
              </w:rPr>
              <w:t>...</w:t>
            </w:r>
          </w:p>
        </w:tc>
        <w:tc>
          <w:tcPr>
            <w:tcW w:w="1220" w:type="dxa"/>
            <w:gridSpan w:val="2"/>
            <w:tcBorders>
              <w:top w:val="nil"/>
              <w:left w:val="nil"/>
              <w:bottom w:val="single" w:color="auto" w:sz="4" w:space="0"/>
              <w:right w:val="single" w:color="auto" w:sz="4" w:space="0"/>
            </w:tcBorders>
            <w:tcMar>
              <w:top w:w="0" w:type="dxa"/>
              <w:left w:w="108" w:type="dxa"/>
              <w:bottom w:w="0" w:type="dxa"/>
              <w:right w:w="108" w:type="dxa"/>
            </w:tcMar>
            <w:vAlign w:val="center"/>
          </w:tcPr>
          <w:p w14:paraId="1460E7DC">
            <w:pPr>
              <w:pStyle w:val="21"/>
              <w:widowControl/>
              <w:spacing w:before="0" w:beforeAutospacing="0" w:after="0" w:afterAutospacing="0" w:line="21" w:lineRule="atLeast"/>
              <w:jc w:val="center"/>
              <w:rPr>
                <w:rFonts w:ascii="宋体" w:hAnsi="宋体" w:cs="宋体"/>
                <w:szCs w:val="24"/>
              </w:rPr>
            </w:pPr>
          </w:p>
        </w:tc>
        <w:tc>
          <w:tcPr>
            <w:tcW w:w="861"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31A665EA">
            <w:pPr>
              <w:pStyle w:val="21"/>
              <w:widowControl/>
              <w:spacing w:before="0" w:beforeAutospacing="0" w:after="0" w:afterAutospacing="0" w:line="21" w:lineRule="atLeast"/>
              <w:jc w:val="center"/>
              <w:rPr>
                <w:rFonts w:ascii="宋体" w:hAnsi="宋体" w:cs="宋体"/>
                <w:szCs w:val="24"/>
              </w:rPr>
            </w:pPr>
          </w:p>
        </w:tc>
        <w:tc>
          <w:tcPr>
            <w:tcW w:w="876" w:type="dxa"/>
            <w:tcBorders>
              <w:top w:val="nil"/>
              <w:left w:val="single" w:color="auto" w:sz="4" w:space="0"/>
              <w:bottom w:val="single" w:color="auto" w:sz="4" w:space="0"/>
              <w:right w:val="single" w:color="auto" w:sz="8" w:space="0"/>
            </w:tcBorders>
            <w:tcMar>
              <w:top w:w="0" w:type="dxa"/>
              <w:left w:w="108" w:type="dxa"/>
              <w:bottom w:w="0" w:type="dxa"/>
              <w:right w:w="108" w:type="dxa"/>
            </w:tcMar>
            <w:vAlign w:val="center"/>
          </w:tcPr>
          <w:p w14:paraId="20F7C9F0">
            <w:pPr>
              <w:pStyle w:val="21"/>
              <w:widowControl/>
              <w:spacing w:before="0" w:beforeAutospacing="0" w:after="0" w:afterAutospacing="0" w:line="21" w:lineRule="atLeast"/>
              <w:jc w:val="center"/>
              <w:rPr>
                <w:rFonts w:ascii="宋体" w:hAnsi="宋体" w:cs="宋体"/>
                <w:szCs w:val="24"/>
              </w:rPr>
            </w:pPr>
          </w:p>
        </w:tc>
        <w:tc>
          <w:tcPr>
            <w:tcW w:w="1385" w:type="dxa"/>
            <w:tcBorders>
              <w:top w:val="nil"/>
              <w:left w:val="nil"/>
              <w:bottom w:val="single" w:color="auto" w:sz="4" w:space="0"/>
              <w:right w:val="single" w:color="auto" w:sz="8" w:space="0"/>
            </w:tcBorders>
            <w:tcMar>
              <w:top w:w="0" w:type="dxa"/>
              <w:left w:w="108" w:type="dxa"/>
              <w:bottom w:w="0" w:type="dxa"/>
              <w:right w:w="108" w:type="dxa"/>
            </w:tcMar>
            <w:vAlign w:val="center"/>
          </w:tcPr>
          <w:p w14:paraId="47801C2F">
            <w:pPr>
              <w:pStyle w:val="21"/>
              <w:widowControl/>
              <w:spacing w:before="0" w:beforeAutospacing="0" w:after="0" w:afterAutospacing="0" w:line="21" w:lineRule="atLeast"/>
              <w:jc w:val="center"/>
              <w:rPr>
                <w:rFonts w:ascii="宋体" w:hAnsi="宋体" w:cs="宋体"/>
                <w:szCs w:val="24"/>
              </w:rPr>
            </w:pPr>
          </w:p>
        </w:tc>
        <w:tc>
          <w:tcPr>
            <w:tcW w:w="775" w:type="dxa"/>
            <w:tcBorders>
              <w:top w:val="nil"/>
              <w:left w:val="nil"/>
              <w:bottom w:val="single" w:color="auto" w:sz="4" w:space="0"/>
              <w:right w:val="single" w:color="auto" w:sz="8" w:space="0"/>
            </w:tcBorders>
            <w:tcMar>
              <w:top w:w="0" w:type="dxa"/>
              <w:left w:w="108" w:type="dxa"/>
              <w:bottom w:w="0" w:type="dxa"/>
              <w:right w:w="108" w:type="dxa"/>
            </w:tcMar>
            <w:vAlign w:val="center"/>
          </w:tcPr>
          <w:p w14:paraId="3DF0C1F4">
            <w:pPr>
              <w:pStyle w:val="21"/>
              <w:widowControl/>
              <w:spacing w:before="0" w:beforeAutospacing="0" w:after="0" w:afterAutospacing="0" w:line="21" w:lineRule="atLeast"/>
              <w:jc w:val="center"/>
              <w:rPr>
                <w:rFonts w:ascii="宋体" w:hAnsi="宋体" w:cs="宋体"/>
                <w:szCs w:val="24"/>
              </w:rPr>
            </w:pPr>
          </w:p>
        </w:tc>
        <w:tc>
          <w:tcPr>
            <w:tcW w:w="611" w:type="dxa"/>
            <w:tcBorders>
              <w:top w:val="nil"/>
              <w:left w:val="nil"/>
              <w:bottom w:val="single" w:color="auto" w:sz="4" w:space="0"/>
              <w:right w:val="single" w:color="auto" w:sz="8" w:space="0"/>
            </w:tcBorders>
            <w:tcMar>
              <w:top w:w="0" w:type="dxa"/>
              <w:left w:w="108" w:type="dxa"/>
              <w:bottom w:w="0" w:type="dxa"/>
              <w:right w:w="108" w:type="dxa"/>
            </w:tcMar>
            <w:vAlign w:val="center"/>
          </w:tcPr>
          <w:p w14:paraId="06DDA156">
            <w:pPr>
              <w:pStyle w:val="21"/>
              <w:widowControl/>
              <w:spacing w:before="0" w:beforeAutospacing="0" w:after="0" w:afterAutospacing="0" w:line="21" w:lineRule="atLeast"/>
              <w:jc w:val="center"/>
              <w:rPr>
                <w:rFonts w:ascii="宋体" w:hAnsi="宋体" w:cs="宋体"/>
                <w:szCs w:val="24"/>
              </w:rPr>
            </w:pPr>
          </w:p>
        </w:tc>
        <w:tc>
          <w:tcPr>
            <w:tcW w:w="934" w:type="dxa"/>
            <w:tcBorders>
              <w:top w:val="nil"/>
              <w:left w:val="nil"/>
              <w:bottom w:val="single" w:color="auto" w:sz="4" w:space="0"/>
              <w:right w:val="single" w:color="auto" w:sz="8" w:space="0"/>
            </w:tcBorders>
            <w:tcMar>
              <w:top w:w="0" w:type="dxa"/>
              <w:left w:w="108" w:type="dxa"/>
              <w:bottom w:w="0" w:type="dxa"/>
              <w:right w:w="108" w:type="dxa"/>
            </w:tcMar>
            <w:vAlign w:val="center"/>
          </w:tcPr>
          <w:p w14:paraId="7ECE8B2B">
            <w:pPr>
              <w:pStyle w:val="21"/>
              <w:widowControl/>
              <w:spacing w:before="0" w:beforeAutospacing="0" w:after="0" w:afterAutospacing="0" w:line="21" w:lineRule="atLeast"/>
              <w:jc w:val="center"/>
              <w:rPr>
                <w:rFonts w:ascii="宋体" w:hAnsi="宋体" w:cs="宋体"/>
                <w:szCs w:val="24"/>
              </w:rPr>
            </w:pPr>
          </w:p>
        </w:tc>
        <w:tc>
          <w:tcPr>
            <w:tcW w:w="817" w:type="dxa"/>
            <w:tcBorders>
              <w:top w:val="nil"/>
              <w:left w:val="nil"/>
              <w:bottom w:val="single" w:color="auto" w:sz="4" w:space="0"/>
              <w:right w:val="single" w:color="auto" w:sz="8" w:space="0"/>
            </w:tcBorders>
            <w:tcMar>
              <w:top w:w="0" w:type="dxa"/>
              <w:left w:w="108" w:type="dxa"/>
              <w:bottom w:w="0" w:type="dxa"/>
              <w:right w:w="108" w:type="dxa"/>
            </w:tcMar>
            <w:vAlign w:val="center"/>
          </w:tcPr>
          <w:p w14:paraId="7D3136F2">
            <w:pPr>
              <w:pStyle w:val="21"/>
              <w:widowControl/>
              <w:spacing w:before="0" w:beforeAutospacing="0" w:after="0" w:afterAutospacing="0" w:line="21" w:lineRule="atLeast"/>
              <w:jc w:val="center"/>
              <w:rPr>
                <w:rFonts w:ascii="宋体" w:hAnsi="宋体" w:cs="宋体"/>
                <w:szCs w:val="24"/>
              </w:rPr>
            </w:pPr>
          </w:p>
        </w:tc>
        <w:tc>
          <w:tcPr>
            <w:tcW w:w="736" w:type="dxa"/>
            <w:tcBorders>
              <w:top w:val="nil"/>
              <w:left w:val="nil"/>
              <w:bottom w:val="single" w:color="auto" w:sz="4" w:space="0"/>
              <w:right w:val="single" w:color="auto" w:sz="8" w:space="0"/>
            </w:tcBorders>
            <w:tcMar>
              <w:top w:w="0" w:type="dxa"/>
              <w:left w:w="108" w:type="dxa"/>
              <w:bottom w:w="0" w:type="dxa"/>
              <w:right w:w="108" w:type="dxa"/>
            </w:tcMar>
            <w:vAlign w:val="center"/>
          </w:tcPr>
          <w:p w14:paraId="46BB9E65">
            <w:pPr>
              <w:pStyle w:val="21"/>
              <w:widowControl/>
              <w:spacing w:before="0" w:beforeAutospacing="0" w:after="0" w:afterAutospacing="0" w:line="21" w:lineRule="atLeast"/>
              <w:jc w:val="center"/>
              <w:rPr>
                <w:rFonts w:ascii="宋体" w:hAnsi="宋体" w:cs="宋体"/>
                <w:szCs w:val="24"/>
              </w:rPr>
            </w:pPr>
          </w:p>
        </w:tc>
      </w:tr>
      <w:tr w14:paraId="4FC1568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983" w:hRule="atLeast"/>
        </w:trPr>
        <w:tc>
          <w:tcPr>
            <w:tcW w:w="1713"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F2B060B">
            <w:pPr>
              <w:spacing w:line="360" w:lineRule="auto"/>
              <w:jc w:val="center"/>
              <w:rPr>
                <w:rFonts w:ascii="宋体" w:hAnsi="宋体" w:cs="宋体"/>
                <w:sz w:val="24"/>
                <w:szCs w:val="24"/>
              </w:rPr>
            </w:pPr>
            <w:r>
              <w:rPr>
                <w:rFonts w:hint="eastAsia" w:ascii="宋体" w:hAnsi="宋体" w:cs="宋体"/>
                <w:sz w:val="24"/>
                <w:szCs w:val="24"/>
              </w:rPr>
              <w:t>合计</w:t>
            </w:r>
          </w:p>
        </w:tc>
        <w:tc>
          <w:tcPr>
            <w:tcW w:w="7161" w:type="dxa"/>
            <w:gridSpan w:val="9"/>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74E0F0A2">
            <w:pPr>
              <w:pStyle w:val="21"/>
              <w:widowControl/>
              <w:spacing w:before="0" w:beforeAutospacing="0" w:after="0" w:afterAutospacing="0" w:line="21" w:lineRule="atLeast"/>
              <w:rPr>
                <w:rFonts w:ascii="宋体" w:hAnsi="宋体" w:cs="宋体"/>
                <w:szCs w:val="24"/>
              </w:rPr>
            </w:pPr>
            <w:r>
              <w:rPr>
                <w:rFonts w:hint="eastAsia" w:ascii="宋体" w:hAnsi="宋体" w:cs="宋体"/>
                <w:szCs w:val="24"/>
              </w:rPr>
              <w:t>总报价（大写）：                  ￥：（小写：            ）</w:t>
            </w:r>
          </w:p>
        </w:tc>
      </w:tr>
      <w:tr w14:paraId="7925AC1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983" w:hRule="atLeast"/>
        </w:trPr>
        <w:tc>
          <w:tcPr>
            <w:tcW w:w="1713"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BB6BBC4">
            <w:pPr>
              <w:spacing w:line="360" w:lineRule="auto"/>
              <w:jc w:val="center"/>
              <w:rPr>
                <w:rFonts w:ascii="宋体" w:hAnsi="宋体" w:cs="宋体"/>
                <w:sz w:val="24"/>
                <w:szCs w:val="24"/>
              </w:rPr>
            </w:pPr>
            <w:r>
              <w:rPr>
                <w:rFonts w:hint="eastAsia" w:ascii="宋体" w:hAnsi="宋体" w:cs="宋体"/>
                <w:sz w:val="24"/>
                <w:szCs w:val="24"/>
              </w:rPr>
              <w:t>供货期</w:t>
            </w:r>
          </w:p>
        </w:tc>
        <w:tc>
          <w:tcPr>
            <w:tcW w:w="7161" w:type="dxa"/>
            <w:gridSpan w:val="9"/>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6FD2A3F4">
            <w:pPr>
              <w:pStyle w:val="21"/>
              <w:widowControl/>
              <w:spacing w:before="0" w:beforeAutospacing="0" w:after="0" w:afterAutospacing="0" w:line="21" w:lineRule="atLeast"/>
              <w:jc w:val="center"/>
              <w:rPr>
                <w:rFonts w:ascii="宋体" w:hAnsi="宋体" w:cs="宋体"/>
                <w:szCs w:val="24"/>
              </w:rPr>
            </w:pPr>
          </w:p>
        </w:tc>
      </w:tr>
      <w:tr w14:paraId="7913E7D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1003" w:hRule="atLeast"/>
        </w:trPr>
        <w:tc>
          <w:tcPr>
            <w:tcW w:w="1713"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AECEC49">
            <w:pPr>
              <w:spacing w:line="360" w:lineRule="auto"/>
              <w:jc w:val="center"/>
              <w:rPr>
                <w:rFonts w:ascii="宋体" w:hAnsi="宋体" w:cs="宋体"/>
                <w:sz w:val="24"/>
                <w:szCs w:val="24"/>
              </w:rPr>
            </w:pPr>
            <w:r>
              <w:rPr>
                <w:rFonts w:hint="eastAsia" w:ascii="宋体" w:hAnsi="宋体" w:cs="宋体"/>
                <w:sz w:val="24"/>
                <w:szCs w:val="24"/>
              </w:rPr>
              <w:t>质保期</w:t>
            </w:r>
          </w:p>
        </w:tc>
        <w:tc>
          <w:tcPr>
            <w:tcW w:w="7161" w:type="dxa"/>
            <w:gridSpan w:val="9"/>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508E1A61">
            <w:pPr>
              <w:spacing w:line="460" w:lineRule="exact"/>
              <w:jc w:val="center"/>
              <w:rPr>
                <w:rFonts w:ascii="宋体" w:hAnsi="宋体" w:cs="宋体"/>
                <w:sz w:val="24"/>
                <w:szCs w:val="24"/>
              </w:rPr>
            </w:pPr>
          </w:p>
        </w:tc>
      </w:tr>
      <w:tr w14:paraId="0A30DE3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1003" w:hRule="atLeast"/>
        </w:trPr>
        <w:tc>
          <w:tcPr>
            <w:tcW w:w="8874" w:type="dxa"/>
            <w:gridSpan w:val="11"/>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51348D21">
            <w:pPr>
              <w:spacing w:line="460" w:lineRule="exact"/>
              <w:jc w:val="left"/>
              <w:rPr>
                <w:rFonts w:ascii="宋体" w:hAnsi="宋体" w:cs="宋体"/>
                <w:sz w:val="24"/>
                <w:szCs w:val="24"/>
              </w:rPr>
            </w:pPr>
            <w:r>
              <w:rPr>
                <w:rFonts w:hint="eastAsia" w:ascii="宋体" w:hAnsi="宋体" w:cs="宋体"/>
                <w:b/>
                <w:bCs/>
                <w:sz w:val="24"/>
                <w:szCs w:val="24"/>
                <w:lang w:val="en-US" w:eastAsia="zh-CN"/>
              </w:rPr>
              <w:t>注</w:t>
            </w:r>
            <w:r>
              <w:rPr>
                <w:rFonts w:hint="eastAsia" w:ascii="宋体" w:hAnsi="宋体" w:cs="宋体"/>
                <w:b/>
                <w:bCs/>
                <w:sz w:val="24"/>
                <w:szCs w:val="24"/>
              </w:rPr>
              <w:t>：耗材不计入报价总价，单独列出</w:t>
            </w:r>
          </w:p>
        </w:tc>
      </w:tr>
    </w:tbl>
    <w:p w14:paraId="6522B074">
      <w:pPr>
        <w:pStyle w:val="31"/>
        <w:spacing w:line="360" w:lineRule="auto"/>
        <w:ind w:firstLine="475" w:firstLineChars="198"/>
        <w:jc w:val="both"/>
        <w:rPr>
          <w:rFonts w:ascii="宋体" w:hAnsi="宋体"/>
        </w:rPr>
      </w:pPr>
    </w:p>
    <w:p w14:paraId="436B1976">
      <w:pPr>
        <w:adjustRightInd w:val="0"/>
        <w:snapToGrid w:val="0"/>
        <w:spacing w:line="360" w:lineRule="auto"/>
        <w:ind w:firstLine="1653" w:firstLineChars="784"/>
        <w:rPr>
          <w:rFonts w:ascii="宋体" w:hAnsi="宋体"/>
          <w:szCs w:val="24"/>
          <w:highlight w:val="yellow"/>
        </w:rPr>
      </w:pPr>
      <w:r>
        <w:rPr>
          <w:rFonts w:ascii="宋体" w:hAnsi="宋体"/>
          <w:b/>
          <w:szCs w:val="24"/>
        </w:rPr>
        <w:t xml:space="preserve">                                 </w:t>
      </w:r>
    </w:p>
    <w:p w14:paraId="23017209">
      <w:pPr>
        <w:tabs>
          <w:tab w:val="left" w:pos="4000"/>
        </w:tabs>
        <w:snapToGrid w:val="0"/>
        <w:spacing w:line="300" w:lineRule="auto"/>
        <w:jc w:val="left"/>
        <w:rPr>
          <w:rFonts w:ascii="宋体" w:hAnsi="宋体"/>
          <w:kern w:val="0"/>
          <w:sz w:val="24"/>
          <w:szCs w:val="24"/>
        </w:rPr>
      </w:pPr>
      <w:r>
        <w:rPr>
          <w:rFonts w:hint="eastAsia" w:ascii="宋体" w:hAnsi="宋体"/>
          <w:spacing w:val="20"/>
          <w:kern w:val="0"/>
          <w:sz w:val="24"/>
          <w:szCs w:val="24"/>
        </w:rPr>
        <w:t> </w:t>
      </w:r>
    </w:p>
    <w:p w14:paraId="63517952">
      <w:pPr>
        <w:tabs>
          <w:tab w:val="left" w:pos="4000"/>
        </w:tabs>
        <w:snapToGrid w:val="0"/>
        <w:spacing w:line="300" w:lineRule="auto"/>
        <w:jc w:val="left"/>
        <w:rPr>
          <w:rFonts w:ascii="宋体" w:hAnsi="宋体"/>
          <w:snapToGrid w:val="0"/>
          <w:kern w:val="0"/>
          <w:sz w:val="24"/>
          <w:szCs w:val="24"/>
        </w:rPr>
      </w:pPr>
      <w:r>
        <w:rPr>
          <w:rFonts w:hint="eastAsia" w:ascii="宋体" w:hAnsi="宋体"/>
          <w:spacing w:val="20"/>
          <w:kern w:val="0"/>
          <w:sz w:val="24"/>
          <w:szCs w:val="24"/>
        </w:rPr>
        <w:t> </w:t>
      </w:r>
    </w:p>
    <w:p w14:paraId="5D0B7B71">
      <w:pPr>
        <w:keepNext/>
        <w:adjustRightInd w:val="0"/>
        <w:snapToGrid w:val="0"/>
        <w:spacing w:line="360" w:lineRule="auto"/>
        <w:ind w:firstLine="2760" w:firstLineChars="1150"/>
        <w:rPr>
          <w:rFonts w:ascii="宋体" w:hAnsi="宋体"/>
          <w:sz w:val="24"/>
          <w:szCs w:val="24"/>
        </w:rPr>
      </w:pPr>
      <w:r>
        <w:rPr>
          <w:rFonts w:hint="eastAsia" w:ascii="宋体" w:hAnsi="宋体"/>
          <w:sz w:val="24"/>
          <w:szCs w:val="24"/>
        </w:rPr>
        <w:t>供应商（</w:t>
      </w:r>
      <w:r>
        <w:rPr>
          <w:rFonts w:hint="eastAsia" w:ascii="宋体" w:hAnsi="宋体" w:cs="宋体"/>
          <w:kern w:val="0"/>
          <w:sz w:val="24"/>
          <w:szCs w:val="24"/>
        </w:rPr>
        <w:t>电子公章</w:t>
      </w:r>
      <w:r>
        <w:rPr>
          <w:rFonts w:hint="eastAsia" w:ascii="宋体" w:hAnsi="宋体"/>
          <w:sz w:val="24"/>
          <w:szCs w:val="24"/>
        </w:rPr>
        <w:t>）：</w:t>
      </w:r>
      <w:r>
        <w:rPr>
          <w:rFonts w:ascii="宋体" w:hAnsi="宋体"/>
          <w:sz w:val="24"/>
          <w:szCs w:val="24"/>
          <w:u w:val="single"/>
        </w:rPr>
        <w:t xml:space="preserve">                          </w:t>
      </w:r>
    </w:p>
    <w:p w14:paraId="5D9140B5">
      <w:pPr>
        <w:keepNext/>
        <w:adjustRightInd w:val="0"/>
        <w:snapToGrid w:val="0"/>
        <w:spacing w:line="360" w:lineRule="auto"/>
        <w:ind w:firstLine="2760" w:firstLineChars="1150"/>
        <w:rPr>
          <w:rFonts w:ascii="宋体" w:hAnsi="宋体"/>
          <w:sz w:val="24"/>
          <w:szCs w:val="24"/>
        </w:rPr>
      </w:pPr>
      <w:r>
        <w:rPr>
          <w:rFonts w:hint="eastAsia" w:ascii="宋体" w:hAnsi="宋体"/>
          <w:sz w:val="24"/>
          <w:szCs w:val="24"/>
        </w:rPr>
        <w:t>法定代表人或</w:t>
      </w:r>
      <w:r>
        <w:rPr>
          <w:rFonts w:hint="eastAsia" w:ascii="宋体" w:hAnsi="宋体" w:cs="宋体"/>
          <w:sz w:val="24"/>
          <w:szCs w:val="24"/>
        </w:rPr>
        <w:t>委托代理人</w:t>
      </w:r>
      <w:r>
        <w:rPr>
          <w:rFonts w:hint="eastAsia" w:ascii="宋体" w:hAnsi="宋体"/>
          <w:sz w:val="24"/>
          <w:szCs w:val="24"/>
        </w:rPr>
        <w:t>（</w:t>
      </w:r>
      <w:r>
        <w:rPr>
          <w:rFonts w:hint="eastAsia" w:ascii="宋体" w:hAnsi="宋体" w:cs="宋体"/>
          <w:kern w:val="0"/>
          <w:sz w:val="24"/>
          <w:szCs w:val="24"/>
        </w:rPr>
        <w:t>电子签字或盖章</w:t>
      </w:r>
      <w:r>
        <w:rPr>
          <w:rFonts w:hint="eastAsia" w:ascii="宋体" w:hAnsi="宋体"/>
          <w:sz w:val="24"/>
          <w:szCs w:val="24"/>
        </w:rPr>
        <w:t>）：</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01F4F5F2">
      <w:pPr>
        <w:tabs>
          <w:tab w:val="left" w:pos="4000"/>
        </w:tabs>
        <w:overflowPunct w:val="0"/>
        <w:topLinePunct/>
        <w:autoSpaceDN w:val="0"/>
        <w:adjustRightInd w:val="0"/>
        <w:snapToGrid w:val="0"/>
        <w:spacing w:line="360" w:lineRule="auto"/>
        <w:ind w:firstLine="2760" w:firstLineChars="1150"/>
        <w:rPr>
          <w:rFonts w:ascii="宋体" w:hAnsi="宋体"/>
          <w:sz w:val="24"/>
          <w:szCs w:val="24"/>
          <w:u w:val="single"/>
        </w:rPr>
      </w:pPr>
      <w:r>
        <w:rPr>
          <w:rFonts w:hint="eastAsia" w:ascii="宋体" w:hAnsi="宋体"/>
          <w:sz w:val="24"/>
          <w:szCs w:val="24"/>
        </w:rPr>
        <w:t>日</w:t>
      </w:r>
      <w:r>
        <w:rPr>
          <w:rFonts w:ascii="宋体" w:hAnsi="宋体"/>
          <w:sz w:val="24"/>
          <w:szCs w:val="24"/>
        </w:rPr>
        <w:t xml:space="preserve">         </w:t>
      </w:r>
      <w:r>
        <w:rPr>
          <w:rFonts w:hint="eastAsia" w:ascii="宋体" w:hAnsi="宋体"/>
          <w:sz w:val="24"/>
          <w:szCs w:val="24"/>
        </w:rPr>
        <w:t>期：</w:t>
      </w:r>
      <w:r>
        <w:rPr>
          <w:rFonts w:ascii="宋体" w:hAnsi="宋体"/>
          <w:sz w:val="24"/>
          <w:szCs w:val="24"/>
          <w:u w:val="single"/>
        </w:rPr>
        <w:t xml:space="preserve">                             </w:t>
      </w:r>
    </w:p>
    <w:p w14:paraId="4576AF84">
      <w:pPr>
        <w:tabs>
          <w:tab w:val="left" w:pos="4000"/>
        </w:tabs>
        <w:overflowPunct w:val="0"/>
        <w:topLinePunct/>
        <w:autoSpaceDN w:val="0"/>
        <w:adjustRightInd w:val="0"/>
        <w:snapToGrid w:val="0"/>
        <w:spacing w:line="360" w:lineRule="auto"/>
        <w:ind w:firstLine="480" w:firstLineChars="200"/>
        <w:rPr>
          <w:rFonts w:ascii="宋体" w:hAnsi="宋体"/>
          <w:snapToGrid w:val="0"/>
          <w:kern w:val="0"/>
          <w:sz w:val="24"/>
          <w:szCs w:val="24"/>
          <w:u w:val="single"/>
        </w:rPr>
      </w:pPr>
    </w:p>
    <w:p w14:paraId="553AFFF1">
      <w:pPr>
        <w:overflowPunct w:val="0"/>
        <w:topLinePunct/>
        <w:autoSpaceDN w:val="0"/>
        <w:adjustRightInd w:val="0"/>
        <w:snapToGrid w:val="0"/>
        <w:spacing w:line="360" w:lineRule="auto"/>
        <w:rPr>
          <w:rFonts w:ascii="宋体" w:hAnsi="宋体"/>
          <w:b/>
          <w:snapToGrid w:val="0"/>
          <w:kern w:val="0"/>
          <w:sz w:val="24"/>
          <w:szCs w:val="24"/>
        </w:rPr>
      </w:pPr>
      <w:r>
        <w:rPr>
          <w:rFonts w:ascii="宋体" w:hAnsi="宋体"/>
          <w:snapToGrid w:val="0"/>
          <w:kern w:val="0"/>
          <w:sz w:val="24"/>
          <w:szCs w:val="24"/>
        </w:rPr>
        <w:br w:type="page"/>
      </w:r>
    </w:p>
    <w:p w14:paraId="5653CA09">
      <w:pPr>
        <w:keepNext/>
        <w:keepLines/>
        <w:widowControl w:val="0"/>
        <w:tabs>
          <w:tab w:val="left" w:pos="780"/>
        </w:tabs>
        <w:spacing w:before="260" w:after="260" w:line="413" w:lineRule="auto"/>
        <w:jc w:val="center"/>
        <w:outlineLvl w:val="9"/>
        <w:rPr>
          <w:rFonts w:hint="eastAsia" w:ascii="宋体" w:hAnsi="宋体" w:eastAsia="宋体" w:cs="Times New Roman"/>
          <w:b/>
          <w:snapToGrid w:val="0"/>
          <w:kern w:val="0"/>
          <w:sz w:val="24"/>
          <w:szCs w:val="24"/>
          <w:lang w:val="en-US" w:eastAsia="zh-CN" w:bidi="ar-SA"/>
        </w:rPr>
        <w:sectPr>
          <w:pgSz w:w="11906" w:h="16838"/>
          <w:pgMar w:top="1134" w:right="1134" w:bottom="1134" w:left="1134" w:header="851" w:footer="992" w:gutter="0"/>
          <w:cols w:space="720" w:num="1"/>
          <w:docGrid w:type="lines" w:linePitch="312" w:charSpace="0"/>
        </w:sectPr>
      </w:pPr>
    </w:p>
    <w:p w14:paraId="1D80A248">
      <w:pPr>
        <w:pStyle w:val="3"/>
        <w:tabs>
          <w:tab w:val="left" w:pos="780"/>
        </w:tabs>
        <w:jc w:val="center"/>
        <w:outlineLvl w:val="9"/>
        <w:rPr>
          <w:rFonts w:hint="eastAsia" w:ascii="宋体" w:hAnsi="宋体"/>
          <w:b/>
          <w:snapToGrid w:val="0"/>
          <w:sz w:val="24"/>
          <w:szCs w:val="24"/>
          <w:lang w:val="en-US" w:eastAsia="zh-CN"/>
        </w:rPr>
      </w:pPr>
      <w:r>
        <w:rPr>
          <w:rFonts w:hint="eastAsia" w:ascii="宋体" w:hAnsi="宋体"/>
          <w:b/>
          <w:snapToGrid w:val="0"/>
          <w:sz w:val="24"/>
          <w:szCs w:val="24"/>
          <w:lang w:val="en-US" w:eastAsia="zh-CN"/>
        </w:rPr>
        <w:t>耗材、易耗配件报价表</w:t>
      </w:r>
    </w:p>
    <w:p w14:paraId="55F72719">
      <w:pPr>
        <w:pStyle w:val="31"/>
        <w:spacing w:line="360" w:lineRule="auto"/>
        <w:ind w:firstLine="475" w:firstLineChars="198"/>
        <w:jc w:val="both"/>
        <w:rPr>
          <w:rFonts w:ascii="宋体" w:hAnsi="宋体"/>
          <w:snapToGrid w:val="0"/>
          <w:u w:val="single"/>
        </w:rPr>
      </w:pPr>
      <w:r>
        <w:rPr>
          <w:rFonts w:hint="eastAsia" w:ascii="宋体" w:hAnsi="宋体"/>
        </w:rPr>
        <w:t>项目名称：</w:t>
      </w:r>
      <w:r>
        <w:rPr>
          <w:rFonts w:ascii="宋体" w:hAnsi="宋体"/>
          <w:snapToGrid w:val="0"/>
          <w:u w:val="single"/>
        </w:rPr>
        <w:t xml:space="preserve">                         </w:t>
      </w:r>
    </w:p>
    <w:p w14:paraId="66C55291">
      <w:pPr>
        <w:pStyle w:val="31"/>
        <w:spacing w:line="360" w:lineRule="auto"/>
        <w:ind w:firstLine="475" w:firstLineChars="198"/>
        <w:jc w:val="both"/>
        <w:rPr>
          <w:rFonts w:ascii="宋体" w:hAnsi="宋体"/>
          <w:snapToGrid w:val="0"/>
          <w:u w:val="single"/>
        </w:rPr>
      </w:pPr>
      <w:r>
        <w:rPr>
          <w:rFonts w:hint="eastAsia" w:ascii="宋体" w:hAnsi="宋体"/>
        </w:rPr>
        <w:t>项目编号：</w:t>
      </w:r>
      <w:r>
        <w:rPr>
          <w:rFonts w:ascii="宋体" w:hAnsi="宋体"/>
          <w:snapToGrid w:val="0"/>
          <w:u w:val="single"/>
        </w:rPr>
        <w:t xml:space="preserve">                         </w:t>
      </w:r>
    </w:p>
    <w:p w14:paraId="2D2BFCFF">
      <w:pPr>
        <w:rPr>
          <w:rFonts w:hint="eastAsia" w:ascii="宋体" w:hAnsi="宋体"/>
          <w:b/>
          <w:snapToGrid w:val="0"/>
          <w:sz w:val="24"/>
          <w:szCs w:val="24"/>
          <w:lang w:val="en-US" w:eastAsia="zh-CN"/>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8"/>
        <w:gridCol w:w="1232"/>
        <w:gridCol w:w="1232"/>
        <w:gridCol w:w="1232"/>
        <w:gridCol w:w="1232"/>
        <w:gridCol w:w="1232"/>
        <w:gridCol w:w="1232"/>
      </w:tblGrid>
      <w:tr w14:paraId="2B07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844" w:type="dxa"/>
            <w:vAlign w:val="center"/>
          </w:tcPr>
          <w:p w14:paraId="56DE616C">
            <w:pPr>
              <w:pStyle w:val="21"/>
              <w:widowControl/>
              <w:spacing w:before="0" w:beforeAutospacing="0" w:after="0" w:afterAutospacing="0" w:line="21" w:lineRule="atLeast"/>
              <w:jc w:val="center"/>
              <w:rPr>
                <w:rFonts w:hint="default" w:ascii="宋体" w:hAnsi="宋体" w:cs="宋体"/>
                <w:szCs w:val="24"/>
                <w:lang w:val="en-US" w:eastAsia="zh-CN"/>
              </w:rPr>
            </w:pPr>
            <w:r>
              <w:rPr>
                <w:rFonts w:hint="eastAsia" w:ascii="宋体" w:hAnsi="宋体" w:cs="宋体"/>
                <w:szCs w:val="24"/>
                <w:lang w:val="en-US" w:eastAsia="zh-CN"/>
              </w:rPr>
              <w:t>序号</w:t>
            </w:r>
          </w:p>
        </w:tc>
        <w:tc>
          <w:tcPr>
            <w:tcW w:w="1618" w:type="dxa"/>
            <w:vAlign w:val="center"/>
          </w:tcPr>
          <w:p w14:paraId="0989F84E">
            <w:pPr>
              <w:pStyle w:val="21"/>
              <w:widowControl/>
              <w:spacing w:before="0" w:beforeAutospacing="0" w:after="0" w:afterAutospacing="0" w:line="21" w:lineRule="atLeast"/>
              <w:jc w:val="center"/>
              <w:rPr>
                <w:rFonts w:hint="default" w:ascii="宋体" w:hAnsi="宋体" w:cs="宋体"/>
                <w:szCs w:val="24"/>
                <w:lang w:val="en-US" w:eastAsia="zh-CN"/>
              </w:rPr>
            </w:pPr>
            <w:r>
              <w:rPr>
                <w:rFonts w:hint="eastAsia" w:ascii="宋体" w:hAnsi="宋体" w:cs="宋体"/>
                <w:szCs w:val="24"/>
                <w:lang w:val="en-US" w:eastAsia="zh-CN"/>
              </w:rPr>
              <w:t>耗材名称</w:t>
            </w:r>
          </w:p>
        </w:tc>
        <w:tc>
          <w:tcPr>
            <w:tcW w:w="1232" w:type="dxa"/>
            <w:vAlign w:val="center"/>
          </w:tcPr>
          <w:p w14:paraId="7F62DCDF">
            <w:pPr>
              <w:pStyle w:val="21"/>
              <w:widowControl/>
              <w:spacing w:before="0" w:beforeAutospacing="0" w:after="0" w:afterAutospacing="0" w:line="21" w:lineRule="atLeast"/>
              <w:jc w:val="center"/>
              <w:rPr>
                <w:rFonts w:hint="eastAsia" w:ascii="宋体" w:hAnsi="宋体" w:cs="宋体"/>
                <w:szCs w:val="24"/>
                <w:lang w:val="en-US" w:eastAsia="zh-CN"/>
              </w:rPr>
            </w:pPr>
            <w:r>
              <w:rPr>
                <w:rFonts w:hint="eastAsia" w:ascii="宋体" w:hAnsi="宋体" w:cs="宋体"/>
                <w:szCs w:val="24"/>
                <w:lang w:val="en-US" w:eastAsia="zh-CN"/>
              </w:rPr>
              <w:t>型号</w:t>
            </w:r>
          </w:p>
          <w:p w14:paraId="5E3035CD">
            <w:pPr>
              <w:pStyle w:val="21"/>
              <w:widowControl/>
              <w:spacing w:before="0" w:beforeAutospacing="0" w:after="0" w:afterAutospacing="0" w:line="21" w:lineRule="atLeast"/>
              <w:jc w:val="center"/>
              <w:rPr>
                <w:rFonts w:hint="default" w:ascii="宋体" w:hAnsi="宋体" w:cs="宋体"/>
                <w:szCs w:val="24"/>
                <w:lang w:val="en-US" w:eastAsia="zh-CN"/>
              </w:rPr>
            </w:pPr>
            <w:r>
              <w:rPr>
                <w:rFonts w:hint="eastAsia" w:ascii="宋体" w:hAnsi="宋体" w:cs="宋体"/>
                <w:szCs w:val="24"/>
                <w:lang w:val="en-US" w:eastAsia="zh-CN"/>
              </w:rPr>
              <w:t>规格</w:t>
            </w:r>
          </w:p>
        </w:tc>
        <w:tc>
          <w:tcPr>
            <w:tcW w:w="1232" w:type="dxa"/>
            <w:vAlign w:val="center"/>
          </w:tcPr>
          <w:p w14:paraId="0A741D46">
            <w:pPr>
              <w:pStyle w:val="21"/>
              <w:widowControl/>
              <w:spacing w:before="0" w:beforeAutospacing="0" w:after="0" w:afterAutospacing="0" w:line="21" w:lineRule="atLeast"/>
              <w:jc w:val="center"/>
              <w:rPr>
                <w:rFonts w:hint="default" w:ascii="宋体" w:hAnsi="宋体" w:cs="宋体"/>
                <w:szCs w:val="24"/>
                <w:lang w:val="en-US" w:eastAsia="zh-CN"/>
              </w:rPr>
            </w:pPr>
            <w:r>
              <w:rPr>
                <w:rFonts w:hint="eastAsia" w:ascii="宋体" w:hAnsi="宋体" w:cs="宋体"/>
                <w:szCs w:val="24"/>
                <w:lang w:val="en-US" w:eastAsia="zh-CN"/>
              </w:rPr>
              <w:t>开放式/封闭式</w:t>
            </w:r>
          </w:p>
        </w:tc>
        <w:tc>
          <w:tcPr>
            <w:tcW w:w="1232" w:type="dxa"/>
            <w:vAlign w:val="center"/>
          </w:tcPr>
          <w:p w14:paraId="500FA71A">
            <w:pPr>
              <w:pStyle w:val="21"/>
              <w:widowControl/>
              <w:spacing w:before="0" w:beforeAutospacing="0" w:after="0" w:afterAutospacing="0" w:line="21" w:lineRule="atLeast"/>
              <w:jc w:val="center"/>
              <w:rPr>
                <w:rFonts w:hint="default" w:ascii="宋体" w:hAnsi="宋体" w:cs="宋体"/>
                <w:szCs w:val="24"/>
                <w:lang w:val="en-US" w:eastAsia="zh-CN"/>
              </w:rPr>
            </w:pPr>
            <w:r>
              <w:rPr>
                <w:rFonts w:hint="eastAsia" w:ascii="宋体" w:hAnsi="宋体" w:cs="宋体"/>
                <w:szCs w:val="24"/>
                <w:lang w:val="en-US" w:eastAsia="zh-CN"/>
              </w:rPr>
              <w:t>是否属于医疗器械</w:t>
            </w:r>
          </w:p>
        </w:tc>
        <w:tc>
          <w:tcPr>
            <w:tcW w:w="1232" w:type="dxa"/>
            <w:vAlign w:val="center"/>
          </w:tcPr>
          <w:p w14:paraId="2470D364">
            <w:pPr>
              <w:pStyle w:val="21"/>
              <w:widowControl/>
              <w:spacing w:before="0" w:beforeAutospacing="0" w:after="0" w:afterAutospacing="0" w:line="21" w:lineRule="atLeast"/>
              <w:jc w:val="center"/>
              <w:rPr>
                <w:rFonts w:hint="default" w:ascii="宋体" w:hAnsi="宋体" w:cs="宋体"/>
                <w:szCs w:val="24"/>
                <w:lang w:val="en-US" w:eastAsia="zh-CN"/>
              </w:rPr>
            </w:pPr>
            <w:r>
              <w:rPr>
                <w:rFonts w:hint="eastAsia" w:ascii="宋体" w:hAnsi="宋体" w:cs="宋体"/>
                <w:szCs w:val="24"/>
                <w:lang w:val="en-US" w:eastAsia="zh-CN"/>
              </w:rPr>
              <w:t>制造商名称</w:t>
            </w:r>
          </w:p>
        </w:tc>
        <w:tc>
          <w:tcPr>
            <w:tcW w:w="1232" w:type="dxa"/>
            <w:vAlign w:val="center"/>
          </w:tcPr>
          <w:p w14:paraId="11DC19D3">
            <w:pPr>
              <w:pStyle w:val="21"/>
              <w:widowControl/>
              <w:spacing w:before="0" w:beforeAutospacing="0" w:after="0" w:afterAutospacing="0" w:line="21" w:lineRule="atLeast"/>
              <w:jc w:val="center"/>
              <w:rPr>
                <w:rFonts w:hint="eastAsia" w:ascii="宋体" w:hAnsi="宋体" w:cs="宋体"/>
                <w:szCs w:val="24"/>
                <w:lang w:val="en-US" w:eastAsia="zh-CN"/>
              </w:rPr>
            </w:pPr>
            <w:r>
              <w:rPr>
                <w:rFonts w:hint="eastAsia" w:ascii="宋体" w:hAnsi="宋体" w:cs="宋体"/>
                <w:szCs w:val="24"/>
                <w:lang w:val="en-US" w:eastAsia="zh-CN"/>
              </w:rPr>
              <w:t>医疗器械</w:t>
            </w:r>
          </w:p>
          <w:p w14:paraId="52F78B81">
            <w:pPr>
              <w:pStyle w:val="21"/>
              <w:widowControl/>
              <w:spacing w:before="0" w:beforeAutospacing="0" w:after="0" w:afterAutospacing="0" w:line="21" w:lineRule="atLeast"/>
              <w:jc w:val="center"/>
              <w:rPr>
                <w:rFonts w:hint="default" w:ascii="宋体" w:hAnsi="宋体" w:cs="宋体"/>
                <w:szCs w:val="24"/>
                <w:lang w:val="en-US" w:eastAsia="zh-CN"/>
              </w:rPr>
            </w:pPr>
            <w:r>
              <w:rPr>
                <w:rFonts w:hint="eastAsia" w:ascii="宋体" w:hAnsi="宋体" w:cs="宋体"/>
                <w:szCs w:val="24"/>
                <w:lang w:val="en-US" w:eastAsia="zh-CN"/>
              </w:rPr>
              <w:t>注册证号</w:t>
            </w:r>
          </w:p>
        </w:tc>
        <w:tc>
          <w:tcPr>
            <w:tcW w:w="1232" w:type="dxa"/>
            <w:vAlign w:val="center"/>
          </w:tcPr>
          <w:p w14:paraId="41F04042">
            <w:pPr>
              <w:pStyle w:val="21"/>
              <w:widowControl/>
              <w:spacing w:before="0" w:beforeAutospacing="0" w:after="0" w:afterAutospacing="0" w:line="21" w:lineRule="atLeast"/>
              <w:jc w:val="center"/>
              <w:rPr>
                <w:rFonts w:hint="default" w:ascii="宋体" w:hAnsi="宋体" w:cs="宋体"/>
                <w:szCs w:val="24"/>
                <w:lang w:val="en-US" w:eastAsia="zh-CN"/>
              </w:rPr>
            </w:pPr>
            <w:r>
              <w:rPr>
                <w:rFonts w:hint="eastAsia" w:ascii="宋体" w:hAnsi="宋体" w:cs="宋体"/>
                <w:szCs w:val="24"/>
                <w:lang w:val="en-US" w:eastAsia="zh-CN"/>
              </w:rPr>
              <w:t>单价（元）</w:t>
            </w:r>
          </w:p>
        </w:tc>
      </w:tr>
      <w:tr w14:paraId="74B1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844" w:type="dxa"/>
            <w:vAlign w:val="center"/>
          </w:tcPr>
          <w:p w14:paraId="5CC148DF">
            <w:pPr>
              <w:pStyle w:val="21"/>
              <w:widowControl/>
              <w:spacing w:before="0" w:beforeAutospacing="0" w:after="0" w:afterAutospacing="0" w:line="21" w:lineRule="atLeast"/>
              <w:jc w:val="center"/>
              <w:rPr>
                <w:rFonts w:hint="default" w:ascii="宋体" w:hAnsi="宋体" w:cs="宋体"/>
                <w:szCs w:val="24"/>
                <w:lang w:val="en-US" w:eastAsia="zh-CN"/>
              </w:rPr>
            </w:pPr>
            <w:r>
              <w:rPr>
                <w:rFonts w:hint="eastAsia" w:ascii="宋体" w:hAnsi="宋体" w:cs="宋体"/>
                <w:szCs w:val="24"/>
                <w:lang w:val="en-US" w:eastAsia="zh-CN"/>
              </w:rPr>
              <w:t>1</w:t>
            </w:r>
          </w:p>
        </w:tc>
        <w:tc>
          <w:tcPr>
            <w:tcW w:w="1618" w:type="dxa"/>
          </w:tcPr>
          <w:p w14:paraId="7162B09D">
            <w:pPr>
              <w:pStyle w:val="21"/>
              <w:widowControl/>
              <w:spacing w:before="0" w:beforeAutospacing="0" w:after="0" w:afterAutospacing="0" w:line="21" w:lineRule="atLeast"/>
              <w:jc w:val="center"/>
              <w:rPr>
                <w:rFonts w:hint="eastAsia" w:ascii="宋体" w:hAnsi="宋体" w:cs="宋体"/>
                <w:szCs w:val="24"/>
                <w:lang w:val="en-US" w:eastAsia="zh-CN"/>
              </w:rPr>
            </w:pPr>
          </w:p>
        </w:tc>
        <w:tc>
          <w:tcPr>
            <w:tcW w:w="1232" w:type="dxa"/>
          </w:tcPr>
          <w:p w14:paraId="743EEC20">
            <w:pPr>
              <w:pStyle w:val="21"/>
              <w:widowControl/>
              <w:spacing w:before="0" w:beforeAutospacing="0" w:after="0" w:afterAutospacing="0" w:line="21" w:lineRule="atLeast"/>
              <w:jc w:val="center"/>
              <w:rPr>
                <w:rFonts w:hint="eastAsia" w:ascii="宋体" w:hAnsi="宋体" w:cs="宋体"/>
                <w:szCs w:val="24"/>
                <w:lang w:val="en-US" w:eastAsia="zh-CN"/>
              </w:rPr>
            </w:pPr>
          </w:p>
        </w:tc>
        <w:tc>
          <w:tcPr>
            <w:tcW w:w="1232" w:type="dxa"/>
          </w:tcPr>
          <w:p w14:paraId="5C6735DC">
            <w:pPr>
              <w:pStyle w:val="21"/>
              <w:widowControl/>
              <w:spacing w:before="0" w:beforeAutospacing="0" w:after="0" w:afterAutospacing="0" w:line="21" w:lineRule="atLeast"/>
              <w:jc w:val="center"/>
              <w:rPr>
                <w:rFonts w:hint="eastAsia" w:ascii="宋体" w:hAnsi="宋体" w:cs="宋体"/>
                <w:szCs w:val="24"/>
                <w:lang w:val="en-US" w:eastAsia="zh-CN"/>
              </w:rPr>
            </w:pPr>
          </w:p>
        </w:tc>
        <w:tc>
          <w:tcPr>
            <w:tcW w:w="1232" w:type="dxa"/>
          </w:tcPr>
          <w:p w14:paraId="1F8261FC">
            <w:pPr>
              <w:pStyle w:val="21"/>
              <w:widowControl/>
              <w:spacing w:before="0" w:beforeAutospacing="0" w:after="0" w:afterAutospacing="0" w:line="21" w:lineRule="atLeast"/>
              <w:jc w:val="center"/>
              <w:rPr>
                <w:rFonts w:hint="eastAsia" w:ascii="宋体" w:hAnsi="宋体" w:cs="宋体"/>
                <w:szCs w:val="24"/>
                <w:lang w:val="en-US" w:eastAsia="zh-CN"/>
              </w:rPr>
            </w:pPr>
          </w:p>
        </w:tc>
        <w:tc>
          <w:tcPr>
            <w:tcW w:w="1232" w:type="dxa"/>
          </w:tcPr>
          <w:p w14:paraId="36CDB69A">
            <w:pPr>
              <w:pStyle w:val="21"/>
              <w:widowControl/>
              <w:spacing w:before="0" w:beforeAutospacing="0" w:after="0" w:afterAutospacing="0" w:line="21" w:lineRule="atLeast"/>
              <w:jc w:val="center"/>
              <w:rPr>
                <w:rFonts w:hint="eastAsia" w:ascii="宋体" w:hAnsi="宋体" w:cs="宋体"/>
                <w:szCs w:val="24"/>
                <w:lang w:val="en-US" w:eastAsia="zh-CN"/>
              </w:rPr>
            </w:pPr>
          </w:p>
        </w:tc>
        <w:tc>
          <w:tcPr>
            <w:tcW w:w="1232" w:type="dxa"/>
          </w:tcPr>
          <w:p w14:paraId="2BF09D6B">
            <w:pPr>
              <w:pStyle w:val="21"/>
              <w:widowControl/>
              <w:spacing w:before="0" w:beforeAutospacing="0" w:after="0" w:afterAutospacing="0" w:line="21" w:lineRule="atLeast"/>
              <w:jc w:val="center"/>
              <w:rPr>
                <w:rFonts w:hint="eastAsia" w:ascii="宋体" w:hAnsi="宋体" w:cs="宋体"/>
                <w:szCs w:val="24"/>
                <w:lang w:val="en-US" w:eastAsia="zh-CN"/>
              </w:rPr>
            </w:pPr>
          </w:p>
        </w:tc>
        <w:tc>
          <w:tcPr>
            <w:tcW w:w="1232" w:type="dxa"/>
          </w:tcPr>
          <w:p w14:paraId="094E2EC6">
            <w:pPr>
              <w:pStyle w:val="21"/>
              <w:widowControl/>
              <w:spacing w:before="0" w:beforeAutospacing="0" w:after="0" w:afterAutospacing="0" w:line="21" w:lineRule="atLeast"/>
              <w:jc w:val="center"/>
              <w:rPr>
                <w:rFonts w:hint="eastAsia" w:ascii="宋体" w:hAnsi="宋体" w:cs="宋体"/>
                <w:szCs w:val="24"/>
                <w:lang w:val="en-US" w:eastAsia="zh-CN"/>
              </w:rPr>
            </w:pPr>
          </w:p>
        </w:tc>
      </w:tr>
      <w:tr w14:paraId="1314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44" w:type="dxa"/>
            <w:vAlign w:val="center"/>
          </w:tcPr>
          <w:p w14:paraId="4169FD24">
            <w:pPr>
              <w:pStyle w:val="21"/>
              <w:widowControl/>
              <w:spacing w:before="0" w:beforeAutospacing="0" w:after="0" w:afterAutospacing="0" w:line="21" w:lineRule="atLeast"/>
              <w:jc w:val="center"/>
              <w:rPr>
                <w:rFonts w:hint="default" w:ascii="宋体" w:hAnsi="宋体" w:cs="宋体"/>
                <w:szCs w:val="24"/>
                <w:lang w:val="en-US" w:eastAsia="zh-CN"/>
              </w:rPr>
            </w:pPr>
            <w:r>
              <w:rPr>
                <w:rFonts w:hint="eastAsia" w:ascii="宋体" w:hAnsi="宋体" w:cs="宋体"/>
                <w:szCs w:val="24"/>
                <w:lang w:val="en-US" w:eastAsia="zh-CN"/>
              </w:rPr>
              <w:t>2</w:t>
            </w:r>
          </w:p>
        </w:tc>
        <w:tc>
          <w:tcPr>
            <w:tcW w:w="1618" w:type="dxa"/>
          </w:tcPr>
          <w:p w14:paraId="6E966A50">
            <w:pPr>
              <w:pStyle w:val="21"/>
              <w:widowControl/>
              <w:spacing w:before="0" w:beforeAutospacing="0" w:after="0" w:afterAutospacing="0" w:line="21" w:lineRule="atLeast"/>
              <w:jc w:val="center"/>
              <w:rPr>
                <w:rFonts w:hint="eastAsia" w:ascii="宋体" w:hAnsi="宋体" w:cs="宋体"/>
                <w:szCs w:val="24"/>
                <w:lang w:val="en-US" w:eastAsia="zh-CN"/>
              </w:rPr>
            </w:pPr>
          </w:p>
        </w:tc>
        <w:tc>
          <w:tcPr>
            <w:tcW w:w="1232" w:type="dxa"/>
          </w:tcPr>
          <w:p w14:paraId="462047AD">
            <w:pPr>
              <w:pStyle w:val="21"/>
              <w:widowControl/>
              <w:spacing w:before="0" w:beforeAutospacing="0" w:after="0" w:afterAutospacing="0" w:line="21" w:lineRule="atLeast"/>
              <w:jc w:val="center"/>
              <w:rPr>
                <w:rFonts w:hint="eastAsia" w:ascii="宋体" w:hAnsi="宋体" w:cs="宋体"/>
                <w:szCs w:val="24"/>
                <w:lang w:val="en-US" w:eastAsia="zh-CN"/>
              </w:rPr>
            </w:pPr>
          </w:p>
        </w:tc>
        <w:tc>
          <w:tcPr>
            <w:tcW w:w="1232" w:type="dxa"/>
          </w:tcPr>
          <w:p w14:paraId="2AB84B6D">
            <w:pPr>
              <w:pStyle w:val="21"/>
              <w:widowControl/>
              <w:spacing w:before="0" w:beforeAutospacing="0" w:after="0" w:afterAutospacing="0" w:line="21" w:lineRule="atLeast"/>
              <w:jc w:val="center"/>
              <w:rPr>
                <w:rFonts w:hint="eastAsia" w:ascii="宋体" w:hAnsi="宋体" w:cs="宋体"/>
                <w:szCs w:val="24"/>
                <w:lang w:val="en-US" w:eastAsia="zh-CN"/>
              </w:rPr>
            </w:pPr>
          </w:p>
        </w:tc>
        <w:tc>
          <w:tcPr>
            <w:tcW w:w="1232" w:type="dxa"/>
          </w:tcPr>
          <w:p w14:paraId="317D1DE4">
            <w:pPr>
              <w:pStyle w:val="21"/>
              <w:widowControl/>
              <w:spacing w:before="0" w:beforeAutospacing="0" w:after="0" w:afterAutospacing="0" w:line="21" w:lineRule="atLeast"/>
              <w:jc w:val="center"/>
              <w:rPr>
                <w:rFonts w:hint="eastAsia" w:ascii="宋体" w:hAnsi="宋体" w:cs="宋体"/>
                <w:szCs w:val="24"/>
                <w:lang w:val="en-US" w:eastAsia="zh-CN"/>
              </w:rPr>
            </w:pPr>
          </w:p>
        </w:tc>
        <w:tc>
          <w:tcPr>
            <w:tcW w:w="1232" w:type="dxa"/>
          </w:tcPr>
          <w:p w14:paraId="5E47ACC4">
            <w:pPr>
              <w:pStyle w:val="21"/>
              <w:widowControl/>
              <w:spacing w:before="0" w:beforeAutospacing="0" w:after="0" w:afterAutospacing="0" w:line="21" w:lineRule="atLeast"/>
              <w:jc w:val="center"/>
              <w:rPr>
                <w:rFonts w:hint="eastAsia" w:ascii="宋体" w:hAnsi="宋体" w:cs="宋体"/>
                <w:szCs w:val="24"/>
                <w:lang w:val="en-US" w:eastAsia="zh-CN"/>
              </w:rPr>
            </w:pPr>
          </w:p>
        </w:tc>
        <w:tc>
          <w:tcPr>
            <w:tcW w:w="1232" w:type="dxa"/>
          </w:tcPr>
          <w:p w14:paraId="387BA847">
            <w:pPr>
              <w:pStyle w:val="21"/>
              <w:widowControl/>
              <w:spacing w:before="0" w:beforeAutospacing="0" w:after="0" w:afterAutospacing="0" w:line="21" w:lineRule="atLeast"/>
              <w:jc w:val="center"/>
              <w:rPr>
                <w:rFonts w:hint="eastAsia" w:ascii="宋体" w:hAnsi="宋体" w:cs="宋体"/>
                <w:szCs w:val="24"/>
                <w:lang w:val="en-US" w:eastAsia="zh-CN"/>
              </w:rPr>
            </w:pPr>
          </w:p>
        </w:tc>
        <w:tc>
          <w:tcPr>
            <w:tcW w:w="1232" w:type="dxa"/>
          </w:tcPr>
          <w:p w14:paraId="78E5A0F1">
            <w:pPr>
              <w:pStyle w:val="21"/>
              <w:widowControl/>
              <w:spacing w:before="0" w:beforeAutospacing="0" w:after="0" w:afterAutospacing="0" w:line="21" w:lineRule="atLeast"/>
              <w:jc w:val="center"/>
              <w:rPr>
                <w:rFonts w:hint="eastAsia" w:ascii="宋体" w:hAnsi="宋体" w:cs="宋体"/>
                <w:szCs w:val="24"/>
                <w:lang w:val="en-US" w:eastAsia="zh-CN"/>
              </w:rPr>
            </w:pPr>
          </w:p>
        </w:tc>
      </w:tr>
      <w:tr w14:paraId="6879D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844" w:type="dxa"/>
            <w:vAlign w:val="center"/>
          </w:tcPr>
          <w:p w14:paraId="3A80868D">
            <w:pPr>
              <w:pStyle w:val="21"/>
              <w:widowControl/>
              <w:spacing w:before="0" w:beforeAutospacing="0" w:after="0" w:afterAutospacing="0" w:line="21" w:lineRule="atLeast"/>
              <w:jc w:val="center"/>
              <w:rPr>
                <w:rFonts w:hint="default" w:ascii="宋体" w:hAnsi="宋体" w:cs="宋体"/>
                <w:szCs w:val="24"/>
                <w:lang w:val="en-US" w:eastAsia="zh-CN"/>
              </w:rPr>
            </w:pPr>
            <w:r>
              <w:rPr>
                <w:rFonts w:hint="eastAsia" w:ascii="宋体" w:hAnsi="宋体" w:cs="宋体"/>
                <w:szCs w:val="24"/>
                <w:lang w:val="en-US" w:eastAsia="zh-CN"/>
              </w:rPr>
              <w:t>3</w:t>
            </w:r>
          </w:p>
        </w:tc>
        <w:tc>
          <w:tcPr>
            <w:tcW w:w="1618" w:type="dxa"/>
          </w:tcPr>
          <w:p w14:paraId="20D8BF6C">
            <w:pPr>
              <w:pStyle w:val="21"/>
              <w:widowControl/>
              <w:spacing w:before="0" w:beforeAutospacing="0" w:after="0" w:afterAutospacing="0" w:line="21" w:lineRule="atLeast"/>
              <w:jc w:val="center"/>
              <w:rPr>
                <w:rFonts w:hint="eastAsia" w:ascii="宋体" w:hAnsi="宋体" w:cs="宋体"/>
                <w:szCs w:val="24"/>
                <w:lang w:val="en-US" w:eastAsia="zh-CN"/>
              </w:rPr>
            </w:pPr>
          </w:p>
        </w:tc>
        <w:tc>
          <w:tcPr>
            <w:tcW w:w="1232" w:type="dxa"/>
          </w:tcPr>
          <w:p w14:paraId="13609C1E">
            <w:pPr>
              <w:pStyle w:val="21"/>
              <w:widowControl/>
              <w:spacing w:before="0" w:beforeAutospacing="0" w:after="0" w:afterAutospacing="0" w:line="21" w:lineRule="atLeast"/>
              <w:jc w:val="center"/>
              <w:rPr>
                <w:rFonts w:hint="eastAsia" w:ascii="宋体" w:hAnsi="宋体" w:cs="宋体"/>
                <w:szCs w:val="24"/>
                <w:lang w:val="en-US" w:eastAsia="zh-CN"/>
              </w:rPr>
            </w:pPr>
          </w:p>
        </w:tc>
        <w:tc>
          <w:tcPr>
            <w:tcW w:w="1232" w:type="dxa"/>
          </w:tcPr>
          <w:p w14:paraId="4F5E5FC7">
            <w:pPr>
              <w:pStyle w:val="21"/>
              <w:widowControl/>
              <w:spacing w:before="0" w:beforeAutospacing="0" w:after="0" w:afterAutospacing="0" w:line="21" w:lineRule="atLeast"/>
              <w:jc w:val="center"/>
              <w:rPr>
                <w:rFonts w:hint="eastAsia" w:ascii="宋体" w:hAnsi="宋体" w:cs="宋体"/>
                <w:szCs w:val="24"/>
                <w:lang w:val="en-US" w:eastAsia="zh-CN"/>
              </w:rPr>
            </w:pPr>
          </w:p>
        </w:tc>
        <w:tc>
          <w:tcPr>
            <w:tcW w:w="1232" w:type="dxa"/>
          </w:tcPr>
          <w:p w14:paraId="2559F691">
            <w:pPr>
              <w:pStyle w:val="21"/>
              <w:widowControl/>
              <w:spacing w:before="0" w:beforeAutospacing="0" w:after="0" w:afterAutospacing="0" w:line="21" w:lineRule="atLeast"/>
              <w:jc w:val="center"/>
              <w:rPr>
                <w:rFonts w:hint="eastAsia" w:ascii="宋体" w:hAnsi="宋体" w:cs="宋体"/>
                <w:szCs w:val="24"/>
                <w:lang w:val="en-US" w:eastAsia="zh-CN"/>
              </w:rPr>
            </w:pPr>
          </w:p>
        </w:tc>
        <w:tc>
          <w:tcPr>
            <w:tcW w:w="1232" w:type="dxa"/>
          </w:tcPr>
          <w:p w14:paraId="3DAE61BB">
            <w:pPr>
              <w:pStyle w:val="21"/>
              <w:widowControl/>
              <w:spacing w:before="0" w:beforeAutospacing="0" w:after="0" w:afterAutospacing="0" w:line="21" w:lineRule="atLeast"/>
              <w:jc w:val="center"/>
              <w:rPr>
                <w:rFonts w:hint="eastAsia" w:ascii="宋体" w:hAnsi="宋体" w:cs="宋体"/>
                <w:szCs w:val="24"/>
                <w:lang w:val="en-US" w:eastAsia="zh-CN"/>
              </w:rPr>
            </w:pPr>
          </w:p>
        </w:tc>
        <w:tc>
          <w:tcPr>
            <w:tcW w:w="1232" w:type="dxa"/>
          </w:tcPr>
          <w:p w14:paraId="55159DB0">
            <w:pPr>
              <w:pStyle w:val="21"/>
              <w:widowControl/>
              <w:spacing w:before="0" w:beforeAutospacing="0" w:after="0" w:afterAutospacing="0" w:line="21" w:lineRule="atLeast"/>
              <w:jc w:val="center"/>
              <w:rPr>
                <w:rFonts w:hint="eastAsia" w:ascii="宋体" w:hAnsi="宋体" w:cs="宋体"/>
                <w:szCs w:val="24"/>
                <w:lang w:val="en-US" w:eastAsia="zh-CN"/>
              </w:rPr>
            </w:pPr>
          </w:p>
        </w:tc>
        <w:tc>
          <w:tcPr>
            <w:tcW w:w="1232" w:type="dxa"/>
          </w:tcPr>
          <w:p w14:paraId="7E2468F9">
            <w:pPr>
              <w:pStyle w:val="21"/>
              <w:widowControl/>
              <w:spacing w:before="0" w:beforeAutospacing="0" w:after="0" w:afterAutospacing="0" w:line="21" w:lineRule="atLeast"/>
              <w:jc w:val="center"/>
              <w:rPr>
                <w:rFonts w:hint="eastAsia" w:ascii="宋体" w:hAnsi="宋体" w:cs="宋体"/>
                <w:szCs w:val="24"/>
                <w:lang w:val="en-US" w:eastAsia="zh-CN"/>
              </w:rPr>
            </w:pPr>
          </w:p>
        </w:tc>
      </w:tr>
      <w:tr w14:paraId="0245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844" w:type="dxa"/>
            <w:vAlign w:val="center"/>
          </w:tcPr>
          <w:p w14:paraId="4FAE2830">
            <w:pPr>
              <w:pStyle w:val="21"/>
              <w:widowControl/>
              <w:spacing w:before="0" w:beforeAutospacing="0" w:after="0" w:afterAutospacing="0" w:line="21" w:lineRule="atLeast"/>
              <w:jc w:val="center"/>
              <w:rPr>
                <w:rFonts w:hint="default" w:ascii="宋体" w:hAnsi="宋体" w:cs="宋体"/>
                <w:szCs w:val="24"/>
                <w:lang w:val="en-US" w:eastAsia="zh-CN"/>
              </w:rPr>
            </w:pPr>
            <w:r>
              <w:rPr>
                <w:rFonts w:hint="eastAsia" w:ascii="宋体" w:hAnsi="宋体" w:cs="宋体"/>
                <w:szCs w:val="24"/>
                <w:lang w:val="en-US" w:eastAsia="zh-CN"/>
              </w:rPr>
              <w:t>4</w:t>
            </w:r>
          </w:p>
        </w:tc>
        <w:tc>
          <w:tcPr>
            <w:tcW w:w="1618" w:type="dxa"/>
          </w:tcPr>
          <w:p w14:paraId="31560E7B">
            <w:pPr>
              <w:pStyle w:val="21"/>
              <w:widowControl/>
              <w:spacing w:before="0" w:beforeAutospacing="0" w:after="0" w:afterAutospacing="0" w:line="21" w:lineRule="atLeast"/>
              <w:jc w:val="center"/>
              <w:rPr>
                <w:rFonts w:hint="eastAsia" w:ascii="宋体" w:hAnsi="宋体" w:cs="宋体"/>
                <w:szCs w:val="24"/>
                <w:lang w:val="en-US" w:eastAsia="zh-CN"/>
              </w:rPr>
            </w:pPr>
          </w:p>
        </w:tc>
        <w:tc>
          <w:tcPr>
            <w:tcW w:w="1232" w:type="dxa"/>
          </w:tcPr>
          <w:p w14:paraId="352780B6">
            <w:pPr>
              <w:pStyle w:val="21"/>
              <w:widowControl/>
              <w:spacing w:before="0" w:beforeAutospacing="0" w:after="0" w:afterAutospacing="0" w:line="21" w:lineRule="atLeast"/>
              <w:jc w:val="center"/>
              <w:rPr>
                <w:rFonts w:hint="eastAsia" w:ascii="宋体" w:hAnsi="宋体" w:cs="宋体"/>
                <w:szCs w:val="24"/>
                <w:lang w:val="en-US" w:eastAsia="zh-CN"/>
              </w:rPr>
            </w:pPr>
          </w:p>
        </w:tc>
        <w:tc>
          <w:tcPr>
            <w:tcW w:w="1232" w:type="dxa"/>
          </w:tcPr>
          <w:p w14:paraId="7AD4C438">
            <w:pPr>
              <w:pStyle w:val="21"/>
              <w:widowControl/>
              <w:spacing w:before="0" w:beforeAutospacing="0" w:after="0" w:afterAutospacing="0" w:line="21" w:lineRule="atLeast"/>
              <w:jc w:val="center"/>
              <w:rPr>
                <w:rFonts w:hint="eastAsia" w:ascii="宋体" w:hAnsi="宋体" w:cs="宋体"/>
                <w:szCs w:val="24"/>
                <w:lang w:val="en-US" w:eastAsia="zh-CN"/>
              </w:rPr>
            </w:pPr>
          </w:p>
        </w:tc>
        <w:tc>
          <w:tcPr>
            <w:tcW w:w="1232" w:type="dxa"/>
          </w:tcPr>
          <w:p w14:paraId="6B872767">
            <w:pPr>
              <w:pStyle w:val="21"/>
              <w:widowControl/>
              <w:spacing w:before="0" w:beforeAutospacing="0" w:after="0" w:afterAutospacing="0" w:line="21" w:lineRule="atLeast"/>
              <w:jc w:val="center"/>
              <w:rPr>
                <w:rFonts w:hint="eastAsia" w:ascii="宋体" w:hAnsi="宋体" w:cs="宋体"/>
                <w:szCs w:val="24"/>
                <w:lang w:val="en-US" w:eastAsia="zh-CN"/>
              </w:rPr>
            </w:pPr>
          </w:p>
        </w:tc>
        <w:tc>
          <w:tcPr>
            <w:tcW w:w="1232" w:type="dxa"/>
          </w:tcPr>
          <w:p w14:paraId="26DBDA76">
            <w:pPr>
              <w:pStyle w:val="21"/>
              <w:widowControl/>
              <w:spacing w:before="0" w:beforeAutospacing="0" w:after="0" w:afterAutospacing="0" w:line="21" w:lineRule="atLeast"/>
              <w:jc w:val="center"/>
              <w:rPr>
                <w:rFonts w:hint="eastAsia" w:ascii="宋体" w:hAnsi="宋体" w:cs="宋体"/>
                <w:szCs w:val="24"/>
                <w:lang w:val="en-US" w:eastAsia="zh-CN"/>
              </w:rPr>
            </w:pPr>
          </w:p>
        </w:tc>
        <w:tc>
          <w:tcPr>
            <w:tcW w:w="1232" w:type="dxa"/>
          </w:tcPr>
          <w:p w14:paraId="3DDAD5AE">
            <w:pPr>
              <w:pStyle w:val="21"/>
              <w:widowControl/>
              <w:spacing w:before="0" w:beforeAutospacing="0" w:after="0" w:afterAutospacing="0" w:line="21" w:lineRule="atLeast"/>
              <w:jc w:val="center"/>
              <w:rPr>
                <w:rFonts w:hint="eastAsia" w:ascii="宋体" w:hAnsi="宋体" w:cs="宋体"/>
                <w:szCs w:val="24"/>
                <w:lang w:val="en-US" w:eastAsia="zh-CN"/>
              </w:rPr>
            </w:pPr>
          </w:p>
        </w:tc>
        <w:tc>
          <w:tcPr>
            <w:tcW w:w="1232" w:type="dxa"/>
          </w:tcPr>
          <w:p w14:paraId="79783908">
            <w:pPr>
              <w:pStyle w:val="21"/>
              <w:widowControl/>
              <w:spacing w:before="0" w:beforeAutospacing="0" w:after="0" w:afterAutospacing="0" w:line="21" w:lineRule="atLeast"/>
              <w:jc w:val="center"/>
              <w:rPr>
                <w:rFonts w:hint="eastAsia" w:ascii="宋体" w:hAnsi="宋体" w:cs="宋体"/>
                <w:szCs w:val="24"/>
                <w:lang w:val="en-US" w:eastAsia="zh-CN"/>
              </w:rPr>
            </w:pPr>
          </w:p>
        </w:tc>
      </w:tr>
      <w:tr w14:paraId="21AE9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844" w:type="dxa"/>
            <w:vAlign w:val="center"/>
          </w:tcPr>
          <w:p w14:paraId="5FF65953">
            <w:pPr>
              <w:pStyle w:val="21"/>
              <w:widowControl/>
              <w:spacing w:before="0" w:beforeAutospacing="0" w:after="0" w:afterAutospacing="0" w:line="21" w:lineRule="atLeast"/>
              <w:jc w:val="center"/>
              <w:rPr>
                <w:rFonts w:hint="default" w:ascii="宋体" w:hAnsi="宋体" w:cs="宋体"/>
                <w:szCs w:val="24"/>
                <w:lang w:val="en-US" w:eastAsia="zh-CN"/>
              </w:rPr>
            </w:pPr>
            <w:r>
              <w:rPr>
                <w:rFonts w:hint="eastAsia" w:ascii="宋体" w:hAnsi="宋体" w:cs="宋体"/>
                <w:szCs w:val="24"/>
                <w:lang w:val="en-US" w:eastAsia="zh-CN"/>
              </w:rPr>
              <w:t>...</w:t>
            </w:r>
          </w:p>
        </w:tc>
        <w:tc>
          <w:tcPr>
            <w:tcW w:w="1618" w:type="dxa"/>
          </w:tcPr>
          <w:p w14:paraId="21418D2F">
            <w:pPr>
              <w:pStyle w:val="21"/>
              <w:widowControl/>
              <w:spacing w:before="0" w:beforeAutospacing="0" w:after="0" w:afterAutospacing="0" w:line="21" w:lineRule="atLeast"/>
              <w:jc w:val="center"/>
              <w:rPr>
                <w:rFonts w:hint="eastAsia" w:ascii="宋体" w:hAnsi="宋体" w:cs="宋体"/>
                <w:szCs w:val="24"/>
                <w:lang w:val="en-US" w:eastAsia="zh-CN"/>
              </w:rPr>
            </w:pPr>
          </w:p>
        </w:tc>
        <w:tc>
          <w:tcPr>
            <w:tcW w:w="1232" w:type="dxa"/>
          </w:tcPr>
          <w:p w14:paraId="4DBEAB71">
            <w:pPr>
              <w:pStyle w:val="21"/>
              <w:widowControl/>
              <w:spacing w:before="0" w:beforeAutospacing="0" w:after="0" w:afterAutospacing="0" w:line="21" w:lineRule="atLeast"/>
              <w:jc w:val="center"/>
              <w:rPr>
                <w:rFonts w:hint="eastAsia" w:ascii="宋体" w:hAnsi="宋体" w:cs="宋体"/>
                <w:szCs w:val="24"/>
                <w:lang w:val="en-US" w:eastAsia="zh-CN"/>
              </w:rPr>
            </w:pPr>
          </w:p>
        </w:tc>
        <w:tc>
          <w:tcPr>
            <w:tcW w:w="1232" w:type="dxa"/>
          </w:tcPr>
          <w:p w14:paraId="0D57A612">
            <w:pPr>
              <w:pStyle w:val="21"/>
              <w:widowControl/>
              <w:spacing w:before="0" w:beforeAutospacing="0" w:after="0" w:afterAutospacing="0" w:line="21" w:lineRule="atLeast"/>
              <w:jc w:val="center"/>
              <w:rPr>
                <w:rFonts w:hint="eastAsia" w:ascii="宋体" w:hAnsi="宋体" w:cs="宋体"/>
                <w:szCs w:val="24"/>
                <w:lang w:val="en-US" w:eastAsia="zh-CN"/>
              </w:rPr>
            </w:pPr>
          </w:p>
        </w:tc>
        <w:tc>
          <w:tcPr>
            <w:tcW w:w="1232" w:type="dxa"/>
          </w:tcPr>
          <w:p w14:paraId="28B53059">
            <w:pPr>
              <w:pStyle w:val="21"/>
              <w:widowControl/>
              <w:spacing w:before="0" w:beforeAutospacing="0" w:after="0" w:afterAutospacing="0" w:line="21" w:lineRule="atLeast"/>
              <w:jc w:val="center"/>
              <w:rPr>
                <w:rFonts w:hint="eastAsia" w:ascii="宋体" w:hAnsi="宋体" w:cs="宋体"/>
                <w:szCs w:val="24"/>
                <w:lang w:val="en-US" w:eastAsia="zh-CN"/>
              </w:rPr>
            </w:pPr>
          </w:p>
        </w:tc>
        <w:tc>
          <w:tcPr>
            <w:tcW w:w="1232" w:type="dxa"/>
          </w:tcPr>
          <w:p w14:paraId="036CFB94">
            <w:pPr>
              <w:pStyle w:val="21"/>
              <w:widowControl/>
              <w:spacing w:before="0" w:beforeAutospacing="0" w:after="0" w:afterAutospacing="0" w:line="21" w:lineRule="atLeast"/>
              <w:jc w:val="center"/>
              <w:rPr>
                <w:rFonts w:hint="eastAsia" w:ascii="宋体" w:hAnsi="宋体" w:cs="宋体"/>
                <w:szCs w:val="24"/>
                <w:lang w:val="en-US" w:eastAsia="zh-CN"/>
              </w:rPr>
            </w:pPr>
          </w:p>
        </w:tc>
        <w:tc>
          <w:tcPr>
            <w:tcW w:w="1232" w:type="dxa"/>
          </w:tcPr>
          <w:p w14:paraId="6478B81B">
            <w:pPr>
              <w:pStyle w:val="21"/>
              <w:widowControl/>
              <w:spacing w:before="0" w:beforeAutospacing="0" w:after="0" w:afterAutospacing="0" w:line="21" w:lineRule="atLeast"/>
              <w:jc w:val="center"/>
              <w:rPr>
                <w:rFonts w:hint="eastAsia" w:ascii="宋体" w:hAnsi="宋体" w:cs="宋体"/>
                <w:szCs w:val="24"/>
                <w:lang w:val="en-US" w:eastAsia="zh-CN"/>
              </w:rPr>
            </w:pPr>
          </w:p>
        </w:tc>
        <w:tc>
          <w:tcPr>
            <w:tcW w:w="1232" w:type="dxa"/>
          </w:tcPr>
          <w:p w14:paraId="056DDA12">
            <w:pPr>
              <w:pStyle w:val="21"/>
              <w:widowControl/>
              <w:spacing w:before="0" w:beforeAutospacing="0" w:after="0" w:afterAutospacing="0" w:line="21" w:lineRule="atLeast"/>
              <w:jc w:val="center"/>
              <w:rPr>
                <w:rFonts w:hint="eastAsia" w:ascii="宋体" w:hAnsi="宋体" w:cs="宋体"/>
                <w:szCs w:val="24"/>
                <w:lang w:val="en-US" w:eastAsia="zh-CN"/>
              </w:rPr>
            </w:pPr>
          </w:p>
        </w:tc>
      </w:tr>
    </w:tbl>
    <w:p w14:paraId="632A4556">
      <w:pPr>
        <w:rPr>
          <w:rFonts w:hint="eastAsia" w:ascii="宋体" w:hAnsi="宋体"/>
          <w:b/>
          <w:snapToGrid w:val="0"/>
          <w:sz w:val="24"/>
          <w:szCs w:val="24"/>
          <w:lang w:val="en-US" w:eastAsia="zh-CN"/>
        </w:rPr>
      </w:pPr>
    </w:p>
    <w:p w14:paraId="49A1FA5F">
      <w:pPr>
        <w:keepNext/>
        <w:adjustRightInd w:val="0"/>
        <w:snapToGrid w:val="0"/>
        <w:spacing w:line="360" w:lineRule="auto"/>
        <w:ind w:firstLine="2760" w:firstLineChars="1150"/>
        <w:rPr>
          <w:rFonts w:hint="eastAsia" w:ascii="宋体" w:hAnsi="宋体"/>
          <w:sz w:val="24"/>
          <w:szCs w:val="24"/>
        </w:rPr>
      </w:pPr>
    </w:p>
    <w:p w14:paraId="24A5AF83">
      <w:pPr>
        <w:keepNext/>
        <w:adjustRightInd w:val="0"/>
        <w:snapToGrid w:val="0"/>
        <w:spacing w:line="360" w:lineRule="auto"/>
        <w:ind w:firstLine="2760" w:firstLineChars="1150"/>
        <w:rPr>
          <w:rFonts w:hint="eastAsia" w:ascii="宋体" w:hAnsi="宋体"/>
          <w:sz w:val="24"/>
          <w:szCs w:val="24"/>
        </w:rPr>
      </w:pPr>
    </w:p>
    <w:p w14:paraId="70CBDE2D">
      <w:pPr>
        <w:keepNext/>
        <w:adjustRightInd w:val="0"/>
        <w:snapToGrid w:val="0"/>
        <w:spacing w:line="360" w:lineRule="auto"/>
        <w:ind w:firstLine="2760" w:firstLineChars="1150"/>
        <w:rPr>
          <w:rFonts w:hint="eastAsia" w:ascii="宋体" w:hAnsi="宋体"/>
          <w:sz w:val="24"/>
          <w:szCs w:val="24"/>
        </w:rPr>
      </w:pPr>
    </w:p>
    <w:p w14:paraId="6BF55668">
      <w:pPr>
        <w:keepNext/>
        <w:adjustRightInd w:val="0"/>
        <w:snapToGrid w:val="0"/>
        <w:spacing w:line="360" w:lineRule="auto"/>
        <w:ind w:firstLine="2760" w:firstLineChars="1150"/>
        <w:rPr>
          <w:rFonts w:ascii="宋体" w:hAnsi="宋体"/>
          <w:sz w:val="24"/>
          <w:szCs w:val="24"/>
        </w:rPr>
      </w:pPr>
      <w:r>
        <w:rPr>
          <w:rFonts w:hint="eastAsia" w:ascii="宋体" w:hAnsi="宋体"/>
          <w:sz w:val="24"/>
          <w:szCs w:val="24"/>
        </w:rPr>
        <w:t>供应商（</w:t>
      </w:r>
      <w:r>
        <w:rPr>
          <w:rFonts w:hint="eastAsia" w:ascii="宋体" w:hAnsi="宋体" w:cs="宋体"/>
          <w:kern w:val="0"/>
          <w:sz w:val="24"/>
          <w:szCs w:val="24"/>
        </w:rPr>
        <w:t>电子公章</w:t>
      </w:r>
      <w:r>
        <w:rPr>
          <w:rFonts w:hint="eastAsia" w:ascii="宋体" w:hAnsi="宋体"/>
          <w:sz w:val="24"/>
          <w:szCs w:val="24"/>
        </w:rPr>
        <w:t>）：</w:t>
      </w:r>
      <w:r>
        <w:rPr>
          <w:rFonts w:ascii="宋体" w:hAnsi="宋体"/>
          <w:sz w:val="24"/>
          <w:szCs w:val="24"/>
          <w:u w:val="single"/>
        </w:rPr>
        <w:t xml:space="preserve">                          </w:t>
      </w:r>
    </w:p>
    <w:p w14:paraId="231B1947">
      <w:pPr>
        <w:keepNext/>
        <w:adjustRightInd w:val="0"/>
        <w:snapToGrid w:val="0"/>
        <w:spacing w:line="360" w:lineRule="auto"/>
        <w:ind w:firstLine="2760" w:firstLineChars="1150"/>
        <w:rPr>
          <w:rFonts w:ascii="宋体" w:hAnsi="宋体"/>
          <w:sz w:val="24"/>
          <w:szCs w:val="24"/>
        </w:rPr>
      </w:pPr>
      <w:r>
        <w:rPr>
          <w:rFonts w:hint="eastAsia" w:ascii="宋体" w:hAnsi="宋体"/>
          <w:sz w:val="24"/>
          <w:szCs w:val="24"/>
        </w:rPr>
        <w:t>法定代表人或</w:t>
      </w:r>
      <w:r>
        <w:rPr>
          <w:rFonts w:hint="eastAsia" w:ascii="宋体" w:hAnsi="宋体" w:cs="宋体"/>
          <w:sz w:val="24"/>
          <w:szCs w:val="24"/>
        </w:rPr>
        <w:t>委托代理人</w:t>
      </w:r>
      <w:r>
        <w:rPr>
          <w:rFonts w:hint="eastAsia" w:ascii="宋体" w:hAnsi="宋体"/>
          <w:sz w:val="24"/>
          <w:szCs w:val="24"/>
        </w:rPr>
        <w:t>（</w:t>
      </w:r>
      <w:r>
        <w:rPr>
          <w:rFonts w:hint="eastAsia" w:ascii="宋体" w:hAnsi="宋体" w:cs="宋体"/>
          <w:kern w:val="0"/>
          <w:sz w:val="24"/>
          <w:szCs w:val="24"/>
        </w:rPr>
        <w:t>电子签字或盖章</w:t>
      </w:r>
      <w:r>
        <w:rPr>
          <w:rFonts w:hint="eastAsia" w:ascii="宋体" w:hAnsi="宋体"/>
          <w:sz w:val="24"/>
          <w:szCs w:val="24"/>
        </w:rPr>
        <w:t>）：</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687DB0E3">
      <w:pPr>
        <w:tabs>
          <w:tab w:val="left" w:pos="4000"/>
        </w:tabs>
        <w:overflowPunct w:val="0"/>
        <w:topLinePunct/>
        <w:autoSpaceDN w:val="0"/>
        <w:adjustRightInd w:val="0"/>
        <w:snapToGrid w:val="0"/>
        <w:spacing w:line="360" w:lineRule="auto"/>
        <w:ind w:firstLine="2760" w:firstLineChars="1150"/>
        <w:rPr>
          <w:rFonts w:ascii="宋体" w:hAnsi="宋体"/>
          <w:sz w:val="24"/>
          <w:szCs w:val="24"/>
          <w:u w:val="single"/>
        </w:rPr>
      </w:pPr>
      <w:r>
        <w:rPr>
          <w:rFonts w:hint="eastAsia" w:ascii="宋体" w:hAnsi="宋体"/>
          <w:sz w:val="24"/>
          <w:szCs w:val="24"/>
        </w:rPr>
        <w:t>日</w:t>
      </w:r>
      <w:r>
        <w:rPr>
          <w:rFonts w:ascii="宋体" w:hAnsi="宋体"/>
          <w:sz w:val="24"/>
          <w:szCs w:val="24"/>
        </w:rPr>
        <w:t xml:space="preserve">         </w:t>
      </w:r>
      <w:r>
        <w:rPr>
          <w:rFonts w:hint="eastAsia" w:ascii="宋体" w:hAnsi="宋体"/>
          <w:sz w:val="24"/>
          <w:szCs w:val="24"/>
        </w:rPr>
        <w:t>期：</w:t>
      </w:r>
      <w:r>
        <w:rPr>
          <w:rFonts w:ascii="宋体" w:hAnsi="宋体"/>
          <w:sz w:val="24"/>
          <w:szCs w:val="24"/>
          <w:u w:val="single"/>
        </w:rPr>
        <w:t xml:space="preserve">                             </w:t>
      </w:r>
    </w:p>
    <w:p w14:paraId="60A3ECB8">
      <w:pPr>
        <w:rPr>
          <w:rFonts w:hint="default" w:ascii="宋体" w:hAnsi="宋体"/>
          <w:b/>
          <w:snapToGrid w:val="0"/>
          <w:sz w:val="24"/>
          <w:szCs w:val="24"/>
          <w:lang w:val="en-US" w:eastAsia="zh-CN"/>
        </w:rPr>
      </w:pPr>
    </w:p>
    <w:p w14:paraId="3E1BE186">
      <w:pPr>
        <w:rPr>
          <w:rFonts w:hint="default" w:ascii="宋体" w:hAnsi="宋体"/>
          <w:b/>
          <w:snapToGrid w:val="0"/>
          <w:sz w:val="24"/>
          <w:szCs w:val="24"/>
          <w:lang w:val="en-US" w:eastAsia="zh-CN"/>
        </w:rPr>
      </w:pPr>
    </w:p>
    <w:p w14:paraId="1CF34BE7">
      <w:pPr>
        <w:rPr>
          <w:rFonts w:hint="default" w:ascii="宋体" w:hAnsi="宋体"/>
          <w:b/>
          <w:snapToGrid w:val="0"/>
          <w:sz w:val="24"/>
          <w:szCs w:val="24"/>
          <w:lang w:val="en-US" w:eastAsia="zh-CN"/>
        </w:rPr>
      </w:pPr>
    </w:p>
    <w:p w14:paraId="5C0B6073">
      <w:pPr>
        <w:rPr>
          <w:rFonts w:hint="default" w:ascii="宋体" w:hAnsi="宋体"/>
          <w:b/>
          <w:snapToGrid w:val="0"/>
          <w:sz w:val="24"/>
          <w:szCs w:val="24"/>
          <w:lang w:val="en-US" w:eastAsia="zh-CN"/>
        </w:rPr>
      </w:pPr>
      <w:r>
        <w:rPr>
          <w:rFonts w:hint="eastAsia" w:ascii="宋体" w:hAnsi="宋体"/>
          <w:b/>
          <w:snapToGrid w:val="0"/>
          <w:sz w:val="24"/>
          <w:szCs w:val="24"/>
          <w:lang w:val="en-US" w:eastAsia="zh-CN"/>
        </w:rPr>
        <w:t>注：1、耗材报价不计入投标总价中</w:t>
      </w:r>
    </w:p>
    <w:p w14:paraId="4F2985D8">
      <w:pPr>
        <w:ind w:firstLine="482" w:firstLineChars="200"/>
        <w:rPr>
          <w:rFonts w:hint="default" w:ascii="宋体" w:hAnsi="宋体"/>
          <w:b/>
          <w:snapToGrid w:val="0"/>
          <w:sz w:val="24"/>
          <w:szCs w:val="24"/>
          <w:lang w:val="en-US" w:eastAsia="zh-CN"/>
        </w:rPr>
        <w:sectPr>
          <w:pgSz w:w="11906" w:h="16838"/>
          <w:pgMar w:top="1134" w:right="1134" w:bottom="1134" w:left="1134" w:header="851" w:footer="992" w:gutter="0"/>
          <w:cols w:space="720" w:num="1"/>
          <w:docGrid w:type="lines" w:linePitch="312" w:charSpace="0"/>
        </w:sectPr>
      </w:pPr>
      <w:r>
        <w:rPr>
          <w:rFonts w:hint="eastAsia" w:ascii="宋体" w:hAnsi="宋体"/>
          <w:b/>
          <w:snapToGrid w:val="0"/>
          <w:sz w:val="24"/>
          <w:szCs w:val="24"/>
          <w:lang w:val="en-US" w:eastAsia="zh-CN"/>
        </w:rPr>
        <w:t>2、此价格仅作为使用成本参照，实际合同价格不以本表价格为依据，如后续需采购所列耗材、易耗配件等，采购价格不得高于本表报价。</w:t>
      </w:r>
    </w:p>
    <w:p w14:paraId="70BE41AE">
      <w:pPr>
        <w:pStyle w:val="3"/>
        <w:tabs>
          <w:tab w:val="left" w:pos="780"/>
        </w:tabs>
        <w:jc w:val="center"/>
        <w:outlineLvl w:val="9"/>
        <w:rPr>
          <w:rFonts w:ascii="宋体" w:hAnsi="宋体"/>
          <w:b/>
          <w:snapToGrid w:val="0"/>
          <w:sz w:val="24"/>
          <w:szCs w:val="24"/>
        </w:rPr>
      </w:pPr>
      <w:r>
        <w:rPr>
          <w:rFonts w:hint="eastAsia" w:ascii="宋体" w:hAnsi="宋体"/>
          <w:b/>
          <w:snapToGrid w:val="0"/>
          <w:sz w:val="24"/>
          <w:szCs w:val="24"/>
        </w:rPr>
        <w:t>商务技术偏离表</w:t>
      </w:r>
    </w:p>
    <w:p w14:paraId="11281D2D">
      <w:pPr>
        <w:spacing w:before="158"/>
      </w:pPr>
    </w:p>
    <w:tbl>
      <w:tblPr>
        <w:tblStyle w:val="52"/>
        <w:tblW w:w="8226" w:type="dxa"/>
        <w:tblInd w:w="3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0"/>
        <w:gridCol w:w="3049"/>
        <w:gridCol w:w="2820"/>
        <w:gridCol w:w="1427"/>
      </w:tblGrid>
      <w:tr w14:paraId="59149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930" w:type="dxa"/>
          </w:tcPr>
          <w:p w14:paraId="2F27ED34">
            <w:pPr>
              <w:pStyle w:val="53"/>
              <w:spacing w:before="155" w:line="236" w:lineRule="auto"/>
              <w:ind w:right="230"/>
              <w:jc w:val="center"/>
              <w:rPr>
                <w:rFonts w:hint="eastAsia" w:eastAsia="宋体"/>
                <w:lang w:val="en-US" w:eastAsia="zh-CN"/>
              </w:rPr>
            </w:pPr>
            <w:r>
              <w:rPr>
                <w:rFonts w:hint="eastAsia"/>
                <w:spacing w:val="-2"/>
                <w:lang w:val="en-US" w:eastAsia="zh-CN"/>
              </w:rPr>
              <w:t>序号</w:t>
            </w:r>
          </w:p>
        </w:tc>
        <w:tc>
          <w:tcPr>
            <w:tcW w:w="3049" w:type="dxa"/>
          </w:tcPr>
          <w:p w14:paraId="2EF76C29">
            <w:pPr>
              <w:pStyle w:val="53"/>
              <w:spacing w:before="155" w:line="236" w:lineRule="auto"/>
              <w:ind w:left="309" w:right="230" w:hanging="4"/>
            </w:pPr>
            <w:r>
              <w:rPr>
                <w:rFonts w:hint="eastAsia"/>
                <w:spacing w:val="-2"/>
                <w:lang w:eastAsia="zh-CN"/>
              </w:rPr>
              <w:t>招标文件</w:t>
            </w:r>
            <w:r>
              <w:rPr>
                <w:spacing w:val="-2"/>
              </w:rPr>
              <w:t>章节及条款</w:t>
            </w:r>
            <w:r>
              <w:t>号</w:t>
            </w:r>
          </w:p>
        </w:tc>
        <w:tc>
          <w:tcPr>
            <w:tcW w:w="2820" w:type="dxa"/>
          </w:tcPr>
          <w:p w14:paraId="70B5768C">
            <w:pPr>
              <w:pStyle w:val="53"/>
              <w:spacing w:before="155" w:line="219" w:lineRule="auto"/>
              <w:jc w:val="center"/>
            </w:pPr>
            <w:r>
              <w:rPr>
                <w:rFonts w:hint="eastAsia"/>
                <w:spacing w:val="-2"/>
                <w:lang w:eastAsia="zh-CN"/>
              </w:rPr>
              <w:t>投标文件</w:t>
            </w:r>
            <w:r>
              <w:rPr>
                <w:spacing w:val="-2"/>
              </w:rPr>
              <w:t>章节及条款号</w:t>
            </w:r>
          </w:p>
        </w:tc>
        <w:tc>
          <w:tcPr>
            <w:tcW w:w="1427" w:type="dxa"/>
          </w:tcPr>
          <w:p w14:paraId="24611237">
            <w:pPr>
              <w:pStyle w:val="53"/>
              <w:spacing w:before="154" w:line="220" w:lineRule="auto"/>
              <w:jc w:val="center"/>
            </w:pPr>
            <w:r>
              <w:rPr>
                <w:spacing w:val="-3"/>
              </w:rPr>
              <w:t>偏差说明</w:t>
            </w:r>
          </w:p>
        </w:tc>
      </w:tr>
      <w:tr w14:paraId="75EAC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30" w:type="dxa"/>
          </w:tcPr>
          <w:p w14:paraId="2226F723">
            <w:pPr>
              <w:pStyle w:val="53"/>
              <w:spacing w:before="172" w:line="205" w:lineRule="auto"/>
              <w:ind w:left="436"/>
            </w:pPr>
            <w:r>
              <w:t>1</w:t>
            </w:r>
          </w:p>
        </w:tc>
        <w:tc>
          <w:tcPr>
            <w:tcW w:w="3049" w:type="dxa"/>
          </w:tcPr>
          <w:p w14:paraId="768D5034">
            <w:pPr>
              <w:rPr>
                <w:rFonts w:ascii="Arial"/>
              </w:rPr>
            </w:pPr>
          </w:p>
        </w:tc>
        <w:tc>
          <w:tcPr>
            <w:tcW w:w="2820" w:type="dxa"/>
          </w:tcPr>
          <w:p w14:paraId="217049AF">
            <w:pPr>
              <w:rPr>
                <w:rFonts w:ascii="Arial"/>
              </w:rPr>
            </w:pPr>
          </w:p>
        </w:tc>
        <w:tc>
          <w:tcPr>
            <w:tcW w:w="1427" w:type="dxa"/>
          </w:tcPr>
          <w:p w14:paraId="17C7CE7C">
            <w:pPr>
              <w:rPr>
                <w:rFonts w:ascii="Arial"/>
              </w:rPr>
            </w:pPr>
          </w:p>
        </w:tc>
      </w:tr>
      <w:tr w14:paraId="18E56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30" w:type="dxa"/>
          </w:tcPr>
          <w:p w14:paraId="289E26C5">
            <w:pPr>
              <w:pStyle w:val="53"/>
              <w:spacing w:before="171" w:line="204" w:lineRule="auto"/>
              <w:ind w:left="421"/>
            </w:pPr>
            <w:r>
              <w:t>2</w:t>
            </w:r>
          </w:p>
        </w:tc>
        <w:tc>
          <w:tcPr>
            <w:tcW w:w="3049" w:type="dxa"/>
          </w:tcPr>
          <w:p w14:paraId="49313E37">
            <w:pPr>
              <w:rPr>
                <w:rFonts w:ascii="Arial"/>
              </w:rPr>
            </w:pPr>
          </w:p>
        </w:tc>
        <w:tc>
          <w:tcPr>
            <w:tcW w:w="2820" w:type="dxa"/>
          </w:tcPr>
          <w:p w14:paraId="1C9EC6CE">
            <w:pPr>
              <w:rPr>
                <w:rFonts w:ascii="Arial"/>
              </w:rPr>
            </w:pPr>
          </w:p>
        </w:tc>
        <w:tc>
          <w:tcPr>
            <w:tcW w:w="1427" w:type="dxa"/>
          </w:tcPr>
          <w:p w14:paraId="3DCCF5BE">
            <w:pPr>
              <w:rPr>
                <w:rFonts w:ascii="Arial"/>
              </w:rPr>
            </w:pPr>
          </w:p>
        </w:tc>
      </w:tr>
      <w:tr w14:paraId="3817A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30" w:type="dxa"/>
          </w:tcPr>
          <w:p w14:paraId="02962D27">
            <w:pPr>
              <w:pStyle w:val="53"/>
              <w:spacing w:before="171" w:line="203" w:lineRule="auto"/>
              <w:ind w:left="423"/>
            </w:pPr>
            <w:r>
              <w:t>3</w:t>
            </w:r>
          </w:p>
        </w:tc>
        <w:tc>
          <w:tcPr>
            <w:tcW w:w="3049" w:type="dxa"/>
          </w:tcPr>
          <w:p w14:paraId="529C45DE">
            <w:pPr>
              <w:rPr>
                <w:rFonts w:ascii="Arial"/>
              </w:rPr>
            </w:pPr>
          </w:p>
        </w:tc>
        <w:tc>
          <w:tcPr>
            <w:tcW w:w="2820" w:type="dxa"/>
          </w:tcPr>
          <w:p w14:paraId="688077F7">
            <w:pPr>
              <w:rPr>
                <w:rFonts w:ascii="Arial"/>
              </w:rPr>
            </w:pPr>
          </w:p>
        </w:tc>
        <w:tc>
          <w:tcPr>
            <w:tcW w:w="1427" w:type="dxa"/>
          </w:tcPr>
          <w:p w14:paraId="0EA9DDC8">
            <w:pPr>
              <w:rPr>
                <w:rFonts w:ascii="Arial"/>
              </w:rPr>
            </w:pPr>
          </w:p>
        </w:tc>
      </w:tr>
      <w:tr w14:paraId="17E9C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930" w:type="dxa"/>
          </w:tcPr>
          <w:p w14:paraId="16EAC4C6">
            <w:pPr>
              <w:pStyle w:val="53"/>
              <w:spacing w:before="222" w:line="204" w:lineRule="auto"/>
              <w:ind w:left="417"/>
            </w:pPr>
            <w:r>
              <w:t>4</w:t>
            </w:r>
          </w:p>
        </w:tc>
        <w:tc>
          <w:tcPr>
            <w:tcW w:w="3049" w:type="dxa"/>
          </w:tcPr>
          <w:p w14:paraId="439D0EC2">
            <w:pPr>
              <w:rPr>
                <w:rFonts w:ascii="Arial"/>
              </w:rPr>
            </w:pPr>
          </w:p>
        </w:tc>
        <w:tc>
          <w:tcPr>
            <w:tcW w:w="2820" w:type="dxa"/>
          </w:tcPr>
          <w:p w14:paraId="429B0143">
            <w:pPr>
              <w:rPr>
                <w:rFonts w:ascii="Arial"/>
              </w:rPr>
            </w:pPr>
          </w:p>
        </w:tc>
        <w:tc>
          <w:tcPr>
            <w:tcW w:w="1427" w:type="dxa"/>
          </w:tcPr>
          <w:p w14:paraId="46B45668">
            <w:pPr>
              <w:rPr>
                <w:rFonts w:ascii="Arial"/>
              </w:rPr>
            </w:pPr>
          </w:p>
        </w:tc>
      </w:tr>
      <w:tr w14:paraId="004E6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30" w:type="dxa"/>
          </w:tcPr>
          <w:p w14:paraId="4C34E2A0">
            <w:pPr>
              <w:pStyle w:val="53"/>
              <w:spacing w:before="170" w:line="204" w:lineRule="auto"/>
              <w:ind w:left="423"/>
            </w:pPr>
            <w:r>
              <w:t>5</w:t>
            </w:r>
          </w:p>
        </w:tc>
        <w:tc>
          <w:tcPr>
            <w:tcW w:w="3049" w:type="dxa"/>
          </w:tcPr>
          <w:p w14:paraId="15ED3229">
            <w:pPr>
              <w:rPr>
                <w:rFonts w:ascii="Arial"/>
              </w:rPr>
            </w:pPr>
          </w:p>
        </w:tc>
        <w:tc>
          <w:tcPr>
            <w:tcW w:w="2820" w:type="dxa"/>
          </w:tcPr>
          <w:p w14:paraId="411A8B6F">
            <w:pPr>
              <w:rPr>
                <w:rFonts w:ascii="Arial"/>
              </w:rPr>
            </w:pPr>
          </w:p>
        </w:tc>
        <w:tc>
          <w:tcPr>
            <w:tcW w:w="1427" w:type="dxa"/>
          </w:tcPr>
          <w:p w14:paraId="43F00DC2">
            <w:pPr>
              <w:rPr>
                <w:rFonts w:ascii="Arial"/>
              </w:rPr>
            </w:pPr>
          </w:p>
        </w:tc>
      </w:tr>
      <w:tr w14:paraId="6A949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930" w:type="dxa"/>
          </w:tcPr>
          <w:p w14:paraId="76BC9B4C">
            <w:pPr>
              <w:pStyle w:val="53"/>
              <w:spacing w:before="225" w:line="229" w:lineRule="auto"/>
              <w:ind w:left="384"/>
              <w:rPr>
                <w:sz w:val="25"/>
                <w:szCs w:val="25"/>
              </w:rPr>
            </w:pPr>
            <w:r>
              <w:rPr>
                <w:i/>
                <w:iCs/>
                <w:spacing w:val="13"/>
                <w:sz w:val="25"/>
                <w:szCs w:val="25"/>
              </w:rPr>
              <w:t>…</w:t>
            </w:r>
          </w:p>
          <w:p w14:paraId="08F79675">
            <w:pPr>
              <w:pStyle w:val="53"/>
              <w:spacing w:line="200" w:lineRule="auto"/>
              <w:ind w:left="384"/>
              <w:rPr>
                <w:sz w:val="25"/>
                <w:szCs w:val="25"/>
              </w:rPr>
            </w:pPr>
            <w:r>
              <w:rPr>
                <w:i/>
                <w:iCs/>
                <w:spacing w:val="13"/>
                <w:sz w:val="25"/>
                <w:szCs w:val="25"/>
              </w:rPr>
              <w:t>…</w:t>
            </w:r>
          </w:p>
        </w:tc>
        <w:tc>
          <w:tcPr>
            <w:tcW w:w="3049" w:type="dxa"/>
          </w:tcPr>
          <w:p w14:paraId="166E3A12">
            <w:pPr>
              <w:rPr>
                <w:rFonts w:ascii="Arial"/>
              </w:rPr>
            </w:pPr>
          </w:p>
        </w:tc>
        <w:tc>
          <w:tcPr>
            <w:tcW w:w="2820" w:type="dxa"/>
          </w:tcPr>
          <w:p w14:paraId="3F25158A">
            <w:pPr>
              <w:rPr>
                <w:rFonts w:ascii="Arial"/>
              </w:rPr>
            </w:pPr>
          </w:p>
        </w:tc>
        <w:tc>
          <w:tcPr>
            <w:tcW w:w="1427" w:type="dxa"/>
          </w:tcPr>
          <w:p w14:paraId="327213D2">
            <w:pPr>
              <w:rPr>
                <w:rFonts w:ascii="Arial"/>
              </w:rPr>
            </w:pPr>
          </w:p>
        </w:tc>
      </w:tr>
    </w:tbl>
    <w:p w14:paraId="1003B455">
      <w:pPr>
        <w:spacing w:before="35" w:line="220" w:lineRule="auto"/>
        <w:jc w:val="right"/>
        <w:rPr>
          <w:rFonts w:ascii="宋体" w:hAnsi="宋体" w:cs="宋体"/>
          <w:spacing w:val="-1"/>
          <w:sz w:val="24"/>
          <w:szCs w:val="24"/>
        </w:rPr>
      </w:pPr>
    </w:p>
    <w:p w14:paraId="155C572F">
      <w:pPr>
        <w:spacing w:before="35" w:line="220" w:lineRule="auto"/>
        <w:jc w:val="center"/>
        <w:rPr>
          <w:rFonts w:ascii="宋体" w:hAnsi="宋体" w:cs="宋体"/>
          <w:sz w:val="24"/>
          <w:szCs w:val="24"/>
        </w:rPr>
      </w:pPr>
      <w:r>
        <w:rPr>
          <w:rFonts w:hint="eastAsia" w:ascii="宋体" w:hAnsi="宋体" w:cs="宋体"/>
          <w:spacing w:val="-1"/>
          <w:sz w:val="24"/>
          <w:szCs w:val="24"/>
          <w:lang w:eastAsia="zh-CN"/>
        </w:rPr>
        <w:t>供应商</w:t>
      </w:r>
      <w:r>
        <w:rPr>
          <w:rFonts w:ascii="宋体" w:hAnsi="宋体" w:cs="宋体"/>
          <w:spacing w:val="-1"/>
          <w:sz w:val="24"/>
          <w:szCs w:val="24"/>
        </w:rPr>
        <w:t>保证：除商务和技术</w:t>
      </w:r>
      <w:r>
        <w:rPr>
          <w:rFonts w:hint="eastAsia" w:ascii="宋体" w:hAnsi="宋体" w:cs="宋体"/>
          <w:spacing w:val="-1"/>
          <w:sz w:val="24"/>
          <w:szCs w:val="24"/>
        </w:rPr>
        <w:t>偏离表</w:t>
      </w:r>
      <w:r>
        <w:rPr>
          <w:rFonts w:ascii="宋体" w:hAnsi="宋体" w:cs="宋体"/>
          <w:spacing w:val="-1"/>
          <w:sz w:val="24"/>
          <w:szCs w:val="24"/>
        </w:rPr>
        <w:t>列出的偏差外</w:t>
      </w:r>
      <w:r>
        <w:rPr>
          <w:rFonts w:ascii="宋体" w:hAnsi="宋体" w:cs="宋体"/>
          <w:spacing w:val="-2"/>
          <w:sz w:val="24"/>
          <w:szCs w:val="24"/>
        </w:rPr>
        <w:t>，</w:t>
      </w:r>
      <w:r>
        <w:rPr>
          <w:rFonts w:hint="eastAsia" w:ascii="宋体" w:hAnsi="宋体" w:cs="宋体"/>
          <w:spacing w:val="-2"/>
          <w:sz w:val="24"/>
          <w:szCs w:val="24"/>
          <w:lang w:eastAsia="zh-CN"/>
        </w:rPr>
        <w:t>供应商</w:t>
      </w:r>
      <w:r>
        <w:rPr>
          <w:rFonts w:ascii="宋体" w:hAnsi="宋体" w:cs="宋体"/>
          <w:spacing w:val="-2"/>
          <w:sz w:val="24"/>
          <w:szCs w:val="24"/>
        </w:rPr>
        <w:t>响应</w:t>
      </w:r>
      <w:r>
        <w:rPr>
          <w:rFonts w:hint="eastAsia" w:ascii="宋体" w:hAnsi="宋体" w:cs="宋体"/>
          <w:spacing w:val="-2"/>
          <w:sz w:val="24"/>
          <w:szCs w:val="24"/>
        </w:rPr>
        <w:t>招标文件</w:t>
      </w:r>
      <w:r>
        <w:rPr>
          <w:rFonts w:ascii="宋体" w:hAnsi="宋体" w:cs="宋体"/>
          <w:spacing w:val="-2"/>
          <w:sz w:val="24"/>
          <w:szCs w:val="24"/>
        </w:rPr>
        <w:t>的全部要求。</w:t>
      </w:r>
    </w:p>
    <w:p w14:paraId="771BB7C6">
      <w:pPr>
        <w:rPr>
          <w:rFonts w:ascii="宋体" w:hAnsi="宋体"/>
          <w:b/>
          <w:bCs/>
          <w:kern w:val="0"/>
          <w:sz w:val="20"/>
          <w:szCs w:val="20"/>
        </w:rPr>
      </w:pPr>
    </w:p>
    <w:p w14:paraId="6EBD698B">
      <w:pPr>
        <w:pStyle w:val="23"/>
        <w:ind w:left="199" w:firstLine="640"/>
      </w:pPr>
    </w:p>
    <w:p w14:paraId="02D28E90">
      <w:pPr>
        <w:rPr>
          <w:rFonts w:ascii="宋体" w:hAnsi="宋体"/>
          <w:b/>
          <w:bCs/>
          <w:kern w:val="0"/>
          <w:sz w:val="20"/>
          <w:szCs w:val="20"/>
        </w:rPr>
      </w:pPr>
    </w:p>
    <w:p w14:paraId="2ABD1D79">
      <w:pPr>
        <w:pStyle w:val="23"/>
        <w:ind w:left="199" w:firstLine="402"/>
        <w:rPr>
          <w:rFonts w:ascii="宋体" w:hAnsi="宋体"/>
          <w:b/>
          <w:bCs/>
          <w:kern w:val="0"/>
          <w:sz w:val="20"/>
          <w:szCs w:val="20"/>
        </w:rPr>
      </w:pPr>
    </w:p>
    <w:p w14:paraId="1CF4297F">
      <w:pPr>
        <w:pStyle w:val="23"/>
        <w:ind w:left="199" w:firstLine="640"/>
        <w:sectPr>
          <w:pgSz w:w="11906" w:h="16838"/>
          <w:pgMar w:top="1134" w:right="1134" w:bottom="1134" w:left="1134" w:header="851" w:footer="992" w:gutter="0"/>
          <w:cols w:space="720" w:num="1"/>
          <w:docGrid w:type="lines" w:linePitch="312" w:charSpace="0"/>
        </w:sectPr>
      </w:pPr>
    </w:p>
    <w:p w14:paraId="2EECA717">
      <w:pPr>
        <w:pStyle w:val="3"/>
        <w:tabs>
          <w:tab w:val="left" w:pos="780"/>
        </w:tabs>
        <w:jc w:val="center"/>
        <w:outlineLvl w:val="0"/>
        <w:rPr>
          <w:b/>
          <w:bCs/>
          <w:sz w:val="24"/>
          <w:szCs w:val="24"/>
        </w:rPr>
      </w:pPr>
      <w:bookmarkStart w:id="121" w:name="_Toc30056"/>
      <w:r>
        <w:rPr>
          <w:rFonts w:hint="eastAsia" w:ascii="宋体" w:hAnsi="宋体"/>
          <w:b/>
          <w:bCs/>
          <w:sz w:val="24"/>
          <w:szCs w:val="24"/>
        </w:rPr>
        <w:t>十、供货服务方案及承诺</w:t>
      </w:r>
      <w:bookmarkEnd w:id="121"/>
    </w:p>
    <w:p w14:paraId="0A3FC9F3">
      <w:pPr>
        <w:tabs>
          <w:tab w:val="left" w:pos="4000"/>
        </w:tabs>
        <w:overflowPunct w:val="0"/>
        <w:topLinePunct/>
        <w:autoSpaceDN w:val="0"/>
        <w:adjustRightInd w:val="0"/>
        <w:snapToGrid w:val="0"/>
        <w:spacing w:line="360" w:lineRule="auto"/>
        <w:jc w:val="center"/>
        <w:rPr>
          <w:rFonts w:ascii="宋体" w:hAnsi="宋体"/>
          <w:b/>
          <w:sz w:val="24"/>
          <w:szCs w:val="24"/>
        </w:rPr>
      </w:pPr>
    </w:p>
    <w:p w14:paraId="6D8EE4FC">
      <w:pPr>
        <w:tabs>
          <w:tab w:val="left" w:pos="4000"/>
        </w:tabs>
        <w:overflowPunct w:val="0"/>
        <w:topLinePunct/>
        <w:autoSpaceDN w:val="0"/>
        <w:adjustRightInd w:val="0"/>
        <w:snapToGrid w:val="0"/>
        <w:spacing w:line="360" w:lineRule="auto"/>
        <w:jc w:val="center"/>
        <w:rPr>
          <w:rFonts w:ascii="宋体" w:hAnsi="宋体"/>
          <w:b/>
          <w:sz w:val="24"/>
          <w:szCs w:val="24"/>
        </w:rPr>
      </w:pPr>
      <w:r>
        <w:rPr>
          <w:rFonts w:hint="eastAsia" w:ascii="宋体" w:hAnsi="宋体"/>
          <w:b/>
          <w:sz w:val="24"/>
          <w:szCs w:val="24"/>
        </w:rPr>
        <w:t>格式自拟</w:t>
      </w:r>
    </w:p>
    <w:p w14:paraId="36BF0B26">
      <w:pPr>
        <w:tabs>
          <w:tab w:val="left" w:pos="4000"/>
        </w:tabs>
        <w:overflowPunct w:val="0"/>
        <w:topLinePunct/>
        <w:autoSpaceDN w:val="0"/>
        <w:adjustRightInd w:val="0"/>
        <w:snapToGrid w:val="0"/>
        <w:spacing w:line="360" w:lineRule="auto"/>
        <w:jc w:val="center"/>
        <w:rPr>
          <w:rFonts w:ascii="宋体" w:hAnsi="宋体"/>
          <w:b/>
          <w:sz w:val="24"/>
          <w:szCs w:val="24"/>
        </w:rPr>
      </w:pPr>
    </w:p>
    <w:p w14:paraId="7572AEDD">
      <w:pPr>
        <w:tabs>
          <w:tab w:val="left" w:pos="4000"/>
        </w:tabs>
        <w:overflowPunct w:val="0"/>
        <w:topLinePunct/>
        <w:autoSpaceDN w:val="0"/>
        <w:adjustRightInd w:val="0"/>
        <w:snapToGrid w:val="0"/>
        <w:spacing w:line="360" w:lineRule="auto"/>
        <w:jc w:val="center"/>
        <w:rPr>
          <w:rFonts w:ascii="宋体" w:hAnsi="宋体"/>
          <w:b/>
          <w:sz w:val="24"/>
          <w:szCs w:val="24"/>
        </w:rPr>
      </w:pPr>
    </w:p>
    <w:p w14:paraId="7CE3F843">
      <w:pPr>
        <w:tabs>
          <w:tab w:val="left" w:pos="4000"/>
        </w:tabs>
        <w:overflowPunct w:val="0"/>
        <w:topLinePunct/>
        <w:autoSpaceDN w:val="0"/>
        <w:adjustRightInd w:val="0"/>
        <w:snapToGrid w:val="0"/>
        <w:spacing w:line="360" w:lineRule="auto"/>
        <w:jc w:val="center"/>
        <w:rPr>
          <w:rFonts w:ascii="宋体" w:hAnsi="宋体"/>
          <w:b/>
          <w:sz w:val="24"/>
          <w:szCs w:val="24"/>
        </w:rPr>
      </w:pPr>
    </w:p>
    <w:p w14:paraId="7A2CF659">
      <w:pPr>
        <w:tabs>
          <w:tab w:val="left" w:pos="4000"/>
        </w:tabs>
        <w:overflowPunct w:val="0"/>
        <w:topLinePunct/>
        <w:autoSpaceDN w:val="0"/>
        <w:adjustRightInd w:val="0"/>
        <w:snapToGrid w:val="0"/>
        <w:spacing w:line="360" w:lineRule="auto"/>
        <w:jc w:val="center"/>
        <w:rPr>
          <w:rFonts w:ascii="宋体" w:hAnsi="宋体"/>
          <w:b/>
          <w:sz w:val="24"/>
          <w:szCs w:val="24"/>
        </w:rPr>
      </w:pPr>
    </w:p>
    <w:p w14:paraId="2BE6DC18">
      <w:pPr>
        <w:tabs>
          <w:tab w:val="left" w:pos="4000"/>
        </w:tabs>
        <w:overflowPunct w:val="0"/>
        <w:topLinePunct/>
        <w:autoSpaceDN w:val="0"/>
        <w:adjustRightInd w:val="0"/>
        <w:snapToGrid w:val="0"/>
        <w:spacing w:line="360" w:lineRule="auto"/>
        <w:jc w:val="center"/>
        <w:rPr>
          <w:rFonts w:ascii="宋体" w:hAnsi="宋体"/>
          <w:b/>
          <w:sz w:val="24"/>
          <w:szCs w:val="24"/>
        </w:rPr>
      </w:pPr>
    </w:p>
    <w:p w14:paraId="036A2A42">
      <w:pPr>
        <w:tabs>
          <w:tab w:val="left" w:pos="4000"/>
        </w:tabs>
        <w:overflowPunct w:val="0"/>
        <w:topLinePunct/>
        <w:autoSpaceDN w:val="0"/>
        <w:adjustRightInd w:val="0"/>
        <w:snapToGrid w:val="0"/>
        <w:spacing w:line="360" w:lineRule="auto"/>
        <w:jc w:val="center"/>
        <w:rPr>
          <w:rFonts w:ascii="宋体" w:hAnsi="宋体"/>
          <w:b/>
          <w:sz w:val="24"/>
          <w:szCs w:val="24"/>
        </w:rPr>
      </w:pPr>
    </w:p>
    <w:p w14:paraId="1834EA4D">
      <w:pPr>
        <w:tabs>
          <w:tab w:val="left" w:pos="4000"/>
        </w:tabs>
        <w:overflowPunct w:val="0"/>
        <w:topLinePunct/>
        <w:autoSpaceDN w:val="0"/>
        <w:adjustRightInd w:val="0"/>
        <w:snapToGrid w:val="0"/>
        <w:spacing w:line="360" w:lineRule="auto"/>
        <w:jc w:val="center"/>
        <w:rPr>
          <w:rFonts w:ascii="宋体" w:hAnsi="宋体"/>
          <w:b/>
          <w:sz w:val="24"/>
          <w:szCs w:val="24"/>
        </w:rPr>
      </w:pPr>
    </w:p>
    <w:p w14:paraId="5CE89D00">
      <w:pPr>
        <w:tabs>
          <w:tab w:val="left" w:pos="4000"/>
        </w:tabs>
        <w:overflowPunct w:val="0"/>
        <w:topLinePunct/>
        <w:autoSpaceDN w:val="0"/>
        <w:adjustRightInd w:val="0"/>
        <w:snapToGrid w:val="0"/>
        <w:spacing w:line="360" w:lineRule="auto"/>
        <w:jc w:val="center"/>
        <w:rPr>
          <w:rFonts w:ascii="宋体" w:hAnsi="宋体"/>
          <w:b/>
          <w:sz w:val="24"/>
          <w:szCs w:val="24"/>
        </w:rPr>
      </w:pPr>
    </w:p>
    <w:p w14:paraId="476A58F4">
      <w:pPr>
        <w:tabs>
          <w:tab w:val="left" w:pos="4000"/>
        </w:tabs>
        <w:overflowPunct w:val="0"/>
        <w:topLinePunct/>
        <w:autoSpaceDN w:val="0"/>
        <w:adjustRightInd w:val="0"/>
        <w:snapToGrid w:val="0"/>
        <w:spacing w:line="360" w:lineRule="auto"/>
        <w:jc w:val="center"/>
        <w:rPr>
          <w:rFonts w:ascii="宋体" w:hAnsi="宋体"/>
          <w:b/>
          <w:sz w:val="24"/>
          <w:szCs w:val="24"/>
        </w:rPr>
      </w:pPr>
    </w:p>
    <w:p w14:paraId="30053BBC">
      <w:pPr>
        <w:tabs>
          <w:tab w:val="left" w:pos="4000"/>
        </w:tabs>
        <w:overflowPunct w:val="0"/>
        <w:topLinePunct/>
        <w:autoSpaceDN w:val="0"/>
        <w:adjustRightInd w:val="0"/>
        <w:snapToGrid w:val="0"/>
        <w:spacing w:line="360" w:lineRule="auto"/>
        <w:jc w:val="center"/>
        <w:rPr>
          <w:rFonts w:ascii="宋体" w:hAnsi="宋体"/>
          <w:b/>
          <w:sz w:val="24"/>
          <w:szCs w:val="24"/>
        </w:rPr>
      </w:pPr>
    </w:p>
    <w:p w14:paraId="3C8CB133">
      <w:pPr>
        <w:tabs>
          <w:tab w:val="left" w:pos="4000"/>
        </w:tabs>
        <w:overflowPunct w:val="0"/>
        <w:topLinePunct/>
        <w:autoSpaceDN w:val="0"/>
        <w:adjustRightInd w:val="0"/>
        <w:snapToGrid w:val="0"/>
        <w:spacing w:line="360" w:lineRule="auto"/>
        <w:jc w:val="center"/>
        <w:rPr>
          <w:rFonts w:ascii="宋体" w:hAnsi="宋体"/>
          <w:b/>
          <w:sz w:val="24"/>
          <w:szCs w:val="24"/>
        </w:rPr>
      </w:pPr>
    </w:p>
    <w:p w14:paraId="0E713BD1">
      <w:pPr>
        <w:tabs>
          <w:tab w:val="left" w:pos="4000"/>
        </w:tabs>
        <w:overflowPunct w:val="0"/>
        <w:topLinePunct/>
        <w:autoSpaceDN w:val="0"/>
        <w:adjustRightInd w:val="0"/>
        <w:snapToGrid w:val="0"/>
        <w:spacing w:line="360" w:lineRule="auto"/>
        <w:jc w:val="center"/>
        <w:rPr>
          <w:rFonts w:ascii="宋体" w:hAnsi="宋体"/>
          <w:b/>
          <w:sz w:val="24"/>
          <w:szCs w:val="24"/>
        </w:rPr>
      </w:pPr>
    </w:p>
    <w:p w14:paraId="08178356">
      <w:pPr>
        <w:tabs>
          <w:tab w:val="left" w:pos="4000"/>
        </w:tabs>
        <w:overflowPunct w:val="0"/>
        <w:topLinePunct/>
        <w:autoSpaceDN w:val="0"/>
        <w:adjustRightInd w:val="0"/>
        <w:snapToGrid w:val="0"/>
        <w:spacing w:line="360" w:lineRule="auto"/>
        <w:jc w:val="center"/>
        <w:rPr>
          <w:rFonts w:ascii="宋体" w:hAnsi="宋体"/>
          <w:b/>
          <w:sz w:val="24"/>
          <w:szCs w:val="24"/>
        </w:rPr>
      </w:pPr>
    </w:p>
    <w:p w14:paraId="3AD39794">
      <w:pPr>
        <w:tabs>
          <w:tab w:val="left" w:pos="4000"/>
        </w:tabs>
        <w:overflowPunct w:val="0"/>
        <w:topLinePunct/>
        <w:autoSpaceDN w:val="0"/>
        <w:adjustRightInd w:val="0"/>
        <w:snapToGrid w:val="0"/>
        <w:spacing w:line="360" w:lineRule="auto"/>
        <w:jc w:val="center"/>
        <w:rPr>
          <w:rFonts w:ascii="宋体" w:hAnsi="宋体"/>
          <w:b/>
          <w:sz w:val="24"/>
          <w:szCs w:val="24"/>
        </w:rPr>
      </w:pPr>
    </w:p>
    <w:p w14:paraId="22C98892">
      <w:pPr>
        <w:tabs>
          <w:tab w:val="left" w:pos="4000"/>
        </w:tabs>
        <w:overflowPunct w:val="0"/>
        <w:topLinePunct/>
        <w:autoSpaceDN w:val="0"/>
        <w:adjustRightInd w:val="0"/>
        <w:snapToGrid w:val="0"/>
        <w:spacing w:line="360" w:lineRule="auto"/>
        <w:jc w:val="center"/>
        <w:rPr>
          <w:rFonts w:ascii="宋体" w:hAnsi="宋体"/>
          <w:b/>
          <w:sz w:val="24"/>
          <w:szCs w:val="24"/>
        </w:rPr>
      </w:pPr>
    </w:p>
    <w:p w14:paraId="0DBF29F1">
      <w:pPr>
        <w:tabs>
          <w:tab w:val="left" w:pos="4000"/>
        </w:tabs>
        <w:overflowPunct w:val="0"/>
        <w:topLinePunct/>
        <w:autoSpaceDN w:val="0"/>
        <w:adjustRightInd w:val="0"/>
        <w:snapToGrid w:val="0"/>
        <w:spacing w:line="360" w:lineRule="auto"/>
        <w:jc w:val="center"/>
        <w:rPr>
          <w:rFonts w:ascii="宋体" w:hAnsi="宋体"/>
          <w:b/>
          <w:sz w:val="24"/>
          <w:szCs w:val="24"/>
        </w:rPr>
      </w:pPr>
    </w:p>
    <w:p w14:paraId="63EC3874">
      <w:pPr>
        <w:tabs>
          <w:tab w:val="left" w:pos="4000"/>
        </w:tabs>
        <w:overflowPunct w:val="0"/>
        <w:topLinePunct/>
        <w:autoSpaceDN w:val="0"/>
        <w:adjustRightInd w:val="0"/>
        <w:snapToGrid w:val="0"/>
        <w:spacing w:line="360" w:lineRule="auto"/>
        <w:jc w:val="center"/>
        <w:rPr>
          <w:rFonts w:ascii="宋体" w:hAnsi="宋体"/>
          <w:b/>
          <w:sz w:val="24"/>
          <w:szCs w:val="24"/>
        </w:rPr>
      </w:pPr>
    </w:p>
    <w:p w14:paraId="4ED799AD">
      <w:pPr>
        <w:tabs>
          <w:tab w:val="left" w:pos="4000"/>
        </w:tabs>
        <w:overflowPunct w:val="0"/>
        <w:topLinePunct/>
        <w:autoSpaceDN w:val="0"/>
        <w:adjustRightInd w:val="0"/>
        <w:snapToGrid w:val="0"/>
        <w:spacing w:line="360" w:lineRule="auto"/>
        <w:jc w:val="center"/>
        <w:rPr>
          <w:rFonts w:ascii="宋体" w:hAnsi="宋体"/>
          <w:b/>
          <w:sz w:val="24"/>
          <w:szCs w:val="24"/>
        </w:rPr>
      </w:pPr>
    </w:p>
    <w:p w14:paraId="70AEEBA8">
      <w:pPr>
        <w:tabs>
          <w:tab w:val="left" w:pos="4000"/>
        </w:tabs>
        <w:overflowPunct w:val="0"/>
        <w:topLinePunct/>
        <w:autoSpaceDN w:val="0"/>
        <w:adjustRightInd w:val="0"/>
        <w:snapToGrid w:val="0"/>
        <w:spacing w:line="360" w:lineRule="auto"/>
        <w:jc w:val="center"/>
        <w:rPr>
          <w:rFonts w:ascii="宋体" w:hAnsi="宋体"/>
          <w:b/>
          <w:sz w:val="24"/>
          <w:szCs w:val="24"/>
        </w:rPr>
      </w:pPr>
    </w:p>
    <w:p w14:paraId="0E614DA4">
      <w:pPr>
        <w:tabs>
          <w:tab w:val="left" w:pos="4000"/>
        </w:tabs>
        <w:overflowPunct w:val="0"/>
        <w:topLinePunct/>
        <w:autoSpaceDN w:val="0"/>
        <w:adjustRightInd w:val="0"/>
        <w:snapToGrid w:val="0"/>
        <w:spacing w:line="360" w:lineRule="auto"/>
        <w:jc w:val="center"/>
        <w:rPr>
          <w:rFonts w:ascii="宋体" w:hAnsi="宋体"/>
          <w:b/>
          <w:sz w:val="24"/>
          <w:szCs w:val="24"/>
        </w:rPr>
      </w:pPr>
    </w:p>
    <w:p w14:paraId="1E8A551B">
      <w:pPr>
        <w:tabs>
          <w:tab w:val="left" w:pos="4000"/>
        </w:tabs>
        <w:overflowPunct w:val="0"/>
        <w:topLinePunct/>
        <w:autoSpaceDN w:val="0"/>
        <w:adjustRightInd w:val="0"/>
        <w:snapToGrid w:val="0"/>
        <w:spacing w:line="360" w:lineRule="auto"/>
        <w:jc w:val="center"/>
        <w:rPr>
          <w:rFonts w:ascii="宋体" w:hAnsi="宋体"/>
          <w:b/>
          <w:sz w:val="24"/>
          <w:szCs w:val="24"/>
        </w:rPr>
      </w:pPr>
    </w:p>
    <w:p w14:paraId="00F3B185">
      <w:pPr>
        <w:tabs>
          <w:tab w:val="left" w:pos="4000"/>
        </w:tabs>
        <w:overflowPunct w:val="0"/>
        <w:topLinePunct/>
        <w:autoSpaceDN w:val="0"/>
        <w:adjustRightInd w:val="0"/>
        <w:snapToGrid w:val="0"/>
        <w:spacing w:line="360" w:lineRule="auto"/>
        <w:jc w:val="center"/>
        <w:rPr>
          <w:rFonts w:ascii="宋体" w:hAnsi="宋体"/>
          <w:b/>
          <w:sz w:val="24"/>
          <w:szCs w:val="24"/>
        </w:rPr>
      </w:pPr>
    </w:p>
    <w:p w14:paraId="3161DFAE">
      <w:pPr>
        <w:tabs>
          <w:tab w:val="left" w:pos="4000"/>
        </w:tabs>
        <w:overflowPunct w:val="0"/>
        <w:topLinePunct/>
        <w:autoSpaceDN w:val="0"/>
        <w:adjustRightInd w:val="0"/>
        <w:snapToGrid w:val="0"/>
        <w:spacing w:line="360" w:lineRule="auto"/>
        <w:jc w:val="center"/>
        <w:rPr>
          <w:rFonts w:ascii="宋体" w:hAnsi="宋体"/>
          <w:b/>
          <w:sz w:val="24"/>
          <w:szCs w:val="24"/>
        </w:rPr>
      </w:pPr>
    </w:p>
    <w:p w14:paraId="2E46E8E4">
      <w:pPr>
        <w:tabs>
          <w:tab w:val="left" w:pos="4000"/>
        </w:tabs>
        <w:overflowPunct w:val="0"/>
        <w:topLinePunct/>
        <w:autoSpaceDN w:val="0"/>
        <w:adjustRightInd w:val="0"/>
        <w:snapToGrid w:val="0"/>
        <w:spacing w:line="360" w:lineRule="auto"/>
        <w:jc w:val="center"/>
        <w:rPr>
          <w:rFonts w:ascii="宋体" w:hAnsi="宋体"/>
          <w:b/>
          <w:sz w:val="24"/>
          <w:szCs w:val="24"/>
        </w:rPr>
      </w:pPr>
    </w:p>
    <w:p w14:paraId="74F25F13">
      <w:pPr>
        <w:tabs>
          <w:tab w:val="left" w:pos="4000"/>
        </w:tabs>
        <w:overflowPunct w:val="0"/>
        <w:topLinePunct/>
        <w:autoSpaceDN w:val="0"/>
        <w:adjustRightInd w:val="0"/>
        <w:snapToGrid w:val="0"/>
        <w:spacing w:line="360" w:lineRule="auto"/>
        <w:jc w:val="center"/>
        <w:rPr>
          <w:rFonts w:ascii="宋体" w:hAnsi="宋体"/>
          <w:b/>
          <w:sz w:val="24"/>
          <w:szCs w:val="24"/>
        </w:rPr>
      </w:pPr>
    </w:p>
    <w:p w14:paraId="0ED8B19E">
      <w:pPr>
        <w:tabs>
          <w:tab w:val="left" w:pos="4000"/>
        </w:tabs>
        <w:overflowPunct w:val="0"/>
        <w:topLinePunct/>
        <w:autoSpaceDN w:val="0"/>
        <w:adjustRightInd w:val="0"/>
        <w:snapToGrid w:val="0"/>
        <w:spacing w:line="360" w:lineRule="auto"/>
        <w:jc w:val="center"/>
        <w:rPr>
          <w:rFonts w:ascii="宋体" w:hAnsi="宋体"/>
          <w:b/>
          <w:sz w:val="24"/>
          <w:szCs w:val="24"/>
        </w:rPr>
      </w:pPr>
    </w:p>
    <w:p w14:paraId="3E61B52A">
      <w:pPr>
        <w:tabs>
          <w:tab w:val="left" w:pos="4000"/>
        </w:tabs>
        <w:overflowPunct w:val="0"/>
        <w:topLinePunct/>
        <w:autoSpaceDN w:val="0"/>
        <w:adjustRightInd w:val="0"/>
        <w:snapToGrid w:val="0"/>
        <w:spacing w:line="360" w:lineRule="auto"/>
        <w:jc w:val="center"/>
        <w:rPr>
          <w:rFonts w:ascii="宋体" w:hAnsi="宋体"/>
          <w:b/>
          <w:sz w:val="24"/>
          <w:szCs w:val="24"/>
        </w:rPr>
      </w:pPr>
    </w:p>
    <w:p w14:paraId="632D6F78">
      <w:pPr>
        <w:tabs>
          <w:tab w:val="left" w:pos="4000"/>
        </w:tabs>
        <w:overflowPunct w:val="0"/>
        <w:topLinePunct/>
        <w:autoSpaceDN w:val="0"/>
        <w:adjustRightInd w:val="0"/>
        <w:snapToGrid w:val="0"/>
        <w:spacing w:line="360" w:lineRule="auto"/>
        <w:jc w:val="center"/>
        <w:outlineLvl w:val="0"/>
        <w:rPr>
          <w:rFonts w:ascii="宋体" w:hAnsi="宋体"/>
          <w:b/>
          <w:bCs/>
          <w:sz w:val="24"/>
          <w:szCs w:val="24"/>
        </w:rPr>
      </w:pPr>
      <w:bookmarkStart w:id="122" w:name="_Toc7100"/>
      <w:r>
        <w:rPr>
          <w:rFonts w:hint="eastAsia" w:ascii="宋体" w:hAnsi="宋体"/>
          <w:b/>
          <w:bCs/>
          <w:sz w:val="24"/>
          <w:szCs w:val="24"/>
        </w:rPr>
        <w:t>十一、招标文件中要求提供及供应商认为需要提供的其他技术资料</w:t>
      </w:r>
      <w:bookmarkEnd w:id="122"/>
    </w:p>
    <w:p w14:paraId="4BD1BEA0">
      <w:pPr>
        <w:tabs>
          <w:tab w:val="left" w:pos="4000"/>
        </w:tabs>
        <w:overflowPunct w:val="0"/>
        <w:topLinePunct/>
        <w:autoSpaceDN w:val="0"/>
        <w:adjustRightInd w:val="0"/>
        <w:snapToGrid w:val="0"/>
        <w:spacing w:line="360" w:lineRule="auto"/>
        <w:ind w:left="420" w:leftChars="200"/>
        <w:jc w:val="center"/>
        <w:outlineLvl w:val="0"/>
        <w:rPr>
          <w:rFonts w:ascii="宋体" w:hAnsi="宋体"/>
          <w:snapToGrid w:val="0"/>
          <w:kern w:val="0"/>
          <w:sz w:val="28"/>
          <w:szCs w:val="28"/>
        </w:rPr>
      </w:pPr>
      <w:r>
        <w:rPr>
          <w:rFonts w:ascii="宋体" w:hAnsi="宋体"/>
          <w:b/>
          <w:sz w:val="24"/>
          <w:szCs w:val="24"/>
        </w:rPr>
        <w:br w:type="page"/>
      </w:r>
      <w:bookmarkStart w:id="123" w:name="_Toc23496"/>
      <w:r>
        <w:rPr>
          <w:rFonts w:hint="eastAsia" w:ascii="宋体" w:hAnsi="宋体"/>
          <w:b/>
          <w:sz w:val="24"/>
          <w:szCs w:val="24"/>
        </w:rPr>
        <w:t>十二、其他材料</w:t>
      </w:r>
      <w:bookmarkEnd w:id="123"/>
    </w:p>
    <w:p w14:paraId="0633C013">
      <w:pPr>
        <w:keepNext/>
        <w:tabs>
          <w:tab w:val="left" w:pos="1680"/>
        </w:tabs>
        <w:snapToGrid w:val="0"/>
        <w:spacing w:line="480" w:lineRule="exact"/>
        <w:jc w:val="center"/>
        <w:rPr>
          <w:rFonts w:ascii="宋体"/>
          <w:b/>
          <w:kern w:val="0"/>
          <w:sz w:val="32"/>
          <w:szCs w:val="24"/>
        </w:rPr>
      </w:pPr>
      <w:r>
        <w:rPr>
          <w:rFonts w:hint="eastAsia" w:ascii="宋体" w:hAnsi="宋体"/>
          <w:b/>
          <w:kern w:val="0"/>
          <w:sz w:val="24"/>
          <w:szCs w:val="24"/>
        </w:rPr>
        <w:t>（1）中小企业声明函（如适用）</w:t>
      </w:r>
    </w:p>
    <w:p w14:paraId="78B2DA69">
      <w:pPr>
        <w:tabs>
          <w:tab w:val="left" w:pos="1680"/>
        </w:tabs>
        <w:spacing w:line="360" w:lineRule="auto"/>
        <w:jc w:val="center"/>
        <w:rPr>
          <w:rFonts w:ascii="宋体" w:hAnsi="宋体" w:cs="宋体"/>
          <w:sz w:val="28"/>
          <w:szCs w:val="28"/>
        </w:rPr>
      </w:pPr>
      <w:r>
        <w:rPr>
          <w:rFonts w:hint="eastAsia" w:ascii="宋体" w:hAnsi="宋体" w:cs="宋体"/>
          <w:b/>
          <w:sz w:val="28"/>
          <w:szCs w:val="28"/>
        </w:rPr>
        <w:t>中小企业声明函（货物）</w:t>
      </w:r>
    </w:p>
    <w:p w14:paraId="4CFD5711">
      <w:pPr>
        <w:tabs>
          <w:tab w:val="left" w:pos="1680"/>
        </w:tabs>
        <w:spacing w:line="360" w:lineRule="auto"/>
        <w:ind w:firstLine="480" w:firstLineChars="200"/>
        <w:jc w:val="left"/>
        <w:rPr>
          <w:rFonts w:ascii="宋体" w:hAnsi="宋体" w:cs="宋体"/>
          <w:sz w:val="24"/>
          <w:szCs w:val="24"/>
        </w:rPr>
      </w:pPr>
      <w:r>
        <w:rPr>
          <w:rFonts w:hint="eastAsia" w:ascii="宋体" w:hAnsi="宋体" w:cs="宋体"/>
          <w:sz w:val="24"/>
          <w:szCs w:val="24"/>
        </w:rPr>
        <w:t>本公司（联合体）郑重声明，根据《政府采购促进中小企业发展管理办法》（财库﹝2020﹞46号）的规定，本公司（联合体）参加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采购活动，提供的货物全部由符合政策要求的中小企业制造。相关企业（含联合体中的中小企业、签订分包意向协议的中小企业）的具体情况如下：</w:t>
      </w:r>
    </w:p>
    <w:p w14:paraId="2550FA92">
      <w:pPr>
        <w:tabs>
          <w:tab w:val="left" w:pos="1680"/>
        </w:tabs>
        <w:spacing w:line="360" w:lineRule="auto"/>
        <w:ind w:firstLine="480" w:firstLineChars="200"/>
        <w:jc w:val="left"/>
        <w:rPr>
          <w:rFonts w:ascii="宋体" w:hAnsi="宋体" w:cs="宋体"/>
          <w:sz w:val="24"/>
          <w:szCs w:val="24"/>
          <w:u w:val="single"/>
        </w:rPr>
      </w:pPr>
      <w:r>
        <w:rPr>
          <w:rFonts w:hint="eastAsia" w:ascii="宋体" w:hAnsi="宋体" w:cs="宋体"/>
          <w:sz w:val="24"/>
          <w:szCs w:val="24"/>
        </w:rPr>
        <w:t>1.</w:t>
      </w:r>
      <w:r>
        <w:rPr>
          <w:rFonts w:hint="eastAsia" w:ascii="宋体" w:hAnsi="宋体" w:cs="宋体"/>
          <w:sz w:val="24"/>
          <w:szCs w:val="24"/>
          <w:u w:val="single"/>
        </w:rPr>
        <w:t xml:space="preserve">             </w:t>
      </w:r>
      <w:r>
        <w:rPr>
          <w:rFonts w:hint="eastAsia" w:ascii="宋体" w:hAnsi="宋体" w:cs="宋体"/>
          <w:sz w:val="24"/>
          <w:szCs w:val="24"/>
        </w:rPr>
        <w:t>，属于</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行业；制造商为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（中型企业、小型企业、微型企业）</w:t>
      </w:r>
      <w:r>
        <w:rPr>
          <w:rFonts w:hint="eastAsia" w:ascii="宋体" w:hAnsi="宋体" w:cs="宋体"/>
          <w:sz w:val="24"/>
          <w:szCs w:val="24"/>
        </w:rPr>
        <w:t>；</w:t>
      </w:r>
    </w:p>
    <w:p w14:paraId="0497CDEE">
      <w:pPr>
        <w:tabs>
          <w:tab w:val="left" w:pos="1680"/>
        </w:tabs>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2. </w:t>
      </w:r>
      <w:r>
        <w:rPr>
          <w:rFonts w:hint="eastAsia" w:ascii="宋体" w:hAnsi="宋体" w:cs="宋体"/>
          <w:sz w:val="24"/>
          <w:szCs w:val="24"/>
          <w:u w:val="single"/>
        </w:rPr>
        <w:t xml:space="preserve">          </w:t>
      </w:r>
      <w:r>
        <w:rPr>
          <w:rFonts w:hint="eastAsia" w:ascii="宋体" w:hAnsi="宋体" w:cs="宋体"/>
          <w:sz w:val="24"/>
          <w:szCs w:val="24"/>
        </w:rPr>
        <w:t>，属于</w:t>
      </w:r>
      <w:r>
        <w:rPr>
          <w:rFonts w:hint="eastAsia" w:ascii="宋体" w:hAnsi="宋体" w:cs="宋体"/>
          <w:sz w:val="24"/>
          <w:szCs w:val="24"/>
          <w:u w:val="single"/>
        </w:rPr>
        <w:t xml:space="preserve">   其他未列明行业   </w:t>
      </w:r>
      <w:r>
        <w:rPr>
          <w:rFonts w:hint="eastAsia" w:ascii="宋体" w:hAnsi="宋体" w:cs="宋体"/>
          <w:sz w:val="24"/>
          <w:szCs w:val="24"/>
        </w:rPr>
        <w:t>行业；制造商为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（中型企业、小型企业、微型企业）</w:t>
      </w:r>
      <w:r>
        <w:rPr>
          <w:rFonts w:hint="eastAsia" w:ascii="宋体" w:hAnsi="宋体" w:cs="宋体"/>
          <w:sz w:val="24"/>
          <w:szCs w:val="24"/>
        </w:rPr>
        <w:t>；</w:t>
      </w:r>
    </w:p>
    <w:p w14:paraId="69A5DCC4">
      <w:pPr>
        <w:tabs>
          <w:tab w:val="left" w:pos="1680"/>
        </w:tabs>
        <w:spacing w:line="360" w:lineRule="auto"/>
        <w:jc w:val="left"/>
        <w:rPr>
          <w:rFonts w:ascii="宋体" w:hAnsi="宋体" w:cs="宋体"/>
          <w:sz w:val="24"/>
          <w:szCs w:val="24"/>
        </w:rPr>
      </w:pPr>
      <w:r>
        <w:rPr>
          <w:rFonts w:hint="eastAsia" w:ascii="宋体" w:hAnsi="宋体" w:cs="宋体"/>
          <w:sz w:val="24"/>
          <w:szCs w:val="24"/>
        </w:rPr>
        <w:t>……</w:t>
      </w:r>
    </w:p>
    <w:p w14:paraId="76C0F173">
      <w:pPr>
        <w:tabs>
          <w:tab w:val="left" w:pos="1680"/>
        </w:tabs>
        <w:spacing w:line="360" w:lineRule="auto"/>
        <w:ind w:firstLine="480" w:firstLineChars="200"/>
        <w:jc w:val="left"/>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14:paraId="41BF46A4">
      <w:pPr>
        <w:tabs>
          <w:tab w:val="left" w:pos="1680"/>
        </w:tabs>
        <w:spacing w:line="360" w:lineRule="auto"/>
        <w:ind w:firstLine="480" w:firstLineChars="200"/>
        <w:jc w:val="left"/>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14:paraId="79FF15E8">
      <w:pPr>
        <w:tabs>
          <w:tab w:val="left" w:pos="1680"/>
        </w:tabs>
        <w:spacing w:line="360" w:lineRule="auto"/>
        <w:jc w:val="right"/>
        <w:rPr>
          <w:rFonts w:ascii="宋体" w:hAnsi="宋体" w:cs="宋体"/>
          <w:sz w:val="24"/>
          <w:szCs w:val="24"/>
        </w:rPr>
      </w:pPr>
      <w:r>
        <w:rPr>
          <w:rFonts w:hint="eastAsia" w:ascii="宋体" w:hAnsi="宋体" w:cs="宋体"/>
          <w:sz w:val="24"/>
          <w:szCs w:val="24"/>
        </w:rPr>
        <w:t>企业名称：</w:t>
      </w:r>
      <w:r>
        <w:rPr>
          <w:rFonts w:hint="eastAsia" w:ascii="宋体" w:hAnsi="宋体" w:cs="宋体"/>
          <w:sz w:val="24"/>
          <w:szCs w:val="24"/>
          <w:u w:val="single"/>
        </w:rPr>
        <w:t xml:space="preserve">                </w:t>
      </w:r>
      <w:r>
        <w:rPr>
          <w:rFonts w:hint="eastAsia" w:ascii="宋体" w:hAnsi="宋体" w:cs="宋体"/>
          <w:sz w:val="24"/>
          <w:szCs w:val="24"/>
        </w:rPr>
        <w:t>（电子公章）</w:t>
      </w:r>
    </w:p>
    <w:p w14:paraId="21C3710B">
      <w:pPr>
        <w:tabs>
          <w:tab w:val="left" w:pos="1680"/>
        </w:tabs>
        <w:spacing w:line="360" w:lineRule="auto"/>
        <w:jc w:val="center"/>
        <w:rPr>
          <w:rFonts w:ascii="宋体" w:hAnsi="宋体" w:cs="宋体"/>
          <w:sz w:val="24"/>
          <w:szCs w:val="24"/>
        </w:rPr>
      </w:pPr>
      <w:r>
        <w:rPr>
          <w:rFonts w:hint="eastAsia" w:ascii="宋体" w:hAnsi="宋体" w:cs="宋体"/>
          <w:sz w:val="24"/>
          <w:szCs w:val="24"/>
        </w:rPr>
        <w:t xml:space="preserve">      日期：</w:t>
      </w:r>
    </w:p>
    <w:p w14:paraId="57537D63">
      <w:pPr>
        <w:tabs>
          <w:tab w:val="left" w:pos="1680"/>
        </w:tabs>
        <w:spacing w:line="360" w:lineRule="auto"/>
        <w:jc w:val="left"/>
        <w:rPr>
          <w:rFonts w:ascii="宋体" w:hAnsi="宋体" w:cs="宋体"/>
          <w:sz w:val="24"/>
          <w:szCs w:val="24"/>
        </w:rPr>
      </w:pPr>
      <w:r>
        <w:rPr>
          <w:rFonts w:hint="eastAsia" w:ascii="宋体" w:hAnsi="宋体" w:cs="宋体"/>
          <w:sz w:val="24"/>
          <w:szCs w:val="24"/>
        </w:rPr>
        <w:t>注：1.从业人员、营业收入、资产总额填报上一年度数据，无上一年度数据的新成立企业可不填报。</w:t>
      </w:r>
    </w:p>
    <w:p w14:paraId="5C8BC16A">
      <w:pPr>
        <w:tabs>
          <w:tab w:val="left" w:pos="1680"/>
        </w:tabs>
        <w:spacing w:line="360" w:lineRule="auto"/>
        <w:jc w:val="left"/>
        <w:rPr>
          <w:rFonts w:ascii="宋体" w:hAnsi="宋体" w:cs="宋体"/>
          <w:sz w:val="24"/>
          <w:szCs w:val="24"/>
        </w:rPr>
      </w:pPr>
      <w:r>
        <w:rPr>
          <w:rFonts w:hint="eastAsia" w:ascii="宋体" w:hAnsi="宋体" w:cs="宋体"/>
          <w:sz w:val="24"/>
          <w:szCs w:val="24"/>
        </w:rPr>
        <w:t xml:space="preserve">2. </w:t>
      </w:r>
      <w:r>
        <w:rPr>
          <w:rFonts w:hint="eastAsia" w:ascii="宋体" w:hAnsi="宋体" w:cs="宋体"/>
          <w:sz w:val="24"/>
          <w:szCs w:val="24"/>
          <w:lang w:val="en-US" w:eastAsia="zh-CN"/>
        </w:rPr>
        <w:t>供应商</w:t>
      </w:r>
      <w:r>
        <w:rPr>
          <w:rFonts w:hint="eastAsia" w:ascii="宋体" w:hAnsi="宋体" w:cs="宋体"/>
          <w:sz w:val="24"/>
          <w:szCs w:val="24"/>
        </w:rPr>
        <w:t>享受《政府采购促进中小企业发展管理办法》规定的中小企业扶持政策的，随中标结果公开</w:t>
      </w:r>
      <w:r>
        <w:rPr>
          <w:rFonts w:hint="eastAsia" w:ascii="宋体" w:hAnsi="宋体" w:cs="宋体"/>
          <w:sz w:val="24"/>
          <w:szCs w:val="24"/>
          <w:lang w:val="en-US" w:eastAsia="zh-CN"/>
        </w:rPr>
        <w:t>供应商</w:t>
      </w:r>
      <w:r>
        <w:rPr>
          <w:rFonts w:hint="eastAsia" w:ascii="宋体" w:hAnsi="宋体" w:cs="宋体"/>
          <w:sz w:val="24"/>
          <w:szCs w:val="24"/>
        </w:rPr>
        <w:t>的《中小企业声明函》。</w:t>
      </w:r>
    </w:p>
    <w:p w14:paraId="01F9A4C3">
      <w:pPr>
        <w:tabs>
          <w:tab w:val="left" w:pos="1680"/>
        </w:tabs>
        <w:spacing w:line="360" w:lineRule="auto"/>
        <w:jc w:val="left"/>
        <w:rPr>
          <w:rFonts w:ascii="宋体" w:hAnsi="宋体" w:cs="宋体"/>
          <w:sz w:val="24"/>
          <w:szCs w:val="24"/>
        </w:rPr>
      </w:pPr>
      <w:r>
        <w:rPr>
          <w:rFonts w:hint="eastAsia" w:ascii="宋体" w:hAnsi="宋体" w:cs="宋体"/>
          <w:sz w:val="24"/>
          <w:szCs w:val="24"/>
        </w:rPr>
        <w:t>3. 本项目含有多个采购标的，只有当供应商提供的每个标的均由小微企业制造，才能享受15%的价格扣除政策。如果投报货物既有大中型企业制造，也有小微企业制造的，不享受价格扣除相关政策。</w:t>
      </w:r>
    </w:p>
    <w:p w14:paraId="6EBF7527">
      <w:pPr>
        <w:keepNext/>
        <w:spacing w:line="360" w:lineRule="auto"/>
        <w:outlineLvl w:val="9"/>
        <w:rPr>
          <w:rFonts w:ascii="宋体" w:hAnsi="宋体"/>
          <w:b/>
          <w:spacing w:val="6"/>
          <w:sz w:val="24"/>
          <w:szCs w:val="24"/>
        </w:rPr>
      </w:pPr>
      <w:bookmarkStart w:id="124" w:name="_Toc28649"/>
    </w:p>
    <w:p w14:paraId="3880A092">
      <w:pPr>
        <w:pStyle w:val="23"/>
        <w:ind w:left="199" w:firstLine="640"/>
      </w:pPr>
    </w:p>
    <w:p w14:paraId="07FF16D0">
      <w:pPr>
        <w:pStyle w:val="23"/>
        <w:ind w:left="199" w:firstLine="640"/>
      </w:pPr>
    </w:p>
    <w:p w14:paraId="64FF7D23">
      <w:pPr>
        <w:pStyle w:val="23"/>
        <w:ind w:left="199" w:firstLine="640"/>
      </w:pPr>
    </w:p>
    <w:p w14:paraId="6DCD9C8A">
      <w:pPr>
        <w:keepNext/>
        <w:spacing w:line="360" w:lineRule="auto"/>
        <w:jc w:val="center"/>
        <w:outlineLvl w:val="9"/>
        <w:rPr>
          <w:rFonts w:ascii="宋体" w:hAnsi="宋体"/>
          <w:b/>
          <w:spacing w:val="6"/>
          <w:sz w:val="24"/>
          <w:szCs w:val="24"/>
        </w:rPr>
      </w:pPr>
    </w:p>
    <w:p w14:paraId="198533B6">
      <w:pPr>
        <w:keepNext/>
        <w:spacing w:line="360" w:lineRule="auto"/>
        <w:jc w:val="center"/>
        <w:outlineLvl w:val="9"/>
        <w:rPr>
          <w:rFonts w:ascii="宋体"/>
          <w:b/>
          <w:sz w:val="24"/>
          <w:szCs w:val="24"/>
        </w:rPr>
      </w:pPr>
      <w:r>
        <w:rPr>
          <w:rFonts w:hint="eastAsia" w:ascii="宋体" w:hAnsi="宋体"/>
          <w:b/>
          <w:spacing w:val="6"/>
          <w:sz w:val="24"/>
          <w:szCs w:val="24"/>
        </w:rPr>
        <w:t>（2）残疾人福利性单位声明函</w:t>
      </w:r>
      <w:r>
        <w:rPr>
          <w:rFonts w:hint="eastAsia" w:ascii="宋体" w:hAnsi="宋体"/>
          <w:b/>
          <w:kern w:val="0"/>
          <w:sz w:val="24"/>
          <w:szCs w:val="24"/>
        </w:rPr>
        <w:t>（如适用）</w:t>
      </w:r>
      <w:bookmarkEnd w:id="124"/>
    </w:p>
    <w:p w14:paraId="4447DF31">
      <w:pPr>
        <w:keepNext/>
        <w:tabs>
          <w:tab w:val="left" w:pos="1680"/>
        </w:tabs>
        <w:snapToGrid w:val="0"/>
        <w:spacing w:line="360" w:lineRule="auto"/>
        <w:jc w:val="center"/>
        <w:rPr>
          <w:rFonts w:ascii="宋体"/>
          <w:b/>
          <w:sz w:val="24"/>
          <w:szCs w:val="24"/>
        </w:rPr>
      </w:pPr>
    </w:p>
    <w:p w14:paraId="5E8741E9">
      <w:pPr>
        <w:keepNext/>
        <w:spacing w:line="360" w:lineRule="auto"/>
        <w:ind w:firstLine="504" w:firstLineChars="200"/>
        <w:rPr>
          <w:rFonts w:ascii="宋体"/>
          <w:spacing w:val="6"/>
          <w:sz w:val="24"/>
          <w:szCs w:val="24"/>
        </w:rPr>
      </w:pPr>
      <w:r>
        <w:rPr>
          <w:rFonts w:hint="eastAsia" w:ascii="宋体" w:hAnsi="宋体"/>
          <w:spacing w:val="6"/>
          <w:sz w:val="24"/>
          <w:szCs w:val="24"/>
        </w:rPr>
        <w:t>本单位郑重声明，根据《财政部</w:t>
      </w:r>
      <w:r>
        <w:rPr>
          <w:rFonts w:ascii="宋体" w:hAnsi="宋体"/>
          <w:spacing w:val="6"/>
          <w:sz w:val="24"/>
          <w:szCs w:val="24"/>
        </w:rPr>
        <w:t xml:space="preserve"> </w:t>
      </w:r>
      <w:r>
        <w:rPr>
          <w:rFonts w:hint="eastAsia" w:ascii="宋体" w:hAnsi="宋体"/>
          <w:spacing w:val="6"/>
          <w:sz w:val="24"/>
          <w:szCs w:val="24"/>
        </w:rPr>
        <w:t>民政部</w:t>
      </w:r>
      <w:r>
        <w:rPr>
          <w:rFonts w:ascii="宋体" w:hAnsi="宋体"/>
          <w:spacing w:val="6"/>
          <w:sz w:val="24"/>
          <w:szCs w:val="24"/>
        </w:rPr>
        <w:t xml:space="preserve"> </w:t>
      </w:r>
      <w:r>
        <w:rPr>
          <w:rFonts w:hint="eastAsia" w:ascii="宋体" w:hAnsi="宋体"/>
          <w:spacing w:val="6"/>
          <w:sz w:val="24"/>
          <w:szCs w:val="24"/>
        </w:rPr>
        <w:t>中国残疾人联合会关于促进残疾人就业政府采购政策的通知》（财库</w:t>
      </w:r>
      <w:r>
        <w:rPr>
          <w:rFonts w:hint="eastAsia" w:ascii="宋体" w:hAnsi="宋体"/>
          <w:sz w:val="24"/>
          <w:szCs w:val="24"/>
        </w:rPr>
        <w:t>〔</w:t>
      </w:r>
      <w:r>
        <w:rPr>
          <w:rFonts w:ascii="宋体" w:hAnsi="宋体"/>
          <w:sz w:val="24"/>
          <w:szCs w:val="24"/>
        </w:rPr>
        <w:t>2017</w:t>
      </w:r>
      <w:r>
        <w:rPr>
          <w:rFonts w:hint="eastAsia" w:ascii="宋体" w:hAnsi="宋体"/>
          <w:sz w:val="24"/>
          <w:szCs w:val="24"/>
        </w:rPr>
        <w:t>〕</w:t>
      </w:r>
      <w:r>
        <w:rPr>
          <w:rFonts w:ascii="宋体" w:hAnsi="宋体"/>
          <w:sz w:val="24"/>
          <w:szCs w:val="24"/>
        </w:rPr>
        <w:t xml:space="preserve"> 141</w:t>
      </w:r>
      <w:r>
        <w:rPr>
          <w:rFonts w:hint="eastAsia" w:ascii="宋体" w:hAnsi="宋体"/>
          <w:spacing w:val="6"/>
          <w:sz w:val="24"/>
          <w:szCs w:val="24"/>
        </w:rPr>
        <w:t>号）的规定，本单位为符合条件的残疾人福利性单位，且本单位参加</w:t>
      </w:r>
      <w:r>
        <w:rPr>
          <w:rFonts w:ascii="宋体" w:hAnsi="宋体"/>
          <w:spacing w:val="6"/>
          <w:sz w:val="24"/>
          <w:szCs w:val="24"/>
        </w:rPr>
        <w:t>______</w:t>
      </w:r>
      <w:r>
        <w:rPr>
          <w:rFonts w:hint="eastAsia" w:ascii="宋体" w:hAnsi="宋体"/>
          <w:spacing w:val="6"/>
          <w:sz w:val="24"/>
          <w:szCs w:val="24"/>
        </w:rPr>
        <w:t>单位的</w:t>
      </w:r>
      <w:r>
        <w:rPr>
          <w:rFonts w:ascii="宋体" w:hAnsi="宋体"/>
          <w:spacing w:val="6"/>
          <w:sz w:val="24"/>
          <w:szCs w:val="24"/>
        </w:rPr>
        <w:t>______</w:t>
      </w:r>
      <w:r>
        <w:rPr>
          <w:rFonts w:hint="eastAsia" w:ascii="宋体" w:hAnsi="宋体"/>
          <w:spacing w:val="6"/>
          <w:sz w:val="24"/>
          <w:szCs w:val="24"/>
        </w:rPr>
        <w:t>项目（项目编号：</w:t>
      </w:r>
      <w:r>
        <w:rPr>
          <w:rFonts w:ascii="宋体" w:hAnsi="宋体"/>
          <w:spacing w:val="6"/>
          <w:sz w:val="24"/>
          <w:szCs w:val="24"/>
        </w:rPr>
        <w:t>__________________</w:t>
      </w:r>
      <w:r>
        <w:rPr>
          <w:rFonts w:hint="eastAsia" w:ascii="宋体" w:hAnsi="宋体"/>
          <w:spacing w:val="6"/>
          <w:sz w:val="24"/>
          <w:szCs w:val="24"/>
        </w:rPr>
        <w:t>）采购活动提供本单位制造的货物（由本单位承担工程</w:t>
      </w:r>
      <w:r>
        <w:rPr>
          <w:rFonts w:ascii="宋体" w:hAnsi="宋体"/>
          <w:spacing w:val="6"/>
          <w:sz w:val="24"/>
          <w:szCs w:val="24"/>
        </w:rPr>
        <w:t>/</w:t>
      </w:r>
      <w:r>
        <w:rPr>
          <w:rFonts w:hint="eastAsia" w:ascii="宋体" w:hAnsi="宋体"/>
          <w:spacing w:val="6"/>
          <w:sz w:val="24"/>
          <w:szCs w:val="24"/>
        </w:rPr>
        <w:t>提供服务），或者提供其他残疾人福利性单位制造的货物（不包括使用非残疾人福利性单位注册商标的货物）。</w:t>
      </w:r>
    </w:p>
    <w:p w14:paraId="413821A4">
      <w:pPr>
        <w:keepNext/>
        <w:spacing w:line="360" w:lineRule="auto"/>
        <w:ind w:firstLine="504" w:firstLineChars="200"/>
        <w:rPr>
          <w:rFonts w:ascii="宋体"/>
          <w:spacing w:val="6"/>
          <w:sz w:val="24"/>
          <w:szCs w:val="24"/>
        </w:rPr>
      </w:pPr>
      <w:r>
        <w:rPr>
          <w:rFonts w:hint="eastAsia" w:ascii="宋体" w:hAnsi="宋体"/>
          <w:spacing w:val="6"/>
          <w:sz w:val="24"/>
          <w:szCs w:val="24"/>
        </w:rPr>
        <w:t>本单位对上述声明的真实性负责。如有虚假，将依法承担相应责任。</w:t>
      </w:r>
    </w:p>
    <w:p w14:paraId="1878B192">
      <w:pPr>
        <w:keepNext/>
        <w:spacing w:line="360" w:lineRule="auto"/>
        <w:ind w:firstLine="504" w:firstLineChars="200"/>
        <w:rPr>
          <w:rFonts w:ascii="宋体"/>
          <w:spacing w:val="6"/>
          <w:sz w:val="24"/>
          <w:szCs w:val="24"/>
        </w:rPr>
      </w:pPr>
    </w:p>
    <w:p w14:paraId="7239F0FE">
      <w:pPr>
        <w:keepNext/>
        <w:spacing w:line="360" w:lineRule="auto"/>
        <w:ind w:firstLine="504" w:firstLineChars="200"/>
        <w:rPr>
          <w:rFonts w:ascii="宋体"/>
          <w:spacing w:val="6"/>
          <w:sz w:val="24"/>
          <w:szCs w:val="24"/>
        </w:rPr>
      </w:pPr>
    </w:p>
    <w:p w14:paraId="644CB4B4">
      <w:pPr>
        <w:pStyle w:val="36"/>
        <w:keepNext/>
        <w:snapToGrid w:val="0"/>
        <w:spacing w:line="480" w:lineRule="exact"/>
        <w:ind w:firstLine="4440" w:firstLineChars="1850"/>
        <w:rPr>
          <w:sz w:val="24"/>
        </w:rPr>
      </w:pPr>
      <w:r>
        <w:rPr>
          <w:sz w:val="24"/>
        </w:rPr>
        <w:t xml:space="preserve"> </w:t>
      </w:r>
      <w:r>
        <w:rPr>
          <w:rFonts w:hint="eastAsia"/>
          <w:sz w:val="24"/>
        </w:rPr>
        <w:t>供应商（</w:t>
      </w:r>
      <w:r>
        <w:rPr>
          <w:rFonts w:hint="eastAsia" w:cs="宋体"/>
          <w:kern w:val="0"/>
          <w:sz w:val="24"/>
        </w:rPr>
        <w:t>电子公章</w:t>
      </w:r>
      <w:r>
        <w:rPr>
          <w:rFonts w:hint="eastAsia"/>
          <w:sz w:val="24"/>
        </w:rPr>
        <w:t>）：</w:t>
      </w:r>
    </w:p>
    <w:p w14:paraId="773F62AC">
      <w:pPr>
        <w:pStyle w:val="36"/>
        <w:keepNext/>
        <w:snapToGrid w:val="0"/>
        <w:spacing w:line="480" w:lineRule="exact"/>
        <w:ind w:firstLine="4560" w:firstLineChars="1900"/>
        <w:rPr>
          <w:sz w:val="24"/>
        </w:rPr>
      </w:pPr>
      <w:r>
        <w:rPr>
          <w:rFonts w:hint="eastAsia"/>
          <w:sz w:val="24"/>
        </w:rPr>
        <w:t>日</w:t>
      </w:r>
      <w:r>
        <w:rPr>
          <w:sz w:val="24"/>
        </w:rPr>
        <w:t xml:space="preserve"> </w:t>
      </w:r>
      <w:r>
        <w:rPr>
          <w:rFonts w:hint="eastAsia"/>
          <w:sz w:val="24"/>
        </w:rPr>
        <w:t>期：</w:t>
      </w:r>
    </w:p>
    <w:p w14:paraId="026AB0D4">
      <w:pPr>
        <w:keepNext/>
        <w:spacing w:line="360" w:lineRule="auto"/>
        <w:rPr>
          <w:rFonts w:ascii="宋体"/>
          <w:b/>
          <w:sz w:val="24"/>
          <w:szCs w:val="24"/>
        </w:rPr>
      </w:pPr>
    </w:p>
    <w:p w14:paraId="4292BBB9">
      <w:pPr>
        <w:keepNext/>
        <w:snapToGrid w:val="0"/>
        <w:spacing w:line="360" w:lineRule="auto"/>
        <w:rPr>
          <w:rFonts w:ascii="宋体"/>
          <w:b/>
          <w:sz w:val="24"/>
          <w:szCs w:val="24"/>
        </w:rPr>
      </w:pPr>
      <w:r>
        <w:rPr>
          <w:rFonts w:hint="eastAsia" w:ascii="宋体" w:hAnsi="宋体"/>
          <w:b/>
          <w:sz w:val="24"/>
          <w:szCs w:val="24"/>
        </w:rPr>
        <w:t>注：中标供应商为残疾人福利性单位的，</w:t>
      </w:r>
      <w:r>
        <w:rPr>
          <w:rFonts w:hint="eastAsia" w:ascii="宋体" w:hAnsi="宋体"/>
          <w:b/>
          <w:sz w:val="24"/>
          <w:szCs w:val="24"/>
          <w:lang w:eastAsia="zh-CN"/>
        </w:rPr>
        <w:t>采购代理机构</w:t>
      </w:r>
      <w:r>
        <w:rPr>
          <w:rFonts w:hint="eastAsia" w:ascii="宋体" w:hAnsi="宋体"/>
          <w:b/>
          <w:sz w:val="24"/>
          <w:szCs w:val="24"/>
        </w:rPr>
        <w:t>随中标结果同时公告其《残疾人福利性单位声明函》。</w:t>
      </w:r>
    </w:p>
    <w:p w14:paraId="4387D54B">
      <w:pPr>
        <w:pStyle w:val="13"/>
        <w:spacing w:line="440" w:lineRule="exact"/>
        <w:jc w:val="center"/>
        <w:rPr>
          <w:rFonts w:ascii="宋体" w:hAnsi="宋体"/>
          <w:b/>
          <w:spacing w:val="6"/>
          <w:sz w:val="24"/>
          <w:szCs w:val="24"/>
        </w:rPr>
      </w:pPr>
    </w:p>
    <w:p w14:paraId="3B1A48D5">
      <w:pPr>
        <w:pStyle w:val="13"/>
        <w:spacing w:line="440" w:lineRule="exact"/>
        <w:jc w:val="center"/>
        <w:rPr>
          <w:rFonts w:ascii="宋体" w:hAnsi="宋体"/>
          <w:b/>
          <w:spacing w:val="6"/>
          <w:sz w:val="24"/>
          <w:szCs w:val="24"/>
        </w:rPr>
      </w:pPr>
    </w:p>
    <w:p w14:paraId="6F829B17">
      <w:pPr>
        <w:pStyle w:val="13"/>
        <w:spacing w:line="440" w:lineRule="exact"/>
        <w:jc w:val="center"/>
        <w:rPr>
          <w:rFonts w:ascii="宋体" w:hAnsi="宋体"/>
          <w:b/>
          <w:spacing w:val="6"/>
          <w:sz w:val="24"/>
          <w:szCs w:val="24"/>
        </w:rPr>
      </w:pPr>
    </w:p>
    <w:p w14:paraId="2A2BAA5C">
      <w:pPr>
        <w:pStyle w:val="13"/>
        <w:spacing w:line="440" w:lineRule="exact"/>
        <w:jc w:val="center"/>
        <w:rPr>
          <w:rFonts w:ascii="宋体" w:hAnsi="宋体"/>
          <w:b/>
          <w:spacing w:val="6"/>
          <w:sz w:val="24"/>
          <w:szCs w:val="24"/>
        </w:rPr>
      </w:pPr>
    </w:p>
    <w:p w14:paraId="01D6E757">
      <w:pPr>
        <w:pStyle w:val="13"/>
        <w:spacing w:line="440" w:lineRule="exact"/>
        <w:jc w:val="center"/>
        <w:rPr>
          <w:rFonts w:ascii="宋体" w:hAnsi="宋体"/>
          <w:b/>
          <w:spacing w:val="6"/>
          <w:sz w:val="24"/>
          <w:szCs w:val="24"/>
        </w:rPr>
      </w:pPr>
    </w:p>
    <w:p w14:paraId="6F20E851">
      <w:pPr>
        <w:pStyle w:val="13"/>
        <w:spacing w:line="440" w:lineRule="exact"/>
        <w:jc w:val="center"/>
        <w:rPr>
          <w:rFonts w:ascii="宋体" w:hAnsi="宋体"/>
          <w:b/>
          <w:spacing w:val="6"/>
          <w:sz w:val="24"/>
          <w:szCs w:val="24"/>
        </w:rPr>
      </w:pPr>
    </w:p>
    <w:p w14:paraId="37C4A9DC">
      <w:pPr>
        <w:pStyle w:val="13"/>
        <w:spacing w:line="440" w:lineRule="exact"/>
        <w:jc w:val="center"/>
        <w:rPr>
          <w:rFonts w:ascii="宋体" w:hAnsi="宋体"/>
          <w:b/>
          <w:spacing w:val="6"/>
          <w:sz w:val="24"/>
          <w:szCs w:val="24"/>
        </w:rPr>
      </w:pPr>
    </w:p>
    <w:p w14:paraId="2A8A3829">
      <w:pPr>
        <w:pStyle w:val="13"/>
        <w:spacing w:line="440" w:lineRule="exact"/>
        <w:jc w:val="center"/>
        <w:rPr>
          <w:rFonts w:ascii="宋体" w:hAnsi="宋体"/>
          <w:b/>
          <w:spacing w:val="6"/>
          <w:sz w:val="24"/>
          <w:szCs w:val="24"/>
        </w:rPr>
      </w:pPr>
    </w:p>
    <w:p w14:paraId="5B56D9DA">
      <w:pPr>
        <w:pStyle w:val="13"/>
        <w:spacing w:line="440" w:lineRule="exact"/>
        <w:jc w:val="center"/>
        <w:rPr>
          <w:rFonts w:ascii="宋体" w:hAnsi="宋体"/>
          <w:b/>
          <w:spacing w:val="6"/>
          <w:sz w:val="24"/>
          <w:szCs w:val="24"/>
        </w:rPr>
      </w:pPr>
    </w:p>
    <w:p w14:paraId="3910A843">
      <w:pPr>
        <w:pStyle w:val="13"/>
        <w:spacing w:line="440" w:lineRule="exact"/>
        <w:jc w:val="center"/>
        <w:rPr>
          <w:rFonts w:ascii="宋体" w:hAnsi="宋体"/>
          <w:b/>
          <w:spacing w:val="6"/>
          <w:sz w:val="24"/>
          <w:szCs w:val="24"/>
        </w:rPr>
      </w:pPr>
    </w:p>
    <w:p w14:paraId="7BF8AF07">
      <w:pPr>
        <w:pStyle w:val="13"/>
        <w:spacing w:line="440" w:lineRule="exact"/>
        <w:jc w:val="center"/>
        <w:rPr>
          <w:rFonts w:ascii="宋体" w:hAnsi="宋体"/>
          <w:b/>
          <w:spacing w:val="6"/>
          <w:sz w:val="24"/>
          <w:szCs w:val="24"/>
        </w:rPr>
      </w:pPr>
    </w:p>
    <w:p w14:paraId="3A06FC2A">
      <w:pPr>
        <w:rPr>
          <w:rFonts w:ascii="宋体" w:hAnsi="宋体"/>
          <w:b/>
          <w:spacing w:val="6"/>
          <w:sz w:val="24"/>
          <w:szCs w:val="24"/>
        </w:rPr>
      </w:pPr>
    </w:p>
    <w:p w14:paraId="348582DD">
      <w:pPr>
        <w:pStyle w:val="7"/>
        <w:rPr>
          <w:rFonts w:ascii="宋体" w:hAnsi="宋体"/>
          <w:b/>
          <w:spacing w:val="6"/>
          <w:sz w:val="24"/>
          <w:szCs w:val="24"/>
        </w:rPr>
      </w:pPr>
    </w:p>
    <w:p w14:paraId="00F4A312"/>
    <w:p w14:paraId="3640EF5C">
      <w:pPr>
        <w:pStyle w:val="23"/>
        <w:ind w:left="199" w:firstLine="640"/>
      </w:pPr>
    </w:p>
    <w:p w14:paraId="2AA646E5"/>
    <w:p w14:paraId="4504DD92"/>
    <w:p w14:paraId="4B3E4530">
      <w:pPr>
        <w:pStyle w:val="13"/>
        <w:spacing w:line="440" w:lineRule="exact"/>
        <w:jc w:val="center"/>
        <w:rPr>
          <w:rFonts w:ascii="华文中宋" w:hAnsi="华文中宋" w:cs="华文中宋"/>
          <w:b/>
          <w:sz w:val="24"/>
          <w:szCs w:val="24"/>
        </w:rPr>
      </w:pPr>
      <w:r>
        <w:rPr>
          <w:rFonts w:hint="eastAsia" w:ascii="华文中宋" w:hAnsi="华文中宋" w:cs="华文中宋"/>
          <w:b/>
          <w:sz w:val="24"/>
          <w:szCs w:val="24"/>
        </w:rPr>
        <w:t>（3）属于监狱企业的证明文件（如适用）</w:t>
      </w:r>
    </w:p>
    <w:p w14:paraId="6E1EA00A">
      <w:pPr>
        <w:tabs>
          <w:tab w:val="left" w:pos="1680"/>
        </w:tabs>
        <w:snapToGrid w:val="0"/>
        <w:spacing w:line="440" w:lineRule="exact"/>
        <w:ind w:firstLine="480" w:firstLineChars="200"/>
        <w:rPr>
          <w:rFonts w:ascii="华文中宋" w:hAnsi="华文中宋" w:cs="华文中宋"/>
          <w:sz w:val="24"/>
        </w:rPr>
      </w:pPr>
    </w:p>
    <w:p w14:paraId="0FAD1C19">
      <w:pPr>
        <w:tabs>
          <w:tab w:val="left" w:pos="1680"/>
        </w:tabs>
        <w:snapToGrid w:val="0"/>
        <w:spacing w:line="440" w:lineRule="exact"/>
        <w:ind w:firstLine="480" w:firstLineChars="200"/>
        <w:rPr>
          <w:rFonts w:ascii="华文中宋" w:hAnsi="华文中宋" w:cs="华文中宋"/>
          <w:b/>
          <w:sz w:val="24"/>
          <w:szCs w:val="24"/>
        </w:rPr>
      </w:pPr>
      <w:r>
        <w:rPr>
          <w:rFonts w:hint="eastAsia" w:ascii="华文中宋" w:hAnsi="华文中宋" w:cs="华文中宋"/>
          <w:sz w:val="24"/>
          <w:szCs w:val="24"/>
        </w:rPr>
        <w:t>监狱企业须提供由省级以上监狱管理局、戒毒管理局（含新疆生产建设兵团）出具的“属于监狱企业的证明文件”</w:t>
      </w:r>
      <w:r>
        <w:rPr>
          <w:rFonts w:hint="eastAsia" w:ascii="华文中宋" w:hAnsi="华文中宋" w:cs="华文中宋"/>
          <w:bCs/>
          <w:color w:val="000000"/>
          <w:sz w:val="24"/>
          <w:szCs w:val="24"/>
        </w:rPr>
        <w:t>。</w:t>
      </w:r>
    </w:p>
    <w:p w14:paraId="594C7509">
      <w:pPr>
        <w:tabs>
          <w:tab w:val="left" w:pos="1680"/>
        </w:tabs>
        <w:snapToGrid w:val="0"/>
        <w:spacing w:line="480" w:lineRule="exact"/>
        <w:jc w:val="center"/>
        <w:outlineLvl w:val="9"/>
        <w:rPr>
          <w:rFonts w:ascii="宋体" w:hAnsi="宋体"/>
          <w:b/>
          <w:kern w:val="0"/>
          <w:sz w:val="24"/>
          <w:szCs w:val="24"/>
        </w:rPr>
      </w:pPr>
    </w:p>
    <w:p w14:paraId="32EE3C63">
      <w:pPr>
        <w:tabs>
          <w:tab w:val="left" w:pos="1680"/>
        </w:tabs>
        <w:snapToGrid w:val="0"/>
        <w:spacing w:line="480" w:lineRule="exact"/>
        <w:jc w:val="center"/>
        <w:outlineLvl w:val="9"/>
        <w:rPr>
          <w:rFonts w:ascii="宋体" w:hAnsi="宋体"/>
          <w:b/>
          <w:kern w:val="0"/>
          <w:sz w:val="24"/>
          <w:szCs w:val="24"/>
        </w:rPr>
      </w:pPr>
    </w:p>
    <w:p w14:paraId="03A23081">
      <w:pPr>
        <w:tabs>
          <w:tab w:val="left" w:pos="1680"/>
        </w:tabs>
        <w:snapToGrid w:val="0"/>
        <w:spacing w:line="480" w:lineRule="exact"/>
        <w:jc w:val="center"/>
        <w:outlineLvl w:val="9"/>
        <w:rPr>
          <w:rFonts w:ascii="宋体" w:hAnsi="宋体"/>
          <w:b/>
          <w:kern w:val="0"/>
          <w:sz w:val="24"/>
          <w:szCs w:val="24"/>
        </w:rPr>
      </w:pPr>
    </w:p>
    <w:p w14:paraId="79ED940A">
      <w:pPr>
        <w:tabs>
          <w:tab w:val="left" w:pos="1680"/>
        </w:tabs>
        <w:snapToGrid w:val="0"/>
        <w:spacing w:line="480" w:lineRule="exact"/>
        <w:jc w:val="center"/>
        <w:outlineLvl w:val="9"/>
        <w:rPr>
          <w:rFonts w:ascii="宋体" w:hAnsi="宋体"/>
          <w:b/>
          <w:kern w:val="0"/>
          <w:sz w:val="24"/>
          <w:szCs w:val="24"/>
        </w:rPr>
      </w:pPr>
    </w:p>
    <w:p w14:paraId="51D9CC51">
      <w:pPr>
        <w:widowControl/>
        <w:spacing w:line="440" w:lineRule="exact"/>
        <w:jc w:val="center"/>
        <w:rPr>
          <w:rFonts w:ascii="宋体" w:hAnsi="宋体" w:cs="宋体"/>
          <w:b/>
          <w:bCs/>
          <w:sz w:val="24"/>
          <w:lang w:bidi="ar"/>
        </w:rPr>
      </w:pPr>
    </w:p>
    <w:p w14:paraId="3B58E51B">
      <w:pPr>
        <w:widowControl/>
        <w:spacing w:line="440" w:lineRule="exact"/>
        <w:jc w:val="center"/>
        <w:rPr>
          <w:rFonts w:ascii="宋体" w:hAnsi="宋体" w:cs="宋体"/>
          <w:b/>
          <w:bCs/>
          <w:sz w:val="24"/>
          <w:lang w:bidi="ar"/>
        </w:rPr>
      </w:pPr>
    </w:p>
    <w:p w14:paraId="22D2EF18">
      <w:pPr>
        <w:widowControl/>
        <w:spacing w:line="440" w:lineRule="exact"/>
        <w:jc w:val="center"/>
        <w:rPr>
          <w:rFonts w:ascii="宋体" w:hAnsi="宋体" w:cs="宋体"/>
          <w:b/>
          <w:bCs/>
          <w:sz w:val="24"/>
          <w:lang w:bidi="ar"/>
        </w:rPr>
      </w:pPr>
    </w:p>
    <w:p w14:paraId="425E9191">
      <w:pPr>
        <w:widowControl/>
        <w:spacing w:line="440" w:lineRule="exact"/>
        <w:jc w:val="center"/>
        <w:rPr>
          <w:rFonts w:ascii="宋体" w:hAnsi="宋体" w:cs="宋体"/>
          <w:b/>
          <w:bCs/>
          <w:sz w:val="24"/>
          <w:lang w:bidi="ar"/>
        </w:rPr>
      </w:pPr>
    </w:p>
    <w:p w14:paraId="5799C1EE">
      <w:pPr>
        <w:widowControl/>
        <w:spacing w:line="440" w:lineRule="exact"/>
        <w:jc w:val="center"/>
        <w:rPr>
          <w:rFonts w:ascii="宋体" w:hAnsi="宋体" w:cs="宋体"/>
          <w:b/>
          <w:bCs/>
          <w:sz w:val="24"/>
          <w:lang w:bidi="ar"/>
        </w:rPr>
      </w:pPr>
    </w:p>
    <w:p w14:paraId="592B202D">
      <w:pPr>
        <w:widowControl/>
        <w:spacing w:line="440" w:lineRule="exact"/>
        <w:jc w:val="center"/>
        <w:rPr>
          <w:rFonts w:ascii="宋体" w:hAnsi="宋体" w:cs="宋体"/>
          <w:b/>
          <w:bCs/>
          <w:sz w:val="24"/>
          <w:lang w:bidi="ar"/>
        </w:rPr>
      </w:pPr>
    </w:p>
    <w:p w14:paraId="232D64F1">
      <w:pPr>
        <w:widowControl/>
        <w:spacing w:line="440" w:lineRule="exact"/>
        <w:jc w:val="center"/>
        <w:rPr>
          <w:rFonts w:ascii="宋体" w:hAnsi="宋体" w:cs="宋体"/>
          <w:b/>
          <w:bCs/>
          <w:sz w:val="24"/>
          <w:lang w:bidi="ar"/>
        </w:rPr>
      </w:pPr>
    </w:p>
    <w:p w14:paraId="641B99B4">
      <w:pPr>
        <w:widowControl/>
        <w:spacing w:line="440" w:lineRule="exact"/>
        <w:jc w:val="center"/>
        <w:rPr>
          <w:rFonts w:ascii="宋体" w:hAnsi="宋体" w:cs="宋体"/>
          <w:b/>
          <w:bCs/>
          <w:sz w:val="24"/>
          <w:lang w:bidi="ar"/>
        </w:rPr>
      </w:pPr>
    </w:p>
    <w:p w14:paraId="5E6BBEAB">
      <w:pPr>
        <w:widowControl/>
        <w:spacing w:line="440" w:lineRule="exact"/>
        <w:jc w:val="center"/>
        <w:rPr>
          <w:rFonts w:ascii="宋体" w:hAnsi="宋体" w:cs="宋体"/>
          <w:b/>
          <w:bCs/>
          <w:sz w:val="24"/>
          <w:lang w:bidi="ar"/>
        </w:rPr>
      </w:pPr>
    </w:p>
    <w:p w14:paraId="5B634631">
      <w:pPr>
        <w:widowControl/>
        <w:spacing w:line="440" w:lineRule="exact"/>
        <w:jc w:val="center"/>
        <w:rPr>
          <w:rFonts w:ascii="宋体" w:hAnsi="宋体" w:cs="宋体"/>
          <w:b/>
          <w:bCs/>
          <w:sz w:val="24"/>
          <w:lang w:bidi="ar"/>
        </w:rPr>
      </w:pPr>
    </w:p>
    <w:p w14:paraId="52FEC01E">
      <w:pPr>
        <w:widowControl/>
        <w:spacing w:line="440" w:lineRule="exact"/>
        <w:jc w:val="center"/>
        <w:rPr>
          <w:rFonts w:ascii="宋体" w:hAnsi="宋体" w:cs="宋体"/>
          <w:b/>
          <w:bCs/>
          <w:sz w:val="24"/>
          <w:lang w:bidi="ar"/>
        </w:rPr>
      </w:pPr>
    </w:p>
    <w:p w14:paraId="0742E09E">
      <w:pPr>
        <w:widowControl/>
        <w:spacing w:line="440" w:lineRule="exact"/>
        <w:jc w:val="center"/>
        <w:rPr>
          <w:rFonts w:ascii="宋体" w:hAnsi="宋体" w:cs="宋体"/>
          <w:b/>
          <w:bCs/>
          <w:sz w:val="24"/>
          <w:lang w:bidi="ar"/>
        </w:rPr>
      </w:pPr>
    </w:p>
    <w:p w14:paraId="46AE6FC5">
      <w:pPr>
        <w:widowControl/>
        <w:spacing w:line="440" w:lineRule="exact"/>
        <w:jc w:val="center"/>
        <w:rPr>
          <w:rFonts w:ascii="宋体" w:hAnsi="宋体" w:cs="宋体"/>
          <w:b/>
          <w:bCs/>
          <w:sz w:val="24"/>
          <w:lang w:bidi="ar"/>
        </w:rPr>
      </w:pPr>
    </w:p>
    <w:p w14:paraId="0CE954B5">
      <w:pPr>
        <w:widowControl/>
        <w:spacing w:line="440" w:lineRule="exact"/>
        <w:jc w:val="center"/>
        <w:rPr>
          <w:rFonts w:ascii="宋体" w:hAnsi="宋体" w:cs="宋体"/>
          <w:b/>
          <w:bCs/>
          <w:sz w:val="24"/>
          <w:lang w:bidi="ar"/>
        </w:rPr>
      </w:pPr>
    </w:p>
    <w:p w14:paraId="067779A3">
      <w:pPr>
        <w:widowControl/>
        <w:spacing w:line="440" w:lineRule="exact"/>
        <w:jc w:val="center"/>
        <w:rPr>
          <w:rFonts w:ascii="宋体" w:hAnsi="宋体" w:cs="宋体"/>
          <w:b/>
          <w:bCs/>
          <w:sz w:val="24"/>
          <w:lang w:bidi="ar"/>
        </w:rPr>
      </w:pPr>
    </w:p>
    <w:p w14:paraId="1DD2B3A8">
      <w:pPr>
        <w:widowControl/>
        <w:spacing w:line="440" w:lineRule="exact"/>
        <w:jc w:val="center"/>
        <w:rPr>
          <w:rFonts w:ascii="宋体" w:hAnsi="宋体" w:cs="宋体"/>
          <w:b/>
          <w:bCs/>
          <w:sz w:val="24"/>
          <w:lang w:bidi="ar"/>
        </w:rPr>
      </w:pPr>
    </w:p>
    <w:p w14:paraId="06807187">
      <w:pPr>
        <w:widowControl/>
        <w:spacing w:line="440" w:lineRule="exact"/>
        <w:jc w:val="center"/>
        <w:rPr>
          <w:rFonts w:ascii="宋体" w:hAnsi="宋体" w:cs="宋体"/>
          <w:b/>
          <w:bCs/>
          <w:sz w:val="24"/>
          <w:lang w:bidi="ar"/>
        </w:rPr>
      </w:pPr>
    </w:p>
    <w:p w14:paraId="638A734C">
      <w:pPr>
        <w:widowControl/>
        <w:spacing w:line="440" w:lineRule="exact"/>
        <w:jc w:val="center"/>
        <w:rPr>
          <w:rFonts w:ascii="宋体" w:hAnsi="宋体" w:cs="宋体"/>
          <w:b/>
          <w:bCs/>
          <w:sz w:val="24"/>
          <w:lang w:bidi="ar"/>
        </w:rPr>
      </w:pPr>
    </w:p>
    <w:p w14:paraId="18592E6F">
      <w:pPr>
        <w:widowControl/>
        <w:spacing w:line="440" w:lineRule="exact"/>
        <w:jc w:val="center"/>
        <w:rPr>
          <w:rFonts w:ascii="宋体" w:hAnsi="宋体" w:cs="宋体"/>
          <w:b/>
          <w:bCs/>
          <w:sz w:val="24"/>
          <w:lang w:bidi="ar"/>
        </w:rPr>
      </w:pPr>
    </w:p>
    <w:p w14:paraId="2CF4472E">
      <w:pPr>
        <w:pStyle w:val="7"/>
        <w:rPr>
          <w:rFonts w:ascii="宋体" w:hAnsi="宋体" w:cs="宋体"/>
          <w:b/>
          <w:bCs/>
          <w:sz w:val="24"/>
          <w:lang w:bidi="ar"/>
        </w:rPr>
      </w:pPr>
    </w:p>
    <w:p w14:paraId="5E92982C">
      <w:pPr>
        <w:rPr>
          <w:rFonts w:ascii="宋体" w:hAnsi="宋体" w:cs="宋体"/>
          <w:b/>
          <w:bCs/>
          <w:sz w:val="24"/>
          <w:lang w:bidi="ar"/>
        </w:rPr>
      </w:pPr>
    </w:p>
    <w:p w14:paraId="4CC499FF">
      <w:pPr>
        <w:rPr>
          <w:rFonts w:ascii="宋体" w:hAnsi="宋体" w:cs="宋体"/>
          <w:b/>
          <w:bCs/>
          <w:sz w:val="24"/>
          <w:lang w:bidi="ar"/>
        </w:rPr>
      </w:pPr>
    </w:p>
    <w:p w14:paraId="415ED25E"/>
    <w:p w14:paraId="7A8ECB97">
      <w:pPr>
        <w:widowControl/>
        <w:spacing w:line="440" w:lineRule="exact"/>
        <w:jc w:val="center"/>
        <w:rPr>
          <w:rFonts w:ascii="宋体" w:hAnsi="宋体" w:cs="宋体"/>
          <w:b/>
          <w:bCs/>
          <w:sz w:val="24"/>
          <w:lang w:bidi="ar"/>
        </w:rPr>
      </w:pPr>
    </w:p>
    <w:p w14:paraId="540A5DB4">
      <w:pPr>
        <w:widowControl/>
        <w:spacing w:line="440" w:lineRule="exact"/>
        <w:jc w:val="center"/>
        <w:rPr>
          <w:rFonts w:ascii="宋体" w:hAnsi="宋体" w:cs="宋体"/>
          <w:b/>
          <w:bCs/>
          <w:sz w:val="24"/>
          <w:lang w:bidi="ar"/>
        </w:rPr>
      </w:pPr>
    </w:p>
    <w:p w14:paraId="1AAA9E72">
      <w:pPr>
        <w:widowControl/>
        <w:spacing w:line="440" w:lineRule="exact"/>
        <w:jc w:val="center"/>
        <w:rPr>
          <w:rFonts w:ascii="宋体" w:hAnsi="宋体" w:cs="宋体"/>
          <w:b/>
          <w:bCs/>
          <w:sz w:val="24"/>
          <w:lang w:bidi="ar"/>
        </w:rPr>
      </w:pPr>
      <w:r>
        <w:rPr>
          <w:rFonts w:hint="eastAsia" w:ascii="宋体" w:hAnsi="宋体" w:cs="宋体"/>
          <w:b/>
          <w:bCs/>
          <w:sz w:val="24"/>
          <w:lang w:bidi="ar"/>
        </w:rPr>
        <w:t>（4）附件：“政采智贷”告知事项</w:t>
      </w:r>
    </w:p>
    <w:p w14:paraId="04017DBF">
      <w:pPr>
        <w:widowControl/>
        <w:spacing w:line="440" w:lineRule="exact"/>
        <w:rPr>
          <w:rFonts w:ascii="宋体" w:hAnsi="宋体" w:cs="宋体"/>
          <w:sz w:val="24"/>
          <w:lang w:bidi="ar"/>
        </w:rPr>
      </w:pPr>
    </w:p>
    <w:p w14:paraId="5EF62B92">
      <w:pPr>
        <w:widowControl/>
        <w:spacing w:line="440" w:lineRule="exact"/>
        <w:rPr>
          <w:rFonts w:ascii="宋体" w:hAnsi="宋体" w:cs="宋体"/>
          <w:sz w:val="24"/>
          <w:lang w:bidi="ar"/>
        </w:rPr>
      </w:pPr>
      <w:r>
        <w:rPr>
          <w:rFonts w:hint="eastAsia" w:ascii="宋体" w:hAnsi="宋体" w:cs="宋体"/>
          <w:sz w:val="24"/>
          <w:lang w:bidi="ar"/>
        </w:rPr>
        <w:t>凡符合要求且自愿选择“政采智贷”的中标供应商，可在“中国政府采购网山西分网（山西省政府采购网，http://www.ccgp-shanxi.gov.cn/）”，点击“政采智贷”，进入“山西政府采购信用融资平台”页面，按照《山西省“政采智贷”业务操作指南》办理该项业务。同时，参与“政采智贷”的供应商，应严格按照政府采购合同履约，严格按照信贷合同偿还债务。</w:t>
      </w:r>
    </w:p>
    <w:p w14:paraId="53D7885A">
      <w:pPr>
        <w:tabs>
          <w:tab w:val="left" w:pos="1680"/>
        </w:tabs>
        <w:snapToGrid w:val="0"/>
        <w:spacing w:line="480" w:lineRule="exact"/>
        <w:jc w:val="center"/>
        <w:outlineLvl w:val="9"/>
        <w:rPr>
          <w:rFonts w:ascii="宋体" w:hAnsi="宋体"/>
          <w:b/>
          <w:kern w:val="0"/>
          <w:sz w:val="24"/>
          <w:szCs w:val="24"/>
        </w:rPr>
      </w:pPr>
    </w:p>
    <w:p w14:paraId="64D4A44E">
      <w:pPr>
        <w:tabs>
          <w:tab w:val="left" w:pos="1680"/>
        </w:tabs>
        <w:snapToGrid w:val="0"/>
        <w:spacing w:line="480" w:lineRule="exact"/>
        <w:jc w:val="center"/>
        <w:outlineLvl w:val="9"/>
        <w:rPr>
          <w:rFonts w:ascii="宋体" w:hAnsi="宋体"/>
          <w:b/>
          <w:kern w:val="0"/>
          <w:sz w:val="24"/>
          <w:szCs w:val="24"/>
        </w:rPr>
      </w:pPr>
    </w:p>
    <w:p w14:paraId="294807DB">
      <w:pPr>
        <w:tabs>
          <w:tab w:val="left" w:pos="1680"/>
        </w:tabs>
        <w:snapToGrid w:val="0"/>
        <w:spacing w:line="480" w:lineRule="exact"/>
        <w:jc w:val="center"/>
        <w:outlineLvl w:val="9"/>
        <w:rPr>
          <w:rFonts w:ascii="宋体" w:hAnsi="宋体"/>
          <w:b/>
          <w:kern w:val="0"/>
          <w:sz w:val="24"/>
          <w:szCs w:val="24"/>
        </w:rPr>
      </w:pPr>
    </w:p>
    <w:p w14:paraId="5D013558">
      <w:pPr>
        <w:tabs>
          <w:tab w:val="left" w:pos="1680"/>
        </w:tabs>
        <w:snapToGrid w:val="0"/>
        <w:spacing w:line="480" w:lineRule="exact"/>
        <w:jc w:val="center"/>
        <w:outlineLvl w:val="9"/>
        <w:rPr>
          <w:rFonts w:ascii="宋体" w:hAnsi="宋体"/>
          <w:b/>
          <w:kern w:val="0"/>
          <w:sz w:val="24"/>
          <w:szCs w:val="24"/>
        </w:rPr>
      </w:pPr>
    </w:p>
    <w:p w14:paraId="19B5C4BB">
      <w:pPr>
        <w:tabs>
          <w:tab w:val="left" w:pos="1680"/>
        </w:tabs>
        <w:snapToGrid w:val="0"/>
        <w:spacing w:line="480" w:lineRule="exact"/>
        <w:jc w:val="center"/>
        <w:outlineLvl w:val="9"/>
        <w:rPr>
          <w:rFonts w:ascii="宋体" w:hAnsi="宋体"/>
          <w:b/>
          <w:kern w:val="0"/>
          <w:sz w:val="24"/>
          <w:szCs w:val="24"/>
        </w:rPr>
      </w:pPr>
    </w:p>
    <w:p w14:paraId="4E9E90CA">
      <w:pPr>
        <w:tabs>
          <w:tab w:val="left" w:pos="1680"/>
        </w:tabs>
        <w:snapToGrid w:val="0"/>
        <w:spacing w:line="480" w:lineRule="exact"/>
        <w:jc w:val="center"/>
        <w:outlineLvl w:val="9"/>
        <w:rPr>
          <w:rFonts w:ascii="宋体" w:hAnsi="宋体"/>
          <w:b/>
          <w:kern w:val="0"/>
          <w:sz w:val="24"/>
          <w:szCs w:val="24"/>
        </w:rPr>
      </w:pPr>
    </w:p>
    <w:p w14:paraId="4062A16B">
      <w:pPr>
        <w:tabs>
          <w:tab w:val="left" w:pos="1680"/>
        </w:tabs>
        <w:snapToGrid w:val="0"/>
        <w:spacing w:line="480" w:lineRule="exact"/>
        <w:jc w:val="center"/>
        <w:outlineLvl w:val="9"/>
        <w:rPr>
          <w:rFonts w:ascii="宋体" w:hAnsi="宋体"/>
          <w:b/>
          <w:kern w:val="0"/>
          <w:sz w:val="24"/>
          <w:szCs w:val="24"/>
        </w:rPr>
      </w:pPr>
    </w:p>
    <w:p w14:paraId="5DA5B10C">
      <w:pPr>
        <w:tabs>
          <w:tab w:val="left" w:pos="1680"/>
        </w:tabs>
        <w:snapToGrid w:val="0"/>
        <w:spacing w:line="480" w:lineRule="exact"/>
        <w:jc w:val="center"/>
        <w:outlineLvl w:val="9"/>
        <w:rPr>
          <w:rFonts w:ascii="宋体" w:hAnsi="宋体"/>
          <w:b/>
          <w:kern w:val="0"/>
          <w:sz w:val="24"/>
          <w:szCs w:val="24"/>
        </w:rPr>
      </w:pPr>
    </w:p>
    <w:p w14:paraId="3814F07A">
      <w:pPr>
        <w:tabs>
          <w:tab w:val="left" w:pos="1680"/>
        </w:tabs>
        <w:snapToGrid w:val="0"/>
        <w:spacing w:line="480" w:lineRule="exact"/>
        <w:jc w:val="center"/>
        <w:outlineLvl w:val="9"/>
        <w:rPr>
          <w:rFonts w:ascii="宋体" w:hAnsi="宋体"/>
          <w:b/>
          <w:kern w:val="0"/>
          <w:sz w:val="24"/>
          <w:szCs w:val="24"/>
        </w:rPr>
      </w:pPr>
    </w:p>
    <w:p w14:paraId="5790D4B0">
      <w:pPr>
        <w:tabs>
          <w:tab w:val="left" w:pos="1680"/>
        </w:tabs>
        <w:snapToGrid w:val="0"/>
        <w:spacing w:line="480" w:lineRule="exact"/>
        <w:jc w:val="center"/>
        <w:outlineLvl w:val="9"/>
        <w:rPr>
          <w:rFonts w:ascii="宋体" w:hAnsi="宋体"/>
          <w:b/>
          <w:kern w:val="0"/>
          <w:sz w:val="24"/>
          <w:szCs w:val="24"/>
        </w:rPr>
      </w:pPr>
    </w:p>
    <w:p w14:paraId="72BCAAD0">
      <w:pPr>
        <w:tabs>
          <w:tab w:val="left" w:pos="1680"/>
        </w:tabs>
        <w:snapToGrid w:val="0"/>
        <w:spacing w:line="480" w:lineRule="exact"/>
        <w:jc w:val="center"/>
        <w:outlineLvl w:val="9"/>
        <w:rPr>
          <w:rFonts w:ascii="宋体" w:hAnsi="宋体"/>
          <w:b/>
          <w:kern w:val="0"/>
          <w:sz w:val="24"/>
          <w:szCs w:val="24"/>
        </w:rPr>
      </w:pPr>
    </w:p>
    <w:p w14:paraId="6E0E0551">
      <w:pPr>
        <w:tabs>
          <w:tab w:val="left" w:pos="1680"/>
        </w:tabs>
        <w:snapToGrid w:val="0"/>
        <w:spacing w:line="480" w:lineRule="exact"/>
        <w:jc w:val="center"/>
        <w:outlineLvl w:val="9"/>
        <w:rPr>
          <w:rFonts w:ascii="宋体" w:hAnsi="宋体"/>
          <w:b/>
          <w:kern w:val="0"/>
          <w:sz w:val="24"/>
          <w:szCs w:val="24"/>
        </w:rPr>
      </w:pPr>
    </w:p>
    <w:p w14:paraId="1C8EBFF6">
      <w:pPr>
        <w:tabs>
          <w:tab w:val="left" w:pos="1680"/>
        </w:tabs>
        <w:snapToGrid w:val="0"/>
        <w:spacing w:line="480" w:lineRule="exact"/>
        <w:jc w:val="center"/>
        <w:outlineLvl w:val="9"/>
        <w:rPr>
          <w:rFonts w:ascii="宋体" w:hAnsi="宋体"/>
          <w:b/>
          <w:kern w:val="0"/>
          <w:sz w:val="24"/>
          <w:szCs w:val="24"/>
        </w:rPr>
      </w:pPr>
    </w:p>
    <w:p w14:paraId="1AB9C273">
      <w:pPr>
        <w:tabs>
          <w:tab w:val="left" w:pos="1680"/>
        </w:tabs>
        <w:snapToGrid w:val="0"/>
        <w:spacing w:line="480" w:lineRule="exact"/>
        <w:jc w:val="center"/>
        <w:outlineLvl w:val="9"/>
        <w:rPr>
          <w:rFonts w:ascii="宋体" w:hAnsi="宋体"/>
          <w:b/>
          <w:kern w:val="0"/>
          <w:sz w:val="24"/>
          <w:szCs w:val="24"/>
        </w:rPr>
      </w:pPr>
    </w:p>
    <w:p w14:paraId="4FD289A6">
      <w:pPr>
        <w:tabs>
          <w:tab w:val="left" w:pos="1680"/>
        </w:tabs>
        <w:snapToGrid w:val="0"/>
        <w:spacing w:line="480" w:lineRule="exact"/>
        <w:jc w:val="center"/>
        <w:outlineLvl w:val="9"/>
        <w:rPr>
          <w:rFonts w:ascii="宋体" w:hAnsi="宋体"/>
          <w:b/>
          <w:kern w:val="0"/>
          <w:sz w:val="24"/>
          <w:szCs w:val="24"/>
        </w:rPr>
      </w:pPr>
    </w:p>
    <w:p w14:paraId="2399502A">
      <w:pPr>
        <w:tabs>
          <w:tab w:val="left" w:pos="1680"/>
        </w:tabs>
        <w:snapToGrid w:val="0"/>
        <w:spacing w:line="480" w:lineRule="exact"/>
        <w:jc w:val="center"/>
        <w:outlineLvl w:val="9"/>
        <w:rPr>
          <w:rFonts w:ascii="宋体" w:hAnsi="宋体"/>
          <w:b/>
          <w:kern w:val="0"/>
          <w:sz w:val="24"/>
          <w:szCs w:val="24"/>
        </w:rPr>
      </w:pPr>
    </w:p>
    <w:p w14:paraId="62377B13">
      <w:pPr>
        <w:tabs>
          <w:tab w:val="left" w:pos="1680"/>
        </w:tabs>
        <w:snapToGrid w:val="0"/>
        <w:spacing w:line="480" w:lineRule="exact"/>
        <w:jc w:val="center"/>
        <w:outlineLvl w:val="9"/>
        <w:rPr>
          <w:rFonts w:ascii="宋体" w:hAnsi="宋体"/>
          <w:b/>
          <w:kern w:val="0"/>
          <w:sz w:val="24"/>
          <w:szCs w:val="24"/>
        </w:rPr>
      </w:pPr>
    </w:p>
    <w:p w14:paraId="03E9320C">
      <w:pPr>
        <w:tabs>
          <w:tab w:val="left" w:pos="1680"/>
        </w:tabs>
        <w:snapToGrid w:val="0"/>
        <w:spacing w:line="480" w:lineRule="exact"/>
        <w:jc w:val="center"/>
        <w:outlineLvl w:val="9"/>
        <w:rPr>
          <w:rFonts w:ascii="宋体" w:hAnsi="宋体"/>
          <w:b/>
          <w:kern w:val="0"/>
          <w:sz w:val="24"/>
          <w:szCs w:val="24"/>
        </w:rPr>
      </w:pPr>
    </w:p>
    <w:p w14:paraId="2F244ED2">
      <w:pPr>
        <w:tabs>
          <w:tab w:val="left" w:pos="1680"/>
        </w:tabs>
        <w:snapToGrid w:val="0"/>
        <w:spacing w:line="480" w:lineRule="exact"/>
        <w:jc w:val="center"/>
        <w:outlineLvl w:val="9"/>
        <w:rPr>
          <w:rFonts w:ascii="宋体" w:hAnsi="宋体"/>
          <w:b/>
          <w:kern w:val="0"/>
          <w:sz w:val="24"/>
          <w:szCs w:val="24"/>
        </w:rPr>
      </w:pPr>
    </w:p>
    <w:p w14:paraId="671F4122">
      <w:pPr>
        <w:tabs>
          <w:tab w:val="left" w:pos="1680"/>
        </w:tabs>
        <w:snapToGrid w:val="0"/>
        <w:spacing w:line="480" w:lineRule="exact"/>
        <w:jc w:val="center"/>
        <w:outlineLvl w:val="9"/>
        <w:rPr>
          <w:rFonts w:ascii="宋体" w:hAnsi="宋体"/>
          <w:b/>
          <w:kern w:val="0"/>
          <w:sz w:val="24"/>
          <w:szCs w:val="24"/>
        </w:rPr>
      </w:pPr>
    </w:p>
    <w:p w14:paraId="4545DB42">
      <w:pPr>
        <w:pStyle w:val="7"/>
        <w:rPr>
          <w:rFonts w:ascii="宋体" w:hAnsi="宋体"/>
          <w:b/>
          <w:kern w:val="0"/>
          <w:sz w:val="24"/>
          <w:szCs w:val="24"/>
        </w:rPr>
      </w:pPr>
    </w:p>
    <w:p w14:paraId="1B73789C">
      <w:pPr>
        <w:rPr>
          <w:rFonts w:ascii="宋体" w:hAnsi="宋体"/>
          <w:b/>
          <w:kern w:val="0"/>
          <w:sz w:val="24"/>
          <w:szCs w:val="24"/>
        </w:rPr>
      </w:pPr>
    </w:p>
    <w:p w14:paraId="2AC3F9C9">
      <w:pPr>
        <w:rPr>
          <w:rFonts w:ascii="宋体" w:hAnsi="宋体"/>
          <w:b/>
          <w:kern w:val="0"/>
          <w:sz w:val="24"/>
          <w:szCs w:val="24"/>
        </w:rPr>
      </w:pPr>
    </w:p>
    <w:p w14:paraId="518CA9BE">
      <w:pPr>
        <w:rPr>
          <w:rFonts w:ascii="宋体" w:hAnsi="宋体"/>
          <w:b/>
          <w:kern w:val="0"/>
          <w:sz w:val="24"/>
          <w:szCs w:val="24"/>
        </w:rPr>
      </w:pPr>
    </w:p>
    <w:p w14:paraId="44A963CC">
      <w:pPr>
        <w:pStyle w:val="7"/>
      </w:pPr>
    </w:p>
    <w:p w14:paraId="3959EC96">
      <w:pPr>
        <w:tabs>
          <w:tab w:val="left" w:pos="1680"/>
        </w:tabs>
        <w:snapToGrid w:val="0"/>
        <w:spacing w:line="480" w:lineRule="exact"/>
        <w:jc w:val="center"/>
        <w:outlineLvl w:val="9"/>
        <w:rPr>
          <w:rFonts w:ascii="宋体"/>
          <w:sz w:val="24"/>
          <w:szCs w:val="24"/>
        </w:rPr>
      </w:pPr>
      <w:r>
        <w:rPr>
          <w:rFonts w:hint="eastAsia" w:ascii="宋体" w:hAnsi="宋体"/>
          <w:b/>
          <w:kern w:val="0"/>
          <w:sz w:val="24"/>
          <w:szCs w:val="24"/>
        </w:rPr>
        <w:t>（5）节能产品明细表（如适用）</w:t>
      </w:r>
    </w:p>
    <w:p w14:paraId="594448C3">
      <w:pPr>
        <w:tabs>
          <w:tab w:val="left" w:pos="1680"/>
        </w:tabs>
        <w:snapToGrid w:val="0"/>
        <w:spacing w:line="480" w:lineRule="exact"/>
        <w:rPr>
          <w:rFonts w:ascii="宋体"/>
          <w:szCs w:val="24"/>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12"/>
        <w:gridCol w:w="1559"/>
        <w:gridCol w:w="992"/>
        <w:gridCol w:w="2410"/>
        <w:gridCol w:w="2621"/>
      </w:tblGrid>
      <w:tr w14:paraId="215FE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20" w:type="dxa"/>
            <w:vAlign w:val="center"/>
          </w:tcPr>
          <w:p w14:paraId="06043FF7">
            <w:pPr>
              <w:keepNext/>
              <w:snapToGrid w:val="0"/>
              <w:spacing w:line="360" w:lineRule="auto"/>
              <w:jc w:val="center"/>
              <w:rPr>
                <w:rFonts w:ascii="宋体"/>
                <w:sz w:val="24"/>
                <w:szCs w:val="24"/>
              </w:rPr>
            </w:pPr>
            <w:r>
              <w:rPr>
                <w:rFonts w:hint="eastAsia" w:ascii="宋体" w:hAnsi="宋体"/>
                <w:sz w:val="24"/>
                <w:szCs w:val="24"/>
              </w:rPr>
              <w:t>序号</w:t>
            </w:r>
          </w:p>
        </w:tc>
        <w:tc>
          <w:tcPr>
            <w:tcW w:w="812" w:type="dxa"/>
            <w:vAlign w:val="center"/>
          </w:tcPr>
          <w:p w14:paraId="0B5DD528">
            <w:pPr>
              <w:keepNext/>
              <w:snapToGrid w:val="0"/>
              <w:spacing w:line="360" w:lineRule="auto"/>
              <w:jc w:val="center"/>
              <w:rPr>
                <w:rFonts w:ascii="宋体"/>
                <w:sz w:val="24"/>
                <w:szCs w:val="24"/>
              </w:rPr>
            </w:pPr>
            <w:r>
              <w:rPr>
                <w:rFonts w:hint="eastAsia" w:ascii="宋体" w:hAnsi="宋体"/>
                <w:sz w:val="24"/>
                <w:szCs w:val="24"/>
              </w:rPr>
              <w:t>产品名称</w:t>
            </w:r>
          </w:p>
        </w:tc>
        <w:tc>
          <w:tcPr>
            <w:tcW w:w="1559" w:type="dxa"/>
            <w:vAlign w:val="center"/>
          </w:tcPr>
          <w:p w14:paraId="099D0177">
            <w:pPr>
              <w:keepNext/>
              <w:snapToGrid w:val="0"/>
              <w:spacing w:line="360" w:lineRule="auto"/>
              <w:jc w:val="center"/>
              <w:rPr>
                <w:rFonts w:ascii="宋体"/>
                <w:sz w:val="24"/>
                <w:szCs w:val="24"/>
              </w:rPr>
            </w:pPr>
            <w:r>
              <w:rPr>
                <w:rFonts w:hint="eastAsia" w:ascii="宋体" w:hAnsi="宋体"/>
                <w:sz w:val="24"/>
                <w:szCs w:val="24"/>
              </w:rPr>
              <w:t>制造商</w:t>
            </w:r>
          </w:p>
        </w:tc>
        <w:tc>
          <w:tcPr>
            <w:tcW w:w="992" w:type="dxa"/>
            <w:vAlign w:val="center"/>
          </w:tcPr>
          <w:p w14:paraId="7077486A">
            <w:pPr>
              <w:keepNext/>
              <w:snapToGrid w:val="0"/>
              <w:spacing w:line="360" w:lineRule="auto"/>
              <w:jc w:val="center"/>
              <w:rPr>
                <w:rFonts w:ascii="宋体"/>
                <w:sz w:val="24"/>
                <w:szCs w:val="24"/>
              </w:rPr>
            </w:pPr>
            <w:r>
              <w:rPr>
                <w:rFonts w:hint="eastAsia" w:ascii="宋体" w:hAnsi="宋体"/>
                <w:sz w:val="24"/>
                <w:szCs w:val="24"/>
              </w:rPr>
              <w:t>产品</w:t>
            </w:r>
          </w:p>
          <w:p w14:paraId="5C7E595D">
            <w:pPr>
              <w:keepNext/>
              <w:snapToGrid w:val="0"/>
              <w:spacing w:line="360" w:lineRule="auto"/>
              <w:jc w:val="center"/>
              <w:rPr>
                <w:rFonts w:ascii="宋体"/>
                <w:sz w:val="24"/>
                <w:szCs w:val="24"/>
              </w:rPr>
            </w:pPr>
            <w:r>
              <w:rPr>
                <w:rFonts w:hint="eastAsia" w:ascii="宋体" w:hAnsi="宋体"/>
                <w:sz w:val="24"/>
                <w:szCs w:val="24"/>
              </w:rPr>
              <w:t>型号</w:t>
            </w:r>
          </w:p>
        </w:tc>
        <w:tc>
          <w:tcPr>
            <w:tcW w:w="2410" w:type="dxa"/>
            <w:vAlign w:val="center"/>
          </w:tcPr>
          <w:p w14:paraId="12FFC8BA">
            <w:pPr>
              <w:keepNext/>
              <w:snapToGrid w:val="0"/>
              <w:spacing w:line="360" w:lineRule="auto"/>
              <w:jc w:val="center"/>
              <w:rPr>
                <w:rFonts w:ascii="宋体"/>
                <w:sz w:val="24"/>
                <w:szCs w:val="24"/>
              </w:rPr>
            </w:pPr>
            <w:r>
              <w:rPr>
                <w:rFonts w:hint="eastAsia" w:ascii="宋体" w:hAnsi="宋体"/>
                <w:sz w:val="24"/>
                <w:szCs w:val="24"/>
              </w:rPr>
              <w:t>节能产品认证证书号</w:t>
            </w:r>
          </w:p>
        </w:tc>
        <w:tc>
          <w:tcPr>
            <w:tcW w:w="2621" w:type="dxa"/>
            <w:vAlign w:val="center"/>
          </w:tcPr>
          <w:p w14:paraId="6C06148D">
            <w:pPr>
              <w:keepNext/>
              <w:snapToGrid w:val="0"/>
              <w:spacing w:line="360" w:lineRule="auto"/>
              <w:jc w:val="center"/>
              <w:rPr>
                <w:rFonts w:ascii="宋体"/>
                <w:sz w:val="24"/>
                <w:szCs w:val="24"/>
              </w:rPr>
            </w:pPr>
            <w:r>
              <w:rPr>
                <w:rFonts w:hint="eastAsia" w:ascii="宋体" w:hAnsi="宋体"/>
                <w:sz w:val="24"/>
                <w:szCs w:val="24"/>
              </w:rPr>
              <w:t>认证证书有效截止日期</w:t>
            </w:r>
          </w:p>
        </w:tc>
      </w:tr>
      <w:tr w14:paraId="4159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0" w:type="dxa"/>
          </w:tcPr>
          <w:p w14:paraId="4FC600B0">
            <w:pPr>
              <w:keepNext/>
              <w:snapToGrid w:val="0"/>
              <w:spacing w:line="360" w:lineRule="auto"/>
              <w:jc w:val="center"/>
              <w:rPr>
                <w:rFonts w:ascii="宋体"/>
                <w:sz w:val="24"/>
                <w:szCs w:val="24"/>
              </w:rPr>
            </w:pPr>
          </w:p>
        </w:tc>
        <w:tc>
          <w:tcPr>
            <w:tcW w:w="812" w:type="dxa"/>
          </w:tcPr>
          <w:p w14:paraId="0D5A5307">
            <w:pPr>
              <w:keepNext/>
              <w:snapToGrid w:val="0"/>
              <w:spacing w:line="360" w:lineRule="auto"/>
              <w:jc w:val="center"/>
              <w:rPr>
                <w:rFonts w:ascii="宋体"/>
                <w:sz w:val="24"/>
                <w:szCs w:val="24"/>
              </w:rPr>
            </w:pPr>
          </w:p>
        </w:tc>
        <w:tc>
          <w:tcPr>
            <w:tcW w:w="1559" w:type="dxa"/>
          </w:tcPr>
          <w:p w14:paraId="45234BA4">
            <w:pPr>
              <w:keepNext/>
              <w:snapToGrid w:val="0"/>
              <w:spacing w:line="360" w:lineRule="auto"/>
              <w:jc w:val="center"/>
              <w:rPr>
                <w:rFonts w:ascii="宋体"/>
                <w:sz w:val="24"/>
                <w:szCs w:val="24"/>
              </w:rPr>
            </w:pPr>
          </w:p>
        </w:tc>
        <w:tc>
          <w:tcPr>
            <w:tcW w:w="992" w:type="dxa"/>
          </w:tcPr>
          <w:p w14:paraId="46484246">
            <w:pPr>
              <w:keepNext/>
              <w:snapToGrid w:val="0"/>
              <w:spacing w:line="360" w:lineRule="auto"/>
              <w:jc w:val="center"/>
              <w:rPr>
                <w:rFonts w:ascii="宋体"/>
                <w:sz w:val="24"/>
                <w:szCs w:val="24"/>
              </w:rPr>
            </w:pPr>
          </w:p>
        </w:tc>
        <w:tc>
          <w:tcPr>
            <w:tcW w:w="2410" w:type="dxa"/>
          </w:tcPr>
          <w:p w14:paraId="647DD4C7">
            <w:pPr>
              <w:keepNext/>
              <w:snapToGrid w:val="0"/>
              <w:spacing w:line="360" w:lineRule="auto"/>
              <w:jc w:val="center"/>
              <w:rPr>
                <w:rFonts w:ascii="宋体"/>
                <w:sz w:val="24"/>
                <w:szCs w:val="24"/>
              </w:rPr>
            </w:pPr>
          </w:p>
        </w:tc>
        <w:tc>
          <w:tcPr>
            <w:tcW w:w="2621" w:type="dxa"/>
          </w:tcPr>
          <w:p w14:paraId="1AC67A4D">
            <w:pPr>
              <w:keepNext/>
              <w:snapToGrid w:val="0"/>
              <w:spacing w:line="360" w:lineRule="auto"/>
              <w:jc w:val="center"/>
              <w:rPr>
                <w:rFonts w:ascii="宋体"/>
                <w:sz w:val="24"/>
                <w:szCs w:val="24"/>
              </w:rPr>
            </w:pPr>
          </w:p>
        </w:tc>
      </w:tr>
      <w:tr w14:paraId="6E7E3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0" w:type="dxa"/>
          </w:tcPr>
          <w:p w14:paraId="655BD8E0">
            <w:pPr>
              <w:keepNext/>
              <w:snapToGrid w:val="0"/>
              <w:spacing w:line="360" w:lineRule="auto"/>
              <w:jc w:val="center"/>
              <w:rPr>
                <w:rFonts w:ascii="宋体"/>
                <w:sz w:val="24"/>
                <w:szCs w:val="24"/>
              </w:rPr>
            </w:pPr>
          </w:p>
        </w:tc>
        <w:tc>
          <w:tcPr>
            <w:tcW w:w="812" w:type="dxa"/>
          </w:tcPr>
          <w:p w14:paraId="179E83B4">
            <w:pPr>
              <w:keepNext/>
              <w:snapToGrid w:val="0"/>
              <w:spacing w:line="360" w:lineRule="auto"/>
              <w:jc w:val="center"/>
              <w:rPr>
                <w:rFonts w:ascii="宋体"/>
                <w:sz w:val="24"/>
                <w:szCs w:val="24"/>
              </w:rPr>
            </w:pPr>
          </w:p>
        </w:tc>
        <w:tc>
          <w:tcPr>
            <w:tcW w:w="1559" w:type="dxa"/>
          </w:tcPr>
          <w:p w14:paraId="6EB11E8B">
            <w:pPr>
              <w:keepNext/>
              <w:snapToGrid w:val="0"/>
              <w:spacing w:line="360" w:lineRule="auto"/>
              <w:jc w:val="center"/>
              <w:rPr>
                <w:rFonts w:ascii="宋体"/>
                <w:sz w:val="24"/>
                <w:szCs w:val="24"/>
              </w:rPr>
            </w:pPr>
          </w:p>
        </w:tc>
        <w:tc>
          <w:tcPr>
            <w:tcW w:w="992" w:type="dxa"/>
          </w:tcPr>
          <w:p w14:paraId="7859DF9A">
            <w:pPr>
              <w:keepNext/>
              <w:snapToGrid w:val="0"/>
              <w:spacing w:line="360" w:lineRule="auto"/>
              <w:jc w:val="center"/>
              <w:rPr>
                <w:rFonts w:ascii="宋体"/>
                <w:sz w:val="24"/>
                <w:szCs w:val="24"/>
              </w:rPr>
            </w:pPr>
          </w:p>
        </w:tc>
        <w:tc>
          <w:tcPr>
            <w:tcW w:w="2410" w:type="dxa"/>
          </w:tcPr>
          <w:p w14:paraId="2AC417EF">
            <w:pPr>
              <w:keepNext/>
              <w:snapToGrid w:val="0"/>
              <w:spacing w:line="360" w:lineRule="auto"/>
              <w:jc w:val="center"/>
              <w:rPr>
                <w:rFonts w:ascii="宋体"/>
                <w:sz w:val="24"/>
                <w:szCs w:val="24"/>
              </w:rPr>
            </w:pPr>
          </w:p>
        </w:tc>
        <w:tc>
          <w:tcPr>
            <w:tcW w:w="2621" w:type="dxa"/>
          </w:tcPr>
          <w:p w14:paraId="06A03C8A">
            <w:pPr>
              <w:keepNext/>
              <w:snapToGrid w:val="0"/>
              <w:spacing w:line="360" w:lineRule="auto"/>
              <w:jc w:val="center"/>
              <w:rPr>
                <w:rFonts w:ascii="宋体"/>
                <w:sz w:val="24"/>
                <w:szCs w:val="24"/>
              </w:rPr>
            </w:pPr>
          </w:p>
        </w:tc>
      </w:tr>
      <w:tr w14:paraId="1649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0" w:type="dxa"/>
          </w:tcPr>
          <w:p w14:paraId="5878DDE5">
            <w:pPr>
              <w:keepNext/>
              <w:snapToGrid w:val="0"/>
              <w:spacing w:line="360" w:lineRule="auto"/>
              <w:jc w:val="center"/>
              <w:rPr>
                <w:rFonts w:ascii="宋体"/>
                <w:sz w:val="24"/>
                <w:szCs w:val="24"/>
              </w:rPr>
            </w:pPr>
          </w:p>
        </w:tc>
        <w:tc>
          <w:tcPr>
            <w:tcW w:w="812" w:type="dxa"/>
          </w:tcPr>
          <w:p w14:paraId="37CBF559">
            <w:pPr>
              <w:keepNext/>
              <w:snapToGrid w:val="0"/>
              <w:spacing w:line="360" w:lineRule="auto"/>
              <w:jc w:val="center"/>
              <w:rPr>
                <w:rFonts w:ascii="宋体"/>
                <w:sz w:val="24"/>
                <w:szCs w:val="24"/>
              </w:rPr>
            </w:pPr>
          </w:p>
        </w:tc>
        <w:tc>
          <w:tcPr>
            <w:tcW w:w="1559" w:type="dxa"/>
          </w:tcPr>
          <w:p w14:paraId="0EF67584">
            <w:pPr>
              <w:keepNext/>
              <w:snapToGrid w:val="0"/>
              <w:spacing w:line="360" w:lineRule="auto"/>
              <w:jc w:val="center"/>
              <w:rPr>
                <w:rFonts w:ascii="宋体"/>
                <w:sz w:val="24"/>
                <w:szCs w:val="24"/>
              </w:rPr>
            </w:pPr>
          </w:p>
        </w:tc>
        <w:tc>
          <w:tcPr>
            <w:tcW w:w="992" w:type="dxa"/>
          </w:tcPr>
          <w:p w14:paraId="51F491C5">
            <w:pPr>
              <w:keepNext/>
              <w:snapToGrid w:val="0"/>
              <w:spacing w:line="360" w:lineRule="auto"/>
              <w:jc w:val="center"/>
              <w:rPr>
                <w:rFonts w:ascii="宋体"/>
                <w:sz w:val="24"/>
                <w:szCs w:val="24"/>
              </w:rPr>
            </w:pPr>
          </w:p>
        </w:tc>
        <w:tc>
          <w:tcPr>
            <w:tcW w:w="2410" w:type="dxa"/>
          </w:tcPr>
          <w:p w14:paraId="6C9C6099">
            <w:pPr>
              <w:keepNext/>
              <w:snapToGrid w:val="0"/>
              <w:spacing w:line="360" w:lineRule="auto"/>
              <w:jc w:val="center"/>
              <w:rPr>
                <w:rFonts w:ascii="宋体"/>
                <w:sz w:val="24"/>
                <w:szCs w:val="24"/>
              </w:rPr>
            </w:pPr>
          </w:p>
        </w:tc>
        <w:tc>
          <w:tcPr>
            <w:tcW w:w="2621" w:type="dxa"/>
          </w:tcPr>
          <w:p w14:paraId="759237F5">
            <w:pPr>
              <w:keepNext/>
              <w:snapToGrid w:val="0"/>
              <w:spacing w:line="360" w:lineRule="auto"/>
              <w:jc w:val="center"/>
              <w:rPr>
                <w:rFonts w:ascii="宋体"/>
                <w:sz w:val="24"/>
                <w:szCs w:val="24"/>
              </w:rPr>
            </w:pPr>
          </w:p>
        </w:tc>
      </w:tr>
      <w:tr w14:paraId="2BB4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20" w:type="dxa"/>
            <w:vAlign w:val="center"/>
          </w:tcPr>
          <w:p w14:paraId="648C6B63">
            <w:pPr>
              <w:keepNext/>
              <w:snapToGrid w:val="0"/>
              <w:spacing w:line="360" w:lineRule="auto"/>
              <w:jc w:val="center"/>
              <w:rPr>
                <w:rFonts w:ascii="宋体"/>
                <w:sz w:val="24"/>
                <w:szCs w:val="24"/>
              </w:rPr>
            </w:pPr>
          </w:p>
        </w:tc>
        <w:tc>
          <w:tcPr>
            <w:tcW w:w="812" w:type="dxa"/>
            <w:vAlign w:val="center"/>
          </w:tcPr>
          <w:p w14:paraId="3842A0BF">
            <w:pPr>
              <w:keepNext/>
              <w:snapToGrid w:val="0"/>
              <w:spacing w:line="360" w:lineRule="auto"/>
              <w:jc w:val="center"/>
              <w:rPr>
                <w:rFonts w:ascii="宋体"/>
                <w:sz w:val="24"/>
                <w:szCs w:val="24"/>
              </w:rPr>
            </w:pPr>
          </w:p>
        </w:tc>
        <w:tc>
          <w:tcPr>
            <w:tcW w:w="1559" w:type="dxa"/>
            <w:vAlign w:val="center"/>
          </w:tcPr>
          <w:p w14:paraId="661213A6">
            <w:pPr>
              <w:keepNext/>
              <w:snapToGrid w:val="0"/>
              <w:spacing w:line="360" w:lineRule="auto"/>
              <w:jc w:val="center"/>
              <w:rPr>
                <w:rFonts w:ascii="宋体"/>
                <w:sz w:val="24"/>
                <w:szCs w:val="24"/>
              </w:rPr>
            </w:pPr>
          </w:p>
        </w:tc>
        <w:tc>
          <w:tcPr>
            <w:tcW w:w="992" w:type="dxa"/>
            <w:vAlign w:val="center"/>
          </w:tcPr>
          <w:p w14:paraId="031F652F">
            <w:pPr>
              <w:keepNext/>
              <w:snapToGrid w:val="0"/>
              <w:spacing w:line="360" w:lineRule="auto"/>
              <w:jc w:val="center"/>
              <w:rPr>
                <w:rFonts w:ascii="宋体"/>
                <w:sz w:val="24"/>
                <w:szCs w:val="24"/>
              </w:rPr>
            </w:pPr>
          </w:p>
        </w:tc>
        <w:tc>
          <w:tcPr>
            <w:tcW w:w="2410" w:type="dxa"/>
            <w:vAlign w:val="center"/>
          </w:tcPr>
          <w:p w14:paraId="1133E787">
            <w:pPr>
              <w:keepNext/>
              <w:snapToGrid w:val="0"/>
              <w:spacing w:line="360" w:lineRule="auto"/>
              <w:jc w:val="center"/>
              <w:rPr>
                <w:rFonts w:ascii="宋体"/>
                <w:sz w:val="24"/>
                <w:szCs w:val="24"/>
              </w:rPr>
            </w:pPr>
          </w:p>
        </w:tc>
        <w:tc>
          <w:tcPr>
            <w:tcW w:w="2621" w:type="dxa"/>
            <w:vAlign w:val="center"/>
          </w:tcPr>
          <w:p w14:paraId="4FC49B5B">
            <w:pPr>
              <w:keepNext/>
              <w:snapToGrid w:val="0"/>
              <w:spacing w:line="360" w:lineRule="auto"/>
              <w:jc w:val="center"/>
              <w:rPr>
                <w:rFonts w:ascii="宋体"/>
                <w:sz w:val="24"/>
                <w:szCs w:val="24"/>
              </w:rPr>
            </w:pPr>
          </w:p>
        </w:tc>
      </w:tr>
    </w:tbl>
    <w:p w14:paraId="439530FF">
      <w:pPr>
        <w:spacing w:line="480" w:lineRule="exact"/>
        <w:jc w:val="center"/>
        <w:rPr>
          <w:rFonts w:ascii="宋体"/>
          <w:b/>
          <w:szCs w:val="24"/>
        </w:rPr>
      </w:pPr>
      <w:r>
        <w:rPr>
          <w:rFonts w:hint="eastAsia" w:ascii="宋体" w:hAnsi="宋体"/>
          <w:szCs w:val="24"/>
        </w:rPr>
        <w:t>提供所投产品在最新一期《节能产品政府采购清单》中所在页截图，并予以标记。</w:t>
      </w:r>
    </w:p>
    <w:p w14:paraId="734B113D">
      <w:pPr>
        <w:spacing w:line="480" w:lineRule="exact"/>
        <w:jc w:val="center"/>
        <w:rPr>
          <w:rFonts w:ascii="宋体"/>
          <w:b/>
          <w:szCs w:val="24"/>
        </w:rPr>
      </w:pPr>
    </w:p>
    <w:p w14:paraId="61B242CC">
      <w:pPr>
        <w:pStyle w:val="19"/>
        <w:rPr>
          <w:rFonts w:ascii="宋体"/>
          <w:szCs w:val="24"/>
        </w:rPr>
      </w:pPr>
    </w:p>
    <w:p w14:paraId="19C1AB67"/>
    <w:p w14:paraId="2F54BD4E">
      <w:pPr>
        <w:keepNext/>
        <w:adjustRightInd w:val="0"/>
        <w:snapToGrid w:val="0"/>
        <w:spacing w:line="360" w:lineRule="auto"/>
        <w:ind w:firstLine="2760" w:firstLineChars="1150"/>
        <w:rPr>
          <w:rFonts w:ascii="宋体" w:hAnsi="宋体"/>
          <w:sz w:val="24"/>
          <w:szCs w:val="24"/>
        </w:rPr>
      </w:pPr>
      <w:r>
        <w:rPr>
          <w:rFonts w:hint="eastAsia" w:ascii="宋体" w:hAnsi="宋体"/>
          <w:sz w:val="24"/>
          <w:szCs w:val="24"/>
        </w:rPr>
        <w:t>供应商（</w:t>
      </w:r>
      <w:r>
        <w:rPr>
          <w:rFonts w:hint="eastAsia" w:ascii="宋体" w:hAnsi="宋体" w:cs="宋体"/>
          <w:kern w:val="0"/>
          <w:sz w:val="24"/>
          <w:szCs w:val="24"/>
        </w:rPr>
        <w:t>电子公章</w:t>
      </w:r>
      <w:r>
        <w:rPr>
          <w:rFonts w:hint="eastAsia" w:ascii="宋体" w:hAnsi="宋体"/>
          <w:sz w:val="24"/>
          <w:szCs w:val="24"/>
        </w:rPr>
        <w:t>）：</w:t>
      </w:r>
      <w:r>
        <w:rPr>
          <w:rFonts w:ascii="宋体" w:hAnsi="宋体"/>
          <w:sz w:val="24"/>
          <w:szCs w:val="24"/>
          <w:u w:val="single"/>
        </w:rPr>
        <w:t xml:space="preserve">                          </w:t>
      </w:r>
    </w:p>
    <w:p w14:paraId="28DA450E">
      <w:pPr>
        <w:keepNext/>
        <w:adjustRightInd w:val="0"/>
        <w:snapToGrid w:val="0"/>
        <w:spacing w:line="360" w:lineRule="auto"/>
        <w:ind w:firstLine="2760" w:firstLineChars="1150"/>
        <w:rPr>
          <w:rFonts w:ascii="宋体" w:hAnsi="宋体"/>
          <w:sz w:val="24"/>
          <w:szCs w:val="24"/>
        </w:rPr>
      </w:pPr>
      <w:r>
        <w:rPr>
          <w:rFonts w:hint="eastAsia" w:ascii="宋体" w:hAnsi="宋体"/>
          <w:sz w:val="24"/>
          <w:szCs w:val="24"/>
        </w:rPr>
        <w:t>法定代表人或</w:t>
      </w:r>
      <w:r>
        <w:rPr>
          <w:rFonts w:hint="eastAsia" w:ascii="宋体" w:hAnsi="宋体" w:cs="宋体"/>
          <w:sz w:val="24"/>
          <w:szCs w:val="24"/>
        </w:rPr>
        <w:t>委托代理人</w:t>
      </w:r>
      <w:r>
        <w:rPr>
          <w:rFonts w:hint="eastAsia" w:ascii="宋体" w:hAnsi="宋体"/>
          <w:sz w:val="24"/>
          <w:szCs w:val="24"/>
        </w:rPr>
        <w:t>（</w:t>
      </w:r>
      <w:r>
        <w:rPr>
          <w:rFonts w:ascii="宋体" w:hAnsi="宋体"/>
          <w:snapToGrid w:val="0"/>
          <w:kern w:val="0"/>
          <w:sz w:val="24"/>
          <w:szCs w:val="24"/>
        </w:rPr>
        <w:t>签字或电子印章</w:t>
      </w:r>
      <w:r>
        <w:rPr>
          <w:rFonts w:hint="eastAsia" w:ascii="宋体" w:hAnsi="宋体"/>
          <w:sz w:val="24"/>
          <w:szCs w:val="24"/>
        </w:rPr>
        <w:t>）：</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12798A6D">
      <w:pPr>
        <w:tabs>
          <w:tab w:val="left" w:pos="4000"/>
        </w:tabs>
        <w:overflowPunct w:val="0"/>
        <w:topLinePunct/>
        <w:autoSpaceDN w:val="0"/>
        <w:adjustRightInd w:val="0"/>
        <w:snapToGrid w:val="0"/>
        <w:spacing w:line="360" w:lineRule="auto"/>
        <w:ind w:firstLine="2760" w:firstLineChars="1150"/>
        <w:rPr>
          <w:rFonts w:ascii="宋体" w:hAnsi="宋体"/>
          <w:sz w:val="24"/>
          <w:szCs w:val="24"/>
          <w:u w:val="single"/>
        </w:rPr>
      </w:pPr>
      <w:r>
        <w:rPr>
          <w:rFonts w:hint="eastAsia" w:ascii="宋体" w:hAnsi="宋体"/>
          <w:sz w:val="24"/>
          <w:szCs w:val="24"/>
        </w:rPr>
        <w:t>日</w:t>
      </w:r>
      <w:r>
        <w:rPr>
          <w:rFonts w:ascii="宋体" w:hAnsi="宋体"/>
          <w:sz w:val="24"/>
          <w:szCs w:val="24"/>
        </w:rPr>
        <w:t xml:space="preserve">         </w:t>
      </w:r>
      <w:r>
        <w:rPr>
          <w:rFonts w:hint="eastAsia" w:ascii="宋体" w:hAnsi="宋体"/>
          <w:sz w:val="24"/>
          <w:szCs w:val="24"/>
        </w:rPr>
        <w:t>期：</w:t>
      </w:r>
      <w:r>
        <w:rPr>
          <w:rFonts w:ascii="宋体" w:hAnsi="宋体"/>
          <w:sz w:val="24"/>
          <w:szCs w:val="24"/>
          <w:u w:val="single"/>
        </w:rPr>
        <w:t xml:space="preserve">                             </w:t>
      </w:r>
    </w:p>
    <w:p w14:paraId="2F6E7E04">
      <w:pPr>
        <w:spacing w:line="480" w:lineRule="exact"/>
        <w:jc w:val="center"/>
        <w:rPr>
          <w:rFonts w:ascii="宋体"/>
          <w:b/>
          <w:szCs w:val="24"/>
        </w:rPr>
      </w:pPr>
    </w:p>
    <w:p w14:paraId="32C2D998">
      <w:pPr>
        <w:tabs>
          <w:tab w:val="left" w:pos="1680"/>
        </w:tabs>
        <w:snapToGrid w:val="0"/>
        <w:spacing w:line="480" w:lineRule="exact"/>
        <w:jc w:val="center"/>
        <w:rPr>
          <w:rFonts w:ascii="宋体"/>
          <w:b/>
          <w:kern w:val="0"/>
          <w:sz w:val="32"/>
          <w:szCs w:val="24"/>
        </w:rPr>
      </w:pPr>
      <w:r>
        <w:rPr>
          <w:rFonts w:ascii="宋体"/>
          <w:b/>
          <w:kern w:val="0"/>
          <w:sz w:val="32"/>
          <w:szCs w:val="24"/>
        </w:rPr>
        <w:br w:type="page"/>
      </w:r>
    </w:p>
    <w:p w14:paraId="4F838FC5">
      <w:pPr>
        <w:tabs>
          <w:tab w:val="left" w:pos="1680"/>
        </w:tabs>
        <w:snapToGrid w:val="0"/>
        <w:spacing w:line="480" w:lineRule="exact"/>
        <w:jc w:val="center"/>
        <w:outlineLvl w:val="9"/>
        <w:rPr>
          <w:rFonts w:ascii="宋体"/>
          <w:b/>
          <w:kern w:val="0"/>
          <w:sz w:val="24"/>
          <w:szCs w:val="24"/>
        </w:rPr>
      </w:pPr>
      <w:bookmarkStart w:id="125" w:name="_Toc6975"/>
      <w:r>
        <w:rPr>
          <w:rFonts w:hint="eastAsia" w:ascii="宋体" w:hAnsi="宋体"/>
          <w:b/>
          <w:kern w:val="0"/>
          <w:sz w:val="24"/>
          <w:szCs w:val="24"/>
        </w:rPr>
        <w:t>（6）环境标志产品明细表（如适用）</w:t>
      </w:r>
      <w:bookmarkEnd w:id="125"/>
    </w:p>
    <w:p w14:paraId="343A271E">
      <w:pPr>
        <w:spacing w:line="480" w:lineRule="exact"/>
        <w:jc w:val="center"/>
        <w:rPr>
          <w:rFonts w:ascii="宋体"/>
          <w:b/>
          <w:szCs w:val="24"/>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080"/>
        <w:gridCol w:w="900"/>
        <w:gridCol w:w="1010"/>
        <w:gridCol w:w="939"/>
        <w:gridCol w:w="2911"/>
        <w:gridCol w:w="1520"/>
      </w:tblGrid>
      <w:tr w14:paraId="7C6EB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87" w:type="dxa"/>
            <w:vAlign w:val="center"/>
          </w:tcPr>
          <w:p w14:paraId="5663645D">
            <w:pPr>
              <w:keepNext/>
              <w:snapToGrid w:val="0"/>
              <w:spacing w:line="360" w:lineRule="auto"/>
              <w:jc w:val="center"/>
              <w:rPr>
                <w:rFonts w:ascii="宋体"/>
                <w:sz w:val="24"/>
                <w:szCs w:val="24"/>
              </w:rPr>
            </w:pPr>
            <w:r>
              <w:rPr>
                <w:rFonts w:hint="eastAsia" w:ascii="宋体" w:hAnsi="宋体"/>
                <w:sz w:val="24"/>
                <w:szCs w:val="24"/>
              </w:rPr>
              <w:t>序号</w:t>
            </w:r>
          </w:p>
        </w:tc>
        <w:tc>
          <w:tcPr>
            <w:tcW w:w="1080" w:type="dxa"/>
            <w:vAlign w:val="center"/>
          </w:tcPr>
          <w:p w14:paraId="6D2FA053">
            <w:pPr>
              <w:keepNext/>
              <w:snapToGrid w:val="0"/>
              <w:spacing w:line="360" w:lineRule="auto"/>
              <w:jc w:val="center"/>
              <w:rPr>
                <w:rFonts w:ascii="宋体"/>
                <w:sz w:val="24"/>
                <w:szCs w:val="24"/>
              </w:rPr>
            </w:pPr>
            <w:r>
              <w:rPr>
                <w:rFonts w:hint="eastAsia" w:ascii="宋体" w:hAnsi="宋体"/>
                <w:sz w:val="24"/>
                <w:szCs w:val="24"/>
              </w:rPr>
              <w:t>产品</w:t>
            </w:r>
          </w:p>
          <w:p w14:paraId="279EA1BB">
            <w:pPr>
              <w:keepNext/>
              <w:snapToGrid w:val="0"/>
              <w:spacing w:line="360" w:lineRule="auto"/>
              <w:jc w:val="center"/>
              <w:rPr>
                <w:rFonts w:ascii="宋体"/>
                <w:sz w:val="24"/>
                <w:szCs w:val="24"/>
              </w:rPr>
            </w:pPr>
            <w:r>
              <w:rPr>
                <w:rFonts w:hint="eastAsia" w:ascii="宋体" w:hAnsi="宋体"/>
                <w:sz w:val="24"/>
                <w:szCs w:val="24"/>
              </w:rPr>
              <w:t>名称</w:t>
            </w:r>
          </w:p>
        </w:tc>
        <w:tc>
          <w:tcPr>
            <w:tcW w:w="900" w:type="dxa"/>
            <w:vAlign w:val="center"/>
          </w:tcPr>
          <w:p w14:paraId="28BE0E5E">
            <w:pPr>
              <w:keepNext/>
              <w:snapToGrid w:val="0"/>
              <w:spacing w:line="360" w:lineRule="auto"/>
              <w:jc w:val="center"/>
              <w:rPr>
                <w:rFonts w:ascii="宋体"/>
                <w:sz w:val="24"/>
                <w:szCs w:val="24"/>
              </w:rPr>
            </w:pPr>
            <w:r>
              <w:rPr>
                <w:rFonts w:hint="eastAsia" w:ascii="宋体" w:hAnsi="宋体"/>
                <w:sz w:val="24"/>
                <w:szCs w:val="24"/>
              </w:rPr>
              <w:t>制造商</w:t>
            </w:r>
          </w:p>
        </w:tc>
        <w:tc>
          <w:tcPr>
            <w:tcW w:w="1010" w:type="dxa"/>
            <w:vAlign w:val="center"/>
          </w:tcPr>
          <w:p w14:paraId="0F7A11CA">
            <w:pPr>
              <w:keepNext/>
              <w:snapToGrid w:val="0"/>
              <w:spacing w:line="360" w:lineRule="auto"/>
              <w:jc w:val="center"/>
              <w:rPr>
                <w:rFonts w:ascii="宋体"/>
                <w:sz w:val="24"/>
                <w:szCs w:val="24"/>
              </w:rPr>
            </w:pPr>
            <w:r>
              <w:rPr>
                <w:rFonts w:hint="eastAsia" w:ascii="宋体" w:hAnsi="宋体"/>
                <w:sz w:val="24"/>
                <w:szCs w:val="24"/>
              </w:rPr>
              <w:t>注册</w:t>
            </w:r>
          </w:p>
          <w:p w14:paraId="4B707F12">
            <w:pPr>
              <w:keepNext/>
              <w:snapToGrid w:val="0"/>
              <w:spacing w:line="360" w:lineRule="auto"/>
              <w:jc w:val="center"/>
              <w:rPr>
                <w:rFonts w:ascii="宋体"/>
                <w:sz w:val="24"/>
                <w:szCs w:val="24"/>
              </w:rPr>
            </w:pPr>
            <w:r>
              <w:rPr>
                <w:rFonts w:hint="eastAsia" w:ascii="宋体" w:hAnsi="宋体"/>
                <w:sz w:val="24"/>
                <w:szCs w:val="24"/>
              </w:rPr>
              <w:t>商标</w:t>
            </w:r>
          </w:p>
        </w:tc>
        <w:tc>
          <w:tcPr>
            <w:tcW w:w="939" w:type="dxa"/>
            <w:vAlign w:val="center"/>
          </w:tcPr>
          <w:p w14:paraId="1E95D25E">
            <w:pPr>
              <w:keepNext/>
              <w:snapToGrid w:val="0"/>
              <w:spacing w:line="360" w:lineRule="auto"/>
              <w:jc w:val="center"/>
              <w:rPr>
                <w:rFonts w:ascii="宋体"/>
                <w:sz w:val="24"/>
                <w:szCs w:val="24"/>
              </w:rPr>
            </w:pPr>
            <w:r>
              <w:rPr>
                <w:rFonts w:hint="eastAsia" w:ascii="宋体" w:hAnsi="宋体"/>
                <w:sz w:val="24"/>
                <w:szCs w:val="24"/>
              </w:rPr>
              <w:t>产品</w:t>
            </w:r>
          </w:p>
          <w:p w14:paraId="3FEC06FC">
            <w:pPr>
              <w:keepNext/>
              <w:snapToGrid w:val="0"/>
              <w:spacing w:line="360" w:lineRule="auto"/>
              <w:jc w:val="center"/>
              <w:rPr>
                <w:rFonts w:ascii="宋体"/>
                <w:sz w:val="24"/>
                <w:szCs w:val="24"/>
              </w:rPr>
            </w:pPr>
            <w:r>
              <w:rPr>
                <w:rFonts w:hint="eastAsia" w:ascii="宋体" w:hAnsi="宋体"/>
                <w:sz w:val="24"/>
                <w:szCs w:val="24"/>
              </w:rPr>
              <w:t>型号</w:t>
            </w:r>
          </w:p>
        </w:tc>
        <w:tc>
          <w:tcPr>
            <w:tcW w:w="2911" w:type="dxa"/>
            <w:vAlign w:val="center"/>
          </w:tcPr>
          <w:p w14:paraId="32454600">
            <w:pPr>
              <w:keepNext/>
              <w:snapToGrid w:val="0"/>
              <w:spacing w:line="360" w:lineRule="auto"/>
              <w:jc w:val="center"/>
              <w:rPr>
                <w:rFonts w:ascii="宋体"/>
                <w:sz w:val="24"/>
                <w:szCs w:val="24"/>
              </w:rPr>
            </w:pPr>
            <w:r>
              <w:rPr>
                <w:rFonts w:hint="eastAsia" w:ascii="宋体" w:hAnsi="宋体"/>
                <w:sz w:val="24"/>
                <w:szCs w:val="24"/>
              </w:rPr>
              <w:t>环境标志产品认证证书号</w:t>
            </w:r>
          </w:p>
        </w:tc>
        <w:tc>
          <w:tcPr>
            <w:tcW w:w="1520" w:type="dxa"/>
            <w:vAlign w:val="center"/>
          </w:tcPr>
          <w:p w14:paraId="32C579D2">
            <w:pPr>
              <w:keepNext/>
              <w:snapToGrid w:val="0"/>
              <w:spacing w:line="360" w:lineRule="auto"/>
              <w:jc w:val="center"/>
              <w:rPr>
                <w:rFonts w:ascii="宋体"/>
                <w:sz w:val="24"/>
                <w:szCs w:val="24"/>
              </w:rPr>
            </w:pPr>
            <w:r>
              <w:rPr>
                <w:rFonts w:hint="eastAsia" w:ascii="宋体" w:hAnsi="宋体"/>
                <w:sz w:val="24"/>
                <w:szCs w:val="24"/>
              </w:rPr>
              <w:t>认证证书有效截止日期</w:t>
            </w:r>
          </w:p>
        </w:tc>
      </w:tr>
      <w:tr w14:paraId="295B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87" w:type="dxa"/>
          </w:tcPr>
          <w:p w14:paraId="08234430">
            <w:pPr>
              <w:keepNext/>
              <w:snapToGrid w:val="0"/>
              <w:spacing w:line="360" w:lineRule="auto"/>
              <w:jc w:val="center"/>
              <w:rPr>
                <w:rFonts w:ascii="宋体"/>
                <w:sz w:val="24"/>
                <w:szCs w:val="24"/>
              </w:rPr>
            </w:pPr>
          </w:p>
        </w:tc>
        <w:tc>
          <w:tcPr>
            <w:tcW w:w="1080" w:type="dxa"/>
          </w:tcPr>
          <w:p w14:paraId="5E15AF30">
            <w:pPr>
              <w:keepNext/>
              <w:snapToGrid w:val="0"/>
              <w:spacing w:line="360" w:lineRule="auto"/>
              <w:jc w:val="center"/>
              <w:rPr>
                <w:rFonts w:ascii="宋体"/>
                <w:sz w:val="24"/>
                <w:szCs w:val="24"/>
              </w:rPr>
            </w:pPr>
          </w:p>
        </w:tc>
        <w:tc>
          <w:tcPr>
            <w:tcW w:w="900" w:type="dxa"/>
          </w:tcPr>
          <w:p w14:paraId="520F11D5">
            <w:pPr>
              <w:keepNext/>
              <w:snapToGrid w:val="0"/>
              <w:spacing w:line="360" w:lineRule="auto"/>
              <w:jc w:val="center"/>
              <w:rPr>
                <w:rFonts w:ascii="宋体"/>
                <w:sz w:val="24"/>
                <w:szCs w:val="24"/>
              </w:rPr>
            </w:pPr>
          </w:p>
        </w:tc>
        <w:tc>
          <w:tcPr>
            <w:tcW w:w="1010" w:type="dxa"/>
          </w:tcPr>
          <w:p w14:paraId="54B82B49">
            <w:pPr>
              <w:keepNext/>
              <w:snapToGrid w:val="0"/>
              <w:spacing w:line="360" w:lineRule="auto"/>
              <w:jc w:val="center"/>
              <w:rPr>
                <w:rFonts w:ascii="宋体"/>
                <w:sz w:val="24"/>
                <w:szCs w:val="24"/>
              </w:rPr>
            </w:pPr>
          </w:p>
        </w:tc>
        <w:tc>
          <w:tcPr>
            <w:tcW w:w="939" w:type="dxa"/>
          </w:tcPr>
          <w:p w14:paraId="3AEFA86A">
            <w:pPr>
              <w:keepNext/>
              <w:snapToGrid w:val="0"/>
              <w:spacing w:line="360" w:lineRule="auto"/>
              <w:jc w:val="center"/>
              <w:rPr>
                <w:rFonts w:ascii="宋体"/>
                <w:sz w:val="24"/>
                <w:szCs w:val="24"/>
              </w:rPr>
            </w:pPr>
          </w:p>
        </w:tc>
        <w:tc>
          <w:tcPr>
            <w:tcW w:w="2911" w:type="dxa"/>
          </w:tcPr>
          <w:p w14:paraId="0273F089">
            <w:pPr>
              <w:keepNext/>
              <w:snapToGrid w:val="0"/>
              <w:spacing w:line="360" w:lineRule="auto"/>
              <w:jc w:val="center"/>
              <w:rPr>
                <w:rFonts w:ascii="宋体"/>
                <w:sz w:val="24"/>
                <w:szCs w:val="24"/>
              </w:rPr>
            </w:pPr>
          </w:p>
        </w:tc>
        <w:tc>
          <w:tcPr>
            <w:tcW w:w="1520" w:type="dxa"/>
          </w:tcPr>
          <w:p w14:paraId="7FC1FC7D">
            <w:pPr>
              <w:keepNext/>
              <w:snapToGrid w:val="0"/>
              <w:spacing w:line="360" w:lineRule="auto"/>
              <w:rPr>
                <w:rFonts w:ascii="宋体"/>
                <w:sz w:val="24"/>
                <w:szCs w:val="24"/>
              </w:rPr>
            </w:pPr>
          </w:p>
        </w:tc>
      </w:tr>
      <w:tr w14:paraId="422A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7" w:type="dxa"/>
          </w:tcPr>
          <w:p w14:paraId="50033320">
            <w:pPr>
              <w:keepNext/>
              <w:snapToGrid w:val="0"/>
              <w:spacing w:line="360" w:lineRule="auto"/>
              <w:jc w:val="center"/>
              <w:rPr>
                <w:rFonts w:ascii="宋体"/>
                <w:sz w:val="24"/>
                <w:szCs w:val="24"/>
              </w:rPr>
            </w:pPr>
          </w:p>
        </w:tc>
        <w:tc>
          <w:tcPr>
            <w:tcW w:w="1080" w:type="dxa"/>
          </w:tcPr>
          <w:p w14:paraId="329CEFC2">
            <w:pPr>
              <w:keepNext/>
              <w:snapToGrid w:val="0"/>
              <w:spacing w:line="360" w:lineRule="auto"/>
              <w:jc w:val="center"/>
              <w:rPr>
                <w:rFonts w:ascii="宋体"/>
                <w:sz w:val="24"/>
                <w:szCs w:val="24"/>
              </w:rPr>
            </w:pPr>
          </w:p>
        </w:tc>
        <w:tc>
          <w:tcPr>
            <w:tcW w:w="900" w:type="dxa"/>
          </w:tcPr>
          <w:p w14:paraId="0058EA05">
            <w:pPr>
              <w:keepNext/>
              <w:snapToGrid w:val="0"/>
              <w:spacing w:line="360" w:lineRule="auto"/>
              <w:jc w:val="center"/>
              <w:rPr>
                <w:rFonts w:ascii="宋体"/>
                <w:sz w:val="24"/>
                <w:szCs w:val="24"/>
              </w:rPr>
            </w:pPr>
          </w:p>
        </w:tc>
        <w:tc>
          <w:tcPr>
            <w:tcW w:w="1010" w:type="dxa"/>
          </w:tcPr>
          <w:p w14:paraId="219392C7">
            <w:pPr>
              <w:keepNext/>
              <w:snapToGrid w:val="0"/>
              <w:spacing w:line="360" w:lineRule="auto"/>
              <w:jc w:val="center"/>
              <w:rPr>
                <w:rFonts w:ascii="宋体"/>
                <w:sz w:val="24"/>
                <w:szCs w:val="24"/>
              </w:rPr>
            </w:pPr>
          </w:p>
        </w:tc>
        <w:tc>
          <w:tcPr>
            <w:tcW w:w="939" w:type="dxa"/>
          </w:tcPr>
          <w:p w14:paraId="392F39AB">
            <w:pPr>
              <w:keepNext/>
              <w:snapToGrid w:val="0"/>
              <w:spacing w:line="360" w:lineRule="auto"/>
              <w:jc w:val="center"/>
              <w:rPr>
                <w:rFonts w:ascii="宋体"/>
                <w:sz w:val="24"/>
                <w:szCs w:val="24"/>
              </w:rPr>
            </w:pPr>
          </w:p>
        </w:tc>
        <w:tc>
          <w:tcPr>
            <w:tcW w:w="2911" w:type="dxa"/>
          </w:tcPr>
          <w:p w14:paraId="669855F6">
            <w:pPr>
              <w:keepNext/>
              <w:snapToGrid w:val="0"/>
              <w:spacing w:line="360" w:lineRule="auto"/>
              <w:jc w:val="center"/>
              <w:rPr>
                <w:rFonts w:ascii="宋体"/>
                <w:sz w:val="24"/>
                <w:szCs w:val="24"/>
              </w:rPr>
            </w:pPr>
          </w:p>
        </w:tc>
        <w:tc>
          <w:tcPr>
            <w:tcW w:w="1520" w:type="dxa"/>
          </w:tcPr>
          <w:p w14:paraId="41641129">
            <w:pPr>
              <w:keepNext/>
              <w:snapToGrid w:val="0"/>
              <w:spacing w:line="360" w:lineRule="auto"/>
              <w:rPr>
                <w:rFonts w:ascii="宋体"/>
                <w:sz w:val="24"/>
                <w:szCs w:val="24"/>
              </w:rPr>
            </w:pPr>
          </w:p>
        </w:tc>
      </w:tr>
      <w:tr w14:paraId="22CF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7" w:type="dxa"/>
          </w:tcPr>
          <w:p w14:paraId="3544E170">
            <w:pPr>
              <w:keepNext/>
              <w:snapToGrid w:val="0"/>
              <w:spacing w:line="360" w:lineRule="auto"/>
              <w:jc w:val="center"/>
              <w:rPr>
                <w:rFonts w:ascii="宋体"/>
                <w:sz w:val="24"/>
                <w:szCs w:val="24"/>
              </w:rPr>
            </w:pPr>
          </w:p>
        </w:tc>
        <w:tc>
          <w:tcPr>
            <w:tcW w:w="1080" w:type="dxa"/>
          </w:tcPr>
          <w:p w14:paraId="02655E62">
            <w:pPr>
              <w:keepNext/>
              <w:snapToGrid w:val="0"/>
              <w:spacing w:line="360" w:lineRule="auto"/>
              <w:jc w:val="center"/>
              <w:rPr>
                <w:rFonts w:ascii="宋体"/>
                <w:sz w:val="24"/>
                <w:szCs w:val="24"/>
              </w:rPr>
            </w:pPr>
          </w:p>
        </w:tc>
        <w:tc>
          <w:tcPr>
            <w:tcW w:w="900" w:type="dxa"/>
          </w:tcPr>
          <w:p w14:paraId="055E61CD">
            <w:pPr>
              <w:keepNext/>
              <w:snapToGrid w:val="0"/>
              <w:spacing w:line="360" w:lineRule="auto"/>
              <w:jc w:val="center"/>
              <w:rPr>
                <w:rFonts w:ascii="宋体"/>
                <w:sz w:val="24"/>
                <w:szCs w:val="24"/>
              </w:rPr>
            </w:pPr>
          </w:p>
        </w:tc>
        <w:tc>
          <w:tcPr>
            <w:tcW w:w="1010" w:type="dxa"/>
          </w:tcPr>
          <w:p w14:paraId="3B11A9E2">
            <w:pPr>
              <w:keepNext/>
              <w:snapToGrid w:val="0"/>
              <w:spacing w:line="360" w:lineRule="auto"/>
              <w:jc w:val="center"/>
              <w:rPr>
                <w:rFonts w:ascii="宋体"/>
                <w:sz w:val="24"/>
                <w:szCs w:val="24"/>
              </w:rPr>
            </w:pPr>
          </w:p>
        </w:tc>
        <w:tc>
          <w:tcPr>
            <w:tcW w:w="939" w:type="dxa"/>
          </w:tcPr>
          <w:p w14:paraId="6C6DC20C">
            <w:pPr>
              <w:keepNext/>
              <w:snapToGrid w:val="0"/>
              <w:spacing w:line="360" w:lineRule="auto"/>
              <w:jc w:val="center"/>
              <w:rPr>
                <w:rFonts w:ascii="宋体"/>
                <w:sz w:val="24"/>
                <w:szCs w:val="24"/>
              </w:rPr>
            </w:pPr>
          </w:p>
        </w:tc>
        <w:tc>
          <w:tcPr>
            <w:tcW w:w="2911" w:type="dxa"/>
          </w:tcPr>
          <w:p w14:paraId="33C64ECF">
            <w:pPr>
              <w:keepNext/>
              <w:snapToGrid w:val="0"/>
              <w:spacing w:line="360" w:lineRule="auto"/>
              <w:jc w:val="center"/>
              <w:rPr>
                <w:rFonts w:ascii="宋体"/>
                <w:sz w:val="24"/>
                <w:szCs w:val="24"/>
              </w:rPr>
            </w:pPr>
          </w:p>
        </w:tc>
        <w:tc>
          <w:tcPr>
            <w:tcW w:w="1520" w:type="dxa"/>
          </w:tcPr>
          <w:p w14:paraId="446B5523">
            <w:pPr>
              <w:keepNext/>
              <w:snapToGrid w:val="0"/>
              <w:spacing w:line="360" w:lineRule="auto"/>
              <w:rPr>
                <w:rFonts w:ascii="宋体"/>
                <w:sz w:val="24"/>
                <w:szCs w:val="24"/>
              </w:rPr>
            </w:pPr>
          </w:p>
        </w:tc>
      </w:tr>
      <w:tr w14:paraId="1AD9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87" w:type="dxa"/>
            <w:vAlign w:val="center"/>
          </w:tcPr>
          <w:p w14:paraId="45344450">
            <w:pPr>
              <w:keepNext/>
              <w:snapToGrid w:val="0"/>
              <w:spacing w:line="360" w:lineRule="auto"/>
              <w:jc w:val="center"/>
              <w:rPr>
                <w:rFonts w:ascii="宋体"/>
                <w:sz w:val="24"/>
                <w:szCs w:val="24"/>
              </w:rPr>
            </w:pPr>
          </w:p>
        </w:tc>
        <w:tc>
          <w:tcPr>
            <w:tcW w:w="1080" w:type="dxa"/>
          </w:tcPr>
          <w:p w14:paraId="22A96B1E">
            <w:pPr>
              <w:keepNext/>
              <w:widowControl/>
              <w:snapToGrid w:val="0"/>
              <w:spacing w:line="360" w:lineRule="auto"/>
              <w:jc w:val="center"/>
              <w:rPr>
                <w:rFonts w:ascii="宋体"/>
                <w:sz w:val="24"/>
                <w:szCs w:val="24"/>
              </w:rPr>
            </w:pPr>
          </w:p>
        </w:tc>
        <w:tc>
          <w:tcPr>
            <w:tcW w:w="900" w:type="dxa"/>
          </w:tcPr>
          <w:p w14:paraId="68B4490F">
            <w:pPr>
              <w:keepNext/>
              <w:widowControl/>
              <w:snapToGrid w:val="0"/>
              <w:spacing w:line="360" w:lineRule="auto"/>
              <w:jc w:val="center"/>
              <w:rPr>
                <w:rFonts w:ascii="宋体"/>
                <w:sz w:val="24"/>
                <w:szCs w:val="24"/>
              </w:rPr>
            </w:pPr>
          </w:p>
        </w:tc>
        <w:tc>
          <w:tcPr>
            <w:tcW w:w="1010" w:type="dxa"/>
          </w:tcPr>
          <w:p w14:paraId="6E9BEB2C">
            <w:pPr>
              <w:keepNext/>
              <w:widowControl/>
              <w:snapToGrid w:val="0"/>
              <w:spacing w:line="360" w:lineRule="auto"/>
              <w:jc w:val="center"/>
              <w:rPr>
                <w:rFonts w:ascii="宋体"/>
                <w:sz w:val="24"/>
                <w:szCs w:val="24"/>
              </w:rPr>
            </w:pPr>
          </w:p>
        </w:tc>
        <w:tc>
          <w:tcPr>
            <w:tcW w:w="939" w:type="dxa"/>
          </w:tcPr>
          <w:p w14:paraId="3560EECA">
            <w:pPr>
              <w:keepNext/>
              <w:widowControl/>
              <w:snapToGrid w:val="0"/>
              <w:spacing w:line="360" w:lineRule="auto"/>
              <w:jc w:val="center"/>
              <w:rPr>
                <w:rFonts w:ascii="宋体"/>
                <w:sz w:val="24"/>
                <w:szCs w:val="24"/>
              </w:rPr>
            </w:pPr>
          </w:p>
        </w:tc>
        <w:tc>
          <w:tcPr>
            <w:tcW w:w="2911" w:type="dxa"/>
          </w:tcPr>
          <w:p w14:paraId="7960B3C2">
            <w:pPr>
              <w:keepNext/>
              <w:widowControl/>
              <w:snapToGrid w:val="0"/>
              <w:spacing w:line="360" w:lineRule="auto"/>
              <w:jc w:val="center"/>
              <w:rPr>
                <w:rFonts w:ascii="宋体"/>
                <w:sz w:val="24"/>
                <w:szCs w:val="24"/>
              </w:rPr>
            </w:pPr>
          </w:p>
        </w:tc>
        <w:tc>
          <w:tcPr>
            <w:tcW w:w="1520" w:type="dxa"/>
          </w:tcPr>
          <w:p w14:paraId="64D944B3">
            <w:pPr>
              <w:keepNext/>
              <w:snapToGrid w:val="0"/>
              <w:spacing w:line="360" w:lineRule="auto"/>
              <w:jc w:val="center"/>
              <w:rPr>
                <w:rFonts w:ascii="宋体"/>
                <w:sz w:val="24"/>
                <w:szCs w:val="24"/>
              </w:rPr>
            </w:pPr>
          </w:p>
        </w:tc>
      </w:tr>
    </w:tbl>
    <w:p w14:paraId="7E1A371C">
      <w:pPr>
        <w:keepNext/>
        <w:snapToGrid w:val="0"/>
        <w:spacing w:line="360" w:lineRule="auto"/>
        <w:ind w:firstLine="315" w:firstLineChars="150"/>
        <w:rPr>
          <w:rFonts w:ascii="宋体"/>
          <w:szCs w:val="24"/>
        </w:rPr>
      </w:pPr>
    </w:p>
    <w:p w14:paraId="1E8809C5">
      <w:pPr>
        <w:keepNext/>
        <w:snapToGrid w:val="0"/>
        <w:spacing w:line="360" w:lineRule="auto"/>
        <w:ind w:firstLine="315" w:firstLineChars="150"/>
        <w:rPr>
          <w:rFonts w:ascii="宋体"/>
          <w:sz w:val="24"/>
          <w:szCs w:val="24"/>
        </w:rPr>
      </w:pPr>
      <w:r>
        <w:rPr>
          <w:rFonts w:hint="eastAsia" w:ascii="宋体" w:hAnsi="宋体"/>
          <w:szCs w:val="24"/>
        </w:rPr>
        <w:t>提供所投产品在最新一期《环境标志产品政府采购清单》中所在页截图，并予以标记。</w:t>
      </w:r>
    </w:p>
    <w:p w14:paraId="02EF4B6F">
      <w:pPr>
        <w:keepNext/>
        <w:snapToGrid w:val="0"/>
        <w:spacing w:line="360" w:lineRule="auto"/>
        <w:ind w:firstLine="2760" w:firstLineChars="1150"/>
        <w:rPr>
          <w:rFonts w:ascii="宋体"/>
          <w:sz w:val="24"/>
          <w:szCs w:val="24"/>
        </w:rPr>
      </w:pPr>
    </w:p>
    <w:p w14:paraId="30BBA9E9">
      <w:pPr>
        <w:keepNext/>
        <w:snapToGrid w:val="0"/>
        <w:spacing w:line="360" w:lineRule="auto"/>
        <w:ind w:firstLine="2760" w:firstLineChars="1150"/>
        <w:rPr>
          <w:rFonts w:ascii="宋体"/>
          <w:sz w:val="24"/>
          <w:szCs w:val="24"/>
        </w:rPr>
      </w:pPr>
    </w:p>
    <w:p w14:paraId="7754FCDE">
      <w:pPr>
        <w:keepNext/>
        <w:adjustRightInd w:val="0"/>
        <w:snapToGrid w:val="0"/>
        <w:spacing w:line="360" w:lineRule="auto"/>
        <w:ind w:firstLine="2760" w:firstLineChars="1150"/>
        <w:rPr>
          <w:rFonts w:ascii="宋体" w:hAnsi="宋体"/>
          <w:sz w:val="24"/>
          <w:szCs w:val="24"/>
        </w:rPr>
      </w:pPr>
      <w:r>
        <w:rPr>
          <w:rFonts w:hint="eastAsia" w:ascii="宋体" w:hAnsi="宋体"/>
          <w:sz w:val="24"/>
          <w:szCs w:val="24"/>
        </w:rPr>
        <w:t>供应商（</w:t>
      </w:r>
      <w:r>
        <w:rPr>
          <w:rFonts w:hint="eastAsia" w:ascii="宋体" w:hAnsi="宋体" w:cs="宋体"/>
          <w:kern w:val="0"/>
          <w:sz w:val="24"/>
          <w:szCs w:val="24"/>
        </w:rPr>
        <w:t>电子公章</w:t>
      </w:r>
      <w:r>
        <w:rPr>
          <w:rFonts w:hint="eastAsia" w:ascii="宋体" w:hAnsi="宋体"/>
          <w:sz w:val="24"/>
          <w:szCs w:val="24"/>
        </w:rPr>
        <w:t>）：</w:t>
      </w:r>
      <w:r>
        <w:rPr>
          <w:rFonts w:ascii="宋体" w:hAnsi="宋体"/>
          <w:sz w:val="24"/>
          <w:szCs w:val="24"/>
          <w:u w:val="single"/>
        </w:rPr>
        <w:t xml:space="preserve">                          </w:t>
      </w:r>
    </w:p>
    <w:p w14:paraId="284B3665">
      <w:pPr>
        <w:keepNext/>
        <w:adjustRightInd w:val="0"/>
        <w:snapToGrid w:val="0"/>
        <w:spacing w:line="360" w:lineRule="auto"/>
        <w:ind w:firstLine="2760" w:firstLineChars="1150"/>
        <w:rPr>
          <w:rFonts w:ascii="宋体" w:hAnsi="宋体"/>
          <w:sz w:val="24"/>
          <w:szCs w:val="24"/>
        </w:rPr>
      </w:pPr>
      <w:r>
        <w:rPr>
          <w:rFonts w:hint="eastAsia" w:ascii="宋体" w:hAnsi="宋体"/>
          <w:sz w:val="24"/>
          <w:szCs w:val="24"/>
        </w:rPr>
        <w:t>法定代表人或</w:t>
      </w:r>
      <w:r>
        <w:rPr>
          <w:rFonts w:hint="eastAsia" w:ascii="宋体" w:hAnsi="宋体" w:cs="宋体"/>
          <w:sz w:val="24"/>
          <w:szCs w:val="24"/>
        </w:rPr>
        <w:t>委托代理人</w:t>
      </w:r>
      <w:r>
        <w:rPr>
          <w:rFonts w:hint="eastAsia" w:ascii="宋体" w:hAnsi="宋体"/>
          <w:sz w:val="24"/>
          <w:szCs w:val="24"/>
        </w:rPr>
        <w:t>（</w:t>
      </w:r>
      <w:r>
        <w:rPr>
          <w:rFonts w:ascii="宋体" w:hAnsi="宋体"/>
          <w:snapToGrid w:val="0"/>
          <w:kern w:val="0"/>
          <w:sz w:val="24"/>
          <w:szCs w:val="24"/>
        </w:rPr>
        <w:t>签字或电子印章</w:t>
      </w:r>
      <w:r>
        <w:rPr>
          <w:rFonts w:hint="eastAsia" w:ascii="宋体" w:hAnsi="宋体"/>
          <w:sz w:val="24"/>
          <w:szCs w:val="24"/>
        </w:rPr>
        <w:t>）：</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61D9B847">
      <w:pPr>
        <w:tabs>
          <w:tab w:val="left" w:pos="4000"/>
        </w:tabs>
        <w:overflowPunct w:val="0"/>
        <w:topLinePunct/>
        <w:autoSpaceDN w:val="0"/>
        <w:adjustRightInd w:val="0"/>
        <w:snapToGrid w:val="0"/>
        <w:spacing w:line="360" w:lineRule="auto"/>
        <w:ind w:firstLine="2760" w:firstLineChars="1150"/>
        <w:rPr>
          <w:rFonts w:ascii="宋体" w:hAnsi="宋体"/>
          <w:sz w:val="24"/>
          <w:szCs w:val="24"/>
          <w:u w:val="single"/>
        </w:rPr>
      </w:pPr>
      <w:r>
        <w:rPr>
          <w:rFonts w:hint="eastAsia" w:ascii="宋体" w:hAnsi="宋体"/>
          <w:sz w:val="24"/>
          <w:szCs w:val="24"/>
        </w:rPr>
        <w:t>日</w:t>
      </w:r>
      <w:r>
        <w:rPr>
          <w:rFonts w:ascii="宋体" w:hAnsi="宋体"/>
          <w:sz w:val="24"/>
          <w:szCs w:val="24"/>
        </w:rPr>
        <w:t xml:space="preserve">         </w:t>
      </w:r>
      <w:r>
        <w:rPr>
          <w:rFonts w:hint="eastAsia" w:ascii="宋体" w:hAnsi="宋体"/>
          <w:sz w:val="24"/>
          <w:szCs w:val="24"/>
        </w:rPr>
        <w:t>期：</w:t>
      </w:r>
      <w:r>
        <w:rPr>
          <w:rFonts w:ascii="宋体" w:hAnsi="宋体"/>
          <w:sz w:val="24"/>
          <w:szCs w:val="24"/>
          <w:u w:val="single"/>
        </w:rPr>
        <w:t xml:space="preserve">                             </w:t>
      </w:r>
    </w:p>
    <w:p w14:paraId="5DF38BA7">
      <w:pPr>
        <w:spacing w:line="480" w:lineRule="exact"/>
        <w:rPr>
          <w:rFonts w:ascii="宋体"/>
          <w:b/>
          <w:szCs w:val="24"/>
        </w:rPr>
      </w:pPr>
    </w:p>
    <w:p w14:paraId="5CAF7FE1">
      <w:pPr>
        <w:spacing w:line="480" w:lineRule="exact"/>
        <w:jc w:val="center"/>
        <w:rPr>
          <w:rFonts w:ascii="宋体"/>
          <w:b/>
          <w:kern w:val="0"/>
          <w:sz w:val="24"/>
          <w:szCs w:val="24"/>
        </w:rPr>
      </w:pPr>
      <w:r>
        <w:rPr>
          <w:rFonts w:ascii="宋体"/>
          <w:b/>
          <w:kern w:val="0"/>
          <w:sz w:val="32"/>
          <w:szCs w:val="24"/>
        </w:rPr>
        <w:br w:type="page"/>
      </w:r>
    </w:p>
    <w:p w14:paraId="77F7583B">
      <w:pPr>
        <w:spacing w:line="480" w:lineRule="exact"/>
        <w:outlineLvl w:val="9"/>
        <w:rPr>
          <w:rFonts w:ascii="宋体"/>
          <w:b/>
          <w:kern w:val="0"/>
          <w:sz w:val="24"/>
          <w:szCs w:val="24"/>
        </w:rPr>
      </w:pPr>
      <w:bookmarkStart w:id="126" w:name="_Toc21846"/>
      <w:r>
        <w:rPr>
          <w:rFonts w:hint="eastAsia" w:ascii="宋体" w:hAnsi="宋体"/>
          <w:b/>
          <w:kern w:val="0"/>
          <w:sz w:val="24"/>
          <w:szCs w:val="24"/>
        </w:rPr>
        <w:t>（7）承诺所投报的计算机预装正版操作系统，</w:t>
      </w:r>
      <w:bookmarkEnd w:id="126"/>
      <w:bookmarkStart w:id="127" w:name="_Toc31082"/>
      <w:r>
        <w:rPr>
          <w:rFonts w:hint="eastAsia" w:ascii="宋体" w:hAnsi="宋体"/>
          <w:b/>
          <w:kern w:val="0"/>
          <w:sz w:val="24"/>
          <w:szCs w:val="24"/>
        </w:rPr>
        <w:t>软件产品为正版软件（如适用）</w:t>
      </w:r>
      <w:bookmarkEnd w:id="127"/>
    </w:p>
    <w:p w14:paraId="2B504B42">
      <w:pPr>
        <w:pStyle w:val="31"/>
        <w:keepNext/>
        <w:snapToGrid w:val="0"/>
        <w:spacing w:line="360" w:lineRule="auto"/>
        <w:jc w:val="both"/>
        <w:outlineLvl w:val="9"/>
        <w:rPr>
          <w:rFonts w:ascii="宋体" w:hAnsi="宋体"/>
          <w:b/>
        </w:rPr>
      </w:pPr>
      <w:bookmarkStart w:id="128" w:name="_Toc16857"/>
    </w:p>
    <w:p w14:paraId="4EC2C26A">
      <w:pPr>
        <w:pStyle w:val="31"/>
        <w:keepNext/>
        <w:snapToGrid w:val="0"/>
        <w:spacing w:line="360" w:lineRule="auto"/>
        <w:jc w:val="both"/>
        <w:outlineLvl w:val="9"/>
        <w:rPr>
          <w:rFonts w:ascii="宋体"/>
        </w:rPr>
      </w:pPr>
      <w:r>
        <w:rPr>
          <w:rFonts w:hint="eastAsia" w:ascii="宋体" w:hAnsi="宋体"/>
          <w:b/>
        </w:rPr>
        <w:t>（8）所响应信息安全产品属于</w:t>
      </w:r>
      <w:bookmarkEnd w:id="128"/>
      <w:bookmarkStart w:id="129" w:name="_Toc1916"/>
      <w:r>
        <w:rPr>
          <w:rFonts w:hint="eastAsia" w:ascii="宋体" w:hAnsi="宋体"/>
          <w:b/>
        </w:rPr>
        <w:t>《信息安全产品强制性认证目录》中的产品（如适用）</w:t>
      </w:r>
      <w:bookmarkEnd w:id="129"/>
      <w:r>
        <w:rPr>
          <w:rFonts w:hint="eastAsia" w:ascii="宋体" w:hAnsi="宋体"/>
        </w:rPr>
        <w:t>（附：有效认证证书扫描件）</w:t>
      </w:r>
    </w:p>
    <w:p w14:paraId="79D28A80">
      <w:pPr>
        <w:tabs>
          <w:tab w:val="left" w:pos="1680"/>
        </w:tabs>
        <w:snapToGrid w:val="0"/>
        <w:spacing w:line="440" w:lineRule="exact"/>
        <w:rPr>
          <w:rFonts w:ascii="华文中宋" w:hAnsi="华文中宋" w:cs="华文中宋"/>
          <w:b/>
          <w:sz w:val="24"/>
          <w:szCs w:val="24"/>
        </w:rPr>
      </w:pPr>
    </w:p>
    <w:p w14:paraId="77172D67">
      <w:pPr>
        <w:spacing w:line="480" w:lineRule="exact"/>
        <w:outlineLvl w:val="9"/>
        <w:rPr>
          <w:rFonts w:ascii="宋体" w:hAnsi="宋体"/>
          <w:b/>
          <w:kern w:val="0"/>
          <w:sz w:val="24"/>
          <w:szCs w:val="24"/>
        </w:rPr>
      </w:pPr>
      <w:r>
        <w:rPr>
          <w:rFonts w:hint="eastAsia" w:ascii="宋体" w:hAnsi="宋体"/>
          <w:b/>
          <w:kern w:val="0"/>
          <w:sz w:val="24"/>
          <w:szCs w:val="24"/>
        </w:rPr>
        <w:t>（9）创新产品或创新服务明细表</w:t>
      </w:r>
    </w:p>
    <w:p w14:paraId="73225570">
      <w:pPr>
        <w:spacing w:line="360" w:lineRule="auto"/>
        <w:rPr>
          <w:rFonts w:ascii="宋体" w:hAnsi="宋体" w:cs="宋体"/>
          <w:sz w:val="24"/>
          <w:szCs w:val="24"/>
          <w:u w:val="single"/>
        </w:rPr>
      </w:pPr>
      <w:r>
        <w:rPr>
          <w:rFonts w:hint="eastAsia" w:ascii="宋体" w:hAnsi="宋体" w:cs="宋体"/>
          <w:sz w:val="24"/>
          <w:szCs w:val="24"/>
        </w:rPr>
        <w:t>项目名称：</w:t>
      </w:r>
      <w:r>
        <w:rPr>
          <w:rFonts w:hint="eastAsia" w:ascii="宋体" w:hAnsi="宋体" w:cs="宋体"/>
          <w:sz w:val="24"/>
          <w:szCs w:val="24"/>
          <w:u w:val="single"/>
        </w:rPr>
        <w:t xml:space="preserve">                  </w:t>
      </w:r>
    </w:p>
    <w:p w14:paraId="1BDE3889">
      <w:pPr>
        <w:spacing w:line="360" w:lineRule="auto"/>
        <w:rPr>
          <w:rFonts w:ascii="宋体" w:hAnsi="宋体" w:cs="宋体"/>
          <w:sz w:val="24"/>
          <w:szCs w:val="24"/>
          <w:u w:val="single"/>
        </w:rPr>
      </w:pPr>
      <w:r>
        <w:rPr>
          <w:rFonts w:hint="eastAsia" w:ascii="宋体" w:hAnsi="宋体" w:cs="宋体"/>
          <w:sz w:val="24"/>
          <w:szCs w:val="24"/>
        </w:rPr>
        <w:t>项目编号：</w:t>
      </w:r>
      <w:r>
        <w:rPr>
          <w:rFonts w:hint="eastAsia" w:ascii="宋体" w:hAnsi="宋体" w:cs="宋体"/>
          <w:sz w:val="24"/>
          <w:szCs w:val="24"/>
          <w:u w:val="single"/>
        </w:rPr>
        <w:t xml:space="preserve">                  </w:t>
      </w:r>
    </w:p>
    <w:p w14:paraId="0F917D1B">
      <w:pPr>
        <w:spacing w:line="360" w:lineRule="auto"/>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xml:space="preserve">            </w:t>
      </w:r>
    </w:p>
    <w:p w14:paraId="0A61B534">
      <w:pPr>
        <w:spacing w:line="360" w:lineRule="auto"/>
        <w:ind w:left="8400" w:hanging="8400" w:hangingChars="3500"/>
        <w:jc w:val="left"/>
        <w:rPr>
          <w:rFonts w:ascii="宋体" w:hAnsi="宋体" w:cs="宋体"/>
          <w:sz w:val="24"/>
          <w:szCs w:val="24"/>
        </w:rPr>
      </w:pPr>
      <w:r>
        <w:rPr>
          <w:rFonts w:hint="eastAsia" w:ascii="宋体" w:hAnsi="宋体" w:cs="宋体"/>
          <w:sz w:val="24"/>
          <w:szCs w:val="24"/>
        </w:rPr>
        <w:t xml:space="preserve">                                       </w:t>
      </w:r>
    </w:p>
    <w:p w14:paraId="6172C534">
      <w:pPr>
        <w:spacing w:line="360" w:lineRule="auto"/>
        <w:ind w:left="7650" w:leftChars="2500" w:hanging="2400" w:hangingChars="1000"/>
        <w:jc w:val="left"/>
        <w:rPr>
          <w:rFonts w:ascii="宋体" w:hAnsi="宋体" w:cs="宋体"/>
          <w:sz w:val="24"/>
          <w:szCs w:val="24"/>
        </w:rPr>
      </w:pPr>
      <w:r>
        <w:rPr>
          <w:rFonts w:hint="eastAsia" w:ascii="宋体" w:hAnsi="宋体" w:cs="宋体"/>
          <w:sz w:val="24"/>
          <w:szCs w:val="24"/>
        </w:rPr>
        <w:t xml:space="preserve">    货币：人民币/元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318"/>
        <w:gridCol w:w="992"/>
        <w:gridCol w:w="1294"/>
        <w:gridCol w:w="1569"/>
        <w:gridCol w:w="983"/>
        <w:gridCol w:w="1000"/>
        <w:gridCol w:w="1036"/>
      </w:tblGrid>
      <w:tr w14:paraId="7059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97" w:type="dxa"/>
            <w:vAlign w:val="center"/>
          </w:tcPr>
          <w:p w14:paraId="71216F37">
            <w:pPr>
              <w:spacing w:line="360" w:lineRule="auto"/>
              <w:jc w:val="center"/>
              <w:rPr>
                <w:rFonts w:ascii="宋体" w:hAnsi="宋体" w:cs="宋体"/>
                <w:bCs/>
                <w:sz w:val="24"/>
                <w:szCs w:val="24"/>
              </w:rPr>
            </w:pPr>
            <w:r>
              <w:rPr>
                <w:rFonts w:hint="eastAsia" w:ascii="宋体" w:hAnsi="宋体" w:cs="宋体"/>
                <w:bCs/>
                <w:sz w:val="24"/>
                <w:szCs w:val="24"/>
              </w:rPr>
              <w:t>序号</w:t>
            </w:r>
          </w:p>
        </w:tc>
        <w:tc>
          <w:tcPr>
            <w:tcW w:w="1318" w:type="dxa"/>
            <w:vAlign w:val="center"/>
          </w:tcPr>
          <w:p w14:paraId="3CF86105">
            <w:pPr>
              <w:spacing w:line="360" w:lineRule="auto"/>
              <w:jc w:val="center"/>
              <w:rPr>
                <w:rFonts w:ascii="宋体" w:hAnsi="宋体" w:cs="宋体"/>
                <w:bCs/>
                <w:sz w:val="24"/>
                <w:szCs w:val="24"/>
              </w:rPr>
            </w:pPr>
            <w:r>
              <w:rPr>
                <w:rFonts w:hint="eastAsia" w:ascii="宋体" w:hAnsi="宋体" w:cs="宋体"/>
                <w:bCs/>
                <w:sz w:val="24"/>
                <w:szCs w:val="24"/>
              </w:rPr>
              <w:t>货物名称</w:t>
            </w:r>
          </w:p>
        </w:tc>
        <w:tc>
          <w:tcPr>
            <w:tcW w:w="992" w:type="dxa"/>
            <w:vAlign w:val="center"/>
          </w:tcPr>
          <w:p w14:paraId="4C64CF29">
            <w:pPr>
              <w:spacing w:line="360" w:lineRule="auto"/>
              <w:jc w:val="center"/>
              <w:rPr>
                <w:rFonts w:ascii="宋体" w:hAnsi="宋体" w:cs="宋体"/>
                <w:bCs/>
                <w:sz w:val="24"/>
                <w:szCs w:val="24"/>
              </w:rPr>
            </w:pPr>
            <w:r>
              <w:rPr>
                <w:rFonts w:hint="eastAsia" w:ascii="宋体" w:hAnsi="宋体" w:cs="宋体"/>
                <w:bCs/>
                <w:sz w:val="24"/>
                <w:szCs w:val="24"/>
              </w:rPr>
              <w:t>品牌</w:t>
            </w:r>
          </w:p>
        </w:tc>
        <w:tc>
          <w:tcPr>
            <w:tcW w:w="1294" w:type="dxa"/>
            <w:tcBorders>
              <w:bottom w:val="single" w:color="auto" w:sz="4" w:space="0"/>
            </w:tcBorders>
            <w:vAlign w:val="center"/>
          </w:tcPr>
          <w:p w14:paraId="2AD852E8">
            <w:pPr>
              <w:spacing w:line="360" w:lineRule="auto"/>
              <w:jc w:val="center"/>
              <w:rPr>
                <w:rFonts w:ascii="宋体" w:hAnsi="宋体" w:cs="宋体"/>
                <w:bCs/>
                <w:sz w:val="24"/>
                <w:szCs w:val="24"/>
              </w:rPr>
            </w:pPr>
            <w:r>
              <w:rPr>
                <w:rFonts w:hint="eastAsia" w:ascii="宋体" w:hAnsi="宋体" w:cs="宋体"/>
                <w:bCs/>
                <w:sz w:val="24"/>
                <w:szCs w:val="24"/>
              </w:rPr>
              <w:t>规格型号</w:t>
            </w:r>
          </w:p>
        </w:tc>
        <w:tc>
          <w:tcPr>
            <w:tcW w:w="1569" w:type="dxa"/>
            <w:tcBorders>
              <w:bottom w:val="single" w:color="auto" w:sz="4" w:space="0"/>
            </w:tcBorders>
            <w:vAlign w:val="center"/>
          </w:tcPr>
          <w:p w14:paraId="7511AD7A">
            <w:pPr>
              <w:spacing w:line="360" w:lineRule="auto"/>
              <w:jc w:val="center"/>
              <w:rPr>
                <w:rFonts w:ascii="宋体" w:hAnsi="宋体" w:cs="宋体"/>
                <w:bCs/>
                <w:sz w:val="24"/>
                <w:szCs w:val="24"/>
              </w:rPr>
            </w:pPr>
            <w:r>
              <w:rPr>
                <w:rFonts w:hint="eastAsia" w:ascii="宋体" w:hAnsi="宋体" w:cs="宋体"/>
                <w:bCs/>
                <w:sz w:val="24"/>
                <w:szCs w:val="24"/>
              </w:rPr>
              <w:t>产地及厂家</w:t>
            </w:r>
          </w:p>
        </w:tc>
        <w:tc>
          <w:tcPr>
            <w:tcW w:w="983" w:type="dxa"/>
            <w:tcBorders>
              <w:bottom w:val="single" w:color="auto" w:sz="4" w:space="0"/>
            </w:tcBorders>
            <w:vAlign w:val="center"/>
          </w:tcPr>
          <w:p w14:paraId="53D300F3">
            <w:pPr>
              <w:spacing w:line="360" w:lineRule="auto"/>
              <w:jc w:val="center"/>
              <w:rPr>
                <w:rFonts w:ascii="宋体" w:hAnsi="宋体" w:cs="宋体"/>
                <w:bCs/>
                <w:sz w:val="24"/>
                <w:szCs w:val="24"/>
              </w:rPr>
            </w:pPr>
            <w:r>
              <w:rPr>
                <w:rFonts w:hint="eastAsia" w:ascii="宋体" w:hAnsi="宋体" w:cs="宋体"/>
                <w:bCs/>
                <w:sz w:val="24"/>
                <w:szCs w:val="24"/>
              </w:rPr>
              <w:t>数量</w:t>
            </w:r>
          </w:p>
        </w:tc>
        <w:tc>
          <w:tcPr>
            <w:tcW w:w="1000" w:type="dxa"/>
            <w:tcBorders>
              <w:bottom w:val="single" w:color="auto" w:sz="4" w:space="0"/>
            </w:tcBorders>
            <w:vAlign w:val="center"/>
          </w:tcPr>
          <w:p w14:paraId="6FC75BF7">
            <w:pPr>
              <w:spacing w:line="360" w:lineRule="auto"/>
              <w:jc w:val="center"/>
              <w:rPr>
                <w:rFonts w:ascii="宋体" w:hAnsi="宋体" w:cs="宋体"/>
                <w:bCs/>
                <w:sz w:val="24"/>
                <w:szCs w:val="24"/>
              </w:rPr>
            </w:pPr>
            <w:r>
              <w:rPr>
                <w:rFonts w:hint="eastAsia" w:ascii="宋体" w:hAnsi="宋体" w:cs="宋体"/>
                <w:bCs/>
                <w:sz w:val="24"/>
                <w:szCs w:val="24"/>
              </w:rPr>
              <w:t>单价</w:t>
            </w:r>
          </w:p>
        </w:tc>
        <w:tc>
          <w:tcPr>
            <w:tcW w:w="1036" w:type="dxa"/>
            <w:tcBorders>
              <w:bottom w:val="single" w:color="auto" w:sz="4" w:space="0"/>
            </w:tcBorders>
            <w:vAlign w:val="center"/>
          </w:tcPr>
          <w:p w14:paraId="3AF7457D">
            <w:pPr>
              <w:spacing w:line="360" w:lineRule="auto"/>
              <w:jc w:val="center"/>
              <w:rPr>
                <w:rFonts w:ascii="宋体" w:hAnsi="宋体" w:cs="宋体"/>
                <w:bCs/>
                <w:sz w:val="24"/>
                <w:szCs w:val="24"/>
              </w:rPr>
            </w:pPr>
            <w:r>
              <w:rPr>
                <w:rFonts w:hint="eastAsia" w:ascii="宋体" w:hAnsi="宋体" w:cs="宋体"/>
                <w:bCs/>
                <w:sz w:val="24"/>
                <w:szCs w:val="24"/>
              </w:rPr>
              <w:t>总价</w:t>
            </w:r>
          </w:p>
        </w:tc>
      </w:tr>
      <w:tr w14:paraId="415C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7" w:type="dxa"/>
            <w:vAlign w:val="center"/>
          </w:tcPr>
          <w:p w14:paraId="73D26476">
            <w:pPr>
              <w:spacing w:line="360" w:lineRule="auto"/>
              <w:jc w:val="center"/>
              <w:rPr>
                <w:rFonts w:ascii="宋体" w:hAnsi="宋体" w:cs="宋体"/>
                <w:bCs/>
                <w:sz w:val="24"/>
                <w:szCs w:val="24"/>
              </w:rPr>
            </w:pPr>
          </w:p>
        </w:tc>
        <w:tc>
          <w:tcPr>
            <w:tcW w:w="1318" w:type="dxa"/>
            <w:vAlign w:val="center"/>
          </w:tcPr>
          <w:p w14:paraId="6A0F31DD">
            <w:pPr>
              <w:spacing w:line="360" w:lineRule="auto"/>
              <w:jc w:val="center"/>
              <w:rPr>
                <w:rFonts w:ascii="宋体" w:hAnsi="宋体" w:cs="宋体"/>
                <w:bCs/>
                <w:sz w:val="24"/>
                <w:szCs w:val="24"/>
              </w:rPr>
            </w:pPr>
          </w:p>
        </w:tc>
        <w:tc>
          <w:tcPr>
            <w:tcW w:w="992" w:type="dxa"/>
            <w:vAlign w:val="center"/>
          </w:tcPr>
          <w:p w14:paraId="1FB4313F">
            <w:pPr>
              <w:spacing w:line="360" w:lineRule="auto"/>
              <w:jc w:val="center"/>
              <w:rPr>
                <w:rFonts w:ascii="宋体" w:hAnsi="宋体" w:cs="宋体"/>
                <w:bCs/>
                <w:sz w:val="24"/>
                <w:szCs w:val="24"/>
              </w:rPr>
            </w:pPr>
          </w:p>
        </w:tc>
        <w:tc>
          <w:tcPr>
            <w:tcW w:w="1294" w:type="dxa"/>
            <w:tcBorders>
              <w:top w:val="single" w:color="auto" w:sz="4" w:space="0"/>
              <w:bottom w:val="single" w:color="auto" w:sz="4" w:space="0"/>
            </w:tcBorders>
            <w:vAlign w:val="center"/>
          </w:tcPr>
          <w:p w14:paraId="46B4FF81">
            <w:pPr>
              <w:spacing w:line="360" w:lineRule="auto"/>
              <w:jc w:val="center"/>
              <w:rPr>
                <w:rFonts w:ascii="宋体" w:hAnsi="宋体" w:cs="宋体"/>
                <w:bCs/>
                <w:sz w:val="24"/>
                <w:szCs w:val="24"/>
                <w:vertAlign w:val="superscript"/>
              </w:rPr>
            </w:pPr>
          </w:p>
        </w:tc>
        <w:tc>
          <w:tcPr>
            <w:tcW w:w="1569" w:type="dxa"/>
            <w:tcBorders>
              <w:top w:val="single" w:color="auto" w:sz="4" w:space="0"/>
              <w:bottom w:val="single" w:color="auto" w:sz="4" w:space="0"/>
            </w:tcBorders>
            <w:vAlign w:val="center"/>
          </w:tcPr>
          <w:p w14:paraId="37CC7AD4">
            <w:pPr>
              <w:spacing w:line="360" w:lineRule="auto"/>
              <w:jc w:val="center"/>
              <w:rPr>
                <w:rFonts w:ascii="宋体" w:hAnsi="宋体" w:cs="宋体"/>
                <w:bCs/>
                <w:sz w:val="24"/>
                <w:szCs w:val="24"/>
                <w:vertAlign w:val="superscript"/>
              </w:rPr>
            </w:pPr>
          </w:p>
        </w:tc>
        <w:tc>
          <w:tcPr>
            <w:tcW w:w="983" w:type="dxa"/>
            <w:tcBorders>
              <w:top w:val="single" w:color="auto" w:sz="4" w:space="0"/>
            </w:tcBorders>
            <w:vAlign w:val="center"/>
          </w:tcPr>
          <w:p w14:paraId="0614DB1C">
            <w:pPr>
              <w:spacing w:line="360" w:lineRule="auto"/>
              <w:jc w:val="center"/>
              <w:rPr>
                <w:rFonts w:ascii="宋体" w:hAnsi="宋体" w:cs="宋体"/>
                <w:bCs/>
                <w:sz w:val="24"/>
                <w:szCs w:val="24"/>
              </w:rPr>
            </w:pPr>
          </w:p>
        </w:tc>
        <w:tc>
          <w:tcPr>
            <w:tcW w:w="1000" w:type="dxa"/>
            <w:tcBorders>
              <w:top w:val="single" w:color="auto" w:sz="4" w:space="0"/>
            </w:tcBorders>
            <w:vAlign w:val="center"/>
          </w:tcPr>
          <w:p w14:paraId="378020A9">
            <w:pPr>
              <w:spacing w:line="360" w:lineRule="auto"/>
              <w:jc w:val="center"/>
              <w:rPr>
                <w:rFonts w:ascii="宋体" w:hAnsi="宋体" w:cs="宋体"/>
                <w:bCs/>
                <w:sz w:val="24"/>
                <w:szCs w:val="24"/>
              </w:rPr>
            </w:pPr>
          </w:p>
        </w:tc>
        <w:tc>
          <w:tcPr>
            <w:tcW w:w="1036" w:type="dxa"/>
            <w:tcBorders>
              <w:top w:val="single" w:color="auto" w:sz="4" w:space="0"/>
            </w:tcBorders>
            <w:vAlign w:val="center"/>
          </w:tcPr>
          <w:p w14:paraId="0753F715">
            <w:pPr>
              <w:spacing w:line="360" w:lineRule="auto"/>
              <w:jc w:val="center"/>
              <w:rPr>
                <w:rFonts w:ascii="宋体" w:hAnsi="宋体" w:cs="宋体"/>
                <w:bCs/>
                <w:sz w:val="24"/>
                <w:szCs w:val="24"/>
              </w:rPr>
            </w:pPr>
          </w:p>
        </w:tc>
      </w:tr>
      <w:tr w14:paraId="68A90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7" w:type="dxa"/>
            <w:vAlign w:val="center"/>
          </w:tcPr>
          <w:p w14:paraId="2ABD985A">
            <w:pPr>
              <w:spacing w:line="360" w:lineRule="auto"/>
              <w:jc w:val="center"/>
              <w:rPr>
                <w:rFonts w:ascii="宋体" w:hAnsi="宋体" w:cs="宋体"/>
                <w:bCs/>
                <w:sz w:val="24"/>
                <w:szCs w:val="24"/>
              </w:rPr>
            </w:pPr>
          </w:p>
        </w:tc>
        <w:tc>
          <w:tcPr>
            <w:tcW w:w="1318" w:type="dxa"/>
            <w:vAlign w:val="center"/>
          </w:tcPr>
          <w:p w14:paraId="2123843E">
            <w:pPr>
              <w:spacing w:line="360" w:lineRule="auto"/>
              <w:jc w:val="center"/>
              <w:rPr>
                <w:rFonts w:ascii="宋体" w:hAnsi="宋体" w:cs="宋体"/>
                <w:bCs/>
                <w:sz w:val="24"/>
                <w:szCs w:val="24"/>
              </w:rPr>
            </w:pPr>
          </w:p>
        </w:tc>
        <w:tc>
          <w:tcPr>
            <w:tcW w:w="992" w:type="dxa"/>
            <w:vAlign w:val="center"/>
          </w:tcPr>
          <w:p w14:paraId="34D049A5">
            <w:pPr>
              <w:spacing w:line="360" w:lineRule="auto"/>
              <w:jc w:val="center"/>
              <w:rPr>
                <w:rFonts w:ascii="宋体" w:hAnsi="宋体" w:cs="宋体"/>
                <w:bCs/>
                <w:sz w:val="24"/>
                <w:szCs w:val="24"/>
              </w:rPr>
            </w:pPr>
          </w:p>
        </w:tc>
        <w:tc>
          <w:tcPr>
            <w:tcW w:w="1294" w:type="dxa"/>
            <w:tcBorders>
              <w:top w:val="single" w:color="auto" w:sz="4" w:space="0"/>
              <w:bottom w:val="single" w:color="auto" w:sz="4" w:space="0"/>
            </w:tcBorders>
            <w:vAlign w:val="center"/>
          </w:tcPr>
          <w:p w14:paraId="5A8313F1">
            <w:pPr>
              <w:spacing w:line="360" w:lineRule="auto"/>
              <w:jc w:val="center"/>
              <w:rPr>
                <w:rFonts w:ascii="宋体" w:hAnsi="宋体" w:cs="宋体"/>
                <w:bCs/>
                <w:sz w:val="24"/>
                <w:szCs w:val="24"/>
                <w:vertAlign w:val="superscript"/>
              </w:rPr>
            </w:pPr>
          </w:p>
        </w:tc>
        <w:tc>
          <w:tcPr>
            <w:tcW w:w="1569" w:type="dxa"/>
            <w:tcBorders>
              <w:top w:val="single" w:color="auto" w:sz="4" w:space="0"/>
              <w:bottom w:val="single" w:color="auto" w:sz="4" w:space="0"/>
            </w:tcBorders>
            <w:vAlign w:val="center"/>
          </w:tcPr>
          <w:p w14:paraId="3C1F5E0C">
            <w:pPr>
              <w:spacing w:line="360" w:lineRule="auto"/>
              <w:jc w:val="center"/>
              <w:rPr>
                <w:rFonts w:ascii="宋体" w:hAnsi="宋体" w:cs="宋体"/>
                <w:bCs/>
                <w:sz w:val="24"/>
                <w:szCs w:val="24"/>
                <w:vertAlign w:val="superscript"/>
              </w:rPr>
            </w:pPr>
          </w:p>
        </w:tc>
        <w:tc>
          <w:tcPr>
            <w:tcW w:w="983" w:type="dxa"/>
            <w:tcBorders>
              <w:top w:val="single" w:color="auto" w:sz="4" w:space="0"/>
            </w:tcBorders>
            <w:vAlign w:val="center"/>
          </w:tcPr>
          <w:p w14:paraId="650D843F">
            <w:pPr>
              <w:spacing w:line="360" w:lineRule="auto"/>
              <w:jc w:val="center"/>
              <w:rPr>
                <w:rFonts w:ascii="宋体" w:hAnsi="宋体" w:cs="宋体"/>
                <w:bCs/>
                <w:sz w:val="24"/>
                <w:szCs w:val="24"/>
              </w:rPr>
            </w:pPr>
          </w:p>
        </w:tc>
        <w:tc>
          <w:tcPr>
            <w:tcW w:w="1000" w:type="dxa"/>
            <w:tcBorders>
              <w:top w:val="single" w:color="auto" w:sz="4" w:space="0"/>
            </w:tcBorders>
            <w:vAlign w:val="center"/>
          </w:tcPr>
          <w:p w14:paraId="555AE684">
            <w:pPr>
              <w:spacing w:line="360" w:lineRule="auto"/>
              <w:jc w:val="center"/>
              <w:rPr>
                <w:rFonts w:ascii="宋体" w:hAnsi="宋体" w:cs="宋体"/>
                <w:bCs/>
                <w:sz w:val="24"/>
                <w:szCs w:val="24"/>
              </w:rPr>
            </w:pPr>
          </w:p>
        </w:tc>
        <w:tc>
          <w:tcPr>
            <w:tcW w:w="1036" w:type="dxa"/>
            <w:tcBorders>
              <w:top w:val="single" w:color="auto" w:sz="4" w:space="0"/>
            </w:tcBorders>
            <w:vAlign w:val="center"/>
          </w:tcPr>
          <w:p w14:paraId="206C4E61">
            <w:pPr>
              <w:spacing w:line="360" w:lineRule="auto"/>
              <w:jc w:val="center"/>
              <w:rPr>
                <w:rFonts w:ascii="宋体" w:hAnsi="宋体" w:cs="宋体"/>
                <w:bCs/>
                <w:sz w:val="24"/>
                <w:szCs w:val="24"/>
              </w:rPr>
            </w:pPr>
          </w:p>
        </w:tc>
      </w:tr>
      <w:tr w14:paraId="56603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vAlign w:val="center"/>
          </w:tcPr>
          <w:p w14:paraId="099E97CB">
            <w:pPr>
              <w:spacing w:line="360" w:lineRule="auto"/>
              <w:rPr>
                <w:rFonts w:ascii="宋体" w:hAnsi="宋体" w:cs="宋体"/>
                <w:bCs/>
                <w:sz w:val="24"/>
                <w:szCs w:val="24"/>
              </w:rPr>
            </w:pPr>
            <w:r>
              <w:rPr>
                <w:rFonts w:hint="eastAsia" w:ascii="宋体" w:hAnsi="宋体" w:cs="宋体"/>
                <w:bCs/>
                <w:sz w:val="24"/>
                <w:szCs w:val="24"/>
              </w:rPr>
              <w:t>创新产品或创新服务价格合计：</w:t>
            </w:r>
          </w:p>
        </w:tc>
      </w:tr>
    </w:tbl>
    <w:p w14:paraId="53549B7F">
      <w:pPr>
        <w:spacing w:line="360" w:lineRule="auto"/>
        <w:ind w:firstLine="480" w:firstLineChars="200"/>
        <w:rPr>
          <w:rFonts w:ascii="宋体" w:hAnsi="宋体" w:cs="宋体"/>
          <w:sz w:val="24"/>
          <w:szCs w:val="24"/>
        </w:rPr>
      </w:pPr>
      <w:r>
        <w:rPr>
          <w:rFonts w:hint="eastAsia" w:ascii="宋体" w:hAnsi="宋体" w:cs="宋体"/>
          <w:sz w:val="24"/>
          <w:szCs w:val="24"/>
        </w:rPr>
        <w:t xml:space="preserve">说明： </w:t>
      </w:r>
    </w:p>
    <w:p w14:paraId="1ECC8EB4">
      <w:pPr>
        <w:spacing w:line="360" w:lineRule="auto"/>
        <w:ind w:firstLine="480" w:firstLineChars="200"/>
        <w:rPr>
          <w:rFonts w:ascii="宋体" w:hAnsi="宋体" w:cs="宋体"/>
          <w:sz w:val="24"/>
          <w:szCs w:val="24"/>
        </w:rPr>
      </w:pPr>
      <w:r>
        <w:rPr>
          <w:rFonts w:hint="eastAsia" w:ascii="宋体" w:hAnsi="宋体" w:cs="宋体"/>
          <w:sz w:val="24"/>
          <w:szCs w:val="24"/>
        </w:rPr>
        <w:t>（1）供应商如实填写表格，无相应内容可填的，填写“无”、“未测试”、“没有相应指标”等明确的回答文字，或用“/”来表示。</w:t>
      </w:r>
    </w:p>
    <w:p w14:paraId="069C7B4C">
      <w:pPr>
        <w:spacing w:line="360" w:lineRule="auto"/>
        <w:ind w:firstLine="480" w:firstLineChars="200"/>
        <w:rPr>
          <w:rFonts w:ascii="宋体" w:hAnsi="宋体" w:cs="宋体"/>
          <w:sz w:val="24"/>
          <w:szCs w:val="24"/>
        </w:rPr>
      </w:pPr>
      <w:r>
        <w:rPr>
          <w:rFonts w:hint="eastAsia" w:ascii="宋体" w:hAnsi="宋体" w:cs="宋体"/>
          <w:sz w:val="24"/>
          <w:szCs w:val="24"/>
        </w:rPr>
        <w:t>（2）供应商投报产品包含创新产品或创新服务，需填写此表后，提供《山西省创新产品和服务推荐清单》。</w:t>
      </w:r>
    </w:p>
    <w:p w14:paraId="33AE3349">
      <w:pPr>
        <w:spacing w:line="360" w:lineRule="auto"/>
        <w:ind w:left="8085" w:leftChars="1050" w:hanging="5880" w:hangingChars="2450"/>
        <w:jc w:val="right"/>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pacing w:val="20"/>
          <w:sz w:val="24"/>
          <w:szCs w:val="24"/>
        </w:rPr>
        <w:t>电子公章</w:t>
      </w:r>
      <w:r>
        <w:rPr>
          <w:rFonts w:hint="eastAsia" w:ascii="宋体" w:hAnsi="宋体" w:cs="宋体"/>
          <w:sz w:val="24"/>
          <w:szCs w:val="24"/>
        </w:rPr>
        <w:t>）</w:t>
      </w:r>
    </w:p>
    <w:p w14:paraId="6DCDC582">
      <w:pPr>
        <w:pStyle w:val="21"/>
        <w:adjustRightInd w:val="0"/>
        <w:snapToGrid w:val="0"/>
        <w:spacing w:before="0" w:beforeAutospacing="0" w:after="0" w:afterAutospacing="0" w:line="360" w:lineRule="auto"/>
        <w:jc w:val="right"/>
        <w:rPr>
          <w:rFonts w:ascii="宋体" w:hAnsi="宋体" w:cs="宋体"/>
          <w:szCs w:val="24"/>
        </w:rPr>
      </w:pPr>
      <w:r>
        <w:rPr>
          <w:rFonts w:hint="eastAsia" w:ascii="宋体" w:hAnsi="宋体" w:cs="宋体"/>
          <w:szCs w:val="24"/>
        </w:rPr>
        <w:t xml:space="preserve">           年     月   日</w:t>
      </w:r>
    </w:p>
    <w:p w14:paraId="3B507EC9">
      <w:pPr>
        <w:tabs>
          <w:tab w:val="left" w:pos="1680"/>
        </w:tabs>
        <w:snapToGrid w:val="0"/>
        <w:spacing w:line="360" w:lineRule="auto"/>
        <w:rPr>
          <w:rFonts w:ascii="宋体" w:hAnsi="宋体" w:cs="宋体"/>
          <w:b/>
          <w:sz w:val="28"/>
          <w:szCs w:val="28"/>
        </w:rPr>
      </w:pPr>
    </w:p>
    <w:p w14:paraId="09F11329">
      <w:pPr>
        <w:pStyle w:val="17"/>
        <w:rPr>
          <w:rFonts w:ascii="宋体" w:hAnsi="宋体" w:cs="宋体"/>
          <w:b/>
          <w:sz w:val="28"/>
          <w:szCs w:val="28"/>
        </w:rPr>
      </w:pPr>
    </w:p>
    <w:p w14:paraId="628AF522">
      <w:pPr>
        <w:pStyle w:val="21"/>
        <w:rPr>
          <w:rFonts w:ascii="宋体" w:hAnsi="宋体" w:cs="宋体"/>
          <w:b/>
          <w:sz w:val="28"/>
          <w:szCs w:val="28"/>
        </w:rPr>
      </w:pPr>
    </w:p>
    <w:p w14:paraId="71A91EBA">
      <w:pPr>
        <w:rPr>
          <w:rFonts w:ascii="宋体" w:hAnsi="宋体" w:cs="宋体"/>
          <w:b/>
          <w:sz w:val="28"/>
          <w:szCs w:val="28"/>
        </w:rPr>
      </w:pPr>
    </w:p>
    <w:p w14:paraId="310338CB">
      <w:pPr>
        <w:rPr>
          <w:rFonts w:ascii="宋体" w:hAnsi="宋体" w:cs="宋体"/>
          <w:b/>
          <w:sz w:val="28"/>
          <w:szCs w:val="28"/>
        </w:rPr>
      </w:pPr>
    </w:p>
    <w:p w14:paraId="29A73EB9">
      <w:pPr>
        <w:pStyle w:val="17"/>
      </w:pPr>
    </w:p>
    <w:p w14:paraId="797EF4F8">
      <w:pPr>
        <w:pStyle w:val="17"/>
        <w:rPr>
          <w:rFonts w:ascii="宋体" w:hAnsi="宋体"/>
          <w:b/>
          <w:kern w:val="0"/>
          <w:sz w:val="24"/>
        </w:rPr>
      </w:pPr>
    </w:p>
    <w:p w14:paraId="6D88E056">
      <w:pPr>
        <w:tabs>
          <w:tab w:val="left" w:pos="1680"/>
        </w:tabs>
        <w:snapToGrid w:val="0"/>
        <w:spacing w:line="360" w:lineRule="auto"/>
        <w:rPr>
          <w:rFonts w:ascii="宋体" w:hAnsi="宋体"/>
          <w:b/>
          <w:kern w:val="0"/>
          <w:sz w:val="24"/>
          <w:szCs w:val="24"/>
        </w:rPr>
      </w:pPr>
      <w:r>
        <w:rPr>
          <w:rFonts w:hint="eastAsia" w:ascii="宋体" w:hAnsi="宋体"/>
          <w:b/>
          <w:kern w:val="0"/>
          <w:sz w:val="24"/>
          <w:szCs w:val="24"/>
        </w:rPr>
        <w:t>（10）商品包装和快递包装承诺</w:t>
      </w:r>
    </w:p>
    <w:p w14:paraId="6649DF07">
      <w:pPr>
        <w:tabs>
          <w:tab w:val="left" w:pos="1680"/>
        </w:tabs>
        <w:snapToGrid w:val="0"/>
        <w:spacing w:line="360" w:lineRule="auto"/>
        <w:rPr>
          <w:rFonts w:ascii="宋体" w:hAnsi="宋体" w:cs="宋体"/>
          <w:b/>
          <w:sz w:val="24"/>
          <w:szCs w:val="24"/>
        </w:rPr>
      </w:pPr>
    </w:p>
    <w:p w14:paraId="32A692E5">
      <w:pPr>
        <w:tabs>
          <w:tab w:val="left" w:pos="1680"/>
        </w:tabs>
        <w:snapToGrid w:val="0"/>
        <w:spacing w:line="360" w:lineRule="auto"/>
        <w:ind w:firstLine="480" w:firstLineChars="200"/>
        <w:rPr>
          <w:rFonts w:ascii="宋体" w:hAnsi="宋体" w:cs="宋体"/>
          <w:sz w:val="24"/>
          <w:szCs w:val="24"/>
        </w:rPr>
      </w:pPr>
      <w:r>
        <w:rPr>
          <w:rFonts w:hint="eastAsia" w:ascii="宋体" w:hAnsi="宋体" w:cs="宋体"/>
          <w:sz w:val="24"/>
          <w:szCs w:val="24"/>
        </w:rPr>
        <w:t>本公司现参与______________项目（项目编号：</w:t>
      </w:r>
      <w:r>
        <w:rPr>
          <w:rFonts w:hint="eastAsia" w:ascii="宋体" w:hAnsi="宋体" w:cs="宋体"/>
          <w:spacing w:val="6"/>
          <w:sz w:val="24"/>
          <w:szCs w:val="24"/>
        </w:rPr>
        <w:t>_________</w:t>
      </w:r>
      <w:r>
        <w:rPr>
          <w:rFonts w:hint="eastAsia" w:ascii="宋体" w:hAnsi="宋体" w:cs="宋体"/>
          <w:sz w:val="24"/>
          <w:szCs w:val="24"/>
        </w:rPr>
        <w:t>）的采购活动，本公司承诺所供商品包装符合《商品包装政府采购需求标准（试行）》，快递包装符合《快递包装政府采购需求标准（试行）》。</w:t>
      </w:r>
    </w:p>
    <w:p w14:paraId="51D6554C">
      <w:pPr>
        <w:tabs>
          <w:tab w:val="left" w:pos="1680"/>
        </w:tabs>
        <w:snapToGrid w:val="0"/>
        <w:spacing w:line="360" w:lineRule="auto"/>
        <w:ind w:firstLine="480" w:firstLineChars="200"/>
        <w:rPr>
          <w:rFonts w:ascii="宋体" w:hAnsi="宋体" w:cs="宋体"/>
          <w:sz w:val="24"/>
          <w:szCs w:val="24"/>
        </w:rPr>
      </w:pPr>
      <w:r>
        <w:rPr>
          <w:rFonts w:hint="eastAsia" w:ascii="宋体" w:hAnsi="宋体" w:cs="宋体"/>
          <w:sz w:val="24"/>
          <w:szCs w:val="24"/>
        </w:rPr>
        <w:t>如上述声明不真实，愿意按照政府采购有关法律法规的规定接受处罚。</w:t>
      </w:r>
    </w:p>
    <w:p w14:paraId="6E1DED4C">
      <w:pPr>
        <w:tabs>
          <w:tab w:val="left" w:pos="1680"/>
        </w:tabs>
        <w:snapToGrid w:val="0"/>
        <w:spacing w:line="360" w:lineRule="auto"/>
        <w:ind w:firstLine="480" w:firstLineChars="200"/>
        <w:rPr>
          <w:rFonts w:ascii="宋体" w:hAnsi="宋体" w:cs="宋体"/>
          <w:sz w:val="24"/>
          <w:szCs w:val="24"/>
        </w:rPr>
      </w:pPr>
      <w:r>
        <w:rPr>
          <w:rFonts w:hint="eastAsia" w:ascii="宋体" w:hAnsi="宋体" w:cs="宋体"/>
          <w:sz w:val="24"/>
          <w:szCs w:val="24"/>
        </w:rPr>
        <w:t>特此申明。</w:t>
      </w:r>
    </w:p>
    <w:p w14:paraId="21191164">
      <w:pPr>
        <w:tabs>
          <w:tab w:val="left" w:pos="1680"/>
        </w:tabs>
        <w:snapToGrid w:val="0"/>
        <w:spacing w:line="360" w:lineRule="auto"/>
        <w:ind w:firstLine="480" w:firstLineChars="200"/>
        <w:rPr>
          <w:rFonts w:ascii="宋体" w:hAnsi="宋体" w:cs="宋体"/>
          <w:sz w:val="24"/>
          <w:szCs w:val="24"/>
        </w:rPr>
      </w:pPr>
    </w:p>
    <w:p w14:paraId="791AC12A">
      <w:pPr>
        <w:spacing w:line="360" w:lineRule="auto"/>
        <w:ind w:left="8085" w:leftChars="1050" w:hanging="5880" w:hangingChars="2450"/>
        <w:jc w:val="right"/>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pacing w:val="20"/>
          <w:sz w:val="24"/>
          <w:szCs w:val="24"/>
        </w:rPr>
        <w:t>电子公章</w:t>
      </w:r>
      <w:r>
        <w:rPr>
          <w:rFonts w:hint="eastAsia" w:ascii="宋体" w:hAnsi="宋体" w:cs="宋体"/>
          <w:sz w:val="24"/>
          <w:szCs w:val="24"/>
        </w:rPr>
        <w:t>）</w:t>
      </w:r>
    </w:p>
    <w:p w14:paraId="12A8EAA9">
      <w:pPr>
        <w:pStyle w:val="21"/>
        <w:adjustRightInd w:val="0"/>
        <w:snapToGrid w:val="0"/>
        <w:spacing w:before="0" w:beforeAutospacing="0" w:after="0" w:afterAutospacing="0" w:line="360" w:lineRule="auto"/>
        <w:jc w:val="right"/>
        <w:rPr>
          <w:rFonts w:ascii="宋体" w:hAnsi="宋体" w:cs="宋体"/>
          <w:szCs w:val="24"/>
        </w:rPr>
      </w:pPr>
      <w:r>
        <w:rPr>
          <w:rFonts w:hint="eastAsia" w:ascii="宋体" w:hAnsi="宋体" w:cs="宋体"/>
          <w:szCs w:val="24"/>
        </w:rPr>
        <w:t xml:space="preserve">           年     月   日</w:t>
      </w:r>
    </w:p>
    <w:p w14:paraId="184C5525">
      <w:pPr>
        <w:keepNext/>
        <w:adjustRightInd w:val="0"/>
        <w:snapToGrid w:val="0"/>
        <w:spacing w:line="360" w:lineRule="auto"/>
        <w:rPr>
          <w:rFonts w:ascii="宋体" w:hAnsi="宋体"/>
          <w:b/>
          <w:sz w:val="32"/>
          <w:szCs w:val="24"/>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
    <w:altName w:val="宋体"/>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19B8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69FA1">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9CBD06">
                          <w:pPr>
                            <w:pStyle w:val="17"/>
                          </w:pPr>
                          <w:r>
                            <w:rPr>
                              <w:rFonts w:hint="eastAsia"/>
                            </w:rPr>
                            <w:fldChar w:fldCharType="begin"/>
                          </w:r>
                          <w:r>
                            <w:rPr>
                              <w:rFonts w:hint="eastAsia"/>
                            </w:rPr>
                            <w:instrText xml:space="preserve"> PAGE  \* MERGEFORMAT </w:instrText>
                          </w:r>
                          <w:r>
                            <w:rPr>
                              <w:rFonts w:hint="eastAsia"/>
                            </w:rPr>
                            <w:fldChar w:fldCharType="separate"/>
                          </w:r>
                          <w:r>
                            <w:t>88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89CBD06">
                    <w:pPr>
                      <w:pStyle w:val="17"/>
                    </w:pPr>
                    <w:r>
                      <w:rPr>
                        <w:rFonts w:hint="eastAsia"/>
                      </w:rPr>
                      <w:fldChar w:fldCharType="begin"/>
                    </w:r>
                    <w:r>
                      <w:rPr>
                        <w:rFonts w:hint="eastAsia"/>
                      </w:rPr>
                      <w:instrText xml:space="preserve"> PAGE  \* MERGEFORMAT </w:instrText>
                    </w:r>
                    <w:r>
                      <w:rPr>
                        <w:rFonts w:hint="eastAsia"/>
                      </w:rPr>
                      <w:fldChar w:fldCharType="separate"/>
                    </w:r>
                    <w:r>
                      <w:t>88</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B7776">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D08053">
                          <w:pPr>
                            <w:pStyle w:val="17"/>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29D08053">
                    <w:pPr>
                      <w:pStyle w:val="17"/>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FF10A">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9A5317">
                          <w:pPr>
                            <w:pStyle w:val="17"/>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B9A5317">
                    <w:pPr>
                      <w:pStyle w:val="17"/>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C31EA">
    <w:pPr>
      <w:pStyle w:val="31"/>
      <w:keepNext/>
      <w:jc w:val="both"/>
      <w:rPr>
        <w:rFonts w:ascii="仿宋_GB2312" w:eastAsia="仿宋_GB2312"/>
        <w:b/>
        <w:sz w:val="21"/>
      </w:rPr>
    </w:pPr>
    <w:r>
      <w:rPr>
        <w:rFonts w:ascii="仿宋_GB2312" w:eastAsia="仿宋_GB2312"/>
        <w:b/>
        <w:sz w:val="18"/>
      </w:rPr>
      <w:t xml:space="preserve">                                                                                                                 </w:t>
    </w:r>
    <w:r>
      <w:rPr>
        <w:rFonts w:ascii="仿宋_GB2312" w:eastAsia="仿宋_GB2312"/>
        <w:b/>
        <w:sz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F3984">
    <w:pPr>
      <w:pStyle w:val="18"/>
    </w:pPr>
    <w:r>
      <w:rPr>
        <w:rFonts w:ascii="仿宋_GB2312" w:eastAsia="仿宋_GB2312"/>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A57358"/>
    <w:multiLevelType w:val="singleLevel"/>
    <w:tmpl w:val="8DA57358"/>
    <w:lvl w:ilvl="0" w:tentative="0">
      <w:start w:val="2"/>
      <w:numFmt w:val="chineseCounting"/>
      <w:suff w:val="nothing"/>
      <w:lvlText w:val="%1、"/>
      <w:lvlJc w:val="left"/>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BFDB6FD5"/>
    <w:multiLevelType w:val="singleLevel"/>
    <w:tmpl w:val="BFDB6FD5"/>
    <w:lvl w:ilvl="0" w:tentative="0">
      <w:start w:val="1"/>
      <w:numFmt w:val="decimal"/>
      <w:lvlText w:val="%1."/>
      <w:lvlJc w:val="left"/>
      <w:pPr>
        <w:tabs>
          <w:tab w:val="left" w:pos="312"/>
        </w:tabs>
      </w:pPr>
    </w:lvl>
  </w:abstractNum>
  <w:abstractNum w:abstractNumId="3">
    <w:nsid w:val="C8E0BA8C"/>
    <w:multiLevelType w:val="singleLevel"/>
    <w:tmpl w:val="C8E0BA8C"/>
    <w:lvl w:ilvl="0" w:tentative="0">
      <w:start w:val="6"/>
      <w:numFmt w:val="chineseCounting"/>
      <w:suff w:val="space"/>
      <w:lvlText w:val="第%1章"/>
      <w:lvlJc w:val="left"/>
      <w:rPr>
        <w:rFonts w:hint="eastAsia"/>
      </w:rPr>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0BC4127A"/>
    <w:multiLevelType w:val="multilevel"/>
    <w:tmpl w:val="0BC4127A"/>
    <w:lvl w:ilvl="0" w:tentative="0">
      <w:start w:val="1"/>
      <w:numFmt w:val="decimal"/>
      <w:pStyle w:val="41"/>
      <w:lvlText w:val="%1)"/>
      <w:lvlJc w:val="left"/>
      <w:pPr>
        <w:ind w:left="920" w:hanging="440"/>
      </w:pPr>
      <w:rPr>
        <w:rFonts w:hint="default"/>
        <w:b w:val="0"/>
        <w:bCs/>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0">
    <w:nsid w:val="4D0E6890"/>
    <w:multiLevelType w:val="multilevel"/>
    <w:tmpl w:val="4D0E6890"/>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pStyle w:val="5"/>
      <w:lvlText w:val="%1.%2.%3.%4."/>
      <w:lvlJc w:val="left"/>
      <w:pPr>
        <w:ind w:left="851" w:hanging="851"/>
      </w:pPr>
      <w:rPr>
        <w:rFonts w:hint="eastAsia"/>
      </w:rPr>
    </w:lvl>
    <w:lvl w:ilvl="4" w:tentative="0">
      <w:start w:val="1"/>
      <w:numFmt w:val="decimal"/>
      <w:pStyle w:val="6"/>
      <w:lvlText w:val="%1.%2.%3.%4.%5."/>
      <w:lvlJc w:val="left"/>
      <w:pPr>
        <w:ind w:left="992" w:hanging="992"/>
      </w:pPr>
      <w:rPr>
        <w:rFonts w:hint="eastAsia"/>
      </w:rPr>
    </w:lvl>
    <w:lvl w:ilvl="5" w:tentative="0">
      <w:start w:val="1"/>
      <w:numFmt w:val="decimal"/>
      <w:pStyle w:val="46"/>
      <w:suff w:val="nothing"/>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1">
    <w:nsid w:val="67BC575B"/>
    <w:multiLevelType w:val="multilevel"/>
    <w:tmpl w:val="67BC575B"/>
    <w:lvl w:ilvl="0" w:tentative="0">
      <w:start w:val="1"/>
      <w:numFmt w:val="decimal"/>
      <w:pStyle w:val="40"/>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2">
    <w:nsid w:val="7A0F6431"/>
    <w:multiLevelType w:val="singleLevel"/>
    <w:tmpl w:val="7A0F6431"/>
    <w:lvl w:ilvl="0" w:tentative="0">
      <w:start w:val="1"/>
      <w:numFmt w:val="decimal"/>
      <w:suff w:val="space"/>
      <w:lvlText w:val="%1."/>
      <w:lvlJc w:val="left"/>
    </w:lvl>
  </w:abstractNum>
  <w:num w:numId="1">
    <w:abstractNumId w:val="10"/>
  </w:num>
  <w:num w:numId="2">
    <w:abstractNumId w:val="11"/>
  </w:num>
  <w:num w:numId="3">
    <w:abstractNumId w:val="9"/>
  </w:num>
  <w:num w:numId="4">
    <w:abstractNumId w:val="0"/>
  </w:num>
  <w:num w:numId="5">
    <w:abstractNumId w:val="2"/>
  </w:num>
  <w:num w:numId="6">
    <w:abstractNumId w:val="3"/>
  </w:num>
  <w:num w:numId="7">
    <w:abstractNumId w:val="12"/>
  </w:num>
  <w:num w:numId="8">
    <w:abstractNumId w:val="4"/>
  </w:num>
  <w:num w:numId="9">
    <w:abstractNumId w:val="8"/>
  </w:num>
  <w:num w:numId="10">
    <w:abstractNumId w:val="6"/>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zYzU1ZGZlZWE0YWJiMjg2MDJjMjNjYzI0NzM2NjMifQ=="/>
    <w:docVar w:name="KSO_WPS_MARK_KEY" w:val="c552117a-4398-49ea-a60c-1f9ab6290eca"/>
  </w:docVars>
  <w:rsids>
    <w:rsidRoot w:val="55910802"/>
    <w:rsid w:val="000012A6"/>
    <w:rsid w:val="000E6E27"/>
    <w:rsid w:val="00110EED"/>
    <w:rsid w:val="00123452"/>
    <w:rsid w:val="003E3868"/>
    <w:rsid w:val="004F0366"/>
    <w:rsid w:val="00644D8C"/>
    <w:rsid w:val="007D53C8"/>
    <w:rsid w:val="008F5B54"/>
    <w:rsid w:val="009A0A49"/>
    <w:rsid w:val="00AB1D82"/>
    <w:rsid w:val="00AF0172"/>
    <w:rsid w:val="00B32965"/>
    <w:rsid w:val="00B83FD4"/>
    <w:rsid w:val="00C92276"/>
    <w:rsid w:val="00D16FF2"/>
    <w:rsid w:val="00F51EB9"/>
    <w:rsid w:val="00FB63DB"/>
    <w:rsid w:val="010D6029"/>
    <w:rsid w:val="012B2E37"/>
    <w:rsid w:val="01815022"/>
    <w:rsid w:val="01F62035"/>
    <w:rsid w:val="022761C2"/>
    <w:rsid w:val="02B71C54"/>
    <w:rsid w:val="03345AEF"/>
    <w:rsid w:val="033B6E7D"/>
    <w:rsid w:val="034770DC"/>
    <w:rsid w:val="034C0BEF"/>
    <w:rsid w:val="037B201D"/>
    <w:rsid w:val="03B34D2A"/>
    <w:rsid w:val="043561F9"/>
    <w:rsid w:val="04497766"/>
    <w:rsid w:val="048C3708"/>
    <w:rsid w:val="04980591"/>
    <w:rsid w:val="04BE0EC9"/>
    <w:rsid w:val="04DF6693"/>
    <w:rsid w:val="05401AEF"/>
    <w:rsid w:val="054318CB"/>
    <w:rsid w:val="05526700"/>
    <w:rsid w:val="05784539"/>
    <w:rsid w:val="057F6DC9"/>
    <w:rsid w:val="05943856"/>
    <w:rsid w:val="05C13C41"/>
    <w:rsid w:val="05E732EC"/>
    <w:rsid w:val="064C043E"/>
    <w:rsid w:val="06967880"/>
    <w:rsid w:val="069D366A"/>
    <w:rsid w:val="072E08C8"/>
    <w:rsid w:val="07541C4C"/>
    <w:rsid w:val="0773731C"/>
    <w:rsid w:val="085F0E28"/>
    <w:rsid w:val="08B51480"/>
    <w:rsid w:val="08EB30F3"/>
    <w:rsid w:val="08EE04EE"/>
    <w:rsid w:val="09047D11"/>
    <w:rsid w:val="094B0B3C"/>
    <w:rsid w:val="095A3DD5"/>
    <w:rsid w:val="09707C93"/>
    <w:rsid w:val="09856B1A"/>
    <w:rsid w:val="09902DEC"/>
    <w:rsid w:val="09DC47EA"/>
    <w:rsid w:val="0A1D1576"/>
    <w:rsid w:val="0A2B2951"/>
    <w:rsid w:val="0A2D5046"/>
    <w:rsid w:val="0AB03293"/>
    <w:rsid w:val="0ABC5DD0"/>
    <w:rsid w:val="0AD07773"/>
    <w:rsid w:val="0B6F278B"/>
    <w:rsid w:val="0B70522E"/>
    <w:rsid w:val="0B7130F9"/>
    <w:rsid w:val="0B732F2C"/>
    <w:rsid w:val="0BA37CB5"/>
    <w:rsid w:val="0BD0037E"/>
    <w:rsid w:val="0BFA0BE6"/>
    <w:rsid w:val="0C2005C9"/>
    <w:rsid w:val="0C316BC3"/>
    <w:rsid w:val="0C74560A"/>
    <w:rsid w:val="0CF878FA"/>
    <w:rsid w:val="0D2564A8"/>
    <w:rsid w:val="0D51563C"/>
    <w:rsid w:val="0D6257E2"/>
    <w:rsid w:val="0DEA0BE9"/>
    <w:rsid w:val="0E1F739B"/>
    <w:rsid w:val="0E51075A"/>
    <w:rsid w:val="0FAB52AC"/>
    <w:rsid w:val="1020788F"/>
    <w:rsid w:val="103709CC"/>
    <w:rsid w:val="1079238A"/>
    <w:rsid w:val="1099486C"/>
    <w:rsid w:val="10FA43E9"/>
    <w:rsid w:val="116B0CDC"/>
    <w:rsid w:val="116B3023"/>
    <w:rsid w:val="118B121D"/>
    <w:rsid w:val="11AD4B4A"/>
    <w:rsid w:val="12292C17"/>
    <w:rsid w:val="123F0F6D"/>
    <w:rsid w:val="125F3391"/>
    <w:rsid w:val="1281773F"/>
    <w:rsid w:val="128425FB"/>
    <w:rsid w:val="12865C3B"/>
    <w:rsid w:val="12CB32FF"/>
    <w:rsid w:val="12CD505A"/>
    <w:rsid w:val="12FB0A7E"/>
    <w:rsid w:val="130E4B4B"/>
    <w:rsid w:val="13511DA5"/>
    <w:rsid w:val="13AC16D1"/>
    <w:rsid w:val="13F76336"/>
    <w:rsid w:val="140F3276"/>
    <w:rsid w:val="142E658A"/>
    <w:rsid w:val="14344663"/>
    <w:rsid w:val="143709A1"/>
    <w:rsid w:val="143A4F2F"/>
    <w:rsid w:val="143F34CD"/>
    <w:rsid w:val="14F26BE8"/>
    <w:rsid w:val="152F6863"/>
    <w:rsid w:val="1677000D"/>
    <w:rsid w:val="169541AB"/>
    <w:rsid w:val="169D3E01"/>
    <w:rsid w:val="17551D64"/>
    <w:rsid w:val="17681CF4"/>
    <w:rsid w:val="17953772"/>
    <w:rsid w:val="179839AF"/>
    <w:rsid w:val="17C93C6A"/>
    <w:rsid w:val="180679A7"/>
    <w:rsid w:val="183F7B64"/>
    <w:rsid w:val="19055720"/>
    <w:rsid w:val="192C3016"/>
    <w:rsid w:val="19397270"/>
    <w:rsid w:val="193E101D"/>
    <w:rsid w:val="196649F5"/>
    <w:rsid w:val="197D7D98"/>
    <w:rsid w:val="197E766C"/>
    <w:rsid w:val="1A234D80"/>
    <w:rsid w:val="1B416BA3"/>
    <w:rsid w:val="1B487F31"/>
    <w:rsid w:val="1BCD4B64"/>
    <w:rsid w:val="1BE2419F"/>
    <w:rsid w:val="1BF12377"/>
    <w:rsid w:val="1C1A3A45"/>
    <w:rsid w:val="1C3312F9"/>
    <w:rsid w:val="1C442316"/>
    <w:rsid w:val="1C7F3E27"/>
    <w:rsid w:val="1CB239A7"/>
    <w:rsid w:val="1CCE6A90"/>
    <w:rsid w:val="1CD627C5"/>
    <w:rsid w:val="1CDE4F5D"/>
    <w:rsid w:val="1CF404F7"/>
    <w:rsid w:val="1D0906E4"/>
    <w:rsid w:val="1D263569"/>
    <w:rsid w:val="1D520F28"/>
    <w:rsid w:val="1D525F86"/>
    <w:rsid w:val="1D6B7AFE"/>
    <w:rsid w:val="1D8B0922"/>
    <w:rsid w:val="1DEC5AB2"/>
    <w:rsid w:val="1E004190"/>
    <w:rsid w:val="1E150DF0"/>
    <w:rsid w:val="1EA957FD"/>
    <w:rsid w:val="1EBD39EB"/>
    <w:rsid w:val="1ECD7E44"/>
    <w:rsid w:val="1ECE5416"/>
    <w:rsid w:val="1ED7330C"/>
    <w:rsid w:val="1EE16FB7"/>
    <w:rsid w:val="1F1E6B4D"/>
    <w:rsid w:val="1F234F3D"/>
    <w:rsid w:val="1F274302"/>
    <w:rsid w:val="1F5E3523"/>
    <w:rsid w:val="1F8C29D0"/>
    <w:rsid w:val="1F9C3C92"/>
    <w:rsid w:val="20367D9B"/>
    <w:rsid w:val="20735A50"/>
    <w:rsid w:val="20865469"/>
    <w:rsid w:val="209D5157"/>
    <w:rsid w:val="20D52A1F"/>
    <w:rsid w:val="214A641E"/>
    <w:rsid w:val="219655FF"/>
    <w:rsid w:val="220B3A67"/>
    <w:rsid w:val="226A4C31"/>
    <w:rsid w:val="229E0D7F"/>
    <w:rsid w:val="22D87DED"/>
    <w:rsid w:val="22E0111B"/>
    <w:rsid w:val="22E06EE9"/>
    <w:rsid w:val="22FA500B"/>
    <w:rsid w:val="23B24AE2"/>
    <w:rsid w:val="23F76177"/>
    <w:rsid w:val="24003A9F"/>
    <w:rsid w:val="240311C0"/>
    <w:rsid w:val="24556552"/>
    <w:rsid w:val="24575689"/>
    <w:rsid w:val="246A1360"/>
    <w:rsid w:val="24942439"/>
    <w:rsid w:val="24A867AF"/>
    <w:rsid w:val="24D85F70"/>
    <w:rsid w:val="24DF44BB"/>
    <w:rsid w:val="258E50DA"/>
    <w:rsid w:val="258F4541"/>
    <w:rsid w:val="264E03C6"/>
    <w:rsid w:val="26A12DF4"/>
    <w:rsid w:val="26A720A8"/>
    <w:rsid w:val="275807AF"/>
    <w:rsid w:val="275E715C"/>
    <w:rsid w:val="27734D30"/>
    <w:rsid w:val="27BC1DEB"/>
    <w:rsid w:val="27C707BA"/>
    <w:rsid w:val="2832613A"/>
    <w:rsid w:val="284B1061"/>
    <w:rsid w:val="2981188D"/>
    <w:rsid w:val="29C56BF1"/>
    <w:rsid w:val="2AAA6513"/>
    <w:rsid w:val="2AC05D36"/>
    <w:rsid w:val="2ADA635E"/>
    <w:rsid w:val="2B033E75"/>
    <w:rsid w:val="2B0D3FA0"/>
    <w:rsid w:val="2B185A6D"/>
    <w:rsid w:val="2B1E4AFC"/>
    <w:rsid w:val="2B6366C1"/>
    <w:rsid w:val="2B6F0D8F"/>
    <w:rsid w:val="2BE32D2C"/>
    <w:rsid w:val="2CC05460"/>
    <w:rsid w:val="2D1774E9"/>
    <w:rsid w:val="2D263E4A"/>
    <w:rsid w:val="2D9B0395"/>
    <w:rsid w:val="2DE52EF5"/>
    <w:rsid w:val="2E146367"/>
    <w:rsid w:val="2E5070CD"/>
    <w:rsid w:val="2E7A1DE2"/>
    <w:rsid w:val="2EA540D7"/>
    <w:rsid w:val="2F0146F1"/>
    <w:rsid w:val="2F3E4EDF"/>
    <w:rsid w:val="2F485CCC"/>
    <w:rsid w:val="2F8324B4"/>
    <w:rsid w:val="2FA048BC"/>
    <w:rsid w:val="2FF74E93"/>
    <w:rsid w:val="302630E3"/>
    <w:rsid w:val="30623321"/>
    <w:rsid w:val="306B7FB5"/>
    <w:rsid w:val="30802880"/>
    <w:rsid w:val="30C3032E"/>
    <w:rsid w:val="31001F2B"/>
    <w:rsid w:val="311364C0"/>
    <w:rsid w:val="31417E5F"/>
    <w:rsid w:val="31B538E0"/>
    <w:rsid w:val="31D44B6A"/>
    <w:rsid w:val="322814D9"/>
    <w:rsid w:val="32736DE2"/>
    <w:rsid w:val="32E67FD0"/>
    <w:rsid w:val="331704BD"/>
    <w:rsid w:val="33482D6D"/>
    <w:rsid w:val="33644CDC"/>
    <w:rsid w:val="33786320"/>
    <w:rsid w:val="33872129"/>
    <w:rsid w:val="33891E90"/>
    <w:rsid w:val="33945FB2"/>
    <w:rsid w:val="346537E5"/>
    <w:rsid w:val="346E01C7"/>
    <w:rsid w:val="34DF49E5"/>
    <w:rsid w:val="34EA7BC4"/>
    <w:rsid w:val="34EC603C"/>
    <w:rsid w:val="355220B3"/>
    <w:rsid w:val="367B3180"/>
    <w:rsid w:val="36865E8C"/>
    <w:rsid w:val="36941E25"/>
    <w:rsid w:val="36A911BF"/>
    <w:rsid w:val="36C54E9A"/>
    <w:rsid w:val="36DA25A7"/>
    <w:rsid w:val="370C40B1"/>
    <w:rsid w:val="37533A8E"/>
    <w:rsid w:val="37A34870"/>
    <w:rsid w:val="38953238"/>
    <w:rsid w:val="3907102D"/>
    <w:rsid w:val="3A5B67B9"/>
    <w:rsid w:val="3A6A0CCC"/>
    <w:rsid w:val="3A940645"/>
    <w:rsid w:val="3AE75A45"/>
    <w:rsid w:val="3B9F54F4"/>
    <w:rsid w:val="3BFF41E4"/>
    <w:rsid w:val="3C24709C"/>
    <w:rsid w:val="3C573FEE"/>
    <w:rsid w:val="3C8B502E"/>
    <w:rsid w:val="3CC15759"/>
    <w:rsid w:val="3CCE1880"/>
    <w:rsid w:val="3CEE2C7C"/>
    <w:rsid w:val="3D454AF4"/>
    <w:rsid w:val="3D56248E"/>
    <w:rsid w:val="3E894239"/>
    <w:rsid w:val="3ECB4852"/>
    <w:rsid w:val="3EEF4815"/>
    <w:rsid w:val="3F395C5F"/>
    <w:rsid w:val="3F5D591F"/>
    <w:rsid w:val="3F6E3554"/>
    <w:rsid w:val="3F80388E"/>
    <w:rsid w:val="3F93536F"/>
    <w:rsid w:val="3FF57553"/>
    <w:rsid w:val="3FFB1940"/>
    <w:rsid w:val="402E47F1"/>
    <w:rsid w:val="407D1B7C"/>
    <w:rsid w:val="40805A26"/>
    <w:rsid w:val="40AD420F"/>
    <w:rsid w:val="40C33A32"/>
    <w:rsid w:val="412F0ED7"/>
    <w:rsid w:val="41751516"/>
    <w:rsid w:val="41DF2AEE"/>
    <w:rsid w:val="41F320F5"/>
    <w:rsid w:val="420E6F2F"/>
    <w:rsid w:val="423F25AC"/>
    <w:rsid w:val="425B41A2"/>
    <w:rsid w:val="43315C17"/>
    <w:rsid w:val="435D7306"/>
    <w:rsid w:val="439E4510"/>
    <w:rsid w:val="44161C7C"/>
    <w:rsid w:val="4437331F"/>
    <w:rsid w:val="44550D9A"/>
    <w:rsid w:val="44BF749C"/>
    <w:rsid w:val="44C71617"/>
    <w:rsid w:val="44CD72D2"/>
    <w:rsid w:val="44F527B5"/>
    <w:rsid w:val="4537619C"/>
    <w:rsid w:val="45425066"/>
    <w:rsid w:val="454317C5"/>
    <w:rsid w:val="459E4A6E"/>
    <w:rsid w:val="45B05277"/>
    <w:rsid w:val="45C65B6D"/>
    <w:rsid w:val="45D16BF2"/>
    <w:rsid w:val="45D43FEC"/>
    <w:rsid w:val="45DB181E"/>
    <w:rsid w:val="45DC6AB7"/>
    <w:rsid w:val="45EB21D2"/>
    <w:rsid w:val="463158E2"/>
    <w:rsid w:val="46431172"/>
    <w:rsid w:val="464B5DE9"/>
    <w:rsid w:val="46BD0F24"/>
    <w:rsid w:val="46D07B58"/>
    <w:rsid w:val="46E96523"/>
    <w:rsid w:val="473E30B2"/>
    <w:rsid w:val="47473BC0"/>
    <w:rsid w:val="47E32C09"/>
    <w:rsid w:val="4893469A"/>
    <w:rsid w:val="48B479B2"/>
    <w:rsid w:val="48C540C0"/>
    <w:rsid w:val="48F71942"/>
    <w:rsid w:val="48F73D19"/>
    <w:rsid w:val="4A3C1742"/>
    <w:rsid w:val="4A8E270A"/>
    <w:rsid w:val="4A9B332A"/>
    <w:rsid w:val="4ACC2539"/>
    <w:rsid w:val="4ACE54AE"/>
    <w:rsid w:val="4AEB0E78"/>
    <w:rsid w:val="4B1C090F"/>
    <w:rsid w:val="4B1D01E3"/>
    <w:rsid w:val="4B1F32AD"/>
    <w:rsid w:val="4B6011FA"/>
    <w:rsid w:val="4BC664E5"/>
    <w:rsid w:val="4C223867"/>
    <w:rsid w:val="4CA463C4"/>
    <w:rsid w:val="4CB412E3"/>
    <w:rsid w:val="4CCA0ADD"/>
    <w:rsid w:val="4CE751A0"/>
    <w:rsid w:val="4CF338F1"/>
    <w:rsid w:val="4D43247E"/>
    <w:rsid w:val="4D9866FE"/>
    <w:rsid w:val="4DAE3AF1"/>
    <w:rsid w:val="4E204DBD"/>
    <w:rsid w:val="4E5A52AA"/>
    <w:rsid w:val="4E83122A"/>
    <w:rsid w:val="4F9467AD"/>
    <w:rsid w:val="4FFF16CA"/>
    <w:rsid w:val="500233E2"/>
    <w:rsid w:val="502F4549"/>
    <w:rsid w:val="503361A2"/>
    <w:rsid w:val="5074393F"/>
    <w:rsid w:val="50793883"/>
    <w:rsid w:val="5079461A"/>
    <w:rsid w:val="50973AA0"/>
    <w:rsid w:val="50C633FF"/>
    <w:rsid w:val="510F2848"/>
    <w:rsid w:val="512306BF"/>
    <w:rsid w:val="513B5867"/>
    <w:rsid w:val="51D43234"/>
    <w:rsid w:val="52497B10"/>
    <w:rsid w:val="52600F5C"/>
    <w:rsid w:val="52D67D40"/>
    <w:rsid w:val="53154A05"/>
    <w:rsid w:val="535D7D17"/>
    <w:rsid w:val="537D1291"/>
    <w:rsid w:val="53951207"/>
    <w:rsid w:val="53D7125C"/>
    <w:rsid w:val="544D7333"/>
    <w:rsid w:val="5465593C"/>
    <w:rsid w:val="546A0BF2"/>
    <w:rsid w:val="54857525"/>
    <w:rsid w:val="54884235"/>
    <w:rsid w:val="54B716A8"/>
    <w:rsid w:val="55684751"/>
    <w:rsid w:val="55910802"/>
    <w:rsid w:val="560E05C1"/>
    <w:rsid w:val="562B627E"/>
    <w:rsid w:val="56352885"/>
    <w:rsid w:val="56956551"/>
    <w:rsid w:val="56AE5351"/>
    <w:rsid w:val="56BE0C83"/>
    <w:rsid w:val="576A47B0"/>
    <w:rsid w:val="57895F22"/>
    <w:rsid w:val="579018B6"/>
    <w:rsid w:val="57D9715D"/>
    <w:rsid w:val="57EF5DA7"/>
    <w:rsid w:val="57FF0646"/>
    <w:rsid w:val="581F6237"/>
    <w:rsid w:val="583C3AA5"/>
    <w:rsid w:val="5853793A"/>
    <w:rsid w:val="589D176C"/>
    <w:rsid w:val="58EE6BF3"/>
    <w:rsid w:val="5905259B"/>
    <w:rsid w:val="592E180D"/>
    <w:rsid w:val="599B3ECE"/>
    <w:rsid w:val="59B11C1A"/>
    <w:rsid w:val="59E56370"/>
    <w:rsid w:val="59F120A0"/>
    <w:rsid w:val="5A287258"/>
    <w:rsid w:val="5A660493"/>
    <w:rsid w:val="5AFA409D"/>
    <w:rsid w:val="5B736D73"/>
    <w:rsid w:val="5BBD2717"/>
    <w:rsid w:val="5C6E089F"/>
    <w:rsid w:val="5CBF2C01"/>
    <w:rsid w:val="5CC83896"/>
    <w:rsid w:val="5CF52D6E"/>
    <w:rsid w:val="5D5201C0"/>
    <w:rsid w:val="5D963738"/>
    <w:rsid w:val="5DAC1664"/>
    <w:rsid w:val="5DD83C04"/>
    <w:rsid w:val="5DF24B50"/>
    <w:rsid w:val="5E2D4789"/>
    <w:rsid w:val="5E3D1A7C"/>
    <w:rsid w:val="5EDC2BC2"/>
    <w:rsid w:val="5EDD1B99"/>
    <w:rsid w:val="5EF63A21"/>
    <w:rsid w:val="5F9A2399"/>
    <w:rsid w:val="60206EAC"/>
    <w:rsid w:val="60340D21"/>
    <w:rsid w:val="60840DC4"/>
    <w:rsid w:val="6085265B"/>
    <w:rsid w:val="609A55EC"/>
    <w:rsid w:val="60D62A73"/>
    <w:rsid w:val="6104614B"/>
    <w:rsid w:val="610D01AE"/>
    <w:rsid w:val="61AD3018"/>
    <w:rsid w:val="61CC7C3D"/>
    <w:rsid w:val="621709C1"/>
    <w:rsid w:val="625763D3"/>
    <w:rsid w:val="62B63687"/>
    <w:rsid w:val="62BF2599"/>
    <w:rsid w:val="6333639E"/>
    <w:rsid w:val="636C15B2"/>
    <w:rsid w:val="63762841"/>
    <w:rsid w:val="63CD05A1"/>
    <w:rsid w:val="63D47B81"/>
    <w:rsid w:val="6425594B"/>
    <w:rsid w:val="64524F45"/>
    <w:rsid w:val="645965BE"/>
    <w:rsid w:val="64603735"/>
    <w:rsid w:val="64C260E7"/>
    <w:rsid w:val="64C37BF6"/>
    <w:rsid w:val="64CE229F"/>
    <w:rsid w:val="650A5824"/>
    <w:rsid w:val="657D5FF6"/>
    <w:rsid w:val="65B11BB1"/>
    <w:rsid w:val="65E163C7"/>
    <w:rsid w:val="6615263A"/>
    <w:rsid w:val="66832988"/>
    <w:rsid w:val="66846D4D"/>
    <w:rsid w:val="669C425A"/>
    <w:rsid w:val="669F5F4D"/>
    <w:rsid w:val="66D122BA"/>
    <w:rsid w:val="6722602F"/>
    <w:rsid w:val="67435797"/>
    <w:rsid w:val="6756458A"/>
    <w:rsid w:val="67A8382B"/>
    <w:rsid w:val="67C24194"/>
    <w:rsid w:val="67F80D71"/>
    <w:rsid w:val="67FA392E"/>
    <w:rsid w:val="68024591"/>
    <w:rsid w:val="680D638D"/>
    <w:rsid w:val="68996CA3"/>
    <w:rsid w:val="69270753"/>
    <w:rsid w:val="693418C7"/>
    <w:rsid w:val="699B2BE3"/>
    <w:rsid w:val="69BC5770"/>
    <w:rsid w:val="69E4173C"/>
    <w:rsid w:val="6A1F2A02"/>
    <w:rsid w:val="6A9A5AAE"/>
    <w:rsid w:val="6AFE1987"/>
    <w:rsid w:val="6B2D6F32"/>
    <w:rsid w:val="6B5A0C9D"/>
    <w:rsid w:val="6B674FC6"/>
    <w:rsid w:val="6B6B4D92"/>
    <w:rsid w:val="6BAC3263"/>
    <w:rsid w:val="6BAC4F3F"/>
    <w:rsid w:val="6BCF2089"/>
    <w:rsid w:val="6BF61E2D"/>
    <w:rsid w:val="6C074163"/>
    <w:rsid w:val="6C5D1758"/>
    <w:rsid w:val="6C6E0A22"/>
    <w:rsid w:val="6C8639E2"/>
    <w:rsid w:val="6C9403CD"/>
    <w:rsid w:val="6C983716"/>
    <w:rsid w:val="6D0A209E"/>
    <w:rsid w:val="6D567859"/>
    <w:rsid w:val="6D6C1DA8"/>
    <w:rsid w:val="6D9C03DE"/>
    <w:rsid w:val="6DAF777B"/>
    <w:rsid w:val="6DEA6685"/>
    <w:rsid w:val="6E753D0F"/>
    <w:rsid w:val="6E813BD7"/>
    <w:rsid w:val="6E9D5CFF"/>
    <w:rsid w:val="6EC00E06"/>
    <w:rsid w:val="6ED16B75"/>
    <w:rsid w:val="6EE3336E"/>
    <w:rsid w:val="6F06083E"/>
    <w:rsid w:val="6F6A1DD5"/>
    <w:rsid w:val="6FA83C70"/>
    <w:rsid w:val="6FE012D5"/>
    <w:rsid w:val="709D59AA"/>
    <w:rsid w:val="70B43235"/>
    <w:rsid w:val="71021B83"/>
    <w:rsid w:val="711E56C5"/>
    <w:rsid w:val="711F4406"/>
    <w:rsid w:val="712C1A55"/>
    <w:rsid w:val="717A163C"/>
    <w:rsid w:val="71A14E1B"/>
    <w:rsid w:val="71D41344"/>
    <w:rsid w:val="72175623"/>
    <w:rsid w:val="725E3DC6"/>
    <w:rsid w:val="72B43E17"/>
    <w:rsid w:val="72F22689"/>
    <w:rsid w:val="73325ED7"/>
    <w:rsid w:val="733C4DFB"/>
    <w:rsid w:val="736F3422"/>
    <w:rsid w:val="738D1D74"/>
    <w:rsid w:val="74856DF9"/>
    <w:rsid w:val="755159BD"/>
    <w:rsid w:val="75AB270C"/>
    <w:rsid w:val="75DB0DD0"/>
    <w:rsid w:val="76062654"/>
    <w:rsid w:val="7648683A"/>
    <w:rsid w:val="76A553AD"/>
    <w:rsid w:val="76F1414E"/>
    <w:rsid w:val="77075A49"/>
    <w:rsid w:val="771A67DE"/>
    <w:rsid w:val="77916F70"/>
    <w:rsid w:val="779852C0"/>
    <w:rsid w:val="782F3180"/>
    <w:rsid w:val="78406E30"/>
    <w:rsid w:val="78955B0C"/>
    <w:rsid w:val="78A66578"/>
    <w:rsid w:val="78EA1557"/>
    <w:rsid w:val="79014D80"/>
    <w:rsid w:val="79065C84"/>
    <w:rsid w:val="793D0850"/>
    <w:rsid w:val="79B3432A"/>
    <w:rsid w:val="7A1563A6"/>
    <w:rsid w:val="7A24117A"/>
    <w:rsid w:val="7A4F7170"/>
    <w:rsid w:val="7A826779"/>
    <w:rsid w:val="7A884ECA"/>
    <w:rsid w:val="7AA8546C"/>
    <w:rsid w:val="7AC25CC5"/>
    <w:rsid w:val="7ADB75EF"/>
    <w:rsid w:val="7AF33B09"/>
    <w:rsid w:val="7B0A3A31"/>
    <w:rsid w:val="7B486307"/>
    <w:rsid w:val="7B4F6176"/>
    <w:rsid w:val="7BE03395"/>
    <w:rsid w:val="7C1418B7"/>
    <w:rsid w:val="7C765821"/>
    <w:rsid w:val="7CB00608"/>
    <w:rsid w:val="7CCD45DE"/>
    <w:rsid w:val="7D1110A6"/>
    <w:rsid w:val="7D2D095D"/>
    <w:rsid w:val="7D2E5A11"/>
    <w:rsid w:val="7D386477"/>
    <w:rsid w:val="7D4362E7"/>
    <w:rsid w:val="7DA63EE4"/>
    <w:rsid w:val="7DC71326"/>
    <w:rsid w:val="7DCB719D"/>
    <w:rsid w:val="7E6350EA"/>
    <w:rsid w:val="7E791696"/>
    <w:rsid w:val="7F450A39"/>
    <w:rsid w:val="7F531E4A"/>
    <w:rsid w:val="7FA3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qFormat/>
    <w:uiPriority w:val="0"/>
    <w:pPr>
      <w:keepNext/>
      <w:keepLines/>
      <w:spacing w:before="260" w:after="260" w:line="413" w:lineRule="auto"/>
      <w:outlineLvl w:val="1"/>
    </w:pPr>
    <w:rPr>
      <w:rFonts w:ascii="Arial" w:hAnsi="Arial"/>
      <w:kern w:val="0"/>
      <w:szCs w:val="20"/>
    </w:rPr>
  </w:style>
  <w:style w:type="paragraph" w:styleId="4">
    <w:name w:val="heading 3"/>
    <w:basedOn w:val="1"/>
    <w:next w:val="1"/>
    <w:qFormat/>
    <w:uiPriority w:val="0"/>
    <w:pPr>
      <w:keepNext/>
      <w:keepLines/>
      <w:spacing w:before="260" w:after="260" w:line="412" w:lineRule="auto"/>
      <w:outlineLvl w:val="2"/>
    </w:pPr>
    <w:rPr>
      <w:b/>
      <w:bCs/>
      <w:sz w:val="32"/>
      <w:szCs w:val="32"/>
    </w:rPr>
  </w:style>
  <w:style w:type="paragraph" w:styleId="5">
    <w:name w:val="heading 4"/>
    <w:basedOn w:val="1"/>
    <w:next w:val="1"/>
    <w:unhideWhenUsed/>
    <w:qFormat/>
    <w:uiPriority w:val="9"/>
    <w:pPr>
      <w:keepNext/>
      <w:keepLines/>
      <w:numPr>
        <w:ilvl w:val="3"/>
        <w:numId w:val="1"/>
      </w:numPr>
      <w:outlineLvl w:val="3"/>
    </w:pPr>
    <w:rPr>
      <w:rFonts w:ascii="宋体" w:hAnsi="宋体" w:cstheme="majorBidi"/>
      <w:b/>
      <w:bCs/>
      <w:szCs w:val="21"/>
    </w:rPr>
  </w:style>
  <w:style w:type="paragraph" w:styleId="6">
    <w:name w:val="heading 5"/>
    <w:basedOn w:val="1"/>
    <w:next w:val="1"/>
    <w:unhideWhenUsed/>
    <w:qFormat/>
    <w:uiPriority w:val="9"/>
    <w:pPr>
      <w:keepNext/>
      <w:keepLines/>
      <w:numPr>
        <w:ilvl w:val="4"/>
        <w:numId w:val="1"/>
      </w:numPr>
      <w:outlineLvl w:val="4"/>
    </w:pPr>
    <w:rPr>
      <w:rFonts w:ascii="宋体" w:hAnsi="宋体"/>
      <w:b/>
      <w:bCs/>
      <w:szCs w:val="21"/>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table of authorities"/>
    <w:basedOn w:val="1"/>
    <w:next w:val="1"/>
    <w:qFormat/>
    <w:uiPriority w:val="0"/>
    <w:pPr>
      <w:ind w:left="420" w:leftChars="200"/>
    </w:pPr>
  </w:style>
  <w:style w:type="paragraph" w:styleId="8">
    <w:name w:val="Normal Indent"/>
    <w:basedOn w:val="1"/>
    <w:next w:val="1"/>
    <w:qFormat/>
    <w:uiPriority w:val="0"/>
    <w:pPr>
      <w:ind w:firstLine="420"/>
    </w:pPr>
  </w:style>
  <w:style w:type="paragraph" w:styleId="9">
    <w:name w:val="caption"/>
    <w:basedOn w:val="1"/>
    <w:next w:val="1"/>
    <w:unhideWhenUsed/>
    <w:qFormat/>
    <w:uiPriority w:val="0"/>
    <w:rPr>
      <w:rFonts w:eastAsia="黑体" w:asciiTheme="majorHAnsi" w:hAnsiTheme="majorHAnsi" w:cstheme="majorBidi"/>
      <w:sz w:val="20"/>
      <w:szCs w:val="20"/>
    </w:rPr>
  </w:style>
  <w:style w:type="paragraph" w:styleId="10">
    <w:name w:val="toa heading"/>
    <w:basedOn w:val="1"/>
    <w:next w:val="1"/>
    <w:qFormat/>
    <w:uiPriority w:val="0"/>
    <w:pPr>
      <w:spacing w:before="120"/>
    </w:pPr>
    <w:rPr>
      <w:rFonts w:ascii="Arial" w:hAnsi="Arial" w:cs="Arial"/>
      <w:sz w:val="24"/>
      <w:szCs w:val="24"/>
    </w:rPr>
  </w:style>
  <w:style w:type="paragraph" w:styleId="11">
    <w:name w:val="annotation text"/>
    <w:basedOn w:val="1"/>
    <w:unhideWhenUsed/>
    <w:qFormat/>
    <w:uiPriority w:val="99"/>
    <w:pPr>
      <w:widowControl/>
    </w:pPr>
    <w:rPr>
      <w:rFonts w:hint="eastAsia" w:hAnsi="Calibri" w:eastAsia="Times New Roman"/>
      <w:kern w:val="0"/>
      <w:szCs w:val="20"/>
    </w:rPr>
  </w:style>
  <w:style w:type="paragraph" w:styleId="12">
    <w:name w:val="Body Text 3"/>
    <w:basedOn w:val="1"/>
    <w:qFormat/>
    <w:uiPriority w:val="0"/>
    <w:pPr>
      <w:widowControl/>
      <w:spacing w:line="480" w:lineRule="exact"/>
    </w:pPr>
    <w:rPr>
      <w:rFonts w:ascii="黑体" w:hAnsi="宋体" w:eastAsia="黑体"/>
      <w:bCs/>
      <w:sz w:val="28"/>
      <w:szCs w:val="28"/>
    </w:rPr>
  </w:style>
  <w:style w:type="paragraph" w:styleId="13">
    <w:name w:val="Body Text"/>
    <w:basedOn w:val="1"/>
    <w:qFormat/>
    <w:uiPriority w:val="0"/>
    <w:pPr>
      <w:spacing w:line="0" w:lineRule="atLeast"/>
    </w:pPr>
    <w:rPr>
      <w:sz w:val="30"/>
      <w:szCs w:val="20"/>
    </w:rPr>
  </w:style>
  <w:style w:type="paragraph" w:styleId="14">
    <w:name w:val="Body Text Indent"/>
    <w:basedOn w:val="1"/>
    <w:next w:val="15"/>
    <w:qFormat/>
    <w:uiPriority w:val="0"/>
    <w:pPr>
      <w:ind w:left="199" w:leftChars="95"/>
    </w:pPr>
    <w:rPr>
      <w:sz w:val="32"/>
      <w:szCs w:val="32"/>
    </w:rPr>
  </w:style>
  <w:style w:type="paragraph" w:styleId="15">
    <w:name w:val="envelope return"/>
    <w:basedOn w:val="1"/>
    <w:unhideWhenUsed/>
    <w:qFormat/>
    <w:uiPriority w:val="99"/>
    <w:pPr>
      <w:snapToGrid w:val="0"/>
    </w:pPr>
    <w:rPr>
      <w:rFonts w:ascii="Arial" w:hAnsi="Arial"/>
    </w:rPr>
  </w:style>
  <w:style w:type="paragraph" w:styleId="16">
    <w:name w:val="Plain Text"/>
    <w:basedOn w:val="1"/>
    <w:qFormat/>
    <w:uiPriority w:val="0"/>
    <w:rPr>
      <w:rFonts w:ascii="宋体" w:hAnsi="Courier New"/>
      <w:szCs w:val="20"/>
    </w:rPr>
  </w:style>
  <w:style w:type="paragraph" w:styleId="17">
    <w:name w:val="footer"/>
    <w:basedOn w:val="1"/>
    <w:unhideWhenUsed/>
    <w:qFormat/>
    <w:uiPriority w:val="99"/>
    <w:pPr>
      <w:tabs>
        <w:tab w:val="center" w:pos="4153"/>
        <w:tab w:val="right" w:pos="8306"/>
      </w:tabs>
      <w:snapToGrid w:val="0"/>
      <w:jc w:val="left"/>
    </w:pPr>
    <w:rPr>
      <w:sz w:val="18"/>
      <w:szCs w:val="24"/>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39"/>
    <w:pPr>
      <w:spacing w:before="120" w:after="120"/>
      <w:jc w:val="left"/>
    </w:pPr>
    <w:rPr>
      <w:b/>
      <w:bCs/>
      <w:caps/>
      <w:sz w:val="20"/>
      <w:szCs w:val="20"/>
    </w:rPr>
  </w:style>
  <w:style w:type="paragraph" w:styleId="20">
    <w:name w:val="toc 2"/>
    <w:basedOn w:val="1"/>
    <w:next w:val="1"/>
    <w:qFormat/>
    <w:uiPriority w:val="0"/>
    <w:pPr>
      <w:ind w:left="420" w:leftChars="200"/>
    </w:pPr>
    <w:rPr>
      <w:szCs w:val="20"/>
    </w:rPr>
  </w:style>
  <w:style w:type="paragraph" w:styleId="21">
    <w:name w:val="Normal (Web)"/>
    <w:basedOn w:val="1"/>
    <w:qFormat/>
    <w:uiPriority w:val="0"/>
    <w:pPr>
      <w:spacing w:before="100" w:beforeAutospacing="1" w:after="100" w:afterAutospacing="1"/>
      <w:jc w:val="left"/>
    </w:pPr>
    <w:rPr>
      <w:kern w:val="0"/>
      <w:sz w:val="24"/>
    </w:rPr>
  </w:style>
  <w:style w:type="paragraph" w:styleId="22">
    <w:name w:val="Body Text First Indent"/>
    <w:basedOn w:val="13"/>
    <w:unhideWhenUsed/>
    <w:qFormat/>
    <w:uiPriority w:val="99"/>
    <w:pPr>
      <w:ind w:firstLine="420" w:firstLineChars="100"/>
    </w:pPr>
  </w:style>
  <w:style w:type="paragraph" w:styleId="23">
    <w:name w:val="Body Text First Indent 2"/>
    <w:basedOn w:val="14"/>
    <w:unhideWhenUsed/>
    <w:qFormat/>
    <w:uiPriority w:val="99"/>
    <w:pPr>
      <w:ind w:left="420" w:firstLine="420" w:firstLineChars="200"/>
    </w:pPr>
  </w:style>
  <w:style w:type="table" w:styleId="25">
    <w:name w:val="Table Grid"/>
    <w:basedOn w:val="24"/>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annotation reference"/>
    <w:basedOn w:val="26"/>
    <w:qFormat/>
    <w:uiPriority w:val="0"/>
    <w:rPr>
      <w:sz w:val="21"/>
      <w:szCs w:val="21"/>
    </w:rPr>
  </w:style>
  <w:style w:type="character" w:styleId="29">
    <w:name w:val="HTML Sample"/>
    <w:basedOn w:val="26"/>
    <w:qFormat/>
    <w:uiPriority w:val="0"/>
    <w:rPr>
      <w:rFonts w:ascii="Courier New" w:hAnsi="Courier New"/>
    </w:rPr>
  </w:style>
  <w:style w:type="paragraph" w:customStyle="1" w:styleId="30">
    <w:name w:val="样式 正文首行缩进 2 + Arial"/>
    <w:basedOn w:val="1"/>
    <w:next w:val="1"/>
    <w:qFormat/>
    <w:uiPriority w:val="0"/>
    <w:pPr>
      <w:spacing w:after="120" w:line="320" w:lineRule="atLeast"/>
      <w:ind w:firstLine="200"/>
    </w:pPr>
    <w:rPr>
      <w:rFonts w:ascii="Arial" w:hAnsi="Arial"/>
      <w:kern w:val="0"/>
    </w:rPr>
  </w:style>
  <w:style w:type="paragraph" w:customStyle="1" w:styleId="31">
    <w:name w:val="样式"/>
    <w:qFormat/>
    <w:uiPriority w:val="99"/>
    <w:pPr>
      <w:widowControl w:val="0"/>
      <w:autoSpaceDE w:val="0"/>
      <w:autoSpaceDN w:val="0"/>
    </w:pPr>
    <w:rPr>
      <w:rFonts w:ascii="Times New Roman" w:hAnsi="Times New Roman" w:eastAsia="宋体" w:cs="Times New Roman"/>
      <w:sz w:val="24"/>
      <w:szCs w:val="24"/>
      <w:lang w:val="en-US" w:eastAsia="zh-CN" w:bidi="ar-SA"/>
    </w:rPr>
  </w:style>
  <w:style w:type="paragraph" w:customStyle="1" w:styleId="32">
    <w:name w:val="WPSOffice手动目录 1"/>
    <w:qFormat/>
    <w:uiPriority w:val="0"/>
    <w:rPr>
      <w:rFonts w:ascii="Times New Roman" w:hAnsi="Times New Roman" w:eastAsia="宋体" w:cs="Times New Roman"/>
      <w:lang w:val="en-US" w:eastAsia="zh-CN" w:bidi="ar-SA"/>
    </w:rPr>
  </w:style>
  <w:style w:type="character" w:customStyle="1" w:styleId="33">
    <w:name w:val="标题 2 字符"/>
    <w:link w:val="3"/>
    <w:qFormat/>
    <w:uiPriority w:val="0"/>
    <w:rPr>
      <w:rFonts w:ascii="Arial" w:hAnsi="Arial"/>
      <w:kern w:val="0"/>
      <w:szCs w:val="20"/>
    </w:rPr>
  </w:style>
  <w:style w:type="paragraph" w:customStyle="1" w:styleId="34">
    <w:name w:val="标准"/>
    <w:basedOn w:val="1"/>
    <w:qFormat/>
    <w:uiPriority w:val="0"/>
    <w:pPr>
      <w:adjustRightInd w:val="0"/>
      <w:spacing w:after="120" w:line="0" w:lineRule="atLeast"/>
      <w:jc w:val="center"/>
    </w:pPr>
    <w:rPr>
      <w:rFonts w:hint="eastAsia" w:ascii="宋体"/>
      <w:kern w:val="0"/>
      <w:sz w:val="24"/>
      <w:szCs w:val="20"/>
    </w:rPr>
  </w:style>
  <w:style w:type="paragraph" w:customStyle="1" w:styleId="35">
    <w:name w:val="Char Char Char"/>
    <w:basedOn w:val="1"/>
    <w:unhideWhenUsed/>
    <w:qFormat/>
    <w:uiPriority w:val="0"/>
    <w:rPr>
      <w:rFonts w:ascii="Tahoma" w:hAnsi="Tahoma"/>
      <w:sz w:val="24"/>
      <w:szCs w:val="24"/>
    </w:rPr>
  </w:style>
  <w:style w:type="paragraph" w:customStyle="1" w:styleId="36">
    <w:name w:val="样式1"/>
    <w:basedOn w:val="1"/>
    <w:unhideWhenUsed/>
    <w:qFormat/>
    <w:uiPriority w:val="0"/>
    <w:pPr>
      <w:textAlignment w:val="baseline"/>
    </w:pPr>
    <w:rPr>
      <w:rFonts w:ascii="宋体" w:hAnsi="宋体"/>
      <w:szCs w:val="24"/>
    </w:rPr>
  </w:style>
  <w:style w:type="paragraph" w:customStyle="1" w:styleId="3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sz w:val="28"/>
    </w:rPr>
  </w:style>
  <w:style w:type="paragraph" w:customStyle="1" w:styleId="3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39">
    <w:name w:val="_Style 1"/>
    <w:basedOn w:val="1"/>
    <w:qFormat/>
    <w:uiPriority w:val="0"/>
  </w:style>
  <w:style w:type="paragraph" w:customStyle="1" w:styleId="40">
    <w:name w:val="标题二"/>
    <w:next w:val="1"/>
    <w:qFormat/>
    <w:uiPriority w:val="0"/>
    <w:pPr>
      <w:numPr>
        <w:ilvl w:val="0"/>
        <w:numId w:val="2"/>
      </w:numPr>
      <w:adjustRightInd w:val="0"/>
      <w:snapToGrid w:val="0"/>
      <w:ind w:left="0" w:firstLine="0"/>
    </w:pPr>
    <w:rPr>
      <w:rFonts w:ascii="仿宋" w:hAnsi="仿宋" w:eastAsia="仿宋" w:cstheme="minorBidi"/>
      <w:b/>
      <w:bCs/>
      <w:kern w:val="2"/>
      <w:sz w:val="30"/>
      <w:szCs w:val="28"/>
      <w:lang w:val="en-US" w:eastAsia="zh-CN" w:bidi="ar-SA"/>
    </w:rPr>
  </w:style>
  <w:style w:type="paragraph" w:styleId="41">
    <w:name w:val="List Paragraph"/>
    <w:basedOn w:val="1"/>
    <w:qFormat/>
    <w:uiPriority w:val="34"/>
    <w:pPr>
      <w:widowControl/>
      <w:numPr>
        <w:ilvl w:val="0"/>
        <w:numId w:val="3"/>
      </w:numPr>
      <w:ind w:firstLine="0"/>
      <w:jc w:val="left"/>
    </w:pPr>
  </w:style>
  <w:style w:type="paragraph" w:customStyle="1" w:styleId="42">
    <w:name w:val="Table Paragraph"/>
    <w:basedOn w:val="1"/>
    <w:qFormat/>
    <w:uiPriority w:val="1"/>
    <w:pPr>
      <w:autoSpaceDE w:val="0"/>
      <w:autoSpaceDN w:val="0"/>
      <w:jc w:val="left"/>
    </w:pPr>
    <w:rPr>
      <w:rFonts w:ascii="宋体" w:hAnsi="宋体" w:cs="宋体"/>
      <w:kern w:val="0"/>
      <w:sz w:val="22"/>
      <w:lang w:val="zh-CN" w:bidi="zh-CN"/>
    </w:rPr>
  </w:style>
  <w:style w:type="paragraph" w:customStyle="1" w:styleId="43">
    <w:name w:val="文本正文"/>
    <w:basedOn w:val="1"/>
    <w:qFormat/>
    <w:uiPriority w:val="0"/>
    <w:pPr>
      <w:ind w:firstLine="200" w:firstLineChars="200"/>
    </w:pPr>
    <w:rPr>
      <w14:ligatures w14:val="standardContextual"/>
    </w:rPr>
  </w:style>
  <w:style w:type="paragraph" w:customStyle="1" w:styleId="44">
    <w:name w:val="_Style 122"/>
    <w:basedOn w:val="1"/>
    <w:next w:val="41"/>
    <w:qFormat/>
    <w:uiPriority w:val="34"/>
    <w:pPr>
      <w:ind w:firstLine="420" w:firstLineChars="200"/>
    </w:pPr>
    <w:rPr>
      <w:kern w:val="0"/>
      <w:sz w:val="20"/>
      <w:szCs w:val="20"/>
    </w:rPr>
  </w:style>
  <w:style w:type="paragraph" w:customStyle="1" w:styleId="45">
    <w:name w:val="p0"/>
    <w:basedOn w:val="1"/>
    <w:qFormat/>
    <w:uiPriority w:val="0"/>
    <w:pPr>
      <w:widowControl/>
    </w:pPr>
    <w:rPr>
      <w:kern w:val="0"/>
      <w:szCs w:val="21"/>
    </w:rPr>
  </w:style>
  <w:style w:type="paragraph" w:customStyle="1" w:styleId="46">
    <w:name w:val="标题6"/>
    <w:basedOn w:val="6"/>
    <w:qFormat/>
    <w:uiPriority w:val="0"/>
    <w:pPr>
      <w:numPr>
        <w:ilvl w:val="5"/>
      </w:numPr>
      <w:outlineLvl w:val="5"/>
    </w:pPr>
    <w:rPr>
      <w14:ligatures w14:val="standardContextual"/>
    </w:rPr>
  </w:style>
  <w:style w:type="paragraph" w:customStyle="1" w:styleId="47">
    <w:name w:val="四号正文"/>
    <w:basedOn w:val="1"/>
    <w:qFormat/>
    <w:uiPriority w:val="0"/>
    <w:pPr>
      <w:spacing w:line="360" w:lineRule="auto"/>
      <w:ind w:firstLine="560" w:firstLineChars="200"/>
    </w:pPr>
    <w:rPr>
      <w:rFonts w:ascii="仿宋_GB2312" w:hAnsi="仿宋_GB2312" w:cs="仿宋_GB2312"/>
      <w:sz w:val="28"/>
      <w:szCs w:val="28"/>
      <w14:ligatures w14:val="standardContextual"/>
    </w:rPr>
  </w:style>
  <w:style w:type="paragraph" w:customStyle="1" w:styleId="48">
    <w:name w:val="*正文"/>
    <w:basedOn w:val="1"/>
    <w:qFormat/>
    <w:uiPriority w:val="0"/>
    <w:pPr>
      <w:widowControl/>
      <w:spacing w:before="120" w:after="120" w:line="360" w:lineRule="auto"/>
      <w:ind w:firstLine="200" w:firstLineChars="200"/>
      <w:jc w:val="left"/>
    </w:pPr>
    <w:rPr>
      <w:rFonts w:ascii="仿宋_GB2312"/>
      <w:b/>
      <w:bCs/>
      <w:kern w:val="0"/>
      <w:sz w:val="24"/>
      <w:szCs w:val="28"/>
    </w:rPr>
  </w:style>
  <w:style w:type="character" w:customStyle="1" w:styleId="49">
    <w:name w:val="书籍标题1"/>
    <w:basedOn w:val="26"/>
    <w:qFormat/>
    <w:uiPriority w:val="33"/>
    <w:rPr>
      <w:b/>
      <w:bCs/>
      <w:smallCaps/>
      <w:spacing w:val="5"/>
    </w:rPr>
  </w:style>
  <w:style w:type="character" w:customStyle="1" w:styleId="50">
    <w:name w:val="font21"/>
    <w:basedOn w:val="26"/>
    <w:qFormat/>
    <w:uiPriority w:val="0"/>
    <w:rPr>
      <w:rFonts w:hint="default" w:ascii="方正公文小标宋" w:hAnsi="方正公文小标宋" w:eastAsia="方正公文小标宋" w:cs="方正公文小标宋"/>
      <w:color w:val="000000"/>
      <w:sz w:val="40"/>
      <w:szCs w:val="40"/>
      <w:u w:val="none"/>
    </w:rPr>
  </w:style>
  <w:style w:type="character" w:customStyle="1" w:styleId="51">
    <w:name w:val="font61"/>
    <w:basedOn w:val="26"/>
    <w:qFormat/>
    <w:uiPriority w:val="0"/>
    <w:rPr>
      <w:rFonts w:hint="default" w:ascii="方正公文小标宋" w:hAnsi="方正公文小标宋" w:eastAsia="方正公文小标宋" w:cs="方正公文小标宋"/>
      <w:color w:val="000000"/>
      <w:sz w:val="32"/>
      <w:szCs w:val="32"/>
      <w:u w:val="none"/>
    </w:rPr>
  </w:style>
  <w:style w:type="table" w:customStyle="1" w:styleId="52">
    <w:name w:val="Table Normal"/>
    <w:unhideWhenUsed/>
    <w:qFormat/>
    <w:uiPriority w:val="0"/>
    <w:tblPr>
      <w:tblCellMar>
        <w:top w:w="0" w:type="dxa"/>
        <w:left w:w="0" w:type="dxa"/>
        <w:bottom w:w="0" w:type="dxa"/>
        <w:right w:w="0" w:type="dxa"/>
      </w:tblCellMar>
    </w:tblPr>
  </w:style>
  <w:style w:type="paragraph" w:customStyle="1" w:styleId="53">
    <w:name w:val="Table Text"/>
    <w:basedOn w:val="1"/>
    <w:semiHidden/>
    <w:qFormat/>
    <w:uiPriority w:val="0"/>
    <w:rPr>
      <w:rFonts w:ascii="宋体" w:hAnsi="宋体" w:cs="宋体"/>
      <w:sz w:val="24"/>
      <w:szCs w:val="24"/>
      <w:lang w:eastAsia="en-US"/>
    </w:rPr>
  </w:style>
  <w:style w:type="paragraph" w:customStyle="1" w:styleId="54">
    <w:name w:val="样式4"/>
    <w:basedOn w:val="1"/>
    <w:qFormat/>
    <w:uiPriority w:val="0"/>
    <w:pPr>
      <w:spacing w:line="360" w:lineRule="auto"/>
      <w:ind w:firstLine="560" w:firstLineChars="200"/>
      <w:outlineLvl w:val="1"/>
    </w:pPr>
    <w:rPr>
      <w:rFonts w:ascii="仿宋_GB2312" w:hAnsi="宋体" w:eastAsia="仿宋_GB2312" w:cs="Times New Roman"/>
      <w:b/>
      <w:sz w:val="30"/>
      <w:szCs w:val="30"/>
    </w:rPr>
  </w:style>
  <w:style w:type="paragraph" w:customStyle="1" w:styleId="5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6">
    <w:name w:val="列出段落1"/>
    <w:autoRedefine/>
    <w:qFormat/>
    <w:uiPriority w:val="0"/>
    <w:pPr>
      <w:widowControl w:val="0"/>
      <w:ind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82</Pages>
  <Words>21743</Words>
  <Characters>23041</Characters>
  <Lines>322</Lines>
  <Paragraphs>90</Paragraphs>
  <TotalTime>3</TotalTime>
  <ScaleCrop>false</ScaleCrop>
  <LinksUpToDate>false</LinksUpToDate>
  <CharactersWithSpaces>23375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2021-05-12T06:04:00Z</dcterms:created>
  <dc:creator>落夏KKmin</dc:creator>
  <cp:lastModifiedBy>Y&amp;Y</cp:lastModifiedBy>
  <cp:lastPrinted>2026-04-23T12:26:10Z</cp:lastPrinted>
  <dcterms:modified xsi:type="dcterms:W3CDTF">2026-04-23T12:49:54Z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6D38F7BEDE404DEB89F84A5C523C26F7_13</vt:lpwstr>
  </property>
  <property fmtid="{D5CDD505-2E9C-101B-9397-08002B2CF9AE}" pid="4" name="KSOTemplateDocerSaveRecord">
    <vt:lpwstr>eyJoZGlkIjoiNzg1NDRhMjMwNDgwZjNmYWVjNWZiMjE3ZGRkNDRjMzAiLCJ1c2VySWQiOiI0Mzc4NDAwOTUifQ==</vt:lpwstr>
  </property>
</Properties>
</file>