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23C67">
      <w:pPr>
        <w:snapToGrid w:val="0"/>
        <w:spacing w:line="360" w:lineRule="auto"/>
        <w:jc w:val="center"/>
        <w:rPr>
          <w:rFonts w:hint="eastAsia" w:ascii="宋体" w:hAnsi="宋体" w:eastAsia="宋体" w:cs="宋体"/>
          <w:b/>
          <w:color w:val="auto"/>
          <w:sz w:val="24"/>
          <w:highlight w:val="none"/>
          <w:lang w:eastAsia="zh-CN"/>
        </w:rPr>
      </w:pPr>
    </w:p>
    <w:p w14:paraId="050065BE">
      <w:pPr>
        <w:snapToGrid w:val="0"/>
        <w:spacing w:line="360" w:lineRule="auto"/>
        <w:jc w:val="center"/>
        <w:rPr>
          <w:rFonts w:hint="eastAsia" w:ascii="宋体" w:hAnsi="宋体" w:eastAsia="宋体" w:cs="宋体"/>
          <w:b/>
          <w:color w:val="auto"/>
          <w:sz w:val="24"/>
          <w:highlight w:val="none"/>
        </w:rPr>
      </w:pPr>
    </w:p>
    <w:p w14:paraId="03E8F5C6">
      <w:pPr>
        <w:spacing w:line="360" w:lineRule="auto"/>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新疆维吾尔自治区昌吉某某单位移动执法系统运维服务项目</w:t>
      </w:r>
    </w:p>
    <w:p w14:paraId="328DD62F">
      <w:pPr>
        <w:spacing w:line="360" w:lineRule="auto"/>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公开招标文件</w:t>
      </w:r>
    </w:p>
    <w:p w14:paraId="065E8FE3">
      <w:pPr>
        <w:spacing w:line="360" w:lineRule="auto"/>
        <w:rPr>
          <w:rFonts w:hint="eastAsia" w:asciiTheme="minorEastAsia" w:hAnsiTheme="minorEastAsia" w:eastAsiaTheme="minorEastAsia" w:cstheme="minorEastAsia"/>
          <w:b/>
          <w:bCs/>
          <w:color w:val="auto"/>
          <w:sz w:val="28"/>
          <w:szCs w:val="28"/>
          <w:highlight w:val="none"/>
        </w:rPr>
      </w:pPr>
    </w:p>
    <w:p w14:paraId="6DB5927F">
      <w:pPr>
        <w:spacing w:line="360" w:lineRule="auto"/>
        <w:rPr>
          <w:rFonts w:hint="eastAsia" w:asciiTheme="minorEastAsia" w:hAnsiTheme="minorEastAsia" w:eastAsiaTheme="minorEastAsia" w:cstheme="minorEastAsia"/>
          <w:b/>
          <w:bCs/>
          <w:color w:val="auto"/>
          <w:sz w:val="28"/>
          <w:szCs w:val="28"/>
          <w:highlight w:val="none"/>
        </w:rPr>
      </w:pPr>
    </w:p>
    <w:p w14:paraId="74C29D87">
      <w:pPr>
        <w:spacing w:line="360" w:lineRule="auto"/>
        <w:jc w:val="center"/>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招标编号：</w:t>
      </w:r>
      <w:r>
        <w:rPr>
          <w:rFonts w:hint="eastAsia" w:asciiTheme="minorEastAsia" w:hAnsiTheme="minorEastAsia" w:eastAsiaTheme="minorEastAsia" w:cstheme="minorEastAsia"/>
          <w:b/>
          <w:bCs/>
          <w:color w:val="auto"/>
          <w:sz w:val="28"/>
          <w:szCs w:val="28"/>
          <w:highlight w:val="none"/>
          <w:lang w:val="en-US" w:eastAsia="zh-CN"/>
        </w:rPr>
        <w:t>XJCY2026-ZB-082</w:t>
      </w:r>
    </w:p>
    <w:p w14:paraId="6922285F">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rPr>
      </w:pPr>
    </w:p>
    <w:p w14:paraId="707213B7">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rPr>
      </w:pPr>
    </w:p>
    <w:p w14:paraId="67F027E6">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采购人（盖章）：</w:t>
      </w:r>
      <w:r>
        <w:rPr>
          <w:rFonts w:hint="eastAsia" w:asciiTheme="minorEastAsia" w:hAnsiTheme="minorEastAsia" w:eastAsiaTheme="minorEastAsia" w:cstheme="minorEastAsia"/>
          <w:b/>
          <w:bCs/>
          <w:color w:val="auto"/>
          <w:sz w:val="30"/>
          <w:szCs w:val="30"/>
          <w:highlight w:val="none"/>
          <w:lang w:val="en-US" w:eastAsia="zh-CN"/>
        </w:rPr>
        <w:t>新疆维吾尔自治区昌吉某某单位</w:t>
      </w:r>
    </w:p>
    <w:p w14:paraId="67D9A8B4">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联系人：</w:t>
      </w:r>
      <w:r>
        <w:rPr>
          <w:rFonts w:hint="eastAsia" w:asciiTheme="minorEastAsia" w:hAnsiTheme="minorEastAsia" w:eastAsiaTheme="minorEastAsia" w:cstheme="minorEastAsia"/>
          <w:b/>
          <w:bCs/>
          <w:color w:val="auto"/>
          <w:sz w:val="30"/>
          <w:szCs w:val="30"/>
          <w:highlight w:val="none"/>
          <w:lang w:val="en-US" w:eastAsia="zh-CN"/>
        </w:rPr>
        <w:t>张先生、赵先生</w:t>
      </w:r>
    </w:p>
    <w:p w14:paraId="3C6CEB1A">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联系电话：</w:t>
      </w:r>
      <w:r>
        <w:rPr>
          <w:rFonts w:hint="eastAsia" w:asciiTheme="minorEastAsia" w:hAnsiTheme="minorEastAsia" w:eastAsiaTheme="minorEastAsia" w:cstheme="minorEastAsia"/>
          <w:b/>
          <w:bCs/>
          <w:color w:val="auto"/>
          <w:sz w:val="30"/>
          <w:szCs w:val="30"/>
          <w:highlight w:val="none"/>
          <w:lang w:val="en-US" w:eastAsia="zh-CN"/>
        </w:rPr>
        <w:t>18997566658、18209068376</w:t>
      </w:r>
    </w:p>
    <w:p w14:paraId="2FB6BA12">
      <w:pPr>
        <w:keepNext w:val="0"/>
        <w:keepLines w:val="0"/>
        <w:pageBreakBefore w:val="0"/>
        <w:kinsoku/>
        <w:wordWrap/>
        <w:overflowPunct/>
        <w:topLinePunct w:val="0"/>
        <w:autoSpaceDE/>
        <w:autoSpaceDN/>
        <w:bidi w:val="0"/>
        <w:adjustRightInd/>
        <w:spacing w:line="240" w:lineRule="auto"/>
        <w:textAlignment w:val="auto"/>
        <w:rPr>
          <w:rFonts w:hint="default"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地址：</w:t>
      </w:r>
      <w:r>
        <w:rPr>
          <w:rFonts w:hint="eastAsia" w:asciiTheme="minorEastAsia" w:hAnsiTheme="minorEastAsia" w:eastAsiaTheme="minorEastAsia" w:cstheme="minorEastAsia"/>
          <w:b/>
          <w:bCs/>
          <w:color w:val="auto"/>
          <w:sz w:val="30"/>
          <w:szCs w:val="30"/>
          <w:highlight w:val="none"/>
          <w:lang w:val="en-US" w:eastAsia="zh-CN"/>
        </w:rPr>
        <w:t>昌吉市大西渠镇</w:t>
      </w:r>
    </w:p>
    <w:p w14:paraId="546EA8C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bCs/>
          <w:color w:val="auto"/>
          <w:sz w:val="30"/>
          <w:szCs w:val="30"/>
          <w:highlight w:val="none"/>
        </w:rPr>
      </w:pPr>
    </w:p>
    <w:p w14:paraId="5E98F759">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643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Theme="minorEastAsia" w:hAnsiTheme="minorEastAsia" w:eastAsiaTheme="minorEastAsia" w:cstheme="minorEastAsia"/>
          <w:b/>
          <w:bCs/>
          <w:color w:val="auto"/>
          <w:sz w:val="30"/>
          <w:szCs w:val="30"/>
          <w:highlight w:val="none"/>
        </w:rPr>
        <w:t>招标代理机构（盖章）：新疆诚誉工程项目管理有限公司</w:t>
      </w:r>
    </w:p>
    <w:p w14:paraId="2D55EC7C">
      <w:pPr>
        <w:keepNext w:val="0"/>
        <w:keepLines w:val="0"/>
        <w:pageBreakBefore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联 系 人：</w:t>
      </w:r>
      <w:r>
        <w:rPr>
          <w:rFonts w:hint="eastAsia" w:asciiTheme="minorEastAsia" w:hAnsiTheme="minorEastAsia" w:eastAsiaTheme="minorEastAsia" w:cstheme="minorEastAsia"/>
          <w:b/>
          <w:bCs/>
          <w:color w:val="auto"/>
          <w:sz w:val="30"/>
          <w:szCs w:val="30"/>
          <w:highlight w:val="none"/>
          <w:lang w:val="en-US" w:eastAsia="zh-CN"/>
        </w:rPr>
        <w:t>王工</w:t>
      </w:r>
    </w:p>
    <w:p w14:paraId="545E166E">
      <w:pPr>
        <w:keepNext w:val="0"/>
        <w:keepLines w:val="0"/>
        <w:pageBreakBefore w:val="0"/>
        <w:kinsoku/>
        <w:wordWrap/>
        <w:overflowPunct/>
        <w:topLinePunct w:val="0"/>
        <w:autoSpaceDE/>
        <w:autoSpaceDN/>
        <w:bidi w:val="0"/>
        <w:adjustRightInd/>
        <w:spacing w:line="480" w:lineRule="auto"/>
        <w:textAlignment w:val="auto"/>
        <w:rPr>
          <w:rFonts w:hint="default"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联系电话：</w:t>
      </w:r>
      <w:r>
        <w:rPr>
          <w:rFonts w:hint="eastAsia" w:asciiTheme="minorEastAsia" w:hAnsiTheme="minorEastAsia" w:eastAsiaTheme="minorEastAsia" w:cstheme="minorEastAsia"/>
          <w:b/>
          <w:bCs/>
          <w:color w:val="auto"/>
          <w:sz w:val="30"/>
          <w:szCs w:val="30"/>
          <w:highlight w:val="none"/>
          <w:lang w:val="en-US" w:eastAsia="zh-CN"/>
        </w:rPr>
        <w:t>18099108318</w:t>
      </w:r>
    </w:p>
    <w:p w14:paraId="388F5B72">
      <w:pPr>
        <w:keepNext w:val="0"/>
        <w:keepLines w:val="0"/>
        <w:pageBreakBefore w:val="0"/>
        <w:kinsoku/>
        <w:wordWrap/>
        <w:overflowPunct/>
        <w:topLinePunct w:val="0"/>
        <w:autoSpaceDE/>
        <w:autoSpaceDN/>
        <w:bidi w:val="0"/>
        <w:adjustRightInd/>
        <w:spacing w:line="480" w:lineRule="auto"/>
        <w:ind w:right="-378" w:rightChars="-180"/>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联系地址：乌鲁木齐市会展大道599号新疆财富中心C座6楼601室</w:t>
      </w:r>
    </w:p>
    <w:p w14:paraId="42ED4004">
      <w:pPr>
        <w:spacing w:line="360" w:lineRule="auto"/>
        <w:rPr>
          <w:rFonts w:hint="eastAsia" w:ascii="宋体" w:hAnsi="宋体" w:eastAsia="宋体" w:cs="宋体"/>
          <w:b/>
          <w:color w:val="auto"/>
          <w:sz w:val="24"/>
          <w:highlight w:val="none"/>
        </w:rPr>
      </w:pPr>
    </w:p>
    <w:p w14:paraId="217F9A31">
      <w:pPr>
        <w:rPr>
          <w:rFonts w:hint="eastAsia" w:ascii="宋体" w:hAnsi="宋体" w:eastAsia="宋体" w:cs="宋体"/>
          <w:b/>
          <w:color w:val="auto"/>
          <w:sz w:val="24"/>
          <w:highlight w:val="none"/>
        </w:rPr>
      </w:pPr>
      <w:bookmarkStart w:id="0" w:name="_Toc10285"/>
      <w:bookmarkStart w:id="1" w:name="_Toc7536"/>
      <w:bookmarkStart w:id="2" w:name="_Toc10043"/>
      <w:bookmarkStart w:id="3" w:name="_Toc29254"/>
      <w:bookmarkStart w:id="4" w:name="_Toc20653"/>
      <w:bookmarkStart w:id="5" w:name="_Toc2686"/>
      <w:bookmarkStart w:id="6" w:name="_Toc31151"/>
      <w:bookmarkStart w:id="7" w:name="_Toc18699"/>
      <w:r>
        <w:rPr>
          <w:rFonts w:hint="eastAsia" w:ascii="宋体" w:hAnsi="宋体" w:eastAsia="宋体" w:cs="宋体"/>
          <w:b/>
          <w:color w:val="auto"/>
          <w:sz w:val="24"/>
          <w:highlight w:val="none"/>
        </w:rPr>
        <w:br w:type="page"/>
      </w:r>
    </w:p>
    <w:p w14:paraId="58E0993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目    录</w:t>
      </w:r>
      <w:bookmarkEnd w:id="0"/>
      <w:bookmarkEnd w:id="1"/>
      <w:bookmarkEnd w:id="2"/>
      <w:bookmarkEnd w:id="3"/>
      <w:bookmarkEnd w:id="4"/>
      <w:bookmarkEnd w:id="5"/>
      <w:bookmarkEnd w:id="6"/>
      <w:bookmarkEnd w:id="7"/>
    </w:p>
    <w:p w14:paraId="463CB9B4">
      <w:pPr>
        <w:pStyle w:val="25"/>
        <w:tabs>
          <w:tab w:val="right" w:leader="dot" w:pos="8959"/>
        </w:tabs>
        <w:rPr>
          <w:color w:val="auto"/>
          <w:highlight w:val="none"/>
        </w:rPr>
      </w:pPr>
      <w:r>
        <w:rPr>
          <w:rFonts w:hint="eastAsia" w:ascii="宋体" w:hAnsi="宋体" w:eastAsia="宋体" w:cs="宋体"/>
          <w:caps w:val="0"/>
          <w:color w:val="auto"/>
          <w:sz w:val="24"/>
          <w:szCs w:val="24"/>
          <w:highlight w:val="none"/>
        </w:rPr>
        <w:fldChar w:fldCharType="begin"/>
      </w:r>
      <w:r>
        <w:rPr>
          <w:rFonts w:hint="eastAsia" w:ascii="宋体" w:hAnsi="宋体" w:eastAsia="宋体" w:cs="宋体"/>
          <w:caps w:val="0"/>
          <w:color w:val="auto"/>
          <w:sz w:val="24"/>
          <w:szCs w:val="24"/>
          <w:highlight w:val="none"/>
        </w:rPr>
        <w:instrText xml:space="preserve">TOC \o "1-1" \h \u </w:instrText>
      </w:r>
      <w:r>
        <w:rPr>
          <w:rFonts w:hint="eastAsia" w:ascii="宋体" w:hAnsi="宋体" w:eastAsia="宋体" w:cs="宋体"/>
          <w:caps w:val="0"/>
          <w:color w:val="auto"/>
          <w:sz w:val="24"/>
          <w:szCs w:val="24"/>
          <w:highlight w:val="none"/>
        </w:rPr>
        <w:fldChar w:fldCharType="separate"/>
      </w:r>
      <w:r>
        <w:rPr>
          <w:rFonts w:hint="eastAsia" w:ascii="宋体" w:hAnsi="宋体" w:eastAsia="宋体" w:cs="宋体"/>
          <w:caps w:val="0"/>
          <w:color w:val="auto"/>
          <w:szCs w:val="24"/>
          <w:highlight w:val="none"/>
        </w:rPr>
        <w:fldChar w:fldCharType="begin"/>
      </w:r>
      <w:r>
        <w:rPr>
          <w:rFonts w:hint="eastAsia" w:ascii="宋体" w:hAnsi="宋体" w:eastAsia="宋体" w:cs="宋体"/>
          <w:caps w:val="0"/>
          <w:color w:val="auto"/>
          <w:szCs w:val="24"/>
          <w:highlight w:val="none"/>
        </w:rPr>
        <w:instrText xml:space="preserve"> HYPERLINK \l _Toc12235 </w:instrText>
      </w:r>
      <w:r>
        <w:rPr>
          <w:rFonts w:hint="eastAsia" w:ascii="宋体" w:hAnsi="宋体" w:eastAsia="宋体" w:cs="宋体"/>
          <w:caps w:val="0"/>
          <w:color w:val="auto"/>
          <w:szCs w:val="24"/>
          <w:highlight w:val="none"/>
        </w:rPr>
        <w:fldChar w:fldCharType="separate"/>
      </w:r>
      <w:r>
        <w:rPr>
          <w:rFonts w:hint="eastAsia" w:ascii="宋体" w:hAnsi="宋体" w:eastAsia="宋体" w:cs="宋体"/>
          <w:bCs w:val="0"/>
          <w:color w:val="auto"/>
          <w:szCs w:val="24"/>
          <w:highlight w:val="none"/>
        </w:rPr>
        <w:t xml:space="preserve">第一章  </w:t>
      </w:r>
      <w:r>
        <w:rPr>
          <w:rFonts w:hint="eastAsia" w:ascii="宋体" w:hAnsi="宋体" w:eastAsia="宋体" w:cs="宋体"/>
          <w:bCs w:val="0"/>
          <w:color w:val="auto"/>
          <w:szCs w:val="24"/>
          <w:highlight w:val="none"/>
          <w:lang w:val="en-US" w:eastAsia="zh-CN"/>
        </w:rPr>
        <w:t>招标</w:t>
      </w:r>
      <w:r>
        <w:rPr>
          <w:rFonts w:hint="eastAsia" w:ascii="宋体" w:hAnsi="宋体" w:eastAsia="宋体" w:cs="宋体"/>
          <w:bCs w:val="0"/>
          <w:color w:val="auto"/>
          <w:szCs w:val="24"/>
          <w:highlight w:val="none"/>
        </w:rPr>
        <w:t>公告</w:t>
      </w:r>
      <w:r>
        <w:rPr>
          <w:color w:val="auto"/>
          <w:highlight w:val="none"/>
        </w:rPr>
        <w:tab/>
      </w:r>
      <w:r>
        <w:rPr>
          <w:color w:val="auto"/>
          <w:highlight w:val="none"/>
        </w:rPr>
        <w:fldChar w:fldCharType="begin"/>
      </w:r>
      <w:r>
        <w:rPr>
          <w:color w:val="auto"/>
          <w:highlight w:val="none"/>
        </w:rPr>
        <w:instrText xml:space="preserve"> PAGEREF _Toc12235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aps w:val="0"/>
          <w:color w:val="auto"/>
          <w:szCs w:val="24"/>
          <w:highlight w:val="none"/>
        </w:rPr>
        <w:fldChar w:fldCharType="end"/>
      </w:r>
    </w:p>
    <w:p w14:paraId="13458B08">
      <w:pPr>
        <w:pStyle w:val="25"/>
        <w:tabs>
          <w:tab w:val="right" w:leader="dot" w:pos="895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_Toc7333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4"/>
          <w:highlight w:val="none"/>
        </w:rPr>
        <w:fldChar w:fldCharType="end"/>
      </w:r>
    </w:p>
    <w:p w14:paraId="3BBD6F8D">
      <w:pPr>
        <w:pStyle w:val="25"/>
        <w:tabs>
          <w:tab w:val="right" w:leader="dot" w:pos="895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_Toc2998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xml:space="preserve">第三章  </w:t>
      </w:r>
      <w:r>
        <w:rPr>
          <w:rFonts w:hint="eastAsia" w:ascii="宋体" w:hAnsi="宋体" w:cs="宋体"/>
          <w:color w:val="auto"/>
          <w:szCs w:val="24"/>
          <w:highlight w:val="none"/>
          <w:lang w:eastAsia="zh-CN"/>
        </w:rPr>
        <w:t>投标文件</w:t>
      </w:r>
      <w:r>
        <w:rPr>
          <w:rFonts w:hint="eastAsia" w:ascii="宋体" w:hAnsi="宋体" w:eastAsia="宋体" w:cs="宋体"/>
          <w:color w:val="auto"/>
          <w:szCs w:val="24"/>
          <w:highlight w:val="none"/>
        </w:rPr>
        <w:t>格式</w:t>
      </w:r>
      <w:r>
        <w:rPr>
          <w:color w:val="auto"/>
          <w:highlight w:val="none"/>
        </w:rPr>
        <w:tab/>
      </w:r>
      <w:r>
        <w:rPr>
          <w:color w:val="auto"/>
          <w:highlight w:val="none"/>
        </w:rPr>
        <w:fldChar w:fldCharType="begin"/>
      </w:r>
      <w:r>
        <w:rPr>
          <w:color w:val="auto"/>
          <w:highlight w:val="none"/>
        </w:rPr>
        <w:instrText xml:space="preserve"> PAGEREF _Toc2998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4CAEE197">
      <w:pPr>
        <w:pStyle w:val="25"/>
        <w:tabs>
          <w:tab w:val="right" w:leader="dot" w:pos="895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_Toc11546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eastAsia="zh-CN"/>
        </w:rPr>
        <w:t>第四章 项目服务需求</w:t>
      </w:r>
      <w:r>
        <w:rPr>
          <w:color w:val="auto"/>
          <w:highlight w:val="none"/>
        </w:rPr>
        <w:tab/>
      </w:r>
      <w:r>
        <w:rPr>
          <w:color w:val="auto"/>
          <w:highlight w:val="none"/>
        </w:rPr>
        <w:fldChar w:fldCharType="begin"/>
      </w:r>
      <w:r>
        <w:rPr>
          <w:color w:val="auto"/>
          <w:highlight w:val="none"/>
        </w:rPr>
        <w:instrText xml:space="preserve"> PAGEREF _Toc11546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4"/>
          <w:highlight w:val="none"/>
        </w:rPr>
        <w:fldChar w:fldCharType="end"/>
      </w:r>
    </w:p>
    <w:p w14:paraId="6F6F8F6A">
      <w:pPr>
        <w:pStyle w:val="25"/>
        <w:tabs>
          <w:tab w:val="right" w:leader="dot" w:pos="895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_Toc3796 </w:instrText>
      </w:r>
      <w:r>
        <w:rPr>
          <w:rFonts w:hint="eastAsia" w:ascii="宋体" w:hAnsi="宋体" w:eastAsia="宋体" w:cs="宋体"/>
          <w:color w:val="auto"/>
          <w:szCs w:val="24"/>
          <w:highlight w:val="none"/>
        </w:rPr>
        <w:fldChar w:fldCharType="separate"/>
      </w:r>
      <w:r>
        <w:rPr>
          <w:rFonts w:hint="eastAsia"/>
          <w:color w:val="auto"/>
          <w:szCs w:val="24"/>
          <w:highlight w:val="none"/>
        </w:rPr>
        <w:t>第五章  评审办法</w:t>
      </w:r>
      <w:r>
        <w:rPr>
          <w:color w:val="auto"/>
          <w:highlight w:val="none"/>
        </w:rPr>
        <w:tab/>
      </w:r>
      <w:r>
        <w:rPr>
          <w:color w:val="auto"/>
          <w:highlight w:val="none"/>
        </w:rPr>
        <w:fldChar w:fldCharType="begin"/>
      </w:r>
      <w:r>
        <w:rPr>
          <w:color w:val="auto"/>
          <w:highlight w:val="none"/>
        </w:rPr>
        <w:instrText xml:space="preserve"> PAGEREF _Toc3796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zCs w:val="24"/>
          <w:highlight w:val="none"/>
        </w:rPr>
        <w:fldChar w:fldCharType="end"/>
      </w:r>
    </w:p>
    <w:p w14:paraId="24CB2780">
      <w:pPr>
        <w:pStyle w:val="25"/>
        <w:tabs>
          <w:tab w:val="right" w:leader="dot" w:pos="895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合同草案条款</w:t>
      </w:r>
      <w:r>
        <w:rPr>
          <w:color w:val="auto"/>
          <w:highlight w:val="none"/>
        </w:rPr>
        <w:tab/>
      </w:r>
      <w:r>
        <w:rPr>
          <w:color w:val="auto"/>
          <w:highlight w:val="none"/>
        </w:rPr>
        <w:fldChar w:fldCharType="begin"/>
      </w:r>
      <w:r>
        <w:rPr>
          <w:color w:val="auto"/>
          <w:highlight w:val="none"/>
        </w:rPr>
        <w:instrText xml:space="preserve"> PAGEREF _Toc8932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69B3DBC0">
      <w:pPr>
        <w:pStyle w:val="12"/>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end"/>
      </w:r>
    </w:p>
    <w:p w14:paraId="0C9D22FE">
      <w:pPr>
        <w:pStyle w:val="12"/>
        <w:spacing w:line="360" w:lineRule="auto"/>
        <w:rPr>
          <w:rFonts w:hint="eastAsia" w:ascii="宋体" w:hAnsi="宋体" w:eastAsia="宋体" w:cs="宋体"/>
          <w:bCs/>
          <w:color w:val="auto"/>
          <w:szCs w:val="24"/>
          <w:highlight w:val="none"/>
        </w:rPr>
      </w:pPr>
    </w:p>
    <w:p w14:paraId="7E3034C2">
      <w:pPr>
        <w:pStyle w:val="2"/>
        <w:spacing w:line="360" w:lineRule="auto"/>
        <w:rPr>
          <w:rFonts w:hint="eastAsia" w:ascii="宋体" w:hAnsi="宋体" w:eastAsia="宋体" w:cs="宋体"/>
          <w:bCs w:val="0"/>
          <w:color w:val="auto"/>
          <w:sz w:val="24"/>
          <w:szCs w:val="24"/>
          <w:highlight w:val="none"/>
        </w:rPr>
        <w:sectPr>
          <w:headerReference r:id="rId4" w:type="default"/>
          <w:footerReference r:id="rId5" w:type="default"/>
          <w:pgSz w:w="11907" w:h="16840"/>
          <w:pgMar w:top="1440" w:right="1474" w:bottom="1440" w:left="1474" w:header="851" w:footer="992" w:gutter="0"/>
          <w:pgNumType w:start="1"/>
          <w:cols w:space="720" w:num="1"/>
          <w:docGrid w:linePitch="312" w:charSpace="0"/>
        </w:sectPr>
      </w:pPr>
    </w:p>
    <w:p w14:paraId="17B4D826">
      <w:pPr>
        <w:pStyle w:val="2"/>
        <w:spacing w:line="360" w:lineRule="auto"/>
        <w:rPr>
          <w:rFonts w:hint="eastAsia" w:ascii="宋体" w:hAnsi="宋体" w:eastAsia="宋体" w:cs="宋体"/>
          <w:color w:val="auto"/>
          <w:sz w:val="24"/>
          <w:szCs w:val="24"/>
          <w:highlight w:val="none"/>
        </w:rPr>
      </w:pPr>
      <w:bookmarkStart w:id="8" w:name="_Toc647_WPSOffice_Level1"/>
      <w:bookmarkStart w:id="9" w:name="_Toc12235"/>
      <w:bookmarkStart w:id="10" w:name="_Toc217446031"/>
      <w:bookmarkStart w:id="11" w:name="_Toc856_WPSOffice_Level1"/>
      <w:bookmarkStart w:id="12" w:name="_Toc213397009"/>
      <w:bookmarkStart w:id="13" w:name="_Toc213396945"/>
      <w:bookmarkStart w:id="14" w:name="_Toc213396759"/>
      <w:bookmarkStart w:id="15" w:name="_Toc213496267"/>
      <w:r>
        <w:rPr>
          <w:rFonts w:hint="eastAsia" w:ascii="宋体" w:hAnsi="宋体" w:eastAsia="宋体" w:cs="宋体"/>
          <w:bCs w:val="0"/>
          <w:color w:val="auto"/>
          <w:sz w:val="24"/>
          <w:szCs w:val="24"/>
          <w:highlight w:val="none"/>
        </w:rPr>
        <w:t xml:space="preserve">第一章  </w:t>
      </w:r>
      <w:bookmarkEnd w:id="8"/>
      <w:r>
        <w:rPr>
          <w:rFonts w:hint="eastAsia" w:ascii="宋体" w:hAnsi="宋体" w:eastAsia="宋体" w:cs="宋体"/>
          <w:bCs w:val="0"/>
          <w:color w:val="auto"/>
          <w:sz w:val="24"/>
          <w:szCs w:val="24"/>
          <w:highlight w:val="none"/>
          <w:lang w:val="en-US" w:eastAsia="zh-CN"/>
        </w:rPr>
        <w:t>招标</w:t>
      </w:r>
      <w:r>
        <w:rPr>
          <w:rFonts w:hint="eastAsia" w:ascii="宋体" w:hAnsi="宋体" w:eastAsia="宋体" w:cs="宋体"/>
          <w:bCs w:val="0"/>
          <w:color w:val="auto"/>
          <w:sz w:val="24"/>
          <w:szCs w:val="24"/>
          <w:highlight w:val="none"/>
        </w:rPr>
        <w:t>公告</w:t>
      </w:r>
      <w:bookmarkEnd w:id="9"/>
    </w:p>
    <w:p w14:paraId="5BB765C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E3939C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新疆维吾尔自治区昌吉某某单位移动执法系统运维服务项目</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的潜</w:t>
      </w:r>
      <w:r>
        <w:rPr>
          <w:rFonts w:hint="eastAsia" w:ascii="宋体" w:hAnsi="宋体" w:eastAsia="宋体" w:cs="宋体"/>
          <w:color w:val="auto"/>
          <w:sz w:val="24"/>
          <w:szCs w:val="24"/>
          <w:highlight w:val="none"/>
          <w:lang w:val="en-US" w:eastAsia="zh-CN"/>
        </w:rPr>
        <w:t>在供应商</w:t>
      </w:r>
      <w:r>
        <w:rPr>
          <w:rFonts w:hint="eastAsia" w:ascii="宋体" w:hAnsi="宋体" w:eastAsia="宋体" w:cs="宋体"/>
          <w:color w:val="auto"/>
          <w:sz w:val="24"/>
          <w:szCs w:val="24"/>
          <w:highlight w:val="none"/>
        </w:rPr>
        <w:t>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日11点00分（</w:t>
      </w:r>
      <w:r>
        <w:rPr>
          <w:rFonts w:hint="eastAsia" w:ascii="宋体" w:hAnsi="宋体" w:eastAsia="宋体" w:cs="宋体"/>
          <w:bCs/>
          <w:color w:val="auto"/>
          <w:sz w:val="24"/>
          <w:szCs w:val="24"/>
          <w:highlight w:val="none"/>
        </w:rPr>
        <w:t>北京时间）前上传</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11D08ECF">
      <w:pPr>
        <w:pStyle w:val="49"/>
        <w:widowControl/>
        <w:numPr>
          <w:ilvl w:val="0"/>
          <w:numId w:val="0"/>
        </w:numPr>
        <w:adjustRightInd/>
        <w:spacing w:line="360" w:lineRule="auto"/>
        <w:jc w:val="left"/>
        <w:textAlignment w:val="auto"/>
        <w:rPr>
          <w:rFonts w:hint="eastAsia" w:ascii="宋体" w:hAnsi="宋体" w:eastAsia="宋体" w:cs="宋体"/>
          <w:color w:val="auto"/>
          <w:sz w:val="24"/>
          <w:szCs w:val="24"/>
          <w:highlight w:val="none"/>
          <w:u w:val="single"/>
        </w:rPr>
      </w:pPr>
      <w:bookmarkStart w:id="16" w:name="_Toc35393790"/>
      <w:bookmarkStart w:id="17" w:name="_Toc28359079"/>
      <w:bookmarkStart w:id="18" w:name="_Toc28359002"/>
      <w:bookmarkStart w:id="19" w:name="_Toc35393621"/>
      <w:r>
        <w:rPr>
          <w:rFonts w:hint="eastAsia" w:ascii="宋体" w:hAnsi="宋体" w:eastAsia="宋体" w:cs="宋体"/>
          <w:b/>
          <w:bCs/>
          <w:color w:val="auto"/>
          <w:sz w:val="24"/>
          <w:szCs w:val="24"/>
          <w:highlight w:val="none"/>
        </w:rPr>
        <w:t>一、项目基本情况</w:t>
      </w:r>
      <w:bookmarkEnd w:id="16"/>
      <w:bookmarkEnd w:id="17"/>
      <w:bookmarkEnd w:id="18"/>
      <w:bookmarkEnd w:id="19"/>
    </w:p>
    <w:p w14:paraId="59326AED">
      <w:pPr>
        <w:pStyle w:val="49"/>
        <w:widowControl/>
        <w:numPr>
          <w:ilvl w:val="0"/>
          <w:numId w:val="0"/>
        </w:numPr>
        <w:adjustRightInd/>
        <w:spacing w:line="360" w:lineRule="auto"/>
        <w:jc w:val="left"/>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项目编号</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XJCY2026-ZB-082</w:t>
      </w:r>
    </w:p>
    <w:p w14:paraId="0306B6E7">
      <w:pPr>
        <w:pStyle w:val="49"/>
        <w:widowControl/>
        <w:numPr>
          <w:ilvl w:val="0"/>
          <w:numId w:val="0"/>
        </w:num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项目名称：新疆维吾尔自治区昌吉某某单位移动执法系统运维服务项目</w:t>
      </w:r>
    </w:p>
    <w:p w14:paraId="07A5DB88">
      <w:pPr>
        <w:pStyle w:val="50"/>
        <w:widowControl/>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预算金额</w:t>
      </w:r>
      <w:r>
        <w:rPr>
          <w:rFonts w:hint="eastAsia" w:ascii="宋体" w:hAnsi="宋体" w:eastAsia="宋体" w:cs="宋体"/>
          <w:color w:val="auto"/>
          <w:kern w:val="0"/>
          <w:sz w:val="24"/>
          <w:szCs w:val="24"/>
          <w:highlight w:val="none"/>
          <w:lang w:eastAsia="zh-CN"/>
        </w:rPr>
        <w:t>：126</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75</w:t>
      </w:r>
      <w:r>
        <w:rPr>
          <w:rFonts w:hint="eastAsia" w:ascii="宋体" w:hAnsi="宋体" w:eastAsia="宋体" w:cs="宋体"/>
          <w:color w:val="auto"/>
          <w:kern w:val="0"/>
          <w:sz w:val="24"/>
          <w:szCs w:val="24"/>
          <w:highlight w:val="none"/>
          <w:lang w:val="en-US" w:eastAsia="zh-CN"/>
        </w:rPr>
        <w:t>万元</w:t>
      </w:r>
    </w:p>
    <w:p w14:paraId="1B624494">
      <w:pPr>
        <w:pStyle w:val="50"/>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rPr>
        <w:t>本次运行维护服务内容主要包括四部分，分别是移动执法终端的运行保障及维修替换服务、管理平台运维服务、应用功能提升完善服务、安全管控能力服务。</w:t>
      </w:r>
    </w:p>
    <w:p w14:paraId="7E43DF43">
      <w:pPr>
        <w:pStyle w:val="50"/>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其中移动执法终端的运行保障及维修替换服务包括移动执法终端的维护服务；管理平台运维服务包括但不限于移终端启用管理、终端应用管理、终端内容管理、终端网络管控、终端文件传输管控、终端通讯管控、终端定位管控、终端端口管理、终端状态管理、终端其他安全管控、模式管控、策略管理、人员组织管理、系统管理、系统监控、报表管理、运维支撑；应用功能提升完善服务包含但不限于：应用商店、通讯录、</w:t>
      </w:r>
      <w:r>
        <w:rPr>
          <w:rFonts w:hint="eastAsia" w:ascii="宋体" w:hAnsi="宋体" w:eastAsia="宋体" w:cs="宋体"/>
          <w:color w:val="auto"/>
          <w:kern w:val="0"/>
          <w:sz w:val="24"/>
          <w:szCs w:val="24"/>
          <w:highlight w:val="none"/>
          <w:lang w:eastAsia="zh-CN"/>
        </w:rPr>
        <w:t>安全身份认证、</w:t>
      </w:r>
      <w:r>
        <w:rPr>
          <w:rFonts w:hint="eastAsia" w:ascii="宋体" w:hAnsi="宋体" w:eastAsia="宋体" w:cs="宋体"/>
          <w:color w:val="auto"/>
          <w:kern w:val="0"/>
          <w:sz w:val="24"/>
          <w:szCs w:val="24"/>
          <w:highlight w:val="none"/>
        </w:rPr>
        <w:t>语音输入法、学习手册、人脸特征值算法、一键报警、执法取证、指挥调度</w:t>
      </w:r>
      <w:r>
        <w:rPr>
          <w:rFonts w:hint="eastAsia" w:ascii="宋体" w:hAnsi="宋体" w:eastAsia="宋体" w:cs="宋体"/>
          <w:color w:val="auto"/>
          <w:kern w:val="0"/>
          <w:sz w:val="24"/>
          <w:szCs w:val="24"/>
          <w:highlight w:val="none"/>
          <w:lang w:eastAsia="zh-CN"/>
        </w:rPr>
        <w:t>、日历、警务拍、数字对讲、即时通讯</w:t>
      </w:r>
      <w:r>
        <w:rPr>
          <w:rFonts w:hint="eastAsia" w:ascii="宋体" w:hAnsi="宋体" w:eastAsia="宋体" w:cs="宋体"/>
          <w:color w:val="auto"/>
          <w:kern w:val="0"/>
          <w:sz w:val="24"/>
          <w:szCs w:val="24"/>
          <w:highlight w:val="none"/>
        </w:rPr>
        <w:t>等；安全管控能力服务包括但不限于防火墙、请求交换节点、视频交换节点、网闸等、安全管理中心等运维服务内容。</w:t>
      </w:r>
      <w:r>
        <w:rPr>
          <w:rFonts w:hint="eastAsia" w:ascii="宋体" w:hAnsi="宋体" w:eastAsia="宋体" w:cs="宋体"/>
          <w:color w:val="auto"/>
          <w:kern w:val="0"/>
          <w:sz w:val="24"/>
          <w:szCs w:val="24"/>
          <w:highlight w:val="none"/>
          <w:lang w:val="en-US" w:eastAsia="zh-CN"/>
        </w:rPr>
        <w:t>具体详见</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文件采购需求。</w:t>
      </w:r>
    </w:p>
    <w:p w14:paraId="467C3432">
      <w:pPr>
        <w:pStyle w:val="50"/>
        <w:widowControl/>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期：</w:t>
      </w:r>
      <w:r>
        <w:rPr>
          <w:rFonts w:hint="eastAsia" w:ascii="宋体" w:hAnsi="宋体" w:eastAsia="宋体" w:cs="宋体"/>
          <w:color w:val="auto"/>
          <w:kern w:val="0"/>
          <w:sz w:val="24"/>
          <w:szCs w:val="24"/>
          <w:highlight w:val="none"/>
          <w:lang w:val="en-US" w:eastAsia="zh-CN"/>
        </w:rPr>
        <w:t>自合同签订之日起12个月。</w:t>
      </w:r>
    </w:p>
    <w:p w14:paraId="1BC3CBCE">
      <w:pPr>
        <w:pStyle w:val="50"/>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接受</w:t>
      </w:r>
      <w:r>
        <w:rPr>
          <w:rFonts w:hint="eastAsia" w:ascii="宋体" w:hAnsi="宋体" w:eastAsia="宋体" w:cs="宋体"/>
          <w:color w:val="auto"/>
          <w:kern w:val="0"/>
          <w:sz w:val="24"/>
          <w:szCs w:val="24"/>
          <w:highlight w:val="none"/>
        </w:rPr>
        <w:t>联合体投标。</w:t>
      </w:r>
    </w:p>
    <w:p w14:paraId="3210B41B">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color w:val="auto"/>
          <w:kern w:val="0"/>
          <w:sz w:val="24"/>
          <w:szCs w:val="24"/>
          <w:highlight w:val="none"/>
        </w:rPr>
      </w:pPr>
      <w:bookmarkStart w:id="20" w:name="_Toc35393622"/>
      <w:bookmarkStart w:id="21" w:name="_Toc28359080"/>
      <w:bookmarkStart w:id="22" w:name="_Toc28359003"/>
      <w:bookmarkStart w:id="23" w:name="_Toc35393791"/>
      <w:r>
        <w:rPr>
          <w:rFonts w:hint="eastAsia" w:ascii="宋体" w:hAnsi="宋体" w:eastAsia="宋体" w:cs="宋体"/>
          <w:b/>
          <w:bCs/>
          <w:color w:val="auto"/>
          <w:sz w:val="24"/>
          <w:szCs w:val="24"/>
          <w:highlight w:val="none"/>
        </w:rPr>
        <w:t>二、申请人的资格要求</w:t>
      </w:r>
      <w:bookmarkEnd w:id="20"/>
      <w:bookmarkEnd w:id="21"/>
      <w:bookmarkEnd w:id="22"/>
      <w:bookmarkEnd w:id="23"/>
    </w:p>
    <w:p w14:paraId="4F9AE56A">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1F9EE0EC">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2、落实政府采购政策需满足的资格要求：本项目不专门面向中小企业</w:t>
      </w:r>
      <w:r>
        <w:rPr>
          <w:rFonts w:hint="eastAsia" w:ascii="宋体" w:hAnsi="宋体" w:cs="宋体"/>
          <w:color w:val="auto"/>
          <w:kern w:val="0"/>
          <w:sz w:val="24"/>
          <w:szCs w:val="24"/>
          <w:highlight w:val="none"/>
          <w:lang w:val="en-US" w:eastAsia="zh-CN" w:bidi="ar-SA"/>
        </w:rPr>
        <w:t>；</w:t>
      </w:r>
    </w:p>
    <w:p w14:paraId="0A1F1A9B">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本项目的特定资格要求：</w:t>
      </w:r>
    </w:p>
    <w:p w14:paraId="04B14D5F">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（1）供应商须具有有效的《基础电信业务经营许可证》；</w:t>
      </w:r>
    </w:p>
    <w:p w14:paraId="1A707269">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）单位负责人为同一人或者存在直接控股、管理关系的不同供应商，不得参加同一合同项下的采购活动，否则取消其投标资格。</w:t>
      </w:r>
    </w:p>
    <w:p w14:paraId="7B500270">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不</w:t>
      </w:r>
      <w:r>
        <w:rPr>
          <w:rFonts w:hint="eastAsia" w:ascii="宋体" w:hAnsi="宋体" w:eastAsia="宋体" w:cs="宋体"/>
          <w:color w:val="auto"/>
          <w:kern w:val="0"/>
          <w:sz w:val="24"/>
          <w:szCs w:val="24"/>
          <w:highlight w:val="none"/>
          <w:lang w:val="en-US" w:eastAsia="zh-CN" w:bidi="ar-SA"/>
        </w:rPr>
        <w:t>接受联合体。</w:t>
      </w:r>
    </w:p>
    <w:p w14:paraId="10483E48">
      <w:pPr>
        <w:pStyle w:val="49"/>
        <w:widowControl/>
        <w:adjustRightInd/>
        <w:spacing w:line="360" w:lineRule="auto"/>
        <w:jc w:val="left"/>
        <w:textAlignment w:val="auto"/>
        <w:rPr>
          <w:rFonts w:hint="eastAsia" w:ascii="宋体" w:hAnsi="宋体" w:eastAsia="宋体" w:cs="宋体"/>
          <w:color w:val="auto"/>
          <w:sz w:val="24"/>
          <w:szCs w:val="24"/>
          <w:highlight w:val="none"/>
        </w:rPr>
      </w:pPr>
      <w:bookmarkStart w:id="24" w:name="_Toc35393623"/>
      <w:bookmarkStart w:id="25" w:name="_Toc35393792"/>
      <w:r>
        <w:rPr>
          <w:rFonts w:hint="eastAsia" w:ascii="宋体" w:hAnsi="宋体" w:eastAsia="宋体" w:cs="宋体"/>
          <w:b/>
          <w:bCs/>
          <w:color w:val="auto"/>
          <w:sz w:val="24"/>
          <w:szCs w:val="24"/>
          <w:highlight w:val="none"/>
        </w:rPr>
        <w:t>三、获取</w:t>
      </w:r>
      <w:r>
        <w:rPr>
          <w:rFonts w:hint="eastAsia" w:hAnsi="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24"/>
      <w:bookmarkEnd w:id="25"/>
      <w:r>
        <w:rPr>
          <w:rFonts w:hint="eastAsia" w:hAnsi="宋体" w:cs="宋体"/>
          <w:b/>
          <w:bCs/>
          <w:color w:val="auto"/>
          <w:sz w:val="24"/>
          <w:szCs w:val="24"/>
          <w:highlight w:val="none"/>
          <w:lang w:val="en-US" w:eastAsia="zh-CN"/>
        </w:rPr>
        <w:t>时间及地点</w:t>
      </w:r>
      <w:r>
        <w:rPr>
          <w:rFonts w:hint="eastAsia" w:ascii="宋体" w:hAnsi="宋体" w:eastAsia="宋体" w:cs="宋体"/>
          <w:color w:val="auto"/>
          <w:sz w:val="24"/>
          <w:szCs w:val="24"/>
          <w:highlight w:val="none"/>
        </w:rPr>
        <w:t xml:space="preserve"> </w:t>
      </w:r>
    </w:p>
    <w:p w14:paraId="219BB706">
      <w:pPr>
        <w:pStyle w:val="50"/>
        <w:widowControl/>
        <w:numPr>
          <w:ilvl w:val="0"/>
          <w:numId w:val="0"/>
        </w:numPr>
        <w:spacing w:line="360" w:lineRule="auto"/>
        <w:ind w:left="0" w:leftChars="0" w:firstLine="0" w:firstLineChars="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时间：</w:t>
      </w:r>
      <w:r>
        <w:rPr>
          <w:rFonts w:hint="eastAsia" w:ascii="宋体" w:hAnsi="宋体" w:cs="宋体"/>
          <w:color w:val="auto"/>
          <w:kern w:val="0"/>
          <w:sz w:val="24"/>
          <w:szCs w:val="24"/>
          <w:highlight w:val="none"/>
          <w:lang w:val="en-US" w:eastAsia="zh-CN"/>
        </w:rPr>
        <w:t>2026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日，每天上午00:00至23：59（北京时间，线上获取法定节假日均可）；</w:t>
      </w:r>
    </w:p>
    <w:p w14:paraId="30BE9ADE">
      <w:pPr>
        <w:pStyle w:val="50"/>
        <w:widowControl/>
        <w:numPr>
          <w:ilvl w:val="0"/>
          <w:numId w:val="0"/>
        </w:numPr>
        <w:spacing w:line="360" w:lineRule="auto"/>
        <w:ind w:left="0" w:leftChars="0" w:firstLine="0" w:firstLineChars="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地点：供应商登录政采云平台http://www.zcygov.cn/，在线申请获取招标文件（登录政府采购云平台→项目采购→获取招标文件→申请即可下载招标文件，如有操作性问题，可与政采云在线客服进行咨询，咨询电话：95763）。</w:t>
      </w:r>
    </w:p>
    <w:p w14:paraId="69A19AAA">
      <w:pPr>
        <w:pStyle w:val="50"/>
        <w:widowControl/>
        <w:numPr>
          <w:ilvl w:val="0"/>
          <w:numId w:val="0"/>
        </w:numPr>
        <w:spacing w:line="360" w:lineRule="auto"/>
        <w:ind w:left="0" w:leftChars="0" w:firstLine="0" w:firstLineChars="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方式：供应商登录新疆政府采购云平台https://www.zcygov.cn/在线申请获取招标文件（登录政府采购云平台→项目采购→获取招标文件→下载招标文件）</w:t>
      </w:r>
    </w:p>
    <w:p w14:paraId="494635E0">
      <w:pPr>
        <w:pStyle w:val="50"/>
        <w:widowControl/>
        <w:numPr>
          <w:ilvl w:val="0"/>
          <w:numId w:val="0"/>
        </w:numPr>
        <w:spacing w:line="360" w:lineRule="auto"/>
        <w:ind w:left="0" w:leftChars="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售价：免费获取</w:t>
      </w:r>
    </w:p>
    <w:p w14:paraId="0DD1D987">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26" w:name="_Toc28359005"/>
      <w:bookmarkStart w:id="27" w:name="_Toc28359082"/>
      <w:bookmarkStart w:id="28" w:name="_Toc35393793"/>
      <w:bookmarkStart w:id="29" w:name="_Toc35393624"/>
      <w:r>
        <w:rPr>
          <w:rFonts w:hint="eastAsia" w:ascii="宋体" w:hAnsi="宋体" w:eastAsia="宋体" w:cs="宋体"/>
          <w:b/>
          <w:bCs/>
          <w:color w:val="auto"/>
          <w:sz w:val="24"/>
          <w:szCs w:val="24"/>
          <w:highlight w:val="none"/>
        </w:rPr>
        <w:t>四、提交</w:t>
      </w:r>
      <w:bookmarkEnd w:id="26"/>
      <w:bookmarkEnd w:id="27"/>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截止时间、开标时间和地点</w:t>
      </w:r>
      <w:bookmarkEnd w:id="28"/>
      <w:bookmarkEnd w:id="29"/>
    </w:p>
    <w:p w14:paraId="6C272931">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rPr>
        <w:t>（北京时间）</w:t>
      </w:r>
    </w:p>
    <w:p w14:paraId="0F5734A6">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rPr>
        <w:t>（北京时间）</w:t>
      </w:r>
    </w:p>
    <w:p w14:paraId="23291E3F">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30" w:name="_Toc35393794"/>
      <w:bookmarkStart w:id="31" w:name="_Toc28359007"/>
      <w:bookmarkStart w:id="32" w:name="_Toc28359084"/>
      <w:bookmarkStart w:id="33" w:name="_Toc35393625"/>
      <w:r>
        <w:rPr>
          <w:rFonts w:hint="eastAsia" w:ascii="宋体" w:hAnsi="宋体" w:eastAsia="宋体" w:cs="宋体"/>
          <w:color w:val="auto"/>
          <w:sz w:val="24"/>
          <w:szCs w:val="24"/>
          <w:highlight w:val="none"/>
        </w:rPr>
        <w:t>政采云平台http://www.zcygov.cn/</w:t>
      </w:r>
    </w:p>
    <w:p w14:paraId="36ADB3A4">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30"/>
      <w:bookmarkEnd w:id="31"/>
      <w:bookmarkEnd w:id="32"/>
      <w:bookmarkEnd w:id="33"/>
    </w:p>
    <w:p w14:paraId="15F467E8">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58B0965">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4" w:name="_Toc35393626"/>
      <w:bookmarkStart w:id="35" w:name="_Toc35393795"/>
      <w:r>
        <w:rPr>
          <w:rFonts w:hint="eastAsia" w:ascii="宋体" w:hAnsi="宋体" w:eastAsia="宋体" w:cs="宋体"/>
          <w:b/>
          <w:bCs/>
          <w:color w:val="auto"/>
          <w:sz w:val="24"/>
          <w:szCs w:val="24"/>
          <w:highlight w:val="none"/>
        </w:rPr>
        <w:t>六、其他补充事宜</w:t>
      </w:r>
      <w:bookmarkEnd w:id="34"/>
      <w:bookmarkEnd w:id="35"/>
    </w:p>
    <w:p w14:paraId="3FE2BC21">
      <w:pPr>
        <w:pStyle w:val="5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56842D33">
      <w:pPr>
        <w:pStyle w:val="5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14B1C434">
      <w:pPr>
        <w:pStyle w:val="5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自动弃标；</w:t>
      </w:r>
    </w:p>
    <w:p w14:paraId="6791F5BB">
      <w:pPr>
        <w:pStyle w:val="5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5524A7F4">
      <w:pPr>
        <w:pStyle w:val="5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w:t>
      </w:r>
    </w:p>
    <w:p w14:paraId="53412B62">
      <w:pPr>
        <w:pStyle w:val="5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44A25535">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012FAC3C">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1、采购限额标准以上，200万元以下的货物和服务采购项目、400万元以下的工程采购项目，适宜由中小企业提供的，采购人应当专门面向中小企业采购。</w:t>
      </w:r>
    </w:p>
    <w:p w14:paraId="77A73CA5">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4C8377D4">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5AF7ED2B">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0E64B5E3">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369D5AD5">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6" w:name="_Toc35393796"/>
      <w:bookmarkStart w:id="37" w:name="_Toc35393627"/>
      <w:bookmarkStart w:id="38" w:name="_Toc28359008"/>
      <w:bookmarkStart w:id="39" w:name="_Toc28359085"/>
      <w:r>
        <w:rPr>
          <w:rFonts w:hint="eastAsia" w:ascii="宋体" w:hAnsi="宋体" w:eastAsia="宋体" w:cs="宋体"/>
          <w:b/>
          <w:bCs/>
          <w:color w:val="auto"/>
          <w:sz w:val="24"/>
          <w:szCs w:val="24"/>
          <w:highlight w:val="none"/>
        </w:rPr>
        <w:t>七、对本次招标提出询问，请按以下方式联系</w:t>
      </w:r>
      <w:bookmarkEnd w:id="36"/>
      <w:bookmarkEnd w:id="37"/>
      <w:bookmarkEnd w:id="38"/>
      <w:bookmarkEnd w:id="39"/>
      <w:r>
        <w:rPr>
          <w:rFonts w:hint="eastAsia" w:ascii="宋体" w:hAnsi="宋体" w:eastAsia="宋体" w:cs="宋体"/>
          <w:b/>
          <w:bCs/>
          <w:color w:val="auto"/>
          <w:sz w:val="24"/>
          <w:szCs w:val="24"/>
          <w:highlight w:val="none"/>
        </w:rPr>
        <w:t>：</w:t>
      </w:r>
    </w:p>
    <w:p w14:paraId="74255DB5">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1.采购人信息</w:t>
      </w:r>
    </w:p>
    <w:p w14:paraId="5B4A07C0">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名 称：新疆维吾尔自治区昌吉某某单位</w:t>
      </w:r>
    </w:p>
    <w:p w14:paraId="715D76B8">
      <w:pPr>
        <w:pStyle w:val="49"/>
        <w:widowControl/>
        <w:adjustRightInd/>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    址：新疆昌吉市大西渠镇</w:t>
      </w:r>
    </w:p>
    <w:p w14:paraId="5F629ED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bookmarkStart w:id="40" w:name="_Toc28359086"/>
      <w:bookmarkStart w:id="41" w:name="_Toc28359009"/>
      <w:r>
        <w:rPr>
          <w:rFonts w:hint="eastAsia" w:ascii="宋体" w:hAnsi="宋体" w:eastAsia="宋体" w:cs="宋体"/>
          <w:b w:val="0"/>
          <w:bCs w:val="0"/>
          <w:color w:val="auto"/>
          <w:kern w:val="0"/>
          <w:sz w:val="24"/>
          <w:szCs w:val="24"/>
          <w:highlight w:val="none"/>
          <w:lang w:val="en-US" w:eastAsia="zh-CN" w:bidi="ar-SA"/>
        </w:rPr>
        <w:t>联 系 人：张先生、赵先生</w:t>
      </w:r>
    </w:p>
    <w:p w14:paraId="176BF884">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18997566658、18209068376</w:t>
      </w:r>
    </w:p>
    <w:p w14:paraId="4DC6D7A7">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40"/>
      <w:bookmarkEnd w:id="41"/>
    </w:p>
    <w:p w14:paraId="2C6AA33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称：新疆诚誉工程项目管理有限公司</w:t>
      </w:r>
    </w:p>
    <w:p w14:paraId="7ACC3BD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址：乌鲁木齐市会展大道599号新疆财富中心C座6楼601室</w:t>
      </w:r>
    </w:p>
    <w:p w14:paraId="23FBF40D">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王工</w:t>
      </w:r>
    </w:p>
    <w:p w14:paraId="2388DEB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18099108318</w:t>
      </w:r>
    </w:p>
    <w:p w14:paraId="3BE8BE58">
      <w:pPr>
        <w:keepNext/>
        <w:keepLines/>
        <w:spacing w:line="360" w:lineRule="auto"/>
        <w:jc w:val="left"/>
        <w:outlineLvl w:val="9"/>
        <w:rPr>
          <w:rFonts w:hint="eastAsia" w:ascii="宋体" w:hAnsi="宋体" w:eastAsia="宋体" w:cs="宋体"/>
          <w:color w:val="auto"/>
          <w:kern w:val="0"/>
          <w:sz w:val="24"/>
          <w:highlight w:val="none"/>
          <w:lang w:val="en-US" w:eastAsia="zh-CN"/>
        </w:rPr>
      </w:pPr>
    </w:p>
    <w:p w14:paraId="023A3732">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2" w:name="_Toc7333"/>
      <w:r>
        <w:rPr>
          <w:rFonts w:hint="eastAsia" w:ascii="宋体" w:hAnsi="宋体" w:eastAsia="宋体" w:cs="宋体"/>
          <w:color w:val="auto"/>
          <w:sz w:val="24"/>
          <w:szCs w:val="24"/>
          <w:highlight w:val="none"/>
        </w:rPr>
        <w:t>第二章  供应商须知</w:t>
      </w:r>
      <w:bookmarkEnd w:id="10"/>
      <w:bookmarkEnd w:id="11"/>
      <w:bookmarkEnd w:id="12"/>
      <w:bookmarkEnd w:id="13"/>
      <w:bookmarkEnd w:id="14"/>
      <w:bookmarkEnd w:id="15"/>
      <w:bookmarkEnd w:id="42"/>
    </w:p>
    <w:p w14:paraId="6B9EA1AE">
      <w:pPr>
        <w:pStyle w:val="3"/>
        <w:spacing w:before="0" w:after="0" w:line="360" w:lineRule="auto"/>
        <w:jc w:val="center"/>
        <w:rPr>
          <w:rFonts w:hint="eastAsia" w:ascii="宋体" w:hAnsi="宋体" w:eastAsia="宋体" w:cs="宋体"/>
          <w:color w:val="auto"/>
          <w:sz w:val="24"/>
          <w:szCs w:val="24"/>
          <w:highlight w:val="none"/>
        </w:rPr>
      </w:pPr>
      <w:bookmarkStart w:id="43" w:name="_Toc189727030"/>
      <w:bookmarkStart w:id="44" w:name="_Toc213496268"/>
      <w:bookmarkStart w:id="45" w:name="_Toc213396760"/>
      <w:bookmarkStart w:id="46" w:name="_Toc213396946"/>
      <w:bookmarkStart w:id="47" w:name="_Toc217446032"/>
      <w:bookmarkStart w:id="48" w:name="_Toc213397010"/>
      <w:r>
        <w:rPr>
          <w:rFonts w:hint="eastAsia" w:ascii="宋体" w:hAnsi="宋体" w:eastAsia="宋体" w:cs="宋体"/>
          <w:color w:val="auto"/>
          <w:sz w:val="24"/>
          <w:szCs w:val="24"/>
          <w:highlight w:val="none"/>
        </w:rPr>
        <w:t>一、供应商须知前附表</w:t>
      </w:r>
      <w:bookmarkEnd w:id="43"/>
      <w:bookmarkEnd w:id="44"/>
      <w:bookmarkEnd w:id="45"/>
      <w:bookmarkEnd w:id="46"/>
      <w:bookmarkEnd w:id="47"/>
      <w:bookmarkEnd w:id="48"/>
    </w:p>
    <w:tbl>
      <w:tblPr>
        <w:tblStyle w:val="3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1"/>
        <w:gridCol w:w="6635"/>
      </w:tblGrid>
      <w:tr w14:paraId="7534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534" w:type="dxa"/>
            <w:vAlign w:val="center"/>
          </w:tcPr>
          <w:p w14:paraId="1C2C1FA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51" w:type="dxa"/>
            <w:vAlign w:val="center"/>
          </w:tcPr>
          <w:p w14:paraId="1B32B14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 称</w:t>
            </w:r>
          </w:p>
        </w:tc>
        <w:tc>
          <w:tcPr>
            <w:tcW w:w="6635" w:type="dxa"/>
            <w:vAlign w:val="center"/>
          </w:tcPr>
          <w:p w14:paraId="5230F1F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73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34" w:type="dxa"/>
            <w:vAlign w:val="center"/>
          </w:tcPr>
          <w:p w14:paraId="63F041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51" w:type="dxa"/>
            <w:vAlign w:val="center"/>
          </w:tcPr>
          <w:p w14:paraId="4CA322F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6635" w:type="dxa"/>
            <w:vAlign w:val="center"/>
          </w:tcPr>
          <w:p w14:paraId="5F0D05B1">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名称：新疆维吾尔自治区昌吉某某单位</w:t>
            </w:r>
          </w:p>
          <w:p w14:paraId="7C1E3A95">
            <w:pPr>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张先生、赵先生</w:t>
            </w:r>
          </w:p>
          <w:p w14:paraId="7A5DA958">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联系电话：</w:t>
            </w:r>
            <w:r>
              <w:rPr>
                <w:rFonts w:hint="eastAsia" w:ascii="宋体" w:hAnsi="宋体" w:cs="宋体"/>
                <w:color w:val="auto"/>
                <w:sz w:val="24"/>
                <w:szCs w:val="24"/>
                <w:highlight w:val="none"/>
                <w:lang w:val="en-US" w:eastAsia="zh-CN"/>
              </w:rPr>
              <w:t>18997566658、18209068376</w:t>
            </w:r>
          </w:p>
          <w:p w14:paraId="5DC9949F">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地址：昌吉市大西渠镇</w:t>
            </w:r>
          </w:p>
        </w:tc>
      </w:tr>
      <w:tr w14:paraId="0FDC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34" w:type="dxa"/>
            <w:vAlign w:val="center"/>
          </w:tcPr>
          <w:p w14:paraId="450E884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51" w:type="dxa"/>
            <w:vAlign w:val="center"/>
          </w:tcPr>
          <w:p w14:paraId="13122E9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635" w:type="dxa"/>
            <w:vAlign w:val="center"/>
          </w:tcPr>
          <w:p w14:paraId="08AC35F9">
            <w:pPr>
              <w:spacing w:line="360" w:lineRule="auto"/>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r>
              <w:rPr>
                <w:rFonts w:hint="default" w:ascii="宋体" w:hAnsi="宋体" w:cs="宋体"/>
                <w:color w:val="auto"/>
                <w:sz w:val="24"/>
                <w:szCs w:val="24"/>
                <w:highlight w:val="none"/>
                <w:lang w:eastAsia="zh-CN"/>
              </w:rPr>
              <w:t>：新疆诚誉工程项目管理有限公司</w:t>
            </w:r>
          </w:p>
          <w:p w14:paraId="105416AB">
            <w:pP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eastAsia="zh-CN"/>
              </w:rPr>
              <w:t>联系人：</w:t>
            </w:r>
            <w:r>
              <w:rPr>
                <w:rFonts w:hint="default" w:ascii="宋体" w:hAnsi="宋体" w:cs="宋体"/>
                <w:color w:val="auto"/>
                <w:sz w:val="24"/>
                <w:szCs w:val="24"/>
                <w:highlight w:val="none"/>
                <w:lang w:val="en-US" w:eastAsia="zh-CN"/>
              </w:rPr>
              <w:t>王工</w:t>
            </w:r>
          </w:p>
          <w:p w14:paraId="6CDF54CB">
            <w:pPr>
              <w:spacing w:line="360" w:lineRule="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联系电话：</w:t>
            </w:r>
            <w:r>
              <w:rPr>
                <w:rFonts w:hint="default" w:ascii="宋体" w:hAnsi="宋体" w:cs="宋体"/>
                <w:color w:val="auto"/>
                <w:sz w:val="24"/>
                <w:szCs w:val="24"/>
                <w:highlight w:val="none"/>
                <w:lang w:val="en-US" w:eastAsia="zh-CN"/>
              </w:rPr>
              <w:t>18099108318</w:t>
            </w:r>
          </w:p>
          <w:p w14:paraId="32E87D83">
            <w:pPr>
              <w:spacing w:line="360" w:lineRule="auto"/>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地址：乌鲁木齐市会展大道599号新疆财富中心C座6楼601室</w:t>
            </w:r>
          </w:p>
        </w:tc>
      </w:tr>
      <w:tr w14:paraId="3F7E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4" w:type="dxa"/>
            <w:vAlign w:val="center"/>
          </w:tcPr>
          <w:p w14:paraId="7DBD6B6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51" w:type="dxa"/>
            <w:vAlign w:val="center"/>
          </w:tcPr>
          <w:p w14:paraId="239423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635" w:type="dxa"/>
            <w:vAlign w:val="center"/>
          </w:tcPr>
          <w:p w14:paraId="6D297148">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新疆维吾尔自治区昌吉某某单位移动执法系统运维服务项目</w:t>
            </w:r>
          </w:p>
        </w:tc>
      </w:tr>
      <w:tr w14:paraId="7A82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34" w:type="dxa"/>
            <w:vAlign w:val="center"/>
          </w:tcPr>
          <w:p w14:paraId="7AB8526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51" w:type="dxa"/>
            <w:vAlign w:val="center"/>
          </w:tcPr>
          <w:p w14:paraId="234F26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635" w:type="dxa"/>
            <w:vAlign w:val="center"/>
          </w:tcPr>
          <w:p w14:paraId="76F34F1A">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XJCY202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-ZB-</w:t>
            </w:r>
            <w:r>
              <w:rPr>
                <w:rFonts w:hint="eastAsia" w:ascii="宋体" w:hAnsi="宋体" w:cs="宋体"/>
                <w:color w:val="auto"/>
                <w:sz w:val="24"/>
                <w:highlight w:val="none"/>
                <w:lang w:val="en-US" w:eastAsia="zh-CN"/>
              </w:rPr>
              <w:t>082</w:t>
            </w:r>
          </w:p>
        </w:tc>
      </w:tr>
      <w:tr w14:paraId="1C1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14:paraId="7A67447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51" w:type="dxa"/>
            <w:vAlign w:val="center"/>
          </w:tcPr>
          <w:p w14:paraId="65B228F7">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资金来源、最高限价</w:t>
            </w:r>
          </w:p>
        </w:tc>
        <w:tc>
          <w:tcPr>
            <w:tcW w:w="6635" w:type="dxa"/>
            <w:vAlign w:val="center"/>
          </w:tcPr>
          <w:p w14:paraId="7FB131A8">
            <w:pPr>
              <w:pageBreakBefore w:val="0"/>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56D71CD6">
            <w:pPr>
              <w:pStyle w:val="9"/>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126.75万，</w:t>
            </w:r>
            <w:r>
              <w:rPr>
                <w:rStyle w:val="38"/>
                <w:rFonts w:hint="eastAsia" w:ascii="宋体" w:hAnsi="宋体" w:cs="宋体"/>
                <w:color w:val="auto"/>
                <w:sz w:val="24"/>
                <w:szCs w:val="24"/>
                <w:highlight w:val="none"/>
                <w:lang w:val="en-US" w:eastAsia="zh-CN"/>
              </w:rPr>
              <w:t>供应商报价不得超过</w:t>
            </w:r>
            <w:r>
              <w:rPr>
                <w:rStyle w:val="38"/>
                <w:rFonts w:hint="eastAsia" w:ascii="宋体" w:hAnsi="宋体" w:eastAsia="宋体" w:cs="宋体"/>
                <w:color w:val="auto"/>
                <w:sz w:val="24"/>
                <w:szCs w:val="24"/>
                <w:highlight w:val="none"/>
                <w:lang w:val="en-US" w:eastAsia="zh-CN"/>
              </w:rPr>
              <w:t>最高限价</w:t>
            </w:r>
            <w:r>
              <w:rPr>
                <w:rStyle w:val="38"/>
                <w:rFonts w:hint="eastAsia" w:ascii="宋体" w:hAnsi="宋体" w:cs="宋体"/>
                <w:color w:val="auto"/>
                <w:sz w:val="24"/>
                <w:szCs w:val="24"/>
                <w:highlight w:val="none"/>
                <w:lang w:val="en-US" w:eastAsia="zh-CN"/>
              </w:rPr>
              <w:t>，否则报价无效。</w:t>
            </w:r>
          </w:p>
        </w:tc>
      </w:tr>
      <w:tr w14:paraId="3AC6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34" w:type="dxa"/>
            <w:vAlign w:val="center"/>
          </w:tcPr>
          <w:p w14:paraId="5CD381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351" w:type="dxa"/>
            <w:vAlign w:val="center"/>
          </w:tcPr>
          <w:p w14:paraId="1108B88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服务范围</w:t>
            </w:r>
          </w:p>
        </w:tc>
        <w:tc>
          <w:tcPr>
            <w:tcW w:w="6635" w:type="dxa"/>
            <w:vAlign w:val="center"/>
          </w:tcPr>
          <w:p w14:paraId="01C2C25F">
            <w:pPr>
              <w:pStyle w:val="50"/>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本次运行维护服务内容主要包括四部分，分别是移动执法终端的运行保障及维修替换服务、管理平台运维服务、应用功能提升完善服务、安全管控能力服务。</w:t>
            </w:r>
          </w:p>
          <w:p w14:paraId="411FDD40">
            <w:pPr>
              <w:pStyle w:val="50"/>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其中移动执法终端的运行保障及维修替换服务包括移动执法终端的维护服务；管理平台运维服务包括但不限于移终端启用管理、终端应用管理、终端内容管理、终端网络管控、终端文件传输管控、终端通讯管控、终端定位管控、终端端口管理、终端状态管理、终端其他安全管控、模式管控、策略管理、人员组织管理、系统管理、系统监控、报表管理、运维支撑；应用功能提升完善服务包含但不限于：应用商店、通讯录、</w:t>
            </w:r>
            <w:r>
              <w:rPr>
                <w:rFonts w:hint="eastAsia" w:ascii="宋体" w:hAnsi="宋体" w:eastAsia="宋体" w:cs="宋体"/>
                <w:color w:val="auto"/>
                <w:kern w:val="0"/>
                <w:sz w:val="24"/>
                <w:szCs w:val="24"/>
                <w:highlight w:val="none"/>
                <w:lang w:eastAsia="zh-CN"/>
              </w:rPr>
              <w:t>安全身份认证、</w:t>
            </w:r>
            <w:r>
              <w:rPr>
                <w:rFonts w:hint="eastAsia" w:ascii="宋体" w:hAnsi="宋体" w:eastAsia="宋体" w:cs="宋体"/>
                <w:color w:val="auto"/>
                <w:kern w:val="0"/>
                <w:sz w:val="24"/>
                <w:szCs w:val="24"/>
                <w:highlight w:val="none"/>
              </w:rPr>
              <w:t>语音输入法、学习手册、人脸特征值算法、一键报警、执法取证、指挥调度</w:t>
            </w:r>
            <w:r>
              <w:rPr>
                <w:rFonts w:hint="eastAsia" w:ascii="宋体" w:hAnsi="宋体" w:eastAsia="宋体" w:cs="宋体"/>
                <w:color w:val="auto"/>
                <w:kern w:val="0"/>
                <w:sz w:val="24"/>
                <w:szCs w:val="24"/>
                <w:highlight w:val="none"/>
                <w:lang w:eastAsia="zh-CN"/>
              </w:rPr>
              <w:t>、日历、警务拍、数字对讲、即时通讯</w:t>
            </w:r>
            <w:r>
              <w:rPr>
                <w:rFonts w:hint="eastAsia" w:ascii="宋体" w:hAnsi="宋体" w:eastAsia="宋体" w:cs="宋体"/>
                <w:color w:val="auto"/>
                <w:kern w:val="0"/>
                <w:sz w:val="24"/>
                <w:szCs w:val="24"/>
                <w:highlight w:val="none"/>
              </w:rPr>
              <w:t>等；安全管控能力服务包括但不限于防火墙、请求交换节点、视频交换节点、网闸等、安全管理中心等运维服务内容。</w:t>
            </w:r>
          </w:p>
        </w:tc>
      </w:tr>
      <w:tr w14:paraId="77AF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4" w:type="dxa"/>
            <w:vAlign w:val="center"/>
          </w:tcPr>
          <w:p w14:paraId="05B77B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351" w:type="dxa"/>
            <w:vAlign w:val="center"/>
          </w:tcPr>
          <w:p w14:paraId="22E3506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服务期、服务地点</w:t>
            </w:r>
          </w:p>
        </w:tc>
        <w:tc>
          <w:tcPr>
            <w:tcW w:w="6635" w:type="dxa"/>
            <w:vAlign w:val="center"/>
          </w:tcPr>
          <w:p w14:paraId="5CFEDAAE">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服务期：</w:t>
            </w:r>
            <w:r>
              <w:rPr>
                <w:rFonts w:hint="eastAsia" w:ascii="宋体" w:hAnsi="宋体" w:cs="宋体"/>
                <w:color w:val="auto"/>
                <w:sz w:val="24"/>
                <w:highlight w:val="none"/>
                <w:lang w:eastAsia="zh-CN"/>
              </w:rPr>
              <w:t>自合同签订之日起</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个月</w:t>
            </w:r>
            <w:r>
              <w:rPr>
                <w:rFonts w:hint="eastAsia" w:ascii="宋体" w:hAnsi="宋体" w:eastAsia="宋体" w:cs="宋体"/>
                <w:color w:val="auto"/>
                <w:sz w:val="24"/>
                <w:highlight w:val="none"/>
                <w:lang w:eastAsia="zh-CN"/>
              </w:rPr>
              <w:t>。</w:t>
            </w:r>
          </w:p>
          <w:p w14:paraId="2AF588A5">
            <w:pPr>
              <w:pStyle w:val="12"/>
              <w:snapToGrid/>
              <w:spacing w:line="360" w:lineRule="auto"/>
              <w:rPr>
                <w:rFonts w:hint="eastAsia" w:ascii="宋体" w:hAnsi="宋体" w:eastAsia="宋体" w:cs="宋体"/>
                <w:color w:val="auto"/>
                <w:sz w:val="24"/>
                <w:highlight w:val="none"/>
              </w:rPr>
            </w:pPr>
            <w:r>
              <w:rPr>
                <w:rFonts w:hint="eastAsia" w:ascii="宋体" w:hAnsi="宋体" w:eastAsia="宋体" w:cs="宋体"/>
                <w:color w:val="auto"/>
                <w:szCs w:val="24"/>
                <w:highlight w:val="none"/>
              </w:rPr>
              <w:t>服务地点：</w:t>
            </w:r>
            <w:r>
              <w:rPr>
                <w:rFonts w:hint="eastAsia" w:ascii="宋体" w:hAnsi="宋体" w:eastAsia="宋体" w:cs="宋体"/>
                <w:color w:val="auto"/>
                <w:szCs w:val="24"/>
                <w:highlight w:val="none"/>
                <w:lang w:val="en-US" w:eastAsia="zh-CN"/>
              </w:rPr>
              <w:t>昌吉市（采购人</w:t>
            </w:r>
            <w:r>
              <w:rPr>
                <w:rFonts w:hint="eastAsia" w:ascii="宋体" w:hAnsi="宋体" w:eastAsia="宋体" w:cs="宋体"/>
                <w:color w:val="auto"/>
                <w:szCs w:val="24"/>
                <w:highlight w:val="none"/>
                <w:lang w:eastAsia="zh-CN"/>
              </w:rPr>
              <w:t>指定地点</w:t>
            </w:r>
            <w:r>
              <w:rPr>
                <w:rFonts w:hint="eastAsia" w:ascii="宋体" w:hAnsi="宋体" w:eastAsia="宋体" w:cs="宋体"/>
                <w:color w:val="auto"/>
                <w:szCs w:val="24"/>
                <w:highlight w:val="none"/>
                <w:lang w:val="en-US" w:eastAsia="zh-CN"/>
              </w:rPr>
              <w:t>）</w:t>
            </w:r>
          </w:p>
        </w:tc>
      </w:tr>
      <w:tr w14:paraId="4E3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34" w:type="dxa"/>
            <w:vAlign w:val="center"/>
          </w:tcPr>
          <w:p w14:paraId="1B11FF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351" w:type="dxa"/>
            <w:vAlign w:val="center"/>
          </w:tcPr>
          <w:p w14:paraId="32DC437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服务标准</w:t>
            </w:r>
          </w:p>
        </w:tc>
        <w:tc>
          <w:tcPr>
            <w:tcW w:w="6635" w:type="dxa"/>
            <w:vAlign w:val="center"/>
          </w:tcPr>
          <w:p w14:paraId="31E5D45B">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 w:val="24"/>
                <w:highlight w:val="none"/>
              </w:rPr>
              <w:t>按国家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val="en-US" w:eastAsia="zh-CN"/>
              </w:rPr>
              <w:t>及采购人</w:t>
            </w:r>
            <w:r>
              <w:rPr>
                <w:rFonts w:hint="eastAsia" w:ascii="宋体" w:hAnsi="宋体" w:eastAsia="宋体" w:cs="宋体"/>
                <w:color w:val="auto"/>
                <w:sz w:val="24"/>
                <w:highlight w:val="none"/>
              </w:rPr>
              <w:t>相关标准执行。</w:t>
            </w:r>
          </w:p>
        </w:tc>
      </w:tr>
      <w:tr w14:paraId="5C8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34" w:type="dxa"/>
            <w:vAlign w:val="center"/>
          </w:tcPr>
          <w:p w14:paraId="6BAF1E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351" w:type="dxa"/>
            <w:vAlign w:val="center"/>
          </w:tcPr>
          <w:p w14:paraId="6891C9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供应商资格要求</w:t>
            </w:r>
          </w:p>
        </w:tc>
        <w:tc>
          <w:tcPr>
            <w:tcW w:w="6635" w:type="dxa"/>
            <w:vAlign w:val="center"/>
          </w:tcPr>
          <w:p w14:paraId="4AA8797F">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3DF91925">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2、落实政府采购政策需满足的资格要求：本项目不专门面向中小企业</w:t>
            </w:r>
            <w:r>
              <w:rPr>
                <w:rFonts w:hint="eastAsia" w:ascii="宋体" w:hAnsi="宋体" w:cs="宋体"/>
                <w:color w:val="auto"/>
                <w:kern w:val="0"/>
                <w:sz w:val="24"/>
                <w:szCs w:val="24"/>
                <w:highlight w:val="none"/>
                <w:lang w:val="en-US" w:eastAsia="zh-CN" w:bidi="ar-SA"/>
              </w:rPr>
              <w:t>。</w:t>
            </w:r>
          </w:p>
          <w:p w14:paraId="261C46C3">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本项目的特定资格要求：</w:t>
            </w:r>
          </w:p>
          <w:p w14:paraId="3FF8888B">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（1）供应商须具有有效的《基础电信业务经营许可证》；</w:t>
            </w:r>
          </w:p>
          <w:p w14:paraId="59D56DFC">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）单位负责人为同一人或者存在直接控股、管理关系的不同供应商，不得参加同一合同项下的采购活动，否则取消其投标资格。</w:t>
            </w:r>
          </w:p>
          <w:p w14:paraId="3E93BFC1">
            <w:pPr>
              <w:pStyle w:val="50"/>
              <w:widowControl/>
              <w:numPr>
                <w:ilvl w:val="0"/>
                <w:numId w:val="0"/>
              </w:numPr>
              <w:spacing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不</w:t>
            </w:r>
            <w:r>
              <w:rPr>
                <w:rFonts w:hint="eastAsia" w:ascii="宋体" w:hAnsi="宋体" w:eastAsia="宋体" w:cs="宋体"/>
                <w:color w:val="auto"/>
                <w:kern w:val="0"/>
                <w:sz w:val="24"/>
                <w:szCs w:val="24"/>
                <w:highlight w:val="none"/>
                <w:lang w:val="en-US" w:eastAsia="zh-CN" w:bidi="ar-SA"/>
              </w:rPr>
              <w:t>接受联合体。</w:t>
            </w:r>
          </w:p>
          <w:p w14:paraId="28418758">
            <w:pPr>
              <w:pStyle w:val="50"/>
              <w:widowControl/>
              <w:numPr>
                <w:ilvl w:val="0"/>
                <w:numId w:val="0"/>
              </w:numPr>
              <w:spacing w:line="360" w:lineRule="auto"/>
              <w:ind w:firstLine="240" w:firstLineChars="100"/>
              <w:jc w:val="left"/>
              <w:rPr>
                <w:rFonts w:hint="eastAsia"/>
                <w:color w:val="auto"/>
              </w:rPr>
            </w:pPr>
            <w:r>
              <w:rPr>
                <w:rFonts w:hint="eastAsia" w:ascii="宋体" w:hAnsi="宋体" w:eastAsia="宋体" w:cs="宋体"/>
                <w:color w:val="auto"/>
                <w:kern w:val="0"/>
                <w:sz w:val="24"/>
                <w:szCs w:val="24"/>
                <w:highlight w:val="none"/>
                <w:lang w:val="en-US" w:eastAsia="zh-CN" w:bidi="ar-SA"/>
              </w:rPr>
              <w:t>本项目所属行业为：</w:t>
            </w:r>
            <w:r>
              <w:rPr>
                <w:rFonts w:hint="eastAsia" w:ascii="宋体" w:hAnsi="宋体" w:eastAsia="宋体" w:cs="宋体"/>
                <w:color w:val="auto"/>
                <w:kern w:val="0"/>
                <w:sz w:val="24"/>
                <w:szCs w:val="24"/>
                <w:highlight w:val="none"/>
                <w:lang w:val="en-US" w:eastAsia="zh-CN" w:bidi="ar-SA"/>
              </w:rPr>
              <w:t>信息传输业。</w:t>
            </w:r>
          </w:p>
        </w:tc>
      </w:tr>
      <w:tr w14:paraId="646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14:paraId="47B7D1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351" w:type="dxa"/>
            <w:vAlign w:val="center"/>
          </w:tcPr>
          <w:p w14:paraId="2F9D455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tc>
        <w:tc>
          <w:tcPr>
            <w:tcW w:w="6635" w:type="dxa"/>
            <w:vAlign w:val="center"/>
          </w:tcPr>
          <w:p w14:paraId="6ACE8988">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一、投标保证金金额及形式等</w:t>
            </w:r>
          </w:p>
          <w:p w14:paraId="5CCEE742">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1.投标保证金金额：</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12000.00</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壹万贰仟元整</w:t>
            </w:r>
            <w:r>
              <w:rPr>
                <w:rFonts w:hint="eastAsia" w:ascii="宋体" w:hAnsi="宋体" w:eastAsia="宋体" w:cs="宋体"/>
                <w:color w:val="auto"/>
                <w:sz w:val="24"/>
                <w:szCs w:val="24"/>
                <w:highlight w:val="none"/>
              </w:rPr>
              <w:t>）</w:t>
            </w:r>
          </w:p>
          <w:p w14:paraId="02BBF85C">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2.投标保证金保证金应当以保函、公对公银行转账等非现金形式从供应商基本账户提交；</w:t>
            </w:r>
          </w:p>
          <w:p w14:paraId="50997FEF">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3.提交投标保证金时需备注项目名称；</w:t>
            </w:r>
          </w:p>
          <w:p w14:paraId="6D9CCA0D">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4.投标保证金提交截止时间：同投标文件递交截止时间；</w:t>
            </w:r>
          </w:p>
          <w:p w14:paraId="013872AC">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5.投标保证金提交形式：</w:t>
            </w:r>
          </w:p>
          <w:p w14:paraId="4ED2DD09">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（1）保函。</w:t>
            </w:r>
          </w:p>
          <w:p w14:paraId="4F7F18DE">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3E601A85">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（2）公对公银行转账。</w:t>
            </w:r>
          </w:p>
          <w:p w14:paraId="725E3609">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单位名称：新疆诚誉工程项目管理有限公司</w:t>
            </w:r>
          </w:p>
          <w:p w14:paraId="6F63517B">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开户行：乌鲁木齐银行营业部</w:t>
            </w:r>
          </w:p>
          <w:p w14:paraId="360677EF">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行号：313881000019</w:t>
            </w:r>
            <w:r>
              <w:rPr>
                <w:rFonts w:hint="eastAsia" w:ascii="宋体" w:hAnsi="宋体" w:eastAsia="宋体" w:cs="宋体"/>
                <w:color w:val="auto"/>
                <w:sz w:val="24"/>
                <w:szCs w:val="24"/>
                <w:highlight w:val="none"/>
                <w:lang w:val="en-US" w:eastAsia="zh-CN"/>
              </w:rPr>
              <w:cr/>
            </w:r>
            <w:r>
              <w:rPr>
                <w:rFonts w:hint="eastAsia" w:ascii="宋体" w:hAnsi="宋体" w:eastAsia="宋体" w:cs="宋体"/>
                <w:color w:val="auto"/>
                <w:sz w:val="24"/>
                <w:szCs w:val="24"/>
                <w:highlight w:val="none"/>
                <w:lang w:val="en-US" w:eastAsia="zh-CN"/>
              </w:rPr>
              <w:t>帐号：0000020080110023481768</w:t>
            </w:r>
          </w:p>
          <w:p w14:paraId="042F6690">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注：汇款单上需注明项目名称、保证金</w:t>
            </w:r>
          </w:p>
          <w:p w14:paraId="53DC153C">
            <w:pPr>
              <w:pStyle w:val="12"/>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例：项目名称、保证金</w:t>
            </w:r>
          </w:p>
          <w:p w14:paraId="7D72EABF">
            <w:pPr>
              <w:pStyle w:val="12"/>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投标保证金退还：</w:t>
            </w:r>
          </w:p>
          <w:p w14:paraId="18511597">
            <w:pPr>
              <w:pStyle w:val="12"/>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①未中标投标人的投标保证金将在中标通知书发出后5个工作日内退还。</w:t>
            </w:r>
          </w:p>
          <w:p w14:paraId="7AE34F5F">
            <w:pPr>
              <w:pStyle w:val="12"/>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②中标投标人的投标保证金将在中标投标人与采购人签订合同，并将合同递交至采购代理机构后5个工作日内，无息退还。</w:t>
            </w:r>
          </w:p>
          <w:p w14:paraId="3833F9E5">
            <w:pPr>
              <w:pStyle w:val="12"/>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③有下列情形之一的，投标保证金不予退还，详见第二章“投标人须知”总则第15.5条。 </w:t>
            </w:r>
          </w:p>
          <w:p w14:paraId="06F702F7">
            <w:pPr>
              <w:pStyle w:val="12"/>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备注：投标人未按照招标文件要求缴纳投标保证金的，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无效。</w:t>
            </w:r>
          </w:p>
        </w:tc>
      </w:tr>
      <w:tr w14:paraId="2AAF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4" w:type="dxa"/>
            <w:vAlign w:val="center"/>
          </w:tcPr>
          <w:p w14:paraId="3ED8378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351" w:type="dxa"/>
            <w:vAlign w:val="center"/>
          </w:tcPr>
          <w:p w14:paraId="2D80C3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w:t>
            </w:r>
          </w:p>
        </w:tc>
        <w:tc>
          <w:tcPr>
            <w:tcW w:w="6635" w:type="dxa"/>
            <w:vAlign w:val="center"/>
          </w:tcPr>
          <w:p w14:paraId="4B108F75">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不接受/</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接受</w:t>
            </w:r>
          </w:p>
        </w:tc>
      </w:tr>
      <w:tr w14:paraId="7805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1ADF27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351" w:type="dxa"/>
            <w:vAlign w:val="center"/>
          </w:tcPr>
          <w:p w14:paraId="579976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635" w:type="dxa"/>
            <w:vAlign w:val="center"/>
          </w:tcPr>
          <w:p w14:paraId="118325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不允许/</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允许</w:t>
            </w:r>
          </w:p>
        </w:tc>
      </w:tr>
      <w:tr w14:paraId="226A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6429598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351" w:type="dxa"/>
            <w:vAlign w:val="center"/>
          </w:tcPr>
          <w:p w14:paraId="32D1A2AF">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递交截止时间、地点、方式</w:t>
            </w:r>
          </w:p>
        </w:tc>
        <w:tc>
          <w:tcPr>
            <w:tcW w:w="6635" w:type="dxa"/>
            <w:vAlign w:val="center"/>
          </w:tcPr>
          <w:p w14:paraId="3597625E">
            <w:pPr>
              <w:pStyle w:val="50"/>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lang w:eastAsia="zh-CN"/>
              </w:rPr>
              <w:t>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76F2F605">
            <w:pPr>
              <w:pStyle w:val="50"/>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cs="宋体"/>
                <w:color w:val="auto"/>
                <w:kern w:val="0"/>
                <w:sz w:val="24"/>
                <w:highlight w:val="none"/>
                <w:lang w:val="en-US" w:eastAsia="zh-CN" w:bidi="ar"/>
              </w:rPr>
              <w:t>成交供应商</w:t>
            </w:r>
            <w:r>
              <w:rPr>
                <w:rFonts w:hint="eastAsia" w:ascii="宋体" w:hAnsi="宋体" w:eastAsia="宋体" w:cs="宋体"/>
                <w:color w:val="auto"/>
                <w:kern w:val="0"/>
                <w:sz w:val="24"/>
                <w:highlight w:val="none"/>
                <w:lang w:val="zh-CN" w:bidi="ar"/>
              </w:rPr>
              <w:t>需另行提供</w:t>
            </w:r>
            <w:r>
              <w:rPr>
                <w:rFonts w:hint="eastAsia" w:ascii="宋体" w:hAnsi="宋体" w:eastAsia="宋体" w:cs="宋体"/>
                <w:color w:val="auto"/>
                <w:kern w:val="0"/>
                <w:sz w:val="24"/>
                <w:highlight w:val="none"/>
                <w:lang w:val="en-US" w:eastAsia="zh-CN" w:bidi="ar"/>
              </w:rPr>
              <w:t>两</w:t>
            </w:r>
            <w:r>
              <w:rPr>
                <w:rFonts w:hint="eastAsia" w:ascii="宋体" w:hAnsi="宋体" w:eastAsia="宋体" w:cs="宋体"/>
                <w:color w:val="auto"/>
                <w:kern w:val="0"/>
                <w:sz w:val="24"/>
                <w:highlight w:val="none"/>
                <w:lang w:val="zh-CN" w:bidi="ar"/>
              </w:rPr>
              <w:t>套纸质</w:t>
            </w:r>
            <w:r>
              <w:rPr>
                <w:rFonts w:hint="eastAsia" w:ascii="宋体" w:hAnsi="宋体" w:cs="宋体"/>
                <w:color w:val="auto"/>
                <w:kern w:val="0"/>
                <w:sz w:val="24"/>
                <w:highlight w:val="none"/>
                <w:lang w:val="en-US" w:eastAsia="zh-CN" w:bidi="ar"/>
              </w:rPr>
              <w:t>投标文件</w:t>
            </w:r>
            <w:r>
              <w:rPr>
                <w:rFonts w:hint="eastAsia" w:ascii="宋体" w:hAnsi="宋体" w:cs="宋体"/>
                <w:color w:val="auto"/>
                <w:kern w:val="0"/>
                <w:sz w:val="24"/>
                <w:highlight w:val="none"/>
                <w:lang w:val="zh-CN" w:bidi="ar"/>
              </w:rPr>
              <w:t>（</w:t>
            </w:r>
            <w:r>
              <w:rPr>
                <w:rFonts w:hint="eastAsia" w:ascii="宋体" w:hAnsi="宋体" w:cs="宋体"/>
                <w:color w:val="auto"/>
                <w:kern w:val="0"/>
                <w:sz w:val="24"/>
                <w:highlight w:val="none"/>
                <w:lang w:val="en-US" w:eastAsia="zh-CN" w:bidi="ar"/>
              </w:rPr>
              <w:t>一正一副</w:t>
            </w:r>
            <w:r>
              <w:rPr>
                <w:rFonts w:hint="eastAsia" w:ascii="宋体" w:hAnsi="宋体" w:cs="宋体"/>
                <w:color w:val="auto"/>
                <w:kern w:val="0"/>
                <w:sz w:val="24"/>
                <w:highlight w:val="none"/>
                <w:lang w:val="zh-CN" w:bidi="ar"/>
              </w:rPr>
              <w:t>）</w:t>
            </w:r>
            <w:r>
              <w:rPr>
                <w:rFonts w:hint="eastAsia" w:ascii="宋体" w:hAnsi="宋体" w:eastAsia="宋体" w:cs="宋体"/>
                <w:color w:val="auto"/>
                <w:kern w:val="0"/>
                <w:sz w:val="24"/>
                <w:highlight w:val="none"/>
                <w:lang w:val="zh-CN" w:bidi="ar"/>
              </w:rPr>
              <w:t>交至采购代理机构存档。装订标准：采用死页胶装方式装订，装订应牢固、不易拆散和换页，不得采用活页装订。</w:t>
            </w:r>
            <w:r>
              <w:rPr>
                <w:rFonts w:hint="eastAsia" w:ascii="宋体" w:hAnsi="宋体" w:eastAsia="宋体" w:cs="宋体"/>
                <w:b w:val="0"/>
                <w:bCs/>
                <w:color w:val="auto"/>
                <w:sz w:val="24"/>
                <w:szCs w:val="24"/>
                <w:highlight w:val="none"/>
                <w:lang w:val="en-US" w:eastAsia="zh-CN"/>
              </w:rPr>
              <w:t>纸质版</w:t>
            </w:r>
            <w:r>
              <w:rPr>
                <w:rFonts w:hint="eastAsia" w:ascii="宋体" w:hAnsi="宋体" w:cs="宋体"/>
                <w:b w:val="0"/>
                <w:bCs/>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须与政采云平台上传的电子版</w:t>
            </w:r>
            <w:r>
              <w:rPr>
                <w:rFonts w:hint="eastAsia" w:ascii="宋体" w:hAnsi="宋体" w:cs="宋体"/>
                <w:b w:val="0"/>
                <w:bCs/>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保持一致。</w:t>
            </w:r>
          </w:p>
          <w:p w14:paraId="7318146A">
            <w:pPr>
              <w:pStyle w:val="50"/>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eastAsia="宋体" w:cs="宋体"/>
                <w:b w:val="0"/>
                <w:bCs/>
                <w:color w:val="auto"/>
                <w:kern w:val="0"/>
                <w:sz w:val="24"/>
                <w:szCs w:val="24"/>
                <w:highlight w:val="none"/>
              </w:rPr>
              <w:t>：</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 11 点00分</w:t>
            </w:r>
            <w:r>
              <w:rPr>
                <w:rFonts w:hint="eastAsia" w:ascii="宋体" w:hAnsi="宋体" w:eastAsia="宋体" w:cs="宋体"/>
                <w:b w:val="0"/>
                <w:bCs/>
                <w:color w:val="auto"/>
                <w:kern w:val="0"/>
                <w:sz w:val="24"/>
                <w:szCs w:val="24"/>
                <w:highlight w:val="none"/>
              </w:rPr>
              <w:t>（北京时间）</w:t>
            </w:r>
          </w:p>
          <w:p w14:paraId="2E7E1BA3">
            <w:pPr>
              <w:pageBreakBefore w:val="0"/>
              <w:widowControl/>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供应商</w:t>
            </w:r>
            <w:r>
              <w:rPr>
                <w:rFonts w:hint="eastAsia" w:ascii="宋体" w:hAnsi="宋体" w:eastAsia="宋体" w:cs="宋体"/>
                <w:b w:val="0"/>
                <w:bCs/>
                <w:color w:val="auto"/>
                <w:kern w:val="0"/>
                <w:sz w:val="24"/>
                <w:szCs w:val="24"/>
                <w:highlight w:val="none"/>
                <w:lang w:eastAsia="zh-CN"/>
              </w:rPr>
              <w:t>成功上传电子加密</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lang w:eastAsia="zh-CN"/>
              </w:rPr>
              <w:t>后，可自行打印</w:t>
            </w:r>
            <w:r>
              <w:rPr>
                <w:rFonts w:hint="eastAsia" w:ascii="宋体" w:hAnsi="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lang w:eastAsia="zh-CN"/>
              </w:rPr>
              <w:t>接收回执</w:t>
            </w:r>
            <w:r>
              <w:rPr>
                <w:rFonts w:hint="eastAsia" w:ascii="宋体" w:hAnsi="宋体" w:eastAsia="宋体" w:cs="宋体"/>
                <w:b w:val="0"/>
                <w:bCs/>
                <w:color w:val="auto"/>
                <w:sz w:val="24"/>
                <w:szCs w:val="24"/>
                <w:highlight w:val="none"/>
              </w:rPr>
              <w:t>。</w:t>
            </w:r>
          </w:p>
          <w:p w14:paraId="6A67AA19">
            <w:pPr>
              <w:pStyle w:val="101"/>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40634FCD">
            <w:pPr>
              <w:pStyle w:val="101"/>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4C5EFF9D">
            <w:pPr>
              <w:pStyle w:val="50"/>
              <w:widowControl/>
              <w:spacing w:line="360" w:lineRule="auto"/>
              <w:jc w:val="left"/>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w:t>
            </w:r>
            <w:r>
              <w:rPr>
                <w:rFonts w:hint="eastAsia" w:ascii="宋体" w:hAnsi="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eastAsia="zh-CN"/>
              </w:rPr>
              <w:t>（“.bfbs”格式）”是指与“电子加密</w:t>
            </w:r>
            <w:r>
              <w:rPr>
                <w:rFonts w:hint="eastAsia" w:ascii="宋体" w:hAnsi="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eastAsia="zh-CN"/>
              </w:rPr>
              <w:t>”同时生成的数据电文形式的电子文件（备份标书，用于供应商标书解密异常时应急使用），其他方式编制的备份</w:t>
            </w:r>
            <w:r>
              <w:rPr>
                <w:rFonts w:hint="eastAsia" w:ascii="宋体" w:hAnsi="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eastAsia="zh-CN"/>
              </w:rPr>
              <w:t>视为无效备份</w:t>
            </w:r>
            <w:r>
              <w:rPr>
                <w:rFonts w:hint="eastAsia" w:ascii="宋体" w:hAnsi="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p>
        </w:tc>
      </w:tr>
      <w:tr w14:paraId="2D71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62724B1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351" w:type="dxa"/>
            <w:vAlign w:val="center"/>
          </w:tcPr>
          <w:p w14:paraId="4107540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重要说明</w:t>
            </w:r>
          </w:p>
        </w:tc>
        <w:tc>
          <w:tcPr>
            <w:tcW w:w="6635" w:type="dxa"/>
            <w:vAlign w:val="center"/>
          </w:tcPr>
          <w:p w14:paraId="44119C30">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0B05B29E">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48AD6B2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7435C5F4">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24D09DA3">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”、“标书关联”、“标书检查”、“电子签名”、“生成电子标书”等操作。</w:t>
            </w:r>
          </w:p>
          <w:p w14:paraId="3C7CAC8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在投标截止时间前将加密的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上传至政府采购云平台</w:t>
            </w:r>
            <w:r>
              <w:rPr>
                <w:rFonts w:hint="eastAsia" w:ascii="宋体" w:hAnsi="宋体" w:cs="宋体"/>
                <w:color w:val="auto"/>
                <w:sz w:val="24"/>
                <w:szCs w:val="24"/>
                <w:highlight w:val="none"/>
                <w:lang w:eastAsia="zh-CN"/>
              </w:rPr>
              <w:t>。</w:t>
            </w:r>
          </w:p>
          <w:p w14:paraId="290B1CCE">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的解密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解密时间30分钟，开标前需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用CA证书登录政采云平台开标大厅签到，在30分钟解密时间内输入CA证书PIN码解密</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。在30分钟解密时间内未进行解密的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将导致投标无效。（解密时间开始时政采云平台将以短信形式向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及时关注。）</w:t>
            </w:r>
          </w:p>
          <w:p w14:paraId="5BF00364">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0分钟内用CA证书对报价进行签字确认。</w:t>
            </w:r>
          </w:p>
          <w:p w14:paraId="421FC376">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3AC0DF92">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60DF4881">
            <w:pPr>
              <w:spacing w:line="360" w:lineRule="auto"/>
              <w:jc w:val="left"/>
              <w:rPr>
                <w:rFonts w:hint="eastAsia" w:ascii="宋体" w:hAnsi="宋体" w:eastAsia="宋体" w:cs="宋体"/>
                <w:color w:val="auto"/>
                <w:kern w:val="0"/>
                <w:highlight w:val="none"/>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1B49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34" w:type="dxa"/>
            <w:vAlign w:val="center"/>
          </w:tcPr>
          <w:p w14:paraId="379835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351" w:type="dxa"/>
            <w:vAlign w:val="center"/>
          </w:tcPr>
          <w:p w14:paraId="127329A9">
            <w:pPr>
              <w:spacing w:line="360" w:lineRule="auto"/>
              <w:jc w:val="left"/>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中标供应商</w:t>
            </w:r>
            <w:r>
              <w:rPr>
                <w:rFonts w:hint="eastAsia" w:ascii="宋体" w:hAnsi="宋体" w:eastAsia="宋体" w:cs="宋体"/>
                <w:color w:val="auto"/>
                <w:kern w:val="0"/>
                <w:sz w:val="24"/>
                <w:highlight w:val="none"/>
                <w:lang w:bidi="ar"/>
              </w:rPr>
              <w:t>的纸质</w:t>
            </w:r>
            <w:r>
              <w:rPr>
                <w:rFonts w:hint="eastAsia" w:ascii="宋体" w:hAnsi="宋体" w:cs="宋体"/>
                <w:color w:val="auto"/>
                <w:kern w:val="0"/>
                <w:sz w:val="24"/>
                <w:highlight w:val="none"/>
                <w:lang w:eastAsia="zh-CN" w:bidi="ar"/>
              </w:rPr>
              <w:t>投标文件</w:t>
            </w:r>
            <w:r>
              <w:rPr>
                <w:rFonts w:hint="eastAsia" w:ascii="宋体" w:hAnsi="宋体" w:eastAsia="宋体" w:cs="宋体"/>
                <w:color w:val="auto"/>
                <w:kern w:val="0"/>
                <w:sz w:val="24"/>
                <w:highlight w:val="none"/>
                <w:lang w:bidi="ar"/>
              </w:rPr>
              <w:t>装订要求</w:t>
            </w:r>
          </w:p>
        </w:tc>
        <w:tc>
          <w:tcPr>
            <w:tcW w:w="6635" w:type="dxa"/>
            <w:vAlign w:val="center"/>
          </w:tcPr>
          <w:p w14:paraId="3A75040A">
            <w:pPr>
              <w:spacing w:line="360" w:lineRule="auto"/>
              <w:jc w:val="left"/>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供应商</w:t>
            </w:r>
            <w:r>
              <w:rPr>
                <w:rFonts w:hint="eastAsia" w:ascii="宋体" w:hAnsi="宋体" w:eastAsia="宋体" w:cs="宋体"/>
                <w:color w:val="auto"/>
                <w:kern w:val="0"/>
                <w:sz w:val="24"/>
                <w:highlight w:val="none"/>
                <w:lang w:val="zh-CN" w:bidi="ar"/>
              </w:rPr>
              <w:t>需另行提供</w:t>
            </w:r>
            <w:r>
              <w:rPr>
                <w:rFonts w:hint="eastAsia" w:ascii="宋体" w:hAnsi="宋体" w:cs="宋体"/>
                <w:color w:val="auto"/>
                <w:kern w:val="0"/>
                <w:sz w:val="24"/>
                <w:highlight w:val="none"/>
                <w:lang w:val="en-US" w:eastAsia="zh-CN" w:bidi="ar"/>
              </w:rPr>
              <w:t>两</w:t>
            </w:r>
            <w:r>
              <w:rPr>
                <w:rFonts w:hint="eastAsia" w:ascii="宋体" w:hAnsi="宋体" w:eastAsia="宋体" w:cs="宋体"/>
                <w:color w:val="auto"/>
                <w:kern w:val="0"/>
                <w:sz w:val="24"/>
                <w:highlight w:val="none"/>
                <w:lang w:val="zh-CN" w:bidi="ar"/>
              </w:rPr>
              <w:t>套纸质</w:t>
            </w:r>
            <w:r>
              <w:rPr>
                <w:rFonts w:hint="eastAsia" w:ascii="宋体" w:hAnsi="宋体" w:cs="宋体"/>
                <w:color w:val="auto"/>
                <w:kern w:val="0"/>
                <w:sz w:val="24"/>
                <w:highlight w:val="none"/>
                <w:lang w:val="en-US" w:eastAsia="zh-CN" w:bidi="ar"/>
              </w:rPr>
              <w:t>投标文件</w:t>
            </w:r>
            <w:r>
              <w:rPr>
                <w:rFonts w:hint="eastAsia" w:ascii="宋体" w:hAnsi="宋体" w:cs="宋体"/>
                <w:color w:val="auto"/>
                <w:kern w:val="0"/>
                <w:sz w:val="24"/>
                <w:highlight w:val="none"/>
                <w:lang w:val="zh-CN" w:bidi="ar"/>
              </w:rPr>
              <w:t>（</w:t>
            </w:r>
            <w:r>
              <w:rPr>
                <w:rFonts w:hint="eastAsia" w:ascii="宋体" w:hAnsi="宋体" w:cs="宋体"/>
                <w:color w:val="auto"/>
                <w:kern w:val="0"/>
                <w:sz w:val="24"/>
                <w:highlight w:val="none"/>
                <w:lang w:val="en-US" w:eastAsia="zh-CN" w:bidi="ar"/>
              </w:rPr>
              <w:t>一正一副</w:t>
            </w:r>
            <w:r>
              <w:rPr>
                <w:rFonts w:hint="eastAsia" w:ascii="宋体" w:hAnsi="宋体" w:cs="宋体"/>
                <w:color w:val="auto"/>
                <w:kern w:val="0"/>
                <w:sz w:val="24"/>
                <w:highlight w:val="none"/>
                <w:lang w:val="zh-CN" w:bidi="ar"/>
              </w:rPr>
              <w:t>）</w:t>
            </w:r>
            <w:r>
              <w:rPr>
                <w:rFonts w:hint="eastAsia" w:ascii="宋体" w:hAnsi="宋体" w:eastAsia="宋体" w:cs="宋体"/>
                <w:color w:val="auto"/>
                <w:kern w:val="0"/>
                <w:sz w:val="24"/>
                <w:highlight w:val="none"/>
                <w:lang w:val="zh-CN" w:bidi="ar"/>
              </w:rPr>
              <w:t>交至</w:t>
            </w:r>
            <w:r>
              <w:rPr>
                <w:rFonts w:hint="eastAsia" w:ascii="宋体" w:hAnsi="宋体" w:cs="宋体"/>
                <w:color w:val="auto"/>
                <w:kern w:val="0"/>
                <w:sz w:val="24"/>
                <w:highlight w:val="none"/>
                <w:lang w:val="zh-CN" w:bidi="ar"/>
              </w:rPr>
              <w:t>采购代理机构</w:t>
            </w:r>
            <w:r>
              <w:rPr>
                <w:rFonts w:hint="eastAsia" w:ascii="宋体" w:hAnsi="宋体" w:eastAsia="宋体" w:cs="宋体"/>
                <w:color w:val="auto"/>
                <w:kern w:val="0"/>
                <w:sz w:val="24"/>
                <w:highlight w:val="none"/>
                <w:lang w:val="zh-CN" w:bidi="ar"/>
              </w:rPr>
              <w:t>存档。</w:t>
            </w:r>
            <w:r>
              <w:rPr>
                <w:rFonts w:hint="eastAsia" w:ascii="宋体" w:hAnsi="宋体" w:cs="宋体"/>
                <w:color w:val="auto"/>
                <w:kern w:val="0"/>
                <w:sz w:val="24"/>
                <w:highlight w:val="none"/>
                <w:lang w:val="zh-CN" w:bidi="ar"/>
              </w:rPr>
              <w:t>供应商</w:t>
            </w:r>
            <w:r>
              <w:rPr>
                <w:rFonts w:hint="eastAsia" w:ascii="宋体" w:hAnsi="宋体" w:eastAsia="宋体" w:cs="宋体"/>
                <w:color w:val="auto"/>
                <w:kern w:val="0"/>
                <w:sz w:val="24"/>
                <w:highlight w:val="none"/>
                <w:lang w:val="zh-CN" w:bidi="ar"/>
              </w:rPr>
              <w:t>提交的纸质</w:t>
            </w:r>
            <w:r>
              <w:rPr>
                <w:rFonts w:hint="eastAsia" w:ascii="宋体" w:hAnsi="宋体" w:cs="宋体"/>
                <w:color w:val="auto"/>
                <w:kern w:val="0"/>
                <w:sz w:val="24"/>
                <w:highlight w:val="none"/>
                <w:lang w:val="zh-CN" w:bidi="ar"/>
              </w:rPr>
              <w:t>投标文件</w:t>
            </w:r>
            <w:r>
              <w:rPr>
                <w:rFonts w:hint="eastAsia" w:ascii="宋体" w:hAnsi="宋体" w:eastAsia="宋体" w:cs="宋体"/>
                <w:color w:val="auto"/>
                <w:kern w:val="0"/>
                <w:sz w:val="24"/>
                <w:highlight w:val="none"/>
                <w:lang w:val="zh-CN" w:bidi="ar"/>
              </w:rPr>
              <w:t>必须与电子招</w:t>
            </w:r>
            <w:r>
              <w:rPr>
                <w:rFonts w:hint="eastAsia" w:ascii="宋体" w:hAnsi="宋体" w:cs="宋体"/>
                <w:color w:val="auto"/>
                <w:kern w:val="0"/>
                <w:sz w:val="24"/>
                <w:highlight w:val="none"/>
                <w:lang w:val="zh-CN" w:bidi="ar"/>
              </w:rPr>
              <w:t>投标文件</w:t>
            </w:r>
            <w:r>
              <w:rPr>
                <w:rFonts w:hint="eastAsia" w:ascii="宋体" w:hAnsi="宋体" w:eastAsia="宋体" w:cs="宋体"/>
                <w:color w:val="auto"/>
                <w:kern w:val="0"/>
                <w:sz w:val="24"/>
                <w:highlight w:val="none"/>
                <w:lang w:val="zh-CN" w:bidi="ar"/>
              </w:rPr>
              <w:t>一致。装订标准：采用死页胶装方式装订，装订应牢固、不易拆散和换页，不得采用活页装订。</w:t>
            </w:r>
          </w:p>
        </w:tc>
      </w:tr>
      <w:tr w14:paraId="6180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34" w:type="dxa"/>
            <w:vAlign w:val="center"/>
          </w:tcPr>
          <w:p w14:paraId="3DA84D34">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351" w:type="dxa"/>
            <w:vAlign w:val="center"/>
          </w:tcPr>
          <w:p w14:paraId="2661DFE4">
            <w:pPr>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报价</w:t>
            </w:r>
          </w:p>
        </w:tc>
        <w:tc>
          <w:tcPr>
            <w:tcW w:w="6635" w:type="dxa"/>
            <w:vAlign w:val="center"/>
          </w:tcPr>
          <w:p w14:paraId="324112C6">
            <w:pPr>
              <w:spacing w:line="360" w:lineRule="auto"/>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zh-CN" w:bidi="ar"/>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kern w:val="0"/>
                <w:sz w:val="24"/>
                <w:highlight w:val="none"/>
                <w:lang w:val="zh-CN" w:bidi="ar"/>
              </w:rPr>
              <w:t>供应商</w:t>
            </w:r>
            <w:r>
              <w:rPr>
                <w:rFonts w:hint="eastAsia" w:ascii="宋体" w:hAnsi="宋体" w:eastAsia="宋体" w:cs="宋体"/>
                <w:color w:val="auto"/>
                <w:sz w:val="24"/>
                <w:szCs w:val="24"/>
                <w:highlight w:val="none"/>
              </w:rPr>
              <w:t>的报价，有可能影响</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质量或者不能诚信履约的，应当要求其在评标现场合理的时间内提供</w:t>
            </w:r>
            <w:r>
              <w:rPr>
                <w:rFonts w:hint="eastAsia" w:ascii="宋体" w:hAnsi="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w:t>
            </w:r>
            <w:r>
              <w:rPr>
                <w:rFonts w:hint="eastAsia" w:ascii="宋体" w:hAnsi="宋体" w:cs="宋体"/>
                <w:color w:val="auto"/>
                <w:kern w:val="0"/>
                <w:sz w:val="24"/>
                <w:highlight w:val="none"/>
                <w:lang w:val="zh-CN" w:bidi="ar"/>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将其作为无效投标处理</w:t>
            </w:r>
            <w:r>
              <w:rPr>
                <w:rFonts w:hint="eastAsia" w:ascii="宋体" w:hAnsi="宋体" w:eastAsia="宋体" w:cs="宋体"/>
                <w:color w:val="auto"/>
                <w:sz w:val="24"/>
                <w:highlight w:val="none"/>
              </w:rPr>
              <w:t>。</w:t>
            </w:r>
          </w:p>
        </w:tc>
      </w:tr>
      <w:tr w14:paraId="264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34" w:type="dxa"/>
            <w:vAlign w:val="center"/>
          </w:tcPr>
          <w:p w14:paraId="66ECFB5D">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351" w:type="dxa"/>
            <w:vAlign w:val="center"/>
          </w:tcPr>
          <w:p w14:paraId="09524F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635" w:type="dxa"/>
            <w:vAlign w:val="center"/>
          </w:tcPr>
          <w:p w14:paraId="4C9B763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统一</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r>
              <w:rPr>
                <w:rFonts w:hint="eastAsia" w:ascii="宋体" w:hAnsi="宋体" w:eastAsia="宋体" w:cs="宋体"/>
                <w:color w:val="auto"/>
                <w:sz w:val="24"/>
                <w:highlight w:val="none"/>
                <w:lang w:val="en-US" w:eastAsia="zh-CN"/>
              </w:rPr>
              <w:t>。</w:t>
            </w:r>
          </w:p>
        </w:tc>
      </w:tr>
      <w:tr w14:paraId="4838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34" w:type="dxa"/>
            <w:vAlign w:val="center"/>
          </w:tcPr>
          <w:p w14:paraId="40387CA4">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1351" w:type="dxa"/>
            <w:vAlign w:val="center"/>
          </w:tcPr>
          <w:p w14:paraId="3CF0EA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答疑会</w:t>
            </w:r>
          </w:p>
        </w:tc>
        <w:tc>
          <w:tcPr>
            <w:tcW w:w="6635" w:type="dxa"/>
            <w:vAlign w:val="center"/>
          </w:tcPr>
          <w:p w14:paraId="6FFA1764">
            <w:pPr>
              <w:spacing w:line="360" w:lineRule="auto"/>
              <w:rPr>
                <w:rFonts w:hint="eastAsia"/>
                <w:color w:val="auto"/>
                <w:highlight w:val="none"/>
              </w:rPr>
            </w:pPr>
            <w:r>
              <w:rPr>
                <w:rFonts w:hint="eastAsia" w:ascii="宋体" w:hAnsi="宋体" w:eastAsia="宋体" w:cs="宋体"/>
                <w:color w:val="auto"/>
                <w:sz w:val="24"/>
                <w:highlight w:val="none"/>
              </w:rPr>
              <w:sym w:font="Wingdings" w:char="F0FE"/>
            </w:r>
            <w:r>
              <w:rPr>
                <w:rFonts w:hint="eastAsia" w:ascii="宋体" w:hAnsi="宋体" w:eastAsia="宋体" w:cs="宋体"/>
                <w:color w:val="auto"/>
                <w:sz w:val="24"/>
                <w:highlight w:val="none"/>
              </w:rPr>
              <w:t>不召开/</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召开</w:t>
            </w:r>
          </w:p>
        </w:tc>
      </w:tr>
      <w:tr w14:paraId="3F20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34" w:type="dxa"/>
            <w:vAlign w:val="center"/>
          </w:tcPr>
          <w:p w14:paraId="70A3DAF9">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1351" w:type="dxa"/>
            <w:vAlign w:val="center"/>
          </w:tcPr>
          <w:p w14:paraId="3D4E3BA2">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近年财务状况年份要求</w:t>
            </w:r>
          </w:p>
        </w:tc>
        <w:tc>
          <w:tcPr>
            <w:tcW w:w="6635" w:type="dxa"/>
            <w:vAlign w:val="center"/>
          </w:tcPr>
          <w:p w14:paraId="4CDA3650">
            <w:pPr>
              <w:pStyle w:val="29"/>
              <w:spacing w:line="360" w:lineRule="auto"/>
              <w:ind w:left="0" w:firstLine="0"/>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eastAsia="zh-Hans"/>
              </w:rPr>
              <w:t>近1年度（</w:t>
            </w:r>
            <w:r>
              <w:rPr>
                <w:rFonts w:hint="eastAsia" w:asciiTheme="minorEastAsia" w:hAnsiTheme="minorEastAsia" w:eastAsiaTheme="minorEastAsia" w:cstheme="minorEastAsia"/>
                <w:color w:val="auto"/>
                <w:sz w:val="24"/>
                <w:highlight w:val="none"/>
                <w:lang w:val="en-US" w:eastAsia="zh-CN"/>
              </w:rPr>
              <w:t>2024年度或2025年度</w:t>
            </w:r>
            <w:r>
              <w:rPr>
                <w:rFonts w:hint="eastAsia" w:ascii="宋体" w:hAnsi="宋体" w:eastAsia="宋体" w:cs="宋体"/>
                <w:color w:val="auto"/>
                <w:sz w:val="24"/>
                <w:szCs w:val="24"/>
                <w:highlight w:val="none"/>
                <w:lang w:eastAsia="zh-Hans"/>
              </w:rPr>
              <w:t>）</w:t>
            </w:r>
          </w:p>
        </w:tc>
      </w:tr>
      <w:tr w14:paraId="4B97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4" w:type="dxa"/>
            <w:vAlign w:val="center"/>
          </w:tcPr>
          <w:p w14:paraId="75D66A2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351" w:type="dxa"/>
            <w:vAlign w:val="center"/>
          </w:tcPr>
          <w:p w14:paraId="4FE8177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有效期</w:t>
            </w:r>
          </w:p>
        </w:tc>
        <w:tc>
          <w:tcPr>
            <w:tcW w:w="6635" w:type="dxa"/>
            <w:vAlign w:val="center"/>
          </w:tcPr>
          <w:p w14:paraId="58E9DA61">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lang w:val="en-US" w:eastAsia="zh-CN"/>
              </w:rPr>
              <w:t>从提交</w:t>
            </w:r>
            <w:r>
              <w:rPr>
                <w:rFonts w:hint="eastAsia" w:ascii="宋体" w:hAnsi="宋体" w:cs="宋体"/>
                <w:color w:val="auto"/>
                <w:sz w:val="24"/>
                <w:highlight w:val="none"/>
                <w:lang w:val="en-US" w:eastAsia="zh-CN"/>
              </w:rPr>
              <w:t>投标文件</w:t>
            </w:r>
            <w:r>
              <w:rPr>
                <w:rFonts w:hint="eastAsia" w:ascii="宋体" w:hAnsi="宋体" w:eastAsia="宋体" w:cs="宋体"/>
                <w:color w:val="auto"/>
                <w:sz w:val="24"/>
                <w:highlight w:val="none"/>
                <w:lang w:val="en-US" w:eastAsia="zh-CN"/>
              </w:rPr>
              <w:t>截止之日起</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0日历天</w:t>
            </w:r>
          </w:p>
        </w:tc>
      </w:tr>
      <w:tr w14:paraId="3527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68A17BC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1351" w:type="dxa"/>
            <w:vAlign w:val="center"/>
          </w:tcPr>
          <w:p w14:paraId="691914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评标委员会的组建</w:t>
            </w:r>
          </w:p>
        </w:tc>
        <w:tc>
          <w:tcPr>
            <w:tcW w:w="6635" w:type="dxa"/>
            <w:vAlign w:val="center"/>
          </w:tcPr>
          <w:p w14:paraId="3F8768E9">
            <w:pPr>
              <w:keepNext w:val="0"/>
              <w:keepLines w:val="0"/>
              <w:suppressLineNumbers w:val="0"/>
              <w:spacing w:before="0" w:beforeAutospacing="0" w:after="0" w:afterAutospacing="0"/>
              <w:ind w:left="0" w:right="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（1）评标委员会构成：5人</w:t>
            </w:r>
          </w:p>
          <w:p w14:paraId="71469C0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（2）评标委员会确定方式：经济、技术、法律专家（1人）专家不少于评标委员会组成人员的三分之二，抽取专家5人，按相关规定从专家库中随机抽取。</w:t>
            </w:r>
          </w:p>
        </w:tc>
      </w:tr>
      <w:tr w14:paraId="011D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4" w:type="dxa"/>
            <w:vAlign w:val="center"/>
          </w:tcPr>
          <w:p w14:paraId="7143748E">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1351" w:type="dxa"/>
            <w:vAlign w:val="center"/>
          </w:tcPr>
          <w:p w14:paraId="34102C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评审办法</w:t>
            </w:r>
          </w:p>
        </w:tc>
        <w:tc>
          <w:tcPr>
            <w:tcW w:w="6635" w:type="dxa"/>
            <w:vAlign w:val="center"/>
          </w:tcPr>
          <w:p w14:paraId="1B8DB62E">
            <w:pPr>
              <w:spacing w:line="360" w:lineRule="auto"/>
              <w:rPr>
                <w:rFonts w:hint="eastAsia"/>
                <w:color w:val="auto"/>
                <w:highlight w:val="none"/>
                <w:lang w:eastAsia="zh-CN"/>
              </w:rPr>
            </w:pPr>
            <w:r>
              <w:rPr>
                <w:rFonts w:hint="eastAsia" w:ascii="宋体" w:hAnsi="宋体" w:eastAsia="宋体" w:cs="宋体"/>
                <w:color w:val="auto"/>
                <w:sz w:val="24"/>
                <w:highlight w:val="none"/>
              </w:rPr>
              <w:t>综合评分法</w:t>
            </w:r>
          </w:p>
        </w:tc>
      </w:tr>
      <w:tr w14:paraId="7251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7D947F31">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1351" w:type="dxa"/>
            <w:vAlign w:val="center"/>
          </w:tcPr>
          <w:p w14:paraId="07818EF2">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是否授权评标委员会确定中标人</w:t>
            </w:r>
          </w:p>
        </w:tc>
        <w:tc>
          <w:tcPr>
            <w:tcW w:w="6635" w:type="dxa"/>
            <w:vAlign w:val="center"/>
          </w:tcPr>
          <w:p w14:paraId="19474F6B">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sym w:font="Wingdings" w:char="F0FE"/>
            </w:r>
            <w:r>
              <w:rPr>
                <w:rFonts w:hint="eastAsia" w:ascii="宋体" w:hAnsi="宋体" w:eastAsia="宋体" w:cs="宋体"/>
                <w:color w:val="auto"/>
                <w:kern w:val="0"/>
                <w:sz w:val="24"/>
                <w:szCs w:val="24"/>
                <w:highlight w:val="none"/>
                <w:lang w:val="en-US" w:eastAsia="zh-CN" w:bidi="ar-SA"/>
              </w:rPr>
              <w:t>否，推荐3名中标候选人</w:t>
            </w:r>
          </w:p>
        </w:tc>
      </w:tr>
      <w:tr w14:paraId="2381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34" w:type="dxa"/>
            <w:vAlign w:val="center"/>
          </w:tcPr>
          <w:p w14:paraId="3C2BE32B">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1351" w:type="dxa"/>
            <w:vAlign w:val="center"/>
          </w:tcPr>
          <w:p w14:paraId="7EF87C68">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履约保证金</w:t>
            </w:r>
          </w:p>
        </w:tc>
        <w:tc>
          <w:tcPr>
            <w:tcW w:w="6635" w:type="dxa"/>
            <w:vAlign w:val="center"/>
          </w:tcPr>
          <w:p w14:paraId="0287CF89">
            <w:pPr>
              <w:keepNext w:val="0"/>
              <w:keepLines w:val="0"/>
              <w:suppressLineNumbers w:val="0"/>
              <w:spacing w:before="0" w:beforeAutospacing="0" w:after="0" w:afterAutospacing="0"/>
              <w:ind w:left="0" w:right="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本项目不收取履约保证金。</w:t>
            </w:r>
          </w:p>
        </w:tc>
      </w:tr>
      <w:tr w14:paraId="163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5162363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1351" w:type="dxa"/>
            <w:vAlign w:val="center"/>
          </w:tcPr>
          <w:p w14:paraId="0734FB81">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代理服务费</w:t>
            </w:r>
          </w:p>
        </w:tc>
        <w:tc>
          <w:tcPr>
            <w:tcW w:w="6635" w:type="dxa"/>
            <w:vAlign w:val="center"/>
          </w:tcPr>
          <w:p w14:paraId="2FB7DBEC">
            <w:pPr>
              <w:keepNext w:val="0"/>
              <w:keepLines w:val="0"/>
              <w:suppressLineNumbers w:val="0"/>
              <w:spacing w:before="0" w:beforeAutospacing="0" w:after="0" w:afterAutospacing="0"/>
              <w:ind w:left="0" w:right="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代理服务费由成交人支付。</w:t>
            </w:r>
          </w:p>
        </w:tc>
      </w:tr>
      <w:tr w14:paraId="423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vAlign w:val="center"/>
          </w:tcPr>
          <w:p w14:paraId="49D16EB8">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351" w:type="dxa"/>
            <w:vAlign w:val="center"/>
          </w:tcPr>
          <w:p w14:paraId="4B1466EF">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付款方式</w:t>
            </w:r>
          </w:p>
        </w:tc>
        <w:tc>
          <w:tcPr>
            <w:tcW w:w="6635" w:type="dxa"/>
            <w:vAlign w:val="center"/>
          </w:tcPr>
          <w:p w14:paraId="77042638">
            <w:pPr>
              <w:keepNext w:val="0"/>
              <w:keepLines w:val="0"/>
              <w:suppressLineNumbers w:val="0"/>
              <w:spacing w:before="0" w:beforeAutospacing="0" w:after="0" w:afterAutospacing="0"/>
              <w:ind w:left="0" w:right="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第一次付款：签订合同后，支付合同金额的80%的预付款。</w:t>
            </w:r>
          </w:p>
          <w:p w14:paraId="77E87059">
            <w:pPr>
              <w:keepNext w:val="0"/>
              <w:keepLines w:val="0"/>
              <w:suppressLineNumbers w:val="0"/>
              <w:spacing w:before="0" w:beforeAutospacing="0" w:after="0" w:afterAutospacing="0"/>
              <w:ind w:left="0" w:right="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第二次付款：根据甲方内部管理规定，满足终验条件，乙方提交全部验收材料，通过甲方组织的验收后，支付至合同金额的 100%。</w:t>
            </w:r>
          </w:p>
        </w:tc>
      </w:tr>
      <w:tr w14:paraId="2D43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4" w:type="dxa"/>
            <w:vAlign w:val="center"/>
          </w:tcPr>
          <w:p w14:paraId="001BC298">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351" w:type="dxa"/>
            <w:vAlign w:val="center"/>
          </w:tcPr>
          <w:p w14:paraId="04164626">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w:t>
            </w:r>
          </w:p>
        </w:tc>
        <w:tc>
          <w:tcPr>
            <w:tcW w:w="6635" w:type="dxa"/>
            <w:vAlign w:val="center"/>
          </w:tcPr>
          <w:p w14:paraId="35D16BC8">
            <w:pPr>
              <w:widowControl/>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本次招标如有变更、澄清或其他通知将在发布招标公告的网站（新疆政府采购网）上公布。</w:t>
            </w:r>
          </w:p>
          <w:p w14:paraId="02088497">
            <w:pPr>
              <w:widowControl/>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重要说明：①本项目采用全流程不见面电子开评标，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需要使用CA加密设备，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可通过新疆数字证书认证中心官网（https://www.xjca.com.cn/）或下载“新疆政务通”APP自行进行申领。</w:t>
            </w:r>
          </w:p>
          <w:p w14:paraId="4239D426">
            <w:pPr>
              <w:widowControl/>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②本项目实行网上投标，采用加密电子</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须使用CA加密设备通过政采云电子投标客户端制作</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参与投标，自行承担投标一切费用。</w:t>
            </w:r>
          </w:p>
          <w:p w14:paraId="02CC9E3E">
            <w:pPr>
              <w:widowControl/>
              <w:spacing w:line="360" w:lineRule="exact"/>
              <w:rPr>
                <w:rFonts w:hint="default" w:ascii="宋体" w:hAnsi="宋体" w:eastAsia="宋体" w:cs="宋体"/>
                <w:color w:val="auto"/>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使用相同IP地址的，一经发现，相关部门将进一步核实，查实后按串通投标处理。</w:t>
            </w:r>
          </w:p>
        </w:tc>
      </w:tr>
    </w:tbl>
    <w:p w14:paraId="5B9C7267">
      <w:pPr>
        <w:pStyle w:val="3"/>
        <w:spacing w:before="0" w:after="0" w:line="560" w:lineRule="exact"/>
        <w:jc w:val="center"/>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bookmarkStart w:id="49" w:name="_Toc2998"/>
      <w:bookmarkStart w:id="50" w:name="_Toc5850_WPSOffice_Level1"/>
      <w:r>
        <w:rPr>
          <w:rFonts w:hint="eastAsia" w:ascii="宋体" w:hAnsi="宋体" w:eastAsia="宋体" w:cs="宋体"/>
          <w:bCs w:val="0"/>
          <w:color w:val="auto"/>
          <w:sz w:val="24"/>
          <w:szCs w:val="24"/>
          <w:highlight w:val="none"/>
        </w:rPr>
        <w:t>二、总  则</w:t>
      </w:r>
    </w:p>
    <w:p w14:paraId="2EFD1CE1">
      <w:pPr>
        <w:spacing w:line="560" w:lineRule="exact"/>
        <w:ind w:firstLine="422" w:firstLineChars="200"/>
        <w:rPr>
          <w:rFonts w:ascii="宋体" w:hAnsi="宋体" w:cs="宋体"/>
          <w:b/>
          <w:bCs/>
          <w:color w:val="auto"/>
          <w:szCs w:val="21"/>
          <w:highlight w:val="none"/>
        </w:rPr>
      </w:pPr>
      <w:bookmarkStart w:id="51" w:name="_Toc183682342"/>
      <w:bookmarkStart w:id="52" w:name="_Toc183582205"/>
      <w:bookmarkStart w:id="53" w:name="_Toc217446034"/>
      <w:r>
        <w:rPr>
          <w:rFonts w:hint="eastAsia" w:ascii="宋体" w:hAnsi="宋体" w:cs="宋体"/>
          <w:b/>
          <w:bCs/>
          <w:color w:val="auto"/>
          <w:szCs w:val="21"/>
          <w:highlight w:val="none"/>
        </w:rPr>
        <w:t>1.</w:t>
      </w:r>
      <w:bookmarkEnd w:id="51"/>
      <w:bookmarkEnd w:id="52"/>
      <w:r>
        <w:rPr>
          <w:rFonts w:hint="eastAsia" w:ascii="宋体" w:hAnsi="宋体" w:cs="宋体"/>
          <w:b/>
          <w:bCs/>
          <w:color w:val="auto"/>
          <w:szCs w:val="21"/>
          <w:highlight w:val="none"/>
        </w:rPr>
        <w:t xml:space="preserve"> 适用范围</w:t>
      </w:r>
      <w:bookmarkEnd w:id="53"/>
    </w:p>
    <w:p w14:paraId="4D35CDE6">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本招标文件仅适用于本次招标项目。</w:t>
      </w:r>
    </w:p>
    <w:p w14:paraId="0BE10AD5">
      <w:pPr>
        <w:spacing w:line="560" w:lineRule="exact"/>
        <w:ind w:firstLine="422" w:firstLineChars="200"/>
        <w:rPr>
          <w:rFonts w:ascii="宋体" w:hAnsi="宋体" w:cs="宋体"/>
          <w:b/>
          <w:bCs/>
          <w:color w:val="auto"/>
          <w:szCs w:val="21"/>
          <w:highlight w:val="none"/>
        </w:rPr>
      </w:pPr>
      <w:bookmarkStart w:id="54" w:name="_Toc183582206"/>
      <w:bookmarkStart w:id="55" w:name="_Toc183682343"/>
      <w:bookmarkStart w:id="56" w:name="_Toc217446035"/>
      <w:r>
        <w:rPr>
          <w:rFonts w:hint="eastAsia" w:ascii="宋体" w:hAnsi="宋体" w:cs="宋体"/>
          <w:b/>
          <w:bCs/>
          <w:color w:val="auto"/>
          <w:szCs w:val="21"/>
          <w:highlight w:val="none"/>
        </w:rPr>
        <w:t xml:space="preserve">2. </w:t>
      </w:r>
      <w:bookmarkEnd w:id="54"/>
      <w:bookmarkEnd w:id="55"/>
      <w:r>
        <w:rPr>
          <w:rFonts w:hint="eastAsia" w:ascii="宋体" w:hAnsi="宋体" w:cs="宋体"/>
          <w:b/>
          <w:bCs/>
          <w:color w:val="auto"/>
          <w:szCs w:val="21"/>
          <w:highlight w:val="none"/>
        </w:rPr>
        <w:t>有关定义</w:t>
      </w:r>
      <w:bookmarkEnd w:id="56"/>
    </w:p>
    <w:p w14:paraId="199134B2">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 “采购人”系指依法进行政府采购的国家机关、事业单位、团体组织。本项目采购人是</w:t>
      </w:r>
      <w:r>
        <w:rPr>
          <w:rFonts w:hint="eastAsia" w:ascii="宋体" w:hAnsi="宋体" w:cs="宋体"/>
          <w:color w:val="auto"/>
          <w:szCs w:val="21"/>
          <w:highlight w:val="none"/>
          <w:u w:val="single"/>
          <w:lang w:eastAsia="zh-CN"/>
        </w:rPr>
        <w:t>新疆维吾尔自治区昌吉某某单位</w:t>
      </w:r>
      <w:r>
        <w:rPr>
          <w:rFonts w:hint="eastAsia" w:ascii="宋体" w:hAnsi="宋体" w:cs="宋体"/>
          <w:color w:val="auto"/>
          <w:szCs w:val="21"/>
          <w:highlight w:val="none"/>
        </w:rPr>
        <w:t>。</w:t>
      </w:r>
    </w:p>
    <w:p w14:paraId="7BAF4D85">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 “采购代理机构”系指根据采购人的委托依法办理招标事宜的采购机构。本次招标的采购代理机构是</w:t>
      </w:r>
      <w:r>
        <w:rPr>
          <w:rFonts w:hint="eastAsia" w:ascii="宋体" w:hAnsi="宋体" w:cs="宋体"/>
          <w:color w:val="auto"/>
          <w:szCs w:val="21"/>
          <w:highlight w:val="none"/>
          <w:u w:val="single"/>
        </w:rPr>
        <w:t>新疆诚誉工程项目管理有限公司</w:t>
      </w:r>
      <w:r>
        <w:rPr>
          <w:rFonts w:hint="eastAsia" w:ascii="宋体" w:hAnsi="宋体" w:cs="宋体"/>
          <w:color w:val="auto"/>
          <w:szCs w:val="21"/>
          <w:highlight w:val="none"/>
        </w:rPr>
        <w:t>。</w:t>
      </w:r>
    </w:p>
    <w:p w14:paraId="4018A1CD">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 “采购单位”系指“采购人”和“采购代理机构”的统称。</w:t>
      </w:r>
    </w:p>
    <w:p w14:paraId="2D39582C">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 “投标人”指下载了招标文件拟参加投标和向采购人提供货物或服务的投标人。</w:t>
      </w:r>
    </w:p>
    <w:p w14:paraId="479AB2D9">
      <w:pPr>
        <w:spacing w:line="560" w:lineRule="exact"/>
        <w:ind w:firstLine="422" w:firstLineChars="200"/>
        <w:rPr>
          <w:rFonts w:ascii="宋体" w:hAnsi="宋体" w:cs="宋体"/>
          <w:b/>
          <w:bCs/>
          <w:color w:val="auto"/>
          <w:szCs w:val="21"/>
          <w:highlight w:val="none"/>
        </w:rPr>
      </w:pPr>
      <w:bookmarkStart w:id="57" w:name="_Toc217446036"/>
      <w:bookmarkStart w:id="58" w:name="_Toc217390843"/>
      <w:bookmarkStart w:id="59" w:name="_Toc183582207"/>
      <w:bookmarkStart w:id="60" w:name="_Toc183682344"/>
      <w:r>
        <w:rPr>
          <w:rFonts w:hint="eastAsia" w:ascii="宋体" w:hAnsi="宋体" w:cs="宋体"/>
          <w:b/>
          <w:bCs/>
          <w:color w:val="auto"/>
          <w:szCs w:val="21"/>
          <w:highlight w:val="none"/>
        </w:rPr>
        <w:t>3. 合格的</w:t>
      </w:r>
      <w:bookmarkEnd w:id="57"/>
      <w:bookmarkEnd w:id="58"/>
      <w:bookmarkEnd w:id="59"/>
      <w:bookmarkEnd w:id="60"/>
      <w:r>
        <w:rPr>
          <w:rFonts w:hint="eastAsia" w:ascii="宋体" w:hAnsi="宋体" w:cs="宋体"/>
          <w:b/>
          <w:bCs/>
          <w:color w:val="auto"/>
          <w:szCs w:val="21"/>
          <w:highlight w:val="none"/>
        </w:rPr>
        <w:t>投标人</w:t>
      </w:r>
    </w:p>
    <w:p w14:paraId="233E070A">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合格的投标人应具备以下条件：</w:t>
      </w:r>
    </w:p>
    <w:p w14:paraId="099AAA30">
      <w:pPr>
        <w:tabs>
          <w:tab w:val="left" w:pos="7665"/>
        </w:tabs>
        <w:spacing w:line="560" w:lineRule="exact"/>
        <w:ind w:firstLine="420" w:firstLineChars="200"/>
        <w:rPr>
          <w:rFonts w:ascii="宋体" w:hAnsi="宋体" w:cs="宋体"/>
          <w:color w:val="auto"/>
          <w:spacing w:val="-4"/>
          <w:szCs w:val="21"/>
          <w:highlight w:val="none"/>
        </w:rPr>
      </w:pPr>
      <w:r>
        <w:rPr>
          <w:rFonts w:hint="eastAsia" w:ascii="宋体" w:hAnsi="宋体" w:cs="宋体"/>
          <w:color w:val="auto"/>
          <w:szCs w:val="21"/>
          <w:highlight w:val="none"/>
        </w:rPr>
        <w:t>（1）本招标文件“招标公告”第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条规定的条件</w:t>
      </w:r>
      <w:r>
        <w:rPr>
          <w:rFonts w:hint="eastAsia" w:ascii="宋体" w:hAnsi="宋体" w:cs="宋体"/>
          <w:color w:val="auto"/>
          <w:spacing w:val="-4"/>
          <w:szCs w:val="21"/>
          <w:highlight w:val="none"/>
        </w:rPr>
        <w:t>；</w:t>
      </w:r>
    </w:p>
    <w:p w14:paraId="5F95D6C2">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（2）遵守国家有关的法律、法规、规章和其他政策规定；</w:t>
      </w:r>
    </w:p>
    <w:p w14:paraId="7A1F3005">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（3）下载了招标文件并按要求缴纳投标保证金。</w:t>
      </w:r>
    </w:p>
    <w:p w14:paraId="77B36C5B">
      <w:pPr>
        <w:spacing w:line="560" w:lineRule="exact"/>
        <w:ind w:firstLine="422" w:firstLineChars="200"/>
        <w:rPr>
          <w:rFonts w:ascii="宋体" w:hAnsi="宋体" w:cs="宋体"/>
          <w:b/>
          <w:bCs/>
          <w:color w:val="auto"/>
          <w:szCs w:val="21"/>
          <w:highlight w:val="none"/>
        </w:rPr>
      </w:pPr>
      <w:bookmarkStart w:id="61" w:name="_Toc183582208"/>
      <w:bookmarkStart w:id="62" w:name="_Toc217446037"/>
      <w:bookmarkStart w:id="63" w:name="_Toc183682345"/>
      <w:r>
        <w:rPr>
          <w:rFonts w:hint="eastAsia" w:ascii="宋体" w:hAnsi="宋体" w:cs="宋体"/>
          <w:b/>
          <w:bCs/>
          <w:color w:val="auto"/>
          <w:szCs w:val="21"/>
          <w:highlight w:val="none"/>
        </w:rPr>
        <w:t>4. 投标费用</w:t>
      </w:r>
      <w:bookmarkEnd w:id="61"/>
      <w:bookmarkEnd w:id="62"/>
      <w:bookmarkEnd w:id="63"/>
    </w:p>
    <w:p w14:paraId="6F6813AF">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投标人参加投标的有关费用由投标人自行承担。</w:t>
      </w:r>
    </w:p>
    <w:p w14:paraId="7390A1E2">
      <w:pPr>
        <w:pStyle w:val="3"/>
        <w:spacing w:before="0" w:after="0" w:line="560" w:lineRule="exact"/>
        <w:ind w:firstLine="422" w:firstLineChars="200"/>
        <w:jc w:val="center"/>
        <w:rPr>
          <w:rFonts w:ascii="宋体" w:hAnsi="宋体" w:eastAsia="宋体" w:cs="宋体"/>
          <w:bCs w:val="0"/>
          <w:color w:val="auto"/>
          <w:sz w:val="21"/>
          <w:szCs w:val="21"/>
          <w:highlight w:val="none"/>
        </w:rPr>
      </w:pPr>
      <w:bookmarkStart w:id="64" w:name="_Toc217446038"/>
      <w:bookmarkStart w:id="65" w:name="_Toc89075875"/>
      <w:bookmarkStart w:id="66" w:name="_Toc77400779"/>
      <w:bookmarkStart w:id="67" w:name="_Toc183582209"/>
      <w:bookmarkStart w:id="68" w:name="_Toc183682346"/>
      <w:r>
        <w:rPr>
          <w:rFonts w:hint="eastAsia" w:ascii="宋体" w:hAnsi="宋体" w:eastAsia="宋体" w:cs="宋体"/>
          <w:bCs w:val="0"/>
          <w:color w:val="auto"/>
          <w:sz w:val="21"/>
          <w:szCs w:val="21"/>
          <w:highlight w:val="none"/>
        </w:rPr>
        <w:t>三、</w:t>
      </w:r>
      <w:bookmarkEnd w:id="64"/>
      <w:bookmarkEnd w:id="65"/>
      <w:bookmarkEnd w:id="66"/>
      <w:bookmarkEnd w:id="67"/>
      <w:bookmarkEnd w:id="68"/>
      <w:r>
        <w:rPr>
          <w:rFonts w:hint="eastAsia" w:ascii="宋体" w:hAnsi="宋体" w:eastAsia="宋体" w:cs="宋体"/>
          <w:bCs w:val="0"/>
          <w:color w:val="auto"/>
          <w:sz w:val="21"/>
          <w:szCs w:val="21"/>
          <w:highlight w:val="none"/>
        </w:rPr>
        <w:t>招标文件</w:t>
      </w:r>
    </w:p>
    <w:p w14:paraId="63541DF3">
      <w:pPr>
        <w:spacing w:line="560" w:lineRule="exact"/>
        <w:ind w:firstLine="422" w:firstLineChars="200"/>
        <w:rPr>
          <w:rFonts w:ascii="宋体" w:hAnsi="宋体" w:cs="宋体"/>
          <w:b/>
          <w:bCs/>
          <w:color w:val="auto"/>
          <w:szCs w:val="21"/>
          <w:highlight w:val="none"/>
        </w:rPr>
      </w:pPr>
      <w:bookmarkStart w:id="69" w:name="_Toc183582210"/>
      <w:bookmarkStart w:id="70" w:name="_Toc183682347"/>
      <w:bookmarkStart w:id="71" w:name="_Toc217446039"/>
      <w:r>
        <w:rPr>
          <w:rFonts w:hint="eastAsia" w:ascii="宋体" w:hAnsi="宋体" w:cs="宋体"/>
          <w:b/>
          <w:bCs/>
          <w:color w:val="auto"/>
          <w:szCs w:val="21"/>
          <w:highlight w:val="none"/>
        </w:rPr>
        <w:t>5．招标文件的构成</w:t>
      </w:r>
      <w:bookmarkEnd w:id="69"/>
      <w:bookmarkEnd w:id="70"/>
      <w:bookmarkEnd w:id="71"/>
    </w:p>
    <w:p w14:paraId="6732EB8B">
      <w:pPr>
        <w:tabs>
          <w:tab w:val="left" w:pos="720"/>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bCs/>
          <w:color w:val="auto"/>
          <w:szCs w:val="21"/>
          <w:highlight w:val="none"/>
        </w:rPr>
        <w:t>.</w:t>
      </w:r>
      <w:r>
        <w:rPr>
          <w:rFonts w:hint="eastAsia" w:ascii="宋体" w:hAnsi="宋体" w:cs="宋体"/>
          <w:color w:val="auto"/>
          <w:szCs w:val="21"/>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2AFA0EC">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r>
        <w:rPr>
          <w:rFonts w:hint="eastAsia" w:ascii="宋体" w:hAnsi="宋体" w:cs="宋体"/>
          <w:color w:val="auto"/>
          <w:szCs w:val="21"/>
          <w:highlight w:val="none"/>
        </w:rPr>
        <w:tab/>
      </w:r>
    </w:p>
    <w:p w14:paraId="57F8D331">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r>
        <w:rPr>
          <w:rFonts w:hint="eastAsia" w:ascii="宋体" w:hAnsi="宋体" w:cs="宋体"/>
          <w:color w:val="auto"/>
          <w:szCs w:val="21"/>
          <w:highlight w:val="none"/>
        </w:rPr>
        <w:tab/>
      </w:r>
    </w:p>
    <w:p w14:paraId="3CD1497C">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（3）投标文件格式</w:t>
      </w:r>
      <w:r>
        <w:rPr>
          <w:rFonts w:hint="eastAsia" w:ascii="宋体" w:hAnsi="宋体" w:cs="宋体"/>
          <w:color w:val="auto"/>
          <w:szCs w:val="21"/>
          <w:highlight w:val="none"/>
        </w:rPr>
        <w:tab/>
      </w:r>
    </w:p>
    <w:p w14:paraId="0B00AF0F">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（4）项目采购需求</w:t>
      </w:r>
      <w:r>
        <w:rPr>
          <w:rFonts w:hint="eastAsia" w:ascii="宋体" w:hAnsi="宋体" w:cs="宋体"/>
          <w:color w:val="auto"/>
          <w:szCs w:val="21"/>
          <w:highlight w:val="none"/>
        </w:rPr>
        <w:tab/>
      </w:r>
    </w:p>
    <w:p w14:paraId="36DAFC8B">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（5）评标办法</w:t>
      </w:r>
      <w:r>
        <w:rPr>
          <w:rFonts w:hint="eastAsia" w:ascii="宋体" w:hAnsi="宋体" w:cs="宋体"/>
          <w:color w:val="auto"/>
          <w:szCs w:val="21"/>
          <w:highlight w:val="none"/>
        </w:rPr>
        <w:tab/>
      </w:r>
    </w:p>
    <w:p w14:paraId="6F3E6400">
      <w:pPr>
        <w:tabs>
          <w:tab w:val="left" w:pos="0"/>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（6）拟签订的合同文本</w:t>
      </w:r>
      <w:r>
        <w:rPr>
          <w:rFonts w:hint="eastAsia" w:ascii="宋体" w:hAnsi="宋体" w:cs="宋体"/>
          <w:color w:val="auto"/>
          <w:szCs w:val="21"/>
          <w:highlight w:val="none"/>
        </w:rPr>
        <w:tab/>
      </w:r>
    </w:p>
    <w:p w14:paraId="213E6F3E">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bCs/>
          <w:color w:val="auto"/>
          <w:szCs w:val="21"/>
          <w:highlight w:val="none"/>
        </w:rPr>
        <w:t>.</w:t>
      </w:r>
      <w:r>
        <w:rPr>
          <w:rFonts w:hint="eastAsia" w:ascii="宋体" w:hAnsi="宋体" w:cs="宋体"/>
          <w:color w:val="auto"/>
          <w:szCs w:val="21"/>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cs="宋体"/>
          <w:b/>
          <w:bCs/>
          <w:color w:val="auto"/>
          <w:szCs w:val="21"/>
          <w:highlight w:val="none"/>
        </w:rPr>
        <w:t>无效处理</w:t>
      </w:r>
      <w:r>
        <w:rPr>
          <w:rFonts w:hint="eastAsia" w:ascii="宋体" w:hAnsi="宋体" w:cs="宋体"/>
          <w:color w:val="auto"/>
          <w:szCs w:val="21"/>
          <w:highlight w:val="none"/>
        </w:rPr>
        <w:t>。</w:t>
      </w:r>
    </w:p>
    <w:p w14:paraId="50505E54">
      <w:pPr>
        <w:spacing w:line="560" w:lineRule="exact"/>
        <w:ind w:firstLine="420" w:firstLineChars="200"/>
        <w:rPr>
          <w:rFonts w:ascii="宋体" w:hAnsi="宋体" w:cs="宋体"/>
          <w:b/>
          <w:bCs/>
          <w:color w:val="auto"/>
          <w:szCs w:val="21"/>
          <w:highlight w:val="none"/>
        </w:rPr>
      </w:pPr>
      <w:bookmarkStart w:id="72" w:name="_Toc183582211"/>
      <w:bookmarkStart w:id="73" w:name="_Toc183682348"/>
      <w:bookmarkStart w:id="74" w:name="_Toc217446040"/>
      <w:r>
        <w:rPr>
          <w:rFonts w:hint="eastAsia" w:ascii="宋体" w:hAnsi="宋体" w:cs="宋体"/>
          <w:color w:val="auto"/>
          <w:szCs w:val="21"/>
          <w:highlight w:val="none"/>
        </w:rPr>
        <w:t>6</w:t>
      </w:r>
      <w:r>
        <w:rPr>
          <w:rFonts w:hint="eastAsia" w:ascii="宋体" w:hAnsi="宋体" w:cs="宋体"/>
          <w:b/>
          <w:bCs/>
          <w:color w:val="auto"/>
          <w:szCs w:val="21"/>
          <w:highlight w:val="none"/>
        </w:rPr>
        <w:t>. 招标文件的澄清</w:t>
      </w:r>
      <w:bookmarkEnd w:id="72"/>
      <w:bookmarkEnd w:id="73"/>
      <w:r>
        <w:rPr>
          <w:rFonts w:hint="eastAsia" w:ascii="宋体" w:hAnsi="宋体" w:cs="宋体"/>
          <w:b/>
          <w:bCs/>
          <w:color w:val="auto"/>
          <w:szCs w:val="21"/>
          <w:highlight w:val="none"/>
        </w:rPr>
        <w:t>和修改</w:t>
      </w:r>
      <w:bookmarkEnd w:id="74"/>
    </w:p>
    <w:p w14:paraId="63259B2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6.1 </w:t>
      </w:r>
      <w:bookmarkStart w:id="75" w:name="_Toc217446041"/>
      <w:bookmarkStart w:id="76" w:name="_Toc208848971"/>
      <w:r>
        <w:rPr>
          <w:rFonts w:hint="eastAsia" w:ascii="宋体" w:hAnsi="宋体" w:cs="宋体"/>
          <w:color w:val="auto"/>
          <w:szCs w:val="21"/>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E0C4EC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986103">
      <w:pPr>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 答疑会和现场考察</w:t>
      </w:r>
      <w:bookmarkEnd w:id="75"/>
      <w:bookmarkEnd w:id="76"/>
      <w:r>
        <w:rPr>
          <w:rFonts w:hint="eastAsia" w:ascii="宋体" w:hAnsi="宋体" w:cs="宋体"/>
          <w:b/>
          <w:bCs/>
          <w:color w:val="auto"/>
          <w:szCs w:val="21"/>
          <w:highlight w:val="none"/>
        </w:rPr>
        <w:t>。</w:t>
      </w:r>
    </w:p>
    <w:p w14:paraId="7071F677">
      <w:pPr>
        <w:spacing w:line="560" w:lineRule="exact"/>
        <w:ind w:firstLine="420" w:firstLineChars="200"/>
        <w:rPr>
          <w:rFonts w:ascii="宋体" w:hAnsi="宋体" w:cs="宋体"/>
          <w:color w:val="auto"/>
          <w:szCs w:val="21"/>
          <w:highlight w:val="none"/>
        </w:rPr>
      </w:pPr>
      <w:bookmarkStart w:id="77" w:name="_Toc183582214"/>
      <w:bookmarkStart w:id="78" w:name="_Toc183682351"/>
      <w:bookmarkStart w:id="79" w:name="_Toc89075876"/>
      <w:bookmarkStart w:id="80" w:name="_Toc217446042"/>
      <w:bookmarkStart w:id="81" w:name="_Toc77400780"/>
      <w:r>
        <w:rPr>
          <w:rFonts w:hint="eastAsia" w:ascii="宋体" w:hAnsi="宋体" w:cs="宋体"/>
          <w:color w:val="auto"/>
          <w:szCs w:val="21"/>
          <w:highlight w:val="none"/>
        </w:rPr>
        <w:t>7.1 本项目不组织答疑会和现场考察。</w:t>
      </w:r>
    </w:p>
    <w:p w14:paraId="1770C191">
      <w:pPr>
        <w:pStyle w:val="3"/>
        <w:spacing w:before="0" w:after="0" w:line="560" w:lineRule="exact"/>
        <w:ind w:firstLine="422" w:firstLineChars="200"/>
        <w:jc w:val="center"/>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w:t>
      </w:r>
      <w:bookmarkEnd w:id="77"/>
      <w:bookmarkEnd w:id="78"/>
      <w:bookmarkEnd w:id="79"/>
      <w:bookmarkEnd w:id="80"/>
      <w:bookmarkEnd w:id="81"/>
      <w:r>
        <w:rPr>
          <w:rFonts w:hint="eastAsia" w:ascii="宋体" w:hAnsi="宋体" w:eastAsia="宋体" w:cs="宋体"/>
          <w:bCs w:val="0"/>
          <w:color w:val="auto"/>
          <w:sz w:val="21"/>
          <w:szCs w:val="21"/>
          <w:highlight w:val="none"/>
        </w:rPr>
        <w:t>投标文件</w:t>
      </w:r>
    </w:p>
    <w:p w14:paraId="62ECD76E">
      <w:pPr>
        <w:spacing w:line="560" w:lineRule="exact"/>
        <w:ind w:firstLine="422" w:firstLineChars="200"/>
        <w:rPr>
          <w:rFonts w:ascii="宋体" w:hAnsi="宋体" w:cs="宋体"/>
          <w:b/>
          <w:bCs/>
          <w:color w:val="auto"/>
          <w:szCs w:val="21"/>
          <w:highlight w:val="none"/>
        </w:rPr>
      </w:pPr>
      <w:bookmarkStart w:id="82" w:name="_Toc217446043"/>
      <w:bookmarkStart w:id="83" w:name="_Toc183582215"/>
      <w:bookmarkStart w:id="84" w:name="_Toc183682352"/>
      <w:r>
        <w:rPr>
          <w:rFonts w:hint="eastAsia" w:ascii="宋体" w:hAnsi="宋体" w:cs="宋体"/>
          <w:b/>
          <w:bCs/>
          <w:color w:val="auto"/>
          <w:szCs w:val="21"/>
          <w:highlight w:val="none"/>
        </w:rPr>
        <w:t>8．投标文件的语言</w:t>
      </w:r>
      <w:bookmarkEnd w:id="82"/>
      <w:bookmarkEnd w:id="83"/>
      <w:bookmarkEnd w:id="84"/>
    </w:p>
    <w:p w14:paraId="447F7A3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cs="宋体"/>
          <w:b/>
          <w:bCs/>
          <w:color w:val="auto"/>
          <w:szCs w:val="21"/>
          <w:highlight w:val="none"/>
        </w:rPr>
        <w:t>无效投标处理</w:t>
      </w:r>
      <w:r>
        <w:rPr>
          <w:rFonts w:hint="eastAsia" w:ascii="宋体" w:hAnsi="宋体" w:cs="宋体"/>
          <w:color w:val="auto"/>
          <w:szCs w:val="21"/>
          <w:highlight w:val="none"/>
        </w:rPr>
        <w:t>。</w:t>
      </w:r>
    </w:p>
    <w:p w14:paraId="594E056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 翻译的中文资料与外文资料如果出现差异和矛盾时，以中文为准。但不能故意错误翻译，否则，投标人的投标文件将作为</w:t>
      </w:r>
      <w:r>
        <w:rPr>
          <w:rFonts w:hint="eastAsia" w:ascii="宋体" w:hAnsi="宋体" w:cs="宋体"/>
          <w:b/>
          <w:bCs/>
          <w:color w:val="auto"/>
          <w:szCs w:val="21"/>
          <w:highlight w:val="none"/>
        </w:rPr>
        <w:t>无效投标处理</w:t>
      </w:r>
      <w:r>
        <w:rPr>
          <w:rFonts w:hint="eastAsia" w:ascii="宋体" w:hAnsi="宋体" w:cs="宋体"/>
          <w:color w:val="auto"/>
          <w:szCs w:val="21"/>
          <w:highlight w:val="none"/>
        </w:rPr>
        <w:t>。</w:t>
      </w:r>
    </w:p>
    <w:p w14:paraId="100ED15F">
      <w:pPr>
        <w:spacing w:line="560" w:lineRule="exact"/>
        <w:ind w:firstLine="422" w:firstLineChars="200"/>
        <w:rPr>
          <w:rFonts w:ascii="宋体" w:hAnsi="宋体" w:cs="宋体"/>
          <w:b/>
          <w:bCs/>
          <w:color w:val="auto"/>
          <w:szCs w:val="21"/>
          <w:highlight w:val="none"/>
        </w:rPr>
      </w:pPr>
      <w:bookmarkStart w:id="85" w:name="_Toc183682353"/>
      <w:bookmarkStart w:id="86" w:name="_Toc217446044"/>
      <w:bookmarkStart w:id="87" w:name="_Toc183582216"/>
      <w:r>
        <w:rPr>
          <w:rFonts w:hint="eastAsia" w:ascii="宋体" w:hAnsi="宋体" w:cs="宋体"/>
          <w:b/>
          <w:bCs/>
          <w:color w:val="auto"/>
          <w:szCs w:val="21"/>
          <w:highlight w:val="none"/>
        </w:rPr>
        <w:t>9．计量单位</w:t>
      </w:r>
      <w:bookmarkEnd w:id="85"/>
      <w:bookmarkEnd w:id="86"/>
      <w:bookmarkEnd w:id="87"/>
    </w:p>
    <w:p w14:paraId="2FDA55C2">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除招标文件中另有规定外，本招标项下的投标均采用国家法定的计量单位。</w:t>
      </w:r>
    </w:p>
    <w:p w14:paraId="39A8CB28">
      <w:pPr>
        <w:spacing w:line="560" w:lineRule="exact"/>
        <w:ind w:firstLine="422" w:firstLineChars="200"/>
        <w:rPr>
          <w:rFonts w:ascii="宋体" w:hAnsi="宋体" w:cs="宋体"/>
          <w:b/>
          <w:bCs/>
          <w:color w:val="auto"/>
          <w:szCs w:val="21"/>
          <w:highlight w:val="none"/>
        </w:rPr>
      </w:pPr>
      <w:bookmarkStart w:id="88" w:name="_Toc217446045"/>
      <w:r>
        <w:rPr>
          <w:rFonts w:hint="eastAsia" w:ascii="宋体" w:hAnsi="宋体" w:cs="宋体"/>
          <w:b/>
          <w:bCs/>
          <w:color w:val="auto"/>
          <w:szCs w:val="21"/>
          <w:highlight w:val="none"/>
        </w:rPr>
        <w:t>10. 投标货币</w:t>
      </w:r>
      <w:bookmarkEnd w:id="88"/>
    </w:p>
    <w:p w14:paraId="05FB6CE3">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本次招标项目的投标均以人民币报价。</w:t>
      </w:r>
    </w:p>
    <w:p w14:paraId="3520CAD6">
      <w:pPr>
        <w:spacing w:line="560" w:lineRule="exact"/>
        <w:ind w:firstLine="422" w:firstLineChars="200"/>
        <w:rPr>
          <w:rFonts w:ascii="宋体" w:hAnsi="宋体" w:cs="宋体"/>
          <w:b/>
          <w:bCs/>
          <w:color w:val="auto"/>
          <w:szCs w:val="21"/>
          <w:highlight w:val="none"/>
        </w:rPr>
      </w:pPr>
      <w:bookmarkStart w:id="89" w:name="_Toc217446046"/>
      <w:r>
        <w:rPr>
          <w:rFonts w:hint="eastAsia" w:ascii="宋体" w:hAnsi="宋体" w:cs="宋体"/>
          <w:b/>
          <w:bCs/>
          <w:color w:val="auto"/>
          <w:szCs w:val="21"/>
          <w:highlight w:val="none"/>
        </w:rPr>
        <w:t>11. 联合体投标</w:t>
      </w:r>
      <w:bookmarkEnd w:id="89"/>
    </w:p>
    <w:p w14:paraId="52B397ED">
      <w:pPr>
        <w:pStyle w:val="17"/>
        <w:spacing w:line="5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详见“投标人须知前附表”第1</w:t>
      </w:r>
      <w:r>
        <w:rPr>
          <w:rFonts w:hint="eastAsia" w:ascii="宋体" w:hAnsi="宋体" w:cs="宋体"/>
          <w:color w:val="auto"/>
          <w:sz w:val="21"/>
          <w:szCs w:val="21"/>
          <w:highlight w:val="none"/>
        </w:rPr>
        <w:t>2</w:t>
      </w:r>
      <w:r>
        <w:rPr>
          <w:rFonts w:hint="eastAsia" w:ascii="宋体" w:hAnsi="宋体" w:eastAsia="宋体" w:cs="宋体"/>
          <w:color w:val="auto"/>
          <w:sz w:val="21"/>
          <w:szCs w:val="21"/>
          <w:highlight w:val="none"/>
        </w:rPr>
        <w:t>条。</w:t>
      </w:r>
    </w:p>
    <w:p w14:paraId="1614319E">
      <w:pPr>
        <w:spacing w:line="560" w:lineRule="exact"/>
        <w:ind w:firstLine="422" w:firstLineChars="200"/>
        <w:rPr>
          <w:rFonts w:ascii="宋体" w:hAnsi="宋体" w:cs="宋体"/>
          <w:b/>
          <w:bCs/>
          <w:color w:val="auto"/>
          <w:szCs w:val="21"/>
          <w:highlight w:val="none"/>
        </w:rPr>
      </w:pPr>
      <w:bookmarkStart w:id="90" w:name="_Toc217446047"/>
      <w:r>
        <w:rPr>
          <w:rFonts w:hint="eastAsia" w:ascii="宋体" w:hAnsi="宋体" w:cs="宋体"/>
          <w:b/>
          <w:bCs/>
          <w:color w:val="auto"/>
          <w:szCs w:val="21"/>
          <w:highlight w:val="none"/>
        </w:rPr>
        <w:t>12. 知识产权</w:t>
      </w:r>
      <w:bookmarkEnd w:id="90"/>
    </w:p>
    <w:p w14:paraId="431F0E72">
      <w:pPr>
        <w:pStyle w:val="17"/>
        <w:spacing w:line="5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2DBE8CAF">
      <w:pPr>
        <w:pStyle w:val="17"/>
        <w:spacing w:line="5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 采购人享有本项目实施过程中产生的知识成果及知识产权。</w:t>
      </w:r>
    </w:p>
    <w:p w14:paraId="7A7D9F1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5D85BBF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12.4 如采用投标人所不拥有的知识产权，则在投标报价中必须包括合法获取该知识产权的相关费用。 </w:t>
      </w:r>
    </w:p>
    <w:p w14:paraId="15A0EFCB">
      <w:pPr>
        <w:spacing w:line="560" w:lineRule="exact"/>
        <w:ind w:firstLine="422" w:firstLineChars="200"/>
        <w:rPr>
          <w:rFonts w:ascii="宋体" w:hAnsi="宋体" w:cs="宋体"/>
          <w:b/>
          <w:bCs/>
          <w:color w:val="auto"/>
          <w:szCs w:val="21"/>
          <w:highlight w:val="none"/>
        </w:rPr>
      </w:pPr>
      <w:bookmarkStart w:id="91" w:name="_Toc217446048"/>
      <w:bookmarkStart w:id="92" w:name="_Toc183682354"/>
      <w:bookmarkStart w:id="93" w:name="_Toc183582217"/>
      <w:r>
        <w:rPr>
          <w:rFonts w:hint="eastAsia" w:ascii="宋体" w:hAnsi="宋体" w:cs="宋体"/>
          <w:b/>
          <w:bCs/>
          <w:color w:val="auto"/>
          <w:szCs w:val="21"/>
          <w:highlight w:val="none"/>
        </w:rPr>
        <w:t>13．投标文件的组成</w:t>
      </w:r>
      <w:bookmarkEnd w:id="91"/>
      <w:bookmarkEnd w:id="92"/>
      <w:bookmarkEnd w:id="93"/>
    </w:p>
    <w:p w14:paraId="2B23613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635CA2E2">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bookmarkStart w:id="94" w:name="_Toc183682355"/>
      <w:bookmarkStart w:id="95" w:name="_Toc183582218"/>
      <w:bookmarkStart w:id="96" w:name="_Toc217446049"/>
      <w:r>
        <w:rPr>
          <w:rFonts w:hint="eastAsia" w:ascii="宋体" w:hAnsi="宋体" w:eastAsia="宋体" w:cs="宋体"/>
          <w:color w:val="auto"/>
          <w:kern w:val="2"/>
          <w:sz w:val="21"/>
          <w:szCs w:val="21"/>
          <w:highlight w:val="none"/>
          <w:lang w:val="en-US" w:eastAsia="zh-CN" w:bidi="ar-SA"/>
        </w:rPr>
        <w:t>一、投标函</w:t>
      </w:r>
    </w:p>
    <w:p w14:paraId="7C988D9F">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二、身份证明书</w:t>
      </w:r>
    </w:p>
    <w:p w14:paraId="63B1D18E">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三、授权委托书</w:t>
      </w:r>
    </w:p>
    <w:p w14:paraId="068754BA">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四、投标人基本情况表</w:t>
      </w:r>
    </w:p>
    <w:p w14:paraId="0B3C187A">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五、项目负责人简介</w:t>
      </w:r>
    </w:p>
    <w:p w14:paraId="585B49D1">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六、拟配备人员</w:t>
      </w:r>
    </w:p>
    <w:p w14:paraId="3CB76DCE">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七、近年同类项目情况表</w:t>
      </w:r>
    </w:p>
    <w:p w14:paraId="12DCC688">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八、商务、技术需求偏离表</w:t>
      </w:r>
    </w:p>
    <w:p w14:paraId="066A69EE">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九、服务方案</w:t>
      </w:r>
    </w:p>
    <w:p w14:paraId="5D7C3DF9">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十、保密承诺书</w:t>
      </w:r>
    </w:p>
    <w:p w14:paraId="7F703F10">
      <w:pPr>
        <w:pStyle w:val="18"/>
        <w:autoSpaceDE/>
        <w:autoSpaceDN/>
        <w:adjustRightInd/>
        <w:snapToGrid/>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十一、政府采购政策</w:t>
      </w:r>
    </w:p>
    <w:p w14:paraId="7852D76E">
      <w:pPr>
        <w:pStyle w:val="18"/>
        <w:autoSpaceDE/>
        <w:autoSpaceDN/>
        <w:adjustRightInd/>
        <w:snapToGrid/>
        <w:ind w:firstLine="480"/>
        <w:rPr>
          <w:rFonts w:hint="eastAsia" w:ascii="宋体" w:hAnsi="宋体" w:cs="宋体"/>
          <w:b w:val="0"/>
          <w:bCs w:val="0"/>
          <w:color w:val="auto"/>
          <w:szCs w:val="21"/>
          <w:highlight w:val="none"/>
        </w:rPr>
      </w:pPr>
      <w:r>
        <w:rPr>
          <w:rFonts w:hint="eastAsia" w:ascii="宋体" w:hAnsi="宋体" w:eastAsia="宋体" w:cs="宋体"/>
          <w:color w:val="auto"/>
          <w:kern w:val="2"/>
          <w:sz w:val="21"/>
          <w:szCs w:val="21"/>
          <w:highlight w:val="none"/>
          <w:lang w:val="en-US" w:eastAsia="zh-CN" w:bidi="ar-SA"/>
        </w:rPr>
        <w:t>十二、投标人认为需要提供的其他资料</w:t>
      </w:r>
    </w:p>
    <w:p w14:paraId="5E9E0B64">
      <w:pPr>
        <w:tabs>
          <w:tab w:val="left" w:pos="3480"/>
        </w:tabs>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14．投标文件格式</w:t>
      </w:r>
      <w:bookmarkEnd w:id="94"/>
      <w:bookmarkEnd w:id="95"/>
      <w:bookmarkEnd w:id="96"/>
      <w:r>
        <w:rPr>
          <w:rFonts w:hint="eastAsia" w:ascii="宋体" w:hAnsi="宋体" w:cs="宋体"/>
          <w:color w:val="auto"/>
          <w:szCs w:val="21"/>
          <w:highlight w:val="none"/>
        </w:rPr>
        <w:tab/>
      </w:r>
    </w:p>
    <w:p w14:paraId="5CF35146">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投标人应严格按照招标文件第三章中提供的“投标文件格式”填写相关内容。除明确允许投标人可以自行编写的外，投标人不得以“投标文件格式”规定之外的方式填写相关内容。</w:t>
      </w:r>
    </w:p>
    <w:p w14:paraId="10EE3960">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 对于没有格式要求的投标文件由投标人自行编写。</w:t>
      </w:r>
    </w:p>
    <w:p w14:paraId="4B97D6E0">
      <w:pPr>
        <w:spacing w:line="560" w:lineRule="exact"/>
        <w:ind w:firstLine="422" w:firstLineChars="200"/>
        <w:rPr>
          <w:rFonts w:ascii="宋体" w:hAnsi="宋体" w:cs="宋体"/>
          <w:b/>
          <w:bCs/>
          <w:color w:val="auto"/>
          <w:szCs w:val="21"/>
          <w:highlight w:val="none"/>
        </w:rPr>
      </w:pPr>
      <w:bookmarkStart w:id="97" w:name="_Toc183582223"/>
      <w:bookmarkStart w:id="98" w:name="_Toc217446050"/>
      <w:bookmarkStart w:id="99" w:name="_Toc183682360"/>
      <w:r>
        <w:rPr>
          <w:rFonts w:hint="eastAsia" w:ascii="宋体" w:hAnsi="宋体" w:cs="宋体"/>
          <w:b/>
          <w:bCs/>
          <w:color w:val="auto"/>
          <w:szCs w:val="21"/>
          <w:highlight w:val="none"/>
        </w:rPr>
        <w:t>15．投标保证金</w:t>
      </w:r>
      <w:bookmarkEnd w:id="97"/>
      <w:bookmarkEnd w:id="98"/>
      <w:bookmarkEnd w:id="99"/>
    </w:p>
    <w:p w14:paraId="3BC6FD1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 投标人投标时，必须按招标文件规定数额和形式缴纳投标保证金，并作为其投标文件的一部分。</w:t>
      </w:r>
    </w:p>
    <w:p w14:paraId="676949F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15.2未按招标文件要求在规定时间前缴纳规定数额和形式的投标保证金，将被视为</w:t>
      </w:r>
      <w:r>
        <w:rPr>
          <w:rFonts w:hint="eastAsia" w:ascii="宋体" w:hAnsi="宋体" w:cs="宋体"/>
          <w:b/>
          <w:bCs/>
          <w:color w:val="auto"/>
          <w:szCs w:val="21"/>
          <w:highlight w:val="none"/>
        </w:rPr>
        <w:t>投标无效</w:t>
      </w:r>
      <w:r>
        <w:rPr>
          <w:rFonts w:hint="eastAsia" w:ascii="宋体" w:hAnsi="宋体" w:cs="宋体"/>
          <w:color w:val="auto"/>
          <w:szCs w:val="21"/>
          <w:highlight w:val="none"/>
        </w:rPr>
        <w:t>。</w:t>
      </w:r>
    </w:p>
    <w:p w14:paraId="40C035F5">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 投标人所缴纳的投标保证金不计利息。</w:t>
      </w:r>
    </w:p>
    <w:p w14:paraId="296F561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15.4未中标人的投标保证金，将在中标通知书发出后五个工作日内全额退还。中标人的投标保证金，自采购合同签订之日起5个工作日内退还中标人的投标保证金。</w:t>
      </w:r>
    </w:p>
    <w:p w14:paraId="280AABA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15.5发生下列情形之一的，采购代理机构将不予退还投标人缴纳的投标保证金：</w:t>
      </w:r>
    </w:p>
    <w:p w14:paraId="2D8C2224">
      <w:pPr>
        <w:spacing w:line="560" w:lineRule="exact"/>
        <w:ind w:firstLine="420" w:firstLineChars="200"/>
        <w:rPr>
          <w:rFonts w:ascii="宋体" w:hAnsi="宋体" w:cs="宋体"/>
          <w:color w:val="auto"/>
          <w:szCs w:val="21"/>
          <w:highlight w:val="none"/>
        </w:rPr>
      </w:pPr>
      <w:bookmarkStart w:id="100" w:name="_Toc183682361"/>
      <w:bookmarkStart w:id="101" w:name="_Toc183582224"/>
      <w:bookmarkStart w:id="102" w:name="_Toc217446051"/>
      <w:r>
        <w:rPr>
          <w:rFonts w:hint="eastAsia" w:ascii="宋体" w:hAnsi="宋体" w:cs="宋体"/>
          <w:color w:val="auto"/>
          <w:szCs w:val="21"/>
          <w:highlight w:val="none"/>
        </w:rPr>
        <w:t>（1）投标人在提交投标文件截止时间后撤回投标文件的；</w:t>
      </w:r>
    </w:p>
    <w:p w14:paraId="283DDCA5">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（2）投标人在投标文件中提供虚假材料的；</w:t>
      </w:r>
    </w:p>
    <w:p w14:paraId="5D83ED61">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（3）投标人不接受按投标文件规定对其投标报价进行修正的；</w:t>
      </w:r>
    </w:p>
    <w:p w14:paraId="78F9DA2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（4）除因不可抗力或投标文件认可的情形以外，中标人不履行与采购人签订合同的，在签订合同时向采购人提出附加条件；</w:t>
      </w:r>
    </w:p>
    <w:p w14:paraId="470C16B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（5）中标人未能在规定期限内与采购人签署合同协议书或提交履约保证金的；</w:t>
      </w:r>
    </w:p>
    <w:p w14:paraId="46FB64C0">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（6）投标人与采购人、其他投标人或者采购代理机构恶意串通的；</w:t>
      </w:r>
    </w:p>
    <w:p w14:paraId="42C5F6E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（7）招标文件规定的其他情形；</w:t>
      </w:r>
    </w:p>
    <w:p w14:paraId="0D9A9269">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（8）符合法律、法规规定的其他情形的。 </w:t>
      </w:r>
    </w:p>
    <w:p w14:paraId="4471868A">
      <w:pPr>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16．投标有效期</w:t>
      </w:r>
      <w:bookmarkEnd w:id="100"/>
      <w:bookmarkEnd w:id="101"/>
      <w:bookmarkEnd w:id="102"/>
    </w:p>
    <w:p w14:paraId="6B66B25A">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 投标有效期详见“投标人须知前附表”第20条。投标有效期短于此规定期限的，</w:t>
      </w:r>
      <w:r>
        <w:rPr>
          <w:rFonts w:hint="eastAsia" w:ascii="宋体" w:hAnsi="宋体" w:cs="宋体"/>
          <w:b/>
          <w:bCs/>
          <w:color w:val="auto"/>
          <w:szCs w:val="21"/>
          <w:highlight w:val="none"/>
        </w:rPr>
        <w:t>投标无效</w:t>
      </w:r>
      <w:r>
        <w:rPr>
          <w:rFonts w:hint="eastAsia" w:ascii="宋体" w:hAnsi="宋体" w:cs="宋体"/>
          <w:color w:val="auto"/>
          <w:szCs w:val="21"/>
          <w:highlight w:val="none"/>
        </w:rPr>
        <w:t>。</w:t>
      </w:r>
    </w:p>
    <w:p w14:paraId="0DC6D5A6">
      <w:pPr>
        <w:tabs>
          <w:tab w:val="left" w:pos="7665"/>
        </w:tabs>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特殊情况下，采购人可于投标有效期满之前要求投标人同意延长有效期，要求与答复均应为书面形式。投标人可以拒绝上述要求，其投标保证金</w:t>
      </w:r>
      <w:r>
        <w:rPr>
          <w:rFonts w:hint="eastAsia" w:ascii="宋体" w:hAnsi="宋体" w:cs="宋体"/>
          <w:color w:val="auto"/>
          <w:spacing w:val="8"/>
          <w:szCs w:val="21"/>
          <w:highlight w:val="none"/>
        </w:rPr>
        <w:t>不被没收。</w:t>
      </w:r>
      <w:r>
        <w:rPr>
          <w:rFonts w:hint="eastAsia" w:ascii="宋体" w:hAnsi="宋体" w:cs="宋体"/>
          <w:color w:val="auto"/>
          <w:szCs w:val="21"/>
          <w:highlight w:val="none"/>
        </w:rPr>
        <w:t>拒绝延长投标有效期的投标人不得再参与该项目后续招标活动。同意延长投标有效期的投标人不能修改其投标文件，关于投标保证金的有关规定在延长的投标有效期内继续有效。</w:t>
      </w:r>
    </w:p>
    <w:p w14:paraId="04A09BB3">
      <w:pPr>
        <w:spacing w:line="560" w:lineRule="exact"/>
        <w:ind w:firstLine="422" w:firstLineChars="200"/>
        <w:rPr>
          <w:rFonts w:ascii="宋体" w:hAnsi="宋体" w:cs="宋体"/>
          <w:b/>
          <w:bCs/>
          <w:color w:val="auto"/>
          <w:sz w:val="21"/>
          <w:szCs w:val="21"/>
          <w:highlight w:val="none"/>
        </w:rPr>
      </w:pPr>
      <w:bookmarkStart w:id="103" w:name="_Toc183582225"/>
      <w:bookmarkStart w:id="104" w:name="_Toc183682362"/>
      <w:bookmarkStart w:id="105" w:name="_Toc217446052"/>
      <w:bookmarkStart w:id="106" w:name="_Toc183582227"/>
      <w:bookmarkStart w:id="107" w:name="_Toc217446054"/>
      <w:bookmarkStart w:id="108" w:name="_Toc183682364"/>
      <w:r>
        <w:rPr>
          <w:rFonts w:hint="eastAsia" w:ascii="宋体" w:hAnsi="宋体" w:cs="宋体"/>
          <w:b/>
          <w:bCs/>
          <w:color w:val="auto"/>
          <w:sz w:val="21"/>
          <w:szCs w:val="21"/>
          <w:highlight w:val="none"/>
        </w:rPr>
        <w:t>17．</w:t>
      </w:r>
      <w:bookmarkEnd w:id="103"/>
      <w:bookmarkEnd w:id="104"/>
      <w:bookmarkEnd w:id="105"/>
      <w:r>
        <w:rPr>
          <w:rFonts w:hint="eastAsia" w:ascii="宋体" w:hAnsi="宋体" w:cs="宋体"/>
          <w:b/>
          <w:bCs/>
          <w:color w:val="auto"/>
          <w:sz w:val="21"/>
          <w:szCs w:val="21"/>
          <w:highlight w:val="none"/>
        </w:rPr>
        <w:t>投标文件的签署</w:t>
      </w:r>
    </w:p>
    <w:p w14:paraId="56953099">
      <w:pPr>
        <w:tabs>
          <w:tab w:val="left" w:pos="1080"/>
        </w:tabs>
        <w:spacing w:line="560" w:lineRule="exact"/>
        <w:ind w:firstLine="420" w:firstLineChars="200"/>
        <w:rPr>
          <w:rFonts w:ascii="宋体" w:hAnsi="宋体" w:cs="宋体"/>
          <w:color w:val="auto"/>
          <w:sz w:val="21"/>
          <w:szCs w:val="21"/>
          <w:highlight w:val="none"/>
        </w:rPr>
      </w:pPr>
      <w:bookmarkStart w:id="109" w:name="_Toc77400781"/>
      <w:bookmarkStart w:id="110" w:name="_Toc183582226"/>
      <w:bookmarkStart w:id="111" w:name="_Toc217446053"/>
      <w:bookmarkStart w:id="112" w:name="_Toc89075877"/>
      <w:bookmarkStart w:id="113" w:name="_Toc183682363"/>
      <w:r>
        <w:rPr>
          <w:rFonts w:hint="eastAsia" w:ascii="宋体" w:hAnsi="宋体" w:cs="宋体"/>
          <w:color w:val="auto"/>
          <w:sz w:val="21"/>
          <w:szCs w:val="21"/>
          <w:highlight w:val="none"/>
        </w:rPr>
        <w:t>17.1 投标文件应根据招标文件的要求制作、签署、盖章，内容应完整。</w:t>
      </w:r>
    </w:p>
    <w:p w14:paraId="69D4959E">
      <w:pPr>
        <w:numPr>
          <w:ilvl w:val="0"/>
          <w:numId w:val="4"/>
        </w:numPr>
        <w:spacing w:line="560" w:lineRule="exact"/>
        <w:ind w:firstLine="422" w:firstLineChars="200"/>
        <w:rPr>
          <w:rFonts w:ascii="宋体" w:hAnsi="宋体" w:cs="宋体"/>
          <w:color w:val="auto"/>
          <w:kern w:val="0"/>
          <w:sz w:val="21"/>
          <w:szCs w:val="21"/>
          <w:highlight w:val="none"/>
        </w:rPr>
      </w:pPr>
      <w:r>
        <w:rPr>
          <w:rFonts w:hint="eastAsia" w:ascii="宋体" w:hAnsi="宋体" w:cs="宋体"/>
          <w:b/>
          <w:bCs/>
          <w:color w:val="auto"/>
          <w:sz w:val="21"/>
          <w:szCs w:val="21"/>
          <w:highlight w:val="none"/>
        </w:rPr>
        <w:t>投标文件的加密</w:t>
      </w:r>
      <w:bookmarkEnd w:id="109"/>
      <w:bookmarkEnd w:id="110"/>
      <w:bookmarkEnd w:id="111"/>
      <w:bookmarkEnd w:id="112"/>
      <w:bookmarkEnd w:id="113"/>
      <w:r>
        <w:rPr>
          <w:rFonts w:hint="eastAsia" w:ascii="宋体" w:hAnsi="宋体" w:cs="宋体"/>
          <w:b/>
          <w:bCs/>
          <w:color w:val="auto"/>
          <w:sz w:val="21"/>
          <w:szCs w:val="21"/>
          <w:highlight w:val="none"/>
        </w:rPr>
        <w:t>和上传</w:t>
      </w:r>
    </w:p>
    <w:p w14:paraId="1D903F2D">
      <w:pPr>
        <w:spacing w:line="560" w:lineRule="exact"/>
        <w:ind w:firstLine="481"/>
        <w:rPr>
          <w:rFonts w:ascii="宋体" w:hAnsi="宋体" w:cs="宋体"/>
          <w:color w:val="auto"/>
          <w:sz w:val="21"/>
          <w:szCs w:val="21"/>
          <w:highlight w:val="none"/>
        </w:rPr>
      </w:pPr>
      <w:r>
        <w:rPr>
          <w:rFonts w:hint="eastAsia" w:ascii="宋体" w:hAnsi="宋体" w:cs="宋体"/>
          <w:color w:val="auto"/>
          <w:kern w:val="0"/>
          <w:sz w:val="21"/>
          <w:szCs w:val="21"/>
          <w:highlight w:val="none"/>
        </w:rPr>
        <w:t>18.1本项目实行全流程</w:t>
      </w:r>
      <w:r>
        <w:rPr>
          <w:rFonts w:hint="eastAsia" w:ascii="宋体" w:hAnsi="宋体" w:cs="宋体"/>
          <w:color w:val="auto"/>
          <w:sz w:val="21"/>
          <w:szCs w:val="21"/>
          <w:highlight w:val="none"/>
        </w:rPr>
        <w:t>电子交易方式</w:t>
      </w:r>
      <w:r>
        <w:rPr>
          <w:rFonts w:hint="eastAsia" w:ascii="宋体" w:hAnsi="宋体" w:cs="宋体"/>
          <w:color w:val="auto"/>
          <w:kern w:val="0"/>
          <w:sz w:val="21"/>
          <w:szCs w:val="21"/>
          <w:highlight w:val="none"/>
        </w:rPr>
        <w:t>，采用电子加密投标文件（“.jmbs”格式）上传方式；</w:t>
      </w:r>
      <w:r>
        <w:rPr>
          <w:rFonts w:hint="eastAsia" w:ascii="宋体" w:hAnsi="宋体" w:cs="宋体"/>
          <w:color w:val="auto"/>
          <w:sz w:val="21"/>
          <w:szCs w:val="21"/>
          <w:highlight w:val="none"/>
        </w:rPr>
        <w:t>投标人应当在投标截止时间前，将“电子招投标人客户端”生成的“电子加密投标文件”上传电子交易平台，成功上传电子加密投标文件后，可自行打印投标文件接收回执。</w:t>
      </w:r>
    </w:p>
    <w:p w14:paraId="4A14A465">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18.2</w:t>
      </w:r>
      <w:r>
        <w:rPr>
          <w:rFonts w:hint="eastAsia" w:ascii="Times New Roman" w:hAnsi="Times New Roman" w:eastAsia="宋体" w:cs="Times New Roman"/>
          <w:color w:val="auto"/>
          <w:kern w:val="2"/>
          <w:sz w:val="21"/>
          <w:szCs w:val="24"/>
          <w:highlight w:val="none"/>
          <w:lang w:val="en-US" w:eastAsia="zh-CN" w:bidi="ar-SA"/>
        </w:rPr>
        <w:t>招标结束后</w:t>
      </w:r>
      <w:r>
        <w:rPr>
          <w:rFonts w:hint="eastAsia" w:ascii="Times New Roman" w:hAnsi="Times New Roman" w:cs="Times New Roman"/>
          <w:color w:val="auto"/>
          <w:kern w:val="2"/>
          <w:sz w:val="21"/>
          <w:szCs w:val="24"/>
          <w:highlight w:val="none"/>
          <w:lang w:val="en-US" w:eastAsia="zh-CN" w:bidi="ar-SA"/>
        </w:rPr>
        <w:t>，中标供应商</w:t>
      </w:r>
      <w:r>
        <w:rPr>
          <w:rFonts w:hint="eastAsia" w:ascii="Times New Roman" w:hAnsi="Times New Roman" w:eastAsia="宋体" w:cs="Times New Roman"/>
          <w:color w:val="auto"/>
          <w:kern w:val="2"/>
          <w:sz w:val="21"/>
          <w:szCs w:val="24"/>
          <w:highlight w:val="none"/>
          <w:lang w:val="en-US" w:eastAsia="zh-CN" w:bidi="ar-SA"/>
        </w:rPr>
        <w:t>在五个工作日内向采购代理机构递交签章纸质版投标文件一正一副胶装成册（用于档案资料编制</w:t>
      </w:r>
      <w:r>
        <w:rPr>
          <w:rFonts w:hint="eastAsia" w:cs="Times New Roman"/>
          <w:color w:val="auto"/>
          <w:kern w:val="2"/>
          <w:sz w:val="21"/>
          <w:szCs w:val="24"/>
          <w:highlight w:val="none"/>
          <w:lang w:val="en-US" w:eastAsia="zh-CN" w:bidi="ar-SA"/>
        </w:rPr>
        <w:t>）</w:t>
      </w:r>
      <w:r>
        <w:rPr>
          <w:rFonts w:hint="eastAsia" w:ascii="宋体" w:hAnsi="宋体" w:cs="宋体"/>
          <w:bCs/>
          <w:color w:val="auto"/>
          <w:sz w:val="21"/>
          <w:szCs w:val="21"/>
          <w:highlight w:val="none"/>
        </w:rPr>
        <w:t>，纸质版投标文件须与政采云平台上传的电子版投标文件保持一致。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6"/>
    <w:bookmarkEnd w:id="107"/>
    <w:bookmarkEnd w:id="108"/>
    <w:p w14:paraId="02AF244C">
      <w:pPr>
        <w:pStyle w:val="6"/>
        <w:spacing w:line="560" w:lineRule="exact"/>
        <w:ind w:firstLine="482"/>
        <w:rPr>
          <w:rFonts w:ascii="宋体" w:hAnsi="宋体" w:cs="宋体"/>
          <w:b/>
          <w:bCs/>
          <w:color w:val="auto"/>
          <w:sz w:val="21"/>
          <w:szCs w:val="21"/>
          <w:highlight w:val="none"/>
        </w:rPr>
      </w:pPr>
      <w:bookmarkStart w:id="114" w:name="_Toc183582228"/>
      <w:bookmarkStart w:id="115" w:name="_Toc183682365"/>
      <w:bookmarkStart w:id="116" w:name="_Toc217446055"/>
      <w:r>
        <w:rPr>
          <w:rFonts w:hint="eastAsia" w:ascii="宋体" w:hAnsi="宋体" w:cs="宋体"/>
          <w:b/>
          <w:bCs/>
          <w:color w:val="auto"/>
          <w:sz w:val="21"/>
          <w:szCs w:val="21"/>
          <w:highlight w:val="none"/>
        </w:rPr>
        <w:t>19．投标文件的修改和撤</w:t>
      </w:r>
      <w:bookmarkEnd w:id="114"/>
      <w:bookmarkEnd w:id="115"/>
      <w:r>
        <w:rPr>
          <w:rFonts w:hint="eastAsia" w:ascii="宋体" w:hAnsi="宋体" w:cs="宋体"/>
          <w:b/>
          <w:bCs/>
          <w:color w:val="auto"/>
          <w:sz w:val="21"/>
          <w:szCs w:val="21"/>
          <w:highlight w:val="none"/>
        </w:rPr>
        <w:t>回</w:t>
      </w:r>
      <w:bookmarkEnd w:id="116"/>
    </w:p>
    <w:p w14:paraId="74B9F20B">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19.1 投标人在投标文件上传截止时间前，可以对所上传的投标文件进行补充、修改或撤回。</w:t>
      </w:r>
    </w:p>
    <w:p w14:paraId="2B591AEF">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19.2 在投标文件上传截止时间之后，投标人不得对其上传的投标文件做任何修改、补充或撤回。</w:t>
      </w:r>
    </w:p>
    <w:p w14:paraId="02FEDF8F">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19.3 投标文件中-如果出现计算上或累加上的算术错误，可按以下原则进行修改：</w:t>
      </w:r>
    </w:p>
    <w:p w14:paraId="69417F8C">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（1）投标文件中投标函内容与投标报价明细表不一致的，以投标函为准；</w:t>
      </w:r>
    </w:p>
    <w:p w14:paraId="541BB67E">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（2）用小写金额和大写金额不一致，应以大写金额为准；</w:t>
      </w:r>
    </w:p>
    <w:p w14:paraId="21D36A4C">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（3）总价金额与按单价汇总金额不一致的，以单价金额计算结果为准；</w:t>
      </w:r>
    </w:p>
    <w:p w14:paraId="0C41AD7E">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（4）单价金额小数点或者百分比有明显错位的，以投标函的总价为准，并修改单价。</w:t>
      </w:r>
    </w:p>
    <w:p w14:paraId="210BE5AF">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同时出现两种以上不一致的，按照前款规定的顺序修正。修正后的投标报价经投标人确认后产生约束力，投标人不确认的，其</w:t>
      </w:r>
      <w:r>
        <w:rPr>
          <w:rFonts w:hint="eastAsia" w:ascii="宋体" w:hAnsi="宋体" w:cs="宋体"/>
          <w:b/>
          <w:bCs/>
          <w:color w:val="auto"/>
          <w:sz w:val="21"/>
          <w:szCs w:val="21"/>
          <w:highlight w:val="none"/>
        </w:rPr>
        <w:t>响应无效</w:t>
      </w:r>
      <w:r>
        <w:rPr>
          <w:rFonts w:hint="eastAsia" w:ascii="宋体" w:hAnsi="宋体" w:cs="宋体"/>
          <w:color w:val="auto"/>
          <w:sz w:val="21"/>
          <w:szCs w:val="21"/>
          <w:highlight w:val="none"/>
        </w:rPr>
        <w:t>。</w:t>
      </w:r>
    </w:p>
    <w:p w14:paraId="464F5652">
      <w:pPr>
        <w:pStyle w:val="3"/>
        <w:spacing w:before="0" w:after="0" w:line="560" w:lineRule="exact"/>
        <w:ind w:firstLine="422" w:firstLineChars="200"/>
        <w:jc w:val="center"/>
        <w:rPr>
          <w:rFonts w:ascii="宋体" w:hAnsi="宋体" w:eastAsia="宋体" w:cs="宋体"/>
          <w:color w:val="auto"/>
          <w:sz w:val="21"/>
          <w:szCs w:val="21"/>
          <w:highlight w:val="none"/>
        </w:rPr>
      </w:pPr>
      <w:bookmarkStart w:id="117" w:name="_Toc77400782"/>
      <w:bookmarkStart w:id="118" w:name="_Toc217446056"/>
      <w:bookmarkStart w:id="119" w:name="_Toc89075878"/>
      <w:bookmarkStart w:id="120" w:name="_Toc183682368"/>
      <w:bookmarkStart w:id="121" w:name="_Toc183582231"/>
      <w:r>
        <w:rPr>
          <w:rFonts w:hint="eastAsia" w:ascii="宋体" w:hAnsi="宋体" w:eastAsia="宋体" w:cs="宋体"/>
          <w:color w:val="auto"/>
          <w:sz w:val="21"/>
          <w:szCs w:val="21"/>
          <w:highlight w:val="none"/>
        </w:rPr>
        <w:t>五、开标和</w:t>
      </w:r>
      <w:bookmarkEnd w:id="117"/>
      <w:bookmarkEnd w:id="118"/>
      <w:bookmarkEnd w:id="119"/>
      <w:bookmarkEnd w:id="120"/>
      <w:bookmarkEnd w:id="121"/>
      <w:r>
        <w:rPr>
          <w:rFonts w:hint="eastAsia" w:ascii="宋体" w:hAnsi="宋体" w:eastAsia="宋体" w:cs="宋体"/>
          <w:color w:val="auto"/>
          <w:sz w:val="21"/>
          <w:szCs w:val="21"/>
          <w:highlight w:val="none"/>
        </w:rPr>
        <w:t>中标</w:t>
      </w:r>
    </w:p>
    <w:p w14:paraId="2944DD1B">
      <w:pPr>
        <w:spacing w:line="560" w:lineRule="exact"/>
        <w:ind w:firstLine="422" w:firstLineChars="200"/>
        <w:rPr>
          <w:rFonts w:ascii="宋体" w:hAnsi="宋体" w:cs="宋体"/>
          <w:b/>
          <w:bCs/>
          <w:color w:val="auto"/>
          <w:sz w:val="21"/>
          <w:szCs w:val="21"/>
          <w:highlight w:val="none"/>
        </w:rPr>
      </w:pPr>
      <w:bookmarkStart w:id="122" w:name="_Toc183582232"/>
      <w:bookmarkStart w:id="123" w:name="_Toc217446057"/>
      <w:bookmarkStart w:id="124" w:name="_Toc183682369"/>
      <w:bookmarkStart w:id="125" w:name="_Toc217446064"/>
      <w:bookmarkStart w:id="126" w:name="_Toc183682377"/>
      <w:bookmarkStart w:id="127" w:name="_Toc183582240"/>
      <w:r>
        <w:rPr>
          <w:rFonts w:hint="eastAsia" w:ascii="宋体" w:hAnsi="宋体" w:cs="宋体"/>
          <w:b/>
          <w:bCs/>
          <w:color w:val="auto"/>
          <w:sz w:val="21"/>
          <w:szCs w:val="21"/>
          <w:highlight w:val="none"/>
        </w:rPr>
        <w:t>20．开标</w:t>
      </w:r>
      <w:bookmarkEnd w:id="122"/>
      <w:bookmarkEnd w:id="123"/>
      <w:bookmarkEnd w:id="124"/>
    </w:p>
    <w:p w14:paraId="5B898C29">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20.1 采购代理机构在招标文件规定的时间和地点组织招标活动，邀请下载招标文件并参与竞争的投标人在线参加开标，投标人未参加开标的视同认可开标结果，事后不得对采购相关人员、开标过程和开标结果提出异议，同时投标人因未在线参加开标而导致投标文件无法按时解密等一切后果由投标人自行承担。</w:t>
      </w:r>
    </w:p>
    <w:p w14:paraId="4353C40D">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投标人不足3家的，不得开标。</w:t>
      </w:r>
    </w:p>
    <w:p w14:paraId="1F21245F">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20.2 开标时，采购代理机构可以邀请有关监督管理部门对开标进行现场监督。</w:t>
      </w:r>
    </w:p>
    <w:p w14:paraId="79A61347">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20.3 投标文件上传截止时间到，开标会议开始，公布投标人名单。</w:t>
      </w:r>
    </w:p>
    <w:p w14:paraId="3F6F1EA8">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20.4开启“投标文件解密”环节，投标人在规定时间内进行解密</w:t>
      </w:r>
      <w:r>
        <w:rPr>
          <w:rFonts w:hint="eastAsia" w:ascii="宋体" w:hAnsi="宋体" w:cs="宋体"/>
          <w:b/>
          <w:bCs/>
          <w:color w:val="auto"/>
          <w:sz w:val="21"/>
          <w:szCs w:val="21"/>
          <w:highlight w:val="none"/>
        </w:rPr>
        <w:t>（解密规定见《投标人须知前附表》第</w:t>
      </w:r>
      <w:r>
        <w:rPr>
          <w:rFonts w:hint="eastAsia" w:ascii="宋体" w:hAnsi="宋体" w:cs="宋体"/>
          <w:b/>
          <w:bCs/>
          <w:color w:val="auto"/>
          <w:sz w:val="21"/>
          <w:szCs w:val="21"/>
          <w:highlight w:val="none"/>
          <w:lang w:val="en-US" w:eastAsia="zh-CN"/>
        </w:rPr>
        <w:t>14</w:t>
      </w:r>
      <w:r>
        <w:rPr>
          <w:rFonts w:hint="eastAsia" w:ascii="宋体" w:hAnsi="宋体" w:cs="宋体"/>
          <w:b/>
          <w:bCs/>
          <w:color w:val="auto"/>
          <w:sz w:val="21"/>
          <w:szCs w:val="21"/>
          <w:highlight w:val="none"/>
        </w:rPr>
        <w:t>条</w:t>
      </w:r>
      <w:r>
        <w:rPr>
          <w:rFonts w:hint="eastAsia" w:ascii="宋体" w:hAnsi="宋体" w:cs="宋体"/>
          <w:color w:val="auto"/>
          <w:sz w:val="21"/>
          <w:szCs w:val="21"/>
          <w:highlight w:val="none"/>
        </w:rPr>
        <w:t>）。</w:t>
      </w:r>
    </w:p>
    <w:p w14:paraId="3EEE3E11">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20.5投标文件解密完毕，公布投标报价，开启报价签字确认（不予确认的应说明理由，否则视为无异议，开标结束后，由评标委员会对报价的合理性、准确性等进行审查核实）。</w:t>
      </w:r>
    </w:p>
    <w:p w14:paraId="52044012">
      <w:pPr>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21.评标程序</w:t>
      </w:r>
    </w:p>
    <w:p w14:paraId="4B0378E1">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21.1公开招标采购项目开标结束后，采购人或者采购代理机构应当依法对投标人的资格进行审查。合格投标人不足3家的，不得评标。</w:t>
      </w:r>
    </w:p>
    <w:p w14:paraId="7BC171AB">
      <w:pPr>
        <w:pStyle w:val="104"/>
        <w:spacing w:line="5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21.2符合性审查。符合性审查是指依据招标文件的规定，从商务和技术角度对投标文件的有效性和完整性进行审查，以确定是否对招标文件的实质性要求做出响应。</w:t>
      </w:r>
    </w:p>
    <w:p w14:paraId="22F44B21">
      <w:pPr>
        <w:pStyle w:val="104"/>
        <w:spacing w:line="5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21.3评标委员会采用综合评分法对满足招标文件全部实质性要求的投标文件和投标报价进行综合评分</w:t>
      </w:r>
    </w:p>
    <w:p w14:paraId="6D0BE712">
      <w:pPr>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21.4澄清、说明或补正的形式：</w:t>
      </w:r>
    </w:p>
    <w:p w14:paraId="274A3BCB">
      <w:pPr>
        <w:spacing w:line="56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cs="宋体"/>
          <w:b/>
          <w:bCs/>
          <w:color w:val="auto"/>
          <w:sz w:val="21"/>
          <w:szCs w:val="21"/>
          <w:highlight w:val="none"/>
        </w:rPr>
        <w:t>投标人澄清、说明或补正时间为20分钟</w:t>
      </w:r>
      <w:r>
        <w:rPr>
          <w:rFonts w:hint="eastAsia" w:ascii="宋体" w:hAnsi="宋体" w:cs="宋体"/>
          <w:color w:val="auto"/>
          <w:sz w:val="21"/>
          <w:szCs w:val="21"/>
          <w:highlight w:val="none"/>
        </w:rPr>
        <w:t>。</w:t>
      </w:r>
    </w:p>
    <w:p w14:paraId="0DA96C21">
      <w:pPr>
        <w:spacing w:line="56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2）投标人的澄清、说明或者补正应当通过“政府采购云平台”在线答复的方式提交，并加盖公章或电子印章，或者由法定代表人（负责人）或其授权的代表签字。投标人的澄清、说明或者补正不得超出投标文件的范围或者改变投标文件的实质性内容，不接受投标人主动对投标文件的澄清、说明或者补正。</w:t>
      </w:r>
    </w:p>
    <w:p w14:paraId="5825553E">
      <w:pPr>
        <w:spacing w:line="56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4BA89817">
      <w:pPr>
        <w:spacing w:line="56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4）评审人员对各投标人投标文件非实质性内容有疑议或异议，或者审查发现明显的文字或计算错误等，及时向评标委员会组长提出。经评标委员会商议认为需要投标人作出必要澄清、说明或者补正的，应当以在线询标形式要求投标人作出必要的澄清、说明或者补正并加盖投标人电子印章或公章。澄清、说明或者补正的内容应作为政府采购项目档案归档留存。</w:t>
      </w:r>
    </w:p>
    <w:p w14:paraId="229473D0">
      <w:pPr>
        <w:pStyle w:val="104"/>
        <w:spacing w:line="5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21.5 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1A1D15">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21.6评标结果汇总完成后，除下列情形外，任何人不得修改评标结果：</w:t>
      </w:r>
    </w:p>
    <w:p w14:paraId="68950872">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(一)分值汇总计算错误的;</w:t>
      </w:r>
    </w:p>
    <w:p w14:paraId="4E1D2D54">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(二)分项评分超出评分标准范围的;</w:t>
      </w:r>
    </w:p>
    <w:p w14:paraId="324C582A">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(三)评标委员会成员对客观评审因素评分不一致的;</w:t>
      </w:r>
    </w:p>
    <w:p w14:paraId="0FA371B9">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(四)经评标委员会认定评分畸高、畸低的。</w:t>
      </w:r>
    </w:p>
    <w:p w14:paraId="677F12D9">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2550F9C">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投标人对本条第一款情形提出质疑的，采购人或者采购代理机构可以组织原评标委员会进行重新评审，重新评审改变评标结果的，应当书面报告本级财政部门。</w:t>
      </w:r>
    </w:p>
    <w:p w14:paraId="044A1879">
      <w:pPr>
        <w:pStyle w:val="104"/>
        <w:spacing w:line="5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21.7评标委员会根据综合评分情况，按照评标得分由高到低顺序推荐3名中标候选人，并编写评标报告。得分相同的，按投标报价由低到高顺序排列。得分且投标报价相同的，按照技术指标优劣顺序推荐。</w:t>
      </w:r>
    </w:p>
    <w:p w14:paraId="759030DB">
      <w:pPr>
        <w:pStyle w:val="104"/>
        <w:spacing w:line="5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21.8采购代理机构在评标结果后2个工作日内将评标报告送采购人确认。</w:t>
      </w:r>
    </w:p>
    <w:p w14:paraId="18B02535">
      <w:pPr>
        <w:spacing w:line="560" w:lineRule="exact"/>
        <w:ind w:firstLine="422" w:firstLineChars="200"/>
        <w:rPr>
          <w:rFonts w:ascii="宋体" w:hAnsi="宋体" w:cs="宋体"/>
          <w:b/>
          <w:bCs/>
          <w:color w:val="auto"/>
          <w:sz w:val="21"/>
          <w:szCs w:val="21"/>
          <w:highlight w:val="none"/>
        </w:rPr>
      </w:pPr>
      <w:bookmarkStart w:id="128" w:name="_Toc183582238"/>
      <w:bookmarkStart w:id="129" w:name="_Toc183682375"/>
      <w:bookmarkStart w:id="130" w:name="_Toc217446063"/>
      <w:r>
        <w:rPr>
          <w:rFonts w:hint="eastAsia" w:ascii="宋体" w:hAnsi="宋体" w:cs="宋体"/>
          <w:b/>
          <w:bCs/>
          <w:color w:val="auto"/>
          <w:sz w:val="21"/>
          <w:szCs w:val="21"/>
          <w:highlight w:val="none"/>
        </w:rPr>
        <w:t>22．中标通知</w:t>
      </w:r>
      <w:bookmarkEnd w:id="128"/>
      <w:bookmarkEnd w:id="129"/>
      <w:r>
        <w:rPr>
          <w:rFonts w:hint="eastAsia" w:ascii="宋体" w:hAnsi="宋体" w:cs="宋体"/>
          <w:b/>
          <w:bCs/>
          <w:color w:val="auto"/>
          <w:sz w:val="21"/>
          <w:szCs w:val="21"/>
          <w:highlight w:val="none"/>
        </w:rPr>
        <w:t>书</w:t>
      </w:r>
      <w:bookmarkEnd w:id="130"/>
    </w:p>
    <w:p w14:paraId="606B0CC5">
      <w:pPr>
        <w:tabs>
          <w:tab w:val="left" w:pos="7665"/>
        </w:tabs>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1 中标通知书为签订中标合同的依据，是合同的有效组成部分。</w:t>
      </w:r>
    </w:p>
    <w:p w14:paraId="2D8C37E8">
      <w:pPr>
        <w:tabs>
          <w:tab w:val="left" w:pos="7665"/>
        </w:tabs>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 中标通知书对采购人和中标人均具有法律效力。中标通知书发出后，采购人改变中标结果，或者中标人无正当理由放弃中标的，应当承担相应的法律责任。</w:t>
      </w:r>
    </w:p>
    <w:p w14:paraId="1ABFDCAD">
      <w:pPr>
        <w:tabs>
          <w:tab w:val="left" w:pos="7665"/>
        </w:tabs>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4DF3007D">
      <w:pPr>
        <w:pStyle w:val="3"/>
        <w:spacing w:before="0" w:after="0" w:line="560" w:lineRule="exact"/>
        <w:ind w:firstLine="422" w:firstLineChars="2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六、签订及履行合同和验收</w:t>
      </w:r>
      <w:bookmarkEnd w:id="125"/>
    </w:p>
    <w:bookmarkEnd w:id="126"/>
    <w:bookmarkEnd w:id="127"/>
    <w:p w14:paraId="06BE6A9C">
      <w:pPr>
        <w:spacing w:line="560" w:lineRule="exact"/>
        <w:ind w:firstLine="422" w:firstLineChars="200"/>
        <w:rPr>
          <w:rFonts w:ascii="宋体" w:hAnsi="宋体" w:cs="宋体"/>
          <w:b/>
          <w:bCs/>
          <w:color w:val="auto"/>
          <w:sz w:val="21"/>
          <w:szCs w:val="21"/>
          <w:highlight w:val="none"/>
        </w:rPr>
      </w:pPr>
      <w:bookmarkStart w:id="131" w:name="_Toc217446065"/>
      <w:bookmarkStart w:id="132" w:name="_Toc217446074"/>
      <w:bookmarkStart w:id="133" w:name="_Toc183582243"/>
      <w:bookmarkStart w:id="134" w:name="_Toc183682380"/>
      <w:r>
        <w:rPr>
          <w:rFonts w:hint="eastAsia" w:ascii="宋体" w:hAnsi="宋体" w:cs="宋体"/>
          <w:b/>
          <w:bCs/>
          <w:color w:val="auto"/>
          <w:sz w:val="21"/>
          <w:szCs w:val="21"/>
          <w:highlight w:val="none"/>
        </w:rPr>
        <w:t>23. 签订合同</w:t>
      </w:r>
      <w:bookmarkEnd w:id="131"/>
    </w:p>
    <w:p w14:paraId="0DC6236B">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EE3250A">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23.2 采购人不得向中标人提出任何不合理的要求，作为签订合同的条件，不得与中标人私下订立背离合同实质性内容的任何协议，所签订的合同不得对招标文件和投标文件作实质性修改。</w:t>
      </w:r>
    </w:p>
    <w:p w14:paraId="350D7C09">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23.3 中标人拒绝与采购人签订合同的，采购人可以按照评审报告推荐的中标候选人名单排序，确定下一候选人为中标人，也可以重新开展政府采购活动。</w:t>
      </w:r>
    </w:p>
    <w:p w14:paraId="718F1A97">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23.4 中标人在合同签订之后三个工作日内，将签订的合同（彩色扫描件）交至采购代理机构。</w:t>
      </w:r>
    </w:p>
    <w:p w14:paraId="5064B4D2">
      <w:pPr>
        <w:spacing w:line="560" w:lineRule="exact"/>
        <w:ind w:firstLine="422" w:firstLineChars="200"/>
        <w:rPr>
          <w:rFonts w:ascii="宋体" w:hAnsi="宋体" w:cs="宋体"/>
          <w:b/>
          <w:bCs/>
          <w:color w:val="auto"/>
          <w:sz w:val="21"/>
          <w:szCs w:val="21"/>
          <w:highlight w:val="none"/>
        </w:rPr>
      </w:pPr>
      <w:bookmarkStart w:id="135" w:name="_Toc217446066"/>
      <w:r>
        <w:rPr>
          <w:rFonts w:hint="eastAsia" w:ascii="宋体" w:hAnsi="宋体" w:cs="宋体"/>
          <w:b/>
          <w:bCs/>
          <w:color w:val="auto"/>
          <w:sz w:val="21"/>
          <w:szCs w:val="21"/>
          <w:highlight w:val="none"/>
        </w:rPr>
        <w:t>24. 合同分包</w:t>
      </w:r>
      <w:bookmarkEnd w:id="135"/>
      <w:r>
        <w:rPr>
          <w:rFonts w:hint="eastAsia" w:ascii="宋体" w:hAnsi="宋体" w:cs="宋体"/>
          <w:b/>
          <w:bCs/>
          <w:color w:val="auto"/>
          <w:sz w:val="21"/>
          <w:szCs w:val="21"/>
          <w:highlight w:val="none"/>
        </w:rPr>
        <w:t>（如有）</w:t>
      </w:r>
    </w:p>
    <w:p w14:paraId="73B1E381">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24.1 若本项目允许分包的，经采购人同意，中标人可以依法采取分包方式履行合同。这种要求应当在合同签订之前征得采购人同意，并且分包人履行分包项目的服务及技术要求等，必须与中标的一致。</w:t>
      </w:r>
    </w:p>
    <w:p w14:paraId="71253AB7">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24.2 招标合同实行分包履行的，中标人就招标项目和分包项目向采购人负责，分包人就分包项目承担责任。</w:t>
      </w:r>
    </w:p>
    <w:p w14:paraId="6DDF6744">
      <w:pPr>
        <w:spacing w:line="560" w:lineRule="exact"/>
        <w:ind w:firstLine="422" w:firstLineChars="200"/>
        <w:rPr>
          <w:rFonts w:ascii="宋体" w:hAnsi="宋体" w:cs="宋体"/>
          <w:b/>
          <w:bCs/>
          <w:color w:val="auto"/>
          <w:sz w:val="21"/>
          <w:szCs w:val="21"/>
          <w:highlight w:val="none"/>
        </w:rPr>
      </w:pPr>
      <w:bookmarkStart w:id="136" w:name="_Toc217446067"/>
      <w:r>
        <w:rPr>
          <w:rFonts w:hint="eastAsia" w:ascii="宋体" w:hAnsi="宋体" w:cs="宋体"/>
          <w:b/>
          <w:bCs/>
          <w:color w:val="auto"/>
          <w:sz w:val="21"/>
          <w:szCs w:val="21"/>
          <w:highlight w:val="none"/>
        </w:rPr>
        <w:t>25. 采购人增加合同标的权</w:t>
      </w:r>
      <w:bookmarkEnd w:id="136"/>
      <w:r>
        <w:rPr>
          <w:rFonts w:hint="eastAsia" w:ascii="宋体" w:hAnsi="宋体" w:cs="宋体"/>
          <w:b/>
          <w:bCs/>
          <w:color w:val="auto"/>
          <w:sz w:val="21"/>
          <w:szCs w:val="21"/>
          <w:highlight w:val="none"/>
        </w:rPr>
        <w:t>利</w:t>
      </w:r>
    </w:p>
    <w:p w14:paraId="2CE8B291">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261DA502">
      <w:pPr>
        <w:spacing w:line="560" w:lineRule="exact"/>
        <w:ind w:firstLine="422" w:firstLineChars="200"/>
        <w:rPr>
          <w:rFonts w:ascii="宋体" w:hAnsi="宋体" w:cs="宋体"/>
          <w:b/>
          <w:bCs/>
          <w:color w:val="auto"/>
          <w:sz w:val="21"/>
          <w:szCs w:val="21"/>
          <w:highlight w:val="none"/>
        </w:rPr>
      </w:pPr>
      <w:bookmarkStart w:id="137" w:name="_Toc217446068"/>
      <w:r>
        <w:rPr>
          <w:rFonts w:hint="eastAsia" w:ascii="宋体" w:hAnsi="宋体" w:cs="宋体"/>
          <w:b/>
          <w:bCs/>
          <w:color w:val="auto"/>
          <w:sz w:val="21"/>
          <w:szCs w:val="21"/>
          <w:highlight w:val="none"/>
        </w:rPr>
        <w:t>26. 履约保证金</w:t>
      </w:r>
      <w:bookmarkEnd w:id="137"/>
    </w:p>
    <w:p w14:paraId="0A3CFE2B">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26.1 中标人应在合同签订之前缴纳招标文件规定数额的履约保证金。</w:t>
      </w:r>
    </w:p>
    <w:p w14:paraId="3BDBC4D0">
      <w:pPr>
        <w:spacing w:line="56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27.2 如果中标人在规定的合同签订时间内，没有按照中标文件的规定缴纳履约保证金，且又无正当理由的，将视为放弃中标资格，其缴纳的投标保证金将不与退还。</w:t>
      </w:r>
    </w:p>
    <w:p w14:paraId="5FB93847">
      <w:pPr>
        <w:spacing w:line="560" w:lineRule="exact"/>
        <w:ind w:firstLine="422" w:firstLineChars="200"/>
        <w:rPr>
          <w:rFonts w:ascii="宋体" w:hAnsi="宋体" w:cs="宋体"/>
          <w:b/>
          <w:bCs/>
          <w:color w:val="auto"/>
          <w:sz w:val="21"/>
          <w:szCs w:val="21"/>
          <w:highlight w:val="none"/>
        </w:rPr>
      </w:pPr>
      <w:bookmarkStart w:id="138" w:name="_Toc217446069"/>
      <w:r>
        <w:rPr>
          <w:rFonts w:hint="eastAsia" w:ascii="宋体" w:hAnsi="宋体" w:cs="宋体"/>
          <w:b/>
          <w:bCs/>
          <w:color w:val="auto"/>
          <w:sz w:val="21"/>
          <w:szCs w:val="21"/>
          <w:highlight w:val="none"/>
        </w:rPr>
        <w:t>27. 履行合同</w:t>
      </w:r>
      <w:bookmarkEnd w:id="138"/>
    </w:p>
    <w:p w14:paraId="7277547D">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27.1 中标人与采购人签订合同后，合同双方应严格执行合同条款，履行合同规定的义务，保证合同的顺利完成。</w:t>
      </w:r>
    </w:p>
    <w:p w14:paraId="4E3D7353">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27.2 在合同履行过程中，如发生合同纠纷，合同双方应按照《中华人民共和国民法典》的有关规定进行处理。</w:t>
      </w:r>
    </w:p>
    <w:p w14:paraId="47999B98">
      <w:pPr>
        <w:spacing w:line="560" w:lineRule="exact"/>
        <w:ind w:firstLine="422" w:firstLineChars="200"/>
        <w:rPr>
          <w:rFonts w:ascii="宋体" w:hAnsi="宋体" w:cs="宋体"/>
          <w:b/>
          <w:bCs/>
          <w:color w:val="auto"/>
          <w:sz w:val="21"/>
          <w:szCs w:val="21"/>
          <w:highlight w:val="none"/>
        </w:rPr>
      </w:pPr>
      <w:bookmarkStart w:id="139" w:name="_Toc217446070"/>
      <w:r>
        <w:rPr>
          <w:rFonts w:hint="eastAsia" w:ascii="宋体" w:hAnsi="宋体" w:cs="宋体"/>
          <w:b/>
          <w:bCs/>
          <w:color w:val="auto"/>
          <w:sz w:val="21"/>
          <w:szCs w:val="21"/>
          <w:highlight w:val="none"/>
        </w:rPr>
        <w:t>28. 验收</w:t>
      </w:r>
      <w:bookmarkEnd w:id="139"/>
    </w:p>
    <w:p w14:paraId="38C40443">
      <w:pPr>
        <w:pStyle w:val="6"/>
        <w:spacing w:line="560" w:lineRule="exact"/>
        <w:ind w:firstLine="480"/>
        <w:rPr>
          <w:rFonts w:ascii="宋体" w:hAnsi="宋体" w:cs="宋体"/>
          <w:color w:val="auto"/>
          <w:sz w:val="21"/>
          <w:szCs w:val="21"/>
          <w:highlight w:val="none"/>
        </w:rPr>
      </w:pPr>
      <w:bookmarkStart w:id="140" w:name="_Toc217446071"/>
      <w:r>
        <w:rPr>
          <w:rFonts w:hint="eastAsia" w:ascii="宋体" w:hAnsi="宋体" w:cs="宋体"/>
          <w:color w:val="auto"/>
          <w:sz w:val="21"/>
          <w:szCs w:val="21"/>
          <w:highlight w:val="none"/>
        </w:rPr>
        <w:t>采购人应严格按照国家财政部《关于进一步加强政府采购需求和履约验收管理的指导意见》（</w:t>
      </w:r>
      <w:r>
        <w:rPr>
          <w:rFonts w:hint="eastAsia" w:ascii="宋体" w:hAnsi="宋体" w:cs="宋体"/>
          <w:color w:val="auto"/>
          <w:sz w:val="21"/>
          <w:szCs w:val="21"/>
          <w:highlight w:val="none"/>
          <w:shd w:val="clear" w:color="auto" w:fill="FFFFFF"/>
        </w:rPr>
        <w:t>财库〔2016〕205号</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shd w:val="clear" w:color="auto" w:fill="FFFFFF"/>
        </w:rPr>
        <w:t>根据采购项目的具体情况，自行组织项目验收或者委托采购代理机构邀请实际使用人、参加本项目的其他投标人或第三方专业机构及专家</w:t>
      </w:r>
      <w:r>
        <w:rPr>
          <w:rFonts w:hint="eastAsia" w:ascii="宋体" w:hAnsi="宋体" w:cs="宋体"/>
          <w:color w:val="auto"/>
          <w:sz w:val="21"/>
          <w:szCs w:val="21"/>
          <w:highlight w:val="none"/>
        </w:rPr>
        <w:t>进行验收。</w:t>
      </w:r>
    </w:p>
    <w:bookmarkEnd w:id="140"/>
    <w:p w14:paraId="50A44B50">
      <w:pPr>
        <w:pStyle w:val="3"/>
        <w:spacing w:before="0" w:after="0" w:line="560" w:lineRule="exact"/>
        <w:ind w:firstLine="422" w:firstLineChars="2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七、投标纪律要求</w:t>
      </w:r>
      <w:bookmarkEnd w:id="132"/>
    </w:p>
    <w:p w14:paraId="0995BE4E">
      <w:pPr>
        <w:spacing w:line="560" w:lineRule="exact"/>
        <w:ind w:firstLine="422" w:firstLineChars="200"/>
        <w:rPr>
          <w:rFonts w:hint="eastAsia" w:ascii="宋体" w:hAnsi="宋体" w:eastAsia="宋体" w:cs="宋体"/>
          <w:b/>
          <w:bCs/>
          <w:color w:val="auto"/>
          <w:sz w:val="21"/>
          <w:szCs w:val="21"/>
          <w:highlight w:val="none"/>
        </w:rPr>
      </w:pPr>
      <w:bookmarkStart w:id="141" w:name="_Toc217446075"/>
      <w:bookmarkStart w:id="142" w:name="_Toc217446076"/>
      <w:r>
        <w:rPr>
          <w:rFonts w:hint="eastAsia" w:ascii="宋体" w:hAnsi="宋体" w:eastAsia="宋体" w:cs="宋体"/>
          <w:b/>
          <w:bCs/>
          <w:color w:val="auto"/>
          <w:sz w:val="21"/>
          <w:szCs w:val="21"/>
          <w:highlight w:val="none"/>
        </w:rPr>
        <w:t>29. 投标人不得具有的情形</w:t>
      </w:r>
      <w:bookmarkEnd w:id="141"/>
    </w:p>
    <w:p w14:paraId="2A0F41DA">
      <w:pPr>
        <w:pStyle w:val="6"/>
        <w:spacing w:line="56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投标人参加投标不得有下列情形：</w:t>
      </w:r>
    </w:p>
    <w:p w14:paraId="47AE74BD">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（1）提供虚假材料谋取中标；</w:t>
      </w:r>
    </w:p>
    <w:p w14:paraId="4C137033">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（2）采取不正当手段诋毁、排挤其他投标人；</w:t>
      </w:r>
    </w:p>
    <w:p w14:paraId="06C33CD6">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（3）与采购人、其他投标人恶意串通；</w:t>
      </w:r>
    </w:p>
    <w:p w14:paraId="7D3DC266">
      <w:pPr>
        <w:pStyle w:val="6"/>
        <w:spacing w:line="56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（4）向采购人、评标委员会成员行贿或者提供其他不正当利益；</w:t>
      </w:r>
    </w:p>
    <w:p w14:paraId="34A38EB9">
      <w:pPr>
        <w:pStyle w:val="6"/>
        <w:spacing w:line="56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（5）在招标过程中与采购人进行协商谈判；</w:t>
      </w:r>
    </w:p>
    <w:p w14:paraId="3E473BF2">
      <w:pPr>
        <w:pStyle w:val="6"/>
        <w:spacing w:line="56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（6）拒绝有关部门的监督检查或者向监督检查部门提供虚假情况。</w:t>
      </w:r>
    </w:p>
    <w:p w14:paraId="3A92419D">
      <w:pPr>
        <w:pStyle w:val="6"/>
        <w:spacing w:line="56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有上述情形之一的投标人，属于不合格投标人，其投标或中标资格将被取消。</w:t>
      </w:r>
    </w:p>
    <w:p w14:paraId="22D5D623">
      <w:pPr>
        <w:pStyle w:val="3"/>
        <w:spacing w:before="0" w:after="0" w:line="560" w:lineRule="exact"/>
        <w:ind w:firstLine="422" w:firstLineChars="200"/>
        <w:jc w:val="center"/>
        <w:rPr>
          <w:rFonts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八、</w:t>
      </w:r>
      <w:bookmarkEnd w:id="142"/>
      <w:r>
        <w:rPr>
          <w:rFonts w:hint="eastAsia" w:ascii="宋体" w:hAnsi="宋体" w:eastAsia="宋体" w:cs="宋体"/>
          <w:color w:val="auto"/>
          <w:sz w:val="21"/>
          <w:szCs w:val="21"/>
          <w:highlight w:val="none"/>
        </w:rPr>
        <w:t>合同价款支付</w:t>
      </w:r>
    </w:p>
    <w:p w14:paraId="025BD49D">
      <w:pPr>
        <w:spacing w:line="560" w:lineRule="exact"/>
        <w:ind w:firstLine="422" w:firstLineChars="200"/>
        <w:rPr>
          <w:rFonts w:ascii="宋体" w:hAnsi="宋体" w:cs="宋体"/>
          <w:b/>
          <w:bCs/>
          <w:color w:val="auto"/>
          <w:sz w:val="21"/>
          <w:szCs w:val="21"/>
          <w:highlight w:val="none"/>
        </w:rPr>
      </w:pPr>
      <w:bookmarkStart w:id="143" w:name="_Toc217446077"/>
      <w:bookmarkStart w:id="144" w:name="_Toc217446078"/>
      <w:r>
        <w:rPr>
          <w:rFonts w:hint="eastAsia" w:ascii="宋体" w:hAnsi="宋体" w:cs="宋体"/>
          <w:b/>
          <w:bCs/>
          <w:color w:val="auto"/>
          <w:sz w:val="21"/>
          <w:szCs w:val="21"/>
          <w:highlight w:val="none"/>
        </w:rPr>
        <w:t>30. 申请支付</w:t>
      </w:r>
      <w:bookmarkEnd w:id="143"/>
    </w:p>
    <w:p w14:paraId="7DD5F8D3">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采购人应当按照政府采购合同规定，及时向中标供应商支付采购资金。</w:t>
      </w:r>
    </w:p>
    <w:p w14:paraId="2CB7707F">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政府采购项目资金支付程序，按照国家有关财政资金支付管理的规定执行。</w:t>
      </w:r>
    </w:p>
    <w:p w14:paraId="25E8C789">
      <w:pPr>
        <w:pStyle w:val="3"/>
        <w:spacing w:before="0" w:after="0" w:line="560" w:lineRule="exact"/>
        <w:ind w:firstLine="422" w:firstLineChars="2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九、质疑和投诉</w:t>
      </w:r>
      <w:bookmarkEnd w:id="144"/>
      <w:bookmarkStart w:id="145" w:name="_Toc217446079"/>
    </w:p>
    <w:bookmarkEnd w:id="133"/>
    <w:bookmarkEnd w:id="134"/>
    <w:bookmarkEnd w:id="145"/>
    <w:p w14:paraId="6AC962F5">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31．质疑、投诉的接收和处理严格按照《中华人共和国政府采购法》《政府采购质疑和投诉办法》《财政部关于加强政府采购投标人投诉受理审查工作的通知》的规定办理。</w:t>
      </w:r>
    </w:p>
    <w:p w14:paraId="0898C54E">
      <w:pPr>
        <w:pStyle w:val="21"/>
        <w:spacing w:after="0" w:line="560" w:lineRule="exact"/>
        <w:ind w:left="0" w:leftChars="0"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rPr>
        <w:t>31.1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5C27951F">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31.2潜在投标人已依法获取其可质疑的招标文件的，可以对该文件提出质疑。对招标文件提出质疑的，应当在获取招标文件或者招标文件公告期限届满之日起7个工作日内提出。</w:t>
      </w:r>
    </w:p>
    <w:p w14:paraId="2E01A513">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B652B46">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代理人提出质疑和投诉，应当提交投标人签署的授权委托书。</w:t>
      </w:r>
    </w:p>
    <w:p w14:paraId="7C2CBA1F">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31.4投标人提出质疑应当提交质疑函和必要的证明材料。质疑函应当包括下列内容：</w:t>
      </w:r>
    </w:p>
    <w:p w14:paraId="5C744921">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（一）投标人的姓名或者名称、地址、邮编、联系人及联系电话；</w:t>
      </w:r>
    </w:p>
    <w:p w14:paraId="29E6FAA1">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（二）质疑项目的名称、编号；</w:t>
      </w:r>
    </w:p>
    <w:p w14:paraId="76919D40">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（三）具体、明确的质疑事项和与质疑事项相关的请求；</w:t>
      </w:r>
    </w:p>
    <w:p w14:paraId="4E7D0100">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（四）事实依据；</w:t>
      </w:r>
    </w:p>
    <w:p w14:paraId="0297B264">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（五）必要的法律依据；</w:t>
      </w:r>
    </w:p>
    <w:p w14:paraId="7C6F2901">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（六）提出质疑的日期。</w:t>
      </w:r>
    </w:p>
    <w:p w14:paraId="0D5E9A65">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投标人为自然人的，应当由本人签字；投标人为法人或者其他组织的，应当由法定代表人、主要负责人或者其被授权人签字或盖章，并加盖公章。</w:t>
      </w:r>
    </w:p>
    <w:p w14:paraId="09C820E6">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接收质疑函的方式：书面形式</w:t>
      </w:r>
    </w:p>
    <w:p w14:paraId="7B945B42">
      <w:pPr>
        <w:pStyle w:val="6"/>
        <w:spacing w:line="560" w:lineRule="exact"/>
        <w:rPr>
          <w:rFonts w:ascii="宋体" w:hAnsi="宋体" w:cs="宋体"/>
          <w:color w:val="auto"/>
          <w:szCs w:val="21"/>
          <w:highlight w:val="none"/>
        </w:rPr>
      </w:pPr>
      <w:r>
        <w:rPr>
          <w:rFonts w:hint="eastAsia" w:ascii="宋体" w:hAnsi="宋体" w:cs="宋体"/>
          <w:color w:val="auto"/>
          <w:szCs w:val="21"/>
          <w:highlight w:val="none"/>
        </w:rPr>
        <w:t>联系部门：新疆诚誉工程项目管理有限公司</w:t>
      </w:r>
    </w:p>
    <w:p w14:paraId="48B07353">
      <w:pPr>
        <w:pStyle w:val="6"/>
        <w:spacing w:line="560" w:lineRule="exact"/>
        <w:rPr>
          <w:rStyle w:val="42"/>
          <w:rFonts w:hint="default" w:ascii="宋体" w:hAnsi="宋体" w:eastAsia="宋体" w:cs="宋体"/>
          <w:bCs/>
          <w:color w:val="auto"/>
          <w:sz w:val="21"/>
          <w:szCs w:val="21"/>
          <w:highlight w:val="none"/>
          <w:lang w:val="en-US" w:eastAsia="zh-CN"/>
        </w:rPr>
      </w:pPr>
      <w:r>
        <w:rPr>
          <w:rFonts w:hint="eastAsia" w:ascii="宋体" w:hAnsi="宋体" w:cs="宋体"/>
          <w:color w:val="auto"/>
          <w:szCs w:val="21"/>
          <w:highlight w:val="none"/>
        </w:rPr>
        <w:t>联系人及联系电话：</w:t>
      </w:r>
      <w:r>
        <w:rPr>
          <w:rFonts w:hint="eastAsia" w:ascii="宋体" w:hAnsi="宋体" w:cs="宋体"/>
          <w:color w:val="auto"/>
          <w:szCs w:val="21"/>
          <w:highlight w:val="none"/>
          <w:lang w:val="en-US" w:eastAsia="zh-CN"/>
        </w:rPr>
        <w:t>王工、18099108318</w:t>
      </w:r>
    </w:p>
    <w:p w14:paraId="3C0E4171">
      <w:pPr>
        <w:pStyle w:val="6"/>
        <w:spacing w:line="560" w:lineRule="exact"/>
        <w:rPr>
          <w:rFonts w:ascii="宋体" w:hAnsi="宋体" w:cs="宋体"/>
          <w:color w:val="auto"/>
          <w:szCs w:val="21"/>
          <w:highlight w:val="none"/>
        </w:rPr>
      </w:pPr>
      <w:r>
        <w:rPr>
          <w:rFonts w:hint="eastAsia" w:ascii="宋体" w:hAnsi="宋体" w:cs="宋体"/>
          <w:color w:val="auto"/>
          <w:szCs w:val="21"/>
          <w:highlight w:val="none"/>
        </w:rPr>
        <w:t>通讯地址：乌鲁木齐市会展大道599号新疆财富中心C座6楼601室</w:t>
      </w:r>
    </w:p>
    <w:p w14:paraId="5D27A255">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31.5质疑投标人对采购人、采购代理机构的答复不满意，或者采购人、采购代理机构未在规定时间内作出答复的，可以在答复期满后15个工作日内向本办法第六条规定的财政部门提起投诉。</w:t>
      </w:r>
    </w:p>
    <w:p w14:paraId="2126A579">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31.6投诉人投诉时，应当提交投诉书和必要的证明材料，并按照被投诉采购人、采购代理机构（以下简称被投诉人）和与投诉事项有关的投标人数量提供投诉书的副本。投诉书应当包括下列内容：</w:t>
      </w:r>
    </w:p>
    <w:p w14:paraId="1C20B038">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（一）投诉人和被投诉人的姓名或者名称、通讯地址、邮编、联系人及联系电话；</w:t>
      </w:r>
    </w:p>
    <w:p w14:paraId="23CBFA5F">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（二）质疑和质疑答复情况说明及相关证明材料；</w:t>
      </w:r>
    </w:p>
    <w:p w14:paraId="1FA229C7">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（三）具体、明确的投诉事项和与投诉事项相关的投诉请求；</w:t>
      </w:r>
    </w:p>
    <w:p w14:paraId="5BDA29AE">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（四）事实依据；</w:t>
      </w:r>
    </w:p>
    <w:p w14:paraId="200F8647">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（五）法律依据；</w:t>
      </w:r>
    </w:p>
    <w:p w14:paraId="5D54865F">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（六）提起投诉的日期。</w:t>
      </w:r>
    </w:p>
    <w:p w14:paraId="510F3BD6">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投诉人为自然人的，应当由本人签字；投诉人为法人或者其他组织的，应当由法定代表人、主要负责人，或者其授权代表签字或者盖章，并加盖公章。</w:t>
      </w:r>
    </w:p>
    <w:p w14:paraId="6AB2AF23">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31.7投诉人应当根据《政府采购质疑和投诉办法》第七条第二款规定的信息内容，并按照其规定的方式提起投诉。</w:t>
      </w:r>
    </w:p>
    <w:p w14:paraId="2341342F">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投诉人提起投诉应当符合下列条件：</w:t>
      </w:r>
    </w:p>
    <w:p w14:paraId="3EDE4FB1">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（一）提起投诉前已依法进行质疑；</w:t>
      </w:r>
    </w:p>
    <w:p w14:paraId="117D4515">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（二）投诉书内容符合本办法的规定；</w:t>
      </w:r>
    </w:p>
    <w:p w14:paraId="05BE1402">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（三）在投诉有效期限内提起投诉；</w:t>
      </w:r>
    </w:p>
    <w:p w14:paraId="78FAAD8B">
      <w:pPr>
        <w:pStyle w:val="21"/>
        <w:spacing w:after="0" w:line="560" w:lineRule="exact"/>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（四）同一投诉事项未经财政部门投诉处理；</w:t>
      </w:r>
    </w:p>
    <w:p w14:paraId="5BF1770A">
      <w:pPr>
        <w:pStyle w:val="21"/>
        <w:spacing w:after="0" w:line="560" w:lineRule="exact"/>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（五）财政部规定的其他条件。</w:t>
      </w:r>
    </w:p>
    <w:p w14:paraId="19854ABA">
      <w:pPr>
        <w:pStyle w:val="21"/>
        <w:spacing w:after="0" w:line="560" w:lineRule="exact"/>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31.</w:t>
      </w:r>
      <w:r>
        <w:rPr>
          <w:rFonts w:hint="eastAsia" w:ascii="宋体" w:hAnsi="宋体" w:cs="宋体"/>
          <w:b/>
          <w:bCs/>
          <w:color w:val="auto"/>
          <w:sz w:val="21"/>
          <w:szCs w:val="21"/>
          <w:highlight w:val="none"/>
          <w:lang w:val="en-US" w:eastAsia="zh-CN"/>
        </w:rPr>
        <w:t xml:space="preserve">8 </w:t>
      </w:r>
      <w:r>
        <w:rPr>
          <w:rFonts w:hint="eastAsia" w:ascii="宋体" w:hAnsi="宋体" w:cs="宋体"/>
          <w:b/>
          <w:bCs/>
          <w:color w:val="auto"/>
          <w:sz w:val="21"/>
          <w:szCs w:val="21"/>
          <w:highlight w:val="none"/>
        </w:rPr>
        <w:t>《政府采购质疑和投诉办法》第三十七条 投诉人在全国范围12个月内三次以上投诉查无实据的，由财政部门列入不良行为记录名单。</w:t>
      </w:r>
    </w:p>
    <w:p w14:paraId="078E6107">
      <w:pPr>
        <w:pStyle w:val="21"/>
        <w:spacing w:after="0" w:line="560" w:lineRule="exact"/>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投诉人有下列行为之一的，属于虚假、恶意投诉，由财政部门列入不良行为记录名单，禁止其1至3年内参加政府采购活动：</w:t>
      </w:r>
    </w:p>
    <w:p w14:paraId="3EB58B4E">
      <w:pPr>
        <w:pStyle w:val="21"/>
        <w:spacing w:after="0" w:line="560" w:lineRule="exact"/>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（一）捏造事实;</w:t>
      </w:r>
    </w:p>
    <w:p w14:paraId="611D4140">
      <w:pPr>
        <w:pStyle w:val="21"/>
        <w:spacing w:after="0" w:line="560" w:lineRule="exact"/>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（二）提供虚假材料;</w:t>
      </w:r>
    </w:p>
    <w:p w14:paraId="72CDB051">
      <w:pPr>
        <w:pStyle w:val="21"/>
        <w:spacing w:after="0" w:line="560" w:lineRule="exact"/>
        <w:ind w:left="0" w:leftChars="0"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　　（三）以非法手段取得证明材料。证据来源的合法性存在明显疑问，投诉人无法证明其取得方式合法的，视为以非法手段取得证明材料。</w:t>
      </w:r>
    </w:p>
    <w:p w14:paraId="716CE669">
      <w:pPr>
        <w:spacing w:line="56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br w:type="page"/>
      </w:r>
      <w:r>
        <w:rPr>
          <w:rFonts w:hint="eastAsia" w:ascii="宋体" w:hAnsi="宋体" w:cs="宋体"/>
          <w:b/>
          <w:bCs/>
          <w:color w:val="auto"/>
          <w:sz w:val="21"/>
          <w:szCs w:val="21"/>
          <w:highlight w:val="none"/>
        </w:rPr>
        <w:t>质疑函范本</w:t>
      </w:r>
    </w:p>
    <w:p w14:paraId="6417C98B">
      <w:pPr>
        <w:adjustRightInd w:val="0"/>
        <w:snapToGrid w:val="0"/>
        <w:spacing w:line="5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一、质疑</w:t>
      </w:r>
      <w:r>
        <w:rPr>
          <w:rFonts w:hint="eastAsia" w:ascii="宋体" w:hAnsi="宋体" w:cs="宋体"/>
          <w:color w:val="auto"/>
          <w:sz w:val="21"/>
          <w:szCs w:val="21"/>
          <w:highlight w:val="none"/>
          <w:shd w:val="clear" w:color="auto" w:fill="FFFFFF"/>
        </w:rPr>
        <w:t>投标人</w:t>
      </w:r>
      <w:r>
        <w:rPr>
          <w:rFonts w:hint="eastAsia" w:ascii="宋体" w:hAnsi="宋体" w:cs="宋体"/>
          <w:bCs/>
          <w:color w:val="auto"/>
          <w:sz w:val="21"/>
          <w:szCs w:val="21"/>
          <w:highlight w:val="none"/>
        </w:rPr>
        <w:t>基本信息</w:t>
      </w:r>
    </w:p>
    <w:p w14:paraId="08AF4D09">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质疑</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w:t>
      </w:r>
    </w:p>
    <w:p w14:paraId="1ADAED21">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地址：邮编：</w:t>
      </w:r>
    </w:p>
    <w:p w14:paraId="1A3AB761">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联系人：联系电话：</w:t>
      </w:r>
    </w:p>
    <w:p w14:paraId="0111B005">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被授权人：</w:t>
      </w:r>
    </w:p>
    <w:p w14:paraId="2C6DFEF9">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372A178B">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地址： 邮编：</w:t>
      </w:r>
    </w:p>
    <w:p w14:paraId="0BD8A114">
      <w:pPr>
        <w:adjustRightInd w:val="0"/>
        <w:snapToGrid w:val="0"/>
        <w:spacing w:line="5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二、质疑项目基本情况</w:t>
      </w:r>
    </w:p>
    <w:p w14:paraId="12EBD2A5">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质疑项目的名称：</w:t>
      </w:r>
    </w:p>
    <w:p w14:paraId="4B4F4183">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质疑项目的编号：包号：</w:t>
      </w:r>
    </w:p>
    <w:p w14:paraId="02CBEC98">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采购人名称：</w:t>
      </w:r>
    </w:p>
    <w:p w14:paraId="52E8B277">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招标文件获取日期：</w:t>
      </w:r>
    </w:p>
    <w:p w14:paraId="41C33EB7">
      <w:pPr>
        <w:adjustRightInd w:val="0"/>
        <w:snapToGrid w:val="0"/>
        <w:spacing w:line="5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三、质疑事项具体内容</w:t>
      </w:r>
    </w:p>
    <w:p w14:paraId="3D110677">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质疑事项1：</w:t>
      </w:r>
    </w:p>
    <w:p w14:paraId="6FF37886">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事实依据：</w:t>
      </w:r>
    </w:p>
    <w:p w14:paraId="18DD562E">
      <w:pPr>
        <w:adjustRightInd w:val="0"/>
        <w:snapToGrid w:val="0"/>
        <w:spacing w:line="560" w:lineRule="exact"/>
        <w:ind w:firstLine="420" w:firstLineChars="200"/>
        <w:rPr>
          <w:rFonts w:ascii="宋体" w:hAnsi="宋体" w:cs="宋体"/>
          <w:color w:val="auto"/>
          <w:sz w:val="21"/>
          <w:szCs w:val="21"/>
          <w:highlight w:val="none"/>
        </w:rPr>
      </w:pPr>
    </w:p>
    <w:p w14:paraId="59FF9ABC">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法律依据：</w:t>
      </w:r>
    </w:p>
    <w:p w14:paraId="7864A296">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质疑事项2</w:t>
      </w:r>
    </w:p>
    <w:p w14:paraId="3E107590">
      <w:pPr>
        <w:adjustRightInd w:val="0"/>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p>
    <w:p w14:paraId="7E35FEB1">
      <w:pPr>
        <w:adjustRightInd w:val="0"/>
        <w:snapToGrid w:val="0"/>
        <w:spacing w:line="5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四、与质疑事项相关的质疑请求</w:t>
      </w:r>
    </w:p>
    <w:p w14:paraId="24FEA61C">
      <w:pPr>
        <w:adjustRightInd w:val="0"/>
        <w:snapToGrid w:val="0"/>
        <w:spacing w:line="560" w:lineRule="exact"/>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请求：</w:t>
      </w:r>
    </w:p>
    <w:p w14:paraId="31518B81">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签字（签章）：                   公章：                      </w:t>
      </w:r>
    </w:p>
    <w:p w14:paraId="7DA93E22">
      <w:pPr>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日期：    </w:t>
      </w:r>
    </w:p>
    <w:p w14:paraId="2AB7DF7A">
      <w:pPr>
        <w:spacing w:line="560" w:lineRule="exact"/>
        <w:ind w:firstLine="422" w:firstLineChars="200"/>
        <w:jc w:val="center"/>
        <w:rPr>
          <w:rFonts w:ascii="宋体" w:hAnsi="宋体" w:cs="宋体"/>
          <w:b/>
          <w:bCs/>
          <w:color w:val="auto"/>
          <w:sz w:val="21"/>
          <w:szCs w:val="21"/>
          <w:highlight w:val="none"/>
        </w:rPr>
      </w:pPr>
    </w:p>
    <w:p w14:paraId="1E7B9E49">
      <w:pPr>
        <w:spacing w:line="5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质疑函制作说明：</w:t>
      </w:r>
    </w:p>
    <w:p w14:paraId="5B476ED9">
      <w:pPr>
        <w:widowControl/>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提出质疑时，应提交质疑函和必要的证明材料。</w:t>
      </w:r>
    </w:p>
    <w:p w14:paraId="70B1703D">
      <w:pPr>
        <w:widowControl/>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2.质疑</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若委托代理人进行质疑的，质疑函应按要求列明“被授权人”的有关内容，并在附件中提交由质疑</w:t>
      </w:r>
      <w:r>
        <w:rPr>
          <w:rFonts w:hint="eastAsia" w:ascii="宋体" w:hAnsi="宋体" w:cs="宋体"/>
          <w:color w:val="auto"/>
          <w:kern w:val="0"/>
          <w:sz w:val="21"/>
          <w:szCs w:val="21"/>
          <w:highlight w:val="none"/>
        </w:rPr>
        <w:t>投标人签署的授权委托书。授权委托书应载明代理人的姓名或者名称、代理事项、具体权限、期限和相关事项。</w:t>
      </w:r>
    </w:p>
    <w:p w14:paraId="77C02525">
      <w:pPr>
        <w:widowControl/>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3.质疑</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若对项目的某一分包进行质疑，质疑函中应列明具体分包号。</w:t>
      </w:r>
    </w:p>
    <w:p w14:paraId="59B3187B">
      <w:pPr>
        <w:widowControl/>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4.质疑函的质疑事项应具体、明确，并有必要的事实依据和法律依据。</w:t>
      </w:r>
    </w:p>
    <w:p w14:paraId="7CC0B6BD">
      <w:pPr>
        <w:widowControl/>
        <w:spacing w:line="5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5.质疑函的质疑请求应与质疑事项相关。</w:t>
      </w:r>
    </w:p>
    <w:p w14:paraId="364678B7">
      <w:pPr>
        <w:widowControl/>
        <w:spacing w:line="560" w:lineRule="exact"/>
        <w:ind w:firstLine="420" w:firstLineChars="200"/>
        <w:jc w:val="left"/>
        <w:rPr>
          <w:rFonts w:ascii="宋体" w:hAnsi="宋体" w:cs="宋体"/>
          <w:color w:val="auto"/>
          <w:szCs w:val="21"/>
          <w:highlight w:val="none"/>
        </w:rPr>
      </w:pPr>
      <w:r>
        <w:rPr>
          <w:rFonts w:hint="eastAsia" w:ascii="宋体" w:hAnsi="宋体" w:cs="宋体"/>
          <w:color w:val="auto"/>
          <w:sz w:val="21"/>
          <w:szCs w:val="21"/>
          <w:highlight w:val="none"/>
        </w:rPr>
        <w:t>6.质疑</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为自然人的，质疑函应由本人签字；质疑</w:t>
      </w:r>
      <w:r>
        <w:rPr>
          <w:rFonts w:hint="eastAsia" w:ascii="宋体" w:hAnsi="宋体" w:cs="宋体"/>
          <w:color w:val="auto"/>
          <w:sz w:val="21"/>
          <w:szCs w:val="21"/>
          <w:highlight w:val="none"/>
          <w:shd w:val="clear" w:color="auto" w:fill="FFFFFF"/>
        </w:rPr>
        <w:t>投标人</w:t>
      </w:r>
      <w:r>
        <w:rPr>
          <w:rFonts w:hint="eastAsia" w:ascii="宋体" w:hAnsi="宋体" w:cs="宋体"/>
          <w:color w:val="auto"/>
          <w:sz w:val="21"/>
          <w:szCs w:val="21"/>
          <w:highlight w:val="none"/>
        </w:rPr>
        <w:t>为法人或者其他组织的，质疑函应由法定代表人、主要负责人或者其被授权人签字或者盖章，并加盖公章。</w:t>
      </w:r>
    </w:p>
    <w:p w14:paraId="51DF500B">
      <w:pPr>
        <w:spacing w:line="360" w:lineRule="auto"/>
        <w:rPr>
          <w:rFonts w:ascii="宋体" w:hAnsi="宋体" w:cs="宋体"/>
          <w:color w:val="auto"/>
          <w:sz w:val="24"/>
          <w:highlight w:val="none"/>
        </w:rPr>
      </w:pPr>
    </w:p>
    <w:p w14:paraId="6361A383">
      <w:pPr>
        <w:pStyle w:val="2"/>
        <w:spacing w:after="34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bookmarkEnd w:id="49"/>
      <w:bookmarkEnd w:id="50"/>
    </w:p>
    <w:p w14:paraId="6BBDA729">
      <w:pPr>
        <w:spacing w:line="360" w:lineRule="auto"/>
        <w:rPr>
          <w:rFonts w:hint="eastAsia" w:ascii="宋体" w:hAnsi="宋体" w:eastAsia="宋体" w:cs="宋体"/>
          <w:color w:val="auto"/>
          <w:sz w:val="24"/>
          <w:highlight w:val="none"/>
          <w:u w:val="single"/>
        </w:rPr>
      </w:pPr>
      <w:bookmarkStart w:id="146" w:name="_Toc31271_WPSOffice_Level1"/>
      <w:r>
        <w:rPr>
          <w:rFonts w:hint="eastAsia" w:ascii="宋体" w:hAnsi="宋体" w:cs="宋体"/>
          <w:color w:val="auto"/>
          <w:sz w:val="24"/>
          <w:highlight w:val="none"/>
          <w:u w:val="single"/>
          <w:lang w:eastAsia="zh-CN"/>
        </w:rPr>
        <w:t>投标文件</w:t>
      </w:r>
      <w:r>
        <w:rPr>
          <w:rFonts w:hint="eastAsia" w:ascii="宋体" w:hAnsi="宋体" w:eastAsia="宋体" w:cs="宋体"/>
          <w:color w:val="auto"/>
          <w:sz w:val="24"/>
          <w:highlight w:val="none"/>
          <w:u w:val="single"/>
        </w:rPr>
        <w:t>封面示例</w:t>
      </w:r>
    </w:p>
    <w:p w14:paraId="25B57F82">
      <w:pPr>
        <w:spacing w:line="360" w:lineRule="auto"/>
        <w:ind w:right="210"/>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bdr w:val="single" w:color="auto" w:sz="4" w:space="0"/>
        </w:rPr>
        <w:t>正本</w:t>
      </w:r>
    </w:p>
    <w:p w14:paraId="20B59479">
      <w:pPr>
        <w:spacing w:line="360" w:lineRule="auto"/>
        <w:rPr>
          <w:rFonts w:hint="eastAsia" w:ascii="宋体" w:hAnsi="宋体" w:eastAsia="宋体" w:cs="宋体"/>
          <w:b/>
          <w:color w:val="auto"/>
          <w:sz w:val="24"/>
          <w:highlight w:val="none"/>
        </w:rPr>
      </w:pPr>
    </w:p>
    <w:p w14:paraId="45FD5BC2">
      <w:pPr>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投标文件</w:t>
      </w:r>
    </w:p>
    <w:p w14:paraId="5CBBE772">
      <w:pPr>
        <w:spacing w:line="360" w:lineRule="auto"/>
        <w:rPr>
          <w:rFonts w:hint="eastAsia" w:ascii="宋体" w:hAnsi="宋体" w:eastAsia="宋体" w:cs="宋体"/>
          <w:b/>
          <w:color w:val="auto"/>
          <w:sz w:val="24"/>
          <w:highlight w:val="none"/>
        </w:rPr>
      </w:pPr>
    </w:p>
    <w:p w14:paraId="2C9D2BF0">
      <w:pPr>
        <w:pStyle w:val="16"/>
        <w:spacing w:line="360" w:lineRule="auto"/>
        <w:rPr>
          <w:rFonts w:hint="eastAsia" w:ascii="宋体" w:hAnsi="宋体" w:eastAsia="宋体" w:cs="宋体"/>
          <w:b/>
          <w:color w:val="auto"/>
          <w:sz w:val="24"/>
          <w:szCs w:val="24"/>
          <w:highlight w:val="none"/>
        </w:rPr>
      </w:pPr>
    </w:p>
    <w:p w14:paraId="2A86FF4C">
      <w:pPr>
        <w:spacing w:line="360" w:lineRule="auto"/>
        <w:rPr>
          <w:rFonts w:hint="eastAsia" w:ascii="宋体" w:hAnsi="宋体" w:eastAsia="宋体" w:cs="宋体"/>
          <w:color w:val="auto"/>
          <w:sz w:val="24"/>
          <w:highlight w:val="none"/>
        </w:rPr>
      </w:pPr>
    </w:p>
    <w:p w14:paraId="7410BCEA">
      <w:pPr>
        <w:spacing w:line="360" w:lineRule="auto"/>
        <w:rPr>
          <w:rFonts w:hint="eastAsia" w:ascii="宋体" w:hAnsi="宋体" w:eastAsia="宋体" w:cs="宋体"/>
          <w:b/>
          <w:color w:val="auto"/>
          <w:sz w:val="24"/>
          <w:highlight w:val="none"/>
        </w:rPr>
      </w:pPr>
    </w:p>
    <w:p w14:paraId="1B7C9143">
      <w:pPr>
        <w:pStyle w:val="12"/>
        <w:spacing w:line="360" w:lineRule="auto"/>
        <w:rPr>
          <w:rFonts w:hint="eastAsia" w:ascii="宋体" w:hAnsi="宋体" w:eastAsia="宋体" w:cs="宋体"/>
          <w:b/>
          <w:color w:val="auto"/>
          <w:szCs w:val="24"/>
          <w:highlight w:val="none"/>
        </w:rPr>
      </w:pPr>
    </w:p>
    <w:p w14:paraId="4D8C6A41">
      <w:pPr>
        <w:pStyle w:val="18"/>
        <w:spacing w:line="360" w:lineRule="auto"/>
        <w:ind w:firstLine="480"/>
        <w:rPr>
          <w:rFonts w:hint="eastAsia" w:ascii="宋体" w:hAnsi="宋体" w:eastAsia="宋体" w:cs="宋体"/>
          <w:color w:val="auto"/>
          <w:highlight w:val="none"/>
        </w:rPr>
      </w:pPr>
    </w:p>
    <w:p w14:paraId="180355EC">
      <w:pPr>
        <w:pStyle w:val="18"/>
        <w:spacing w:line="360" w:lineRule="auto"/>
        <w:ind w:firstLine="480"/>
        <w:rPr>
          <w:rFonts w:hint="eastAsia" w:ascii="宋体" w:hAnsi="宋体" w:eastAsia="宋体" w:cs="宋体"/>
          <w:color w:val="auto"/>
          <w:highlight w:val="none"/>
        </w:rPr>
      </w:pPr>
    </w:p>
    <w:p w14:paraId="2A2D0D4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p w14:paraId="4194ADB1">
      <w:pPr>
        <w:spacing w:line="360" w:lineRule="auto"/>
        <w:ind w:firstLine="504"/>
        <w:rPr>
          <w:rFonts w:hint="eastAsia" w:ascii="宋体" w:hAnsi="宋体" w:eastAsia="宋体" w:cs="宋体"/>
          <w:b/>
          <w:color w:val="auto"/>
          <w:sz w:val="24"/>
          <w:highlight w:val="none"/>
        </w:rPr>
      </w:pPr>
    </w:p>
    <w:p w14:paraId="0ED5EC01">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p>
    <w:p w14:paraId="3405A992">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63ECDA5B">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供应商名称（盖章）：</w:t>
      </w:r>
    </w:p>
    <w:p w14:paraId="79455CF8">
      <w:pPr>
        <w:spacing w:line="360" w:lineRule="auto"/>
        <w:ind w:firstLine="504"/>
        <w:rPr>
          <w:rFonts w:hint="eastAsia" w:ascii="宋体" w:hAnsi="宋体" w:eastAsia="宋体" w:cs="宋体"/>
          <w:b/>
          <w:color w:val="auto"/>
          <w:sz w:val="24"/>
          <w:highlight w:val="none"/>
        </w:rPr>
      </w:pPr>
    </w:p>
    <w:p w14:paraId="2A4E3837">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授权人和被授权人（签字或盖章）：</w:t>
      </w:r>
    </w:p>
    <w:p w14:paraId="1190AF72">
      <w:pPr>
        <w:spacing w:line="360" w:lineRule="auto"/>
        <w:ind w:firstLine="504"/>
        <w:rPr>
          <w:rFonts w:hint="eastAsia" w:ascii="宋体" w:hAnsi="宋体" w:eastAsia="宋体" w:cs="宋体"/>
          <w:b/>
          <w:color w:val="auto"/>
          <w:sz w:val="24"/>
          <w:highlight w:val="none"/>
        </w:rPr>
      </w:pPr>
    </w:p>
    <w:p w14:paraId="7EB8271B">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联系人：</w:t>
      </w:r>
    </w:p>
    <w:p w14:paraId="7CC3A2AB">
      <w:pPr>
        <w:spacing w:line="360" w:lineRule="auto"/>
        <w:ind w:firstLine="504"/>
        <w:rPr>
          <w:rFonts w:hint="eastAsia" w:ascii="宋体" w:hAnsi="宋体" w:eastAsia="宋体" w:cs="宋体"/>
          <w:b/>
          <w:color w:val="auto"/>
          <w:sz w:val="24"/>
          <w:highlight w:val="none"/>
        </w:rPr>
      </w:pPr>
    </w:p>
    <w:p w14:paraId="69AE236F">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p w14:paraId="3F368B4E">
      <w:pPr>
        <w:spacing w:line="360" w:lineRule="auto"/>
        <w:ind w:firstLine="504"/>
        <w:rPr>
          <w:rFonts w:hint="eastAsia" w:ascii="宋体" w:hAnsi="宋体" w:eastAsia="宋体" w:cs="宋体"/>
          <w:b/>
          <w:color w:val="auto"/>
          <w:sz w:val="24"/>
          <w:highlight w:val="none"/>
        </w:rPr>
      </w:pPr>
    </w:p>
    <w:p w14:paraId="6367A3D5">
      <w:pPr>
        <w:spacing w:line="360" w:lineRule="auto"/>
        <w:ind w:firstLine="50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编制时间：  年  月   日</w:t>
      </w:r>
    </w:p>
    <w:p w14:paraId="694A1C50">
      <w:pPr>
        <w:spacing w:line="360" w:lineRule="auto"/>
        <w:ind w:firstLine="504"/>
        <w:rPr>
          <w:rFonts w:hint="eastAsia" w:ascii="宋体" w:hAnsi="宋体" w:eastAsia="宋体" w:cs="宋体"/>
          <w:b/>
          <w:color w:val="auto"/>
          <w:sz w:val="24"/>
          <w:highlight w:val="none"/>
        </w:rPr>
      </w:pPr>
    </w:p>
    <w:p w14:paraId="6D0DD5F0">
      <w:pPr>
        <w:spacing w:line="360" w:lineRule="auto"/>
        <w:ind w:firstLine="504"/>
        <w:rPr>
          <w:rFonts w:hint="eastAsia" w:ascii="宋体" w:hAnsi="宋体" w:eastAsia="宋体" w:cs="宋体"/>
          <w:b/>
          <w:color w:val="auto"/>
          <w:sz w:val="24"/>
          <w:highlight w:val="none"/>
        </w:rPr>
      </w:pPr>
    </w:p>
    <w:p w14:paraId="10E3C6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46"/>
    <w:p w14:paraId="2B8C5EDE">
      <w:pPr>
        <w:spacing w:line="360" w:lineRule="auto"/>
        <w:jc w:val="center"/>
        <w:rPr>
          <w:rFonts w:ascii="宋体" w:hAnsi="宋体" w:cs="宋体"/>
          <w:b/>
          <w:bCs/>
          <w:color w:val="auto"/>
          <w:sz w:val="24"/>
          <w:highlight w:val="none"/>
        </w:rPr>
      </w:pPr>
      <w:bookmarkStart w:id="147" w:name="_Toc217446093"/>
      <w:r>
        <w:rPr>
          <w:rFonts w:hint="eastAsia" w:ascii="宋体" w:hAnsi="宋体" w:cs="宋体"/>
          <w:b/>
          <w:bCs/>
          <w:color w:val="auto"/>
          <w:sz w:val="24"/>
          <w:highlight w:val="none"/>
        </w:rPr>
        <w:t>目 录</w:t>
      </w:r>
    </w:p>
    <w:p w14:paraId="2BC97FFB">
      <w:pPr>
        <w:spacing w:line="360" w:lineRule="auto"/>
        <w:ind w:firstLine="240" w:firstLineChars="100"/>
        <w:rPr>
          <w:rFonts w:ascii="宋体" w:hAnsi="宋体" w:cs="宋体"/>
          <w:color w:val="auto"/>
          <w:sz w:val="24"/>
          <w:highlight w:val="none"/>
        </w:rPr>
      </w:pPr>
    </w:p>
    <w:p w14:paraId="33C147DD">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函</w:t>
      </w:r>
    </w:p>
    <w:p w14:paraId="1112BF77">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二、身份证明书</w:t>
      </w:r>
    </w:p>
    <w:p w14:paraId="7D26FA54">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三、授权委托书</w:t>
      </w:r>
    </w:p>
    <w:p w14:paraId="57F32451">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四、投标人基本情况表</w:t>
      </w:r>
    </w:p>
    <w:p w14:paraId="5E6ADEC3">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五、项目负责人简介</w:t>
      </w:r>
    </w:p>
    <w:p w14:paraId="34A77C27">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六、拟配备人员</w:t>
      </w:r>
    </w:p>
    <w:p w14:paraId="3358BBEB">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七、近年同类项目情况表</w:t>
      </w:r>
    </w:p>
    <w:p w14:paraId="39C5F0E7">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八、商务、技术需求偏离表</w:t>
      </w:r>
    </w:p>
    <w:p w14:paraId="1A883F75">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lang w:eastAsia="zh-CN"/>
        </w:rPr>
        <w:t>方案</w:t>
      </w:r>
    </w:p>
    <w:p w14:paraId="16901ED0">
      <w:pPr>
        <w:pStyle w:val="18"/>
        <w:autoSpaceDE/>
        <w:autoSpaceDN/>
        <w:adjustRightInd/>
        <w:snapToGrid/>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十、保密承诺书</w:t>
      </w:r>
    </w:p>
    <w:p w14:paraId="1C828C51">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十一、政府采购政策</w:t>
      </w:r>
    </w:p>
    <w:p w14:paraId="7E5BA88E">
      <w:pPr>
        <w:pStyle w:val="18"/>
        <w:autoSpaceDE/>
        <w:autoSpaceDN/>
        <w:adjustRightInd/>
        <w:snapToGrid/>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rPr>
        <w:t>、投标人认为需要提供的其他资料</w:t>
      </w:r>
    </w:p>
    <w:p w14:paraId="675293BA">
      <w:pPr>
        <w:pStyle w:val="19"/>
        <w:rPr>
          <w:color w:val="auto"/>
          <w:highlight w:val="none"/>
        </w:rPr>
      </w:pPr>
    </w:p>
    <w:p w14:paraId="7668984F">
      <w:pPr>
        <w:spacing w:line="360" w:lineRule="auto"/>
        <w:rPr>
          <w:rFonts w:ascii="宋体" w:hAnsi="宋体" w:cs="宋体"/>
          <w:b/>
          <w:color w:val="auto"/>
          <w:sz w:val="24"/>
          <w:highlight w:val="none"/>
        </w:rPr>
      </w:pPr>
      <w:r>
        <w:rPr>
          <w:rFonts w:hint="eastAsia" w:ascii="宋体" w:hAnsi="宋体" w:cs="宋体"/>
          <w:b/>
          <w:color w:val="auto"/>
          <w:sz w:val="24"/>
          <w:highlight w:val="none"/>
        </w:rPr>
        <w:t>备注：投标人应按以上目录顺序编排投标文件，并标注相应页码。</w:t>
      </w:r>
    </w:p>
    <w:p w14:paraId="2C3BC5B5">
      <w:pPr>
        <w:spacing w:line="360" w:lineRule="auto"/>
        <w:jc w:val="center"/>
        <w:rPr>
          <w:rFonts w:ascii="宋体" w:hAnsi="宋体" w:cs="宋体"/>
          <w:b/>
          <w:color w:val="auto"/>
          <w:sz w:val="24"/>
          <w:highlight w:val="none"/>
        </w:rPr>
      </w:pPr>
    </w:p>
    <w:p w14:paraId="32CE646A">
      <w:pPr>
        <w:spacing w:line="360" w:lineRule="auto"/>
        <w:jc w:val="center"/>
        <w:rPr>
          <w:rFonts w:ascii="宋体" w:hAnsi="宋体" w:cs="宋体"/>
          <w:b/>
          <w:color w:val="auto"/>
          <w:sz w:val="24"/>
          <w:highlight w:val="none"/>
        </w:rPr>
      </w:pPr>
    </w:p>
    <w:p w14:paraId="6460B438">
      <w:pPr>
        <w:spacing w:line="360" w:lineRule="auto"/>
        <w:jc w:val="center"/>
        <w:rPr>
          <w:rFonts w:ascii="宋体" w:hAnsi="宋体" w:cs="宋体"/>
          <w:b/>
          <w:color w:val="auto"/>
          <w:sz w:val="24"/>
          <w:highlight w:val="none"/>
        </w:rPr>
      </w:pPr>
    </w:p>
    <w:p w14:paraId="7F0CB44A">
      <w:pPr>
        <w:spacing w:line="360" w:lineRule="auto"/>
        <w:jc w:val="center"/>
        <w:outlineLvl w:val="1"/>
        <w:rPr>
          <w:rFonts w:ascii="宋体" w:hAnsi="宋体" w:cs="宋体"/>
          <w:color w:val="auto"/>
          <w:sz w:val="24"/>
          <w:highlight w:val="none"/>
        </w:rPr>
      </w:pPr>
      <w:r>
        <w:rPr>
          <w:rFonts w:hint="eastAsia" w:ascii="宋体" w:hAnsi="宋体" w:cs="宋体"/>
          <w:b/>
          <w:color w:val="auto"/>
          <w:sz w:val="24"/>
          <w:highlight w:val="none"/>
        </w:rPr>
        <w:br w:type="page"/>
      </w:r>
      <w:r>
        <w:rPr>
          <w:rStyle w:val="108"/>
          <w:rFonts w:hint="eastAsia" w:ascii="宋体" w:hAnsi="宋体" w:eastAsia="宋体" w:cs="宋体"/>
          <w:color w:val="auto"/>
          <w:sz w:val="24"/>
          <w:szCs w:val="24"/>
          <w:highlight w:val="none"/>
        </w:rPr>
        <w:t>一、</w:t>
      </w:r>
      <w:r>
        <w:rPr>
          <w:rStyle w:val="108"/>
          <w:rFonts w:hint="eastAsia" w:ascii="宋体" w:hAnsi="宋体" w:eastAsia="宋体" w:cs="宋体"/>
          <w:color w:val="auto"/>
          <w:sz w:val="24"/>
          <w:szCs w:val="24"/>
          <w:highlight w:val="none"/>
          <w:lang w:val="en-US" w:eastAsia="zh-CN"/>
        </w:rPr>
        <w:t>投标</w:t>
      </w:r>
      <w:r>
        <w:rPr>
          <w:rStyle w:val="108"/>
          <w:rFonts w:hint="eastAsia" w:ascii="宋体" w:hAnsi="宋体" w:eastAsia="宋体" w:cs="宋体"/>
          <w:color w:val="auto"/>
          <w:sz w:val="24"/>
          <w:szCs w:val="24"/>
          <w:highlight w:val="none"/>
        </w:rPr>
        <w:t>函</w:t>
      </w:r>
    </w:p>
    <w:p w14:paraId="3AD6E643">
      <w:pPr>
        <w:pStyle w:val="21"/>
        <w:spacing w:after="0" w:line="360" w:lineRule="auto"/>
        <w:ind w:left="0" w:leftChars="0" w:firstLine="480" w:firstLineChars="200"/>
        <w:rPr>
          <w:rFonts w:ascii="宋体" w:hAnsi="宋体" w:cs="宋体"/>
          <w:bCs/>
          <w:color w:val="auto"/>
          <w:sz w:val="24"/>
          <w:highlight w:val="none"/>
        </w:rPr>
      </w:pPr>
    </w:p>
    <w:p w14:paraId="7EB84551">
      <w:pPr>
        <w:pStyle w:val="21"/>
        <w:spacing w:after="0" w:line="360" w:lineRule="auto"/>
        <w:ind w:left="0" w:leftChars="0"/>
        <w:rPr>
          <w:rFonts w:ascii="宋体" w:hAnsi="宋体" w:cs="宋体"/>
          <w:bCs/>
          <w:color w:val="auto"/>
          <w:sz w:val="24"/>
          <w:highlight w:val="none"/>
        </w:rPr>
      </w:pPr>
      <w:r>
        <w:rPr>
          <w:rFonts w:hint="eastAsia" w:ascii="宋体" w:hAnsi="宋体" w:cs="宋体"/>
          <w:bCs/>
          <w:color w:val="auto"/>
          <w:sz w:val="24"/>
          <w:highlight w:val="none"/>
        </w:rPr>
        <w:t>_______（采购人名称）：</w:t>
      </w:r>
    </w:p>
    <w:p w14:paraId="79317F9A">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我方全面研究了 “</w:t>
      </w:r>
      <w:r>
        <w:rPr>
          <w:rFonts w:hint="eastAsia" w:ascii="宋体" w:hAnsi="宋体" w:cs="宋体"/>
          <w:bCs/>
          <w:color w:val="auto"/>
          <w:sz w:val="24"/>
          <w:highlight w:val="none"/>
          <w:u w:val="single"/>
        </w:rPr>
        <w:t>（项目名称、</w:t>
      </w:r>
      <w:r>
        <w:rPr>
          <w:rFonts w:hint="eastAsia" w:ascii="宋体" w:hAnsi="宋体" w:cs="宋体"/>
          <w:bCs/>
          <w:color w:val="auto"/>
          <w:sz w:val="24"/>
          <w:highlight w:val="none"/>
          <w:u w:val="single"/>
          <w:lang w:val="en-US" w:eastAsia="zh-CN"/>
        </w:rPr>
        <w:t>项目编号</w:t>
      </w:r>
      <w:r>
        <w:rPr>
          <w:rFonts w:hint="eastAsia" w:ascii="宋体" w:hAnsi="宋体" w:cs="宋体"/>
          <w:bCs/>
          <w:color w:val="auto"/>
          <w:sz w:val="24"/>
          <w:highlight w:val="none"/>
          <w:u w:val="single"/>
        </w:rPr>
        <w:t>）</w:t>
      </w:r>
      <w:r>
        <w:rPr>
          <w:rFonts w:hint="eastAsia" w:ascii="宋体" w:hAnsi="宋体" w:cs="宋体"/>
          <w:bCs/>
          <w:color w:val="auto"/>
          <w:sz w:val="24"/>
          <w:highlight w:val="none"/>
        </w:rPr>
        <w:t>”项目招标文件，决定参加贵单位组织的本项目投标。我方授权</w:t>
      </w:r>
      <w:r>
        <w:rPr>
          <w:rFonts w:hint="eastAsia" w:ascii="宋体" w:hAnsi="宋体" w:cs="宋体"/>
          <w:bCs/>
          <w:color w:val="auto"/>
          <w:sz w:val="24"/>
          <w:highlight w:val="none"/>
          <w:u w:val="single"/>
        </w:rPr>
        <w:t>（姓名、职务）</w:t>
      </w:r>
      <w:r>
        <w:rPr>
          <w:rFonts w:hint="eastAsia" w:ascii="宋体" w:hAnsi="宋体" w:cs="宋体"/>
          <w:bCs/>
          <w:color w:val="auto"/>
          <w:sz w:val="24"/>
          <w:highlight w:val="none"/>
        </w:rPr>
        <w:t>代表我方</w:t>
      </w:r>
      <w:r>
        <w:rPr>
          <w:rFonts w:hint="eastAsia" w:ascii="宋体" w:hAnsi="宋体" w:cs="宋体"/>
          <w:bCs/>
          <w:color w:val="auto"/>
          <w:sz w:val="24"/>
          <w:highlight w:val="none"/>
          <w:u w:val="single"/>
        </w:rPr>
        <w:t>（投标人名称）</w:t>
      </w:r>
      <w:r>
        <w:rPr>
          <w:rFonts w:hint="eastAsia" w:ascii="宋体" w:hAnsi="宋体" w:cs="宋体"/>
          <w:bCs/>
          <w:color w:val="auto"/>
          <w:sz w:val="24"/>
          <w:highlight w:val="none"/>
        </w:rPr>
        <w:t>全权处理本项目投标的有关事宜。</w:t>
      </w:r>
    </w:p>
    <w:p w14:paraId="1DCA93FB">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1、我方投标</w:t>
      </w:r>
      <w:r>
        <w:rPr>
          <w:rFonts w:hint="eastAsia"/>
          <w:color w:val="auto"/>
          <w:sz w:val="24"/>
          <w:highlight w:val="none"/>
          <w:lang w:val="en-US" w:eastAsia="zh-CN"/>
        </w:rPr>
        <w:t>报价</w:t>
      </w:r>
      <w:r>
        <w:rPr>
          <w:rFonts w:hint="eastAsia" w:ascii="宋体" w:hAnsi="宋体" w:cs="宋体"/>
          <w:bCs/>
          <w:color w:val="auto"/>
          <w:sz w:val="24"/>
          <w:highlight w:val="none"/>
        </w:rPr>
        <w:t>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color w:val="auto"/>
          <w:sz w:val="24"/>
          <w:highlight w:val="none"/>
          <w:lang w:val="en-US" w:eastAsia="zh-CN"/>
        </w:rPr>
        <w:t>元</w:t>
      </w:r>
      <w:r>
        <w:rPr>
          <w:rFonts w:hint="eastAsia" w:ascii="宋体" w:hAnsi="宋体" w:cs="宋体"/>
          <w:bCs/>
          <w:color w:val="auto"/>
          <w:sz w:val="24"/>
          <w:highlight w:val="none"/>
        </w:rPr>
        <w:t>，投标有效期</w:t>
      </w:r>
      <w:r>
        <w:rPr>
          <w:rFonts w:hint="eastAsia" w:ascii="宋体" w:hAnsi="宋体" w:cs="宋体"/>
          <w:bCs/>
          <w:color w:val="auto"/>
          <w:sz w:val="24"/>
          <w:highlight w:val="none"/>
          <w:u w:val="single"/>
        </w:rPr>
        <w:t>从提交投标文件截止之日起</w:t>
      </w:r>
      <w:r>
        <w:rPr>
          <w:rFonts w:hint="eastAsia" w:ascii="宋体" w:hAnsi="宋体" w:cs="宋体"/>
          <w:bCs/>
          <w:color w:val="auto"/>
          <w:sz w:val="24"/>
          <w:highlight w:val="none"/>
          <w:u w:val="single"/>
          <w:lang w:eastAsia="zh-CN"/>
        </w:rPr>
        <w:t>90日历天</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4291ABBE">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2、一旦我方成交，我方将严格履行合同规定的责任和义务，</w:t>
      </w: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lang w:eastAsia="zh-CN"/>
        </w:rPr>
        <w:t>期限</w:t>
      </w:r>
      <w:r>
        <w:rPr>
          <w:rFonts w:hint="eastAsia" w:ascii="宋体" w:hAnsi="宋体" w:cs="宋体"/>
          <w:bCs/>
          <w:color w:val="auto"/>
          <w:sz w:val="24"/>
          <w:highlight w:val="none"/>
        </w:rPr>
        <w:t>：</w:t>
      </w:r>
      <w:r>
        <w:rPr>
          <w:rFonts w:hint="eastAsia" w:ascii="宋体" w:hAnsi="宋体" w:cs="宋体"/>
          <w:bCs/>
          <w:color w:val="auto"/>
          <w:sz w:val="24"/>
          <w:highlight w:val="none"/>
          <w:u w:val="single"/>
          <w:lang w:val="en-US" w:eastAsia="zh-CN"/>
        </w:rPr>
        <w:t>自合同签订之日起12个月</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昌吉市</w:t>
      </w:r>
      <w:r>
        <w:rPr>
          <w:rFonts w:hint="eastAsia" w:ascii="宋体" w:hAnsi="宋体" w:cs="宋体"/>
          <w:bCs/>
          <w:color w:val="auto"/>
          <w:sz w:val="24"/>
          <w:highlight w:val="none"/>
          <w:u w:val="single"/>
          <w:lang w:eastAsia="zh-CN"/>
        </w:rPr>
        <w:t>（采购人指定地点）</w:t>
      </w:r>
      <w:r>
        <w:rPr>
          <w:rFonts w:hint="eastAsia" w:ascii="宋体" w:hAnsi="宋体" w:cs="宋体"/>
          <w:bCs/>
          <w:color w:val="auto"/>
          <w:sz w:val="24"/>
          <w:highlight w:val="none"/>
          <w:u w:val="none"/>
          <w:lang w:eastAsia="zh-CN"/>
        </w:rPr>
        <w:t>，向采购人提交服务人员备案信息和投保的人身意外险保单</w:t>
      </w:r>
      <w:r>
        <w:rPr>
          <w:rFonts w:hint="eastAsia" w:ascii="宋体" w:hAnsi="宋体" w:cs="宋体"/>
          <w:bCs/>
          <w:color w:val="auto"/>
          <w:sz w:val="24"/>
          <w:highlight w:val="none"/>
          <w:lang w:val="en-US" w:eastAsia="zh-CN"/>
        </w:rPr>
        <w:t>。</w:t>
      </w:r>
    </w:p>
    <w:p w14:paraId="4D98A6E3">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3、我方同意按照招标文件的要求，向贵单位缴纳</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元（大写：</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）的投标保证金。并承诺如发生符合“第二章投标人须知”第15.5条的任何情况时，我方将不要求退还投标保证金。</w:t>
      </w:r>
    </w:p>
    <w:p w14:paraId="05393284">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4、我方提交的投标文件满足招标文件实质性要求。</w:t>
      </w:r>
    </w:p>
    <w:p w14:paraId="04D92D54">
      <w:pPr>
        <w:pStyle w:val="21"/>
        <w:spacing w:after="0"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5、我方愿意提供采购人可能另外要求的，与投标有关的文件资料，并保证我方已提供和将要提供的文件资料是真实、准确的。</w:t>
      </w:r>
    </w:p>
    <w:p w14:paraId="6D0F9192">
      <w:pPr>
        <w:pStyle w:val="21"/>
        <w:spacing w:after="0" w:line="360" w:lineRule="auto"/>
        <w:ind w:left="0" w:leftChars="0"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6、我方完全理解招标人不一定将本合同授予最低报价的投标人。</w:t>
      </w:r>
    </w:p>
    <w:p w14:paraId="7051CC32">
      <w:pPr>
        <w:pStyle w:val="21"/>
        <w:spacing w:after="0" w:line="360" w:lineRule="auto"/>
        <w:ind w:left="0" w:leftChars="0"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7、一旦我方中标，我方承诺与招标人签订合同后，不会以任何理由拒绝提供服务，否则招标人有权取消我方中标资格，并自愿同意将我方列入政府采购黑名单。</w:t>
      </w:r>
    </w:p>
    <w:p w14:paraId="1851159C">
      <w:pPr>
        <w:pStyle w:val="21"/>
        <w:spacing w:after="0" w:line="360" w:lineRule="auto"/>
        <w:ind w:left="0" w:leftChars="0"/>
        <w:jc w:val="center"/>
        <w:rPr>
          <w:rFonts w:hint="eastAsia" w:ascii="宋体" w:hAnsi="宋体" w:cs="宋体"/>
          <w:bCs/>
          <w:color w:val="auto"/>
          <w:sz w:val="24"/>
          <w:highlight w:val="none"/>
          <w:lang w:val="en-US" w:eastAsia="zh-CN"/>
        </w:rPr>
      </w:pPr>
    </w:p>
    <w:p w14:paraId="1F0A75A8">
      <w:pPr>
        <w:pStyle w:val="21"/>
        <w:spacing w:after="0" w:line="360" w:lineRule="auto"/>
        <w:ind w:left="0" w:leftChars="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投标人名称（盖章）：</w:t>
      </w:r>
    </w:p>
    <w:p w14:paraId="0E08CE83">
      <w:pPr>
        <w:pStyle w:val="21"/>
        <w:spacing w:after="0" w:line="360" w:lineRule="auto"/>
        <w:ind w:left="0" w:leftChars="0"/>
        <w:jc w:val="center"/>
        <w:rPr>
          <w:rFonts w:ascii="宋体" w:hAnsi="宋体" w:cs="宋体"/>
          <w:bCs/>
          <w:color w:val="auto"/>
          <w:sz w:val="24"/>
          <w:highlight w:val="none"/>
        </w:rPr>
      </w:pPr>
      <w:r>
        <w:rPr>
          <w:rFonts w:hint="eastAsia" w:ascii="宋体" w:hAnsi="宋体" w:cs="宋体"/>
          <w:bCs/>
          <w:color w:val="auto"/>
          <w:sz w:val="24"/>
          <w:highlight w:val="none"/>
        </w:rPr>
        <w:t xml:space="preserve">                      授权人或被授权人（签字或盖章）：</w:t>
      </w:r>
    </w:p>
    <w:p w14:paraId="3ECC1FC5">
      <w:pPr>
        <w:pStyle w:val="21"/>
        <w:spacing w:after="0" w:line="360" w:lineRule="auto"/>
        <w:ind w:left="0" w:leftChars="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通讯地址：</w:t>
      </w:r>
    </w:p>
    <w:p w14:paraId="2E332A25">
      <w:pPr>
        <w:pStyle w:val="21"/>
        <w:spacing w:after="0" w:line="360" w:lineRule="auto"/>
        <w:ind w:left="0" w:leftChars="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联系电话：</w:t>
      </w:r>
    </w:p>
    <w:p w14:paraId="4B813193">
      <w:pPr>
        <w:pStyle w:val="21"/>
        <w:spacing w:after="0" w:line="360" w:lineRule="auto"/>
        <w:ind w:left="0" w:leftChars="0"/>
        <w:jc w:val="center"/>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    期：</w:t>
      </w:r>
      <w:r>
        <w:rPr>
          <w:rFonts w:hint="eastAsia" w:ascii="宋体" w:hAnsi="宋体" w:cs="宋体"/>
          <w:color w:val="auto"/>
          <w:sz w:val="24"/>
          <w:highlight w:val="none"/>
        </w:rPr>
        <w:t xml:space="preserve">     年     月    日</w:t>
      </w:r>
    </w:p>
    <w:p w14:paraId="1B241491">
      <w:pPr>
        <w:rPr>
          <w:color w:val="auto"/>
          <w:highlight w:val="none"/>
        </w:rPr>
      </w:pPr>
      <w:bookmarkStart w:id="148" w:name="_Toc217446083"/>
      <w:r>
        <w:rPr>
          <w:rFonts w:hint="eastAsia" w:ascii="宋体" w:hAnsi="宋体" w:cs="宋体"/>
          <w:color w:val="auto"/>
          <w:sz w:val="24"/>
          <w:highlight w:val="none"/>
        </w:rPr>
        <w:br w:type="page"/>
      </w:r>
    </w:p>
    <w:p w14:paraId="7ACD1BA5">
      <w:pPr>
        <w:rPr>
          <w:color w:val="auto"/>
          <w:highlight w:val="none"/>
        </w:rPr>
      </w:pPr>
    </w:p>
    <w:p w14:paraId="15AD6175">
      <w:pPr>
        <w:spacing w:line="360" w:lineRule="auto"/>
        <w:jc w:val="center"/>
        <w:outlineLvl w:val="1"/>
        <w:rPr>
          <w:rFonts w:ascii="宋体" w:hAnsi="宋体" w:cs="宋体"/>
          <w:color w:val="auto"/>
          <w:sz w:val="24"/>
          <w:highlight w:val="none"/>
        </w:rPr>
      </w:pPr>
      <w:r>
        <w:rPr>
          <w:rStyle w:val="108"/>
          <w:rFonts w:hint="eastAsia" w:ascii="宋体" w:hAnsi="宋体" w:eastAsia="宋体" w:cs="宋体"/>
          <w:color w:val="auto"/>
          <w:sz w:val="24"/>
          <w:szCs w:val="24"/>
          <w:highlight w:val="none"/>
          <w:lang w:val="en-US" w:eastAsia="zh-CN"/>
        </w:rPr>
        <w:t>二</w:t>
      </w:r>
      <w:r>
        <w:rPr>
          <w:rStyle w:val="108"/>
          <w:rFonts w:hint="eastAsia" w:ascii="宋体" w:hAnsi="宋体" w:eastAsia="宋体" w:cs="宋体"/>
          <w:color w:val="auto"/>
          <w:sz w:val="24"/>
          <w:szCs w:val="24"/>
          <w:highlight w:val="none"/>
        </w:rPr>
        <w:t>、身份证明书</w:t>
      </w:r>
    </w:p>
    <w:p w14:paraId="0378548C">
      <w:pPr>
        <w:spacing w:line="360" w:lineRule="auto"/>
        <w:jc w:val="center"/>
        <w:rPr>
          <w:rFonts w:ascii="宋体" w:hAnsi="宋体" w:cs="宋体"/>
          <w:b/>
          <w:bCs/>
          <w:color w:val="auto"/>
          <w:sz w:val="24"/>
          <w:highlight w:val="none"/>
        </w:rPr>
      </w:pPr>
    </w:p>
    <w:bookmarkEnd w:id="148"/>
    <w:p w14:paraId="2C65DBD6">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身份证明书</w:t>
      </w:r>
    </w:p>
    <w:p w14:paraId="2B83537C">
      <w:pPr>
        <w:pageBreakBefore w:val="0"/>
        <w:wordWrap/>
        <w:overflowPunct/>
        <w:topLinePunct w:val="0"/>
        <w:bidi w:val="0"/>
        <w:spacing w:line="560" w:lineRule="exact"/>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单位名称：</w:t>
      </w:r>
      <w:r>
        <w:rPr>
          <w:rFonts w:hint="eastAsia" w:asciiTheme="minorEastAsia" w:hAnsiTheme="minorEastAsia" w:eastAsiaTheme="minorEastAsia" w:cstheme="minorEastAsia"/>
          <w:b w:val="0"/>
          <w:bCs/>
          <w:color w:val="auto"/>
          <w:sz w:val="24"/>
          <w:szCs w:val="24"/>
          <w:highlight w:val="none"/>
          <w:u w:val="single"/>
        </w:rPr>
        <w:t xml:space="preserve">                                             。 </w:t>
      </w:r>
    </w:p>
    <w:p w14:paraId="28B5A0F1">
      <w:pPr>
        <w:pageBreakBefore w:val="0"/>
        <w:wordWrap/>
        <w:overflowPunct/>
        <w:topLinePunct w:val="0"/>
        <w:bidi w:val="0"/>
        <w:spacing w:line="560" w:lineRule="exact"/>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地    址：</w:t>
      </w:r>
      <w:r>
        <w:rPr>
          <w:rFonts w:hint="eastAsia" w:asciiTheme="minorEastAsia" w:hAnsiTheme="minorEastAsia" w:eastAsiaTheme="minorEastAsia" w:cstheme="minorEastAsia"/>
          <w:b w:val="0"/>
          <w:bCs/>
          <w:color w:val="auto"/>
          <w:sz w:val="24"/>
          <w:szCs w:val="24"/>
          <w:highlight w:val="none"/>
          <w:u w:val="single"/>
        </w:rPr>
        <w:t xml:space="preserve">                                             。</w:t>
      </w:r>
    </w:p>
    <w:p w14:paraId="3AA7E948">
      <w:pPr>
        <w:pageBreakBefore w:val="0"/>
        <w:wordWrap/>
        <w:overflowPunct/>
        <w:topLinePunct w:val="0"/>
        <w:bidi w:val="0"/>
        <w:spacing w:line="560" w:lineRule="exact"/>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姓    名：</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性别：</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年龄：</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职务：</w:t>
      </w:r>
      <w:r>
        <w:rPr>
          <w:rFonts w:hint="eastAsia" w:asciiTheme="minorEastAsia" w:hAnsiTheme="minorEastAsia" w:eastAsiaTheme="minorEastAsia" w:cstheme="minorEastAsia"/>
          <w:b w:val="0"/>
          <w:bCs/>
          <w:color w:val="auto"/>
          <w:sz w:val="24"/>
          <w:szCs w:val="24"/>
          <w:highlight w:val="none"/>
          <w:u w:val="single"/>
        </w:rPr>
        <w:t xml:space="preserve">       。</w:t>
      </w:r>
    </w:p>
    <w:p w14:paraId="41A4C918">
      <w:pPr>
        <w:pageBreakBefore w:val="0"/>
        <w:wordWrap/>
        <w:overflowPunct/>
        <w:topLinePunct w:val="0"/>
        <w:bidi w:val="0"/>
        <w:spacing w:line="560" w:lineRule="exact"/>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身份证号码：</w:t>
      </w:r>
      <w:r>
        <w:rPr>
          <w:rFonts w:hint="eastAsia" w:asciiTheme="minorEastAsia" w:hAnsiTheme="minorEastAsia" w:eastAsiaTheme="minorEastAsia" w:cstheme="minorEastAsia"/>
          <w:b w:val="0"/>
          <w:bCs/>
          <w:color w:val="auto"/>
          <w:sz w:val="24"/>
          <w:szCs w:val="24"/>
          <w:highlight w:val="none"/>
          <w:u w:val="single"/>
        </w:rPr>
        <w:t xml:space="preserve">                                           。</w:t>
      </w:r>
    </w:p>
    <w:p w14:paraId="0426B6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rPr>
        <w:t>系</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的法定代表人，为具有参加</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（项目名称）的</w:t>
      </w:r>
      <w:r>
        <w:rPr>
          <w:rFonts w:hint="eastAsia" w:asciiTheme="minorEastAsia" w:hAnsiTheme="minorEastAsia" w:eastAsiaTheme="minorEastAsia" w:cstheme="minorEastAsia"/>
          <w:b w:val="0"/>
          <w:bCs/>
          <w:color w:val="auto"/>
          <w:sz w:val="24"/>
          <w:szCs w:val="24"/>
          <w:highlight w:val="none"/>
          <w:lang w:val="en-US" w:eastAsia="zh-CN"/>
        </w:rPr>
        <w:t>投标</w:t>
      </w:r>
      <w:r>
        <w:rPr>
          <w:rFonts w:hint="eastAsia" w:asciiTheme="minorEastAsia" w:hAnsiTheme="minorEastAsia" w:eastAsiaTheme="minorEastAsia" w:cstheme="minorEastAsia"/>
          <w:b w:val="0"/>
          <w:bCs/>
          <w:color w:val="auto"/>
          <w:sz w:val="24"/>
          <w:szCs w:val="24"/>
          <w:highlight w:val="none"/>
        </w:rPr>
        <w:t>、签署上述</w:t>
      </w:r>
      <w:r>
        <w:rPr>
          <w:rFonts w:hint="eastAsia" w:asciiTheme="minorEastAsia" w:hAnsiTheme="minorEastAsia" w:eastAsiaTheme="minorEastAsia" w:cstheme="minorEastAsia"/>
          <w:b w:val="0"/>
          <w:bCs/>
          <w:color w:val="auto"/>
          <w:sz w:val="24"/>
          <w:szCs w:val="24"/>
          <w:highlight w:val="none"/>
          <w:lang w:eastAsia="zh-CN"/>
        </w:rPr>
        <w:t>投标文件</w:t>
      </w:r>
      <w:r>
        <w:rPr>
          <w:rFonts w:hint="eastAsia" w:asciiTheme="minorEastAsia" w:hAnsiTheme="minorEastAsia" w:eastAsiaTheme="minorEastAsia" w:cstheme="minorEastAsia"/>
          <w:b w:val="0"/>
          <w:bCs/>
          <w:color w:val="auto"/>
          <w:sz w:val="24"/>
          <w:szCs w:val="24"/>
          <w:highlight w:val="none"/>
        </w:rPr>
        <w:t>、进行合同谈判、签署合同和处理与之有关的一切事务权利的</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color w:val="auto"/>
          <w:sz w:val="24"/>
          <w:highlight w:val="none"/>
        </w:rPr>
        <w:t>。</w:t>
      </w:r>
    </w:p>
    <w:p w14:paraId="22FD9F03">
      <w:pPr>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highlight w:val="none"/>
        </w:rPr>
        <w:t>附：法定代表人身份证正反面。</w:t>
      </w:r>
    </w:p>
    <w:p w14:paraId="577CA7F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2849245</wp:posOffset>
                </wp:positionH>
                <wp:positionV relativeFrom="paragraph">
                  <wp:posOffset>147320</wp:posOffset>
                </wp:positionV>
                <wp:extent cx="2240915" cy="1086485"/>
                <wp:effectExtent l="4445" t="4445" r="2159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3778250" y="6959600"/>
                          <a:ext cx="2240915" cy="1086485"/>
                        </a:xfrm>
                        <a:prstGeom prst="rect">
                          <a:avLst/>
                        </a:prstGeom>
                        <a:solidFill>
                          <a:srgbClr val="FFFFFF"/>
                        </a:solidFill>
                        <a:ln w="9525">
                          <a:solidFill>
                            <a:srgbClr val="000000"/>
                          </a:solidFill>
                          <a:prstDash val="dash"/>
                          <a:miter lim="800000"/>
                        </a:ln>
                        <a:effectLst/>
                      </wps:spPr>
                      <wps:txbx>
                        <w:txbxContent>
                          <w:p w14:paraId="476FDAD4">
                            <w:pPr>
                              <w:jc w:val="center"/>
                              <w:rPr>
                                <w:rFonts w:ascii="宋体"/>
                              </w:rPr>
                            </w:pPr>
                          </w:p>
                          <w:p w14:paraId="7B13FB31">
                            <w:pPr>
                              <w:jc w:val="center"/>
                              <w:rPr>
                                <w:rFonts w:ascii="宋体" w:hAnsi="宋体"/>
                                <w:sz w:val="28"/>
                                <w:szCs w:val="28"/>
                              </w:rPr>
                            </w:pPr>
                            <w:r>
                              <w:rPr>
                                <w:rFonts w:hint="eastAsia" w:ascii="宋体" w:hAnsi="宋体"/>
                                <w:sz w:val="28"/>
                                <w:szCs w:val="28"/>
                              </w:rPr>
                              <w:t>法定代表人身份证</w:t>
                            </w:r>
                          </w:p>
                          <w:p w14:paraId="1808DE4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4.35pt;margin-top:11.6pt;height:85.55pt;width:176.45pt;z-index:251661312;v-text-anchor:middle;mso-width-relative:page;mso-height-relative:page;" fillcolor="#FFFFFF" filled="t" stroked="t" coordsize="21600,21600" o:gfxdata="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8W2Fe1gAAAAoBAAAPAAAAAAAAAAEAIAAAACIAAABkcnMvZG93bnJldi54bWxQSwECFAAUAAAA&#10;CACHTuJArudnhGICAAC8BAAADgAAAAAAAAABACAAAAAlAQAAZHJzL2Uyb0RvYy54bWxQSwUGAAAA&#10;AAYABgBZAQAA+QUAAAAA&#10;">
                <v:fill on="t" focussize="0,0"/>
                <v:stroke color="#000000" miterlimit="8" joinstyle="miter" dashstyle="dash"/>
                <v:imagedata o:title=""/>
                <o:lock v:ext="edit" aspectratio="f"/>
                <v:textbox>
                  <w:txbxContent>
                    <w:p w14:paraId="476FDAD4">
                      <w:pPr>
                        <w:jc w:val="center"/>
                        <w:rPr>
                          <w:rFonts w:ascii="宋体"/>
                        </w:rPr>
                      </w:pPr>
                    </w:p>
                    <w:p w14:paraId="7B13FB31">
                      <w:pPr>
                        <w:jc w:val="center"/>
                        <w:rPr>
                          <w:rFonts w:ascii="宋体" w:hAnsi="宋体"/>
                          <w:sz w:val="28"/>
                          <w:szCs w:val="28"/>
                        </w:rPr>
                      </w:pPr>
                      <w:r>
                        <w:rPr>
                          <w:rFonts w:hint="eastAsia" w:ascii="宋体" w:hAnsi="宋体"/>
                          <w:sz w:val="28"/>
                          <w:szCs w:val="28"/>
                        </w:rPr>
                        <w:t>法定代表人身份证</w:t>
                      </w:r>
                    </w:p>
                    <w:p w14:paraId="1808DE40">
                      <w:pPr>
                        <w:jc w:val="center"/>
                        <w:rPr>
                          <w:sz w:val="28"/>
                          <w:szCs w:val="28"/>
                        </w:rPr>
                      </w:pPr>
                      <w:r>
                        <w:rPr>
                          <w:rFonts w:hint="eastAsia" w:ascii="宋体" w:hAnsi="宋体"/>
                          <w:sz w:val="28"/>
                          <w:szCs w:val="28"/>
                        </w:rPr>
                        <w:t>（反面）</w:t>
                      </w:r>
                    </w:p>
                  </w:txbxContent>
                </v:textbox>
              </v:shape>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392430</wp:posOffset>
                </wp:positionH>
                <wp:positionV relativeFrom="paragraph">
                  <wp:posOffset>121285</wp:posOffset>
                </wp:positionV>
                <wp:extent cx="2240915" cy="1081405"/>
                <wp:effectExtent l="4445" t="4445" r="21590" b="1905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1292860" y="6965315"/>
                          <a:ext cx="2240915" cy="1081405"/>
                        </a:xfrm>
                        <a:prstGeom prst="rect">
                          <a:avLst/>
                        </a:prstGeom>
                        <a:solidFill>
                          <a:srgbClr val="FFFFFF"/>
                        </a:solidFill>
                        <a:ln w="9525">
                          <a:solidFill>
                            <a:srgbClr val="000000"/>
                          </a:solidFill>
                          <a:prstDash val="dash"/>
                          <a:miter lim="800000"/>
                        </a:ln>
                        <a:effectLst/>
                      </wps:spPr>
                      <wps:txbx>
                        <w:txbxContent>
                          <w:p w14:paraId="27B69C82">
                            <w:pPr>
                              <w:jc w:val="center"/>
                              <w:rPr>
                                <w:rFonts w:ascii="宋体"/>
                              </w:rPr>
                            </w:pPr>
                          </w:p>
                          <w:p w14:paraId="545FE1C9">
                            <w:pPr>
                              <w:jc w:val="center"/>
                              <w:rPr>
                                <w:rFonts w:ascii="宋体" w:hAnsi="宋体"/>
                                <w:sz w:val="28"/>
                                <w:szCs w:val="28"/>
                              </w:rPr>
                            </w:pPr>
                            <w:r>
                              <w:rPr>
                                <w:rFonts w:hint="eastAsia" w:ascii="宋体" w:hAnsi="宋体"/>
                                <w:sz w:val="28"/>
                                <w:szCs w:val="28"/>
                              </w:rPr>
                              <w:t>法定代表人身份证</w:t>
                            </w:r>
                          </w:p>
                          <w:p w14:paraId="349E0B6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5.15pt;width:176.45pt;z-index:251660288;v-text-anchor:middle;mso-width-relative:page;mso-height-relative:page;" fillcolor="#FFFFFF" filled="t" stroked="t" coordsize="21600,21600" o:gfxdata="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oX/c1QAAAAkBAAAPAAAAAAAAAAEAIAAAACIAAABkcnMvZG93bnJldi54bWxQSwECFAAUAAAACACH&#10;TuJA9NQ2mWACAAC+BAAADgAAAAAAAAABACAAAAAkAQAAZHJzL2Uyb0RvYy54bWxQSwUGAAAAAAYA&#10;BgBZAQAA9gUAAAAA&#10;">
                <v:fill on="t" focussize="0,0"/>
                <v:stroke color="#000000" miterlimit="8" joinstyle="miter" dashstyle="dash"/>
                <v:imagedata o:title=""/>
                <o:lock v:ext="edit" aspectratio="f"/>
                <v:textbox>
                  <w:txbxContent>
                    <w:p w14:paraId="27B69C82">
                      <w:pPr>
                        <w:jc w:val="center"/>
                        <w:rPr>
                          <w:rFonts w:ascii="宋体"/>
                        </w:rPr>
                      </w:pPr>
                    </w:p>
                    <w:p w14:paraId="545FE1C9">
                      <w:pPr>
                        <w:jc w:val="center"/>
                        <w:rPr>
                          <w:rFonts w:ascii="宋体" w:hAnsi="宋体"/>
                          <w:sz w:val="28"/>
                          <w:szCs w:val="28"/>
                        </w:rPr>
                      </w:pPr>
                      <w:r>
                        <w:rPr>
                          <w:rFonts w:hint="eastAsia" w:ascii="宋体" w:hAnsi="宋体"/>
                          <w:sz w:val="28"/>
                          <w:szCs w:val="28"/>
                        </w:rPr>
                        <w:t>法定代表人身份证</w:t>
                      </w:r>
                    </w:p>
                    <w:p w14:paraId="349E0B69">
                      <w:pPr>
                        <w:jc w:val="center"/>
                        <w:rPr>
                          <w:sz w:val="28"/>
                          <w:szCs w:val="28"/>
                        </w:rPr>
                      </w:pPr>
                      <w:r>
                        <w:rPr>
                          <w:rFonts w:hint="eastAsia" w:ascii="宋体" w:hAnsi="宋体"/>
                          <w:sz w:val="28"/>
                          <w:szCs w:val="28"/>
                        </w:rPr>
                        <w:t>（正面）</w:t>
                      </w:r>
                    </w:p>
                  </w:txbxContent>
                </v:textbox>
              </v:shape>
            </w:pict>
          </mc:Fallback>
        </mc:AlternateContent>
      </w:r>
    </w:p>
    <w:p w14:paraId="2A1E2FE0">
      <w:pPr>
        <w:spacing w:line="360" w:lineRule="auto"/>
        <w:rPr>
          <w:rFonts w:hint="eastAsia" w:asciiTheme="minorEastAsia" w:hAnsiTheme="minorEastAsia" w:eastAsiaTheme="minorEastAsia" w:cstheme="minorEastAsia"/>
          <w:color w:val="auto"/>
          <w:sz w:val="24"/>
          <w:highlight w:val="none"/>
        </w:rPr>
      </w:pPr>
    </w:p>
    <w:p w14:paraId="450AC6DB">
      <w:pPr>
        <w:spacing w:line="360" w:lineRule="auto"/>
        <w:rPr>
          <w:rFonts w:hint="eastAsia" w:asciiTheme="minorEastAsia" w:hAnsiTheme="minorEastAsia" w:eastAsiaTheme="minorEastAsia" w:cstheme="minorEastAsia"/>
          <w:color w:val="auto"/>
          <w:sz w:val="24"/>
          <w:highlight w:val="none"/>
        </w:rPr>
      </w:pPr>
    </w:p>
    <w:p w14:paraId="401623D0">
      <w:pPr>
        <w:spacing w:line="360" w:lineRule="auto"/>
        <w:rPr>
          <w:rFonts w:hint="eastAsia" w:asciiTheme="minorEastAsia" w:hAnsiTheme="minorEastAsia" w:eastAsiaTheme="minorEastAsia" w:cstheme="minorEastAsia"/>
          <w:color w:val="auto"/>
          <w:sz w:val="24"/>
          <w:highlight w:val="none"/>
        </w:rPr>
      </w:pPr>
    </w:p>
    <w:p w14:paraId="6931DB9A">
      <w:pPr>
        <w:spacing w:line="360" w:lineRule="auto"/>
        <w:rPr>
          <w:rFonts w:hint="eastAsia" w:asciiTheme="minorEastAsia" w:hAnsiTheme="minorEastAsia" w:eastAsiaTheme="minorEastAsia" w:cstheme="minorEastAsia"/>
          <w:color w:val="auto"/>
          <w:sz w:val="24"/>
          <w:highlight w:val="none"/>
        </w:rPr>
      </w:pPr>
    </w:p>
    <w:p w14:paraId="6F68DF5F">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p>
    <w:p w14:paraId="762C4BC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投标人名称（盖章）：               </w:t>
      </w:r>
    </w:p>
    <w:p w14:paraId="4A404A0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     年     月    日</w:t>
      </w:r>
    </w:p>
    <w:p w14:paraId="411D9585">
      <w:pPr>
        <w:spacing w:line="360" w:lineRule="auto"/>
        <w:jc w:val="center"/>
        <w:rPr>
          <w:rFonts w:hint="eastAsia" w:asciiTheme="minorEastAsia" w:hAnsiTheme="minorEastAsia" w:eastAsiaTheme="minorEastAsia" w:cstheme="minorEastAsia"/>
          <w:b/>
          <w:bCs/>
          <w:color w:val="auto"/>
          <w:sz w:val="24"/>
          <w:highlight w:val="none"/>
        </w:rPr>
      </w:pPr>
    </w:p>
    <w:p w14:paraId="692A6517">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6715B709">
      <w:pPr>
        <w:spacing w:line="360" w:lineRule="auto"/>
        <w:jc w:val="center"/>
        <w:outlineLvl w:val="9"/>
        <w:rPr>
          <w:rFonts w:hint="eastAsia" w:asciiTheme="minorEastAsia" w:hAnsiTheme="minorEastAsia" w:eastAsiaTheme="minorEastAsia" w:cstheme="minorEastAsia"/>
          <w:b/>
          <w:bCs/>
          <w:color w:val="auto"/>
          <w:sz w:val="24"/>
          <w:highlight w:val="none"/>
        </w:rPr>
      </w:pPr>
    </w:p>
    <w:p w14:paraId="4822FA75">
      <w:pPr>
        <w:spacing w:line="360" w:lineRule="auto"/>
        <w:jc w:val="center"/>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三、</w:t>
      </w:r>
      <w:r>
        <w:rPr>
          <w:rFonts w:hint="eastAsia" w:asciiTheme="minorEastAsia" w:hAnsiTheme="minorEastAsia" w:eastAsiaTheme="minorEastAsia" w:cstheme="minorEastAsia"/>
          <w:b/>
          <w:bCs/>
          <w:color w:val="auto"/>
          <w:sz w:val="24"/>
          <w:highlight w:val="none"/>
        </w:rPr>
        <w:t>授权委托书</w:t>
      </w:r>
    </w:p>
    <w:p w14:paraId="081433A0">
      <w:pPr>
        <w:spacing w:line="360" w:lineRule="auto"/>
        <w:ind w:firstLine="2880" w:firstLineChars="1200"/>
        <w:rPr>
          <w:rFonts w:hint="eastAsia" w:asciiTheme="minorEastAsia" w:hAnsiTheme="minorEastAsia" w:eastAsiaTheme="minorEastAsia" w:cstheme="minorEastAsia"/>
          <w:color w:val="auto"/>
          <w:sz w:val="24"/>
          <w:highlight w:val="none"/>
        </w:rPr>
      </w:pPr>
    </w:p>
    <w:p w14:paraId="5C431C0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授权委托书</w:t>
      </w:r>
    </w:p>
    <w:p w14:paraId="183709BA">
      <w:pPr>
        <w:spacing w:line="360" w:lineRule="auto"/>
        <w:rPr>
          <w:rFonts w:hint="eastAsia" w:asciiTheme="minorEastAsia" w:hAnsiTheme="minorEastAsia" w:eastAsiaTheme="minorEastAsia" w:cstheme="minorEastAsia"/>
          <w:color w:val="auto"/>
          <w:sz w:val="24"/>
          <w:highlight w:val="none"/>
        </w:rPr>
      </w:pPr>
    </w:p>
    <w:p w14:paraId="68687CA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__________（</w:t>
      </w: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color w:val="auto"/>
          <w:sz w:val="24"/>
          <w:highlight w:val="none"/>
        </w:rPr>
        <w:t>）：</w:t>
      </w:r>
    </w:p>
    <w:p w14:paraId="548E77C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本授权声明：</w:t>
      </w:r>
      <w:r>
        <w:rPr>
          <w:rFonts w:hint="eastAsia" w:asciiTheme="minorEastAsia" w:hAnsiTheme="minorEastAsia" w:eastAsiaTheme="minorEastAsia" w:cstheme="minorEastAsia"/>
          <w:color w:val="auto"/>
          <w:sz w:val="24"/>
          <w:highlight w:val="none"/>
          <w:u w:val="single"/>
        </w:rPr>
        <w:t>（投标人名称）（法定代表人姓名、职务）</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sz w:val="24"/>
          <w:highlight w:val="none"/>
          <w:u w:val="single"/>
        </w:rPr>
        <w:t>（被授权人姓名、职务）</w:t>
      </w:r>
      <w:r>
        <w:rPr>
          <w:rFonts w:hint="eastAsia" w:asciiTheme="minorEastAsia" w:hAnsiTheme="minorEastAsia" w:eastAsiaTheme="minorEastAsia" w:cstheme="minorEastAsia"/>
          <w:color w:val="auto"/>
          <w:sz w:val="24"/>
          <w:highlight w:val="none"/>
        </w:rPr>
        <w:t>为我方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u w:val="single"/>
          <w:lang w:val="en-US" w:eastAsia="zh-CN"/>
        </w:rPr>
        <w:t>项目编号</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color w:val="auto"/>
          <w:sz w:val="24"/>
          <w:highlight w:val="none"/>
        </w:rPr>
        <w:t>”项目投标活动的合法代表，以我方名义全权处理该项目有关投标、签订合同以及执行合同等一切事宜。</w:t>
      </w:r>
    </w:p>
    <w:p w14:paraId="0A301CE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被授权人无权转让本授权，特此声明。</w:t>
      </w:r>
    </w:p>
    <w:p w14:paraId="3C0C8085">
      <w:pPr>
        <w:pStyle w:val="6"/>
        <w:rPr>
          <w:rFonts w:hint="eastAsia" w:asciiTheme="minorEastAsia" w:hAnsiTheme="minorEastAsia" w:eastAsiaTheme="minorEastAsia" w:cstheme="minorEastAsia"/>
          <w:color w:val="auto"/>
          <w:highlight w:val="none"/>
        </w:rPr>
      </w:pPr>
    </w:p>
    <w:p w14:paraId="763C0F0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highlight w:val="none"/>
        </w:rPr>
        <w:t>附：法定代表人及被授权人身份证正反面。</w:t>
      </w:r>
    </w:p>
    <w:p w14:paraId="13F38C0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171450</wp:posOffset>
                </wp:positionV>
                <wp:extent cx="2240915" cy="1081405"/>
                <wp:effectExtent l="4445" t="4445" r="21590" b="1905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1292860" y="6965315"/>
                          <a:ext cx="2240915" cy="1081405"/>
                        </a:xfrm>
                        <a:prstGeom prst="rect">
                          <a:avLst/>
                        </a:prstGeom>
                        <a:solidFill>
                          <a:srgbClr val="FFFFFF"/>
                        </a:solidFill>
                        <a:ln w="9525">
                          <a:solidFill>
                            <a:srgbClr val="000000"/>
                          </a:solidFill>
                          <a:prstDash val="dash"/>
                          <a:miter lim="800000"/>
                        </a:ln>
                        <a:effectLst/>
                      </wps:spPr>
                      <wps:txbx>
                        <w:txbxContent>
                          <w:p w14:paraId="4D8452EE">
                            <w:pPr>
                              <w:jc w:val="center"/>
                              <w:rPr>
                                <w:rFonts w:ascii="宋体"/>
                              </w:rPr>
                            </w:pPr>
                          </w:p>
                          <w:p w14:paraId="0D2DB019">
                            <w:pPr>
                              <w:jc w:val="center"/>
                              <w:rPr>
                                <w:rFonts w:ascii="宋体" w:hAnsi="宋体"/>
                                <w:sz w:val="28"/>
                                <w:szCs w:val="28"/>
                              </w:rPr>
                            </w:pPr>
                            <w:r>
                              <w:rPr>
                                <w:rFonts w:hint="eastAsia" w:ascii="宋体" w:hAnsi="宋体"/>
                                <w:sz w:val="28"/>
                                <w:szCs w:val="28"/>
                              </w:rPr>
                              <w:t>法定代表人身份证</w:t>
                            </w:r>
                          </w:p>
                          <w:p w14:paraId="3C69D8E5">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5.2pt;margin-top:13.5pt;height:85.15pt;width:176.45pt;z-index:251664384;v-text-anchor:middle;mso-width-relative:page;mso-height-relative:page;" fillcolor="#FFFFFF" filled="t" stroked="t" coordsize="21600,21600" o:gfxdata="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Ipn&#10;Q9QAAAAJAQAADwAAAAAAAAABACAAAAAiAAAAZHJzL2Rvd25yZXYueG1sUEsBAhQAFAAAAAgAh07i&#10;QJEfL3RfAgAAvAQAAA4AAAAAAAAAAQAgAAAAIwEAAGRycy9lMm9Eb2MueG1sUEsFBgAAAAAGAAYA&#10;WQEAAPQFAAAAAA==&#10;">
                <v:fill on="t" focussize="0,0"/>
                <v:stroke color="#000000" miterlimit="8" joinstyle="miter" dashstyle="dash"/>
                <v:imagedata o:title=""/>
                <o:lock v:ext="edit" aspectratio="f"/>
                <v:textbox>
                  <w:txbxContent>
                    <w:p w14:paraId="4D8452EE">
                      <w:pPr>
                        <w:jc w:val="center"/>
                        <w:rPr>
                          <w:rFonts w:ascii="宋体"/>
                        </w:rPr>
                      </w:pPr>
                    </w:p>
                    <w:p w14:paraId="0D2DB019">
                      <w:pPr>
                        <w:jc w:val="center"/>
                        <w:rPr>
                          <w:rFonts w:ascii="宋体" w:hAnsi="宋体"/>
                          <w:sz w:val="28"/>
                          <w:szCs w:val="28"/>
                        </w:rPr>
                      </w:pPr>
                      <w:r>
                        <w:rPr>
                          <w:rFonts w:hint="eastAsia" w:ascii="宋体" w:hAnsi="宋体"/>
                          <w:sz w:val="28"/>
                          <w:szCs w:val="28"/>
                        </w:rPr>
                        <w:t>法定代表人身份证</w:t>
                      </w:r>
                    </w:p>
                    <w:p w14:paraId="3C69D8E5">
                      <w:pPr>
                        <w:jc w:val="center"/>
                        <w:rPr>
                          <w:sz w:val="28"/>
                          <w:szCs w:val="28"/>
                        </w:rPr>
                      </w:pPr>
                      <w:r>
                        <w:rPr>
                          <w:rFonts w:hint="eastAsia" w:ascii="宋体" w:hAnsi="宋体"/>
                          <w:sz w:val="28"/>
                          <w:szCs w:val="28"/>
                        </w:rPr>
                        <w:t>（正面）</w:t>
                      </w:r>
                    </w:p>
                  </w:txbxContent>
                </v:textbox>
              </v:shape>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2522855</wp:posOffset>
                </wp:positionH>
                <wp:positionV relativeFrom="paragraph">
                  <wp:posOffset>197485</wp:posOffset>
                </wp:positionV>
                <wp:extent cx="2240915" cy="1086485"/>
                <wp:effectExtent l="4445" t="4445" r="21590" b="1397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3778250" y="6959600"/>
                          <a:ext cx="2240915" cy="1086485"/>
                        </a:xfrm>
                        <a:prstGeom prst="rect">
                          <a:avLst/>
                        </a:prstGeom>
                        <a:solidFill>
                          <a:srgbClr val="FFFFFF"/>
                        </a:solidFill>
                        <a:ln w="9525">
                          <a:solidFill>
                            <a:srgbClr val="000000"/>
                          </a:solidFill>
                          <a:prstDash val="dash"/>
                          <a:miter lim="800000"/>
                        </a:ln>
                        <a:effectLst/>
                      </wps:spPr>
                      <wps:txbx>
                        <w:txbxContent>
                          <w:p w14:paraId="4A828C0B">
                            <w:pPr>
                              <w:jc w:val="center"/>
                              <w:rPr>
                                <w:rFonts w:ascii="宋体"/>
                              </w:rPr>
                            </w:pPr>
                          </w:p>
                          <w:p w14:paraId="3D9B243B">
                            <w:pPr>
                              <w:jc w:val="center"/>
                              <w:rPr>
                                <w:rFonts w:ascii="宋体" w:hAnsi="宋体"/>
                                <w:sz w:val="28"/>
                                <w:szCs w:val="28"/>
                              </w:rPr>
                            </w:pPr>
                            <w:r>
                              <w:rPr>
                                <w:rFonts w:hint="eastAsia" w:ascii="宋体" w:hAnsi="宋体"/>
                                <w:sz w:val="28"/>
                                <w:szCs w:val="28"/>
                              </w:rPr>
                              <w:t>法定代表人身份证</w:t>
                            </w:r>
                          </w:p>
                          <w:p w14:paraId="16F6F47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98.65pt;margin-top:15.55pt;height:85.55pt;width:176.45pt;z-index:251665408;v-text-anchor:middle;mso-width-relative:page;mso-height-relative:page;" fillcolor="#FFFFFF" filled="t" stroked="t" coordsize="21600,21600" o:gfxdata="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14ePjXAAAACgEAAA8AAAAAAAAAAQAgAAAAIgAAAGRycy9kb3ducmV2LnhtbFBLAQIUABQA&#10;AAAIAIdO4kBXjYmvYwIAAL4EAAAOAAAAAAAAAAEAIAAAACYBAABkcnMvZTJvRG9jLnhtbFBLBQYA&#10;AAAABgAGAFkBAAD7BQAAAAA=&#10;">
                <v:fill on="t" focussize="0,0"/>
                <v:stroke color="#000000" miterlimit="8" joinstyle="miter" dashstyle="dash"/>
                <v:imagedata o:title=""/>
                <o:lock v:ext="edit" aspectratio="f"/>
                <v:textbox>
                  <w:txbxContent>
                    <w:p w14:paraId="4A828C0B">
                      <w:pPr>
                        <w:jc w:val="center"/>
                        <w:rPr>
                          <w:rFonts w:ascii="宋体"/>
                        </w:rPr>
                      </w:pPr>
                    </w:p>
                    <w:p w14:paraId="3D9B243B">
                      <w:pPr>
                        <w:jc w:val="center"/>
                        <w:rPr>
                          <w:rFonts w:ascii="宋体" w:hAnsi="宋体"/>
                          <w:sz w:val="28"/>
                          <w:szCs w:val="28"/>
                        </w:rPr>
                      </w:pPr>
                      <w:r>
                        <w:rPr>
                          <w:rFonts w:hint="eastAsia" w:ascii="宋体" w:hAnsi="宋体"/>
                          <w:sz w:val="28"/>
                          <w:szCs w:val="28"/>
                        </w:rPr>
                        <w:t>法定代表人身份证</w:t>
                      </w:r>
                    </w:p>
                    <w:p w14:paraId="16F6F473">
                      <w:pPr>
                        <w:jc w:val="center"/>
                        <w:rPr>
                          <w:sz w:val="28"/>
                          <w:szCs w:val="28"/>
                        </w:rPr>
                      </w:pPr>
                      <w:r>
                        <w:rPr>
                          <w:rFonts w:hint="eastAsia" w:ascii="宋体" w:hAnsi="宋体"/>
                          <w:sz w:val="28"/>
                          <w:szCs w:val="28"/>
                        </w:rPr>
                        <w:t>（反面）</w:t>
                      </w:r>
                    </w:p>
                  </w:txbxContent>
                </v:textbox>
              </v:shape>
            </w:pict>
          </mc:Fallback>
        </mc:AlternateContent>
      </w:r>
    </w:p>
    <w:p w14:paraId="4DAE9CB4">
      <w:pPr>
        <w:spacing w:line="360" w:lineRule="auto"/>
        <w:rPr>
          <w:rFonts w:hint="eastAsia" w:asciiTheme="minorEastAsia" w:hAnsiTheme="minorEastAsia" w:eastAsiaTheme="minorEastAsia" w:cstheme="minorEastAsia"/>
          <w:color w:val="auto"/>
          <w:sz w:val="24"/>
          <w:highlight w:val="none"/>
        </w:rPr>
      </w:pPr>
    </w:p>
    <w:p w14:paraId="67834C3F">
      <w:pPr>
        <w:spacing w:line="360" w:lineRule="auto"/>
        <w:rPr>
          <w:rFonts w:hint="eastAsia" w:asciiTheme="minorEastAsia" w:hAnsiTheme="minorEastAsia" w:eastAsiaTheme="minorEastAsia" w:cstheme="minorEastAsia"/>
          <w:color w:val="auto"/>
          <w:sz w:val="24"/>
          <w:highlight w:val="none"/>
        </w:rPr>
      </w:pPr>
    </w:p>
    <w:p w14:paraId="0EB2A303">
      <w:pPr>
        <w:spacing w:line="360" w:lineRule="auto"/>
        <w:rPr>
          <w:rFonts w:hint="eastAsia" w:asciiTheme="minorEastAsia" w:hAnsiTheme="minorEastAsia" w:eastAsiaTheme="minorEastAsia" w:cstheme="minorEastAsia"/>
          <w:color w:val="auto"/>
          <w:sz w:val="24"/>
          <w:highlight w:val="none"/>
        </w:rPr>
      </w:pPr>
    </w:p>
    <w:p w14:paraId="2FF0483D">
      <w:pPr>
        <w:spacing w:line="360" w:lineRule="auto"/>
        <w:rPr>
          <w:rFonts w:hint="eastAsia" w:asciiTheme="minorEastAsia" w:hAnsiTheme="minorEastAsia" w:eastAsiaTheme="minorEastAsia" w:cstheme="minorEastAsia"/>
          <w:color w:val="auto"/>
          <w:sz w:val="24"/>
          <w:highlight w:val="none"/>
        </w:rPr>
      </w:pPr>
    </w:p>
    <w:p w14:paraId="7EDD146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2564130</wp:posOffset>
                </wp:positionH>
                <wp:positionV relativeFrom="paragraph">
                  <wp:posOffset>289560</wp:posOffset>
                </wp:positionV>
                <wp:extent cx="2240915" cy="1081405"/>
                <wp:effectExtent l="4445" t="4445" r="21590" b="1905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1292860" y="6965315"/>
                          <a:ext cx="2240915" cy="1081405"/>
                        </a:xfrm>
                        <a:prstGeom prst="rect">
                          <a:avLst/>
                        </a:prstGeom>
                        <a:solidFill>
                          <a:srgbClr val="FFFFFF"/>
                        </a:solidFill>
                        <a:ln w="9525">
                          <a:solidFill>
                            <a:srgbClr val="000000"/>
                          </a:solidFill>
                          <a:prstDash val="dash"/>
                          <a:miter lim="800000"/>
                        </a:ln>
                        <a:effectLst/>
                      </wps:spPr>
                      <wps:txbx>
                        <w:txbxContent>
                          <w:p w14:paraId="03271FF5">
                            <w:pPr>
                              <w:jc w:val="center"/>
                              <w:rPr>
                                <w:rFonts w:ascii="宋体"/>
                              </w:rPr>
                            </w:pPr>
                          </w:p>
                          <w:p w14:paraId="6A759255">
                            <w:pPr>
                              <w:jc w:val="center"/>
                              <w:rPr>
                                <w:rFonts w:ascii="宋体" w:hAnsi="宋体"/>
                                <w:sz w:val="28"/>
                                <w:szCs w:val="28"/>
                              </w:rPr>
                            </w:pPr>
                            <w:r>
                              <w:rPr>
                                <w:rFonts w:hint="eastAsia" w:ascii="宋体" w:hAnsi="宋体"/>
                                <w:sz w:val="28"/>
                                <w:szCs w:val="28"/>
                              </w:rPr>
                              <w:t>授权代表身份证</w:t>
                            </w:r>
                          </w:p>
                          <w:p w14:paraId="0705EF5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01.9pt;margin-top:22.8pt;height:85.15pt;width:176.45pt;z-index:251663360;v-text-anchor:middle;mso-width-relative:page;mso-height-relative:page;" fillcolor="#FFFFFF" filled="t" stroked="t" coordsize="21600,21600" o:gfxdata="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IiYsTYAAAACgEAAA8AAAAAAAAAAQAgAAAAIgAAAGRycy9kb3ducmV2LnhtbFBLAQIUABQAAAAI&#10;AIdO4kBuQe7iXwIAALwEAAAOAAAAAAAAAAEAIAAAACcBAABkcnMvZTJvRG9jLnhtbFBLBQYAAAAA&#10;BgAGAFkBAAD4BQAAAAA=&#10;">
                <v:fill on="t" focussize="0,0"/>
                <v:stroke color="#000000" miterlimit="8" joinstyle="miter" dashstyle="dash"/>
                <v:imagedata o:title=""/>
                <o:lock v:ext="edit" aspectratio="f"/>
                <v:textbox>
                  <w:txbxContent>
                    <w:p w14:paraId="03271FF5">
                      <w:pPr>
                        <w:jc w:val="center"/>
                        <w:rPr>
                          <w:rFonts w:ascii="宋体"/>
                        </w:rPr>
                      </w:pPr>
                    </w:p>
                    <w:p w14:paraId="6A759255">
                      <w:pPr>
                        <w:jc w:val="center"/>
                        <w:rPr>
                          <w:rFonts w:ascii="宋体" w:hAnsi="宋体"/>
                          <w:sz w:val="28"/>
                          <w:szCs w:val="28"/>
                        </w:rPr>
                      </w:pPr>
                      <w:r>
                        <w:rPr>
                          <w:rFonts w:hint="eastAsia" w:ascii="宋体" w:hAnsi="宋体"/>
                          <w:sz w:val="28"/>
                          <w:szCs w:val="28"/>
                        </w:rPr>
                        <w:t>授权代表身份证</w:t>
                      </w:r>
                    </w:p>
                    <w:p w14:paraId="0705EF57">
                      <w:pPr>
                        <w:jc w:val="center"/>
                        <w:rPr>
                          <w:sz w:val="28"/>
                          <w:szCs w:val="28"/>
                        </w:rPr>
                      </w:pPr>
                      <w:r>
                        <w:rPr>
                          <w:rFonts w:hint="eastAsia" w:ascii="宋体" w:hAnsi="宋体"/>
                          <w:sz w:val="28"/>
                          <w:szCs w:val="28"/>
                        </w:rPr>
                        <w:t>（反面）</w:t>
                      </w:r>
                    </w:p>
                  </w:txbxContent>
                </v:textbox>
              </v:shape>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125730</wp:posOffset>
                </wp:positionH>
                <wp:positionV relativeFrom="paragraph">
                  <wp:posOffset>280035</wp:posOffset>
                </wp:positionV>
                <wp:extent cx="2240915" cy="1081405"/>
                <wp:effectExtent l="4445" t="4445" r="21590" b="1905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1292860" y="6965315"/>
                          <a:ext cx="2240915" cy="1081405"/>
                        </a:xfrm>
                        <a:prstGeom prst="rect">
                          <a:avLst/>
                        </a:prstGeom>
                        <a:solidFill>
                          <a:srgbClr val="FFFFFF"/>
                        </a:solidFill>
                        <a:ln w="9525">
                          <a:solidFill>
                            <a:srgbClr val="000000"/>
                          </a:solidFill>
                          <a:prstDash val="dash"/>
                          <a:miter lim="800000"/>
                        </a:ln>
                        <a:effectLst/>
                      </wps:spPr>
                      <wps:txbx>
                        <w:txbxContent>
                          <w:p w14:paraId="01DD007F">
                            <w:pPr>
                              <w:jc w:val="center"/>
                              <w:rPr>
                                <w:rFonts w:ascii="宋体"/>
                              </w:rPr>
                            </w:pPr>
                          </w:p>
                          <w:p w14:paraId="786E8E5A">
                            <w:pPr>
                              <w:jc w:val="center"/>
                              <w:rPr>
                                <w:rFonts w:ascii="宋体" w:hAnsi="宋体"/>
                                <w:sz w:val="28"/>
                                <w:szCs w:val="28"/>
                              </w:rPr>
                            </w:pPr>
                            <w:r>
                              <w:rPr>
                                <w:rFonts w:hint="eastAsia" w:ascii="宋体" w:hAnsi="宋体"/>
                                <w:sz w:val="28"/>
                                <w:szCs w:val="28"/>
                              </w:rPr>
                              <w:t>授权代表身份证</w:t>
                            </w:r>
                          </w:p>
                          <w:p w14:paraId="5A96B24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9pt;margin-top:22.05pt;height:85.15pt;width:176.45pt;z-index:251662336;v-text-anchor:middle;mso-width-relative:page;mso-height-relative:page;" fillcolor="#FFFFFF" filled="t" stroked="t" coordsize="21600,21600" o:gfxdata="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G/&#10;35rVAAAACQEAAA8AAAAAAAAAAQAgAAAAIgAAAGRycy9kb3ducmV2LnhtbFBLAQIUABQAAAAIAIdO&#10;4kDqFMACXwIAAL4EAAAOAAAAAAAAAAEAIAAAACQBAABkcnMvZTJvRG9jLnhtbFBLBQYAAAAABgAG&#10;AFkBAAD1BQAAAAA=&#10;">
                <v:fill on="t" focussize="0,0"/>
                <v:stroke color="#000000" miterlimit="8" joinstyle="miter" dashstyle="dash"/>
                <v:imagedata o:title=""/>
                <o:lock v:ext="edit" aspectratio="f"/>
                <v:textbox>
                  <w:txbxContent>
                    <w:p w14:paraId="01DD007F">
                      <w:pPr>
                        <w:jc w:val="center"/>
                        <w:rPr>
                          <w:rFonts w:ascii="宋体"/>
                        </w:rPr>
                      </w:pPr>
                    </w:p>
                    <w:p w14:paraId="786E8E5A">
                      <w:pPr>
                        <w:jc w:val="center"/>
                        <w:rPr>
                          <w:rFonts w:ascii="宋体" w:hAnsi="宋体"/>
                          <w:sz w:val="28"/>
                          <w:szCs w:val="28"/>
                        </w:rPr>
                      </w:pPr>
                      <w:r>
                        <w:rPr>
                          <w:rFonts w:hint="eastAsia" w:ascii="宋体" w:hAnsi="宋体"/>
                          <w:sz w:val="28"/>
                          <w:szCs w:val="28"/>
                        </w:rPr>
                        <w:t>授权代表身份证</w:t>
                      </w:r>
                    </w:p>
                    <w:p w14:paraId="5A96B24C">
                      <w:pPr>
                        <w:jc w:val="center"/>
                        <w:rPr>
                          <w:sz w:val="28"/>
                          <w:szCs w:val="28"/>
                        </w:rPr>
                      </w:pPr>
                      <w:r>
                        <w:rPr>
                          <w:rFonts w:hint="eastAsia" w:ascii="宋体" w:hAnsi="宋体"/>
                          <w:sz w:val="28"/>
                          <w:szCs w:val="28"/>
                        </w:rPr>
                        <w:t>（正面）</w:t>
                      </w:r>
                    </w:p>
                  </w:txbxContent>
                </v:textbox>
              </v:shape>
            </w:pict>
          </mc:Fallback>
        </mc:AlternateContent>
      </w:r>
    </w:p>
    <w:p w14:paraId="122FC9B2">
      <w:pPr>
        <w:spacing w:line="360" w:lineRule="auto"/>
        <w:jc w:val="center"/>
        <w:rPr>
          <w:rFonts w:hint="eastAsia" w:asciiTheme="minorEastAsia" w:hAnsiTheme="minorEastAsia" w:eastAsiaTheme="minorEastAsia" w:cstheme="minorEastAsia"/>
          <w:color w:val="auto"/>
          <w:sz w:val="24"/>
          <w:highlight w:val="none"/>
        </w:rPr>
      </w:pPr>
    </w:p>
    <w:p w14:paraId="77C8C8AE">
      <w:pPr>
        <w:spacing w:line="360" w:lineRule="auto"/>
        <w:jc w:val="center"/>
        <w:rPr>
          <w:rFonts w:hint="eastAsia" w:asciiTheme="minorEastAsia" w:hAnsiTheme="minorEastAsia" w:eastAsiaTheme="minorEastAsia" w:cstheme="minorEastAsia"/>
          <w:color w:val="auto"/>
          <w:sz w:val="24"/>
          <w:highlight w:val="none"/>
        </w:rPr>
      </w:pPr>
    </w:p>
    <w:p w14:paraId="003172E7">
      <w:pPr>
        <w:spacing w:line="360" w:lineRule="auto"/>
        <w:jc w:val="center"/>
        <w:rPr>
          <w:rFonts w:hint="eastAsia" w:asciiTheme="minorEastAsia" w:hAnsiTheme="minorEastAsia" w:eastAsiaTheme="minorEastAsia" w:cstheme="minorEastAsia"/>
          <w:color w:val="auto"/>
          <w:sz w:val="24"/>
          <w:highlight w:val="none"/>
        </w:rPr>
      </w:pPr>
    </w:p>
    <w:p w14:paraId="180D6AA7">
      <w:pPr>
        <w:spacing w:line="360" w:lineRule="auto"/>
        <w:jc w:val="center"/>
        <w:rPr>
          <w:rFonts w:hint="eastAsia" w:asciiTheme="minorEastAsia" w:hAnsiTheme="minorEastAsia" w:eastAsiaTheme="minorEastAsia" w:cstheme="minorEastAsia"/>
          <w:color w:val="auto"/>
          <w:sz w:val="24"/>
          <w:highlight w:val="none"/>
        </w:rPr>
      </w:pPr>
    </w:p>
    <w:p w14:paraId="5294C207">
      <w:pPr>
        <w:spacing w:line="360" w:lineRule="auto"/>
        <w:jc w:val="center"/>
        <w:rPr>
          <w:rFonts w:hint="eastAsia" w:asciiTheme="minorEastAsia" w:hAnsiTheme="minorEastAsia" w:eastAsiaTheme="minorEastAsia" w:cstheme="minorEastAsia"/>
          <w:color w:val="auto"/>
          <w:sz w:val="24"/>
          <w:highlight w:val="none"/>
        </w:rPr>
      </w:pPr>
    </w:p>
    <w:p w14:paraId="5D5ACC5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投标人名称（盖章）：</w:t>
      </w:r>
    </w:p>
    <w:p w14:paraId="2056209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法定代表人（签字或盖章）：</w:t>
      </w:r>
    </w:p>
    <w:p w14:paraId="7EB05488">
      <w:pPr>
        <w:spacing w:line="360" w:lineRule="auto"/>
        <w:ind w:firstLine="3120" w:firstLineChars="1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w:t>
      </w:r>
    </w:p>
    <w:p w14:paraId="672A89B5">
      <w:pPr>
        <w:spacing w:line="360" w:lineRule="auto"/>
        <w:jc w:val="center"/>
        <w:rPr>
          <w:rFonts w:hint="eastAsia" w:asciiTheme="minorEastAsia" w:hAnsiTheme="minorEastAsia" w:eastAsiaTheme="minorEastAsia" w:cstheme="minorEastAsia"/>
          <w:color w:val="auto"/>
          <w:sz w:val="24"/>
          <w:highlight w:val="none"/>
        </w:rPr>
      </w:pPr>
    </w:p>
    <w:p w14:paraId="44FB761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     年     月    日</w:t>
      </w:r>
    </w:p>
    <w:p w14:paraId="58A4B035">
      <w:pP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br w:type="page"/>
      </w:r>
    </w:p>
    <w:p w14:paraId="22FAD832">
      <w:pPr>
        <w:rPr>
          <w:rFonts w:hint="eastAsia" w:asciiTheme="minorEastAsia" w:hAnsiTheme="minorEastAsia" w:eastAsiaTheme="minorEastAsia" w:cstheme="minorEastAsia"/>
          <w:color w:val="auto"/>
          <w:highlight w:val="none"/>
        </w:rPr>
      </w:pPr>
    </w:p>
    <w:p w14:paraId="273AF72D">
      <w:pPr>
        <w:pStyle w:val="12"/>
        <w:snapToGrid/>
        <w:spacing w:line="360" w:lineRule="auto"/>
        <w:jc w:val="center"/>
        <w:outlineLvl w:val="1"/>
        <w:rPr>
          <w:rFonts w:ascii="宋体" w:hAnsi="宋体" w:eastAsia="宋体" w:cs="宋体"/>
          <w:b/>
          <w:bCs/>
          <w:color w:val="auto"/>
          <w:szCs w:val="24"/>
          <w:highlight w:val="none"/>
        </w:rPr>
      </w:pPr>
      <w:bookmarkStart w:id="149" w:name="_Toc217446088"/>
      <w:r>
        <w:rPr>
          <w:rFonts w:hint="eastAsia" w:ascii="宋体" w:hAnsi="宋体" w:eastAsia="宋体" w:cs="宋体"/>
          <w:b/>
          <w:bCs/>
          <w:color w:val="auto"/>
          <w:szCs w:val="24"/>
          <w:highlight w:val="none"/>
          <w:lang w:val="en-US" w:eastAsia="zh-CN"/>
        </w:rPr>
        <w:t>四</w:t>
      </w:r>
      <w:r>
        <w:rPr>
          <w:rFonts w:hint="eastAsia" w:ascii="宋体" w:hAnsi="宋体" w:eastAsia="宋体" w:cs="宋体"/>
          <w:b/>
          <w:bCs/>
          <w:color w:val="auto"/>
          <w:szCs w:val="24"/>
          <w:highlight w:val="none"/>
        </w:rPr>
        <w:t>、</w:t>
      </w:r>
      <w:r>
        <w:rPr>
          <w:rFonts w:hint="eastAsia" w:ascii="宋体" w:hAnsi="宋体" w:eastAsia="宋体" w:cs="宋体"/>
          <w:b/>
          <w:bCs/>
          <w:color w:val="auto"/>
          <w:highlight w:val="none"/>
        </w:rPr>
        <w:t>投标人</w:t>
      </w:r>
      <w:r>
        <w:rPr>
          <w:rFonts w:hint="eastAsia" w:ascii="宋体" w:hAnsi="宋体" w:eastAsia="宋体" w:cs="宋体"/>
          <w:b/>
          <w:bCs/>
          <w:color w:val="auto"/>
          <w:szCs w:val="24"/>
          <w:highlight w:val="none"/>
        </w:rPr>
        <w:t>基本情况表</w:t>
      </w:r>
      <w:bookmarkEnd w:id="149"/>
    </w:p>
    <w:tbl>
      <w:tblPr>
        <w:tblStyle w:val="33"/>
        <w:tblW w:w="0" w:type="auto"/>
        <w:jc w:val="center"/>
        <w:tblLayout w:type="fixed"/>
        <w:tblCellMar>
          <w:top w:w="0" w:type="dxa"/>
          <w:left w:w="108" w:type="dxa"/>
          <w:bottom w:w="0" w:type="dxa"/>
          <w:right w:w="108" w:type="dxa"/>
        </w:tblCellMar>
      </w:tblPr>
      <w:tblGrid>
        <w:gridCol w:w="1581"/>
        <w:gridCol w:w="1000"/>
        <w:gridCol w:w="2847"/>
        <w:gridCol w:w="1537"/>
        <w:gridCol w:w="2139"/>
      </w:tblGrid>
      <w:tr w14:paraId="3E04D168">
        <w:tblPrEx>
          <w:tblCellMar>
            <w:top w:w="0" w:type="dxa"/>
            <w:left w:w="108" w:type="dxa"/>
            <w:bottom w:w="0" w:type="dxa"/>
            <w:right w:w="108" w:type="dxa"/>
          </w:tblCellMar>
        </w:tblPrEx>
        <w:trPr>
          <w:trHeight w:val="945" w:hRule="atLeast"/>
          <w:jc w:val="center"/>
        </w:trPr>
        <w:tc>
          <w:tcPr>
            <w:tcW w:w="1581" w:type="dxa"/>
            <w:tcBorders>
              <w:top w:val="single" w:color="auto" w:sz="4" w:space="0"/>
              <w:left w:val="single" w:color="auto" w:sz="4" w:space="0"/>
              <w:bottom w:val="single" w:color="auto" w:sz="4" w:space="0"/>
              <w:right w:val="single" w:color="auto" w:sz="4" w:space="0"/>
            </w:tcBorders>
            <w:noWrap/>
            <w:vAlign w:val="center"/>
          </w:tcPr>
          <w:p w14:paraId="1E54C46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投标人名称</w:t>
            </w:r>
          </w:p>
        </w:tc>
        <w:tc>
          <w:tcPr>
            <w:tcW w:w="7523" w:type="dxa"/>
            <w:gridSpan w:val="4"/>
            <w:tcBorders>
              <w:top w:val="single" w:color="auto" w:sz="4" w:space="0"/>
              <w:left w:val="nil"/>
              <w:bottom w:val="single" w:color="auto" w:sz="4" w:space="0"/>
              <w:right w:val="single" w:color="auto" w:sz="4" w:space="0"/>
            </w:tcBorders>
            <w:noWrap/>
            <w:vAlign w:val="center"/>
          </w:tcPr>
          <w:p w14:paraId="6A5EEB1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74FB53BF">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3B88F67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注册地址</w:t>
            </w:r>
          </w:p>
        </w:tc>
        <w:tc>
          <w:tcPr>
            <w:tcW w:w="3847" w:type="dxa"/>
            <w:gridSpan w:val="2"/>
            <w:tcBorders>
              <w:top w:val="single" w:color="auto" w:sz="4" w:space="0"/>
              <w:left w:val="nil"/>
              <w:bottom w:val="single" w:color="auto" w:sz="4" w:space="0"/>
              <w:right w:val="single" w:color="000000" w:sz="4" w:space="0"/>
            </w:tcBorders>
            <w:noWrap/>
            <w:vAlign w:val="center"/>
          </w:tcPr>
          <w:p w14:paraId="685837A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7301815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邮政编码</w:t>
            </w:r>
          </w:p>
        </w:tc>
        <w:tc>
          <w:tcPr>
            <w:tcW w:w="2139" w:type="dxa"/>
            <w:tcBorders>
              <w:top w:val="nil"/>
              <w:left w:val="nil"/>
              <w:bottom w:val="single" w:color="auto" w:sz="4" w:space="0"/>
              <w:right w:val="single" w:color="auto" w:sz="4" w:space="0"/>
            </w:tcBorders>
            <w:noWrap/>
            <w:vAlign w:val="center"/>
          </w:tcPr>
          <w:p w14:paraId="2A12E3D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6F16AB1F">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3FF8990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成立时间</w:t>
            </w:r>
          </w:p>
        </w:tc>
        <w:tc>
          <w:tcPr>
            <w:tcW w:w="3847" w:type="dxa"/>
            <w:gridSpan w:val="2"/>
            <w:tcBorders>
              <w:top w:val="single" w:color="auto" w:sz="4" w:space="0"/>
              <w:left w:val="nil"/>
              <w:bottom w:val="single" w:color="auto" w:sz="4" w:space="0"/>
              <w:right w:val="single" w:color="000000" w:sz="4" w:space="0"/>
            </w:tcBorders>
            <w:noWrap/>
            <w:vAlign w:val="center"/>
          </w:tcPr>
          <w:p w14:paraId="215999E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2910E36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企业性质</w:t>
            </w:r>
          </w:p>
        </w:tc>
        <w:tc>
          <w:tcPr>
            <w:tcW w:w="2139" w:type="dxa"/>
            <w:tcBorders>
              <w:top w:val="nil"/>
              <w:left w:val="nil"/>
              <w:bottom w:val="single" w:color="auto" w:sz="4" w:space="0"/>
              <w:right w:val="single" w:color="auto" w:sz="4" w:space="0"/>
            </w:tcBorders>
            <w:noWrap/>
            <w:vAlign w:val="center"/>
          </w:tcPr>
          <w:p w14:paraId="086C673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085724F2">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6549795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社会统一信用代码</w:t>
            </w:r>
          </w:p>
        </w:tc>
        <w:tc>
          <w:tcPr>
            <w:tcW w:w="3847" w:type="dxa"/>
            <w:gridSpan w:val="2"/>
            <w:tcBorders>
              <w:top w:val="single" w:color="auto" w:sz="4" w:space="0"/>
              <w:left w:val="nil"/>
              <w:bottom w:val="single" w:color="auto" w:sz="4" w:space="0"/>
              <w:right w:val="single" w:color="000000" w:sz="4" w:space="0"/>
            </w:tcBorders>
            <w:noWrap/>
            <w:vAlign w:val="center"/>
          </w:tcPr>
          <w:p w14:paraId="379A6FC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78333B0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注册资金</w:t>
            </w:r>
          </w:p>
        </w:tc>
        <w:tc>
          <w:tcPr>
            <w:tcW w:w="2139" w:type="dxa"/>
            <w:tcBorders>
              <w:top w:val="nil"/>
              <w:left w:val="nil"/>
              <w:bottom w:val="single" w:color="auto" w:sz="4" w:space="0"/>
              <w:right w:val="single" w:color="auto" w:sz="4" w:space="0"/>
            </w:tcBorders>
            <w:noWrap/>
            <w:vAlign w:val="center"/>
          </w:tcPr>
          <w:p w14:paraId="2E8272D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60E1A337">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647AF88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法定代表人</w:t>
            </w:r>
          </w:p>
        </w:tc>
        <w:tc>
          <w:tcPr>
            <w:tcW w:w="1000" w:type="dxa"/>
            <w:tcBorders>
              <w:top w:val="nil"/>
              <w:left w:val="nil"/>
              <w:bottom w:val="single" w:color="auto" w:sz="4" w:space="0"/>
              <w:right w:val="single" w:color="auto" w:sz="4" w:space="0"/>
            </w:tcBorders>
            <w:noWrap/>
            <w:vAlign w:val="center"/>
          </w:tcPr>
          <w:p w14:paraId="091D782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姓名</w:t>
            </w:r>
          </w:p>
        </w:tc>
        <w:tc>
          <w:tcPr>
            <w:tcW w:w="2847" w:type="dxa"/>
            <w:tcBorders>
              <w:top w:val="nil"/>
              <w:left w:val="nil"/>
              <w:bottom w:val="single" w:color="auto" w:sz="4" w:space="0"/>
              <w:right w:val="single" w:color="auto" w:sz="4" w:space="0"/>
            </w:tcBorders>
            <w:noWrap/>
            <w:vAlign w:val="center"/>
          </w:tcPr>
          <w:p w14:paraId="6457326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6DD1C17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电话</w:t>
            </w:r>
          </w:p>
        </w:tc>
        <w:tc>
          <w:tcPr>
            <w:tcW w:w="2139" w:type="dxa"/>
            <w:tcBorders>
              <w:top w:val="nil"/>
              <w:left w:val="nil"/>
              <w:bottom w:val="single" w:color="auto" w:sz="4" w:space="0"/>
              <w:right w:val="single" w:color="auto" w:sz="4" w:space="0"/>
            </w:tcBorders>
            <w:noWrap/>
            <w:vAlign w:val="center"/>
          </w:tcPr>
          <w:p w14:paraId="0EAAABC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212C98FD">
        <w:tblPrEx>
          <w:tblCellMar>
            <w:top w:w="0" w:type="dxa"/>
            <w:left w:w="108" w:type="dxa"/>
            <w:bottom w:w="0" w:type="dxa"/>
            <w:right w:w="108" w:type="dxa"/>
          </w:tblCellMar>
        </w:tblPrEx>
        <w:trPr>
          <w:trHeight w:val="945" w:hRule="atLeast"/>
          <w:jc w:val="center"/>
        </w:trPr>
        <w:tc>
          <w:tcPr>
            <w:tcW w:w="1581" w:type="dxa"/>
            <w:vMerge w:val="restart"/>
            <w:tcBorders>
              <w:top w:val="nil"/>
              <w:left w:val="single" w:color="auto" w:sz="4" w:space="0"/>
              <w:bottom w:val="single" w:color="auto" w:sz="4" w:space="0"/>
              <w:right w:val="single" w:color="auto" w:sz="4" w:space="0"/>
            </w:tcBorders>
            <w:noWrap/>
            <w:vAlign w:val="center"/>
          </w:tcPr>
          <w:p w14:paraId="5BA8DC4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联系方式</w:t>
            </w:r>
          </w:p>
        </w:tc>
        <w:tc>
          <w:tcPr>
            <w:tcW w:w="1000" w:type="dxa"/>
            <w:tcBorders>
              <w:top w:val="nil"/>
              <w:left w:val="nil"/>
              <w:bottom w:val="single" w:color="auto" w:sz="4" w:space="0"/>
              <w:right w:val="single" w:color="auto" w:sz="4" w:space="0"/>
            </w:tcBorders>
            <w:noWrap/>
            <w:vAlign w:val="center"/>
          </w:tcPr>
          <w:p w14:paraId="7B14203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联系人</w:t>
            </w:r>
          </w:p>
        </w:tc>
        <w:tc>
          <w:tcPr>
            <w:tcW w:w="2847" w:type="dxa"/>
            <w:tcBorders>
              <w:top w:val="single" w:color="auto" w:sz="4" w:space="0"/>
              <w:left w:val="nil"/>
              <w:bottom w:val="single" w:color="auto" w:sz="4" w:space="0"/>
              <w:right w:val="single" w:color="000000" w:sz="4" w:space="0"/>
            </w:tcBorders>
            <w:noWrap/>
            <w:vAlign w:val="center"/>
          </w:tcPr>
          <w:p w14:paraId="2C95B7C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6A9C9D0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电话</w:t>
            </w:r>
          </w:p>
        </w:tc>
        <w:tc>
          <w:tcPr>
            <w:tcW w:w="2139" w:type="dxa"/>
            <w:tcBorders>
              <w:top w:val="nil"/>
              <w:left w:val="nil"/>
              <w:bottom w:val="single" w:color="auto" w:sz="4" w:space="0"/>
              <w:right w:val="single" w:color="auto" w:sz="4" w:space="0"/>
            </w:tcBorders>
            <w:noWrap/>
            <w:vAlign w:val="center"/>
          </w:tcPr>
          <w:p w14:paraId="3606333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00F321B3">
        <w:tblPrEx>
          <w:tblCellMar>
            <w:top w:w="0" w:type="dxa"/>
            <w:left w:w="108" w:type="dxa"/>
            <w:bottom w:w="0" w:type="dxa"/>
            <w:right w:w="108" w:type="dxa"/>
          </w:tblCellMar>
        </w:tblPrEx>
        <w:trPr>
          <w:trHeight w:val="945" w:hRule="atLeast"/>
          <w:jc w:val="center"/>
        </w:trPr>
        <w:tc>
          <w:tcPr>
            <w:tcW w:w="1581" w:type="dxa"/>
            <w:vMerge w:val="continue"/>
            <w:tcBorders>
              <w:top w:val="nil"/>
              <w:left w:val="single" w:color="auto" w:sz="4" w:space="0"/>
              <w:bottom w:val="single" w:color="auto" w:sz="4" w:space="0"/>
              <w:right w:val="single" w:color="auto" w:sz="4" w:space="0"/>
            </w:tcBorders>
            <w:noWrap/>
            <w:vAlign w:val="center"/>
          </w:tcPr>
          <w:p w14:paraId="5AA201A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000" w:type="dxa"/>
            <w:tcBorders>
              <w:top w:val="nil"/>
              <w:left w:val="nil"/>
              <w:bottom w:val="single" w:color="auto" w:sz="4" w:space="0"/>
              <w:right w:val="single" w:color="auto" w:sz="4" w:space="0"/>
            </w:tcBorders>
            <w:noWrap/>
            <w:vAlign w:val="center"/>
          </w:tcPr>
          <w:p w14:paraId="0165FE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邮箱</w:t>
            </w:r>
          </w:p>
        </w:tc>
        <w:tc>
          <w:tcPr>
            <w:tcW w:w="2847" w:type="dxa"/>
            <w:tcBorders>
              <w:top w:val="single" w:color="auto" w:sz="4" w:space="0"/>
              <w:left w:val="nil"/>
              <w:bottom w:val="single" w:color="auto" w:sz="4" w:space="0"/>
              <w:right w:val="single" w:color="000000" w:sz="4" w:space="0"/>
            </w:tcBorders>
            <w:noWrap/>
            <w:vAlign w:val="center"/>
          </w:tcPr>
          <w:p w14:paraId="16F9DF9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338DFAC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网址</w:t>
            </w:r>
          </w:p>
        </w:tc>
        <w:tc>
          <w:tcPr>
            <w:tcW w:w="2139" w:type="dxa"/>
            <w:tcBorders>
              <w:top w:val="nil"/>
              <w:left w:val="nil"/>
              <w:bottom w:val="single" w:color="auto" w:sz="4" w:space="0"/>
              <w:right w:val="single" w:color="auto" w:sz="4" w:space="0"/>
            </w:tcBorders>
            <w:noWrap/>
            <w:vAlign w:val="center"/>
          </w:tcPr>
          <w:p w14:paraId="5DE7C24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123CADE">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149278B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开户银行</w:t>
            </w:r>
          </w:p>
        </w:tc>
        <w:tc>
          <w:tcPr>
            <w:tcW w:w="3847" w:type="dxa"/>
            <w:gridSpan w:val="2"/>
            <w:tcBorders>
              <w:top w:val="single" w:color="auto" w:sz="4" w:space="0"/>
              <w:left w:val="nil"/>
              <w:bottom w:val="single" w:color="auto" w:sz="4" w:space="0"/>
              <w:right w:val="single" w:color="000000" w:sz="4" w:space="0"/>
            </w:tcBorders>
            <w:noWrap/>
            <w:vAlign w:val="center"/>
          </w:tcPr>
          <w:p w14:paraId="08D5FD3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37" w:type="dxa"/>
            <w:tcBorders>
              <w:top w:val="nil"/>
              <w:left w:val="nil"/>
              <w:bottom w:val="single" w:color="auto" w:sz="4" w:space="0"/>
              <w:right w:val="single" w:color="auto" w:sz="4" w:space="0"/>
            </w:tcBorders>
            <w:noWrap/>
            <w:vAlign w:val="center"/>
          </w:tcPr>
          <w:p w14:paraId="0AF6B99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账号</w:t>
            </w:r>
          </w:p>
        </w:tc>
        <w:tc>
          <w:tcPr>
            <w:tcW w:w="2139" w:type="dxa"/>
            <w:tcBorders>
              <w:top w:val="nil"/>
              <w:left w:val="nil"/>
              <w:bottom w:val="single" w:color="auto" w:sz="4" w:space="0"/>
              <w:right w:val="single" w:color="auto" w:sz="4" w:space="0"/>
            </w:tcBorders>
            <w:noWrap/>
            <w:vAlign w:val="center"/>
          </w:tcPr>
          <w:p w14:paraId="37BE5F6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7C9A3A69">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1821D99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经营范围</w:t>
            </w:r>
          </w:p>
        </w:tc>
        <w:tc>
          <w:tcPr>
            <w:tcW w:w="7523" w:type="dxa"/>
            <w:gridSpan w:val="4"/>
            <w:tcBorders>
              <w:top w:val="single" w:color="auto" w:sz="4" w:space="0"/>
              <w:left w:val="nil"/>
              <w:bottom w:val="single" w:color="auto" w:sz="4" w:space="0"/>
              <w:right w:val="single" w:color="000000" w:sz="4" w:space="0"/>
            </w:tcBorders>
            <w:noWrap/>
            <w:vAlign w:val="center"/>
          </w:tcPr>
          <w:p w14:paraId="6AD76AF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60DAE869">
        <w:tblPrEx>
          <w:tblCellMar>
            <w:top w:w="0" w:type="dxa"/>
            <w:left w:w="108" w:type="dxa"/>
            <w:bottom w:w="0" w:type="dxa"/>
            <w:right w:w="108" w:type="dxa"/>
          </w:tblCellMar>
        </w:tblPrEx>
        <w:trPr>
          <w:trHeight w:val="945" w:hRule="atLeast"/>
          <w:jc w:val="center"/>
        </w:trPr>
        <w:tc>
          <w:tcPr>
            <w:tcW w:w="1581" w:type="dxa"/>
            <w:tcBorders>
              <w:top w:val="nil"/>
              <w:left w:val="single" w:color="auto" w:sz="4" w:space="0"/>
              <w:bottom w:val="single" w:color="auto" w:sz="4" w:space="0"/>
              <w:right w:val="single" w:color="auto" w:sz="4" w:space="0"/>
            </w:tcBorders>
            <w:noWrap/>
            <w:vAlign w:val="center"/>
          </w:tcPr>
          <w:p w14:paraId="76D215F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c>
          <w:tcPr>
            <w:tcW w:w="7523" w:type="dxa"/>
            <w:gridSpan w:val="4"/>
            <w:tcBorders>
              <w:top w:val="single" w:color="auto" w:sz="4" w:space="0"/>
              <w:left w:val="nil"/>
              <w:bottom w:val="single" w:color="auto" w:sz="4" w:space="0"/>
              <w:right w:val="single" w:color="000000" w:sz="4" w:space="0"/>
            </w:tcBorders>
            <w:noWrap/>
            <w:vAlign w:val="center"/>
          </w:tcPr>
          <w:p w14:paraId="41390F2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bl>
    <w:p w14:paraId="2AB9F8F6">
      <w:pPr>
        <w:adjustRightInd w:val="0"/>
        <w:spacing w:line="360" w:lineRule="auto"/>
        <w:jc w:val="left"/>
        <w:rPr>
          <w:rFonts w:ascii="宋体" w:hAnsi="宋体" w:cs="宋体"/>
          <w:color w:val="auto"/>
          <w:sz w:val="24"/>
          <w:highlight w:val="none"/>
        </w:rPr>
      </w:pPr>
      <w:r>
        <w:rPr>
          <w:rFonts w:hint="eastAsia" w:ascii="宋体" w:hAnsi="宋体" w:cs="宋体"/>
          <w:bCs/>
          <w:color w:val="auto"/>
          <w:sz w:val="24"/>
          <w:highlight w:val="none"/>
        </w:rPr>
        <w:t>备注：1、</w:t>
      </w:r>
      <w:r>
        <w:rPr>
          <w:rFonts w:hint="eastAsia" w:ascii="宋体" w:hAnsi="宋体" w:cs="宋体"/>
          <w:color w:val="auto"/>
          <w:sz w:val="24"/>
          <w:highlight w:val="none"/>
        </w:rPr>
        <w:t>后附营业执照、设备或设施的购置发票、社保、纳税、</w:t>
      </w:r>
      <w:r>
        <w:rPr>
          <w:rFonts w:hint="eastAsia" w:asciiTheme="minorEastAsia" w:hAnsiTheme="minorEastAsia" w:eastAsiaTheme="minorEastAsia" w:cstheme="minorEastAsia"/>
          <w:color w:val="auto"/>
          <w:sz w:val="24"/>
          <w:highlight w:val="none"/>
        </w:rPr>
        <w:t>银行出具的近6个月内任意</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个月银行资信证明或</w:t>
      </w:r>
      <w:r>
        <w:rPr>
          <w:rFonts w:hint="eastAsia" w:asciiTheme="minorEastAsia" w:hAnsiTheme="minorEastAsia" w:eastAsiaTheme="minorEastAsia" w:cstheme="minorEastAsia"/>
          <w:color w:val="auto"/>
          <w:sz w:val="24"/>
          <w:highlight w:val="none"/>
          <w:lang w:val="en-US" w:eastAsia="zh-CN"/>
        </w:rPr>
        <w:t>上一年度</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2024年度或2025年度</w:t>
      </w:r>
      <w:r>
        <w:rPr>
          <w:rFonts w:hint="eastAsia" w:asciiTheme="minorEastAsia" w:hAnsiTheme="minorEastAsia" w:eastAsiaTheme="minorEastAsia" w:cstheme="minorEastAsia"/>
          <w:color w:val="auto"/>
          <w:sz w:val="24"/>
          <w:highlight w:val="none"/>
        </w:rPr>
        <w:t>）经审计的审计报告</w:t>
      </w:r>
      <w:r>
        <w:rPr>
          <w:rFonts w:hint="eastAsia" w:ascii="宋体" w:hAnsi="宋体" w:cs="宋体"/>
          <w:color w:val="auto"/>
          <w:sz w:val="24"/>
          <w:highlight w:val="none"/>
        </w:rPr>
        <w:t>。</w:t>
      </w:r>
    </w:p>
    <w:p w14:paraId="63813B3F">
      <w:pPr>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承诺等资格审查相关资料。</w:t>
      </w:r>
      <w:bookmarkStart w:id="150" w:name="_Toc217446089"/>
      <w:r>
        <w:rPr>
          <w:rFonts w:hint="eastAsia" w:ascii="宋体" w:hAnsi="宋体" w:cs="宋体"/>
          <w:bCs/>
          <w:color w:val="auto"/>
          <w:sz w:val="24"/>
          <w:highlight w:val="none"/>
        </w:rPr>
        <w:br w:type="page"/>
      </w:r>
    </w:p>
    <w:p w14:paraId="17E386A3">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、项目负责人简介</w:t>
      </w:r>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1D2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3009240">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6" w:type="dxa"/>
            <w:noWrap w:val="0"/>
            <w:vAlign w:val="center"/>
          </w:tcPr>
          <w:p w14:paraId="16DC5EC5">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c>
          <w:tcPr>
            <w:tcW w:w="1421" w:type="dxa"/>
            <w:noWrap w:val="0"/>
            <w:vAlign w:val="center"/>
          </w:tcPr>
          <w:p w14:paraId="5311FD01">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420" w:type="dxa"/>
            <w:noWrap w:val="0"/>
            <w:vAlign w:val="center"/>
          </w:tcPr>
          <w:p w14:paraId="2443C2D1">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p>
        </w:tc>
        <w:tc>
          <w:tcPr>
            <w:tcW w:w="1267" w:type="dxa"/>
            <w:noWrap w:val="0"/>
            <w:vAlign w:val="center"/>
          </w:tcPr>
          <w:p w14:paraId="322FC297">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2160" w:type="dxa"/>
            <w:noWrap w:val="0"/>
            <w:vAlign w:val="center"/>
          </w:tcPr>
          <w:p w14:paraId="132EE9A1">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r>
      <w:tr w14:paraId="569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BE936A2">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6" w:type="dxa"/>
            <w:noWrap w:val="0"/>
            <w:vAlign w:val="center"/>
          </w:tcPr>
          <w:p w14:paraId="7254F203">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p>
        </w:tc>
        <w:tc>
          <w:tcPr>
            <w:tcW w:w="1421" w:type="dxa"/>
            <w:noWrap w:val="0"/>
            <w:vAlign w:val="center"/>
          </w:tcPr>
          <w:p w14:paraId="2E1B0106">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20" w:type="dxa"/>
            <w:noWrap w:val="0"/>
            <w:vAlign w:val="center"/>
          </w:tcPr>
          <w:p w14:paraId="00993795">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c>
          <w:tcPr>
            <w:tcW w:w="1267" w:type="dxa"/>
            <w:noWrap w:val="0"/>
            <w:vAlign w:val="center"/>
          </w:tcPr>
          <w:p w14:paraId="64EFD59F">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160" w:type="dxa"/>
            <w:noWrap w:val="0"/>
            <w:vAlign w:val="center"/>
          </w:tcPr>
          <w:p w14:paraId="77521429">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p>
        </w:tc>
      </w:tr>
      <w:tr w14:paraId="03F0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14:paraId="51E0853D">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身份证号</w:t>
            </w:r>
          </w:p>
        </w:tc>
        <w:tc>
          <w:tcPr>
            <w:tcW w:w="2557" w:type="dxa"/>
            <w:gridSpan w:val="2"/>
            <w:noWrap w:val="0"/>
            <w:vAlign w:val="center"/>
          </w:tcPr>
          <w:p w14:paraId="7C5F0EBD">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c>
          <w:tcPr>
            <w:tcW w:w="2687" w:type="dxa"/>
            <w:gridSpan w:val="2"/>
            <w:noWrap w:val="0"/>
            <w:vAlign w:val="center"/>
          </w:tcPr>
          <w:p w14:paraId="39B92E5D">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p>
        </w:tc>
        <w:tc>
          <w:tcPr>
            <w:tcW w:w="2160" w:type="dxa"/>
            <w:noWrap w:val="0"/>
            <w:vAlign w:val="center"/>
          </w:tcPr>
          <w:p w14:paraId="1C4F65AC">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r>
      <w:tr w14:paraId="232F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14:paraId="03440A88">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2557" w:type="dxa"/>
            <w:gridSpan w:val="2"/>
            <w:noWrap w:val="0"/>
            <w:vAlign w:val="center"/>
          </w:tcPr>
          <w:p w14:paraId="036B127D">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c>
          <w:tcPr>
            <w:tcW w:w="2687" w:type="dxa"/>
            <w:gridSpan w:val="2"/>
            <w:noWrap w:val="0"/>
            <w:vAlign w:val="center"/>
          </w:tcPr>
          <w:p w14:paraId="48CDCD73">
            <w:pPr>
              <w:keepNext w:val="0"/>
              <w:keepLines w:val="0"/>
              <w:pageBreakBefore w:val="0"/>
              <w:suppressLineNumbers w:val="0"/>
              <w:kinsoku/>
              <w:topLinePunct w:val="0"/>
              <w:bidi w:val="0"/>
              <w:spacing w:before="0" w:beforeAutospacing="0" w:after="0" w:afterAutospacing="0" w:line="50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从事项目工作年限</w:t>
            </w:r>
          </w:p>
        </w:tc>
        <w:tc>
          <w:tcPr>
            <w:tcW w:w="2160" w:type="dxa"/>
            <w:noWrap w:val="0"/>
            <w:vAlign w:val="center"/>
          </w:tcPr>
          <w:p w14:paraId="7E446D0F">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p>
        </w:tc>
      </w:tr>
      <w:tr w14:paraId="4950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14:paraId="498359AF">
            <w:pPr>
              <w:keepNext w:val="0"/>
              <w:keepLines w:val="0"/>
              <w:pageBreakBefore w:val="0"/>
              <w:suppressLineNumbers w:val="0"/>
              <w:kinsoku/>
              <w:topLinePunct w:val="0"/>
              <w:bidi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相关证书</w:t>
            </w:r>
          </w:p>
        </w:tc>
        <w:tc>
          <w:tcPr>
            <w:tcW w:w="7404" w:type="dxa"/>
            <w:gridSpan w:val="5"/>
            <w:noWrap w:val="0"/>
            <w:vAlign w:val="center"/>
          </w:tcPr>
          <w:p w14:paraId="1DA9F191">
            <w:pPr>
              <w:keepNext w:val="0"/>
              <w:keepLines w:val="0"/>
              <w:pageBreakBefore w:val="0"/>
              <w:suppressLineNumbers w:val="0"/>
              <w:kinsoku/>
              <w:topLinePunct w:val="0"/>
              <w:bidi w:val="0"/>
              <w:spacing w:before="0" w:beforeAutospacing="0" w:after="0" w:afterAutospacing="0" w:line="500" w:lineRule="exact"/>
              <w:ind w:left="0" w:right="0"/>
              <w:jc w:val="both"/>
              <w:rPr>
                <w:rFonts w:hint="default" w:ascii="宋体" w:hAnsi="宋体" w:cs="宋体"/>
                <w:color w:val="auto"/>
                <w:sz w:val="24"/>
                <w:highlight w:val="none"/>
                <w:lang w:val="en-US" w:eastAsia="zh-CN"/>
              </w:rPr>
            </w:pPr>
          </w:p>
        </w:tc>
      </w:tr>
    </w:tbl>
    <w:p w14:paraId="75CA2BC3">
      <w:pPr>
        <w:pStyle w:val="101"/>
        <w:pageBreakBefore w:val="0"/>
        <w:tabs>
          <w:tab w:val="left" w:pos="2636"/>
        </w:tabs>
        <w:wordWrap/>
        <w:overflowPunct/>
        <w:topLinePunct w:val="0"/>
        <w:bidi w:val="0"/>
        <w:spacing w:line="560" w:lineRule="exact"/>
        <w:ind w:right="0" w:rightChars="0" w:firstLine="480" w:firstLineChars="200"/>
        <w:rPr>
          <w:rFonts w:hint="eastAsia"/>
          <w:color w:val="auto"/>
          <w:highlight w:val="none"/>
          <w:lang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Theme="minorEastAsia" w:hAnsiTheme="minorEastAsia" w:eastAsiaTheme="minorEastAsia" w:cstheme="minorEastAsia"/>
          <w:color w:val="auto"/>
          <w:sz w:val="24"/>
          <w:szCs w:val="24"/>
          <w:highlight w:val="none"/>
          <w:lang w:val="en-US" w:eastAsia="zh-CN"/>
        </w:rPr>
        <w:t>后附：身份证、相关证书、劳动合同或劳务合同（或薪资发放证明）等证明材料</w:t>
      </w:r>
      <w:r>
        <w:rPr>
          <w:rFonts w:hint="eastAsia" w:ascii="宋体" w:hAnsi="宋体" w:eastAsia="宋体" w:cs="宋体"/>
          <w:color w:val="auto"/>
          <w:sz w:val="24"/>
          <w:szCs w:val="24"/>
          <w:highlight w:val="none"/>
          <w:lang w:val="en-US" w:eastAsia="zh-CN"/>
        </w:rPr>
        <w:t>。</w:t>
      </w:r>
    </w:p>
    <w:p w14:paraId="11BA33E2">
      <w:pPr>
        <w:rPr>
          <w:rFonts w:hint="eastAsia" w:ascii="宋体" w:hAnsi="宋体" w:cs="宋体"/>
          <w:b/>
          <w:bCs/>
          <w:color w:val="auto"/>
          <w:sz w:val="24"/>
          <w:highlight w:val="none"/>
        </w:rPr>
      </w:pPr>
    </w:p>
    <w:p w14:paraId="26FA9646">
      <w:pPr>
        <w:spacing w:line="360" w:lineRule="auto"/>
        <w:jc w:val="center"/>
        <w:outlineLvl w:val="1"/>
        <w:rPr>
          <w:rFonts w:ascii="宋体" w:hAnsi="宋体" w:cs="宋体"/>
          <w:color w:val="auto"/>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拟配备人员</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12"/>
        <w:gridCol w:w="915"/>
        <w:gridCol w:w="993"/>
        <w:gridCol w:w="1327"/>
        <w:gridCol w:w="701"/>
        <w:gridCol w:w="838"/>
        <w:gridCol w:w="955"/>
        <w:gridCol w:w="996"/>
      </w:tblGrid>
      <w:tr w14:paraId="6F5F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220" w:type="dxa"/>
            <w:vMerge w:val="restart"/>
            <w:noWrap/>
            <w:vAlign w:val="center"/>
          </w:tcPr>
          <w:p w14:paraId="1C87234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912" w:type="dxa"/>
            <w:vMerge w:val="restart"/>
            <w:noWrap/>
            <w:vAlign w:val="center"/>
          </w:tcPr>
          <w:p w14:paraId="31CD5E8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姓名</w:t>
            </w:r>
          </w:p>
        </w:tc>
        <w:tc>
          <w:tcPr>
            <w:tcW w:w="915" w:type="dxa"/>
            <w:vMerge w:val="restart"/>
            <w:noWrap/>
            <w:vAlign w:val="center"/>
          </w:tcPr>
          <w:p w14:paraId="029F56F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联系方式</w:t>
            </w:r>
          </w:p>
        </w:tc>
        <w:tc>
          <w:tcPr>
            <w:tcW w:w="993" w:type="dxa"/>
            <w:vMerge w:val="restart"/>
            <w:noWrap/>
            <w:vAlign w:val="center"/>
          </w:tcPr>
          <w:p w14:paraId="5B70EF1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职称或职务</w:t>
            </w:r>
          </w:p>
        </w:tc>
        <w:tc>
          <w:tcPr>
            <w:tcW w:w="1327" w:type="dxa"/>
            <w:vMerge w:val="restart"/>
            <w:noWrap/>
            <w:vAlign w:val="center"/>
          </w:tcPr>
          <w:p w14:paraId="3BEFDAA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拟担任本项目职务/岗位</w:t>
            </w:r>
          </w:p>
        </w:tc>
        <w:tc>
          <w:tcPr>
            <w:tcW w:w="3490" w:type="dxa"/>
            <w:gridSpan w:val="4"/>
            <w:noWrap/>
            <w:vAlign w:val="center"/>
          </w:tcPr>
          <w:p w14:paraId="640DED5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资格证明</w:t>
            </w:r>
          </w:p>
        </w:tc>
      </w:tr>
      <w:tr w14:paraId="5882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1220" w:type="dxa"/>
            <w:vMerge w:val="continue"/>
            <w:noWrap/>
            <w:vAlign w:val="center"/>
          </w:tcPr>
          <w:p w14:paraId="060B287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2" w:type="dxa"/>
            <w:vMerge w:val="continue"/>
            <w:noWrap/>
            <w:vAlign w:val="center"/>
          </w:tcPr>
          <w:p w14:paraId="77767B4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vMerge w:val="continue"/>
            <w:noWrap/>
            <w:vAlign w:val="center"/>
          </w:tcPr>
          <w:p w14:paraId="4E8091F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vMerge w:val="continue"/>
            <w:noWrap/>
            <w:vAlign w:val="center"/>
          </w:tcPr>
          <w:p w14:paraId="6801202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vMerge w:val="continue"/>
            <w:noWrap/>
            <w:vAlign w:val="center"/>
          </w:tcPr>
          <w:p w14:paraId="7B3CED1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vAlign w:val="center"/>
          </w:tcPr>
          <w:p w14:paraId="7A7597F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证书名称</w:t>
            </w:r>
          </w:p>
        </w:tc>
        <w:tc>
          <w:tcPr>
            <w:tcW w:w="838" w:type="dxa"/>
            <w:noWrap/>
            <w:vAlign w:val="center"/>
          </w:tcPr>
          <w:p w14:paraId="4C36C47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级别</w:t>
            </w:r>
          </w:p>
        </w:tc>
        <w:tc>
          <w:tcPr>
            <w:tcW w:w="955" w:type="dxa"/>
            <w:noWrap/>
            <w:vAlign w:val="center"/>
          </w:tcPr>
          <w:p w14:paraId="6F238A8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证书号</w:t>
            </w:r>
          </w:p>
        </w:tc>
        <w:tc>
          <w:tcPr>
            <w:tcW w:w="996" w:type="dxa"/>
            <w:noWrap/>
            <w:vAlign w:val="center"/>
          </w:tcPr>
          <w:p w14:paraId="79661C5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专业</w:t>
            </w:r>
          </w:p>
        </w:tc>
      </w:tr>
      <w:tr w14:paraId="4F68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noWrap/>
          </w:tcPr>
          <w:p w14:paraId="57F8332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912" w:type="dxa"/>
            <w:noWrap/>
          </w:tcPr>
          <w:p w14:paraId="184C818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noWrap/>
          </w:tcPr>
          <w:p w14:paraId="077F988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noWrap/>
          </w:tcPr>
          <w:p w14:paraId="48892A0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noWrap/>
          </w:tcPr>
          <w:p w14:paraId="75F871D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tcPr>
          <w:p w14:paraId="0BF03F1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838" w:type="dxa"/>
            <w:noWrap/>
          </w:tcPr>
          <w:p w14:paraId="6D4BBD5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55" w:type="dxa"/>
            <w:noWrap/>
          </w:tcPr>
          <w:p w14:paraId="1763078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6" w:type="dxa"/>
            <w:noWrap/>
          </w:tcPr>
          <w:p w14:paraId="5D9477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0B36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noWrap/>
          </w:tcPr>
          <w:p w14:paraId="177DF11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912" w:type="dxa"/>
            <w:noWrap/>
          </w:tcPr>
          <w:p w14:paraId="08D9CDB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noWrap/>
          </w:tcPr>
          <w:p w14:paraId="37F6568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noWrap/>
          </w:tcPr>
          <w:p w14:paraId="5691651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noWrap/>
          </w:tcPr>
          <w:p w14:paraId="496E00F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tcPr>
          <w:p w14:paraId="11A3496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838" w:type="dxa"/>
            <w:noWrap/>
          </w:tcPr>
          <w:p w14:paraId="0469E5A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55" w:type="dxa"/>
            <w:noWrap/>
          </w:tcPr>
          <w:p w14:paraId="41ED5DE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6" w:type="dxa"/>
            <w:noWrap/>
          </w:tcPr>
          <w:p w14:paraId="42DA8FA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58B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220" w:type="dxa"/>
            <w:noWrap/>
          </w:tcPr>
          <w:p w14:paraId="47C01B9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912" w:type="dxa"/>
            <w:noWrap/>
          </w:tcPr>
          <w:p w14:paraId="5AD8354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noWrap/>
          </w:tcPr>
          <w:p w14:paraId="571747E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noWrap/>
          </w:tcPr>
          <w:p w14:paraId="77C3623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noWrap/>
          </w:tcPr>
          <w:p w14:paraId="256E0CD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tcPr>
          <w:p w14:paraId="7F732A2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838" w:type="dxa"/>
            <w:noWrap/>
          </w:tcPr>
          <w:p w14:paraId="5844520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55" w:type="dxa"/>
            <w:noWrap/>
          </w:tcPr>
          <w:p w14:paraId="745483F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6" w:type="dxa"/>
            <w:noWrap/>
          </w:tcPr>
          <w:p w14:paraId="2A42D3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5C31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jc w:val="center"/>
        </w:trPr>
        <w:tc>
          <w:tcPr>
            <w:tcW w:w="1220" w:type="dxa"/>
            <w:noWrap/>
          </w:tcPr>
          <w:p w14:paraId="395E1BA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912" w:type="dxa"/>
            <w:noWrap/>
          </w:tcPr>
          <w:p w14:paraId="7CCFA82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noWrap/>
          </w:tcPr>
          <w:p w14:paraId="466CB68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noWrap/>
          </w:tcPr>
          <w:p w14:paraId="5B38759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noWrap/>
          </w:tcPr>
          <w:p w14:paraId="2D972B2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tcPr>
          <w:p w14:paraId="0082A01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838" w:type="dxa"/>
            <w:noWrap/>
          </w:tcPr>
          <w:p w14:paraId="0CBBE65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55" w:type="dxa"/>
            <w:noWrap/>
          </w:tcPr>
          <w:p w14:paraId="3D8EC5C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6" w:type="dxa"/>
            <w:noWrap/>
          </w:tcPr>
          <w:p w14:paraId="73CE5F8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BB2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220" w:type="dxa"/>
            <w:noWrap/>
          </w:tcPr>
          <w:p w14:paraId="2F6538D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912" w:type="dxa"/>
            <w:noWrap/>
          </w:tcPr>
          <w:p w14:paraId="2707A79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15" w:type="dxa"/>
            <w:noWrap/>
          </w:tcPr>
          <w:p w14:paraId="1459A2B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3" w:type="dxa"/>
            <w:noWrap/>
          </w:tcPr>
          <w:p w14:paraId="04351A7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327" w:type="dxa"/>
            <w:noWrap/>
          </w:tcPr>
          <w:p w14:paraId="1BEB65F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701" w:type="dxa"/>
            <w:noWrap/>
          </w:tcPr>
          <w:p w14:paraId="7AD6A7A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838" w:type="dxa"/>
            <w:noWrap/>
          </w:tcPr>
          <w:p w14:paraId="15C28EB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55" w:type="dxa"/>
            <w:noWrap/>
          </w:tcPr>
          <w:p w14:paraId="498EAD7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96" w:type="dxa"/>
            <w:noWrap/>
          </w:tcPr>
          <w:p w14:paraId="6BB2C4A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bl>
    <w:p w14:paraId="04ADFCE2">
      <w:pPr>
        <w:pStyle w:val="50"/>
        <w:widowControl/>
        <w:spacing w:line="360" w:lineRule="auto"/>
        <w:jc w:val="left"/>
        <w:rPr>
          <w:rFonts w:hint="eastAsia" w:ascii="宋体" w:hAnsi="宋体" w:cs="宋体"/>
          <w:color w:val="auto"/>
          <w:sz w:val="24"/>
          <w:szCs w:val="24"/>
          <w:highlight w:val="none"/>
        </w:rPr>
      </w:pPr>
    </w:p>
    <w:p w14:paraId="3F70D3D8">
      <w:pPr>
        <w:pStyle w:val="50"/>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备注：项目拟配备人员由</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自行确定，但应能够满足本项目的基本需求，并提供相关证明材料。</w:t>
      </w:r>
    </w:p>
    <w:p w14:paraId="0C6C2268">
      <w:pPr>
        <w:keepNext/>
        <w:keepLines/>
        <w:spacing w:line="360" w:lineRule="auto"/>
        <w:jc w:val="left"/>
        <w:rPr>
          <w:rFonts w:ascii="宋体" w:hAnsi="宋体" w:cs="宋体"/>
          <w:color w:val="auto"/>
          <w:sz w:val="24"/>
          <w:highlight w:val="none"/>
        </w:rPr>
      </w:pPr>
    </w:p>
    <w:p w14:paraId="37C13E2C">
      <w:pPr>
        <w:pStyle w:val="50"/>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后附:</w:t>
      </w:r>
      <w:r>
        <w:rPr>
          <w:rFonts w:hint="eastAsia" w:ascii="宋体" w:hAnsi="宋体" w:cs="宋体"/>
          <w:color w:val="auto"/>
          <w:sz w:val="24"/>
          <w:szCs w:val="24"/>
          <w:highlight w:val="none"/>
          <w:lang w:val="en-US" w:eastAsia="zh-CN"/>
        </w:rPr>
        <w:t>身份证、相关证书、劳动合同或劳务合同（或薪资发放证明）等证明材料</w:t>
      </w:r>
      <w:r>
        <w:rPr>
          <w:rFonts w:hint="eastAsia" w:ascii="宋体" w:hAnsi="宋体" w:cs="宋体"/>
          <w:color w:val="auto"/>
          <w:sz w:val="24"/>
          <w:szCs w:val="24"/>
          <w:highlight w:val="none"/>
        </w:rPr>
        <w:t>。</w:t>
      </w:r>
    </w:p>
    <w:p w14:paraId="1FCA67DA">
      <w:pPr>
        <w:pStyle w:val="3"/>
        <w:spacing w:before="0" w:after="0" w:line="360" w:lineRule="auto"/>
        <w:jc w:val="center"/>
        <w:rPr>
          <w:rFonts w:ascii="宋体" w:hAnsi="宋体" w:cs="宋体"/>
          <w:color w:val="auto"/>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lang w:val="en-US" w:eastAsia="zh-CN"/>
        </w:rPr>
        <w:t>七</w:t>
      </w:r>
      <w:r>
        <w:rPr>
          <w:rFonts w:hint="eastAsia" w:ascii="宋体" w:hAnsi="宋体" w:eastAsia="宋体" w:cs="宋体"/>
          <w:bCs w:val="0"/>
          <w:color w:val="auto"/>
          <w:sz w:val="24"/>
          <w:szCs w:val="24"/>
          <w:highlight w:val="none"/>
        </w:rPr>
        <w:t>、</w:t>
      </w:r>
      <w:bookmarkEnd w:id="150"/>
      <w:r>
        <w:rPr>
          <w:rFonts w:hint="eastAsia" w:ascii="宋体" w:hAnsi="宋体" w:eastAsia="宋体" w:cs="宋体"/>
          <w:bCs w:val="0"/>
          <w:color w:val="auto"/>
          <w:sz w:val="24"/>
          <w:szCs w:val="24"/>
          <w:highlight w:val="none"/>
        </w:rPr>
        <w:t>近年同类项目情况表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9"/>
        <w:gridCol w:w="1156"/>
        <w:gridCol w:w="1156"/>
        <w:gridCol w:w="1155"/>
        <w:gridCol w:w="1155"/>
        <w:gridCol w:w="1155"/>
        <w:gridCol w:w="1155"/>
        <w:gridCol w:w="1157"/>
        <w:gridCol w:w="9"/>
      </w:tblGrid>
      <w:tr w14:paraId="2DAFA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tcBorders>
              <w:top w:val="single" w:color="auto" w:sz="4" w:space="0"/>
            </w:tcBorders>
            <w:noWrap/>
            <w:vAlign w:val="center"/>
          </w:tcPr>
          <w:p w14:paraId="34755285">
            <w:pPr>
              <w:keepNext w:val="0"/>
              <w:keepLines w:val="0"/>
              <w:suppressLineNumbers w:val="0"/>
              <w:spacing w:before="0" w:beforeAutospacing="0" w:after="0"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序号</w:t>
            </w:r>
          </w:p>
        </w:tc>
        <w:tc>
          <w:tcPr>
            <w:tcW w:w="1156" w:type="dxa"/>
            <w:noWrap/>
            <w:vAlign w:val="center"/>
          </w:tcPr>
          <w:p w14:paraId="598B75CA">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采购人</w:t>
            </w:r>
          </w:p>
        </w:tc>
        <w:tc>
          <w:tcPr>
            <w:tcW w:w="1156" w:type="dxa"/>
            <w:noWrap/>
            <w:vAlign w:val="center"/>
          </w:tcPr>
          <w:p w14:paraId="29751B78">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联系人</w:t>
            </w:r>
          </w:p>
        </w:tc>
        <w:tc>
          <w:tcPr>
            <w:tcW w:w="1156" w:type="dxa"/>
            <w:noWrap/>
            <w:vAlign w:val="center"/>
          </w:tcPr>
          <w:p w14:paraId="6DD5ED93">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联系电话</w:t>
            </w:r>
          </w:p>
        </w:tc>
        <w:tc>
          <w:tcPr>
            <w:tcW w:w="1156" w:type="dxa"/>
            <w:noWrap/>
            <w:vAlign w:val="center"/>
          </w:tcPr>
          <w:p w14:paraId="688A5B55">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项目名称</w:t>
            </w:r>
          </w:p>
        </w:tc>
        <w:tc>
          <w:tcPr>
            <w:tcW w:w="1156" w:type="dxa"/>
            <w:noWrap/>
            <w:vAlign w:val="center"/>
          </w:tcPr>
          <w:p w14:paraId="15C17B86">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完成时间</w:t>
            </w:r>
          </w:p>
        </w:tc>
        <w:tc>
          <w:tcPr>
            <w:tcW w:w="1156" w:type="dxa"/>
            <w:noWrap/>
            <w:vAlign w:val="center"/>
          </w:tcPr>
          <w:p w14:paraId="6DDE62A1">
            <w:pPr>
              <w:keepNext w:val="0"/>
              <w:keepLines w:val="0"/>
              <w:suppressLineNumbers w:val="0"/>
              <w:spacing w:before="0" w:beforeAutospacing="0" w:after="0"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合同金额</w:t>
            </w:r>
          </w:p>
        </w:tc>
        <w:tc>
          <w:tcPr>
            <w:tcW w:w="1156" w:type="dxa"/>
            <w:gridSpan w:val="2"/>
            <w:tcBorders>
              <w:right w:val="single" w:color="auto" w:sz="4" w:space="0"/>
            </w:tcBorders>
            <w:noWrap/>
            <w:vAlign w:val="center"/>
          </w:tcPr>
          <w:p w14:paraId="4B7ACF4F">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备注</w:t>
            </w:r>
          </w:p>
        </w:tc>
      </w:tr>
      <w:tr w14:paraId="793DF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noWrap/>
            <w:vAlign w:val="center"/>
          </w:tcPr>
          <w:p w14:paraId="50E1120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6C3C7E0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71D3B85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055C578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23E8808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5ED6AB4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4A47991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gridSpan w:val="2"/>
            <w:tcBorders>
              <w:right w:val="single" w:color="auto" w:sz="4" w:space="0"/>
            </w:tcBorders>
            <w:noWrap/>
            <w:vAlign w:val="center"/>
          </w:tcPr>
          <w:p w14:paraId="617C8CC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1B60E1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noWrap/>
            <w:vAlign w:val="center"/>
          </w:tcPr>
          <w:p w14:paraId="2924732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7E08BA5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4F60119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14FF15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1188741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3CF954B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325D028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gridSpan w:val="2"/>
            <w:tcBorders>
              <w:right w:val="single" w:color="auto" w:sz="4" w:space="0"/>
            </w:tcBorders>
            <w:noWrap/>
            <w:vAlign w:val="center"/>
          </w:tcPr>
          <w:p w14:paraId="7399795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7F962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noWrap/>
            <w:vAlign w:val="center"/>
          </w:tcPr>
          <w:p w14:paraId="39447E9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10FF054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04E45D5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7871FF0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7AF7BD3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7180C53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1C14EEE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gridSpan w:val="2"/>
            <w:tcBorders>
              <w:right w:val="single" w:color="auto" w:sz="4" w:space="0"/>
            </w:tcBorders>
            <w:noWrap/>
            <w:vAlign w:val="center"/>
          </w:tcPr>
          <w:p w14:paraId="70A5023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731B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noWrap/>
            <w:vAlign w:val="center"/>
          </w:tcPr>
          <w:p w14:paraId="22240D0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tcBorders>
              <w:right w:val="single" w:color="auto" w:sz="4" w:space="0"/>
            </w:tcBorders>
            <w:noWrap/>
            <w:vAlign w:val="center"/>
          </w:tcPr>
          <w:p w14:paraId="3E12151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tcBorders>
              <w:left w:val="single" w:color="auto" w:sz="4" w:space="0"/>
            </w:tcBorders>
            <w:noWrap/>
            <w:vAlign w:val="center"/>
          </w:tcPr>
          <w:p w14:paraId="5088C24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tcBorders>
              <w:left w:val="single" w:color="auto" w:sz="4" w:space="0"/>
            </w:tcBorders>
            <w:noWrap/>
            <w:vAlign w:val="center"/>
          </w:tcPr>
          <w:p w14:paraId="0A41EB6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tcBorders>
              <w:left w:val="single" w:color="auto" w:sz="4" w:space="0"/>
            </w:tcBorders>
            <w:noWrap/>
            <w:vAlign w:val="center"/>
          </w:tcPr>
          <w:p w14:paraId="76F53A3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46AB812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noWrap/>
            <w:vAlign w:val="center"/>
          </w:tcPr>
          <w:p w14:paraId="383D3F6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6" w:type="dxa"/>
            <w:gridSpan w:val="2"/>
            <w:tcBorders>
              <w:right w:val="single" w:color="auto" w:sz="4" w:space="0"/>
            </w:tcBorders>
            <w:noWrap/>
            <w:vAlign w:val="center"/>
          </w:tcPr>
          <w:p w14:paraId="4D69CD8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08FF3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0" w:hRule="atLeast"/>
          <w:jc w:val="center"/>
        </w:trPr>
        <w:tc>
          <w:tcPr>
            <w:tcW w:w="628" w:type="dxa"/>
            <w:tcBorders>
              <w:right w:val="single" w:color="auto" w:sz="4" w:space="0"/>
            </w:tcBorders>
            <w:noWrap/>
            <w:vAlign w:val="center"/>
          </w:tcPr>
          <w:p w14:paraId="74628B9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15FE574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10C0F38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06F2AA1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1F8C22FB">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1FD9381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tcBorders>
              <w:left w:val="single" w:color="auto" w:sz="4" w:space="0"/>
              <w:right w:val="single" w:color="auto" w:sz="4" w:space="0"/>
            </w:tcBorders>
            <w:noWrap/>
            <w:vAlign w:val="center"/>
          </w:tcPr>
          <w:p w14:paraId="2994426C">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6" w:type="dxa"/>
            <w:gridSpan w:val="2"/>
            <w:tcBorders>
              <w:left w:val="single" w:color="auto" w:sz="4" w:space="0"/>
              <w:right w:val="single" w:color="auto" w:sz="4" w:space="0"/>
            </w:tcBorders>
            <w:noWrap/>
            <w:vAlign w:val="center"/>
          </w:tcPr>
          <w:p w14:paraId="717544E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14:paraId="36CC5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noWrap/>
            <w:vAlign w:val="center"/>
          </w:tcPr>
          <w:p w14:paraId="74A7294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noWrap/>
            <w:vAlign w:val="center"/>
          </w:tcPr>
          <w:p w14:paraId="79BAD7EB">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noWrap/>
            <w:vAlign w:val="center"/>
          </w:tcPr>
          <w:p w14:paraId="2443375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noWrap/>
            <w:vAlign w:val="center"/>
          </w:tcPr>
          <w:p w14:paraId="040A10D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noWrap/>
            <w:vAlign w:val="center"/>
          </w:tcPr>
          <w:p w14:paraId="5297EA94">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noWrap/>
            <w:vAlign w:val="center"/>
          </w:tcPr>
          <w:p w14:paraId="2EBF868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4" w:type="dxa"/>
            <w:tcBorders>
              <w:right w:val="single" w:color="auto" w:sz="4" w:space="0"/>
            </w:tcBorders>
            <w:noWrap/>
            <w:vAlign w:val="center"/>
          </w:tcPr>
          <w:p w14:paraId="345F9B1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1158" w:type="dxa"/>
            <w:tcBorders>
              <w:left w:val="single" w:color="auto" w:sz="4" w:space="0"/>
              <w:right w:val="single" w:color="auto" w:sz="4" w:space="0"/>
            </w:tcBorders>
            <w:noWrap/>
            <w:vAlign w:val="center"/>
          </w:tcPr>
          <w:p w14:paraId="1D13C24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14:paraId="393D4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noWrap/>
            <w:vAlign w:val="center"/>
          </w:tcPr>
          <w:p w14:paraId="6718CCA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14B1341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1D8A306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2BB991E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679B634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73B0650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right w:val="single" w:color="auto" w:sz="4" w:space="0"/>
            </w:tcBorders>
            <w:noWrap/>
            <w:vAlign w:val="center"/>
          </w:tcPr>
          <w:p w14:paraId="1700E76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left w:val="single" w:color="auto" w:sz="4" w:space="0"/>
              <w:right w:val="single" w:color="auto" w:sz="4" w:space="0"/>
            </w:tcBorders>
            <w:noWrap/>
            <w:vAlign w:val="center"/>
          </w:tcPr>
          <w:p w14:paraId="1EACC8B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5D0A8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noWrap/>
            <w:vAlign w:val="center"/>
          </w:tcPr>
          <w:p w14:paraId="40DBE01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0F0D6F3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0B38EC7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4795CA7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71C1ABC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noWrap/>
            <w:vAlign w:val="center"/>
          </w:tcPr>
          <w:p w14:paraId="2C35F23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right w:val="single" w:color="auto" w:sz="4" w:space="0"/>
            </w:tcBorders>
            <w:noWrap/>
            <w:vAlign w:val="center"/>
          </w:tcPr>
          <w:p w14:paraId="52FC29B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left w:val="single" w:color="auto" w:sz="4" w:space="0"/>
              <w:right w:val="single" w:color="auto" w:sz="4" w:space="0"/>
            </w:tcBorders>
            <w:noWrap/>
            <w:vAlign w:val="center"/>
          </w:tcPr>
          <w:p w14:paraId="6C6479C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1587D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tcBorders>
              <w:bottom w:val="single" w:color="auto" w:sz="4" w:space="0"/>
            </w:tcBorders>
            <w:noWrap/>
            <w:vAlign w:val="center"/>
          </w:tcPr>
          <w:p w14:paraId="6B6AABA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tcBorders>
            <w:noWrap/>
            <w:vAlign w:val="center"/>
          </w:tcPr>
          <w:p w14:paraId="58B6C63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tcBorders>
            <w:noWrap/>
            <w:vAlign w:val="center"/>
          </w:tcPr>
          <w:p w14:paraId="251FD8C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tcBorders>
            <w:noWrap/>
            <w:vAlign w:val="center"/>
          </w:tcPr>
          <w:p w14:paraId="6E18CB3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tcBorders>
            <w:noWrap/>
            <w:vAlign w:val="center"/>
          </w:tcPr>
          <w:p w14:paraId="7363359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tcBorders>
            <w:noWrap/>
            <w:vAlign w:val="center"/>
          </w:tcPr>
          <w:p w14:paraId="2B19D2E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bottom w:val="single" w:color="auto" w:sz="4" w:space="0"/>
              <w:right w:val="single" w:color="auto" w:sz="4" w:space="0"/>
            </w:tcBorders>
            <w:noWrap/>
            <w:vAlign w:val="center"/>
          </w:tcPr>
          <w:p w14:paraId="5339ABB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left w:val="single" w:color="auto" w:sz="4" w:space="0"/>
              <w:bottom w:val="single" w:color="auto" w:sz="4" w:space="0"/>
              <w:right w:val="single" w:color="auto" w:sz="4" w:space="0"/>
            </w:tcBorders>
            <w:noWrap/>
            <w:vAlign w:val="center"/>
          </w:tcPr>
          <w:p w14:paraId="49BED6B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2A3F7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tcBorders>
              <w:top w:val="single" w:color="auto" w:sz="4" w:space="0"/>
              <w:bottom w:val="single" w:color="auto" w:sz="4" w:space="0"/>
            </w:tcBorders>
            <w:noWrap/>
            <w:vAlign w:val="center"/>
          </w:tcPr>
          <w:p w14:paraId="430952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132997C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63F00A5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74F76C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4BFF665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21A4039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right w:val="single" w:color="auto" w:sz="4" w:space="0"/>
            </w:tcBorders>
            <w:noWrap/>
            <w:vAlign w:val="center"/>
          </w:tcPr>
          <w:p w14:paraId="16F1BAD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top w:val="single" w:color="auto" w:sz="4" w:space="0"/>
              <w:left w:val="single" w:color="auto" w:sz="4" w:space="0"/>
              <w:bottom w:val="single" w:color="auto" w:sz="4" w:space="0"/>
              <w:right w:val="single" w:color="auto" w:sz="4" w:space="0"/>
            </w:tcBorders>
            <w:noWrap/>
            <w:vAlign w:val="center"/>
          </w:tcPr>
          <w:p w14:paraId="78C73DA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A662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tcBorders>
              <w:top w:val="single" w:color="auto" w:sz="4" w:space="0"/>
              <w:bottom w:val="single" w:color="auto" w:sz="4" w:space="0"/>
            </w:tcBorders>
            <w:noWrap/>
            <w:vAlign w:val="center"/>
          </w:tcPr>
          <w:p w14:paraId="15F1412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0AD3829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01B25A5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4F4ADF5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2B151F8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081C768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right w:val="single" w:color="auto" w:sz="4" w:space="0"/>
            </w:tcBorders>
            <w:noWrap/>
            <w:vAlign w:val="center"/>
          </w:tcPr>
          <w:p w14:paraId="5BE3144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top w:val="single" w:color="auto" w:sz="4" w:space="0"/>
              <w:left w:val="single" w:color="auto" w:sz="4" w:space="0"/>
              <w:bottom w:val="single" w:color="auto" w:sz="4" w:space="0"/>
              <w:right w:val="single" w:color="auto" w:sz="4" w:space="0"/>
            </w:tcBorders>
            <w:noWrap/>
            <w:vAlign w:val="center"/>
          </w:tcPr>
          <w:p w14:paraId="347526B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4FA30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tcBorders>
              <w:top w:val="single" w:color="auto" w:sz="4" w:space="0"/>
              <w:bottom w:val="single" w:color="auto" w:sz="4" w:space="0"/>
            </w:tcBorders>
            <w:noWrap/>
            <w:vAlign w:val="center"/>
          </w:tcPr>
          <w:p w14:paraId="4EAB23A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0516E0C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13B860E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324C1B1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5A32696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tcBorders>
            <w:noWrap/>
            <w:vAlign w:val="center"/>
          </w:tcPr>
          <w:p w14:paraId="669F4AC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bottom w:val="single" w:color="auto" w:sz="4" w:space="0"/>
              <w:right w:val="single" w:color="auto" w:sz="4" w:space="0"/>
            </w:tcBorders>
            <w:noWrap/>
            <w:vAlign w:val="center"/>
          </w:tcPr>
          <w:p w14:paraId="2EBA1D5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top w:val="single" w:color="auto" w:sz="4" w:space="0"/>
              <w:left w:val="single" w:color="auto" w:sz="4" w:space="0"/>
              <w:bottom w:val="single" w:color="auto" w:sz="4" w:space="0"/>
              <w:right w:val="single" w:color="auto" w:sz="4" w:space="0"/>
            </w:tcBorders>
            <w:noWrap/>
            <w:vAlign w:val="center"/>
          </w:tcPr>
          <w:p w14:paraId="780A26C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35D704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60" w:hRule="atLeast"/>
          <w:jc w:val="center"/>
        </w:trPr>
        <w:tc>
          <w:tcPr>
            <w:tcW w:w="628" w:type="dxa"/>
            <w:tcBorders>
              <w:top w:val="single" w:color="auto" w:sz="4" w:space="0"/>
            </w:tcBorders>
            <w:noWrap/>
            <w:vAlign w:val="center"/>
          </w:tcPr>
          <w:p w14:paraId="0354577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tcBorders>
            <w:noWrap/>
            <w:vAlign w:val="center"/>
          </w:tcPr>
          <w:p w14:paraId="1059F98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tcBorders>
            <w:noWrap/>
            <w:vAlign w:val="center"/>
          </w:tcPr>
          <w:p w14:paraId="3E00CEF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tcBorders>
            <w:noWrap/>
            <w:vAlign w:val="center"/>
          </w:tcPr>
          <w:p w14:paraId="5EB9E4C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tcBorders>
            <w:noWrap/>
            <w:vAlign w:val="center"/>
          </w:tcPr>
          <w:p w14:paraId="25BD425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tcBorders>
            <w:noWrap/>
            <w:vAlign w:val="center"/>
          </w:tcPr>
          <w:p w14:paraId="07FA2F3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4" w:type="dxa"/>
            <w:tcBorders>
              <w:top w:val="single" w:color="auto" w:sz="4" w:space="0"/>
              <w:right w:val="single" w:color="auto" w:sz="4" w:space="0"/>
            </w:tcBorders>
            <w:noWrap/>
            <w:vAlign w:val="center"/>
          </w:tcPr>
          <w:p w14:paraId="5963875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58" w:type="dxa"/>
            <w:tcBorders>
              <w:top w:val="single" w:color="auto" w:sz="4" w:space="0"/>
              <w:left w:val="single" w:color="auto" w:sz="4" w:space="0"/>
              <w:right w:val="single" w:color="auto" w:sz="4" w:space="0"/>
            </w:tcBorders>
            <w:noWrap/>
            <w:vAlign w:val="center"/>
          </w:tcPr>
          <w:p w14:paraId="217B60F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bl>
    <w:p w14:paraId="6FBE99BF">
      <w:pPr>
        <w:spacing w:line="360" w:lineRule="auto"/>
        <w:jc w:val="left"/>
        <w:rPr>
          <w:rFonts w:ascii="宋体" w:hAnsi="宋体" w:cs="宋体"/>
          <w:color w:val="auto"/>
          <w:sz w:val="24"/>
          <w:highlight w:val="none"/>
        </w:rPr>
      </w:pPr>
      <w:r>
        <w:rPr>
          <w:rFonts w:hint="eastAsia" w:ascii="宋体" w:hAnsi="宋体" w:cs="宋体"/>
          <w:color w:val="auto"/>
          <w:sz w:val="24"/>
          <w:highlight w:val="none"/>
        </w:rPr>
        <w:t>备注：</w:t>
      </w:r>
    </w:p>
    <w:p w14:paraId="284B015E">
      <w:pPr>
        <w:spacing w:line="360" w:lineRule="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须提供</w:t>
      </w:r>
      <w:r>
        <w:rPr>
          <w:rFonts w:hint="default" w:ascii="宋体" w:hAnsi="宋体" w:cs="宋体"/>
          <w:color w:val="auto"/>
          <w:highlight w:val="none"/>
          <w:lang w:val="en-US" w:eastAsia="zh-CN"/>
        </w:rPr>
        <w:t>：合同协议书的扫描件；若合同页数过多，则可只上传合同关键页（关键页包括合同封面、合同金额页、合同签字盖章页</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须有合同甲乙双方加盖合同章或单位公章</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）。业绩证明材料需完整、清晰、可辨认，否则视为无效业绩</w:t>
      </w:r>
      <w:r>
        <w:rPr>
          <w:rFonts w:hint="eastAsia" w:ascii="宋体" w:hAnsi="宋体" w:cs="宋体"/>
          <w:color w:val="auto"/>
          <w:highlight w:val="none"/>
          <w:lang w:val="en-US" w:eastAsia="zh-CN"/>
        </w:rPr>
        <w:t>。</w:t>
      </w:r>
    </w:p>
    <w:p w14:paraId="07B6F0FF">
      <w:pPr>
        <w:spacing w:line="360" w:lineRule="auto"/>
        <w:rPr>
          <w:rFonts w:ascii="宋体" w:hAnsi="宋体" w:cs="宋体"/>
          <w:color w:val="auto"/>
          <w:highlight w:val="none"/>
        </w:rPr>
      </w:pPr>
      <w:r>
        <w:rPr>
          <w:rFonts w:hint="eastAsia" w:ascii="宋体" w:hAnsi="宋体" w:cs="宋体"/>
          <w:color w:val="auto"/>
          <w:highlight w:val="none"/>
          <w:lang w:val="en-US" w:eastAsia="zh-CN"/>
        </w:rPr>
        <w:t>注：</w:t>
      </w:r>
      <w:r>
        <w:rPr>
          <w:rFonts w:hint="default" w:ascii="宋体" w:hAnsi="宋体" w:cs="宋体"/>
          <w:color w:val="auto"/>
          <w:highlight w:val="none"/>
          <w:lang w:val="en-US" w:eastAsia="zh-CN"/>
        </w:rPr>
        <w:t>同一分标段的项目只认可为一个业绩。</w:t>
      </w:r>
    </w:p>
    <w:p w14:paraId="1CFCA19F">
      <w:pPr>
        <w:adjustRightInd w:val="0"/>
        <w:spacing w:line="360" w:lineRule="auto"/>
        <w:jc w:val="center"/>
        <w:rPr>
          <w:rFonts w:ascii="宋体" w:hAnsi="宋体" w:cs="宋体"/>
          <w:color w:val="auto"/>
          <w:sz w:val="24"/>
          <w:highlight w:val="none"/>
        </w:rPr>
      </w:pPr>
    </w:p>
    <w:p w14:paraId="14B3D4C6">
      <w:pPr>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投标人名称（盖章）：</w:t>
      </w:r>
    </w:p>
    <w:p w14:paraId="43237796">
      <w:pPr>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授权人或被授权人（签字或盖章）</w:t>
      </w:r>
      <w:r>
        <w:rPr>
          <w:rFonts w:hint="eastAsia" w:ascii="宋体" w:hAnsi="宋体" w:cs="宋体"/>
          <w:bCs/>
          <w:color w:val="auto"/>
          <w:sz w:val="24"/>
          <w:highlight w:val="none"/>
        </w:rPr>
        <w:t>：</w:t>
      </w:r>
    </w:p>
    <w:p w14:paraId="78E6FC89">
      <w:pPr>
        <w:keepNext/>
        <w:keepLines/>
        <w:spacing w:line="360" w:lineRule="auto"/>
        <w:jc w:val="center"/>
        <w:rPr>
          <w:rFonts w:ascii="宋体" w:hAnsi="宋体" w:cs="宋体"/>
          <w:bCs/>
          <w:color w:val="auto"/>
          <w:kern w:val="0"/>
          <w:sz w:val="24"/>
          <w:highlight w:val="none"/>
        </w:rPr>
      </w:pPr>
      <w:bookmarkStart w:id="151" w:name="_Toc217446090"/>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日    期：     年     月    日</w:t>
      </w:r>
    </w:p>
    <w:p w14:paraId="77BB13AD">
      <w:pPr>
        <w:pStyle w:val="3"/>
        <w:numPr>
          <w:ilvl w:val="0"/>
          <w:numId w:val="0"/>
        </w:numPr>
        <w:spacing w:before="0" w:after="0" w:line="360" w:lineRule="auto"/>
        <w:jc w:val="center"/>
        <w:rPr>
          <w:rFonts w:hint="eastAsia" w:ascii="宋体" w:hAnsi="宋体" w:eastAsia="宋体" w:cs="宋体"/>
          <w:bCs w:val="0"/>
          <w:color w:val="auto"/>
          <w:kern w:val="0"/>
          <w:sz w:val="24"/>
          <w:szCs w:val="24"/>
          <w:highlight w:val="none"/>
        </w:rPr>
      </w:pPr>
      <w:r>
        <w:rPr>
          <w:rFonts w:hint="eastAsia" w:ascii="宋体" w:hAnsi="宋体" w:eastAsia="宋体" w:cs="宋体"/>
          <w:b w:val="0"/>
          <w:color w:val="auto"/>
          <w:kern w:val="0"/>
          <w:sz w:val="24"/>
          <w:szCs w:val="24"/>
          <w:highlight w:val="none"/>
        </w:rPr>
        <w:br w:type="page"/>
      </w:r>
      <w:bookmarkEnd w:id="151"/>
      <w:r>
        <w:rPr>
          <w:rFonts w:hint="eastAsia" w:ascii="宋体" w:hAnsi="宋体" w:eastAsia="宋体" w:cs="宋体"/>
          <w:b/>
          <w:bCs w:val="0"/>
          <w:color w:val="auto"/>
          <w:kern w:val="0"/>
          <w:sz w:val="24"/>
          <w:szCs w:val="24"/>
          <w:highlight w:val="none"/>
          <w:lang w:val="en-US" w:eastAsia="zh-CN"/>
        </w:rPr>
        <w:t>八、</w:t>
      </w:r>
      <w:r>
        <w:rPr>
          <w:rFonts w:hint="eastAsia" w:ascii="宋体" w:hAnsi="宋体" w:eastAsia="宋体" w:cs="宋体"/>
          <w:color w:val="auto"/>
          <w:sz w:val="24"/>
          <w:highlight w:val="none"/>
        </w:rPr>
        <w:t>商务、技术需求偏离表</w:t>
      </w:r>
    </w:p>
    <w:p w14:paraId="20E003DB">
      <w:pPr>
        <w:pStyle w:val="3"/>
        <w:numPr>
          <w:ilvl w:val="0"/>
          <w:numId w:val="0"/>
        </w:numPr>
        <w:spacing w:before="0" w:after="0" w:line="360" w:lineRule="auto"/>
        <w:jc w:val="center"/>
        <w:rPr>
          <w:rFonts w:ascii="宋体" w:hAnsi="宋体" w:cs="宋体"/>
          <w:color w:val="auto"/>
          <w:highlight w:val="none"/>
        </w:rPr>
      </w:pPr>
      <w:r>
        <w:rPr>
          <w:rFonts w:hint="eastAsia" w:ascii="宋体" w:hAnsi="宋体" w:eastAsia="宋体" w:cs="宋体"/>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lang w:val="en-US" w:eastAsia="zh-CN"/>
        </w:rPr>
        <w:t>一）</w:t>
      </w:r>
      <w:r>
        <w:rPr>
          <w:rFonts w:hint="eastAsia" w:ascii="宋体" w:hAnsi="宋体" w:eastAsia="宋体" w:cs="宋体"/>
          <w:bCs w:val="0"/>
          <w:color w:val="auto"/>
          <w:kern w:val="0"/>
          <w:sz w:val="24"/>
          <w:szCs w:val="24"/>
          <w:highlight w:val="none"/>
        </w:rPr>
        <w:t>商务</w:t>
      </w:r>
      <w:r>
        <w:rPr>
          <w:rFonts w:hint="eastAsia" w:ascii="宋体" w:hAnsi="宋体" w:cs="宋体"/>
          <w:b/>
          <w:bCs/>
          <w:color w:val="auto"/>
          <w:sz w:val="24"/>
          <w:highlight w:val="none"/>
        </w:rPr>
        <w:t>条款</w:t>
      </w:r>
      <w:r>
        <w:rPr>
          <w:rFonts w:hint="eastAsia" w:ascii="宋体" w:hAnsi="宋体" w:eastAsia="宋体" w:cs="宋体"/>
          <w:bCs w:val="0"/>
          <w:color w:val="auto"/>
          <w:kern w:val="0"/>
          <w:sz w:val="24"/>
          <w:szCs w:val="24"/>
          <w:highlight w:val="none"/>
        </w:rPr>
        <w:t>偏离表</w:t>
      </w:r>
    </w:p>
    <w:tbl>
      <w:tblPr>
        <w:tblStyle w:val="3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681"/>
        <w:gridCol w:w="1008"/>
        <w:gridCol w:w="1164"/>
      </w:tblGrid>
      <w:tr w14:paraId="2D41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2" w:type="dxa"/>
            <w:shd w:val="clear" w:color="auto" w:fill="F3F3F3"/>
            <w:noWrap/>
            <w:vAlign w:val="center"/>
          </w:tcPr>
          <w:p w14:paraId="19DFA751">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序号</w:t>
            </w:r>
          </w:p>
        </w:tc>
        <w:tc>
          <w:tcPr>
            <w:tcW w:w="5681" w:type="dxa"/>
            <w:shd w:val="clear" w:color="auto" w:fill="F3F3F3"/>
            <w:noWrap/>
            <w:vAlign w:val="center"/>
          </w:tcPr>
          <w:p w14:paraId="0736BB76">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主要商务条款</w:t>
            </w:r>
          </w:p>
        </w:tc>
        <w:tc>
          <w:tcPr>
            <w:tcW w:w="1008" w:type="dxa"/>
            <w:shd w:val="clear" w:color="auto" w:fill="F3F3F3"/>
            <w:noWrap/>
            <w:vAlign w:val="center"/>
          </w:tcPr>
          <w:p w14:paraId="49F4ED10">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是否</w:t>
            </w:r>
          </w:p>
          <w:p w14:paraId="7179F8AA">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响应</w:t>
            </w:r>
          </w:p>
        </w:tc>
        <w:tc>
          <w:tcPr>
            <w:tcW w:w="1164" w:type="dxa"/>
            <w:shd w:val="clear" w:color="auto" w:fill="F3F3F3"/>
            <w:noWrap/>
            <w:vAlign w:val="center"/>
          </w:tcPr>
          <w:p w14:paraId="533722BE">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偏离说明</w:t>
            </w:r>
          </w:p>
        </w:tc>
      </w:tr>
      <w:tr w14:paraId="5FB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noWrap/>
            <w:vAlign w:val="center"/>
          </w:tcPr>
          <w:p w14:paraId="0FF82E03">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1</w:t>
            </w:r>
          </w:p>
        </w:tc>
        <w:tc>
          <w:tcPr>
            <w:tcW w:w="5681" w:type="dxa"/>
            <w:noWrap/>
            <w:vAlign w:val="center"/>
          </w:tcPr>
          <w:p w14:paraId="5E5A661C">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rPr>
              <w:t>完全理解并接受对合格供应商、合格的服务质量和其他服务要求；</w:t>
            </w:r>
          </w:p>
        </w:tc>
        <w:tc>
          <w:tcPr>
            <w:tcW w:w="1008" w:type="dxa"/>
            <w:noWrap/>
            <w:vAlign w:val="center"/>
          </w:tcPr>
          <w:p w14:paraId="6C9547C8">
            <w:pPr>
              <w:pStyle w:val="89"/>
              <w:keepNext w:val="0"/>
              <w:keepLines w:val="0"/>
              <w:suppressLineNumbers w:val="0"/>
              <w:adjustRightInd/>
              <w:spacing w:before="0" w:beforeAutospacing="0" w:after="0" w:afterAutospacing="0" w:line="360" w:lineRule="auto"/>
              <w:ind w:left="0" w:right="0"/>
              <w:textAlignment w:val="auto"/>
              <w:rPr>
                <w:rFonts w:hint="default" w:ascii="宋体" w:hAnsi="宋体" w:cs="宋体"/>
                <w:snapToGrid/>
                <w:color w:val="auto"/>
                <w:spacing w:val="0"/>
                <w:kern w:val="2"/>
                <w:szCs w:val="24"/>
                <w:highlight w:val="none"/>
              </w:rPr>
            </w:pPr>
          </w:p>
        </w:tc>
        <w:tc>
          <w:tcPr>
            <w:tcW w:w="1164" w:type="dxa"/>
            <w:noWrap/>
            <w:vAlign w:val="center"/>
          </w:tcPr>
          <w:p w14:paraId="533BE71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3776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noWrap/>
            <w:vAlign w:val="center"/>
          </w:tcPr>
          <w:p w14:paraId="2E9AD471">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2</w:t>
            </w:r>
          </w:p>
        </w:tc>
        <w:tc>
          <w:tcPr>
            <w:tcW w:w="5681" w:type="dxa"/>
            <w:noWrap/>
            <w:vAlign w:val="center"/>
          </w:tcPr>
          <w:p w14:paraId="75A16886">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rPr>
              <w:t>完全理解并接受对供应商的各项须知、规约要求和责任义务；</w:t>
            </w:r>
          </w:p>
        </w:tc>
        <w:tc>
          <w:tcPr>
            <w:tcW w:w="1008" w:type="dxa"/>
            <w:noWrap/>
            <w:vAlign w:val="center"/>
          </w:tcPr>
          <w:p w14:paraId="6833044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64" w:type="dxa"/>
            <w:noWrap/>
            <w:vAlign w:val="center"/>
          </w:tcPr>
          <w:p w14:paraId="5BBE197A">
            <w:pPr>
              <w:keepNext w:val="0"/>
              <w:keepLines w:val="0"/>
              <w:suppressLineNumbers w:val="0"/>
              <w:spacing w:before="0" w:beforeAutospacing="0" w:after="0" w:afterAutospacing="0" w:line="360" w:lineRule="auto"/>
              <w:ind w:left="0" w:right="-35"/>
              <w:jc w:val="center"/>
              <w:rPr>
                <w:rFonts w:hint="default" w:ascii="宋体" w:hAnsi="宋体" w:cs="宋体"/>
                <w:color w:val="auto"/>
                <w:sz w:val="24"/>
                <w:highlight w:val="none"/>
              </w:rPr>
            </w:pPr>
          </w:p>
        </w:tc>
      </w:tr>
      <w:tr w14:paraId="68D6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noWrap/>
            <w:vAlign w:val="center"/>
          </w:tcPr>
          <w:p w14:paraId="4F685BD5">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3</w:t>
            </w:r>
          </w:p>
        </w:tc>
        <w:tc>
          <w:tcPr>
            <w:tcW w:w="5681" w:type="dxa"/>
            <w:noWrap/>
            <w:vAlign w:val="center"/>
          </w:tcPr>
          <w:p w14:paraId="23379656">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008" w:type="dxa"/>
            <w:noWrap/>
            <w:vAlign w:val="center"/>
          </w:tcPr>
          <w:p w14:paraId="3C3E2B6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64" w:type="dxa"/>
            <w:noWrap/>
            <w:vAlign w:val="center"/>
          </w:tcPr>
          <w:p w14:paraId="7222AEA3">
            <w:pPr>
              <w:keepNext w:val="0"/>
              <w:keepLines w:val="0"/>
              <w:suppressLineNumbers w:val="0"/>
              <w:spacing w:before="0" w:beforeAutospacing="0" w:after="0" w:afterAutospacing="0" w:line="360" w:lineRule="auto"/>
              <w:ind w:left="0" w:right="-35"/>
              <w:jc w:val="center"/>
              <w:rPr>
                <w:rFonts w:hint="default" w:ascii="宋体" w:hAnsi="宋体" w:cs="宋体"/>
                <w:color w:val="auto"/>
                <w:sz w:val="24"/>
                <w:highlight w:val="none"/>
              </w:rPr>
            </w:pPr>
          </w:p>
        </w:tc>
      </w:tr>
      <w:tr w14:paraId="7CAD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noWrap/>
            <w:vAlign w:val="center"/>
          </w:tcPr>
          <w:p w14:paraId="5796CEE6">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4</w:t>
            </w:r>
          </w:p>
        </w:tc>
        <w:tc>
          <w:tcPr>
            <w:tcW w:w="5681" w:type="dxa"/>
            <w:noWrap/>
            <w:vAlign w:val="center"/>
          </w:tcPr>
          <w:p w14:paraId="3CFF45BF">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投标有效期：从提交响应文件截止之日起</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0日历天</w:t>
            </w:r>
          </w:p>
        </w:tc>
        <w:tc>
          <w:tcPr>
            <w:tcW w:w="1008" w:type="dxa"/>
            <w:noWrap/>
            <w:vAlign w:val="center"/>
          </w:tcPr>
          <w:p w14:paraId="5FE19C3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64" w:type="dxa"/>
            <w:noWrap/>
            <w:vAlign w:val="center"/>
          </w:tcPr>
          <w:p w14:paraId="664977FF">
            <w:pPr>
              <w:keepNext w:val="0"/>
              <w:keepLines w:val="0"/>
              <w:suppressLineNumbers w:val="0"/>
              <w:spacing w:before="0" w:beforeAutospacing="0" w:after="0" w:afterAutospacing="0" w:line="360" w:lineRule="auto"/>
              <w:ind w:left="0" w:right="-35"/>
              <w:jc w:val="center"/>
              <w:rPr>
                <w:rFonts w:hint="default" w:ascii="宋体" w:hAnsi="宋体" w:cs="宋体"/>
                <w:color w:val="auto"/>
                <w:sz w:val="24"/>
                <w:highlight w:val="none"/>
              </w:rPr>
            </w:pPr>
          </w:p>
        </w:tc>
      </w:tr>
      <w:tr w14:paraId="1A67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noWrap/>
            <w:vAlign w:val="center"/>
          </w:tcPr>
          <w:p w14:paraId="2981F617">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5</w:t>
            </w:r>
          </w:p>
        </w:tc>
        <w:tc>
          <w:tcPr>
            <w:tcW w:w="5681" w:type="dxa"/>
            <w:noWrap/>
            <w:vAlign w:val="center"/>
          </w:tcPr>
          <w:p w14:paraId="6A66F5EF">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rPr>
              <w:t>响应内容均涵盖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要求及一切费用和伴随服务；</w:t>
            </w:r>
          </w:p>
        </w:tc>
        <w:tc>
          <w:tcPr>
            <w:tcW w:w="1008" w:type="dxa"/>
            <w:noWrap/>
            <w:vAlign w:val="center"/>
          </w:tcPr>
          <w:p w14:paraId="48A4C72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64" w:type="dxa"/>
            <w:noWrap/>
            <w:vAlign w:val="center"/>
          </w:tcPr>
          <w:p w14:paraId="1F134DE6">
            <w:pPr>
              <w:pStyle w:val="89"/>
              <w:keepNext w:val="0"/>
              <w:keepLines w:val="0"/>
              <w:suppressLineNumbers w:val="0"/>
              <w:adjustRightInd/>
              <w:spacing w:before="0" w:beforeAutospacing="0" w:after="0" w:afterAutospacing="0" w:line="360" w:lineRule="auto"/>
              <w:ind w:left="0" w:right="0"/>
              <w:textAlignment w:val="auto"/>
              <w:rPr>
                <w:rFonts w:hint="default" w:ascii="宋体" w:hAnsi="宋体" w:cs="宋体"/>
                <w:snapToGrid/>
                <w:color w:val="auto"/>
                <w:spacing w:val="0"/>
                <w:kern w:val="2"/>
                <w:szCs w:val="24"/>
                <w:highlight w:val="none"/>
              </w:rPr>
            </w:pPr>
          </w:p>
        </w:tc>
      </w:tr>
      <w:tr w14:paraId="21F2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noWrap/>
            <w:vAlign w:val="center"/>
          </w:tcPr>
          <w:p w14:paraId="69CDBFD3">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6</w:t>
            </w:r>
          </w:p>
        </w:tc>
        <w:tc>
          <w:tcPr>
            <w:tcW w:w="5681" w:type="dxa"/>
            <w:noWrap/>
            <w:vAlign w:val="center"/>
          </w:tcPr>
          <w:p w14:paraId="530569F3">
            <w:pPr>
              <w:spacing w:line="360" w:lineRule="auto"/>
              <w:rPr>
                <w:rFonts w:hint="default" w:ascii="宋体" w:hAnsi="宋体" w:cs="宋体"/>
                <w:color w:val="auto"/>
                <w:sz w:val="24"/>
                <w:highlight w:val="none"/>
              </w:rPr>
            </w:pPr>
            <w:r>
              <w:rPr>
                <w:rFonts w:hint="eastAsia" w:ascii="宋体" w:hAnsi="宋体" w:eastAsia="宋体" w:cs="宋体"/>
                <w:color w:val="auto"/>
                <w:sz w:val="24"/>
                <w:highlight w:val="none"/>
              </w:rPr>
              <w:t>同意接受本项目服务期或相关进度安排要求；</w:t>
            </w:r>
          </w:p>
        </w:tc>
        <w:tc>
          <w:tcPr>
            <w:tcW w:w="1008" w:type="dxa"/>
            <w:noWrap/>
            <w:vAlign w:val="center"/>
          </w:tcPr>
          <w:p w14:paraId="7898C66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164" w:type="dxa"/>
            <w:noWrap/>
            <w:vAlign w:val="center"/>
          </w:tcPr>
          <w:p w14:paraId="1446D35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1D92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noWrap/>
            <w:vAlign w:val="center"/>
          </w:tcPr>
          <w:p w14:paraId="4F00D4B0">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default" w:ascii="宋体" w:hAnsi="宋体" w:cs="宋体"/>
                <w:color w:val="auto"/>
                <w:sz w:val="24"/>
                <w:highlight w:val="none"/>
              </w:rPr>
            </w:pPr>
            <w:r>
              <w:rPr>
                <w:rFonts w:hint="eastAsia" w:ascii="宋体" w:hAnsi="宋体" w:eastAsia="宋体" w:cs="宋体"/>
                <w:color w:val="auto"/>
                <w:sz w:val="24"/>
                <w:szCs w:val="24"/>
                <w:highlight w:val="none"/>
              </w:rPr>
              <w:t>7</w:t>
            </w:r>
          </w:p>
        </w:tc>
        <w:tc>
          <w:tcPr>
            <w:tcW w:w="5681" w:type="dxa"/>
            <w:noWrap/>
            <w:vAlign w:val="center"/>
          </w:tcPr>
          <w:p w14:paraId="14D693E7">
            <w:pPr>
              <w:pStyle w:val="26"/>
              <w:spacing w:line="360" w:lineRule="auto"/>
              <w:rPr>
                <w:rFonts w:hint="default"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w:t>
            </w:r>
            <w:r>
              <w:rPr>
                <w:rFonts w:hint="eastAsia" w:ascii="宋体" w:hAnsi="宋体" w:eastAsia="宋体" w:cs="宋体"/>
                <w:b w:val="0"/>
                <w:bCs w:val="0"/>
                <w:color w:val="auto"/>
                <w:kern w:val="2"/>
                <w:sz w:val="24"/>
                <w:szCs w:val="24"/>
                <w:highlight w:val="none"/>
                <w:lang w:val="en-US" w:eastAsia="zh-CN"/>
              </w:rPr>
              <w:t>投标</w:t>
            </w:r>
            <w:r>
              <w:rPr>
                <w:rFonts w:hint="eastAsia" w:ascii="宋体" w:hAnsi="宋体" w:eastAsia="宋体" w:cs="宋体"/>
                <w:b w:val="0"/>
                <w:bCs w:val="0"/>
                <w:color w:val="auto"/>
                <w:kern w:val="2"/>
                <w:sz w:val="24"/>
                <w:szCs w:val="24"/>
                <w:highlight w:val="none"/>
              </w:rPr>
              <w:t>文件内容的真实性和有效性进行审查、验证；</w:t>
            </w:r>
          </w:p>
        </w:tc>
        <w:tc>
          <w:tcPr>
            <w:tcW w:w="1008" w:type="dxa"/>
            <w:noWrap/>
            <w:vAlign w:val="center"/>
          </w:tcPr>
          <w:p w14:paraId="2C142FBC">
            <w:pPr>
              <w:pStyle w:val="90"/>
              <w:keepNext w:val="0"/>
              <w:keepLines w:val="0"/>
              <w:numPr>
                <w:ilvl w:val="0"/>
                <w:numId w:val="0"/>
              </w:numPr>
              <w:suppressLineNumbers w:val="0"/>
              <w:spacing w:before="0" w:beforeAutospacing="0" w:after="0" w:afterAutospacing="0"/>
              <w:ind w:right="0"/>
              <w:rPr>
                <w:rFonts w:hint="default" w:ascii="宋体" w:hAnsi="宋体" w:cs="宋体"/>
                <w:color w:val="auto"/>
                <w:sz w:val="24"/>
                <w:szCs w:val="24"/>
                <w:highlight w:val="none"/>
              </w:rPr>
            </w:pPr>
          </w:p>
        </w:tc>
        <w:tc>
          <w:tcPr>
            <w:tcW w:w="1164" w:type="dxa"/>
            <w:noWrap/>
            <w:vAlign w:val="center"/>
          </w:tcPr>
          <w:p w14:paraId="26423ED7">
            <w:pPr>
              <w:pStyle w:val="89"/>
              <w:keepNext w:val="0"/>
              <w:keepLines w:val="0"/>
              <w:suppressLineNumbers w:val="0"/>
              <w:adjustRightInd/>
              <w:spacing w:before="0" w:beforeAutospacing="0" w:after="0" w:afterAutospacing="0" w:line="360" w:lineRule="auto"/>
              <w:ind w:left="0" w:right="0"/>
              <w:jc w:val="both"/>
              <w:textAlignment w:val="auto"/>
              <w:rPr>
                <w:rFonts w:hint="default" w:ascii="宋体" w:hAnsi="宋体" w:cs="宋体"/>
                <w:snapToGrid/>
                <w:color w:val="auto"/>
                <w:spacing w:val="0"/>
                <w:kern w:val="2"/>
                <w:szCs w:val="24"/>
                <w:highlight w:val="none"/>
              </w:rPr>
            </w:pPr>
          </w:p>
        </w:tc>
      </w:tr>
      <w:tr w14:paraId="69B1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noWrap/>
            <w:vAlign w:val="center"/>
          </w:tcPr>
          <w:p w14:paraId="3909B37F">
            <w:pPr>
              <w:keepNext w:val="0"/>
              <w:keepLines w:val="0"/>
              <w:pageBreakBefore w:val="0"/>
              <w:suppressLineNumbers w:val="0"/>
              <w:wordWrap/>
              <w:overflowPunct/>
              <w:topLinePunct w:val="0"/>
              <w:bidi w:val="0"/>
              <w:spacing w:before="0" w:beforeAutospacing="0" w:after="0" w:afterAutospacing="0" w:line="56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681" w:type="dxa"/>
            <w:noWrap/>
            <w:vAlign w:val="center"/>
          </w:tcPr>
          <w:p w14:paraId="72373B1C">
            <w:pPr>
              <w:pStyle w:val="26"/>
              <w:spacing w:line="360" w:lineRule="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同意接受本项目“第四章 项目服务需求”中商务条款要求所有条款。</w:t>
            </w:r>
          </w:p>
        </w:tc>
        <w:tc>
          <w:tcPr>
            <w:tcW w:w="1008" w:type="dxa"/>
            <w:noWrap/>
            <w:vAlign w:val="center"/>
          </w:tcPr>
          <w:p w14:paraId="06F19718">
            <w:pPr>
              <w:pStyle w:val="90"/>
              <w:keepNext w:val="0"/>
              <w:keepLines w:val="0"/>
              <w:numPr>
                <w:ilvl w:val="0"/>
                <w:numId w:val="0"/>
              </w:numPr>
              <w:suppressLineNumbers w:val="0"/>
              <w:spacing w:before="0" w:beforeAutospacing="0" w:after="0" w:afterAutospacing="0"/>
              <w:ind w:right="0"/>
              <w:rPr>
                <w:rFonts w:hint="default" w:ascii="宋体" w:hAnsi="宋体" w:cs="宋体"/>
                <w:color w:val="auto"/>
                <w:sz w:val="24"/>
                <w:szCs w:val="24"/>
                <w:highlight w:val="none"/>
              </w:rPr>
            </w:pPr>
          </w:p>
        </w:tc>
        <w:tc>
          <w:tcPr>
            <w:tcW w:w="1164" w:type="dxa"/>
            <w:noWrap/>
            <w:vAlign w:val="center"/>
          </w:tcPr>
          <w:p w14:paraId="3EE9F118">
            <w:pPr>
              <w:pStyle w:val="89"/>
              <w:keepNext w:val="0"/>
              <w:keepLines w:val="0"/>
              <w:suppressLineNumbers w:val="0"/>
              <w:adjustRightInd/>
              <w:spacing w:before="0" w:beforeAutospacing="0" w:after="0" w:afterAutospacing="0" w:line="360" w:lineRule="auto"/>
              <w:ind w:left="0" w:right="0"/>
              <w:jc w:val="both"/>
              <w:textAlignment w:val="auto"/>
              <w:rPr>
                <w:rFonts w:hint="default" w:ascii="宋体" w:hAnsi="宋体" w:cs="宋体"/>
                <w:snapToGrid/>
                <w:color w:val="auto"/>
                <w:spacing w:val="0"/>
                <w:kern w:val="2"/>
                <w:szCs w:val="24"/>
                <w:highlight w:val="none"/>
              </w:rPr>
            </w:pPr>
          </w:p>
        </w:tc>
      </w:tr>
    </w:tbl>
    <w:p w14:paraId="72744F33">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36AD6155">
      <w:pPr>
        <w:numPr>
          <w:ilvl w:val="0"/>
          <w:numId w:val="5"/>
        </w:numPr>
        <w:spacing w:line="360" w:lineRule="auto"/>
        <w:rPr>
          <w:rFonts w:ascii="宋体" w:hAnsi="宋体" w:cs="宋体"/>
          <w:color w:val="auto"/>
          <w:sz w:val="24"/>
          <w:highlight w:val="none"/>
          <w:lang w:val="en-GB"/>
        </w:rPr>
      </w:pPr>
      <w:r>
        <w:rPr>
          <w:rFonts w:hint="eastAsia" w:ascii="宋体" w:hAnsi="宋体" w:cs="宋体"/>
          <w:color w:val="auto"/>
          <w:sz w:val="24"/>
          <w:highlight w:val="none"/>
        </w:rPr>
        <w:t>对</w:t>
      </w:r>
      <w:r>
        <w:rPr>
          <w:rFonts w:hint="eastAsia" w:ascii="宋体" w:hAnsi="宋体" w:cs="宋体"/>
          <w:color w:val="auto"/>
          <w:sz w:val="24"/>
          <w:highlight w:val="none"/>
          <w:lang w:val="en-GB"/>
        </w:rPr>
        <w:t>于上述要求，如投标人完全响应，则请在“是否响应”栏内打“√”，对打“×”视为偏离，请在“偏离说明”栏内扼要说明偏离情况；</w:t>
      </w:r>
    </w:p>
    <w:p w14:paraId="6C83238E">
      <w:pPr>
        <w:numPr>
          <w:ilvl w:val="0"/>
          <w:numId w:val="5"/>
        </w:numPr>
        <w:spacing w:line="360" w:lineRule="auto"/>
        <w:rPr>
          <w:rFonts w:ascii="宋体" w:hAnsi="宋体" w:cs="宋体"/>
          <w:color w:val="auto"/>
          <w:sz w:val="24"/>
          <w:highlight w:val="none"/>
          <w:lang w:val="en-GB"/>
        </w:rPr>
      </w:pPr>
      <w:r>
        <w:rPr>
          <w:rFonts w:hint="eastAsia" w:ascii="宋体" w:hAnsi="宋体" w:cs="宋体"/>
          <w:color w:val="auto"/>
          <w:sz w:val="24"/>
          <w:highlight w:val="none"/>
          <w:lang w:val="en-GB"/>
        </w:rPr>
        <w:t>投标人应认真填写本响应表，若评标委员会在评审期间，发现有虚假填写本响应表的，则将可能被视为存在两个</w:t>
      </w:r>
      <w:r>
        <w:rPr>
          <w:rFonts w:hint="eastAsia" w:ascii="宋体" w:hAnsi="宋体" w:cs="宋体"/>
          <w:color w:val="auto"/>
          <w:sz w:val="24"/>
          <w:highlight w:val="none"/>
        </w:rPr>
        <w:t>响应方案</w:t>
      </w:r>
      <w:r>
        <w:rPr>
          <w:rFonts w:hint="eastAsia" w:ascii="宋体" w:hAnsi="宋体" w:cs="宋体"/>
          <w:color w:val="auto"/>
          <w:sz w:val="24"/>
          <w:highlight w:val="none"/>
          <w:lang w:val="en-GB"/>
        </w:rPr>
        <w:t>，评标委员会将按本招标文件相关规定执行；</w:t>
      </w:r>
    </w:p>
    <w:p w14:paraId="691C0D16">
      <w:pPr>
        <w:numPr>
          <w:ilvl w:val="0"/>
          <w:numId w:val="5"/>
        </w:numPr>
        <w:spacing w:line="360" w:lineRule="auto"/>
        <w:rPr>
          <w:rFonts w:ascii="宋体" w:hAnsi="宋体" w:cs="宋体"/>
          <w:color w:val="auto"/>
          <w:sz w:val="24"/>
          <w:highlight w:val="none"/>
          <w:lang w:val="en-GB"/>
        </w:rPr>
      </w:pPr>
      <w:r>
        <w:rPr>
          <w:rFonts w:hint="eastAsia" w:ascii="宋体" w:hAnsi="宋体" w:cs="宋体"/>
          <w:color w:val="auto"/>
          <w:sz w:val="24"/>
          <w:highlight w:val="none"/>
          <w:lang w:val="en-GB"/>
        </w:rPr>
        <w:t>本表内容不得擅自修改。</w:t>
      </w:r>
    </w:p>
    <w:p w14:paraId="4B7EA68C">
      <w:pPr>
        <w:spacing w:line="360" w:lineRule="auto"/>
        <w:rPr>
          <w:rFonts w:ascii="宋体" w:hAnsi="宋体" w:cs="宋体"/>
          <w:color w:val="auto"/>
          <w:sz w:val="24"/>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14:paraId="28DAF5E0">
      <w:pPr>
        <w:spacing w:before="0" w:after="0" w:line="360" w:lineRule="auto"/>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需求偏离表</w:t>
      </w:r>
    </w:p>
    <w:p w14:paraId="3A4F6BCC">
      <w:pPr>
        <w:keepNext/>
        <w:keepLines/>
        <w:spacing w:line="360" w:lineRule="auto"/>
        <w:rPr>
          <w:rFonts w:hint="eastAsia" w:ascii="宋体" w:hAnsi="宋体" w:eastAsia="宋体" w:cs="宋体"/>
          <w:color w:val="auto"/>
          <w:sz w:val="24"/>
          <w:highlight w:val="none"/>
        </w:rPr>
      </w:pPr>
    </w:p>
    <w:tbl>
      <w:tblPr>
        <w:tblStyle w:val="3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58"/>
        <w:gridCol w:w="1703"/>
        <w:gridCol w:w="1666"/>
        <w:gridCol w:w="1725"/>
        <w:gridCol w:w="743"/>
        <w:gridCol w:w="779"/>
      </w:tblGrid>
      <w:tr w14:paraId="6B8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43" w:type="dxa"/>
            <w:vAlign w:val="center"/>
          </w:tcPr>
          <w:p w14:paraId="59F296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158" w:type="dxa"/>
            <w:vAlign w:val="center"/>
          </w:tcPr>
          <w:p w14:paraId="4E8A766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703" w:type="dxa"/>
            <w:vAlign w:val="center"/>
          </w:tcPr>
          <w:p w14:paraId="12006B5E">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条款号</w:t>
            </w:r>
          </w:p>
        </w:tc>
        <w:tc>
          <w:tcPr>
            <w:tcW w:w="1666" w:type="dxa"/>
            <w:vAlign w:val="center"/>
          </w:tcPr>
          <w:p w14:paraId="73AB2FF1">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的要求</w:t>
            </w:r>
          </w:p>
        </w:tc>
        <w:tc>
          <w:tcPr>
            <w:tcW w:w="1725" w:type="dxa"/>
            <w:vAlign w:val="center"/>
          </w:tcPr>
          <w:p w14:paraId="08F5327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文件的响应</w:t>
            </w:r>
          </w:p>
        </w:tc>
        <w:tc>
          <w:tcPr>
            <w:tcW w:w="743" w:type="dxa"/>
            <w:vAlign w:val="center"/>
          </w:tcPr>
          <w:p w14:paraId="1B8AA84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779" w:type="dxa"/>
            <w:vAlign w:val="center"/>
          </w:tcPr>
          <w:p w14:paraId="70434E2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1210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top"/>
          </w:tcPr>
          <w:p w14:paraId="57153883">
            <w:pPr>
              <w:spacing w:line="360" w:lineRule="auto"/>
              <w:rPr>
                <w:rFonts w:hint="eastAsia" w:ascii="宋体" w:hAnsi="宋体" w:eastAsia="宋体" w:cs="宋体"/>
                <w:color w:val="auto"/>
                <w:sz w:val="24"/>
                <w:highlight w:val="none"/>
              </w:rPr>
            </w:pPr>
          </w:p>
        </w:tc>
        <w:tc>
          <w:tcPr>
            <w:tcW w:w="1158" w:type="dxa"/>
            <w:vAlign w:val="top"/>
          </w:tcPr>
          <w:p w14:paraId="7DDE60EA">
            <w:pPr>
              <w:spacing w:line="360" w:lineRule="auto"/>
              <w:rPr>
                <w:rFonts w:hint="eastAsia" w:ascii="宋体" w:hAnsi="宋体" w:eastAsia="宋体" w:cs="宋体"/>
                <w:color w:val="auto"/>
                <w:sz w:val="24"/>
                <w:highlight w:val="none"/>
              </w:rPr>
            </w:pPr>
          </w:p>
        </w:tc>
        <w:tc>
          <w:tcPr>
            <w:tcW w:w="1703" w:type="dxa"/>
            <w:vAlign w:val="top"/>
          </w:tcPr>
          <w:p w14:paraId="4614E015">
            <w:pPr>
              <w:spacing w:line="360" w:lineRule="auto"/>
              <w:rPr>
                <w:rFonts w:hint="eastAsia" w:ascii="宋体" w:hAnsi="宋体" w:eastAsia="宋体" w:cs="宋体"/>
                <w:color w:val="auto"/>
                <w:sz w:val="24"/>
                <w:highlight w:val="none"/>
              </w:rPr>
            </w:pPr>
          </w:p>
        </w:tc>
        <w:tc>
          <w:tcPr>
            <w:tcW w:w="1666" w:type="dxa"/>
            <w:vAlign w:val="top"/>
          </w:tcPr>
          <w:p w14:paraId="4303DE6E">
            <w:pPr>
              <w:spacing w:line="360" w:lineRule="auto"/>
              <w:rPr>
                <w:rFonts w:hint="eastAsia" w:ascii="宋体" w:hAnsi="宋体" w:eastAsia="宋体" w:cs="宋体"/>
                <w:color w:val="auto"/>
                <w:sz w:val="24"/>
                <w:highlight w:val="none"/>
              </w:rPr>
            </w:pPr>
          </w:p>
        </w:tc>
        <w:tc>
          <w:tcPr>
            <w:tcW w:w="1725" w:type="dxa"/>
            <w:vAlign w:val="top"/>
          </w:tcPr>
          <w:p w14:paraId="4C944D35">
            <w:pPr>
              <w:spacing w:line="360" w:lineRule="auto"/>
              <w:rPr>
                <w:rFonts w:hint="eastAsia" w:ascii="宋体" w:hAnsi="宋体" w:eastAsia="宋体" w:cs="宋体"/>
                <w:color w:val="auto"/>
                <w:sz w:val="24"/>
                <w:highlight w:val="none"/>
              </w:rPr>
            </w:pPr>
          </w:p>
        </w:tc>
        <w:tc>
          <w:tcPr>
            <w:tcW w:w="743" w:type="dxa"/>
            <w:vAlign w:val="top"/>
          </w:tcPr>
          <w:p w14:paraId="24E870DF">
            <w:pPr>
              <w:spacing w:line="360" w:lineRule="auto"/>
              <w:rPr>
                <w:rFonts w:hint="eastAsia" w:ascii="宋体" w:hAnsi="宋体" w:eastAsia="宋体" w:cs="宋体"/>
                <w:color w:val="auto"/>
                <w:sz w:val="24"/>
                <w:highlight w:val="none"/>
              </w:rPr>
            </w:pPr>
          </w:p>
        </w:tc>
        <w:tc>
          <w:tcPr>
            <w:tcW w:w="779" w:type="dxa"/>
            <w:vAlign w:val="top"/>
          </w:tcPr>
          <w:p w14:paraId="5D3FDC90">
            <w:pPr>
              <w:spacing w:line="360" w:lineRule="auto"/>
              <w:rPr>
                <w:rFonts w:hint="eastAsia" w:ascii="宋体" w:hAnsi="宋体" w:eastAsia="宋体" w:cs="宋体"/>
                <w:color w:val="auto"/>
                <w:sz w:val="24"/>
                <w:highlight w:val="none"/>
              </w:rPr>
            </w:pPr>
          </w:p>
        </w:tc>
      </w:tr>
      <w:tr w14:paraId="2AC5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top"/>
          </w:tcPr>
          <w:p w14:paraId="134E8A50">
            <w:pPr>
              <w:spacing w:line="360" w:lineRule="auto"/>
              <w:rPr>
                <w:rFonts w:hint="eastAsia" w:ascii="宋体" w:hAnsi="宋体" w:eastAsia="宋体" w:cs="宋体"/>
                <w:color w:val="auto"/>
                <w:sz w:val="24"/>
                <w:highlight w:val="none"/>
              </w:rPr>
            </w:pPr>
          </w:p>
        </w:tc>
        <w:tc>
          <w:tcPr>
            <w:tcW w:w="1158" w:type="dxa"/>
            <w:vAlign w:val="top"/>
          </w:tcPr>
          <w:p w14:paraId="4206519F">
            <w:pPr>
              <w:spacing w:line="360" w:lineRule="auto"/>
              <w:rPr>
                <w:rFonts w:hint="eastAsia" w:ascii="宋体" w:hAnsi="宋体" w:eastAsia="宋体" w:cs="宋体"/>
                <w:color w:val="auto"/>
                <w:sz w:val="24"/>
                <w:highlight w:val="none"/>
              </w:rPr>
            </w:pPr>
          </w:p>
        </w:tc>
        <w:tc>
          <w:tcPr>
            <w:tcW w:w="1703" w:type="dxa"/>
            <w:vAlign w:val="top"/>
          </w:tcPr>
          <w:p w14:paraId="76AE4541">
            <w:pPr>
              <w:spacing w:line="360" w:lineRule="auto"/>
              <w:rPr>
                <w:rFonts w:hint="eastAsia" w:ascii="宋体" w:hAnsi="宋体" w:eastAsia="宋体" w:cs="宋体"/>
                <w:color w:val="auto"/>
                <w:sz w:val="24"/>
                <w:highlight w:val="none"/>
              </w:rPr>
            </w:pPr>
          </w:p>
        </w:tc>
        <w:tc>
          <w:tcPr>
            <w:tcW w:w="1666" w:type="dxa"/>
            <w:vAlign w:val="top"/>
          </w:tcPr>
          <w:p w14:paraId="7038DEDF">
            <w:pPr>
              <w:spacing w:line="360" w:lineRule="auto"/>
              <w:rPr>
                <w:rFonts w:hint="eastAsia" w:ascii="宋体" w:hAnsi="宋体" w:eastAsia="宋体" w:cs="宋体"/>
                <w:color w:val="auto"/>
                <w:sz w:val="24"/>
                <w:highlight w:val="none"/>
              </w:rPr>
            </w:pPr>
          </w:p>
        </w:tc>
        <w:tc>
          <w:tcPr>
            <w:tcW w:w="1725" w:type="dxa"/>
            <w:vAlign w:val="top"/>
          </w:tcPr>
          <w:p w14:paraId="69A27D30">
            <w:pPr>
              <w:spacing w:line="360" w:lineRule="auto"/>
              <w:rPr>
                <w:rFonts w:hint="eastAsia" w:ascii="宋体" w:hAnsi="宋体" w:eastAsia="宋体" w:cs="宋体"/>
                <w:color w:val="auto"/>
                <w:sz w:val="24"/>
                <w:highlight w:val="none"/>
              </w:rPr>
            </w:pPr>
          </w:p>
        </w:tc>
        <w:tc>
          <w:tcPr>
            <w:tcW w:w="743" w:type="dxa"/>
            <w:vAlign w:val="top"/>
          </w:tcPr>
          <w:p w14:paraId="4D7F4F66">
            <w:pPr>
              <w:spacing w:line="360" w:lineRule="auto"/>
              <w:rPr>
                <w:rFonts w:hint="eastAsia" w:ascii="宋体" w:hAnsi="宋体" w:eastAsia="宋体" w:cs="宋体"/>
                <w:color w:val="auto"/>
                <w:sz w:val="24"/>
                <w:highlight w:val="none"/>
              </w:rPr>
            </w:pPr>
          </w:p>
        </w:tc>
        <w:tc>
          <w:tcPr>
            <w:tcW w:w="779" w:type="dxa"/>
            <w:vAlign w:val="top"/>
          </w:tcPr>
          <w:p w14:paraId="433CE7AA">
            <w:pPr>
              <w:spacing w:line="360" w:lineRule="auto"/>
              <w:rPr>
                <w:rFonts w:hint="eastAsia" w:ascii="宋体" w:hAnsi="宋体" w:eastAsia="宋体" w:cs="宋体"/>
                <w:color w:val="auto"/>
                <w:sz w:val="24"/>
                <w:highlight w:val="none"/>
              </w:rPr>
            </w:pPr>
          </w:p>
        </w:tc>
      </w:tr>
      <w:tr w14:paraId="2986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top"/>
          </w:tcPr>
          <w:p w14:paraId="6B8B319D">
            <w:pPr>
              <w:spacing w:line="360" w:lineRule="auto"/>
              <w:rPr>
                <w:rFonts w:hint="eastAsia" w:ascii="宋体" w:hAnsi="宋体" w:eastAsia="宋体" w:cs="宋体"/>
                <w:color w:val="auto"/>
                <w:sz w:val="24"/>
                <w:highlight w:val="none"/>
              </w:rPr>
            </w:pPr>
          </w:p>
        </w:tc>
        <w:tc>
          <w:tcPr>
            <w:tcW w:w="1158" w:type="dxa"/>
            <w:vAlign w:val="top"/>
          </w:tcPr>
          <w:p w14:paraId="6296D452">
            <w:pPr>
              <w:spacing w:line="360" w:lineRule="auto"/>
              <w:rPr>
                <w:rFonts w:hint="eastAsia" w:ascii="宋体" w:hAnsi="宋体" w:eastAsia="宋体" w:cs="宋体"/>
                <w:color w:val="auto"/>
                <w:sz w:val="24"/>
                <w:highlight w:val="none"/>
              </w:rPr>
            </w:pPr>
          </w:p>
        </w:tc>
        <w:tc>
          <w:tcPr>
            <w:tcW w:w="1703" w:type="dxa"/>
            <w:vAlign w:val="top"/>
          </w:tcPr>
          <w:p w14:paraId="2D810C08">
            <w:pPr>
              <w:spacing w:line="360" w:lineRule="auto"/>
              <w:rPr>
                <w:rFonts w:hint="eastAsia" w:ascii="宋体" w:hAnsi="宋体" w:eastAsia="宋体" w:cs="宋体"/>
                <w:color w:val="auto"/>
                <w:sz w:val="24"/>
                <w:highlight w:val="none"/>
              </w:rPr>
            </w:pPr>
          </w:p>
        </w:tc>
        <w:tc>
          <w:tcPr>
            <w:tcW w:w="1666" w:type="dxa"/>
            <w:vAlign w:val="top"/>
          </w:tcPr>
          <w:p w14:paraId="4566DE7A">
            <w:pPr>
              <w:spacing w:line="360" w:lineRule="auto"/>
              <w:rPr>
                <w:rFonts w:hint="eastAsia" w:ascii="宋体" w:hAnsi="宋体" w:eastAsia="宋体" w:cs="宋体"/>
                <w:color w:val="auto"/>
                <w:sz w:val="24"/>
                <w:highlight w:val="none"/>
              </w:rPr>
            </w:pPr>
          </w:p>
        </w:tc>
        <w:tc>
          <w:tcPr>
            <w:tcW w:w="1725" w:type="dxa"/>
            <w:vAlign w:val="top"/>
          </w:tcPr>
          <w:p w14:paraId="0F7DA632">
            <w:pPr>
              <w:spacing w:line="360" w:lineRule="auto"/>
              <w:rPr>
                <w:rFonts w:hint="eastAsia" w:ascii="宋体" w:hAnsi="宋体" w:eastAsia="宋体" w:cs="宋体"/>
                <w:color w:val="auto"/>
                <w:sz w:val="24"/>
                <w:highlight w:val="none"/>
              </w:rPr>
            </w:pPr>
          </w:p>
        </w:tc>
        <w:tc>
          <w:tcPr>
            <w:tcW w:w="743" w:type="dxa"/>
            <w:vAlign w:val="top"/>
          </w:tcPr>
          <w:p w14:paraId="3A10A940">
            <w:pPr>
              <w:spacing w:line="360" w:lineRule="auto"/>
              <w:rPr>
                <w:rFonts w:hint="eastAsia" w:ascii="宋体" w:hAnsi="宋体" w:eastAsia="宋体" w:cs="宋体"/>
                <w:color w:val="auto"/>
                <w:sz w:val="24"/>
                <w:highlight w:val="none"/>
              </w:rPr>
            </w:pPr>
          </w:p>
        </w:tc>
        <w:tc>
          <w:tcPr>
            <w:tcW w:w="779" w:type="dxa"/>
            <w:vAlign w:val="top"/>
          </w:tcPr>
          <w:p w14:paraId="4CA4FE2E">
            <w:pPr>
              <w:spacing w:line="360" w:lineRule="auto"/>
              <w:rPr>
                <w:rFonts w:hint="eastAsia" w:ascii="宋体" w:hAnsi="宋体" w:eastAsia="宋体" w:cs="宋体"/>
                <w:color w:val="auto"/>
                <w:sz w:val="24"/>
                <w:highlight w:val="none"/>
              </w:rPr>
            </w:pPr>
          </w:p>
        </w:tc>
      </w:tr>
      <w:tr w14:paraId="6DA4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top"/>
          </w:tcPr>
          <w:p w14:paraId="2C463F75">
            <w:pPr>
              <w:spacing w:line="360" w:lineRule="auto"/>
              <w:rPr>
                <w:rFonts w:hint="eastAsia" w:ascii="宋体" w:hAnsi="宋体" w:eastAsia="宋体" w:cs="宋体"/>
                <w:color w:val="auto"/>
                <w:sz w:val="24"/>
                <w:highlight w:val="none"/>
              </w:rPr>
            </w:pPr>
          </w:p>
        </w:tc>
        <w:tc>
          <w:tcPr>
            <w:tcW w:w="1158" w:type="dxa"/>
            <w:vAlign w:val="top"/>
          </w:tcPr>
          <w:p w14:paraId="1D4ADFAA">
            <w:pPr>
              <w:spacing w:line="360" w:lineRule="auto"/>
              <w:rPr>
                <w:rFonts w:hint="eastAsia" w:ascii="宋体" w:hAnsi="宋体" w:eastAsia="宋体" w:cs="宋体"/>
                <w:color w:val="auto"/>
                <w:sz w:val="24"/>
                <w:highlight w:val="none"/>
              </w:rPr>
            </w:pPr>
          </w:p>
        </w:tc>
        <w:tc>
          <w:tcPr>
            <w:tcW w:w="1703" w:type="dxa"/>
            <w:vAlign w:val="top"/>
          </w:tcPr>
          <w:p w14:paraId="466686AE">
            <w:pPr>
              <w:spacing w:line="360" w:lineRule="auto"/>
              <w:rPr>
                <w:rFonts w:hint="eastAsia" w:ascii="宋体" w:hAnsi="宋体" w:eastAsia="宋体" w:cs="宋体"/>
                <w:color w:val="auto"/>
                <w:sz w:val="24"/>
                <w:highlight w:val="none"/>
              </w:rPr>
            </w:pPr>
          </w:p>
        </w:tc>
        <w:tc>
          <w:tcPr>
            <w:tcW w:w="1666" w:type="dxa"/>
            <w:vAlign w:val="top"/>
          </w:tcPr>
          <w:p w14:paraId="1BAD761B">
            <w:pPr>
              <w:spacing w:line="360" w:lineRule="auto"/>
              <w:rPr>
                <w:rFonts w:hint="eastAsia" w:ascii="宋体" w:hAnsi="宋体" w:eastAsia="宋体" w:cs="宋体"/>
                <w:color w:val="auto"/>
                <w:sz w:val="24"/>
                <w:highlight w:val="none"/>
              </w:rPr>
            </w:pPr>
          </w:p>
        </w:tc>
        <w:tc>
          <w:tcPr>
            <w:tcW w:w="1725" w:type="dxa"/>
            <w:vAlign w:val="top"/>
          </w:tcPr>
          <w:p w14:paraId="7E767216">
            <w:pPr>
              <w:spacing w:line="360" w:lineRule="auto"/>
              <w:rPr>
                <w:rFonts w:hint="eastAsia" w:ascii="宋体" w:hAnsi="宋体" w:eastAsia="宋体" w:cs="宋体"/>
                <w:color w:val="auto"/>
                <w:sz w:val="24"/>
                <w:highlight w:val="none"/>
              </w:rPr>
            </w:pPr>
          </w:p>
        </w:tc>
        <w:tc>
          <w:tcPr>
            <w:tcW w:w="743" w:type="dxa"/>
            <w:vAlign w:val="top"/>
          </w:tcPr>
          <w:p w14:paraId="0A22CD5A">
            <w:pPr>
              <w:spacing w:line="360" w:lineRule="auto"/>
              <w:rPr>
                <w:rFonts w:hint="eastAsia" w:ascii="宋体" w:hAnsi="宋体" w:eastAsia="宋体" w:cs="宋体"/>
                <w:color w:val="auto"/>
                <w:sz w:val="24"/>
                <w:highlight w:val="none"/>
              </w:rPr>
            </w:pPr>
          </w:p>
        </w:tc>
        <w:tc>
          <w:tcPr>
            <w:tcW w:w="779" w:type="dxa"/>
            <w:vAlign w:val="top"/>
          </w:tcPr>
          <w:p w14:paraId="7F1E3017">
            <w:pPr>
              <w:spacing w:line="360" w:lineRule="auto"/>
              <w:rPr>
                <w:rFonts w:hint="eastAsia" w:ascii="宋体" w:hAnsi="宋体" w:eastAsia="宋体" w:cs="宋体"/>
                <w:color w:val="auto"/>
                <w:sz w:val="24"/>
                <w:highlight w:val="none"/>
              </w:rPr>
            </w:pPr>
          </w:p>
        </w:tc>
      </w:tr>
      <w:tr w14:paraId="5A50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top"/>
          </w:tcPr>
          <w:p w14:paraId="06113B63">
            <w:pPr>
              <w:spacing w:line="360" w:lineRule="auto"/>
              <w:rPr>
                <w:rFonts w:hint="eastAsia" w:ascii="宋体" w:hAnsi="宋体" w:eastAsia="宋体" w:cs="宋体"/>
                <w:color w:val="auto"/>
                <w:sz w:val="24"/>
                <w:highlight w:val="none"/>
              </w:rPr>
            </w:pPr>
          </w:p>
        </w:tc>
        <w:tc>
          <w:tcPr>
            <w:tcW w:w="1158" w:type="dxa"/>
            <w:vAlign w:val="top"/>
          </w:tcPr>
          <w:p w14:paraId="13BC6362">
            <w:pPr>
              <w:spacing w:line="360" w:lineRule="auto"/>
              <w:rPr>
                <w:rFonts w:hint="eastAsia" w:ascii="宋体" w:hAnsi="宋体" w:eastAsia="宋体" w:cs="宋体"/>
                <w:color w:val="auto"/>
                <w:sz w:val="24"/>
                <w:highlight w:val="none"/>
              </w:rPr>
            </w:pPr>
          </w:p>
        </w:tc>
        <w:tc>
          <w:tcPr>
            <w:tcW w:w="1703" w:type="dxa"/>
            <w:vAlign w:val="top"/>
          </w:tcPr>
          <w:p w14:paraId="74C751A6">
            <w:pPr>
              <w:spacing w:line="360" w:lineRule="auto"/>
              <w:rPr>
                <w:rFonts w:hint="eastAsia" w:ascii="宋体" w:hAnsi="宋体" w:eastAsia="宋体" w:cs="宋体"/>
                <w:color w:val="auto"/>
                <w:sz w:val="24"/>
                <w:highlight w:val="none"/>
              </w:rPr>
            </w:pPr>
          </w:p>
        </w:tc>
        <w:tc>
          <w:tcPr>
            <w:tcW w:w="1666" w:type="dxa"/>
            <w:vAlign w:val="top"/>
          </w:tcPr>
          <w:p w14:paraId="3B55D6F6">
            <w:pPr>
              <w:spacing w:line="360" w:lineRule="auto"/>
              <w:rPr>
                <w:rFonts w:hint="eastAsia" w:ascii="宋体" w:hAnsi="宋体" w:eastAsia="宋体" w:cs="宋体"/>
                <w:color w:val="auto"/>
                <w:sz w:val="24"/>
                <w:highlight w:val="none"/>
              </w:rPr>
            </w:pPr>
          </w:p>
        </w:tc>
        <w:tc>
          <w:tcPr>
            <w:tcW w:w="1725" w:type="dxa"/>
            <w:vAlign w:val="top"/>
          </w:tcPr>
          <w:p w14:paraId="35C2264A">
            <w:pPr>
              <w:spacing w:line="360" w:lineRule="auto"/>
              <w:rPr>
                <w:rFonts w:hint="eastAsia" w:ascii="宋体" w:hAnsi="宋体" w:eastAsia="宋体" w:cs="宋体"/>
                <w:color w:val="auto"/>
                <w:sz w:val="24"/>
                <w:highlight w:val="none"/>
              </w:rPr>
            </w:pPr>
          </w:p>
        </w:tc>
        <w:tc>
          <w:tcPr>
            <w:tcW w:w="743" w:type="dxa"/>
            <w:vAlign w:val="top"/>
          </w:tcPr>
          <w:p w14:paraId="1B1898FF">
            <w:pPr>
              <w:spacing w:line="360" w:lineRule="auto"/>
              <w:rPr>
                <w:rFonts w:hint="eastAsia" w:ascii="宋体" w:hAnsi="宋体" w:eastAsia="宋体" w:cs="宋体"/>
                <w:color w:val="auto"/>
                <w:sz w:val="24"/>
                <w:highlight w:val="none"/>
              </w:rPr>
            </w:pPr>
          </w:p>
        </w:tc>
        <w:tc>
          <w:tcPr>
            <w:tcW w:w="779" w:type="dxa"/>
            <w:vAlign w:val="top"/>
          </w:tcPr>
          <w:p w14:paraId="09DD4EDB">
            <w:pPr>
              <w:spacing w:line="360" w:lineRule="auto"/>
              <w:rPr>
                <w:rFonts w:hint="eastAsia" w:ascii="宋体" w:hAnsi="宋体" w:eastAsia="宋体" w:cs="宋体"/>
                <w:color w:val="auto"/>
                <w:sz w:val="24"/>
                <w:highlight w:val="none"/>
              </w:rPr>
            </w:pPr>
          </w:p>
        </w:tc>
      </w:tr>
    </w:tbl>
    <w:p w14:paraId="670FB2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应根据其提供的服务，对照</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“第四章 项目服务</w:t>
      </w:r>
      <w:r>
        <w:rPr>
          <w:rFonts w:hint="eastAsia" w:ascii="宋体" w:hAnsi="宋体" w:eastAsia="宋体" w:cs="宋体"/>
          <w:color w:val="auto"/>
          <w:sz w:val="24"/>
          <w:highlight w:val="none"/>
          <w:lang w:val="en-US" w:eastAsia="zh-CN"/>
        </w:rPr>
        <w:t>需求</w:t>
      </w:r>
      <w:r>
        <w:rPr>
          <w:rFonts w:hint="eastAsia" w:ascii="宋体" w:hAnsi="宋体" w:cs="宋体"/>
          <w:color w:val="auto"/>
          <w:sz w:val="24"/>
          <w:highlight w:val="none"/>
          <w:lang w:val="en-US" w:eastAsia="zh-CN"/>
        </w:rPr>
        <w:t xml:space="preserve"> 一、技术需求</w:t>
      </w:r>
      <w:r>
        <w:rPr>
          <w:rFonts w:hint="eastAsia" w:ascii="宋体" w:hAnsi="宋体" w:eastAsia="宋体" w:cs="宋体"/>
          <w:color w:val="auto"/>
          <w:sz w:val="24"/>
          <w:highlight w:val="none"/>
        </w:rPr>
        <w:t>”中的条款号逐项填写，“</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文件的响应”一栏应如实反映响应服务情况，不得复制</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内容，不得虚假响应，否则将视为未实质性响应</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要求，按无效</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处理。</w:t>
      </w:r>
    </w:p>
    <w:p w14:paraId="6463A801">
      <w:pPr>
        <w:pageBreakBefore w:val="0"/>
        <w:shd w:val="clear" w:color="auto" w:fill="auto"/>
        <w:kinsoku/>
        <w:wordWrap/>
        <w:overflowPunct/>
        <w:topLinePunct w:val="0"/>
        <w:bidi w:val="0"/>
        <w:adjustRightInd w:val="0"/>
        <w:spacing w:line="560" w:lineRule="exact"/>
        <w:ind w:left="0" w:leftChars="0" w:right="0" w:rightChars="0" w:firstLine="0" w:firstLineChars="0"/>
        <w:jc w:val="center"/>
        <w:rPr>
          <w:rFonts w:hint="eastAsia" w:ascii="宋体" w:hAnsi="宋体" w:eastAsia="宋体" w:cs="宋体"/>
          <w:bCs/>
          <w:caps w:val="0"/>
          <w:color w:val="auto"/>
          <w:spacing w:val="0"/>
          <w:w w:val="100"/>
          <w:sz w:val="24"/>
          <w:szCs w:val="24"/>
          <w:highlight w:val="none"/>
        </w:rPr>
      </w:pPr>
      <w:r>
        <w:rPr>
          <w:rFonts w:hint="eastAsia" w:ascii="宋体" w:hAnsi="宋体" w:eastAsia="宋体" w:cs="宋体"/>
          <w:bCs/>
          <w:caps w:val="0"/>
          <w:color w:val="auto"/>
          <w:spacing w:val="0"/>
          <w:w w:val="100"/>
          <w:sz w:val="24"/>
          <w:szCs w:val="24"/>
          <w:highlight w:val="none"/>
          <w:lang w:val="en-US" w:eastAsia="zh-CN"/>
        </w:rPr>
        <w:t xml:space="preserve">                     </w:t>
      </w:r>
    </w:p>
    <w:p w14:paraId="033A10F1">
      <w:pPr>
        <w:pStyle w:val="21"/>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投标人名称（盖章）：</w:t>
      </w:r>
    </w:p>
    <w:p w14:paraId="62B47D1D">
      <w:pPr>
        <w:pStyle w:val="21"/>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40A6AAE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49C036EF">
      <w:pPr>
        <w:rPr>
          <w:rFonts w:hint="default"/>
          <w:color w:val="auto"/>
          <w:highlight w:val="none"/>
          <w:lang w:val="en-US" w:eastAsia="zh-CN"/>
        </w:rPr>
      </w:pPr>
      <w:r>
        <w:rPr>
          <w:rFonts w:hint="default"/>
          <w:color w:val="auto"/>
          <w:highlight w:val="none"/>
          <w:lang w:val="en-US" w:eastAsia="zh-CN"/>
        </w:rPr>
        <w:br w:type="page"/>
      </w:r>
    </w:p>
    <w:p w14:paraId="4053C386">
      <w:pPr>
        <w:widowControl w:val="0"/>
        <w:numPr>
          <w:ilvl w:val="0"/>
          <w:numId w:val="0"/>
        </w:numPr>
        <w:jc w:val="both"/>
        <w:rPr>
          <w:rFonts w:hint="default"/>
          <w:color w:val="auto"/>
          <w:highlight w:val="none"/>
          <w:lang w:val="en-US" w:eastAsia="zh-CN"/>
        </w:rPr>
      </w:pPr>
    </w:p>
    <w:p w14:paraId="7D73F587">
      <w:pPr>
        <w:pStyle w:val="16"/>
        <w:spacing w:line="360" w:lineRule="auto"/>
        <w:ind w:firstLine="0"/>
        <w:jc w:val="center"/>
        <w:outlineLvl w:val="1"/>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lang w:eastAsia="zh-CN"/>
        </w:rPr>
        <w:t>方案</w:t>
      </w:r>
    </w:p>
    <w:p w14:paraId="462059D6">
      <w:pPr>
        <w:spacing w:line="360" w:lineRule="auto"/>
        <w:jc w:val="center"/>
        <w:rPr>
          <w:rFonts w:ascii="宋体" w:hAnsi="宋体" w:cs="宋体"/>
          <w:color w:val="auto"/>
          <w:kern w:val="44"/>
          <w:sz w:val="24"/>
          <w:highlight w:val="none"/>
        </w:rPr>
      </w:pPr>
    </w:p>
    <w:p w14:paraId="35AA1E4A">
      <w:pPr>
        <w:spacing w:line="360" w:lineRule="auto"/>
        <w:jc w:val="center"/>
        <w:rPr>
          <w:rFonts w:ascii="宋体" w:hAnsi="宋体" w:cs="宋体"/>
          <w:color w:val="auto"/>
          <w:sz w:val="24"/>
          <w:highlight w:val="none"/>
        </w:rPr>
      </w:pPr>
      <w:r>
        <w:rPr>
          <w:rFonts w:hint="eastAsia" w:ascii="宋体" w:hAnsi="宋体" w:cs="宋体"/>
          <w:color w:val="auto"/>
          <w:highlight w:val="none"/>
        </w:rPr>
        <w:t>投标人应根据招标文件要求和本项目的具体情况，自行编制</w:t>
      </w:r>
      <w:r>
        <w:rPr>
          <w:rFonts w:hint="eastAsia" w:ascii="宋体" w:hAnsi="宋体" w:cs="宋体"/>
          <w:color w:val="auto"/>
          <w:highlight w:val="none"/>
          <w:lang w:eastAsia="zh-CN"/>
        </w:rPr>
        <w:t>技术方案</w:t>
      </w:r>
      <w:r>
        <w:rPr>
          <w:rFonts w:hint="eastAsia" w:ascii="宋体" w:hAnsi="宋体" w:cs="宋体"/>
          <w:color w:val="auto"/>
          <w:highlight w:val="none"/>
        </w:rPr>
        <w:t>，格式自拟。</w:t>
      </w:r>
    </w:p>
    <w:p w14:paraId="6A489DE4">
      <w:pPr>
        <w:spacing w:line="360" w:lineRule="auto"/>
        <w:jc w:val="center"/>
        <w:outlineLvl w:val="1"/>
        <w:rPr>
          <w:rFonts w:ascii="宋体" w:hAnsi="宋体" w:cs="宋体"/>
          <w:b/>
          <w:bCs/>
          <w:color w:val="auto"/>
          <w:sz w:val="24"/>
          <w:highlight w:val="none"/>
        </w:rPr>
      </w:pPr>
      <w:r>
        <w:rPr>
          <w:rFonts w:hint="eastAsia" w:ascii="宋体" w:hAnsi="宋体" w:cs="宋体"/>
          <w:b/>
          <w:bCs/>
          <w:color w:val="auto"/>
          <w:kern w:val="44"/>
          <w:sz w:val="24"/>
          <w:highlight w:val="none"/>
        </w:rPr>
        <w:br w:type="page"/>
      </w:r>
      <w:r>
        <w:rPr>
          <w:rFonts w:hint="eastAsia" w:ascii="宋体" w:hAnsi="宋体" w:cs="宋体"/>
          <w:b/>
          <w:bCs/>
          <w:color w:val="auto"/>
          <w:kern w:val="44"/>
          <w:sz w:val="24"/>
          <w:highlight w:val="none"/>
        </w:rPr>
        <w:t>十</w:t>
      </w:r>
      <w:r>
        <w:rPr>
          <w:rFonts w:hint="eastAsia" w:ascii="宋体" w:hAnsi="宋体" w:cs="宋体"/>
          <w:b/>
          <w:bCs/>
          <w:color w:val="auto"/>
          <w:kern w:val="0"/>
          <w:sz w:val="24"/>
          <w:highlight w:val="none"/>
        </w:rPr>
        <w:t>、保密承诺书</w:t>
      </w:r>
    </w:p>
    <w:p w14:paraId="6DF54D4E">
      <w:pPr>
        <w:spacing w:line="360" w:lineRule="auto"/>
        <w:jc w:val="center"/>
        <w:rPr>
          <w:rFonts w:ascii="宋体" w:hAnsi="宋体" w:cs="宋体"/>
          <w:color w:val="auto"/>
          <w:sz w:val="24"/>
          <w:highlight w:val="none"/>
        </w:rPr>
      </w:pPr>
    </w:p>
    <w:p w14:paraId="11D43FF6">
      <w:pPr>
        <w:spacing w:line="360" w:lineRule="auto"/>
        <w:jc w:val="left"/>
        <w:rPr>
          <w:rFonts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EC0B8F9">
      <w:pPr>
        <w:spacing w:line="360" w:lineRule="auto"/>
        <w:ind w:firstLine="480" w:firstLineChars="200"/>
        <w:jc w:val="left"/>
        <w:rPr>
          <w:rFonts w:ascii="宋体" w:hAnsi="宋体" w:cs="宋体"/>
          <w:color w:val="auto"/>
          <w:sz w:val="24"/>
          <w:highlight w:val="none"/>
        </w:rPr>
      </w:pPr>
    </w:p>
    <w:p w14:paraId="023C63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我方按招标文件要求参加</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，在此做出如下保密承诺：</w:t>
      </w:r>
    </w:p>
    <w:p w14:paraId="0AF5815E">
      <w:pPr>
        <w:spacing w:line="360" w:lineRule="auto"/>
        <w:jc w:val="left"/>
        <w:rPr>
          <w:rFonts w:ascii="宋体" w:hAnsi="宋体" w:cs="宋体"/>
          <w:color w:val="auto"/>
          <w:sz w:val="24"/>
          <w:highlight w:val="none"/>
        </w:rPr>
      </w:pPr>
      <w:r>
        <w:rPr>
          <w:rFonts w:hint="eastAsia" w:ascii="宋体" w:hAnsi="宋体" w:cs="宋体"/>
          <w:color w:val="auto"/>
          <w:sz w:val="24"/>
          <w:highlight w:val="none"/>
        </w:rPr>
        <w:t>1、遵守国家相关的法律、法规。客观、公正地履行职责,对投标过程中应保密的事项承担保密责任；</w:t>
      </w:r>
    </w:p>
    <w:p w14:paraId="70F6F9AF">
      <w:pPr>
        <w:spacing w:line="360" w:lineRule="auto"/>
        <w:jc w:val="left"/>
        <w:rPr>
          <w:rFonts w:ascii="宋体" w:hAnsi="宋体" w:cs="宋体"/>
          <w:color w:val="auto"/>
          <w:sz w:val="24"/>
          <w:highlight w:val="none"/>
        </w:rPr>
      </w:pPr>
      <w:r>
        <w:rPr>
          <w:rFonts w:hint="eastAsia" w:ascii="宋体" w:hAnsi="宋体" w:cs="宋体"/>
          <w:color w:val="auto"/>
          <w:sz w:val="24"/>
          <w:highlight w:val="none"/>
        </w:rPr>
        <w:t>2、保守采购人的秘密，不透露对投标文件的评审以及与评审有关的其他任何信息；</w:t>
      </w:r>
    </w:p>
    <w:p w14:paraId="71BB5BF0">
      <w:pPr>
        <w:spacing w:line="360" w:lineRule="auto"/>
        <w:jc w:val="left"/>
        <w:rPr>
          <w:rFonts w:ascii="宋体" w:hAnsi="宋体" w:cs="宋体"/>
          <w:color w:val="auto"/>
          <w:sz w:val="24"/>
          <w:highlight w:val="none"/>
        </w:rPr>
      </w:pPr>
      <w:r>
        <w:rPr>
          <w:rFonts w:hint="eastAsia" w:ascii="宋体" w:hAnsi="宋体" w:cs="宋体"/>
          <w:color w:val="auto"/>
          <w:sz w:val="24"/>
          <w:highlight w:val="none"/>
        </w:rPr>
        <w:t>3、未经贵单位书面同意，我方绝不向任何第三方披露或传播采购人向投标人发出的所有文件，我方不得因任何理由以任何方式透露本次项目投标所带给的相关信息和技术资料；</w:t>
      </w:r>
    </w:p>
    <w:p w14:paraId="50457134">
      <w:pPr>
        <w:spacing w:line="360" w:lineRule="auto"/>
        <w:jc w:val="left"/>
        <w:rPr>
          <w:rFonts w:ascii="宋体" w:hAnsi="宋体" w:cs="宋体"/>
          <w:color w:val="auto"/>
          <w:sz w:val="24"/>
          <w:highlight w:val="none"/>
        </w:rPr>
      </w:pPr>
      <w:r>
        <w:rPr>
          <w:rFonts w:hint="eastAsia" w:ascii="宋体" w:hAnsi="宋体" w:cs="宋体"/>
          <w:color w:val="auto"/>
          <w:sz w:val="24"/>
          <w:highlight w:val="none"/>
        </w:rPr>
        <w:t>4、如我方有幸被推荐为成交人，我方承诺按照采购人要求做好保密工作。</w:t>
      </w:r>
    </w:p>
    <w:p w14:paraId="47F81FA9">
      <w:pPr>
        <w:spacing w:line="360" w:lineRule="auto"/>
        <w:jc w:val="center"/>
        <w:rPr>
          <w:rFonts w:ascii="宋体" w:hAnsi="宋体" w:cs="宋体"/>
          <w:color w:val="auto"/>
          <w:sz w:val="24"/>
          <w:highlight w:val="none"/>
        </w:rPr>
      </w:pPr>
    </w:p>
    <w:p w14:paraId="6A176BC0">
      <w:pPr>
        <w:spacing w:line="360" w:lineRule="auto"/>
        <w:jc w:val="center"/>
        <w:rPr>
          <w:rFonts w:ascii="宋体" w:hAnsi="宋体" w:cs="宋体"/>
          <w:color w:val="auto"/>
          <w:sz w:val="24"/>
          <w:highlight w:val="none"/>
        </w:rPr>
      </w:pPr>
    </w:p>
    <w:p w14:paraId="5BEC91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投标人名称（盖章）：</w:t>
      </w:r>
    </w:p>
    <w:p w14:paraId="7AE165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授权人或被授权人（签字或盖章）：</w:t>
      </w:r>
    </w:p>
    <w:p w14:paraId="73FCC659">
      <w:pPr>
        <w:pStyle w:val="6"/>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14:paraId="1C371EAA">
      <w:pPr>
        <w:pStyle w:val="6"/>
        <w:spacing w:line="360" w:lineRule="auto"/>
        <w:ind w:firstLine="0" w:firstLineChars="0"/>
        <w:jc w:val="center"/>
        <w:outlineLvl w:val="1"/>
        <w:rPr>
          <w:rFonts w:hint="eastAsia" w:asciiTheme="minorEastAsia" w:hAnsiTheme="minorEastAsia" w:eastAsiaTheme="minorEastAsia" w:cstheme="minorEastAsia"/>
          <w:b/>
          <w:bCs/>
          <w:color w:val="auto"/>
          <w:kern w:val="0"/>
          <w:sz w:val="24"/>
          <w:highlight w:val="none"/>
        </w:rPr>
      </w:pPr>
      <w:r>
        <w:rPr>
          <w:rFonts w:hint="eastAsia" w:ascii="宋体" w:hAnsi="宋体" w:cs="宋体"/>
          <w:color w:val="auto"/>
          <w:highlight w:val="none"/>
        </w:rPr>
        <w:br w:type="page"/>
      </w:r>
      <w:r>
        <w:rPr>
          <w:rFonts w:hint="eastAsia" w:asciiTheme="minorEastAsia" w:hAnsiTheme="minorEastAsia" w:eastAsiaTheme="minorEastAsia" w:cstheme="minorEastAsia"/>
          <w:b/>
          <w:bCs/>
          <w:color w:val="auto"/>
          <w:kern w:val="0"/>
          <w:sz w:val="24"/>
          <w:highlight w:val="none"/>
        </w:rPr>
        <w:t>十</w:t>
      </w:r>
      <w:r>
        <w:rPr>
          <w:rFonts w:hint="eastAsia" w:asciiTheme="minorEastAsia" w:hAnsiTheme="minorEastAsia" w:eastAsiaTheme="minorEastAsia" w:cstheme="minorEastAsia"/>
          <w:b/>
          <w:bCs/>
          <w:color w:val="auto"/>
          <w:kern w:val="0"/>
          <w:sz w:val="24"/>
          <w:highlight w:val="none"/>
          <w:lang w:val="en-US" w:eastAsia="zh-CN"/>
        </w:rPr>
        <w:t>一</w:t>
      </w:r>
      <w:r>
        <w:rPr>
          <w:rFonts w:hint="eastAsia" w:asciiTheme="minorEastAsia" w:hAnsiTheme="minorEastAsia" w:eastAsiaTheme="minorEastAsia" w:cstheme="minorEastAsia"/>
          <w:b/>
          <w:bCs/>
          <w:color w:val="auto"/>
          <w:kern w:val="0"/>
          <w:sz w:val="24"/>
          <w:highlight w:val="none"/>
        </w:rPr>
        <w:t>、政府采购政策</w:t>
      </w:r>
    </w:p>
    <w:p w14:paraId="7DAD3CED">
      <w:pPr>
        <w:pStyle w:val="20"/>
        <w:bidi w:val="0"/>
        <w:spacing w:line="360" w:lineRule="auto"/>
        <w:jc w:val="center"/>
        <w:outlineLvl w:val="1"/>
        <w:rPr>
          <w:rFonts w:hint="eastAsia"/>
          <w:b/>
          <w:bCs/>
          <w:color w:val="auto"/>
          <w:sz w:val="22"/>
          <w:szCs w:val="22"/>
          <w:highlight w:val="none"/>
          <w:lang w:eastAsia="zh-CN"/>
        </w:rPr>
      </w:pPr>
      <w:r>
        <w:rPr>
          <w:rFonts w:hint="eastAsia"/>
          <w:b/>
          <w:bCs/>
          <w:color w:val="auto"/>
          <w:sz w:val="22"/>
          <w:szCs w:val="22"/>
          <w:highlight w:val="none"/>
        </w:rPr>
        <w:t>（一）中小企业声明函</w:t>
      </w:r>
    </w:p>
    <w:p w14:paraId="5D8ED217">
      <w:pPr>
        <w:snapToGrid w:val="0"/>
        <w:spacing w:line="360" w:lineRule="auto"/>
        <w:ind w:firstLine="480" w:firstLineChars="200"/>
        <w:rPr>
          <w:rFonts w:hint="eastAsia" w:ascii="宋体" w:hAnsi="宋体" w:eastAsia="宋体" w:cs="宋体"/>
          <w:i w:val="0"/>
          <w:iCs w:val="0"/>
          <w:color w:val="auto"/>
          <w:sz w:val="24"/>
          <w:szCs w:val="24"/>
          <w:highlight w:val="none"/>
        </w:rPr>
      </w:pPr>
    </w:p>
    <w:p w14:paraId="062007C2">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53DC09A">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val="en-US" w:eastAsia="zh-CN"/>
        </w:rPr>
        <w:t>采购文件中明确的所属行业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Style w:val="39"/>
          <w:rFonts w:hint="eastAsia" w:ascii="宋体" w:hAnsi="宋体" w:eastAsia="宋体" w:cs="宋体"/>
          <w:i w:val="0"/>
          <w:iCs w:val="0"/>
          <w:color w:val="auto"/>
          <w:sz w:val="24"/>
          <w:szCs w:val="24"/>
          <w:highlight w:val="none"/>
        </w:rPr>
        <w:footnoteReference w:id="0"/>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w:t>
      </w:r>
    </w:p>
    <w:p w14:paraId="7127D033">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 </w:t>
      </w:r>
      <w:r>
        <w:rPr>
          <w:rFonts w:hint="eastAsia" w:ascii="宋体" w:hAnsi="宋体" w:eastAsia="宋体" w:cs="宋体"/>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val="en-US" w:eastAsia="zh-CN"/>
        </w:rPr>
        <w:t>采购文件中明确的所属行业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w:t>
      </w:r>
    </w:p>
    <w:p w14:paraId="4184AA94">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62D4602D">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以上企业，不属于大企业的分支机构，不存在控股股东为大企业的情形，也不存在与大企业的负责人为同一人的情形。</w:t>
      </w:r>
    </w:p>
    <w:p w14:paraId="57419E55">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本企业对上述声明内容的真实性负责。如有虚假，将依法承担相应责任。</w:t>
      </w:r>
    </w:p>
    <w:p w14:paraId="0C5311CD">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p w14:paraId="64D8526D">
      <w:pPr>
        <w:snapToGrid w:val="0"/>
        <w:spacing w:line="360" w:lineRule="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企业名称（盖章）：</w:t>
      </w:r>
    </w:p>
    <w:p w14:paraId="64D761D2">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日期：</w:t>
      </w:r>
    </w:p>
    <w:p w14:paraId="37344A13">
      <w:pPr>
        <w:rPr>
          <w:rFonts w:hint="eastAsia"/>
          <w:color w:val="auto"/>
          <w:highlight w:val="none"/>
        </w:rPr>
      </w:pPr>
    </w:p>
    <w:p w14:paraId="796A91FB">
      <w:pPr>
        <w:pStyle w:val="20"/>
        <w:pageBreakBefore w:val="0"/>
        <w:wordWrap/>
        <w:overflowPunct/>
        <w:topLinePunct w:val="0"/>
        <w:bidi w:val="0"/>
        <w:spacing w:line="560" w:lineRule="exact"/>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1、从业人员、营业收入、资产总额填报上一年度数据，无上一年度数据的新成立企业可不填报</w:t>
      </w:r>
    </w:p>
    <w:p w14:paraId="7BFCF45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4A57DA3">
      <w:pPr>
        <w:pStyle w:val="12"/>
        <w:jc w:val="center"/>
        <w:rPr>
          <w:rFonts w:hint="eastAsia" w:asciiTheme="minorEastAsia" w:hAnsiTheme="minorEastAsia" w:eastAsiaTheme="minorEastAsia" w:cstheme="minorEastAsia"/>
          <w:b/>
          <w:bCs/>
          <w:color w:val="auto"/>
          <w:sz w:val="28"/>
          <w:szCs w:val="36"/>
          <w:highlight w:val="none"/>
          <w:lang w:val="en-US" w:eastAsia="zh-CN"/>
        </w:rPr>
      </w:pPr>
      <w:r>
        <w:rPr>
          <w:rFonts w:hint="eastAsia" w:asciiTheme="minorEastAsia" w:hAnsiTheme="minorEastAsia" w:eastAsiaTheme="minorEastAsia" w:cstheme="minorEastAsia"/>
          <w:b/>
          <w:bCs/>
          <w:color w:val="auto"/>
          <w:sz w:val="28"/>
          <w:szCs w:val="36"/>
          <w:highlight w:val="none"/>
          <w:lang w:val="en-US" w:eastAsia="zh-CN"/>
        </w:rPr>
        <w:t>特别说明</w:t>
      </w:r>
    </w:p>
    <w:p w14:paraId="77580A83">
      <w:pPr>
        <w:pStyle w:val="20"/>
        <w:pageBreakBefore w:val="0"/>
        <w:numPr>
          <w:ilvl w:val="0"/>
          <w:numId w:val="6"/>
        </w:numP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hAnsi="宋体" w:cs="宋体"/>
          <w:color w:val="auto"/>
          <w:sz w:val="24"/>
          <w:szCs w:val="24"/>
          <w:highlight w:val="none"/>
          <w:lang w:val="en-US" w:eastAsia="zh-CN"/>
        </w:rPr>
        <w:t>为信息传输业</w:t>
      </w:r>
      <w:r>
        <w:rPr>
          <w:rFonts w:hint="eastAsia" w:asciiTheme="majorEastAsia" w:hAnsiTheme="majorEastAsia" w:eastAsiaTheme="majorEastAsia" w:cstheme="majorEastAsia"/>
          <w:i w:val="0"/>
          <w:iCs w:val="0"/>
          <w:caps w:val="0"/>
          <w:color w:val="auto"/>
          <w:spacing w:val="0"/>
          <w:sz w:val="24"/>
          <w:szCs w:val="24"/>
          <w:highlight w:val="none"/>
          <w:u w:val="none"/>
          <w:shd w:val="clear" w:fill="FFFFFF"/>
          <w:vertAlign w:val="baseline"/>
        </w:rPr>
        <w:t>。</w:t>
      </w:r>
      <w:r>
        <w:rPr>
          <w:rFonts w:hint="eastAsia" w:ascii="宋体" w:hAnsi="宋体" w:eastAsia="宋体" w:cs="宋体"/>
          <w:color w:val="auto"/>
          <w:sz w:val="24"/>
          <w:szCs w:val="24"/>
          <w:highlight w:val="none"/>
          <w:lang w:val="en-US" w:eastAsia="zh-CN"/>
        </w:rPr>
        <w:t>划型标准为：从业人员300人以下的为中小微型企业。其中，从业人员100人及以上的为中型企业；从业人员10人及以上的为小型企业；从业人员10人以下的为微型企业</w:t>
      </w:r>
      <w:r>
        <w:rPr>
          <w:rFonts w:hint="eastAsia" w:asciiTheme="majorEastAsia" w:hAnsiTheme="majorEastAsia" w:eastAsiaTheme="majorEastAsia" w:cstheme="majorEastAsia"/>
          <w:i w:val="0"/>
          <w:iCs w:val="0"/>
          <w:caps w:val="0"/>
          <w:color w:val="auto"/>
          <w:spacing w:val="0"/>
          <w:sz w:val="24"/>
          <w:szCs w:val="24"/>
          <w:highlight w:val="none"/>
          <w:u w:val="none"/>
          <w:shd w:val="clear" w:fill="FFFFFF"/>
          <w:vertAlign w:val="baseline"/>
        </w:rPr>
        <w:t>。</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须明确</w:t>
      </w:r>
      <w:r>
        <w:rPr>
          <w:rFonts w:hint="eastAsia" w:hAnsi="宋体" w:cs="宋体"/>
          <w:color w:val="auto"/>
          <w:sz w:val="24"/>
          <w:szCs w:val="24"/>
          <w:highlight w:val="none"/>
          <w:lang w:val="en-US" w:eastAsia="zh-CN"/>
        </w:rPr>
        <w:t>服务企业</w:t>
      </w:r>
      <w:r>
        <w:rPr>
          <w:rFonts w:hint="eastAsia" w:ascii="宋体" w:hAnsi="宋体" w:eastAsia="宋体" w:cs="宋体"/>
          <w:color w:val="auto"/>
          <w:sz w:val="24"/>
          <w:szCs w:val="24"/>
          <w:highlight w:val="none"/>
          <w:lang w:val="en-US" w:eastAsia="zh-CN"/>
        </w:rPr>
        <w:t>的从业人员、</w:t>
      </w:r>
      <w:r>
        <w:rPr>
          <w:rFonts w:hint="eastAsia" w:ascii="宋体" w:hAnsi="宋体" w:eastAsia="宋体" w:cs="宋体"/>
          <w:color w:val="auto"/>
          <w:sz w:val="24"/>
          <w:szCs w:val="24"/>
          <w:highlight w:val="none"/>
        </w:rPr>
        <w:t>营业收入、资产总额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属于中型企业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小型企业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微型企业</w:t>
      </w:r>
      <w:r>
        <w:rPr>
          <w:rFonts w:hint="eastAsia" w:hAnsi="宋体" w:cs="宋体"/>
          <w:color w:val="auto"/>
          <w:sz w:val="24"/>
          <w:szCs w:val="24"/>
          <w:highlight w:val="none"/>
          <w:lang w:val="en-US" w:eastAsia="zh-CN"/>
        </w:rPr>
        <w:t>（只能填一项）</w:t>
      </w:r>
      <w:r>
        <w:rPr>
          <w:rFonts w:hint="eastAsia" w:ascii="宋体" w:hAnsi="宋体" w:eastAsia="宋体" w:cs="宋体"/>
          <w:color w:val="auto"/>
          <w:sz w:val="24"/>
          <w:szCs w:val="24"/>
          <w:highlight w:val="none"/>
          <w:lang w:val="en-US" w:eastAsia="zh-CN"/>
        </w:rPr>
        <w:t>，未明确的，《中小企业声明函》按无效处理。</w:t>
      </w:r>
    </w:p>
    <w:p w14:paraId="40677C60">
      <w:pPr>
        <w:pStyle w:val="20"/>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）相关中小企业政策，详见本招标文件附件</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、附件</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及附件</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p w14:paraId="6A281139">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br w:type="page"/>
      </w:r>
    </w:p>
    <w:p w14:paraId="35096794">
      <w:pPr>
        <w:pageBreakBefore w:val="0"/>
        <w:wordWrap/>
        <w:overflowPunct/>
        <w:topLinePunct w:val="0"/>
        <w:bidi w:val="0"/>
        <w:spacing w:line="560" w:lineRule="exact"/>
        <w:ind w:left="0" w:leftChars="0" w:right="0" w:rightChars="0"/>
        <w:jc w:val="center"/>
        <w:outlineLvl w:val="1"/>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color w:val="auto"/>
          <w:spacing w:val="6"/>
          <w:sz w:val="24"/>
          <w:szCs w:val="24"/>
          <w:highlight w:val="none"/>
        </w:rPr>
        <w:t>残疾人福利性单位声明函</w:t>
      </w:r>
      <w:r>
        <w:rPr>
          <w:rFonts w:hint="eastAsia" w:asciiTheme="minorEastAsia" w:hAnsiTheme="minorEastAsia" w:eastAsiaTheme="minorEastAsia" w:cstheme="minorEastAsia"/>
          <w:b/>
          <w:color w:val="auto"/>
          <w:sz w:val="24"/>
          <w:szCs w:val="24"/>
          <w:highlight w:val="none"/>
        </w:rPr>
        <w:t>（如有）</w:t>
      </w:r>
    </w:p>
    <w:p w14:paraId="6DD8A296">
      <w:pPr>
        <w:pageBreakBefore w:val="0"/>
        <w:wordWrap/>
        <w:overflowPunct/>
        <w:topLinePunct w:val="0"/>
        <w:bidi w:val="0"/>
        <w:spacing w:line="560" w:lineRule="exact"/>
        <w:ind w:left="0" w:leftChars="0" w:right="0" w:rightChars="0"/>
        <w:rPr>
          <w:rFonts w:hint="eastAsia" w:asciiTheme="minorEastAsia" w:hAnsiTheme="minorEastAsia" w:eastAsiaTheme="minorEastAsia" w:cstheme="minorEastAsia"/>
          <w:b/>
          <w:color w:val="auto"/>
          <w:spacing w:val="6"/>
          <w:sz w:val="24"/>
          <w:szCs w:val="24"/>
          <w:highlight w:val="none"/>
        </w:rPr>
      </w:pPr>
    </w:p>
    <w:p w14:paraId="2F35E132">
      <w:pPr>
        <w:pageBreakBefore w:val="0"/>
        <w:wordWrap/>
        <w:overflowPunct/>
        <w:topLinePunct w:val="0"/>
        <w:bidi w:val="0"/>
        <w:spacing w:line="560" w:lineRule="exact"/>
        <w:ind w:left="0" w:leftChars="0" w:right="0" w:rightChars="0"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本单位郑重声明，根据《财政部民政部中国残疾人联合会关于促进残疾人就业政府采购政策的通知》（财库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6060174F">
      <w:pPr>
        <w:pageBreakBefore w:val="0"/>
        <w:wordWrap/>
        <w:overflowPunct/>
        <w:topLinePunct w:val="0"/>
        <w:bidi w:val="0"/>
        <w:spacing w:line="560" w:lineRule="exact"/>
        <w:ind w:left="0" w:leftChars="0" w:right="0" w:rightChars="0"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2CA992B5">
      <w:pPr>
        <w:pageBreakBefore w:val="0"/>
        <w:wordWrap/>
        <w:overflowPunct/>
        <w:topLinePunct w:val="0"/>
        <w:bidi w:val="0"/>
        <w:spacing w:line="560" w:lineRule="exact"/>
        <w:ind w:left="0" w:leftChars="0" w:right="0" w:rightChars="0" w:firstLine="504" w:firstLineChars="200"/>
        <w:rPr>
          <w:rFonts w:hint="eastAsia" w:asciiTheme="minorEastAsia" w:hAnsiTheme="minorEastAsia" w:eastAsiaTheme="minorEastAsia" w:cstheme="minorEastAsia"/>
          <w:color w:val="auto"/>
          <w:spacing w:val="6"/>
          <w:sz w:val="24"/>
          <w:szCs w:val="24"/>
          <w:highlight w:val="none"/>
        </w:rPr>
      </w:pPr>
    </w:p>
    <w:p w14:paraId="637558B5">
      <w:pPr>
        <w:pageBreakBefore w:val="0"/>
        <w:wordWrap/>
        <w:overflowPunct/>
        <w:topLinePunct w:val="0"/>
        <w:bidi w:val="0"/>
        <w:spacing w:line="560" w:lineRule="exact"/>
        <w:ind w:left="0" w:leftChars="0" w:right="0" w:rightChars="0" w:firstLine="504" w:firstLineChars="200"/>
        <w:rPr>
          <w:rFonts w:hint="eastAsia" w:asciiTheme="minorEastAsia" w:hAnsiTheme="minorEastAsia" w:eastAsiaTheme="minorEastAsia" w:cstheme="minorEastAsia"/>
          <w:color w:val="auto"/>
          <w:spacing w:val="6"/>
          <w:sz w:val="24"/>
          <w:szCs w:val="24"/>
          <w:highlight w:val="none"/>
        </w:rPr>
      </w:pPr>
    </w:p>
    <w:p w14:paraId="4E8572C1">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单位名称（盖章）：</w:t>
      </w:r>
    </w:p>
    <w:p w14:paraId="74807819">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45780EE4">
      <w:pPr>
        <w:pageBreakBefore w:val="0"/>
        <w:widowControl/>
        <w:wordWrap/>
        <w:overflowPunct/>
        <w:topLinePunct w:val="0"/>
        <w:bidi w:val="0"/>
        <w:adjustRightInd w:val="0"/>
        <w:snapToGrid w:val="0"/>
        <w:spacing w:line="560" w:lineRule="exact"/>
        <w:ind w:left="0" w:leftChars="0" w:right="0" w:rightChars="0"/>
        <w:rPr>
          <w:rFonts w:hint="eastAsia" w:asciiTheme="minorEastAsia" w:hAnsiTheme="minorEastAsia" w:eastAsiaTheme="minorEastAsia" w:cstheme="minorEastAsia"/>
          <w:color w:val="auto"/>
          <w:sz w:val="24"/>
          <w:szCs w:val="24"/>
          <w:highlight w:val="none"/>
        </w:rPr>
      </w:pPr>
    </w:p>
    <w:p w14:paraId="51B5B816">
      <w:pPr>
        <w:pageBreakBefore w:val="0"/>
        <w:wordWrap/>
        <w:overflowPunct/>
        <w:topLinePunct w:val="0"/>
        <w:bidi w:val="0"/>
        <w:spacing w:line="560" w:lineRule="exact"/>
        <w:ind w:left="0" w:leftChars="0" w:right="0" w:rightChars="0"/>
        <w:jc w:val="left"/>
        <w:rPr>
          <w:rFonts w:hint="eastAsia" w:asciiTheme="minorEastAsia" w:hAnsiTheme="minorEastAsia" w:eastAsiaTheme="minorEastAsia" w:cstheme="minorEastAsia"/>
          <w:bCs/>
          <w:color w:val="auto"/>
          <w:sz w:val="24"/>
          <w:szCs w:val="24"/>
          <w:highlight w:val="none"/>
        </w:rPr>
      </w:pPr>
    </w:p>
    <w:p w14:paraId="0579FC6E">
      <w:pPr>
        <w:pageBreakBefore w:val="0"/>
        <w:widowControl/>
        <w:wordWrap/>
        <w:overflowPunct/>
        <w:topLinePunct w:val="0"/>
        <w:bidi w:val="0"/>
        <w:spacing w:line="560" w:lineRule="exact"/>
        <w:ind w:left="0" w:leftChars="0" w:right="0" w:righ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备注：须提供证明材料（能反映出企业残疾人的占比等情况的材料及残疾人证等）。</w:t>
      </w:r>
    </w:p>
    <w:p w14:paraId="72D9F275">
      <w:pPr>
        <w:pageBreakBefore w:val="0"/>
        <w:wordWrap/>
        <w:overflowPunct/>
        <w:topLinePunct w:val="0"/>
        <w:bidi w:val="0"/>
        <w:spacing w:line="560" w:lineRule="exact"/>
        <w:ind w:left="0" w:leftChars="0" w:right="0" w:rightChars="0"/>
        <w:jc w:val="center"/>
        <w:rPr>
          <w:rFonts w:hint="eastAsia" w:asciiTheme="minorEastAsia" w:hAnsiTheme="minorEastAsia" w:eastAsiaTheme="minorEastAsia" w:cstheme="minorEastAsia"/>
          <w:b/>
          <w:bCs/>
          <w:color w:val="auto"/>
          <w:sz w:val="24"/>
          <w:szCs w:val="24"/>
          <w:highlight w:val="none"/>
        </w:rPr>
      </w:pPr>
    </w:p>
    <w:p w14:paraId="19FA36C0">
      <w:pPr>
        <w:pageBreakBefore w:val="0"/>
        <w:wordWrap/>
        <w:overflowPunct/>
        <w:topLinePunct w:val="0"/>
        <w:bidi w:val="0"/>
        <w:spacing w:line="560" w:lineRule="exact"/>
        <w:ind w:left="0" w:leftChars="0" w:right="0" w:rightChars="0"/>
        <w:jc w:val="center"/>
        <w:rPr>
          <w:rFonts w:hint="eastAsia" w:asciiTheme="minorEastAsia" w:hAnsiTheme="minorEastAsia" w:eastAsiaTheme="minorEastAsia" w:cstheme="minorEastAsia"/>
          <w:b/>
          <w:bCs/>
          <w:color w:val="auto"/>
          <w:sz w:val="24"/>
          <w:szCs w:val="24"/>
          <w:highlight w:val="none"/>
        </w:rPr>
      </w:pPr>
    </w:p>
    <w:p w14:paraId="035D2D8E">
      <w:pPr>
        <w:pageBreakBefore w:val="0"/>
        <w:widowControl/>
        <w:wordWrap/>
        <w:overflowPunct/>
        <w:topLinePunct w:val="0"/>
        <w:bidi w:val="0"/>
        <w:spacing w:line="560" w:lineRule="exact"/>
        <w:ind w:left="0" w:leftChars="0" w:right="0" w:rightChars="0"/>
        <w:jc w:val="center"/>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（三）监狱企业证明文件（如有）</w:t>
      </w:r>
    </w:p>
    <w:p w14:paraId="261EB7EB">
      <w:pPr>
        <w:pageBreakBefore w:val="0"/>
        <w:wordWrap/>
        <w:overflowPunct/>
        <w:topLinePunct w:val="0"/>
        <w:bidi w:val="0"/>
        <w:spacing w:line="56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p>
    <w:p w14:paraId="3C4DD51D">
      <w:pPr>
        <w:pageBreakBefore w:val="0"/>
        <w:numPr>
          <w:ilvl w:val="0"/>
          <w:numId w:val="7"/>
        </w:numPr>
        <w:wordWrap/>
        <w:overflowPunct/>
        <w:topLinePunct w:val="0"/>
        <w:bidi w:val="0"/>
        <w:spacing w:line="56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1371770">
      <w:pPr>
        <w:pStyle w:val="6"/>
        <w:numPr>
          <w:ilvl w:val="0"/>
          <w:numId w:val="0"/>
        </w:numPr>
        <w:rPr>
          <w:rFonts w:hint="eastAsia"/>
          <w:color w:val="auto"/>
          <w:highlight w:val="none"/>
        </w:rPr>
      </w:pPr>
    </w:p>
    <w:p w14:paraId="0AE82E20">
      <w:pPr>
        <w:pStyle w:val="6"/>
        <w:spacing w:line="360" w:lineRule="auto"/>
        <w:ind w:firstLine="480" w:firstLineChars="200"/>
        <w:jc w:val="both"/>
        <w:outlineLvl w:val="9"/>
        <w:rPr>
          <w:rFonts w:hint="eastAsia" w:ascii="宋体" w:hAnsi="宋体" w:eastAsia="宋体" w:cs="宋体"/>
          <w:b w:val="0"/>
          <w:bCs w:val="0"/>
          <w:color w:val="auto"/>
          <w:kern w:val="0"/>
          <w:sz w:val="24"/>
          <w:highlight w:val="none"/>
          <w:lang w:eastAsia="zh-CN"/>
        </w:rPr>
      </w:pPr>
      <w:r>
        <w:rPr>
          <w:rFonts w:hint="eastAsia" w:asciiTheme="minorEastAsia" w:hAnsiTheme="minorEastAsia" w:eastAsiaTheme="minorEastAsia" w:cstheme="minorEastAsia"/>
          <w:color w:val="auto"/>
          <w:sz w:val="24"/>
          <w:szCs w:val="24"/>
          <w:highlight w:val="none"/>
        </w:rPr>
        <w:t>2.证明材料加盖</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w:t>
      </w:r>
      <w:r>
        <w:rPr>
          <w:rFonts w:hint="eastAsia" w:asciiTheme="minorEastAsia" w:hAnsiTheme="minorEastAsia" w:eastAsiaTheme="minorEastAsia" w:cstheme="minorEastAsia"/>
          <w:b w:val="0"/>
          <w:bCs w:val="0"/>
          <w:color w:val="auto"/>
          <w:sz w:val="24"/>
          <w:szCs w:val="24"/>
          <w:highlight w:val="none"/>
        </w:rPr>
        <w:t>章</w:t>
      </w:r>
      <w:r>
        <w:rPr>
          <w:rFonts w:hint="eastAsia" w:ascii="宋体" w:hAnsi="宋体" w:cs="宋体"/>
          <w:b w:val="0"/>
          <w:bCs w:val="0"/>
          <w:color w:val="auto"/>
          <w:kern w:val="0"/>
          <w:sz w:val="24"/>
          <w:highlight w:val="none"/>
          <w:lang w:eastAsia="zh-CN"/>
        </w:rPr>
        <w:t>。</w:t>
      </w:r>
    </w:p>
    <w:p w14:paraId="31ED058F">
      <w:pPr>
        <w:rPr>
          <w:rFonts w:hint="eastAsia" w:hAnsi="宋体"/>
          <w:b/>
          <w:bCs/>
          <w:color w:val="auto"/>
          <w:sz w:val="24"/>
          <w:szCs w:val="24"/>
          <w:highlight w:val="none"/>
        </w:rPr>
      </w:pPr>
      <w:r>
        <w:rPr>
          <w:rFonts w:hint="eastAsia" w:hAnsi="宋体"/>
          <w:b/>
          <w:bCs/>
          <w:color w:val="auto"/>
          <w:sz w:val="24"/>
          <w:szCs w:val="24"/>
          <w:highlight w:val="none"/>
        </w:rPr>
        <w:br w:type="page"/>
      </w:r>
    </w:p>
    <w:p w14:paraId="3867191A">
      <w:pPr>
        <w:pStyle w:val="20"/>
        <w:spacing w:line="360" w:lineRule="auto"/>
        <w:jc w:val="center"/>
        <w:outlineLvl w:val="1"/>
        <w:rPr>
          <w:rFonts w:hint="eastAsia" w:hAnsi="宋体"/>
          <w:b/>
          <w:bCs/>
          <w:color w:val="auto"/>
          <w:sz w:val="24"/>
          <w:szCs w:val="24"/>
          <w:highlight w:val="none"/>
        </w:rPr>
      </w:pPr>
      <w:r>
        <w:rPr>
          <w:rFonts w:hint="eastAsia" w:asciiTheme="minorEastAsia" w:hAnsiTheme="minorEastAsia" w:eastAsiaTheme="minorEastAsia" w:cstheme="minorEastAsia"/>
          <w:b/>
          <w:bCs/>
          <w:color w:val="auto"/>
          <w:kern w:val="0"/>
          <w:sz w:val="24"/>
          <w:highlight w:val="none"/>
        </w:rPr>
        <w:t>十</w:t>
      </w:r>
      <w:r>
        <w:rPr>
          <w:rFonts w:hint="eastAsia" w:asciiTheme="minorEastAsia" w:hAnsiTheme="minorEastAsia" w:eastAsiaTheme="minorEastAsia" w:cstheme="minorEastAsia"/>
          <w:b/>
          <w:bCs/>
          <w:color w:val="auto"/>
          <w:kern w:val="0"/>
          <w:sz w:val="24"/>
          <w:highlight w:val="none"/>
          <w:lang w:val="en-US" w:eastAsia="zh-CN"/>
        </w:rPr>
        <w:t>二、</w:t>
      </w:r>
      <w:r>
        <w:rPr>
          <w:rFonts w:hint="eastAsia" w:asciiTheme="minorEastAsia" w:hAnsiTheme="minorEastAsia" w:eastAsiaTheme="minorEastAsia" w:cstheme="minorEastAsia"/>
          <w:b/>
          <w:bCs/>
          <w:color w:val="auto"/>
          <w:kern w:val="0"/>
          <w:sz w:val="24"/>
          <w:highlight w:val="none"/>
        </w:rPr>
        <w:t>投标人认为需要提供的其他资料</w:t>
      </w:r>
    </w:p>
    <w:p w14:paraId="67C0E43C">
      <w:pPr>
        <w:pStyle w:val="20"/>
        <w:spacing w:line="360" w:lineRule="auto"/>
        <w:jc w:val="center"/>
        <w:outlineLvl w:val="9"/>
        <w:rPr>
          <w:rFonts w:hint="eastAsia" w:hAnsi="宋体"/>
          <w:b/>
          <w:bCs/>
          <w:color w:val="auto"/>
          <w:sz w:val="24"/>
          <w:szCs w:val="24"/>
          <w:highlight w:val="none"/>
        </w:rPr>
      </w:pPr>
    </w:p>
    <w:p w14:paraId="73C64475">
      <w:pPr>
        <w:pStyle w:val="20"/>
        <w:spacing w:line="360" w:lineRule="auto"/>
        <w:jc w:val="center"/>
        <w:outlineLvl w:val="2"/>
        <w:rPr>
          <w:rFonts w:hAnsi="宋体"/>
          <w:color w:val="auto"/>
          <w:sz w:val="24"/>
          <w:szCs w:val="24"/>
          <w:highlight w:val="none"/>
        </w:rPr>
      </w:pPr>
      <w:r>
        <w:rPr>
          <w:rFonts w:hint="eastAsia" w:hAnsi="宋体"/>
          <w:b/>
          <w:bCs/>
          <w:color w:val="auto"/>
          <w:sz w:val="24"/>
          <w:szCs w:val="24"/>
          <w:highlight w:val="none"/>
        </w:rPr>
        <w:t>（一）投标保证金缴纳凭证</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7FC17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522" w:type="dxa"/>
            <w:tcBorders>
              <w:top w:val="single" w:color="auto" w:sz="4" w:space="0"/>
              <w:bottom w:val="single" w:color="auto" w:sz="4" w:space="0"/>
            </w:tcBorders>
            <w:noWrap/>
            <w:vAlign w:val="center"/>
          </w:tcPr>
          <w:p w14:paraId="0BFCC3EF">
            <w:pPr>
              <w:pStyle w:val="20"/>
              <w:keepNext w:val="0"/>
              <w:keepLines w:val="0"/>
              <w:suppressLineNumbers w:val="0"/>
              <w:spacing w:before="0" w:beforeAutospacing="0" w:after="0" w:afterAutospacing="0" w:line="360" w:lineRule="auto"/>
              <w:ind w:left="0" w:right="0"/>
              <w:jc w:val="center"/>
              <w:rPr>
                <w:rFonts w:hint="default" w:hAnsi="宋体"/>
                <w:color w:val="auto"/>
                <w:sz w:val="24"/>
                <w:szCs w:val="24"/>
                <w:highlight w:val="none"/>
              </w:rPr>
            </w:pPr>
            <w:r>
              <w:rPr>
                <w:rFonts w:hint="eastAsia" w:hAnsi="宋体"/>
                <w:color w:val="auto"/>
                <w:sz w:val="24"/>
                <w:szCs w:val="24"/>
                <w:highlight w:val="none"/>
              </w:rPr>
              <w:t>投标保证金缴纳凭证复印件</w:t>
            </w:r>
          </w:p>
        </w:tc>
      </w:tr>
    </w:tbl>
    <w:p w14:paraId="2956B662">
      <w:pPr>
        <w:rPr>
          <w:color w:val="auto"/>
          <w:highlight w:val="none"/>
        </w:rPr>
      </w:pPr>
      <w:r>
        <w:rPr>
          <w:rStyle w:val="91"/>
          <w:rFonts w:hint="eastAsia" w:ascii="宋体" w:hAnsi="宋体" w:eastAsia="宋体" w:cs="宋体"/>
          <w:color w:val="auto"/>
          <w:sz w:val="24"/>
          <w:szCs w:val="24"/>
          <w:highlight w:val="none"/>
        </w:rPr>
        <w:br w:type="page"/>
      </w:r>
      <w:bookmarkStart w:id="152" w:name="_Toc26900"/>
      <w:bookmarkStart w:id="153" w:name="_Toc7728"/>
    </w:p>
    <w:p w14:paraId="48BB6F82">
      <w:pPr>
        <w:pStyle w:val="12"/>
        <w:kinsoku w:val="0"/>
        <w:wordWrap w:val="0"/>
        <w:overflowPunct w:val="0"/>
        <w:adjustRightInd w:val="0"/>
        <w:spacing w:line="360" w:lineRule="auto"/>
        <w:ind w:right="125"/>
        <w:jc w:val="center"/>
        <w:outlineLvl w:val="2"/>
        <w:rPr>
          <w:rStyle w:val="91"/>
          <w:rFonts w:ascii="宋体" w:hAnsi="宋体" w:eastAsia="宋体" w:cs="宋体"/>
          <w:color w:val="auto"/>
          <w:sz w:val="24"/>
          <w:szCs w:val="24"/>
          <w:highlight w:val="none"/>
        </w:rPr>
      </w:pPr>
      <w:r>
        <w:rPr>
          <w:rFonts w:hint="eastAsia" w:ascii="宋体" w:hAnsi="宋体" w:eastAsia="宋体" w:cs="宋体"/>
          <w:b/>
          <w:bCs/>
          <w:color w:val="auto"/>
          <w:szCs w:val="24"/>
          <w:highlight w:val="none"/>
        </w:rPr>
        <w:t>（二）</w:t>
      </w:r>
      <w:bookmarkEnd w:id="152"/>
      <w:bookmarkEnd w:id="153"/>
      <w:r>
        <w:rPr>
          <w:rStyle w:val="91"/>
          <w:rFonts w:hint="eastAsia" w:ascii="宋体" w:hAnsi="宋体" w:eastAsia="宋体" w:cs="宋体"/>
          <w:color w:val="auto"/>
          <w:sz w:val="24"/>
          <w:szCs w:val="24"/>
          <w:highlight w:val="none"/>
        </w:rPr>
        <w:t>其他</w:t>
      </w:r>
    </w:p>
    <w:p w14:paraId="63BB33CF">
      <w:pPr>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投标人应当仔细核对招标文件中有关</w:t>
      </w:r>
      <w:r>
        <w:rPr>
          <w:rFonts w:hint="eastAsia" w:ascii="宋体" w:hAnsi="宋体" w:cs="宋体"/>
          <w:b/>
          <w:bCs/>
          <w:color w:val="auto"/>
          <w:sz w:val="24"/>
          <w:highlight w:val="none"/>
        </w:rPr>
        <w:t>“响应无效”、“拒收”</w:t>
      </w:r>
      <w:r>
        <w:rPr>
          <w:rFonts w:hint="eastAsia" w:ascii="宋体" w:hAnsi="宋体" w:cs="宋体"/>
          <w:color w:val="auto"/>
          <w:sz w:val="24"/>
          <w:highlight w:val="none"/>
        </w:rPr>
        <w:t>和评审标准等条款内容，提供投标人认为应当附加的其它内容，以充分证明其投标响应符合招标文件要求，并为评审提供充分依据。</w:t>
      </w:r>
    </w:p>
    <w:p w14:paraId="0C91A6BA">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1E506778">
      <w:pPr>
        <w:pStyle w:val="92"/>
        <w:numPr>
          <w:ilvl w:val="0"/>
          <w:numId w:val="8"/>
        </w:numPr>
        <w:spacing w:after="0" w:line="360" w:lineRule="auto"/>
        <w:jc w:val="center"/>
        <w:outlineLvl w:val="0"/>
        <w:rPr>
          <w:rStyle w:val="93"/>
          <w:rFonts w:hint="eastAsia" w:ascii="宋体" w:hAnsi="宋体" w:eastAsia="宋体" w:cs="宋体"/>
          <w:color w:val="auto"/>
          <w:sz w:val="24"/>
          <w:szCs w:val="24"/>
          <w:highlight w:val="none"/>
          <w:lang w:eastAsia="zh-CN"/>
        </w:rPr>
      </w:pPr>
      <w:r>
        <w:rPr>
          <w:rStyle w:val="91"/>
          <w:rFonts w:hint="eastAsia" w:ascii="宋体" w:hAnsi="宋体" w:eastAsia="宋体" w:cs="宋体"/>
          <w:color w:val="auto"/>
          <w:sz w:val="24"/>
          <w:szCs w:val="24"/>
          <w:highlight w:val="none"/>
          <w:lang w:eastAsia="zh-CN"/>
        </w:rPr>
        <w:t xml:space="preserve">  </w:t>
      </w:r>
      <w:bookmarkStart w:id="154" w:name="_Toc11546"/>
      <w:r>
        <w:rPr>
          <w:rStyle w:val="93"/>
          <w:rFonts w:hint="eastAsia" w:ascii="宋体" w:hAnsi="宋体" w:eastAsia="宋体" w:cs="宋体"/>
          <w:color w:val="auto"/>
          <w:sz w:val="24"/>
          <w:szCs w:val="24"/>
          <w:highlight w:val="none"/>
          <w:lang w:eastAsia="zh-CN"/>
        </w:rPr>
        <w:t>项目服务需求</w:t>
      </w:r>
      <w:bookmarkEnd w:id="154"/>
    </w:p>
    <w:bookmarkEnd w:id="147"/>
    <w:p w14:paraId="4CA43BDB">
      <w:pPr>
        <w:pStyle w:val="20"/>
        <w:snapToGrid w:val="0"/>
        <w:spacing w:before="156" w:after="156"/>
        <w:ind w:left="0" w:leftChars="0" w:right="26" w:firstLine="420" w:firstLineChars="175"/>
        <w:rPr>
          <w:rFonts w:hint="eastAsia" w:ascii="宋体" w:hAnsi="宋体" w:eastAsia="宋体" w:cs="宋体"/>
          <w:color w:val="auto"/>
          <w:sz w:val="24"/>
          <w:szCs w:val="24"/>
          <w:highlight w:val="yellow"/>
          <w:lang w:val="en-US" w:eastAsia="zh-CN"/>
        </w:rPr>
      </w:pPr>
      <w:bookmarkStart w:id="155" w:name="_Toc17884_WPSOffice_Level1"/>
    </w:p>
    <w:p w14:paraId="16128CF9">
      <w:pPr>
        <w:pStyle w:val="20"/>
        <w:numPr>
          <w:ilvl w:val="0"/>
          <w:numId w:val="0"/>
        </w:numPr>
        <w:snapToGrid w:val="0"/>
        <w:spacing w:before="156" w:after="156"/>
        <w:ind w:left="0" w:leftChars="0" w:right="26" w:rightChars="0" w:firstLine="420" w:firstLineChars="175"/>
        <w:rPr>
          <w:rFonts w:hint="eastAsia" w:ascii="宋体" w:hAnsi="宋体" w:eastAsia="宋体" w:cs="宋体"/>
          <w:color w:val="auto"/>
          <w:sz w:val="24"/>
          <w:szCs w:val="24"/>
          <w:highlight w:val="none"/>
        </w:rPr>
      </w:pPr>
      <w:bookmarkStart w:id="156" w:name="_Toc534725608"/>
      <w:bookmarkStart w:id="157" w:name="_Toc534816637"/>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技术需求</w:t>
      </w:r>
      <w:bookmarkEnd w:id="156"/>
      <w:bookmarkEnd w:id="157"/>
    </w:p>
    <w:tbl>
      <w:tblPr>
        <w:tblStyle w:val="3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5"/>
        <w:gridCol w:w="2089"/>
        <w:gridCol w:w="404"/>
        <w:gridCol w:w="4552"/>
        <w:gridCol w:w="468"/>
        <w:gridCol w:w="686"/>
      </w:tblGrid>
      <w:tr w14:paraId="79E5C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33" w:type="pct"/>
            <w:tcBorders>
              <w:bottom w:val="single" w:color="000000" w:sz="4" w:space="0"/>
              <w:right w:val="single" w:color="000000" w:sz="4" w:space="0"/>
            </w:tcBorders>
            <w:noWrap/>
            <w:vAlign w:val="center"/>
          </w:tcPr>
          <w:p w14:paraId="467FB173">
            <w:pPr>
              <w:keepNext w:val="0"/>
              <w:keepLines w:val="0"/>
              <w:widowControl/>
              <w:suppressLineNumbers w:val="0"/>
              <w:jc w:val="center"/>
              <w:textAlignment w:val="center"/>
              <w:rPr>
                <w:rFonts w:hint="default" w:ascii="Nimbus Roman No9 L" w:hAnsi="Nimbus Roman No9 L" w:eastAsia="宋体" w:cs="Nimbus Roman No9 L"/>
                <w:b/>
                <w:bCs/>
                <w:i w:val="0"/>
                <w:iCs w:val="0"/>
                <w:color w:val="auto"/>
                <w:sz w:val="20"/>
                <w:szCs w:val="20"/>
                <w:u w:val="none"/>
              </w:rPr>
            </w:pPr>
            <w:r>
              <w:rPr>
                <w:rFonts w:hint="default" w:ascii="Nimbus Roman No9 L" w:hAnsi="Nimbus Roman No9 L" w:eastAsia="宋体" w:cs="Nimbus Roman No9 L"/>
                <w:b/>
                <w:bCs/>
                <w:i w:val="0"/>
                <w:iCs w:val="0"/>
                <w:color w:val="auto"/>
                <w:kern w:val="0"/>
                <w:sz w:val="20"/>
                <w:szCs w:val="20"/>
                <w:u w:val="none"/>
                <w:lang w:val="en-US" w:eastAsia="zh-CN" w:bidi="ar"/>
              </w:rPr>
              <w:t>序号</w:t>
            </w:r>
          </w:p>
        </w:tc>
        <w:tc>
          <w:tcPr>
            <w:tcW w:w="1419" w:type="pct"/>
            <w:gridSpan w:val="2"/>
            <w:tcBorders>
              <w:left w:val="single" w:color="000000" w:sz="4" w:space="0"/>
              <w:bottom w:val="single" w:color="000000" w:sz="4" w:space="0"/>
              <w:right w:val="single" w:color="000000" w:sz="4" w:space="0"/>
            </w:tcBorders>
            <w:noWrap/>
            <w:vAlign w:val="center"/>
          </w:tcPr>
          <w:p w14:paraId="1015CA7F">
            <w:pPr>
              <w:keepNext w:val="0"/>
              <w:keepLines w:val="0"/>
              <w:widowControl/>
              <w:suppressLineNumbers w:val="0"/>
              <w:jc w:val="center"/>
              <w:textAlignment w:val="center"/>
              <w:rPr>
                <w:rFonts w:hint="default" w:ascii="Nimbus Roman No9 L" w:hAnsi="Nimbus Roman No9 L" w:eastAsia="宋体" w:cs="Nimbus Roman No9 L"/>
                <w:b/>
                <w:bCs/>
                <w:i w:val="0"/>
                <w:iCs w:val="0"/>
                <w:color w:val="auto"/>
                <w:sz w:val="20"/>
                <w:szCs w:val="20"/>
                <w:u w:val="none"/>
              </w:rPr>
            </w:pPr>
            <w:r>
              <w:rPr>
                <w:rFonts w:hint="eastAsia" w:ascii="Nimbus Roman No9 L" w:hAnsi="Nimbus Roman No9 L" w:cs="Nimbus Roman No9 L"/>
                <w:b/>
                <w:bCs/>
                <w:i w:val="0"/>
                <w:iCs w:val="0"/>
                <w:color w:val="auto"/>
                <w:kern w:val="0"/>
                <w:sz w:val="20"/>
                <w:szCs w:val="20"/>
                <w:u w:val="none"/>
                <w:lang w:val="en-US" w:eastAsia="zh-CN" w:bidi="ar"/>
              </w:rPr>
              <w:t>服务</w:t>
            </w:r>
            <w:r>
              <w:rPr>
                <w:rFonts w:hint="default" w:ascii="Nimbus Roman No9 L" w:hAnsi="Nimbus Roman No9 L" w:eastAsia="宋体" w:cs="Nimbus Roman No9 L"/>
                <w:b/>
                <w:bCs/>
                <w:i w:val="0"/>
                <w:iCs w:val="0"/>
                <w:color w:val="auto"/>
                <w:kern w:val="0"/>
                <w:sz w:val="20"/>
                <w:szCs w:val="20"/>
                <w:u w:val="none"/>
                <w:lang w:val="en-US" w:eastAsia="zh-CN" w:bidi="ar"/>
              </w:rPr>
              <w:t>名称</w:t>
            </w:r>
          </w:p>
        </w:tc>
        <w:tc>
          <w:tcPr>
            <w:tcW w:w="2590" w:type="pct"/>
            <w:tcBorders>
              <w:left w:val="single" w:color="000000" w:sz="4" w:space="0"/>
              <w:bottom w:val="single" w:color="000000" w:sz="4" w:space="0"/>
              <w:right w:val="single" w:color="000000" w:sz="4" w:space="0"/>
            </w:tcBorders>
            <w:noWrap w:val="0"/>
            <w:vAlign w:val="center"/>
          </w:tcPr>
          <w:p w14:paraId="500A05B1">
            <w:pPr>
              <w:keepNext w:val="0"/>
              <w:keepLines w:val="0"/>
              <w:widowControl/>
              <w:suppressLineNumbers w:val="0"/>
              <w:jc w:val="left"/>
              <w:textAlignment w:val="center"/>
              <w:rPr>
                <w:rFonts w:hint="default" w:ascii="Nimbus Roman No9 L" w:hAnsi="Nimbus Roman No9 L" w:eastAsia="宋体" w:cs="Nimbus Roman No9 L"/>
                <w:b/>
                <w:bCs/>
                <w:i w:val="0"/>
                <w:iCs w:val="0"/>
                <w:color w:val="auto"/>
                <w:sz w:val="20"/>
                <w:szCs w:val="20"/>
                <w:u w:val="none"/>
              </w:rPr>
            </w:pPr>
            <w:r>
              <w:rPr>
                <w:rFonts w:hint="default" w:ascii="Nimbus Roman No9 L" w:hAnsi="Nimbus Roman No9 L" w:eastAsia="宋体" w:cs="Nimbus Roman No9 L"/>
                <w:b/>
                <w:bCs/>
                <w:i w:val="0"/>
                <w:iCs w:val="0"/>
                <w:color w:val="auto"/>
                <w:kern w:val="0"/>
                <w:sz w:val="20"/>
                <w:szCs w:val="20"/>
                <w:u w:val="none"/>
                <w:lang w:val="en-US" w:eastAsia="zh-CN" w:bidi="ar"/>
              </w:rPr>
              <w:t>运维服务内容</w:t>
            </w:r>
          </w:p>
        </w:tc>
        <w:tc>
          <w:tcPr>
            <w:tcW w:w="266" w:type="pct"/>
            <w:tcBorders>
              <w:left w:val="single" w:color="000000" w:sz="4" w:space="0"/>
              <w:bottom w:val="single" w:color="000000" w:sz="4" w:space="0"/>
              <w:right w:val="single" w:color="000000" w:sz="4" w:space="0"/>
            </w:tcBorders>
            <w:noWrap w:val="0"/>
            <w:vAlign w:val="center"/>
          </w:tcPr>
          <w:p w14:paraId="40CE4639">
            <w:pPr>
              <w:keepNext w:val="0"/>
              <w:keepLines w:val="0"/>
              <w:widowControl/>
              <w:suppressLineNumbers w:val="0"/>
              <w:jc w:val="center"/>
              <w:textAlignment w:val="center"/>
              <w:rPr>
                <w:rFonts w:hint="default" w:ascii="Nimbus Roman No9 L" w:hAnsi="Nimbus Roman No9 L" w:eastAsia="宋体" w:cs="Nimbus Roman No9 L"/>
                <w:b/>
                <w:bCs/>
                <w:i w:val="0"/>
                <w:iCs w:val="0"/>
                <w:color w:val="auto"/>
                <w:sz w:val="20"/>
                <w:szCs w:val="20"/>
                <w:u w:val="none"/>
              </w:rPr>
            </w:pPr>
            <w:r>
              <w:rPr>
                <w:rFonts w:hint="default" w:ascii="Nimbus Roman No9 L" w:hAnsi="Nimbus Roman No9 L" w:eastAsia="宋体" w:cs="Nimbus Roman No9 L"/>
                <w:b/>
                <w:bCs/>
                <w:i w:val="0"/>
                <w:iCs w:val="0"/>
                <w:color w:val="auto"/>
                <w:kern w:val="0"/>
                <w:sz w:val="20"/>
                <w:szCs w:val="20"/>
                <w:u w:val="none"/>
                <w:lang w:val="en-US" w:eastAsia="zh-CN" w:bidi="ar"/>
              </w:rPr>
              <w:t>单位</w:t>
            </w:r>
          </w:p>
        </w:tc>
        <w:tc>
          <w:tcPr>
            <w:tcW w:w="390" w:type="pct"/>
            <w:tcBorders>
              <w:left w:val="single" w:color="000000" w:sz="4" w:space="0"/>
              <w:bottom w:val="single" w:color="000000" w:sz="4" w:space="0"/>
            </w:tcBorders>
            <w:noWrap w:val="0"/>
            <w:vAlign w:val="center"/>
          </w:tcPr>
          <w:p w14:paraId="3210CC46">
            <w:pPr>
              <w:keepNext w:val="0"/>
              <w:keepLines w:val="0"/>
              <w:widowControl/>
              <w:suppressLineNumbers w:val="0"/>
              <w:jc w:val="center"/>
              <w:textAlignment w:val="center"/>
              <w:rPr>
                <w:rFonts w:hint="default" w:ascii="Nimbus Roman No9 L" w:hAnsi="Nimbus Roman No9 L" w:eastAsia="宋体" w:cs="Nimbus Roman No9 L"/>
                <w:b/>
                <w:bCs/>
                <w:i w:val="0"/>
                <w:iCs w:val="0"/>
                <w:color w:val="auto"/>
                <w:sz w:val="20"/>
                <w:szCs w:val="20"/>
                <w:u w:val="none"/>
              </w:rPr>
            </w:pPr>
            <w:r>
              <w:rPr>
                <w:rFonts w:hint="default" w:ascii="Nimbus Roman No9 L" w:hAnsi="Nimbus Roman No9 L" w:eastAsia="宋体" w:cs="Nimbus Roman No9 L"/>
                <w:b/>
                <w:bCs/>
                <w:i w:val="0"/>
                <w:iCs w:val="0"/>
                <w:color w:val="auto"/>
                <w:kern w:val="0"/>
                <w:sz w:val="20"/>
                <w:szCs w:val="20"/>
                <w:u w:val="none"/>
                <w:lang w:val="en-US" w:eastAsia="zh-CN" w:bidi="ar"/>
              </w:rPr>
              <w:t>数量</w:t>
            </w:r>
          </w:p>
        </w:tc>
      </w:tr>
      <w:tr w14:paraId="47475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4499046D">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1</w:t>
            </w:r>
          </w:p>
        </w:tc>
        <w:tc>
          <w:tcPr>
            <w:tcW w:w="1419" w:type="pct"/>
            <w:gridSpan w:val="2"/>
            <w:tcBorders>
              <w:top w:val="single" w:color="000000" w:sz="4" w:space="0"/>
              <w:left w:val="single" w:color="000000" w:sz="4" w:space="0"/>
              <w:bottom w:val="single" w:color="000000" w:sz="4" w:space="0"/>
              <w:right w:val="single" w:color="000000" w:sz="4" w:space="0"/>
            </w:tcBorders>
            <w:noWrap w:val="0"/>
            <w:vAlign w:val="center"/>
          </w:tcPr>
          <w:p w14:paraId="522CE5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移动执法终端的运行保障及维修替换服务</w:t>
            </w:r>
          </w:p>
        </w:tc>
        <w:tc>
          <w:tcPr>
            <w:tcW w:w="2590" w:type="pct"/>
            <w:tcBorders>
              <w:top w:val="single" w:color="000000" w:sz="4" w:space="0"/>
              <w:left w:val="single" w:color="000000" w:sz="4" w:space="0"/>
              <w:bottom w:val="single" w:color="000000" w:sz="4" w:space="0"/>
              <w:right w:val="single" w:color="000000" w:sz="4" w:space="0"/>
            </w:tcBorders>
            <w:noWrap w:val="0"/>
            <w:vAlign w:val="center"/>
          </w:tcPr>
          <w:p w14:paraId="36FAA7D9">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b w:val="0"/>
                <w:bCs w:val="0"/>
                <w:i/>
                <w:iCs/>
                <w:color w:val="auto"/>
                <w:sz w:val="20"/>
                <w:szCs w:val="20"/>
                <w:u w:val="single"/>
              </w:rPr>
            </w:pPr>
            <w:r>
              <w:rPr>
                <w:rFonts w:hint="eastAsia" w:asciiTheme="majorEastAsia" w:hAnsiTheme="majorEastAsia" w:eastAsiaTheme="majorEastAsia" w:cstheme="majorEastAsia"/>
                <w:i/>
                <w:iCs/>
                <w:color w:val="auto"/>
                <w:kern w:val="0"/>
                <w:sz w:val="20"/>
                <w:szCs w:val="20"/>
                <w:u w:val="single"/>
                <w:lang w:val="en-US" w:eastAsia="zh-CN" w:bidi="ar"/>
              </w:rPr>
              <w:t>1.1、处理器 国产高性能CPU，满足信息产品国产化要求，处理器不低于12核，主频不低于2.4GHz。</w:t>
            </w:r>
            <w:r>
              <w:rPr>
                <w:rFonts w:hint="eastAsia" w:asciiTheme="majorEastAsia" w:hAnsiTheme="majorEastAsia" w:eastAsiaTheme="majorEastAsia" w:cstheme="majorEastAsia"/>
                <w:i/>
                <w:iCs/>
                <w:color w:val="auto"/>
                <w:kern w:val="0"/>
                <w:sz w:val="20"/>
                <w:szCs w:val="20"/>
                <w:u w:val="none"/>
                <w:lang w:val="en-US" w:eastAsia="zh-CN" w:bidi="ar"/>
              </w:rPr>
              <w:br w:type="textWrapping"/>
            </w:r>
            <w:r>
              <w:rPr>
                <w:rFonts w:hint="eastAsia" w:asciiTheme="majorEastAsia" w:hAnsiTheme="majorEastAsia" w:eastAsiaTheme="majorEastAsia" w:cstheme="majorEastAsia"/>
                <w:i/>
                <w:iCs/>
                <w:color w:val="auto"/>
                <w:kern w:val="0"/>
                <w:sz w:val="20"/>
                <w:szCs w:val="20"/>
                <w:u w:val="single"/>
                <w:lang w:val="en-US" w:eastAsia="zh-CN" w:bidi="ar"/>
              </w:rPr>
              <w:t>1.2、操作系统 采用国产操作系统，符合系统国产化要求，并提供中国电子技术标准化研究院、中国信息安全测评中心、中国信息通讯研究院等国家级权威机构出具检测报告或测评证书。</w:t>
            </w:r>
            <w:r>
              <w:rPr>
                <w:rFonts w:hint="eastAsia" w:asciiTheme="majorEastAsia" w:hAnsiTheme="majorEastAsia" w:eastAsiaTheme="majorEastAsia" w:cstheme="majorEastAsia"/>
                <w:i/>
                <w:iCs/>
                <w:color w:val="auto"/>
                <w:kern w:val="0"/>
                <w:sz w:val="20"/>
                <w:szCs w:val="20"/>
                <w:u w:val="singl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1.3、运行内存 运行内存≥12G，存储空间≥256G。</w:t>
            </w:r>
          </w:p>
          <w:p w14:paraId="15AA9F2F">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b w:val="0"/>
                <w:bCs w:val="0"/>
                <w:i/>
                <w:iCs/>
                <w:color w:val="auto"/>
                <w:kern w:val="0"/>
                <w:sz w:val="20"/>
                <w:szCs w:val="20"/>
                <w:u w:val="single"/>
                <w:lang w:val="en-US" w:eastAsia="zh-CN" w:bidi="ar"/>
              </w:rPr>
            </w:pPr>
            <w:r>
              <w:rPr>
                <w:rFonts w:hint="eastAsia" w:asciiTheme="majorEastAsia" w:hAnsiTheme="majorEastAsia" w:eastAsiaTheme="majorEastAsia" w:cstheme="majorEastAsia"/>
                <w:b/>
                <w:bCs/>
                <w:i/>
                <w:iCs/>
                <w:color w:val="auto"/>
                <w:kern w:val="0"/>
                <w:sz w:val="20"/>
                <w:szCs w:val="20"/>
                <w:u w:val="single"/>
                <w:lang w:val="en-US" w:eastAsia="zh-CN" w:bidi="ar"/>
              </w:rPr>
              <w:t>1.4、▲</w:t>
            </w:r>
            <w:r>
              <w:rPr>
                <w:rFonts w:hint="eastAsia" w:asciiTheme="majorEastAsia" w:hAnsiTheme="majorEastAsia" w:eastAsiaTheme="majorEastAsia" w:cstheme="majorEastAsia"/>
                <w:b w:val="0"/>
                <w:bCs w:val="0"/>
                <w:i/>
                <w:iCs/>
                <w:color w:val="auto"/>
                <w:kern w:val="0"/>
                <w:sz w:val="20"/>
                <w:szCs w:val="20"/>
                <w:u w:val="single"/>
                <w:lang w:val="en-US" w:eastAsia="zh-CN" w:bidi="ar"/>
              </w:rPr>
              <w:t>电池 电池容量≥5200mAh。支持无线快充。</w:t>
            </w:r>
          </w:p>
          <w:p w14:paraId="4BD829D9">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b w:val="0"/>
                <w:bCs w:val="0"/>
                <w:i/>
                <w:iCs/>
                <w:color w:val="auto"/>
                <w:kern w:val="0"/>
                <w:sz w:val="20"/>
                <w:szCs w:val="20"/>
                <w:u w:val="single"/>
                <w:lang w:val="en-US" w:eastAsia="zh-CN" w:bidi="ar"/>
              </w:rPr>
            </w:pPr>
            <w:r>
              <w:rPr>
                <w:rFonts w:hint="eastAsia" w:asciiTheme="majorEastAsia" w:hAnsiTheme="majorEastAsia" w:eastAsiaTheme="majorEastAsia" w:cstheme="majorEastAsia"/>
                <w:b w:val="0"/>
                <w:bCs w:val="0"/>
                <w:i/>
                <w:iCs/>
                <w:color w:val="auto"/>
                <w:kern w:val="0"/>
                <w:sz w:val="20"/>
                <w:szCs w:val="20"/>
                <w:u w:val="single"/>
                <w:lang w:val="en-US" w:eastAsia="zh-CN" w:bidi="ar"/>
              </w:rPr>
              <w:t>大于5200mAh，任意一项为正偏离。</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1.5 、NFC 内置NFC模块，支持读卡器模式，卡模拟模式</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1.6、防护能力 支持在GB/T 4208-2017（国内）标准下达到 IP68级防护</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1.7、服务网点， 有售后服务网点，并在所投产品生产商官网可查询。提供终端生产厂家官网截图，并出具移动警务终端售后承诺函并加盖公章。</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1.9、双卡双在线 支持两张卡分别同时接入公共APN和专属APN，业务同时在线。切换工作模式后，禁用生活SIM卡。</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1.10、安全水印 支持系统级全局水印功能，防止偷拍屏幕造成信息泄露，同时支持防截屏、防录屏</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1.11、产品授权 所投产品，须提供手机硬件生产厂家及系统定制厂家针对本项目的在有效期内的授权</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1.12</w:t>
            </w:r>
            <w:r>
              <w:rPr>
                <w:rFonts w:hint="eastAsia" w:asciiTheme="majorEastAsia" w:hAnsiTheme="majorEastAsia" w:eastAsiaTheme="majorEastAsia" w:cstheme="majorEastAsia"/>
                <w:b/>
                <w:bCs/>
                <w:i/>
                <w:iCs/>
                <w:color w:val="auto"/>
                <w:kern w:val="0"/>
                <w:sz w:val="20"/>
                <w:szCs w:val="20"/>
                <w:u w:val="single"/>
                <w:lang w:val="en-US" w:eastAsia="zh-CN" w:bidi="ar"/>
              </w:rPr>
              <w:t>、</w:t>
            </w:r>
            <w:r>
              <w:rPr>
                <w:rFonts w:hint="eastAsia" w:asciiTheme="majorEastAsia" w:hAnsiTheme="majorEastAsia" w:eastAsiaTheme="majorEastAsia" w:cstheme="majorEastAsia"/>
                <w:i/>
                <w:iCs/>
                <w:color w:val="auto"/>
                <w:kern w:val="0"/>
                <w:sz w:val="20"/>
                <w:szCs w:val="20"/>
                <w:u w:val="single"/>
                <w:lang w:val="en-US" w:eastAsia="zh-CN" w:bidi="ar"/>
              </w:rPr>
              <w:t>安全认证 终端须满足《司法行政移动执法系统技术规范》（SF/T 0049—2020）中第五部分：终端技术要求，并提供具备CNAS标识的检测报告。</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1.13</w:t>
            </w:r>
            <w:r>
              <w:rPr>
                <w:rFonts w:hint="eastAsia" w:asciiTheme="majorEastAsia" w:hAnsiTheme="majorEastAsia" w:eastAsiaTheme="majorEastAsia" w:cstheme="majorEastAsia"/>
                <w:b/>
                <w:bCs/>
                <w:i/>
                <w:iCs/>
                <w:color w:val="auto"/>
                <w:kern w:val="0"/>
                <w:sz w:val="20"/>
                <w:szCs w:val="20"/>
                <w:u w:val="single"/>
                <w:lang w:val="en-US" w:eastAsia="zh-CN" w:bidi="ar"/>
              </w:rPr>
              <w:t>、</w:t>
            </w:r>
            <w:r>
              <w:rPr>
                <w:rFonts w:hint="eastAsia" w:asciiTheme="majorEastAsia" w:hAnsiTheme="majorEastAsia" w:eastAsiaTheme="majorEastAsia" w:cstheme="majorEastAsia"/>
                <w:i/>
                <w:iCs/>
                <w:color w:val="auto"/>
                <w:kern w:val="0"/>
                <w:sz w:val="20"/>
                <w:szCs w:val="20"/>
                <w:u w:val="single"/>
                <w:lang w:val="en-US" w:eastAsia="zh-CN" w:bidi="ar"/>
              </w:rPr>
              <w:t>执行标准</w:t>
            </w:r>
            <w:r>
              <w:rPr>
                <w:rFonts w:hint="eastAsia" w:asciiTheme="majorEastAsia" w:hAnsiTheme="majorEastAsia" w:eastAsiaTheme="majorEastAsia" w:cstheme="majorEastAsia"/>
                <w:i/>
                <w:iCs/>
                <w:color w:val="auto"/>
                <w:kern w:val="0"/>
                <w:sz w:val="20"/>
                <w:szCs w:val="20"/>
                <w:u w:val="single"/>
                <w:lang w:val="en-US" w:eastAsia="zh-CN" w:bidi="ar"/>
              </w:rPr>
              <w:br w:type="textWrapping"/>
            </w:r>
            <w:r>
              <w:rPr>
                <w:rFonts w:hint="eastAsia" w:asciiTheme="majorEastAsia" w:hAnsiTheme="majorEastAsia" w:eastAsiaTheme="majorEastAsia" w:cstheme="majorEastAsia"/>
                <w:i/>
                <w:iCs/>
                <w:color w:val="auto"/>
                <w:kern w:val="0"/>
                <w:sz w:val="20"/>
                <w:szCs w:val="20"/>
                <w:u w:val="single"/>
                <w:lang w:val="en-US" w:eastAsia="zh-CN" w:bidi="ar"/>
              </w:rPr>
              <w:t>满足《智能手机型移动警务终端 第1部分：技术要求》（GA/T 1466.1-2018）并出具的检测报告</w:t>
            </w:r>
            <w:r>
              <w:rPr>
                <w:rFonts w:hint="eastAsia" w:asciiTheme="majorEastAsia" w:hAnsiTheme="majorEastAsia" w:eastAsiaTheme="majorEastAsia" w:cstheme="majorEastAsia"/>
                <w:i/>
                <w:iCs/>
                <w:color w:val="auto"/>
                <w:kern w:val="0"/>
                <w:sz w:val="20"/>
                <w:szCs w:val="20"/>
                <w:u w:val="singl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▲1.14、需提供移动警务终端所需通话、流量、短信服务同网网内通话免费（不限长短号），通话时长≥2000分钟，互联网流量≥100G，专网流量≥50G，</w:t>
            </w:r>
            <w:r>
              <w:rPr>
                <w:rFonts w:hint="eastAsia" w:asciiTheme="majorEastAsia" w:hAnsiTheme="majorEastAsia" w:eastAsiaTheme="majorEastAsia" w:cstheme="majorEastAsia"/>
                <w:b w:val="0"/>
                <w:bCs w:val="0"/>
                <w:i/>
                <w:iCs/>
                <w:color w:val="auto"/>
                <w:kern w:val="0"/>
                <w:sz w:val="20"/>
                <w:szCs w:val="20"/>
                <w:u w:val="single"/>
                <w:lang w:val="en-US" w:eastAsia="zh-CN" w:bidi="ar"/>
              </w:rPr>
              <w:t>短信≥100条</w:t>
            </w:r>
            <w:r>
              <w:rPr>
                <w:rFonts w:hint="eastAsia" w:asciiTheme="majorEastAsia" w:hAnsiTheme="majorEastAsia" w:eastAsiaTheme="majorEastAsia" w:cstheme="majorEastAsia"/>
                <w:b w:val="0"/>
                <w:bCs w:val="0"/>
                <w:i/>
                <w:iCs/>
                <w:color w:val="auto"/>
                <w:kern w:val="0"/>
                <w:sz w:val="20"/>
                <w:szCs w:val="20"/>
                <w:u w:val="single"/>
                <w:lang w:val="en-US" w:eastAsia="zh-CN" w:bidi="ar"/>
              </w:rPr>
              <w:t>。以上套餐通话时长≥2200分钟，为正偏离。</w:t>
            </w:r>
          </w:p>
          <w:p w14:paraId="45183622">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auto"/>
                <w:sz w:val="20"/>
                <w:szCs w:val="20"/>
                <w:u w:val="none"/>
                <w:lang w:val="en-US"/>
              </w:rPr>
            </w:pPr>
            <w:r>
              <w:rPr>
                <w:rFonts w:hint="eastAsia" w:asciiTheme="majorEastAsia" w:hAnsiTheme="majorEastAsia" w:eastAsiaTheme="majorEastAsia" w:cstheme="majorEastAsia"/>
                <w:b w:val="0"/>
                <w:bCs w:val="0"/>
                <w:i/>
                <w:iCs/>
                <w:color w:val="auto"/>
                <w:kern w:val="0"/>
                <w:sz w:val="20"/>
                <w:szCs w:val="20"/>
                <w:u w:val="single"/>
                <w:lang w:val="en-US" w:eastAsia="zh-CN" w:bidi="ar"/>
              </w:rPr>
              <w:t>互联网流量≥110G，专网流量≥55G，短信≥110条，为正偏离。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47945141">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2F00827A">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lang w:val="en-US" w:eastAsia="zh-CN"/>
              </w:rPr>
            </w:pPr>
            <w:r>
              <w:rPr>
                <w:rFonts w:hint="eastAsia" w:ascii="Nimbus Roman No9 L" w:hAnsi="Nimbus Roman No9 L" w:cs="Nimbus Roman No9 L"/>
                <w:i w:val="0"/>
                <w:iCs w:val="0"/>
                <w:color w:val="auto"/>
                <w:sz w:val="20"/>
                <w:szCs w:val="20"/>
                <w:u w:val="none"/>
                <w:lang w:val="en-US" w:eastAsia="zh-CN"/>
              </w:rPr>
              <w:t>625</w:t>
            </w:r>
          </w:p>
        </w:tc>
      </w:tr>
      <w:tr w14:paraId="40189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260E92CA">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2</w:t>
            </w:r>
          </w:p>
        </w:tc>
        <w:tc>
          <w:tcPr>
            <w:tcW w:w="1419" w:type="pct"/>
            <w:gridSpan w:val="2"/>
            <w:tcBorders>
              <w:top w:val="single" w:color="000000" w:sz="4" w:space="0"/>
              <w:left w:val="single" w:color="000000" w:sz="4" w:space="0"/>
              <w:bottom w:val="single" w:color="000000" w:sz="4" w:space="0"/>
              <w:right w:val="single" w:color="000000" w:sz="4" w:space="0"/>
            </w:tcBorders>
            <w:noWrap/>
            <w:vAlign w:val="center"/>
          </w:tcPr>
          <w:p w14:paraId="7DFC38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管控平台运维服务</w:t>
            </w:r>
          </w:p>
        </w:tc>
        <w:tc>
          <w:tcPr>
            <w:tcW w:w="2590" w:type="pct"/>
            <w:tcBorders>
              <w:top w:val="single" w:color="000000" w:sz="4" w:space="0"/>
              <w:left w:val="single" w:color="000000" w:sz="4" w:space="0"/>
              <w:bottom w:val="single" w:color="000000" w:sz="4" w:space="0"/>
              <w:right w:val="single" w:color="000000" w:sz="4" w:space="0"/>
            </w:tcBorders>
            <w:noWrap w:val="0"/>
            <w:vAlign w:val="center"/>
          </w:tcPr>
          <w:p w14:paraId="0C8B8342">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b/>
                <w:bCs/>
                <w:i/>
                <w:iCs/>
                <w:color w:val="auto"/>
                <w:kern w:val="0"/>
                <w:sz w:val="20"/>
                <w:szCs w:val="20"/>
                <w:u w:val="singl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应用软件符合《司法行政移动执法系统技术规范》（SF/T0049-2020）要求。</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b w:val="0"/>
                <w:bCs w:val="0"/>
                <w:i w:val="0"/>
                <w:iCs w:val="0"/>
                <w:color w:val="auto"/>
                <w:kern w:val="0"/>
                <w:sz w:val="20"/>
                <w:szCs w:val="20"/>
                <w:u w:val="none"/>
                <w:lang w:val="en-US" w:eastAsia="zh-CN" w:bidi="ar"/>
              </w:rPr>
              <w:t>▲</w:t>
            </w:r>
            <w:r>
              <w:rPr>
                <w:rFonts w:hint="eastAsia" w:asciiTheme="majorEastAsia" w:hAnsiTheme="majorEastAsia" w:eastAsiaTheme="majorEastAsia" w:cstheme="majorEastAsia"/>
                <w:b w:val="0"/>
                <w:bCs w:val="0"/>
                <w:i/>
                <w:iCs/>
                <w:color w:val="auto"/>
                <w:kern w:val="0"/>
                <w:sz w:val="20"/>
                <w:szCs w:val="20"/>
                <w:u w:val="single"/>
                <w:lang w:val="en-US" w:eastAsia="zh-CN" w:bidi="ar"/>
              </w:rPr>
              <w:t>2.1、平台具备终端管理功能、应用商店功能和内容管理功能。平台可实现对移动终端的集中安全管控，实现设备遗失后全程锁定、擦除数据等，保证移</w:t>
            </w:r>
            <w:r>
              <w:rPr>
                <w:rFonts w:hint="eastAsia" w:asciiTheme="majorEastAsia" w:hAnsiTheme="majorEastAsia" w:eastAsiaTheme="majorEastAsia" w:cstheme="majorEastAsia"/>
                <w:b w:val="0"/>
                <w:bCs w:val="0"/>
                <w:i/>
                <w:iCs/>
                <w:color w:val="auto"/>
                <w:kern w:val="0"/>
                <w:sz w:val="20"/>
                <w:szCs w:val="20"/>
                <w:u w:val="single"/>
                <w:lang w:val="en-US" w:eastAsia="zh-CN" w:bidi="ar"/>
              </w:rPr>
              <w:t>动终端高效安全的使用，需提供不少于“</w:t>
            </w:r>
            <w:r>
              <w:rPr>
                <w:rFonts w:hint="eastAsia" w:asciiTheme="majorEastAsia" w:hAnsiTheme="majorEastAsia" w:eastAsiaTheme="majorEastAsia" w:cstheme="majorEastAsia"/>
                <w:i/>
                <w:iCs/>
                <w:color w:val="auto"/>
                <w:kern w:val="0"/>
                <w:sz w:val="20"/>
                <w:szCs w:val="20"/>
                <w:u w:val="single"/>
                <w:lang w:val="en-US" w:eastAsia="zh-CN" w:bidi="ar"/>
              </w:rPr>
              <w:t>移动执法终端的运行保障及维修替换服务</w:t>
            </w:r>
            <w:r>
              <w:rPr>
                <w:rFonts w:hint="eastAsia" w:asciiTheme="majorEastAsia" w:hAnsiTheme="majorEastAsia" w:eastAsiaTheme="majorEastAsia" w:cstheme="majorEastAsia"/>
                <w:b w:val="0"/>
                <w:bCs w:val="0"/>
                <w:i/>
                <w:iCs/>
                <w:color w:val="auto"/>
                <w:kern w:val="0"/>
                <w:sz w:val="20"/>
                <w:szCs w:val="20"/>
                <w:u w:val="single"/>
                <w:lang w:val="en-US" w:eastAsia="zh-CN" w:bidi="ar"/>
              </w:rPr>
              <w:t>”终端数量的授权。</w:t>
            </w:r>
          </w:p>
          <w:p w14:paraId="584C55D8">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b w:val="0"/>
                <w:bCs w:val="0"/>
                <w:i/>
                <w:iCs/>
                <w:color w:val="auto"/>
                <w:kern w:val="0"/>
                <w:sz w:val="20"/>
                <w:szCs w:val="20"/>
                <w:u w:val="single"/>
                <w:lang w:val="en-US" w:eastAsia="zh-CN" w:bidi="ar"/>
              </w:rPr>
            </w:pPr>
            <w:r>
              <w:rPr>
                <w:rFonts w:hint="eastAsia" w:asciiTheme="majorEastAsia" w:hAnsiTheme="majorEastAsia" w:eastAsiaTheme="majorEastAsia" w:cstheme="majorEastAsia"/>
                <w:b w:val="0"/>
                <w:bCs w:val="0"/>
                <w:i/>
                <w:iCs/>
                <w:color w:val="auto"/>
                <w:kern w:val="0"/>
                <w:sz w:val="20"/>
                <w:szCs w:val="20"/>
                <w:u w:val="single"/>
                <w:lang w:val="en-US" w:eastAsia="zh-CN" w:bidi="ar"/>
              </w:rPr>
              <w:t>能够提供终端数据的统计分析，综合性看板的为正偏离。</w:t>
            </w:r>
            <w:r>
              <w:rPr>
                <w:rFonts w:hint="eastAsia" w:asciiTheme="majorEastAsia" w:hAnsiTheme="majorEastAsia" w:eastAsiaTheme="majorEastAsia" w:cstheme="majorEastAsia"/>
                <w:i/>
                <w:iCs/>
                <w:color w:val="auto"/>
                <w:kern w:val="0"/>
                <w:sz w:val="20"/>
                <w:szCs w:val="20"/>
                <w:u w:val="single"/>
                <w:lang w:val="en-US" w:eastAsia="zh-CN" w:bidi="ar"/>
              </w:rPr>
              <w:br w:type="textWrapping"/>
            </w:r>
            <w:r>
              <w:rPr>
                <w:rFonts w:hint="eastAsia" w:asciiTheme="majorEastAsia" w:hAnsiTheme="majorEastAsia" w:eastAsiaTheme="majorEastAsia" w:cstheme="majorEastAsia"/>
                <w:b w:val="0"/>
                <w:bCs w:val="0"/>
                <w:i w:val="0"/>
                <w:iCs w:val="0"/>
                <w:color w:val="auto"/>
                <w:kern w:val="0"/>
                <w:sz w:val="20"/>
                <w:szCs w:val="20"/>
                <w:u w:val="none"/>
                <w:lang w:val="en-US" w:eastAsia="zh-CN" w:bidi="ar"/>
              </w:rPr>
              <w:t>▲</w:t>
            </w:r>
            <w:r>
              <w:rPr>
                <w:rFonts w:hint="eastAsia" w:asciiTheme="majorEastAsia" w:hAnsiTheme="majorEastAsia" w:eastAsiaTheme="majorEastAsia" w:cstheme="majorEastAsia"/>
                <w:b w:val="0"/>
                <w:bCs w:val="0"/>
                <w:i/>
                <w:iCs/>
                <w:color w:val="auto"/>
                <w:kern w:val="0"/>
                <w:sz w:val="20"/>
                <w:szCs w:val="20"/>
                <w:u w:val="single"/>
                <w:lang w:val="en-US" w:eastAsia="zh-CN" w:bidi="ar"/>
              </w:rPr>
              <w:t>2.2、终端可以通过平台、NFC设备、门禁联动、蓝牙信标、电子地理围栏和手动进行生活、备勤、执勤三模式切换。提供较为精准的定位与轨迹（定位偏差小于100米）。</w:t>
            </w:r>
          </w:p>
          <w:p w14:paraId="0519617B">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color w:val="auto"/>
                <w:lang w:val="en-US"/>
              </w:rPr>
            </w:pPr>
            <w:r>
              <w:rPr>
                <w:rFonts w:hint="eastAsia" w:asciiTheme="majorEastAsia" w:hAnsiTheme="majorEastAsia" w:eastAsiaTheme="majorEastAsia" w:cstheme="majorEastAsia"/>
                <w:b w:val="0"/>
                <w:bCs w:val="0"/>
                <w:i/>
                <w:iCs/>
                <w:color w:val="auto"/>
                <w:kern w:val="0"/>
                <w:sz w:val="20"/>
                <w:szCs w:val="20"/>
                <w:u w:val="single"/>
                <w:lang w:val="en-US" w:eastAsia="zh-CN" w:bidi="ar"/>
              </w:rPr>
              <w:t>满足以上需求并能提供其他切换方式为正偏离项。</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2.3、提供系统软件平台运维服务，进行系统调试和优化，确保系统正常运行。</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2.4、提供系统数据配置服务，对业务系统进行数据参数配置，满足移动执法终端平稳运行，保证各系统单元间的访问和数据交互顺畅。</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2.5、对应用软件平台提供软件升级、更新等服务，定期开展巡检维护，保证应用在线正常运行。</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2.6、面向客户开展系统使用培训，讲解系统操作以及应用，并提供相关培训材料。</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2.7、在4G或5G环境下，终端所处位置RSRP≥-90dBm，</w:t>
            </w:r>
            <w:r>
              <w:rPr>
                <w:rFonts w:hint="eastAsia" w:asciiTheme="majorEastAsia" w:hAnsiTheme="majorEastAsia" w:eastAsiaTheme="majorEastAsia" w:cstheme="majorEastAsia"/>
                <w:i w:val="0"/>
                <w:iCs w:val="0"/>
                <w:color w:val="auto"/>
                <w:kern w:val="0"/>
                <w:sz w:val="20"/>
                <w:szCs w:val="20"/>
                <w:u w:val="none"/>
                <w:lang w:val="en-US" w:eastAsia="zh-CN" w:bidi="ar"/>
              </w:rPr>
              <w:t>平台下发指令实时同步终端,同步延迟小于5秒。</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2.8、平台获取终端的状态要准确,状态描述要清楚表现出终端所处的工作模式,开关机状态,是否刷机等。2.9平台在服务期间内需提供至少一人的驻场服务。</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63FEB8ED">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17E42798">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lang w:val="en-US"/>
              </w:rPr>
            </w:pPr>
            <w:r>
              <w:rPr>
                <w:rFonts w:hint="eastAsia" w:ascii="Nimbus Roman No9 L" w:hAnsi="Nimbus Roman No9 L" w:cs="Nimbus Roman No9 L"/>
                <w:i w:val="0"/>
                <w:iCs w:val="0"/>
                <w:color w:val="auto"/>
                <w:kern w:val="0"/>
                <w:sz w:val="20"/>
                <w:szCs w:val="20"/>
                <w:u w:val="none"/>
                <w:lang w:val="en-US" w:eastAsia="zh-CN" w:bidi="ar"/>
              </w:rPr>
              <w:t>625</w:t>
            </w:r>
          </w:p>
        </w:tc>
      </w:tr>
      <w:tr w14:paraId="2736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BE4C5ED">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3.1</w:t>
            </w:r>
          </w:p>
        </w:tc>
        <w:tc>
          <w:tcPr>
            <w:tcW w:w="1189" w:type="pct"/>
            <w:vMerge w:val="restart"/>
            <w:tcBorders>
              <w:top w:val="single" w:color="000000" w:sz="4" w:space="0"/>
              <w:left w:val="single" w:color="000000" w:sz="4" w:space="0"/>
              <w:bottom w:val="nil"/>
              <w:right w:val="single" w:color="000000" w:sz="4" w:space="0"/>
            </w:tcBorders>
            <w:shd w:val="clear" w:color="auto" w:fill="auto"/>
            <w:noWrap/>
            <w:vAlign w:val="center"/>
          </w:tcPr>
          <w:p w14:paraId="28165E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应用功能提升完善服务</w:t>
            </w: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9D35F">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auto"/>
                <w:sz w:val="20"/>
                <w:szCs w:val="20"/>
                <w:u w:val="none"/>
              </w:rPr>
            </w:pPr>
            <w:r>
              <w:rPr>
                <w:rFonts w:hint="eastAsia" w:asciiTheme="majorEastAsia" w:hAnsiTheme="majorEastAsia" w:eastAsiaTheme="majorEastAsia" w:cstheme="majorEastAsia"/>
                <w:b w:val="0"/>
                <w:bCs w:val="0"/>
                <w:i w:val="0"/>
                <w:iCs w:val="0"/>
                <w:color w:val="auto"/>
                <w:kern w:val="0"/>
                <w:sz w:val="20"/>
                <w:szCs w:val="20"/>
                <w:u w:val="none"/>
                <w:lang w:val="en-US" w:eastAsia="zh-CN" w:bidi="ar"/>
              </w:rPr>
              <w:t>语音输入法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DF73E">
            <w:pPr>
              <w:keepNext w:val="0"/>
              <w:keepLines w:val="0"/>
              <w:widowControl/>
              <w:suppressLineNumbers w:val="0"/>
              <w:jc w:val="both"/>
              <w:textAlignment w:val="center"/>
              <w:rPr>
                <w:rFonts w:hint="eastAsia" w:asciiTheme="majorEastAsia" w:hAnsiTheme="majorEastAsia" w:eastAsiaTheme="majorEastAsia" w:cstheme="majorEastAsia"/>
                <w:b w:val="0"/>
                <w:bCs w:val="0"/>
                <w:i/>
                <w:iCs/>
                <w:color w:val="auto"/>
                <w:sz w:val="20"/>
                <w:szCs w:val="20"/>
                <w:u w:val="single"/>
              </w:rPr>
            </w:pPr>
            <w:r>
              <w:rPr>
                <w:rFonts w:hint="eastAsia" w:asciiTheme="majorEastAsia" w:hAnsiTheme="majorEastAsia" w:eastAsiaTheme="majorEastAsia" w:cstheme="majorEastAsia"/>
                <w:b w:val="0"/>
                <w:bCs w:val="0"/>
                <w:i/>
                <w:iCs/>
                <w:color w:val="auto"/>
                <w:kern w:val="0"/>
                <w:sz w:val="20"/>
                <w:szCs w:val="20"/>
                <w:u w:val="single"/>
                <w:lang w:val="en-US" w:eastAsia="zh-CN" w:bidi="ar"/>
              </w:rPr>
              <w:t>系统软件运维服务内容如下：</w:t>
            </w:r>
            <w:r>
              <w:rPr>
                <w:rFonts w:hint="eastAsia" w:asciiTheme="majorEastAsia" w:hAnsiTheme="majorEastAsia" w:eastAsiaTheme="majorEastAsia" w:cstheme="majorEastAsia"/>
                <w:b w:val="0"/>
                <w:bCs w:val="0"/>
                <w:i/>
                <w:iCs/>
                <w:color w:val="auto"/>
                <w:kern w:val="0"/>
                <w:sz w:val="20"/>
                <w:szCs w:val="20"/>
                <w:u w:val="singl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在监狱管理局私有化部署语音识别引擎，用户通过移动执法设备端访问私有化部署的语音输入应用，普通话识别率达到98%以上。私有化部署可以更好地保护数据安全性，将用户语音数据存储在私有化服务器上，可以确保数据不会被其他人访问或滥用。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9F91">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rPr>
            </w:pPr>
            <w:r>
              <w:rPr>
                <w:rFonts w:hint="default" w:ascii="Nimbus Roman No9 L" w:hAnsi="Nimbus Roman No9 L" w:eastAsia="宋体" w:cs="Nimbus Roman No9 L"/>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3512DAC5">
            <w:pPr>
              <w:keepNext w:val="0"/>
              <w:keepLines w:val="0"/>
              <w:widowControl/>
              <w:suppressLineNumbers w:val="0"/>
              <w:jc w:val="center"/>
              <w:textAlignment w:val="center"/>
              <w:rPr>
                <w:rFonts w:hint="default" w:ascii="Nimbus Roman No9 L" w:hAnsi="Nimbus Roman No9 L" w:eastAsia="宋体" w:cs="Nimbus Roman No9 L"/>
                <w:i w:val="0"/>
                <w:iCs w:val="0"/>
                <w:color w:val="auto"/>
                <w:sz w:val="20"/>
                <w:szCs w:val="20"/>
                <w:u w:val="none"/>
                <w:lang w:val="en-US" w:eastAsia="zh-CN"/>
              </w:rPr>
            </w:pPr>
            <w:r>
              <w:rPr>
                <w:rFonts w:hint="eastAsia" w:ascii="Nimbus Roman No9 L" w:hAnsi="Nimbus Roman No9 L" w:cs="Nimbus Roman No9 L"/>
                <w:i w:val="0"/>
                <w:iCs w:val="0"/>
                <w:color w:val="auto"/>
                <w:sz w:val="20"/>
                <w:szCs w:val="20"/>
                <w:u w:val="none"/>
                <w:lang w:val="en-US" w:eastAsia="zh-CN"/>
              </w:rPr>
              <w:t>625</w:t>
            </w:r>
          </w:p>
        </w:tc>
      </w:tr>
      <w:tr w14:paraId="3B218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FEFD6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BBBF18B">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49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人脸特征值算法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E75A0">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iCs/>
                <w:color w:val="auto"/>
                <w:kern w:val="0"/>
                <w:sz w:val="20"/>
                <w:szCs w:val="20"/>
                <w:u w:val="single"/>
                <w:lang w:val="en-US" w:eastAsia="zh-CN" w:bidi="ar"/>
              </w:rPr>
              <w:t>系统软件运维服务内容如下：</w:t>
            </w:r>
            <w:r>
              <w:rPr>
                <w:rFonts w:hint="eastAsia" w:asciiTheme="majorEastAsia" w:hAnsiTheme="majorEastAsia" w:eastAsiaTheme="majorEastAsia" w:cstheme="majorEastAsia"/>
                <w:i/>
                <w:iCs/>
                <w:color w:val="auto"/>
                <w:kern w:val="0"/>
                <w:sz w:val="20"/>
                <w:szCs w:val="20"/>
                <w:u w:val="single"/>
                <w:lang w:val="en-US" w:eastAsia="zh-CN" w:bidi="ar"/>
              </w:rPr>
              <w:br w:type="textWrapping"/>
            </w:r>
            <w:r>
              <w:rPr>
                <w:rFonts w:hint="eastAsia" w:asciiTheme="majorEastAsia" w:hAnsiTheme="majorEastAsia" w:eastAsiaTheme="majorEastAsia" w:cstheme="majorEastAsia"/>
                <w:b w:val="0"/>
                <w:bCs w:val="0"/>
                <w:i/>
                <w:iCs/>
                <w:color w:val="auto"/>
                <w:kern w:val="0"/>
                <w:sz w:val="20"/>
                <w:szCs w:val="20"/>
                <w:u w:val="single"/>
                <w:lang w:val="en-US" w:eastAsia="zh-CN" w:bidi="ar"/>
              </w:rPr>
              <w:t>为现有民警谈话、工作点名应用提供脱密化人脸算法仓。为保护民警、罪犯隐私，脱密化人脸算法在特征提取完成之后，对人脸进行特征屏蔽，将除人脸主要特征以外的信息进行模糊处理或者完全屏蔽，确保个人隐私数据不被泄露。需配合第三方应用软件进行人脸认证兼容，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BA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7E6275C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625</w:t>
            </w:r>
          </w:p>
        </w:tc>
      </w:tr>
      <w:tr w14:paraId="3D842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6B827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D04E6C2">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559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安全管控身份认证</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DCFD8">
            <w:pPr>
              <w:keepNext w:val="0"/>
              <w:keepLines w:val="0"/>
              <w:widowControl/>
              <w:suppressLineNumbers w:val="0"/>
              <w:jc w:val="left"/>
              <w:textAlignment w:val="center"/>
              <w:rPr>
                <w:rFonts w:hint="eastAsia" w:asciiTheme="majorEastAsia" w:hAnsiTheme="majorEastAsia" w:eastAsiaTheme="majorEastAsia" w:cstheme="majorEastAsia"/>
                <w:b w:val="0"/>
                <w:bCs w:val="0"/>
                <w:i/>
                <w:iCs/>
                <w:color w:val="auto"/>
                <w:kern w:val="0"/>
                <w:sz w:val="20"/>
                <w:szCs w:val="20"/>
                <w:u w:val="single"/>
                <w:lang w:val="en-US" w:eastAsia="zh-CN" w:bidi="ar"/>
              </w:rPr>
            </w:pPr>
            <w:r>
              <w:rPr>
                <w:rFonts w:hint="eastAsia" w:asciiTheme="majorEastAsia" w:hAnsiTheme="majorEastAsia" w:eastAsiaTheme="majorEastAsia" w:cstheme="majorEastAsia"/>
                <w:b w:val="0"/>
                <w:bCs w:val="0"/>
                <w:i/>
                <w:iCs/>
                <w:color w:val="auto"/>
                <w:kern w:val="0"/>
                <w:sz w:val="20"/>
                <w:szCs w:val="20"/>
                <w:u w:val="single"/>
                <w:lang w:val="en-US" w:eastAsia="zh-CN" w:bidi="ar"/>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p>
          <w:p w14:paraId="09F8041D">
            <w:pPr>
              <w:keepNext w:val="0"/>
              <w:keepLines w:val="0"/>
              <w:widowControl/>
              <w:suppressLineNumbers w:val="0"/>
              <w:jc w:val="left"/>
              <w:textAlignment w:val="center"/>
              <w:rPr>
                <w:rFonts w:hint="eastAsia" w:asciiTheme="majorEastAsia" w:hAnsiTheme="majorEastAsia" w:eastAsiaTheme="majorEastAsia" w:cstheme="majorEastAsia"/>
                <w:b w:val="0"/>
                <w:bCs w:val="0"/>
                <w:i w:val="0"/>
                <w:iCs w:val="0"/>
                <w:color w:val="auto"/>
                <w:kern w:val="0"/>
                <w:sz w:val="20"/>
                <w:szCs w:val="20"/>
                <w:u w:val="none"/>
                <w:lang w:val="en-US" w:eastAsia="zh-CN" w:bidi="ar"/>
              </w:rPr>
            </w:pPr>
            <w:r>
              <w:rPr>
                <w:rFonts w:hint="eastAsia" w:asciiTheme="majorEastAsia" w:hAnsiTheme="majorEastAsia" w:eastAsiaTheme="majorEastAsia" w:cstheme="majorEastAsia"/>
                <w:b w:val="0"/>
                <w:bCs w:val="0"/>
                <w:i/>
                <w:iCs/>
                <w:color w:val="auto"/>
                <w:kern w:val="0"/>
                <w:sz w:val="20"/>
                <w:szCs w:val="20"/>
                <w:u w:val="single"/>
                <w:lang w:val="en-US" w:eastAsia="zh-CN" w:bidi="ar"/>
              </w:rPr>
              <w:t>在满足以上认证方式的同时，满足通过人脸、指纹、虹膜等任意一种认证方式为正偏离，加1分。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FDE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4409149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625</w:t>
            </w:r>
          </w:p>
        </w:tc>
      </w:tr>
      <w:tr w14:paraId="390A9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878F2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92E66C2">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B47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应用商店</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EAE1E">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应用商店为用户提供应用浏览与搜索、下载与安装、更新管理、用户评价、应用详情、分类推荐、账户管理等功能。</w:t>
            </w:r>
          </w:p>
          <w:p w14:paraId="1E3D1002">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提供系统软件平台运维服务，进行系统调试和优化，确保系统正常运行。</w:t>
            </w:r>
          </w:p>
        </w:tc>
        <w:tc>
          <w:tcPr>
            <w:tcW w:w="266" w:type="pct"/>
            <w:vMerge w:val="restart"/>
            <w:tcBorders>
              <w:top w:val="single" w:color="000000" w:sz="4" w:space="0"/>
              <w:left w:val="single" w:color="000000" w:sz="4" w:space="0"/>
              <w:right w:val="single" w:color="000000" w:sz="4" w:space="0"/>
            </w:tcBorders>
            <w:shd w:val="clear" w:color="auto" w:fill="FFFFFF"/>
            <w:noWrap/>
            <w:vAlign w:val="center"/>
          </w:tcPr>
          <w:p w14:paraId="440D03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390" w:type="pct"/>
            <w:vMerge w:val="restart"/>
            <w:tcBorders>
              <w:top w:val="single" w:color="000000" w:sz="4" w:space="0"/>
              <w:left w:val="single" w:color="000000" w:sz="4" w:space="0"/>
            </w:tcBorders>
            <w:noWrap/>
            <w:vAlign w:val="center"/>
          </w:tcPr>
          <w:p w14:paraId="1B287A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392D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B8392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033FCC8">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D4F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通讯录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E111B">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通讯录可实现每个人的可视范围有权限控制，可以按照部门进行权限分配，比如领导的通讯录只有某些组织的人可以看，其他人不能查看。</w:t>
            </w:r>
          </w:p>
          <w:p w14:paraId="1C7BA0A0">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127EFA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1E4585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67A48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7F8AA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D3DDF6C">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37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学习手册</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CF2E9">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在移动警务终端资源之上，结合监狱的实际业务特点，利用专网VPN，构建网络安全、学习便捷的学习手册APP应用。将各类学习知识进行分类分级组织管理，通过对接、导入、录入等方式获取业务知识，针对业务知识类型和业务科室进行分类分级，形成监狱系统各级学习知识资源目录，通过资源目录进行统一管理和服务应用。</w:t>
            </w:r>
          </w:p>
          <w:p w14:paraId="0ADC573A">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提供系统软件平台运维服务，进行系统调试和优化，确保系统正常运行。</w:t>
            </w:r>
          </w:p>
          <w:p w14:paraId="3FC8D1F2">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包含党建理论学习、法律法规学习等。</w:t>
            </w:r>
          </w:p>
        </w:tc>
        <w:tc>
          <w:tcPr>
            <w:tcW w:w="266" w:type="pct"/>
            <w:vMerge w:val="continue"/>
            <w:tcBorders>
              <w:left w:val="single" w:color="000000" w:sz="4" w:space="0"/>
              <w:right w:val="single" w:color="000000" w:sz="4" w:space="0"/>
            </w:tcBorders>
            <w:shd w:val="clear" w:color="auto" w:fill="FFFFFF"/>
            <w:noWrap/>
            <w:vAlign w:val="center"/>
          </w:tcPr>
          <w:p w14:paraId="0CA109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0058F7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4F495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2B353B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F1402B4">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8D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执法取证</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E0ABC">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在监狱管理局部署执法取证应用，以确保监狱的安全、高效管理和应急响应能力。</w:t>
            </w:r>
          </w:p>
          <w:p w14:paraId="1ECCDB58">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应用具有普通用户和管理员操作模式，执法人员利用移动执法终端可实现取证、执法查证登录、查看、编辑、删除等功能。</w:t>
            </w:r>
          </w:p>
          <w:p w14:paraId="6A574121">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69EF1F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121BAD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0E08E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9C49E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80BDC4E">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3DD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指挥调度</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014DB">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在监狱管理局部署指挥调度应用，由管理后台、PC端调度台、手机端应用程序组成。可实现在JY区域乃至全自治区、全国范围内的实时群呼、组呼、单呼功能,</w:t>
            </w:r>
          </w:p>
          <w:p w14:paraId="317196A3">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根据用户权限可限制终端间互通,支持PC调度台单呼、群呼手机终端。提供系统软件平台运维服务，进行系统调试和优化，确保系统正常运行。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57ECB7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578615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457BE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337BC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2E88AA">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06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日历</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11AE9">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按照公历显示日期，提供系统软件平台运维服务，进行系统调试和优化，确保系统正常运行。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023A24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61FFB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0C47B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F939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821639">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74B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一键报警</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534E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1"/>
                <w:szCs w:val="21"/>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u w:val="none"/>
                <w:lang w:val="en-US" w:eastAsia="zh-CN" w:bidi="ar"/>
              </w:rPr>
              <w:t>应用软件符合《司法行政移动执法系统技术规范》（SF/T0049-2020）要求。</w:t>
            </w:r>
          </w:p>
          <w:p w14:paraId="32E65591">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通过一键报警APP实现紧急情况下的一键报警，实时显示位置信息。触发报警后可联动指挥中心大屏弹窗报警信息，同步接通现场语音对讲。</w:t>
            </w:r>
          </w:p>
          <w:p w14:paraId="16CCBB81">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42DD55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39FDA9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2A6B1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AAE7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3.11</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D68C8B3">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ACC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数字对讲</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6FDC2">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1"/>
                <w:szCs w:val="21"/>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u w:val="none"/>
                <w:lang w:val="en-US" w:eastAsia="zh-CN" w:bidi="ar"/>
              </w:rPr>
              <w:t>应用软件符合《司法行政移动执法系统技术规范》（SF/T0049-2020）要求。</w:t>
            </w:r>
          </w:p>
          <w:p w14:paraId="238DD8F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通过在移动执法终端上部署数字对讲应用模块，能够终端之间、PC与终端之间的集群组呼与单呼，并实现呼叫权限控制，基本实现原有数字对讲系统同类功能。</w:t>
            </w:r>
          </w:p>
          <w:p w14:paraId="7DA81A0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31EAC1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175309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5E159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132E96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CC9ED58">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1AA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警务拍</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32A4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1"/>
                <w:szCs w:val="21"/>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u w:val="none"/>
                <w:lang w:val="en-US" w:eastAsia="zh-CN" w:bidi="ar"/>
              </w:rPr>
              <w:t>应用软件符合《司法行政移动执法系统技术规范》（SF/T0049-2020）要求。</w:t>
            </w:r>
          </w:p>
          <w:p w14:paraId="157D7547">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通过在移动执法终端上部署警务拍应用，为日常安全隐患排查，罪犯违规违纪，提供信息化便捷支撑能力。</w:t>
            </w:r>
          </w:p>
          <w:p w14:paraId="320305B7">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民警发现问题后通过移动警务终端，直接拍照上传，系统根据情况自动记录时间、地点等并将问题进行推送，同时对事件的处理进行闭环管理。</w:t>
            </w:r>
          </w:p>
        </w:tc>
        <w:tc>
          <w:tcPr>
            <w:tcW w:w="266" w:type="pct"/>
            <w:vMerge w:val="continue"/>
            <w:tcBorders>
              <w:left w:val="single" w:color="000000" w:sz="4" w:space="0"/>
              <w:right w:val="single" w:color="000000" w:sz="4" w:space="0"/>
            </w:tcBorders>
            <w:shd w:val="clear" w:color="auto" w:fill="FFFFFF"/>
            <w:noWrap w:val="0"/>
            <w:vAlign w:val="center"/>
          </w:tcPr>
          <w:p w14:paraId="38A55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tcBorders>
            <w:noWrap/>
            <w:vAlign w:val="center"/>
          </w:tcPr>
          <w:p w14:paraId="4174D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023E8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6883F5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3.13</w:t>
            </w:r>
          </w:p>
        </w:tc>
        <w:tc>
          <w:tcPr>
            <w:tcW w:w="11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E60A92">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B6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即时通讯</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E0DC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系统软件运维服务内容如下：</w:t>
            </w:r>
            <w:r>
              <w:rPr>
                <w:rFonts w:hint="eastAsia" w:asciiTheme="majorEastAsia" w:hAnsiTheme="majorEastAsia" w:eastAsiaTheme="majorEastAsia" w:cstheme="majorEastAsia"/>
                <w:i w:val="0"/>
                <w:iCs w:val="0"/>
                <w:color w:val="auto"/>
                <w:kern w:val="0"/>
                <w:sz w:val="21"/>
                <w:szCs w:val="21"/>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u w:val="none"/>
                <w:lang w:val="en-US" w:eastAsia="zh-CN" w:bidi="ar"/>
              </w:rPr>
              <w:t>应用软件符合《司法行政移动执法系统技术规范》（SF/T0049-2020）要求。</w:t>
            </w:r>
          </w:p>
          <w:p w14:paraId="0EE17FD6">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1"/>
                <w:szCs w:val="21"/>
                <w:u w:val="none"/>
                <w:lang w:val="en-US"/>
              </w:rPr>
            </w:pPr>
            <w:r>
              <w:rPr>
                <w:rFonts w:hint="eastAsia" w:asciiTheme="majorEastAsia" w:hAnsiTheme="majorEastAsia" w:eastAsiaTheme="majorEastAsia" w:cstheme="majorEastAsia"/>
                <w:i w:val="0"/>
                <w:iCs w:val="0"/>
                <w:color w:val="auto"/>
                <w:kern w:val="0"/>
                <w:sz w:val="21"/>
                <w:szCs w:val="21"/>
                <w:u w:val="none"/>
                <w:lang w:val="en-US" w:eastAsia="zh-CN" w:bidi="ar"/>
              </w:rPr>
              <w:t>通过在移动执法终端上部署即时通讯应用，结合监狱特殊场景定制化开发，以安全、高效为核心，满足民警日常语音通讯，群组通讯等。适应监狱在应急指挥处置、日常巡查、日常人员分配等事务性工作中存在的工作安排。系统内置敏感字智能识别和屏蔽，从源头上规避泄露监狱风险的可能性。</w:t>
            </w:r>
          </w:p>
        </w:tc>
        <w:tc>
          <w:tcPr>
            <w:tcW w:w="266" w:type="pct"/>
            <w:vMerge w:val="continue"/>
            <w:tcBorders>
              <w:left w:val="single" w:color="000000" w:sz="4" w:space="0"/>
              <w:bottom w:val="single" w:color="000000" w:sz="4" w:space="0"/>
              <w:right w:val="single" w:color="000000" w:sz="4" w:space="0"/>
            </w:tcBorders>
            <w:shd w:val="clear" w:color="auto" w:fill="FFFFFF"/>
            <w:noWrap w:val="0"/>
            <w:vAlign w:val="center"/>
          </w:tcPr>
          <w:p w14:paraId="4EA4F1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90" w:type="pct"/>
            <w:vMerge w:val="continue"/>
            <w:tcBorders>
              <w:left w:val="single" w:color="000000" w:sz="4" w:space="0"/>
              <w:bottom w:val="single" w:color="000000" w:sz="4" w:space="0"/>
            </w:tcBorders>
            <w:noWrap/>
            <w:vAlign w:val="center"/>
          </w:tcPr>
          <w:p w14:paraId="604CB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5A840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0E11C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189"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7B6256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安全管控能力服务</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179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交换请求服务运维服务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2A35">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b w:val="0"/>
                <w:bCs w:val="0"/>
                <w:i/>
                <w:iCs/>
                <w:color w:val="auto"/>
                <w:kern w:val="0"/>
                <w:sz w:val="20"/>
                <w:szCs w:val="20"/>
                <w:u w:val="single"/>
                <w:lang w:val="en-US" w:eastAsia="zh-CN" w:bidi="ar"/>
              </w:rPr>
              <w:t>数据安全交换请求服务运维，服务要求提供并发数量≥90000个；交换能力≥12000Mbps；最大支持服务≥180个。并满足以下服务需求：支持SOAP协议、XML-RPC协议和REST协议。支持请求转文件（XML文件）和应答转文件（XML文件）。支持各种Web Service接口。支持移动应用系统访问。支持多级分布式部署、多节点非对称部署。接收管理中心的统一配置管理；向管理中心统一上报状态、业务运行情况。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65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6E06A8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6355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46D771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C003045">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85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文件数据库交换运维服务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693A3">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iCs/>
                <w:color w:val="auto"/>
                <w:kern w:val="0"/>
                <w:sz w:val="20"/>
                <w:szCs w:val="20"/>
                <w:u w:val="single"/>
                <w:lang w:val="en-US" w:eastAsia="zh-CN" w:bidi="ar"/>
              </w:rPr>
              <w:t>安全交换文件国产数据库交换运维，服务要求提供交换能力≥600Mbps；最大支持服务≥60个。并满足以下服务需求：1、支持主流数据库交换，包括：Oracle、SQL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8C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42B437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660E0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5AC08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E75C0A3">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CA0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视频交换运维服务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7F94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iCs/>
                <w:color w:val="auto"/>
                <w:kern w:val="0"/>
                <w:sz w:val="20"/>
                <w:szCs w:val="20"/>
                <w:u w:val="single"/>
                <w:lang w:val="en-US" w:eastAsia="zh-CN" w:bidi="ar"/>
              </w:rPr>
              <w:t>数据安全交换视频交换运维，服务要求提供系统吞吐量8Gbps以上。并满足以下服务需求：1、支持主流视频协议类型包括：GB28181,DB33,海康,大华,宇视,立元,信产,科达 ,互信互通，华为等；2、能够直接识别MP4、AVI、WMV、MKV、FLV等主流视频格式，仅允许合法的视频数据通过；3、对视频接入对象进行合法性认证；4、支持多级分布式部署、多节点非对称部署。5、接收管理中心的统一配置管理；向管理中心统一上报状态、业务运行情况。</w:t>
            </w:r>
            <w:r>
              <w:rPr>
                <w:rFonts w:hint="eastAsia" w:asciiTheme="majorEastAsia" w:hAnsiTheme="majorEastAsia" w:eastAsiaTheme="majorEastAsia" w:cstheme="majorEastAsia"/>
                <w:i w:val="0"/>
                <w:iCs w:val="0"/>
                <w:color w:val="auto"/>
                <w:kern w:val="0"/>
                <w:sz w:val="20"/>
                <w:szCs w:val="20"/>
                <w:u w:val="none"/>
                <w:lang w:val="en-US" w:eastAsia="zh-CN" w:bidi="ar"/>
              </w:rPr>
              <w:t xml:space="preserve">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B0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7CC390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8B0A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42E130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FE8D810">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520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 xml:space="preserve">安全隔离与信息交换服务 </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0D06">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数据安全交换运维，服务包含：包括文件交换、FTP访问、数据库交换、邮件传输、安全浏览、安全传输、消息传输模块。</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77B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4AA0E9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2559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54FD2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4028DFF">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AA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双向管理中心运维服务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EBCB3">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数据安全交换双向管理中心运维服务需求：</w:t>
            </w:r>
          </w:p>
          <w:p w14:paraId="4E0D934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支持节点管理功能，统一配置、管理各个节点。</w:t>
            </w:r>
          </w:p>
          <w:p w14:paraId="3DC923F5">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支持根据内部负载算法来感知不同节点的负载情况，实现动态负载。支持根据负载情况动态分配任务到各个不同的节点，对节点进行统一调度；节点故障能够及时切换业务 。</w:t>
            </w:r>
          </w:p>
          <w:p w14:paraId="66418346">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kern w:val="0"/>
                <w:sz w:val="20"/>
                <w:szCs w:val="20"/>
                <w:u w:val="none"/>
                <w:lang w:val="en-US" w:eastAsia="zh-CN" w:bidi="ar"/>
              </w:rPr>
            </w:pPr>
            <w:r>
              <w:rPr>
                <w:rFonts w:hint="eastAsia" w:asciiTheme="majorEastAsia" w:hAnsiTheme="majorEastAsia" w:eastAsiaTheme="majorEastAsia" w:cstheme="majorEastAsia"/>
                <w:i w:val="0"/>
                <w:iCs w:val="0"/>
                <w:color w:val="auto"/>
                <w:kern w:val="0"/>
                <w:sz w:val="20"/>
                <w:szCs w:val="20"/>
                <w:u w:val="none"/>
                <w:lang w:val="en-US" w:eastAsia="zh-CN" w:bidi="ar"/>
              </w:rPr>
              <w:t>支持对节点设备的运行状态信息、业务运行状况进行感知，实现统一监控。</w:t>
            </w:r>
          </w:p>
          <w:p w14:paraId="73981BB5">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支持对各个节点日志进行统一查询、展示功能。节点管理:通过授权进行统一管理，管理40个节点以上。</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42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6844DE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02071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F4764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6656962">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D22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网络层安全防护运维服务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E42D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lang w:val="en-US"/>
              </w:rPr>
            </w:pPr>
            <w:r>
              <w:rPr>
                <w:rFonts w:hint="eastAsia" w:asciiTheme="majorEastAsia" w:hAnsiTheme="majorEastAsia" w:eastAsiaTheme="majorEastAsia" w:cstheme="majorEastAsia"/>
                <w:i w:val="0"/>
                <w:iCs w:val="0"/>
                <w:color w:val="auto"/>
                <w:kern w:val="0"/>
                <w:sz w:val="20"/>
                <w:szCs w:val="20"/>
                <w:u w:val="none"/>
                <w:lang w:val="en-US" w:eastAsia="zh-CN" w:bidi="ar"/>
              </w:rPr>
              <w:t>网络层防护运维，服务要求吞吐量≥48G ； 并发连接数≥2900万  每秒新建连接数≥25万、并提供以下服务：</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 xml:space="preserve">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支持一体化安全策略配置，可以通过一条策略实现用户认证、IPS、AV、URL过滤、协议控制、流量控制、并发限制、新建限制、垃圾邮件过滤、审计等功能,简化用户管理；</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支持工业协议控制，支持协议的完整性检查，支持协议分片的控制；支持工业动态协议的NAT和访问控制。</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支持主流ICMPFLOOD\SYNFLOOD\ACKFLOOD\SYNACKFLOOD\UDPFLOOD攻击防护，采用专业高效的攻击防护算法，非采用简单的阈值进行攻击防护。支持包括后门、服务探测、文件共享、Windows系统补丁、认证等主动式扫描。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FE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7EEAE3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00CD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25D4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18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5D2BB69">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3A1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入侵检测运维服务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5717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 xml:space="preserve"> 入侵检测服务要求：</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支持发现资产的类型，包括终端、视频设备、办公设备、网络设备、服务器、安全设备、工控设备等；</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kafka外发方式支持开启/关闭安全认证，支持的加密套件包括PLAIN、SSL、SASL_SSL方式；</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支持设备系统管理，可通过页面下发诊断对设备关键进程进行监测，同时可一键恢复关键进程，增强设备易用性与运维便捷度。</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62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588EB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CBE9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right w:val="single" w:color="000000" w:sz="4" w:space="0"/>
            </w:tcBorders>
            <w:shd w:val="clear" w:color="auto" w:fill="FFFFFF"/>
            <w:noWrap w:val="0"/>
            <w:vAlign w:val="center"/>
          </w:tcPr>
          <w:p w14:paraId="70B229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189" w:type="pct"/>
            <w:vMerge w:val="continue"/>
            <w:tcBorders>
              <w:top w:val="single" w:color="000000" w:sz="4" w:space="0"/>
              <w:left w:val="single" w:color="000000" w:sz="4" w:space="0"/>
              <w:right w:val="single" w:color="000000" w:sz="4" w:space="0"/>
            </w:tcBorders>
            <w:shd w:val="clear" w:color="auto" w:fill="FFFFFF"/>
            <w:noWrap w:val="0"/>
            <w:vAlign w:val="center"/>
          </w:tcPr>
          <w:p w14:paraId="39513354">
            <w:pPr>
              <w:jc w:val="center"/>
              <w:rPr>
                <w:rFonts w:hint="eastAsia" w:asciiTheme="majorEastAsia" w:hAnsiTheme="majorEastAsia" w:eastAsiaTheme="majorEastAsia" w:cstheme="majorEastAsia"/>
                <w:i w:val="0"/>
                <w:iCs w:val="0"/>
                <w:color w:val="auto"/>
                <w:sz w:val="20"/>
                <w:szCs w:val="20"/>
                <w:u w:val="none"/>
              </w:rPr>
            </w:pPr>
          </w:p>
        </w:tc>
        <w:tc>
          <w:tcPr>
            <w:tcW w:w="230" w:type="pct"/>
            <w:tcBorders>
              <w:top w:val="single" w:color="000000" w:sz="4" w:space="0"/>
              <w:left w:val="single" w:color="000000" w:sz="4" w:space="0"/>
              <w:right w:val="single" w:color="000000" w:sz="4" w:space="0"/>
            </w:tcBorders>
            <w:shd w:val="clear" w:color="auto" w:fill="auto"/>
            <w:noWrap w:val="0"/>
            <w:vAlign w:val="center"/>
          </w:tcPr>
          <w:p w14:paraId="1CC9B4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应用层安全防护运维服务</w:t>
            </w:r>
          </w:p>
        </w:tc>
        <w:tc>
          <w:tcPr>
            <w:tcW w:w="2590" w:type="pct"/>
            <w:tcBorders>
              <w:top w:val="single" w:color="000000" w:sz="4" w:space="0"/>
              <w:left w:val="single" w:color="000000" w:sz="4" w:space="0"/>
              <w:right w:val="single" w:color="000000" w:sz="4" w:space="0"/>
            </w:tcBorders>
            <w:shd w:val="clear" w:color="auto" w:fill="auto"/>
            <w:noWrap w:val="0"/>
            <w:vAlign w:val="center"/>
          </w:tcPr>
          <w:p w14:paraId="0844D42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应用层安全防护，服务要求网络吞吐量≥60 Gbps，TCP最大并发连接数：≥1500万。并提供以下服务：</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支持DHCP功能，包括DHCP服务器和DHCP中继功能。并可以作为客户端获得IP地址，满足客户自动化管理的需要。</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支持自定义事件升级内容。针对新增加的事件特征，针对不同级别的事件，用户可以选择是否自动升级到自定义策略中。升级界面中至少包含高中低三种级别事件的升级启用选项。</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系统应支持弱口令检测功能，需支持至少不小于8种网络协议并支持至少不小于7种弱口令检测元素，并文字说明支持的网络协议和定义弱口令的检测元素</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提供在线管理员数目限制和管理员唯一性检查功能，提高系统管理的安全性。</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系统应支持威胁分析功能，通过与威胁情报、NFT全流取证、网络负载、内置解码工具、事件处理流程、事件性质判定等信息综合对威胁进行分析判断。</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266" w:type="pct"/>
            <w:tcBorders>
              <w:top w:val="single" w:color="000000" w:sz="4" w:space="0"/>
              <w:left w:val="single" w:color="000000" w:sz="4" w:space="0"/>
              <w:right w:val="single" w:color="000000" w:sz="4" w:space="0"/>
            </w:tcBorders>
            <w:shd w:val="clear" w:color="auto" w:fill="FFFFFF"/>
            <w:noWrap/>
            <w:vAlign w:val="center"/>
          </w:tcPr>
          <w:p w14:paraId="34E8D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390" w:type="pct"/>
            <w:tcBorders>
              <w:top w:val="single" w:color="000000" w:sz="4" w:space="0"/>
              <w:left w:val="single" w:color="000000" w:sz="4" w:space="0"/>
            </w:tcBorders>
            <w:shd w:val="clear" w:color="auto" w:fill="FFFFFF"/>
            <w:noWrap/>
            <w:vAlign w:val="center"/>
          </w:tcPr>
          <w:p w14:paraId="4F74EC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14:paraId="25294B1C">
      <w:pPr>
        <w:pStyle w:val="20"/>
        <w:snapToGrid w:val="0"/>
        <w:spacing w:before="156" w:after="156"/>
        <w:ind w:left="0" w:leftChars="0" w:right="26" w:firstLine="420" w:firstLineChars="175"/>
        <w:rPr>
          <w:rFonts w:hint="eastAsia" w:ascii="宋体" w:hAnsi="宋体" w:eastAsia="宋体" w:cs="宋体"/>
          <w:color w:val="auto"/>
          <w:sz w:val="24"/>
          <w:szCs w:val="24"/>
          <w:highlight w:val="none"/>
          <w:lang w:val="en-US" w:eastAsia="zh-CN"/>
        </w:rPr>
      </w:pPr>
      <w:bookmarkStart w:id="158" w:name="_Toc534816638"/>
      <w:bookmarkStart w:id="159" w:name="_Toc534725609"/>
    </w:p>
    <w:p w14:paraId="7215F3E4">
      <w:pPr>
        <w:pStyle w:val="20"/>
        <w:snapToGrid w:val="0"/>
        <w:spacing w:before="156" w:after="156"/>
        <w:ind w:left="0" w:leftChars="0" w:right="26"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二、商务条款</w:t>
      </w:r>
      <w:bookmarkEnd w:id="158"/>
      <w:bookmarkEnd w:id="159"/>
    </w:p>
    <w:p w14:paraId="00E8D891">
      <w:pPr>
        <w:pStyle w:val="20"/>
        <w:snapToGrid w:val="0"/>
        <w:spacing w:before="156" w:after="156"/>
        <w:ind w:left="0" w:leftChars="0" w:right="26" w:firstLine="420" w:firstLineChars="175"/>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自合同签订之日起12个月。（</w:t>
      </w:r>
      <w:r>
        <w:rPr>
          <w:rFonts w:hint="eastAsia" w:hAnsi="宋体" w:eastAsia="宋体" w:cs="宋体"/>
          <w:color w:val="auto"/>
          <w:sz w:val="24"/>
          <w:szCs w:val="24"/>
          <w:highlight w:val="none"/>
          <w:lang w:val="en-US" w:eastAsia="zh-CN"/>
        </w:rPr>
        <w:t>可在需求不发生变化，且采购单位预算充足的情况下，</w:t>
      </w:r>
      <w:r>
        <w:rPr>
          <w:rFonts w:hint="eastAsia" w:ascii="宋体" w:hAnsi="宋体" w:eastAsia="宋体" w:cs="宋体"/>
          <w:color w:val="auto"/>
          <w:sz w:val="24"/>
          <w:szCs w:val="24"/>
          <w:highlight w:val="none"/>
          <w:lang w:val="en-US" w:eastAsia="zh-CN"/>
        </w:rPr>
        <w:t>根据相关政策以及中标人服务质量与中标人续签下一年合同，</w:t>
      </w:r>
      <w:r>
        <w:rPr>
          <w:rFonts w:hint="eastAsia" w:hAnsi="宋体" w:eastAsia="宋体" w:cs="宋体"/>
          <w:color w:val="auto"/>
          <w:sz w:val="24"/>
          <w:szCs w:val="24"/>
          <w:highlight w:val="none"/>
          <w:lang w:val="en-US" w:eastAsia="zh-CN"/>
        </w:rPr>
        <w:t>最多续签两年</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。移动执法终端的维修替换、管控平台运维、安全管控运维需</w:t>
      </w:r>
      <w:r>
        <w:rPr>
          <w:rFonts w:hint="eastAsia" w:ascii="宋体" w:hAnsi="宋体" w:eastAsia="宋体" w:cs="宋体"/>
          <w:color w:val="auto"/>
          <w:sz w:val="24"/>
          <w:szCs w:val="24"/>
          <w:highlight w:val="none"/>
          <w:lang w:val="en-US" w:eastAsia="zh-CN"/>
        </w:rPr>
        <w:t>自合同签订之日起30个日历日内完成。</w:t>
      </w:r>
    </w:p>
    <w:p w14:paraId="0D3799A5">
      <w:pPr>
        <w:pStyle w:val="20"/>
        <w:snapToGrid w:val="0"/>
        <w:spacing w:before="156" w:after="156"/>
        <w:ind w:left="0" w:leftChars="0" w:right="26" w:firstLine="420" w:firstLineChars="175"/>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资金</w:t>
      </w:r>
      <w:r>
        <w:rPr>
          <w:rFonts w:hint="eastAsia" w:ascii="宋体" w:hAnsi="宋体" w:eastAsia="宋体" w:cs="宋体"/>
          <w:color w:val="auto"/>
          <w:sz w:val="24"/>
          <w:szCs w:val="24"/>
          <w:highlight w:val="none"/>
        </w:rPr>
        <w:t>支付</w:t>
      </w:r>
    </w:p>
    <w:p w14:paraId="1BF6CDE3">
      <w:pPr>
        <w:pStyle w:val="20"/>
        <w:snapToGrid w:val="0"/>
        <w:spacing w:before="156" w:after="156"/>
        <w:ind w:left="0" w:leftChars="0" w:right="26" w:firstLine="420" w:firstLineChars="175"/>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第一次付款：</w:t>
      </w:r>
      <w:r>
        <w:rPr>
          <w:rFonts w:hint="eastAsia" w:ascii="宋体" w:hAnsi="宋体" w:eastAsia="宋体" w:cs="宋体"/>
          <w:color w:val="auto"/>
          <w:sz w:val="24"/>
          <w:szCs w:val="24"/>
          <w:highlight w:val="none"/>
          <w:lang w:val="en-US" w:eastAsia="zh-CN"/>
        </w:rPr>
        <w:t>签订合同后</w:t>
      </w:r>
      <w:r>
        <w:rPr>
          <w:rFonts w:hint="eastAsia" w:ascii="宋体" w:hAnsi="宋体" w:eastAsia="宋体" w:cs="宋体"/>
          <w:color w:val="auto"/>
          <w:sz w:val="24"/>
          <w:szCs w:val="24"/>
          <w:highlight w:val="none"/>
        </w:rPr>
        <w:t>，支付合同金额的</w:t>
      </w:r>
      <w:r>
        <w:rPr>
          <w:rFonts w:hint="eastAsia"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预付款</w:t>
      </w:r>
      <w:r>
        <w:rPr>
          <w:rFonts w:hint="eastAsia" w:ascii="宋体" w:hAnsi="宋体" w:eastAsia="宋体" w:cs="宋体"/>
          <w:color w:val="auto"/>
          <w:sz w:val="24"/>
          <w:szCs w:val="24"/>
          <w:highlight w:val="none"/>
        </w:rPr>
        <w:t>。</w:t>
      </w:r>
    </w:p>
    <w:p w14:paraId="5AB4B731">
      <w:pPr>
        <w:pStyle w:val="20"/>
        <w:snapToGrid w:val="0"/>
        <w:spacing w:before="156" w:after="156"/>
        <w:ind w:left="0" w:leftChars="0" w:right="26" w:firstLine="420" w:firstLineChars="175"/>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第二次付款：根据甲方内部管理规定，满足终验条件，乙方提交全部验收材料，通过甲方组织的验收后，支付至合同金额的 100%。</w:t>
      </w:r>
    </w:p>
    <w:p w14:paraId="4E0DEEB3">
      <w:pPr>
        <w:pStyle w:val="6"/>
        <w:rPr>
          <w:rFonts w:hint="default"/>
          <w:color w:val="auto"/>
          <w:highlight w:val="none"/>
          <w:lang w:val="en-US" w:eastAsia="zh-CN"/>
        </w:rPr>
      </w:pPr>
      <w:r>
        <w:rPr>
          <w:rFonts w:hint="eastAsia" w:ascii="宋体" w:hAnsi="宋体" w:eastAsia="宋体" w:cs="宋体"/>
          <w:color w:val="auto"/>
          <w:sz w:val="24"/>
          <w:szCs w:val="24"/>
          <w:highlight w:val="yellow"/>
        </w:rPr>
        <w:br w:type="page"/>
      </w:r>
    </w:p>
    <w:p w14:paraId="20283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center"/>
        <w:textAlignment w:val="auto"/>
        <w:outlineLvl w:val="0"/>
        <w:rPr>
          <w:rStyle w:val="94"/>
          <w:rFonts w:hint="eastAsia"/>
          <w:color w:val="auto"/>
          <w:sz w:val="24"/>
          <w:szCs w:val="24"/>
          <w:highlight w:val="none"/>
        </w:rPr>
      </w:pPr>
      <w:bookmarkStart w:id="160" w:name="_Toc3796"/>
      <w:r>
        <w:rPr>
          <w:rStyle w:val="94"/>
          <w:rFonts w:hint="eastAsia"/>
          <w:color w:val="auto"/>
          <w:sz w:val="24"/>
          <w:szCs w:val="24"/>
          <w:highlight w:val="none"/>
        </w:rPr>
        <w:t xml:space="preserve">第五章  </w:t>
      </w:r>
      <w:bookmarkEnd w:id="155"/>
      <w:bookmarkStart w:id="161" w:name="_Hlt101846155"/>
      <w:bookmarkEnd w:id="161"/>
      <w:bookmarkStart w:id="162" w:name="_Toc183682415"/>
      <w:bookmarkStart w:id="163" w:name="_Toc208849007"/>
      <w:bookmarkStart w:id="164" w:name="_Toc217446097"/>
      <w:bookmarkStart w:id="165" w:name="_Toc183582280"/>
      <w:r>
        <w:rPr>
          <w:rStyle w:val="94"/>
          <w:rFonts w:hint="eastAsia"/>
          <w:color w:val="auto"/>
          <w:sz w:val="24"/>
          <w:szCs w:val="24"/>
          <w:highlight w:val="none"/>
        </w:rPr>
        <w:t>评审办法</w:t>
      </w:r>
      <w:bookmarkEnd w:id="160"/>
    </w:p>
    <w:bookmarkEnd w:id="162"/>
    <w:bookmarkEnd w:id="163"/>
    <w:bookmarkEnd w:id="164"/>
    <w:bookmarkEnd w:id="165"/>
    <w:p w14:paraId="2B677154">
      <w:pPr>
        <w:spacing w:line="560" w:lineRule="exact"/>
        <w:ind w:firstLine="420" w:firstLineChars="200"/>
        <w:outlineLvl w:val="1"/>
        <w:rPr>
          <w:rFonts w:ascii="宋体" w:hAnsi="宋体" w:cs="宋体"/>
          <w:color w:val="auto"/>
          <w:szCs w:val="21"/>
          <w:highlight w:val="none"/>
        </w:rPr>
      </w:pPr>
      <w:bookmarkStart w:id="166" w:name="_Toc217446098"/>
      <w:bookmarkStart w:id="167" w:name="_Toc217446099"/>
      <w:r>
        <w:rPr>
          <w:rFonts w:hint="eastAsia" w:ascii="宋体" w:hAnsi="宋体" w:cs="宋体"/>
          <w:color w:val="auto"/>
          <w:szCs w:val="21"/>
          <w:highlight w:val="none"/>
        </w:rPr>
        <w:t>1. 总则</w:t>
      </w:r>
    </w:p>
    <w:p w14:paraId="23494919">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06A43C23">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 </w:t>
      </w:r>
      <w:r>
        <w:rPr>
          <w:rFonts w:hint="eastAsia" w:ascii="宋体" w:hAnsi="宋体" w:cs="宋体"/>
          <w:bCs/>
          <w:color w:val="auto"/>
          <w:szCs w:val="21"/>
          <w:highlight w:val="none"/>
        </w:rPr>
        <w:t>评标工作由采购人负责组织，具体评标工作由采购人依法组建的评标委员会负责。评标委员会由采购人代表和有关技术、经济等方面的专家组成。</w:t>
      </w:r>
    </w:p>
    <w:p w14:paraId="7D116D5A">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 评标工作应遵循公平、公正、科学及择优的原则。</w:t>
      </w:r>
    </w:p>
    <w:p w14:paraId="41B04B35">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 评标委员会按照招标文件规定的评标方法和标准进行评标，并独立履行下列职责：</w:t>
      </w:r>
    </w:p>
    <w:p w14:paraId="059A0FB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（1）审查投标文件是否符合招标文件要求，并作出评价；</w:t>
      </w:r>
    </w:p>
    <w:p w14:paraId="16C94B1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（2）要求投标人对投标文件有关事项作出解释或者澄清；</w:t>
      </w:r>
    </w:p>
    <w:p w14:paraId="251F3362">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（3）推荐中标候选投标人名单，或者受采购人委托按照事先确定的办法直接确定中标投标人；</w:t>
      </w:r>
    </w:p>
    <w:p w14:paraId="54FBA6D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（4）向采购人或者有关部门报告非法干预评标工作的行为。</w:t>
      </w:r>
    </w:p>
    <w:p w14:paraId="24D72E9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 评标过程严格保密。投标人对评标委员会的评标过程或合同授予决定施加影响的任何行为都可能导致其投标被拒绝。</w:t>
      </w:r>
    </w:p>
    <w:p w14:paraId="0C91702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1.6评标委员会决定投标文件的响应性应依据投标文件本身的内容，而不寻求外部的证据。</w:t>
      </w:r>
    </w:p>
    <w:p w14:paraId="66F4499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1.7评标委员会发现招标文件表述不明确或需要说明的事项，可提请采购人书面解释说明。发现招标文件违反法律、法规、规章和相关规定的，可以拒绝评标，并向采购人书面说明情况。</w:t>
      </w:r>
    </w:p>
    <w:p w14:paraId="3A184C7C">
      <w:pPr>
        <w:spacing w:line="560" w:lineRule="exact"/>
        <w:ind w:firstLine="422" w:firstLineChars="200"/>
        <w:outlineLvl w:val="1"/>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color w:val="auto"/>
          <w:szCs w:val="21"/>
          <w:highlight w:val="none"/>
        </w:rPr>
        <w:t>评标方法</w:t>
      </w:r>
    </w:p>
    <w:p w14:paraId="0A939C4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本项目评标方法为：综合评分法。</w:t>
      </w:r>
    </w:p>
    <w:p w14:paraId="0295D79C">
      <w:pPr>
        <w:spacing w:line="360" w:lineRule="auto"/>
        <w:ind w:firstLine="422" w:firstLineChars="200"/>
        <w:outlineLvl w:val="1"/>
        <w:rPr>
          <w:rFonts w:ascii="宋体" w:hAnsi="宋体" w:cs="宋体"/>
          <w:b/>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 xml:space="preserve">. </w:t>
      </w:r>
      <w:r>
        <w:rPr>
          <w:rFonts w:hint="eastAsia" w:ascii="宋体" w:hAnsi="宋体" w:cs="宋体"/>
          <w:b/>
          <w:color w:val="auto"/>
          <w:szCs w:val="21"/>
          <w:highlight w:val="none"/>
        </w:rPr>
        <w:t>评审程序</w:t>
      </w:r>
      <w:bookmarkEnd w:id="166"/>
    </w:p>
    <w:p w14:paraId="6682E0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3.1资格审查</w:t>
      </w:r>
    </w:p>
    <w:p w14:paraId="024E21F4">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资格审查表</w:t>
      </w:r>
    </w:p>
    <w:tbl>
      <w:tblPr>
        <w:tblStyle w:val="3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5695"/>
        <w:gridCol w:w="643"/>
        <w:gridCol w:w="762"/>
        <w:gridCol w:w="758"/>
      </w:tblGrid>
      <w:tr w14:paraId="36D6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59" w:type="dxa"/>
            <w:vMerge w:val="restart"/>
            <w:vAlign w:val="center"/>
          </w:tcPr>
          <w:p w14:paraId="0363898C">
            <w:pPr>
              <w:bidi w:val="0"/>
              <w:jc w:val="center"/>
              <w:rPr>
                <w:rFonts w:hint="eastAsia"/>
                <w:color w:val="auto"/>
                <w:sz w:val="21"/>
                <w:szCs w:val="21"/>
                <w:highlight w:val="none"/>
                <w:lang w:eastAsia="zh-Hans"/>
              </w:rPr>
            </w:pPr>
            <w:r>
              <w:rPr>
                <w:rFonts w:hint="eastAsia"/>
                <w:color w:val="auto"/>
                <w:sz w:val="21"/>
                <w:szCs w:val="21"/>
                <w:highlight w:val="none"/>
                <w:lang w:eastAsia="zh-Hans"/>
              </w:rPr>
              <w:t>序号</w:t>
            </w:r>
          </w:p>
        </w:tc>
        <w:tc>
          <w:tcPr>
            <w:tcW w:w="5695" w:type="dxa"/>
            <w:vMerge w:val="restart"/>
            <w:vAlign w:val="center"/>
          </w:tcPr>
          <w:p w14:paraId="61C16AD3">
            <w:pPr>
              <w:bidi w:val="0"/>
              <w:jc w:val="center"/>
              <w:rPr>
                <w:rFonts w:hint="eastAsia"/>
                <w:color w:val="auto"/>
                <w:sz w:val="21"/>
                <w:szCs w:val="21"/>
                <w:highlight w:val="none"/>
              </w:rPr>
            </w:pPr>
            <w:r>
              <w:rPr>
                <w:rFonts w:hint="eastAsia"/>
                <w:color w:val="auto"/>
                <w:sz w:val="21"/>
                <w:szCs w:val="21"/>
                <w:highlight w:val="none"/>
              </w:rPr>
              <w:t>审  查  标  准</w:t>
            </w:r>
          </w:p>
        </w:tc>
        <w:tc>
          <w:tcPr>
            <w:tcW w:w="2163" w:type="dxa"/>
            <w:gridSpan w:val="3"/>
            <w:vAlign w:val="center"/>
          </w:tcPr>
          <w:p w14:paraId="2CB95D05">
            <w:pPr>
              <w:bidi w:val="0"/>
              <w:jc w:val="center"/>
              <w:rPr>
                <w:rFonts w:hint="eastAsia"/>
                <w:color w:val="auto"/>
                <w:sz w:val="21"/>
                <w:szCs w:val="21"/>
                <w:highlight w:val="none"/>
              </w:rPr>
            </w:pPr>
            <w:r>
              <w:rPr>
                <w:rFonts w:hint="eastAsia"/>
                <w:color w:val="auto"/>
                <w:sz w:val="21"/>
                <w:szCs w:val="21"/>
                <w:highlight w:val="none"/>
                <w:lang w:eastAsia="zh-CN"/>
              </w:rPr>
              <w:t>供应商</w:t>
            </w:r>
            <w:r>
              <w:rPr>
                <w:rFonts w:hint="eastAsia"/>
                <w:color w:val="auto"/>
                <w:sz w:val="21"/>
                <w:szCs w:val="21"/>
                <w:highlight w:val="none"/>
              </w:rPr>
              <w:t>名称</w:t>
            </w:r>
          </w:p>
        </w:tc>
      </w:tr>
      <w:tr w14:paraId="1FB7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59" w:type="dxa"/>
            <w:vMerge w:val="continue"/>
            <w:vAlign w:val="center"/>
          </w:tcPr>
          <w:p w14:paraId="3DA9DB7F">
            <w:pPr>
              <w:bidi w:val="0"/>
              <w:jc w:val="center"/>
              <w:rPr>
                <w:rFonts w:hint="eastAsia"/>
                <w:color w:val="auto"/>
                <w:sz w:val="21"/>
                <w:szCs w:val="21"/>
                <w:highlight w:val="none"/>
              </w:rPr>
            </w:pPr>
          </w:p>
        </w:tc>
        <w:tc>
          <w:tcPr>
            <w:tcW w:w="5695" w:type="dxa"/>
            <w:vMerge w:val="continue"/>
            <w:vAlign w:val="center"/>
          </w:tcPr>
          <w:p w14:paraId="38576AA4">
            <w:pPr>
              <w:bidi w:val="0"/>
              <w:rPr>
                <w:rFonts w:hint="eastAsia"/>
                <w:color w:val="auto"/>
                <w:sz w:val="21"/>
                <w:szCs w:val="21"/>
                <w:highlight w:val="none"/>
              </w:rPr>
            </w:pPr>
          </w:p>
        </w:tc>
        <w:tc>
          <w:tcPr>
            <w:tcW w:w="643" w:type="dxa"/>
            <w:vAlign w:val="center"/>
          </w:tcPr>
          <w:p w14:paraId="3A290AC8">
            <w:pPr>
              <w:bidi w:val="0"/>
              <w:jc w:val="center"/>
              <w:rPr>
                <w:rFonts w:hint="eastAsia"/>
                <w:color w:val="auto"/>
                <w:sz w:val="21"/>
                <w:szCs w:val="21"/>
                <w:highlight w:val="none"/>
              </w:rPr>
            </w:pPr>
            <w:r>
              <w:rPr>
                <w:rFonts w:hint="eastAsia"/>
                <w:color w:val="auto"/>
                <w:sz w:val="21"/>
                <w:szCs w:val="21"/>
                <w:highlight w:val="none"/>
              </w:rPr>
              <w:t>A</w:t>
            </w:r>
          </w:p>
        </w:tc>
        <w:tc>
          <w:tcPr>
            <w:tcW w:w="762" w:type="dxa"/>
            <w:vAlign w:val="center"/>
          </w:tcPr>
          <w:p w14:paraId="0D2E770E">
            <w:pPr>
              <w:bidi w:val="0"/>
              <w:jc w:val="center"/>
              <w:rPr>
                <w:rFonts w:hint="eastAsia"/>
                <w:color w:val="auto"/>
                <w:sz w:val="21"/>
                <w:szCs w:val="21"/>
                <w:highlight w:val="none"/>
              </w:rPr>
            </w:pPr>
            <w:r>
              <w:rPr>
                <w:rFonts w:hint="eastAsia"/>
                <w:color w:val="auto"/>
                <w:sz w:val="21"/>
                <w:szCs w:val="21"/>
                <w:highlight w:val="none"/>
              </w:rPr>
              <w:t>B</w:t>
            </w:r>
          </w:p>
        </w:tc>
        <w:tc>
          <w:tcPr>
            <w:tcW w:w="758" w:type="dxa"/>
            <w:vAlign w:val="center"/>
          </w:tcPr>
          <w:p w14:paraId="2C7DEEE6">
            <w:pPr>
              <w:bidi w:val="0"/>
              <w:jc w:val="center"/>
              <w:rPr>
                <w:rFonts w:hint="eastAsia"/>
                <w:color w:val="auto"/>
                <w:sz w:val="21"/>
                <w:szCs w:val="21"/>
                <w:highlight w:val="none"/>
              </w:rPr>
            </w:pPr>
            <w:r>
              <w:rPr>
                <w:rFonts w:hint="eastAsia"/>
                <w:color w:val="auto"/>
                <w:sz w:val="21"/>
                <w:szCs w:val="21"/>
                <w:highlight w:val="none"/>
              </w:rPr>
              <w:t>C</w:t>
            </w:r>
          </w:p>
        </w:tc>
      </w:tr>
      <w:tr w14:paraId="57C3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59" w:type="dxa"/>
            <w:vAlign w:val="center"/>
          </w:tcPr>
          <w:p w14:paraId="5EE3F559">
            <w:pPr>
              <w:bidi w:val="0"/>
              <w:jc w:val="center"/>
              <w:rPr>
                <w:rFonts w:hint="eastAsia"/>
                <w:color w:val="auto"/>
                <w:sz w:val="21"/>
                <w:szCs w:val="21"/>
                <w:highlight w:val="none"/>
              </w:rPr>
            </w:pPr>
            <w:r>
              <w:rPr>
                <w:rFonts w:hint="eastAsia"/>
                <w:color w:val="auto"/>
                <w:sz w:val="21"/>
                <w:szCs w:val="21"/>
                <w:highlight w:val="none"/>
              </w:rPr>
              <w:t>1</w:t>
            </w:r>
          </w:p>
        </w:tc>
        <w:tc>
          <w:tcPr>
            <w:tcW w:w="5695" w:type="dxa"/>
            <w:vAlign w:val="center"/>
          </w:tcPr>
          <w:p w14:paraId="76D197DB">
            <w:pPr>
              <w:bidi w:val="0"/>
              <w:rPr>
                <w:rFonts w:hint="eastAsia"/>
                <w:color w:val="auto"/>
                <w:sz w:val="21"/>
                <w:szCs w:val="21"/>
                <w:highlight w:val="none"/>
              </w:rPr>
            </w:pPr>
            <w:r>
              <w:rPr>
                <w:rFonts w:hint="eastAsia"/>
                <w:color w:val="auto"/>
                <w:sz w:val="21"/>
                <w:szCs w:val="21"/>
                <w:highlight w:val="none"/>
              </w:rPr>
              <w:t>具有独立承担民事责任的能力；</w:t>
            </w:r>
          </w:p>
          <w:p w14:paraId="14ED0825">
            <w:pPr>
              <w:bidi w:val="0"/>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rPr>
              <w:t>须提供：</w:t>
            </w:r>
            <w:r>
              <w:rPr>
                <w:rFonts w:hint="eastAsia"/>
                <w:color w:val="auto"/>
                <w:sz w:val="21"/>
                <w:szCs w:val="21"/>
                <w:highlight w:val="none"/>
                <w:lang w:val="en-US" w:eastAsia="zh-CN"/>
              </w:rPr>
              <w:t>投标人为企业（包括合伙企业）的，应提供有效的“营业执照”；</w:t>
            </w:r>
          </w:p>
          <w:p w14:paraId="388333A0">
            <w:pPr>
              <w:bidi w:val="0"/>
              <w:rPr>
                <w:rFonts w:hint="eastAsia"/>
                <w:color w:val="auto"/>
                <w:sz w:val="21"/>
                <w:szCs w:val="21"/>
                <w:highlight w:val="none"/>
                <w:lang w:val="en-US" w:eastAsia="zh-CN"/>
              </w:rPr>
            </w:pPr>
            <w:r>
              <w:rPr>
                <w:rFonts w:hint="eastAsia"/>
                <w:color w:val="auto"/>
                <w:sz w:val="21"/>
                <w:szCs w:val="21"/>
                <w:highlight w:val="none"/>
                <w:lang w:val="en-US" w:eastAsia="zh-CN"/>
              </w:rPr>
              <w:t>投标人为事业单位的，应提供有效的“事业单位法人证书”；</w:t>
            </w:r>
          </w:p>
          <w:p w14:paraId="41C8F3E3">
            <w:pPr>
              <w:bidi w:val="0"/>
              <w:rPr>
                <w:rFonts w:hint="eastAsia"/>
                <w:color w:val="auto"/>
                <w:sz w:val="21"/>
                <w:szCs w:val="21"/>
                <w:highlight w:val="none"/>
                <w:lang w:val="en-US" w:eastAsia="zh-CN"/>
              </w:rPr>
            </w:pPr>
            <w:r>
              <w:rPr>
                <w:rFonts w:hint="eastAsia"/>
                <w:color w:val="auto"/>
                <w:sz w:val="21"/>
                <w:szCs w:val="21"/>
                <w:highlight w:val="none"/>
                <w:lang w:val="en-US" w:eastAsia="zh-CN"/>
              </w:rPr>
              <w:t>投标人是非企业机构的，应提供有效的“执业许可证”、“登记证书”等证明文件；</w:t>
            </w:r>
          </w:p>
          <w:p w14:paraId="225FD7F5">
            <w:pPr>
              <w:bidi w:val="0"/>
              <w:rPr>
                <w:rFonts w:hint="eastAsia"/>
                <w:color w:val="auto"/>
                <w:sz w:val="21"/>
                <w:szCs w:val="21"/>
                <w:highlight w:val="none"/>
                <w:lang w:val="en-US" w:eastAsia="zh-CN"/>
              </w:rPr>
            </w:pPr>
            <w:r>
              <w:rPr>
                <w:rFonts w:hint="eastAsia"/>
                <w:color w:val="auto"/>
                <w:sz w:val="21"/>
                <w:szCs w:val="21"/>
                <w:highlight w:val="none"/>
                <w:lang w:val="en-US" w:eastAsia="zh-CN"/>
              </w:rPr>
              <w:t>投标人是个体工商户的，应提供有效的“个体工商户营业执照”；</w:t>
            </w:r>
          </w:p>
          <w:p w14:paraId="1B54D71B">
            <w:pPr>
              <w:bidi w:val="0"/>
              <w:rPr>
                <w:rFonts w:hint="eastAsia"/>
                <w:color w:val="auto"/>
                <w:sz w:val="21"/>
                <w:szCs w:val="21"/>
                <w:highlight w:val="none"/>
                <w:lang w:val="en-US" w:eastAsia="zh-CN"/>
              </w:rPr>
            </w:pPr>
            <w:r>
              <w:rPr>
                <w:rFonts w:hint="eastAsia"/>
                <w:color w:val="auto"/>
                <w:sz w:val="21"/>
                <w:szCs w:val="21"/>
                <w:highlight w:val="none"/>
                <w:lang w:val="en-US" w:eastAsia="zh-CN"/>
              </w:rPr>
              <w:t>投标人是自然人的，应提供有效的自然人身份证明。</w:t>
            </w:r>
          </w:p>
          <w:p w14:paraId="6B45A7AB">
            <w:pPr>
              <w:bidi w:val="0"/>
              <w:rPr>
                <w:rFonts w:hint="eastAsia"/>
                <w:color w:val="auto"/>
                <w:sz w:val="21"/>
                <w:szCs w:val="21"/>
                <w:highlight w:val="none"/>
              </w:rPr>
            </w:pPr>
            <w:r>
              <w:rPr>
                <w:rFonts w:hint="eastAsia"/>
                <w:color w:val="auto"/>
                <w:sz w:val="21"/>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color w:val="auto"/>
                <w:sz w:val="21"/>
                <w:szCs w:val="21"/>
                <w:highlight w:val="none"/>
              </w:rPr>
              <w:t>】</w:t>
            </w:r>
          </w:p>
        </w:tc>
        <w:tc>
          <w:tcPr>
            <w:tcW w:w="643" w:type="dxa"/>
            <w:vAlign w:val="center"/>
          </w:tcPr>
          <w:p w14:paraId="3B89BBE7">
            <w:pPr>
              <w:bidi w:val="0"/>
              <w:rPr>
                <w:rFonts w:hint="eastAsia"/>
                <w:color w:val="auto"/>
                <w:sz w:val="21"/>
                <w:szCs w:val="21"/>
                <w:highlight w:val="none"/>
              </w:rPr>
            </w:pPr>
          </w:p>
        </w:tc>
        <w:tc>
          <w:tcPr>
            <w:tcW w:w="762" w:type="dxa"/>
            <w:vAlign w:val="center"/>
          </w:tcPr>
          <w:p w14:paraId="00A8457F">
            <w:pPr>
              <w:bidi w:val="0"/>
              <w:rPr>
                <w:rFonts w:hint="eastAsia"/>
                <w:color w:val="auto"/>
                <w:sz w:val="21"/>
                <w:szCs w:val="21"/>
                <w:highlight w:val="none"/>
              </w:rPr>
            </w:pPr>
          </w:p>
        </w:tc>
        <w:tc>
          <w:tcPr>
            <w:tcW w:w="758" w:type="dxa"/>
            <w:vAlign w:val="center"/>
          </w:tcPr>
          <w:p w14:paraId="3679325B">
            <w:pPr>
              <w:bidi w:val="0"/>
              <w:rPr>
                <w:rFonts w:hint="eastAsia"/>
                <w:color w:val="auto"/>
                <w:sz w:val="21"/>
                <w:szCs w:val="21"/>
                <w:highlight w:val="none"/>
              </w:rPr>
            </w:pPr>
          </w:p>
        </w:tc>
      </w:tr>
      <w:tr w14:paraId="585A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59" w:type="dxa"/>
            <w:vAlign w:val="center"/>
          </w:tcPr>
          <w:p w14:paraId="5EA3D67F">
            <w:pPr>
              <w:bidi w:val="0"/>
              <w:jc w:val="center"/>
              <w:rPr>
                <w:rFonts w:hint="eastAsia"/>
                <w:color w:val="auto"/>
                <w:sz w:val="21"/>
                <w:szCs w:val="21"/>
                <w:highlight w:val="none"/>
              </w:rPr>
            </w:pPr>
            <w:r>
              <w:rPr>
                <w:rFonts w:hint="eastAsia"/>
                <w:color w:val="auto"/>
                <w:sz w:val="21"/>
                <w:szCs w:val="21"/>
                <w:highlight w:val="none"/>
              </w:rPr>
              <w:t>2</w:t>
            </w:r>
          </w:p>
        </w:tc>
        <w:tc>
          <w:tcPr>
            <w:tcW w:w="5695" w:type="dxa"/>
            <w:vAlign w:val="center"/>
          </w:tcPr>
          <w:p w14:paraId="6CF0C378">
            <w:pPr>
              <w:bidi w:val="0"/>
              <w:rPr>
                <w:rFonts w:hint="eastAsia"/>
                <w:color w:val="auto"/>
                <w:sz w:val="21"/>
                <w:szCs w:val="21"/>
                <w:highlight w:val="none"/>
              </w:rPr>
            </w:pPr>
            <w:r>
              <w:rPr>
                <w:rFonts w:hint="eastAsia"/>
                <w:color w:val="auto"/>
                <w:sz w:val="21"/>
                <w:szCs w:val="21"/>
                <w:highlight w:val="none"/>
              </w:rPr>
              <w:t>具有良好的商业信誉和健全的财务会计制度；</w:t>
            </w:r>
          </w:p>
          <w:p w14:paraId="1C35B27C">
            <w:pPr>
              <w:bidi w:val="0"/>
              <w:rPr>
                <w:rFonts w:hint="eastAsia"/>
                <w:color w:val="auto"/>
                <w:sz w:val="21"/>
                <w:szCs w:val="21"/>
                <w:highlight w:val="none"/>
              </w:rPr>
            </w:pPr>
            <w:r>
              <w:rPr>
                <w:rFonts w:hint="eastAsia"/>
                <w:color w:val="auto"/>
                <w:sz w:val="21"/>
                <w:szCs w:val="21"/>
                <w:highlight w:val="none"/>
              </w:rPr>
              <w:t>【（1）以递交截止时间点采购代理机构查询为准，投标人未列入“信用中国”&lt;www.creditchina.gov.cn&gt;网站的“失信被执行人”和“重大税收违法失信主体”及“中国政府采购网”&lt;www.ccgp.gov.cn&gt;网站的“政府采购严重违法失信行为记录名单”；</w:t>
            </w:r>
          </w:p>
          <w:p w14:paraId="5787F3D3">
            <w:pPr>
              <w:bidi w:val="0"/>
              <w:rPr>
                <w:rFonts w:hint="eastAsia"/>
                <w:color w:val="auto"/>
                <w:sz w:val="21"/>
                <w:szCs w:val="21"/>
                <w:highlight w:val="none"/>
              </w:rPr>
            </w:pPr>
            <w:r>
              <w:rPr>
                <w:rFonts w:hint="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银行出具的近6个月内任意</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个月银行资信证明或</w:t>
            </w:r>
            <w:r>
              <w:rPr>
                <w:rFonts w:hint="eastAsia" w:asciiTheme="minorEastAsia" w:hAnsiTheme="minorEastAsia" w:eastAsiaTheme="minorEastAsia" w:cstheme="minorEastAsia"/>
                <w:color w:val="auto"/>
                <w:sz w:val="21"/>
                <w:szCs w:val="21"/>
                <w:highlight w:val="none"/>
                <w:lang w:val="en-US" w:eastAsia="zh-CN"/>
              </w:rPr>
              <w:t>上一年度</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2024年度或2025年度</w:t>
            </w:r>
            <w:r>
              <w:rPr>
                <w:rFonts w:hint="eastAsia" w:asciiTheme="minorEastAsia" w:hAnsiTheme="minorEastAsia" w:eastAsiaTheme="minorEastAsia" w:cstheme="minorEastAsia"/>
                <w:color w:val="auto"/>
                <w:sz w:val="21"/>
                <w:szCs w:val="21"/>
                <w:highlight w:val="none"/>
              </w:rPr>
              <w:t>）经审计的审计报告</w:t>
            </w:r>
            <w:r>
              <w:rPr>
                <w:rFonts w:hint="eastAsia" w:ascii="宋体" w:hAnsi="宋体" w:cs="宋体"/>
                <w:color w:val="auto"/>
                <w:sz w:val="21"/>
                <w:szCs w:val="21"/>
                <w:highlight w:val="none"/>
              </w:rPr>
              <w:t>。</w:t>
            </w:r>
            <w:r>
              <w:rPr>
                <w:rFonts w:hint="eastAsia"/>
                <w:color w:val="auto"/>
                <w:sz w:val="21"/>
                <w:szCs w:val="21"/>
                <w:highlight w:val="none"/>
              </w:rPr>
              <w:t>】</w:t>
            </w:r>
          </w:p>
        </w:tc>
        <w:tc>
          <w:tcPr>
            <w:tcW w:w="643" w:type="dxa"/>
            <w:vAlign w:val="center"/>
          </w:tcPr>
          <w:p w14:paraId="46D3EE2E">
            <w:pPr>
              <w:bidi w:val="0"/>
              <w:rPr>
                <w:rFonts w:hint="eastAsia"/>
                <w:color w:val="auto"/>
                <w:sz w:val="21"/>
                <w:szCs w:val="21"/>
                <w:highlight w:val="none"/>
              </w:rPr>
            </w:pPr>
          </w:p>
        </w:tc>
        <w:tc>
          <w:tcPr>
            <w:tcW w:w="762" w:type="dxa"/>
            <w:vAlign w:val="center"/>
          </w:tcPr>
          <w:p w14:paraId="140CAE87">
            <w:pPr>
              <w:bidi w:val="0"/>
              <w:rPr>
                <w:rFonts w:hint="eastAsia"/>
                <w:color w:val="auto"/>
                <w:sz w:val="21"/>
                <w:szCs w:val="21"/>
                <w:highlight w:val="none"/>
              </w:rPr>
            </w:pPr>
          </w:p>
        </w:tc>
        <w:tc>
          <w:tcPr>
            <w:tcW w:w="758" w:type="dxa"/>
            <w:vAlign w:val="center"/>
          </w:tcPr>
          <w:p w14:paraId="6B23B172">
            <w:pPr>
              <w:bidi w:val="0"/>
              <w:rPr>
                <w:rFonts w:hint="eastAsia"/>
                <w:color w:val="auto"/>
                <w:sz w:val="21"/>
                <w:szCs w:val="21"/>
                <w:highlight w:val="none"/>
              </w:rPr>
            </w:pPr>
          </w:p>
        </w:tc>
      </w:tr>
      <w:tr w14:paraId="01CE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9" w:type="dxa"/>
            <w:vAlign w:val="center"/>
          </w:tcPr>
          <w:p w14:paraId="63BDE8E2">
            <w:pPr>
              <w:bidi w:val="0"/>
              <w:jc w:val="center"/>
              <w:rPr>
                <w:rFonts w:hint="eastAsia"/>
                <w:color w:val="auto"/>
                <w:sz w:val="21"/>
                <w:szCs w:val="21"/>
                <w:highlight w:val="none"/>
              </w:rPr>
            </w:pPr>
            <w:r>
              <w:rPr>
                <w:rFonts w:hint="eastAsia"/>
                <w:color w:val="auto"/>
                <w:sz w:val="21"/>
                <w:szCs w:val="21"/>
                <w:highlight w:val="none"/>
              </w:rPr>
              <w:t>3</w:t>
            </w:r>
          </w:p>
        </w:tc>
        <w:tc>
          <w:tcPr>
            <w:tcW w:w="5695" w:type="dxa"/>
            <w:vAlign w:val="center"/>
          </w:tcPr>
          <w:p w14:paraId="02A6C579">
            <w:pPr>
              <w:bidi w:val="0"/>
              <w:rPr>
                <w:rFonts w:hint="eastAsia"/>
                <w:color w:val="auto"/>
                <w:sz w:val="21"/>
                <w:szCs w:val="21"/>
                <w:highlight w:val="none"/>
              </w:rPr>
            </w:pPr>
            <w:r>
              <w:rPr>
                <w:rFonts w:hint="eastAsia"/>
                <w:color w:val="auto"/>
                <w:sz w:val="21"/>
                <w:szCs w:val="21"/>
                <w:highlight w:val="none"/>
              </w:rPr>
              <w:t>具有履行合同所必需的设备和专业技术能力；</w:t>
            </w:r>
          </w:p>
          <w:p w14:paraId="3D35F24E">
            <w:pPr>
              <w:bidi w:val="0"/>
              <w:rPr>
                <w:rFonts w:hint="eastAsia"/>
                <w:color w:val="auto"/>
                <w:sz w:val="21"/>
                <w:szCs w:val="21"/>
                <w:highlight w:val="none"/>
              </w:rPr>
            </w:pPr>
            <w:r>
              <w:rPr>
                <w:rFonts w:hint="eastAsia"/>
                <w:color w:val="auto"/>
                <w:sz w:val="21"/>
                <w:szCs w:val="21"/>
                <w:highlight w:val="none"/>
              </w:rPr>
              <w:t>【须提供:（1）相关设备或设施的购置发票或单据（任一)或提供承诺函;</w:t>
            </w:r>
          </w:p>
          <w:p w14:paraId="57C331EE">
            <w:pPr>
              <w:bidi w:val="0"/>
              <w:rPr>
                <w:rFonts w:hint="eastAsia"/>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相关专业技术能力</w:t>
            </w:r>
            <w:r>
              <w:rPr>
                <w:rFonts w:hint="eastAsia"/>
                <w:color w:val="auto"/>
                <w:sz w:val="21"/>
                <w:szCs w:val="21"/>
                <w:highlight w:val="none"/>
              </w:rPr>
              <w:t>等证明材料</w:t>
            </w:r>
            <w:r>
              <w:rPr>
                <w:rFonts w:hint="eastAsia"/>
                <w:color w:val="auto"/>
                <w:sz w:val="21"/>
                <w:szCs w:val="21"/>
                <w:highlight w:val="none"/>
                <w:lang w:val="en-US" w:eastAsia="zh-CN"/>
              </w:rPr>
              <w:t>或承诺函。</w:t>
            </w:r>
            <w:r>
              <w:rPr>
                <w:rFonts w:hint="eastAsia"/>
                <w:color w:val="auto"/>
                <w:sz w:val="21"/>
                <w:szCs w:val="21"/>
                <w:highlight w:val="none"/>
              </w:rPr>
              <w:t>】</w:t>
            </w:r>
          </w:p>
        </w:tc>
        <w:tc>
          <w:tcPr>
            <w:tcW w:w="643" w:type="dxa"/>
            <w:vAlign w:val="center"/>
          </w:tcPr>
          <w:p w14:paraId="79EB361E">
            <w:pPr>
              <w:bidi w:val="0"/>
              <w:rPr>
                <w:rFonts w:hint="eastAsia"/>
                <w:color w:val="auto"/>
                <w:sz w:val="21"/>
                <w:szCs w:val="21"/>
                <w:highlight w:val="none"/>
              </w:rPr>
            </w:pPr>
          </w:p>
        </w:tc>
        <w:tc>
          <w:tcPr>
            <w:tcW w:w="762" w:type="dxa"/>
            <w:vAlign w:val="center"/>
          </w:tcPr>
          <w:p w14:paraId="43FBD4FA">
            <w:pPr>
              <w:bidi w:val="0"/>
              <w:rPr>
                <w:rFonts w:hint="eastAsia"/>
                <w:color w:val="auto"/>
                <w:sz w:val="21"/>
                <w:szCs w:val="21"/>
                <w:highlight w:val="none"/>
              </w:rPr>
            </w:pPr>
          </w:p>
        </w:tc>
        <w:tc>
          <w:tcPr>
            <w:tcW w:w="758" w:type="dxa"/>
            <w:vAlign w:val="center"/>
          </w:tcPr>
          <w:p w14:paraId="22127D1D">
            <w:pPr>
              <w:bidi w:val="0"/>
              <w:rPr>
                <w:rFonts w:hint="eastAsia"/>
                <w:color w:val="auto"/>
                <w:sz w:val="21"/>
                <w:szCs w:val="21"/>
                <w:highlight w:val="none"/>
              </w:rPr>
            </w:pPr>
          </w:p>
        </w:tc>
      </w:tr>
      <w:tr w14:paraId="76F4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9" w:type="dxa"/>
            <w:vAlign w:val="center"/>
          </w:tcPr>
          <w:p w14:paraId="1C360D41">
            <w:pPr>
              <w:bidi w:val="0"/>
              <w:jc w:val="center"/>
              <w:rPr>
                <w:rFonts w:hint="eastAsia"/>
                <w:color w:val="auto"/>
                <w:sz w:val="21"/>
                <w:szCs w:val="21"/>
                <w:highlight w:val="none"/>
              </w:rPr>
            </w:pPr>
            <w:r>
              <w:rPr>
                <w:rFonts w:hint="eastAsia"/>
                <w:color w:val="auto"/>
                <w:sz w:val="21"/>
                <w:szCs w:val="21"/>
                <w:highlight w:val="none"/>
              </w:rPr>
              <w:t>4</w:t>
            </w:r>
          </w:p>
        </w:tc>
        <w:tc>
          <w:tcPr>
            <w:tcW w:w="5695" w:type="dxa"/>
            <w:vAlign w:val="center"/>
          </w:tcPr>
          <w:p w14:paraId="1DC1DFDB">
            <w:pPr>
              <w:bidi w:val="0"/>
              <w:rPr>
                <w:rFonts w:hint="eastAsia"/>
                <w:color w:val="auto"/>
                <w:sz w:val="21"/>
                <w:szCs w:val="21"/>
                <w:highlight w:val="none"/>
              </w:rPr>
            </w:pPr>
            <w:r>
              <w:rPr>
                <w:rFonts w:hint="eastAsia"/>
                <w:color w:val="auto"/>
                <w:sz w:val="21"/>
                <w:szCs w:val="21"/>
                <w:highlight w:val="none"/>
              </w:rPr>
              <w:t>有依法缴纳税收和社会保障资金的良好记录；</w:t>
            </w:r>
          </w:p>
          <w:p w14:paraId="172BFD36">
            <w:pPr>
              <w:bidi w:val="0"/>
              <w:rPr>
                <w:rFonts w:hint="eastAsia"/>
                <w:color w:val="auto"/>
                <w:sz w:val="21"/>
                <w:szCs w:val="21"/>
                <w:highlight w:val="none"/>
              </w:rPr>
            </w:pPr>
            <w:r>
              <w:rPr>
                <w:rFonts w:hint="eastAsia"/>
                <w:color w:val="auto"/>
                <w:sz w:val="21"/>
                <w:szCs w:val="21"/>
                <w:highlight w:val="none"/>
              </w:rPr>
              <w:t>【须提供：（1）近6个月内任意1个月已依法缴纳税收的凭据；</w:t>
            </w:r>
          </w:p>
          <w:p w14:paraId="4301C0A3">
            <w:pPr>
              <w:bidi w:val="0"/>
              <w:rPr>
                <w:rFonts w:hint="eastAsia"/>
                <w:color w:val="auto"/>
                <w:sz w:val="21"/>
                <w:szCs w:val="21"/>
                <w:highlight w:val="none"/>
              </w:rPr>
            </w:pPr>
            <w:r>
              <w:rPr>
                <w:rFonts w:hint="eastAsia"/>
                <w:color w:val="auto"/>
                <w:sz w:val="21"/>
                <w:szCs w:val="21"/>
                <w:highlight w:val="none"/>
              </w:rPr>
              <w:t>（2）近6个月内任意1个月已依法缴纳社会保险的凭据。（依法免税的供应商，应提供相应证明文件，新成立企业无需提供</w:t>
            </w:r>
            <w:r>
              <w:rPr>
                <w:rFonts w:hint="eastAsia"/>
                <w:color w:val="auto"/>
                <w:sz w:val="21"/>
                <w:szCs w:val="21"/>
                <w:highlight w:val="none"/>
                <w:lang w:eastAsia="zh-CN"/>
              </w:rPr>
              <w:t>）</w:t>
            </w:r>
            <w:r>
              <w:rPr>
                <w:rFonts w:hint="eastAsia"/>
                <w:color w:val="auto"/>
                <w:sz w:val="21"/>
                <w:szCs w:val="21"/>
                <w:highlight w:val="none"/>
              </w:rPr>
              <w:t>】</w:t>
            </w:r>
          </w:p>
        </w:tc>
        <w:tc>
          <w:tcPr>
            <w:tcW w:w="643" w:type="dxa"/>
            <w:vAlign w:val="center"/>
          </w:tcPr>
          <w:p w14:paraId="2DE83683">
            <w:pPr>
              <w:bidi w:val="0"/>
              <w:rPr>
                <w:rFonts w:hint="eastAsia"/>
                <w:color w:val="auto"/>
                <w:sz w:val="21"/>
                <w:szCs w:val="21"/>
                <w:highlight w:val="none"/>
              </w:rPr>
            </w:pPr>
          </w:p>
        </w:tc>
        <w:tc>
          <w:tcPr>
            <w:tcW w:w="762" w:type="dxa"/>
            <w:vAlign w:val="center"/>
          </w:tcPr>
          <w:p w14:paraId="32F078CB">
            <w:pPr>
              <w:bidi w:val="0"/>
              <w:rPr>
                <w:rFonts w:hint="eastAsia"/>
                <w:color w:val="auto"/>
                <w:sz w:val="21"/>
                <w:szCs w:val="21"/>
                <w:highlight w:val="none"/>
              </w:rPr>
            </w:pPr>
          </w:p>
        </w:tc>
        <w:tc>
          <w:tcPr>
            <w:tcW w:w="758" w:type="dxa"/>
            <w:vAlign w:val="center"/>
          </w:tcPr>
          <w:p w14:paraId="5839862D">
            <w:pPr>
              <w:bidi w:val="0"/>
              <w:rPr>
                <w:rFonts w:hint="eastAsia"/>
                <w:color w:val="auto"/>
                <w:sz w:val="21"/>
                <w:szCs w:val="21"/>
                <w:highlight w:val="none"/>
              </w:rPr>
            </w:pPr>
          </w:p>
        </w:tc>
      </w:tr>
      <w:tr w14:paraId="21B3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9" w:type="dxa"/>
            <w:vAlign w:val="center"/>
          </w:tcPr>
          <w:p w14:paraId="2AD27750">
            <w:pPr>
              <w:bidi w:val="0"/>
              <w:jc w:val="center"/>
              <w:rPr>
                <w:rFonts w:hint="eastAsia"/>
                <w:color w:val="auto"/>
                <w:sz w:val="21"/>
                <w:szCs w:val="21"/>
                <w:highlight w:val="none"/>
              </w:rPr>
            </w:pPr>
            <w:r>
              <w:rPr>
                <w:rFonts w:hint="eastAsia"/>
                <w:color w:val="auto"/>
                <w:sz w:val="21"/>
                <w:szCs w:val="21"/>
                <w:highlight w:val="none"/>
              </w:rPr>
              <w:t>5</w:t>
            </w:r>
          </w:p>
        </w:tc>
        <w:tc>
          <w:tcPr>
            <w:tcW w:w="5695" w:type="dxa"/>
            <w:vAlign w:val="center"/>
          </w:tcPr>
          <w:p w14:paraId="3BEA67EA">
            <w:pPr>
              <w:bidi w:val="0"/>
              <w:rPr>
                <w:rFonts w:hint="eastAsia"/>
                <w:color w:val="auto"/>
                <w:sz w:val="21"/>
                <w:szCs w:val="21"/>
                <w:highlight w:val="none"/>
              </w:rPr>
            </w:pPr>
            <w:r>
              <w:rPr>
                <w:rFonts w:hint="eastAsia"/>
                <w:color w:val="auto"/>
                <w:sz w:val="21"/>
                <w:szCs w:val="21"/>
                <w:highlight w:val="none"/>
              </w:rPr>
              <w:t>参加投标活动前三年内，在经营活动中没有重大违法记录；</w:t>
            </w:r>
          </w:p>
          <w:p w14:paraId="5B5F0A05">
            <w:pPr>
              <w:bidi w:val="0"/>
              <w:rPr>
                <w:rFonts w:hint="eastAsia"/>
                <w:color w:val="auto"/>
                <w:sz w:val="21"/>
                <w:szCs w:val="21"/>
                <w:highlight w:val="none"/>
                <w:lang w:val="en-US" w:eastAsia="zh-CN"/>
              </w:rPr>
            </w:pPr>
            <w:r>
              <w:rPr>
                <w:rFonts w:hint="eastAsia"/>
                <w:color w:val="auto"/>
                <w:sz w:val="21"/>
                <w:szCs w:val="21"/>
                <w:highlight w:val="none"/>
              </w:rPr>
              <w:t>【须提供：书面声明（</w:t>
            </w:r>
            <w:r>
              <w:rPr>
                <w:rFonts w:hint="eastAsia"/>
                <w:color w:val="auto"/>
                <w:sz w:val="21"/>
                <w:szCs w:val="21"/>
                <w:highlight w:val="none"/>
                <w:lang w:eastAsia="zh-CN"/>
              </w:rPr>
              <w:t>供应商</w:t>
            </w:r>
            <w:r>
              <w:rPr>
                <w:rFonts w:hint="eastAsia"/>
                <w:color w:val="auto"/>
                <w:sz w:val="21"/>
                <w:szCs w:val="21"/>
                <w:highlight w:val="none"/>
              </w:rPr>
              <w:t>自行承诺并承担后果，声明不实的，按《政府采购法》及相关法律法规中提供虚假材料的有关规定处理】</w:t>
            </w:r>
          </w:p>
        </w:tc>
        <w:tc>
          <w:tcPr>
            <w:tcW w:w="643" w:type="dxa"/>
            <w:vAlign w:val="center"/>
          </w:tcPr>
          <w:p w14:paraId="29204D94">
            <w:pPr>
              <w:bidi w:val="0"/>
              <w:rPr>
                <w:rFonts w:hint="eastAsia"/>
                <w:color w:val="auto"/>
                <w:sz w:val="21"/>
                <w:szCs w:val="21"/>
                <w:highlight w:val="none"/>
              </w:rPr>
            </w:pPr>
          </w:p>
        </w:tc>
        <w:tc>
          <w:tcPr>
            <w:tcW w:w="762" w:type="dxa"/>
            <w:vAlign w:val="center"/>
          </w:tcPr>
          <w:p w14:paraId="0C7CDC9F">
            <w:pPr>
              <w:bidi w:val="0"/>
              <w:rPr>
                <w:rFonts w:hint="eastAsia"/>
                <w:color w:val="auto"/>
                <w:sz w:val="21"/>
                <w:szCs w:val="21"/>
                <w:highlight w:val="none"/>
              </w:rPr>
            </w:pPr>
          </w:p>
        </w:tc>
        <w:tc>
          <w:tcPr>
            <w:tcW w:w="758" w:type="dxa"/>
            <w:vAlign w:val="center"/>
          </w:tcPr>
          <w:p w14:paraId="06B12C6A">
            <w:pPr>
              <w:bidi w:val="0"/>
              <w:rPr>
                <w:rFonts w:hint="eastAsia"/>
                <w:color w:val="auto"/>
                <w:sz w:val="21"/>
                <w:szCs w:val="21"/>
                <w:highlight w:val="none"/>
              </w:rPr>
            </w:pPr>
          </w:p>
        </w:tc>
      </w:tr>
      <w:tr w14:paraId="40A8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9" w:type="dxa"/>
            <w:vAlign w:val="center"/>
          </w:tcPr>
          <w:p w14:paraId="30736668">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5695" w:type="dxa"/>
            <w:vAlign w:val="center"/>
          </w:tcPr>
          <w:p w14:paraId="45DAFA9B">
            <w:pPr>
              <w:bidi w:val="0"/>
              <w:rPr>
                <w:rFonts w:hint="eastAsia"/>
                <w:color w:val="auto"/>
                <w:sz w:val="21"/>
                <w:szCs w:val="21"/>
                <w:highlight w:val="none"/>
              </w:rPr>
            </w:pPr>
            <w:r>
              <w:rPr>
                <w:rFonts w:hint="eastAsia"/>
                <w:color w:val="auto"/>
                <w:sz w:val="21"/>
                <w:szCs w:val="21"/>
                <w:highlight w:val="none"/>
              </w:rPr>
              <w:t>法律、行政法规规定的其他条件。</w:t>
            </w:r>
          </w:p>
          <w:p w14:paraId="4AC9BA80">
            <w:pPr>
              <w:bidi w:val="0"/>
              <w:rPr>
                <w:rFonts w:hint="eastAsia" w:eastAsia="宋体"/>
                <w:color w:val="auto"/>
                <w:sz w:val="21"/>
                <w:szCs w:val="21"/>
                <w:highlight w:val="none"/>
                <w:lang w:eastAsia="zh-CN"/>
              </w:rPr>
            </w:pPr>
            <w:r>
              <w:rPr>
                <w:rFonts w:hint="eastAsia"/>
                <w:color w:val="auto"/>
                <w:sz w:val="21"/>
                <w:szCs w:val="21"/>
                <w:highlight w:val="none"/>
                <w:lang w:eastAsia="zh-CN"/>
              </w:rPr>
              <w:t>【须提供：承诺函（投标人自行承诺并承担后果，声明函不实的，按《政府采购法》及相关法律法规中提供虚假材料的有关规定处理）。】</w:t>
            </w:r>
          </w:p>
        </w:tc>
        <w:tc>
          <w:tcPr>
            <w:tcW w:w="643" w:type="dxa"/>
            <w:vAlign w:val="center"/>
          </w:tcPr>
          <w:p w14:paraId="59889651">
            <w:pPr>
              <w:bidi w:val="0"/>
              <w:rPr>
                <w:rFonts w:hint="eastAsia"/>
                <w:color w:val="auto"/>
                <w:sz w:val="21"/>
                <w:szCs w:val="21"/>
                <w:highlight w:val="none"/>
              </w:rPr>
            </w:pPr>
          </w:p>
        </w:tc>
        <w:tc>
          <w:tcPr>
            <w:tcW w:w="762" w:type="dxa"/>
            <w:vAlign w:val="center"/>
          </w:tcPr>
          <w:p w14:paraId="62251ED5">
            <w:pPr>
              <w:bidi w:val="0"/>
              <w:rPr>
                <w:rFonts w:hint="eastAsia"/>
                <w:color w:val="auto"/>
                <w:sz w:val="21"/>
                <w:szCs w:val="21"/>
                <w:highlight w:val="none"/>
              </w:rPr>
            </w:pPr>
          </w:p>
        </w:tc>
        <w:tc>
          <w:tcPr>
            <w:tcW w:w="758" w:type="dxa"/>
            <w:vAlign w:val="center"/>
          </w:tcPr>
          <w:p w14:paraId="1A9724E0">
            <w:pPr>
              <w:bidi w:val="0"/>
              <w:rPr>
                <w:rFonts w:hint="eastAsia"/>
                <w:color w:val="auto"/>
                <w:sz w:val="21"/>
                <w:szCs w:val="21"/>
                <w:highlight w:val="none"/>
              </w:rPr>
            </w:pPr>
          </w:p>
        </w:tc>
      </w:tr>
      <w:tr w14:paraId="1D2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9" w:type="dxa"/>
            <w:vAlign w:val="center"/>
          </w:tcPr>
          <w:p w14:paraId="565FA260">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5695" w:type="dxa"/>
            <w:vAlign w:val="center"/>
          </w:tcPr>
          <w:p w14:paraId="734AA1AA">
            <w:pPr>
              <w:bidi w:val="0"/>
              <w:rPr>
                <w:rFonts w:hint="eastAsia"/>
                <w:color w:val="auto"/>
                <w:sz w:val="21"/>
                <w:szCs w:val="21"/>
                <w:highlight w:val="none"/>
                <w:lang w:val="en-US" w:eastAsia="zh-CN"/>
              </w:rPr>
            </w:pPr>
            <w:r>
              <w:rPr>
                <w:rFonts w:hint="eastAsia"/>
                <w:color w:val="auto"/>
                <w:sz w:val="21"/>
                <w:szCs w:val="21"/>
                <w:highlight w:val="none"/>
                <w:lang w:val="en-US" w:eastAsia="zh-CN"/>
              </w:rPr>
              <w:t>供应商须具有有效的《基础电信业务经营许可证》；</w:t>
            </w:r>
          </w:p>
          <w:p w14:paraId="2FA45A2A">
            <w:pPr>
              <w:bidi w:val="0"/>
              <w:rPr>
                <w:rFonts w:hint="eastAsia"/>
                <w:color w:val="auto"/>
                <w:sz w:val="21"/>
                <w:szCs w:val="21"/>
                <w:highlight w:val="none"/>
                <w:lang w:eastAsia="zh-CN"/>
              </w:rPr>
            </w:pPr>
            <w:r>
              <w:rPr>
                <w:rFonts w:hint="eastAsia"/>
                <w:color w:val="auto"/>
                <w:sz w:val="21"/>
                <w:szCs w:val="21"/>
                <w:highlight w:val="none"/>
                <w:lang w:eastAsia="zh-CN"/>
              </w:rPr>
              <w:t>【须提供：</w:t>
            </w:r>
            <w:r>
              <w:rPr>
                <w:rFonts w:hint="eastAsia"/>
                <w:color w:val="auto"/>
                <w:sz w:val="21"/>
                <w:szCs w:val="21"/>
                <w:highlight w:val="none"/>
                <w:lang w:val="en-US" w:eastAsia="zh-CN"/>
              </w:rPr>
              <w:fldChar w:fldCharType="begin"/>
            </w:r>
            <w:r>
              <w:rPr>
                <w:rFonts w:hint="eastAsia"/>
                <w:color w:val="auto"/>
                <w:sz w:val="21"/>
                <w:szCs w:val="21"/>
                <w:highlight w:val="none"/>
                <w:lang w:val="en-US" w:eastAsia="zh-CN"/>
              </w:rPr>
              <w:instrText xml:space="preserve"> HYPERLINK "https://wenku.so.com/d/9c82fc94960f6c5864c0849248ad69f1?src=ob_zz_juhe360wenku&amp;psid=09f61f5a73ca139f3593be435a54897e" \t "https://www.so.com/_blank" </w:instrText>
            </w:r>
            <w:r>
              <w:rPr>
                <w:rFonts w:hint="eastAsia"/>
                <w:color w:val="auto"/>
                <w:sz w:val="21"/>
                <w:szCs w:val="21"/>
                <w:highlight w:val="none"/>
                <w:lang w:val="en-US" w:eastAsia="zh-CN"/>
              </w:rPr>
              <w:fldChar w:fldCharType="separate"/>
            </w:r>
            <w:r>
              <w:rPr>
                <w:rFonts w:hint="eastAsia"/>
                <w:color w:val="auto"/>
                <w:sz w:val="21"/>
                <w:szCs w:val="21"/>
                <w:highlight w:val="none"/>
                <w:lang w:val="en-US" w:eastAsia="zh-CN"/>
              </w:rPr>
              <w:t>《</w:t>
            </w:r>
            <w:r>
              <w:rPr>
                <w:rFonts w:hint="eastAsia" w:ascii="宋体" w:hAnsi="宋体" w:eastAsia="宋体" w:cs="Times New Roman"/>
                <w:color w:val="auto"/>
                <w:highlight w:val="none"/>
                <w:lang w:val="en-US" w:eastAsia="zh-CN"/>
              </w:rPr>
              <w:t>中华人民共和国基础电信业务经营许可证</w:t>
            </w:r>
            <w:r>
              <w:rPr>
                <w:rFonts w:hint="eastAsia"/>
                <w:color w:val="auto"/>
                <w:sz w:val="21"/>
                <w:szCs w:val="21"/>
                <w:highlight w:val="none"/>
                <w:lang w:val="en-US" w:eastAsia="zh-CN"/>
              </w:rPr>
              <w:t>》</w:t>
            </w:r>
            <w:r>
              <w:rPr>
                <w:rFonts w:hint="eastAsia"/>
                <w:color w:val="auto"/>
                <w:sz w:val="21"/>
                <w:szCs w:val="21"/>
                <w:highlight w:val="none"/>
                <w:lang w:val="en-US" w:eastAsia="zh-CN"/>
              </w:rPr>
              <w:fldChar w:fldCharType="end"/>
            </w:r>
            <w:r>
              <w:rPr>
                <w:rFonts w:hint="eastAsia"/>
                <w:color w:val="auto"/>
                <w:sz w:val="21"/>
                <w:szCs w:val="21"/>
                <w:highlight w:val="none"/>
                <w:lang w:val="en-US" w:eastAsia="zh-CN"/>
              </w:rPr>
              <w:t>有效证书，分公司参与投标的，应提供总公司同意其投标的书面唯一授权及相关证明材料。</w:t>
            </w:r>
            <w:r>
              <w:rPr>
                <w:rFonts w:hint="eastAsia"/>
                <w:color w:val="auto"/>
                <w:sz w:val="21"/>
                <w:szCs w:val="21"/>
                <w:highlight w:val="none"/>
                <w:lang w:eastAsia="zh-CN"/>
              </w:rPr>
              <w:t>】</w:t>
            </w:r>
          </w:p>
        </w:tc>
        <w:tc>
          <w:tcPr>
            <w:tcW w:w="643" w:type="dxa"/>
            <w:vAlign w:val="center"/>
          </w:tcPr>
          <w:p w14:paraId="755C0C61">
            <w:pPr>
              <w:bidi w:val="0"/>
              <w:rPr>
                <w:rFonts w:hint="eastAsia"/>
                <w:color w:val="auto"/>
                <w:sz w:val="21"/>
                <w:szCs w:val="21"/>
                <w:highlight w:val="none"/>
              </w:rPr>
            </w:pPr>
          </w:p>
        </w:tc>
        <w:tc>
          <w:tcPr>
            <w:tcW w:w="762" w:type="dxa"/>
            <w:vAlign w:val="center"/>
          </w:tcPr>
          <w:p w14:paraId="696FDEE2">
            <w:pPr>
              <w:bidi w:val="0"/>
              <w:rPr>
                <w:rFonts w:hint="eastAsia"/>
                <w:color w:val="auto"/>
                <w:sz w:val="21"/>
                <w:szCs w:val="21"/>
                <w:highlight w:val="none"/>
              </w:rPr>
            </w:pPr>
          </w:p>
        </w:tc>
        <w:tc>
          <w:tcPr>
            <w:tcW w:w="758" w:type="dxa"/>
            <w:vAlign w:val="center"/>
          </w:tcPr>
          <w:p w14:paraId="4E58429C">
            <w:pPr>
              <w:bidi w:val="0"/>
              <w:rPr>
                <w:rFonts w:hint="eastAsia"/>
                <w:color w:val="auto"/>
                <w:sz w:val="21"/>
                <w:szCs w:val="21"/>
                <w:highlight w:val="none"/>
              </w:rPr>
            </w:pPr>
          </w:p>
        </w:tc>
      </w:tr>
      <w:tr w14:paraId="5692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9" w:type="dxa"/>
            <w:vAlign w:val="center"/>
          </w:tcPr>
          <w:p w14:paraId="638339B1">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5695" w:type="dxa"/>
            <w:vAlign w:val="center"/>
          </w:tcPr>
          <w:p w14:paraId="090F3988">
            <w:pPr>
              <w:bidi w:val="0"/>
              <w:rPr>
                <w:rFonts w:hint="eastAsia"/>
                <w:color w:val="auto"/>
                <w:sz w:val="21"/>
                <w:szCs w:val="21"/>
                <w:highlight w:val="none"/>
              </w:rPr>
            </w:pPr>
            <w:r>
              <w:rPr>
                <w:rFonts w:hint="eastAsia"/>
                <w:color w:val="auto"/>
                <w:sz w:val="21"/>
                <w:szCs w:val="21"/>
                <w:highlight w:val="none"/>
              </w:rPr>
              <w:t>单位负责人为同一人或者存在直接控股、管理关系的不同供应商，不得参加同一合同项下的采购活动，否则取消其</w:t>
            </w:r>
            <w:r>
              <w:rPr>
                <w:rFonts w:hint="eastAsia"/>
                <w:color w:val="auto"/>
                <w:sz w:val="21"/>
                <w:szCs w:val="21"/>
                <w:highlight w:val="none"/>
                <w:lang w:eastAsia="zh-CN"/>
              </w:rPr>
              <w:t>磋商</w:t>
            </w:r>
            <w:r>
              <w:rPr>
                <w:rFonts w:hint="eastAsia"/>
                <w:color w:val="auto"/>
                <w:sz w:val="21"/>
                <w:szCs w:val="21"/>
                <w:highlight w:val="none"/>
              </w:rPr>
              <w:t>资格；</w:t>
            </w:r>
          </w:p>
          <w:p w14:paraId="5E7DD12D">
            <w:pPr>
              <w:bidi w:val="0"/>
              <w:rPr>
                <w:rFonts w:hint="eastAsia"/>
                <w:color w:val="auto"/>
                <w:sz w:val="21"/>
                <w:szCs w:val="21"/>
                <w:highlight w:val="none"/>
              </w:rPr>
            </w:pPr>
            <w:r>
              <w:rPr>
                <w:rFonts w:hint="eastAsia"/>
                <w:color w:val="auto"/>
                <w:sz w:val="21"/>
                <w:szCs w:val="21"/>
                <w:highlight w:val="none"/>
              </w:rPr>
              <w:t>【须提供：书面声明（供应商自行承诺并承担后果，声明不实的，按《政府采购法》及相关法律法规中提供虚假材料的有关规定处理】</w:t>
            </w:r>
          </w:p>
        </w:tc>
        <w:tc>
          <w:tcPr>
            <w:tcW w:w="643" w:type="dxa"/>
            <w:vAlign w:val="center"/>
          </w:tcPr>
          <w:p w14:paraId="2EE27408">
            <w:pPr>
              <w:bidi w:val="0"/>
              <w:rPr>
                <w:rFonts w:hint="eastAsia"/>
                <w:color w:val="auto"/>
                <w:sz w:val="21"/>
                <w:szCs w:val="21"/>
                <w:highlight w:val="none"/>
              </w:rPr>
            </w:pPr>
          </w:p>
        </w:tc>
        <w:tc>
          <w:tcPr>
            <w:tcW w:w="762" w:type="dxa"/>
            <w:vAlign w:val="center"/>
          </w:tcPr>
          <w:p w14:paraId="4D697FB0">
            <w:pPr>
              <w:bidi w:val="0"/>
              <w:rPr>
                <w:rFonts w:hint="eastAsia"/>
                <w:color w:val="auto"/>
                <w:sz w:val="21"/>
                <w:szCs w:val="21"/>
                <w:highlight w:val="none"/>
              </w:rPr>
            </w:pPr>
          </w:p>
        </w:tc>
        <w:tc>
          <w:tcPr>
            <w:tcW w:w="758" w:type="dxa"/>
            <w:vAlign w:val="center"/>
          </w:tcPr>
          <w:p w14:paraId="1104B79A">
            <w:pPr>
              <w:bidi w:val="0"/>
              <w:rPr>
                <w:rFonts w:hint="eastAsia"/>
                <w:color w:val="auto"/>
                <w:sz w:val="21"/>
                <w:szCs w:val="21"/>
                <w:highlight w:val="none"/>
              </w:rPr>
            </w:pPr>
          </w:p>
        </w:tc>
      </w:tr>
      <w:tr w14:paraId="4A7E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659" w:type="dxa"/>
            <w:vAlign w:val="center"/>
          </w:tcPr>
          <w:p w14:paraId="20E4D4A1">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5695" w:type="dxa"/>
            <w:vAlign w:val="center"/>
          </w:tcPr>
          <w:p w14:paraId="3DD9B77A">
            <w:pPr>
              <w:bidi w:val="0"/>
              <w:rPr>
                <w:rFonts w:hint="eastAsia"/>
                <w:color w:val="auto"/>
                <w:sz w:val="21"/>
                <w:szCs w:val="21"/>
                <w:highlight w:val="none"/>
                <w:lang w:eastAsia="zh-CN"/>
              </w:rPr>
            </w:pPr>
            <w:r>
              <w:rPr>
                <w:rFonts w:hint="eastAsia"/>
                <w:color w:val="auto"/>
                <w:sz w:val="21"/>
                <w:szCs w:val="21"/>
                <w:highlight w:val="none"/>
              </w:rPr>
              <w:t>本项目</w:t>
            </w:r>
            <w:r>
              <w:rPr>
                <w:rFonts w:hint="eastAsia"/>
                <w:color w:val="auto"/>
                <w:sz w:val="21"/>
                <w:szCs w:val="21"/>
                <w:highlight w:val="none"/>
                <w:lang w:val="en-US" w:eastAsia="zh-CN"/>
              </w:rPr>
              <w:t>不</w:t>
            </w:r>
            <w:r>
              <w:rPr>
                <w:rFonts w:hint="eastAsia"/>
                <w:color w:val="auto"/>
                <w:sz w:val="21"/>
                <w:szCs w:val="21"/>
                <w:highlight w:val="none"/>
              </w:rPr>
              <w:t>接受联合体。</w:t>
            </w:r>
          </w:p>
        </w:tc>
        <w:tc>
          <w:tcPr>
            <w:tcW w:w="643" w:type="dxa"/>
            <w:vAlign w:val="center"/>
          </w:tcPr>
          <w:p w14:paraId="0CD5314C">
            <w:pPr>
              <w:bidi w:val="0"/>
              <w:rPr>
                <w:rFonts w:hint="eastAsia"/>
                <w:color w:val="auto"/>
                <w:sz w:val="21"/>
                <w:szCs w:val="21"/>
                <w:highlight w:val="none"/>
              </w:rPr>
            </w:pPr>
          </w:p>
        </w:tc>
        <w:tc>
          <w:tcPr>
            <w:tcW w:w="762" w:type="dxa"/>
            <w:vAlign w:val="center"/>
          </w:tcPr>
          <w:p w14:paraId="318B731E">
            <w:pPr>
              <w:bidi w:val="0"/>
              <w:rPr>
                <w:rFonts w:hint="eastAsia"/>
                <w:color w:val="auto"/>
                <w:sz w:val="21"/>
                <w:szCs w:val="21"/>
                <w:highlight w:val="none"/>
              </w:rPr>
            </w:pPr>
          </w:p>
        </w:tc>
        <w:tc>
          <w:tcPr>
            <w:tcW w:w="758" w:type="dxa"/>
            <w:vAlign w:val="center"/>
          </w:tcPr>
          <w:p w14:paraId="6DC829AF">
            <w:pPr>
              <w:bidi w:val="0"/>
              <w:rPr>
                <w:rFonts w:hint="eastAsia"/>
                <w:color w:val="auto"/>
                <w:sz w:val="21"/>
                <w:szCs w:val="21"/>
                <w:highlight w:val="none"/>
              </w:rPr>
            </w:pPr>
          </w:p>
        </w:tc>
      </w:tr>
      <w:tr w14:paraId="190F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354" w:type="dxa"/>
            <w:gridSpan w:val="2"/>
            <w:vAlign w:val="center"/>
          </w:tcPr>
          <w:p w14:paraId="4CAE44DF">
            <w:pPr>
              <w:bidi w:val="0"/>
              <w:rPr>
                <w:rFonts w:hint="eastAsia"/>
                <w:color w:val="auto"/>
                <w:sz w:val="21"/>
                <w:szCs w:val="21"/>
                <w:highlight w:val="none"/>
              </w:rPr>
            </w:pPr>
            <w:r>
              <w:rPr>
                <w:rFonts w:hint="eastAsia"/>
                <w:color w:val="auto"/>
                <w:sz w:val="21"/>
                <w:szCs w:val="21"/>
                <w:highlight w:val="none"/>
              </w:rPr>
              <w:t>审查结果（通过√/不通过×）</w:t>
            </w:r>
          </w:p>
        </w:tc>
        <w:tc>
          <w:tcPr>
            <w:tcW w:w="643" w:type="dxa"/>
            <w:vAlign w:val="center"/>
          </w:tcPr>
          <w:p w14:paraId="76E0F36F">
            <w:pPr>
              <w:bidi w:val="0"/>
              <w:rPr>
                <w:rFonts w:hint="eastAsia"/>
                <w:color w:val="auto"/>
                <w:sz w:val="21"/>
                <w:szCs w:val="21"/>
                <w:highlight w:val="none"/>
              </w:rPr>
            </w:pPr>
          </w:p>
        </w:tc>
        <w:tc>
          <w:tcPr>
            <w:tcW w:w="762" w:type="dxa"/>
            <w:vAlign w:val="center"/>
          </w:tcPr>
          <w:p w14:paraId="3FB6AB14">
            <w:pPr>
              <w:bidi w:val="0"/>
              <w:rPr>
                <w:rFonts w:hint="eastAsia"/>
                <w:color w:val="auto"/>
                <w:sz w:val="21"/>
                <w:szCs w:val="21"/>
                <w:highlight w:val="none"/>
              </w:rPr>
            </w:pPr>
          </w:p>
        </w:tc>
        <w:tc>
          <w:tcPr>
            <w:tcW w:w="758" w:type="dxa"/>
            <w:vAlign w:val="center"/>
          </w:tcPr>
          <w:p w14:paraId="334DAE23">
            <w:pPr>
              <w:bidi w:val="0"/>
              <w:rPr>
                <w:rFonts w:hint="eastAsia"/>
                <w:color w:val="auto"/>
                <w:sz w:val="21"/>
                <w:szCs w:val="21"/>
                <w:highlight w:val="none"/>
              </w:rPr>
            </w:pPr>
          </w:p>
        </w:tc>
      </w:tr>
      <w:tr w14:paraId="315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8517" w:type="dxa"/>
            <w:gridSpan w:val="5"/>
            <w:vAlign w:val="center"/>
          </w:tcPr>
          <w:p w14:paraId="739F2247">
            <w:pPr>
              <w:bidi w:val="0"/>
              <w:rPr>
                <w:rFonts w:hint="eastAsia"/>
                <w:color w:val="auto"/>
                <w:sz w:val="21"/>
                <w:szCs w:val="21"/>
                <w:highlight w:val="none"/>
              </w:rPr>
            </w:pPr>
            <w:r>
              <w:rPr>
                <w:rFonts w:hint="eastAsia"/>
                <w:color w:val="auto"/>
                <w:sz w:val="21"/>
                <w:szCs w:val="21"/>
                <w:highlight w:val="none"/>
              </w:rPr>
              <w:t>备注：如果</w:t>
            </w:r>
            <w:r>
              <w:rPr>
                <w:rFonts w:hint="eastAsia"/>
                <w:color w:val="auto"/>
                <w:sz w:val="21"/>
                <w:szCs w:val="21"/>
                <w:highlight w:val="none"/>
                <w:lang w:val="en-US" w:eastAsia="zh-CN"/>
              </w:rPr>
              <w:t>招标</w:t>
            </w:r>
            <w:r>
              <w:rPr>
                <w:rFonts w:hint="eastAsia"/>
                <w:color w:val="auto"/>
                <w:sz w:val="21"/>
                <w:szCs w:val="21"/>
                <w:highlight w:val="none"/>
              </w:rPr>
              <w:t>文件中有一项未通过上述审查标准，</w:t>
            </w:r>
            <w:r>
              <w:rPr>
                <w:rFonts w:hint="eastAsia"/>
                <w:color w:val="auto"/>
                <w:sz w:val="21"/>
                <w:szCs w:val="21"/>
                <w:highlight w:val="none"/>
                <w:lang w:eastAsia="zh-Hans"/>
              </w:rPr>
              <w:t>采购人</w:t>
            </w:r>
            <w:r>
              <w:rPr>
                <w:rFonts w:hint="eastAsia"/>
                <w:color w:val="auto"/>
                <w:sz w:val="21"/>
                <w:szCs w:val="21"/>
                <w:highlight w:val="none"/>
              </w:rPr>
              <w:t>将认定整个</w:t>
            </w:r>
            <w:r>
              <w:rPr>
                <w:rFonts w:hint="eastAsia"/>
                <w:color w:val="auto"/>
                <w:sz w:val="21"/>
                <w:szCs w:val="21"/>
                <w:highlight w:val="none"/>
                <w:lang w:val="en-US" w:eastAsia="zh-CN"/>
              </w:rPr>
              <w:t>投标</w:t>
            </w:r>
            <w:r>
              <w:rPr>
                <w:rFonts w:hint="eastAsia"/>
                <w:color w:val="auto"/>
                <w:sz w:val="21"/>
                <w:szCs w:val="21"/>
                <w:highlight w:val="none"/>
              </w:rPr>
              <w:t>文件不响应</w:t>
            </w:r>
            <w:r>
              <w:rPr>
                <w:rFonts w:hint="eastAsia"/>
                <w:color w:val="auto"/>
                <w:sz w:val="21"/>
                <w:szCs w:val="21"/>
                <w:highlight w:val="none"/>
                <w:lang w:val="en-US" w:eastAsia="zh-CN"/>
              </w:rPr>
              <w:t>招标</w:t>
            </w:r>
            <w:r>
              <w:rPr>
                <w:rFonts w:hint="eastAsia"/>
                <w:color w:val="auto"/>
                <w:sz w:val="21"/>
                <w:szCs w:val="21"/>
                <w:highlight w:val="none"/>
                <w:lang w:eastAsia="zh-CN"/>
              </w:rPr>
              <w:t>文件</w:t>
            </w:r>
            <w:r>
              <w:rPr>
                <w:rFonts w:hint="eastAsia"/>
                <w:color w:val="auto"/>
                <w:sz w:val="21"/>
                <w:szCs w:val="21"/>
                <w:highlight w:val="none"/>
              </w:rPr>
              <w:t>而予以无效处理，并且不允许</w:t>
            </w:r>
            <w:r>
              <w:rPr>
                <w:rFonts w:hint="eastAsia"/>
                <w:color w:val="auto"/>
                <w:sz w:val="21"/>
                <w:szCs w:val="21"/>
                <w:highlight w:val="none"/>
                <w:lang w:eastAsia="zh-CN"/>
              </w:rPr>
              <w:t>供应商</w:t>
            </w:r>
            <w:r>
              <w:rPr>
                <w:rFonts w:hint="eastAsia"/>
                <w:color w:val="auto"/>
                <w:sz w:val="21"/>
                <w:szCs w:val="21"/>
                <w:highlight w:val="none"/>
              </w:rPr>
              <w:t>通过修改或撤销其不符合要求的差异或保留，使之成为具有响应性的</w:t>
            </w:r>
            <w:r>
              <w:rPr>
                <w:rFonts w:hint="eastAsia"/>
                <w:color w:val="auto"/>
                <w:sz w:val="21"/>
                <w:szCs w:val="21"/>
                <w:highlight w:val="none"/>
                <w:lang w:val="en-US" w:eastAsia="zh-CN"/>
              </w:rPr>
              <w:t>投标</w:t>
            </w:r>
            <w:r>
              <w:rPr>
                <w:rFonts w:hint="eastAsia"/>
                <w:color w:val="auto"/>
                <w:sz w:val="21"/>
                <w:szCs w:val="21"/>
                <w:highlight w:val="none"/>
              </w:rPr>
              <w:t>。</w:t>
            </w:r>
          </w:p>
        </w:tc>
      </w:tr>
    </w:tbl>
    <w:p w14:paraId="598A17CC">
      <w:pPr>
        <w:spacing w:line="560" w:lineRule="exact"/>
        <w:ind w:firstLine="420" w:firstLineChars="200"/>
        <w:rPr>
          <w:rFonts w:hint="eastAsia" w:ascii="宋体" w:hAnsi="宋体" w:eastAsia="宋体" w:cs="宋体"/>
          <w:color w:val="auto"/>
          <w:szCs w:val="21"/>
          <w:highlight w:val="none"/>
        </w:rPr>
      </w:pPr>
      <w:bookmarkStart w:id="168" w:name="_Toc217446060"/>
      <w:r>
        <w:rPr>
          <w:rFonts w:hint="eastAsia" w:ascii="宋体" w:hAnsi="宋体" w:eastAsia="宋体" w:cs="宋体"/>
          <w:color w:val="auto"/>
          <w:szCs w:val="21"/>
          <w:highlight w:val="none"/>
        </w:rPr>
        <w:t>3.2符合性审查。评审小组依据招标文件的规定，从投标文件的有效性、完整性和对招标文件的响应程度进行审查，以确定是否对招标文件的实质性要求作出响应。</w:t>
      </w:r>
      <w:bookmarkStart w:id="169" w:name="_Toc26573"/>
    </w:p>
    <w:p w14:paraId="7C5CA3B3">
      <w:pPr>
        <w:spacing w:line="360" w:lineRule="auto"/>
        <w:ind w:firstLine="422" w:firstLineChars="200"/>
        <w:jc w:val="center"/>
        <w:outlineLvl w:val="1"/>
        <w:rPr>
          <w:rFonts w:ascii="宋体" w:hAnsi="宋体" w:cs="宋体"/>
          <w:b/>
          <w:bCs/>
          <w:color w:val="auto"/>
          <w:szCs w:val="21"/>
          <w:highlight w:val="none"/>
        </w:rPr>
      </w:pPr>
      <w:r>
        <w:rPr>
          <w:rFonts w:hint="eastAsia" w:ascii="宋体" w:hAnsi="宋体" w:cs="宋体"/>
          <w:b/>
          <w:bCs/>
          <w:color w:val="auto"/>
          <w:szCs w:val="21"/>
          <w:highlight w:val="none"/>
        </w:rPr>
        <w:t>符合性审查表</w:t>
      </w:r>
      <w:bookmarkEnd w:id="169"/>
    </w:p>
    <w:tbl>
      <w:tblPr>
        <w:tblStyle w:val="33"/>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6"/>
        <w:gridCol w:w="8185"/>
      </w:tblGrid>
      <w:tr w14:paraId="0FBA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16" w:type="dxa"/>
            <w:noWrap/>
            <w:vAlign w:val="center"/>
          </w:tcPr>
          <w:p w14:paraId="563498B2">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序号</w:t>
            </w:r>
          </w:p>
        </w:tc>
        <w:tc>
          <w:tcPr>
            <w:tcW w:w="8185" w:type="dxa"/>
            <w:noWrap/>
            <w:vAlign w:val="center"/>
          </w:tcPr>
          <w:p w14:paraId="7DE361A5">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审  查  标  准</w:t>
            </w:r>
          </w:p>
        </w:tc>
      </w:tr>
      <w:tr w14:paraId="04D9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116" w:type="dxa"/>
            <w:noWrap/>
            <w:vAlign w:val="center"/>
          </w:tcPr>
          <w:p w14:paraId="30CBA997">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8185" w:type="dxa"/>
            <w:noWrap/>
            <w:vAlign w:val="center"/>
          </w:tcPr>
          <w:p w14:paraId="16EA3FD6">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投标文件标识符合招标文件要求；</w:t>
            </w:r>
          </w:p>
        </w:tc>
      </w:tr>
      <w:tr w14:paraId="3359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109FE84D">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8185" w:type="dxa"/>
            <w:noWrap/>
            <w:vAlign w:val="center"/>
          </w:tcPr>
          <w:p w14:paraId="27A0A227">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按照招标文件规定和要求签署、盖章；</w:t>
            </w:r>
          </w:p>
        </w:tc>
      </w:tr>
      <w:tr w14:paraId="71D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52178A51">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8185" w:type="dxa"/>
            <w:noWrap/>
            <w:vAlign w:val="center"/>
          </w:tcPr>
          <w:p w14:paraId="581CC73A">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按照招标文件规定缴纳投标保证金；</w:t>
            </w:r>
          </w:p>
        </w:tc>
      </w:tr>
      <w:tr w14:paraId="53E6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324D2CF3">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p>
        </w:tc>
        <w:tc>
          <w:tcPr>
            <w:tcW w:w="8185" w:type="dxa"/>
            <w:noWrap/>
            <w:vAlign w:val="center"/>
          </w:tcPr>
          <w:p w14:paraId="3003946B">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lang w:val="en-US"/>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en-US" w:eastAsia="zh-CN"/>
              </w:rPr>
              <w:t>报价不得超过最高限价。</w:t>
            </w:r>
          </w:p>
        </w:tc>
      </w:tr>
      <w:tr w14:paraId="4E3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6B251A00">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5</w:t>
            </w:r>
          </w:p>
        </w:tc>
        <w:tc>
          <w:tcPr>
            <w:tcW w:w="8185" w:type="dxa"/>
            <w:noWrap/>
            <w:vAlign w:val="center"/>
          </w:tcPr>
          <w:p w14:paraId="5CDBB28E">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lang w:eastAsia="zh-CN"/>
              </w:rPr>
              <w:t>期限、</w:t>
            </w:r>
            <w:r>
              <w:rPr>
                <w:rFonts w:hint="eastAsia" w:ascii="宋体" w:hAnsi="宋体" w:cs="宋体"/>
                <w:color w:val="auto"/>
                <w:sz w:val="21"/>
                <w:szCs w:val="21"/>
                <w:highlight w:val="none"/>
                <w:lang w:val="en-US" w:eastAsia="zh-CN"/>
              </w:rPr>
              <w:t>服务地点、</w:t>
            </w:r>
            <w:r>
              <w:rPr>
                <w:rFonts w:hint="eastAsia" w:ascii="宋体" w:hAnsi="宋体" w:eastAsia="宋体" w:cs="宋体"/>
                <w:bCs/>
                <w:color w:val="auto"/>
                <w:sz w:val="21"/>
                <w:szCs w:val="21"/>
                <w:highlight w:val="none"/>
              </w:rPr>
              <w:t>投标有效期</w:t>
            </w:r>
            <w:r>
              <w:rPr>
                <w:rFonts w:hint="eastAsia" w:ascii="宋体" w:hAnsi="宋体" w:cs="宋体"/>
                <w:color w:val="auto"/>
                <w:sz w:val="21"/>
                <w:szCs w:val="21"/>
                <w:highlight w:val="none"/>
              </w:rPr>
              <w:t>符合招标文件规定；</w:t>
            </w:r>
          </w:p>
        </w:tc>
      </w:tr>
      <w:tr w14:paraId="4833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1A12A050">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8185" w:type="dxa"/>
            <w:noWrap/>
            <w:vAlign w:val="center"/>
          </w:tcPr>
          <w:p w14:paraId="47A32965">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按照招标文件规定的格式要求编制投标文件；</w:t>
            </w:r>
          </w:p>
        </w:tc>
      </w:tr>
      <w:tr w14:paraId="5DE2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4FFF80E2">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7</w:t>
            </w:r>
          </w:p>
        </w:tc>
        <w:tc>
          <w:tcPr>
            <w:tcW w:w="8185" w:type="dxa"/>
            <w:noWrap/>
            <w:vAlign w:val="center"/>
          </w:tcPr>
          <w:p w14:paraId="17C7BA05">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投标文件不得附有采购人不能接受的条件；</w:t>
            </w:r>
          </w:p>
        </w:tc>
      </w:tr>
      <w:tr w14:paraId="2E5D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noWrap/>
            <w:vAlign w:val="center"/>
          </w:tcPr>
          <w:p w14:paraId="5756684C">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8</w:t>
            </w:r>
          </w:p>
        </w:tc>
        <w:tc>
          <w:tcPr>
            <w:tcW w:w="8185" w:type="dxa"/>
            <w:noWrap/>
            <w:vAlign w:val="center"/>
          </w:tcPr>
          <w:p w14:paraId="6A4160F1">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投标文件实质性响应招标文件要求。</w:t>
            </w:r>
          </w:p>
        </w:tc>
      </w:tr>
      <w:tr w14:paraId="1283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01" w:type="dxa"/>
            <w:gridSpan w:val="2"/>
            <w:noWrap/>
            <w:vAlign w:val="center"/>
          </w:tcPr>
          <w:p w14:paraId="432A20E9">
            <w:pPr>
              <w:pStyle w:val="95"/>
              <w:keepNext w:val="0"/>
              <w:keepLines w:val="0"/>
              <w:suppressLineNumbers w:val="0"/>
              <w:spacing w:before="0" w:beforeAutospacing="0" w:after="0" w:afterAutospacing="0" w:line="360" w:lineRule="auto"/>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审查结果（通过/不通过）</w:t>
            </w:r>
          </w:p>
        </w:tc>
      </w:tr>
      <w:tr w14:paraId="2F0D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01" w:type="dxa"/>
            <w:gridSpan w:val="2"/>
            <w:noWrap/>
            <w:vAlign w:val="center"/>
          </w:tcPr>
          <w:p w14:paraId="6BC0B97D">
            <w:pPr>
              <w:pStyle w:val="95"/>
              <w:keepNext w:val="0"/>
              <w:keepLines w:val="0"/>
              <w:suppressLineNumbers w:val="0"/>
              <w:spacing w:before="0" w:beforeAutospacing="0" w:after="0" w:afterAutospacing="0" w:line="360" w:lineRule="auto"/>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4FBB7A7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3.2.1在投标文件符合性审查过程中，如果出现评标委员会成员意见不一致的情况，按照少数服从多数的原则确定，但不得违背政府采购相关法律法规和招标文件规定。</w:t>
      </w:r>
    </w:p>
    <w:p w14:paraId="1491EC8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澄清有关问题。对投标文件中含义不明确、同类问题表述不一致或者有明显文字和计算错误的内容，评标委员会可以书面形式（应当由评标委员会成员签字）要求投标人作出必要的澄清、说明或者补正。投标人的澄清、说明或者补正应当采用书面形式，由其授权的代表签字，并不得超出投标文件的范围或者改变投标文件的实质性内容。</w:t>
      </w:r>
      <w:bookmarkStart w:id="170" w:name="_Toc217446104"/>
      <w:bookmarkStart w:id="171" w:name="_Toc183682422"/>
      <w:bookmarkStart w:id="172" w:name="_Toc183582287"/>
    </w:p>
    <w:bookmarkEnd w:id="170"/>
    <w:bookmarkEnd w:id="171"/>
    <w:bookmarkEnd w:id="172"/>
    <w:p w14:paraId="683CAE5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3.4比较与评价。按采购文件中规定的评标方法和标准，对符合性审查合格的投标文件进行综合比较与评价。</w:t>
      </w:r>
    </w:p>
    <w:p w14:paraId="0D2E9FE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本项目采用综合评分法，评标委员会应当根据综合评分情况，按照评审得分由高到低顺序推荐3名中标候选人，并编写评审报告。评审得分相同的，按照最后报价由低到高的顺序推荐。评审得分且最后报价相同的，按照技术指标优劣顺序推荐。</w:t>
      </w:r>
    </w:p>
    <w:p w14:paraId="64DCB3C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编写评审报告。评审报告是评标委员会根据全体评审成员签字的原始评审记录和评审结果编写的报告，其主要内容包括：</w:t>
      </w:r>
    </w:p>
    <w:p w14:paraId="17C5A26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（1）项目概况、投标日期和地点；</w:t>
      </w:r>
    </w:p>
    <w:p w14:paraId="44D5E74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（2）购买招标文件的投标人名单和评标委员会成员名单；</w:t>
      </w:r>
    </w:p>
    <w:p w14:paraId="03E59A3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（3）评审方法和标准；</w:t>
      </w:r>
    </w:p>
    <w:p w14:paraId="51063B9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（4）投标记录和评审情况及说明，包括无效投标人名单及原因；</w:t>
      </w:r>
    </w:p>
    <w:p w14:paraId="03F9AD8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（5）评审结果和成交候选投标人排序。</w:t>
      </w:r>
    </w:p>
    <w:p w14:paraId="686F4CA0">
      <w:pPr>
        <w:pStyle w:val="3"/>
        <w:spacing w:before="0" w:after="0" w:line="360" w:lineRule="auto"/>
        <w:ind w:firstLine="422" w:firstLineChars="200"/>
        <w:rPr>
          <w:rFonts w:ascii="宋体" w:hAnsi="宋体" w:eastAsia="宋体" w:cs="宋体"/>
          <w:color w:val="auto"/>
          <w:sz w:val="21"/>
          <w:szCs w:val="21"/>
          <w:highlight w:val="none"/>
        </w:rPr>
      </w:pPr>
      <w:bookmarkStart w:id="173" w:name="_Toc217446103"/>
      <w:r>
        <w:rPr>
          <w:rFonts w:hint="eastAsia" w:ascii="宋体" w:hAnsi="宋体" w:eastAsia="宋体" w:cs="宋体"/>
          <w:color w:val="auto"/>
          <w:sz w:val="21"/>
          <w:szCs w:val="21"/>
          <w:highlight w:val="none"/>
        </w:rPr>
        <w:t>4. 评审细则及标准</w:t>
      </w:r>
      <w:bookmarkEnd w:id="173"/>
    </w:p>
    <w:p w14:paraId="62B62AC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评标委员会只对通过符合性审查的投标文件，根据招标文件的要求采用相同的评审程序、评分办法及标准进行评价和比较。</w:t>
      </w:r>
    </w:p>
    <w:p w14:paraId="698B77D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本次综合评分的主要因素是：商务、价格、服务、业绩、对招标文件的响应程度等。</w:t>
      </w:r>
    </w:p>
    <w:p w14:paraId="3C9E813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除价格因素外，评标委员会成员应依据投标文件规定的评分标准和方法独立对其他因素进行比较打分。</w:t>
      </w:r>
    </w:p>
    <w:p w14:paraId="562A0FD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评审时，评标委员会各成员应当独立对每个有效响应的文件进行评价、打分，然后汇总每个投标人每项评分因素的得分。</w:t>
      </w:r>
    </w:p>
    <w:p w14:paraId="3B208B3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4.5综合评分明细表</w:t>
      </w:r>
    </w:p>
    <w:p w14:paraId="695BAD6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4.5.1综合评分明细表的制定以科学合理、降低评标委员会自由裁量权为原则。</w:t>
      </w:r>
    </w:p>
    <w:p w14:paraId="4C2C170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4.5.2评标委员会将按照下述评分标准对通过符合性审查的投标文件进行详细评审，投标人评审得分等于所有评委评分的算术平均值，结果保留两位小数。</w:t>
      </w:r>
    </w:p>
    <w:p w14:paraId="0592295D">
      <w:pPr>
        <w:pStyle w:val="17"/>
        <w:tabs>
          <w:tab w:val="left" w:pos="600"/>
        </w:tabs>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732"/>
        <w:gridCol w:w="2373"/>
        <w:gridCol w:w="2305"/>
      </w:tblGrid>
      <w:tr w14:paraId="1E3D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110" w:type="dxa"/>
            <w:tcBorders>
              <w:top w:val="single" w:color="auto" w:sz="4" w:space="0"/>
              <w:left w:val="single" w:color="auto" w:sz="4" w:space="0"/>
              <w:bottom w:val="single" w:color="auto" w:sz="4" w:space="0"/>
              <w:right w:val="single" w:color="auto" w:sz="4" w:space="0"/>
            </w:tcBorders>
            <w:vAlign w:val="center"/>
          </w:tcPr>
          <w:p w14:paraId="4B407EA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6EA960F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73" w:type="dxa"/>
            <w:tcBorders>
              <w:top w:val="single" w:color="auto" w:sz="4" w:space="0"/>
              <w:left w:val="single" w:color="auto" w:sz="4" w:space="0"/>
              <w:bottom w:val="single" w:color="auto" w:sz="4" w:space="0"/>
              <w:right w:val="single" w:color="auto" w:sz="4" w:space="0"/>
            </w:tcBorders>
            <w:vAlign w:val="center"/>
          </w:tcPr>
          <w:p w14:paraId="79E395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05" w:type="dxa"/>
            <w:tcBorders>
              <w:top w:val="single" w:color="auto" w:sz="4" w:space="0"/>
              <w:left w:val="single" w:color="auto" w:sz="4" w:space="0"/>
              <w:bottom w:val="single" w:color="auto" w:sz="4" w:space="0"/>
              <w:right w:val="single" w:color="auto" w:sz="4" w:space="0"/>
            </w:tcBorders>
            <w:vAlign w:val="center"/>
          </w:tcPr>
          <w:p w14:paraId="64E72E0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2742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0" w:type="dxa"/>
            <w:tcBorders>
              <w:top w:val="single" w:color="auto" w:sz="4" w:space="0"/>
              <w:left w:val="single" w:color="auto" w:sz="4" w:space="0"/>
              <w:bottom w:val="single" w:color="auto" w:sz="4" w:space="0"/>
              <w:right w:val="single" w:color="auto" w:sz="4" w:space="0"/>
            </w:tcBorders>
            <w:vAlign w:val="center"/>
          </w:tcPr>
          <w:p w14:paraId="21F912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w:t>
            </w:r>
          </w:p>
        </w:tc>
        <w:tc>
          <w:tcPr>
            <w:tcW w:w="1732" w:type="dxa"/>
            <w:tcBorders>
              <w:top w:val="single" w:color="auto" w:sz="4" w:space="0"/>
              <w:left w:val="single" w:color="auto" w:sz="4" w:space="0"/>
              <w:bottom w:val="single" w:color="auto" w:sz="4" w:space="0"/>
              <w:right w:val="single" w:color="auto" w:sz="4" w:space="0"/>
            </w:tcBorders>
            <w:vAlign w:val="center"/>
          </w:tcPr>
          <w:p w14:paraId="0BD08E1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2373" w:type="dxa"/>
            <w:tcBorders>
              <w:top w:val="single" w:color="auto" w:sz="4" w:space="0"/>
              <w:left w:val="single" w:color="auto" w:sz="4" w:space="0"/>
              <w:bottom w:val="single" w:color="auto" w:sz="4" w:space="0"/>
              <w:right w:val="single" w:color="auto" w:sz="4" w:space="0"/>
            </w:tcBorders>
            <w:vAlign w:val="center"/>
          </w:tcPr>
          <w:p w14:paraId="1A03B2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商务、技术部分</w:t>
            </w:r>
          </w:p>
        </w:tc>
        <w:tc>
          <w:tcPr>
            <w:tcW w:w="2305" w:type="dxa"/>
            <w:tcBorders>
              <w:top w:val="single" w:color="auto" w:sz="4" w:space="0"/>
              <w:left w:val="single" w:color="auto" w:sz="4" w:space="0"/>
              <w:bottom w:val="single" w:color="auto" w:sz="4" w:space="0"/>
              <w:right w:val="single" w:color="auto" w:sz="4" w:space="0"/>
            </w:tcBorders>
            <w:vAlign w:val="center"/>
          </w:tcPr>
          <w:p w14:paraId="04EFE8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69D5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110" w:type="dxa"/>
            <w:tcBorders>
              <w:top w:val="single" w:color="auto" w:sz="4" w:space="0"/>
              <w:left w:val="single" w:color="auto" w:sz="4" w:space="0"/>
              <w:bottom w:val="single" w:color="auto" w:sz="4" w:space="0"/>
              <w:right w:val="single" w:color="auto" w:sz="4" w:space="0"/>
            </w:tcBorders>
            <w:vAlign w:val="center"/>
          </w:tcPr>
          <w:p w14:paraId="3ABC01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1732" w:type="dxa"/>
            <w:tcBorders>
              <w:top w:val="single" w:color="auto" w:sz="4" w:space="0"/>
              <w:left w:val="single" w:color="auto" w:sz="4" w:space="0"/>
              <w:bottom w:val="single" w:color="auto" w:sz="4" w:space="0"/>
              <w:right w:val="single" w:color="auto" w:sz="4" w:space="0"/>
            </w:tcBorders>
            <w:vAlign w:val="center"/>
          </w:tcPr>
          <w:p w14:paraId="194A6019">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w:t>
            </w:r>
          </w:p>
        </w:tc>
        <w:tc>
          <w:tcPr>
            <w:tcW w:w="2373" w:type="dxa"/>
            <w:tcBorders>
              <w:top w:val="single" w:color="auto" w:sz="4" w:space="0"/>
              <w:left w:val="single" w:color="auto" w:sz="4" w:space="0"/>
              <w:bottom w:val="single" w:color="auto" w:sz="4" w:space="0"/>
              <w:right w:val="single" w:color="auto" w:sz="4" w:space="0"/>
            </w:tcBorders>
            <w:vAlign w:val="center"/>
          </w:tcPr>
          <w:p w14:paraId="7A9A0243">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rPr>
              <w:t>%</w:t>
            </w:r>
          </w:p>
        </w:tc>
        <w:tc>
          <w:tcPr>
            <w:tcW w:w="2305" w:type="dxa"/>
            <w:tcBorders>
              <w:top w:val="single" w:color="auto" w:sz="4" w:space="0"/>
              <w:left w:val="single" w:color="auto" w:sz="4" w:space="0"/>
              <w:bottom w:val="single" w:color="auto" w:sz="4" w:space="0"/>
              <w:right w:val="single" w:color="auto" w:sz="4" w:space="0"/>
            </w:tcBorders>
            <w:vAlign w:val="center"/>
          </w:tcPr>
          <w:p w14:paraId="22CB11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805379A">
      <w:pPr>
        <w:spacing w:line="360" w:lineRule="auto"/>
        <w:ind w:firstLine="3360" w:firstLineChars="1400"/>
        <w:jc w:val="both"/>
        <w:rPr>
          <w:rFonts w:hint="eastAsia" w:ascii="宋体" w:hAnsi="宋体" w:eastAsia="宋体" w:cs="宋体"/>
          <w:color w:val="auto"/>
          <w:sz w:val="24"/>
          <w:szCs w:val="22"/>
          <w:highlight w:val="none"/>
          <w:lang w:bidi="zh-CN"/>
        </w:rPr>
      </w:pPr>
      <w:r>
        <w:rPr>
          <w:rFonts w:hint="eastAsia" w:ascii="宋体" w:hAnsi="宋体" w:eastAsia="宋体" w:cs="宋体"/>
          <w:color w:val="auto"/>
          <w:sz w:val="24"/>
          <w:szCs w:val="22"/>
          <w:highlight w:val="none"/>
          <w:lang w:bidi="zh-CN"/>
        </w:rPr>
        <w:t>商务、技术部分（</w:t>
      </w:r>
      <w:r>
        <w:rPr>
          <w:rFonts w:hint="eastAsia" w:ascii="宋体" w:hAnsi="宋体" w:cs="宋体"/>
          <w:color w:val="auto"/>
          <w:sz w:val="24"/>
          <w:szCs w:val="22"/>
          <w:highlight w:val="none"/>
          <w:lang w:val="en-US" w:bidi="zh-CN"/>
        </w:rPr>
        <w:t>80</w:t>
      </w:r>
      <w:r>
        <w:rPr>
          <w:rFonts w:hint="eastAsia" w:ascii="宋体" w:hAnsi="宋体" w:eastAsia="宋体" w:cs="宋体"/>
          <w:color w:val="auto"/>
          <w:sz w:val="24"/>
          <w:szCs w:val="22"/>
          <w:highlight w:val="none"/>
          <w:lang w:bidi="zh-CN"/>
        </w:rPr>
        <w:t>分）</w:t>
      </w:r>
    </w:p>
    <w:tbl>
      <w:tblPr>
        <w:tblStyle w:val="33"/>
        <w:tblW w:w="92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1153"/>
        <w:gridCol w:w="875"/>
        <w:gridCol w:w="6537"/>
      </w:tblGrid>
      <w:tr w14:paraId="5BCD2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0DA9DD0B">
            <w:pPr>
              <w:bidi w:val="0"/>
              <w:jc w:val="center"/>
              <w:rPr>
                <w:rFonts w:hint="eastAsia"/>
                <w:color w:val="auto"/>
                <w:sz w:val="21"/>
                <w:szCs w:val="21"/>
                <w:highlight w:val="none"/>
                <w:lang w:val="en-US" w:eastAsia="zh-CN"/>
              </w:rPr>
            </w:pPr>
            <w:bookmarkStart w:id="174" w:name="OLE_LINK2"/>
            <w:r>
              <w:rPr>
                <w:rFonts w:hint="eastAsia"/>
                <w:color w:val="auto"/>
                <w:sz w:val="21"/>
                <w:szCs w:val="21"/>
                <w:highlight w:val="none"/>
                <w:lang w:val="en-US" w:eastAsia="zh-CN"/>
              </w:rPr>
              <w:t>名称</w:t>
            </w:r>
          </w:p>
        </w:tc>
        <w:tc>
          <w:tcPr>
            <w:tcW w:w="875" w:type="dxa"/>
            <w:tcBorders>
              <w:top w:val="single" w:color="auto" w:sz="4" w:space="0"/>
              <w:left w:val="single" w:color="auto" w:sz="4" w:space="0"/>
              <w:bottom w:val="single" w:color="auto" w:sz="4" w:space="0"/>
              <w:right w:val="single" w:color="auto" w:sz="4" w:space="0"/>
            </w:tcBorders>
            <w:vAlign w:val="center"/>
          </w:tcPr>
          <w:p w14:paraId="2942E83B">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分值</w:t>
            </w:r>
          </w:p>
        </w:tc>
        <w:tc>
          <w:tcPr>
            <w:tcW w:w="6537" w:type="dxa"/>
            <w:tcBorders>
              <w:top w:val="single" w:color="auto" w:sz="4" w:space="0"/>
              <w:left w:val="single" w:color="auto" w:sz="4" w:space="0"/>
              <w:bottom w:val="single" w:color="auto" w:sz="4" w:space="0"/>
              <w:right w:val="single" w:color="auto" w:sz="4" w:space="0"/>
            </w:tcBorders>
            <w:vAlign w:val="center"/>
          </w:tcPr>
          <w:p w14:paraId="31F04A6F">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评分标准</w:t>
            </w:r>
          </w:p>
        </w:tc>
      </w:tr>
      <w:tr w14:paraId="5375B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692" w:type="dxa"/>
            <w:tcBorders>
              <w:top w:val="single" w:color="auto" w:sz="4" w:space="0"/>
              <w:left w:val="single" w:color="auto" w:sz="4" w:space="0"/>
              <w:right w:val="single" w:color="auto" w:sz="4" w:space="0"/>
            </w:tcBorders>
            <w:vAlign w:val="center"/>
          </w:tcPr>
          <w:p w14:paraId="76978850">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1153" w:type="dxa"/>
            <w:tcBorders>
              <w:top w:val="single" w:color="auto" w:sz="4" w:space="0"/>
              <w:left w:val="single" w:color="auto" w:sz="4" w:space="0"/>
              <w:right w:val="single" w:color="auto" w:sz="4" w:space="0"/>
            </w:tcBorders>
            <w:vAlign w:val="center"/>
          </w:tcPr>
          <w:p w14:paraId="20447013">
            <w:pPr>
              <w:bidi w:val="0"/>
              <w:rPr>
                <w:rFonts w:hint="eastAsia"/>
                <w:color w:val="auto"/>
                <w:sz w:val="21"/>
                <w:szCs w:val="21"/>
                <w:highlight w:val="none"/>
                <w:lang w:val="en-US" w:eastAsia="zh-CN"/>
              </w:rPr>
            </w:pPr>
            <w:r>
              <w:rPr>
                <w:rFonts w:hint="eastAsia"/>
                <w:color w:val="auto"/>
                <w:sz w:val="21"/>
                <w:szCs w:val="21"/>
                <w:highlight w:val="none"/>
                <w:lang w:val="en-US" w:eastAsia="zh-CN"/>
              </w:rPr>
              <w:t>类似业绩</w:t>
            </w:r>
          </w:p>
        </w:tc>
        <w:tc>
          <w:tcPr>
            <w:tcW w:w="875" w:type="dxa"/>
            <w:tcBorders>
              <w:top w:val="single" w:color="auto" w:sz="4" w:space="0"/>
              <w:left w:val="single" w:color="auto" w:sz="4" w:space="0"/>
              <w:right w:val="single" w:color="auto" w:sz="4" w:space="0"/>
            </w:tcBorders>
            <w:vAlign w:val="center"/>
          </w:tcPr>
          <w:p w14:paraId="3602C8B5">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10分</w:t>
            </w:r>
          </w:p>
        </w:tc>
        <w:tc>
          <w:tcPr>
            <w:tcW w:w="6537" w:type="dxa"/>
            <w:tcBorders>
              <w:top w:val="single" w:color="auto" w:sz="4" w:space="0"/>
              <w:left w:val="single" w:color="auto" w:sz="4" w:space="0"/>
              <w:bottom w:val="single" w:color="auto" w:sz="4" w:space="0"/>
              <w:right w:val="single" w:color="auto" w:sz="4" w:space="0"/>
            </w:tcBorders>
            <w:vAlign w:val="center"/>
          </w:tcPr>
          <w:p w14:paraId="3704AB61">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根据供应商提供近三年（2023年1月1日-至今，以合同签订时间为准）承担过类似服务业绩，每提供1项类似业绩得5分，满分10分；</w:t>
            </w:r>
          </w:p>
          <w:p w14:paraId="156E9658">
            <w:pPr>
              <w:bidi w:val="0"/>
              <w:rPr>
                <w:rFonts w:hint="default"/>
                <w:color w:val="auto"/>
                <w:sz w:val="21"/>
                <w:szCs w:val="21"/>
                <w:highlight w:val="none"/>
                <w:lang w:val="en-US" w:eastAsia="zh-CN"/>
              </w:rPr>
            </w:pPr>
            <w:r>
              <w:rPr>
                <w:rFonts w:hint="default"/>
                <w:color w:val="auto"/>
                <w:sz w:val="21"/>
                <w:szCs w:val="21"/>
                <w:highlight w:val="none"/>
                <w:lang w:val="en-US" w:eastAsia="zh-CN"/>
              </w:rPr>
              <w:t>【</w:t>
            </w:r>
            <w:r>
              <w:rPr>
                <w:rFonts w:hint="eastAsia"/>
                <w:color w:val="auto"/>
                <w:sz w:val="21"/>
                <w:szCs w:val="21"/>
                <w:highlight w:val="none"/>
                <w:lang w:val="en-US" w:eastAsia="zh-CN"/>
              </w:rPr>
              <w:t>须提供</w:t>
            </w:r>
            <w:r>
              <w:rPr>
                <w:rFonts w:hint="default"/>
                <w:color w:val="auto"/>
                <w:sz w:val="21"/>
                <w:szCs w:val="21"/>
                <w:highlight w:val="none"/>
                <w:lang w:val="en-US" w:eastAsia="zh-CN"/>
              </w:rPr>
              <w:t>：合同协议书的扫描件；若合同页数过多，则可只上传合同关键页（关键页包括合同封面、合同金额页、合同签字盖章页</w:t>
            </w:r>
            <w:r>
              <w:rPr>
                <w:rFonts w:hint="eastAsia"/>
                <w:color w:val="auto"/>
                <w:sz w:val="21"/>
                <w:szCs w:val="21"/>
                <w:highlight w:val="none"/>
                <w:lang w:val="en-US" w:eastAsia="zh-CN"/>
              </w:rPr>
              <w:t>[</w:t>
            </w:r>
            <w:r>
              <w:rPr>
                <w:rFonts w:hint="default"/>
                <w:color w:val="auto"/>
                <w:sz w:val="21"/>
                <w:szCs w:val="21"/>
                <w:highlight w:val="none"/>
                <w:lang w:val="en-US" w:eastAsia="zh-CN"/>
              </w:rPr>
              <w:t>须有合同甲乙双方加盖合同章或单位公章</w:t>
            </w:r>
            <w:r>
              <w:rPr>
                <w:rFonts w:hint="eastAsia"/>
                <w:color w:val="auto"/>
                <w:sz w:val="21"/>
                <w:szCs w:val="21"/>
                <w:highlight w:val="none"/>
                <w:lang w:val="en-US" w:eastAsia="zh-CN"/>
              </w:rPr>
              <w:t>]</w:t>
            </w:r>
            <w:r>
              <w:rPr>
                <w:rFonts w:hint="default"/>
                <w:color w:val="auto"/>
                <w:sz w:val="21"/>
                <w:szCs w:val="21"/>
                <w:highlight w:val="none"/>
                <w:lang w:val="en-US" w:eastAsia="zh-CN"/>
              </w:rPr>
              <w:t>）。业绩证明材料需完整、清晰、可辨认，否则视为无效业绩</w:t>
            </w:r>
            <w:r>
              <w:rPr>
                <w:rFonts w:hint="eastAsia"/>
                <w:color w:val="auto"/>
                <w:sz w:val="21"/>
                <w:szCs w:val="21"/>
                <w:highlight w:val="none"/>
                <w:lang w:val="en-US" w:eastAsia="zh-CN"/>
              </w:rPr>
              <w:t>】</w:t>
            </w:r>
          </w:p>
          <w:p w14:paraId="1206C4C7">
            <w:pPr>
              <w:bidi w:val="0"/>
              <w:rPr>
                <w:rFonts w:hint="eastAsia"/>
                <w:color w:val="auto"/>
                <w:sz w:val="21"/>
                <w:szCs w:val="21"/>
                <w:highlight w:val="none"/>
                <w:lang w:val="en-US" w:eastAsia="zh-CN"/>
              </w:rPr>
            </w:pPr>
            <w:r>
              <w:rPr>
                <w:rFonts w:hint="eastAsia"/>
                <w:color w:val="auto"/>
                <w:sz w:val="21"/>
                <w:szCs w:val="21"/>
                <w:highlight w:val="none"/>
                <w:lang w:val="en-US" w:eastAsia="zh-CN"/>
              </w:rPr>
              <w:t>注：</w:t>
            </w:r>
            <w:r>
              <w:rPr>
                <w:rFonts w:hint="default"/>
                <w:color w:val="auto"/>
                <w:sz w:val="21"/>
                <w:szCs w:val="21"/>
                <w:highlight w:val="none"/>
                <w:lang w:val="en-US" w:eastAsia="zh-CN"/>
              </w:rPr>
              <w:t>同一分标段的项目只认可为一个业绩。</w:t>
            </w:r>
          </w:p>
        </w:tc>
      </w:tr>
      <w:tr w14:paraId="7B2C3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BC0AF80">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153" w:type="dxa"/>
            <w:tcBorders>
              <w:top w:val="single" w:color="auto" w:sz="4" w:space="0"/>
              <w:left w:val="single" w:color="auto" w:sz="4" w:space="0"/>
              <w:bottom w:val="single" w:color="auto" w:sz="4" w:space="0"/>
              <w:right w:val="single" w:color="auto" w:sz="4" w:space="0"/>
            </w:tcBorders>
            <w:vAlign w:val="center"/>
          </w:tcPr>
          <w:p w14:paraId="0D10BCF5">
            <w:pPr>
              <w:bidi w:val="0"/>
              <w:rPr>
                <w:rFonts w:hint="default"/>
                <w:color w:val="auto"/>
                <w:sz w:val="21"/>
                <w:szCs w:val="21"/>
                <w:highlight w:val="none"/>
                <w:lang w:val="en-US" w:eastAsia="zh-CN"/>
              </w:rPr>
            </w:pPr>
            <w:r>
              <w:rPr>
                <w:rFonts w:hint="eastAsia"/>
                <w:color w:val="auto"/>
                <w:sz w:val="21"/>
                <w:szCs w:val="21"/>
                <w:highlight w:val="none"/>
                <w:lang w:val="en-US" w:eastAsia="zh-CN"/>
              </w:rPr>
              <w:t>项目负责人</w:t>
            </w:r>
          </w:p>
        </w:tc>
        <w:tc>
          <w:tcPr>
            <w:tcW w:w="875" w:type="dxa"/>
            <w:tcBorders>
              <w:top w:val="single" w:color="auto" w:sz="4" w:space="0"/>
              <w:left w:val="single" w:color="auto" w:sz="4" w:space="0"/>
              <w:bottom w:val="single" w:color="auto" w:sz="4" w:space="0"/>
              <w:right w:val="single" w:color="auto" w:sz="4" w:space="0"/>
            </w:tcBorders>
            <w:vAlign w:val="center"/>
          </w:tcPr>
          <w:p w14:paraId="7F424118">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2分</w:t>
            </w:r>
          </w:p>
        </w:tc>
        <w:tc>
          <w:tcPr>
            <w:tcW w:w="6537" w:type="dxa"/>
            <w:tcBorders>
              <w:top w:val="single" w:color="auto" w:sz="4" w:space="0"/>
              <w:left w:val="single" w:color="auto" w:sz="4" w:space="0"/>
              <w:bottom w:val="single" w:color="auto" w:sz="4" w:space="0"/>
              <w:right w:val="single" w:color="auto" w:sz="4" w:space="0"/>
            </w:tcBorders>
            <w:vAlign w:val="center"/>
          </w:tcPr>
          <w:p w14:paraId="6328C597">
            <w:pPr>
              <w:bidi w:val="0"/>
              <w:rPr>
                <w:rFonts w:hint="default"/>
                <w:color w:val="auto"/>
                <w:sz w:val="21"/>
                <w:szCs w:val="21"/>
                <w:highlight w:val="none"/>
                <w:lang w:val="en-US" w:eastAsia="zh-CN"/>
              </w:rPr>
            </w:pPr>
            <w:r>
              <w:rPr>
                <w:rFonts w:hint="eastAsia"/>
                <w:color w:val="auto"/>
                <w:sz w:val="21"/>
                <w:szCs w:val="21"/>
                <w:highlight w:val="none"/>
                <w:lang w:val="en-US" w:eastAsia="zh-CN"/>
              </w:rPr>
              <w:t>根据项目负责人具备</w:t>
            </w:r>
            <w:r>
              <w:rPr>
                <w:rFonts w:hint="eastAsia"/>
                <w:color w:val="auto"/>
                <w:sz w:val="21"/>
                <w:szCs w:val="21"/>
                <w:highlight w:val="none"/>
                <w:lang w:val="en-US" w:eastAsia="zh-CN"/>
              </w:rPr>
              <w:t>计算机技术与软件专业技术资格（水平）通过的</w:t>
            </w:r>
            <w:r>
              <w:rPr>
                <w:rFonts w:hint="default"/>
                <w:color w:val="auto"/>
                <w:sz w:val="21"/>
                <w:szCs w:val="21"/>
                <w:highlight w:val="none"/>
                <w:lang w:val="en-US" w:eastAsia="zh-CN"/>
              </w:rPr>
              <w:t>信息系统项目管理师或通信工程师（高级）等证书，提供得2分，最高2分。</w:t>
            </w:r>
          </w:p>
          <w:p w14:paraId="7D701BDF">
            <w:pPr>
              <w:bidi w:val="0"/>
              <w:rPr>
                <w:rFonts w:hint="default"/>
                <w:color w:val="auto"/>
                <w:sz w:val="21"/>
                <w:szCs w:val="21"/>
                <w:highlight w:val="none"/>
                <w:lang w:val="en-US" w:eastAsia="zh-CN"/>
              </w:rPr>
            </w:pPr>
            <w:r>
              <w:rPr>
                <w:rFonts w:hint="default"/>
                <w:color w:val="auto"/>
                <w:sz w:val="21"/>
                <w:szCs w:val="21"/>
                <w:highlight w:val="none"/>
                <w:lang w:val="en-US" w:eastAsia="zh-CN"/>
              </w:rPr>
              <w:t>【须同时提供</w:t>
            </w:r>
            <w:r>
              <w:rPr>
                <w:rFonts w:hint="eastAsia"/>
                <w:color w:val="auto"/>
                <w:sz w:val="21"/>
                <w:szCs w:val="21"/>
                <w:highlight w:val="none"/>
                <w:lang w:val="en-US" w:eastAsia="zh-CN"/>
              </w:rPr>
              <w:t>：</w:t>
            </w:r>
            <w:r>
              <w:rPr>
                <w:rFonts w:hint="default"/>
                <w:color w:val="auto"/>
                <w:sz w:val="21"/>
                <w:szCs w:val="21"/>
                <w:highlight w:val="none"/>
                <w:lang w:val="en-US" w:eastAsia="zh-CN"/>
              </w:rPr>
              <w:t>身份证、</w:t>
            </w:r>
            <w:r>
              <w:rPr>
                <w:rFonts w:hint="eastAsia"/>
                <w:color w:val="auto"/>
                <w:sz w:val="21"/>
                <w:szCs w:val="21"/>
                <w:highlight w:val="none"/>
                <w:lang w:val="en-US" w:eastAsia="zh-CN"/>
              </w:rPr>
              <w:t>相关证书、</w:t>
            </w:r>
            <w:r>
              <w:rPr>
                <w:rFonts w:hint="default"/>
                <w:color w:val="auto"/>
                <w:sz w:val="21"/>
                <w:szCs w:val="21"/>
                <w:highlight w:val="none"/>
                <w:lang w:val="en-US" w:eastAsia="zh-CN"/>
              </w:rPr>
              <w:t>劳动合同或劳务合同（或薪资发放证明）等证明材料，未提供的不得分】</w:t>
            </w:r>
          </w:p>
        </w:tc>
      </w:tr>
      <w:tr w14:paraId="71097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264191A">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3</w:t>
            </w:r>
          </w:p>
        </w:tc>
        <w:tc>
          <w:tcPr>
            <w:tcW w:w="1153" w:type="dxa"/>
            <w:tcBorders>
              <w:top w:val="single" w:color="auto" w:sz="4" w:space="0"/>
              <w:left w:val="single" w:color="auto" w:sz="4" w:space="0"/>
              <w:bottom w:val="single" w:color="auto" w:sz="4" w:space="0"/>
              <w:right w:val="single" w:color="auto" w:sz="4" w:space="0"/>
            </w:tcBorders>
            <w:vAlign w:val="center"/>
          </w:tcPr>
          <w:p w14:paraId="175814AE">
            <w:pPr>
              <w:bidi w:val="0"/>
              <w:rPr>
                <w:rFonts w:hint="eastAsia"/>
                <w:color w:val="auto"/>
                <w:sz w:val="21"/>
                <w:szCs w:val="21"/>
                <w:highlight w:val="none"/>
                <w:lang w:val="en-US" w:eastAsia="zh-CN"/>
              </w:rPr>
            </w:pPr>
            <w:r>
              <w:rPr>
                <w:rFonts w:hint="eastAsia"/>
                <w:color w:val="auto"/>
                <w:sz w:val="21"/>
                <w:szCs w:val="21"/>
                <w:highlight w:val="none"/>
                <w:lang w:val="en-US" w:eastAsia="zh-CN"/>
              </w:rPr>
              <w:t>其他配备人员</w:t>
            </w:r>
          </w:p>
        </w:tc>
        <w:tc>
          <w:tcPr>
            <w:tcW w:w="875" w:type="dxa"/>
            <w:tcBorders>
              <w:top w:val="single" w:color="auto" w:sz="4" w:space="0"/>
              <w:left w:val="single" w:color="auto" w:sz="4" w:space="0"/>
              <w:bottom w:val="single" w:color="auto" w:sz="4" w:space="0"/>
              <w:right w:val="single" w:color="auto" w:sz="4" w:space="0"/>
            </w:tcBorders>
            <w:vAlign w:val="center"/>
          </w:tcPr>
          <w:p w14:paraId="024CA3B7">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5分</w:t>
            </w:r>
          </w:p>
        </w:tc>
        <w:tc>
          <w:tcPr>
            <w:tcW w:w="6537" w:type="dxa"/>
            <w:tcBorders>
              <w:top w:val="single" w:color="auto" w:sz="4" w:space="0"/>
              <w:left w:val="single" w:color="auto" w:sz="4" w:space="0"/>
              <w:bottom w:val="single" w:color="auto" w:sz="4" w:space="0"/>
              <w:right w:val="single" w:color="auto" w:sz="4" w:space="0"/>
            </w:tcBorders>
            <w:vAlign w:val="center"/>
          </w:tcPr>
          <w:p w14:paraId="0716355C">
            <w:pPr>
              <w:bidi w:val="0"/>
              <w:rPr>
                <w:rFonts w:hint="default"/>
                <w:color w:val="auto"/>
                <w:sz w:val="21"/>
                <w:szCs w:val="21"/>
                <w:highlight w:val="none"/>
                <w:lang w:val="en-US" w:eastAsia="zh-CN"/>
              </w:rPr>
            </w:pPr>
            <w:r>
              <w:rPr>
                <w:rFonts w:hint="eastAsia"/>
                <w:color w:val="auto"/>
                <w:sz w:val="21"/>
                <w:szCs w:val="21"/>
                <w:highlight w:val="none"/>
                <w:lang w:val="en-US" w:eastAsia="zh-CN"/>
              </w:rPr>
              <w:t>根据供应商针对本项目的拟配备服务人员（不少于5人，除项目负责人）</w:t>
            </w:r>
            <w:r>
              <w:rPr>
                <w:rFonts w:hint="default"/>
                <w:color w:val="auto"/>
                <w:sz w:val="21"/>
                <w:szCs w:val="21"/>
                <w:highlight w:val="none"/>
                <w:lang w:val="en-US" w:eastAsia="zh-CN"/>
              </w:rPr>
              <w:t>，</w:t>
            </w:r>
            <w:r>
              <w:rPr>
                <w:rFonts w:hint="eastAsia"/>
                <w:color w:val="auto"/>
                <w:sz w:val="21"/>
                <w:szCs w:val="21"/>
                <w:highlight w:val="none"/>
                <w:lang w:val="en-US" w:eastAsia="zh-CN"/>
              </w:rPr>
              <w:t>具备</w:t>
            </w:r>
            <w:r>
              <w:rPr>
                <w:rFonts w:hint="eastAsia"/>
                <w:color w:val="auto"/>
                <w:sz w:val="21"/>
                <w:szCs w:val="21"/>
                <w:highlight w:val="none"/>
                <w:lang w:val="en-US" w:eastAsia="zh-CN"/>
              </w:rPr>
              <w:t>计算机技术与软件专业技术资格（水平）通过的</w:t>
            </w:r>
            <w:r>
              <w:rPr>
                <w:rFonts w:hint="default"/>
                <w:color w:val="auto"/>
                <w:sz w:val="21"/>
                <w:szCs w:val="21"/>
                <w:highlight w:val="none"/>
                <w:lang w:val="en-US" w:eastAsia="zh-CN"/>
              </w:rPr>
              <w:t>系统集成项目管理工程师或项目集成管理工程师或信息安全工程师等证书，每提供一个</w:t>
            </w:r>
            <w:r>
              <w:rPr>
                <w:rFonts w:hint="eastAsia"/>
                <w:color w:val="auto"/>
                <w:sz w:val="21"/>
                <w:szCs w:val="21"/>
                <w:highlight w:val="none"/>
                <w:lang w:val="en-US" w:eastAsia="zh-CN"/>
              </w:rPr>
              <w:t>人员</w:t>
            </w:r>
            <w:r>
              <w:rPr>
                <w:rFonts w:hint="default"/>
                <w:color w:val="auto"/>
                <w:sz w:val="21"/>
                <w:szCs w:val="21"/>
                <w:highlight w:val="none"/>
                <w:lang w:val="en-US" w:eastAsia="zh-CN"/>
              </w:rPr>
              <w:t>得1分，最高得</w:t>
            </w:r>
            <w:r>
              <w:rPr>
                <w:rFonts w:hint="eastAsia"/>
                <w:color w:val="auto"/>
                <w:sz w:val="21"/>
                <w:szCs w:val="21"/>
                <w:highlight w:val="none"/>
                <w:lang w:val="en-US" w:eastAsia="zh-CN"/>
              </w:rPr>
              <w:t>5</w:t>
            </w:r>
            <w:r>
              <w:rPr>
                <w:rFonts w:hint="default"/>
                <w:color w:val="auto"/>
                <w:sz w:val="21"/>
                <w:szCs w:val="21"/>
                <w:highlight w:val="none"/>
                <w:lang w:val="en-US" w:eastAsia="zh-CN"/>
              </w:rPr>
              <w:t>分。</w:t>
            </w:r>
          </w:p>
          <w:p w14:paraId="557FD704">
            <w:pPr>
              <w:bidi w:val="0"/>
              <w:rPr>
                <w:rFonts w:hint="eastAsia"/>
                <w:color w:val="auto"/>
                <w:sz w:val="21"/>
                <w:szCs w:val="21"/>
                <w:highlight w:val="none"/>
                <w:lang w:val="en-US" w:eastAsia="zh-CN"/>
              </w:rPr>
            </w:pPr>
            <w:r>
              <w:rPr>
                <w:rFonts w:hint="eastAsia"/>
                <w:color w:val="auto"/>
                <w:sz w:val="21"/>
                <w:szCs w:val="21"/>
                <w:highlight w:val="none"/>
                <w:lang w:val="en-US" w:eastAsia="zh-CN"/>
              </w:rPr>
              <w:t>【须同时提供：身份证、相关证书、劳动合同或劳务合同（或薪资发放证明）等证明材料，未提供的不得分】</w:t>
            </w:r>
          </w:p>
        </w:tc>
      </w:tr>
      <w:tr w14:paraId="1541B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32A757">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4</w:t>
            </w:r>
          </w:p>
        </w:tc>
        <w:tc>
          <w:tcPr>
            <w:tcW w:w="1153" w:type="dxa"/>
            <w:tcBorders>
              <w:top w:val="single" w:color="auto" w:sz="4" w:space="0"/>
              <w:left w:val="single" w:color="auto" w:sz="4" w:space="0"/>
              <w:bottom w:val="single" w:color="auto" w:sz="4" w:space="0"/>
              <w:right w:val="single" w:color="auto" w:sz="4" w:space="0"/>
            </w:tcBorders>
            <w:vAlign w:val="center"/>
          </w:tcPr>
          <w:p w14:paraId="07A1B633">
            <w:pPr>
              <w:bidi w:val="0"/>
              <w:rPr>
                <w:rFonts w:hint="default"/>
                <w:color w:val="auto"/>
                <w:sz w:val="21"/>
                <w:szCs w:val="21"/>
                <w:highlight w:val="none"/>
                <w:lang w:val="en-US" w:eastAsia="zh-CN"/>
              </w:rPr>
            </w:pPr>
            <w:r>
              <w:rPr>
                <w:rFonts w:hint="eastAsia"/>
                <w:color w:val="auto"/>
                <w:sz w:val="21"/>
                <w:szCs w:val="21"/>
                <w:highlight w:val="none"/>
                <w:lang w:val="en-US" w:eastAsia="zh-CN"/>
              </w:rPr>
              <w:t>服务方案</w:t>
            </w:r>
          </w:p>
        </w:tc>
        <w:tc>
          <w:tcPr>
            <w:tcW w:w="875" w:type="dxa"/>
            <w:tcBorders>
              <w:top w:val="single" w:color="auto" w:sz="4" w:space="0"/>
              <w:left w:val="single" w:color="auto" w:sz="4" w:space="0"/>
              <w:bottom w:val="single" w:color="auto" w:sz="4" w:space="0"/>
              <w:right w:val="single" w:color="auto" w:sz="4" w:space="0"/>
            </w:tcBorders>
            <w:vAlign w:val="center"/>
          </w:tcPr>
          <w:p w14:paraId="095A4F06">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14分</w:t>
            </w:r>
          </w:p>
        </w:tc>
        <w:tc>
          <w:tcPr>
            <w:tcW w:w="6537" w:type="dxa"/>
            <w:tcBorders>
              <w:top w:val="single" w:color="auto" w:sz="4" w:space="0"/>
              <w:left w:val="single" w:color="auto" w:sz="4" w:space="0"/>
              <w:bottom w:val="single" w:color="auto" w:sz="4" w:space="0"/>
              <w:right w:val="single" w:color="auto" w:sz="4" w:space="0"/>
            </w:tcBorders>
            <w:vAlign w:val="center"/>
          </w:tcPr>
          <w:p w14:paraId="0BD71D6E">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根据供应商针对本项目服务方案包括但不限于：</w:t>
            </w:r>
          </w:p>
          <w:p w14:paraId="5A876EC0">
            <w:pPr>
              <w:bidi w:val="0"/>
              <w:rPr>
                <w:rFonts w:hint="eastAsia"/>
                <w:color w:val="auto"/>
                <w:sz w:val="21"/>
                <w:szCs w:val="21"/>
                <w:highlight w:val="none"/>
                <w:lang w:val="en-US" w:eastAsia="zh-CN"/>
              </w:rPr>
            </w:pPr>
            <w:r>
              <w:rPr>
                <w:rFonts w:hint="eastAsia"/>
                <w:color w:val="auto"/>
                <w:sz w:val="21"/>
                <w:szCs w:val="21"/>
                <w:highlight w:val="none"/>
                <w:lang w:val="en-US" w:eastAsia="zh-CN"/>
              </w:rPr>
              <w:t>①质量保证承诺（2分）、</w:t>
            </w:r>
          </w:p>
          <w:p w14:paraId="232C74ED">
            <w:pPr>
              <w:bidi w:val="0"/>
              <w:rPr>
                <w:rFonts w:hint="eastAsia"/>
                <w:color w:val="auto"/>
                <w:sz w:val="21"/>
                <w:szCs w:val="21"/>
                <w:highlight w:val="none"/>
                <w:lang w:val="en-US" w:eastAsia="zh-CN"/>
              </w:rPr>
            </w:pPr>
            <w:r>
              <w:rPr>
                <w:rFonts w:hint="eastAsia"/>
                <w:color w:val="auto"/>
                <w:sz w:val="21"/>
                <w:szCs w:val="21"/>
                <w:highlight w:val="none"/>
                <w:lang w:val="en-US" w:eastAsia="zh-CN"/>
              </w:rPr>
              <w:t>②免费维保期限及内容（至少3年）（2分）、</w:t>
            </w:r>
          </w:p>
          <w:p w14:paraId="12903CE1">
            <w:pPr>
              <w:bidi w:val="0"/>
              <w:rPr>
                <w:rFonts w:hint="eastAsia"/>
                <w:color w:val="auto"/>
                <w:sz w:val="21"/>
                <w:szCs w:val="21"/>
                <w:highlight w:val="none"/>
                <w:lang w:val="en-US" w:eastAsia="zh-CN"/>
              </w:rPr>
            </w:pPr>
            <w:r>
              <w:rPr>
                <w:rFonts w:hint="eastAsia"/>
                <w:color w:val="auto"/>
                <w:sz w:val="21"/>
                <w:szCs w:val="21"/>
                <w:highlight w:val="none"/>
                <w:lang w:val="en-US" w:eastAsia="zh-CN"/>
              </w:rPr>
              <w:t>③维保方式（2分）、</w:t>
            </w:r>
          </w:p>
          <w:p w14:paraId="6D42A60F">
            <w:pPr>
              <w:bidi w:val="0"/>
              <w:rPr>
                <w:rFonts w:hint="eastAsia"/>
                <w:color w:val="auto"/>
                <w:sz w:val="21"/>
                <w:szCs w:val="21"/>
                <w:highlight w:val="none"/>
                <w:lang w:val="en-US" w:eastAsia="zh-CN"/>
              </w:rPr>
            </w:pPr>
            <w:r>
              <w:rPr>
                <w:rFonts w:hint="eastAsia"/>
                <w:color w:val="auto"/>
                <w:sz w:val="21"/>
                <w:szCs w:val="21"/>
                <w:highlight w:val="none"/>
                <w:lang w:val="en-US" w:eastAsia="zh-CN"/>
              </w:rPr>
              <w:t>④全疆维保体系（需包含全疆所有区域上门维护方式）（2分）、</w:t>
            </w:r>
          </w:p>
          <w:p w14:paraId="792AC322">
            <w:pPr>
              <w:bidi w:val="0"/>
              <w:rPr>
                <w:rFonts w:hint="eastAsia"/>
                <w:color w:val="auto"/>
                <w:sz w:val="21"/>
                <w:szCs w:val="21"/>
                <w:highlight w:val="none"/>
                <w:lang w:val="en-US" w:eastAsia="zh-CN"/>
              </w:rPr>
            </w:pPr>
            <w:r>
              <w:rPr>
                <w:rFonts w:hint="eastAsia"/>
                <w:color w:val="auto"/>
                <w:sz w:val="21"/>
                <w:szCs w:val="21"/>
                <w:highlight w:val="none"/>
                <w:lang w:val="en-US" w:eastAsia="zh-CN"/>
              </w:rPr>
              <w:t>⑤安全承诺（维修过程中保证终端、内部程序数据安全及不得进行非授权操作的条款）（2分）、</w:t>
            </w:r>
          </w:p>
          <w:p w14:paraId="2CD78E7B">
            <w:pPr>
              <w:bidi w:val="0"/>
              <w:rPr>
                <w:rFonts w:hint="eastAsia"/>
                <w:color w:val="auto"/>
                <w:sz w:val="21"/>
                <w:szCs w:val="21"/>
                <w:highlight w:val="none"/>
                <w:lang w:val="en-US" w:eastAsia="zh-CN"/>
              </w:rPr>
            </w:pPr>
            <w:r>
              <w:rPr>
                <w:rFonts w:hint="eastAsia"/>
                <w:color w:val="auto"/>
                <w:sz w:val="21"/>
                <w:szCs w:val="21"/>
                <w:highlight w:val="none"/>
                <w:lang w:val="en-US" w:eastAsia="zh-CN"/>
              </w:rPr>
              <w:t>⑥大众市场“三包服务”常规内容（2分）、</w:t>
            </w:r>
          </w:p>
          <w:p w14:paraId="1720AA40">
            <w:pPr>
              <w:bidi w:val="0"/>
              <w:rPr>
                <w:rFonts w:hint="eastAsia"/>
                <w:color w:val="auto"/>
                <w:sz w:val="21"/>
                <w:szCs w:val="21"/>
                <w:highlight w:val="none"/>
                <w:lang w:val="en-US" w:eastAsia="zh-CN"/>
              </w:rPr>
            </w:pPr>
            <w:r>
              <w:rPr>
                <w:rFonts w:hint="eastAsia"/>
                <w:color w:val="auto"/>
                <w:sz w:val="21"/>
                <w:szCs w:val="21"/>
                <w:highlight w:val="none"/>
                <w:lang w:val="en-US" w:eastAsia="zh-CN"/>
              </w:rPr>
              <w:t>⑦远程系统升级等（2分）。</w:t>
            </w:r>
          </w:p>
          <w:p w14:paraId="5BDBE74C">
            <w:pPr>
              <w:bidi w:val="0"/>
              <w:rPr>
                <w:rFonts w:hint="eastAsia"/>
                <w:color w:val="auto"/>
                <w:sz w:val="21"/>
                <w:szCs w:val="21"/>
                <w:highlight w:val="none"/>
                <w:lang w:val="en-US" w:eastAsia="zh-CN"/>
              </w:rPr>
            </w:pPr>
            <w:r>
              <w:rPr>
                <w:rFonts w:hint="eastAsia"/>
                <w:color w:val="auto"/>
                <w:sz w:val="21"/>
                <w:szCs w:val="21"/>
                <w:highlight w:val="none"/>
                <w:lang w:val="en-US" w:eastAsia="zh-CN"/>
              </w:rPr>
              <w:t>每缺少一项扣2分，内容存在明显错误或缺陷则该小项扣1分，扣完为止。</w:t>
            </w:r>
          </w:p>
          <w:p w14:paraId="61A99A91">
            <w:pPr>
              <w:bidi w:val="0"/>
              <w:rPr>
                <w:rFonts w:hint="eastAsia"/>
                <w:color w:val="auto"/>
                <w:sz w:val="21"/>
                <w:szCs w:val="21"/>
                <w:highlight w:val="none"/>
                <w:lang w:val="en-US" w:eastAsia="zh-CN"/>
              </w:rPr>
            </w:pPr>
            <w:r>
              <w:rPr>
                <w:rFonts w:hint="eastAsia"/>
                <w:color w:val="auto"/>
                <w:sz w:val="21"/>
                <w:szCs w:val="21"/>
                <w:highlight w:val="none"/>
                <w:lang w:val="en-US" w:eastAsia="zh-CN"/>
              </w:rPr>
              <w:t>注：凡出现以下任一情形，即认定对应分析内容存在错误或缺陷：①方案生搬硬套，与实际情况明显不符；②或存在与项目明显无关的文字内容；③或内容与招标文件明确要求的采购范围、地点、规模等实际情况明显不符；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tc>
      </w:tr>
      <w:tr w14:paraId="54DA3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3" w:hRule="atLeast"/>
          <w:jc w:val="center"/>
        </w:trPr>
        <w:tc>
          <w:tcPr>
            <w:tcW w:w="692" w:type="dxa"/>
            <w:tcBorders>
              <w:top w:val="single" w:color="auto" w:sz="4" w:space="0"/>
              <w:left w:val="single" w:color="auto" w:sz="4" w:space="0"/>
              <w:right w:val="single" w:color="auto" w:sz="4" w:space="0"/>
            </w:tcBorders>
            <w:shd w:val="clear" w:color="auto" w:fill="auto"/>
            <w:vAlign w:val="center"/>
          </w:tcPr>
          <w:p w14:paraId="643005EA">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1153" w:type="dxa"/>
            <w:tcBorders>
              <w:top w:val="single" w:color="auto" w:sz="4" w:space="0"/>
              <w:left w:val="single" w:color="auto" w:sz="4" w:space="0"/>
              <w:right w:val="single" w:color="auto" w:sz="4" w:space="0"/>
            </w:tcBorders>
            <w:vAlign w:val="center"/>
          </w:tcPr>
          <w:p w14:paraId="5F3022DA">
            <w:pPr>
              <w:bidi w:val="0"/>
              <w:rPr>
                <w:rFonts w:hint="eastAsia"/>
                <w:color w:val="auto"/>
                <w:sz w:val="21"/>
                <w:szCs w:val="21"/>
                <w:highlight w:val="none"/>
                <w:lang w:val="en-US" w:eastAsia="zh-CN"/>
              </w:rPr>
            </w:pPr>
            <w:r>
              <w:rPr>
                <w:rFonts w:hint="eastAsia"/>
                <w:color w:val="auto"/>
                <w:sz w:val="21"/>
                <w:szCs w:val="21"/>
                <w:highlight w:val="none"/>
                <w:lang w:val="en-US" w:eastAsia="zh-CN"/>
              </w:rPr>
              <w:t>服务响应</w:t>
            </w:r>
          </w:p>
        </w:tc>
        <w:tc>
          <w:tcPr>
            <w:tcW w:w="875" w:type="dxa"/>
            <w:tcBorders>
              <w:top w:val="single" w:color="auto" w:sz="4" w:space="0"/>
              <w:left w:val="single" w:color="auto" w:sz="4" w:space="0"/>
              <w:bottom w:val="single" w:color="auto" w:sz="4" w:space="0"/>
              <w:right w:val="single" w:color="auto" w:sz="4" w:space="0"/>
            </w:tcBorders>
            <w:vAlign w:val="center"/>
          </w:tcPr>
          <w:p w14:paraId="4746497F">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3分</w:t>
            </w:r>
          </w:p>
        </w:tc>
        <w:tc>
          <w:tcPr>
            <w:tcW w:w="6537" w:type="dxa"/>
            <w:tcBorders>
              <w:top w:val="single" w:color="auto" w:sz="4" w:space="0"/>
              <w:left w:val="single" w:color="auto" w:sz="4" w:space="0"/>
              <w:bottom w:val="single" w:color="auto" w:sz="4" w:space="0"/>
              <w:right w:val="single" w:color="auto" w:sz="4" w:space="0"/>
            </w:tcBorders>
            <w:vAlign w:val="center"/>
          </w:tcPr>
          <w:p w14:paraId="7640E971">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根据供应商针对本项目服务响应时间：</w:t>
            </w:r>
          </w:p>
          <w:p w14:paraId="6263FF91">
            <w:pPr>
              <w:bidi w:val="0"/>
              <w:rPr>
                <w:rFonts w:hint="eastAsia"/>
                <w:color w:val="auto"/>
                <w:sz w:val="21"/>
                <w:szCs w:val="21"/>
                <w:highlight w:val="none"/>
                <w:lang w:val="en-US" w:eastAsia="zh-CN"/>
              </w:rPr>
            </w:pPr>
            <w:r>
              <w:rPr>
                <w:rFonts w:hint="eastAsia"/>
                <w:color w:val="auto"/>
                <w:sz w:val="21"/>
                <w:szCs w:val="21"/>
                <w:highlight w:val="none"/>
                <w:lang w:val="en-US" w:eastAsia="zh-CN"/>
              </w:rPr>
              <w:t>1、质保期内2小时响应，12小时内到达设备使用现场，24小时内免费完成维修服务，对于非人为损坏的产品予以免费更换或维修，同时提供备品备件的清单与存放点得3分。</w:t>
            </w:r>
          </w:p>
          <w:p w14:paraId="2CD0F7EE">
            <w:pPr>
              <w:bidi w:val="0"/>
              <w:rPr>
                <w:rFonts w:hint="eastAsia"/>
                <w:color w:val="auto"/>
                <w:sz w:val="21"/>
                <w:szCs w:val="21"/>
                <w:highlight w:val="none"/>
                <w:lang w:val="en-US" w:eastAsia="zh-CN"/>
              </w:rPr>
            </w:pPr>
            <w:r>
              <w:rPr>
                <w:rFonts w:hint="eastAsia"/>
                <w:color w:val="auto"/>
                <w:sz w:val="21"/>
                <w:szCs w:val="21"/>
                <w:highlight w:val="none"/>
                <w:lang w:val="en-US" w:eastAsia="zh-CN"/>
              </w:rPr>
              <w:t>2、质保期内6小时响应，24小时内到达设备使用现场，48小时内免费完成维修服务，对于非人为损坏的产品予以免费更换或维修，得2分。</w:t>
            </w:r>
          </w:p>
          <w:p w14:paraId="40DBDC7F">
            <w:pPr>
              <w:bidi w:val="0"/>
              <w:rPr>
                <w:rFonts w:hint="eastAsia"/>
                <w:color w:val="auto"/>
                <w:sz w:val="21"/>
                <w:szCs w:val="21"/>
                <w:highlight w:val="none"/>
                <w:lang w:val="en-US" w:eastAsia="zh-CN"/>
              </w:rPr>
            </w:pPr>
            <w:r>
              <w:rPr>
                <w:rFonts w:hint="eastAsia"/>
                <w:color w:val="auto"/>
                <w:sz w:val="21"/>
                <w:szCs w:val="21"/>
                <w:highlight w:val="none"/>
                <w:lang w:val="en-US" w:eastAsia="zh-CN"/>
              </w:rPr>
              <w:t>3、质保期内超过6小时响应，48小时内未到达设备使用现场的得1分。</w:t>
            </w:r>
          </w:p>
          <w:p w14:paraId="66E1AB77">
            <w:pPr>
              <w:bidi w:val="0"/>
              <w:rPr>
                <w:rFonts w:hint="eastAsia"/>
                <w:color w:val="auto"/>
                <w:sz w:val="21"/>
                <w:szCs w:val="21"/>
                <w:highlight w:val="none"/>
                <w:lang w:val="en-US" w:eastAsia="zh-CN"/>
              </w:rPr>
            </w:pPr>
            <w:r>
              <w:rPr>
                <w:rFonts w:hint="eastAsia"/>
                <w:color w:val="auto"/>
                <w:sz w:val="21"/>
                <w:szCs w:val="21"/>
                <w:highlight w:val="none"/>
                <w:lang w:val="en-US" w:eastAsia="zh-CN"/>
              </w:rPr>
              <w:t>4、没有提供服务响应内容的不得分。</w:t>
            </w:r>
          </w:p>
        </w:tc>
      </w:tr>
      <w:tr w14:paraId="6E2D0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07D2A64">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153" w:type="dxa"/>
            <w:tcBorders>
              <w:top w:val="single" w:color="auto" w:sz="4" w:space="0"/>
              <w:left w:val="single" w:color="auto" w:sz="4" w:space="0"/>
              <w:bottom w:val="single" w:color="auto" w:sz="4" w:space="0"/>
              <w:right w:val="single" w:color="auto" w:sz="4" w:space="0"/>
            </w:tcBorders>
            <w:vAlign w:val="center"/>
          </w:tcPr>
          <w:p w14:paraId="6900D637">
            <w:pPr>
              <w:bidi w:val="0"/>
              <w:rPr>
                <w:rFonts w:hint="default"/>
                <w:color w:val="auto"/>
                <w:sz w:val="21"/>
                <w:szCs w:val="21"/>
                <w:highlight w:val="none"/>
                <w:lang w:val="en-US" w:eastAsia="zh-CN"/>
              </w:rPr>
            </w:pPr>
            <w:r>
              <w:rPr>
                <w:rFonts w:hint="eastAsia"/>
                <w:color w:val="auto"/>
                <w:sz w:val="21"/>
                <w:szCs w:val="21"/>
                <w:highlight w:val="none"/>
                <w:lang w:val="en-US" w:eastAsia="zh-CN"/>
              </w:rPr>
              <w:t>需求分析</w:t>
            </w:r>
          </w:p>
        </w:tc>
        <w:tc>
          <w:tcPr>
            <w:tcW w:w="875" w:type="dxa"/>
            <w:tcBorders>
              <w:top w:val="single" w:color="auto" w:sz="4" w:space="0"/>
              <w:left w:val="single" w:color="auto" w:sz="4" w:space="0"/>
              <w:bottom w:val="single" w:color="auto" w:sz="4" w:space="0"/>
              <w:right w:val="single" w:color="auto" w:sz="4" w:space="0"/>
            </w:tcBorders>
            <w:vAlign w:val="center"/>
          </w:tcPr>
          <w:p w14:paraId="7D5D23E2">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8分</w:t>
            </w:r>
          </w:p>
        </w:tc>
        <w:tc>
          <w:tcPr>
            <w:tcW w:w="6537" w:type="dxa"/>
            <w:tcBorders>
              <w:top w:val="single" w:color="auto" w:sz="4" w:space="0"/>
              <w:left w:val="single" w:color="auto" w:sz="4" w:space="0"/>
              <w:bottom w:val="single" w:color="auto" w:sz="4" w:space="0"/>
              <w:right w:val="single" w:color="auto" w:sz="4" w:space="0"/>
            </w:tcBorders>
            <w:vAlign w:val="center"/>
          </w:tcPr>
          <w:p w14:paraId="662143D0">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根据供应商针对本项目内容中：</w:t>
            </w:r>
          </w:p>
          <w:p w14:paraId="3A9F1C95">
            <w:pPr>
              <w:bidi w:val="0"/>
              <w:rPr>
                <w:rFonts w:hint="eastAsia"/>
                <w:color w:val="auto"/>
                <w:sz w:val="21"/>
                <w:szCs w:val="21"/>
                <w:highlight w:val="none"/>
                <w:lang w:val="en-US" w:eastAsia="zh-CN"/>
              </w:rPr>
            </w:pPr>
            <w:r>
              <w:rPr>
                <w:rFonts w:hint="eastAsia"/>
                <w:color w:val="auto"/>
                <w:sz w:val="21"/>
                <w:szCs w:val="21"/>
                <w:highlight w:val="none"/>
                <w:lang w:val="en-US" w:eastAsia="zh-CN"/>
              </w:rPr>
              <w:t>①移动执法终端的运行保障和维修替换服务（2分）、</w:t>
            </w:r>
          </w:p>
          <w:p w14:paraId="58A09C4F">
            <w:pPr>
              <w:bidi w:val="0"/>
              <w:rPr>
                <w:rFonts w:hint="eastAsia"/>
                <w:color w:val="auto"/>
                <w:sz w:val="21"/>
                <w:szCs w:val="21"/>
                <w:highlight w:val="none"/>
                <w:lang w:val="en-US" w:eastAsia="zh-CN"/>
              </w:rPr>
            </w:pPr>
            <w:r>
              <w:rPr>
                <w:rFonts w:hint="eastAsia"/>
                <w:color w:val="auto"/>
                <w:sz w:val="21"/>
                <w:szCs w:val="21"/>
                <w:highlight w:val="none"/>
                <w:lang w:val="en-US" w:eastAsia="zh-CN"/>
              </w:rPr>
              <w:t>②管理平台运维服务（2分）、</w:t>
            </w:r>
          </w:p>
          <w:p w14:paraId="7A7E99DE">
            <w:pPr>
              <w:bidi w:val="0"/>
              <w:rPr>
                <w:rFonts w:hint="eastAsia"/>
                <w:color w:val="auto"/>
                <w:sz w:val="21"/>
                <w:szCs w:val="21"/>
                <w:highlight w:val="none"/>
                <w:lang w:val="en-US" w:eastAsia="zh-CN"/>
              </w:rPr>
            </w:pPr>
            <w:r>
              <w:rPr>
                <w:rFonts w:hint="eastAsia"/>
                <w:color w:val="auto"/>
                <w:sz w:val="21"/>
                <w:szCs w:val="21"/>
                <w:highlight w:val="none"/>
                <w:lang w:val="en-US" w:eastAsia="zh-CN"/>
              </w:rPr>
              <w:t>③应用功能提升完善服务（2分）、</w:t>
            </w:r>
          </w:p>
          <w:p w14:paraId="47DCE28F">
            <w:pPr>
              <w:bidi w:val="0"/>
              <w:rPr>
                <w:rFonts w:hint="eastAsia"/>
                <w:color w:val="auto"/>
                <w:sz w:val="21"/>
                <w:szCs w:val="21"/>
                <w:highlight w:val="none"/>
                <w:lang w:val="en-US" w:eastAsia="zh-CN"/>
              </w:rPr>
            </w:pPr>
            <w:r>
              <w:rPr>
                <w:rFonts w:hint="eastAsia"/>
                <w:color w:val="auto"/>
                <w:sz w:val="21"/>
                <w:szCs w:val="21"/>
                <w:highlight w:val="none"/>
                <w:lang w:val="en-US" w:eastAsia="zh-CN"/>
              </w:rPr>
              <w:t>④安全管控能力服务方面等内容提供解决方案（2分）。</w:t>
            </w:r>
          </w:p>
          <w:p w14:paraId="1739A53F">
            <w:pPr>
              <w:bidi w:val="0"/>
              <w:rPr>
                <w:rFonts w:hint="eastAsia"/>
                <w:color w:val="auto"/>
                <w:sz w:val="21"/>
                <w:szCs w:val="21"/>
                <w:highlight w:val="none"/>
                <w:lang w:val="en-US" w:eastAsia="zh-CN"/>
              </w:rPr>
            </w:pPr>
            <w:r>
              <w:rPr>
                <w:rFonts w:hint="eastAsia"/>
                <w:color w:val="auto"/>
                <w:sz w:val="21"/>
                <w:szCs w:val="21"/>
                <w:highlight w:val="none"/>
                <w:lang w:val="en-US" w:eastAsia="zh-CN"/>
              </w:rPr>
              <w:t>每缺少一项扣2分，内容存在明显错误或缺陷则该小项扣1分，扣完为止。</w:t>
            </w:r>
          </w:p>
          <w:p w14:paraId="000E6058">
            <w:pPr>
              <w:bidi w:val="0"/>
              <w:rPr>
                <w:rFonts w:hint="eastAsia"/>
                <w:color w:val="auto"/>
                <w:sz w:val="21"/>
                <w:szCs w:val="21"/>
                <w:highlight w:val="none"/>
                <w:lang w:val="en-US" w:eastAsia="zh-CN"/>
              </w:rPr>
            </w:pPr>
            <w:r>
              <w:rPr>
                <w:rFonts w:hint="eastAsia"/>
                <w:color w:val="auto"/>
                <w:sz w:val="21"/>
                <w:szCs w:val="21"/>
                <w:highlight w:val="none"/>
                <w:lang w:val="en-US" w:eastAsia="zh-CN"/>
              </w:rPr>
              <w:t>注：凡出现以下任一情形，即认定对应分析内容存在错误或缺陷：①方案生搬硬套，与实际情况明显不符；②或存在与项目明显无关的文字内容；③或内容与招标文件明确要求的采购范围、地点、规模等实际情况明显不符；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tc>
      </w:tr>
      <w:tr w14:paraId="3CA31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105C685">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7</w:t>
            </w:r>
          </w:p>
        </w:tc>
        <w:tc>
          <w:tcPr>
            <w:tcW w:w="1153" w:type="dxa"/>
            <w:tcBorders>
              <w:top w:val="single" w:color="auto" w:sz="4" w:space="0"/>
              <w:left w:val="single" w:color="auto" w:sz="4" w:space="0"/>
              <w:bottom w:val="single" w:color="auto" w:sz="4" w:space="0"/>
              <w:right w:val="single" w:color="auto" w:sz="4" w:space="0"/>
            </w:tcBorders>
            <w:vAlign w:val="center"/>
          </w:tcPr>
          <w:p w14:paraId="065C3871">
            <w:pPr>
              <w:bidi w:val="0"/>
              <w:rPr>
                <w:rFonts w:hint="default"/>
                <w:color w:val="auto"/>
                <w:sz w:val="21"/>
                <w:szCs w:val="21"/>
                <w:highlight w:val="none"/>
                <w:lang w:val="en-US" w:eastAsia="zh-CN"/>
              </w:rPr>
            </w:pPr>
            <w:r>
              <w:rPr>
                <w:rFonts w:hint="eastAsia"/>
                <w:color w:val="auto"/>
                <w:sz w:val="21"/>
                <w:szCs w:val="21"/>
                <w:highlight w:val="none"/>
                <w:lang w:val="en-US" w:eastAsia="zh-CN"/>
              </w:rPr>
              <w:t>技术参数响应</w:t>
            </w:r>
          </w:p>
        </w:tc>
        <w:tc>
          <w:tcPr>
            <w:tcW w:w="875" w:type="dxa"/>
            <w:tcBorders>
              <w:top w:val="single" w:color="auto" w:sz="4" w:space="0"/>
              <w:left w:val="single" w:color="auto" w:sz="4" w:space="0"/>
              <w:bottom w:val="single" w:color="auto" w:sz="4" w:space="0"/>
              <w:right w:val="single" w:color="auto" w:sz="4" w:space="0"/>
            </w:tcBorders>
            <w:vAlign w:val="center"/>
          </w:tcPr>
          <w:p w14:paraId="25B4C3C8">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19分</w:t>
            </w:r>
          </w:p>
        </w:tc>
        <w:tc>
          <w:tcPr>
            <w:tcW w:w="6537" w:type="dxa"/>
            <w:tcBorders>
              <w:top w:val="single" w:color="auto" w:sz="4" w:space="0"/>
              <w:left w:val="single" w:color="auto" w:sz="4" w:space="0"/>
              <w:bottom w:val="single" w:color="auto" w:sz="4" w:space="0"/>
              <w:right w:val="single" w:color="auto" w:sz="4" w:space="0"/>
            </w:tcBorders>
            <w:vAlign w:val="center"/>
          </w:tcPr>
          <w:p w14:paraId="41AD7229">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根据供应商针对本项目技术需求中非“▲”项运维服务内容要求参数，参数中每有1小项不满足或偏离的扣1分,扣完为止。</w:t>
            </w:r>
          </w:p>
          <w:p w14:paraId="3CA76112">
            <w:pPr>
              <w:bidi w:val="0"/>
              <w:rPr>
                <w:rFonts w:hint="default"/>
                <w:color w:val="auto"/>
                <w:sz w:val="21"/>
                <w:szCs w:val="21"/>
                <w:highlight w:val="none"/>
                <w:lang w:val="en-US" w:eastAsia="zh-CN"/>
              </w:rPr>
            </w:pPr>
            <w:r>
              <w:rPr>
                <w:rFonts w:hint="eastAsia"/>
                <w:color w:val="auto"/>
                <w:sz w:val="21"/>
                <w:szCs w:val="21"/>
                <w:highlight w:val="none"/>
                <w:lang w:val="en-US" w:eastAsia="zh-CN"/>
              </w:rPr>
              <w:t>须提供：与技术参数相关的证明材料（如产品检测报告或鉴定证书或制造商产品彩页或制造商官网截图或制造商技术白皮书或制造商产品说明书或彩色实物照片等证明材料，不提供或不清楚或不准确，不予认可）。</w:t>
            </w:r>
          </w:p>
        </w:tc>
      </w:tr>
      <w:tr w14:paraId="0B495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4F31BE3">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1153" w:type="dxa"/>
            <w:tcBorders>
              <w:top w:val="single" w:color="auto" w:sz="4" w:space="0"/>
              <w:left w:val="single" w:color="auto" w:sz="4" w:space="0"/>
              <w:bottom w:val="single" w:color="auto" w:sz="4" w:space="0"/>
              <w:right w:val="single" w:color="auto" w:sz="4" w:space="0"/>
            </w:tcBorders>
            <w:vAlign w:val="center"/>
          </w:tcPr>
          <w:p w14:paraId="15FB952E">
            <w:pPr>
              <w:bidi w:val="0"/>
              <w:rPr>
                <w:rFonts w:hint="default"/>
                <w:color w:val="auto"/>
                <w:sz w:val="21"/>
                <w:szCs w:val="21"/>
                <w:highlight w:val="none"/>
                <w:lang w:val="en-US" w:eastAsia="zh-CN"/>
              </w:rPr>
            </w:pPr>
            <w:r>
              <w:rPr>
                <w:rFonts w:hint="eastAsia"/>
                <w:color w:val="auto"/>
                <w:sz w:val="21"/>
                <w:szCs w:val="21"/>
                <w:highlight w:val="none"/>
                <w:lang w:val="en-US" w:eastAsia="zh-CN"/>
              </w:rPr>
              <w:t>“▲”技术参数响应</w:t>
            </w:r>
          </w:p>
        </w:tc>
        <w:tc>
          <w:tcPr>
            <w:tcW w:w="875" w:type="dxa"/>
            <w:tcBorders>
              <w:top w:val="single" w:color="auto" w:sz="4" w:space="0"/>
              <w:left w:val="single" w:color="auto" w:sz="4" w:space="0"/>
              <w:bottom w:val="single" w:color="auto" w:sz="4" w:space="0"/>
              <w:right w:val="single" w:color="auto" w:sz="4" w:space="0"/>
            </w:tcBorders>
            <w:vAlign w:val="center"/>
          </w:tcPr>
          <w:p w14:paraId="4B650338">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5分</w:t>
            </w:r>
          </w:p>
        </w:tc>
        <w:tc>
          <w:tcPr>
            <w:tcW w:w="6537" w:type="dxa"/>
            <w:tcBorders>
              <w:top w:val="single" w:color="auto" w:sz="4" w:space="0"/>
              <w:left w:val="single" w:color="auto" w:sz="4" w:space="0"/>
              <w:bottom w:val="single" w:color="auto" w:sz="4" w:space="0"/>
              <w:right w:val="single" w:color="auto" w:sz="4" w:space="0"/>
            </w:tcBorders>
            <w:vAlign w:val="center"/>
          </w:tcPr>
          <w:p w14:paraId="798104CC">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根据供应商针对本项目技术需求中“▲”项服运维服务内容性能满足基础参数要求的无偏离或正偏离，每项增加1分，满分5分。</w:t>
            </w:r>
          </w:p>
          <w:p w14:paraId="56F60358">
            <w:pPr>
              <w:bidi w:val="0"/>
              <w:rPr>
                <w:rFonts w:hint="default"/>
                <w:color w:val="auto"/>
                <w:sz w:val="21"/>
                <w:szCs w:val="21"/>
                <w:highlight w:val="none"/>
                <w:lang w:val="en-US" w:eastAsia="zh-CN"/>
              </w:rPr>
            </w:pPr>
            <w:r>
              <w:rPr>
                <w:rFonts w:hint="eastAsia"/>
                <w:color w:val="auto"/>
                <w:sz w:val="21"/>
                <w:szCs w:val="21"/>
                <w:highlight w:val="none"/>
                <w:lang w:val="en-US" w:eastAsia="zh-CN"/>
              </w:rPr>
              <w:t>须提供：国家级权威机构出具检测报告或测评证书等相关证明材料，不提供或不清楚或不准确，不予认可。</w:t>
            </w:r>
          </w:p>
        </w:tc>
      </w:tr>
      <w:tr w14:paraId="5737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21DD991">
            <w:pPr>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1153" w:type="dxa"/>
            <w:tcBorders>
              <w:top w:val="single" w:color="auto" w:sz="4" w:space="0"/>
              <w:left w:val="single" w:color="auto" w:sz="4" w:space="0"/>
              <w:bottom w:val="single" w:color="auto" w:sz="4" w:space="0"/>
              <w:right w:val="single" w:color="auto" w:sz="4" w:space="0"/>
            </w:tcBorders>
            <w:vAlign w:val="center"/>
          </w:tcPr>
          <w:p w14:paraId="12A49E6E">
            <w:pPr>
              <w:bidi w:val="0"/>
              <w:rPr>
                <w:rFonts w:hint="default"/>
                <w:color w:val="auto"/>
                <w:sz w:val="21"/>
                <w:szCs w:val="21"/>
                <w:highlight w:val="none"/>
                <w:lang w:val="en-US" w:eastAsia="zh-CN"/>
              </w:rPr>
            </w:pPr>
            <w:r>
              <w:rPr>
                <w:rFonts w:hint="eastAsia"/>
                <w:color w:val="auto"/>
                <w:sz w:val="21"/>
                <w:szCs w:val="21"/>
                <w:highlight w:val="none"/>
                <w:lang w:val="en-US" w:eastAsia="zh-CN"/>
              </w:rPr>
              <w:t>售后服务保障</w:t>
            </w:r>
          </w:p>
        </w:tc>
        <w:tc>
          <w:tcPr>
            <w:tcW w:w="875" w:type="dxa"/>
            <w:tcBorders>
              <w:top w:val="single" w:color="auto" w:sz="4" w:space="0"/>
              <w:left w:val="single" w:color="auto" w:sz="4" w:space="0"/>
              <w:bottom w:val="single" w:color="auto" w:sz="4" w:space="0"/>
              <w:right w:val="single" w:color="auto" w:sz="4" w:space="0"/>
            </w:tcBorders>
            <w:vAlign w:val="center"/>
          </w:tcPr>
          <w:p w14:paraId="6EFF6BA0">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6537" w:type="dxa"/>
            <w:tcBorders>
              <w:top w:val="single" w:color="auto" w:sz="4" w:space="0"/>
              <w:left w:val="single" w:color="auto" w:sz="4" w:space="0"/>
              <w:bottom w:val="single" w:color="auto" w:sz="4" w:space="0"/>
              <w:right w:val="single" w:color="auto" w:sz="4" w:space="0"/>
            </w:tcBorders>
            <w:vAlign w:val="center"/>
          </w:tcPr>
          <w:p w14:paraId="2EC83D3D">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根据供应商针对本项目提供：</w:t>
            </w:r>
          </w:p>
          <w:p w14:paraId="2C5195E7">
            <w:pPr>
              <w:bidi w:val="0"/>
              <w:rPr>
                <w:rFonts w:hint="eastAsia"/>
                <w:color w:val="auto"/>
                <w:sz w:val="21"/>
                <w:szCs w:val="21"/>
                <w:highlight w:val="none"/>
                <w:lang w:val="en-US" w:eastAsia="zh-CN"/>
              </w:rPr>
            </w:pPr>
            <w:r>
              <w:rPr>
                <w:rFonts w:hint="eastAsia"/>
                <w:color w:val="auto"/>
                <w:sz w:val="21"/>
                <w:szCs w:val="21"/>
                <w:highlight w:val="none"/>
                <w:lang w:val="en-US" w:eastAsia="zh-CN"/>
              </w:rPr>
              <w:t>①项目质量的保障措施方案，能够持续提供完整、优质后续服务（1分）；</w:t>
            </w:r>
          </w:p>
          <w:p w14:paraId="308C1D1B">
            <w:pPr>
              <w:bidi w:val="0"/>
              <w:rPr>
                <w:rFonts w:hint="eastAsia"/>
                <w:color w:val="auto"/>
                <w:sz w:val="21"/>
                <w:szCs w:val="21"/>
                <w:highlight w:val="none"/>
                <w:lang w:val="en-US" w:eastAsia="zh-CN"/>
              </w:rPr>
            </w:pPr>
            <w:r>
              <w:rPr>
                <w:rFonts w:hint="eastAsia"/>
                <w:color w:val="auto"/>
                <w:sz w:val="21"/>
                <w:szCs w:val="21"/>
                <w:highlight w:val="none"/>
                <w:lang w:val="en-US" w:eastAsia="zh-CN"/>
              </w:rPr>
              <w:t>②工作安排满足任务要求，进度安排合理（1分）。</w:t>
            </w:r>
          </w:p>
          <w:p w14:paraId="45A8F3B9">
            <w:pPr>
              <w:bidi w:val="0"/>
              <w:rPr>
                <w:rFonts w:hint="eastAsia"/>
                <w:color w:val="auto"/>
                <w:sz w:val="21"/>
                <w:szCs w:val="21"/>
                <w:highlight w:val="none"/>
                <w:lang w:val="en-US" w:eastAsia="zh-CN"/>
              </w:rPr>
            </w:pPr>
            <w:r>
              <w:rPr>
                <w:rFonts w:hint="eastAsia"/>
                <w:color w:val="auto"/>
                <w:sz w:val="21"/>
                <w:szCs w:val="21"/>
                <w:highlight w:val="none"/>
                <w:lang w:val="en-US" w:eastAsia="zh-CN"/>
              </w:rPr>
              <w:t>每缺少一项扣1分，内容存在明显错误或缺陷则该小项扣0.5分，扣完为止。</w:t>
            </w:r>
          </w:p>
          <w:p w14:paraId="380A191F">
            <w:pPr>
              <w:bidi w:val="0"/>
              <w:rPr>
                <w:rFonts w:hint="eastAsia"/>
                <w:color w:val="auto"/>
                <w:sz w:val="21"/>
                <w:szCs w:val="21"/>
                <w:highlight w:val="none"/>
                <w:lang w:val="en-US" w:eastAsia="zh-CN"/>
              </w:rPr>
            </w:pPr>
            <w:r>
              <w:rPr>
                <w:rFonts w:hint="eastAsia"/>
                <w:color w:val="auto"/>
                <w:sz w:val="21"/>
                <w:szCs w:val="21"/>
                <w:highlight w:val="none"/>
                <w:lang w:val="en-US" w:eastAsia="zh-CN"/>
              </w:rPr>
              <w:t>注：凡出现以下任一情形，即认定对应分析内容存在错误或缺陷：①方案生搬硬套，与实际情况明显不符；②或存在与项目明显无关的文字内容；③或内容与招标文件明确要求的采购范围、地点、规模等实际情况明显不符；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p>
        </w:tc>
      </w:tr>
      <w:tr w14:paraId="58C7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C9ECC6">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153" w:type="dxa"/>
            <w:tcBorders>
              <w:top w:val="single" w:color="auto" w:sz="4" w:space="0"/>
              <w:left w:val="single" w:color="auto" w:sz="4" w:space="0"/>
              <w:bottom w:val="single" w:color="auto" w:sz="4" w:space="0"/>
              <w:right w:val="single" w:color="auto" w:sz="4" w:space="0"/>
            </w:tcBorders>
            <w:vAlign w:val="center"/>
          </w:tcPr>
          <w:p w14:paraId="6E5B024E">
            <w:pPr>
              <w:bidi w:val="0"/>
              <w:rPr>
                <w:rFonts w:hint="default"/>
                <w:color w:val="auto"/>
                <w:sz w:val="21"/>
                <w:szCs w:val="21"/>
                <w:highlight w:val="none"/>
                <w:lang w:val="en-US" w:eastAsia="zh-CN"/>
              </w:rPr>
            </w:pPr>
            <w:r>
              <w:rPr>
                <w:rFonts w:hint="eastAsia"/>
                <w:color w:val="auto"/>
                <w:sz w:val="21"/>
                <w:szCs w:val="21"/>
                <w:highlight w:val="none"/>
                <w:lang w:val="en-US" w:eastAsia="zh-CN"/>
              </w:rPr>
              <w:t>保密方案</w:t>
            </w:r>
          </w:p>
        </w:tc>
        <w:tc>
          <w:tcPr>
            <w:tcW w:w="875" w:type="dxa"/>
            <w:tcBorders>
              <w:top w:val="single" w:color="auto" w:sz="4" w:space="0"/>
              <w:left w:val="single" w:color="auto" w:sz="4" w:space="0"/>
              <w:bottom w:val="single" w:color="auto" w:sz="4" w:space="0"/>
              <w:right w:val="single" w:color="auto" w:sz="4" w:space="0"/>
            </w:tcBorders>
            <w:vAlign w:val="center"/>
          </w:tcPr>
          <w:p w14:paraId="6B1F3EEA">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6537" w:type="dxa"/>
            <w:tcBorders>
              <w:top w:val="single" w:color="auto" w:sz="4" w:space="0"/>
              <w:left w:val="single" w:color="auto" w:sz="4" w:space="0"/>
              <w:bottom w:val="single" w:color="auto" w:sz="4" w:space="0"/>
              <w:right w:val="single" w:color="auto" w:sz="4" w:space="0"/>
            </w:tcBorders>
            <w:vAlign w:val="center"/>
          </w:tcPr>
          <w:p w14:paraId="09B8E562">
            <w:pPr>
              <w:bidi w:val="0"/>
              <w:rPr>
                <w:rFonts w:hint="eastAsia"/>
                <w:color w:val="auto"/>
                <w:sz w:val="21"/>
                <w:szCs w:val="21"/>
                <w:highlight w:val="none"/>
                <w:lang w:val="en-US" w:eastAsia="zh-CN"/>
              </w:rPr>
            </w:pPr>
            <w:r>
              <w:rPr>
                <w:rFonts w:hint="eastAsia"/>
                <w:color w:val="auto"/>
                <w:sz w:val="21"/>
                <w:szCs w:val="21"/>
                <w:highlight w:val="none"/>
                <w:lang w:val="en-US" w:eastAsia="zh-CN"/>
              </w:rPr>
              <w:t>根据供应商针对本项目提交服务安全保密方案，保证信息不外泄且保密措施完善、保密方案安全度高，知悉范围（项目参与人员）人数在20人内的得2分，保密方案及措施有缺失悉范围人数大于20人的得1分，未提供或有泄密风险得0分。</w:t>
            </w:r>
          </w:p>
        </w:tc>
      </w:tr>
      <w:bookmarkEnd w:id="174"/>
    </w:tbl>
    <w:p w14:paraId="0900889E">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C8B7B47">
      <w:pPr>
        <w:pStyle w:val="23"/>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报价部分评分标准（</w:t>
      </w:r>
      <w:r>
        <w:rPr>
          <w:rFonts w:hint="eastAsia" w:ascii="宋体" w:hAnsi="宋体" w:cs="宋体"/>
          <w:b/>
          <w:bCs/>
          <w:color w:val="auto"/>
          <w:sz w:val="24"/>
          <w:highlight w:val="none"/>
          <w:lang w:val="en-US" w:eastAsia="zh-CN"/>
        </w:rPr>
        <w:t>30</w:t>
      </w:r>
      <w:r>
        <w:rPr>
          <w:rFonts w:hint="eastAsia" w:ascii="宋体" w:hAnsi="宋体" w:eastAsia="宋体" w:cs="宋体"/>
          <w:b/>
          <w:bCs/>
          <w:color w:val="auto"/>
          <w:sz w:val="24"/>
          <w:highlight w:val="none"/>
        </w:rPr>
        <w:t>分）</w:t>
      </w:r>
    </w:p>
    <w:tbl>
      <w:tblPr>
        <w:tblStyle w:val="3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29"/>
        <w:gridCol w:w="6518"/>
      </w:tblGrid>
      <w:tr w14:paraId="148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0" w:type="dxa"/>
            <w:vAlign w:val="center"/>
          </w:tcPr>
          <w:p w14:paraId="244CC49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429" w:type="dxa"/>
            <w:vAlign w:val="center"/>
          </w:tcPr>
          <w:p w14:paraId="45853AC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w:t>
            </w:r>
            <w:r>
              <w:rPr>
                <w:rFonts w:hint="eastAsia" w:ascii="宋体" w:hAnsi="宋体" w:eastAsia="宋体" w:cs="宋体"/>
                <w:b/>
                <w:bCs/>
                <w:color w:val="auto"/>
                <w:sz w:val="21"/>
                <w:szCs w:val="21"/>
                <w:highlight w:val="none"/>
                <w:lang w:val="en-US" w:eastAsia="zh-CN"/>
              </w:rPr>
              <w:t>审</w:t>
            </w:r>
            <w:r>
              <w:rPr>
                <w:rFonts w:hint="eastAsia" w:ascii="宋体" w:hAnsi="宋体" w:eastAsia="宋体" w:cs="宋体"/>
                <w:b/>
                <w:bCs/>
                <w:color w:val="auto"/>
                <w:sz w:val="21"/>
                <w:szCs w:val="21"/>
                <w:highlight w:val="none"/>
                <w:lang w:val="zh-CN"/>
              </w:rPr>
              <w:t>项目</w:t>
            </w:r>
          </w:p>
        </w:tc>
        <w:tc>
          <w:tcPr>
            <w:tcW w:w="6518" w:type="dxa"/>
            <w:vAlign w:val="center"/>
          </w:tcPr>
          <w:p w14:paraId="6FCF9745">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w:t>
            </w:r>
            <w:r>
              <w:rPr>
                <w:rFonts w:hint="eastAsia" w:ascii="宋体" w:hAnsi="宋体" w:eastAsia="宋体" w:cs="宋体"/>
                <w:b/>
                <w:bCs/>
                <w:color w:val="auto"/>
                <w:sz w:val="21"/>
                <w:szCs w:val="21"/>
                <w:highlight w:val="none"/>
                <w:lang w:val="en-US" w:eastAsia="zh-CN"/>
              </w:rPr>
              <w:t>审</w:t>
            </w:r>
            <w:r>
              <w:rPr>
                <w:rFonts w:hint="eastAsia" w:ascii="宋体" w:hAnsi="宋体" w:eastAsia="宋体" w:cs="宋体"/>
                <w:b/>
                <w:bCs/>
                <w:color w:val="auto"/>
                <w:sz w:val="21"/>
                <w:szCs w:val="21"/>
                <w:highlight w:val="none"/>
                <w:lang w:val="zh-CN"/>
              </w:rPr>
              <w:t>标准</w:t>
            </w:r>
          </w:p>
        </w:tc>
      </w:tr>
      <w:tr w14:paraId="0692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0" w:type="dxa"/>
            <w:vAlign w:val="center"/>
          </w:tcPr>
          <w:p w14:paraId="24ABE8CD">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w:t>
            </w:r>
          </w:p>
        </w:tc>
        <w:tc>
          <w:tcPr>
            <w:tcW w:w="1429" w:type="dxa"/>
            <w:vAlign w:val="center"/>
          </w:tcPr>
          <w:p w14:paraId="5D68032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rPr>
              <w:t>报价</w:t>
            </w:r>
          </w:p>
        </w:tc>
        <w:tc>
          <w:tcPr>
            <w:tcW w:w="6518" w:type="dxa"/>
            <w:vAlign w:val="center"/>
          </w:tcPr>
          <w:p w14:paraId="0048856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价格分统一采用</w:t>
            </w:r>
            <w:r>
              <w:rPr>
                <w:rFonts w:hint="eastAsia" w:ascii="宋体" w:hAnsi="宋体" w:eastAsia="宋体" w:cs="宋体"/>
                <w:color w:val="auto"/>
                <w:sz w:val="21"/>
                <w:szCs w:val="21"/>
                <w:highlight w:val="none"/>
                <w:lang w:eastAsia="zh-CN"/>
              </w:rPr>
              <w:t>低价</w:t>
            </w:r>
            <w:r>
              <w:rPr>
                <w:rFonts w:hint="eastAsia" w:ascii="宋体" w:hAnsi="宋体" w:eastAsia="宋体" w:cs="宋体"/>
                <w:color w:val="auto"/>
                <w:sz w:val="21"/>
                <w:szCs w:val="21"/>
                <w:highlight w:val="none"/>
                <w:lang w:val="zh-CN" w:eastAsia="zh-CN"/>
              </w:rPr>
              <w:t>优先法计算，即满足招标文件要求且投标单价合计金额最低</w:t>
            </w:r>
            <w:r>
              <w:rPr>
                <w:rFonts w:hint="eastAsia" w:ascii="宋体" w:hAnsi="宋体" w:eastAsia="宋体" w:cs="宋体"/>
                <w:color w:val="auto"/>
                <w:sz w:val="21"/>
                <w:szCs w:val="21"/>
                <w:highlight w:val="none"/>
                <w:lang w:val="en-US" w:eastAsia="zh-CN"/>
              </w:rPr>
              <w:t>的投标</w:t>
            </w:r>
            <w:r>
              <w:rPr>
                <w:rFonts w:hint="eastAsia" w:ascii="宋体" w:hAnsi="宋体" w:eastAsia="宋体" w:cs="宋体"/>
                <w:color w:val="auto"/>
                <w:sz w:val="21"/>
                <w:szCs w:val="21"/>
                <w:highlight w:val="none"/>
                <w:lang w:val="zh-CN" w:eastAsia="zh-CN"/>
              </w:rPr>
              <w:t>报价为评标基准价，其价格分为满分；</w:t>
            </w:r>
          </w:p>
          <w:p w14:paraId="7800066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其他投标人的价格分统一按照下列公式计算：</w:t>
            </w:r>
          </w:p>
          <w:p w14:paraId="2065C05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投标报价得分=（评标基准价/投标报价）×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0；</w:t>
            </w:r>
          </w:p>
          <w:p w14:paraId="4D38D521">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项目评审过程中，不得去掉最后报价中的最高报价和最低报价。</w:t>
            </w:r>
          </w:p>
        </w:tc>
      </w:tr>
      <w:tr w14:paraId="7D99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0" w:type="dxa"/>
            <w:vMerge w:val="restart"/>
            <w:vAlign w:val="center"/>
          </w:tcPr>
          <w:p w14:paraId="7DB07381">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政府采购政策</w:t>
            </w:r>
            <w:r>
              <w:rPr>
                <w:rFonts w:hint="eastAsia" w:ascii="宋体" w:hAnsi="宋体" w:eastAsia="宋体" w:cs="宋体"/>
                <w:color w:val="auto"/>
                <w:sz w:val="21"/>
                <w:szCs w:val="21"/>
                <w:highlight w:val="none"/>
                <w:lang w:val="en-US" w:eastAsia="zh-CN"/>
              </w:rPr>
              <w:t>说明</w:t>
            </w:r>
          </w:p>
        </w:tc>
        <w:tc>
          <w:tcPr>
            <w:tcW w:w="1429" w:type="dxa"/>
            <w:vMerge w:val="restart"/>
            <w:vAlign w:val="center"/>
          </w:tcPr>
          <w:p w14:paraId="0C1D1919">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w:t>
            </w:r>
          </w:p>
        </w:tc>
        <w:tc>
          <w:tcPr>
            <w:tcW w:w="6518" w:type="dxa"/>
            <w:vAlign w:val="center"/>
          </w:tcPr>
          <w:p w14:paraId="079D5E2B">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工信部等部委发布的《关于印发中小企业划型标准规定的通知》（工信部联企业〔2011〕300号），按照本次政府采购标的所属行业的划型标准（招标文件载明的行业），符合条件的中小企业须提供招标文件提供格式的《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0AF9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0" w:type="dxa"/>
            <w:vMerge w:val="continue"/>
            <w:vAlign w:val="center"/>
          </w:tcPr>
          <w:p w14:paraId="779DE0E5">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p>
        </w:tc>
        <w:tc>
          <w:tcPr>
            <w:tcW w:w="1429" w:type="dxa"/>
            <w:vMerge w:val="continue"/>
            <w:vAlign w:val="center"/>
          </w:tcPr>
          <w:p w14:paraId="6D7FBACD">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p>
        </w:tc>
        <w:tc>
          <w:tcPr>
            <w:tcW w:w="6518" w:type="dxa"/>
            <w:vAlign w:val="center"/>
          </w:tcPr>
          <w:p w14:paraId="13C78B8F">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或《残疾人福利性单位声明函》或省级以上监狱管理局、戒毒管理局（含新疆生产建设兵团）出具的属于监狱企业的证明文件的供应商，对于预留份额的政府采购项目，不执行价格评审政策优惠。</w:t>
            </w:r>
          </w:p>
        </w:tc>
      </w:tr>
      <w:tr w14:paraId="09F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0" w:type="dxa"/>
            <w:vMerge w:val="continue"/>
            <w:vAlign w:val="center"/>
          </w:tcPr>
          <w:p w14:paraId="78BF39E5">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p>
        </w:tc>
        <w:tc>
          <w:tcPr>
            <w:tcW w:w="1429" w:type="dxa"/>
            <w:vAlign w:val="center"/>
          </w:tcPr>
          <w:p w14:paraId="5FE95D50">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w:t>
            </w:r>
          </w:p>
        </w:tc>
        <w:tc>
          <w:tcPr>
            <w:tcW w:w="6518" w:type="dxa"/>
            <w:vAlign w:val="center"/>
          </w:tcPr>
          <w:p w14:paraId="737EB708">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财库〔2014〕68号《财政部司法部关于政府采购支持监狱企业发展有关问题的通知》，能够提供由省级以上监狱管理局、戒毒管理局（含新疆生产建设兵团）出具的“属于监狱企业的证明文件”的监狱企业，视同小型、微型企业，享受预留份额、评审中价格扣除等政府采购促进中小企业发展的政府采购政策。向监狱企业采购的金额，计入面向中小企业采购的统计数据。</w:t>
            </w:r>
          </w:p>
        </w:tc>
      </w:tr>
      <w:tr w14:paraId="2612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0" w:type="dxa"/>
            <w:vMerge w:val="continue"/>
            <w:vAlign w:val="center"/>
          </w:tcPr>
          <w:p w14:paraId="44037D6F">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p>
        </w:tc>
        <w:tc>
          <w:tcPr>
            <w:tcW w:w="1429" w:type="dxa"/>
            <w:vAlign w:val="center"/>
          </w:tcPr>
          <w:p w14:paraId="7CF4AE58">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福利企业</w:t>
            </w:r>
          </w:p>
        </w:tc>
        <w:tc>
          <w:tcPr>
            <w:tcW w:w="6518" w:type="dxa"/>
            <w:vAlign w:val="center"/>
          </w:tcPr>
          <w:p w14:paraId="2BAD33F7">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财库〔2017〕141号《财政部民政部中国残疾人联合会关于促进残疾人就业政府采购政策的通知》，符合享受政府采购支持政策的残疾人福利性单位条件且提供自拟格式的《残疾人福利性单位声明函》的残疾人福利性单位，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3F39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0" w:type="dxa"/>
            <w:vMerge w:val="continue"/>
            <w:vAlign w:val="center"/>
          </w:tcPr>
          <w:p w14:paraId="181369B4">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1"/>
                <w:szCs w:val="21"/>
                <w:highlight w:val="none"/>
              </w:rPr>
            </w:pPr>
          </w:p>
        </w:tc>
        <w:tc>
          <w:tcPr>
            <w:tcW w:w="1429" w:type="dxa"/>
            <w:vAlign w:val="center"/>
          </w:tcPr>
          <w:p w14:paraId="0A8D8964">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特别说明</w:t>
            </w:r>
          </w:p>
        </w:tc>
        <w:tc>
          <w:tcPr>
            <w:tcW w:w="6518" w:type="dxa"/>
            <w:vAlign w:val="center"/>
          </w:tcPr>
          <w:p w14:paraId="7697D5A9">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预留份额的政府采购项目，不执行价格评审政策优惠。</w:t>
            </w:r>
          </w:p>
        </w:tc>
      </w:tr>
      <w:bookmarkEnd w:id="167"/>
      <w:bookmarkEnd w:id="168"/>
    </w:tbl>
    <w:p w14:paraId="6FB3F8B1">
      <w:pPr>
        <w:pStyle w:val="3"/>
        <w:spacing w:before="0" w:after="0" w:line="360" w:lineRule="auto"/>
        <w:ind w:firstLine="422" w:firstLineChars="200"/>
        <w:rPr>
          <w:rFonts w:ascii="宋体" w:hAnsi="宋体" w:eastAsia="宋体" w:cs="宋体"/>
          <w:color w:val="auto"/>
          <w:sz w:val="21"/>
          <w:szCs w:val="21"/>
          <w:highlight w:val="none"/>
        </w:rPr>
      </w:pPr>
      <w:bookmarkStart w:id="175" w:name="_Toc8932"/>
      <w:r>
        <w:rPr>
          <w:rFonts w:hint="eastAsia" w:ascii="宋体" w:hAnsi="宋体" w:eastAsia="宋体" w:cs="宋体"/>
          <w:color w:val="auto"/>
          <w:sz w:val="21"/>
          <w:szCs w:val="21"/>
          <w:highlight w:val="none"/>
        </w:rPr>
        <w:t>5. 采购终止</w:t>
      </w:r>
    </w:p>
    <w:p w14:paraId="471DB6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采购人、采购代理机构在发布招标公告后，除因重大变故采购任务取消情况外，不得擅自终止招标活动。</w:t>
      </w:r>
    </w:p>
    <w:p w14:paraId="6CD18C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终止招标的，采购人或者采购代理机构应当及时在原公告发布媒体上发布终止公告，以书面形式通知已经获取采购文件的投标人，并将项目实施情况和采购任务取消原因报告采购主管部门。已经收取采购文件费用或者投标保证金的，采购人或者采购代理机构应当在终止采购活动后5个工作日内，</w:t>
      </w:r>
      <w:r>
        <w:rPr>
          <w:rFonts w:hint="eastAsia" w:ascii="宋体" w:hAnsi="宋体" w:eastAsia="宋体" w:cs="宋体"/>
          <w:color w:val="auto"/>
          <w:sz w:val="21"/>
          <w:szCs w:val="21"/>
          <w:highlight w:val="none"/>
        </w:rPr>
        <w:t>退还所收取的</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费用和所收取的投标保证金及其在银行产生的孳息。</w:t>
      </w:r>
    </w:p>
    <w:p w14:paraId="7E46A43D">
      <w:pPr>
        <w:pStyle w:val="3"/>
        <w:spacing w:before="0" w:after="0"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bookmarkStart w:id="176" w:name="_Toc217446061"/>
      <w:r>
        <w:rPr>
          <w:rFonts w:hint="eastAsia" w:ascii="宋体" w:hAnsi="宋体" w:eastAsia="宋体" w:cs="宋体"/>
          <w:color w:val="auto"/>
          <w:sz w:val="21"/>
          <w:szCs w:val="21"/>
          <w:highlight w:val="none"/>
        </w:rPr>
        <w:t>定标</w:t>
      </w:r>
    </w:p>
    <w:p w14:paraId="4297A22D">
      <w:pPr>
        <w:spacing w:line="360" w:lineRule="auto"/>
        <w:ind w:firstLine="420" w:firstLineChars="200"/>
        <w:rPr>
          <w:rFonts w:ascii="宋体" w:hAnsi="宋体" w:cs="宋体"/>
          <w:color w:val="auto"/>
          <w:sz w:val="20"/>
          <w:szCs w:val="20"/>
          <w:highlight w:val="none"/>
        </w:rPr>
      </w:pPr>
      <w:r>
        <w:rPr>
          <w:rFonts w:hint="eastAsia" w:ascii="宋体" w:hAnsi="宋体" w:cs="宋体"/>
          <w:color w:val="auto"/>
          <w:szCs w:val="21"/>
          <w:highlight w:val="none"/>
        </w:rPr>
        <w:t>6.1. 定标原则</w:t>
      </w:r>
      <w:bookmarkEnd w:id="176"/>
      <w:r>
        <w:rPr>
          <w:rFonts w:hint="eastAsia" w:ascii="宋体" w:hAnsi="宋体" w:cs="宋体"/>
          <w:color w:val="auto"/>
          <w:szCs w:val="21"/>
          <w:highlight w:val="none"/>
        </w:rPr>
        <w:t>：</w:t>
      </w:r>
      <w:r>
        <w:rPr>
          <w:rFonts w:hint="eastAsia" w:ascii="宋体" w:hAnsi="宋体" w:cs="宋体"/>
          <w:color w:val="auto"/>
          <w:sz w:val="22"/>
          <w:szCs w:val="22"/>
          <w:highlight w:val="none"/>
        </w:rPr>
        <w:t>本项目根据评标委员会推荐的中标候选人名单，按顺序确定中标人。</w:t>
      </w:r>
    </w:p>
    <w:p w14:paraId="499EA288">
      <w:pPr>
        <w:spacing w:line="360" w:lineRule="auto"/>
        <w:ind w:firstLine="420" w:firstLineChars="200"/>
        <w:rPr>
          <w:rFonts w:ascii="宋体" w:hAnsi="宋体" w:cs="宋体"/>
          <w:color w:val="auto"/>
          <w:szCs w:val="21"/>
          <w:highlight w:val="none"/>
        </w:rPr>
      </w:pPr>
      <w:bookmarkStart w:id="177" w:name="_Toc217446062"/>
      <w:r>
        <w:rPr>
          <w:rFonts w:hint="eastAsia" w:ascii="宋体" w:hAnsi="宋体" w:cs="宋体"/>
          <w:color w:val="auto"/>
          <w:szCs w:val="21"/>
          <w:highlight w:val="none"/>
        </w:rPr>
        <w:t>6.2. 定标程序</w:t>
      </w:r>
      <w:bookmarkEnd w:id="177"/>
    </w:p>
    <w:p w14:paraId="267C22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 评标委员会将评审情况写出书面报告，推荐中标候选人，并按照综合得分高低标明排列顺序。本项目采用综合评分法，评审结果按评审后得分由高到低顺序排列。</w:t>
      </w:r>
      <w:r>
        <w:rPr>
          <w:rFonts w:hint="eastAsia" w:ascii="宋体" w:hAnsi="宋体" w:cs="宋体"/>
          <w:color w:val="auto"/>
          <w:szCs w:val="21"/>
          <w:highlight w:val="none"/>
          <w:shd w:val="clear" w:color="auto" w:fill="FAFAFA"/>
        </w:rPr>
        <w:t>评审得分相同的，按照</w:t>
      </w:r>
      <w:r>
        <w:rPr>
          <w:rFonts w:hint="eastAsia" w:ascii="宋体" w:hAnsi="宋体" w:cs="宋体"/>
          <w:color w:val="auto"/>
          <w:szCs w:val="21"/>
          <w:highlight w:val="none"/>
          <w:shd w:val="clear" w:color="auto" w:fill="FAFAFA"/>
          <w:lang w:val="en-US" w:eastAsia="zh-CN"/>
        </w:rPr>
        <w:t>投标</w:t>
      </w:r>
      <w:r>
        <w:rPr>
          <w:rFonts w:hint="eastAsia" w:ascii="宋体" w:hAnsi="宋体" w:cs="宋体"/>
          <w:color w:val="auto"/>
          <w:szCs w:val="21"/>
          <w:highlight w:val="none"/>
          <w:shd w:val="clear" w:color="auto" w:fill="FAFAFA"/>
        </w:rPr>
        <w:t>报价由</w:t>
      </w:r>
      <w:r>
        <w:rPr>
          <w:rFonts w:hint="eastAsia" w:ascii="宋体" w:hAnsi="宋体" w:cs="宋体"/>
          <w:color w:val="auto"/>
          <w:szCs w:val="21"/>
          <w:highlight w:val="none"/>
          <w:shd w:val="clear" w:color="auto" w:fill="FAFAFA"/>
          <w:lang w:val="en-US" w:eastAsia="zh-CN"/>
        </w:rPr>
        <w:t>低</w:t>
      </w:r>
      <w:r>
        <w:rPr>
          <w:rFonts w:hint="eastAsia" w:ascii="宋体" w:hAnsi="宋体" w:cs="宋体"/>
          <w:color w:val="auto"/>
          <w:szCs w:val="21"/>
          <w:highlight w:val="none"/>
          <w:shd w:val="clear" w:color="auto" w:fill="FAFAFA"/>
        </w:rPr>
        <w:t>到</w:t>
      </w:r>
      <w:r>
        <w:rPr>
          <w:rFonts w:hint="eastAsia" w:ascii="宋体" w:hAnsi="宋体" w:cs="宋体"/>
          <w:color w:val="auto"/>
          <w:szCs w:val="21"/>
          <w:highlight w:val="none"/>
          <w:shd w:val="clear" w:color="auto" w:fill="FAFAFA"/>
          <w:lang w:val="en-US" w:eastAsia="zh-CN"/>
        </w:rPr>
        <w:t>高</w:t>
      </w:r>
      <w:r>
        <w:rPr>
          <w:rFonts w:hint="eastAsia" w:ascii="宋体" w:hAnsi="宋体" w:cs="宋体"/>
          <w:color w:val="auto"/>
          <w:szCs w:val="21"/>
          <w:highlight w:val="none"/>
          <w:shd w:val="clear" w:color="auto" w:fill="FAFAFA"/>
        </w:rPr>
        <w:t>的顺序推荐。评审得分且</w:t>
      </w:r>
      <w:r>
        <w:rPr>
          <w:rFonts w:hint="eastAsia" w:ascii="宋体" w:hAnsi="宋体" w:cs="宋体"/>
          <w:color w:val="auto"/>
          <w:szCs w:val="21"/>
          <w:highlight w:val="none"/>
          <w:shd w:val="clear" w:color="auto" w:fill="FAFAFA"/>
          <w:lang w:val="en-US" w:eastAsia="zh-CN"/>
        </w:rPr>
        <w:t>投标</w:t>
      </w:r>
      <w:r>
        <w:rPr>
          <w:rFonts w:hint="eastAsia" w:ascii="宋体" w:hAnsi="宋体" w:cs="宋体"/>
          <w:color w:val="auto"/>
          <w:szCs w:val="21"/>
          <w:highlight w:val="none"/>
          <w:shd w:val="clear" w:color="auto" w:fill="FAFAFA"/>
        </w:rPr>
        <w:t>报价相同的，按照技术指标优劣顺序推荐</w:t>
      </w:r>
      <w:r>
        <w:rPr>
          <w:rFonts w:hint="eastAsia" w:ascii="宋体" w:hAnsi="宋体" w:cs="宋体"/>
          <w:color w:val="auto"/>
          <w:szCs w:val="21"/>
          <w:highlight w:val="none"/>
        </w:rPr>
        <w:t>。</w:t>
      </w:r>
    </w:p>
    <w:p w14:paraId="5E81EB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 采购代理机构在评审结束后两个工作日内将评审报告送至采购人。</w:t>
      </w:r>
    </w:p>
    <w:p w14:paraId="6A63A3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 采购人应当在收到评审报告后5个工作日内，从评审报告提出的中标候选人中按照排序由高到低的原则确定中标投标人</w:t>
      </w:r>
    </w:p>
    <w:p w14:paraId="4C699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 根据采购人确定的成交人，采购人在采购公告发布的媒体上发布中标公示，同时向中标人发出中标通知书。</w:t>
      </w:r>
    </w:p>
    <w:p w14:paraId="544C1D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 采购单位不退回投标文件和投标人的其他资料。</w:t>
      </w:r>
    </w:p>
    <w:p w14:paraId="7E201FFA">
      <w:pPr>
        <w:pStyle w:val="3"/>
        <w:spacing w:before="0" w:after="0" w:line="360" w:lineRule="auto"/>
        <w:ind w:firstLine="422" w:firstLineChars="200"/>
        <w:rPr>
          <w:rFonts w:ascii="宋体" w:hAnsi="宋体" w:eastAsia="宋体" w:cs="宋体"/>
          <w:bCs w:val="0"/>
          <w:color w:val="auto"/>
          <w:sz w:val="21"/>
          <w:szCs w:val="21"/>
          <w:highlight w:val="none"/>
        </w:rPr>
      </w:pPr>
      <w:bookmarkStart w:id="178" w:name="_Toc183582297"/>
      <w:bookmarkStart w:id="179" w:name="_Toc208849022"/>
      <w:bookmarkStart w:id="180" w:name="_Toc183682432"/>
      <w:bookmarkStart w:id="181" w:name="_Toc217446105"/>
      <w:r>
        <w:rPr>
          <w:rFonts w:hint="eastAsia" w:ascii="宋体" w:hAnsi="宋体" w:eastAsia="宋体" w:cs="宋体"/>
          <w:bCs w:val="0"/>
          <w:color w:val="auto"/>
          <w:sz w:val="21"/>
          <w:szCs w:val="21"/>
          <w:highlight w:val="none"/>
        </w:rPr>
        <w:t xml:space="preserve">7. </w:t>
      </w:r>
      <w:bookmarkEnd w:id="178"/>
      <w:bookmarkEnd w:id="179"/>
      <w:bookmarkEnd w:id="180"/>
      <w:bookmarkEnd w:id="181"/>
      <w:r>
        <w:rPr>
          <w:rFonts w:hint="eastAsia" w:ascii="宋体" w:hAnsi="宋体" w:eastAsia="宋体" w:cs="宋体"/>
          <w:color w:val="auto"/>
          <w:sz w:val="21"/>
          <w:szCs w:val="21"/>
          <w:highlight w:val="none"/>
        </w:rPr>
        <w:t>评审专家在采购活动中承担以下义务：</w:t>
      </w:r>
    </w:p>
    <w:p w14:paraId="7E39778C">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7.1 遵纪守法，客观、公正、廉洁地履行职责。</w:t>
      </w:r>
    </w:p>
    <w:p w14:paraId="1055CB30">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7.2 按照政府采购法律法规和招标文件的规定要求对投标人的资格条件和投标人提供的产品价格、技术、服务等方面严格进行评判，提供科学合理、公平公正的评审意见，参与起草评审报告，并予签字确认。</w:t>
      </w:r>
    </w:p>
    <w:p w14:paraId="7124F5AB">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7.3 保守秘密。不得透露投标情况，不得泄露投标人的投标文件及知悉的商业秘密，不得向投标人透露评审情况。</w:t>
      </w:r>
    </w:p>
    <w:p w14:paraId="37F862D3">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7.4 发现投标人在政府采购活动中有不正当竞争或恶意串通等违规行为，及时向政府采购评审工作的组织者或相关部门报告并加以制止。</w:t>
      </w:r>
    </w:p>
    <w:p w14:paraId="704E13BE">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7.5 解答有关方面对政府采购评审工作中有关问题的询问，配合采购人或者采购代理机构答复投标人质疑，配合相关部门的投诉处理工作等事宜。</w:t>
      </w:r>
    </w:p>
    <w:p w14:paraId="6B9A15A0">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7.6 法律、法规和规章规定的其他义务。</w:t>
      </w:r>
    </w:p>
    <w:p w14:paraId="776FC9EE">
      <w:pPr>
        <w:widowControl/>
        <w:autoSpaceDE w:val="0"/>
        <w:autoSpaceDN w:val="0"/>
        <w:spacing w:line="360" w:lineRule="auto"/>
        <w:ind w:firstLine="422" w:firstLineChars="200"/>
        <w:textAlignment w:val="bottom"/>
        <w:outlineLvl w:val="1"/>
        <w:rPr>
          <w:rFonts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color w:val="auto"/>
          <w:szCs w:val="21"/>
          <w:highlight w:val="none"/>
        </w:rPr>
        <w:t xml:space="preserve">. </w:t>
      </w:r>
      <w:r>
        <w:rPr>
          <w:rFonts w:hint="eastAsia" w:ascii="宋体" w:hAnsi="宋体" w:cs="宋体"/>
          <w:b/>
          <w:color w:val="auto"/>
          <w:szCs w:val="21"/>
          <w:highlight w:val="none"/>
        </w:rPr>
        <w:t>评审专家在采购活动中应当遵守以下工作纪律：</w:t>
      </w:r>
    </w:p>
    <w:p w14:paraId="1EC351EC">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8.1 应邀按时参加评审活动。遇特殊情况不能出席或途中遇阻不能按时参加评审的，应及时告知相关部门或者采购人或者采购代理机构，不得私自转托他人。</w:t>
      </w:r>
    </w:p>
    <w:p w14:paraId="3B793C40">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8.2 不得参加与自己有利害关系的采购项目的评审活动。对与自己有利害关系的评审项目，如受到邀请，应主动提出回避。相关部门、采购人或采购代理机构也可要求该评审专家回避。</w:t>
      </w:r>
    </w:p>
    <w:p w14:paraId="180F9266">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14:paraId="0B5124CD">
      <w:pPr>
        <w:widowControl/>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8.3 评审过程中关闭通讯设备，不得与外界联系。因发生不可预见情况，确实需要与外界联系的，应当有在场工作人员陪同。</w:t>
      </w:r>
    </w:p>
    <w:p w14:paraId="4F8F62E0">
      <w:pPr>
        <w:widowControl/>
        <w:autoSpaceDE w:val="0"/>
        <w:autoSpaceDN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8.4 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招标文件没有规定的方法和标准作为评审的依据；不得违反规定的评审格式评分和撰写评审意见；不得拒绝对自己的评审意见签字确认。</w:t>
      </w:r>
    </w:p>
    <w:p w14:paraId="2039BD18">
      <w:pPr>
        <w:widowControl/>
        <w:autoSpaceDE w:val="0"/>
        <w:autoSpaceDN w:val="0"/>
        <w:spacing w:line="360" w:lineRule="auto"/>
        <w:ind w:firstLine="482" w:firstLineChars="200"/>
        <w:jc w:val="center"/>
        <w:textAlignment w:val="bottom"/>
        <w:outlineLvl w:val="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br w:type="page"/>
      </w:r>
      <w:r>
        <w:rPr>
          <w:rFonts w:hint="eastAsia" w:ascii="宋体" w:hAnsi="宋体" w:eastAsia="宋体" w:cs="宋体"/>
          <w:b/>
          <w:bCs/>
          <w:color w:val="auto"/>
          <w:sz w:val="24"/>
          <w:highlight w:val="none"/>
        </w:rPr>
        <w:t>第六章  合同草案条款</w:t>
      </w:r>
      <w:bookmarkEnd w:id="175"/>
      <w:r>
        <w:rPr>
          <w:rFonts w:hint="eastAsia" w:ascii="宋体" w:hAnsi="宋体" w:eastAsia="宋体" w:cs="宋体"/>
          <w:b/>
          <w:bCs/>
          <w:color w:val="auto"/>
          <w:sz w:val="24"/>
          <w:highlight w:val="none"/>
          <w:lang w:val="en-US" w:eastAsia="zh-CN"/>
        </w:rPr>
        <w:t xml:space="preserve">   </w:t>
      </w:r>
    </w:p>
    <w:p w14:paraId="7390BC02">
      <w:pPr>
        <w:pStyle w:val="96"/>
        <w:widowControl/>
        <w:spacing w:line="360" w:lineRule="auto"/>
        <w:jc w:val="center"/>
        <w:rPr>
          <w:rStyle w:val="36"/>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Style w:val="93"/>
          <w:rFonts w:hint="eastAsia" w:ascii="宋体" w:hAnsi="宋体" w:eastAsia="宋体" w:cs="宋体"/>
          <w:b w:val="0"/>
          <w:bCs w:val="0"/>
          <w:color w:val="auto"/>
          <w:sz w:val="21"/>
          <w:szCs w:val="21"/>
          <w:highlight w:val="none"/>
        </w:rPr>
        <w:t>拟签订的合同文本</w:t>
      </w:r>
      <w:r>
        <w:rPr>
          <w:rStyle w:val="93"/>
          <w:rFonts w:hint="eastAsia" w:ascii="宋体" w:hAnsi="宋体" w:eastAsia="宋体" w:cs="宋体"/>
          <w:b w:val="0"/>
          <w:bCs w:val="0"/>
          <w:color w:val="auto"/>
          <w:sz w:val="21"/>
          <w:szCs w:val="21"/>
          <w:highlight w:val="none"/>
          <w:lang w:eastAsia="zh-CN"/>
        </w:rPr>
        <w:t>，</w:t>
      </w:r>
      <w:r>
        <w:rPr>
          <w:rStyle w:val="93"/>
          <w:rFonts w:hint="eastAsia" w:ascii="宋体" w:hAnsi="宋体" w:eastAsia="宋体" w:cs="宋体"/>
          <w:b w:val="0"/>
          <w:bCs w:val="0"/>
          <w:color w:val="auto"/>
          <w:sz w:val="21"/>
          <w:szCs w:val="21"/>
          <w:highlight w:val="none"/>
          <w:lang w:val="en-US" w:eastAsia="zh-CN"/>
        </w:rPr>
        <w:t>仅供参考，具体以实际签订为准</w:t>
      </w:r>
      <w:r>
        <w:rPr>
          <w:rFonts w:hint="eastAsia" w:ascii="宋体" w:hAnsi="宋体" w:eastAsia="宋体" w:cs="宋体"/>
          <w:b w:val="0"/>
          <w:bCs w:val="0"/>
          <w:color w:val="auto"/>
          <w:sz w:val="24"/>
          <w:szCs w:val="24"/>
          <w:highlight w:val="none"/>
        </w:rPr>
        <w:t>）</w:t>
      </w:r>
    </w:p>
    <w:p w14:paraId="2028DF63">
      <w:pPr>
        <w:bidi w:val="0"/>
        <w:jc w:val="center"/>
        <w:outlineLvl w:val="9"/>
        <w:rPr>
          <w:rFonts w:hint="eastAsia" w:ascii="微软雅黑" w:hAnsi="微软雅黑" w:eastAsia="微软雅黑" w:cs="微软雅黑"/>
          <w:color w:val="auto"/>
          <w:sz w:val="24"/>
          <w:szCs w:val="24"/>
          <w:highlight w:val="none"/>
        </w:rPr>
      </w:pPr>
      <w:r>
        <w:rPr>
          <w:rFonts w:ascii="仿宋" w:hAnsi="仿宋" w:eastAsia="仿宋" w:cs="仿宋"/>
          <w:snapToGrid w:val="0"/>
          <w:color w:val="auto"/>
          <w:spacing w:val="-9"/>
          <w:kern w:val="0"/>
          <w:sz w:val="24"/>
          <w:szCs w:val="24"/>
          <w:highlight w:val="none"/>
          <w:lang w:eastAsia="en-US"/>
        </w:rPr>
        <w:br w:type="page"/>
      </w:r>
      <w:r>
        <w:rPr>
          <w:rFonts w:hint="eastAsia" w:ascii="微软雅黑" w:hAnsi="微软雅黑" w:eastAsia="微软雅黑" w:cs="微软雅黑"/>
          <w:b/>
          <w:bCs/>
          <w:color w:val="auto"/>
          <w:sz w:val="28"/>
          <w:szCs w:val="28"/>
          <w:highlight w:val="none"/>
        </w:rPr>
        <w:t>政府采购合同参考范本</w:t>
      </w:r>
    </w:p>
    <w:p w14:paraId="7F03A2B8">
      <w:pPr>
        <w:spacing w:line="440" w:lineRule="exact"/>
        <w:jc w:val="center"/>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lang w:eastAsia="zh-CN"/>
        </w:rPr>
        <w:t>服务</w:t>
      </w:r>
      <w:r>
        <w:rPr>
          <w:rFonts w:hint="eastAsia" w:ascii="微软雅黑" w:hAnsi="微软雅黑" w:eastAsia="微软雅黑" w:cs="微软雅黑"/>
          <w:bCs/>
          <w:color w:val="auto"/>
          <w:sz w:val="24"/>
          <w:szCs w:val="24"/>
          <w:highlight w:val="none"/>
        </w:rPr>
        <w:t>类）</w:t>
      </w:r>
    </w:p>
    <w:p w14:paraId="69039339">
      <w:pPr>
        <w:spacing w:line="440" w:lineRule="exact"/>
        <w:ind w:firstLine="0"/>
        <w:outlineLvl w:val="9"/>
        <w:rPr>
          <w:rFonts w:hint="eastAsia" w:ascii="微软雅黑" w:hAnsi="微软雅黑" w:eastAsia="微软雅黑" w:cs="微软雅黑"/>
          <w:bCs/>
          <w:color w:val="auto"/>
          <w:sz w:val="24"/>
          <w:szCs w:val="24"/>
          <w:highlight w:val="none"/>
        </w:rPr>
      </w:pPr>
    </w:p>
    <w:p w14:paraId="23E52478">
      <w:pPr>
        <w:spacing w:line="440" w:lineRule="exact"/>
        <w:ind w:firstLine="0"/>
        <w:outlineLvl w:val="9"/>
        <w:rPr>
          <w:rFonts w:hint="eastAsia" w:ascii="微软雅黑" w:hAnsi="微软雅黑" w:eastAsia="微软雅黑" w:cs="微软雅黑"/>
          <w:bCs/>
          <w:color w:val="auto"/>
          <w:sz w:val="24"/>
          <w:szCs w:val="24"/>
          <w:highlight w:val="none"/>
        </w:rPr>
      </w:pPr>
    </w:p>
    <w:p w14:paraId="13739AF1">
      <w:pPr>
        <w:spacing w:line="440" w:lineRule="exact"/>
        <w:ind w:firstLine="0"/>
        <w:outlineLvl w:val="9"/>
        <w:rPr>
          <w:rFonts w:hint="eastAsia" w:ascii="微软雅黑" w:hAnsi="微软雅黑" w:eastAsia="微软雅黑" w:cs="微软雅黑"/>
          <w:bCs/>
          <w:color w:val="auto"/>
          <w:sz w:val="24"/>
          <w:szCs w:val="24"/>
          <w:highlight w:val="none"/>
        </w:rPr>
      </w:pPr>
    </w:p>
    <w:p w14:paraId="1B11BA80">
      <w:pPr>
        <w:spacing w:line="440" w:lineRule="exact"/>
        <w:ind w:firstLine="0"/>
        <w:jc w:val="center"/>
        <w:outlineLvl w:val="9"/>
        <w:rPr>
          <w:rFonts w:hint="eastAsia" w:ascii="微软雅黑" w:hAnsi="微软雅黑" w:eastAsia="微软雅黑" w:cs="微软雅黑"/>
          <w:bCs/>
          <w:color w:val="auto"/>
          <w:sz w:val="24"/>
          <w:szCs w:val="24"/>
          <w:highlight w:val="none"/>
        </w:rPr>
      </w:pPr>
      <w:bookmarkStart w:id="182" w:name="_Toc28080"/>
      <w:bookmarkStart w:id="183" w:name="_Toc11486"/>
      <w:bookmarkStart w:id="184" w:name="_Toc29931"/>
      <w:bookmarkStart w:id="185" w:name="_Toc9584"/>
      <w:bookmarkStart w:id="186" w:name="_Toc6560_WPSOffice_Level1"/>
      <w:bookmarkStart w:id="187" w:name="_Toc8287"/>
      <w:bookmarkStart w:id="188" w:name="_Toc7744"/>
      <w:bookmarkStart w:id="189" w:name="_Toc32281_WPSOffice_Level1"/>
      <w:bookmarkStart w:id="190" w:name="_Toc9999_WPSOffice_Level1"/>
      <w:bookmarkStart w:id="191" w:name="_Toc19601"/>
      <w:bookmarkStart w:id="192" w:name="_Toc27047"/>
      <w:bookmarkStart w:id="193" w:name="_Toc1883"/>
      <w:bookmarkStart w:id="194" w:name="_Toc21441"/>
      <w:bookmarkStart w:id="195" w:name="_Toc24835"/>
      <w:r>
        <w:rPr>
          <w:rFonts w:hint="eastAsia" w:ascii="微软雅黑" w:hAnsi="微软雅黑" w:eastAsia="微软雅黑" w:cs="微软雅黑"/>
          <w:bCs/>
          <w:color w:val="auto"/>
          <w:sz w:val="24"/>
          <w:szCs w:val="24"/>
          <w:highlight w:val="none"/>
        </w:rPr>
        <w:t>第一部分</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合同书</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B2A4523">
      <w:pPr>
        <w:spacing w:before="120" w:line="440" w:lineRule="exact"/>
        <w:outlineLvl w:val="9"/>
        <w:rPr>
          <w:rFonts w:hint="eastAsia" w:ascii="微软雅黑" w:hAnsi="微软雅黑" w:eastAsia="微软雅黑" w:cs="微软雅黑"/>
          <w:bCs/>
          <w:color w:val="auto"/>
          <w:sz w:val="24"/>
          <w:szCs w:val="24"/>
          <w:highlight w:val="none"/>
        </w:rPr>
      </w:pPr>
    </w:p>
    <w:p w14:paraId="2FABDBAE">
      <w:pPr>
        <w:spacing w:before="120" w:line="440" w:lineRule="exact"/>
        <w:ind w:left="96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项目名称：</w:t>
      </w:r>
    </w:p>
    <w:p w14:paraId="4E79BC65">
      <w:pPr>
        <w:spacing w:line="440" w:lineRule="exact"/>
        <w:outlineLvl w:val="9"/>
        <w:rPr>
          <w:rFonts w:hint="eastAsia" w:ascii="微软雅黑" w:hAnsi="微软雅黑" w:eastAsia="微软雅黑" w:cs="微软雅黑"/>
          <w:bCs/>
          <w:color w:val="auto"/>
          <w:sz w:val="24"/>
          <w:szCs w:val="24"/>
          <w:highlight w:val="none"/>
        </w:rPr>
      </w:pPr>
    </w:p>
    <w:p w14:paraId="4AA579AE">
      <w:pPr>
        <w:spacing w:before="120" w:line="440" w:lineRule="exact"/>
        <w:ind w:left="96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甲方：</w:t>
      </w:r>
    </w:p>
    <w:p w14:paraId="3FEABB12">
      <w:pPr>
        <w:spacing w:before="120" w:line="440" w:lineRule="exact"/>
        <w:outlineLvl w:val="9"/>
        <w:rPr>
          <w:rFonts w:hint="eastAsia" w:ascii="微软雅黑" w:hAnsi="微软雅黑" w:eastAsia="微软雅黑" w:cs="微软雅黑"/>
          <w:bCs/>
          <w:color w:val="auto"/>
          <w:sz w:val="24"/>
          <w:szCs w:val="24"/>
          <w:highlight w:val="none"/>
        </w:rPr>
      </w:pPr>
    </w:p>
    <w:p w14:paraId="415E6A4E">
      <w:pPr>
        <w:spacing w:before="120" w:line="440" w:lineRule="exact"/>
        <w:ind w:left="96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乙方：</w:t>
      </w:r>
    </w:p>
    <w:p w14:paraId="29F1CF08">
      <w:pPr>
        <w:spacing w:before="120" w:line="440" w:lineRule="exact"/>
        <w:outlineLvl w:val="9"/>
        <w:rPr>
          <w:rFonts w:hint="eastAsia" w:ascii="微软雅黑" w:hAnsi="微软雅黑" w:eastAsia="微软雅黑" w:cs="微软雅黑"/>
          <w:bCs/>
          <w:color w:val="auto"/>
          <w:sz w:val="24"/>
          <w:szCs w:val="24"/>
          <w:highlight w:val="none"/>
        </w:rPr>
      </w:pPr>
    </w:p>
    <w:p w14:paraId="3C513055">
      <w:pPr>
        <w:spacing w:before="120" w:line="440" w:lineRule="exact"/>
        <w:ind w:firstLine="960" w:firstLineChars="40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rPr>
        <w:t>签订地：</w:t>
      </w:r>
    </w:p>
    <w:p w14:paraId="013E7901">
      <w:pPr>
        <w:spacing w:before="120" w:line="440" w:lineRule="exact"/>
        <w:outlineLvl w:val="9"/>
        <w:rPr>
          <w:rFonts w:hint="eastAsia" w:ascii="微软雅黑" w:hAnsi="微软雅黑" w:eastAsia="微软雅黑" w:cs="微软雅黑"/>
          <w:bCs/>
          <w:color w:val="auto"/>
          <w:sz w:val="24"/>
          <w:szCs w:val="24"/>
          <w:highlight w:val="none"/>
        </w:rPr>
      </w:pPr>
    </w:p>
    <w:p w14:paraId="00E6092D">
      <w:pPr>
        <w:spacing w:before="120" w:line="440" w:lineRule="exact"/>
        <w:ind w:firstLine="960" w:firstLineChars="4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签订日期：年月日</w:t>
      </w:r>
    </w:p>
    <w:p w14:paraId="1CF06C09">
      <w:pPr>
        <w:spacing w:before="120" w:line="440" w:lineRule="exact"/>
        <w:ind w:firstLine="960" w:firstLineChars="400"/>
        <w:outlineLvl w:val="9"/>
        <w:rPr>
          <w:rFonts w:hint="eastAsia" w:ascii="微软雅黑" w:hAnsi="微软雅黑" w:eastAsia="微软雅黑" w:cs="微软雅黑"/>
          <w:bCs/>
          <w:color w:val="auto"/>
          <w:sz w:val="24"/>
          <w:szCs w:val="24"/>
          <w:highlight w:val="none"/>
        </w:rPr>
      </w:pPr>
    </w:p>
    <w:p w14:paraId="0C019519">
      <w:pPr>
        <w:spacing w:before="120" w:line="440" w:lineRule="exact"/>
        <w:ind w:firstLine="960" w:firstLineChars="400"/>
        <w:outlineLvl w:val="9"/>
        <w:rPr>
          <w:rFonts w:hint="eastAsia" w:ascii="微软雅黑" w:hAnsi="微软雅黑" w:eastAsia="微软雅黑" w:cs="微软雅黑"/>
          <w:bCs/>
          <w:color w:val="auto"/>
          <w:sz w:val="24"/>
          <w:szCs w:val="24"/>
          <w:highlight w:val="none"/>
        </w:rPr>
      </w:pPr>
    </w:p>
    <w:p w14:paraId="2CC72709">
      <w:pPr>
        <w:spacing w:before="120" w:line="440" w:lineRule="exact"/>
        <w:ind w:firstLine="960" w:firstLineChars="400"/>
        <w:outlineLvl w:val="9"/>
        <w:rPr>
          <w:rFonts w:hint="eastAsia" w:ascii="微软雅黑" w:hAnsi="微软雅黑" w:eastAsia="微软雅黑" w:cs="微软雅黑"/>
          <w:bCs/>
          <w:color w:val="auto"/>
          <w:sz w:val="24"/>
          <w:szCs w:val="24"/>
          <w:highlight w:val="none"/>
        </w:rPr>
      </w:pPr>
    </w:p>
    <w:p w14:paraId="4061F838">
      <w:pPr>
        <w:spacing w:before="120" w:line="440" w:lineRule="exact"/>
        <w:ind w:firstLine="960" w:firstLineChars="400"/>
        <w:outlineLvl w:val="9"/>
        <w:rPr>
          <w:rFonts w:hint="eastAsia" w:ascii="微软雅黑" w:hAnsi="微软雅黑" w:eastAsia="微软雅黑" w:cs="微软雅黑"/>
          <w:bCs/>
          <w:color w:val="auto"/>
          <w:sz w:val="24"/>
          <w:szCs w:val="24"/>
          <w:highlight w:val="none"/>
        </w:rPr>
      </w:pPr>
    </w:p>
    <w:p w14:paraId="2F7709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年月日</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（采购人名称）</w:t>
      </w:r>
      <w:r>
        <w:rPr>
          <w:rFonts w:hint="eastAsia" w:ascii="微软雅黑" w:hAnsi="微软雅黑" w:eastAsia="微软雅黑" w:cs="微软雅黑"/>
          <w:bCs/>
          <w:color w:val="auto"/>
          <w:sz w:val="24"/>
          <w:szCs w:val="24"/>
          <w:highlight w:val="none"/>
        </w:rPr>
        <w:t>以</w:t>
      </w:r>
      <w:r>
        <w:rPr>
          <w:rFonts w:hint="eastAsia" w:ascii="微软雅黑" w:hAnsi="微软雅黑" w:eastAsia="微软雅黑" w:cs="微软雅黑"/>
          <w:bCs/>
          <w:color w:val="auto"/>
          <w:sz w:val="24"/>
          <w:szCs w:val="24"/>
          <w:highlight w:val="none"/>
          <w:u w:val="single"/>
        </w:rPr>
        <w:t>（政府采购方式）</w:t>
      </w:r>
      <w:r>
        <w:rPr>
          <w:rFonts w:hint="eastAsia" w:ascii="微软雅黑" w:hAnsi="微软雅黑" w:eastAsia="微软雅黑" w:cs="微软雅黑"/>
          <w:bCs/>
          <w:color w:val="auto"/>
          <w:sz w:val="24"/>
          <w:szCs w:val="24"/>
          <w:highlight w:val="none"/>
        </w:rPr>
        <w:t>对</w:t>
      </w:r>
      <w:r>
        <w:rPr>
          <w:rFonts w:hint="eastAsia" w:ascii="微软雅黑" w:hAnsi="微软雅黑" w:eastAsia="微软雅黑" w:cs="微软雅黑"/>
          <w:bCs/>
          <w:color w:val="auto"/>
          <w:sz w:val="24"/>
          <w:szCs w:val="24"/>
          <w:highlight w:val="none"/>
          <w:u w:val="single"/>
        </w:rPr>
        <w:t>（同前页项目名称）</w:t>
      </w:r>
      <w:r>
        <w:rPr>
          <w:rFonts w:hint="eastAsia" w:ascii="微软雅黑" w:hAnsi="微软雅黑" w:eastAsia="微软雅黑" w:cs="微软雅黑"/>
          <w:bCs/>
          <w:color w:val="auto"/>
          <w:sz w:val="24"/>
          <w:szCs w:val="24"/>
          <w:highlight w:val="none"/>
        </w:rPr>
        <w:t>项目进行了采购。经</w:t>
      </w:r>
      <w:r>
        <w:rPr>
          <w:rFonts w:hint="eastAsia" w:ascii="微软雅黑" w:hAnsi="微软雅黑" w:eastAsia="微软雅黑" w:cs="微软雅黑"/>
          <w:bCs/>
          <w:color w:val="auto"/>
          <w:sz w:val="24"/>
          <w:szCs w:val="24"/>
          <w:highlight w:val="none"/>
          <w:u w:val="single"/>
        </w:rPr>
        <w:t>（相关评定主体名称）</w:t>
      </w:r>
      <w:r>
        <w:rPr>
          <w:rFonts w:hint="eastAsia" w:ascii="微软雅黑" w:hAnsi="微软雅黑" w:eastAsia="微软雅黑" w:cs="微软雅黑"/>
          <w:bCs/>
          <w:color w:val="auto"/>
          <w:sz w:val="24"/>
          <w:szCs w:val="24"/>
          <w:highlight w:val="none"/>
        </w:rPr>
        <w:t>评定，</w:t>
      </w:r>
      <w:r>
        <w:rPr>
          <w:rFonts w:hint="eastAsia" w:ascii="微软雅黑" w:hAnsi="微软雅黑" w:eastAsia="微软雅黑" w:cs="微软雅黑"/>
          <w:bCs/>
          <w:color w:val="auto"/>
          <w:sz w:val="24"/>
          <w:szCs w:val="24"/>
          <w:highlight w:val="none"/>
          <w:u w:val="single"/>
        </w:rPr>
        <w:t>（成交供应商名称）</w:t>
      </w:r>
      <w:r>
        <w:rPr>
          <w:rFonts w:hint="eastAsia" w:ascii="微软雅黑" w:hAnsi="微软雅黑" w:eastAsia="微软雅黑" w:cs="微软雅黑"/>
          <w:bCs/>
          <w:color w:val="auto"/>
          <w:sz w:val="24"/>
          <w:szCs w:val="24"/>
          <w:highlight w:val="none"/>
        </w:rPr>
        <w:t>为该项目成交供应商。现于成交通知书发出之日起三十日内，按照采购文件确定的事项签订本合同。</w:t>
      </w:r>
    </w:p>
    <w:p w14:paraId="252998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根据《中华人民共和国</w:t>
      </w:r>
      <w:r>
        <w:rPr>
          <w:rFonts w:hint="eastAsia" w:ascii="微软雅黑" w:hAnsi="微软雅黑" w:eastAsia="微软雅黑" w:cs="微软雅黑"/>
          <w:bCs/>
          <w:color w:val="auto"/>
          <w:sz w:val="24"/>
          <w:szCs w:val="24"/>
          <w:highlight w:val="none"/>
          <w:lang w:val="en-US" w:eastAsia="zh-CN"/>
        </w:rPr>
        <w:t>民法典</w:t>
      </w:r>
      <w:r>
        <w:rPr>
          <w:rFonts w:hint="eastAsia" w:ascii="微软雅黑" w:hAnsi="微软雅黑" w:eastAsia="微软雅黑" w:cs="微软雅黑"/>
          <w:bCs/>
          <w:color w:val="auto"/>
          <w:sz w:val="24"/>
          <w:szCs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bCs/>
          <w:color w:val="auto"/>
          <w:sz w:val="24"/>
          <w:szCs w:val="24"/>
          <w:highlight w:val="none"/>
          <w:u w:val="single"/>
        </w:rPr>
        <w:t>（采购人名称）</w:t>
      </w:r>
      <w:r>
        <w:rPr>
          <w:rFonts w:hint="eastAsia" w:ascii="微软雅黑" w:hAnsi="微软雅黑" w:eastAsia="微软雅黑" w:cs="微软雅黑"/>
          <w:bCs/>
          <w:color w:val="auto"/>
          <w:sz w:val="24"/>
          <w:szCs w:val="24"/>
          <w:highlight w:val="none"/>
          <w:lang w:val="zh-CN"/>
        </w:rPr>
        <w:t>(以下简称：甲方)和</w:t>
      </w:r>
      <w:r>
        <w:rPr>
          <w:rFonts w:hint="eastAsia" w:ascii="微软雅黑" w:hAnsi="微软雅黑" w:eastAsia="微软雅黑" w:cs="微软雅黑"/>
          <w:bCs/>
          <w:color w:val="auto"/>
          <w:sz w:val="24"/>
          <w:szCs w:val="24"/>
          <w:highlight w:val="none"/>
          <w:u w:val="single"/>
        </w:rPr>
        <w:t>（成交供应商名称）</w:t>
      </w:r>
      <w:r>
        <w:rPr>
          <w:rFonts w:hint="eastAsia" w:ascii="微软雅黑" w:hAnsi="微软雅黑" w:eastAsia="微软雅黑" w:cs="微软雅黑"/>
          <w:bCs/>
          <w:color w:val="auto"/>
          <w:sz w:val="24"/>
          <w:szCs w:val="24"/>
          <w:highlight w:val="none"/>
          <w:lang w:val="zh-CN"/>
        </w:rPr>
        <w:t>(以下简称：乙方)协商一致，约定以下合同</w:t>
      </w:r>
      <w:r>
        <w:rPr>
          <w:rFonts w:hint="eastAsia" w:ascii="微软雅黑" w:hAnsi="微软雅黑" w:eastAsia="微软雅黑" w:cs="微软雅黑"/>
          <w:bCs/>
          <w:color w:val="auto"/>
          <w:sz w:val="24"/>
          <w:szCs w:val="24"/>
          <w:highlight w:val="none"/>
        </w:rPr>
        <w:t>条款，以兹共同遵守、全面履行。</w:t>
      </w:r>
    </w:p>
    <w:p w14:paraId="7278007C">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1.1合同组成部分</w:t>
      </w:r>
    </w:p>
    <w:p w14:paraId="6ABC57C3">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064BB9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1.1.1本合同及其补充合同、变更协议；</w:t>
      </w:r>
    </w:p>
    <w:p w14:paraId="50194EF9">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1.1.2中标通知书；</w:t>
      </w:r>
    </w:p>
    <w:p w14:paraId="43A6CEE3">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1.1.3投标文件（含澄清或者说明文件）；</w:t>
      </w:r>
    </w:p>
    <w:p w14:paraId="1A77CB25">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1.1.4招标文件（含澄清或者修改文件）；</w:t>
      </w:r>
    </w:p>
    <w:p w14:paraId="3F4CAB0C">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1.1.5其他相关采购文件。</w:t>
      </w:r>
    </w:p>
    <w:p w14:paraId="172E9003">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1.2标的</w:t>
      </w:r>
    </w:p>
    <w:p w14:paraId="5C0BE6F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1.2.1</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名称：；</w:t>
      </w:r>
    </w:p>
    <w:p w14:paraId="512CF94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1.2.2</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数量：；</w:t>
      </w:r>
    </w:p>
    <w:p w14:paraId="45081E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1.2.3</w:t>
      </w:r>
      <w:r>
        <w:rPr>
          <w:rFonts w:hint="eastAsia" w:ascii="微软雅黑" w:hAnsi="微软雅黑" w:eastAsia="微软雅黑" w:cs="微软雅黑"/>
          <w:bCs/>
          <w:color w:val="auto"/>
          <w:sz w:val="24"/>
          <w:szCs w:val="24"/>
          <w:highlight w:val="none"/>
          <w:lang w:eastAsia="zh-CN"/>
        </w:rPr>
        <w:t>标的</w:t>
      </w:r>
      <w:r>
        <w:rPr>
          <w:rFonts w:hint="eastAsia" w:ascii="微软雅黑" w:hAnsi="微软雅黑" w:eastAsia="微软雅黑" w:cs="微软雅黑"/>
          <w:bCs/>
          <w:color w:val="auto"/>
          <w:sz w:val="24"/>
          <w:szCs w:val="24"/>
          <w:highlight w:val="none"/>
        </w:rPr>
        <w:t>质量：</w:t>
      </w:r>
      <w:r>
        <w:rPr>
          <w:rFonts w:hint="eastAsia" w:ascii="微软雅黑" w:hAnsi="微软雅黑" w:eastAsia="微软雅黑" w:cs="微软雅黑"/>
          <w:bCs/>
          <w:color w:val="auto"/>
          <w:sz w:val="24"/>
          <w:szCs w:val="24"/>
          <w:highlight w:val="none"/>
          <w:u w:val="single"/>
        </w:rPr>
        <w:t>　　　　　　　　　　</w:t>
      </w:r>
      <w:r>
        <w:rPr>
          <w:rFonts w:hint="eastAsia" w:ascii="微软雅黑" w:hAnsi="微软雅黑" w:eastAsia="微软雅黑" w:cs="微软雅黑"/>
          <w:bCs/>
          <w:color w:val="auto"/>
          <w:sz w:val="24"/>
          <w:szCs w:val="24"/>
          <w:highlight w:val="none"/>
        </w:rPr>
        <w:t>。</w:t>
      </w:r>
    </w:p>
    <w:p w14:paraId="01CCB357">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1.3价款</w:t>
      </w:r>
    </w:p>
    <w:p w14:paraId="3830F11A">
      <w:pPr>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本合同总价为：￥元（大写：元人民币）。</w:t>
      </w:r>
    </w:p>
    <w:p w14:paraId="1416578A">
      <w:pPr>
        <w:spacing w:line="36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3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4313"/>
        <w:gridCol w:w="3235"/>
      </w:tblGrid>
      <w:tr w14:paraId="5927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5FCC909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402" w:type="dxa"/>
            <w:vAlign w:val="center"/>
          </w:tcPr>
          <w:p w14:paraId="33C15C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552" w:type="dxa"/>
            <w:vAlign w:val="center"/>
          </w:tcPr>
          <w:p w14:paraId="4ACBD6E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14:paraId="2E78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6048BC1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3402" w:type="dxa"/>
            <w:vAlign w:val="center"/>
          </w:tcPr>
          <w:p w14:paraId="2524A16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2552" w:type="dxa"/>
            <w:vAlign w:val="center"/>
          </w:tcPr>
          <w:p w14:paraId="023CBE0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r>
      <w:tr w14:paraId="21A8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2EBB094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3402" w:type="dxa"/>
            <w:vAlign w:val="center"/>
          </w:tcPr>
          <w:p w14:paraId="5381628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2552" w:type="dxa"/>
            <w:vAlign w:val="center"/>
          </w:tcPr>
          <w:p w14:paraId="4D9805F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r>
      <w:tr w14:paraId="3542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301B24E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3402" w:type="dxa"/>
            <w:vAlign w:val="center"/>
          </w:tcPr>
          <w:p w14:paraId="1CFAE3B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2552" w:type="dxa"/>
            <w:vAlign w:val="center"/>
          </w:tcPr>
          <w:p w14:paraId="42AB39C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r>
      <w:tr w14:paraId="1112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71A4B00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3402" w:type="dxa"/>
            <w:vAlign w:val="center"/>
          </w:tcPr>
          <w:p w14:paraId="37D3165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c>
          <w:tcPr>
            <w:tcW w:w="2552" w:type="dxa"/>
            <w:vAlign w:val="center"/>
          </w:tcPr>
          <w:p w14:paraId="22D49DE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r>
      <w:tr w14:paraId="57C2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3" w:type="dxa"/>
            <w:gridSpan w:val="2"/>
            <w:vAlign w:val="center"/>
          </w:tcPr>
          <w:p w14:paraId="1D01BCB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552" w:type="dxa"/>
            <w:vAlign w:val="center"/>
          </w:tcPr>
          <w:p w14:paraId="2C4A1B8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hint="eastAsia" w:ascii="微软雅黑" w:hAnsi="微软雅黑" w:eastAsia="微软雅黑" w:cs="微软雅黑"/>
                <w:color w:val="auto"/>
                <w:kern w:val="2"/>
                <w:sz w:val="24"/>
                <w:szCs w:val="24"/>
                <w:highlight w:val="none"/>
              </w:rPr>
            </w:pPr>
          </w:p>
        </w:tc>
      </w:tr>
    </w:tbl>
    <w:p w14:paraId="1F46D3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1.4付款方式和发票开具方式</w:t>
      </w:r>
    </w:p>
    <w:p w14:paraId="76BD7DC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1.4.1付款方式：；</w:t>
      </w:r>
    </w:p>
    <w:p w14:paraId="654E347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1.4.2发票开具方式：。</w:t>
      </w:r>
    </w:p>
    <w:p w14:paraId="09156DA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1.5货物交付期限、地点和方式</w:t>
      </w:r>
    </w:p>
    <w:p w14:paraId="2346EFD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1.5.1</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期限：；</w:t>
      </w:r>
    </w:p>
    <w:p w14:paraId="011E84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1.5.2</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地点：；</w:t>
      </w:r>
    </w:p>
    <w:p w14:paraId="35C47B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1.5.3</w:t>
      </w:r>
      <w:r>
        <w:rPr>
          <w:rFonts w:hint="eastAsia" w:ascii="微软雅黑" w:hAnsi="微软雅黑" w:eastAsia="微软雅黑" w:cs="微软雅黑"/>
          <w:bCs/>
          <w:color w:val="auto"/>
          <w:sz w:val="24"/>
          <w:szCs w:val="24"/>
          <w:highlight w:val="none"/>
          <w:lang w:eastAsia="zh-CN"/>
        </w:rPr>
        <w:t>履行</w:t>
      </w:r>
      <w:r>
        <w:rPr>
          <w:rFonts w:hint="eastAsia" w:ascii="微软雅黑" w:hAnsi="微软雅黑" w:eastAsia="微软雅黑" w:cs="微软雅黑"/>
          <w:bCs/>
          <w:color w:val="auto"/>
          <w:sz w:val="24"/>
          <w:szCs w:val="24"/>
          <w:highlight w:val="none"/>
        </w:rPr>
        <w:t>方式：</w:t>
      </w:r>
      <w:r>
        <w:rPr>
          <w:rFonts w:hint="eastAsia" w:ascii="微软雅黑" w:hAnsi="微软雅黑" w:eastAsia="微软雅黑" w:cs="微软雅黑"/>
          <w:bCs/>
          <w:color w:val="auto"/>
          <w:sz w:val="24"/>
          <w:szCs w:val="24"/>
          <w:highlight w:val="none"/>
          <w:u w:val="single"/>
        </w:rPr>
        <w:t>　　　　　　　　　　</w:t>
      </w:r>
      <w:r>
        <w:rPr>
          <w:rFonts w:hint="eastAsia" w:ascii="微软雅黑" w:hAnsi="微软雅黑" w:eastAsia="微软雅黑" w:cs="微软雅黑"/>
          <w:bCs/>
          <w:color w:val="auto"/>
          <w:sz w:val="24"/>
          <w:szCs w:val="24"/>
          <w:highlight w:val="none"/>
        </w:rPr>
        <w:t>。</w:t>
      </w:r>
    </w:p>
    <w:p w14:paraId="4010373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1.6违约责任</w:t>
      </w:r>
    </w:p>
    <w:p w14:paraId="7AB5514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4DC2021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3608CD1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40BF2A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856D26C">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260D64">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3BE72D3">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1.7合同争议的解决</w:t>
      </w:r>
    </w:p>
    <w:p w14:paraId="593CE631">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本合同履行过程中发生的任何争议，双方当事人均可通过和解或者调解解决；不愿和解、调解或者和解、调解不成的，可以选择下列第种方式解决：</w:t>
      </w:r>
    </w:p>
    <w:p w14:paraId="3A977C43">
      <w:pPr>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1.7.1将争议提交仲裁委员会依申请仲裁时其现行有效的仲裁规则裁决；</w:t>
      </w:r>
    </w:p>
    <w:p w14:paraId="0B8DEF12">
      <w:pPr>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1.7.2向</w:t>
      </w:r>
      <w:r>
        <w:rPr>
          <w:rFonts w:hint="eastAsia" w:ascii="微软雅黑" w:hAnsi="微软雅黑" w:eastAsia="微软雅黑" w:cs="微软雅黑"/>
          <w:bCs/>
          <w:color w:val="auto"/>
          <w:sz w:val="24"/>
          <w:szCs w:val="24"/>
          <w:highlight w:val="none"/>
          <w:u w:val="single"/>
        </w:rPr>
        <w:t>（被告住所地、合同履行地、合同签订地、原告住所地、标的物所在地等与争议有实际联系的地点中选出的人民法院名称）</w:t>
      </w:r>
      <w:r>
        <w:rPr>
          <w:rFonts w:hint="eastAsia" w:ascii="微软雅黑" w:hAnsi="微软雅黑" w:eastAsia="微软雅黑" w:cs="微软雅黑"/>
          <w:bCs/>
          <w:color w:val="auto"/>
          <w:sz w:val="24"/>
          <w:szCs w:val="24"/>
          <w:highlight w:val="none"/>
        </w:rPr>
        <w:t>人民法院起诉。</w:t>
      </w:r>
    </w:p>
    <w:p w14:paraId="2D044594">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1.8合同生效</w:t>
      </w:r>
    </w:p>
    <w:p w14:paraId="576701B7">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14:paraId="67C798A3">
      <w:pPr>
        <w:autoSpaceDE w:val="0"/>
        <w:autoSpaceDN w:val="0"/>
        <w:adjustRightInd w:val="0"/>
        <w:spacing w:line="360" w:lineRule="auto"/>
        <w:outlineLvl w:val="9"/>
        <w:rPr>
          <w:rFonts w:hint="eastAsia" w:ascii="微软雅黑" w:hAnsi="微软雅黑" w:eastAsia="微软雅黑" w:cs="微软雅黑"/>
          <w:color w:val="auto"/>
          <w:sz w:val="24"/>
          <w:szCs w:val="24"/>
          <w:highlight w:val="none"/>
          <w:lang w:val="zh-CN"/>
        </w:rPr>
      </w:pPr>
    </w:p>
    <w:p w14:paraId="6E992565">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甲方：乙方：</w:t>
      </w:r>
    </w:p>
    <w:p w14:paraId="2D06B56D">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统一社会信用代码：统一社会信用代码或身份证号码：</w:t>
      </w:r>
    </w:p>
    <w:p w14:paraId="78C2936C">
      <w:pPr>
        <w:autoSpaceDE w:val="0"/>
        <w:autoSpaceDN w:val="0"/>
        <w:adjustRightInd w:val="0"/>
        <w:outlineLvl w:val="9"/>
        <w:rPr>
          <w:rFonts w:hint="eastAsia" w:ascii="微软雅黑" w:hAnsi="微软雅黑" w:eastAsia="微软雅黑" w:cs="微软雅黑"/>
          <w:bCs/>
          <w:color w:val="auto"/>
          <w:sz w:val="24"/>
          <w:szCs w:val="24"/>
          <w:highlight w:val="none"/>
          <w:lang w:val="zh-CN"/>
        </w:rPr>
      </w:pPr>
    </w:p>
    <w:p w14:paraId="0176E0FB">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住所：住所：</w:t>
      </w:r>
    </w:p>
    <w:p w14:paraId="7AE98496">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法定代表人或法定代表人</w:t>
      </w:r>
    </w:p>
    <w:p w14:paraId="6692C3C8">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授权代表（签字）：或授权代表（签字）:</w:t>
      </w:r>
    </w:p>
    <w:p w14:paraId="290C844D">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联系人：联系人：</w:t>
      </w:r>
    </w:p>
    <w:p w14:paraId="3C8066E1">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约定送达地址：约定送达地址：</w:t>
      </w:r>
    </w:p>
    <w:p w14:paraId="66B6EE6D">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邮政编码：邮政编码：</w:t>
      </w:r>
    </w:p>
    <w:p w14:paraId="4F9150B2">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电话:电话:</w:t>
      </w:r>
    </w:p>
    <w:p w14:paraId="2F94729E">
      <w:pPr>
        <w:autoSpaceDE w:val="0"/>
        <w:autoSpaceDN w:val="0"/>
        <w:adjustRightInd w:val="0"/>
        <w:outlineLvl w:val="9"/>
        <w:rPr>
          <w:rFonts w:hint="eastAsia" w:ascii="微软雅黑" w:hAnsi="微软雅黑" w:eastAsia="微软雅黑" w:cs="微软雅黑"/>
          <w:bCs/>
          <w:color w:val="auto"/>
          <w:sz w:val="24"/>
          <w:szCs w:val="24"/>
          <w:highlight w:val="none"/>
          <w:lang w:val="zh-CN"/>
        </w:rPr>
      </w:pPr>
      <w:r>
        <w:rPr>
          <w:rFonts w:hint="eastAsia" w:ascii="微软雅黑" w:hAnsi="微软雅黑" w:eastAsia="微软雅黑" w:cs="微软雅黑"/>
          <w:bCs/>
          <w:color w:val="auto"/>
          <w:sz w:val="24"/>
          <w:szCs w:val="24"/>
          <w:highlight w:val="none"/>
          <w:lang w:val="zh-CN"/>
        </w:rPr>
        <w:t>传真:传真:</w:t>
      </w:r>
    </w:p>
    <w:p w14:paraId="7D47200F">
      <w:pPr>
        <w:autoSpaceDE w:val="0"/>
        <w:autoSpaceDN w:val="0"/>
        <w:adjustRightInd w:val="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zh-CN"/>
        </w:rPr>
        <w:t>电子邮箱：电子邮箱：</w:t>
      </w:r>
    </w:p>
    <w:p w14:paraId="4B25CDEE">
      <w:pPr>
        <w:autoSpaceDE w:val="0"/>
        <w:autoSpaceDN w:val="0"/>
        <w:adjustRightInd w:val="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开户银行：开户银行：</w:t>
      </w:r>
    </w:p>
    <w:p w14:paraId="2DDEB837">
      <w:pPr>
        <w:autoSpaceDE w:val="0"/>
        <w:autoSpaceDN w:val="0"/>
        <w:adjustRightInd w:val="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开户名称：开户名称：</w:t>
      </w:r>
    </w:p>
    <w:p w14:paraId="4D514350">
      <w:pPr>
        <w:autoSpaceDE w:val="0"/>
        <w:autoSpaceDN w:val="0"/>
        <w:adjustRightInd w:val="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开户账号：开户账号：</w:t>
      </w:r>
    </w:p>
    <w:p w14:paraId="7B6C8EAA">
      <w:pPr>
        <w:widowControl/>
        <w:spacing w:line="360" w:lineRule="auto"/>
        <w:jc w:val="left"/>
        <w:outlineLvl w:val="9"/>
        <w:rPr>
          <w:rFonts w:hint="eastAsia" w:ascii="微软雅黑" w:hAnsi="微软雅黑" w:eastAsia="微软雅黑" w:cs="微软雅黑"/>
          <w:b/>
          <w:bCs/>
          <w:color w:val="auto"/>
          <w:sz w:val="24"/>
          <w:szCs w:val="24"/>
          <w:highlight w:val="none"/>
        </w:rPr>
      </w:pPr>
    </w:p>
    <w:p w14:paraId="65C8341D">
      <w:pPr>
        <w:widowControl/>
        <w:spacing w:line="360" w:lineRule="auto"/>
        <w:jc w:val="left"/>
        <w:outlineLvl w:val="9"/>
        <w:rPr>
          <w:rFonts w:hint="eastAsia" w:ascii="微软雅黑" w:hAnsi="微软雅黑" w:eastAsia="微软雅黑" w:cs="微软雅黑"/>
          <w:b/>
          <w:bCs/>
          <w:color w:val="auto"/>
          <w:sz w:val="24"/>
          <w:szCs w:val="24"/>
          <w:highlight w:val="none"/>
        </w:rPr>
      </w:pPr>
    </w:p>
    <w:p w14:paraId="21E6FEBF">
      <w:pPr>
        <w:spacing w:line="360" w:lineRule="auto"/>
        <w:ind w:firstLine="200"/>
        <w:jc w:val="center"/>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第二部分</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合同一般条款</w:t>
      </w:r>
    </w:p>
    <w:p w14:paraId="784E1F1E">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2.1定义</w:t>
      </w:r>
    </w:p>
    <w:p w14:paraId="441CD3E2">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14:paraId="27F417E0">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2.1.1“合同”系指采购人和中标供应商签订的载明双方当事人所达成的协议，并包括所有的附件、附录和构成合同的其他文件。</w:t>
      </w:r>
    </w:p>
    <w:p w14:paraId="35F7D138">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2.1.2“合同价”系指根据合同约定，中标供应商在完全履行合同义务后，采购人应支付给中标供应商的价格。</w:t>
      </w:r>
    </w:p>
    <w:p w14:paraId="644F4F16">
      <w:pPr>
        <w:spacing w:line="56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2.1.3“货物”系指中标供应商根据合同约定应向采购人交付的一切各种形态和种类的物品，包括原材料、燃料、设备、机械、仪表、备件、计算机软件、产品等，并包括工具、手册等其他相关资料。</w:t>
      </w:r>
    </w:p>
    <w:p w14:paraId="61DF6120">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2.1.4“甲方”系指与中标供应商签署合同的采购人；采购人委托采购代理机构代表其与乙方签订合同的，采购人的授权委托书作为合同附件。</w:t>
      </w:r>
    </w:p>
    <w:p w14:paraId="7B601BE7">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B81BC2">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2.1.6“现场”系指合同约定提供服务的地点。</w:t>
      </w:r>
    </w:p>
    <w:p w14:paraId="66EBD7A7">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2.2技术规范</w:t>
      </w:r>
    </w:p>
    <w:p w14:paraId="60ED4A14">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3B5003">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2.3知识产权</w:t>
      </w:r>
    </w:p>
    <w:p w14:paraId="37271AF9">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FEDB57E">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1D0E144C">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2.4包装和装运</w:t>
      </w:r>
    </w:p>
    <w:p w14:paraId="47F80A7C">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605E8D5">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2.4.2装运货物的要求和通知，详见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0E486968">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2.5履约检查和问题反馈</w:t>
      </w:r>
    </w:p>
    <w:p w14:paraId="1922B04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2.5.1甲方有权在其认为必要时，对乙方是否能够按照合同约定提供服务进行履约检查，以确保乙方所提供的服务能够依约满足甲方之项目需求，但不得因履约检查妨碍乙方的正常工作，乙方应予积极配合；</w:t>
      </w:r>
    </w:p>
    <w:p w14:paraId="3178474A">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2.5.2合同履行期间，甲方有权将履行过程中出现的问题反馈给乙方，双方当事人应以书面形式约定需要完善和改进的内容。</w:t>
      </w:r>
    </w:p>
    <w:p w14:paraId="0D3AA3B0">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2.6技术资料和保密义务</w:t>
      </w:r>
    </w:p>
    <w:p w14:paraId="4F9C8D5F">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2.6.1乙方有权依据合同约定和项目需要，向甲方了解有关情况，调阅有关资料等，甲方应予积极配合；</w:t>
      </w:r>
    </w:p>
    <w:p w14:paraId="0986A1C8">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2.6.2乙方有义务妥善保管和保护由甲方提供的前款信息和资料等；</w:t>
      </w:r>
    </w:p>
    <w:p w14:paraId="3D988A23">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760B5E2">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2.7质量保证</w:t>
      </w:r>
    </w:p>
    <w:p w14:paraId="2BFD9E57">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2.7.1乙方应建立和完善履行合同的内部质量保证体系，并提供相关内部规章制度给甲方，以便甲方进行监督检查；</w:t>
      </w:r>
    </w:p>
    <w:p w14:paraId="5977C59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2.7.2乙方应保证履行合同的人员数量和素质、软件和硬件设备的配置、场地、环境和设施等满足全面履行合同的要求，并应接受甲方的监督检查。</w:t>
      </w:r>
    </w:p>
    <w:p w14:paraId="6E539B64">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2.8货物的风险负担</w:t>
      </w:r>
    </w:p>
    <w:p w14:paraId="7D1F37DF">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794B135E">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2.9延迟履行</w:t>
      </w:r>
    </w:p>
    <w:p w14:paraId="0DCB3C62">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4E4A520">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2.10合同变更</w:t>
      </w:r>
    </w:p>
    <w:p w14:paraId="39ACFB6E">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2.10.1双方当事人协商一致，可以签订书面补充合同的形式变更合同，但不得违背采购文件确定的事项，且如果系追加与合同标的相同的服务的，那么所有补充合同的采购金额不得超过原合同价的10%；</w:t>
      </w:r>
    </w:p>
    <w:p w14:paraId="0D6B8EE8">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2.10.2合同继续履行将损害国家利益和社会公共利益的，双方当事人应当以书面形式变更合同。有过错的一方应当承担赔偿责任，双方当事人都有过错的，各自承担相应的责任。</w:t>
      </w:r>
    </w:p>
    <w:p w14:paraId="31EB47D2">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2.11合同转让和分包</w:t>
      </w:r>
    </w:p>
    <w:p w14:paraId="3D0956D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A274C8">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2.12不可抗力</w:t>
      </w:r>
    </w:p>
    <w:p w14:paraId="60D41E68">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2.12.1如果任何一方遭遇法律规定的不可抗力，致使合同履行受阻时，履行合同的期限应予延长，延长的期限应相当于不可抗力所影响的时间；</w:t>
      </w:r>
    </w:p>
    <w:p w14:paraId="1CFEBD1E">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2.12.2因不可抗力致使不能实现合同目的的，当事人可以解除合同；</w:t>
      </w:r>
    </w:p>
    <w:p w14:paraId="42AC4487">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2.12.3因不可抗力致使合同有变更必要的，双方当事人应在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内以书面形式变更合同；</w:t>
      </w:r>
    </w:p>
    <w:p w14:paraId="52E8A257">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2.12.4受不可抗力影响的一方在不可抗力发生后，应在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内以书面形式通知对方当事人，并在</w:t>
      </w:r>
      <w:r>
        <w:rPr>
          <w:rFonts w:hint="eastAsia" w:ascii="微软雅黑" w:hAnsi="微软雅黑" w:eastAsia="微软雅黑" w:cs="微软雅黑"/>
          <w:b/>
          <w:bCs/>
          <w:i/>
          <w:iCs/>
          <w:color w:val="auto"/>
          <w:sz w:val="24"/>
          <w:szCs w:val="24"/>
          <w:highlight w:val="none"/>
          <w:u w:val="single"/>
          <w:lang w:val="en-US" w:eastAsia="zh-CN"/>
        </w:rPr>
        <w:t>个</w:t>
      </w:r>
      <w:r>
        <w:rPr>
          <w:rFonts w:hint="eastAsia" w:ascii="微软雅黑" w:hAnsi="微软雅黑" w:eastAsia="微软雅黑" w:cs="微软雅黑"/>
          <w:b/>
          <w:bCs/>
          <w:i/>
          <w:iCs/>
          <w:color w:val="auto"/>
          <w:sz w:val="24"/>
          <w:szCs w:val="24"/>
          <w:highlight w:val="none"/>
          <w:u w:val="single"/>
        </w:rPr>
        <w:t>工作日</w:t>
      </w:r>
      <w:r>
        <w:rPr>
          <w:rFonts w:hint="eastAsia" w:ascii="微软雅黑" w:hAnsi="微软雅黑" w:eastAsia="微软雅黑" w:cs="微软雅黑"/>
          <w:color w:val="auto"/>
          <w:sz w:val="24"/>
          <w:szCs w:val="24"/>
          <w:highlight w:val="none"/>
        </w:rPr>
        <w:t>内，将有关部门出具的证明文件送达对方当事人。</w:t>
      </w:r>
    </w:p>
    <w:p w14:paraId="4CD299CD">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2.13税费</w:t>
      </w:r>
    </w:p>
    <w:p w14:paraId="7B25D28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与合同有关的一切税费，均按照中华人民共和国法律的相关规定缴纳。</w:t>
      </w:r>
    </w:p>
    <w:p w14:paraId="5249BCC7">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2.14乙方破产</w:t>
      </w:r>
    </w:p>
    <w:p w14:paraId="05C828F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91D510">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2.15合同中止、终止</w:t>
      </w:r>
    </w:p>
    <w:p w14:paraId="0150275C">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2.15.1双方当事人不得擅自中止或者终止合同；</w:t>
      </w:r>
    </w:p>
    <w:p w14:paraId="3BCFAE39">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2.15.2合同继续履行将损害国家利益和社会公共利益的，双方当事人应当中止或者终止合同。有过错的一方应当承担赔偿责任，双方当事人都有过错的，各自承担相应的责任。</w:t>
      </w:r>
    </w:p>
    <w:p w14:paraId="7E9C819E">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2.16检验和验收</w:t>
      </w:r>
    </w:p>
    <w:p w14:paraId="255B429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2.16.1货物交付前，乙方应对货物的质量、数量等方面进行详细、全面的检验，并向甲方出具证明货物符合合同约定的文件；货物交付时，乙方在</w:t>
      </w:r>
      <w:r>
        <w:rPr>
          <w:rFonts w:hint="eastAsia" w:ascii="微软雅黑" w:hAnsi="微软雅黑" w:eastAsia="微软雅黑" w:cs="微软雅黑"/>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14:paraId="4539B2D6">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193394B">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2.16.3检验和验收标准、程序等具体内容以及前述验收书的效力详见</w:t>
      </w:r>
      <w:r>
        <w:rPr>
          <w:rFonts w:hint="eastAsia" w:ascii="微软雅黑" w:hAnsi="微软雅黑" w:eastAsia="微软雅黑" w:cs="微软雅黑"/>
          <w:color w:val="auto"/>
          <w:sz w:val="24"/>
          <w:szCs w:val="24"/>
          <w:highlight w:val="none"/>
          <w:u w:val="single"/>
        </w:rPr>
        <w:t>合同专用条款。</w:t>
      </w:r>
    </w:p>
    <w:p w14:paraId="64B0635B">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2.17通知和送达</w:t>
      </w:r>
    </w:p>
    <w:p w14:paraId="03F01323">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2.17.1任何一方因履行合同而以合同第一部分尾部所列明的所有通知、文件、材料，均视为已向对方当事人送达；任何一方变更上述送达方式或者地址的，应于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p>
    <w:p w14:paraId="58F9BFB5">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2402E560">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2.18合同使用的文字和适用的法律</w:t>
      </w:r>
    </w:p>
    <w:p w14:paraId="6AC47210">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2.18.1合同使用汉语书就、变更和解释；</w:t>
      </w:r>
    </w:p>
    <w:p w14:paraId="6BADE65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2.18.2合同适用中华人民共和国法律。</w:t>
      </w:r>
    </w:p>
    <w:p w14:paraId="40588AFD">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2.19计量单位</w:t>
      </w:r>
    </w:p>
    <w:p w14:paraId="5CE5853E">
      <w:pPr>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val="0"/>
          <w:color w:val="auto"/>
          <w:spacing w:val="0"/>
          <w:kern w:val="2"/>
          <w:sz w:val="24"/>
          <w:szCs w:val="24"/>
          <w:highlight w:val="none"/>
        </w:rPr>
        <w:t>除技术规范中另有规定外,合同的计量单位均使用国家法定计量单位。</w:t>
      </w:r>
    </w:p>
    <w:p w14:paraId="6394F83C">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2.20履约保证金</w:t>
      </w:r>
    </w:p>
    <w:p w14:paraId="23695F2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2.20.1采购文件要求乙方提交履约保证金的，乙方应按合同金额的</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b/>
          <w:bCs/>
          <w:color w:val="auto"/>
          <w:sz w:val="24"/>
          <w:szCs w:val="24"/>
          <w:highlight w:val="none"/>
          <w:u w:val="single"/>
        </w:rPr>
        <w:t>%</w:t>
      </w:r>
      <w:r>
        <w:rPr>
          <w:rFonts w:hint="eastAsia" w:ascii="微软雅黑" w:hAnsi="微软雅黑" w:eastAsia="微软雅黑" w:cs="微软雅黑"/>
          <w:color w:val="auto"/>
          <w:sz w:val="24"/>
          <w:szCs w:val="24"/>
          <w:highlight w:val="none"/>
        </w:rPr>
        <w:t>计算向下取整至万元，以支票、汇票或者转账等非现金形式，在签订合同前5个日历日内向采购人交纳履约保证金；</w:t>
      </w:r>
    </w:p>
    <w:p w14:paraId="5D66A653">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2.20.2履约保证金待质保期满后无息返还乙方；</w:t>
      </w:r>
    </w:p>
    <w:p w14:paraId="22F3B2FD">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0150678">
      <w:pPr>
        <w:spacing w:line="360" w:lineRule="auto"/>
        <w:ind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2.21合同份数</w:t>
      </w:r>
    </w:p>
    <w:p w14:paraId="240D752B">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合同一式四份，甲乙双方各持2份，每份均具有同等法律效力。</w:t>
      </w:r>
    </w:p>
    <w:p w14:paraId="48A86A93">
      <w:pPr>
        <w:ind w:firstLine="0" w:firstLineChars="0"/>
        <w:outlineLvl w:val="9"/>
        <w:rPr>
          <w:rFonts w:hint="eastAsia" w:ascii="微软雅黑" w:hAnsi="微软雅黑" w:eastAsia="微软雅黑" w:cs="微软雅黑"/>
          <w:color w:val="auto"/>
          <w:kern w:val="44"/>
          <w:sz w:val="24"/>
          <w:szCs w:val="24"/>
          <w:highlight w:val="none"/>
        </w:rPr>
      </w:pPr>
    </w:p>
    <w:p w14:paraId="41CEABCE">
      <w:pPr>
        <w:ind w:firstLine="0" w:firstLineChars="0"/>
        <w:outlineLvl w:val="9"/>
        <w:rPr>
          <w:rFonts w:hint="eastAsia" w:ascii="微软雅黑" w:hAnsi="微软雅黑" w:eastAsia="微软雅黑" w:cs="微软雅黑"/>
          <w:color w:val="auto"/>
          <w:kern w:val="44"/>
          <w:sz w:val="24"/>
          <w:szCs w:val="24"/>
          <w:highlight w:val="none"/>
        </w:rPr>
      </w:pPr>
    </w:p>
    <w:p w14:paraId="54724BE0">
      <w:pPr>
        <w:ind w:firstLine="0" w:firstLineChars="0"/>
        <w:outlineLvl w:val="9"/>
        <w:rPr>
          <w:rFonts w:hint="eastAsia" w:ascii="微软雅黑" w:hAnsi="微软雅黑" w:eastAsia="微软雅黑" w:cs="微软雅黑"/>
          <w:color w:val="auto"/>
          <w:kern w:val="44"/>
          <w:sz w:val="24"/>
          <w:szCs w:val="24"/>
          <w:highlight w:val="none"/>
        </w:rPr>
      </w:pPr>
    </w:p>
    <w:p w14:paraId="6A8176A9">
      <w:pPr>
        <w:ind w:firstLine="0" w:firstLineChars="0"/>
        <w:outlineLvl w:val="9"/>
        <w:rPr>
          <w:rFonts w:hint="eastAsia" w:ascii="微软雅黑" w:hAnsi="微软雅黑" w:eastAsia="微软雅黑" w:cs="微软雅黑"/>
          <w:color w:val="auto"/>
          <w:kern w:val="44"/>
          <w:sz w:val="24"/>
          <w:szCs w:val="24"/>
          <w:highlight w:val="none"/>
        </w:rPr>
      </w:pPr>
    </w:p>
    <w:p w14:paraId="5E60DD2A">
      <w:pPr>
        <w:ind w:firstLine="0" w:firstLineChars="0"/>
        <w:outlineLvl w:val="9"/>
        <w:rPr>
          <w:rFonts w:hint="eastAsia" w:ascii="微软雅黑" w:hAnsi="微软雅黑" w:eastAsia="微软雅黑" w:cs="微软雅黑"/>
          <w:color w:val="auto"/>
          <w:kern w:val="44"/>
          <w:sz w:val="24"/>
          <w:szCs w:val="24"/>
          <w:highlight w:val="none"/>
        </w:rPr>
      </w:pPr>
    </w:p>
    <w:p w14:paraId="1773765C">
      <w:pPr>
        <w:ind w:firstLine="0" w:firstLineChars="0"/>
        <w:outlineLvl w:val="9"/>
        <w:rPr>
          <w:rFonts w:hint="eastAsia" w:ascii="微软雅黑" w:hAnsi="微软雅黑" w:eastAsia="微软雅黑" w:cs="微软雅黑"/>
          <w:color w:val="auto"/>
          <w:kern w:val="44"/>
          <w:sz w:val="24"/>
          <w:szCs w:val="24"/>
          <w:highlight w:val="none"/>
        </w:rPr>
      </w:pPr>
    </w:p>
    <w:p w14:paraId="1D74A995">
      <w:pPr>
        <w:ind w:firstLine="0" w:firstLineChars="0"/>
        <w:outlineLvl w:val="9"/>
        <w:rPr>
          <w:rFonts w:hint="eastAsia" w:ascii="微软雅黑" w:hAnsi="微软雅黑" w:eastAsia="微软雅黑" w:cs="微软雅黑"/>
          <w:color w:val="auto"/>
          <w:kern w:val="44"/>
          <w:sz w:val="24"/>
          <w:szCs w:val="24"/>
          <w:highlight w:val="none"/>
        </w:rPr>
      </w:pPr>
    </w:p>
    <w:p w14:paraId="0027B5AA">
      <w:pPr>
        <w:spacing w:line="560" w:lineRule="exact"/>
        <w:ind w:firstLine="0"/>
        <w:jc w:val="center"/>
        <w:outlineLvl w:val="9"/>
        <w:rPr>
          <w:rFonts w:hint="eastAsia" w:ascii="微软雅黑" w:hAnsi="微软雅黑" w:eastAsia="微软雅黑" w:cs="微软雅黑"/>
          <w:b/>
          <w:bCs/>
          <w:color w:val="auto"/>
          <w:kern w:val="2"/>
          <w:sz w:val="24"/>
          <w:szCs w:val="24"/>
          <w:highlight w:val="none"/>
        </w:rPr>
      </w:pPr>
    </w:p>
    <w:p w14:paraId="0216F4E5">
      <w:pPr>
        <w:spacing w:line="560" w:lineRule="exact"/>
        <w:ind w:firstLine="0"/>
        <w:jc w:val="center"/>
        <w:outlineLvl w:val="9"/>
        <w:rPr>
          <w:rFonts w:hint="eastAsia" w:ascii="微软雅黑" w:hAnsi="微软雅黑" w:eastAsia="微软雅黑" w:cs="微软雅黑"/>
          <w:b/>
          <w:bCs/>
          <w:color w:val="auto"/>
          <w:kern w:val="2"/>
          <w:sz w:val="24"/>
          <w:szCs w:val="24"/>
          <w:highlight w:val="none"/>
        </w:rPr>
      </w:pPr>
      <w:r>
        <w:rPr>
          <w:rFonts w:hint="eastAsia" w:ascii="微软雅黑" w:hAnsi="微软雅黑" w:eastAsia="微软雅黑" w:cs="微软雅黑"/>
          <w:b/>
          <w:bCs/>
          <w:color w:val="auto"/>
          <w:kern w:val="2"/>
          <w:sz w:val="24"/>
          <w:szCs w:val="24"/>
          <w:highlight w:val="none"/>
        </w:rPr>
        <w:t>第三部分</w:t>
      </w:r>
      <w:r>
        <w:rPr>
          <w:rFonts w:hint="eastAsia" w:ascii="微软雅黑" w:hAnsi="微软雅黑" w:eastAsia="微软雅黑" w:cs="微软雅黑"/>
          <w:b/>
          <w:bCs/>
          <w:color w:val="auto"/>
          <w:kern w:val="2"/>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rPr>
        <w:t>合同专用条款</w:t>
      </w:r>
    </w:p>
    <w:p w14:paraId="54ACA182">
      <w:pPr>
        <w:spacing w:line="36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A04A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33984D2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条款号</w:t>
            </w:r>
          </w:p>
        </w:tc>
        <w:tc>
          <w:tcPr>
            <w:tcW w:w="7633" w:type="dxa"/>
            <w:vAlign w:val="center"/>
          </w:tcPr>
          <w:p w14:paraId="1678699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约定内容</w:t>
            </w:r>
          </w:p>
        </w:tc>
      </w:tr>
      <w:tr w14:paraId="091DA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7189733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43FAFDE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7078F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6710B7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08663FD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45530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C93800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3DA2F1D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145B9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E0DAFD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466F067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04DBA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0ED3CF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52F102E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u w:val="single"/>
              </w:rPr>
            </w:pPr>
          </w:p>
        </w:tc>
      </w:tr>
      <w:tr w14:paraId="53FB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559FA5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7B5EA32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76B14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484D23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150CC27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u w:val="single"/>
              </w:rPr>
            </w:pPr>
          </w:p>
        </w:tc>
      </w:tr>
      <w:tr w14:paraId="78ED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9567F6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3B23C8D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26F7C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023707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3152B0F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59B83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F22026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661C7F1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5D9C5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67278F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65F1657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r w14:paraId="42468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578A43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c>
          <w:tcPr>
            <w:tcW w:w="7633" w:type="dxa"/>
            <w:vAlign w:val="center"/>
          </w:tcPr>
          <w:p w14:paraId="7AFF1E2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outlineLvl w:val="9"/>
              <w:rPr>
                <w:rFonts w:hint="eastAsia" w:ascii="微软雅黑" w:hAnsi="微软雅黑" w:eastAsia="微软雅黑" w:cs="微软雅黑"/>
                <w:color w:val="auto"/>
                <w:sz w:val="24"/>
                <w:szCs w:val="24"/>
                <w:highlight w:val="none"/>
              </w:rPr>
            </w:pPr>
          </w:p>
        </w:tc>
      </w:tr>
    </w:tbl>
    <w:p w14:paraId="7DD92A9E">
      <w:pPr>
        <w:ind w:left="0" w:leftChars="0" w:firstLine="0" w:firstLineChars="0"/>
        <w:rPr>
          <w:rFonts w:ascii="仿宋" w:hAnsi="仿宋" w:eastAsia="仿宋" w:cs="仿宋"/>
          <w:snapToGrid w:val="0"/>
          <w:color w:val="auto"/>
          <w:spacing w:val="-9"/>
          <w:kern w:val="0"/>
          <w:sz w:val="31"/>
          <w:szCs w:val="31"/>
          <w:highlight w:val="none"/>
          <w:lang w:eastAsia="en-US"/>
        </w:rPr>
      </w:pPr>
      <w:r>
        <w:rPr>
          <w:rFonts w:ascii="仿宋" w:hAnsi="仿宋" w:eastAsia="仿宋" w:cs="仿宋"/>
          <w:snapToGrid w:val="0"/>
          <w:color w:val="auto"/>
          <w:spacing w:val="-9"/>
          <w:kern w:val="0"/>
          <w:sz w:val="31"/>
          <w:szCs w:val="31"/>
          <w:highlight w:val="none"/>
          <w:lang w:eastAsia="en-US"/>
        </w:rPr>
        <w:br w:type="page"/>
      </w:r>
    </w:p>
    <w:p w14:paraId="7D150ABF">
      <w:pPr>
        <w:rPr>
          <w:rFonts w:ascii="仿宋" w:hAnsi="仿宋" w:eastAsia="仿宋" w:cs="仿宋"/>
          <w:snapToGrid w:val="0"/>
          <w:color w:val="auto"/>
          <w:spacing w:val="-9"/>
          <w:kern w:val="0"/>
          <w:sz w:val="24"/>
          <w:szCs w:val="24"/>
          <w:highlight w:val="none"/>
          <w:lang w:eastAsia="en-US"/>
        </w:rPr>
      </w:pPr>
    </w:p>
    <w:p w14:paraId="5D41B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3"/>
        <w:rPr>
          <w:rFonts w:ascii="仿宋" w:hAnsi="仿宋" w:eastAsia="仿宋" w:cs="仿宋"/>
          <w:snapToGrid w:val="0"/>
          <w:color w:val="auto"/>
          <w:spacing w:val="-9"/>
          <w:kern w:val="0"/>
          <w:sz w:val="24"/>
          <w:szCs w:val="24"/>
          <w:highlight w:val="none"/>
          <w:lang w:eastAsia="en-US"/>
        </w:rPr>
      </w:pPr>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3：</w:t>
      </w:r>
      <w:r>
        <w:rPr>
          <w:rFonts w:ascii="仿宋" w:hAnsi="仿宋" w:eastAsia="仿宋" w:cs="仿宋"/>
          <w:snapToGrid w:val="0"/>
          <w:color w:val="auto"/>
          <w:spacing w:val="-9"/>
          <w:kern w:val="0"/>
          <w:sz w:val="24"/>
          <w:szCs w:val="24"/>
          <w:highlight w:val="none"/>
          <w:lang w:eastAsia="en-US"/>
        </w:rPr>
        <w:t>政府采购促进中小企业发展管理办法</w:t>
      </w:r>
    </w:p>
    <w:p w14:paraId="7D8B063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ascii="仿宋" w:hAnsi="仿宋" w:eastAsia="仿宋" w:cs="仿宋"/>
          <w:b/>
          <w:bCs/>
          <w:snapToGrid w:val="0"/>
          <w:color w:val="auto"/>
          <w:spacing w:val="-9"/>
          <w:kern w:val="0"/>
          <w:sz w:val="31"/>
          <w:szCs w:val="31"/>
          <w:highlight w:val="none"/>
          <w:lang w:eastAsia="en-US"/>
        </w:rPr>
      </w:pPr>
      <w:r>
        <w:rPr>
          <w:rFonts w:ascii="仿宋" w:hAnsi="仿宋" w:eastAsia="仿宋" w:cs="仿宋"/>
          <w:b/>
          <w:bCs/>
          <w:snapToGrid w:val="0"/>
          <w:color w:val="auto"/>
          <w:spacing w:val="-9"/>
          <w:kern w:val="0"/>
          <w:sz w:val="31"/>
          <w:szCs w:val="31"/>
          <w:highlight w:val="none"/>
          <w:lang w:eastAsia="en-US"/>
        </w:rPr>
        <w:t>政府采购促进中小企业发展管理办法</w:t>
      </w:r>
    </w:p>
    <w:p w14:paraId="787C6A84">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第一条  </w:t>
      </w:r>
      <w:r>
        <w:rPr>
          <w:rFonts w:ascii="仿宋" w:hAnsi="仿宋" w:eastAsia="仿宋" w:cs="仿宋"/>
          <w:snapToGrid w:val="0"/>
          <w:color w:val="auto"/>
          <w:spacing w:val="6"/>
          <w:kern w:val="0"/>
          <w:sz w:val="24"/>
          <w:szCs w:val="24"/>
          <w:highlight w:val="none"/>
          <w:lang w:val="en-US" w:eastAsia="en-US" w:bidi="ar-SA"/>
        </w:rPr>
        <w:t>为了发挥政府采购的政策功能，</w:t>
      </w:r>
      <w:r>
        <w:rPr>
          <w:rFonts w:ascii="仿宋" w:hAnsi="仿宋" w:eastAsia="仿宋" w:cs="仿宋"/>
          <w:snapToGrid w:val="0"/>
          <w:color w:val="auto"/>
          <w:spacing w:val="5"/>
          <w:kern w:val="0"/>
          <w:sz w:val="24"/>
          <w:szCs w:val="24"/>
          <w:highlight w:val="none"/>
          <w:lang w:val="en-US" w:eastAsia="en-US" w:bidi="ar-SA"/>
        </w:rPr>
        <w:t>促进中小企业</w:t>
      </w:r>
      <w:r>
        <w:rPr>
          <w:rFonts w:ascii="仿宋" w:hAnsi="仿宋" w:eastAsia="仿宋" w:cs="仿宋"/>
          <w:snapToGrid w:val="0"/>
          <w:color w:val="auto"/>
          <w:spacing w:val="-3"/>
          <w:kern w:val="0"/>
          <w:sz w:val="24"/>
          <w:szCs w:val="24"/>
          <w:highlight w:val="none"/>
          <w:lang w:val="en-US" w:eastAsia="en-US" w:bidi="ar-SA"/>
        </w:rPr>
        <w:t>健康发展，根据《中华人民共和国政府采购法</w:t>
      </w:r>
      <w:r>
        <w:rPr>
          <w:rFonts w:ascii="仿宋" w:hAnsi="仿宋" w:eastAsia="仿宋" w:cs="仿宋"/>
          <w:snapToGrid w:val="0"/>
          <w:color w:val="auto"/>
          <w:spacing w:val="-4"/>
          <w:kern w:val="0"/>
          <w:sz w:val="24"/>
          <w:szCs w:val="24"/>
          <w:highlight w:val="none"/>
          <w:lang w:val="en-US" w:eastAsia="en-US" w:bidi="ar-SA"/>
        </w:rPr>
        <w:t>》、《中华人民</w:t>
      </w:r>
      <w:r>
        <w:rPr>
          <w:rFonts w:ascii="仿宋" w:hAnsi="仿宋" w:eastAsia="仿宋" w:cs="仿宋"/>
          <w:snapToGrid w:val="0"/>
          <w:color w:val="auto"/>
          <w:spacing w:val="8"/>
          <w:kern w:val="0"/>
          <w:sz w:val="24"/>
          <w:szCs w:val="24"/>
          <w:highlight w:val="none"/>
          <w:lang w:val="en-US" w:eastAsia="en-US" w:bidi="ar-SA"/>
        </w:rPr>
        <w:t>共和国中小企业促进法》等有关法律法规，制定本办法。</w:t>
      </w:r>
    </w:p>
    <w:p w14:paraId="0CA093F2">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第二条  </w:t>
      </w:r>
      <w:r>
        <w:rPr>
          <w:rFonts w:ascii="仿宋" w:hAnsi="仿宋" w:eastAsia="仿宋" w:cs="仿宋"/>
          <w:snapToGrid w:val="0"/>
          <w:color w:val="auto"/>
          <w:spacing w:val="5"/>
          <w:kern w:val="0"/>
          <w:sz w:val="24"/>
          <w:szCs w:val="24"/>
          <w:highlight w:val="none"/>
          <w:lang w:val="en-US" w:eastAsia="en-US" w:bidi="ar-SA"/>
        </w:rPr>
        <w:t>本办法所称中小企业，是指在中华人民共和国</w:t>
      </w:r>
      <w:r>
        <w:rPr>
          <w:rFonts w:ascii="仿宋" w:hAnsi="仿宋" w:eastAsia="仿宋" w:cs="仿宋"/>
          <w:snapToGrid w:val="0"/>
          <w:color w:val="auto"/>
          <w:spacing w:val="8"/>
          <w:kern w:val="0"/>
          <w:sz w:val="24"/>
          <w:szCs w:val="24"/>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1F217C72">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righ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8"/>
          <w:kern w:val="0"/>
          <w:position w:val="15"/>
          <w:sz w:val="24"/>
          <w:szCs w:val="24"/>
          <w:highlight w:val="none"/>
          <w:lang w:val="en-US" w:eastAsia="en-US" w:bidi="ar-SA"/>
        </w:rPr>
        <w:t>符合中小企业划分标准的个体工商户，在政府采购活动</w:t>
      </w:r>
    </w:p>
    <w:p w14:paraId="6E54917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kern w:val="0"/>
          <w:sz w:val="24"/>
          <w:szCs w:val="24"/>
          <w:highlight w:val="none"/>
          <w:lang w:val="en-US" w:eastAsia="en-US" w:bidi="ar-SA"/>
        </w:rPr>
        <w:t>中视同中小企业。</w:t>
      </w:r>
    </w:p>
    <w:p w14:paraId="7E138E77">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第三条  </w:t>
      </w:r>
      <w:r>
        <w:rPr>
          <w:rFonts w:ascii="仿宋" w:hAnsi="仿宋" w:eastAsia="仿宋" w:cs="仿宋"/>
          <w:snapToGrid w:val="0"/>
          <w:color w:val="auto"/>
          <w:spacing w:val="19"/>
          <w:kern w:val="0"/>
          <w:sz w:val="24"/>
          <w:szCs w:val="24"/>
          <w:highlight w:val="none"/>
          <w:lang w:val="en-US" w:eastAsia="en-US" w:bidi="ar-SA"/>
        </w:rPr>
        <w:t>采购人在政府采购活动中应当通过</w:t>
      </w:r>
      <w:r>
        <w:rPr>
          <w:rFonts w:ascii="仿宋" w:hAnsi="仿宋" w:eastAsia="仿宋" w:cs="仿宋"/>
          <w:snapToGrid w:val="0"/>
          <w:color w:val="auto"/>
          <w:spacing w:val="18"/>
          <w:kern w:val="0"/>
          <w:sz w:val="24"/>
          <w:szCs w:val="24"/>
          <w:highlight w:val="none"/>
          <w:lang w:val="en-US" w:eastAsia="en-US" w:bidi="ar-SA"/>
        </w:rPr>
        <w:t>加强采购</w:t>
      </w:r>
      <w:r>
        <w:rPr>
          <w:rFonts w:ascii="仿宋" w:hAnsi="仿宋" w:eastAsia="仿宋" w:cs="仿宋"/>
          <w:snapToGrid w:val="0"/>
          <w:color w:val="auto"/>
          <w:spacing w:val="8"/>
          <w:kern w:val="0"/>
          <w:sz w:val="24"/>
          <w:szCs w:val="24"/>
          <w:highlight w:val="none"/>
          <w:lang w:val="en-US" w:eastAsia="en-US" w:bidi="ar-SA"/>
        </w:rPr>
        <w:t>需求管理，落实预留采购份额、价格评审优惠、优先采购等措施，提高中小企业在政府采购中的份额，支持中小企业发</w:t>
      </w:r>
      <w:r>
        <w:rPr>
          <w:rFonts w:ascii="仿宋" w:hAnsi="仿宋" w:eastAsia="仿宋" w:cs="仿宋"/>
          <w:snapToGrid w:val="0"/>
          <w:color w:val="auto"/>
          <w:spacing w:val="-7"/>
          <w:kern w:val="0"/>
          <w:sz w:val="24"/>
          <w:szCs w:val="24"/>
          <w:highlight w:val="none"/>
          <w:lang w:val="en-US" w:eastAsia="en-US" w:bidi="ar-SA"/>
        </w:rPr>
        <w:t>展。</w:t>
      </w:r>
    </w:p>
    <w:p w14:paraId="678593C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4"/>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第四条  </w:t>
      </w:r>
      <w:r>
        <w:rPr>
          <w:rFonts w:ascii="仿宋" w:hAnsi="仿宋" w:eastAsia="仿宋" w:cs="仿宋"/>
          <w:snapToGrid w:val="0"/>
          <w:color w:val="auto"/>
          <w:spacing w:val="5"/>
          <w:kern w:val="0"/>
          <w:sz w:val="24"/>
          <w:szCs w:val="24"/>
          <w:highlight w:val="none"/>
          <w:lang w:val="en-US" w:eastAsia="en-US" w:bidi="ar-SA"/>
        </w:rPr>
        <w:t>在政府采购活动中，供应商提供的货物、工程</w:t>
      </w:r>
      <w:r>
        <w:rPr>
          <w:rFonts w:ascii="仿宋" w:hAnsi="仿宋" w:eastAsia="仿宋" w:cs="仿宋"/>
          <w:snapToGrid w:val="0"/>
          <w:color w:val="auto"/>
          <w:spacing w:val="8"/>
          <w:kern w:val="0"/>
          <w:sz w:val="24"/>
          <w:szCs w:val="24"/>
          <w:highlight w:val="none"/>
          <w:lang w:val="en-US" w:eastAsia="en-US" w:bidi="ar-SA"/>
        </w:rPr>
        <w:t>或者服务符合下列情形的，享受本办法规定的中小企业扶持</w:t>
      </w:r>
      <w:r>
        <w:rPr>
          <w:rFonts w:ascii="仿宋" w:hAnsi="仿宋" w:eastAsia="仿宋" w:cs="仿宋"/>
          <w:snapToGrid w:val="0"/>
          <w:color w:val="auto"/>
          <w:spacing w:val="-2"/>
          <w:kern w:val="0"/>
          <w:sz w:val="24"/>
          <w:szCs w:val="24"/>
          <w:highlight w:val="none"/>
          <w:lang w:val="en-US" w:eastAsia="en-US" w:bidi="ar-SA"/>
        </w:rPr>
        <w:t>政策：</w:t>
      </w:r>
    </w:p>
    <w:p w14:paraId="43DF2F07">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（一）在货物采购项目中，货物由中小企业制造，即货</w:t>
      </w:r>
    </w:p>
    <w:p w14:paraId="120E9C13">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物由中小企业生产且使用该中小企业商号或者注册商标；</w:t>
      </w:r>
    </w:p>
    <w:p w14:paraId="14DAB23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（二）在工程采购项目中，工程由中小企业承建，即工</w:t>
      </w:r>
    </w:p>
    <w:p w14:paraId="79133E5C">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程施工单位为中小企业；</w:t>
      </w:r>
    </w:p>
    <w:p w14:paraId="172BE505">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（三）在服务采购项目中，服务由中小企业承接，即提供服务的人员为中小企业依照《中华人民共和国劳动合同法》订立劳动合同的从业人员。</w:t>
      </w:r>
    </w:p>
    <w:p w14:paraId="5A5182EB">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在货物采购项目中，供应商提供的货物既有中小企业制造货物，也有大型企业制造货物的，不享受本办法规定的中小企业扶持政策。</w:t>
      </w:r>
    </w:p>
    <w:p w14:paraId="0DD57962">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以联合体形式参加政府采购活动，联合体各方均为中小企业的，联合体视同中小企业。其中，联合体各方</w:t>
      </w:r>
      <w:r>
        <w:rPr>
          <w:rFonts w:ascii="仿宋" w:hAnsi="仿宋" w:eastAsia="仿宋" w:cs="仿宋"/>
          <w:snapToGrid w:val="0"/>
          <w:color w:val="auto"/>
          <w:spacing w:val="8"/>
          <w:kern w:val="0"/>
          <w:sz w:val="24"/>
          <w:szCs w:val="24"/>
          <w:highlight w:val="none"/>
          <w:lang w:val="en-US" w:eastAsia="en-US" w:bidi="ar-SA"/>
        </w:rPr>
        <w:t>均为小微</w:t>
      </w:r>
      <w:r>
        <w:rPr>
          <w:rFonts w:ascii="仿宋" w:hAnsi="仿宋" w:eastAsia="仿宋" w:cs="仿宋"/>
          <w:snapToGrid w:val="0"/>
          <w:color w:val="auto"/>
          <w:spacing w:val="7"/>
          <w:kern w:val="0"/>
          <w:sz w:val="24"/>
          <w:szCs w:val="24"/>
          <w:highlight w:val="none"/>
          <w:lang w:val="en-US" w:eastAsia="en-US" w:bidi="ar-SA"/>
        </w:rPr>
        <w:t>企业的，联合体视同小微企业。</w:t>
      </w:r>
    </w:p>
    <w:p w14:paraId="4FB639C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第五条  </w:t>
      </w:r>
      <w:r>
        <w:rPr>
          <w:rFonts w:ascii="仿宋" w:hAnsi="仿宋" w:eastAsia="仿宋" w:cs="仿宋"/>
          <w:snapToGrid w:val="0"/>
          <w:color w:val="auto"/>
          <w:spacing w:val="19"/>
          <w:kern w:val="0"/>
          <w:sz w:val="24"/>
          <w:szCs w:val="24"/>
          <w:highlight w:val="none"/>
          <w:lang w:val="en-US" w:eastAsia="en-US" w:bidi="ar-SA"/>
        </w:rPr>
        <w:t>采购人在政府采购活动中应当合理</w:t>
      </w:r>
      <w:r>
        <w:rPr>
          <w:rFonts w:ascii="仿宋" w:hAnsi="仿宋" w:eastAsia="仿宋" w:cs="仿宋"/>
          <w:snapToGrid w:val="0"/>
          <w:color w:val="auto"/>
          <w:spacing w:val="18"/>
          <w:kern w:val="0"/>
          <w:sz w:val="24"/>
          <w:szCs w:val="24"/>
          <w:highlight w:val="none"/>
          <w:lang w:val="en-US" w:eastAsia="en-US" w:bidi="ar-SA"/>
        </w:rPr>
        <w:t>确定采购</w:t>
      </w:r>
      <w:r>
        <w:rPr>
          <w:rFonts w:ascii="仿宋" w:hAnsi="仿宋" w:eastAsia="仿宋" w:cs="仿宋"/>
          <w:snapToGrid w:val="0"/>
          <w:color w:val="auto"/>
          <w:spacing w:val="8"/>
          <w:kern w:val="0"/>
          <w:sz w:val="24"/>
          <w:szCs w:val="24"/>
          <w:highlight w:val="none"/>
          <w:lang w:val="en-US" w:eastAsia="en-US" w:bidi="ar-SA"/>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9247030">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第六条  </w:t>
      </w:r>
      <w:r>
        <w:rPr>
          <w:rFonts w:ascii="仿宋" w:hAnsi="仿宋" w:eastAsia="仿宋" w:cs="仿宋"/>
          <w:snapToGrid w:val="0"/>
          <w:color w:val="auto"/>
          <w:spacing w:val="19"/>
          <w:kern w:val="0"/>
          <w:sz w:val="24"/>
          <w:szCs w:val="24"/>
          <w:highlight w:val="none"/>
          <w:lang w:val="en-US" w:eastAsia="en-US" w:bidi="ar-SA"/>
        </w:rPr>
        <w:t>主管预算单位应当组织评估本部门</w:t>
      </w:r>
      <w:r>
        <w:rPr>
          <w:rFonts w:ascii="仿宋" w:hAnsi="仿宋" w:eastAsia="仿宋" w:cs="仿宋"/>
          <w:snapToGrid w:val="0"/>
          <w:color w:val="auto"/>
          <w:spacing w:val="18"/>
          <w:kern w:val="0"/>
          <w:sz w:val="24"/>
          <w:szCs w:val="24"/>
          <w:highlight w:val="none"/>
          <w:lang w:val="en-US" w:eastAsia="en-US" w:bidi="ar-SA"/>
        </w:rPr>
        <w:t>及所属单</w:t>
      </w:r>
      <w:r>
        <w:rPr>
          <w:rFonts w:ascii="仿宋" w:hAnsi="仿宋" w:eastAsia="仿宋" w:cs="仿宋"/>
          <w:snapToGrid w:val="0"/>
          <w:color w:val="auto"/>
          <w:spacing w:val="8"/>
          <w:kern w:val="0"/>
          <w:sz w:val="24"/>
          <w:szCs w:val="24"/>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ascii="仿宋" w:hAnsi="仿宋" w:eastAsia="仿宋" w:cs="仿宋"/>
          <w:snapToGrid w:val="0"/>
          <w:color w:val="auto"/>
          <w:spacing w:val="-4"/>
          <w:kern w:val="0"/>
          <w:sz w:val="24"/>
          <w:szCs w:val="24"/>
          <w:highlight w:val="none"/>
          <w:lang w:val="en-US" w:eastAsia="en-US" w:bidi="ar-SA"/>
        </w:rPr>
        <w:t>列示。</w:t>
      </w:r>
    </w:p>
    <w:p w14:paraId="551C875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符合下列情形之一的，可不专门面向中小企业预留采购份额：</w:t>
      </w:r>
    </w:p>
    <w:p w14:paraId="5DF07A85">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（一）法律法规和国家有关政策明确规定优先或者应当面向事业单位、社会组织等非企业主体采购的；</w:t>
      </w:r>
    </w:p>
    <w:p w14:paraId="5376121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（二）因确需使用不可替代的专利、专有技术，基础设施限制，或者提供特定公共服务等原因，只能从中小企业之外的供应商处采购的；</w:t>
      </w:r>
    </w:p>
    <w:p w14:paraId="2521B83B">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（三）按照本办法规定预留采购份额无法确保充分供应、充分竞争，或者存在可能影响政府采购目标实现的情形；</w:t>
      </w:r>
    </w:p>
    <w:p w14:paraId="7B3D07F6">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（四）框架协议采购项目；</w:t>
      </w:r>
    </w:p>
    <w:p w14:paraId="6F8B265D">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（五）省级以上人民政府财政部门规定的其他情形。</w:t>
      </w:r>
    </w:p>
    <w:p w14:paraId="2BF8C624">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除上述情形外，其他均为适宜由中小企业提供的情形。</w:t>
      </w:r>
    </w:p>
    <w:p w14:paraId="59E976E3">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7"/>
          <w:kern w:val="0"/>
          <w:sz w:val="24"/>
          <w:szCs w:val="24"/>
          <w:highlight w:val="none"/>
          <w:lang w:val="en-US" w:eastAsia="en-US" w:bidi="ar-SA"/>
        </w:rPr>
        <w:t xml:space="preserve">第七条  </w:t>
      </w:r>
      <w:r>
        <w:rPr>
          <w:rFonts w:ascii="仿宋" w:hAnsi="仿宋" w:eastAsia="仿宋" w:cs="仿宋"/>
          <w:snapToGrid w:val="0"/>
          <w:color w:val="auto"/>
          <w:spacing w:val="7"/>
          <w:kern w:val="0"/>
          <w:sz w:val="24"/>
          <w:szCs w:val="24"/>
          <w:highlight w:val="none"/>
          <w:lang w:val="en-US" w:eastAsia="en-US" w:bidi="ar-SA"/>
        </w:rPr>
        <w:t>采购限额标准以上，200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7"/>
          <w:kern w:val="0"/>
          <w:sz w:val="24"/>
          <w:szCs w:val="24"/>
          <w:highlight w:val="none"/>
          <w:lang w:val="en-US" w:eastAsia="en-US" w:bidi="ar-SA"/>
        </w:rPr>
        <w:t>万元以下的货物和服</w:t>
      </w:r>
      <w:r>
        <w:rPr>
          <w:rFonts w:ascii="仿宋" w:hAnsi="仿宋" w:eastAsia="仿宋" w:cs="仿宋"/>
          <w:snapToGrid w:val="0"/>
          <w:color w:val="auto"/>
          <w:spacing w:val="9"/>
          <w:kern w:val="0"/>
          <w:sz w:val="24"/>
          <w:szCs w:val="24"/>
          <w:highlight w:val="none"/>
          <w:lang w:val="en-US" w:eastAsia="en-US" w:bidi="ar-SA"/>
        </w:rPr>
        <w:t>务采购项目、400</w:t>
      </w:r>
      <w:r>
        <w:rPr>
          <w:rFonts w:ascii="仿宋" w:hAnsi="仿宋" w:eastAsia="仿宋" w:cs="仿宋"/>
          <w:snapToGrid w:val="0"/>
          <w:color w:val="auto"/>
          <w:spacing w:val="-31"/>
          <w:kern w:val="0"/>
          <w:sz w:val="24"/>
          <w:szCs w:val="24"/>
          <w:highlight w:val="none"/>
          <w:lang w:val="en-US" w:eastAsia="en-US" w:bidi="ar-SA"/>
        </w:rPr>
        <w:t xml:space="preserve"> </w:t>
      </w:r>
      <w:r>
        <w:rPr>
          <w:rFonts w:ascii="仿宋" w:hAnsi="仿宋" w:eastAsia="仿宋" w:cs="仿宋"/>
          <w:snapToGrid w:val="0"/>
          <w:color w:val="auto"/>
          <w:spacing w:val="9"/>
          <w:kern w:val="0"/>
          <w:sz w:val="24"/>
          <w:szCs w:val="24"/>
          <w:highlight w:val="none"/>
          <w:lang w:val="en-US" w:eastAsia="en-US" w:bidi="ar-SA"/>
        </w:rPr>
        <w:t>万元以下的工程采购项目，适宜由中小企</w:t>
      </w:r>
      <w:r>
        <w:rPr>
          <w:rFonts w:ascii="仿宋" w:hAnsi="仿宋" w:eastAsia="仿宋" w:cs="仿宋"/>
          <w:snapToGrid w:val="0"/>
          <w:color w:val="auto"/>
          <w:spacing w:val="8"/>
          <w:kern w:val="0"/>
          <w:sz w:val="24"/>
          <w:szCs w:val="24"/>
          <w:highlight w:val="none"/>
          <w:lang w:val="en-US" w:eastAsia="en-US" w:bidi="ar-SA"/>
        </w:rPr>
        <w:t>业提供的，采购人应当专门面向中小企业采购。</w:t>
      </w:r>
    </w:p>
    <w:p w14:paraId="5732C114">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1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5"/>
          <w:kern w:val="0"/>
          <w:sz w:val="24"/>
          <w:szCs w:val="24"/>
          <w:highlight w:val="none"/>
          <w:lang w:val="en-US" w:eastAsia="en-US" w:bidi="ar-SA"/>
        </w:rPr>
        <w:t xml:space="preserve">第八条  </w:t>
      </w:r>
      <w:r>
        <w:rPr>
          <w:rFonts w:ascii="仿宋" w:hAnsi="仿宋" w:eastAsia="仿宋" w:cs="仿宋"/>
          <w:snapToGrid w:val="0"/>
          <w:color w:val="auto"/>
          <w:spacing w:val="15"/>
          <w:kern w:val="0"/>
          <w:sz w:val="24"/>
          <w:szCs w:val="24"/>
          <w:highlight w:val="none"/>
          <w:lang w:val="en-US" w:eastAsia="en-US" w:bidi="ar-SA"/>
        </w:rPr>
        <w:t>超过</w:t>
      </w:r>
      <w:r>
        <w:rPr>
          <w:rFonts w:ascii="仿宋" w:hAnsi="仿宋" w:eastAsia="仿宋" w:cs="仿宋"/>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200</w:t>
      </w:r>
      <w:r>
        <w:rPr>
          <w:rFonts w:ascii="仿宋" w:hAnsi="仿宋" w:eastAsia="仿宋" w:cs="仿宋"/>
          <w:snapToGrid w:val="0"/>
          <w:color w:val="auto"/>
          <w:spacing w:val="-41"/>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万元的货物和服务采购项目、超过</w:t>
      </w:r>
      <w:r>
        <w:rPr>
          <w:rFonts w:ascii="仿宋" w:hAnsi="仿宋" w:eastAsia="仿宋" w:cs="仿宋"/>
          <w:snapToGrid w:val="0"/>
          <w:color w:val="auto"/>
          <w:spacing w:val="10"/>
          <w:kern w:val="0"/>
          <w:sz w:val="24"/>
          <w:szCs w:val="24"/>
          <w:highlight w:val="none"/>
          <w:lang w:val="en-US" w:eastAsia="en-US" w:bidi="ar-SA"/>
        </w:rPr>
        <w:t>400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万元的工程采购项目中适宜由中小企业提供的，预留该</w:t>
      </w:r>
      <w:r>
        <w:rPr>
          <w:rFonts w:ascii="仿宋" w:hAnsi="仿宋" w:eastAsia="仿宋" w:cs="仿宋"/>
          <w:snapToGrid w:val="0"/>
          <w:color w:val="auto"/>
          <w:spacing w:val="11"/>
          <w:kern w:val="0"/>
          <w:sz w:val="24"/>
          <w:szCs w:val="24"/>
          <w:highlight w:val="none"/>
          <w:lang w:val="en-US" w:eastAsia="en-US" w:bidi="ar-SA"/>
        </w:rPr>
        <w:t>部分采购项目预算总额的</w:t>
      </w:r>
      <w:r>
        <w:rPr>
          <w:rFonts w:ascii="仿宋" w:hAnsi="仿宋" w:eastAsia="仿宋" w:cs="仿宋"/>
          <w:snapToGrid w:val="0"/>
          <w:color w:val="auto"/>
          <w:spacing w:val="-55"/>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30%以上专门面向</w:t>
      </w:r>
      <w:r>
        <w:rPr>
          <w:rFonts w:ascii="仿宋" w:hAnsi="仿宋" w:eastAsia="仿宋" w:cs="仿宋"/>
          <w:snapToGrid w:val="0"/>
          <w:color w:val="auto"/>
          <w:spacing w:val="10"/>
          <w:kern w:val="0"/>
          <w:sz w:val="24"/>
          <w:szCs w:val="24"/>
          <w:highlight w:val="none"/>
          <w:lang w:val="en-US" w:eastAsia="en-US" w:bidi="ar-SA"/>
        </w:rPr>
        <w:t>中小企业采购，</w:t>
      </w:r>
      <w:r>
        <w:rPr>
          <w:rFonts w:ascii="仿宋" w:hAnsi="仿宋" w:eastAsia="仿宋" w:cs="仿宋"/>
          <w:snapToGrid w:val="0"/>
          <w:color w:val="auto"/>
          <w:spacing w:val="11"/>
          <w:kern w:val="0"/>
          <w:sz w:val="24"/>
          <w:szCs w:val="24"/>
          <w:highlight w:val="none"/>
          <w:lang w:val="en-US" w:eastAsia="en-US" w:bidi="ar-SA"/>
        </w:rPr>
        <w:t>其中预留给小微企业的比例不低于</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60%。预留份额通</w:t>
      </w:r>
      <w:r>
        <w:rPr>
          <w:rFonts w:ascii="仿宋" w:hAnsi="仿宋" w:eastAsia="仿宋" w:cs="仿宋"/>
          <w:snapToGrid w:val="0"/>
          <w:color w:val="auto"/>
          <w:spacing w:val="10"/>
          <w:kern w:val="0"/>
          <w:sz w:val="24"/>
          <w:szCs w:val="24"/>
          <w:highlight w:val="none"/>
          <w:lang w:val="en-US" w:eastAsia="en-US" w:bidi="ar-SA"/>
        </w:rPr>
        <w:t>过下列</w:t>
      </w:r>
      <w:r>
        <w:rPr>
          <w:rFonts w:ascii="仿宋" w:hAnsi="仿宋" w:eastAsia="仿宋" w:cs="仿宋"/>
          <w:snapToGrid w:val="0"/>
          <w:color w:val="auto"/>
          <w:spacing w:val="3"/>
          <w:kern w:val="0"/>
          <w:sz w:val="24"/>
          <w:szCs w:val="24"/>
          <w:highlight w:val="none"/>
          <w:lang w:val="en-US" w:eastAsia="en-US" w:bidi="ar-SA"/>
        </w:rPr>
        <w:t>措施进行：</w:t>
      </w:r>
    </w:p>
    <w:p w14:paraId="67C59C2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（一）将采购项目整体或者设置采购包专门面向中小企业采购；</w:t>
      </w:r>
    </w:p>
    <w:p w14:paraId="2078EFB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（二）要求供应商以联合体形式参加采购活动，且联合体中中小企业承担的部分达到一定比例；</w:t>
      </w:r>
    </w:p>
    <w:p w14:paraId="0B587F4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（三）要求获得采购合同的供应商将采购项目中的一定比例分包给一家或者多家中小企业。组成联合体或者接受分包合同的中小企业与联合体内其他企业、分包企业之间不得存在直接控股、管理关系。</w:t>
      </w:r>
    </w:p>
    <w:p w14:paraId="420F65C7">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第九条  </w:t>
      </w:r>
      <w:r>
        <w:rPr>
          <w:rFonts w:ascii="仿宋" w:hAnsi="仿宋" w:eastAsia="仿宋" w:cs="仿宋"/>
          <w:snapToGrid w:val="0"/>
          <w:color w:val="auto"/>
          <w:spacing w:val="19"/>
          <w:kern w:val="0"/>
          <w:sz w:val="24"/>
          <w:szCs w:val="24"/>
          <w:highlight w:val="none"/>
          <w:lang w:val="en-US" w:eastAsia="en-US" w:bidi="ar-SA"/>
        </w:rPr>
        <w:t>对于经主管预算单位统筹后未预留</w:t>
      </w:r>
      <w:r>
        <w:rPr>
          <w:rFonts w:ascii="仿宋" w:hAnsi="仿宋" w:eastAsia="仿宋" w:cs="仿宋"/>
          <w:snapToGrid w:val="0"/>
          <w:color w:val="auto"/>
          <w:spacing w:val="18"/>
          <w:kern w:val="0"/>
          <w:sz w:val="24"/>
          <w:szCs w:val="24"/>
          <w:highlight w:val="none"/>
          <w:lang w:val="en-US" w:eastAsia="en-US" w:bidi="ar-SA"/>
        </w:rPr>
        <w:t>份额专门</w:t>
      </w:r>
      <w:r>
        <w:rPr>
          <w:rFonts w:ascii="仿宋" w:hAnsi="仿宋" w:eastAsia="仿宋" w:cs="仿宋"/>
          <w:snapToGrid w:val="0"/>
          <w:color w:val="auto"/>
          <w:spacing w:val="8"/>
          <w:kern w:val="0"/>
          <w:sz w:val="24"/>
          <w:szCs w:val="24"/>
          <w:highlight w:val="none"/>
          <w:lang w:val="en-US" w:eastAsia="en-US" w:bidi="ar-SA"/>
        </w:rPr>
        <w:t>面向中小企业采购的采购项目，以及预留份额项目中的非预留部分采购包，采购人、采购代理机构应当对符合本办法规</w:t>
      </w:r>
      <w:r>
        <w:rPr>
          <w:rFonts w:ascii="仿宋" w:hAnsi="仿宋" w:eastAsia="仿宋" w:cs="仿宋"/>
          <w:snapToGrid w:val="0"/>
          <w:color w:val="auto"/>
          <w:spacing w:val="5"/>
          <w:kern w:val="0"/>
          <w:sz w:val="24"/>
          <w:szCs w:val="24"/>
          <w:highlight w:val="none"/>
          <w:lang w:val="en-US" w:eastAsia="en-US" w:bidi="ar-SA"/>
        </w:rPr>
        <w:t>定的小微企业报价给予</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6%—</w:t>
      </w:r>
      <w:r>
        <w:rPr>
          <w:rFonts w:ascii="仿宋" w:hAnsi="仿宋" w:eastAsia="仿宋" w:cs="仿宋"/>
          <w:snapToGrid w:val="0"/>
          <w:color w:val="auto"/>
          <w:spacing w:val="-121"/>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10%（工程项</w:t>
      </w:r>
      <w:r>
        <w:rPr>
          <w:rFonts w:ascii="仿宋" w:hAnsi="仿宋" w:eastAsia="仿宋" w:cs="仿宋"/>
          <w:snapToGrid w:val="0"/>
          <w:color w:val="auto"/>
          <w:spacing w:val="4"/>
          <w:kern w:val="0"/>
          <w:sz w:val="24"/>
          <w:szCs w:val="24"/>
          <w:highlight w:val="none"/>
          <w:lang w:val="en-US" w:eastAsia="en-US" w:bidi="ar-SA"/>
        </w:rPr>
        <w:t>目为3%—5%）的扣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w:t>
      </w:r>
      <w:r>
        <w:rPr>
          <w:rFonts w:ascii="仿宋" w:hAnsi="仿宋" w:eastAsia="仿宋" w:cs="仿宋"/>
          <w:snapToGrid w:val="0"/>
          <w:color w:val="auto"/>
          <w:spacing w:val="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工程建设项目，采用综合评估法但未采用低价优先法计算价格分的，评标时应当在采用原报价进行评分的基础上增加其</w:t>
      </w:r>
      <w:r>
        <w:rPr>
          <w:rFonts w:ascii="仿宋" w:hAnsi="仿宋" w:eastAsia="仿宋" w:cs="仿宋"/>
          <w:snapToGrid w:val="0"/>
          <w:color w:val="auto"/>
          <w:spacing w:val="5"/>
          <w:kern w:val="0"/>
          <w:sz w:val="24"/>
          <w:szCs w:val="24"/>
          <w:highlight w:val="none"/>
          <w:lang w:val="en-US" w:eastAsia="en-US" w:bidi="ar-SA"/>
        </w:rPr>
        <w:t>价格得分的</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3%—5%作为其价格分。</w:t>
      </w:r>
    </w:p>
    <w:p w14:paraId="6E233ACE">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10"/>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接受大中型企业与小微企业组成联合体或者允许大中</w:t>
      </w:r>
      <w:r>
        <w:rPr>
          <w:rFonts w:ascii="仿宋" w:hAnsi="仿宋" w:eastAsia="仿宋" w:cs="仿宋"/>
          <w:snapToGrid w:val="0"/>
          <w:color w:val="auto"/>
          <w:spacing w:val="8"/>
          <w:kern w:val="0"/>
          <w:sz w:val="24"/>
          <w:szCs w:val="24"/>
          <w:highlight w:val="none"/>
          <w:lang w:val="en-US" w:eastAsia="en-US" w:bidi="ar-SA"/>
        </w:rPr>
        <w:t>型企业向一家或者多家小微企业分包的采购项目，对于联合</w:t>
      </w:r>
      <w:r>
        <w:rPr>
          <w:rFonts w:ascii="仿宋" w:hAnsi="仿宋" w:eastAsia="仿宋" w:cs="仿宋"/>
          <w:snapToGrid w:val="0"/>
          <w:color w:val="auto"/>
          <w:spacing w:val="21"/>
          <w:kern w:val="0"/>
          <w:sz w:val="24"/>
          <w:szCs w:val="24"/>
          <w:highlight w:val="none"/>
          <w:lang w:val="en-US" w:eastAsia="en-US" w:bidi="ar-SA"/>
        </w:rPr>
        <w:t>协议或者分包意向协议约定小微企业的合同份额占到合同</w:t>
      </w:r>
      <w:r>
        <w:rPr>
          <w:rFonts w:ascii="仿宋" w:hAnsi="仿宋" w:eastAsia="仿宋" w:cs="仿宋"/>
          <w:snapToGrid w:val="0"/>
          <w:color w:val="auto"/>
          <w:spacing w:val="10"/>
          <w:kern w:val="0"/>
          <w:sz w:val="24"/>
          <w:szCs w:val="24"/>
          <w:highlight w:val="none"/>
          <w:lang w:val="en-US" w:eastAsia="en-US" w:bidi="ar-SA"/>
        </w:rPr>
        <w:t>总金额</w:t>
      </w:r>
      <w:r>
        <w:rPr>
          <w:rFonts w:ascii="仿宋" w:hAnsi="仿宋" w:eastAsia="仿宋" w:cs="仿宋"/>
          <w:snapToGrid w:val="0"/>
          <w:color w:val="auto"/>
          <w:spacing w:val="-45"/>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30%以上的，采购人、采购代理机构应当对联合体或</w:t>
      </w:r>
      <w:r>
        <w:rPr>
          <w:rFonts w:ascii="仿宋" w:hAnsi="仿宋" w:eastAsia="仿宋" w:cs="仿宋"/>
          <w:snapToGrid w:val="0"/>
          <w:color w:val="auto"/>
          <w:spacing w:val="5"/>
          <w:kern w:val="0"/>
          <w:sz w:val="24"/>
          <w:szCs w:val="24"/>
          <w:highlight w:val="none"/>
          <w:lang w:val="en-US" w:eastAsia="en-US" w:bidi="ar-SA"/>
        </w:rPr>
        <w:t>者大中型企业的报价给予</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2%-3%（工程项目为</w:t>
      </w:r>
      <w:r>
        <w:rPr>
          <w:rFonts w:ascii="仿宋" w:hAnsi="仿宋" w:eastAsia="仿宋" w:cs="仿宋"/>
          <w:snapToGrid w:val="0"/>
          <w:color w:val="auto"/>
          <w:spacing w:val="-3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1%—2%）的扣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ascii="仿宋" w:hAnsi="仿宋" w:eastAsia="仿宋" w:cs="仿宋"/>
          <w:snapToGrid w:val="0"/>
          <w:color w:val="auto"/>
          <w:spacing w:val="4"/>
          <w:kern w:val="0"/>
          <w:sz w:val="24"/>
          <w:szCs w:val="24"/>
          <w:highlight w:val="none"/>
          <w:lang w:val="en-US" w:eastAsia="en-US" w:bidi="ar-SA"/>
        </w:rPr>
        <w:t>价格得分的</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4"/>
          <w:kern w:val="0"/>
          <w:sz w:val="24"/>
          <w:szCs w:val="24"/>
          <w:highlight w:val="none"/>
          <w:lang w:val="en-US" w:eastAsia="en-US" w:bidi="ar-SA"/>
        </w:rPr>
        <w:t>1%—2%作为其价格分。组成联合</w:t>
      </w:r>
      <w:r>
        <w:rPr>
          <w:rFonts w:ascii="仿宋" w:hAnsi="仿宋" w:eastAsia="仿宋" w:cs="仿宋"/>
          <w:snapToGrid w:val="0"/>
          <w:color w:val="auto"/>
          <w:spacing w:val="3"/>
          <w:kern w:val="0"/>
          <w:sz w:val="24"/>
          <w:szCs w:val="24"/>
          <w:highlight w:val="none"/>
          <w:lang w:val="en-US" w:eastAsia="en-US" w:bidi="ar-SA"/>
        </w:rPr>
        <w:t>体或者接受分包</w:t>
      </w:r>
      <w:r>
        <w:rPr>
          <w:rFonts w:ascii="仿宋" w:hAnsi="仿宋" w:eastAsia="仿宋" w:cs="仿宋"/>
          <w:snapToGrid w:val="0"/>
          <w:color w:val="auto"/>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的小微企业与联合体内其他企业、分包企业之间存在直接控股、管理关系的，不享受价格扣除优惠政策。</w:t>
      </w:r>
    </w:p>
    <w:p w14:paraId="56030C49">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8"/>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价格扣除比例或者价格分加分比例对小型企业和微型</w:t>
      </w:r>
      <w:r>
        <w:rPr>
          <w:rFonts w:ascii="仿宋" w:hAnsi="仿宋" w:eastAsia="仿宋" w:cs="仿宋"/>
          <w:snapToGrid w:val="0"/>
          <w:color w:val="auto"/>
          <w:spacing w:val="8"/>
          <w:kern w:val="0"/>
          <w:sz w:val="24"/>
          <w:szCs w:val="24"/>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5319A031">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第十条  </w:t>
      </w:r>
      <w:r>
        <w:rPr>
          <w:rFonts w:ascii="仿宋" w:hAnsi="仿宋" w:eastAsia="仿宋" w:cs="仿宋"/>
          <w:snapToGrid w:val="0"/>
          <w:color w:val="auto"/>
          <w:spacing w:val="19"/>
          <w:kern w:val="0"/>
          <w:sz w:val="24"/>
          <w:szCs w:val="24"/>
          <w:highlight w:val="none"/>
          <w:lang w:val="en-US" w:eastAsia="en-US" w:bidi="ar-SA"/>
        </w:rPr>
        <w:t>采购人应当严格按照本办法规定和</w:t>
      </w:r>
      <w:r>
        <w:rPr>
          <w:rFonts w:ascii="仿宋" w:hAnsi="仿宋" w:eastAsia="仿宋" w:cs="仿宋"/>
          <w:snapToGrid w:val="0"/>
          <w:color w:val="auto"/>
          <w:spacing w:val="18"/>
          <w:kern w:val="0"/>
          <w:sz w:val="24"/>
          <w:szCs w:val="24"/>
          <w:highlight w:val="none"/>
          <w:lang w:val="en-US" w:eastAsia="en-US" w:bidi="ar-SA"/>
        </w:rPr>
        <w:t>主管预算</w:t>
      </w:r>
      <w:r>
        <w:rPr>
          <w:rFonts w:ascii="仿宋" w:hAnsi="仿宋" w:eastAsia="仿宋" w:cs="仿宋"/>
          <w:snapToGrid w:val="0"/>
          <w:color w:val="auto"/>
          <w:spacing w:val="8"/>
          <w:kern w:val="0"/>
          <w:sz w:val="24"/>
          <w:szCs w:val="24"/>
          <w:highlight w:val="none"/>
          <w:lang w:val="en-US" w:eastAsia="en-US" w:bidi="ar-SA"/>
        </w:rPr>
        <w:t>单位制定的预留采购份额具体方案开展采购活动。预留份额的采购项目或者采购包，通过发布公告方式邀请供应商后，</w:t>
      </w:r>
      <w:r>
        <w:rPr>
          <w:rFonts w:ascii="仿宋" w:hAnsi="仿宋" w:eastAsia="仿宋" w:cs="仿宋"/>
          <w:snapToGrid w:val="0"/>
          <w:color w:val="auto"/>
          <w:spacing w:val="6"/>
          <w:kern w:val="0"/>
          <w:sz w:val="24"/>
          <w:szCs w:val="24"/>
          <w:highlight w:val="none"/>
          <w:lang w:val="en-US" w:eastAsia="en-US" w:bidi="ar-SA"/>
        </w:rPr>
        <w:t>符合资格条件的中小企业数量不足</w:t>
      </w:r>
      <w:r>
        <w:rPr>
          <w:rFonts w:ascii="仿宋" w:hAnsi="仿宋" w:eastAsia="仿宋" w:cs="仿宋"/>
          <w:snapToGrid w:val="0"/>
          <w:color w:val="auto"/>
          <w:spacing w:val="-47"/>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3</w:t>
      </w:r>
      <w:r>
        <w:rPr>
          <w:rFonts w:ascii="仿宋" w:hAnsi="仿宋" w:eastAsia="仿宋" w:cs="仿宋"/>
          <w:snapToGrid w:val="0"/>
          <w:color w:val="auto"/>
          <w:spacing w:val="-49"/>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家的，应当中止采购活</w:t>
      </w:r>
      <w:r>
        <w:rPr>
          <w:rFonts w:ascii="仿宋" w:hAnsi="仿宋" w:eastAsia="仿宋" w:cs="仿宋"/>
          <w:snapToGrid w:val="0"/>
          <w:color w:val="auto"/>
          <w:spacing w:val="8"/>
          <w:kern w:val="0"/>
          <w:sz w:val="24"/>
          <w:szCs w:val="24"/>
          <w:highlight w:val="none"/>
          <w:lang w:val="en-US" w:eastAsia="en-US" w:bidi="ar-SA"/>
        </w:rPr>
        <w:t>动，视同未预留份额的采购项目或者采购包，按照本办法第</w:t>
      </w:r>
      <w:r>
        <w:rPr>
          <w:rFonts w:ascii="仿宋" w:hAnsi="仿宋" w:eastAsia="仿宋" w:cs="仿宋"/>
          <w:snapToGrid w:val="0"/>
          <w:color w:val="auto"/>
          <w:spacing w:val="7"/>
          <w:kern w:val="0"/>
          <w:sz w:val="24"/>
          <w:szCs w:val="24"/>
          <w:highlight w:val="none"/>
          <w:lang w:val="en-US" w:eastAsia="en-US" w:bidi="ar-SA"/>
        </w:rPr>
        <w:t>九条有关规定重新组织采购活动。</w:t>
      </w:r>
    </w:p>
    <w:p w14:paraId="68B8A296">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第十一条</w:t>
      </w:r>
      <w:r>
        <w:rPr>
          <w:rFonts w:ascii="黑体" w:hAnsi="黑体" w:eastAsia="黑体" w:cs="黑体"/>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3"/>
          <w:kern w:val="0"/>
          <w:sz w:val="24"/>
          <w:szCs w:val="24"/>
          <w:highlight w:val="none"/>
          <w:lang w:val="en-US" w:eastAsia="en-US" w:bidi="ar-SA"/>
        </w:rPr>
        <w:t>中小企业参加政府采购活动，应当出具本办</w:t>
      </w:r>
      <w:r>
        <w:rPr>
          <w:rFonts w:ascii="仿宋" w:hAnsi="仿宋" w:eastAsia="仿宋" w:cs="仿宋"/>
          <w:snapToGrid w:val="0"/>
          <w:color w:val="auto"/>
          <w:spacing w:val="2"/>
          <w:kern w:val="0"/>
          <w:sz w:val="24"/>
          <w:szCs w:val="24"/>
          <w:highlight w:val="none"/>
          <w:lang w:val="en-US" w:eastAsia="en-US" w:bidi="ar-SA"/>
        </w:rPr>
        <w:t>法规定的《中小企业声明函》（附</w:t>
      </w:r>
      <w:r>
        <w:rPr>
          <w:rFonts w:ascii="仿宋" w:hAnsi="仿宋" w:eastAsia="仿宋" w:cs="仿宋"/>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2"/>
          <w:kern w:val="0"/>
          <w:sz w:val="24"/>
          <w:szCs w:val="24"/>
          <w:highlight w:val="none"/>
          <w:lang w:val="en-US" w:eastAsia="en-US" w:bidi="ar-SA"/>
        </w:rPr>
        <w:t>1</w:t>
      </w:r>
      <w:r>
        <w:rPr>
          <w:rFonts w:ascii="仿宋" w:hAnsi="仿宋" w:eastAsia="仿宋" w:cs="仿宋"/>
          <w:snapToGrid w:val="0"/>
          <w:color w:val="auto"/>
          <w:spacing w:val="-50"/>
          <w:kern w:val="0"/>
          <w:sz w:val="24"/>
          <w:szCs w:val="24"/>
          <w:highlight w:val="none"/>
          <w:lang w:val="en-US" w:eastAsia="en-US" w:bidi="ar-SA"/>
        </w:rPr>
        <w:t>），</w:t>
      </w:r>
      <w:r>
        <w:rPr>
          <w:rFonts w:ascii="仿宋" w:hAnsi="仿宋" w:eastAsia="仿宋" w:cs="仿宋"/>
          <w:snapToGrid w:val="0"/>
          <w:color w:val="auto"/>
          <w:spacing w:val="2"/>
          <w:kern w:val="0"/>
          <w:sz w:val="24"/>
          <w:szCs w:val="24"/>
          <w:highlight w:val="none"/>
          <w:lang w:val="en-US" w:eastAsia="en-US" w:bidi="ar-SA"/>
        </w:rPr>
        <w:t>否则不得享受相关中</w:t>
      </w:r>
      <w:r>
        <w:rPr>
          <w:rFonts w:ascii="仿宋" w:hAnsi="仿宋" w:eastAsia="仿宋" w:cs="仿宋"/>
          <w:snapToGrid w:val="0"/>
          <w:color w:val="auto"/>
          <w:spacing w:val="8"/>
          <w:kern w:val="0"/>
          <w:sz w:val="24"/>
          <w:szCs w:val="24"/>
          <w:highlight w:val="none"/>
          <w:lang w:val="en-US" w:eastAsia="en-US" w:bidi="ar-SA"/>
        </w:rPr>
        <w:t>小企业扶持政策。任何单位和个人不得要求供应商提供《中小企业声明函》之外的中小企业身份证明文件。</w:t>
      </w:r>
    </w:p>
    <w:p w14:paraId="25F47BA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ascii="仿宋" w:hAnsi="仿宋" w:eastAsia="仿宋" w:cs="仿宋"/>
          <w:snapToGrid w:val="0"/>
          <w:color w:val="auto"/>
          <w:spacing w:val="2"/>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 xml:space="preserve">第十二条  </w:t>
      </w:r>
      <w:r>
        <w:rPr>
          <w:rFonts w:ascii="仿宋" w:hAnsi="仿宋" w:eastAsia="仿宋" w:cs="仿宋"/>
          <w:snapToGrid w:val="0"/>
          <w:color w:val="auto"/>
          <w:spacing w:val="2"/>
          <w:kern w:val="0"/>
          <w:sz w:val="24"/>
          <w:szCs w:val="24"/>
          <w:highlight w:val="none"/>
          <w:lang w:val="en-US" w:eastAsia="en-US" w:bidi="ar-SA"/>
        </w:rPr>
        <w:t>采购项目涉及中小企业采购的，采购文件应当明确以下内容：</w:t>
      </w:r>
    </w:p>
    <w:p w14:paraId="624DBB6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（一）预留份额的采购项目或者采购包，明确该项目或</w:t>
      </w:r>
      <w:r>
        <w:rPr>
          <w:rFonts w:ascii="仿宋" w:hAnsi="仿宋" w:eastAsia="仿宋" w:cs="仿宋"/>
          <w:snapToGrid w:val="0"/>
          <w:color w:val="auto"/>
          <w:spacing w:val="1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相关采购包专门面向中小企业采购，以及相关标的及预算金</w:t>
      </w:r>
      <w:r>
        <w:rPr>
          <w:rFonts w:ascii="仿宋" w:hAnsi="仿宋" w:eastAsia="仿宋" w:cs="仿宋"/>
          <w:snapToGrid w:val="0"/>
          <w:color w:val="auto"/>
          <w:spacing w:val="-6"/>
          <w:kern w:val="0"/>
          <w:sz w:val="24"/>
          <w:szCs w:val="24"/>
          <w:highlight w:val="none"/>
          <w:lang w:val="en-US" w:eastAsia="en-US" w:bidi="ar-SA"/>
        </w:rPr>
        <w:t>额；</w:t>
      </w:r>
    </w:p>
    <w:p w14:paraId="3162FA6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（二）要求以联合体形式参加或者合同分包的，明确联 合协议或者分包意向协议中中小企业合同金额应当达到的比例，并作为供应商资格条件；</w:t>
      </w:r>
    </w:p>
    <w:p w14:paraId="32FB799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（三）非预留份额的采购项目或者采购包，明确有关价格扣除比例或者价格分加分比例；</w:t>
      </w:r>
    </w:p>
    <w:p w14:paraId="0184FFC1">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（四）规定依据本办法规定享受扶持政策获得政府采购合同的，小微企业不得将合同分包给大中型企业，中型企业不得将合同分包给大型企业；</w:t>
      </w:r>
    </w:p>
    <w:p w14:paraId="41CE21F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（五）采购人认为具备相关条件的，明确对中小企业在资金支付期限、预付款比例等方面的优惠措施；</w:t>
      </w:r>
    </w:p>
    <w:p w14:paraId="62451B2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（六）明确采购标的对应的中小企业划分标准所属行业；</w:t>
      </w:r>
    </w:p>
    <w:p w14:paraId="5E1D43E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（七）法律法规和省级以上人民政府财政部门规定的其他事项。</w:t>
      </w:r>
    </w:p>
    <w:p w14:paraId="0185ED7B">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第十三条</w:t>
      </w:r>
      <w:r>
        <w:rPr>
          <w:rFonts w:ascii="黑体" w:hAnsi="黑体" w:eastAsia="黑体" w:cs="黑体"/>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中标、成交供应商享受本办法规定的中小企业扶持政策的，采购人、采购代理机构应当随中标、成交结果公开中标、成交供应商的《中小企业声明函》。</w:t>
      </w:r>
    </w:p>
    <w:p w14:paraId="7FBCF79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适用招标投标法的政府采购工程建设项目，应当在公示中标候选人时公开中标候选</w:t>
      </w:r>
      <w:r>
        <w:rPr>
          <w:rFonts w:ascii="仿宋" w:hAnsi="仿宋" w:eastAsia="仿宋" w:cs="仿宋"/>
          <w:snapToGrid w:val="0"/>
          <w:color w:val="auto"/>
          <w:spacing w:val="2"/>
          <w:kern w:val="0"/>
          <w:sz w:val="24"/>
          <w:szCs w:val="24"/>
          <w:highlight w:val="none"/>
          <w:lang w:val="en-US" w:eastAsia="en-US" w:bidi="ar-SA"/>
        </w:rPr>
        <w:t>人的《中小企业声明函》。</w:t>
      </w:r>
    </w:p>
    <w:p w14:paraId="05DD9FBF">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第十四条  </w:t>
      </w:r>
      <w:r>
        <w:rPr>
          <w:rFonts w:ascii="仿宋" w:hAnsi="仿宋" w:eastAsia="仿宋" w:cs="仿宋"/>
          <w:snapToGrid w:val="0"/>
          <w:color w:val="auto"/>
          <w:spacing w:val="6"/>
          <w:kern w:val="0"/>
          <w:sz w:val="24"/>
          <w:szCs w:val="24"/>
          <w:highlight w:val="none"/>
          <w:lang w:val="en-US" w:eastAsia="en-US" w:bidi="ar-SA"/>
        </w:rPr>
        <w:t>对于通过预留采购项目、预留专门采购包、</w:t>
      </w:r>
      <w:r>
        <w:rPr>
          <w:rFonts w:ascii="仿宋" w:hAnsi="仿宋" w:eastAsia="仿宋" w:cs="仿宋"/>
          <w:snapToGrid w:val="0"/>
          <w:color w:val="auto"/>
          <w:spacing w:val="21"/>
          <w:kern w:val="0"/>
          <w:sz w:val="24"/>
          <w:szCs w:val="24"/>
          <w:highlight w:val="none"/>
          <w:lang w:val="en-US" w:eastAsia="en-US" w:bidi="ar-SA"/>
        </w:rPr>
        <w:t>要求以联合体形式参加或者合同分包等措施签订的采购合</w:t>
      </w:r>
      <w:r>
        <w:rPr>
          <w:rFonts w:ascii="仿宋" w:hAnsi="仿宋" w:eastAsia="仿宋" w:cs="仿宋"/>
          <w:snapToGrid w:val="0"/>
          <w:color w:val="auto"/>
          <w:spacing w:val="8"/>
          <w:kern w:val="0"/>
          <w:sz w:val="24"/>
          <w:szCs w:val="24"/>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19D1ADD9">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第十五条  </w:t>
      </w:r>
      <w:r>
        <w:rPr>
          <w:rFonts w:ascii="仿宋" w:hAnsi="仿宋" w:eastAsia="仿宋" w:cs="仿宋"/>
          <w:snapToGrid w:val="0"/>
          <w:color w:val="auto"/>
          <w:spacing w:val="5"/>
          <w:kern w:val="0"/>
          <w:sz w:val="24"/>
          <w:szCs w:val="24"/>
          <w:highlight w:val="none"/>
          <w:lang w:val="en-US" w:eastAsia="en-US" w:bidi="ar-SA"/>
        </w:rPr>
        <w:t>鼓励各地区、各部门在采购活动中允许中小</w:t>
      </w:r>
      <w:r>
        <w:rPr>
          <w:rFonts w:ascii="仿宋" w:hAnsi="仿宋" w:eastAsia="仿宋" w:cs="仿宋"/>
          <w:snapToGrid w:val="0"/>
          <w:color w:val="auto"/>
          <w:spacing w:val="8"/>
          <w:kern w:val="0"/>
          <w:sz w:val="24"/>
          <w:szCs w:val="24"/>
          <w:highlight w:val="none"/>
          <w:lang w:val="en-US" w:eastAsia="en-US" w:bidi="ar-SA"/>
        </w:rPr>
        <w:t>企业引入信用担保手段，为中小企业在投标（响应）保证、履约保证等方面提供专业化服务。鼓励中小企业依法合规通</w:t>
      </w:r>
      <w:r>
        <w:rPr>
          <w:rFonts w:ascii="仿宋" w:hAnsi="仿宋" w:eastAsia="仿宋" w:cs="仿宋"/>
          <w:snapToGrid w:val="0"/>
          <w:color w:val="auto"/>
          <w:spacing w:val="6"/>
          <w:kern w:val="0"/>
          <w:sz w:val="24"/>
          <w:szCs w:val="24"/>
          <w:highlight w:val="none"/>
          <w:lang w:val="en-US" w:eastAsia="en-US" w:bidi="ar-SA"/>
        </w:rPr>
        <w:t>过政府采购合同融资。</w:t>
      </w:r>
    </w:p>
    <w:p w14:paraId="124D7ED9">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第十六条  </w:t>
      </w:r>
      <w:r>
        <w:rPr>
          <w:rFonts w:ascii="仿宋" w:hAnsi="仿宋" w:eastAsia="仿宋" w:cs="仿宋"/>
          <w:snapToGrid w:val="0"/>
          <w:color w:val="auto"/>
          <w:spacing w:val="5"/>
          <w:kern w:val="0"/>
          <w:sz w:val="24"/>
          <w:szCs w:val="24"/>
          <w:highlight w:val="none"/>
          <w:lang w:val="en-US" w:eastAsia="en-US" w:bidi="ar-SA"/>
        </w:rPr>
        <w:t>政府采购监督检查、投诉处理及政府采购行</w:t>
      </w:r>
      <w:r>
        <w:rPr>
          <w:rFonts w:ascii="仿宋" w:hAnsi="仿宋" w:eastAsia="仿宋" w:cs="仿宋"/>
          <w:snapToGrid w:val="0"/>
          <w:color w:val="auto"/>
          <w:spacing w:val="17"/>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政处罚中对中小企业的认定，由货物制造商或者工程、服务</w:t>
      </w:r>
      <w:r>
        <w:rPr>
          <w:rFonts w:ascii="仿宋" w:hAnsi="仿宋" w:eastAsia="仿宋" w:cs="仿宋"/>
          <w:snapToGrid w:val="0"/>
          <w:color w:val="auto"/>
          <w:spacing w:val="21"/>
          <w:kern w:val="0"/>
          <w:sz w:val="24"/>
          <w:szCs w:val="24"/>
          <w:highlight w:val="none"/>
          <w:lang w:val="en-US" w:eastAsia="en-US" w:bidi="ar-SA"/>
        </w:rPr>
        <w:t>供应商注册登记所在地的县级以上人民政府中小企业主管</w:t>
      </w:r>
      <w:r>
        <w:rPr>
          <w:rFonts w:ascii="仿宋" w:hAnsi="仿宋" w:eastAsia="仿宋" w:cs="仿宋"/>
          <w:snapToGrid w:val="0"/>
          <w:color w:val="auto"/>
          <w:spacing w:val="3"/>
          <w:kern w:val="0"/>
          <w:sz w:val="24"/>
          <w:szCs w:val="24"/>
          <w:highlight w:val="none"/>
          <w:lang w:val="en-US" w:eastAsia="en-US" w:bidi="ar-SA"/>
        </w:rPr>
        <w:t>部门负责。</w:t>
      </w:r>
    </w:p>
    <w:p w14:paraId="247C76E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50"/>
        <w:jc w:val="left"/>
        <w:textAlignment w:val="baseline"/>
        <w:rPr>
          <w:rFonts w:ascii="仿宋" w:hAnsi="仿宋" w:eastAsia="仿宋" w:cs="仿宋"/>
          <w:snapToGrid w:val="0"/>
          <w:color w:val="auto"/>
          <w:spacing w:val="6"/>
          <w:kern w:val="0"/>
          <w:sz w:val="24"/>
          <w:szCs w:val="24"/>
          <w:highlight w:val="none"/>
          <w:lang w:val="en-US" w:eastAsia="en-US" w:bidi="ar-SA"/>
        </w:rPr>
      </w:pPr>
      <w:r>
        <w:rPr>
          <w:rFonts w:ascii="仿宋" w:hAnsi="仿宋" w:eastAsia="仿宋" w:cs="仿宋"/>
          <w:snapToGrid w:val="0"/>
          <w:color w:val="auto"/>
          <w:spacing w:val="17"/>
          <w:kern w:val="0"/>
          <w:sz w:val="24"/>
          <w:szCs w:val="24"/>
          <w:highlight w:val="none"/>
          <w:lang w:val="en-US" w:eastAsia="en-US" w:bidi="ar-SA"/>
        </w:rPr>
        <w:t>中小企业主管部门应当在收到财政部门或者有关招标</w:t>
      </w:r>
      <w:r>
        <w:rPr>
          <w:rFonts w:ascii="仿宋" w:hAnsi="仿宋" w:eastAsia="仿宋" w:cs="仿宋"/>
          <w:snapToGrid w:val="0"/>
          <w:color w:val="auto"/>
          <w:spacing w:val="11"/>
          <w:kern w:val="0"/>
          <w:sz w:val="24"/>
          <w:szCs w:val="24"/>
          <w:highlight w:val="none"/>
          <w:lang w:val="en-US" w:eastAsia="en-US" w:bidi="ar-SA"/>
        </w:rPr>
        <w:t>投标行政监督部门关于协助开展中小企业认定函后10</w:t>
      </w:r>
      <w:r>
        <w:rPr>
          <w:rFonts w:ascii="仿宋" w:hAnsi="仿宋" w:eastAsia="仿宋" w:cs="仿宋"/>
          <w:snapToGrid w:val="0"/>
          <w:color w:val="auto"/>
          <w:spacing w:val="-48"/>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个工</w:t>
      </w:r>
      <w:r>
        <w:rPr>
          <w:rFonts w:ascii="仿宋" w:hAnsi="仿宋" w:eastAsia="仿宋" w:cs="仿宋"/>
          <w:snapToGrid w:val="0"/>
          <w:color w:val="auto"/>
          <w:spacing w:val="6"/>
          <w:kern w:val="0"/>
          <w:sz w:val="24"/>
          <w:szCs w:val="24"/>
          <w:highlight w:val="none"/>
          <w:lang w:val="en-US" w:eastAsia="en-US" w:bidi="ar-SA"/>
        </w:rPr>
        <w:t>作日内做出书面答复。</w:t>
      </w:r>
    </w:p>
    <w:p w14:paraId="17C17705">
      <w:pPr>
        <w:keepNext w:val="0"/>
        <w:keepLines w:val="0"/>
        <w:pageBreakBefore w:val="0"/>
        <w:numPr>
          <w:ilvl w:val="0"/>
          <w:numId w:val="0"/>
        </w:numPr>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50" w:firstLineChars="0"/>
        <w:jc w:val="left"/>
        <w:textAlignment w:val="baseline"/>
        <w:rPr>
          <w:rFonts w:ascii="仿宋" w:hAnsi="仿宋" w:eastAsia="仿宋" w:cs="仿宋"/>
          <w:snapToGrid w:val="0"/>
          <w:color w:val="auto"/>
          <w:spacing w:val="8"/>
          <w:kern w:val="0"/>
          <w:sz w:val="24"/>
          <w:szCs w:val="24"/>
          <w:highlight w:val="none"/>
          <w:lang w:val="en-US" w:eastAsia="en-US" w:bidi="ar-SA"/>
        </w:rPr>
      </w:pPr>
      <w:r>
        <w:rPr>
          <w:rFonts w:hint="eastAsia" w:ascii="黑体" w:hAnsi="黑体" w:eastAsia="黑体" w:cs="黑体"/>
          <w:snapToGrid w:val="0"/>
          <w:color w:val="auto"/>
          <w:spacing w:val="5"/>
          <w:kern w:val="0"/>
          <w:sz w:val="24"/>
          <w:szCs w:val="24"/>
          <w:highlight w:val="none"/>
          <w:lang w:val="en-US" w:eastAsia="en-US" w:bidi="ar-SA"/>
        </w:rPr>
        <w:t>第十七条</w:t>
      </w:r>
      <w:r>
        <w:rPr>
          <w:rFonts w:hint="eastAsia" w:ascii="黑体" w:hAnsi="黑体" w:eastAsia="黑体" w:cs="黑体"/>
          <w:snapToGrid w:val="0"/>
          <w:color w:val="auto"/>
          <w:spacing w:val="5"/>
          <w:kern w:val="0"/>
          <w:sz w:val="24"/>
          <w:szCs w:val="24"/>
          <w:highlight w:val="none"/>
          <w:lang w:val="en-US" w:eastAsia="zh-CN" w:bidi="ar-SA"/>
        </w:rPr>
        <w:t xml:space="preserve"> </w:t>
      </w:r>
      <w:r>
        <w:rPr>
          <w:rFonts w:ascii="仿宋" w:hAnsi="仿宋" w:eastAsia="仿宋" w:cs="仿宋"/>
          <w:snapToGrid w:val="0"/>
          <w:color w:val="auto"/>
          <w:spacing w:val="17"/>
          <w:kern w:val="0"/>
          <w:sz w:val="24"/>
          <w:szCs w:val="24"/>
          <w:highlight w:val="none"/>
          <w:lang w:val="en-US" w:eastAsia="en-US" w:bidi="ar-SA"/>
        </w:rPr>
        <w:t xml:space="preserve"> 各地区、各部门应当对涉及中小企业采购的预算项目实施全过</w:t>
      </w:r>
      <w:r>
        <w:rPr>
          <w:rFonts w:ascii="仿宋" w:hAnsi="仿宋" w:eastAsia="仿宋" w:cs="仿宋"/>
          <w:snapToGrid w:val="0"/>
          <w:color w:val="auto"/>
          <w:spacing w:val="8"/>
          <w:kern w:val="0"/>
          <w:sz w:val="24"/>
          <w:szCs w:val="24"/>
          <w:highlight w:val="none"/>
          <w:lang w:val="en-US" w:eastAsia="en-US" w:bidi="ar-SA"/>
        </w:rPr>
        <w:t>程绩效管理，合理设置绩效目标和指标，落实扶持中小企业有关政策要求，定期开展绩效监控和评价，强化绩效评价结果应用。</w:t>
      </w:r>
    </w:p>
    <w:p w14:paraId="707E19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560" w:lineRule="exact"/>
        <w:ind w:right="0" w:rightChars="0" w:firstLine="512" w:firstLineChars="200"/>
        <w:jc w:val="left"/>
        <w:textAlignment w:val="baseline"/>
        <w:rPr>
          <w:rFonts w:ascii="仿宋" w:hAnsi="仿宋" w:eastAsia="仿宋" w:cs="仿宋"/>
          <w:snapToGrid w:val="0"/>
          <w:color w:val="auto"/>
          <w:spacing w:val="8"/>
          <w:kern w:val="0"/>
          <w:position w:val="18"/>
          <w:sz w:val="24"/>
          <w:szCs w:val="24"/>
          <w:highlight w:val="none"/>
          <w:lang w:val="en-US" w:eastAsia="en-US" w:bidi="ar-SA"/>
        </w:rPr>
      </w:pPr>
      <w:r>
        <w:rPr>
          <w:rFonts w:ascii="黑体" w:hAnsi="黑体" w:eastAsia="黑体" w:cs="黑体"/>
          <w:snapToGrid w:val="0"/>
          <w:color w:val="auto"/>
          <w:spacing w:val="8"/>
          <w:kern w:val="0"/>
          <w:position w:val="18"/>
          <w:sz w:val="24"/>
          <w:szCs w:val="24"/>
          <w:highlight w:val="none"/>
          <w:lang w:val="en-US" w:eastAsia="en-US" w:bidi="ar-SA"/>
        </w:rPr>
        <w:t xml:space="preserve">第十八条  </w:t>
      </w:r>
      <w:r>
        <w:rPr>
          <w:rFonts w:ascii="仿宋" w:hAnsi="仿宋" w:eastAsia="仿宋" w:cs="仿宋"/>
          <w:snapToGrid w:val="0"/>
          <w:color w:val="auto"/>
          <w:spacing w:val="8"/>
          <w:kern w:val="0"/>
          <w:position w:val="18"/>
          <w:sz w:val="24"/>
          <w:szCs w:val="24"/>
          <w:highlight w:val="none"/>
          <w:lang w:val="en-US" w:eastAsia="en-US" w:bidi="ar-SA"/>
        </w:rPr>
        <w:t>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71228B6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第十九条  </w:t>
      </w:r>
      <w:r>
        <w:rPr>
          <w:rFonts w:ascii="仿宋" w:hAnsi="仿宋" w:eastAsia="仿宋" w:cs="仿宋"/>
          <w:snapToGrid w:val="0"/>
          <w:color w:val="auto"/>
          <w:spacing w:val="19"/>
          <w:kern w:val="0"/>
          <w:sz w:val="24"/>
          <w:szCs w:val="24"/>
          <w:highlight w:val="none"/>
          <w:lang w:val="en-US" w:eastAsia="en-US" w:bidi="ar-SA"/>
        </w:rPr>
        <w:t>采购人未按本办法规定为中小企</w:t>
      </w:r>
      <w:r>
        <w:rPr>
          <w:rFonts w:ascii="仿宋" w:hAnsi="仿宋" w:eastAsia="仿宋" w:cs="仿宋"/>
          <w:snapToGrid w:val="0"/>
          <w:color w:val="auto"/>
          <w:spacing w:val="18"/>
          <w:kern w:val="0"/>
          <w:sz w:val="24"/>
          <w:szCs w:val="24"/>
          <w:highlight w:val="none"/>
          <w:lang w:val="en-US" w:eastAsia="en-US" w:bidi="ar-SA"/>
        </w:rPr>
        <w:t>业预留采</w:t>
      </w:r>
      <w:r>
        <w:rPr>
          <w:rFonts w:ascii="仿宋" w:hAnsi="仿宋" w:eastAsia="仿宋" w:cs="仿宋"/>
          <w:snapToGrid w:val="0"/>
          <w:color w:val="auto"/>
          <w:spacing w:val="8"/>
          <w:kern w:val="0"/>
          <w:sz w:val="24"/>
          <w:szCs w:val="24"/>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ascii="仿宋" w:hAnsi="仿宋" w:eastAsia="仿宋" w:cs="仿宋"/>
          <w:snapToGrid w:val="0"/>
          <w:color w:val="auto"/>
          <w:spacing w:val="5"/>
          <w:kern w:val="0"/>
          <w:sz w:val="24"/>
          <w:szCs w:val="24"/>
          <w:highlight w:val="none"/>
          <w:lang w:val="en-US" w:eastAsia="en-US" w:bidi="ar-SA"/>
        </w:rPr>
        <w:t>追究法律责任。</w:t>
      </w:r>
    </w:p>
    <w:p w14:paraId="7407F10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第二十条  </w:t>
      </w:r>
      <w:r>
        <w:rPr>
          <w:rFonts w:ascii="仿宋" w:hAnsi="仿宋" w:eastAsia="仿宋" w:cs="仿宋"/>
          <w:snapToGrid w:val="0"/>
          <w:color w:val="auto"/>
          <w:spacing w:val="19"/>
          <w:kern w:val="0"/>
          <w:sz w:val="24"/>
          <w:szCs w:val="24"/>
          <w:highlight w:val="none"/>
          <w:lang w:val="en-US" w:eastAsia="en-US" w:bidi="ar-SA"/>
        </w:rPr>
        <w:t>供应商按照本办法规定提供声明</w:t>
      </w:r>
      <w:r>
        <w:rPr>
          <w:rFonts w:ascii="仿宋" w:hAnsi="仿宋" w:eastAsia="仿宋" w:cs="仿宋"/>
          <w:snapToGrid w:val="0"/>
          <w:color w:val="auto"/>
          <w:spacing w:val="18"/>
          <w:kern w:val="0"/>
          <w:sz w:val="24"/>
          <w:szCs w:val="24"/>
          <w:highlight w:val="none"/>
          <w:lang w:val="en-US" w:eastAsia="en-US" w:bidi="ar-SA"/>
        </w:rPr>
        <w:t>函内容不</w:t>
      </w:r>
      <w:r>
        <w:rPr>
          <w:rFonts w:ascii="仿宋" w:hAnsi="仿宋" w:eastAsia="仿宋" w:cs="仿宋"/>
          <w:snapToGrid w:val="0"/>
          <w:color w:val="auto"/>
          <w:spacing w:val="8"/>
          <w:kern w:val="0"/>
          <w:sz w:val="24"/>
          <w:szCs w:val="24"/>
          <w:highlight w:val="none"/>
          <w:lang w:val="en-US" w:eastAsia="en-US" w:bidi="ar-SA"/>
        </w:rPr>
        <w:t>实的，属于提供虚假材料谋取中标、成交，依照《中华人民共和国政府采购法》等国家有关规定追究相应责任。</w:t>
      </w:r>
    </w:p>
    <w:p w14:paraId="2ECD8FA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38"/>
        <w:jc w:val="both"/>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6"/>
          <w:kern w:val="0"/>
          <w:sz w:val="24"/>
          <w:szCs w:val="24"/>
          <w:highlight w:val="none"/>
          <w:lang w:val="en-US" w:eastAsia="en-US" w:bidi="ar-SA"/>
        </w:rPr>
        <w:t>适用招标投标法的政府采购工程建设项目，</w:t>
      </w:r>
      <w:r>
        <w:rPr>
          <w:rFonts w:hint="eastAsia" w:ascii="仿宋" w:hAnsi="仿宋" w:eastAsia="仿宋" w:cs="仿宋"/>
          <w:snapToGrid w:val="0"/>
          <w:color w:val="auto"/>
          <w:spacing w:val="6"/>
          <w:kern w:val="0"/>
          <w:sz w:val="24"/>
          <w:szCs w:val="24"/>
          <w:highlight w:val="none"/>
          <w:lang w:val="en-US" w:eastAsia="zh-CN" w:bidi="ar-SA"/>
        </w:rPr>
        <w:t>供应商</w:t>
      </w:r>
      <w:r>
        <w:rPr>
          <w:rFonts w:ascii="仿宋" w:hAnsi="仿宋" w:eastAsia="仿宋" w:cs="仿宋"/>
          <w:snapToGrid w:val="0"/>
          <w:color w:val="auto"/>
          <w:spacing w:val="6"/>
          <w:kern w:val="0"/>
          <w:sz w:val="24"/>
          <w:szCs w:val="24"/>
          <w:highlight w:val="none"/>
          <w:lang w:val="en-US" w:eastAsia="en-US" w:bidi="ar-SA"/>
        </w:rPr>
        <w:t>按照本办法规定提供声明函内容不实的，属于弄虚作假骗取</w:t>
      </w:r>
      <w:r>
        <w:rPr>
          <w:rFonts w:ascii="仿宋" w:hAnsi="仿宋" w:eastAsia="仿宋" w:cs="仿宋"/>
          <w:snapToGrid w:val="0"/>
          <w:color w:val="auto"/>
          <w:spacing w:val="5"/>
          <w:kern w:val="0"/>
          <w:sz w:val="24"/>
          <w:szCs w:val="24"/>
          <w:highlight w:val="none"/>
          <w:lang w:val="en-US" w:eastAsia="en-US" w:bidi="ar-SA"/>
        </w:rPr>
        <w:t>中标，</w:t>
      </w:r>
      <w:r>
        <w:rPr>
          <w:rFonts w:ascii="仿宋" w:hAnsi="仿宋" w:eastAsia="仿宋" w:cs="仿宋"/>
          <w:snapToGrid w:val="0"/>
          <w:color w:val="auto"/>
          <w:spacing w:val="8"/>
          <w:kern w:val="0"/>
          <w:sz w:val="24"/>
          <w:szCs w:val="24"/>
          <w:highlight w:val="none"/>
          <w:lang w:val="en-US" w:eastAsia="en-US" w:bidi="ar-SA"/>
        </w:rPr>
        <w:t>依照《中华人民共和国招标投标法》等国家有关规定追究相</w:t>
      </w:r>
      <w:r>
        <w:rPr>
          <w:rFonts w:ascii="仿宋" w:hAnsi="仿宋" w:eastAsia="仿宋" w:cs="仿宋"/>
          <w:snapToGrid w:val="0"/>
          <w:color w:val="auto"/>
          <w:spacing w:val="2"/>
          <w:kern w:val="0"/>
          <w:sz w:val="24"/>
          <w:szCs w:val="24"/>
          <w:highlight w:val="none"/>
          <w:lang w:val="en-US" w:eastAsia="en-US" w:bidi="ar-SA"/>
        </w:rPr>
        <w:t>应责任。</w:t>
      </w:r>
    </w:p>
    <w:p w14:paraId="71E0C651">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2"/>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第二十一条  </w:t>
      </w:r>
      <w:r>
        <w:rPr>
          <w:rFonts w:ascii="仿宋" w:hAnsi="仿宋" w:eastAsia="仿宋" w:cs="仿宋"/>
          <w:snapToGrid w:val="0"/>
          <w:color w:val="auto"/>
          <w:spacing w:val="5"/>
          <w:kern w:val="0"/>
          <w:sz w:val="24"/>
          <w:szCs w:val="24"/>
          <w:highlight w:val="none"/>
          <w:lang w:val="en-US" w:eastAsia="en-US" w:bidi="ar-SA"/>
        </w:rPr>
        <w:t>财政部门、中小企业主管部门及其工作人</w:t>
      </w:r>
      <w:r>
        <w:rPr>
          <w:rFonts w:ascii="仿宋" w:hAnsi="仿宋" w:eastAsia="仿宋" w:cs="仿宋"/>
          <w:snapToGrid w:val="0"/>
          <w:color w:val="auto"/>
          <w:spacing w:val="8"/>
          <w:kern w:val="0"/>
          <w:sz w:val="24"/>
          <w:szCs w:val="24"/>
          <w:highlight w:val="none"/>
          <w:lang w:val="en-US" w:eastAsia="en-US" w:bidi="ar-SA"/>
        </w:rPr>
        <w:t>员在履行职责中违反本办法规定及存在其他滥用职权、玩忽职守、徇私舞弊等违法违纪行为的，依照《</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"http://10.162.100.18:168/golaw?dbnm=gjfg&amp;flid=1116012014128049"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8"/>
          <w:kern w:val="0"/>
          <w:sz w:val="24"/>
          <w:szCs w:val="24"/>
          <w:highlight w:val="none"/>
          <w:lang w:val="en-US" w:eastAsia="en-US" w:bidi="ar-SA"/>
        </w:rPr>
        <w:t>中华人民共和国</w:t>
      </w:r>
      <w:r>
        <w:rPr>
          <w:rFonts w:ascii="仿宋" w:hAnsi="仿宋" w:eastAsia="仿宋" w:cs="仿宋"/>
          <w:snapToGrid w:val="0"/>
          <w:color w:val="auto"/>
          <w:spacing w:val="8"/>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政府采购法》、《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"http://10.162.100.18:168/golaw?dbnm=gjfg&amp;flid=111601200501"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中华人民共和国公务员法</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"http://10.162.100.18:168/golaw?dbnm=gjfg&amp;flid=1117032010100014"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国监察法》、《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"http://10.162.100.18:168/golaw?dbnm=gjfg&amp;flid=1129012015130679"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3"/>
          <w:kern w:val="0"/>
          <w:sz w:val="24"/>
          <w:szCs w:val="24"/>
          <w:highlight w:val="none"/>
          <w:lang w:val="en-US" w:eastAsia="en-US" w:bidi="ar-SA"/>
        </w:rPr>
        <w:t>中华人民共和国政府采购法实施条例</w:t>
      </w:r>
      <w:r>
        <w:rPr>
          <w:rFonts w:ascii="仿宋" w:hAnsi="仿宋" w:eastAsia="仿宋" w:cs="仿宋"/>
          <w:snapToGrid w:val="0"/>
          <w:color w:val="auto"/>
          <w:spacing w:val="-3"/>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》等</w:t>
      </w:r>
      <w:r>
        <w:rPr>
          <w:rFonts w:ascii="仿宋" w:hAnsi="仿宋" w:eastAsia="仿宋" w:cs="仿宋"/>
          <w:snapToGrid w:val="0"/>
          <w:color w:val="auto"/>
          <w:spacing w:val="-4"/>
          <w:kern w:val="0"/>
          <w:sz w:val="24"/>
          <w:szCs w:val="24"/>
          <w:highlight w:val="none"/>
          <w:lang w:val="en-US" w:eastAsia="en-US" w:bidi="ar-SA"/>
        </w:rPr>
        <w:t>国家</w:t>
      </w:r>
      <w:r>
        <w:rPr>
          <w:rFonts w:ascii="仿宋" w:hAnsi="仿宋" w:eastAsia="仿宋" w:cs="仿宋"/>
          <w:snapToGrid w:val="0"/>
          <w:color w:val="auto"/>
          <w:spacing w:val="9"/>
          <w:kern w:val="0"/>
          <w:sz w:val="24"/>
          <w:szCs w:val="24"/>
          <w:highlight w:val="none"/>
          <w:lang w:val="en-US" w:eastAsia="en-US" w:bidi="ar-SA"/>
        </w:rPr>
        <w:t>有关规定追究相应责任；涉嫌犯罪的，依法</w:t>
      </w:r>
      <w:r>
        <w:rPr>
          <w:rFonts w:ascii="仿宋" w:hAnsi="仿宋" w:eastAsia="仿宋" w:cs="仿宋"/>
          <w:snapToGrid w:val="0"/>
          <w:color w:val="auto"/>
          <w:spacing w:val="8"/>
          <w:kern w:val="0"/>
          <w:sz w:val="24"/>
          <w:szCs w:val="24"/>
          <w:highlight w:val="none"/>
          <w:lang w:val="en-US" w:eastAsia="en-US" w:bidi="ar-SA"/>
        </w:rPr>
        <w:t>移送有关国家机</w:t>
      </w:r>
      <w:r>
        <w:rPr>
          <w:rFonts w:ascii="仿宋" w:hAnsi="仿宋" w:eastAsia="仿宋" w:cs="仿宋"/>
          <w:snapToGrid w:val="0"/>
          <w:color w:val="auto"/>
          <w:spacing w:val="-1"/>
          <w:kern w:val="0"/>
          <w:sz w:val="24"/>
          <w:szCs w:val="24"/>
          <w:highlight w:val="none"/>
          <w:lang w:val="en-US" w:eastAsia="en-US" w:bidi="ar-SA"/>
        </w:rPr>
        <w:t>关处理。</w:t>
      </w:r>
    </w:p>
    <w:p w14:paraId="08EF35D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第二十二条</w:t>
      </w:r>
      <w:r>
        <w:rPr>
          <w:rFonts w:ascii="仿宋" w:hAnsi="仿宋" w:eastAsia="仿宋" w:cs="仿宋"/>
          <w:b/>
          <w:bCs/>
          <w:snapToGrid w:val="0"/>
          <w:color w:val="auto"/>
          <w:spacing w:val="8"/>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对外援助项目、国家相关资格或者资质管理制度另有规定的项目，不适用本办法。</w:t>
      </w:r>
    </w:p>
    <w:p w14:paraId="51D7607C">
      <w:pPr>
        <w:keepNext w:val="0"/>
        <w:keepLines w:val="0"/>
        <w:pageBreakBefore w:val="0"/>
        <w:wordWrap/>
        <w:overflowPunct/>
        <w:topLinePunct w:val="0"/>
        <w:bidi w:val="0"/>
        <w:spacing w:line="560" w:lineRule="exact"/>
        <w:ind w:left="0" w:leftChars="0" w:right="0" w:rightChars="0"/>
        <w:rPr>
          <w:color w:val="auto"/>
          <w:sz w:val="24"/>
          <w:szCs w:val="24"/>
          <w:highlight w:val="none"/>
        </w:rPr>
        <w:sectPr>
          <w:headerReference r:id="rId8" w:type="default"/>
          <w:footerReference r:id="rId9" w:type="default"/>
          <w:pgSz w:w="11906" w:h="16839"/>
          <w:pgMar w:top="1431" w:right="1553" w:bottom="1376" w:left="1785" w:header="0" w:footer="1212" w:gutter="0"/>
          <w:pgNumType w:fmt="decimal"/>
          <w:cols w:space="720" w:num="1"/>
        </w:sectPr>
      </w:pPr>
    </w:p>
    <w:p w14:paraId="75F0C053">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both"/>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第二十三条</w:t>
      </w:r>
      <w:r>
        <w:rPr>
          <w:rFonts w:ascii="仿宋" w:hAnsi="仿宋" w:eastAsia="仿宋" w:cs="仿宋"/>
          <w:snapToGrid w:val="0"/>
          <w:color w:val="auto"/>
          <w:spacing w:val="8"/>
          <w:kern w:val="0"/>
          <w:sz w:val="24"/>
          <w:szCs w:val="24"/>
          <w:highlight w:val="none"/>
          <w:lang w:val="en-US" w:eastAsia="en-US" w:bidi="ar-SA"/>
        </w:rPr>
        <w:t xml:space="preserve">  关于视同中小企业的其他主体的政府采</w:t>
      </w:r>
    </w:p>
    <w:p w14:paraId="0A293F5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购扶持政策，由财政部会同有关部门另行规定。</w:t>
      </w:r>
    </w:p>
    <w:p w14:paraId="3772ADFC">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第二十四条</w:t>
      </w:r>
      <w:r>
        <w:rPr>
          <w:rFonts w:ascii="仿宋" w:hAnsi="仿宋" w:eastAsia="仿宋" w:cs="仿宋"/>
          <w:snapToGrid w:val="0"/>
          <w:color w:val="auto"/>
          <w:spacing w:val="8"/>
          <w:kern w:val="0"/>
          <w:sz w:val="24"/>
          <w:szCs w:val="24"/>
          <w:highlight w:val="none"/>
          <w:lang w:val="en-US" w:eastAsia="en-US" w:bidi="ar-SA"/>
        </w:rPr>
        <w:t xml:space="preserve">  省级财政部门可以会同中小企业主管部门根据本办法的规定制定具体实施办法。</w:t>
      </w:r>
    </w:p>
    <w:p w14:paraId="7CAD5521">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第二十五条</w:t>
      </w:r>
      <w:r>
        <w:rPr>
          <w:rFonts w:ascii="仿宋" w:hAnsi="仿宋" w:eastAsia="仿宋" w:cs="仿宋"/>
          <w:snapToGrid w:val="0"/>
          <w:color w:val="auto"/>
          <w:spacing w:val="8"/>
          <w:kern w:val="0"/>
          <w:sz w:val="24"/>
          <w:szCs w:val="24"/>
          <w:highlight w:val="none"/>
          <w:lang w:val="en-US" w:eastAsia="en-US" w:bidi="ar-SA"/>
        </w:rPr>
        <w:t xml:space="preserve">  本办法自2021年1月1日起施行。《财政部工业和信息化部关于印发〈政府采购促进中小企业发展暂行办法〉的通知》（财库（2011﹞181号）同时废止。</w:t>
      </w:r>
    </w:p>
    <w:p w14:paraId="204247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rPr>
          <w:rFonts w:ascii="Arial" w:hAnsi="Arial" w:eastAsia="Arial" w:cs="Arial"/>
          <w:snapToGrid w:val="0"/>
          <w:color w:val="auto"/>
          <w:kern w:val="0"/>
          <w:sz w:val="24"/>
          <w:szCs w:val="24"/>
          <w:highlight w:val="none"/>
          <w:lang w:eastAsia="en-US"/>
        </w:rPr>
      </w:pPr>
    </w:p>
    <w:p w14:paraId="38B9B4C5">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ascii="仿宋" w:hAnsi="仿宋" w:eastAsia="仿宋" w:cs="仿宋"/>
          <w:snapToGrid w:val="0"/>
          <w:color w:val="auto"/>
          <w:kern w:val="0"/>
          <w:sz w:val="31"/>
          <w:szCs w:val="31"/>
          <w:highlight w:val="none"/>
          <w:lang w:val="en-US" w:eastAsia="en-US" w:bidi="ar-SA"/>
        </w:rPr>
      </w:pPr>
    </w:p>
    <w:p w14:paraId="2B3B7A3A">
      <w:pPr>
        <w:keepNext w:val="0"/>
        <w:keepLines w:val="0"/>
        <w:pageBreakBefore w:val="0"/>
        <w:wordWrap/>
        <w:overflowPunct/>
        <w:topLinePunct w:val="0"/>
        <w:bidi w:val="0"/>
        <w:spacing w:line="560" w:lineRule="exact"/>
        <w:ind w:left="0" w:leftChars="0" w:right="0" w:rightChars="0"/>
        <w:rPr>
          <w:color w:val="auto"/>
          <w:highlight w:val="none"/>
        </w:rPr>
        <w:sectPr>
          <w:footerReference r:id="rId10" w:type="default"/>
          <w:pgSz w:w="11906" w:h="16839"/>
          <w:pgMar w:top="1431" w:right="1785" w:bottom="1378" w:left="1785" w:header="0" w:footer="1212" w:gutter="0"/>
          <w:pgNumType w:fmt="decimal"/>
          <w:cols w:space="720" w:num="1"/>
        </w:sectPr>
      </w:pPr>
    </w:p>
    <w:p w14:paraId="6F2114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outlineLvl w:val="3"/>
        <w:rPr>
          <w:rFonts w:hint="eastAsia" w:ascii="仿宋" w:hAnsi="仿宋" w:eastAsia="仿宋" w:cs="仿宋"/>
          <w:snapToGrid w:val="0"/>
          <w:color w:val="auto"/>
          <w:spacing w:val="-9"/>
          <w:kern w:val="0"/>
          <w:sz w:val="24"/>
          <w:szCs w:val="24"/>
          <w:highlight w:val="none"/>
          <w:lang w:val="en-US" w:eastAsia="zh-CN"/>
        </w:rPr>
      </w:pPr>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4：关于进一步加大政府采购支持中小企业力度的通知</w:t>
      </w:r>
    </w:p>
    <w:p w14:paraId="1CB7B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center"/>
        <w:textAlignment w:val="baseline"/>
        <w:rPr>
          <w:rFonts w:hint="default" w:ascii="华文中宋" w:hAnsi="华文中宋" w:eastAsia="华文中宋" w:cs="华文中宋"/>
          <w:b/>
          <w:bCs/>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bCs/>
          <w:i w:val="0"/>
          <w:iCs w:val="0"/>
          <w:caps w:val="0"/>
          <w:color w:val="auto"/>
          <w:spacing w:val="0"/>
          <w:kern w:val="0"/>
          <w:sz w:val="24"/>
          <w:szCs w:val="24"/>
          <w:highlight w:val="none"/>
          <w:shd w:val="clear" w:fill="FFFFFF"/>
          <w:vertAlign w:val="baseline"/>
          <w:lang w:val="en-US" w:eastAsia="zh-CN" w:bidi="ar"/>
        </w:rPr>
        <w:t>关于进一步加大政府采购支持中小企业力度的通知</w:t>
      </w:r>
    </w:p>
    <w:p w14:paraId="157DD5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uto"/>
        <w:ind w:left="0" w:right="0" w:firstLine="0"/>
        <w:jc w:val="center"/>
        <w:textAlignment w:val="baseline"/>
        <w:rPr>
          <w:rFonts w:ascii="仿宋" w:hAnsi="仿宋" w:eastAsia="仿宋" w:cs="仿宋"/>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kern w:val="0"/>
          <w:sz w:val="24"/>
          <w:szCs w:val="24"/>
          <w:highlight w:val="none"/>
          <w:u w:val="none"/>
          <w:shd w:val="clear" w:fill="FFFFFF"/>
          <w:vertAlign w:val="baseline"/>
          <w:lang w:val="en-US" w:eastAsia="zh-CN" w:bidi="ar"/>
        </w:rPr>
        <w:t>财库〔2022〕19号</w:t>
      </w:r>
    </w:p>
    <w:p w14:paraId="718CC60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各中央预算单位，各省、自治区、直辖市、计划单列市财政厅（局），新疆生产建设兵团财政局：</w:t>
      </w:r>
    </w:p>
    <w:p w14:paraId="61EBBBD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B2FBDB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w:t>
      </w:r>
      <w:r>
        <w:rPr>
          <w:rFonts w:hint="eastAsia" w:ascii="仿宋" w:hAnsi="仿宋" w:eastAsia="仿宋" w:cs="仿宋"/>
          <w:b/>
          <w:bCs/>
          <w:i w:val="0"/>
          <w:iCs w:val="0"/>
          <w:caps w:val="0"/>
          <w:color w:val="auto"/>
          <w:spacing w:val="0"/>
          <w:sz w:val="24"/>
          <w:szCs w:val="24"/>
          <w:highlight w:val="none"/>
          <w:u w:val="none"/>
          <w:shd w:val="clear" w:fill="FFFFFF"/>
          <w:vertAlign w:val="baseline"/>
        </w:rPr>
        <w:t>一、严格落实支持中小企业政府采购政策。</w:t>
      </w:r>
      <w:r>
        <w:rPr>
          <w:rFonts w:hint="eastAsia" w:ascii="仿宋" w:hAnsi="仿宋" w:eastAsia="仿宋" w:cs="仿宋"/>
          <w:i w:val="0"/>
          <w:iCs w:val="0"/>
          <w:caps w:val="0"/>
          <w:color w:val="auto"/>
          <w:spacing w:val="0"/>
          <w:sz w:val="24"/>
          <w:szCs w:val="24"/>
          <w:highlight w:val="none"/>
          <w:u w:val="none"/>
          <w:shd w:val="clear"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29E67A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w:t>
      </w:r>
      <w:r>
        <w:rPr>
          <w:rFonts w:hint="eastAsia" w:ascii="仿宋" w:hAnsi="仿宋" w:eastAsia="仿宋" w:cs="仿宋"/>
          <w:b/>
          <w:bCs/>
          <w:i w:val="0"/>
          <w:iCs w:val="0"/>
          <w:caps w:val="0"/>
          <w:color w:val="auto"/>
          <w:spacing w:val="0"/>
          <w:sz w:val="24"/>
          <w:szCs w:val="24"/>
          <w:highlight w:val="none"/>
          <w:u w:val="none"/>
          <w:shd w:val="clear" w:fill="FFFFFF"/>
          <w:vertAlign w:val="baseline"/>
        </w:rPr>
        <w:t>二、调整对小微企业的价格评审优惠幅度。</w:t>
      </w:r>
      <w:r>
        <w:rPr>
          <w:rFonts w:hint="eastAsia" w:ascii="仿宋" w:hAnsi="仿宋" w:eastAsia="仿宋" w:cs="仿宋"/>
          <w:i w:val="0"/>
          <w:iCs w:val="0"/>
          <w:caps w:val="0"/>
          <w:color w:val="auto"/>
          <w:spacing w:val="0"/>
          <w:sz w:val="24"/>
          <w:szCs w:val="24"/>
          <w:highlight w:val="none"/>
          <w:u w:val="none"/>
          <w:shd w:val="clear"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606E52F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w:t>
      </w:r>
      <w:r>
        <w:rPr>
          <w:rFonts w:hint="eastAsia" w:ascii="仿宋" w:hAnsi="仿宋" w:eastAsia="仿宋" w:cs="仿宋"/>
          <w:b/>
          <w:bCs/>
          <w:i w:val="0"/>
          <w:iCs w:val="0"/>
          <w:caps w:val="0"/>
          <w:color w:val="auto"/>
          <w:spacing w:val="0"/>
          <w:sz w:val="24"/>
          <w:szCs w:val="24"/>
          <w:highlight w:val="none"/>
          <w:u w:val="none"/>
          <w:shd w:val="clear" w:fill="FFFFFF"/>
          <w:vertAlign w:val="baseline"/>
        </w:rPr>
        <w:t>三、提高政府采购工程面向中小企业预留份额。</w:t>
      </w:r>
      <w:r>
        <w:rPr>
          <w:rFonts w:hint="eastAsia" w:ascii="仿宋" w:hAnsi="仿宋" w:eastAsia="仿宋" w:cs="仿宋"/>
          <w:i w:val="0"/>
          <w:iCs w:val="0"/>
          <w:caps w:val="0"/>
          <w:color w:val="auto"/>
          <w:spacing w:val="0"/>
          <w:sz w:val="24"/>
          <w:szCs w:val="24"/>
          <w:highlight w:val="none"/>
          <w:u w:val="none"/>
          <w:shd w:val="clear"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006A61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w:t>
      </w:r>
      <w:r>
        <w:rPr>
          <w:rFonts w:hint="eastAsia" w:ascii="仿宋" w:hAnsi="仿宋" w:eastAsia="仿宋" w:cs="仿宋"/>
          <w:b/>
          <w:bCs/>
          <w:i w:val="0"/>
          <w:iCs w:val="0"/>
          <w:caps w:val="0"/>
          <w:color w:val="auto"/>
          <w:spacing w:val="0"/>
          <w:sz w:val="24"/>
          <w:szCs w:val="24"/>
          <w:highlight w:val="none"/>
          <w:u w:val="none"/>
          <w:shd w:val="clear" w:fill="FFFFFF"/>
          <w:vertAlign w:val="baseline"/>
        </w:rPr>
        <w:t>四、认真做好组织实施。</w:t>
      </w:r>
      <w:r>
        <w:rPr>
          <w:rFonts w:hint="eastAsia" w:ascii="仿宋" w:hAnsi="仿宋" w:eastAsia="仿宋" w:cs="仿宋"/>
          <w:i w:val="0"/>
          <w:iCs w:val="0"/>
          <w:caps w:val="0"/>
          <w:color w:val="auto"/>
          <w:spacing w:val="0"/>
          <w:sz w:val="24"/>
          <w:szCs w:val="24"/>
          <w:highlight w:val="none"/>
          <w:u w:val="none"/>
          <w:shd w:val="clear" w:fill="FFFFFF"/>
          <w:vertAlign w:val="baseline"/>
        </w:rPr>
        <w:t>各地区、各部门应当加强组织领导，明确工作责任，细化执行要求，强化监督检查，确保国务院部署落实到位，对通知执行中出现的问题要及时向财政部报告。</w:t>
      </w:r>
    </w:p>
    <w:p w14:paraId="708D1EE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本通知自2022年7月1日起执行。</w:t>
      </w:r>
    </w:p>
    <w:p w14:paraId="13B551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财 政 部</w:t>
      </w:r>
    </w:p>
    <w:p w14:paraId="70366ED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baseline"/>
        <w:rPr>
          <w:rFonts w:hint="eastAsia" w:ascii="仿宋" w:hAnsi="仿宋" w:eastAsia="仿宋" w:cs="仿宋"/>
          <w:i w:val="0"/>
          <w:iCs w:val="0"/>
          <w:caps w:val="0"/>
          <w:color w:val="auto"/>
          <w:spacing w:val="0"/>
          <w:sz w:val="24"/>
          <w:szCs w:val="24"/>
          <w:highlight w:val="none"/>
          <w:u w:val="none"/>
          <w:shd w:val="clear" w:fill="FFFFFF"/>
          <w:vertAlign w:val="baseline"/>
        </w:rPr>
      </w:pPr>
      <w:r>
        <w:rPr>
          <w:rFonts w:hint="eastAsia" w:ascii="仿宋" w:hAnsi="仿宋" w:eastAsia="仿宋" w:cs="仿宋"/>
          <w:i w:val="0"/>
          <w:iCs w:val="0"/>
          <w:caps w:val="0"/>
          <w:color w:val="auto"/>
          <w:spacing w:val="0"/>
          <w:sz w:val="24"/>
          <w:szCs w:val="24"/>
          <w:highlight w:val="none"/>
          <w:u w:val="none"/>
          <w:shd w:val="clear" w:fill="FFFFFF"/>
          <w:vertAlign w:val="baseline"/>
        </w:rPr>
        <w:t>　　2022年5月30日</w:t>
      </w:r>
    </w:p>
    <w:p w14:paraId="2D30D895">
      <w:pPr>
        <w:spacing w:line="360" w:lineRule="auto"/>
        <w:rPr>
          <w:rFonts w:hint="eastAsia" w:ascii="仿宋" w:hAnsi="仿宋" w:eastAsia="仿宋" w:cs="仿宋"/>
          <w:i w:val="0"/>
          <w:iCs w:val="0"/>
          <w:caps w:val="0"/>
          <w:color w:val="auto"/>
          <w:spacing w:val="0"/>
          <w:sz w:val="24"/>
          <w:szCs w:val="24"/>
          <w:highlight w:val="none"/>
          <w:u w:val="none"/>
          <w:shd w:val="clear" w:fill="FFFFFF"/>
          <w:vertAlign w:val="baseline"/>
        </w:rPr>
      </w:pPr>
      <w:r>
        <w:rPr>
          <w:rFonts w:hint="eastAsia" w:ascii="仿宋" w:hAnsi="仿宋" w:eastAsia="仿宋" w:cs="仿宋"/>
          <w:i w:val="0"/>
          <w:iCs w:val="0"/>
          <w:caps w:val="0"/>
          <w:color w:val="auto"/>
          <w:spacing w:val="0"/>
          <w:sz w:val="24"/>
          <w:szCs w:val="24"/>
          <w:highlight w:val="none"/>
          <w:u w:val="none"/>
          <w:shd w:val="clear" w:fill="FFFFFF"/>
          <w:vertAlign w:val="baseline"/>
        </w:rPr>
        <w:br w:type="page"/>
      </w:r>
    </w:p>
    <w:p w14:paraId="12DB6F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3"/>
        <w:rPr>
          <w:rFonts w:hint="eastAsia" w:ascii="仿宋" w:hAnsi="仿宋" w:eastAsia="仿宋" w:cs="仿宋"/>
          <w:snapToGrid w:val="0"/>
          <w:color w:val="auto"/>
          <w:spacing w:val="-9"/>
          <w:kern w:val="0"/>
          <w:sz w:val="24"/>
          <w:szCs w:val="24"/>
          <w:highlight w:val="none"/>
          <w:lang w:val="en-US" w:eastAsia="zh-CN"/>
        </w:rPr>
      </w:pPr>
      <w:r>
        <w:rPr>
          <w:rFonts w:hint="eastAsia" w:ascii="仿宋" w:hAnsi="仿宋" w:eastAsia="仿宋" w:cs="仿宋"/>
          <w:snapToGrid w:val="0"/>
          <w:color w:val="auto"/>
          <w:spacing w:val="-9"/>
          <w:kern w:val="0"/>
          <w:sz w:val="24"/>
          <w:szCs w:val="24"/>
          <w:highlight w:val="none"/>
          <w:lang w:val="en-US" w:eastAsia="zh-CN"/>
        </w:rPr>
        <w:t>附件5：关于印发中小企业划型标准规定的通知</w:t>
      </w:r>
    </w:p>
    <w:p w14:paraId="2A0A7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bCs/>
          <w:i w:val="0"/>
          <w:iCs w:val="0"/>
          <w:caps w:val="0"/>
          <w:color w:val="auto"/>
          <w:spacing w:val="0"/>
          <w:kern w:val="0"/>
          <w:sz w:val="24"/>
          <w:szCs w:val="24"/>
          <w:highlight w:val="none"/>
          <w:shd w:val="clear" w:fill="FFFFFF"/>
          <w:vertAlign w:val="baseline"/>
          <w:lang w:val="en-US" w:eastAsia="zh-CN" w:bidi="ar"/>
        </w:rPr>
        <w:t>关于印发中小企业划型标准规定的通知</w:t>
      </w:r>
    </w:p>
    <w:p w14:paraId="27AB7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outlineLvl w:val="9"/>
        <w:rPr>
          <w:rFonts w:ascii="仿宋" w:hAnsi="仿宋" w:eastAsia="仿宋" w:cs="仿宋"/>
          <w:b w:val="0"/>
          <w:bCs w:val="0"/>
          <w:color w:val="auto"/>
          <w:sz w:val="24"/>
          <w:szCs w:val="24"/>
          <w:highlight w:val="none"/>
          <w:u w:val="none"/>
        </w:rPr>
      </w:pPr>
      <w:r>
        <w:rPr>
          <w:rFonts w:hint="eastAsia" w:ascii="仿宋" w:hAnsi="仿宋" w:eastAsia="仿宋" w:cs="仿宋"/>
          <w:b w:val="0"/>
          <w:bCs w:val="0"/>
          <w:i w:val="0"/>
          <w:iCs w:val="0"/>
          <w:caps w:val="0"/>
          <w:color w:val="auto"/>
          <w:spacing w:val="0"/>
          <w:sz w:val="24"/>
          <w:szCs w:val="24"/>
          <w:highlight w:val="none"/>
          <w:u w:val="none"/>
          <w:shd w:val="clear" w:fill="FFFFFF"/>
          <w:vertAlign w:val="baseline"/>
        </w:rPr>
        <w:t>工信部联企业〔2011〕300号</w:t>
      </w:r>
    </w:p>
    <w:p w14:paraId="2B2619B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fill="FFFFFF"/>
          <w:vertAlign w:val="baseline"/>
        </w:rPr>
        <w:t>各省、自治区、直辖市人民政府，国务院各部委、各直属机构及有关单位：</w:t>
      </w:r>
    </w:p>
    <w:p w14:paraId="745584E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699F0C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fill="FFFFFF"/>
          <w:vertAlign w:val="baseline"/>
        </w:rPr>
        <w:t>工业和信息化部</w:t>
      </w:r>
    </w:p>
    <w:p w14:paraId="495E113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fill="FFFFFF"/>
          <w:vertAlign w:val="baseline"/>
        </w:rPr>
        <w:t>国家统计局</w:t>
      </w:r>
    </w:p>
    <w:p w14:paraId="50F1C9B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fill="FFFFFF"/>
          <w:vertAlign w:val="baseline"/>
        </w:rPr>
        <w:t>国家发展和改革委员会</w:t>
      </w:r>
    </w:p>
    <w:p w14:paraId="75BFDAE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fill="FFFFFF"/>
          <w:vertAlign w:val="baseline"/>
        </w:rPr>
        <w:t>财政部</w:t>
      </w:r>
    </w:p>
    <w:p w14:paraId="0654462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二○一一年六月十八日</w:t>
      </w:r>
    </w:p>
    <w:p w14:paraId="52F6077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color w:val="auto"/>
          <w:sz w:val="24"/>
          <w:szCs w:val="24"/>
          <w:highlight w:val="none"/>
        </w:rPr>
      </w:pPr>
      <w:r>
        <w:rPr>
          <w:rStyle w:val="36"/>
          <w:rFonts w:hint="eastAsia" w:ascii="仿宋" w:hAnsi="仿宋" w:eastAsia="仿宋" w:cs="仿宋"/>
          <w:i w:val="0"/>
          <w:iCs w:val="0"/>
          <w:caps w:val="0"/>
          <w:color w:val="auto"/>
          <w:spacing w:val="0"/>
          <w:sz w:val="24"/>
          <w:szCs w:val="24"/>
          <w:highlight w:val="none"/>
          <w:u w:val="none"/>
          <w:shd w:val="clear" w:fill="FFFFFF"/>
          <w:vertAlign w:val="baseline"/>
        </w:rPr>
        <w:t>中小企业划型标准规定</w:t>
      </w:r>
    </w:p>
    <w:p w14:paraId="00E2BFD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一、根据《中华人民共和国中小企业促进法》和《国务院关于进一步促进中小企业发展的若干意见》(国发〔2009〕36号)，制定本规定。</w:t>
      </w:r>
    </w:p>
    <w:p w14:paraId="2EA7BFE0">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二、中小企业划分为中型、小型、微型三种类型，具体标准根据企业从业人员、营业收入、资产总额等指标，结合行业特点制定。</w:t>
      </w:r>
    </w:p>
    <w:p w14:paraId="5AC5BF0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4AB5F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四、各行业划型标准为：</w:t>
      </w:r>
    </w:p>
    <w:p w14:paraId="1F610EB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2AEAB82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A9841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4DAB4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F4E770">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3E812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08D32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945A7D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6521F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6A0CE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D7FD1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AA838C">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D2A96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197EA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459E6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0594E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32A0FBD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五、企业类型的划分以统计部门的统计数据为依据。</w:t>
      </w:r>
    </w:p>
    <w:p w14:paraId="56591F6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六、本规定适用于在中华人民共和国境内依法设立的各类所有制和各种组织形式的企业。个体工商户和本规定以外的行业，参照本规定进行划型。</w:t>
      </w:r>
    </w:p>
    <w:p w14:paraId="79AC02F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E9A043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八、本规定由工业和信息化部、国家统计局会同有关部门根据《国民经济行业分类》修订情况和企业发展变化情况适时修订。</w:t>
      </w:r>
    </w:p>
    <w:p w14:paraId="3091764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九、本规定由工业和信息化部、国家统计局会同有关部门负责解释。</w:t>
      </w:r>
    </w:p>
    <w:p w14:paraId="1123163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color w:val="auto"/>
          <w:sz w:val="24"/>
          <w:szCs w:val="24"/>
          <w:highlight w:val="none"/>
        </w:rPr>
        <w:t>　　十、本规定自发布之日起执行，原国家经贸委、原国家计委、财政部和国家统计局2003年颁布的《中小企业标准暂行规定》同时废止。</w:t>
      </w: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Nimbus Roman No9 L">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B147">
    <w:pPr>
      <w:pStyle w:val="22"/>
      <w:tabs>
        <w:tab w:val="center" w:pos="4153"/>
        <w:tab w:val="right" w:pos="8306"/>
      </w:tabs>
      <w:jc w:val="both"/>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07B1">
    <w:pPr>
      <w:pStyle w:val="22"/>
      <w:tabs>
        <w:tab w:val="center" w:pos="4153"/>
        <w:tab w:val="right" w:pos="8306"/>
        <w:tab w:val="clear" w:pos="4140"/>
        <w:tab w:val="clear" w:pos="8300"/>
      </w:tabs>
      <w:jc w:val="both"/>
      <w:rPr>
        <w:rStyle w:val="4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03B5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203B57">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B1F6">
    <w:pPr>
      <w:pStyle w:val="22"/>
      <w:tabs>
        <w:tab w:val="center" w:pos="4153"/>
        <w:tab w:val="right" w:pos="8306"/>
        <w:tab w:val="clear" w:pos="4140"/>
        <w:tab w:val="clear" w:pos="830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F1DE3">
                          <w:pPr>
                            <w:pStyle w:val="2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9F1DE3">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D25B">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F2C2F">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BF2C2F">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D3AF">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9F8D">
                          <w:pPr>
                            <w:pStyle w:val="2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679F8D">
                    <w:pPr>
                      <w:pStyle w:val="2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2894">
    <w:pPr>
      <w:pStyle w:val="22"/>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76EBE">
                          <w:pPr>
                            <w:pStyle w:val="2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D76EBE">
                    <w:pPr>
                      <w:pStyle w:val="2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40E7CC">
      <w:pPr>
        <w:pStyle w:val="2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257A">
    <w:pPr>
      <w:pStyle w:val="24"/>
      <w:pBdr>
        <w:top w:val="none" w:color="auto" w:sz="0" w:space="1"/>
        <w:left w:val="none" w:color="auto" w:sz="0" w:space="4"/>
        <w:bottom w:val="none" w:color="auto" w:sz="0" w:space="1"/>
        <w:right w:val="none" w:color="auto" w:sz="0" w:space="4"/>
      </w:pBdr>
      <w:tabs>
        <w:tab w:val="center" w:pos="4153"/>
        <w:tab w:val="right" w:pos="8306"/>
      </w:tabs>
      <w:jc w:val="both"/>
      <w:rPr>
        <w:rStyle w:val="42"/>
        <w:rFonts w:hint="eastAsia"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27D3">
    <w:pPr>
      <w:pStyle w:val="24"/>
      <w:pBdr>
        <w:bottom w:val="none" w:color="auto" w:sz="0" w:space="1"/>
      </w:pBdr>
      <w:tabs>
        <w:tab w:val="center" w:pos="4153"/>
        <w:tab w:val="right" w:pos="8306"/>
        <w:tab w:val="clear" w:pos="4140"/>
        <w:tab w:val="clear" w:pos="830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367C">
    <w:pPr>
      <w:pStyle w:val="24"/>
      <w:pBdr>
        <w:top w:val="none" w:color="auto" w:sz="0" w:space="1"/>
        <w:left w:val="none" w:color="auto" w:sz="0" w:space="4"/>
        <w:bottom w:val="none" w:color="auto" w:sz="0" w:space="1"/>
        <w:right w:val="none" w:color="auto" w:sz="0" w:space="4"/>
      </w:pBd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6B76B"/>
    <w:multiLevelType w:val="singleLevel"/>
    <w:tmpl w:val="DC06B76B"/>
    <w:lvl w:ilvl="0" w:tentative="0">
      <w:start w:val="1"/>
      <w:numFmt w:val="decimal"/>
      <w:suff w:val="nothing"/>
      <w:lvlText w:val="（%1）"/>
      <w:lvlJc w:val="left"/>
    </w:lvl>
  </w:abstractNum>
  <w:abstractNum w:abstractNumId="1">
    <w:nsid w:val="E9CA25A5"/>
    <w:multiLevelType w:val="singleLevel"/>
    <w:tmpl w:val="E9CA25A5"/>
    <w:lvl w:ilvl="0" w:tentative="0">
      <w:start w:val="1"/>
      <w:numFmt w:val="decimal"/>
      <w:suff w:val="nothing"/>
      <w:lvlText w:val="（%1）"/>
      <w:lvlJc w:val="left"/>
    </w:lvl>
  </w:abstractNum>
  <w:abstractNum w:abstractNumId="2">
    <w:nsid w:val="00000006"/>
    <w:multiLevelType w:val="multilevel"/>
    <w:tmpl w:val="00000006"/>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00000C"/>
    <w:multiLevelType w:val="multilevel"/>
    <w:tmpl w:val="0000000C"/>
    <w:lvl w:ilvl="0" w:tentative="0">
      <w:start w:val="1"/>
      <w:numFmt w:val="decimal"/>
      <w:lvlText w:val="%1、"/>
      <w:lvlJc w:val="left"/>
      <w:pPr>
        <w:tabs>
          <w:tab w:val="left" w:pos="740"/>
        </w:tabs>
        <w:ind w:left="1081" w:hanging="1081"/>
      </w:pPr>
      <w:rPr>
        <w:rFonts w:hint="default"/>
      </w:rPr>
    </w:lvl>
    <w:lvl w:ilvl="1" w:tentative="0">
      <w:start w:val="1"/>
      <w:numFmt w:val="decimal"/>
      <w:pStyle w:val="90"/>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singleLevel"/>
    <w:tmpl w:val="0000000F"/>
    <w:lvl w:ilvl="0" w:tentative="0">
      <w:start w:val="4"/>
      <w:numFmt w:val="chineseCounting"/>
      <w:suff w:val="space"/>
      <w:lvlText w:val="第%1章"/>
      <w:lvlJc w:val="left"/>
      <w:rPr>
        <w:rFonts w:hint="eastAsia"/>
      </w:rPr>
    </w:lvl>
  </w:abstractNum>
  <w:abstractNum w:abstractNumId="6">
    <w:nsid w:val="653F7076"/>
    <w:multiLevelType w:val="singleLevel"/>
    <w:tmpl w:val="653F7076"/>
    <w:lvl w:ilvl="0" w:tentative="0">
      <w:start w:val="18"/>
      <w:numFmt w:val="decimal"/>
      <w:lvlText w:val="%1."/>
      <w:lvlJc w:val="left"/>
    </w:lvl>
  </w:abstractNum>
  <w:abstractNum w:abstractNumId="7">
    <w:nsid w:val="7AA165CB"/>
    <w:multiLevelType w:val="singleLevel"/>
    <w:tmpl w:val="7AA165CB"/>
    <w:lvl w:ilvl="0" w:tentative="0">
      <w:start w:val="1"/>
      <w:numFmt w:val="decimal"/>
      <w:suff w:val="space"/>
      <w:lvlText w:val="%1."/>
      <w:lvlJc w:val="left"/>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ZWYyYjU1ODNkYWJjMjdiMmFkNzcyYTkzMGY1MzUifQ=="/>
  </w:docVars>
  <w:rsids>
    <w:rsidRoot w:val="123A441B"/>
    <w:rsid w:val="00BA1A55"/>
    <w:rsid w:val="01EE6619"/>
    <w:rsid w:val="01F43CD3"/>
    <w:rsid w:val="04D6716D"/>
    <w:rsid w:val="051F7F12"/>
    <w:rsid w:val="05704DD8"/>
    <w:rsid w:val="06423A4F"/>
    <w:rsid w:val="066D1E2E"/>
    <w:rsid w:val="06BF6017"/>
    <w:rsid w:val="07A807FE"/>
    <w:rsid w:val="08160459"/>
    <w:rsid w:val="08444A26"/>
    <w:rsid w:val="0A1B7A08"/>
    <w:rsid w:val="0A532E36"/>
    <w:rsid w:val="0ABD2976"/>
    <w:rsid w:val="0D5C248D"/>
    <w:rsid w:val="0DDF34C6"/>
    <w:rsid w:val="0E4004E3"/>
    <w:rsid w:val="0E5D4874"/>
    <w:rsid w:val="0E7B0A75"/>
    <w:rsid w:val="0EEA3884"/>
    <w:rsid w:val="0F966FC3"/>
    <w:rsid w:val="10F26DAD"/>
    <w:rsid w:val="11421E72"/>
    <w:rsid w:val="118E0AC0"/>
    <w:rsid w:val="123A441B"/>
    <w:rsid w:val="14866AD4"/>
    <w:rsid w:val="15314E44"/>
    <w:rsid w:val="1544690F"/>
    <w:rsid w:val="17812831"/>
    <w:rsid w:val="17A41BFA"/>
    <w:rsid w:val="17D60816"/>
    <w:rsid w:val="17F931B6"/>
    <w:rsid w:val="17FB475A"/>
    <w:rsid w:val="18FC5992"/>
    <w:rsid w:val="1A1529DF"/>
    <w:rsid w:val="1A283F89"/>
    <w:rsid w:val="1AA2222B"/>
    <w:rsid w:val="1B4A6C53"/>
    <w:rsid w:val="1B5763C6"/>
    <w:rsid w:val="1BF45491"/>
    <w:rsid w:val="1C161DDD"/>
    <w:rsid w:val="1C582DE9"/>
    <w:rsid w:val="1FC24B67"/>
    <w:rsid w:val="219552A7"/>
    <w:rsid w:val="22A225C2"/>
    <w:rsid w:val="23B8569F"/>
    <w:rsid w:val="257D7019"/>
    <w:rsid w:val="2707481D"/>
    <w:rsid w:val="27F46908"/>
    <w:rsid w:val="28894D3C"/>
    <w:rsid w:val="28A35B9E"/>
    <w:rsid w:val="2AD73080"/>
    <w:rsid w:val="2D080D06"/>
    <w:rsid w:val="2D8E38A0"/>
    <w:rsid w:val="2DBF0D1A"/>
    <w:rsid w:val="2DDA2B4A"/>
    <w:rsid w:val="2E6E173D"/>
    <w:rsid w:val="30623307"/>
    <w:rsid w:val="31983C81"/>
    <w:rsid w:val="31F84007"/>
    <w:rsid w:val="32BE72B4"/>
    <w:rsid w:val="3331778D"/>
    <w:rsid w:val="33363D29"/>
    <w:rsid w:val="339B332F"/>
    <w:rsid w:val="33AE1FED"/>
    <w:rsid w:val="340578EC"/>
    <w:rsid w:val="34BD084F"/>
    <w:rsid w:val="34BF1301"/>
    <w:rsid w:val="36622038"/>
    <w:rsid w:val="380C3CE6"/>
    <w:rsid w:val="39797168"/>
    <w:rsid w:val="39E2081C"/>
    <w:rsid w:val="3A7601BF"/>
    <w:rsid w:val="3B1121B0"/>
    <w:rsid w:val="3B1D588B"/>
    <w:rsid w:val="3C1B3503"/>
    <w:rsid w:val="3C487843"/>
    <w:rsid w:val="3CE533DA"/>
    <w:rsid w:val="3EF3B345"/>
    <w:rsid w:val="3F935E0D"/>
    <w:rsid w:val="3FF96F8E"/>
    <w:rsid w:val="405C1C05"/>
    <w:rsid w:val="41540B2E"/>
    <w:rsid w:val="41575D4F"/>
    <w:rsid w:val="42DA7118"/>
    <w:rsid w:val="436B5112"/>
    <w:rsid w:val="43EC352F"/>
    <w:rsid w:val="441575C8"/>
    <w:rsid w:val="44683338"/>
    <w:rsid w:val="459B04C9"/>
    <w:rsid w:val="48FB17C3"/>
    <w:rsid w:val="49F66C27"/>
    <w:rsid w:val="4A083872"/>
    <w:rsid w:val="4B651A58"/>
    <w:rsid w:val="4B887D52"/>
    <w:rsid w:val="4BF7522C"/>
    <w:rsid w:val="4C2D62F9"/>
    <w:rsid w:val="4C2F7CAC"/>
    <w:rsid w:val="4CF54750"/>
    <w:rsid w:val="4E5E38D3"/>
    <w:rsid w:val="4EC20699"/>
    <w:rsid w:val="4ED83D33"/>
    <w:rsid w:val="4FEB45A6"/>
    <w:rsid w:val="508546A4"/>
    <w:rsid w:val="50D71499"/>
    <w:rsid w:val="52FD57DB"/>
    <w:rsid w:val="535844AE"/>
    <w:rsid w:val="53745413"/>
    <w:rsid w:val="54825031"/>
    <w:rsid w:val="54D41AB2"/>
    <w:rsid w:val="55EE7135"/>
    <w:rsid w:val="56AB6150"/>
    <w:rsid w:val="56C23D0E"/>
    <w:rsid w:val="57365804"/>
    <w:rsid w:val="57520A37"/>
    <w:rsid w:val="5857298D"/>
    <w:rsid w:val="598E333A"/>
    <w:rsid w:val="5BB932F0"/>
    <w:rsid w:val="5BBD307D"/>
    <w:rsid w:val="5BC742D5"/>
    <w:rsid w:val="5D7B7B29"/>
    <w:rsid w:val="5E237D1E"/>
    <w:rsid w:val="5E346CF0"/>
    <w:rsid w:val="5EB94156"/>
    <w:rsid w:val="5ECF63AE"/>
    <w:rsid w:val="5EE77BFE"/>
    <w:rsid w:val="5FEC6BD7"/>
    <w:rsid w:val="605442E4"/>
    <w:rsid w:val="60936FAB"/>
    <w:rsid w:val="609A58AD"/>
    <w:rsid w:val="63035EDD"/>
    <w:rsid w:val="63E36016"/>
    <w:rsid w:val="653258BD"/>
    <w:rsid w:val="66D941C7"/>
    <w:rsid w:val="66F531E4"/>
    <w:rsid w:val="67BE1FB5"/>
    <w:rsid w:val="681209A3"/>
    <w:rsid w:val="68490718"/>
    <w:rsid w:val="686A3B55"/>
    <w:rsid w:val="69C72D1C"/>
    <w:rsid w:val="69D93B2D"/>
    <w:rsid w:val="6A9455F7"/>
    <w:rsid w:val="6ADE4EFE"/>
    <w:rsid w:val="6D144001"/>
    <w:rsid w:val="6DBC0FC1"/>
    <w:rsid w:val="6DEC5AC7"/>
    <w:rsid w:val="6E2319C2"/>
    <w:rsid w:val="6EEA2692"/>
    <w:rsid w:val="6FCD3C8D"/>
    <w:rsid w:val="701030CC"/>
    <w:rsid w:val="703F285B"/>
    <w:rsid w:val="70B76860"/>
    <w:rsid w:val="71A85333"/>
    <w:rsid w:val="72701E27"/>
    <w:rsid w:val="7284298E"/>
    <w:rsid w:val="736A004D"/>
    <w:rsid w:val="73D4167B"/>
    <w:rsid w:val="743E2DF5"/>
    <w:rsid w:val="744077DC"/>
    <w:rsid w:val="75D10920"/>
    <w:rsid w:val="75DF2E4D"/>
    <w:rsid w:val="7677351A"/>
    <w:rsid w:val="76AAFBFB"/>
    <w:rsid w:val="772A140E"/>
    <w:rsid w:val="77F90914"/>
    <w:rsid w:val="78A07BDA"/>
    <w:rsid w:val="78A12BAE"/>
    <w:rsid w:val="79F20B92"/>
    <w:rsid w:val="7A166516"/>
    <w:rsid w:val="7BBFFC7D"/>
    <w:rsid w:val="7BDD44B5"/>
    <w:rsid w:val="7BE30AA6"/>
    <w:rsid w:val="7C3E66E2"/>
    <w:rsid w:val="7C442286"/>
    <w:rsid w:val="7E0B4041"/>
    <w:rsid w:val="7E676E21"/>
    <w:rsid w:val="7E6D6019"/>
    <w:rsid w:val="7F952B96"/>
    <w:rsid w:val="AEFD22B0"/>
    <w:rsid w:val="B7C77657"/>
    <w:rsid w:val="CD51DFB9"/>
    <w:rsid w:val="FFAEB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widowControl w:val="0"/>
      <w:spacing w:after="0" w:line="240" w:lineRule="auto"/>
      <w:jc w:val="center"/>
      <w:outlineLvl w:val="0"/>
    </w:pPr>
    <w:rPr>
      <w:rFonts w:ascii="仿宋" w:hAnsi="仿宋" w:eastAsia="仿宋" w:cs="仿宋"/>
      <w:b/>
      <w:bCs/>
      <w:kern w:val="44"/>
      <w:sz w:val="32"/>
      <w:szCs w:val="44"/>
      <w:lang w:val="en-US" w:eastAsia="zh-CN" w:bidi="ar-SA"/>
    </w:rPr>
  </w:style>
  <w:style w:type="paragraph" w:styleId="3">
    <w:name w:val="heading 2"/>
    <w:basedOn w:val="1"/>
    <w:next w:val="1"/>
    <w:link w:val="108"/>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94"/>
    <w:qFormat/>
    <w:uiPriority w:val="0"/>
    <w:pPr>
      <w:widowControl/>
      <w:spacing w:before="150" w:after="150" w:line="360" w:lineRule="atLeast"/>
      <w:ind w:left="0" w:right="0"/>
      <w:jc w:val="center"/>
      <w:outlineLvl w:val="2"/>
    </w:pPr>
    <w:rPr>
      <w:rFonts w:ascii="宋体" w:hAnsi="宋体" w:eastAsia="宋体" w:cs="宋体"/>
      <w:b/>
      <w:bCs/>
      <w:kern w:val="0"/>
      <w:sz w:val="27"/>
      <w:szCs w:val="27"/>
      <w:lang w:val="en-US" w:eastAsia="zh-CN" w:bidi="ar-SA"/>
    </w:rPr>
  </w:style>
  <w:style w:type="paragraph" w:styleId="5">
    <w:name w:val="heading 4"/>
    <w:basedOn w:val="1"/>
    <w:next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cs="Times New Roman"/>
      <w:b/>
      <w:sz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widowControl w:val="0"/>
      <w:spacing w:before="120" w:after="0"/>
      <w:ind w:left="0" w:right="0"/>
      <w:jc w:val="both"/>
    </w:pPr>
    <w:rPr>
      <w:rFonts w:ascii="Arial" w:hAnsi="Arial" w:eastAsia="宋体" w:cs="Arial"/>
      <w:kern w:val="2"/>
      <w:sz w:val="24"/>
      <w:szCs w:val="24"/>
      <w:lang w:val="en-US" w:eastAsia="zh-CN" w:bidi="ar-SA"/>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index 6"/>
    <w:basedOn w:val="1"/>
    <w:next w:val="1"/>
    <w:qFormat/>
    <w:uiPriority w:val="99"/>
    <w:pPr>
      <w:ind w:left="2100"/>
    </w:pPr>
  </w:style>
  <w:style w:type="paragraph" w:styleId="11">
    <w:name w:val="Body Text 3"/>
    <w:basedOn w:val="1"/>
    <w:qFormat/>
    <w:uiPriority w:val="0"/>
    <w:pPr>
      <w:spacing w:after="120"/>
    </w:pPr>
    <w:rPr>
      <w:sz w:val="16"/>
      <w:szCs w:val="16"/>
    </w:rPr>
  </w:style>
  <w:style w:type="paragraph" w:styleId="12">
    <w:name w:val="Body Text"/>
    <w:basedOn w:val="1"/>
    <w:next w:val="13"/>
    <w:qFormat/>
    <w:uiPriority w:val="0"/>
    <w:pPr>
      <w:widowControl w:val="0"/>
      <w:snapToGrid w:val="0"/>
      <w:spacing w:after="0" w:line="400" w:lineRule="exact"/>
      <w:jc w:val="left"/>
    </w:pPr>
    <w:rPr>
      <w:rFonts w:ascii="黑体" w:hAnsi="Times New Roman" w:eastAsia="黑体" w:cs="黑体"/>
      <w:kern w:val="0"/>
      <w:sz w:val="24"/>
      <w:szCs w:val="20"/>
      <w:lang w:val="en-US" w:eastAsia="zh-CN" w:bidi="ar-SA"/>
    </w:rPr>
  </w:style>
  <w:style w:type="paragraph" w:customStyle="1" w:styleId="13">
    <w:name w:val="Default"/>
    <w:basedOn w:val="14"/>
    <w:next w:val="1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4">
    <w:name w:val="Title"/>
    <w:basedOn w:val="1"/>
    <w:next w:val="1"/>
    <w:qFormat/>
    <w:uiPriority w:val="10"/>
    <w:pPr>
      <w:spacing w:before="240" w:after="60"/>
      <w:jc w:val="center"/>
      <w:outlineLvl w:val="0"/>
    </w:pPr>
    <w:rPr>
      <w:rFonts w:ascii="Cambria" w:hAnsi="Cambria"/>
      <w:b/>
      <w:bCs/>
      <w:sz w:val="32"/>
      <w:szCs w:val="32"/>
    </w:rPr>
  </w:style>
  <w:style w:type="paragraph" w:customStyle="1" w:styleId="15">
    <w:name w:val="大标题"/>
    <w:basedOn w:val="1"/>
    <w:next w:val="16"/>
    <w:autoRedefine/>
    <w:qFormat/>
    <w:uiPriority w:val="0"/>
    <w:pPr>
      <w:jc w:val="center"/>
    </w:pPr>
    <w:rPr>
      <w:rFonts w:ascii="Arial" w:hAnsi="Arial"/>
      <w:b/>
      <w:sz w:val="28"/>
    </w:rPr>
  </w:style>
  <w:style w:type="paragraph" w:styleId="16">
    <w:name w:val="Body Text First Indent 2"/>
    <w:basedOn w:val="17"/>
    <w:next w:val="18"/>
    <w:qFormat/>
    <w:uiPriority w:val="0"/>
    <w:pPr>
      <w:ind w:firstLine="420"/>
    </w:pPr>
    <w:rPr>
      <w:rFonts w:ascii="Times New Roman" w:hAnsi="Times New Roman" w:eastAsia="宋体" w:cs="Times New Roman"/>
    </w:rPr>
  </w:style>
  <w:style w:type="paragraph" w:styleId="17">
    <w:name w:val="Body Text Indent"/>
    <w:basedOn w:val="1"/>
    <w:next w:val="16"/>
    <w:qFormat/>
    <w:uiPriority w:val="0"/>
    <w:pPr>
      <w:widowControl w:val="0"/>
      <w:spacing w:after="0"/>
      <w:ind w:firstLine="620"/>
      <w:jc w:val="both"/>
    </w:pPr>
    <w:rPr>
      <w:rFonts w:ascii="Times New Roman" w:hAnsi="Times New Roman" w:eastAsia="楷体_GB2312" w:cs="Times New Roman"/>
      <w:kern w:val="0"/>
      <w:sz w:val="30"/>
      <w:szCs w:val="20"/>
      <w:lang w:val="en-US" w:eastAsia="zh-CN" w:bidi="ar-SA"/>
    </w:rPr>
  </w:style>
  <w:style w:type="paragraph" w:styleId="18">
    <w:name w:val="Body Text First Indent"/>
    <w:basedOn w:val="12"/>
    <w:next w:val="19"/>
    <w:qFormat/>
    <w:uiPriority w:val="0"/>
    <w:pPr>
      <w:widowControl w:val="0"/>
      <w:autoSpaceDE w:val="0"/>
      <w:autoSpaceDN w:val="0"/>
      <w:adjustRightInd w:val="0"/>
      <w:snapToGrid w:val="0"/>
      <w:spacing w:after="0" w:line="360" w:lineRule="auto"/>
      <w:ind w:firstLine="420" w:firstLineChars="200"/>
      <w:jc w:val="left"/>
    </w:pPr>
    <w:rPr>
      <w:rFonts w:ascii="Arial" w:hAnsi="Arial" w:eastAsia="黑体" w:cs="Arial"/>
      <w:kern w:val="0"/>
      <w:sz w:val="24"/>
      <w:szCs w:val="21"/>
      <w:lang w:val="en-US" w:eastAsia="zh-CN" w:bidi="ar-SA"/>
    </w:rPr>
  </w:style>
  <w:style w:type="paragraph" w:styleId="19">
    <w:name w:val="toc 6"/>
    <w:next w:val="1"/>
    <w:unhideWhenUsed/>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0">
    <w:name w:val="Plain Text"/>
    <w:basedOn w:val="1"/>
    <w:qFormat/>
    <w:uiPriority w:val="0"/>
    <w:pPr>
      <w:widowControl w:val="0"/>
      <w:spacing w:after="0"/>
      <w:jc w:val="both"/>
    </w:pPr>
    <w:rPr>
      <w:rFonts w:ascii="宋体" w:hAnsi="Courier New" w:eastAsia="宋体" w:cs="宋体"/>
      <w:kern w:val="0"/>
      <w:sz w:val="20"/>
      <w:szCs w:val="20"/>
      <w:lang w:val="en-US" w:eastAsia="zh-CN" w:bidi="ar-SA"/>
    </w:rPr>
  </w:style>
  <w:style w:type="paragraph" w:styleId="21">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0"/>
      <w:sz w:val="18"/>
      <w:szCs w:val="18"/>
      <w:lang w:val="en-US" w:eastAsia="zh-CN" w:bidi="ar-SA"/>
    </w:rPr>
  </w:style>
  <w:style w:type="paragraph" w:styleId="23">
    <w:name w:val="envelope return"/>
    <w:basedOn w:val="1"/>
    <w:qFormat/>
    <w:uiPriority w:val="0"/>
    <w:pPr>
      <w:snapToGrid w:val="0"/>
    </w:pPr>
    <w:rPr>
      <w:rFonts w:ascii="Arial" w:hAnsi="Arial" w:eastAsia="宋体" w:cs="Arial"/>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0"/>
      <w:sz w:val="18"/>
      <w:szCs w:val="18"/>
      <w:lang w:val="en-US" w:eastAsia="zh-CN" w:bidi="ar-SA"/>
    </w:rPr>
  </w:style>
  <w:style w:type="paragraph" w:styleId="25">
    <w:name w:val="toc 1"/>
    <w:basedOn w:val="1"/>
    <w:next w:val="1"/>
    <w:qFormat/>
    <w:uiPriority w:val="0"/>
    <w:pPr>
      <w:widowControl w:val="0"/>
      <w:spacing w:before="120" w:after="120"/>
      <w:ind w:left="0" w:right="0"/>
      <w:jc w:val="left"/>
    </w:pPr>
    <w:rPr>
      <w:rFonts w:ascii="Calibri" w:hAnsi="Calibri" w:eastAsia="宋体" w:cs="Calibri"/>
      <w:b/>
      <w:bCs/>
      <w:caps/>
      <w:kern w:val="2"/>
      <w:sz w:val="20"/>
      <w:szCs w:val="20"/>
      <w:lang w:val="en-US" w:eastAsia="zh-CN" w:bidi="ar-SA"/>
    </w:rPr>
  </w:style>
  <w:style w:type="paragraph" w:styleId="26">
    <w:name w:val="index heading"/>
    <w:basedOn w:val="1"/>
    <w:next w:val="27"/>
    <w:qFormat/>
    <w:uiPriority w:val="0"/>
    <w:pPr>
      <w:adjustRightInd w:val="0"/>
      <w:spacing w:line="312" w:lineRule="atLeast"/>
      <w:textAlignment w:val="baseline"/>
    </w:pPr>
    <w:rPr>
      <w:rFonts w:ascii="Arial" w:hAnsi="Arial" w:eastAsia="仿宋" w:cs="Arial"/>
      <w:b/>
      <w:bCs/>
      <w:kern w:val="0"/>
      <w:sz w:val="32"/>
      <w:szCs w:val="20"/>
    </w:rPr>
  </w:style>
  <w:style w:type="paragraph" w:styleId="27">
    <w:name w:val="index 1"/>
    <w:basedOn w:val="1"/>
    <w:next w:val="1"/>
    <w:qFormat/>
    <w:uiPriority w:val="0"/>
    <w:rPr>
      <w:rFonts w:ascii="Times New Roman" w:hAnsi="Times New Roman" w:eastAsia="宋体" w:cs="Times New Roman"/>
    </w:rPr>
  </w:style>
  <w:style w:type="paragraph" w:styleId="28">
    <w:name w:val="footnote text"/>
    <w:basedOn w:val="1"/>
    <w:unhideWhenUsed/>
    <w:qFormat/>
    <w:uiPriority w:val="99"/>
    <w:pPr>
      <w:snapToGrid w:val="0"/>
      <w:jc w:val="left"/>
    </w:pPr>
    <w:rPr>
      <w:sz w:val="18"/>
      <w:szCs w:val="18"/>
    </w:rPr>
  </w:style>
  <w:style w:type="paragraph" w:styleId="29">
    <w:name w:val="List 5"/>
    <w:basedOn w:val="1"/>
    <w:qFormat/>
    <w:uiPriority w:val="0"/>
    <w:pPr>
      <w:ind w:left="2100" w:hanging="420"/>
    </w:pPr>
    <w:rPr>
      <w:rFonts w:ascii="Times New Roman" w:hAnsi="Times New Roman" w:eastAsia="楷体_GB2312" w:cs="Times New Roman"/>
      <w:sz w:val="32"/>
      <w:szCs w:val="20"/>
    </w:rPr>
  </w:style>
  <w:style w:type="paragraph" w:styleId="30">
    <w:name w:val="index 7"/>
    <w:basedOn w:val="1"/>
    <w:next w:val="1"/>
    <w:qFormat/>
    <w:uiPriority w:val="0"/>
    <w:pPr>
      <w:autoSpaceDE/>
      <w:autoSpaceDN/>
      <w:adjustRightInd/>
      <w:ind w:left="1200" w:leftChars="1200"/>
    </w:pPr>
    <w:rPr>
      <w:color w:val="auto"/>
      <w:kern w:val="2"/>
      <w:szCs w:val="24"/>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宋体" w:eastAsia="宋体" w:cs="Times New Roman"/>
      <w:color w:val="000000"/>
      <w:sz w:val="24"/>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table" w:styleId="34">
    <w:name w:val="Table Grid"/>
    <w:basedOn w:val="3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rFonts w:ascii="Times New Roman" w:hAnsi="Times New Roman" w:eastAsia="宋体" w:cs="Times New Roman"/>
      <w:b/>
      <w:sz w:val="21"/>
    </w:rPr>
  </w:style>
  <w:style w:type="character" w:styleId="37">
    <w:name w:val="Hyperlink"/>
    <w:qFormat/>
    <w:uiPriority w:val="0"/>
    <w:rPr>
      <w:rFonts w:ascii="Times New Roman" w:hAnsi="Times New Roman" w:eastAsia="微软雅黑" w:cs="Times New Roman"/>
      <w:color w:val="0000FF"/>
      <w:u w:val="single"/>
    </w:rPr>
  </w:style>
  <w:style w:type="character" w:styleId="38">
    <w:name w:val="annotation reference"/>
    <w:qFormat/>
    <w:uiPriority w:val="0"/>
    <w:rPr>
      <w:rFonts w:ascii="Times New Roman" w:hAnsi="Times New Roman" w:eastAsia="宋体"/>
      <w:sz w:val="21"/>
      <w:szCs w:val="21"/>
    </w:rPr>
  </w:style>
  <w:style w:type="character" w:styleId="39">
    <w:name w:val="footnote reference"/>
    <w:basedOn w:val="35"/>
    <w:unhideWhenUsed/>
    <w:qFormat/>
    <w:uiPriority w:val="99"/>
    <w:rPr>
      <w:vertAlign w:val="superscript"/>
    </w:rPr>
  </w:style>
  <w:style w:type="paragraph" w:customStyle="1" w:styleId="40">
    <w:name w:val="正文（首行缩进2字符）"/>
    <w:basedOn w:val="1"/>
    <w:next w:val="1"/>
    <w:qFormat/>
    <w:uiPriority w:val="0"/>
    <w:pPr>
      <w:ind w:firstLine="420" w:firstLineChars="200"/>
    </w:pPr>
    <w:rPr>
      <w:kern w:val="2"/>
      <w:szCs w:val="21"/>
    </w:rPr>
  </w:style>
  <w:style w:type="character" w:customStyle="1" w:styleId="41">
    <w:name w:val="UserStyle_3"/>
    <w:qFormat/>
    <w:uiPriority w:val="0"/>
    <w:rPr>
      <w:rFonts w:ascii="宋体" w:hAnsi="宋体" w:eastAsia="宋体" w:cs="Times New Roman"/>
      <w:b/>
      <w:sz w:val="32"/>
      <w:szCs w:val="32"/>
    </w:rPr>
  </w:style>
  <w:style w:type="character" w:customStyle="1" w:styleId="42">
    <w:name w:val="NormalCharacter"/>
    <w:link w:val="43"/>
    <w:qFormat/>
    <w:uiPriority w:val="0"/>
  </w:style>
  <w:style w:type="paragraph" w:customStyle="1" w:styleId="43">
    <w:name w:val="UserStyle_5"/>
    <w:basedOn w:val="1"/>
    <w:link w:val="42"/>
    <w:qFormat/>
    <w:uiPriority w:val="0"/>
    <w:pPr>
      <w:widowControl/>
      <w:spacing w:after="160" w:line="240" w:lineRule="exact"/>
      <w:jc w:val="left"/>
      <w:textAlignment w:val="baseline"/>
    </w:pPr>
  </w:style>
  <w:style w:type="paragraph" w:customStyle="1" w:styleId="44">
    <w:name w:val="UserStyle_20"/>
    <w:basedOn w:val="1"/>
    <w:link w:val="42"/>
    <w:qFormat/>
    <w:uiPriority w:val="0"/>
    <w:pPr>
      <w:spacing w:after="160" w:line="240" w:lineRule="exact"/>
      <w:jc w:val="left"/>
    </w:pPr>
    <w:rPr>
      <w:rFonts w:ascii="Verdana" w:hAnsi="Verdana" w:eastAsia="仿宋_GB2312" w:cs="Times New Roman"/>
      <w:kern w:val="0"/>
      <w:sz w:val="24"/>
      <w:szCs w:val="20"/>
      <w:lang w:eastAsia="en-US"/>
    </w:rPr>
  </w:style>
  <w:style w:type="paragraph" w:customStyle="1" w:styleId="45">
    <w:name w:val="UserStyle_0"/>
    <w:basedOn w:val="1"/>
    <w:qFormat/>
    <w:uiPriority w:val="0"/>
    <w:rPr>
      <w:rFonts w:ascii="Courier New" w:hAnsi="Courier New" w:eastAsia="宋体" w:cs="Times New Roman"/>
      <w:sz w:val="20"/>
    </w:rPr>
  </w:style>
  <w:style w:type="paragraph" w:customStyle="1" w:styleId="46">
    <w:name w:val="BodyText1I2"/>
    <w:basedOn w:val="47"/>
    <w:next w:val="48"/>
    <w:qFormat/>
    <w:uiPriority w:val="0"/>
    <w:pPr>
      <w:ind w:leftChars="0"/>
    </w:pPr>
    <w:rPr>
      <w:rFonts w:ascii="Calibri" w:hAnsi="Calibri" w:eastAsia="宋体" w:cs="Times New Roman"/>
      <w:sz w:val="21"/>
      <w:szCs w:val="22"/>
    </w:rPr>
  </w:style>
  <w:style w:type="paragraph" w:customStyle="1" w:styleId="47">
    <w:name w:val="BodyTextIndent"/>
    <w:basedOn w:val="1"/>
    <w:qFormat/>
    <w:uiPriority w:val="0"/>
    <w:pPr>
      <w:spacing w:after="120"/>
      <w:ind w:left="420" w:leftChars="200"/>
    </w:pPr>
    <w:rPr>
      <w:rFonts w:ascii="Times New Roman" w:hAnsi="Times New Roman" w:eastAsia="宋体" w:cs="Times New Roman"/>
      <w:sz w:val="24"/>
      <w:szCs w:val="24"/>
    </w:rPr>
  </w:style>
  <w:style w:type="paragraph" w:customStyle="1" w:styleId="48">
    <w:name w:val="BodyText"/>
    <w:basedOn w:val="1"/>
    <w:next w:val="1"/>
    <w:qFormat/>
    <w:uiPriority w:val="0"/>
    <w:rPr>
      <w:rFonts w:ascii="Times New Roman" w:hAnsi="Times New Roman" w:eastAsia="黑体" w:cs="Times New Roman"/>
      <w:kern w:val="0"/>
      <w:sz w:val="36"/>
      <w:szCs w:val="36"/>
    </w:rPr>
  </w:style>
  <w:style w:type="paragraph" w:customStyle="1" w:styleId="4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正文_2_0"/>
    <w:basedOn w:val="51"/>
    <w:next w:val="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2_1"/>
    <w:basedOn w:val="52"/>
    <w:next w:val="73"/>
    <w:qFormat/>
    <w:uiPriority w:val="0"/>
    <w:rPr>
      <w:szCs w:val="24"/>
    </w:rPr>
  </w:style>
  <w:style w:type="paragraph" w:customStyle="1" w:styleId="52">
    <w:name w:val="正文_3_0"/>
    <w:basedOn w:val="53"/>
    <w:next w:val="56"/>
    <w:qFormat/>
    <w:uiPriority w:val="0"/>
  </w:style>
  <w:style w:type="paragraph" w:customStyle="1" w:styleId="53">
    <w:name w:val="Normal_0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Body Text_0"/>
    <w:basedOn w:val="55"/>
    <w:qFormat/>
    <w:uiPriority w:val="0"/>
    <w:pPr>
      <w:spacing w:after="120"/>
    </w:pPr>
  </w:style>
  <w:style w:type="paragraph" w:customStyle="1" w:styleId="55">
    <w:name w:val="Normal_1"/>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缩进_0_0_1"/>
    <w:basedOn w:val="57"/>
    <w:unhideWhenUsed/>
    <w:qFormat/>
    <w:uiPriority w:val="0"/>
    <w:pPr>
      <w:ind w:firstLine="420" w:firstLineChars="200"/>
    </w:pPr>
  </w:style>
  <w:style w:type="paragraph" w:customStyle="1" w:styleId="57">
    <w:name w:val="正文_0_1_1"/>
    <w:basedOn w:val="58"/>
    <w:next w:val="70"/>
    <w:qFormat/>
    <w:uiPriority w:val="0"/>
    <w:rPr>
      <w:rFonts w:eastAsia="Calibri"/>
    </w:rPr>
  </w:style>
  <w:style w:type="paragraph" w:customStyle="1" w:styleId="58">
    <w:name w:val="正文_3_1"/>
    <w:basedOn w:val="59"/>
    <w:next w:val="62"/>
    <w:qFormat/>
    <w:uiPriority w:val="0"/>
    <w:rPr>
      <w:rFonts w:ascii="Calibri" w:hAnsi="Calibri"/>
      <w:sz w:val="21"/>
      <w:szCs w:val="22"/>
    </w:rPr>
  </w:style>
  <w:style w:type="paragraph" w:customStyle="1" w:styleId="59">
    <w:name w:val="Normal_0_1"/>
    <w:basedOn w:val="60"/>
    <w:qFormat/>
    <w:uiPriority w:val="0"/>
    <w:rPr>
      <w:rFonts w:ascii="黑体" w:hAnsi="黑体" w:eastAsia="黑体"/>
      <w:b/>
      <w:sz w:val="32"/>
      <w:szCs w:val="24"/>
    </w:rPr>
  </w:style>
  <w:style w:type="paragraph" w:customStyle="1" w:styleId="60">
    <w:name w:val="Normal_2"/>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1"/>
    <w:basedOn w:val="60"/>
    <w:qFormat/>
    <w:uiPriority w:val="0"/>
    <w:pPr>
      <w:spacing w:after="120"/>
    </w:pPr>
  </w:style>
  <w:style w:type="paragraph" w:customStyle="1" w:styleId="62">
    <w:name w:val="正文缩进_0_0_0"/>
    <w:basedOn w:val="63"/>
    <w:unhideWhenUsed/>
    <w:qFormat/>
    <w:uiPriority w:val="0"/>
    <w:pPr>
      <w:ind w:firstLine="420" w:firstLineChars="200"/>
    </w:pPr>
  </w:style>
  <w:style w:type="paragraph" w:customStyle="1" w:styleId="63">
    <w:name w:val="正文_0_1_0"/>
    <w:basedOn w:val="64"/>
    <w:next w:val="65"/>
    <w:qFormat/>
    <w:uiPriority w:val="0"/>
    <w:rPr>
      <w:rFonts w:eastAsia="Calibri"/>
    </w:rPr>
  </w:style>
  <w:style w:type="paragraph" w:customStyle="1" w:styleId="64">
    <w:name w:val="正文_1_1"/>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脚注文本_0"/>
    <w:basedOn w:val="66"/>
    <w:next w:val="68"/>
    <w:unhideWhenUsed/>
    <w:qFormat/>
    <w:uiPriority w:val="99"/>
    <w:pPr>
      <w:snapToGrid w:val="0"/>
      <w:jc w:val="left"/>
    </w:pPr>
    <w:rPr>
      <w:rFonts w:ascii="Calibri" w:hAnsi="Calibri" w:eastAsia="Calibri"/>
      <w:sz w:val="18"/>
    </w:rPr>
  </w:style>
  <w:style w:type="paragraph" w:customStyle="1" w:styleId="66">
    <w:name w:val="正文_0_2"/>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页脚_0_0"/>
    <w:basedOn w:val="66"/>
    <w:unhideWhenUsed/>
    <w:qFormat/>
    <w:uiPriority w:val="99"/>
    <w:pPr>
      <w:tabs>
        <w:tab w:val="center" w:pos="4153"/>
        <w:tab w:val="right" w:pos="8306"/>
      </w:tabs>
      <w:snapToGrid w:val="0"/>
      <w:jc w:val="left"/>
    </w:pPr>
    <w:rPr>
      <w:sz w:val="18"/>
      <w:szCs w:val="18"/>
    </w:rPr>
  </w:style>
  <w:style w:type="paragraph" w:customStyle="1" w:styleId="68">
    <w:name w:val="正文_2"/>
    <w:next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文本_0"/>
    <w:basedOn w:val="50"/>
    <w:qFormat/>
    <w:uiPriority w:val="0"/>
  </w:style>
  <w:style w:type="paragraph" w:customStyle="1" w:styleId="70">
    <w:name w:val="脚注文本1"/>
    <w:basedOn w:val="71"/>
    <w:next w:val="72"/>
    <w:unhideWhenUsed/>
    <w:qFormat/>
    <w:uiPriority w:val="0"/>
    <w:pPr>
      <w:snapToGrid w:val="0"/>
      <w:jc w:val="left"/>
    </w:pPr>
    <w:rPr>
      <w:kern w:val="0"/>
      <w:sz w:val="18"/>
      <w:szCs w:val="18"/>
    </w:rPr>
  </w:style>
  <w:style w:type="paragraph" w:customStyle="1" w:styleId="71">
    <w:name w:val="正文_1_0"/>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索引 51"/>
    <w:basedOn w:val="71"/>
    <w:next w:val="71"/>
    <w:unhideWhenUsed/>
    <w:qFormat/>
    <w:uiPriority w:val="99"/>
    <w:pPr>
      <w:ind w:left="1680"/>
    </w:pPr>
  </w:style>
  <w:style w:type="paragraph" w:customStyle="1" w:styleId="73">
    <w:name w:val="No Spacing_0"/>
    <w:basedOn w:val="74"/>
    <w:qFormat/>
    <w:uiPriority w:val="1"/>
  </w:style>
  <w:style w:type="paragraph" w:customStyle="1" w:styleId="74">
    <w:name w:val="正文_5"/>
    <w:basedOn w:val="68"/>
    <w:next w:val="75"/>
    <w:qFormat/>
    <w:uiPriority w:val="0"/>
    <w:rPr>
      <w:rFonts w:ascii="Calibri" w:hAnsi="Calibri"/>
      <w:szCs w:val="22"/>
    </w:rPr>
  </w:style>
  <w:style w:type="paragraph" w:customStyle="1" w:styleId="75">
    <w:name w:val="段_0"/>
    <w:next w:val="7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正文1_0"/>
    <w:basedOn w:val="77"/>
    <w:qFormat/>
    <w:uiPriority w:val="0"/>
    <w:pPr>
      <w:widowControl/>
      <w:spacing w:before="120" w:after="120"/>
      <w:ind w:firstLine="200" w:firstLineChars="200"/>
      <w:jc w:val="left"/>
    </w:pPr>
    <w:rPr>
      <w:rFonts w:ascii="Times New Roman" w:hAnsi="Times New Roman" w:eastAsia="Adobe 仿宋 Std R"/>
    </w:rPr>
  </w:style>
  <w:style w:type="paragraph" w:customStyle="1" w:styleId="77">
    <w:name w:val="正文_3"/>
    <w:basedOn w:val="78"/>
    <w:next w:val="80"/>
    <w:qFormat/>
    <w:uiPriority w:val="0"/>
  </w:style>
  <w:style w:type="paragraph" w:customStyle="1" w:styleId="78">
    <w:name w:val="Normal_0"/>
    <w:basedOn w:val="79"/>
    <w:next w:val="16"/>
    <w:qFormat/>
    <w:uiPriority w:val="0"/>
    <w:rPr>
      <w:rFonts w:ascii="Calibri" w:hAnsi="Calibri"/>
      <w:sz w:val="21"/>
    </w:rPr>
  </w:style>
  <w:style w:type="paragraph" w:customStyle="1" w:styleId="79">
    <w:name w:val="正文1"/>
    <w:next w:val="16"/>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0">
    <w:name w:val="正文缩进_0_0"/>
    <w:basedOn w:val="81"/>
    <w:unhideWhenUsed/>
    <w:qFormat/>
    <w:uiPriority w:val="0"/>
    <w:pPr>
      <w:ind w:firstLine="420" w:firstLineChars="200"/>
    </w:pPr>
  </w:style>
  <w:style w:type="paragraph" w:customStyle="1" w:styleId="81">
    <w:name w:val="正文_2_0_0"/>
    <w:basedOn w:val="82"/>
    <w:next w:val="86"/>
    <w:qFormat/>
    <w:uiPriority w:val="0"/>
    <w:rPr>
      <w:rFonts w:cs="Calibri"/>
      <w:szCs w:val="21"/>
    </w:rPr>
  </w:style>
  <w:style w:type="paragraph" w:customStyle="1" w:styleId="82">
    <w:name w:val="正文_3_0_0"/>
    <w:basedOn w:val="83"/>
    <w:next w:val="84"/>
    <w:qFormat/>
    <w:uiPriority w:val="0"/>
    <w:rPr>
      <w:rFonts w:ascii="Calibri" w:hAnsi="Calibri"/>
    </w:rPr>
  </w:style>
  <w:style w:type="paragraph" w:customStyle="1" w:styleId="83">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文本_1_0_0"/>
    <w:basedOn w:val="85"/>
    <w:qFormat/>
    <w:uiPriority w:val="0"/>
    <w:pPr>
      <w:spacing w:after="120"/>
    </w:pPr>
  </w:style>
  <w:style w:type="paragraph" w:customStyle="1" w:styleId="85">
    <w:name w:val="正文_2_0_0_0_0"/>
    <w:next w:val="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首行缩进 2_4"/>
    <w:basedOn w:val="87"/>
    <w:unhideWhenUsed/>
    <w:qFormat/>
    <w:uiPriority w:val="99"/>
    <w:pPr>
      <w:ind w:firstLine="420" w:firstLineChars="200"/>
    </w:pPr>
  </w:style>
  <w:style w:type="paragraph" w:customStyle="1" w:styleId="87">
    <w:name w:val="正文文本缩进_5"/>
    <w:basedOn w:val="88"/>
    <w:qFormat/>
    <w:uiPriority w:val="0"/>
    <w:pPr>
      <w:spacing w:line="500" w:lineRule="exact"/>
      <w:ind w:left="1588" w:leftChars="832" w:firstLine="433" w:firstLineChars="196"/>
    </w:pPr>
    <w:rPr>
      <w:kern w:val="0"/>
      <w:sz w:val="24"/>
    </w:rPr>
  </w:style>
  <w:style w:type="paragraph" w:customStyle="1" w:styleId="88">
    <w:name w:val="正文_2_0_0_0"/>
    <w:next w:val="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0">
    <w:name w:val="题注5"/>
    <w:basedOn w:val="1"/>
    <w:next w:val="7"/>
    <w:qFormat/>
    <w:uiPriority w:val="0"/>
    <w:pPr>
      <w:numPr>
        <w:ilvl w:val="1"/>
        <w:numId w:val="2"/>
      </w:numPr>
      <w:tabs>
        <w:tab w:val="left" w:pos="0"/>
        <w:tab w:val="left" w:pos="720"/>
      </w:tabs>
      <w:spacing w:line="360" w:lineRule="auto"/>
      <w:ind w:left="720" w:hanging="720"/>
    </w:pPr>
    <w:rPr>
      <w:rFonts w:ascii="Times New Roman" w:hAnsi="Times New Roman" w:eastAsia="宋体" w:cs="Times New Roman"/>
      <w:b/>
      <w:color w:val="000000"/>
      <w:sz w:val="28"/>
      <w:szCs w:val="28"/>
    </w:rPr>
  </w:style>
  <w:style w:type="character" w:customStyle="1" w:styleId="91">
    <w:name w:val="标题 1 Char Char"/>
    <w:link w:val="2"/>
    <w:qFormat/>
    <w:uiPriority w:val="0"/>
    <w:rPr>
      <w:rFonts w:ascii="仿宋" w:hAnsi="仿宋" w:eastAsia="仿宋" w:cs="仿宋"/>
      <w:b/>
      <w:bCs/>
      <w:kern w:val="44"/>
      <w:sz w:val="32"/>
      <w:szCs w:val="44"/>
      <w:lang w:val="en-US" w:eastAsia="zh-CN" w:bidi="ar-SA"/>
    </w:rPr>
  </w:style>
  <w:style w:type="paragraph" w:customStyle="1" w:styleId="92">
    <w:name w:val="首行缩进:  0.85 厘米"/>
    <w:basedOn w:val="1"/>
    <w:qFormat/>
    <w:uiPriority w:val="0"/>
    <w:pPr>
      <w:widowControl/>
      <w:spacing w:after="100" w:line="360" w:lineRule="auto"/>
      <w:ind w:firstLine="482"/>
      <w:jc w:val="left"/>
    </w:pPr>
    <w:rPr>
      <w:rFonts w:ascii="Times New Roman" w:hAnsi="Times New Roman" w:eastAsia="宋体" w:cs="Times New Roman"/>
      <w:kern w:val="0"/>
      <w:sz w:val="24"/>
      <w:lang w:eastAsia="en-US"/>
    </w:rPr>
  </w:style>
  <w:style w:type="character" w:customStyle="1" w:styleId="93">
    <w:name w:val="标题 1 Char"/>
    <w:link w:val="2"/>
    <w:qFormat/>
    <w:uiPriority w:val="0"/>
    <w:rPr>
      <w:rFonts w:ascii="Times New Roman" w:hAnsi="Times New Roman" w:eastAsia="宋体" w:cs="Times New Roman"/>
      <w:b/>
      <w:bCs/>
      <w:kern w:val="44"/>
      <w:sz w:val="44"/>
      <w:szCs w:val="44"/>
    </w:rPr>
  </w:style>
  <w:style w:type="character" w:customStyle="1" w:styleId="94">
    <w:name w:val="标题 3 Char"/>
    <w:link w:val="4"/>
    <w:qFormat/>
    <w:uiPriority w:val="0"/>
    <w:rPr>
      <w:rFonts w:ascii="宋体" w:hAnsi="宋体" w:eastAsia="宋体" w:cs="宋体"/>
      <w:b/>
      <w:bCs/>
      <w:kern w:val="0"/>
      <w:sz w:val="27"/>
      <w:szCs w:val="27"/>
      <w:lang w:val="en-US" w:eastAsia="zh-CN" w:bidi="ar-SA"/>
    </w:rPr>
  </w:style>
  <w:style w:type="paragraph" w:customStyle="1" w:styleId="95">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 w:type="paragraph" w:customStyle="1" w:styleId="96">
    <w:name w:val="Normal (Web)"/>
    <w:basedOn w:val="1"/>
    <w:qFormat/>
    <w:uiPriority w:val="0"/>
    <w:pPr>
      <w:spacing w:before="0" w:beforeLines="0" w:beforeAutospacing="0" w:after="0" w:afterLines="0" w:afterAutospacing="0"/>
      <w:ind w:left="0" w:right="0"/>
      <w:jc w:val="left"/>
    </w:pPr>
    <w:rPr>
      <w:rFonts w:ascii="Times New Roman" w:hAnsi="Times New Roman" w:eastAsia="宋体" w:cs="Times New Roman"/>
      <w:kern w:val="0"/>
      <w:sz w:val="24"/>
      <w:lang w:val="en-US" w:eastAsia="zh-CN"/>
    </w:rPr>
  </w:style>
  <w:style w:type="character" w:customStyle="1" w:styleId="97">
    <w:name w:val="三级目录"/>
    <w:qFormat/>
    <w:uiPriority w:val="1902"/>
    <w:rPr>
      <w:rFonts w:ascii="宋体" w:hAnsi="宋体"/>
      <w:b/>
      <w:bCs/>
      <w:sz w:val="23"/>
    </w:rPr>
  </w:style>
  <w:style w:type="character" w:customStyle="1" w:styleId="98">
    <w:name w:val="PageNumber"/>
    <w:qFormat/>
    <w:uiPriority w:val="0"/>
    <w:rPr>
      <w:rFonts w:ascii="Times New Roman" w:hAnsi="Times New Roman" w:eastAsia="宋体" w:cs="Times New Roman"/>
    </w:rPr>
  </w:style>
  <w:style w:type="paragraph" w:customStyle="1" w:styleId="99">
    <w:name w:val="正文缩进1"/>
    <w:basedOn w:val="1"/>
    <w:qFormat/>
    <w:uiPriority w:val="0"/>
    <w:pPr>
      <w:ind w:firstLine="420" w:firstLineChars="200"/>
    </w:pPr>
  </w:style>
  <w:style w:type="paragraph" w:customStyle="1" w:styleId="100">
    <w:name w:val="_Style 7"/>
    <w:basedOn w:val="2"/>
    <w:next w:val="1"/>
    <w:qFormat/>
    <w:uiPriority w:val="0"/>
    <w:pPr>
      <w:keepNext/>
      <w:keepLines/>
      <w:widowControl w:val="0"/>
      <w:autoSpaceDE w:val="0"/>
      <w:autoSpaceDN w:val="0"/>
      <w:spacing w:before="340" w:beforeAutospacing="0" w:after="330" w:afterAutospacing="0" w:line="578" w:lineRule="auto"/>
      <w:outlineLvl w:val="9"/>
    </w:pPr>
    <w:rPr>
      <w:rFonts w:cs="宋体"/>
      <w:kern w:val="44"/>
      <w:sz w:val="44"/>
      <w:szCs w:val="44"/>
      <w:lang w:val="en-US" w:eastAsia="en-US"/>
    </w:rPr>
  </w:style>
  <w:style w:type="paragraph" w:customStyle="1" w:styleId="101">
    <w:name w:val="无间隔1"/>
    <w:next w:val="1"/>
    <w:qFormat/>
    <w:uiPriority w:val="1"/>
    <w:pPr>
      <w:widowControl w:val="0"/>
    </w:pPr>
    <w:rPr>
      <w:rFonts w:ascii="Calibri" w:hAnsi="Calibri" w:eastAsia="仿宋_GB2312" w:cs="Times New Roman"/>
      <w:kern w:val="2"/>
      <w:sz w:val="28"/>
      <w:szCs w:val="21"/>
      <w:lang w:val="en-US" w:eastAsia="zh-CN" w:bidi="ar-SA"/>
    </w:rPr>
  </w:style>
  <w:style w:type="paragraph" w:styleId="102">
    <w:name w:val="List Paragraph"/>
    <w:basedOn w:val="1"/>
    <w:qFormat/>
    <w:uiPriority w:val="0"/>
    <w:pPr>
      <w:ind w:firstLine="420" w:firstLineChars="200"/>
    </w:pPr>
    <w:rPr>
      <w:rFonts w:ascii="Calibri" w:hAnsi="Calibri"/>
      <w:szCs w:val="22"/>
    </w:rPr>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4">
    <w:name w:val="4正文"/>
    <w:basedOn w:val="1"/>
    <w:qFormat/>
    <w:uiPriority w:val="0"/>
    <w:pPr>
      <w:snapToGrid w:val="0"/>
      <w:spacing w:line="360" w:lineRule="auto"/>
      <w:ind w:firstLine="480" w:firstLineChars="200"/>
    </w:pPr>
    <w:rPr>
      <w:rFonts w:eastAsia="仿宋"/>
      <w:sz w:val="24"/>
    </w:rPr>
  </w:style>
  <w:style w:type="paragraph" w:customStyle="1" w:styleId="105">
    <w:name w:val="Body text|1"/>
    <w:basedOn w:val="1"/>
    <w:qFormat/>
    <w:uiPriority w:val="99"/>
    <w:pPr>
      <w:spacing w:line="341" w:lineRule="auto"/>
      <w:ind w:firstLine="400"/>
    </w:pPr>
    <w:rPr>
      <w:rFonts w:ascii="宋体" w:hAnsi="宋体" w:cs="宋体"/>
      <w:sz w:val="28"/>
      <w:szCs w:val="28"/>
      <w:lang w:val="zh-TW" w:eastAsia="zh-TW"/>
    </w:rPr>
  </w:style>
  <w:style w:type="paragraph" w:customStyle="1" w:styleId="106">
    <w:name w:val="Table Text"/>
    <w:basedOn w:val="1"/>
    <w:semiHidden/>
    <w:qFormat/>
    <w:uiPriority w:val="0"/>
    <w:rPr>
      <w:rFonts w:ascii="宋体" w:hAnsi="宋体" w:eastAsia="宋体" w:cs="宋体"/>
      <w:sz w:val="31"/>
      <w:szCs w:val="31"/>
    </w:rPr>
  </w:style>
  <w:style w:type="table" w:customStyle="1" w:styleId="107">
    <w:name w:val="Table Normal"/>
    <w:semiHidden/>
    <w:unhideWhenUsed/>
    <w:qFormat/>
    <w:uiPriority w:val="2"/>
    <w:tblPr>
      <w:tblCellMar>
        <w:top w:w="0" w:type="dxa"/>
        <w:left w:w="0" w:type="dxa"/>
        <w:bottom w:w="0" w:type="dxa"/>
        <w:right w:w="0" w:type="dxa"/>
      </w:tblCellMar>
    </w:tblPr>
  </w:style>
  <w:style w:type="character" w:customStyle="1" w:styleId="108">
    <w:name w:val="标题 2 Char"/>
    <w:link w:val="3"/>
    <w:autoRedefine/>
    <w:qFormat/>
    <w:uiPriority w:val="0"/>
    <w:rPr>
      <w:rFonts w:ascii="Arial" w:hAnsi="Arial" w:eastAsia="黑体" w:cs="Times New Roman"/>
      <w:b/>
      <w:bCs/>
      <w:sz w:val="32"/>
      <w:szCs w:val="32"/>
    </w:rPr>
  </w:style>
  <w:style w:type="paragraph" w:customStyle="1" w:styleId="109">
    <w:name w:val="c"/>
    <w:qFormat/>
    <w:uiPriority w:val="0"/>
    <w:pPr>
      <w:widowControl w:val="0"/>
      <w:autoSpaceDE w:val="0"/>
      <w:autoSpaceDN w:val="0"/>
      <w:adjustRightInd w:val="0"/>
      <w:jc w:val="both"/>
    </w:pPr>
    <w:rPr>
      <w:rFonts w:ascii="Arial" w:hAnsi="Arial" w:eastAsiaTheme="minorEastAsia" w:cstheme="minorBidi"/>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44286</Words>
  <Characters>46942</Characters>
  <Lines>0</Lines>
  <Paragraphs>0</Paragraphs>
  <TotalTime>22</TotalTime>
  <ScaleCrop>false</ScaleCrop>
  <LinksUpToDate>false</LinksUpToDate>
  <CharactersWithSpaces>48120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2024-05-17T22:37:00Z</dcterms:created>
  <dc:creator>王冰寒</dc:creator>
  <cp:lastModifiedBy>SPF-ei</cp:lastModifiedBy>
  <dcterms:modified xsi:type="dcterms:W3CDTF">2026-04-01T06:54:24Z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4FDB91DB3B424AE29A552B45197CD742_13</vt:lpwstr>
  </property>
  <property fmtid="{D5CDD505-2E9C-101B-9397-08002B2CF9AE}" pid="4" name="KSOTemplateDocerSaveRecord">
    <vt:lpwstr>eyJoZGlkIjoiYzZkNzQ4ZWFiZmQ4NTRhOWRkZTk3YTMwMjlmMmZhYmUiLCJ1c2VySWQiOiI1Mzc2NTA0MTIifQ==</vt:lpwstr>
  </property>
</Properties>
</file>