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A3A4">
      <w:pPr>
        <w:rPr>
          <w:rFonts w:hint="eastAsia" w:ascii="宋体" w:hAnsi="宋体" w:cs="宋体"/>
          <w:b/>
          <w:sz w:val="32"/>
          <w:szCs w:val="32"/>
          <w:lang w:val="en-US" w:eastAsia="zh-CN"/>
        </w:rPr>
      </w:pPr>
    </w:p>
    <w:p w14:paraId="58504344">
      <w:pPr>
        <w:pStyle w:val="8"/>
        <w:jc w:val="center"/>
        <w:rPr>
          <w:rFonts w:hint="eastAsia" w:ascii="宋体" w:hAnsi="宋体" w:cs="宋体"/>
          <w:b/>
          <w:sz w:val="32"/>
          <w:szCs w:val="32"/>
          <w:lang w:val="en-US" w:eastAsia="zh-CN"/>
        </w:rPr>
      </w:pPr>
    </w:p>
    <w:p w14:paraId="50C82F49">
      <w:pPr>
        <w:pStyle w:val="8"/>
        <w:ind w:left="0" w:leftChars="0" w:firstLine="0" w:firstLineChars="0"/>
        <w:jc w:val="center"/>
        <w:rPr>
          <w:rFonts w:hint="eastAsia" w:ascii="宋体" w:hAnsi="宋体" w:cs="宋体"/>
          <w:b/>
          <w:sz w:val="72"/>
          <w:szCs w:val="52"/>
          <w:lang w:eastAsia="zh-CN"/>
        </w:rPr>
      </w:pPr>
      <w:r>
        <w:rPr>
          <w:rFonts w:hint="eastAsia" w:ascii="宋体" w:hAnsi="宋体" w:cs="宋体"/>
          <w:b/>
          <w:sz w:val="72"/>
          <w:szCs w:val="52"/>
          <w:lang w:eastAsia="zh-CN"/>
        </w:rPr>
        <w:t>山西省教育科技人才一体化</w:t>
      </w:r>
    </w:p>
    <w:p w14:paraId="2E6ED3B6">
      <w:pPr>
        <w:pStyle w:val="8"/>
        <w:ind w:left="0" w:leftChars="0" w:firstLine="0" w:firstLineChars="0"/>
        <w:jc w:val="center"/>
        <w:rPr>
          <w:rFonts w:hint="eastAsia" w:ascii="宋体" w:hAnsi="宋体" w:eastAsia="宋体" w:cs="宋体"/>
          <w:b/>
          <w:sz w:val="72"/>
          <w:szCs w:val="52"/>
        </w:rPr>
      </w:pPr>
      <w:r>
        <w:rPr>
          <w:rFonts w:hint="eastAsia" w:ascii="宋体" w:hAnsi="宋体" w:cs="宋体"/>
          <w:b/>
          <w:sz w:val="72"/>
          <w:szCs w:val="52"/>
          <w:lang w:eastAsia="zh-CN"/>
        </w:rPr>
        <w:t>服务产业云平台项目</w:t>
      </w:r>
    </w:p>
    <w:p w14:paraId="770BF71E">
      <w:pPr>
        <w:pStyle w:val="8"/>
        <w:jc w:val="center"/>
        <w:rPr>
          <w:rFonts w:hint="eastAsia" w:ascii="宋体" w:hAnsi="宋体" w:eastAsia="宋体" w:cs="宋体"/>
          <w:b/>
          <w:sz w:val="24"/>
        </w:rPr>
      </w:pPr>
    </w:p>
    <w:p w14:paraId="1046FFE8">
      <w:pPr>
        <w:jc w:val="center"/>
        <w:rPr>
          <w:rFonts w:hint="eastAsia" w:ascii="宋体" w:hAnsi="宋体" w:eastAsia="宋体" w:cs="宋体"/>
          <w:b/>
          <w:spacing w:val="-20"/>
          <w:sz w:val="130"/>
          <w:szCs w:val="130"/>
        </w:rPr>
      </w:pPr>
    </w:p>
    <w:p w14:paraId="5AE1203B">
      <w:pPr>
        <w:jc w:val="center"/>
        <w:rPr>
          <w:rFonts w:hint="eastAsia" w:ascii="宋体" w:hAnsi="宋体" w:eastAsia="宋体" w:cs="宋体"/>
          <w:b/>
          <w:sz w:val="130"/>
          <w:szCs w:val="130"/>
        </w:rPr>
      </w:pPr>
      <w:r>
        <w:rPr>
          <w:rFonts w:hint="eastAsia" w:ascii="宋体" w:hAnsi="宋体" w:eastAsia="宋体" w:cs="宋体"/>
          <w:b/>
          <w:spacing w:val="-20"/>
          <w:sz w:val="130"/>
          <w:szCs w:val="130"/>
        </w:rPr>
        <w:t>招标文件</w:t>
      </w:r>
    </w:p>
    <w:p w14:paraId="50C134B0">
      <w:pPr>
        <w:rPr>
          <w:rFonts w:hint="eastAsia" w:ascii="宋体" w:hAnsi="宋体" w:eastAsia="宋体" w:cs="宋体"/>
          <w:b/>
        </w:rPr>
      </w:pPr>
    </w:p>
    <w:p w14:paraId="17CB61EA">
      <w:pPr>
        <w:spacing w:line="480" w:lineRule="auto"/>
        <w:jc w:val="center"/>
        <w:rPr>
          <w:rFonts w:hint="eastAsia" w:ascii="宋体" w:hAnsi="宋体" w:cs="宋体"/>
          <w:b/>
          <w:sz w:val="32"/>
          <w:szCs w:val="32"/>
          <w:lang w:eastAsia="zh-CN"/>
        </w:rPr>
      </w:pPr>
      <w:r>
        <w:rPr>
          <w:rFonts w:hint="eastAsia" w:ascii="宋体" w:hAnsi="宋体" w:eastAsia="宋体" w:cs="宋体"/>
          <w:b/>
          <w:sz w:val="32"/>
          <w:szCs w:val="32"/>
        </w:rPr>
        <w:t>项目编号：</w:t>
      </w:r>
      <w:r>
        <w:rPr>
          <w:rFonts w:hint="eastAsia" w:ascii="宋体" w:hAnsi="宋体" w:cs="宋体"/>
          <w:b/>
          <w:sz w:val="32"/>
          <w:szCs w:val="32"/>
          <w:lang w:eastAsia="zh-CN"/>
        </w:rPr>
        <w:t>1499002026CGK00598</w:t>
      </w:r>
    </w:p>
    <w:p w14:paraId="1F46A6F3">
      <w:pPr>
        <w:spacing w:line="480" w:lineRule="auto"/>
        <w:jc w:val="center"/>
        <w:rPr>
          <w:rFonts w:hint="eastAsia" w:ascii="宋体" w:hAnsi="宋体" w:cs="宋体"/>
          <w:b/>
          <w:sz w:val="32"/>
          <w:szCs w:val="32"/>
          <w:lang w:eastAsia="zh-CN"/>
        </w:rPr>
      </w:pPr>
      <w:r>
        <w:rPr>
          <w:rFonts w:hint="eastAsia" w:ascii="宋体" w:hAnsi="宋体" w:cs="宋体"/>
          <w:b/>
          <w:sz w:val="32"/>
          <w:szCs w:val="32"/>
          <w:lang w:val="en-US" w:eastAsia="zh-CN"/>
        </w:rPr>
        <w:t>校内编号：ZBDXZC-2026004</w:t>
      </w:r>
    </w:p>
    <w:p w14:paraId="32094611">
      <w:pPr>
        <w:spacing w:line="480" w:lineRule="auto"/>
        <w:rPr>
          <w:rFonts w:hint="eastAsia" w:ascii="宋体" w:hAnsi="宋体" w:eastAsia="宋体" w:cs="宋体"/>
          <w:b/>
          <w:sz w:val="24"/>
        </w:rPr>
      </w:pPr>
    </w:p>
    <w:p w14:paraId="31BD6A08">
      <w:pPr>
        <w:pStyle w:val="8"/>
        <w:rPr>
          <w:rFonts w:hint="eastAsia" w:ascii="宋体" w:hAnsi="宋体" w:eastAsia="宋体" w:cs="宋体"/>
          <w:b/>
          <w:sz w:val="24"/>
        </w:rPr>
      </w:pPr>
    </w:p>
    <w:p w14:paraId="66FB08BC">
      <w:pPr>
        <w:pStyle w:val="8"/>
        <w:rPr>
          <w:rFonts w:hint="eastAsia" w:ascii="宋体" w:hAnsi="宋体" w:eastAsia="宋体" w:cs="宋体"/>
          <w:b/>
          <w:sz w:val="24"/>
        </w:rPr>
      </w:pPr>
    </w:p>
    <w:p w14:paraId="477007F7">
      <w:pPr>
        <w:pStyle w:val="8"/>
        <w:ind w:firstLine="0"/>
        <w:rPr>
          <w:rFonts w:hint="eastAsia" w:ascii="宋体" w:hAnsi="宋体" w:eastAsia="宋体" w:cs="宋体"/>
          <w:b/>
          <w:sz w:val="24"/>
        </w:rPr>
      </w:pPr>
    </w:p>
    <w:p w14:paraId="64F51E26">
      <w:pPr>
        <w:pStyle w:val="8"/>
        <w:ind w:firstLine="0"/>
        <w:rPr>
          <w:rFonts w:hint="eastAsia" w:ascii="宋体" w:hAnsi="宋体" w:eastAsia="宋体" w:cs="宋体"/>
          <w:b/>
          <w:sz w:val="24"/>
        </w:rPr>
      </w:pPr>
    </w:p>
    <w:p w14:paraId="18E4E546">
      <w:pPr>
        <w:pStyle w:val="8"/>
        <w:ind w:left="0" w:leftChars="0" w:firstLine="0" w:firstLineChars="0"/>
        <w:rPr>
          <w:rFonts w:hint="eastAsia" w:ascii="宋体" w:hAnsi="宋体" w:eastAsia="宋体" w:cs="宋体"/>
          <w:b/>
          <w:sz w:val="24"/>
        </w:rPr>
      </w:pPr>
    </w:p>
    <w:p w14:paraId="03685C32">
      <w:pPr>
        <w:spacing w:before="240" w:beforeLines="100" w:line="600" w:lineRule="exact"/>
        <w:ind w:firstLine="233" w:firstLineChars="58"/>
        <w:rPr>
          <w:rFonts w:hint="eastAsia" w:ascii="宋体" w:hAnsi="宋体" w:eastAsia="宋体" w:cs="宋体"/>
          <w:b/>
          <w:sz w:val="40"/>
          <w:szCs w:val="40"/>
          <w:lang w:eastAsia="zh-CN"/>
        </w:rPr>
      </w:pPr>
      <w:r>
        <w:rPr>
          <w:rFonts w:hint="eastAsia" w:ascii="宋体" w:hAnsi="宋体" w:cs="宋体"/>
          <w:b/>
          <w:sz w:val="40"/>
          <w:szCs w:val="40"/>
          <w:lang w:val="en-US" w:eastAsia="zh-CN"/>
        </w:rPr>
        <w:t>采</w:t>
      </w:r>
      <w:r>
        <w:rPr>
          <w:rFonts w:hint="eastAsia" w:ascii="宋体" w:hAnsi="宋体" w:eastAsia="宋体" w:cs="宋体"/>
          <w:b/>
          <w:sz w:val="40"/>
          <w:szCs w:val="40"/>
        </w:rPr>
        <w:t xml:space="preserve">   </w:t>
      </w:r>
      <w:r>
        <w:rPr>
          <w:rFonts w:hint="eastAsia" w:ascii="宋体" w:hAnsi="宋体" w:cs="宋体"/>
          <w:b/>
          <w:sz w:val="40"/>
          <w:szCs w:val="40"/>
          <w:lang w:val="en-US" w:eastAsia="zh-CN"/>
        </w:rPr>
        <w:t>购</w:t>
      </w:r>
      <w:r>
        <w:rPr>
          <w:rFonts w:hint="eastAsia" w:ascii="宋体" w:hAnsi="宋体" w:eastAsia="宋体" w:cs="宋体"/>
          <w:b/>
          <w:sz w:val="40"/>
          <w:szCs w:val="40"/>
        </w:rPr>
        <w:t xml:space="preserve">   人：</w:t>
      </w:r>
      <w:r>
        <w:rPr>
          <w:rFonts w:hint="eastAsia" w:ascii="宋体" w:hAnsi="宋体" w:cs="宋体"/>
          <w:b/>
          <w:sz w:val="40"/>
          <w:szCs w:val="40"/>
          <w:lang w:eastAsia="zh-CN"/>
        </w:rPr>
        <w:t>中北大学</w:t>
      </w:r>
    </w:p>
    <w:p w14:paraId="0059C305">
      <w:pPr>
        <w:tabs>
          <w:tab w:val="left" w:pos="7479"/>
        </w:tabs>
        <w:rPr>
          <w:rFonts w:hint="eastAsia" w:ascii="宋体" w:hAnsi="宋体" w:eastAsia="宋体" w:cs="宋体"/>
          <w:b/>
          <w:sz w:val="20"/>
          <w:szCs w:val="21"/>
          <w:lang w:eastAsia="zh-CN"/>
        </w:rPr>
      </w:pPr>
      <w:r>
        <w:rPr>
          <w:rFonts w:hint="eastAsia" w:ascii="宋体" w:hAnsi="宋体" w:eastAsia="宋体" w:cs="宋体"/>
          <w:b/>
          <w:sz w:val="20"/>
          <w:szCs w:val="21"/>
          <w:lang w:eastAsia="zh-CN"/>
        </w:rPr>
        <w:tab/>
      </w:r>
    </w:p>
    <w:p w14:paraId="6D78D6CC">
      <w:pPr>
        <w:spacing w:before="240" w:beforeLines="100" w:line="600" w:lineRule="exact"/>
        <w:ind w:firstLine="233" w:firstLineChars="58"/>
        <w:rPr>
          <w:rFonts w:hint="eastAsia" w:ascii="宋体" w:hAnsi="宋体" w:eastAsia="宋体" w:cs="宋体"/>
          <w:b/>
          <w:sz w:val="40"/>
          <w:szCs w:val="40"/>
        </w:rPr>
      </w:pPr>
      <w:r>
        <w:rPr>
          <w:rFonts w:hint="eastAsia" w:ascii="宋体" w:hAnsi="宋体" w:cs="宋体"/>
          <w:b/>
          <w:sz w:val="40"/>
          <w:szCs w:val="40"/>
          <w:lang w:eastAsia="zh-CN"/>
        </w:rPr>
        <w:t>采购代理机构</w:t>
      </w:r>
      <w:r>
        <w:rPr>
          <w:rFonts w:hint="eastAsia" w:ascii="宋体" w:hAnsi="宋体" w:eastAsia="宋体" w:cs="宋体"/>
          <w:b/>
          <w:sz w:val="40"/>
          <w:szCs w:val="40"/>
        </w:rPr>
        <w:t>：山西启太工程招标代理有限公司</w:t>
      </w:r>
    </w:p>
    <w:p w14:paraId="05952362">
      <w:pPr>
        <w:rPr>
          <w:rFonts w:hint="eastAsia" w:ascii="宋体" w:hAnsi="宋体" w:eastAsia="宋体" w:cs="宋体"/>
          <w:b/>
          <w:sz w:val="20"/>
          <w:szCs w:val="21"/>
        </w:rPr>
      </w:pPr>
    </w:p>
    <w:p w14:paraId="18FDB16B">
      <w:pPr>
        <w:spacing w:before="240" w:beforeLines="100" w:line="600" w:lineRule="exact"/>
        <w:ind w:firstLine="233" w:firstLineChars="58"/>
        <w:rPr>
          <w:rFonts w:hint="eastAsia" w:ascii="宋体" w:hAnsi="宋体" w:eastAsia="宋体" w:cs="宋体"/>
          <w:b/>
          <w:sz w:val="32"/>
          <w:szCs w:val="32"/>
        </w:rPr>
        <w:sectPr>
          <w:headerReference r:id="rId4" w:type="first"/>
          <w:footerReference r:id="rId5" w:type="first"/>
          <w:headerReference r:id="rId3" w:type="default"/>
          <w:pgSz w:w="11905" w:h="16838"/>
          <w:pgMar w:top="1440" w:right="1080" w:bottom="1440" w:left="1080" w:header="1020" w:footer="1020" w:gutter="0"/>
          <w:pgNumType w:start="1"/>
          <w:cols w:space="0" w:num="1"/>
          <w:titlePg/>
          <w:docGrid w:linePitch="326" w:charSpace="0"/>
        </w:sectPr>
      </w:pPr>
      <w:r>
        <w:rPr>
          <w:rFonts w:hint="eastAsia" w:ascii="宋体" w:hAnsi="宋体" w:eastAsia="宋体" w:cs="宋体"/>
          <w:b/>
          <w:sz w:val="40"/>
          <w:szCs w:val="40"/>
        </w:rPr>
        <w:t>编  制 日 期：</w:t>
      </w:r>
      <w:r>
        <w:rPr>
          <w:rFonts w:hint="eastAsia" w:ascii="宋体" w:hAnsi="宋体" w:cs="宋体"/>
          <w:b/>
          <w:sz w:val="40"/>
          <w:szCs w:val="40"/>
          <w:lang w:eastAsia="zh-CN"/>
        </w:rPr>
        <w:t>2026年04月</w:t>
      </w:r>
    </w:p>
    <w:p w14:paraId="1D764D02">
      <w:pPr>
        <w:tabs>
          <w:tab w:val="left" w:pos="810"/>
        </w:tabs>
        <w:jc w:val="center"/>
        <w:rPr>
          <w:rFonts w:hint="eastAsia" w:ascii="宋体" w:hAnsi="宋体" w:eastAsia="宋体" w:cs="宋体"/>
          <w:b/>
          <w:bCs/>
          <w:sz w:val="48"/>
          <w:szCs w:val="48"/>
        </w:rPr>
      </w:pPr>
      <w:r>
        <w:rPr>
          <w:rFonts w:hint="eastAsia" w:ascii="宋体" w:hAnsi="宋体" w:eastAsia="宋体" w:cs="宋体"/>
          <w:b/>
          <w:bCs/>
          <w:sz w:val="48"/>
          <w:szCs w:val="48"/>
        </w:rPr>
        <w:t>目  录</w:t>
      </w:r>
    </w:p>
    <w:p w14:paraId="7E4A7A9C">
      <w:pPr>
        <w:widowControl/>
        <w:snapToGrid w:val="0"/>
        <w:spacing w:line="300" w:lineRule="auto"/>
        <w:jc w:val="left"/>
        <w:rPr>
          <w:rFonts w:hint="eastAsia" w:ascii="宋体" w:hAnsi="宋体" w:eastAsia="宋体" w:cs="宋体"/>
          <w:kern w:val="0"/>
          <w:sz w:val="24"/>
          <w:szCs w:val="24"/>
        </w:rPr>
      </w:pPr>
      <w:r>
        <w:rPr>
          <w:rFonts w:hint="eastAsia" w:ascii="宋体" w:hAnsi="宋体" w:eastAsia="宋体" w:cs="宋体"/>
          <w:kern w:val="0"/>
          <w:sz w:val="30"/>
          <w:szCs w:val="30"/>
        </w:rPr>
        <w:t xml:space="preserve">  </w:t>
      </w:r>
    </w:p>
    <w:p w14:paraId="204182AB">
      <w:pPr>
        <w:pStyle w:val="15"/>
        <w:tabs>
          <w:tab w:val="right" w:leader="dot" w:pos="9745"/>
        </w:tabs>
        <w:rPr>
          <w:rFonts w:hint="eastAsia" w:ascii="宋体" w:hAnsi="宋体" w:eastAsia="宋体" w:cs="宋体"/>
        </w:rPr>
      </w:pPr>
      <w:r>
        <w:rPr>
          <w:rFonts w:hint="eastAsia" w:ascii="宋体" w:hAnsi="宋体" w:eastAsia="宋体" w:cs="宋体"/>
          <w:b/>
          <w:bCs/>
          <w:caps/>
          <w:sz w:val="30"/>
          <w:szCs w:val="30"/>
        </w:rPr>
        <w:fldChar w:fldCharType="begin"/>
      </w:r>
      <w:r>
        <w:rPr>
          <w:rFonts w:hint="eastAsia" w:ascii="宋体" w:hAnsi="宋体" w:eastAsia="宋体" w:cs="宋体"/>
          <w:b/>
          <w:bCs/>
          <w:caps/>
          <w:sz w:val="30"/>
          <w:szCs w:val="30"/>
        </w:rPr>
        <w:instrText xml:space="preserve"> TOC \o "1-1" \h \z \u </w:instrText>
      </w:r>
      <w:r>
        <w:rPr>
          <w:rFonts w:hint="eastAsia" w:ascii="宋体" w:hAnsi="宋体" w:eastAsia="宋体" w:cs="宋体"/>
          <w:b/>
          <w:bCs/>
          <w:caps/>
          <w:sz w:val="30"/>
          <w:szCs w:val="30"/>
        </w:rPr>
        <w:fldChar w:fldCharType="separate"/>
      </w:r>
      <w:r>
        <w:rPr>
          <w:rFonts w:hint="eastAsia" w:ascii="宋体" w:hAnsi="宋体" w:eastAsia="宋体" w:cs="宋体"/>
          <w:b w:val="0"/>
          <w:bCs w:val="0"/>
          <w:caps/>
          <w:szCs w:val="30"/>
        </w:rPr>
        <w:fldChar w:fldCharType="begin"/>
      </w:r>
      <w:r>
        <w:rPr>
          <w:rFonts w:hint="eastAsia" w:ascii="宋体" w:hAnsi="宋体" w:eastAsia="宋体" w:cs="宋体"/>
          <w:b w:val="0"/>
          <w:bCs w:val="0"/>
          <w:caps/>
          <w:szCs w:val="30"/>
        </w:rPr>
        <w:instrText xml:space="preserve"> HYPERLINK \l _Toc8978 </w:instrText>
      </w:r>
      <w:r>
        <w:rPr>
          <w:rFonts w:hint="eastAsia" w:ascii="宋体" w:hAnsi="宋体" w:eastAsia="宋体" w:cs="宋体"/>
          <w:b w:val="0"/>
          <w:bCs w:val="0"/>
          <w:caps/>
          <w:szCs w:val="30"/>
        </w:rPr>
        <w:fldChar w:fldCharType="separate"/>
      </w:r>
      <w:r>
        <w:rPr>
          <w:rFonts w:hint="eastAsia" w:ascii="宋体" w:hAnsi="宋体" w:eastAsia="宋体" w:cs="宋体"/>
          <w:b w:val="0"/>
          <w:bCs w:val="0"/>
          <w:szCs w:val="52"/>
        </w:rPr>
        <w:t>第一部分  公开招标采购公告</w:t>
      </w:r>
      <w:r>
        <w:rPr>
          <w:rFonts w:hint="eastAsia" w:ascii="宋体" w:hAnsi="宋体" w:eastAsia="宋体" w:cs="宋体"/>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_Toc8978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caps/>
          <w:szCs w:val="30"/>
        </w:rPr>
        <w:fldChar w:fldCharType="end"/>
      </w:r>
    </w:p>
    <w:p w14:paraId="7E0F4819">
      <w:pPr>
        <w:pStyle w:val="15"/>
        <w:tabs>
          <w:tab w:val="right" w:leader="dot" w:pos="9745"/>
        </w:tabs>
        <w:rPr>
          <w:rFonts w:hint="eastAsia" w:ascii="宋体" w:hAnsi="宋体" w:eastAsia="宋体" w:cs="宋体"/>
        </w:rPr>
      </w:pPr>
      <w:r>
        <w:rPr>
          <w:rFonts w:hint="eastAsia" w:ascii="宋体" w:hAnsi="宋体" w:eastAsia="宋体" w:cs="宋体"/>
          <w:bCs/>
          <w:caps/>
          <w:szCs w:val="30"/>
        </w:rPr>
        <w:fldChar w:fldCharType="begin"/>
      </w:r>
      <w:r>
        <w:rPr>
          <w:rFonts w:hint="eastAsia" w:ascii="宋体" w:hAnsi="宋体" w:eastAsia="宋体" w:cs="宋体"/>
          <w:bCs/>
          <w:caps/>
          <w:szCs w:val="30"/>
        </w:rPr>
        <w:instrText xml:space="preserve"> HYPERLINK \l _Toc20955 </w:instrText>
      </w:r>
      <w:r>
        <w:rPr>
          <w:rFonts w:hint="eastAsia" w:ascii="宋体" w:hAnsi="宋体" w:eastAsia="宋体" w:cs="宋体"/>
          <w:bCs/>
          <w:caps/>
          <w:szCs w:val="30"/>
        </w:rPr>
        <w:fldChar w:fldCharType="separate"/>
      </w:r>
      <w:r>
        <w:rPr>
          <w:rFonts w:hint="eastAsia" w:ascii="宋体" w:hAnsi="宋体" w:eastAsia="宋体" w:cs="宋体"/>
          <w:szCs w:val="52"/>
        </w:rPr>
        <w:t>第二部分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30"/>
        </w:rPr>
        <w:fldChar w:fldCharType="end"/>
      </w:r>
    </w:p>
    <w:p w14:paraId="038B998A">
      <w:pPr>
        <w:pStyle w:val="15"/>
        <w:tabs>
          <w:tab w:val="right" w:leader="dot" w:pos="9745"/>
        </w:tabs>
        <w:rPr>
          <w:rFonts w:hint="eastAsia" w:ascii="宋体" w:hAnsi="宋体" w:eastAsia="宋体" w:cs="宋体"/>
        </w:rPr>
      </w:pPr>
      <w:r>
        <w:rPr>
          <w:rFonts w:hint="eastAsia" w:ascii="宋体" w:hAnsi="宋体" w:eastAsia="宋体" w:cs="宋体"/>
          <w:bCs/>
          <w:caps/>
          <w:szCs w:val="30"/>
        </w:rPr>
        <w:fldChar w:fldCharType="begin"/>
      </w:r>
      <w:r>
        <w:rPr>
          <w:rFonts w:hint="eastAsia" w:ascii="宋体" w:hAnsi="宋体" w:eastAsia="宋体" w:cs="宋体"/>
          <w:bCs/>
          <w:caps/>
          <w:szCs w:val="30"/>
        </w:rPr>
        <w:instrText xml:space="preserve"> HYPERLINK \l _Toc23672 </w:instrText>
      </w:r>
      <w:r>
        <w:rPr>
          <w:rFonts w:hint="eastAsia" w:ascii="宋体" w:hAnsi="宋体" w:eastAsia="宋体" w:cs="宋体"/>
          <w:bCs/>
          <w:caps/>
          <w:szCs w:val="30"/>
        </w:rPr>
        <w:fldChar w:fldCharType="separate"/>
      </w:r>
      <w:r>
        <w:rPr>
          <w:rFonts w:hint="eastAsia" w:ascii="宋体" w:hAnsi="宋体" w:eastAsia="宋体" w:cs="宋体"/>
          <w:szCs w:val="52"/>
        </w:rPr>
        <w:t>第三部分  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_Toc23672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bCs/>
          <w:caps/>
          <w:szCs w:val="30"/>
        </w:rPr>
        <w:fldChar w:fldCharType="end"/>
      </w:r>
    </w:p>
    <w:p w14:paraId="04666180">
      <w:pPr>
        <w:pStyle w:val="15"/>
        <w:tabs>
          <w:tab w:val="right" w:leader="dot" w:pos="9745"/>
        </w:tabs>
        <w:rPr>
          <w:rFonts w:hint="eastAsia" w:ascii="宋体" w:hAnsi="宋体" w:eastAsia="宋体" w:cs="宋体"/>
        </w:rPr>
      </w:pPr>
      <w:r>
        <w:rPr>
          <w:rFonts w:hint="eastAsia" w:ascii="宋体" w:hAnsi="宋体" w:eastAsia="宋体" w:cs="宋体"/>
          <w:bCs/>
          <w:caps/>
          <w:szCs w:val="30"/>
        </w:rPr>
        <w:fldChar w:fldCharType="begin"/>
      </w:r>
      <w:r>
        <w:rPr>
          <w:rFonts w:hint="eastAsia" w:ascii="宋体" w:hAnsi="宋体" w:eastAsia="宋体" w:cs="宋体"/>
          <w:bCs/>
          <w:caps/>
          <w:szCs w:val="30"/>
        </w:rPr>
        <w:instrText xml:space="preserve"> HYPERLINK \l _Toc4393 </w:instrText>
      </w:r>
      <w:r>
        <w:rPr>
          <w:rFonts w:hint="eastAsia" w:ascii="宋体" w:hAnsi="宋体" w:eastAsia="宋体" w:cs="宋体"/>
          <w:bCs/>
          <w:caps/>
          <w:szCs w:val="30"/>
        </w:rPr>
        <w:fldChar w:fldCharType="separate"/>
      </w:r>
      <w:r>
        <w:rPr>
          <w:rFonts w:hint="eastAsia" w:ascii="宋体" w:hAnsi="宋体" w:eastAsia="宋体" w:cs="宋体"/>
          <w:szCs w:val="52"/>
        </w:rPr>
        <w:t>第四部分  商务技术要求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_Toc4393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caps/>
          <w:szCs w:val="30"/>
        </w:rPr>
        <w:fldChar w:fldCharType="end"/>
      </w:r>
    </w:p>
    <w:p w14:paraId="185009F5">
      <w:pPr>
        <w:pStyle w:val="15"/>
        <w:tabs>
          <w:tab w:val="right" w:leader="dot" w:pos="9745"/>
        </w:tabs>
        <w:rPr>
          <w:rFonts w:hint="eastAsia" w:ascii="宋体" w:hAnsi="宋体" w:eastAsia="宋体" w:cs="宋体"/>
        </w:rPr>
      </w:pPr>
      <w:r>
        <w:rPr>
          <w:rFonts w:hint="eastAsia" w:ascii="宋体" w:hAnsi="宋体" w:eastAsia="宋体" w:cs="宋体"/>
          <w:bCs/>
          <w:caps/>
          <w:szCs w:val="30"/>
        </w:rPr>
        <w:fldChar w:fldCharType="begin"/>
      </w:r>
      <w:r>
        <w:rPr>
          <w:rFonts w:hint="eastAsia" w:ascii="宋体" w:hAnsi="宋体" w:eastAsia="宋体" w:cs="宋体"/>
          <w:bCs/>
          <w:caps/>
          <w:szCs w:val="30"/>
        </w:rPr>
        <w:instrText xml:space="preserve"> HYPERLINK \l _Toc30736 </w:instrText>
      </w:r>
      <w:r>
        <w:rPr>
          <w:rFonts w:hint="eastAsia" w:ascii="宋体" w:hAnsi="宋体" w:eastAsia="宋体" w:cs="宋体"/>
          <w:bCs/>
          <w:caps/>
          <w:szCs w:val="30"/>
        </w:rPr>
        <w:fldChar w:fldCharType="separate"/>
      </w:r>
      <w:r>
        <w:rPr>
          <w:rFonts w:hint="eastAsia" w:ascii="宋体" w:hAnsi="宋体" w:eastAsia="宋体" w:cs="宋体"/>
          <w:szCs w:val="52"/>
        </w:rPr>
        <w:t>第五部分  合同原则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_Toc30736 \h </w:instrText>
      </w:r>
      <w:r>
        <w:rPr>
          <w:rFonts w:hint="eastAsia" w:ascii="宋体" w:hAnsi="宋体" w:eastAsia="宋体" w:cs="宋体"/>
        </w:rPr>
        <w:fldChar w:fldCharType="separate"/>
      </w:r>
      <w:r>
        <w:rPr>
          <w:rFonts w:hint="eastAsia" w:ascii="宋体" w:hAnsi="宋体" w:eastAsia="宋体" w:cs="宋体"/>
        </w:rPr>
        <w:t>97</w:t>
      </w:r>
      <w:r>
        <w:rPr>
          <w:rFonts w:hint="eastAsia" w:ascii="宋体" w:hAnsi="宋体" w:eastAsia="宋体" w:cs="宋体"/>
        </w:rPr>
        <w:fldChar w:fldCharType="end"/>
      </w:r>
      <w:r>
        <w:rPr>
          <w:rFonts w:hint="eastAsia" w:ascii="宋体" w:hAnsi="宋体" w:eastAsia="宋体" w:cs="宋体"/>
          <w:bCs/>
          <w:caps/>
          <w:szCs w:val="30"/>
        </w:rPr>
        <w:fldChar w:fldCharType="end"/>
      </w:r>
    </w:p>
    <w:p w14:paraId="2E687C7E">
      <w:pPr>
        <w:pStyle w:val="15"/>
        <w:tabs>
          <w:tab w:val="right" w:leader="dot" w:pos="9745"/>
        </w:tabs>
        <w:rPr>
          <w:rFonts w:hint="eastAsia" w:ascii="宋体" w:hAnsi="宋体" w:eastAsia="宋体" w:cs="宋体"/>
        </w:rPr>
      </w:pPr>
      <w:r>
        <w:rPr>
          <w:rFonts w:hint="eastAsia" w:ascii="宋体" w:hAnsi="宋体" w:eastAsia="宋体" w:cs="宋体"/>
          <w:bCs/>
          <w:caps/>
          <w:szCs w:val="30"/>
        </w:rPr>
        <w:fldChar w:fldCharType="begin"/>
      </w:r>
      <w:r>
        <w:rPr>
          <w:rFonts w:hint="eastAsia" w:ascii="宋体" w:hAnsi="宋体" w:eastAsia="宋体" w:cs="宋体"/>
          <w:bCs/>
          <w:caps/>
          <w:szCs w:val="30"/>
        </w:rPr>
        <w:instrText xml:space="preserve"> HYPERLINK \l _Toc4834 </w:instrText>
      </w:r>
      <w:r>
        <w:rPr>
          <w:rFonts w:hint="eastAsia" w:ascii="宋体" w:hAnsi="宋体" w:eastAsia="宋体" w:cs="宋体"/>
          <w:bCs/>
          <w:caps/>
          <w:szCs w:val="30"/>
        </w:rPr>
        <w:fldChar w:fldCharType="separate"/>
      </w:r>
      <w:r>
        <w:rPr>
          <w:rFonts w:hint="eastAsia" w:ascii="宋体" w:hAnsi="宋体" w:eastAsia="宋体" w:cs="宋体"/>
          <w:szCs w:val="52"/>
        </w:rPr>
        <w:t>第六部分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_Toc4834 \h </w:instrText>
      </w:r>
      <w:r>
        <w:rPr>
          <w:rFonts w:hint="eastAsia" w:ascii="宋体" w:hAnsi="宋体" w:eastAsia="宋体" w:cs="宋体"/>
        </w:rPr>
        <w:fldChar w:fldCharType="separate"/>
      </w:r>
      <w:r>
        <w:rPr>
          <w:rFonts w:hint="eastAsia" w:ascii="宋体" w:hAnsi="宋体" w:eastAsia="宋体" w:cs="宋体"/>
        </w:rPr>
        <w:t>107</w:t>
      </w:r>
      <w:r>
        <w:rPr>
          <w:rFonts w:hint="eastAsia" w:ascii="宋体" w:hAnsi="宋体" w:eastAsia="宋体" w:cs="宋体"/>
        </w:rPr>
        <w:fldChar w:fldCharType="end"/>
      </w:r>
      <w:r>
        <w:rPr>
          <w:rFonts w:hint="eastAsia" w:ascii="宋体" w:hAnsi="宋体" w:eastAsia="宋体" w:cs="宋体"/>
          <w:bCs/>
          <w:caps/>
          <w:szCs w:val="30"/>
        </w:rPr>
        <w:fldChar w:fldCharType="end"/>
      </w:r>
    </w:p>
    <w:p w14:paraId="52DC2714">
      <w:pPr>
        <w:tabs>
          <w:tab w:val="right" w:leader="dot" w:pos="8200"/>
        </w:tabs>
        <w:spacing w:line="600" w:lineRule="exact"/>
        <w:ind w:firstLine="420" w:firstLineChars="200"/>
        <w:jc w:val="left"/>
        <w:rPr>
          <w:rFonts w:hint="eastAsia" w:ascii="宋体" w:hAnsi="宋体" w:eastAsia="宋体" w:cs="宋体"/>
          <w:b/>
          <w:bCs/>
          <w:caps/>
          <w:sz w:val="28"/>
          <w:szCs w:val="28"/>
        </w:rPr>
      </w:pPr>
      <w:r>
        <w:rPr>
          <w:rFonts w:hint="eastAsia" w:ascii="宋体" w:hAnsi="宋体" w:eastAsia="宋体" w:cs="宋体"/>
          <w:bCs/>
          <w:caps/>
          <w:szCs w:val="30"/>
        </w:rPr>
        <w:fldChar w:fldCharType="end"/>
      </w:r>
    </w:p>
    <w:p w14:paraId="2C81FB23">
      <w:pPr>
        <w:tabs>
          <w:tab w:val="right" w:leader="dot" w:pos="8200"/>
        </w:tabs>
        <w:spacing w:line="600" w:lineRule="exact"/>
        <w:jc w:val="left"/>
        <w:rPr>
          <w:rFonts w:hint="eastAsia" w:ascii="宋体" w:hAnsi="宋体" w:eastAsia="宋体" w:cs="宋体"/>
          <w:szCs w:val="24"/>
        </w:rPr>
      </w:pPr>
    </w:p>
    <w:p w14:paraId="0D818403">
      <w:pPr>
        <w:rPr>
          <w:rFonts w:hint="eastAsia" w:ascii="宋体" w:hAnsi="宋体" w:eastAsia="宋体" w:cs="宋体"/>
          <w:szCs w:val="24"/>
        </w:rPr>
      </w:pPr>
    </w:p>
    <w:p w14:paraId="29C946D9">
      <w:pPr>
        <w:rPr>
          <w:rFonts w:hint="eastAsia" w:ascii="宋体" w:hAnsi="宋体" w:eastAsia="宋体" w:cs="宋体"/>
          <w:szCs w:val="24"/>
        </w:rPr>
      </w:pPr>
    </w:p>
    <w:p w14:paraId="6B5DBC32">
      <w:pPr>
        <w:rPr>
          <w:rFonts w:hint="eastAsia" w:ascii="宋体" w:hAnsi="宋体" w:eastAsia="宋体" w:cs="宋体"/>
          <w:szCs w:val="24"/>
        </w:rPr>
      </w:pPr>
    </w:p>
    <w:p w14:paraId="6A4297F4">
      <w:pPr>
        <w:rPr>
          <w:rFonts w:hint="eastAsia" w:ascii="宋体" w:hAnsi="宋体" w:eastAsia="宋体" w:cs="宋体"/>
          <w:szCs w:val="24"/>
        </w:rPr>
      </w:pPr>
    </w:p>
    <w:p w14:paraId="1E11580E">
      <w:pPr>
        <w:rPr>
          <w:rFonts w:hint="eastAsia" w:ascii="宋体" w:hAnsi="宋体" w:eastAsia="宋体" w:cs="宋体"/>
          <w:szCs w:val="24"/>
        </w:rPr>
      </w:pPr>
    </w:p>
    <w:p w14:paraId="3B5C2C5C">
      <w:pPr>
        <w:rPr>
          <w:rFonts w:hint="eastAsia" w:ascii="宋体" w:hAnsi="宋体" w:eastAsia="宋体" w:cs="宋体"/>
          <w:szCs w:val="24"/>
        </w:rPr>
      </w:pPr>
    </w:p>
    <w:p w14:paraId="41833A6C">
      <w:pPr>
        <w:rPr>
          <w:rFonts w:hint="eastAsia" w:ascii="宋体" w:hAnsi="宋体" w:eastAsia="宋体" w:cs="宋体"/>
          <w:szCs w:val="24"/>
        </w:rPr>
      </w:pPr>
    </w:p>
    <w:p w14:paraId="394F7896">
      <w:pPr>
        <w:rPr>
          <w:rFonts w:hint="eastAsia" w:ascii="宋体" w:hAnsi="宋体" w:eastAsia="宋体" w:cs="宋体"/>
          <w:szCs w:val="24"/>
        </w:rPr>
      </w:pPr>
    </w:p>
    <w:p w14:paraId="22C0FA25">
      <w:pPr>
        <w:rPr>
          <w:rFonts w:hint="eastAsia" w:ascii="宋体" w:hAnsi="宋体" w:eastAsia="宋体" w:cs="宋体"/>
          <w:szCs w:val="24"/>
        </w:rPr>
      </w:pPr>
    </w:p>
    <w:p w14:paraId="68273C3F">
      <w:pPr>
        <w:pStyle w:val="8"/>
        <w:rPr>
          <w:rFonts w:hint="eastAsia" w:ascii="宋体" w:hAnsi="宋体" w:eastAsia="宋体" w:cs="宋体"/>
        </w:rPr>
        <w:sectPr>
          <w:headerReference r:id="rId6" w:type="default"/>
          <w:footerReference r:id="rId8" w:type="default"/>
          <w:headerReference r:id="rId7" w:type="even"/>
          <w:footerReference r:id="rId9" w:type="even"/>
          <w:pgSz w:w="11905" w:h="16838"/>
          <w:pgMar w:top="1440" w:right="1080" w:bottom="1440" w:left="1080" w:header="1020" w:footer="1020" w:gutter="0"/>
          <w:pgNumType w:fmt="decimal" w:start="1"/>
          <w:cols w:space="0" w:num="1"/>
          <w:docGrid w:linePitch="312" w:charSpace="0"/>
        </w:sectPr>
      </w:pPr>
    </w:p>
    <w:p w14:paraId="5F85977D">
      <w:pPr>
        <w:pStyle w:val="2"/>
        <w:bidi w:val="0"/>
        <w:rPr>
          <w:rFonts w:hint="eastAsia" w:ascii="宋体" w:hAnsi="宋体" w:eastAsia="宋体" w:cs="宋体"/>
        </w:rPr>
      </w:pPr>
      <w:bookmarkStart w:id="0" w:name="_Toc22878"/>
      <w:bookmarkStart w:id="1" w:name="_Toc8978"/>
      <w:bookmarkStart w:id="2" w:name="_Toc173236452"/>
      <w:bookmarkStart w:id="3" w:name="_Toc173170641"/>
      <w:bookmarkStart w:id="4" w:name="_Toc326737348"/>
      <w:bookmarkStart w:id="5" w:name="_Toc173299054"/>
      <w:bookmarkStart w:id="6" w:name="_Toc183244140"/>
      <w:bookmarkStart w:id="7" w:name="_Toc303850256"/>
      <w:bookmarkStart w:id="8" w:name="_Toc275344129"/>
      <w:bookmarkStart w:id="9" w:name="_Toc326737307"/>
      <w:bookmarkStart w:id="10" w:name="_Toc93747326"/>
      <w:r>
        <w:rPr>
          <w:rFonts w:hint="eastAsia" w:ascii="宋体" w:hAnsi="宋体" w:eastAsia="宋体" w:cs="宋体"/>
        </w:rPr>
        <w:t>第一部分  公开招标采购公告</w:t>
      </w:r>
      <w:bookmarkEnd w:id="0"/>
      <w:bookmarkEnd w:id="1"/>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1"/>
      </w:tblGrid>
      <w:tr w14:paraId="27F2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tcPr>
          <w:p w14:paraId="1D31B97C">
            <w:pP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14:paraId="2BA140B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山西省教育科技人才一体化服务产业云平台项目</w:t>
            </w:r>
            <w:r>
              <w:rPr>
                <w:rFonts w:hint="eastAsia" w:ascii="宋体" w:hAnsi="宋体" w:eastAsia="宋体" w:cs="宋体"/>
                <w:sz w:val="24"/>
                <w:szCs w:val="24"/>
                <w:lang w:eastAsia="zh-CN"/>
              </w:rPr>
              <w:t>招标项目</w:t>
            </w:r>
            <w:r>
              <w:rPr>
                <w:rFonts w:hint="eastAsia" w:ascii="宋体" w:hAnsi="宋体" w:eastAsia="宋体" w:cs="宋体"/>
                <w:sz w:val="24"/>
                <w:szCs w:val="24"/>
              </w:rPr>
              <w:t>的潜在投标人应在政采云平台线上获取招标文件，并于</w:t>
            </w:r>
            <w:r>
              <w:rPr>
                <w:rFonts w:hint="eastAsia" w:ascii="宋体" w:hAnsi="宋体" w:cs="宋体"/>
                <w:sz w:val="24"/>
                <w:szCs w:val="24"/>
                <w:lang w:eastAsia="zh-CN"/>
              </w:rPr>
              <w:t>2026年5月14日09:00</w:t>
            </w:r>
            <w:r>
              <w:rPr>
                <w:rFonts w:hint="eastAsia" w:ascii="宋体" w:hAnsi="宋体" w:eastAsia="宋体" w:cs="宋体"/>
                <w:sz w:val="24"/>
                <w:szCs w:val="24"/>
              </w:rPr>
              <w:t xml:space="preserve">（北京时间）前递交投标文件。                                                            </w:t>
            </w:r>
          </w:p>
        </w:tc>
      </w:tr>
    </w:tbl>
    <w:p w14:paraId="06608CEA">
      <w:pPr>
        <w:spacing w:line="360" w:lineRule="auto"/>
        <w:rPr>
          <w:rFonts w:hint="eastAsia" w:ascii="宋体" w:hAnsi="宋体" w:eastAsia="宋体" w:cs="宋体"/>
          <w:b/>
          <w:sz w:val="24"/>
          <w:szCs w:val="24"/>
        </w:rPr>
      </w:pPr>
    </w:p>
    <w:p w14:paraId="55D87841">
      <w:pPr>
        <w:spacing w:line="360" w:lineRule="auto"/>
        <w:rPr>
          <w:rFonts w:hint="eastAsia" w:ascii="宋体" w:hAnsi="宋体" w:eastAsia="宋体" w:cs="宋体"/>
          <w:b/>
          <w:sz w:val="24"/>
          <w:szCs w:val="24"/>
        </w:rPr>
      </w:pPr>
      <w:r>
        <w:rPr>
          <w:rFonts w:hint="eastAsia" w:ascii="宋体" w:hAnsi="宋体" w:eastAsia="宋体" w:cs="宋体"/>
          <w:b/>
          <w:sz w:val="24"/>
          <w:szCs w:val="24"/>
        </w:rPr>
        <w:t>一、项目基本情况</w:t>
      </w:r>
    </w:p>
    <w:p w14:paraId="365997D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cs="宋体"/>
          <w:sz w:val="24"/>
          <w:szCs w:val="24"/>
          <w:lang w:eastAsia="zh-CN"/>
        </w:rPr>
        <w:t>1499002026CGK00598</w:t>
      </w:r>
    </w:p>
    <w:p w14:paraId="2ED16E3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highlight w:val="none"/>
          <w:lang w:eastAsia="zh-CN"/>
        </w:rPr>
        <w:t>山西省教育科技人才一体化服务产业云平台项目</w:t>
      </w:r>
    </w:p>
    <w:p w14:paraId="5919D8D8">
      <w:pPr>
        <w:spacing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32525500</w:t>
      </w:r>
    </w:p>
    <w:p w14:paraId="05DD519B">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32525500</w:t>
      </w:r>
    </w:p>
    <w:p w14:paraId="7E4840FF">
      <w:pPr>
        <w:spacing w:line="360" w:lineRule="auto"/>
        <w:ind w:firstLine="480" w:firstLineChars="200"/>
        <w:rPr>
          <w:rFonts w:hint="eastAsia" w:ascii="宋体" w:hAnsi="宋体" w:eastAsia="宋体" w:cs="宋体"/>
          <w:color w:val="auto"/>
          <w:sz w:val="24"/>
          <w:szCs w:val="24"/>
        </w:rPr>
      </w:pPr>
    </w:p>
    <w:p w14:paraId="1A4FEA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3610B0B4">
      <w:pPr>
        <w:spacing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标项名称：</w:t>
      </w:r>
      <w:r>
        <w:rPr>
          <w:rFonts w:hint="eastAsia" w:ascii="宋体" w:hAnsi="宋体" w:eastAsia="宋体" w:cs="宋体"/>
          <w:color w:val="auto"/>
          <w:sz w:val="24"/>
          <w:szCs w:val="24"/>
          <w:lang w:val="en-US" w:eastAsia="zh-CN"/>
        </w:rPr>
        <w:t>采购包1</w:t>
      </w:r>
    </w:p>
    <w:p w14:paraId="086EE4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数量：</w:t>
      </w:r>
    </w:p>
    <w:p w14:paraId="5B327E3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cs="宋体"/>
          <w:color w:val="auto"/>
          <w:sz w:val="24"/>
          <w:szCs w:val="24"/>
          <w:lang w:val="en-US" w:eastAsia="zh-CN"/>
        </w:rPr>
        <w:t>32525500</w:t>
      </w:r>
    </w:p>
    <w:p w14:paraId="36321C7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val="en-US" w:eastAsia="zh-CN"/>
        </w:rPr>
        <w:t>本项目为信息化建设项目，拟购置开发软件系统，购置各类硬件设备，建设物理保障中心、数据资源中心、数据治理中心、数据产品中心、数据运营中心等五大中心。具体内容详见招标文件。</w:t>
      </w:r>
    </w:p>
    <w:p w14:paraId="58FFA60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备注：</w:t>
      </w:r>
      <w:r>
        <w:rPr>
          <w:rFonts w:hint="eastAsia" w:ascii="宋体" w:hAnsi="宋体" w:cs="宋体"/>
          <w:sz w:val="24"/>
          <w:szCs w:val="24"/>
          <w:lang w:val="en-US" w:eastAsia="zh-CN"/>
        </w:rPr>
        <w:t>本项目需现场踏勘，具体要求详见招标文件。</w:t>
      </w:r>
    </w:p>
    <w:p w14:paraId="4AA12E68">
      <w:pPr>
        <w:spacing w:line="360" w:lineRule="auto"/>
        <w:ind w:firstLine="480" w:firstLineChars="200"/>
        <w:rPr>
          <w:rFonts w:hint="eastAsia" w:ascii="宋体" w:hAnsi="宋体" w:eastAsia="宋体" w:cs="宋体"/>
          <w:sz w:val="24"/>
          <w:szCs w:val="24"/>
        </w:rPr>
      </w:pPr>
    </w:p>
    <w:p w14:paraId="3DCA484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合同履约期限：</w:t>
      </w:r>
      <w:r>
        <w:rPr>
          <w:rFonts w:hint="eastAsia" w:ascii="宋体" w:hAnsi="宋体" w:eastAsia="宋体" w:cs="宋体"/>
          <w:sz w:val="24"/>
          <w:szCs w:val="24"/>
          <w:lang w:val="en-US" w:eastAsia="zh-CN"/>
        </w:rPr>
        <w:t>包1，签订合同后至2026年12月31日前完成功能开发部署实施，系统具备上线试运行条件并通过初验。初验通过后系统稳定运行90日历天后甲方组织终验，终验通过之日起进入系统免费运维期。</w:t>
      </w:r>
    </w:p>
    <w:p w14:paraId="01FF77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14:paraId="429B1D91">
      <w:pPr>
        <w:spacing w:line="360" w:lineRule="auto"/>
        <w:rPr>
          <w:rFonts w:hint="eastAsia" w:ascii="宋体" w:hAnsi="宋体" w:eastAsia="宋体" w:cs="宋体"/>
          <w:b/>
          <w:sz w:val="24"/>
          <w:szCs w:val="24"/>
        </w:rPr>
      </w:pPr>
    </w:p>
    <w:p w14:paraId="16BB205D">
      <w:pPr>
        <w:spacing w:line="360" w:lineRule="auto"/>
        <w:rPr>
          <w:rFonts w:hint="eastAsia" w:ascii="宋体" w:hAnsi="宋体" w:eastAsia="宋体" w:cs="宋体"/>
          <w:b/>
          <w:sz w:val="24"/>
          <w:szCs w:val="24"/>
        </w:rPr>
      </w:pPr>
      <w:r>
        <w:rPr>
          <w:rFonts w:hint="eastAsia" w:ascii="宋体" w:hAnsi="宋体" w:eastAsia="宋体" w:cs="宋体"/>
          <w:b/>
          <w:sz w:val="24"/>
          <w:szCs w:val="24"/>
        </w:rPr>
        <w:t>二、申请人的资格要求</w:t>
      </w:r>
    </w:p>
    <w:p w14:paraId="4366B6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40AE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包1，无</w:t>
      </w:r>
      <w:r>
        <w:rPr>
          <w:rFonts w:hint="eastAsia" w:ascii="宋体" w:hAnsi="宋体" w:eastAsia="宋体" w:cs="宋体"/>
          <w:sz w:val="24"/>
          <w:szCs w:val="24"/>
        </w:rPr>
        <w:t>；</w:t>
      </w:r>
    </w:p>
    <w:p w14:paraId="0035C2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w:t>
      </w:r>
    </w:p>
    <w:p w14:paraId="1A0F12B5">
      <w:pPr>
        <w:spacing w:line="360" w:lineRule="auto"/>
        <w:rPr>
          <w:rFonts w:hint="eastAsia" w:ascii="宋体" w:hAnsi="宋体" w:eastAsia="宋体" w:cs="宋体"/>
          <w:b/>
          <w:sz w:val="24"/>
          <w:szCs w:val="24"/>
        </w:rPr>
      </w:pPr>
    </w:p>
    <w:p w14:paraId="68A9E4EE">
      <w:pPr>
        <w:spacing w:line="360" w:lineRule="auto"/>
        <w:rPr>
          <w:rFonts w:hint="eastAsia" w:ascii="宋体" w:hAnsi="宋体" w:eastAsia="宋体" w:cs="宋体"/>
          <w:b/>
          <w:sz w:val="24"/>
          <w:szCs w:val="24"/>
        </w:rPr>
      </w:pPr>
      <w:r>
        <w:rPr>
          <w:rFonts w:hint="eastAsia" w:ascii="宋体" w:hAnsi="宋体" w:eastAsia="宋体" w:cs="宋体"/>
          <w:b/>
          <w:sz w:val="24"/>
          <w:szCs w:val="24"/>
        </w:rPr>
        <w:t>三、获取招标文件</w:t>
      </w:r>
    </w:p>
    <w:p w14:paraId="1B90B5B0">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cs="宋体"/>
          <w:sz w:val="24"/>
          <w:szCs w:val="24"/>
          <w:lang w:eastAsia="zh-CN"/>
        </w:rPr>
        <w:t>2026年4月23日至2026年</w:t>
      </w:r>
      <w:r>
        <w:rPr>
          <w:rFonts w:hint="eastAsia" w:ascii="宋体" w:hAnsi="宋体" w:cs="宋体"/>
          <w:sz w:val="24"/>
          <w:szCs w:val="24"/>
          <w:lang w:val="en-US" w:eastAsia="zh-CN"/>
        </w:rPr>
        <w:t>4</w:t>
      </w:r>
      <w:r>
        <w:rPr>
          <w:rFonts w:hint="eastAsia" w:ascii="宋体" w:hAnsi="宋体" w:cs="宋体"/>
          <w:sz w:val="24"/>
          <w:szCs w:val="24"/>
          <w:lang w:eastAsia="zh-CN"/>
        </w:rPr>
        <w:t>月</w:t>
      </w:r>
      <w:r>
        <w:rPr>
          <w:rFonts w:hint="eastAsia" w:ascii="宋体" w:hAnsi="宋体" w:cs="宋体"/>
          <w:sz w:val="24"/>
          <w:szCs w:val="24"/>
          <w:lang w:val="en-US" w:eastAsia="zh-CN"/>
        </w:rPr>
        <w:t>30</w:t>
      </w:r>
      <w:r>
        <w:rPr>
          <w:rFonts w:hint="eastAsia" w:ascii="宋体" w:hAnsi="宋体" w:cs="宋体"/>
          <w:sz w:val="24"/>
          <w:szCs w:val="24"/>
          <w:lang w:eastAsia="zh-CN"/>
        </w:rPr>
        <w:t>日</w:t>
      </w:r>
      <w:r>
        <w:rPr>
          <w:rFonts w:hint="eastAsia" w:ascii="宋体" w:hAnsi="宋体" w:eastAsia="宋体" w:cs="宋体"/>
          <w:sz w:val="24"/>
          <w:szCs w:val="24"/>
        </w:rPr>
        <w:t>，每天上午00:00至12:00，下午12:00至23:59（北京时间，法定节假日除外）</w:t>
      </w:r>
    </w:p>
    <w:p w14:paraId="1E95BDC9">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地点：政采云平台线上获取</w:t>
      </w:r>
    </w:p>
    <w:p w14:paraId="4BBF373D">
      <w:pPr>
        <w:adjustRightInd w:val="0"/>
        <w:spacing w:line="360" w:lineRule="auto"/>
        <w:ind w:left="480"/>
        <w:rPr>
          <w:rFonts w:hint="eastAsia" w:ascii="宋体" w:hAnsi="宋体" w:eastAsia="宋体" w:cs="宋体"/>
          <w:sz w:val="24"/>
          <w:szCs w:val="24"/>
        </w:rPr>
      </w:pPr>
      <w:r>
        <w:rPr>
          <w:rFonts w:hint="eastAsia" w:ascii="宋体" w:hAnsi="宋体" w:eastAsia="宋体" w:cs="宋体"/>
          <w:sz w:val="24"/>
          <w:szCs w:val="24"/>
        </w:rPr>
        <w:t>方式：在线获取</w:t>
      </w:r>
    </w:p>
    <w:p w14:paraId="26717105">
      <w:pPr>
        <w:adjustRightInd w:val="0"/>
        <w:spacing w:line="360" w:lineRule="auto"/>
        <w:ind w:left="480"/>
        <w:rPr>
          <w:rFonts w:hint="eastAsia" w:ascii="宋体" w:hAnsi="宋体" w:eastAsia="宋体" w:cs="宋体"/>
          <w:sz w:val="24"/>
          <w:szCs w:val="24"/>
        </w:rPr>
      </w:pPr>
      <w:r>
        <w:rPr>
          <w:rFonts w:hint="eastAsia" w:ascii="宋体" w:hAnsi="宋体" w:eastAsia="宋体" w:cs="宋体"/>
          <w:sz w:val="24"/>
          <w:szCs w:val="24"/>
        </w:rPr>
        <w:t>售价（元）：0</w:t>
      </w:r>
    </w:p>
    <w:p w14:paraId="2DC8F0E0">
      <w:pPr>
        <w:rPr>
          <w:rFonts w:hint="eastAsia" w:ascii="宋体" w:hAnsi="宋体" w:eastAsia="宋体" w:cs="宋体"/>
          <w:b/>
          <w:sz w:val="24"/>
          <w:szCs w:val="24"/>
        </w:rPr>
      </w:pPr>
    </w:p>
    <w:p w14:paraId="27C9EF01">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四、提交投标文件截止时间、开标时间和地点</w:t>
      </w:r>
    </w:p>
    <w:p w14:paraId="569E99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24"/>
        </w:rPr>
      </w:pPr>
      <w:bookmarkStart w:id="11" w:name="_Toc35393633"/>
      <w:bookmarkStart w:id="12" w:name="_Toc28359016"/>
      <w:bookmarkStart w:id="13" w:name="_Toc28359093"/>
      <w:bookmarkStart w:id="14" w:name="_Toc35393802"/>
      <w:r>
        <w:rPr>
          <w:rFonts w:hint="eastAsia" w:ascii="宋体" w:hAnsi="宋体" w:eastAsia="宋体" w:cs="宋体"/>
          <w:sz w:val="24"/>
          <w:szCs w:val="24"/>
        </w:rPr>
        <w:t>提交投标文件截止时间：</w:t>
      </w:r>
      <w:r>
        <w:rPr>
          <w:rFonts w:hint="eastAsia" w:ascii="宋体" w:hAnsi="宋体" w:cs="宋体"/>
          <w:sz w:val="24"/>
          <w:szCs w:val="24"/>
          <w:lang w:eastAsia="zh-CN"/>
        </w:rPr>
        <w:t>2026年5月14日09:00</w:t>
      </w:r>
      <w:r>
        <w:rPr>
          <w:rFonts w:hint="eastAsia" w:ascii="宋体" w:hAnsi="宋体" w:eastAsia="宋体" w:cs="宋体"/>
          <w:sz w:val="24"/>
          <w:szCs w:val="24"/>
        </w:rPr>
        <w:t>（北京时间）</w:t>
      </w:r>
    </w:p>
    <w:p w14:paraId="0FC2047F">
      <w:pPr>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投标地点（网址）：请登录政采云投标客户端投标。</w:t>
      </w:r>
    </w:p>
    <w:p w14:paraId="0BD40D1B">
      <w:pPr>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开标时间：</w:t>
      </w:r>
      <w:r>
        <w:rPr>
          <w:rFonts w:hint="eastAsia" w:ascii="宋体" w:hAnsi="宋体" w:cs="宋体"/>
          <w:sz w:val="24"/>
          <w:szCs w:val="24"/>
          <w:lang w:eastAsia="zh-CN"/>
        </w:rPr>
        <w:t>2026年5月14日09:00</w:t>
      </w:r>
    </w:p>
    <w:p w14:paraId="689A899E">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开标地点：山西省太原市小店区山西省综改示范区太原学府园区亚日街7号环亚时代广场B座12层会议室</w:t>
      </w:r>
    </w:p>
    <w:bookmarkEnd w:id="11"/>
    <w:bookmarkEnd w:id="12"/>
    <w:bookmarkEnd w:id="13"/>
    <w:bookmarkEnd w:id="14"/>
    <w:p w14:paraId="140316E9">
      <w:pPr>
        <w:adjustRightInd w:val="0"/>
        <w:spacing w:line="360" w:lineRule="auto"/>
        <w:rPr>
          <w:rFonts w:hint="eastAsia" w:ascii="宋体" w:hAnsi="宋体" w:eastAsia="宋体" w:cs="宋体"/>
          <w:b/>
          <w:sz w:val="24"/>
          <w:szCs w:val="24"/>
        </w:rPr>
      </w:pPr>
      <w:bookmarkStart w:id="15" w:name="_Toc35393634"/>
      <w:bookmarkStart w:id="16" w:name="_Toc28359017"/>
      <w:bookmarkStart w:id="17" w:name="_Toc28359094"/>
      <w:bookmarkStart w:id="18" w:name="_Toc35393803"/>
    </w:p>
    <w:p w14:paraId="1A70116E">
      <w:pPr>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五、公告期限</w:t>
      </w:r>
      <w:bookmarkEnd w:id="15"/>
      <w:bookmarkEnd w:id="16"/>
      <w:bookmarkEnd w:id="17"/>
      <w:bookmarkEnd w:id="18"/>
    </w:p>
    <w:p w14:paraId="3448D403">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bookmarkStart w:id="19" w:name="_Toc35393804"/>
      <w:bookmarkStart w:id="20" w:name="_Toc35393635"/>
    </w:p>
    <w:p w14:paraId="4C4F23F1">
      <w:pPr>
        <w:adjustRightInd w:val="0"/>
        <w:spacing w:line="360" w:lineRule="auto"/>
        <w:rPr>
          <w:rFonts w:hint="eastAsia" w:ascii="宋体" w:hAnsi="宋体" w:eastAsia="宋体" w:cs="宋体"/>
          <w:b/>
          <w:sz w:val="24"/>
          <w:szCs w:val="24"/>
        </w:rPr>
      </w:pPr>
    </w:p>
    <w:p w14:paraId="503D6A8A">
      <w:pPr>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六、其他补充事宜</w:t>
      </w:r>
      <w:bookmarkEnd w:id="19"/>
      <w:bookmarkEnd w:id="20"/>
      <w:bookmarkStart w:id="21" w:name="_Toc35393805"/>
      <w:bookmarkStart w:id="22" w:name="_Toc28359018"/>
      <w:bookmarkStart w:id="23" w:name="_Toc35393636"/>
      <w:bookmarkStart w:id="24" w:name="_Toc28359095"/>
    </w:p>
    <w:p w14:paraId="7E4D2A79">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针对本项目的质疑需一次性提出，多次提出将不予受理。供应商参与山西省政府采购项目时，符合法定质疑条件的，通过政府采购平台进入“项目质疑管理”栏目向采购人、</w:t>
      </w:r>
      <w:r>
        <w:rPr>
          <w:rFonts w:hint="eastAsia" w:ascii="宋体" w:hAnsi="宋体" w:cs="宋体"/>
          <w:sz w:val="24"/>
          <w:szCs w:val="24"/>
          <w:lang w:eastAsia="zh-CN"/>
        </w:rPr>
        <w:t>采购代理机构</w:t>
      </w:r>
      <w:r>
        <w:rPr>
          <w:rFonts w:hint="eastAsia" w:ascii="宋体" w:hAnsi="宋体" w:eastAsia="宋体" w:cs="宋体"/>
          <w:sz w:val="24"/>
          <w:szCs w:val="24"/>
        </w:rPr>
        <w:t>在线提起质疑。</w:t>
      </w:r>
    </w:p>
    <w:p w14:paraId="14B61195">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代理费支付方式：供应商支付</w:t>
      </w:r>
    </w:p>
    <w:p w14:paraId="591E74FF">
      <w:pPr>
        <w:adjustRightInd w:val="0"/>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rPr>
        <w:t>代理费收费标准：</w:t>
      </w:r>
      <w:r>
        <w:rPr>
          <w:rFonts w:hint="eastAsia" w:ascii="宋体" w:hAnsi="宋体" w:eastAsia="宋体" w:cs="宋体"/>
          <w:sz w:val="24"/>
          <w:szCs w:val="24"/>
          <w:highlight w:val="none"/>
        </w:rPr>
        <w:t>代理服务费计算公式：Q =（Ф1×1.5% +Ф2×</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 +Ф3×</w:t>
      </w:r>
      <w:r>
        <w:rPr>
          <w:rFonts w:hint="eastAsia" w:ascii="宋体" w:hAnsi="宋体" w:eastAsia="宋体" w:cs="宋体"/>
          <w:sz w:val="24"/>
          <w:szCs w:val="24"/>
          <w:highlight w:val="none"/>
          <w:lang w:val="en-US" w:eastAsia="zh-CN"/>
        </w:rPr>
        <w:t>0.45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Ф</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0.25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其中，Q为招标代理服务费；Ф1为</w:t>
      </w:r>
      <w:r>
        <w:rPr>
          <w:rFonts w:hint="eastAsia" w:ascii="宋体" w:hAnsi="宋体" w:cs="宋体"/>
          <w:sz w:val="24"/>
          <w:szCs w:val="24"/>
          <w:highlight w:val="none"/>
          <w:lang w:eastAsia="zh-CN"/>
        </w:rPr>
        <w:t>中标金额</w:t>
      </w:r>
      <w:r>
        <w:rPr>
          <w:rFonts w:hint="eastAsia" w:ascii="宋体" w:hAnsi="宋体" w:eastAsia="宋体" w:cs="宋体"/>
          <w:sz w:val="24"/>
          <w:szCs w:val="24"/>
          <w:highlight w:val="none"/>
        </w:rPr>
        <w:t>中1~100万元部分；Ф2为</w:t>
      </w:r>
      <w:r>
        <w:rPr>
          <w:rFonts w:hint="eastAsia" w:ascii="宋体" w:hAnsi="宋体" w:cs="宋体"/>
          <w:sz w:val="24"/>
          <w:szCs w:val="24"/>
          <w:highlight w:val="none"/>
          <w:lang w:eastAsia="zh-CN"/>
        </w:rPr>
        <w:t>中标金额</w:t>
      </w:r>
      <w:r>
        <w:rPr>
          <w:rFonts w:hint="eastAsia" w:ascii="宋体" w:hAnsi="宋体" w:eastAsia="宋体" w:cs="宋体"/>
          <w:sz w:val="24"/>
          <w:szCs w:val="24"/>
          <w:highlight w:val="none"/>
        </w:rPr>
        <w:t>中100~500万元部分；Ф3为</w:t>
      </w:r>
      <w:r>
        <w:rPr>
          <w:rFonts w:hint="eastAsia" w:ascii="宋体" w:hAnsi="宋体" w:cs="宋体"/>
          <w:sz w:val="24"/>
          <w:szCs w:val="24"/>
          <w:highlight w:val="none"/>
          <w:lang w:eastAsia="zh-CN"/>
        </w:rPr>
        <w:t>中标金额</w:t>
      </w:r>
      <w:r>
        <w:rPr>
          <w:rFonts w:hint="eastAsia" w:ascii="宋体" w:hAnsi="宋体" w:eastAsia="宋体" w:cs="宋体"/>
          <w:sz w:val="24"/>
          <w:szCs w:val="24"/>
          <w:highlight w:val="none"/>
        </w:rPr>
        <w:t>中500~1000万元部分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Ф</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为</w:t>
      </w:r>
      <w:r>
        <w:rPr>
          <w:rFonts w:hint="eastAsia" w:ascii="宋体" w:hAnsi="宋体" w:cs="宋体"/>
          <w:sz w:val="24"/>
          <w:szCs w:val="24"/>
          <w:highlight w:val="none"/>
          <w:lang w:eastAsia="zh-CN"/>
        </w:rPr>
        <w:t>中标金额</w:t>
      </w:r>
      <w:r>
        <w:rPr>
          <w:rFonts w:hint="eastAsia" w:ascii="宋体" w:hAnsi="宋体" w:eastAsia="宋体" w:cs="宋体"/>
          <w:sz w:val="24"/>
          <w:szCs w:val="24"/>
          <w:highlight w:val="none"/>
        </w:rPr>
        <w:t>中</w:t>
      </w:r>
      <w:r>
        <w:rPr>
          <w:rFonts w:hint="eastAsia" w:ascii="宋体" w:hAnsi="宋体" w:eastAsia="宋体" w:cs="宋体"/>
          <w:sz w:val="24"/>
          <w:szCs w:val="24"/>
          <w:highlight w:val="none"/>
          <w:lang w:val="en-US" w:eastAsia="zh-CN"/>
        </w:rPr>
        <w:t>1000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000万元部分。</w:t>
      </w:r>
      <w:r>
        <w:rPr>
          <w:rFonts w:hint="eastAsia" w:ascii="宋体" w:hAnsi="宋体" w:eastAsia="宋体" w:cs="宋体"/>
          <w:sz w:val="24"/>
          <w:szCs w:val="24"/>
          <w:highlight w:val="none"/>
          <w:lang w:eastAsia="zh-CN"/>
        </w:rPr>
        <w:t>取费基数为中标金额。</w:t>
      </w:r>
    </w:p>
    <w:p w14:paraId="43F1A71C">
      <w:pPr>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代理费收费金额（元）：</w:t>
      </w:r>
      <w:r>
        <w:rPr>
          <w:rFonts w:hint="eastAsia" w:ascii="宋体" w:hAnsi="宋体" w:eastAsia="宋体" w:cs="宋体"/>
          <w:sz w:val="24"/>
          <w:szCs w:val="24"/>
          <w:lang w:val="en-US" w:eastAsia="zh-CN"/>
        </w:rPr>
        <w:t>/</w:t>
      </w:r>
    </w:p>
    <w:p w14:paraId="74DD81C9">
      <w:pPr>
        <w:adjustRightInd w:val="0"/>
        <w:spacing w:line="360" w:lineRule="auto"/>
        <w:rPr>
          <w:rFonts w:hint="eastAsia" w:ascii="宋体" w:hAnsi="宋体" w:eastAsia="宋体" w:cs="宋体"/>
          <w:b/>
          <w:sz w:val="24"/>
          <w:szCs w:val="24"/>
        </w:rPr>
      </w:pPr>
    </w:p>
    <w:p w14:paraId="43A9420F">
      <w:pPr>
        <w:adjustRightInd w:val="0"/>
        <w:spacing w:line="360" w:lineRule="auto"/>
        <w:rPr>
          <w:rFonts w:hint="eastAsia" w:ascii="宋体" w:hAnsi="宋体" w:eastAsia="宋体" w:cs="宋体"/>
          <w:b/>
          <w:sz w:val="24"/>
          <w:szCs w:val="24"/>
        </w:rPr>
      </w:pPr>
      <w:r>
        <w:rPr>
          <w:rFonts w:hint="eastAsia" w:ascii="宋体" w:hAnsi="宋体" w:eastAsia="宋体" w:cs="宋体"/>
          <w:b/>
          <w:sz w:val="24"/>
          <w:szCs w:val="24"/>
        </w:rPr>
        <w:t>七、凡对本次采购提出询问，请按以下方式联系。</w:t>
      </w:r>
      <w:bookmarkEnd w:id="21"/>
      <w:bookmarkEnd w:id="22"/>
      <w:bookmarkEnd w:id="23"/>
      <w:bookmarkEnd w:id="24"/>
    </w:p>
    <w:p w14:paraId="133ABCBA">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23D2C214">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中北大学</w:t>
      </w:r>
    </w:p>
    <w:p w14:paraId="1855903F">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cs="宋体"/>
          <w:sz w:val="24"/>
          <w:szCs w:val="24"/>
          <w:highlight w:val="none"/>
          <w:lang w:eastAsia="zh-CN"/>
        </w:rPr>
        <w:t>山西省太原市尖草坪区学院路3号</w:t>
      </w:r>
    </w:p>
    <w:p w14:paraId="7BD3FB76">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0351-3921023</w:t>
      </w:r>
    </w:p>
    <w:p w14:paraId="67963B2A">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采购代理机构</w:t>
      </w:r>
      <w:r>
        <w:rPr>
          <w:rFonts w:hint="eastAsia" w:ascii="宋体" w:hAnsi="宋体" w:eastAsia="宋体" w:cs="宋体"/>
          <w:sz w:val="24"/>
          <w:szCs w:val="24"/>
        </w:rPr>
        <w:t>信息</w:t>
      </w:r>
    </w:p>
    <w:p w14:paraId="1C5840A8">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名    称：山西启太工程招标代理有限公司</w:t>
      </w:r>
    </w:p>
    <w:p w14:paraId="25249644">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地　  址：太原市小店区许坦东街锦东国际商务中心A座26层</w:t>
      </w:r>
    </w:p>
    <w:p w14:paraId="63CB3A1C">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联系方式：0351-2362969</w:t>
      </w:r>
    </w:p>
    <w:p w14:paraId="70E7F388">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6880459D">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napToGrid w:val="0"/>
          <w:kern w:val="0"/>
          <w:sz w:val="24"/>
        </w:rPr>
        <w:t>王伟、王燕、尚玲、贾海英、张璐璐</w:t>
      </w:r>
      <w:r>
        <w:rPr>
          <w:rFonts w:hint="eastAsia" w:ascii="宋体" w:hAnsi="宋体" w:eastAsia="宋体" w:cs="宋体"/>
          <w:snapToGrid w:val="0"/>
          <w:kern w:val="0"/>
          <w:sz w:val="24"/>
          <w:lang w:eastAsia="zh-CN"/>
        </w:rPr>
        <w:t>、</w:t>
      </w:r>
      <w:r>
        <w:rPr>
          <w:rFonts w:hint="eastAsia" w:ascii="宋体" w:hAnsi="宋体" w:eastAsia="宋体" w:cs="宋体"/>
          <w:snapToGrid w:val="0"/>
          <w:kern w:val="0"/>
          <w:sz w:val="24"/>
          <w:lang w:val="en-US" w:eastAsia="zh-CN"/>
        </w:rPr>
        <w:t>李亚军</w:t>
      </w:r>
    </w:p>
    <w:p w14:paraId="1687817B">
      <w:pPr>
        <w:keepNext w:val="0"/>
        <w:keepLines w:val="0"/>
        <w:pageBreakBefore w:val="0"/>
        <w:widowControl w:val="0"/>
        <w:kinsoku/>
        <w:wordWrap/>
        <w:overflowPunct/>
        <w:topLinePunct w:val="0"/>
        <w:bidi w:val="0"/>
        <w:adjustRightInd w:val="0"/>
        <w:snapToGrid/>
        <w:spacing w:line="312"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电      话：0351-2362969</w:t>
      </w:r>
    </w:p>
    <w:p w14:paraId="6E86E3B1">
      <w:pPr>
        <w:pStyle w:val="2"/>
        <w:keepNext w:val="0"/>
        <w:keepLines w:val="0"/>
        <w:pageBreakBefore w:val="0"/>
        <w:widowControl w:val="0"/>
        <w:kinsoku/>
        <w:wordWrap/>
        <w:overflowPunct/>
        <w:topLinePunct w:val="0"/>
        <w:bidi w:val="0"/>
        <w:adjustRightInd w:val="0"/>
        <w:snapToGrid/>
        <w:spacing w:line="312" w:lineRule="auto"/>
        <w:textAlignment w:val="auto"/>
        <w:rPr>
          <w:rFonts w:hint="eastAsia" w:ascii="宋体" w:hAnsi="宋体" w:eastAsia="宋体" w:cs="宋体"/>
          <w:sz w:val="52"/>
          <w:szCs w:val="52"/>
        </w:rPr>
        <w:sectPr>
          <w:headerReference r:id="rId10" w:type="default"/>
          <w:footerReference r:id="rId11" w:type="default"/>
          <w:footerReference r:id="rId12" w:type="even"/>
          <w:pgSz w:w="11905" w:h="16838"/>
          <w:pgMar w:top="1440" w:right="1080" w:bottom="1440" w:left="1080" w:header="1020" w:footer="1020" w:gutter="0"/>
          <w:pgNumType w:fmt="decimal"/>
          <w:cols w:space="0" w:num="1"/>
          <w:docGrid w:linePitch="312" w:charSpace="0"/>
        </w:sectPr>
      </w:pPr>
    </w:p>
    <w:p w14:paraId="71194A12">
      <w:pPr>
        <w:pStyle w:val="2"/>
        <w:bidi w:val="0"/>
        <w:rPr>
          <w:rFonts w:hint="eastAsia" w:ascii="宋体" w:hAnsi="宋体" w:eastAsia="宋体" w:cs="宋体"/>
        </w:rPr>
      </w:pPr>
      <w:bookmarkStart w:id="25" w:name="_Toc20955"/>
      <w:r>
        <w:rPr>
          <w:rFonts w:hint="eastAsia" w:ascii="宋体" w:hAnsi="宋体" w:eastAsia="宋体" w:cs="宋体"/>
        </w:rPr>
        <w:t>第二部分  投标人须知</w:t>
      </w:r>
      <w:bookmarkEnd w:id="25"/>
    </w:p>
    <w:p w14:paraId="16515E20">
      <w:pPr>
        <w:pStyle w:val="3"/>
        <w:autoSpaceDE w:val="0"/>
        <w:autoSpaceDN w:val="0"/>
        <w:adjustRightInd w:val="0"/>
        <w:spacing w:after="140" w:line="240" w:lineRule="auto"/>
        <w:jc w:val="center"/>
        <w:rPr>
          <w:rFonts w:hint="eastAsia" w:ascii="宋体" w:hAnsi="宋体" w:eastAsia="宋体" w:cs="宋体"/>
          <w:b/>
          <w:bCs/>
        </w:rPr>
      </w:pPr>
      <w:r>
        <w:rPr>
          <w:rFonts w:hint="eastAsia" w:ascii="宋体" w:hAnsi="宋体" w:eastAsia="宋体" w:cs="宋体"/>
          <w:b/>
          <w:bCs/>
        </w:rPr>
        <w:t>一、投标人须知前附表</w:t>
      </w:r>
      <w:bookmarkEnd w:id="2"/>
      <w:bookmarkEnd w:id="3"/>
      <w:bookmarkEnd w:id="4"/>
      <w:bookmarkEnd w:id="5"/>
      <w:bookmarkEnd w:id="6"/>
      <w:bookmarkEnd w:id="7"/>
      <w:bookmarkEnd w:id="8"/>
      <w:bookmarkEnd w:id="9"/>
      <w:bookmarkEnd w:id="10"/>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214"/>
        <w:gridCol w:w="6694"/>
      </w:tblGrid>
      <w:tr w14:paraId="7910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25" w:type="pct"/>
            <w:vAlign w:val="center"/>
          </w:tcPr>
          <w:p w14:paraId="7C693002">
            <w:pPr>
              <w:widowControl/>
              <w:spacing w:line="400" w:lineRule="exact"/>
              <w:jc w:val="center"/>
              <w:rPr>
                <w:rFonts w:hint="eastAsia" w:ascii="宋体" w:hAnsi="宋体" w:eastAsia="宋体" w:cs="宋体"/>
                <w:b/>
                <w:bCs/>
                <w:szCs w:val="21"/>
              </w:rPr>
            </w:pPr>
            <w:bookmarkStart w:id="26" w:name="_Toc326737308"/>
            <w:r>
              <w:rPr>
                <w:rFonts w:hint="eastAsia" w:ascii="宋体" w:hAnsi="宋体" w:eastAsia="宋体" w:cs="宋体"/>
                <w:b/>
                <w:bCs/>
                <w:szCs w:val="21"/>
              </w:rPr>
              <w:t>条款号</w:t>
            </w:r>
          </w:p>
        </w:tc>
        <w:tc>
          <w:tcPr>
            <w:tcW w:w="1112" w:type="pct"/>
            <w:vAlign w:val="center"/>
          </w:tcPr>
          <w:p w14:paraId="29285D68">
            <w:pPr>
              <w:widowControl/>
              <w:spacing w:line="400" w:lineRule="exact"/>
              <w:jc w:val="center"/>
              <w:rPr>
                <w:rFonts w:hint="eastAsia" w:ascii="宋体" w:hAnsi="宋体" w:eastAsia="宋体" w:cs="宋体"/>
                <w:b/>
                <w:bCs/>
                <w:szCs w:val="21"/>
              </w:rPr>
            </w:pPr>
            <w:r>
              <w:rPr>
                <w:rFonts w:hint="eastAsia" w:ascii="宋体" w:hAnsi="宋体" w:eastAsia="宋体" w:cs="宋体"/>
                <w:b/>
                <w:bCs/>
                <w:szCs w:val="21"/>
              </w:rPr>
              <w:t>内容</w:t>
            </w:r>
          </w:p>
        </w:tc>
        <w:tc>
          <w:tcPr>
            <w:tcW w:w="3362" w:type="pct"/>
            <w:vAlign w:val="center"/>
          </w:tcPr>
          <w:p w14:paraId="3E96D139">
            <w:pPr>
              <w:widowControl/>
              <w:spacing w:line="400" w:lineRule="exact"/>
              <w:jc w:val="center"/>
              <w:rPr>
                <w:rFonts w:hint="eastAsia" w:ascii="宋体" w:hAnsi="宋体" w:eastAsia="宋体" w:cs="宋体"/>
                <w:b/>
                <w:bCs/>
                <w:szCs w:val="21"/>
              </w:rPr>
            </w:pPr>
            <w:r>
              <w:rPr>
                <w:rFonts w:hint="eastAsia" w:ascii="宋体" w:hAnsi="宋体" w:eastAsia="宋体" w:cs="宋体"/>
                <w:b/>
                <w:bCs/>
                <w:szCs w:val="21"/>
              </w:rPr>
              <w:t>说明与要求</w:t>
            </w:r>
          </w:p>
        </w:tc>
      </w:tr>
      <w:tr w14:paraId="586F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28A5234E">
            <w:pPr>
              <w:widowControl/>
              <w:spacing w:line="400" w:lineRule="exact"/>
              <w:jc w:val="center"/>
              <w:rPr>
                <w:rFonts w:hint="eastAsia" w:ascii="宋体" w:hAnsi="宋体" w:eastAsia="宋体" w:cs="宋体"/>
                <w:szCs w:val="21"/>
              </w:rPr>
            </w:pPr>
            <w:r>
              <w:rPr>
                <w:rFonts w:hint="eastAsia" w:ascii="宋体" w:hAnsi="宋体" w:eastAsia="宋体" w:cs="宋体"/>
                <w:szCs w:val="21"/>
              </w:rPr>
              <w:t>2.1</w:t>
            </w:r>
          </w:p>
        </w:tc>
        <w:tc>
          <w:tcPr>
            <w:tcW w:w="1112" w:type="pct"/>
            <w:vAlign w:val="center"/>
          </w:tcPr>
          <w:p w14:paraId="40213CAA">
            <w:pPr>
              <w:widowControl/>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采购人</w:t>
            </w:r>
          </w:p>
        </w:tc>
        <w:tc>
          <w:tcPr>
            <w:tcW w:w="3362" w:type="pct"/>
            <w:vAlign w:val="center"/>
          </w:tcPr>
          <w:p w14:paraId="1A4232A3">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cs="宋体"/>
                <w:szCs w:val="21"/>
                <w:highlight w:val="none"/>
                <w:lang w:eastAsia="zh-CN"/>
              </w:rPr>
              <w:t>中北大学</w:t>
            </w:r>
          </w:p>
          <w:p w14:paraId="7F222FFB">
            <w:pPr>
              <w:widowControl/>
              <w:spacing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cs="宋体"/>
                <w:szCs w:val="21"/>
                <w:highlight w:val="none"/>
                <w:lang w:eastAsia="zh-CN"/>
              </w:rPr>
              <w:t>山西省太原市尖草坪区学院路3号</w:t>
            </w:r>
          </w:p>
          <w:p w14:paraId="479EAF2F">
            <w:pPr>
              <w:widowControl/>
              <w:spacing w:line="400" w:lineRule="exact"/>
              <w:ind w:firstLine="210" w:firstLineChars="1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联系人：</w:t>
            </w:r>
            <w:r>
              <w:rPr>
                <w:rFonts w:hint="eastAsia" w:ascii="宋体" w:hAnsi="宋体" w:cs="宋体"/>
                <w:szCs w:val="21"/>
                <w:highlight w:val="none"/>
                <w:lang w:val="en-US" w:eastAsia="zh-CN"/>
              </w:rPr>
              <w:t>周老师</w:t>
            </w:r>
          </w:p>
          <w:p w14:paraId="067567B4">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联系方式：</w:t>
            </w:r>
            <w:r>
              <w:rPr>
                <w:rFonts w:hint="eastAsia" w:ascii="宋体" w:hAnsi="宋体" w:cs="宋体"/>
                <w:szCs w:val="21"/>
                <w:highlight w:val="none"/>
                <w:lang w:eastAsia="zh-CN"/>
              </w:rPr>
              <w:t>0351-3921023</w:t>
            </w:r>
          </w:p>
        </w:tc>
      </w:tr>
      <w:tr w14:paraId="618A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7D4AA4CF">
            <w:pPr>
              <w:widowControl/>
              <w:spacing w:line="400" w:lineRule="exact"/>
              <w:jc w:val="center"/>
              <w:rPr>
                <w:rFonts w:hint="eastAsia" w:ascii="宋体" w:hAnsi="宋体" w:eastAsia="宋体" w:cs="宋体"/>
                <w:szCs w:val="21"/>
              </w:rPr>
            </w:pPr>
            <w:r>
              <w:rPr>
                <w:rFonts w:hint="eastAsia" w:ascii="宋体" w:hAnsi="宋体" w:eastAsia="宋体" w:cs="宋体"/>
                <w:szCs w:val="21"/>
              </w:rPr>
              <w:t>2.2</w:t>
            </w:r>
          </w:p>
        </w:tc>
        <w:tc>
          <w:tcPr>
            <w:tcW w:w="1112" w:type="pct"/>
            <w:vAlign w:val="center"/>
          </w:tcPr>
          <w:p w14:paraId="0A1DEC8B">
            <w:pPr>
              <w:widowControl/>
              <w:spacing w:line="400" w:lineRule="exact"/>
              <w:rPr>
                <w:rFonts w:hint="eastAsia" w:ascii="宋体" w:hAnsi="宋体" w:eastAsia="宋体" w:cs="宋体"/>
                <w:szCs w:val="21"/>
                <w:lang w:eastAsia="zh-CN"/>
              </w:rPr>
            </w:pPr>
            <w:r>
              <w:rPr>
                <w:rFonts w:hint="eastAsia" w:ascii="宋体" w:hAnsi="宋体" w:cs="宋体"/>
                <w:szCs w:val="21"/>
                <w:lang w:eastAsia="zh-CN"/>
              </w:rPr>
              <w:t>采购代理机构</w:t>
            </w:r>
          </w:p>
        </w:tc>
        <w:tc>
          <w:tcPr>
            <w:tcW w:w="3362" w:type="pct"/>
            <w:vAlign w:val="center"/>
          </w:tcPr>
          <w:p w14:paraId="414D254E">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名称：山西启太工程招标代理有限公司</w:t>
            </w:r>
          </w:p>
          <w:p w14:paraId="44C4E2B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地址：太原市小店区许坦东街锦东国际商务中心A座26层</w:t>
            </w:r>
          </w:p>
          <w:p w14:paraId="5CD6EFEE">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联系人：王伟</w:t>
            </w:r>
          </w:p>
          <w:p w14:paraId="56BADF0E">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联系电话：0351-2362969</w:t>
            </w:r>
          </w:p>
        </w:tc>
      </w:tr>
      <w:tr w14:paraId="675F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4EA26260">
            <w:pPr>
              <w:widowControl/>
              <w:spacing w:line="400" w:lineRule="exact"/>
              <w:jc w:val="center"/>
              <w:rPr>
                <w:rFonts w:hint="eastAsia" w:ascii="宋体" w:hAnsi="宋体" w:eastAsia="宋体" w:cs="宋体"/>
                <w:szCs w:val="21"/>
              </w:rPr>
            </w:pPr>
            <w:r>
              <w:rPr>
                <w:rFonts w:hint="eastAsia" w:ascii="宋体" w:hAnsi="宋体" w:eastAsia="宋体" w:cs="宋体"/>
                <w:szCs w:val="21"/>
              </w:rPr>
              <w:t>2.4</w:t>
            </w:r>
          </w:p>
        </w:tc>
        <w:tc>
          <w:tcPr>
            <w:tcW w:w="1112" w:type="pct"/>
            <w:vAlign w:val="center"/>
          </w:tcPr>
          <w:p w14:paraId="1F7CB896">
            <w:pPr>
              <w:widowControl/>
              <w:spacing w:line="400" w:lineRule="exact"/>
              <w:rPr>
                <w:rFonts w:hint="eastAsia" w:ascii="宋体" w:hAnsi="宋体" w:eastAsia="宋体" w:cs="宋体"/>
                <w:szCs w:val="21"/>
              </w:rPr>
            </w:pPr>
            <w:r>
              <w:rPr>
                <w:rFonts w:hint="eastAsia" w:ascii="宋体" w:hAnsi="宋体" w:eastAsia="宋体" w:cs="宋体"/>
                <w:szCs w:val="21"/>
              </w:rPr>
              <w:t>招标项目名称</w:t>
            </w:r>
          </w:p>
        </w:tc>
        <w:tc>
          <w:tcPr>
            <w:tcW w:w="3362" w:type="pct"/>
            <w:vAlign w:val="center"/>
          </w:tcPr>
          <w:p w14:paraId="12D3C0DB">
            <w:pPr>
              <w:widowControl/>
              <w:spacing w:line="400" w:lineRule="exact"/>
              <w:ind w:firstLine="210" w:firstLineChars="100"/>
              <w:rPr>
                <w:rFonts w:hint="eastAsia" w:ascii="宋体" w:hAnsi="宋体" w:eastAsia="宋体" w:cs="宋体"/>
                <w:szCs w:val="21"/>
                <w:lang w:eastAsia="zh-CN"/>
              </w:rPr>
            </w:pPr>
            <w:r>
              <w:rPr>
                <w:rFonts w:hint="eastAsia" w:ascii="宋体" w:hAnsi="宋体" w:cs="宋体"/>
                <w:szCs w:val="21"/>
                <w:highlight w:val="none"/>
                <w:lang w:eastAsia="zh-CN"/>
              </w:rPr>
              <w:t>山西省教育科技人才一体化服务产业云平台项目</w:t>
            </w:r>
          </w:p>
        </w:tc>
      </w:tr>
      <w:tr w14:paraId="4FE1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47828FAA">
            <w:pPr>
              <w:widowControl/>
              <w:spacing w:line="400" w:lineRule="exact"/>
              <w:jc w:val="center"/>
              <w:rPr>
                <w:rFonts w:hint="eastAsia" w:ascii="宋体" w:hAnsi="宋体" w:eastAsia="宋体" w:cs="宋体"/>
                <w:szCs w:val="21"/>
              </w:rPr>
            </w:pPr>
            <w:r>
              <w:rPr>
                <w:rFonts w:hint="eastAsia" w:ascii="宋体" w:hAnsi="宋体" w:eastAsia="宋体" w:cs="宋体"/>
                <w:szCs w:val="21"/>
              </w:rPr>
              <w:t>2.4</w:t>
            </w:r>
          </w:p>
        </w:tc>
        <w:tc>
          <w:tcPr>
            <w:tcW w:w="1112" w:type="pct"/>
            <w:vAlign w:val="center"/>
          </w:tcPr>
          <w:p w14:paraId="2739B193">
            <w:pPr>
              <w:widowControl/>
              <w:spacing w:line="400" w:lineRule="exact"/>
              <w:rPr>
                <w:rFonts w:hint="eastAsia" w:ascii="宋体" w:hAnsi="宋体" w:eastAsia="宋体" w:cs="宋体"/>
                <w:szCs w:val="21"/>
              </w:rPr>
            </w:pPr>
            <w:r>
              <w:rPr>
                <w:rFonts w:hint="eastAsia" w:ascii="宋体" w:hAnsi="宋体" w:eastAsia="宋体" w:cs="宋体"/>
                <w:szCs w:val="21"/>
              </w:rPr>
              <w:t>合同履行期限</w:t>
            </w:r>
          </w:p>
        </w:tc>
        <w:tc>
          <w:tcPr>
            <w:tcW w:w="3362" w:type="pct"/>
            <w:vAlign w:val="center"/>
          </w:tcPr>
          <w:p w14:paraId="2CADE2A6">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lang w:val="en-US" w:eastAsia="zh-CN"/>
              </w:rPr>
              <w:t>签订合同后至2026年12月31日前完成功能开发部署实施，系统具备上线试运行条件并通过初验。初验通过后系统稳定运行90日历天后甲方组织终验，终验通过之日起进入系统免费运维期。</w:t>
            </w:r>
          </w:p>
        </w:tc>
      </w:tr>
      <w:tr w14:paraId="7BE2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68341989">
            <w:pPr>
              <w:widowControl/>
              <w:spacing w:line="400" w:lineRule="exact"/>
              <w:jc w:val="center"/>
              <w:rPr>
                <w:rFonts w:hint="eastAsia" w:ascii="宋体" w:hAnsi="宋体" w:eastAsia="宋体" w:cs="宋体"/>
                <w:szCs w:val="21"/>
              </w:rPr>
            </w:pPr>
            <w:r>
              <w:rPr>
                <w:rFonts w:hint="eastAsia" w:ascii="宋体" w:hAnsi="宋体" w:eastAsia="宋体" w:cs="宋体"/>
                <w:szCs w:val="21"/>
              </w:rPr>
              <w:t>2.4</w:t>
            </w:r>
          </w:p>
        </w:tc>
        <w:tc>
          <w:tcPr>
            <w:tcW w:w="1112" w:type="pct"/>
            <w:vAlign w:val="center"/>
          </w:tcPr>
          <w:p w14:paraId="025D0CC4">
            <w:pPr>
              <w:widowControl/>
              <w:spacing w:line="400" w:lineRule="exact"/>
              <w:rPr>
                <w:rFonts w:hint="eastAsia" w:ascii="宋体" w:hAnsi="宋体" w:eastAsia="宋体" w:cs="宋体"/>
                <w:szCs w:val="21"/>
              </w:rPr>
            </w:pPr>
            <w:r>
              <w:rPr>
                <w:rFonts w:hint="eastAsia" w:ascii="宋体" w:hAnsi="宋体" w:eastAsia="宋体" w:cs="宋体"/>
                <w:szCs w:val="21"/>
              </w:rPr>
              <w:t>采购预算</w:t>
            </w:r>
          </w:p>
        </w:tc>
        <w:tc>
          <w:tcPr>
            <w:tcW w:w="3362" w:type="pct"/>
            <w:vAlign w:val="center"/>
          </w:tcPr>
          <w:p w14:paraId="2C296B90">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详见招标公告</w:t>
            </w:r>
          </w:p>
        </w:tc>
      </w:tr>
      <w:tr w14:paraId="58ED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12B444D9">
            <w:pPr>
              <w:widowControl/>
              <w:spacing w:line="400" w:lineRule="exact"/>
              <w:jc w:val="center"/>
              <w:rPr>
                <w:rFonts w:hint="eastAsia" w:ascii="宋体" w:hAnsi="宋体" w:eastAsia="宋体" w:cs="宋体"/>
                <w:szCs w:val="21"/>
              </w:rPr>
            </w:pPr>
            <w:r>
              <w:rPr>
                <w:rFonts w:hint="eastAsia" w:ascii="宋体" w:hAnsi="宋体" w:eastAsia="宋体" w:cs="宋体"/>
                <w:szCs w:val="21"/>
              </w:rPr>
              <w:t>3.1</w:t>
            </w:r>
          </w:p>
        </w:tc>
        <w:tc>
          <w:tcPr>
            <w:tcW w:w="1112" w:type="pct"/>
            <w:vAlign w:val="center"/>
          </w:tcPr>
          <w:p w14:paraId="34209016">
            <w:pPr>
              <w:widowControl/>
              <w:spacing w:line="400" w:lineRule="exact"/>
              <w:rPr>
                <w:rFonts w:hint="eastAsia" w:ascii="宋体" w:hAnsi="宋体" w:eastAsia="宋体" w:cs="宋体"/>
                <w:szCs w:val="21"/>
              </w:rPr>
            </w:pPr>
            <w:r>
              <w:rPr>
                <w:rFonts w:hint="eastAsia" w:ascii="宋体" w:hAnsi="宋体" w:eastAsia="宋体" w:cs="宋体"/>
                <w:szCs w:val="21"/>
              </w:rPr>
              <w:t>投标人的资格要求</w:t>
            </w:r>
          </w:p>
        </w:tc>
        <w:tc>
          <w:tcPr>
            <w:tcW w:w="3362" w:type="pct"/>
            <w:vAlign w:val="center"/>
          </w:tcPr>
          <w:p w14:paraId="24C9DB9B">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详见招标公告</w:t>
            </w:r>
          </w:p>
        </w:tc>
      </w:tr>
      <w:tr w14:paraId="3408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6BDA0AB">
            <w:pPr>
              <w:widowControl/>
              <w:spacing w:line="400" w:lineRule="exact"/>
              <w:jc w:val="center"/>
              <w:rPr>
                <w:rFonts w:hint="eastAsia" w:ascii="宋体" w:hAnsi="宋体" w:eastAsia="宋体" w:cs="宋体"/>
                <w:szCs w:val="21"/>
              </w:rPr>
            </w:pPr>
            <w:r>
              <w:rPr>
                <w:rFonts w:hint="eastAsia" w:ascii="宋体" w:hAnsi="宋体" w:eastAsia="宋体" w:cs="宋体"/>
                <w:szCs w:val="21"/>
              </w:rPr>
              <w:t>3.7</w:t>
            </w:r>
          </w:p>
        </w:tc>
        <w:tc>
          <w:tcPr>
            <w:tcW w:w="1112" w:type="pct"/>
            <w:vAlign w:val="center"/>
          </w:tcPr>
          <w:p w14:paraId="55450B8E">
            <w:pPr>
              <w:widowControl/>
              <w:spacing w:line="400" w:lineRule="exact"/>
              <w:rPr>
                <w:rFonts w:hint="eastAsia" w:ascii="宋体" w:hAnsi="宋体" w:eastAsia="宋体" w:cs="宋体"/>
                <w:szCs w:val="21"/>
              </w:rPr>
            </w:pPr>
            <w:r>
              <w:rPr>
                <w:rFonts w:hint="eastAsia" w:ascii="宋体" w:hAnsi="宋体" w:eastAsia="宋体" w:cs="宋体"/>
                <w:szCs w:val="21"/>
              </w:rPr>
              <w:t>投标人其他要求</w:t>
            </w:r>
          </w:p>
        </w:tc>
        <w:tc>
          <w:tcPr>
            <w:tcW w:w="3362" w:type="pct"/>
            <w:vAlign w:val="center"/>
          </w:tcPr>
          <w:p w14:paraId="12096079">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1.是否允许联合体投标：否</w:t>
            </w:r>
            <w:bookmarkStart w:id="202" w:name="_GoBack"/>
            <w:bookmarkEnd w:id="202"/>
          </w:p>
          <w:p w14:paraId="150A047B">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2.本项目是否专门面向中小企业项目：否</w:t>
            </w:r>
          </w:p>
          <w:p w14:paraId="33D59CFB">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3.优先采购绿色产品价格扣除比例：无</w:t>
            </w:r>
          </w:p>
          <w:p w14:paraId="4BC5B9D0">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4.本项目是否属于绿色数据中心项目：否</w:t>
            </w:r>
          </w:p>
        </w:tc>
      </w:tr>
      <w:tr w14:paraId="03D0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35F33038">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7.3</w:t>
            </w:r>
          </w:p>
        </w:tc>
        <w:tc>
          <w:tcPr>
            <w:tcW w:w="1112" w:type="pct"/>
            <w:vAlign w:val="center"/>
          </w:tcPr>
          <w:p w14:paraId="23114A1D">
            <w:pPr>
              <w:widowControl/>
              <w:spacing w:line="400" w:lineRule="exact"/>
              <w:rPr>
                <w:rFonts w:hint="eastAsia" w:ascii="宋体" w:hAnsi="宋体" w:eastAsia="宋体" w:cs="宋体"/>
                <w:szCs w:val="21"/>
                <w:highlight w:val="none"/>
              </w:rPr>
            </w:pPr>
            <w:r>
              <w:rPr>
                <w:rFonts w:hint="eastAsia" w:ascii="宋体" w:hAnsi="宋体" w:eastAsia="宋体" w:cs="宋体"/>
                <w:szCs w:val="21"/>
                <w:highlight w:val="none"/>
              </w:rPr>
              <w:t>踏勘现场或召开标前会</w:t>
            </w:r>
          </w:p>
        </w:tc>
        <w:tc>
          <w:tcPr>
            <w:tcW w:w="3362" w:type="pct"/>
            <w:vAlign w:val="center"/>
          </w:tcPr>
          <w:p w14:paraId="38971329">
            <w:pPr>
              <w:widowControl/>
              <w:spacing w:line="400" w:lineRule="exact"/>
              <w:ind w:firstLine="210" w:firstLineChars="100"/>
              <w:rPr>
                <w:rFonts w:hint="default" w:ascii="宋体" w:hAnsi="宋体" w:eastAsia="宋体" w:cs="宋体"/>
                <w:szCs w:val="21"/>
                <w:lang w:val="en-US" w:eastAsia="zh-CN"/>
              </w:rPr>
            </w:pPr>
            <w:r>
              <w:rPr>
                <w:rFonts w:hint="eastAsia" w:ascii="宋体" w:hAnsi="宋体" w:eastAsia="宋体" w:cs="宋体"/>
                <w:szCs w:val="21"/>
                <w:lang w:val="en-US" w:eastAsia="zh-CN"/>
              </w:rPr>
              <w:t>组织潜在投标人统一现场踏勘</w:t>
            </w:r>
          </w:p>
          <w:p w14:paraId="0DBD7E91">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踏勘时间：</w:t>
            </w:r>
            <w:r>
              <w:rPr>
                <w:rFonts w:hint="eastAsia" w:ascii="宋体" w:hAnsi="宋体" w:cs="宋体"/>
                <w:szCs w:val="21"/>
                <w:lang w:val="en-US" w:eastAsia="zh-CN"/>
              </w:rPr>
              <w:t>2026年5月6日10:00</w:t>
            </w:r>
          </w:p>
          <w:p w14:paraId="2BBE00F4">
            <w:pPr>
              <w:widowControl/>
              <w:spacing w:line="400" w:lineRule="exact"/>
              <w:ind w:firstLine="210" w:firstLineChars="100"/>
              <w:rPr>
                <w:rFonts w:hint="default" w:ascii="宋体" w:hAnsi="宋体" w:eastAsia="宋体" w:cs="宋体"/>
                <w:szCs w:val="21"/>
                <w:lang w:val="en-US" w:eastAsia="zh-CN"/>
              </w:rPr>
            </w:pPr>
            <w:r>
              <w:rPr>
                <w:rFonts w:hint="eastAsia" w:ascii="宋体" w:hAnsi="宋体" w:eastAsia="宋体" w:cs="宋体"/>
                <w:szCs w:val="21"/>
                <w:lang w:val="en-US" w:eastAsia="zh-CN"/>
              </w:rPr>
              <w:t>踏勘地点：中北大学（山西省太原市尖草坪区学院路3号）</w:t>
            </w:r>
          </w:p>
          <w:p w14:paraId="360C4BA7">
            <w:pPr>
              <w:widowControl/>
              <w:spacing w:line="400" w:lineRule="exact"/>
              <w:ind w:firstLine="210" w:firstLineChars="100"/>
              <w:rPr>
                <w:rFonts w:hint="default" w:ascii="宋体" w:hAnsi="宋体" w:eastAsia="宋体" w:cs="宋体"/>
                <w:szCs w:val="21"/>
                <w:lang w:val="en-US" w:eastAsia="zh-CN"/>
              </w:rPr>
            </w:pPr>
            <w:r>
              <w:rPr>
                <w:rFonts w:hint="default" w:ascii="宋体" w:hAnsi="宋体" w:eastAsia="宋体" w:cs="宋体"/>
                <w:szCs w:val="21"/>
                <w:lang w:val="en-US" w:eastAsia="zh-CN"/>
              </w:rPr>
              <w:t>踏勘联系人：贾越</w:t>
            </w:r>
          </w:p>
          <w:p w14:paraId="75210820">
            <w:pPr>
              <w:widowControl/>
              <w:spacing w:line="400" w:lineRule="exact"/>
              <w:ind w:firstLine="210" w:firstLineChars="100"/>
              <w:rPr>
                <w:rFonts w:hint="default" w:ascii="宋体" w:hAnsi="宋体" w:eastAsia="宋体" w:cs="宋体"/>
                <w:szCs w:val="21"/>
                <w:lang w:val="en-US" w:eastAsia="zh-CN"/>
              </w:rPr>
            </w:pPr>
            <w:r>
              <w:rPr>
                <w:rFonts w:hint="default" w:ascii="宋体" w:hAnsi="宋体" w:eastAsia="宋体" w:cs="宋体"/>
                <w:szCs w:val="21"/>
                <w:lang w:val="en-US" w:eastAsia="zh-CN"/>
              </w:rPr>
              <w:t>联系电话：13403691561</w:t>
            </w:r>
          </w:p>
        </w:tc>
      </w:tr>
      <w:tr w14:paraId="406D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14DAB489">
            <w:pPr>
              <w:widowControl/>
              <w:spacing w:line="400" w:lineRule="exact"/>
              <w:jc w:val="center"/>
              <w:rPr>
                <w:rFonts w:hint="eastAsia" w:ascii="宋体" w:hAnsi="宋体" w:eastAsia="宋体" w:cs="宋体"/>
                <w:szCs w:val="21"/>
              </w:rPr>
            </w:pPr>
            <w:r>
              <w:rPr>
                <w:rFonts w:hint="eastAsia" w:ascii="宋体" w:hAnsi="宋体" w:eastAsia="宋体" w:cs="宋体"/>
                <w:szCs w:val="21"/>
              </w:rPr>
              <w:t>9.1</w:t>
            </w:r>
          </w:p>
        </w:tc>
        <w:tc>
          <w:tcPr>
            <w:tcW w:w="1112" w:type="pct"/>
            <w:vAlign w:val="center"/>
          </w:tcPr>
          <w:p w14:paraId="488F0D18">
            <w:pPr>
              <w:widowControl/>
              <w:spacing w:line="400" w:lineRule="exact"/>
              <w:rPr>
                <w:rFonts w:hint="eastAsia" w:ascii="宋体" w:hAnsi="宋体" w:eastAsia="宋体" w:cs="宋体"/>
                <w:szCs w:val="21"/>
              </w:rPr>
            </w:pPr>
            <w:r>
              <w:rPr>
                <w:rFonts w:hint="eastAsia" w:ascii="宋体" w:hAnsi="宋体" w:eastAsia="宋体" w:cs="宋体"/>
                <w:szCs w:val="21"/>
              </w:rPr>
              <w:t>投标文件组成</w:t>
            </w:r>
          </w:p>
        </w:tc>
        <w:tc>
          <w:tcPr>
            <w:tcW w:w="3362" w:type="pct"/>
            <w:vAlign w:val="center"/>
          </w:tcPr>
          <w:p w14:paraId="7C9D174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1.资格证明文件</w:t>
            </w:r>
          </w:p>
          <w:p w14:paraId="5B67DDE1">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1.1供应商信用承诺书：</w:t>
            </w:r>
          </w:p>
          <w:p w14:paraId="1BCC0C31">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1.1.1具有独立承担民事责任的能力</w:t>
            </w:r>
          </w:p>
          <w:p w14:paraId="70860D2F">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1.1.2</w:t>
            </w:r>
            <w:r>
              <w:rPr>
                <w:rFonts w:hint="eastAsia" w:ascii="宋体" w:hAnsi="宋体" w:eastAsia="宋体" w:cs="宋体"/>
                <w:kern w:val="0"/>
                <w:szCs w:val="21"/>
              </w:rPr>
              <w:t>具有良好的商业信誉和健全的财务会计制度</w:t>
            </w:r>
          </w:p>
          <w:p w14:paraId="3339D156">
            <w:pPr>
              <w:spacing w:line="400" w:lineRule="exact"/>
              <w:ind w:firstLine="210" w:firstLineChars="100"/>
              <w:rPr>
                <w:rFonts w:hint="eastAsia" w:ascii="宋体" w:hAnsi="宋体" w:eastAsia="宋体" w:cs="宋体"/>
                <w:szCs w:val="21"/>
              </w:rPr>
            </w:pPr>
            <w:r>
              <w:rPr>
                <w:rFonts w:hint="eastAsia" w:ascii="宋体" w:hAnsi="宋体" w:eastAsia="宋体" w:cs="宋体"/>
                <w:kern w:val="0"/>
                <w:szCs w:val="21"/>
              </w:rPr>
              <w:t>1.1.3具有履行合同所必需的设备和专业技术能力</w:t>
            </w:r>
          </w:p>
          <w:p w14:paraId="45D7013E">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1.1.4</w:t>
            </w:r>
            <w:r>
              <w:rPr>
                <w:rFonts w:hint="eastAsia" w:ascii="宋体" w:hAnsi="宋体" w:eastAsia="宋体" w:cs="宋体"/>
                <w:bCs/>
                <w:szCs w:val="21"/>
              </w:rPr>
              <w:t>有依法缴纳税收和社会保障资金的良好记录</w:t>
            </w:r>
          </w:p>
          <w:p w14:paraId="34B95493">
            <w:pPr>
              <w:pStyle w:val="27"/>
              <w:spacing w:line="400" w:lineRule="exact"/>
              <w:ind w:firstLine="210" w:firstLineChars="100"/>
              <w:rPr>
                <w:rFonts w:hint="eastAsia" w:ascii="宋体" w:hAnsi="宋体" w:eastAsia="宋体" w:cs="宋体"/>
                <w:szCs w:val="21"/>
              </w:rPr>
            </w:pPr>
            <w:r>
              <w:rPr>
                <w:rFonts w:hint="eastAsia" w:ascii="宋体" w:hAnsi="宋体" w:eastAsia="宋体" w:cs="宋体"/>
                <w:szCs w:val="21"/>
              </w:rPr>
              <w:t>1.1.5</w:t>
            </w:r>
            <w:r>
              <w:rPr>
                <w:rFonts w:hint="eastAsia" w:ascii="宋体" w:hAnsi="宋体" w:eastAsia="宋体" w:cs="宋体"/>
                <w:bCs/>
                <w:szCs w:val="21"/>
              </w:rPr>
              <w:t>参加政府采购活动前三年内，在经营活动中没有重大违法记录</w:t>
            </w:r>
          </w:p>
          <w:p w14:paraId="74DEB150">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1.2政府采购活动承诺书；</w:t>
            </w:r>
          </w:p>
          <w:p w14:paraId="7078E296">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1.3投标保证金凭证；</w:t>
            </w:r>
          </w:p>
          <w:p w14:paraId="0FE9CEEF">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信用记录查询：</w:t>
            </w:r>
            <w:r>
              <w:rPr>
                <w:rFonts w:hint="eastAsia" w:ascii="宋体" w:hAnsi="宋体" w:cs="宋体"/>
                <w:szCs w:val="21"/>
                <w:lang w:eastAsia="zh-CN"/>
              </w:rPr>
              <w:t>采购代理机构</w:t>
            </w:r>
            <w:r>
              <w:rPr>
                <w:rFonts w:hint="eastAsia" w:ascii="宋体" w:hAnsi="宋体" w:eastAsia="宋体" w:cs="宋体"/>
                <w:szCs w:val="21"/>
              </w:rPr>
              <w:t>在开标后通过信用中国网站（http://www.creditchina.gov.cn）、中国政府采购网（http://www.ccgp.gov.cn）查询投标人信用记录，截止时间为开标当日；查询内容为失信被执行人、重大税收违法失信主体、政府采购严重违法失信行为记录名单；投标人存在失信记录的，其投标文件将作无效处理。查询记录与评标资料一并保存。（此项资格证明文件无需供应商提供）。</w:t>
            </w:r>
          </w:p>
          <w:p w14:paraId="28FF7B0B">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2.商务技术文件</w:t>
            </w:r>
          </w:p>
          <w:p w14:paraId="6E7C1D60">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2.1投标</w:t>
            </w:r>
            <w:r>
              <w:rPr>
                <w:rFonts w:hint="eastAsia" w:ascii="宋体" w:hAnsi="宋体" w:cs="宋体"/>
                <w:szCs w:val="21"/>
                <w:lang w:val="en-US" w:eastAsia="zh-CN"/>
              </w:rPr>
              <w:t>函</w:t>
            </w:r>
            <w:r>
              <w:rPr>
                <w:rFonts w:hint="eastAsia" w:ascii="宋体" w:hAnsi="宋体" w:eastAsia="宋体" w:cs="宋体"/>
                <w:szCs w:val="21"/>
              </w:rPr>
              <w:t>(见‘投标文件格式’)；</w:t>
            </w:r>
          </w:p>
          <w:p w14:paraId="1745771E">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2.2开标一览表(见‘投标文件格式’)；</w:t>
            </w:r>
          </w:p>
          <w:p w14:paraId="1B008EF5">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2.3</w:t>
            </w:r>
            <w:r>
              <w:rPr>
                <w:rFonts w:hint="eastAsia" w:ascii="宋体" w:hAnsi="宋体" w:cs="宋体"/>
                <w:sz w:val="21"/>
                <w:szCs w:val="21"/>
                <w:lang w:val="en-US" w:eastAsia="zh-CN"/>
              </w:rPr>
              <w:t>分项报价表(见‘投标文件格式’)；</w:t>
            </w:r>
          </w:p>
          <w:p w14:paraId="0C61B81A">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w:t>
            </w:r>
            <w:r>
              <w:rPr>
                <w:rFonts w:hint="eastAsia" w:ascii="宋体" w:hAnsi="宋体" w:eastAsia="宋体" w:cs="宋体"/>
                <w:szCs w:val="21"/>
                <w:lang w:val="en-US" w:eastAsia="zh-CN"/>
              </w:rPr>
              <w:t>4</w:t>
            </w:r>
            <w:r>
              <w:rPr>
                <w:rFonts w:hint="eastAsia" w:ascii="宋体" w:hAnsi="宋体" w:eastAsia="宋体" w:cs="宋体"/>
                <w:szCs w:val="21"/>
              </w:rPr>
              <w:t>法定代表人身份证明书(见‘投标文件格式’)；</w:t>
            </w:r>
          </w:p>
          <w:p w14:paraId="2720F57C">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lang w:eastAsia="zh-CN"/>
              </w:rPr>
              <w:t>法定代表人授权委托书</w:t>
            </w:r>
            <w:r>
              <w:rPr>
                <w:rFonts w:hint="eastAsia" w:ascii="宋体" w:hAnsi="宋体" w:eastAsia="宋体" w:cs="宋体"/>
                <w:szCs w:val="21"/>
              </w:rPr>
              <w:t xml:space="preserve"> (见‘投标文件格式’)</w:t>
            </w:r>
          </w:p>
          <w:p w14:paraId="19BD39C1">
            <w:pPr>
              <w:widowControl/>
              <w:spacing w:line="400" w:lineRule="exact"/>
              <w:ind w:firstLine="201" w:firstLineChars="100"/>
              <w:rPr>
                <w:rFonts w:hint="eastAsia" w:ascii="宋体" w:hAnsi="宋体" w:eastAsia="宋体" w:cs="宋体"/>
                <w:szCs w:val="21"/>
              </w:rPr>
            </w:pPr>
            <w:r>
              <w:rPr>
                <w:rFonts w:hint="eastAsia" w:ascii="宋体" w:hAnsi="宋体" w:eastAsia="宋体" w:cs="宋体"/>
                <w:b/>
                <w:bCs/>
                <w:spacing w:val="-5"/>
                <w:sz w:val="21"/>
                <w:szCs w:val="21"/>
                <w:highlight w:val="none"/>
              </w:rPr>
              <w:t>*</w:t>
            </w: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商务、技术条款偏离表（见‘投标文件格式’）；</w:t>
            </w:r>
          </w:p>
          <w:p w14:paraId="4CBF71D8">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cs="宋体"/>
                <w:szCs w:val="21"/>
                <w:lang w:eastAsia="zh-CN"/>
              </w:rPr>
              <w:t>投标产品</w:t>
            </w:r>
            <w:r>
              <w:rPr>
                <w:rFonts w:hint="eastAsia" w:ascii="宋体" w:hAnsi="宋体" w:eastAsia="宋体" w:cs="宋体"/>
                <w:szCs w:val="21"/>
                <w:lang w:eastAsia="zh-CN"/>
              </w:rPr>
              <w:t>主要技术指标和运行性能的详细描述</w:t>
            </w:r>
            <w:r>
              <w:rPr>
                <w:rFonts w:hint="eastAsia" w:ascii="宋体" w:hAnsi="宋体" w:eastAsia="宋体" w:cs="宋体"/>
                <w:szCs w:val="21"/>
              </w:rPr>
              <w:t>；</w:t>
            </w:r>
          </w:p>
          <w:p w14:paraId="57C2049C">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同类项目案例及相关证明资料（复印件加盖投标人公章）；</w:t>
            </w:r>
          </w:p>
          <w:p w14:paraId="40C29DA9">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cs="宋体"/>
                <w:szCs w:val="21"/>
                <w:lang w:eastAsia="zh-CN"/>
              </w:rPr>
              <w:t>响应方案</w:t>
            </w:r>
            <w:r>
              <w:rPr>
                <w:rFonts w:hint="eastAsia" w:ascii="宋体" w:hAnsi="宋体" w:eastAsia="宋体" w:cs="宋体"/>
                <w:szCs w:val="21"/>
              </w:rPr>
              <w:t>；</w:t>
            </w:r>
          </w:p>
          <w:p w14:paraId="28C7E3D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10</w:t>
            </w:r>
            <w:r>
              <w:rPr>
                <w:rFonts w:hint="eastAsia" w:ascii="宋体" w:hAnsi="宋体" w:eastAsia="宋体" w:cs="宋体"/>
                <w:szCs w:val="21"/>
              </w:rPr>
              <w:t>投标人认为需要提供的其他商务、技术材料；</w:t>
            </w:r>
          </w:p>
          <w:p w14:paraId="32AF82C9">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1</w:t>
            </w:r>
            <w:r>
              <w:rPr>
                <w:rFonts w:hint="eastAsia" w:ascii="宋体" w:hAnsi="宋体" w:eastAsia="宋体" w:cs="宋体"/>
                <w:szCs w:val="21"/>
              </w:rPr>
              <w:t>政策性要求。</w:t>
            </w:r>
          </w:p>
          <w:p w14:paraId="7D627EA6">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加</w:t>
            </w:r>
            <w:r>
              <w:rPr>
                <w:rFonts w:hint="eastAsia" w:ascii="宋体" w:hAnsi="宋体" w:eastAsia="宋体" w:cs="宋体"/>
                <w:b/>
                <w:bCs/>
                <w:spacing w:val="-5"/>
                <w:sz w:val="21"/>
                <w:szCs w:val="21"/>
                <w:highlight w:val="none"/>
              </w:rPr>
              <w:t>*</w:t>
            </w:r>
            <w:r>
              <w:rPr>
                <w:rFonts w:hint="eastAsia" w:ascii="宋体" w:hAnsi="宋体" w:eastAsia="宋体" w:cs="宋体"/>
                <w:szCs w:val="21"/>
              </w:rPr>
              <w:t>的商务技术文件若有一项未提供或无效，其投标文件将作无效处理。</w:t>
            </w:r>
          </w:p>
        </w:tc>
      </w:tr>
      <w:tr w14:paraId="3E28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D5745D0">
            <w:pPr>
              <w:widowControl/>
              <w:spacing w:line="400" w:lineRule="exact"/>
              <w:jc w:val="center"/>
              <w:rPr>
                <w:rFonts w:hint="eastAsia" w:ascii="宋体" w:hAnsi="宋体" w:eastAsia="宋体" w:cs="宋体"/>
                <w:szCs w:val="21"/>
              </w:rPr>
            </w:pPr>
            <w:r>
              <w:rPr>
                <w:rFonts w:hint="eastAsia" w:ascii="宋体" w:hAnsi="宋体" w:eastAsia="宋体" w:cs="宋体"/>
                <w:szCs w:val="21"/>
              </w:rPr>
              <w:t>9.3</w:t>
            </w:r>
          </w:p>
        </w:tc>
        <w:tc>
          <w:tcPr>
            <w:tcW w:w="1112" w:type="pct"/>
            <w:vAlign w:val="center"/>
          </w:tcPr>
          <w:p w14:paraId="1478AD8F">
            <w:pPr>
              <w:widowControl/>
              <w:spacing w:line="400" w:lineRule="exact"/>
              <w:rPr>
                <w:rFonts w:hint="eastAsia" w:ascii="宋体" w:hAnsi="宋体" w:eastAsia="宋体" w:cs="宋体"/>
                <w:szCs w:val="21"/>
              </w:rPr>
            </w:pPr>
            <w:r>
              <w:rPr>
                <w:rFonts w:hint="eastAsia" w:ascii="宋体" w:hAnsi="宋体" w:eastAsia="宋体" w:cs="宋体"/>
                <w:kern w:val="0"/>
                <w:szCs w:val="21"/>
              </w:rPr>
              <w:t>投标文件的其他要求</w:t>
            </w:r>
          </w:p>
        </w:tc>
        <w:tc>
          <w:tcPr>
            <w:tcW w:w="3362" w:type="pct"/>
            <w:vAlign w:val="center"/>
          </w:tcPr>
          <w:p w14:paraId="7779AA1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w:t>
            </w:r>
          </w:p>
        </w:tc>
      </w:tr>
      <w:tr w14:paraId="29C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50D289C0">
            <w:pPr>
              <w:widowControl/>
              <w:spacing w:line="400" w:lineRule="exact"/>
              <w:jc w:val="center"/>
              <w:rPr>
                <w:rFonts w:hint="eastAsia" w:ascii="宋体" w:hAnsi="宋体" w:eastAsia="宋体" w:cs="宋体"/>
                <w:szCs w:val="21"/>
              </w:rPr>
            </w:pPr>
            <w:r>
              <w:rPr>
                <w:rFonts w:hint="eastAsia" w:ascii="宋体" w:hAnsi="宋体" w:eastAsia="宋体" w:cs="宋体"/>
                <w:szCs w:val="21"/>
              </w:rPr>
              <w:t>10.1</w:t>
            </w:r>
          </w:p>
        </w:tc>
        <w:tc>
          <w:tcPr>
            <w:tcW w:w="1112" w:type="pct"/>
            <w:vAlign w:val="center"/>
          </w:tcPr>
          <w:p w14:paraId="5B62C4C7">
            <w:pPr>
              <w:widowControl/>
              <w:spacing w:line="400" w:lineRule="exact"/>
              <w:rPr>
                <w:rFonts w:hint="eastAsia" w:ascii="宋体" w:hAnsi="宋体" w:eastAsia="宋体" w:cs="宋体"/>
                <w:szCs w:val="21"/>
              </w:rPr>
            </w:pPr>
            <w:r>
              <w:rPr>
                <w:rFonts w:hint="eastAsia" w:ascii="宋体" w:hAnsi="宋体" w:eastAsia="宋体" w:cs="宋体"/>
                <w:szCs w:val="21"/>
              </w:rPr>
              <w:t>投标保证金</w:t>
            </w:r>
          </w:p>
        </w:tc>
        <w:tc>
          <w:tcPr>
            <w:tcW w:w="3362" w:type="pct"/>
            <w:vAlign w:val="center"/>
          </w:tcPr>
          <w:p w14:paraId="76DE8EA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（1）金额：</w:t>
            </w:r>
            <w:r>
              <w:rPr>
                <w:rFonts w:hint="eastAsia" w:ascii="宋体" w:hAnsi="宋体" w:cs="宋体"/>
                <w:szCs w:val="21"/>
                <w:lang w:val="en-US" w:eastAsia="zh-CN"/>
              </w:rPr>
              <w:t>壹拾伍</w:t>
            </w:r>
            <w:r>
              <w:rPr>
                <w:rFonts w:hint="eastAsia" w:ascii="宋体" w:hAnsi="宋体" w:eastAsia="宋体" w:cs="宋体"/>
                <w:szCs w:val="21"/>
                <w:lang w:val="en-US" w:eastAsia="zh-CN"/>
              </w:rPr>
              <w:t>万</w:t>
            </w:r>
            <w:r>
              <w:rPr>
                <w:rFonts w:hint="eastAsia" w:ascii="宋体" w:hAnsi="宋体" w:eastAsia="宋体" w:cs="宋体"/>
                <w:szCs w:val="21"/>
              </w:rPr>
              <w:t>元整（¥</w:t>
            </w:r>
            <w:r>
              <w:rPr>
                <w:rFonts w:hint="eastAsia" w:ascii="宋体" w:hAnsi="宋体" w:cs="宋体"/>
                <w:szCs w:val="21"/>
                <w:lang w:val="en-US" w:eastAsia="zh-CN"/>
              </w:rPr>
              <w:t>15</w:t>
            </w:r>
            <w:r>
              <w:rPr>
                <w:rFonts w:hint="eastAsia" w:ascii="宋体" w:hAnsi="宋体" w:eastAsia="宋体" w:cs="宋体"/>
                <w:szCs w:val="21"/>
                <w:lang w:val="en-US" w:eastAsia="zh-CN"/>
              </w:rPr>
              <w:t>0000</w:t>
            </w:r>
            <w:r>
              <w:rPr>
                <w:rFonts w:hint="eastAsia" w:ascii="宋体" w:hAnsi="宋体" w:eastAsia="宋体" w:cs="宋体"/>
                <w:szCs w:val="21"/>
              </w:rPr>
              <w:t>元）。</w:t>
            </w:r>
          </w:p>
          <w:p w14:paraId="76E37F97">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（2）提交方式：投标保证金必须从本单位银行基本账户以电汇、支票、汇票、本票等非现金形式提交，或提交银行保函或担保机构出具的保函；</w:t>
            </w:r>
          </w:p>
          <w:p w14:paraId="1995B595">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（3）投标人应确保上述款项在投标截止时间前(以银行到账时间为准)汇入到</w:t>
            </w:r>
            <w:r>
              <w:rPr>
                <w:rFonts w:hint="eastAsia" w:ascii="宋体" w:hAnsi="宋体" w:cs="宋体"/>
                <w:szCs w:val="21"/>
                <w:lang w:eastAsia="zh-CN"/>
              </w:rPr>
              <w:t>采购人</w:t>
            </w:r>
            <w:r>
              <w:rPr>
                <w:rFonts w:hint="eastAsia" w:ascii="宋体" w:hAnsi="宋体" w:eastAsia="宋体" w:cs="宋体"/>
                <w:szCs w:val="21"/>
              </w:rPr>
              <w:t>指定账户，否则其投标保证金视为无效。</w:t>
            </w:r>
          </w:p>
          <w:p w14:paraId="0DDD48B4">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（4）因银行结算、不可抗力等非</w:t>
            </w:r>
            <w:r>
              <w:rPr>
                <w:rFonts w:hint="eastAsia" w:ascii="宋体" w:hAnsi="宋体" w:cs="宋体"/>
                <w:szCs w:val="21"/>
                <w:lang w:eastAsia="zh-CN"/>
              </w:rPr>
              <w:t>采购人</w:t>
            </w:r>
            <w:r>
              <w:rPr>
                <w:rFonts w:hint="eastAsia" w:ascii="宋体" w:hAnsi="宋体" w:eastAsia="宋体" w:cs="宋体"/>
                <w:szCs w:val="21"/>
              </w:rPr>
              <w:t>/招标代理原因造成的投标保证金不能及时到账，后果由投标人自行承担。</w:t>
            </w:r>
          </w:p>
          <w:p w14:paraId="4249653B">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（5）缴纳投标保证金时请备注招标编号以便核查。</w:t>
            </w:r>
          </w:p>
          <w:p w14:paraId="6E411EA2">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账户名称 ：山西启太工程招标代理有限公司</w:t>
            </w:r>
          </w:p>
          <w:p w14:paraId="4A6BB4AB">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账    号 ：139220323514</w:t>
            </w:r>
          </w:p>
          <w:p w14:paraId="44657B39">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开 户 行 ：中国银行太原市杏花岭支行</w:t>
            </w:r>
          </w:p>
          <w:p w14:paraId="7D00FF87">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行    号 ：104161003332</w:t>
            </w:r>
          </w:p>
        </w:tc>
      </w:tr>
      <w:tr w14:paraId="193E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94CE44E">
            <w:pPr>
              <w:widowControl/>
              <w:spacing w:line="400" w:lineRule="exact"/>
              <w:jc w:val="center"/>
              <w:rPr>
                <w:rFonts w:hint="eastAsia" w:ascii="宋体" w:hAnsi="宋体" w:eastAsia="宋体" w:cs="宋体"/>
                <w:szCs w:val="21"/>
              </w:rPr>
            </w:pPr>
            <w:r>
              <w:rPr>
                <w:rFonts w:hint="eastAsia" w:ascii="宋体" w:hAnsi="宋体" w:eastAsia="宋体" w:cs="宋体"/>
                <w:szCs w:val="21"/>
              </w:rPr>
              <w:t>12.1</w:t>
            </w:r>
          </w:p>
        </w:tc>
        <w:tc>
          <w:tcPr>
            <w:tcW w:w="1112" w:type="pct"/>
            <w:vAlign w:val="center"/>
          </w:tcPr>
          <w:p w14:paraId="7AC1B9F0">
            <w:pPr>
              <w:widowControl/>
              <w:spacing w:line="400" w:lineRule="exact"/>
              <w:rPr>
                <w:rFonts w:hint="eastAsia" w:ascii="宋体" w:hAnsi="宋体" w:eastAsia="宋体" w:cs="宋体"/>
                <w:szCs w:val="21"/>
              </w:rPr>
            </w:pPr>
            <w:r>
              <w:rPr>
                <w:rFonts w:hint="eastAsia" w:ascii="宋体" w:hAnsi="宋体" w:eastAsia="宋体" w:cs="宋体"/>
                <w:szCs w:val="21"/>
              </w:rPr>
              <w:t>投标有效期</w:t>
            </w:r>
          </w:p>
        </w:tc>
        <w:tc>
          <w:tcPr>
            <w:tcW w:w="3362" w:type="pct"/>
            <w:vAlign w:val="center"/>
          </w:tcPr>
          <w:p w14:paraId="1A1B9ABA">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90日历天</w:t>
            </w:r>
          </w:p>
        </w:tc>
      </w:tr>
      <w:tr w14:paraId="6AE1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7D1BD8C9">
            <w:pPr>
              <w:widowControl/>
              <w:spacing w:line="400" w:lineRule="exact"/>
              <w:jc w:val="center"/>
              <w:rPr>
                <w:rFonts w:hint="eastAsia" w:ascii="宋体" w:hAnsi="宋体" w:eastAsia="宋体" w:cs="宋体"/>
                <w:szCs w:val="21"/>
              </w:rPr>
            </w:pPr>
            <w:r>
              <w:rPr>
                <w:rFonts w:hint="eastAsia" w:ascii="宋体" w:hAnsi="宋体" w:eastAsia="宋体" w:cs="宋体"/>
                <w:szCs w:val="21"/>
              </w:rPr>
              <w:t>13.11</w:t>
            </w:r>
          </w:p>
        </w:tc>
        <w:tc>
          <w:tcPr>
            <w:tcW w:w="1112" w:type="pct"/>
            <w:vAlign w:val="center"/>
          </w:tcPr>
          <w:p w14:paraId="7F476144">
            <w:pPr>
              <w:widowControl/>
              <w:spacing w:line="400" w:lineRule="exact"/>
              <w:rPr>
                <w:rFonts w:hint="eastAsia" w:ascii="宋体" w:hAnsi="宋体" w:eastAsia="宋体" w:cs="宋体"/>
                <w:szCs w:val="21"/>
              </w:rPr>
            </w:pPr>
            <w:r>
              <w:rPr>
                <w:rFonts w:hint="eastAsia" w:ascii="宋体" w:hAnsi="宋体" w:eastAsia="宋体" w:cs="宋体"/>
                <w:szCs w:val="21"/>
              </w:rPr>
              <w:t>投标文件份数</w:t>
            </w:r>
          </w:p>
        </w:tc>
        <w:tc>
          <w:tcPr>
            <w:tcW w:w="3362" w:type="pct"/>
            <w:vAlign w:val="center"/>
          </w:tcPr>
          <w:p w14:paraId="679AC050">
            <w:pPr>
              <w:adjustRightInd w:val="0"/>
              <w:snapToGrid w:val="0"/>
              <w:spacing w:line="380" w:lineRule="exact"/>
              <w:ind w:firstLine="211" w:firstLineChars="100"/>
              <w:rPr>
                <w:rFonts w:hint="eastAsia" w:ascii="宋体" w:hAnsi="宋体" w:eastAsia="宋体" w:cs="宋体"/>
                <w:kern w:val="0"/>
                <w:szCs w:val="21"/>
              </w:rPr>
            </w:pPr>
            <w:r>
              <w:rPr>
                <w:rFonts w:hint="eastAsia" w:ascii="宋体" w:hAnsi="宋体" w:eastAsia="宋体" w:cs="宋体"/>
                <w:b/>
                <w:bCs/>
                <w:kern w:val="0"/>
                <w:szCs w:val="21"/>
              </w:rPr>
              <w:t>电子投标文件：</w:t>
            </w:r>
            <w:r>
              <w:rPr>
                <w:rFonts w:hint="eastAsia" w:ascii="宋体" w:hAnsi="宋体" w:eastAsia="宋体" w:cs="宋体"/>
                <w:kern w:val="0"/>
                <w:szCs w:val="21"/>
              </w:rPr>
              <w:t>投标人须使用电子交易平台提供的投标客户端,结合CA证书进行电子版投标文件的编制。</w:t>
            </w:r>
          </w:p>
          <w:p w14:paraId="106DEB96">
            <w:pPr>
              <w:adjustRightInd w:val="0"/>
              <w:snapToGrid w:val="0"/>
              <w:spacing w:line="380" w:lineRule="exact"/>
              <w:ind w:firstLine="211" w:firstLineChars="100"/>
              <w:rPr>
                <w:rFonts w:hint="eastAsia" w:ascii="宋体" w:hAnsi="宋体" w:eastAsia="宋体" w:cs="宋体"/>
                <w:szCs w:val="21"/>
              </w:rPr>
            </w:pPr>
            <w:r>
              <w:rPr>
                <w:rFonts w:hint="eastAsia" w:ascii="宋体" w:hAnsi="宋体" w:eastAsia="宋体" w:cs="宋体"/>
                <w:b/>
                <w:bCs/>
                <w:kern w:val="0"/>
                <w:szCs w:val="21"/>
              </w:rPr>
              <w:t>招标文件中要求的盖章、签字，在制作电子版投标文件时可以是有效的电子签章，也可以是加盖公章、签字的纸质版扫描件。电子签章后，文档不应再修改，否则签章无效，如需修改，请修改后重新签章。</w:t>
            </w:r>
          </w:p>
        </w:tc>
      </w:tr>
      <w:tr w14:paraId="017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4B86EB8C">
            <w:pPr>
              <w:widowControl/>
              <w:spacing w:line="400" w:lineRule="exact"/>
              <w:jc w:val="center"/>
              <w:rPr>
                <w:rFonts w:hint="eastAsia" w:ascii="宋体" w:hAnsi="宋体" w:eastAsia="宋体" w:cs="宋体"/>
                <w:szCs w:val="21"/>
              </w:rPr>
            </w:pPr>
            <w:r>
              <w:rPr>
                <w:rFonts w:hint="eastAsia" w:ascii="宋体" w:hAnsi="宋体" w:eastAsia="宋体" w:cs="宋体"/>
                <w:szCs w:val="21"/>
              </w:rPr>
              <w:t>14.3</w:t>
            </w:r>
          </w:p>
        </w:tc>
        <w:tc>
          <w:tcPr>
            <w:tcW w:w="1112" w:type="pct"/>
            <w:vAlign w:val="center"/>
          </w:tcPr>
          <w:p w14:paraId="28C2C167">
            <w:pPr>
              <w:widowControl/>
              <w:spacing w:line="400" w:lineRule="exact"/>
              <w:rPr>
                <w:rFonts w:hint="eastAsia" w:ascii="宋体" w:hAnsi="宋体" w:eastAsia="宋体" w:cs="宋体"/>
                <w:szCs w:val="21"/>
              </w:rPr>
            </w:pPr>
            <w:r>
              <w:rPr>
                <w:rFonts w:hint="eastAsia" w:ascii="宋体" w:hAnsi="宋体" w:eastAsia="宋体" w:cs="宋体"/>
                <w:szCs w:val="21"/>
              </w:rPr>
              <w:t>投标文件递交截止时间、地点</w:t>
            </w:r>
          </w:p>
        </w:tc>
        <w:tc>
          <w:tcPr>
            <w:tcW w:w="3362" w:type="pct"/>
            <w:vAlign w:val="center"/>
          </w:tcPr>
          <w:p w14:paraId="264511EA">
            <w:pPr>
              <w:adjustRightInd w:val="0"/>
              <w:snapToGrid w:val="0"/>
              <w:spacing w:line="380" w:lineRule="exact"/>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szCs w:val="21"/>
              </w:rPr>
              <w:t>投标文件递交截止时间（投标截止时间）：同招标公告递交截止时间。</w:t>
            </w:r>
          </w:p>
          <w:p w14:paraId="79E56834">
            <w:pPr>
              <w:adjustRightInd w:val="0"/>
              <w:snapToGrid w:val="0"/>
              <w:spacing w:line="380" w:lineRule="exact"/>
              <w:ind w:firstLine="210" w:firstLineChars="100"/>
              <w:rPr>
                <w:rFonts w:hint="eastAsia" w:ascii="宋体" w:hAnsi="宋体" w:eastAsia="宋体" w:cs="宋体"/>
                <w:kern w:val="0"/>
                <w:szCs w:val="21"/>
              </w:rPr>
            </w:pPr>
            <w:r>
              <w:rPr>
                <w:rFonts w:hint="eastAsia" w:ascii="宋体" w:hAnsi="宋体" w:eastAsia="宋体" w:cs="宋体"/>
                <w:kern w:val="0"/>
                <w:szCs w:val="21"/>
              </w:rPr>
              <w:t>2、电子版投标文件网上递交，投标人需在投标截止时间前登录电子交易平台加密上传递交。</w:t>
            </w:r>
          </w:p>
        </w:tc>
      </w:tr>
      <w:tr w14:paraId="67D1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457B1DC9">
            <w:pPr>
              <w:widowControl/>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18.1</w:t>
            </w:r>
          </w:p>
        </w:tc>
        <w:tc>
          <w:tcPr>
            <w:tcW w:w="1112" w:type="pct"/>
            <w:vAlign w:val="center"/>
          </w:tcPr>
          <w:p w14:paraId="5A77DFB5">
            <w:pPr>
              <w:widowControl/>
              <w:spacing w:line="400" w:lineRule="exact"/>
              <w:rPr>
                <w:rFonts w:hint="eastAsia" w:ascii="宋体" w:hAnsi="宋体" w:eastAsia="宋体" w:cs="宋体"/>
                <w:szCs w:val="21"/>
                <w:highlight w:val="none"/>
              </w:rPr>
            </w:pPr>
            <w:r>
              <w:rPr>
                <w:rFonts w:hint="eastAsia" w:ascii="宋体" w:hAnsi="宋体" w:eastAsia="宋体" w:cs="宋体"/>
                <w:kern w:val="0"/>
                <w:szCs w:val="21"/>
                <w:highlight w:val="none"/>
              </w:rPr>
              <w:t>评标委员会</w:t>
            </w:r>
          </w:p>
        </w:tc>
        <w:tc>
          <w:tcPr>
            <w:tcW w:w="3362" w:type="pct"/>
            <w:vAlign w:val="center"/>
          </w:tcPr>
          <w:p w14:paraId="349FF93A">
            <w:pPr>
              <w:widowControl/>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人，其中</w:t>
            </w:r>
            <w:r>
              <w:rPr>
                <w:rFonts w:hint="eastAsia" w:ascii="宋体" w:hAnsi="宋体" w:cs="宋体"/>
                <w:szCs w:val="21"/>
                <w:highlight w:val="none"/>
                <w:lang w:eastAsia="zh-CN"/>
              </w:rPr>
              <w:t>采购人</w:t>
            </w:r>
            <w:r>
              <w:rPr>
                <w:rFonts w:hint="eastAsia" w:ascii="宋体" w:hAnsi="宋体" w:eastAsia="宋体" w:cs="宋体"/>
                <w:szCs w:val="21"/>
                <w:highlight w:val="none"/>
              </w:rPr>
              <w:t>代表</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人，专家</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人</w:t>
            </w:r>
          </w:p>
          <w:p w14:paraId="09F61CB4">
            <w:pPr>
              <w:widowControl/>
              <w:spacing w:line="400" w:lineRule="exact"/>
              <w:ind w:firstLine="210" w:firstLineChars="100"/>
              <w:rPr>
                <w:rFonts w:hint="eastAsia" w:ascii="宋体" w:hAnsi="宋体" w:eastAsia="宋体" w:cs="宋体"/>
                <w:szCs w:val="21"/>
                <w:highlight w:val="yellow"/>
              </w:rPr>
            </w:pPr>
            <w:r>
              <w:rPr>
                <w:rFonts w:hint="eastAsia" w:ascii="宋体" w:hAnsi="宋体" w:eastAsia="宋体" w:cs="宋体"/>
                <w:szCs w:val="21"/>
                <w:highlight w:val="none"/>
              </w:rPr>
              <w:t>评标专家从山西省政府采购专家库中随机抽取。</w:t>
            </w:r>
          </w:p>
        </w:tc>
      </w:tr>
      <w:tr w14:paraId="14A9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2E7D712F">
            <w:pPr>
              <w:widowControl/>
              <w:spacing w:line="400" w:lineRule="exact"/>
              <w:jc w:val="center"/>
              <w:rPr>
                <w:rFonts w:hint="eastAsia" w:ascii="宋体" w:hAnsi="宋体" w:eastAsia="宋体" w:cs="宋体"/>
                <w:szCs w:val="21"/>
              </w:rPr>
            </w:pPr>
            <w:r>
              <w:rPr>
                <w:rFonts w:hint="eastAsia" w:ascii="宋体" w:hAnsi="宋体" w:eastAsia="宋体" w:cs="宋体"/>
                <w:szCs w:val="21"/>
              </w:rPr>
              <w:t>20.2</w:t>
            </w:r>
          </w:p>
        </w:tc>
        <w:tc>
          <w:tcPr>
            <w:tcW w:w="1112" w:type="pct"/>
            <w:vAlign w:val="center"/>
          </w:tcPr>
          <w:p w14:paraId="51784908">
            <w:pPr>
              <w:widowControl/>
              <w:spacing w:line="400" w:lineRule="exact"/>
              <w:rPr>
                <w:rFonts w:hint="eastAsia" w:ascii="宋体" w:hAnsi="宋体" w:eastAsia="宋体" w:cs="宋体"/>
                <w:szCs w:val="21"/>
                <w:lang w:val="en-US" w:eastAsia="zh-CN"/>
              </w:rPr>
            </w:pPr>
            <w:r>
              <w:rPr>
                <w:rFonts w:hint="eastAsia" w:ascii="宋体" w:hAnsi="宋体" w:eastAsia="宋体" w:cs="宋体"/>
                <w:szCs w:val="21"/>
              </w:rPr>
              <w:t>是否授权评标委员会确定中标人</w:t>
            </w:r>
            <w:r>
              <w:rPr>
                <w:rFonts w:hint="eastAsia" w:ascii="宋体" w:hAnsi="宋体" w:eastAsia="宋体" w:cs="宋体"/>
                <w:szCs w:val="21"/>
                <w:lang w:val="en-US" w:eastAsia="zh-CN"/>
              </w:rPr>
              <w:t>及推荐中标候选人的数量</w:t>
            </w:r>
          </w:p>
        </w:tc>
        <w:tc>
          <w:tcPr>
            <w:tcW w:w="3362" w:type="pct"/>
            <w:vAlign w:val="center"/>
          </w:tcPr>
          <w:p w14:paraId="57095CDE">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是。采购人授权评标委员会直接确定中标人。</w:t>
            </w:r>
          </w:p>
          <w:p w14:paraId="133773B8">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推荐中标候选人的数量：/</w:t>
            </w:r>
          </w:p>
        </w:tc>
      </w:tr>
      <w:tr w14:paraId="2B99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7708BFC4">
            <w:pPr>
              <w:tabs>
                <w:tab w:val="left" w:pos="810"/>
              </w:tabs>
              <w:spacing w:line="400" w:lineRule="exact"/>
              <w:jc w:val="center"/>
              <w:rPr>
                <w:rFonts w:hint="eastAsia" w:ascii="宋体" w:hAnsi="宋体" w:eastAsia="宋体" w:cs="宋体"/>
                <w:szCs w:val="21"/>
              </w:rPr>
            </w:pPr>
            <w:r>
              <w:rPr>
                <w:rFonts w:hint="eastAsia" w:ascii="宋体" w:hAnsi="宋体" w:eastAsia="宋体" w:cs="宋体"/>
                <w:szCs w:val="21"/>
              </w:rPr>
              <w:t>25.4</w:t>
            </w:r>
          </w:p>
        </w:tc>
        <w:tc>
          <w:tcPr>
            <w:tcW w:w="1112" w:type="pct"/>
            <w:vAlign w:val="center"/>
          </w:tcPr>
          <w:p w14:paraId="749BB07B">
            <w:pPr>
              <w:tabs>
                <w:tab w:val="left" w:pos="810"/>
              </w:tabs>
              <w:spacing w:line="400" w:lineRule="exact"/>
              <w:rPr>
                <w:rFonts w:hint="eastAsia" w:ascii="宋体" w:hAnsi="宋体" w:eastAsia="宋体" w:cs="宋体"/>
                <w:szCs w:val="21"/>
                <w:lang w:eastAsia="zh-CN"/>
              </w:rPr>
            </w:pPr>
            <w:r>
              <w:rPr>
                <w:rFonts w:hint="eastAsia" w:ascii="宋体" w:hAnsi="宋体" w:cs="宋体"/>
                <w:szCs w:val="21"/>
                <w:lang w:eastAsia="zh-CN"/>
              </w:rPr>
              <w:t>履约保证金</w:t>
            </w:r>
          </w:p>
        </w:tc>
        <w:tc>
          <w:tcPr>
            <w:tcW w:w="3362" w:type="pct"/>
            <w:vAlign w:val="center"/>
          </w:tcPr>
          <w:p w14:paraId="1AD8E5F8">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履约保证金缴纳方式：签订合同前以银行转账、支票、汇票、本票或者金融机构、担保机构出具的保函等非现金形式向采购人提交合同总金额3%的履约保证金。</w:t>
            </w:r>
          </w:p>
          <w:p w14:paraId="5D33B107">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履约保证金退还的方式：退还履约保证金合同总金额的3%</w:t>
            </w:r>
          </w:p>
          <w:p w14:paraId="424E0C68">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退还条件：本合同硬件质保期及软件维保期届满后，且满足以下全部条件，采购人在确认硬件质保期及软件维保期届满、无任何未解决问题、资料齐全后的15个工作日内，无息退还履约保证金。</w:t>
            </w:r>
          </w:p>
          <w:p w14:paraId="71170ECF">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1.自《项目终验报告》签署之日起计算，开始进入硬件质保期和软件维保期；</w:t>
            </w:r>
          </w:p>
          <w:p w14:paraId="201DD4AB">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2.在硬件质保期和软件维保期内，供应商已按合同约定履行硬件质保义务和软件维保义务，及时处理项目出现的质量问题，无重大质量缺陷，或虽有轻微缺陷但已及时整改完毕，采购人无未解决的合理异议。</w:t>
            </w:r>
          </w:p>
          <w:p w14:paraId="6509ECF0">
            <w:pPr>
              <w:widowControl/>
              <w:spacing w:line="400" w:lineRule="exact"/>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备注：若在硬件质保期或软件维保期内出现质量问题，供应商未按约定及时整改或整改后仍未达标，采购人有权按照合同的约定要求供应商承担责任。</w:t>
            </w:r>
          </w:p>
        </w:tc>
      </w:tr>
      <w:tr w14:paraId="45C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9617306">
            <w:pPr>
              <w:tabs>
                <w:tab w:val="left" w:pos="810"/>
              </w:tabs>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26.1</w:t>
            </w:r>
          </w:p>
        </w:tc>
        <w:tc>
          <w:tcPr>
            <w:tcW w:w="1112" w:type="pct"/>
            <w:vAlign w:val="center"/>
          </w:tcPr>
          <w:p w14:paraId="787BC799">
            <w:pPr>
              <w:tabs>
                <w:tab w:val="left" w:pos="810"/>
              </w:tabs>
              <w:spacing w:line="400" w:lineRule="exact"/>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3362" w:type="pct"/>
            <w:vAlign w:val="center"/>
          </w:tcPr>
          <w:p w14:paraId="0113D916">
            <w:pPr>
              <w:tabs>
                <w:tab w:val="left" w:pos="810"/>
              </w:tabs>
              <w:spacing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不允许</w:t>
            </w:r>
          </w:p>
        </w:tc>
      </w:tr>
      <w:tr w14:paraId="7EC4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CAE118D">
            <w:pPr>
              <w:widowControl/>
              <w:spacing w:line="400" w:lineRule="exact"/>
              <w:jc w:val="center"/>
              <w:rPr>
                <w:rFonts w:hint="eastAsia" w:ascii="宋体" w:hAnsi="宋体" w:eastAsia="宋体" w:cs="宋体"/>
                <w:szCs w:val="21"/>
              </w:rPr>
            </w:pPr>
            <w:r>
              <w:rPr>
                <w:rFonts w:hint="eastAsia" w:ascii="宋体" w:hAnsi="宋体" w:eastAsia="宋体" w:cs="宋体"/>
                <w:szCs w:val="21"/>
              </w:rPr>
              <w:t>31</w:t>
            </w:r>
          </w:p>
        </w:tc>
        <w:tc>
          <w:tcPr>
            <w:tcW w:w="1112" w:type="pct"/>
            <w:vAlign w:val="center"/>
          </w:tcPr>
          <w:p w14:paraId="12523474">
            <w:pPr>
              <w:widowControl/>
              <w:spacing w:line="400" w:lineRule="exact"/>
              <w:rPr>
                <w:rFonts w:hint="eastAsia" w:ascii="宋体" w:hAnsi="宋体" w:eastAsia="宋体" w:cs="宋体"/>
                <w:szCs w:val="21"/>
              </w:rPr>
            </w:pPr>
            <w:r>
              <w:rPr>
                <w:rFonts w:hint="eastAsia" w:ascii="宋体" w:hAnsi="宋体" w:eastAsia="宋体" w:cs="宋体"/>
                <w:szCs w:val="21"/>
              </w:rPr>
              <w:t>政府采购相关</w:t>
            </w:r>
          </w:p>
          <w:p w14:paraId="2DC1406C">
            <w:pPr>
              <w:widowControl/>
              <w:spacing w:line="400" w:lineRule="exact"/>
              <w:rPr>
                <w:rFonts w:hint="eastAsia" w:ascii="宋体" w:hAnsi="宋体" w:eastAsia="宋体" w:cs="宋体"/>
                <w:szCs w:val="21"/>
                <w:lang w:eastAsia="zh-CN"/>
              </w:rPr>
            </w:pPr>
            <w:r>
              <w:rPr>
                <w:rFonts w:hint="eastAsia" w:ascii="宋体" w:hAnsi="宋体" w:eastAsia="宋体" w:cs="宋体"/>
                <w:szCs w:val="21"/>
              </w:rPr>
              <w:t>政策要求（如涉及）</w:t>
            </w:r>
          </w:p>
        </w:tc>
        <w:tc>
          <w:tcPr>
            <w:tcW w:w="3362" w:type="pct"/>
            <w:vAlign w:val="center"/>
          </w:tcPr>
          <w:p w14:paraId="5ED73005">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涉及进口产品的要求：</w:t>
            </w:r>
          </w:p>
          <w:p w14:paraId="4EDDD748">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20E494">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（1）本项目采购标的物未特别注明“进口产品”（通过中国海关报关验放进入中国境内且产自境外的产品）字样的，均必须采购国产产品。</w:t>
            </w:r>
          </w:p>
          <w:p w14:paraId="2EFFF9F5">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C7822F0">
            <w:pPr>
              <w:widowControl/>
              <w:spacing w:line="360" w:lineRule="auto"/>
              <w:ind w:firstLine="211" w:firstLineChars="100"/>
              <w:rPr>
                <w:rFonts w:hint="eastAsia" w:ascii="宋体" w:hAnsi="宋体" w:eastAsia="宋体" w:cs="宋体"/>
                <w:szCs w:val="21"/>
                <w:lang w:eastAsia="zh-CN"/>
              </w:rPr>
            </w:pPr>
            <w:r>
              <w:rPr>
                <w:rFonts w:hint="eastAsia" w:ascii="宋体" w:hAnsi="宋体" w:eastAsia="宋体" w:cs="宋体"/>
                <w:b/>
                <w:bCs/>
                <w:szCs w:val="21"/>
                <w:lang w:val="en-US" w:eastAsia="zh-CN"/>
              </w:rPr>
              <w:t>2.</w:t>
            </w:r>
            <w:r>
              <w:rPr>
                <w:rFonts w:hint="eastAsia" w:ascii="宋体" w:hAnsi="宋体" w:eastAsia="宋体" w:cs="宋体"/>
                <w:b/>
                <w:bCs/>
                <w:szCs w:val="21"/>
                <w:lang w:eastAsia="zh-CN"/>
              </w:rPr>
              <w:t>本国产品</w:t>
            </w:r>
            <w:r>
              <w:rPr>
                <w:rFonts w:hint="eastAsia" w:ascii="宋体" w:hAnsi="宋体" w:eastAsia="宋体" w:cs="宋体"/>
                <w:b/>
                <w:bCs/>
                <w:szCs w:val="21"/>
              </w:rPr>
              <w:t>的要求：</w:t>
            </w:r>
          </w:p>
          <w:p w14:paraId="781FD130">
            <w:pPr>
              <w:widowControl/>
              <w:spacing w:line="360" w:lineRule="auto"/>
              <w:ind w:firstLine="210" w:firstLineChars="100"/>
              <w:rPr>
                <w:rFonts w:hint="eastAsia" w:ascii="宋体" w:hAnsi="宋体" w:eastAsia="宋体" w:cs="宋体"/>
                <w:szCs w:val="21"/>
                <w:lang w:eastAsia="zh-CN"/>
              </w:rPr>
            </w:pPr>
            <w:bookmarkStart w:id="27" w:name="_Hlk217316762"/>
            <w:r>
              <w:rPr>
                <w:rFonts w:hint="eastAsia" w:ascii="宋体" w:hAnsi="宋体" w:eastAsia="宋体" w:cs="宋体"/>
                <w:szCs w:val="21"/>
                <w:lang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27"/>
            <w:r>
              <w:rPr>
                <w:rFonts w:hint="eastAsia" w:ascii="宋体" w:hAnsi="宋体" w:eastAsia="宋体" w:cs="宋体"/>
                <w:szCs w:val="21"/>
                <w:lang w:eastAsia="zh-CN"/>
              </w:rPr>
              <w:t>，落实本国产品标准。</w:t>
            </w:r>
          </w:p>
          <w:p w14:paraId="6A1B6D4E">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3.</w:t>
            </w:r>
            <w:r>
              <w:rPr>
                <w:rFonts w:hint="eastAsia" w:ascii="宋体" w:hAnsi="宋体" w:eastAsia="宋体" w:cs="宋体"/>
                <w:b/>
                <w:bCs/>
                <w:szCs w:val="21"/>
              </w:rPr>
              <w:t>涉及</w:t>
            </w:r>
            <w:r>
              <w:rPr>
                <w:rFonts w:hint="eastAsia" w:ascii="宋体" w:hAnsi="宋体" w:eastAsia="宋体" w:cs="宋体"/>
                <w:b/>
                <w:bCs/>
                <w:szCs w:val="21"/>
                <w:lang w:val="en-US" w:eastAsia="zh-CN"/>
              </w:rPr>
              <w:t>执行政府绿色采购政策</w:t>
            </w:r>
            <w:r>
              <w:rPr>
                <w:rFonts w:hint="eastAsia" w:ascii="宋体" w:hAnsi="宋体" w:eastAsia="宋体" w:cs="宋体"/>
                <w:b/>
                <w:bCs/>
                <w:szCs w:val="21"/>
              </w:rPr>
              <w:t>的要求：</w:t>
            </w:r>
          </w:p>
          <w:p w14:paraId="63577F7C">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（1）本文件列</w:t>
            </w:r>
            <w:r>
              <w:rPr>
                <w:rFonts w:hint="eastAsia" w:ascii="宋体" w:hAnsi="宋体" w:eastAsia="宋体" w:cs="宋体"/>
                <w:szCs w:val="21"/>
                <w:lang w:val="en-US" w:eastAsia="zh-CN"/>
              </w:rPr>
              <w:t>明的强制采购绿色产品标的物，</w:t>
            </w:r>
            <w:r>
              <w:rPr>
                <w:rFonts w:hint="eastAsia" w:ascii="宋体" w:hAnsi="宋体" w:eastAsia="宋体" w:cs="宋体"/>
                <w:szCs w:val="21"/>
              </w:rPr>
              <w:t>投标人必须投报“节能产品政府采购品目清单”</w:t>
            </w:r>
            <w:r>
              <w:rPr>
                <w:rFonts w:hint="eastAsia" w:ascii="宋体" w:hAnsi="宋体" w:eastAsia="宋体" w:cs="宋体"/>
                <w:szCs w:val="21"/>
                <w:lang w:val="en-US" w:eastAsia="zh-CN"/>
              </w:rPr>
              <w:t>中的强制节能</w:t>
            </w:r>
            <w:r>
              <w:rPr>
                <w:rFonts w:hint="eastAsia" w:ascii="宋体" w:hAnsi="宋体" w:eastAsia="宋体" w:cs="宋体"/>
                <w:szCs w:val="21"/>
              </w:rPr>
              <w:t>产品</w:t>
            </w:r>
            <w:r>
              <w:rPr>
                <w:rFonts w:hint="eastAsia" w:ascii="宋体" w:hAnsi="宋体" w:eastAsia="宋体" w:cs="宋体"/>
                <w:szCs w:val="21"/>
                <w:lang w:eastAsia="zh-CN"/>
              </w:rPr>
              <w:t>，</w:t>
            </w:r>
            <w:r>
              <w:rPr>
                <w:rFonts w:hint="eastAsia" w:ascii="宋体" w:hAnsi="宋体" w:eastAsia="宋体" w:cs="宋体"/>
                <w:szCs w:val="21"/>
                <w:lang w:val="en-US" w:eastAsia="zh-CN"/>
              </w:rPr>
              <w:t>同时</w:t>
            </w:r>
            <w:r>
              <w:rPr>
                <w:rFonts w:hint="eastAsia" w:ascii="宋体" w:hAnsi="宋体" w:eastAsia="宋体" w:cs="宋体"/>
                <w:szCs w:val="21"/>
              </w:rPr>
              <w:t>提供处于有效期之内的产品认证证书扫描件，并如实填写《</w:t>
            </w:r>
            <w:r>
              <w:rPr>
                <w:rFonts w:hint="eastAsia" w:ascii="宋体" w:hAnsi="宋体" w:eastAsia="宋体" w:cs="宋体"/>
                <w:szCs w:val="21"/>
                <w:lang w:val="en-US" w:eastAsia="zh-CN"/>
              </w:rPr>
              <w:t>政府强制采购产品明细表</w:t>
            </w:r>
            <w:r>
              <w:rPr>
                <w:rFonts w:hint="eastAsia" w:ascii="宋体" w:hAnsi="宋体" w:eastAsia="宋体" w:cs="宋体"/>
                <w:szCs w:val="21"/>
              </w:rPr>
              <w:t>》（</w:t>
            </w:r>
            <w:r>
              <w:rPr>
                <w:rFonts w:hint="eastAsia" w:ascii="宋体" w:hAnsi="宋体" w:eastAsia="宋体" w:cs="宋体"/>
                <w:szCs w:val="21"/>
                <w:lang w:eastAsia="zh-CN"/>
              </w:rPr>
              <w:t>格式见第六部分</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不接受非强制采购产品。</w:t>
            </w:r>
          </w:p>
          <w:p w14:paraId="38255FFD">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（2）本文件列</w:t>
            </w:r>
            <w:r>
              <w:rPr>
                <w:rFonts w:hint="eastAsia" w:ascii="宋体" w:hAnsi="宋体" w:eastAsia="宋体" w:cs="宋体"/>
                <w:szCs w:val="21"/>
                <w:lang w:val="en-US" w:eastAsia="zh-CN"/>
              </w:rPr>
              <w:t>明的优先采购的绿色产品标的物，</w:t>
            </w:r>
            <w:r>
              <w:rPr>
                <w:rFonts w:hint="eastAsia" w:ascii="宋体" w:hAnsi="宋体" w:eastAsia="宋体" w:cs="宋体"/>
                <w:szCs w:val="21"/>
              </w:rPr>
              <w:t>投标人</w:t>
            </w:r>
            <w:r>
              <w:rPr>
                <w:rFonts w:hint="eastAsia" w:ascii="宋体" w:hAnsi="宋体" w:eastAsia="宋体" w:cs="宋体"/>
                <w:szCs w:val="21"/>
                <w:lang w:val="en-US" w:eastAsia="zh-CN"/>
              </w:rPr>
              <w:t>可以投报</w:t>
            </w:r>
            <w:r>
              <w:rPr>
                <w:rFonts w:hint="eastAsia" w:ascii="宋体" w:hAnsi="宋体" w:eastAsia="宋体" w:cs="宋体"/>
                <w:szCs w:val="21"/>
              </w:rPr>
              <w:t>“节能产品政府采购品目清单”</w:t>
            </w:r>
            <w:r>
              <w:rPr>
                <w:rFonts w:hint="eastAsia" w:ascii="宋体" w:hAnsi="宋体" w:eastAsia="宋体" w:cs="宋体"/>
                <w:szCs w:val="21"/>
                <w:lang w:val="en-US" w:eastAsia="zh-CN"/>
              </w:rPr>
              <w:t>中的非强制类产品、“</w:t>
            </w:r>
            <w:r>
              <w:rPr>
                <w:rFonts w:hint="eastAsia" w:ascii="宋体" w:hAnsi="宋体" w:eastAsia="宋体" w:cs="宋体"/>
                <w:szCs w:val="21"/>
              </w:rPr>
              <w:t>环境标志产品政府采购品目清单”</w:t>
            </w:r>
            <w:r>
              <w:rPr>
                <w:rFonts w:hint="eastAsia" w:ascii="宋体" w:hAnsi="宋体" w:eastAsia="宋体" w:cs="宋体"/>
                <w:szCs w:val="21"/>
                <w:lang w:val="en-US" w:eastAsia="zh-CN"/>
              </w:rPr>
              <w:t>中</w:t>
            </w:r>
            <w:r>
              <w:rPr>
                <w:rFonts w:hint="eastAsia" w:ascii="宋体" w:hAnsi="宋体" w:eastAsia="宋体" w:cs="宋体"/>
                <w:szCs w:val="21"/>
              </w:rPr>
              <w:t>的产品</w:t>
            </w:r>
            <w:r>
              <w:rPr>
                <w:rFonts w:hint="eastAsia" w:ascii="宋体" w:hAnsi="宋体" w:eastAsia="宋体" w:cs="宋体"/>
                <w:szCs w:val="21"/>
                <w:lang w:eastAsia="zh-CN"/>
              </w:rPr>
              <w:t>，</w:t>
            </w:r>
            <w:r>
              <w:rPr>
                <w:rFonts w:hint="eastAsia" w:ascii="宋体" w:hAnsi="宋体" w:eastAsia="宋体" w:cs="宋体"/>
                <w:szCs w:val="21"/>
                <w:lang w:val="en-US" w:eastAsia="zh-CN"/>
              </w:rPr>
              <w:t>也可投报清单以外的产品。</w:t>
            </w:r>
          </w:p>
          <w:p w14:paraId="640396E7">
            <w:pPr>
              <w:widowControl/>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具体比例详见投标人须知前附表）。</w:t>
            </w:r>
          </w:p>
          <w:p w14:paraId="51DFE412">
            <w:pPr>
              <w:widowControl/>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（4）对中小微企业等主体,严格落实政府采购优惠政策,同时享受绿色采购政策的价格扣除等评审优惠措施,分别计算、叠加执行,叠加计算方式以财政主管部门相关政策文件为准。</w:t>
            </w:r>
          </w:p>
          <w:p w14:paraId="7E9A115F">
            <w:pPr>
              <w:widowControl/>
              <w:spacing w:line="360" w:lineRule="auto"/>
              <w:ind w:firstLine="211" w:firstLineChars="1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4.涉及绿色数据中心建设的要求：</w:t>
            </w:r>
          </w:p>
          <w:p w14:paraId="426A903C">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六部分。</w:t>
            </w:r>
          </w:p>
          <w:p w14:paraId="02AF0C3D">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5.</w:t>
            </w:r>
            <w:r>
              <w:rPr>
                <w:rFonts w:hint="eastAsia" w:ascii="宋体" w:hAnsi="宋体" w:eastAsia="宋体" w:cs="宋体"/>
                <w:b/>
                <w:bCs/>
                <w:szCs w:val="21"/>
              </w:rPr>
              <w:t>涉及正版软件的要求：</w:t>
            </w:r>
          </w:p>
          <w:p w14:paraId="43262862">
            <w:pPr>
              <w:widowControl/>
              <w:spacing w:line="360" w:lineRule="auto"/>
              <w:ind w:firstLine="210" w:firstLineChars="100"/>
              <w:rPr>
                <w:rFonts w:hint="eastAsia" w:ascii="宋体" w:hAnsi="宋体" w:eastAsia="宋体" w:cs="宋体"/>
                <w:b/>
                <w:bCs/>
                <w:szCs w:val="21"/>
              </w:rPr>
            </w:pPr>
            <w:r>
              <w:rPr>
                <w:rFonts w:hint="eastAsia" w:ascii="宋体" w:hAnsi="宋体" w:eastAsia="宋体" w:cs="宋体"/>
                <w:szCs w:val="21"/>
              </w:rPr>
              <w:t>本项目采购标的物涉及计算机产品或硬件产品内预装软件的，投标人须填写《正版软件承诺》（</w:t>
            </w:r>
            <w:r>
              <w:rPr>
                <w:rFonts w:hint="eastAsia" w:ascii="宋体" w:hAnsi="宋体" w:eastAsia="宋体" w:cs="宋体"/>
                <w:szCs w:val="21"/>
                <w:lang w:eastAsia="zh-CN"/>
              </w:rPr>
              <w:t>格式见第六部分</w:t>
            </w:r>
            <w:r>
              <w:rPr>
                <w:rFonts w:hint="eastAsia" w:ascii="宋体" w:hAnsi="宋体" w:eastAsia="宋体" w:cs="宋体"/>
                <w:szCs w:val="21"/>
              </w:rPr>
              <w:t>）</w:t>
            </w:r>
            <w:r>
              <w:rPr>
                <w:rFonts w:hint="eastAsia" w:ascii="宋体" w:hAnsi="宋体" w:eastAsia="宋体" w:cs="宋体"/>
                <w:b w:val="0"/>
                <w:bCs w:val="0"/>
                <w:szCs w:val="21"/>
              </w:rPr>
              <w:t>。</w:t>
            </w:r>
          </w:p>
          <w:p w14:paraId="059D21DC">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6.</w:t>
            </w:r>
            <w:r>
              <w:rPr>
                <w:rFonts w:hint="eastAsia" w:ascii="宋体" w:hAnsi="宋体" w:eastAsia="宋体" w:cs="宋体"/>
                <w:b/>
                <w:bCs/>
                <w:szCs w:val="21"/>
              </w:rPr>
              <w:t>涉及网络安全专用产品的要求：</w:t>
            </w:r>
          </w:p>
          <w:p w14:paraId="090F1BBD">
            <w:pPr>
              <w:widowControl/>
              <w:spacing w:line="360" w:lineRule="auto"/>
              <w:ind w:firstLine="210" w:firstLineChars="100"/>
              <w:rPr>
                <w:rFonts w:hint="eastAsia" w:ascii="宋体" w:hAnsi="宋体" w:eastAsia="宋体" w:cs="宋体"/>
                <w:szCs w:val="21"/>
                <w:lang w:val="en-US" w:eastAsia="zh-CN"/>
              </w:rPr>
            </w:pPr>
            <w:r>
              <w:rPr>
                <w:rFonts w:hint="eastAsia" w:ascii="宋体" w:hAnsi="宋体" w:cs="宋体"/>
                <w:szCs w:val="21"/>
                <w:lang w:eastAsia="zh-CN"/>
              </w:rPr>
              <w:t>投标产品中如含有工信部会同有关部门制定下发的《网络关键设备和网络安全专用产品目录》中的网络安全专用产品</w:t>
            </w:r>
            <w:r>
              <w:rPr>
                <w:rFonts w:hint="eastAsia" w:ascii="宋体" w:hAnsi="宋体" w:eastAsia="宋体" w:cs="宋体"/>
                <w:szCs w:val="21"/>
              </w:rPr>
              <w:t>，须</w:t>
            </w:r>
            <w:r>
              <w:rPr>
                <w:rFonts w:hint="eastAsia" w:ascii="宋体" w:hAnsi="宋体" w:cs="宋体"/>
                <w:szCs w:val="21"/>
                <w:lang w:eastAsia="zh-CN"/>
              </w:rPr>
              <w:t>提供</w:t>
            </w:r>
            <w:r>
              <w:rPr>
                <w:rFonts w:hint="eastAsia" w:ascii="宋体" w:hAnsi="宋体" w:eastAsia="宋体" w:cs="宋体"/>
                <w:szCs w:val="21"/>
              </w:rPr>
              <w:t>由具备资格的机构安全认证合格或者安全检测符合要求的有效</w:t>
            </w:r>
            <w:r>
              <w:rPr>
                <w:rFonts w:hint="eastAsia" w:ascii="宋体" w:hAnsi="宋体" w:eastAsia="宋体" w:cs="宋体"/>
                <w:szCs w:val="21"/>
                <w:lang w:val="en-US" w:eastAsia="zh-CN"/>
              </w:rPr>
              <w:t>证明材料</w:t>
            </w:r>
            <w:r>
              <w:rPr>
                <w:rFonts w:hint="eastAsia" w:ascii="宋体" w:hAnsi="宋体" w:eastAsia="宋体" w:cs="宋体"/>
                <w:szCs w:val="21"/>
              </w:rPr>
              <w:t>扫描件。</w:t>
            </w:r>
            <w:r>
              <w:rPr>
                <w:rFonts w:hint="eastAsia" w:ascii="宋体" w:hAnsi="宋体" w:eastAsia="宋体" w:cs="宋体"/>
                <w:szCs w:val="21"/>
                <w:lang w:eastAsia="zh-CN"/>
              </w:rPr>
              <w:t>（</w:t>
            </w:r>
            <w:r>
              <w:rPr>
                <w:rFonts w:hint="eastAsia" w:ascii="宋体" w:hAnsi="宋体" w:eastAsia="宋体" w:cs="宋体"/>
                <w:szCs w:val="21"/>
              </w:rPr>
              <w:t>具备资格的机构是指列入《承担网络关键设备和网络安全专用产品安全认证和安全检测任务机构名录》的机构</w:t>
            </w:r>
            <w:r>
              <w:rPr>
                <w:rFonts w:hint="eastAsia" w:ascii="宋体" w:hAnsi="宋体" w:eastAsia="宋体" w:cs="宋体"/>
                <w:szCs w:val="21"/>
                <w:lang w:eastAsia="zh-CN"/>
              </w:rPr>
              <w:t>）。</w:t>
            </w:r>
            <w:r>
              <w:rPr>
                <w:rFonts w:hint="eastAsia" w:ascii="宋体" w:hAnsi="宋体" w:eastAsia="宋体" w:cs="宋体"/>
                <w:szCs w:val="21"/>
                <w:lang w:val="en-US" w:eastAsia="zh-CN"/>
              </w:rPr>
              <w:t>详情</w:t>
            </w:r>
            <w:r>
              <w:rPr>
                <w:rFonts w:hint="eastAsia" w:ascii="宋体" w:hAnsi="宋体" w:cs="宋体"/>
                <w:szCs w:val="21"/>
                <w:lang w:val="en-US" w:eastAsia="zh-CN"/>
              </w:rPr>
              <w:t>参见</w:t>
            </w:r>
            <w:r>
              <w:rPr>
                <w:rFonts w:hint="eastAsia" w:ascii="宋体" w:hAnsi="宋体" w:eastAsia="宋体" w:cs="宋体"/>
                <w:szCs w:val="21"/>
                <w:lang w:val="en-US" w:eastAsia="zh-CN"/>
              </w:rPr>
              <w:t>国务院2023年第1号《</w:t>
            </w:r>
            <w:r>
              <w:rPr>
                <w:rFonts w:hint="eastAsia" w:ascii="宋体" w:hAnsi="宋体" w:eastAsia="宋体" w:cs="宋体"/>
                <w:szCs w:val="21"/>
              </w:rPr>
              <w:t>关于调整网络安全专用产品安全管理有关事项的公告</w:t>
            </w:r>
            <w:r>
              <w:rPr>
                <w:rFonts w:hint="eastAsia" w:ascii="宋体" w:hAnsi="宋体" w:eastAsia="宋体" w:cs="宋体"/>
                <w:szCs w:val="21"/>
                <w:lang w:val="en-US" w:eastAsia="zh-CN"/>
              </w:rPr>
              <w:t>》。</w:t>
            </w:r>
          </w:p>
          <w:p w14:paraId="345B61B2">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7.</w:t>
            </w:r>
            <w:r>
              <w:rPr>
                <w:rFonts w:hint="eastAsia" w:ascii="宋体" w:hAnsi="宋体" w:eastAsia="宋体" w:cs="宋体"/>
                <w:b/>
                <w:bCs/>
                <w:szCs w:val="21"/>
              </w:rPr>
              <w:t>涉及小型、微型企业参加投标的要求：</w:t>
            </w:r>
          </w:p>
          <w:p w14:paraId="0F22E57C">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Cs w:val="21"/>
                <w:lang w:val="en-US" w:eastAsia="zh-CN"/>
              </w:rPr>
              <w:t>中小</w:t>
            </w:r>
            <w:r>
              <w:rPr>
                <w:rFonts w:hint="eastAsia" w:ascii="宋体" w:hAnsi="宋体" w:eastAsia="宋体" w:cs="宋体"/>
                <w:szCs w:val="21"/>
              </w:rPr>
              <w:t>企业声明函》（</w:t>
            </w:r>
            <w:r>
              <w:rPr>
                <w:rFonts w:hint="eastAsia" w:ascii="宋体" w:hAnsi="宋体" w:eastAsia="宋体" w:cs="宋体"/>
                <w:szCs w:val="21"/>
                <w:lang w:eastAsia="zh-CN"/>
              </w:rPr>
              <w:t>格式见第六部分</w:t>
            </w:r>
            <w:r>
              <w:rPr>
                <w:rFonts w:hint="eastAsia" w:ascii="宋体" w:hAnsi="宋体" w:eastAsia="宋体" w:cs="宋体"/>
                <w:szCs w:val="21"/>
              </w:rPr>
              <w:t>）。</w:t>
            </w:r>
          </w:p>
          <w:p w14:paraId="50C3220B">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（2）小型、微型企业只有提供本企业制造的货物，或者提供其他小型、微企业制造的货物，享受投标货物的价格折扣。</w:t>
            </w:r>
          </w:p>
          <w:p w14:paraId="21D85BD5">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（3）小型、微型企业提供的货物既有中小企业制造货物，也有大型企业制造货物的，不享受价格折扣。</w:t>
            </w:r>
          </w:p>
          <w:p w14:paraId="025B297D">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szCs w:val="21"/>
                <w:lang w:val="en-US" w:eastAsia="zh-CN"/>
              </w:rPr>
              <w:t>其中联合体中小微企业需按采购文件格式要求，如实填写《中小企业声明函》</w:t>
            </w:r>
            <w:r>
              <w:rPr>
                <w:rFonts w:hint="eastAsia" w:ascii="宋体" w:hAnsi="宋体" w:eastAsia="宋体" w:cs="宋体"/>
                <w:szCs w:val="21"/>
              </w:rPr>
              <w:t>（</w:t>
            </w:r>
            <w:r>
              <w:rPr>
                <w:rFonts w:hint="eastAsia" w:ascii="宋体" w:hAnsi="宋体" w:eastAsia="宋体" w:cs="宋体"/>
                <w:szCs w:val="21"/>
                <w:lang w:eastAsia="zh-CN"/>
              </w:rPr>
              <w:t>格式见第六部分</w:t>
            </w:r>
            <w:r>
              <w:rPr>
                <w:rFonts w:hint="eastAsia" w:ascii="宋体" w:hAnsi="宋体" w:eastAsia="宋体" w:cs="宋体"/>
                <w:szCs w:val="21"/>
              </w:rPr>
              <w:t>）。</w:t>
            </w:r>
          </w:p>
          <w:p w14:paraId="65758FB5">
            <w:pPr>
              <w:widowControl/>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szCs w:val="21"/>
              </w:rPr>
              <w:t>（5）</w:t>
            </w:r>
            <w:r>
              <w:rPr>
                <w:rFonts w:hint="eastAsia" w:ascii="宋体" w:hAnsi="宋体" w:eastAsia="宋体" w:cs="宋体"/>
                <w:szCs w:val="21"/>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六部分）</w:t>
            </w:r>
          </w:p>
          <w:p w14:paraId="39AE2FCE">
            <w:pPr>
              <w:widowControl/>
              <w:spacing w:line="360" w:lineRule="auto"/>
              <w:ind w:firstLine="210" w:firstLineChars="1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lang w:eastAsia="zh-CN"/>
              </w:rPr>
              <w:t>）</w:t>
            </w:r>
            <w:r>
              <w:rPr>
                <w:rFonts w:hint="eastAsia" w:ascii="宋体" w:hAnsi="宋体" w:eastAsia="宋体" w:cs="宋体"/>
                <w:szCs w:val="21"/>
                <w:lang w:val="en-US" w:eastAsia="zh-CN"/>
              </w:rPr>
              <w:t>通过</w:t>
            </w:r>
            <w:r>
              <w:rPr>
                <w:rFonts w:hint="eastAsia" w:ascii="宋体" w:hAnsi="宋体" w:eastAsia="宋体" w:cs="宋体"/>
                <w:szCs w:val="21"/>
                <w:lang w:eastAsia="zh-CN"/>
              </w:rPr>
              <w:t>享受扶持政策、</w:t>
            </w:r>
            <w:r>
              <w:rPr>
                <w:rFonts w:hint="eastAsia" w:ascii="宋体" w:hAnsi="宋体" w:eastAsia="宋体" w:cs="宋体"/>
                <w:szCs w:val="21"/>
                <w:lang w:val="en-US" w:eastAsia="zh-CN"/>
              </w:rPr>
              <w:t>价格折扣并</w:t>
            </w:r>
            <w:r>
              <w:rPr>
                <w:rFonts w:hint="eastAsia" w:ascii="宋体" w:hAnsi="宋体" w:eastAsia="宋体" w:cs="宋体"/>
                <w:szCs w:val="21"/>
                <w:lang w:eastAsia="zh-CN"/>
              </w:rPr>
              <w:t>获得政府采购合同的：小微企业不得将合同分包给大中型企业；中型企业不得将合同分包给大型企业。</w:t>
            </w:r>
          </w:p>
          <w:p w14:paraId="406594AE">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宋体" w:hAnsi="宋体" w:eastAsia="宋体" w:cs="宋体"/>
                <w:szCs w:val="21"/>
              </w:rPr>
              <w:t>。</w:t>
            </w:r>
          </w:p>
          <w:p w14:paraId="730CA554">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8.</w:t>
            </w:r>
            <w:r>
              <w:rPr>
                <w:rFonts w:hint="eastAsia" w:ascii="宋体" w:hAnsi="宋体" w:eastAsia="宋体" w:cs="宋体"/>
                <w:b/>
                <w:bCs/>
                <w:szCs w:val="21"/>
              </w:rPr>
              <w:t>涉及残疾人福利性单位参加投标的要求：</w:t>
            </w:r>
          </w:p>
          <w:p w14:paraId="26CB801A">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（1）须根据财库〔2017〕141号《关于促进残疾人就业政府采购政策的通知》的要求，如实填写《残疾人福利性单位声明函》（</w:t>
            </w:r>
            <w:r>
              <w:rPr>
                <w:rFonts w:hint="eastAsia" w:ascii="宋体" w:hAnsi="宋体" w:eastAsia="宋体" w:cs="宋体"/>
                <w:szCs w:val="21"/>
                <w:lang w:eastAsia="zh-CN"/>
              </w:rPr>
              <w:t>格式见第六部分</w:t>
            </w:r>
            <w:r>
              <w:rPr>
                <w:rFonts w:hint="eastAsia" w:ascii="宋体" w:hAnsi="宋体" w:eastAsia="宋体" w:cs="宋体"/>
                <w:szCs w:val="21"/>
              </w:rPr>
              <w:t>）。</w:t>
            </w:r>
          </w:p>
          <w:p w14:paraId="654A2D74">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（2）残疾人福利性单位提供本企业制造的货物或者服务，或者提供其他残疾人福利性单位制造的货物或服务</w:t>
            </w:r>
            <w:r>
              <w:rPr>
                <w:rFonts w:hint="eastAsia" w:ascii="宋体" w:hAnsi="宋体" w:eastAsia="宋体" w:cs="宋体"/>
                <w:szCs w:val="21"/>
                <w:lang w:eastAsia="zh-CN"/>
              </w:rPr>
              <w:t>的</w:t>
            </w:r>
            <w:r>
              <w:rPr>
                <w:rFonts w:hint="eastAsia" w:ascii="宋体" w:hAnsi="宋体" w:eastAsia="宋体" w:cs="宋体"/>
                <w:szCs w:val="21"/>
              </w:rPr>
              <w:t>，</w:t>
            </w:r>
            <w:r>
              <w:rPr>
                <w:rFonts w:hint="eastAsia" w:ascii="宋体" w:hAnsi="宋体" w:eastAsia="宋体" w:cs="宋体"/>
                <w:szCs w:val="21"/>
                <w:lang w:val="en-US" w:eastAsia="zh-CN"/>
              </w:rPr>
              <w:t>视同小微企业，</w:t>
            </w:r>
            <w:r>
              <w:rPr>
                <w:rFonts w:hint="eastAsia" w:ascii="宋体" w:hAnsi="宋体" w:eastAsia="宋体" w:cs="宋体"/>
                <w:szCs w:val="21"/>
              </w:rPr>
              <w:t>享受投标货物或服务的价格折扣。</w:t>
            </w:r>
          </w:p>
          <w:p w14:paraId="57B77F17">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9.</w:t>
            </w:r>
            <w:r>
              <w:rPr>
                <w:rFonts w:hint="eastAsia" w:ascii="宋体" w:hAnsi="宋体" w:eastAsia="宋体" w:cs="宋体"/>
                <w:b/>
                <w:bCs/>
                <w:szCs w:val="21"/>
              </w:rPr>
              <w:t>涉及监狱企业参加投标的要求：</w:t>
            </w:r>
          </w:p>
          <w:p w14:paraId="6071F9A0">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（1）监狱企业参加投标视同小、微企业，需提供由省级以上监狱管理局或戒毒管理局出具的属于监狱企业的证明文件。</w:t>
            </w:r>
          </w:p>
          <w:p w14:paraId="6E78E1A9">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（2）监狱企业只有提供本企业制造的货物或服务，或者提供其他小、微企业制造的货物，享受投标货物的价格折扣。</w:t>
            </w:r>
          </w:p>
          <w:p w14:paraId="0BB21161">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rPr>
              <w:t>（3）监狱企业与中型企业组成联合体参加投标的，或者向监狱企业分包，且联合体协议或分包意向协议约定监狱企业的协议金额占到合同金额30%以上的，享受投标标的价格折扣，用扣除后的价格参与评审。</w:t>
            </w:r>
          </w:p>
          <w:p w14:paraId="02375803">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lang w:val="en-US" w:eastAsia="zh-CN"/>
              </w:rPr>
              <w:t>10.专门面向中小企业采购的项目，不重复执行中小企业发展、促进残疾人就业、支持监狱企业发展的价格优惠政策。</w:t>
            </w:r>
          </w:p>
          <w:p w14:paraId="197537CA">
            <w:pPr>
              <w:widowControl/>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szCs w:val="21"/>
                <w:lang w:val="en-US" w:eastAsia="zh-CN"/>
              </w:rPr>
              <w:t>1.</w:t>
            </w:r>
            <w:r>
              <w:rPr>
                <w:rFonts w:hint="eastAsia" w:ascii="宋体" w:hAnsi="宋体" w:eastAsia="宋体" w:cs="宋体"/>
                <w:b/>
                <w:bCs/>
                <w:szCs w:val="21"/>
              </w:rPr>
              <w:t>涉及商品包装和快递包装的要求：</w:t>
            </w:r>
          </w:p>
          <w:p w14:paraId="2FA8695F">
            <w:pPr>
              <w:widowControl/>
              <w:spacing w:line="360" w:lineRule="auto"/>
              <w:ind w:firstLine="210" w:firstLineChars="100"/>
              <w:rPr>
                <w:rFonts w:hint="eastAsia" w:ascii="宋体" w:hAnsi="宋体" w:eastAsia="宋体" w:cs="宋体"/>
                <w:szCs w:val="21"/>
              </w:rPr>
            </w:pPr>
            <w:r>
              <w:rPr>
                <w:rFonts w:hint="eastAsia" w:ascii="宋体" w:hAnsi="宋体" w:eastAsia="宋体" w:cs="宋体"/>
                <w:szCs w:val="21"/>
                <w:lang w:val="en-US" w:eastAsia="zh-CN"/>
              </w:rPr>
              <w:t>严格落实《商品包装政府采购需求标准（试行）》《快递包装政府采购需求标准（试行）》。</w:t>
            </w:r>
            <w:r>
              <w:rPr>
                <w:rFonts w:hint="eastAsia" w:ascii="宋体" w:hAnsi="宋体" w:eastAsia="宋体" w:cs="宋体"/>
                <w:szCs w:val="21"/>
              </w:rPr>
              <w:t>本项目涉及商品包装和快递包装要求的，投标人须填写《商品包装和快递包装承诺函》（</w:t>
            </w:r>
            <w:r>
              <w:rPr>
                <w:rFonts w:hint="eastAsia" w:ascii="宋体" w:hAnsi="宋体" w:eastAsia="宋体" w:cs="宋体"/>
                <w:szCs w:val="21"/>
                <w:lang w:eastAsia="zh-CN"/>
              </w:rPr>
              <w:t>格式见第六部分</w:t>
            </w:r>
            <w:r>
              <w:rPr>
                <w:rFonts w:hint="eastAsia" w:ascii="宋体" w:hAnsi="宋体" w:eastAsia="宋体" w:cs="宋体"/>
                <w:szCs w:val="21"/>
              </w:rPr>
              <w:t>）。</w:t>
            </w:r>
          </w:p>
          <w:p w14:paraId="18BBAFAD">
            <w:pPr>
              <w:widowControl/>
              <w:spacing w:line="360" w:lineRule="auto"/>
              <w:ind w:firstLine="211" w:firstLineChars="1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12.</w:t>
            </w:r>
            <w:r>
              <w:rPr>
                <w:rFonts w:hint="eastAsia" w:ascii="宋体" w:hAnsi="宋体" w:eastAsia="宋体" w:cs="宋体"/>
                <w:b/>
                <w:bCs/>
                <w:szCs w:val="21"/>
              </w:rPr>
              <w:t>涉及</w:t>
            </w:r>
            <w:r>
              <w:rPr>
                <w:rFonts w:hint="eastAsia" w:ascii="宋体" w:hAnsi="宋体" w:eastAsia="宋体" w:cs="宋体"/>
                <w:b/>
                <w:bCs/>
                <w:szCs w:val="21"/>
                <w:lang w:val="en-US" w:eastAsia="zh-CN"/>
              </w:rPr>
              <w:t>绿色建筑和绿色建材政府强制采购的要求：</w:t>
            </w:r>
          </w:p>
          <w:p w14:paraId="6BDA3C74">
            <w:pPr>
              <w:widowControl/>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1A9F7748">
            <w:pPr>
              <w:widowControl/>
              <w:spacing w:line="360" w:lineRule="auto"/>
              <w:ind w:firstLine="211" w:firstLineChars="1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13.本项目涉及创新产品、创新服务的要求：</w:t>
            </w:r>
          </w:p>
          <w:p w14:paraId="5699E4D1">
            <w:pPr>
              <w:widowControl/>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szCs w:val="21"/>
                <w:lang w:val="en-US" w:eastAsia="zh-CN"/>
              </w:rPr>
              <w:t>投标产品或服务属于《山西省创新产品和服务推荐清单》中创新产品或创新服务的，在评审中给予评审加分或价格折扣。</w:t>
            </w:r>
          </w:p>
        </w:tc>
      </w:tr>
      <w:tr w14:paraId="7E0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pct"/>
            <w:vAlign w:val="center"/>
          </w:tcPr>
          <w:p w14:paraId="0FAC86F7">
            <w:pPr>
              <w:widowControl/>
              <w:spacing w:line="400" w:lineRule="exact"/>
              <w:jc w:val="center"/>
              <w:rPr>
                <w:rFonts w:hint="eastAsia" w:ascii="宋体" w:hAnsi="宋体" w:eastAsia="宋体" w:cs="宋体"/>
                <w:szCs w:val="21"/>
              </w:rPr>
            </w:pPr>
            <w:r>
              <w:rPr>
                <w:rFonts w:hint="eastAsia" w:ascii="宋体" w:hAnsi="宋体" w:eastAsia="宋体" w:cs="宋体"/>
                <w:szCs w:val="21"/>
              </w:rPr>
              <w:t>32</w:t>
            </w:r>
          </w:p>
        </w:tc>
        <w:tc>
          <w:tcPr>
            <w:tcW w:w="1112" w:type="pct"/>
            <w:vAlign w:val="center"/>
          </w:tcPr>
          <w:p w14:paraId="37890C49">
            <w:pPr>
              <w:widowControl/>
              <w:spacing w:line="400" w:lineRule="exact"/>
              <w:rPr>
                <w:rFonts w:hint="eastAsia" w:ascii="宋体" w:hAnsi="宋体" w:eastAsia="宋体" w:cs="宋体"/>
                <w:szCs w:val="21"/>
              </w:rPr>
            </w:pPr>
            <w:r>
              <w:rPr>
                <w:rFonts w:hint="eastAsia" w:ascii="宋体" w:hAnsi="宋体" w:eastAsia="宋体" w:cs="宋体"/>
                <w:szCs w:val="21"/>
              </w:rPr>
              <w:t>需要补充的其他内容</w:t>
            </w:r>
          </w:p>
        </w:tc>
        <w:tc>
          <w:tcPr>
            <w:tcW w:w="3362" w:type="pct"/>
            <w:vAlign w:val="center"/>
          </w:tcPr>
          <w:p w14:paraId="74C78B1A">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1、全流程电子化采购</w:t>
            </w:r>
          </w:p>
          <w:p w14:paraId="620DBDD9">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⑴本项目采购以全流程电子方式实施，使用的电子交易平台是指：山西省政府采购网“山西政府采购平台”。</w:t>
            </w:r>
          </w:p>
          <w:p w14:paraId="73416E70">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⑵投标文件采用线上开标方式，投标人需使用编制投标文件时的CA数字证书，自行登录电子交易系统进行网上解密。在解密截止时间之内未完成解密的，视为无效。</w:t>
            </w:r>
          </w:p>
          <w:p w14:paraId="00FD89A7">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⑶采购过程中的澄清要求、澄清答复、投标文件修改撤回、询问、质疑等均在电子交易平台线上完成。投标人应及时查看电子交易平台有关该项目的答疑、补遗内容，否则，由此造成的损失自负。</w:t>
            </w:r>
          </w:p>
          <w:p w14:paraId="3DCD540D">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2、电子化采购项目视为串通情形的认定，执行《山西省财政厅关于全面推进政府采购全流程电子化工作的通知》（晋财购〔2023〕44 号）文件的规定。</w:t>
            </w:r>
          </w:p>
          <w:p w14:paraId="3554B6C2">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3.代理服务费</w:t>
            </w:r>
          </w:p>
          <w:p w14:paraId="5576DE5E">
            <w:pPr>
              <w:widowControl/>
              <w:spacing w:line="400" w:lineRule="exact"/>
              <w:ind w:firstLine="210" w:firstLineChars="100"/>
              <w:rPr>
                <w:rFonts w:hint="eastAsia" w:ascii="宋体" w:hAnsi="宋体" w:eastAsia="宋体" w:cs="宋体"/>
                <w:szCs w:val="21"/>
              </w:rPr>
            </w:pPr>
            <w:r>
              <w:rPr>
                <w:rFonts w:hint="eastAsia" w:ascii="宋体" w:hAnsi="宋体" w:eastAsia="宋体" w:cs="宋体"/>
                <w:szCs w:val="21"/>
              </w:rPr>
              <w:t>代理服务费计算公式：Q =（Ф1×1.5% +Ф2×0.8% +Ф3×0.45%+Ф4×0.25%）×70%。其中，Q为招标代理服务费；Ф1为</w:t>
            </w:r>
            <w:r>
              <w:rPr>
                <w:rFonts w:hint="eastAsia" w:ascii="宋体" w:hAnsi="宋体" w:cs="宋体"/>
                <w:szCs w:val="21"/>
                <w:lang w:eastAsia="zh-CN"/>
              </w:rPr>
              <w:t>中标金额</w:t>
            </w:r>
            <w:r>
              <w:rPr>
                <w:rFonts w:hint="eastAsia" w:ascii="宋体" w:hAnsi="宋体" w:eastAsia="宋体" w:cs="宋体"/>
                <w:szCs w:val="21"/>
              </w:rPr>
              <w:t>中1~100万元部分；Ф2为</w:t>
            </w:r>
            <w:r>
              <w:rPr>
                <w:rFonts w:hint="eastAsia" w:ascii="宋体" w:hAnsi="宋体" w:cs="宋体"/>
                <w:szCs w:val="21"/>
                <w:lang w:eastAsia="zh-CN"/>
              </w:rPr>
              <w:t>中标金额</w:t>
            </w:r>
            <w:r>
              <w:rPr>
                <w:rFonts w:hint="eastAsia" w:ascii="宋体" w:hAnsi="宋体" w:eastAsia="宋体" w:cs="宋体"/>
                <w:szCs w:val="21"/>
              </w:rPr>
              <w:t>中100~500万元部分；Ф3为</w:t>
            </w:r>
            <w:r>
              <w:rPr>
                <w:rFonts w:hint="eastAsia" w:ascii="宋体" w:hAnsi="宋体" w:cs="宋体"/>
                <w:szCs w:val="21"/>
                <w:lang w:eastAsia="zh-CN"/>
              </w:rPr>
              <w:t>中标金额</w:t>
            </w:r>
            <w:r>
              <w:rPr>
                <w:rFonts w:hint="eastAsia" w:ascii="宋体" w:hAnsi="宋体" w:eastAsia="宋体" w:cs="宋体"/>
                <w:szCs w:val="21"/>
              </w:rPr>
              <w:t>中500~1000万元部分；Ф4为</w:t>
            </w:r>
            <w:r>
              <w:rPr>
                <w:rFonts w:hint="eastAsia" w:ascii="宋体" w:hAnsi="宋体" w:cs="宋体"/>
                <w:szCs w:val="21"/>
                <w:lang w:eastAsia="zh-CN"/>
              </w:rPr>
              <w:t>中标金额</w:t>
            </w:r>
            <w:r>
              <w:rPr>
                <w:rFonts w:hint="eastAsia" w:ascii="宋体" w:hAnsi="宋体" w:eastAsia="宋体" w:cs="宋体"/>
                <w:szCs w:val="21"/>
              </w:rPr>
              <w:t>中1000~5000万元部分。取费基数为中标金额。</w:t>
            </w:r>
          </w:p>
        </w:tc>
      </w:tr>
    </w:tbl>
    <w:p w14:paraId="28817D07">
      <w:pPr>
        <w:pStyle w:val="16"/>
        <w:spacing w:after="120" w:line="500" w:lineRule="atLeast"/>
        <w:ind w:firstLine="102" w:firstLineChars="49"/>
        <w:jc w:val="left"/>
        <w:rPr>
          <w:rFonts w:hint="eastAsia" w:ascii="宋体" w:hAnsi="宋体" w:eastAsia="宋体" w:cs="宋体"/>
          <w:sz w:val="21"/>
          <w:szCs w:val="21"/>
        </w:rPr>
      </w:pPr>
      <w:r>
        <w:rPr>
          <w:rFonts w:hint="eastAsia" w:ascii="宋体" w:hAnsi="宋体" w:eastAsia="宋体" w:cs="宋体"/>
          <w:sz w:val="21"/>
          <w:szCs w:val="21"/>
        </w:rPr>
        <w:t>注：本表内容与投标人须知正文内容不一致的，以本表内容为准。</w:t>
      </w:r>
    </w:p>
    <w:p w14:paraId="5679DF65">
      <w:pPr>
        <w:pStyle w:val="16"/>
        <w:spacing w:after="120" w:line="500" w:lineRule="atLeast"/>
        <w:ind w:firstLine="102" w:firstLineChars="49"/>
        <w:rPr>
          <w:rFonts w:hint="eastAsia" w:ascii="宋体" w:hAnsi="宋体" w:eastAsia="宋体" w:cs="宋体"/>
          <w:b/>
          <w:bCs/>
          <w:kern w:val="0"/>
          <w:sz w:val="32"/>
          <w:szCs w:val="32"/>
        </w:rPr>
      </w:pPr>
      <w:r>
        <w:rPr>
          <w:rFonts w:hint="eastAsia" w:ascii="宋体" w:hAnsi="宋体" w:eastAsia="宋体" w:cs="宋体"/>
          <w:sz w:val="21"/>
          <w:szCs w:val="21"/>
        </w:rPr>
        <w:br w:type="page"/>
      </w:r>
      <w:bookmarkEnd w:id="26"/>
      <w:r>
        <w:rPr>
          <w:rFonts w:hint="eastAsia" w:ascii="宋体" w:hAnsi="宋体" w:eastAsia="宋体" w:cs="宋体"/>
          <w:b/>
          <w:bCs/>
          <w:kern w:val="0"/>
          <w:sz w:val="32"/>
          <w:szCs w:val="32"/>
        </w:rPr>
        <w:t>二、投标人须知正文</w:t>
      </w:r>
    </w:p>
    <w:p w14:paraId="40F5DDC4">
      <w:pPr>
        <w:pStyle w:val="4"/>
        <w:spacing w:before="0" w:after="0" w:line="360" w:lineRule="auto"/>
        <w:rPr>
          <w:rFonts w:hint="eastAsia" w:ascii="宋体" w:hAnsi="宋体" w:eastAsia="宋体" w:cs="宋体"/>
          <w:sz w:val="28"/>
          <w:szCs w:val="28"/>
        </w:rPr>
      </w:pPr>
      <w:bookmarkStart w:id="28" w:name="_Toc9294"/>
      <w:bookmarkStart w:id="29" w:name="_Toc5131"/>
      <w:bookmarkStart w:id="30" w:name="_Toc17441"/>
      <w:bookmarkStart w:id="31" w:name="_Toc257"/>
      <w:bookmarkStart w:id="32" w:name="_Toc175644026"/>
      <w:bookmarkStart w:id="33" w:name="_Toc326737319"/>
      <w:r>
        <w:rPr>
          <w:rFonts w:hint="eastAsia" w:ascii="宋体" w:hAnsi="宋体" w:eastAsia="宋体" w:cs="宋体"/>
          <w:sz w:val="28"/>
          <w:szCs w:val="28"/>
        </w:rPr>
        <w:t>（一）总则</w:t>
      </w:r>
      <w:bookmarkEnd w:id="28"/>
      <w:bookmarkEnd w:id="29"/>
      <w:bookmarkEnd w:id="30"/>
      <w:bookmarkEnd w:id="31"/>
    </w:p>
    <w:p w14:paraId="39BF4A18">
      <w:pPr>
        <w:tabs>
          <w:tab w:val="left" w:pos="737"/>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1.适用范围</w:t>
      </w:r>
    </w:p>
    <w:p w14:paraId="405FD6B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本招标文件适用于本次招标活动的全过程。</w:t>
      </w:r>
    </w:p>
    <w:p w14:paraId="320BC633">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2.定义</w:t>
      </w:r>
    </w:p>
    <w:p w14:paraId="36FB30E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w:t>
      </w:r>
      <w:r>
        <w:rPr>
          <w:rFonts w:hint="eastAsia" w:ascii="宋体" w:hAnsi="宋体" w:cs="宋体"/>
          <w:kern w:val="0"/>
          <w:sz w:val="24"/>
          <w:lang w:eastAsia="zh-CN"/>
        </w:rPr>
        <w:t>采购人、采购代理机构：指依法进行政府采购的国家机关、事业单位、团体组织，及其委托的采购代理机构。</w:t>
      </w:r>
    </w:p>
    <w:p w14:paraId="1E1D5269">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2</w:t>
      </w:r>
      <w:r>
        <w:rPr>
          <w:rFonts w:hint="eastAsia" w:ascii="宋体" w:hAnsi="宋体" w:eastAsia="宋体" w:cs="宋体"/>
          <w:kern w:val="0"/>
          <w:sz w:val="24"/>
        </w:rPr>
        <w:t>投标人（也称“供应商”、“申请人”）：指向采购人提供货物、工程或者服务的法人、其他组织或者自然人。</w:t>
      </w:r>
    </w:p>
    <w:p w14:paraId="1849767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3</w:t>
      </w:r>
      <w:r>
        <w:rPr>
          <w:rFonts w:hint="eastAsia" w:ascii="宋体" w:hAnsi="宋体" w:eastAsia="宋体" w:cs="宋体"/>
          <w:kern w:val="0"/>
          <w:sz w:val="24"/>
        </w:rPr>
        <w:t>货物指投标人按招标文件的规定，须向</w:t>
      </w:r>
      <w:r>
        <w:rPr>
          <w:rFonts w:hint="eastAsia" w:ascii="宋体" w:hAnsi="宋体" w:cs="宋体"/>
          <w:kern w:val="0"/>
          <w:sz w:val="24"/>
          <w:lang w:eastAsia="zh-CN"/>
        </w:rPr>
        <w:t>采购人</w:t>
      </w:r>
      <w:r>
        <w:rPr>
          <w:rFonts w:hint="eastAsia" w:ascii="宋体" w:hAnsi="宋体" w:eastAsia="宋体" w:cs="宋体"/>
          <w:kern w:val="0"/>
          <w:sz w:val="24"/>
        </w:rPr>
        <w:t>提供的各种形态和种类的物品及其它有关技术资料和材料。</w:t>
      </w:r>
    </w:p>
    <w:p w14:paraId="7B420D9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4</w:t>
      </w:r>
      <w:r>
        <w:rPr>
          <w:rFonts w:hint="eastAsia" w:ascii="宋体" w:hAnsi="宋体" w:eastAsia="宋体" w:cs="宋体"/>
          <w:kern w:val="0"/>
          <w:sz w:val="24"/>
        </w:rPr>
        <w:t>服务指招标文件规定的投标人须向</w:t>
      </w:r>
      <w:r>
        <w:rPr>
          <w:rFonts w:hint="eastAsia" w:ascii="宋体" w:hAnsi="宋体" w:cs="宋体"/>
          <w:kern w:val="0"/>
          <w:sz w:val="24"/>
          <w:lang w:eastAsia="zh-CN"/>
        </w:rPr>
        <w:t>采购人</w:t>
      </w:r>
      <w:r>
        <w:rPr>
          <w:rFonts w:hint="eastAsia" w:ascii="宋体" w:hAnsi="宋体" w:eastAsia="宋体" w:cs="宋体"/>
          <w:kern w:val="0"/>
          <w:sz w:val="24"/>
        </w:rPr>
        <w:t>提供的服务和应当履行的承诺和义务。</w:t>
      </w:r>
    </w:p>
    <w:p w14:paraId="2E88ED68">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3.合格投标人的条件</w:t>
      </w:r>
    </w:p>
    <w:p w14:paraId="3AA78ABC">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3.1投标人应具备《中华人民共和国政府采购法》和投标人须知前附表规定的资格条件。</w:t>
      </w:r>
    </w:p>
    <w:p w14:paraId="6DB1DACB">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3.2投标人必须是已在中国境内依法登记注册，并持有符合法律法规规定的有效证件，在资金、经验、人员等方面有能力保证本项目的实施及承担过程中可能的风险和赔偿责任。如为法人或非法人组织，其证件上载明的营业期限剩余时间应当不少于本次采购的相关合同基本义务履行所需期限，或已经提供相关证明材料能够证明具有履约能力。</w:t>
      </w:r>
    </w:p>
    <w:p w14:paraId="5E4C485D">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3.3投标人应独立于</w:t>
      </w:r>
      <w:r>
        <w:rPr>
          <w:rFonts w:hint="eastAsia" w:ascii="宋体" w:hAnsi="宋体" w:cs="宋体"/>
          <w:kern w:val="0"/>
          <w:sz w:val="24"/>
          <w:lang w:eastAsia="zh-CN"/>
        </w:rPr>
        <w:t>采购人</w:t>
      </w:r>
      <w:r>
        <w:rPr>
          <w:rFonts w:hint="eastAsia" w:ascii="宋体" w:hAnsi="宋体" w:eastAsia="宋体" w:cs="宋体"/>
          <w:kern w:val="0"/>
          <w:sz w:val="24"/>
        </w:rPr>
        <w:t>。</w:t>
      </w:r>
    </w:p>
    <w:p w14:paraId="2F0678C4">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3.4为本项目提供整体设计、规范编制或者项目管理、监理、检测等服务的投标人，不得再参加本项目的投标。</w:t>
      </w:r>
    </w:p>
    <w:p w14:paraId="6A19D22B">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3.5单位负责人为同一人或者存在控股、管理关系的不同投标人，不得同时参加本项目同一包的投标。</w:t>
      </w:r>
    </w:p>
    <w:p w14:paraId="56301886">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3.6在投标文件递交截止时间前，投标人如列入失信被执行人、重大税收违法失信主体、政府采购严重违法失信行为记录名单，将被拒绝其参与政府采购活动。</w:t>
      </w:r>
    </w:p>
    <w:p w14:paraId="0DEE8A5A">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两个以上的自然人、法人或者非法人组织组成一个联合体，以一个投标人的身份共同参加政府采购活动的，对所有联合体成员进行信用记录查询，联合体成员存在不良信用记录的，视同联合体存在不良信用记录。</w:t>
      </w:r>
    </w:p>
    <w:p w14:paraId="0F854D96">
      <w:pPr>
        <w:tabs>
          <w:tab w:val="left" w:pos="0"/>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上述信息以信用中国、中国政府采购网网站查询结果为准。</w:t>
      </w:r>
    </w:p>
    <w:p w14:paraId="0ABBF5D5">
      <w:pPr>
        <w:tabs>
          <w:tab w:val="left" w:pos="0"/>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3.7对投标人的其他要求详见投标人须知前附表。</w:t>
      </w:r>
    </w:p>
    <w:p w14:paraId="4363F228">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4.投标费用</w:t>
      </w:r>
    </w:p>
    <w:p w14:paraId="38EB9B7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投标人应承担所有与准备和参加投标有关的费用，</w:t>
      </w:r>
      <w:r>
        <w:rPr>
          <w:rFonts w:hint="eastAsia" w:ascii="宋体" w:hAnsi="宋体" w:cs="宋体"/>
          <w:kern w:val="0"/>
          <w:sz w:val="24"/>
          <w:lang w:eastAsia="zh-CN"/>
        </w:rPr>
        <w:t>采购代理机构</w:t>
      </w:r>
      <w:r>
        <w:rPr>
          <w:rFonts w:hint="eastAsia" w:ascii="宋体" w:hAnsi="宋体" w:eastAsia="宋体" w:cs="宋体"/>
          <w:kern w:val="0"/>
          <w:sz w:val="24"/>
        </w:rPr>
        <w:t>和</w:t>
      </w:r>
      <w:r>
        <w:rPr>
          <w:rFonts w:hint="eastAsia" w:ascii="宋体" w:hAnsi="宋体" w:cs="宋体"/>
          <w:kern w:val="0"/>
          <w:sz w:val="24"/>
          <w:lang w:eastAsia="zh-CN"/>
        </w:rPr>
        <w:t>采购人</w:t>
      </w:r>
      <w:r>
        <w:rPr>
          <w:rFonts w:hint="eastAsia" w:ascii="宋体" w:hAnsi="宋体" w:eastAsia="宋体" w:cs="宋体"/>
          <w:kern w:val="0"/>
          <w:sz w:val="24"/>
        </w:rPr>
        <w:t>在任何情况下均无义务和责任承担这些费用。</w:t>
      </w:r>
    </w:p>
    <w:p w14:paraId="557C3ACA">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5.知识产权</w:t>
      </w:r>
    </w:p>
    <w:p w14:paraId="5FB4E0F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5.1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w:t>
      </w:r>
    </w:p>
    <w:p w14:paraId="2828ED2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5.2除非招标文件特别规定，</w:t>
      </w:r>
      <w:r>
        <w:rPr>
          <w:rFonts w:hint="eastAsia" w:ascii="宋体" w:hAnsi="宋体" w:cs="宋体"/>
          <w:kern w:val="0"/>
          <w:sz w:val="24"/>
          <w:lang w:eastAsia="zh-CN"/>
        </w:rPr>
        <w:t>采购人</w:t>
      </w:r>
      <w:r>
        <w:rPr>
          <w:rFonts w:hint="eastAsia" w:ascii="宋体" w:hAnsi="宋体" w:eastAsia="宋体" w:cs="宋体"/>
          <w:kern w:val="0"/>
          <w:sz w:val="24"/>
        </w:rPr>
        <w:t>享有本项目实施过程中产生的知识成果及知识产权。</w:t>
      </w:r>
    </w:p>
    <w:p w14:paraId="6AEAE3C5">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5.3投标人将在采购项目实施过程中采用自有或者第三方知识成果的，使用该知识成果后，投标人需提供开发接口和开发手册等技术资料，并承诺提供无限期支持，</w:t>
      </w:r>
      <w:r>
        <w:rPr>
          <w:rFonts w:hint="eastAsia" w:ascii="宋体" w:hAnsi="宋体" w:cs="宋体"/>
          <w:kern w:val="0"/>
          <w:sz w:val="24"/>
          <w:lang w:eastAsia="zh-CN"/>
        </w:rPr>
        <w:t>采购人</w:t>
      </w:r>
      <w:r>
        <w:rPr>
          <w:rFonts w:hint="eastAsia" w:ascii="宋体" w:hAnsi="宋体" w:eastAsia="宋体" w:cs="宋体"/>
          <w:kern w:val="0"/>
          <w:sz w:val="24"/>
        </w:rPr>
        <w:t>享有使用权（含</w:t>
      </w:r>
      <w:r>
        <w:rPr>
          <w:rFonts w:hint="eastAsia" w:ascii="宋体" w:hAnsi="宋体" w:cs="宋体"/>
          <w:kern w:val="0"/>
          <w:sz w:val="24"/>
          <w:lang w:eastAsia="zh-CN"/>
        </w:rPr>
        <w:t>采购人</w:t>
      </w:r>
      <w:r>
        <w:rPr>
          <w:rFonts w:hint="eastAsia" w:ascii="宋体" w:hAnsi="宋体" w:eastAsia="宋体" w:cs="宋体"/>
          <w:kern w:val="0"/>
          <w:sz w:val="24"/>
        </w:rPr>
        <w:t>委托第三方在该项目后续开发的使用权）。</w:t>
      </w:r>
    </w:p>
    <w:p w14:paraId="5F9BC2B1">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5.4如采用投标人所不拥有的知识产权，则在报价中必须包括合法获取使用该知识产权的相关费用。</w:t>
      </w:r>
    </w:p>
    <w:p w14:paraId="49D67465">
      <w:pPr>
        <w:pStyle w:val="4"/>
        <w:spacing w:before="0" w:after="0" w:line="360" w:lineRule="auto"/>
        <w:rPr>
          <w:rFonts w:hint="eastAsia" w:ascii="宋体" w:hAnsi="宋体" w:eastAsia="宋体" w:cs="宋体"/>
          <w:sz w:val="28"/>
          <w:szCs w:val="28"/>
        </w:rPr>
      </w:pPr>
      <w:bookmarkStart w:id="34" w:name="_Toc30974"/>
      <w:bookmarkStart w:id="35" w:name="_Toc28156"/>
      <w:bookmarkStart w:id="36" w:name="_Toc14765"/>
      <w:bookmarkStart w:id="37" w:name="_Toc30593"/>
      <w:r>
        <w:rPr>
          <w:rFonts w:hint="eastAsia" w:ascii="宋体" w:hAnsi="宋体" w:eastAsia="宋体" w:cs="宋体"/>
          <w:sz w:val="28"/>
          <w:szCs w:val="28"/>
        </w:rPr>
        <w:t>（二）招标文件</w:t>
      </w:r>
      <w:bookmarkEnd w:id="34"/>
      <w:bookmarkEnd w:id="35"/>
      <w:bookmarkEnd w:id="36"/>
      <w:bookmarkEnd w:id="37"/>
    </w:p>
    <w:p w14:paraId="4BD0C529">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6.招标文件的构成</w:t>
      </w:r>
    </w:p>
    <w:p w14:paraId="55DDC154">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6.1招标文件由下列</w:t>
      </w:r>
      <w:r>
        <w:rPr>
          <w:rFonts w:hint="eastAsia" w:ascii="宋体" w:hAnsi="宋体" w:eastAsia="宋体" w:cs="宋体"/>
          <w:b/>
          <w:kern w:val="0"/>
          <w:sz w:val="24"/>
        </w:rPr>
        <w:t>六部分</w:t>
      </w:r>
      <w:r>
        <w:rPr>
          <w:rFonts w:hint="eastAsia" w:ascii="宋体" w:hAnsi="宋体" w:eastAsia="宋体" w:cs="宋体"/>
          <w:kern w:val="0"/>
          <w:sz w:val="24"/>
        </w:rPr>
        <w:t>内容组成：</w:t>
      </w:r>
    </w:p>
    <w:p w14:paraId="1FABE8FB">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第一部分  招标公告；</w:t>
      </w:r>
    </w:p>
    <w:p w14:paraId="4162B1F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第二部分  投标人须知；</w:t>
      </w:r>
    </w:p>
    <w:p w14:paraId="1B55BEC8">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第三部分  评标办法；</w:t>
      </w:r>
    </w:p>
    <w:p w14:paraId="2C01E33C">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第四部分  商务、技术要求；</w:t>
      </w:r>
    </w:p>
    <w:p w14:paraId="13BE3A7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第五部分  合同原则；</w:t>
      </w:r>
    </w:p>
    <w:p w14:paraId="4A4AA1DD">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第六部分  投标文件格式。</w:t>
      </w:r>
    </w:p>
    <w:p w14:paraId="5AD710E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6.2投标人应认真阅读招标文件中所有的条款、格式和技术商务要求等内容。投标人没有按照招标文件要求提交全部资料，或者投标文件未对招标文件做出实质性响应是投标人的风险，有可能导致其投标被拒绝或被认定为无效投标。</w:t>
      </w:r>
    </w:p>
    <w:p w14:paraId="06C32E3E">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6.3除非特殊要求，招标文件不单独提供招标项目使用地的自然环境、气候条件、公用设施等情况，投标人被视为熟悉上述与履行合同有关的一切情况。</w:t>
      </w:r>
    </w:p>
    <w:p w14:paraId="06966B11">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6.4招标文件未作须知明示，而又有法律、法规、规章、强制性标准规定的，对此将依据上述规定进行解释执行。</w:t>
      </w:r>
    </w:p>
    <w:p w14:paraId="583F59C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6.5招标文件的解释权归</w:t>
      </w:r>
      <w:r>
        <w:rPr>
          <w:rFonts w:hint="eastAsia" w:ascii="宋体" w:hAnsi="宋体" w:cs="宋体"/>
          <w:kern w:val="0"/>
          <w:sz w:val="24"/>
          <w:lang w:eastAsia="zh-CN"/>
        </w:rPr>
        <w:t>采购人</w:t>
      </w:r>
      <w:r>
        <w:rPr>
          <w:rFonts w:hint="eastAsia" w:ascii="宋体" w:hAnsi="宋体" w:eastAsia="宋体" w:cs="宋体"/>
          <w:kern w:val="0"/>
          <w:sz w:val="24"/>
        </w:rPr>
        <w:t>负责。</w:t>
      </w:r>
    </w:p>
    <w:p w14:paraId="14BDE658">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7.招标文件的澄清和修改</w:t>
      </w:r>
    </w:p>
    <w:p w14:paraId="5FEA3669">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7.1任何按照规定获取了招标文件的潜在投标人，认为需要对招标文件进行澄清或者修改的，可以按招标公告中的联系</w:t>
      </w:r>
      <w:r>
        <w:rPr>
          <w:rFonts w:hint="eastAsia" w:ascii="宋体" w:hAnsi="宋体" w:cs="宋体"/>
          <w:kern w:val="0"/>
          <w:sz w:val="24"/>
          <w:lang w:val="en-US" w:eastAsia="zh-CN"/>
        </w:rPr>
        <w:t>方式</w:t>
      </w:r>
      <w:r>
        <w:rPr>
          <w:rFonts w:hint="eastAsia" w:ascii="宋体" w:hAnsi="宋体" w:eastAsia="宋体" w:cs="宋体"/>
          <w:kern w:val="0"/>
          <w:sz w:val="24"/>
        </w:rPr>
        <w:t>向</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提出书面申请。由</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决定是否采纳投标人的申请事项。</w:t>
      </w:r>
    </w:p>
    <w:p w14:paraId="1751FB7A">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7.2</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对已发出的招标文件进行澄清或者修改，应当以书面形式将澄清或者修改的内容通知所有按照规定获取了招标文件的投标人，同时在招标公告发布媒介发布补充/变更公告，该澄清或者修改的内容为招标文件的组成部分。澄清或者修改的内容可能影响投标文件编制的，</w:t>
      </w:r>
      <w:r>
        <w:rPr>
          <w:rFonts w:hint="eastAsia" w:ascii="宋体" w:hAnsi="宋体" w:cs="宋体"/>
          <w:kern w:val="0"/>
          <w:sz w:val="24"/>
          <w:lang w:eastAsia="zh-CN"/>
        </w:rPr>
        <w:t>采购人</w:t>
      </w:r>
      <w:r>
        <w:rPr>
          <w:rFonts w:hint="eastAsia" w:ascii="宋体" w:hAnsi="宋体" w:eastAsia="宋体" w:cs="宋体"/>
          <w:kern w:val="0"/>
          <w:sz w:val="24"/>
        </w:rPr>
        <w:t>或者</w:t>
      </w:r>
      <w:r>
        <w:rPr>
          <w:rFonts w:hint="eastAsia" w:ascii="宋体" w:hAnsi="宋体" w:cs="宋体"/>
          <w:kern w:val="0"/>
          <w:sz w:val="24"/>
          <w:lang w:eastAsia="zh-CN"/>
        </w:rPr>
        <w:t>采购代理机构</w:t>
      </w:r>
      <w:r>
        <w:rPr>
          <w:rFonts w:hint="eastAsia" w:ascii="宋体" w:hAnsi="宋体" w:eastAsia="宋体" w:cs="宋体"/>
          <w:kern w:val="0"/>
          <w:sz w:val="24"/>
        </w:rPr>
        <w:t>应当在投标截止时间至少15日前，以书面形式通知所有获取招标文件的潜在投标人；不足15日的，</w:t>
      </w:r>
      <w:r>
        <w:rPr>
          <w:rFonts w:hint="eastAsia" w:ascii="宋体" w:hAnsi="宋体" w:cs="宋体"/>
          <w:kern w:val="0"/>
          <w:sz w:val="24"/>
          <w:lang w:eastAsia="zh-CN"/>
        </w:rPr>
        <w:t>采购人</w:t>
      </w:r>
      <w:r>
        <w:rPr>
          <w:rFonts w:hint="eastAsia" w:ascii="宋体" w:hAnsi="宋体" w:eastAsia="宋体" w:cs="宋体"/>
          <w:kern w:val="0"/>
          <w:sz w:val="24"/>
        </w:rPr>
        <w:t>或者</w:t>
      </w:r>
      <w:r>
        <w:rPr>
          <w:rFonts w:hint="eastAsia" w:ascii="宋体" w:hAnsi="宋体" w:cs="宋体"/>
          <w:kern w:val="0"/>
          <w:sz w:val="24"/>
          <w:lang w:eastAsia="zh-CN"/>
        </w:rPr>
        <w:t>采购代理机构</w:t>
      </w:r>
      <w:r>
        <w:rPr>
          <w:rFonts w:hint="eastAsia" w:ascii="宋体" w:hAnsi="宋体" w:eastAsia="宋体" w:cs="宋体"/>
          <w:kern w:val="0"/>
          <w:sz w:val="24"/>
        </w:rPr>
        <w:t>应当顺延提交投标文件的截止时间。</w:t>
      </w:r>
    </w:p>
    <w:p w14:paraId="6BA44BE2">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7.3</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将按投标人须知前附表的规定，组织所有按照规定获取了招标文件的潜在投标人踏勘现场或召开标前会。</w:t>
      </w:r>
    </w:p>
    <w:p w14:paraId="18A1071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投标人踏勘现场发生的费用自理。投标人自行负责在踏勘现场中所发生的人员伤亡和财产损失。</w:t>
      </w:r>
    </w:p>
    <w:p w14:paraId="79CF2CF1">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无论</w:t>
      </w:r>
      <w:r>
        <w:rPr>
          <w:rFonts w:hint="eastAsia" w:ascii="宋体" w:hAnsi="宋体" w:cs="宋体"/>
          <w:kern w:val="0"/>
          <w:sz w:val="24"/>
          <w:lang w:eastAsia="zh-CN"/>
        </w:rPr>
        <w:t>采购代理机构</w:t>
      </w:r>
      <w:r>
        <w:rPr>
          <w:rFonts w:hint="eastAsia" w:ascii="宋体" w:hAnsi="宋体" w:eastAsia="宋体" w:cs="宋体"/>
          <w:kern w:val="0"/>
          <w:sz w:val="24"/>
        </w:rPr>
        <w:t>或</w:t>
      </w:r>
      <w:r>
        <w:rPr>
          <w:rFonts w:hint="eastAsia" w:ascii="宋体" w:hAnsi="宋体" w:cs="宋体"/>
          <w:kern w:val="0"/>
          <w:sz w:val="24"/>
          <w:lang w:eastAsia="zh-CN"/>
        </w:rPr>
        <w:t>采购人</w:t>
      </w:r>
      <w:r>
        <w:rPr>
          <w:rFonts w:hint="eastAsia" w:ascii="宋体" w:hAnsi="宋体" w:eastAsia="宋体" w:cs="宋体"/>
          <w:kern w:val="0"/>
          <w:sz w:val="24"/>
        </w:rPr>
        <w:t>是否安排踏勘现场，投标人均应将相关的因素作为编制投标文件时的参考，</w:t>
      </w:r>
      <w:r>
        <w:rPr>
          <w:rFonts w:hint="eastAsia" w:ascii="宋体" w:hAnsi="宋体" w:cs="宋体"/>
          <w:kern w:val="0"/>
          <w:sz w:val="24"/>
          <w:lang w:eastAsia="zh-CN"/>
        </w:rPr>
        <w:t>采购人</w:t>
      </w:r>
      <w:r>
        <w:rPr>
          <w:rFonts w:hint="eastAsia" w:ascii="宋体" w:hAnsi="宋体" w:eastAsia="宋体" w:cs="宋体"/>
          <w:kern w:val="0"/>
          <w:sz w:val="24"/>
        </w:rPr>
        <w:t>不对投标人据此作出的判断和决策负责。</w:t>
      </w:r>
    </w:p>
    <w:p w14:paraId="71B4815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由于未参加现场</w:t>
      </w:r>
      <w:r>
        <w:rPr>
          <w:rFonts w:hint="eastAsia" w:ascii="宋体" w:hAnsi="宋体" w:cs="宋体"/>
          <w:kern w:val="0"/>
          <w:sz w:val="24"/>
          <w:lang w:val="en-US" w:eastAsia="zh-CN"/>
        </w:rPr>
        <w:t>踏勘</w:t>
      </w:r>
      <w:r>
        <w:rPr>
          <w:rFonts w:hint="eastAsia" w:ascii="宋体" w:hAnsi="宋体" w:eastAsia="宋体" w:cs="宋体"/>
          <w:kern w:val="0"/>
          <w:sz w:val="24"/>
        </w:rPr>
        <w:t>或开标前答疑会而导致对项目实际情况不了解，影响投标文件编制、投标报价准确性、综合因素响应不全面等问题的，由投标人自行承担不利评审后果。</w:t>
      </w:r>
    </w:p>
    <w:p w14:paraId="0E026EF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7.4自获取招标文件之日起，投标人应保证其提供的通讯手段（电话、传真、联系人、电子邮箱）一直有效，以保证有关函件（补遗书、澄清函等）能及时通知投标人，并能及时反馈信息，否则由此引起的一切后果由投标人承担。</w:t>
      </w:r>
    </w:p>
    <w:p w14:paraId="7126B210">
      <w:pPr>
        <w:pStyle w:val="4"/>
        <w:spacing w:before="0" w:after="0" w:line="360" w:lineRule="auto"/>
        <w:rPr>
          <w:rFonts w:hint="eastAsia" w:ascii="宋体" w:hAnsi="宋体" w:eastAsia="宋体" w:cs="宋体"/>
          <w:sz w:val="28"/>
          <w:szCs w:val="28"/>
        </w:rPr>
      </w:pPr>
      <w:bookmarkStart w:id="38" w:name="_Toc6791"/>
      <w:bookmarkStart w:id="39" w:name="_Toc22184"/>
      <w:bookmarkStart w:id="40" w:name="_Toc25567"/>
      <w:bookmarkStart w:id="41" w:name="_Toc13596"/>
      <w:r>
        <w:rPr>
          <w:rFonts w:hint="eastAsia" w:ascii="宋体" w:hAnsi="宋体" w:eastAsia="宋体" w:cs="宋体"/>
          <w:sz w:val="28"/>
          <w:szCs w:val="28"/>
        </w:rPr>
        <w:t>（三）投标文件</w:t>
      </w:r>
      <w:bookmarkEnd w:id="38"/>
      <w:bookmarkEnd w:id="39"/>
      <w:bookmarkEnd w:id="40"/>
      <w:bookmarkEnd w:id="41"/>
    </w:p>
    <w:p w14:paraId="552433A9">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8.投标文件的语言和计量单位</w:t>
      </w:r>
    </w:p>
    <w:p w14:paraId="4F493A6F">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8.1投标人提交的投标文件（包括技术文件和资料、图纸中的说明）以及投标人与</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就有关投标的所有来往函电均应使用中文简体字。</w:t>
      </w:r>
    </w:p>
    <w:p w14:paraId="0BF43A28">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8.2投标文件所使用的计量单位，应使用中国国家法定计量单位。</w:t>
      </w:r>
    </w:p>
    <w:p w14:paraId="659899E1">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1F6404D2">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原版为外文的证书类、证明类文件，与投标人名称或其它实际情况不符的，投标人应当提供相关证明文件。</w:t>
      </w:r>
    </w:p>
    <w:p w14:paraId="6259BB1D">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8.4对于未附有中文译本和中文译本不准确的投标文件,由此引起的对投标人的不利后果,由投标人自行承担。</w:t>
      </w:r>
    </w:p>
    <w:p w14:paraId="74EE2F73">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9.投标文件的组成</w:t>
      </w:r>
    </w:p>
    <w:p w14:paraId="394BDBA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9.1投标文件分为资格证明文件和商务技术文件，具体要求详见投标人须知前附表。</w:t>
      </w:r>
    </w:p>
    <w:p w14:paraId="033D331F">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9.2投标人应详细阅读招标文件的全部内容。投标文件须对招标文件中的内容做出实质性和完整性的响应。</w:t>
      </w:r>
    </w:p>
    <w:p w14:paraId="33DC43DE">
      <w:pPr>
        <w:tabs>
          <w:tab w:val="left" w:pos="567"/>
        </w:tabs>
        <w:snapToGrid w:val="0"/>
        <w:spacing w:line="360" w:lineRule="auto"/>
        <w:ind w:firstLine="480" w:firstLineChars="200"/>
        <w:rPr>
          <w:rFonts w:hint="eastAsia" w:ascii="宋体" w:hAnsi="宋体" w:eastAsia="宋体" w:cs="宋体"/>
          <w:b/>
          <w:kern w:val="0"/>
          <w:sz w:val="24"/>
          <w:u w:val="single"/>
        </w:rPr>
      </w:pPr>
      <w:r>
        <w:rPr>
          <w:rFonts w:hint="eastAsia" w:ascii="宋体" w:hAnsi="宋体" w:eastAsia="宋体" w:cs="宋体"/>
          <w:kern w:val="0"/>
          <w:sz w:val="24"/>
        </w:rPr>
        <w:t>9.3投标文件的其他要求详见投标人须知前附表。</w:t>
      </w:r>
    </w:p>
    <w:p w14:paraId="17E3546F">
      <w:pPr>
        <w:tabs>
          <w:tab w:val="left" w:pos="0"/>
        </w:tabs>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10.投标保证金</w:t>
      </w:r>
    </w:p>
    <w:p w14:paraId="6A3862C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10.1投标人在递交投标文件的同时，应按投标人须知前附表规定的金额、形式递交投标保证金，并作为其投标文件的组成部分。</w:t>
      </w:r>
    </w:p>
    <w:p w14:paraId="29DDB8C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联合体投标的，其投标保证金可以由牵头人递交，并应符合投标人须知前附表的规定。投标人不按要求提交投标保证金的，将被视为无效投标。</w:t>
      </w:r>
    </w:p>
    <w:p w14:paraId="4188CA0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10.2</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应当自中标通知书发出之日起5个工作日内退还未中标人的投标保证金，自采购合同签订之日起5个工作日内退还中标人的投标保证金，但因投标人自身原因导致无法及时退还的除外。</w:t>
      </w:r>
    </w:p>
    <w:p w14:paraId="4D566A2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10.3投标人在投标截止时间前撤回已提交的投标文件的，</w:t>
      </w:r>
      <w:r>
        <w:rPr>
          <w:rFonts w:hint="eastAsia" w:ascii="宋体" w:hAnsi="宋体" w:cs="宋体"/>
          <w:kern w:val="0"/>
          <w:sz w:val="24"/>
          <w:lang w:eastAsia="zh-CN"/>
        </w:rPr>
        <w:t>采购代理机构</w:t>
      </w:r>
      <w:r>
        <w:rPr>
          <w:rFonts w:hint="eastAsia" w:ascii="宋体" w:hAnsi="宋体" w:eastAsia="宋体" w:cs="宋体"/>
          <w:kern w:val="0"/>
          <w:sz w:val="24"/>
        </w:rPr>
        <w:t>应当自收到投标人书面撤回通知之日起5个工作日内，退还已收取的投标保证金，但因投标人自身原因导致无法及时退还的除外。</w:t>
      </w:r>
    </w:p>
    <w:p w14:paraId="313C14AE">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10.4有下列情形之一的，投标保证金不予退还：</w:t>
      </w:r>
    </w:p>
    <w:p w14:paraId="62C104A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⑴除法定原因外投标人在投标有效期内撤销投标文件的；</w:t>
      </w:r>
    </w:p>
    <w:p w14:paraId="2894766D">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⑵投标人在投标文件中提供虚假材料的；</w:t>
      </w:r>
    </w:p>
    <w:p w14:paraId="751B452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⑶除因不可抗力或招标文件认可的情形以外，中标人不与</w:t>
      </w:r>
      <w:r>
        <w:rPr>
          <w:rFonts w:hint="eastAsia" w:ascii="宋体" w:hAnsi="宋体" w:cs="宋体"/>
          <w:kern w:val="0"/>
          <w:sz w:val="24"/>
          <w:lang w:eastAsia="zh-CN"/>
        </w:rPr>
        <w:t>采购人</w:t>
      </w:r>
      <w:r>
        <w:rPr>
          <w:rFonts w:hint="eastAsia" w:ascii="宋体" w:hAnsi="宋体" w:eastAsia="宋体" w:cs="宋体"/>
          <w:kern w:val="0"/>
          <w:sz w:val="24"/>
        </w:rPr>
        <w:t>签订合同的；</w:t>
      </w:r>
    </w:p>
    <w:p w14:paraId="07CA759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⑷投标人与</w:t>
      </w:r>
      <w:r>
        <w:rPr>
          <w:rFonts w:hint="eastAsia" w:ascii="宋体" w:hAnsi="宋体" w:cs="宋体"/>
          <w:kern w:val="0"/>
          <w:sz w:val="24"/>
          <w:lang w:eastAsia="zh-CN"/>
        </w:rPr>
        <w:t>采购人</w:t>
      </w:r>
      <w:r>
        <w:rPr>
          <w:rFonts w:hint="eastAsia" w:ascii="宋体" w:hAnsi="宋体" w:eastAsia="宋体" w:cs="宋体"/>
          <w:kern w:val="0"/>
          <w:sz w:val="24"/>
        </w:rPr>
        <w:t>、其他投标人或者</w:t>
      </w:r>
      <w:r>
        <w:rPr>
          <w:rFonts w:hint="eastAsia" w:ascii="宋体" w:hAnsi="宋体" w:cs="宋体"/>
          <w:kern w:val="0"/>
          <w:sz w:val="24"/>
          <w:lang w:eastAsia="zh-CN"/>
        </w:rPr>
        <w:t>采购代理机构</w:t>
      </w:r>
      <w:r>
        <w:rPr>
          <w:rFonts w:hint="eastAsia" w:ascii="宋体" w:hAnsi="宋体" w:eastAsia="宋体" w:cs="宋体"/>
          <w:kern w:val="0"/>
          <w:sz w:val="24"/>
        </w:rPr>
        <w:t>恶意串通的；</w:t>
      </w:r>
    </w:p>
    <w:p w14:paraId="11F7FFE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⑸招标文件规定的其他情形。</w:t>
      </w:r>
    </w:p>
    <w:p w14:paraId="40F69C8E">
      <w:pPr>
        <w:tabs>
          <w:tab w:val="left" w:pos="567"/>
        </w:tabs>
        <w:adjustRightInd w:val="0"/>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11.投标报价</w:t>
      </w:r>
    </w:p>
    <w:p w14:paraId="769067CA">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11.1投标报价应是投标人响应本项目要求的全部工作内容的价格体现，包括完成本项目所需的全部费用。</w:t>
      </w:r>
    </w:p>
    <w:p w14:paraId="411FA96C">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11.2投标报价以人民币元为计算单位，并应遵守“中华人民共和国价格法”。</w:t>
      </w:r>
    </w:p>
    <w:p w14:paraId="3354A54A">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11.3本次招标不接受可选择或可调整的投标报价。投标人对投标报价若有说明应在投标函或开标一览表（如有）显著处注明，只有开标时唱出的报价优惠承诺才会在评标时予以考虑。</w:t>
      </w:r>
    </w:p>
    <w:p w14:paraId="6EC45BC5">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11.4</w:t>
      </w:r>
      <w:r>
        <w:rPr>
          <w:rFonts w:hint="eastAsia" w:ascii="宋体" w:hAnsi="宋体" w:cs="宋体"/>
          <w:kern w:val="0"/>
          <w:sz w:val="24"/>
          <w:lang w:val="en-US" w:eastAsia="zh-CN"/>
        </w:rPr>
        <w:t>总</w:t>
      </w:r>
      <w:r>
        <w:rPr>
          <w:rFonts w:hint="eastAsia" w:ascii="宋体" w:hAnsi="宋体" w:eastAsia="宋体" w:cs="宋体"/>
          <w:kern w:val="0"/>
          <w:sz w:val="24"/>
        </w:rPr>
        <w:t>报价不得超过采购</w:t>
      </w:r>
      <w:r>
        <w:rPr>
          <w:rFonts w:hint="eastAsia" w:ascii="宋体" w:hAnsi="宋体" w:eastAsia="宋体" w:cs="宋体"/>
          <w:kern w:val="0"/>
          <w:sz w:val="24"/>
          <w:lang w:val="en-US" w:eastAsia="zh-CN"/>
        </w:rPr>
        <w:t>预算</w:t>
      </w:r>
      <w:r>
        <w:rPr>
          <w:rFonts w:hint="eastAsia" w:ascii="宋体" w:hAnsi="宋体" w:cs="宋体"/>
          <w:kern w:val="0"/>
          <w:sz w:val="24"/>
          <w:lang w:val="en-US" w:eastAsia="zh-CN"/>
        </w:rPr>
        <w:t>（最高限价）</w:t>
      </w:r>
      <w:r>
        <w:rPr>
          <w:rFonts w:hint="eastAsia" w:ascii="宋体" w:hAnsi="宋体" w:eastAsia="宋体" w:cs="宋体"/>
          <w:kern w:val="0"/>
          <w:sz w:val="24"/>
        </w:rPr>
        <w:t>，</w:t>
      </w:r>
      <w:r>
        <w:rPr>
          <w:rFonts w:hint="eastAsia" w:ascii="宋体" w:hAnsi="宋体" w:eastAsia="宋体" w:cs="宋体"/>
          <w:kern w:val="0"/>
          <w:sz w:val="24"/>
          <w:lang w:val="en-US" w:eastAsia="zh-CN"/>
        </w:rPr>
        <w:t>单个产品报价不得超预算</w:t>
      </w:r>
      <w:r>
        <w:rPr>
          <w:rFonts w:hint="eastAsia" w:ascii="宋体" w:hAnsi="宋体" w:cs="宋体"/>
          <w:kern w:val="0"/>
          <w:sz w:val="24"/>
          <w:lang w:val="en-US" w:eastAsia="zh-CN"/>
        </w:rPr>
        <w:t>（最高限价），</w:t>
      </w:r>
      <w:r>
        <w:rPr>
          <w:rFonts w:hint="eastAsia" w:ascii="宋体" w:hAnsi="宋体" w:eastAsia="宋体" w:cs="宋体"/>
          <w:kern w:val="0"/>
          <w:sz w:val="24"/>
        </w:rPr>
        <w:t>否则被视为无效投标。采用综合评分法的，最低报价不能作为中标的保证。</w:t>
      </w:r>
    </w:p>
    <w:p w14:paraId="6945B1B7">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11.5投标人投报多包的，应对每包段单独报价并递交投标文件。</w:t>
      </w:r>
    </w:p>
    <w:p w14:paraId="4DEF2B56">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11.6投标报价其他要求详见投标人须知前附表。</w:t>
      </w:r>
    </w:p>
    <w:p w14:paraId="3B568253">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12.投标文件的有效期</w:t>
      </w:r>
    </w:p>
    <w:p w14:paraId="70918EA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12.1除投标人须知前附表另有规定外，本项目投标文件的有效期为90日历天。有效期短于该规定期限的投标将被视为无效投标。</w:t>
      </w:r>
    </w:p>
    <w:p w14:paraId="3F22C1E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12.2在投标有效期内，投标人撤销投标文件的，应承担招标文件和法律规定的责任。</w:t>
      </w:r>
    </w:p>
    <w:p w14:paraId="563DA472">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szCs w:val="24"/>
        </w:rPr>
        <w:t>12.3出现特殊情况需要延长投标有效期的，</w:t>
      </w:r>
      <w:r>
        <w:rPr>
          <w:rFonts w:hint="eastAsia" w:ascii="宋体" w:hAnsi="宋体" w:cs="宋体"/>
          <w:sz w:val="24"/>
          <w:szCs w:val="24"/>
          <w:lang w:eastAsia="zh-CN"/>
        </w:rPr>
        <w:t>采购人</w:t>
      </w:r>
      <w:r>
        <w:rPr>
          <w:rFonts w:hint="eastAsia" w:ascii="宋体" w:hAnsi="宋体" w:eastAsia="宋体" w:cs="宋体"/>
          <w:sz w:val="24"/>
          <w:szCs w:val="24"/>
        </w:rPr>
        <w:t>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0F177EF">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13.投标文件的编制、签署</w:t>
      </w:r>
    </w:p>
    <w:p w14:paraId="3DF752C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13.1组成投标文件的各项文件均应遵守本条。</w:t>
      </w:r>
    </w:p>
    <w:p w14:paraId="6D8AD3E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13.2投标文件应按照招标文件“投标文件格式”部分的要求提交，并按规定的格式逐项填写，不准有空项。无相应内容可填的项应填写“无”、“未测试”、“没有相应指标”等明确的回答文字。投标文件未按规定提交或留有空项，将被视为不完整响应的投标文件，将作出不利于投标人的评审。</w:t>
      </w:r>
    </w:p>
    <w:p w14:paraId="134962A2">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13.3开标一览表要求统一填写，不得自行增减表格内容。但可根据填报情况变换表格格式。</w:t>
      </w:r>
    </w:p>
    <w:p w14:paraId="44FB307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13.4投标人照搬照抄招标文件技术、商务要求，并未提供技术资料或提供资料不详的，评标委员会有权决定是否通知投标人限期进行书面解释或提供相关证明材料。若</w:t>
      </w:r>
      <w:r>
        <w:rPr>
          <w:rFonts w:hint="eastAsia" w:ascii="宋体" w:hAnsi="宋体" w:cs="宋体"/>
          <w:kern w:val="0"/>
          <w:sz w:val="24"/>
          <w:lang w:val="en-US" w:eastAsia="zh-CN"/>
        </w:rPr>
        <w:t>已</w:t>
      </w:r>
      <w:r>
        <w:rPr>
          <w:rFonts w:hint="eastAsia" w:ascii="宋体" w:hAnsi="宋体" w:eastAsia="宋体" w:cs="宋体"/>
          <w:kern w:val="0"/>
          <w:sz w:val="24"/>
        </w:rPr>
        <w:t>要求，而该投标人在规定期限内未做出解释、做出的解释不合理或不能提供证明材料的，评标委员会有权拒绝该投标。</w:t>
      </w:r>
    </w:p>
    <w:p w14:paraId="71CC044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13.5投标人须确保投标文件所提供的全部资料真实可靠，并接受</w:t>
      </w:r>
      <w:r>
        <w:rPr>
          <w:rFonts w:hint="eastAsia" w:ascii="宋体" w:hAnsi="宋体" w:cs="宋体"/>
          <w:kern w:val="0"/>
          <w:sz w:val="24"/>
          <w:lang w:eastAsia="zh-CN"/>
        </w:rPr>
        <w:t>采购人</w:t>
      </w:r>
      <w:r>
        <w:rPr>
          <w:rFonts w:hint="eastAsia" w:ascii="宋体" w:hAnsi="宋体" w:eastAsia="宋体" w:cs="宋体"/>
          <w:kern w:val="0"/>
          <w:sz w:val="24"/>
        </w:rPr>
        <w:t>对其中任何资料做进一步核查的要求，否则将作出不利于投标人的评审。</w:t>
      </w:r>
    </w:p>
    <w:p w14:paraId="425E677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13.6除投标人须知前附表另有规定外，投标文件采用（A4）幅面。投标文件应用不褪色的材料书写或打印。按照招标文件所规定的内容顺序，统一编制目录及连续自然数页码（投标文件中复印件及彩色宣传资料等均须与投标文件正文一起逐页编排页码）。由于编排混乱导致投标文件被误读或查找不到，其责任由投标人承担。</w:t>
      </w:r>
    </w:p>
    <w:p w14:paraId="5F70E4E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13.7投标人应按照招标文件规定的格式、要求签署投标文件。投标文件及相关文件的签订、履行、通知等书面文件中的“单位盖章”、“印章”、“公章”等处，均仅指与当事人名称全称相一致的标准公章，不得使用其它（如带有“专用章”等字样）的印章，否则其投标将被拒绝。</w:t>
      </w:r>
    </w:p>
    <w:p w14:paraId="5E48FE94">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13.8投标文件应字迹清楚、内容齐全，尽量避免涂改、行间插字或删除，如有修改和增删，必须加盖投标人公章或由法定代表人（单位负责人）或其授权代理人签字。</w:t>
      </w:r>
    </w:p>
    <w:p w14:paraId="546B4B04">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13.9投标文件编制签署的其他要求详见投标人须知前附表。</w:t>
      </w:r>
    </w:p>
    <w:p w14:paraId="5E85560C">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13.10投标人须注意：为合理节约政府采购评审成本，提倡诚实信用的投标行为，特别要求投标人应本着诚信精神，在本次投标文件的偏离表和其它偏离文件中，以审慎的态度明确、清楚地披露各项偏离。若投标人对某一事项是否存在或是否属于偏离不能确定，亦必须在偏离表中清楚地表明该偏离事项，并可以注明“不能确定”的字样。</w:t>
      </w:r>
    </w:p>
    <w:p w14:paraId="763F170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13.11投标文件编制签署的其他要求详见投标人须知前附表。</w:t>
      </w:r>
    </w:p>
    <w:p w14:paraId="16D0E46F">
      <w:pPr>
        <w:pStyle w:val="4"/>
        <w:spacing w:before="0" w:after="0" w:line="360" w:lineRule="auto"/>
        <w:rPr>
          <w:rFonts w:hint="eastAsia" w:ascii="宋体" w:hAnsi="宋体" w:eastAsia="宋体" w:cs="宋体"/>
          <w:sz w:val="28"/>
          <w:szCs w:val="28"/>
        </w:rPr>
      </w:pPr>
      <w:bookmarkStart w:id="42" w:name="_Toc1341"/>
      <w:bookmarkStart w:id="43" w:name="_Toc27823"/>
      <w:bookmarkStart w:id="44" w:name="_Toc6121"/>
      <w:bookmarkStart w:id="45" w:name="_Toc11182"/>
      <w:r>
        <w:rPr>
          <w:rFonts w:hint="eastAsia" w:ascii="宋体" w:hAnsi="宋体" w:eastAsia="宋体" w:cs="宋体"/>
          <w:sz w:val="28"/>
          <w:szCs w:val="28"/>
        </w:rPr>
        <w:t>（四）投标文件的递交</w:t>
      </w:r>
      <w:bookmarkEnd w:id="42"/>
      <w:bookmarkEnd w:id="43"/>
      <w:bookmarkEnd w:id="44"/>
      <w:bookmarkEnd w:id="45"/>
    </w:p>
    <w:p w14:paraId="1A534E1B">
      <w:pPr>
        <w:tabs>
          <w:tab w:val="left" w:pos="0"/>
        </w:tabs>
        <w:adjustRightInd w:val="0"/>
        <w:snapToGrid w:val="0"/>
        <w:spacing w:line="360" w:lineRule="auto"/>
        <w:ind w:firstLine="482" w:firstLineChars="200"/>
        <w:rPr>
          <w:rFonts w:hint="eastAsia" w:ascii="宋体" w:hAnsi="宋体" w:eastAsia="宋体" w:cs="宋体"/>
          <w:kern w:val="0"/>
          <w:sz w:val="24"/>
          <w:lang w:val="en-US" w:eastAsia="zh-CN"/>
        </w:rPr>
      </w:pPr>
      <w:r>
        <w:rPr>
          <w:rFonts w:hint="eastAsia" w:ascii="宋体" w:hAnsi="宋体" w:eastAsia="宋体" w:cs="宋体"/>
          <w:b/>
          <w:kern w:val="0"/>
          <w:sz w:val="24"/>
        </w:rPr>
        <w:t>14.投标文件的</w:t>
      </w:r>
      <w:r>
        <w:rPr>
          <w:rFonts w:hint="eastAsia" w:ascii="宋体" w:hAnsi="宋体" w:cs="宋体"/>
          <w:b/>
          <w:kern w:val="0"/>
          <w:sz w:val="24"/>
          <w:lang w:val="en-US" w:eastAsia="zh-CN"/>
        </w:rPr>
        <w:t>递交</w:t>
      </w:r>
    </w:p>
    <w:p w14:paraId="419FA0EA">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14.1本项目使用</w:t>
      </w:r>
      <w:r>
        <w:rPr>
          <w:rFonts w:hint="eastAsia" w:ascii="宋体" w:hAnsi="宋体" w:cs="宋体"/>
          <w:kern w:val="0"/>
          <w:sz w:val="24"/>
          <w:lang w:val="en-US" w:eastAsia="zh-CN"/>
        </w:rPr>
        <w:t>山西政府采购平台</w:t>
      </w:r>
      <w:r>
        <w:rPr>
          <w:rFonts w:hint="eastAsia" w:ascii="宋体" w:hAnsi="宋体" w:eastAsia="宋体" w:cs="宋体"/>
          <w:kern w:val="0"/>
          <w:sz w:val="24"/>
        </w:rPr>
        <w:t>。投标人根据招标文件及电子交易平台供应商操作手册要求编制、生成并提交电子投标文件。</w:t>
      </w:r>
    </w:p>
    <w:p w14:paraId="5A50CB1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14.2</w:t>
      </w:r>
      <w:r>
        <w:rPr>
          <w:rFonts w:hint="eastAsia" w:ascii="宋体" w:hAnsi="宋体" w:eastAsia="宋体" w:cs="宋体"/>
          <w:kern w:val="0"/>
          <w:sz w:val="24"/>
        </w:rPr>
        <w:t>采购人及采购代理机构拒绝接受通过电子交易平台以外任何形式提交的投标文件。</w:t>
      </w:r>
    </w:p>
    <w:p w14:paraId="22584128">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15.投标文件的补充、修改和撤回</w:t>
      </w:r>
    </w:p>
    <w:p w14:paraId="5175AB8C">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15.1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B32972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15.2投标人对投标文件的补充、修改的内容应当按照招标文件要求签署、盖章，作为投标文件的组成部分。</w:t>
      </w:r>
    </w:p>
    <w:p w14:paraId="1BD0BD76">
      <w:pPr>
        <w:pStyle w:val="4"/>
        <w:spacing w:before="0" w:after="0" w:line="360" w:lineRule="auto"/>
        <w:rPr>
          <w:rFonts w:hint="eastAsia" w:ascii="宋体" w:hAnsi="宋体" w:eastAsia="宋体" w:cs="宋体"/>
          <w:sz w:val="28"/>
          <w:szCs w:val="28"/>
        </w:rPr>
      </w:pPr>
      <w:bookmarkStart w:id="46" w:name="_Toc31226"/>
      <w:bookmarkStart w:id="47" w:name="_Toc24552"/>
      <w:bookmarkStart w:id="48" w:name="_Toc5861"/>
      <w:bookmarkStart w:id="49" w:name="_Toc26650"/>
      <w:r>
        <w:rPr>
          <w:rFonts w:hint="eastAsia" w:ascii="宋体" w:hAnsi="宋体" w:eastAsia="宋体" w:cs="宋体"/>
          <w:sz w:val="28"/>
          <w:szCs w:val="28"/>
        </w:rPr>
        <w:t>（五）开标</w:t>
      </w:r>
      <w:bookmarkEnd w:id="46"/>
      <w:bookmarkEnd w:id="47"/>
      <w:bookmarkEnd w:id="48"/>
      <w:bookmarkEnd w:id="49"/>
    </w:p>
    <w:p w14:paraId="5D66AAEE">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16.开标及其有关事项</w:t>
      </w:r>
    </w:p>
    <w:p w14:paraId="605D0E97">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16.1</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在投标人须知前附表规定的投标文件递交截止时间，通过电子交易平台公开开标，所有投标人的法定代表人（单位负责人）或其授权代理人应当准时参加。投标人未派代表参加开标会议，则视为其已默认开标结果。</w:t>
      </w:r>
    </w:p>
    <w:p w14:paraId="239C5230">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16.2参加开标的投标人代表须提前登录电子交易平台签到以证明其出席。</w:t>
      </w:r>
    </w:p>
    <w:p w14:paraId="2D301118">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16.3开标程序：</w:t>
      </w:r>
    </w:p>
    <w:p w14:paraId="1D1EBEF5">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(1)到开标时间后，工作人员及各投标人使用账号、密码登录电子交易平台，进入开标项目；</w:t>
      </w:r>
    </w:p>
    <w:p w14:paraId="7DB70DA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(2)工作人员下达开始解密命令并设置解密时长；</w:t>
      </w:r>
    </w:p>
    <w:p w14:paraId="1EE73254">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(3)投标人在解密时间内使用CA证书解密投标文件；</w:t>
      </w:r>
    </w:p>
    <w:p w14:paraId="59BD8BD3">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(4)当众公示投标函或开标一览表（如有）中投标人名称、投报价格、书面补充、修改或撤回投标的通知等内容。</w:t>
      </w:r>
    </w:p>
    <w:p w14:paraId="65083FA2">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(5)投标人代表和相关工作人员在开标记录上签字确认开标结果；</w:t>
      </w:r>
    </w:p>
    <w:p w14:paraId="650E238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(6)开标结束。</w:t>
      </w:r>
    </w:p>
    <w:p w14:paraId="14AF2FD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16.4投标人对开标过程和开标记录有疑义，以及认为</w:t>
      </w:r>
      <w:r>
        <w:rPr>
          <w:rFonts w:hint="eastAsia" w:ascii="宋体" w:hAnsi="宋体" w:cs="宋体"/>
          <w:kern w:val="0"/>
          <w:sz w:val="24"/>
          <w:lang w:eastAsia="zh-CN"/>
        </w:rPr>
        <w:t>采购人</w:t>
      </w:r>
      <w:r>
        <w:rPr>
          <w:rFonts w:hint="eastAsia" w:ascii="宋体" w:hAnsi="宋体" w:eastAsia="宋体" w:cs="宋体"/>
          <w:kern w:val="0"/>
          <w:sz w:val="24"/>
        </w:rPr>
        <w:t>、</w:t>
      </w:r>
      <w:r>
        <w:rPr>
          <w:rFonts w:hint="eastAsia" w:ascii="宋体" w:hAnsi="宋体" w:cs="宋体"/>
          <w:kern w:val="0"/>
          <w:sz w:val="24"/>
          <w:lang w:eastAsia="zh-CN"/>
        </w:rPr>
        <w:t>采购代理机构</w:t>
      </w:r>
      <w:r>
        <w:rPr>
          <w:rFonts w:hint="eastAsia" w:ascii="宋体" w:hAnsi="宋体" w:eastAsia="宋体" w:cs="宋体"/>
          <w:kern w:val="0"/>
          <w:sz w:val="24"/>
        </w:rPr>
        <w:t>相关工作人员有需要回避的情形的，应当场提出询问或者回避申请。</w:t>
      </w:r>
      <w:r>
        <w:rPr>
          <w:rFonts w:hint="eastAsia" w:ascii="宋体" w:hAnsi="宋体" w:cs="宋体"/>
          <w:kern w:val="0"/>
          <w:sz w:val="24"/>
          <w:lang w:eastAsia="zh-CN"/>
        </w:rPr>
        <w:t>采购人</w:t>
      </w:r>
      <w:r>
        <w:rPr>
          <w:rFonts w:hint="eastAsia" w:ascii="宋体" w:hAnsi="宋体" w:eastAsia="宋体" w:cs="宋体"/>
          <w:kern w:val="0"/>
          <w:sz w:val="24"/>
        </w:rPr>
        <w:t>、</w:t>
      </w:r>
      <w:r>
        <w:rPr>
          <w:rFonts w:hint="eastAsia" w:ascii="宋体" w:hAnsi="宋体" w:cs="宋体"/>
          <w:kern w:val="0"/>
          <w:sz w:val="24"/>
          <w:lang w:eastAsia="zh-CN"/>
        </w:rPr>
        <w:t>采购代理机构</w:t>
      </w:r>
      <w:r>
        <w:rPr>
          <w:rFonts w:hint="eastAsia" w:ascii="宋体" w:hAnsi="宋体" w:eastAsia="宋体" w:cs="宋体"/>
          <w:kern w:val="0"/>
          <w:sz w:val="24"/>
        </w:rPr>
        <w:t>对投标人代表提出的询问或者回避申请应当及时处理并记录。</w:t>
      </w:r>
    </w:p>
    <w:p w14:paraId="0A0EDFB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16.5</w:t>
      </w:r>
      <w:r>
        <w:rPr>
          <w:rFonts w:hint="eastAsia" w:ascii="宋体" w:hAnsi="宋体" w:cs="宋体"/>
          <w:kern w:val="0"/>
          <w:sz w:val="24"/>
          <w:lang w:eastAsia="zh-CN"/>
        </w:rPr>
        <w:t>采购代理机构</w:t>
      </w:r>
      <w:r>
        <w:rPr>
          <w:rFonts w:hint="eastAsia" w:ascii="宋体" w:hAnsi="宋体" w:eastAsia="宋体" w:cs="宋体"/>
          <w:kern w:val="0"/>
          <w:sz w:val="24"/>
        </w:rPr>
        <w:t>对开标、评标现场活动进行全过程录音录像，其影音资料作为招标档案一并存档。</w:t>
      </w:r>
    </w:p>
    <w:p w14:paraId="40248FB6">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16.6评标委员会成员不得参加开标活动。</w:t>
      </w:r>
    </w:p>
    <w:p w14:paraId="3759945B">
      <w:pPr>
        <w:tabs>
          <w:tab w:val="left" w:pos="567"/>
        </w:tabs>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16.7</w:t>
      </w:r>
      <w:r>
        <w:rPr>
          <w:sz w:val="24"/>
        </w:rPr>
        <w:t>投标人不足3家的，不予开标。</w:t>
      </w:r>
    </w:p>
    <w:p w14:paraId="48AA5CE3">
      <w:pPr>
        <w:pStyle w:val="4"/>
        <w:spacing w:before="0" w:after="0" w:line="360" w:lineRule="auto"/>
        <w:rPr>
          <w:rFonts w:hint="eastAsia" w:ascii="宋体" w:hAnsi="宋体" w:eastAsia="宋体" w:cs="宋体"/>
          <w:sz w:val="28"/>
          <w:szCs w:val="28"/>
        </w:rPr>
      </w:pPr>
      <w:bookmarkStart w:id="50" w:name="_Toc10149"/>
      <w:bookmarkStart w:id="51" w:name="_Toc25519"/>
      <w:bookmarkStart w:id="52" w:name="_Toc32274"/>
      <w:bookmarkStart w:id="53" w:name="_Toc30881"/>
      <w:r>
        <w:rPr>
          <w:rFonts w:hint="eastAsia" w:ascii="宋体" w:hAnsi="宋体" w:eastAsia="宋体" w:cs="宋体"/>
          <w:sz w:val="28"/>
          <w:szCs w:val="28"/>
        </w:rPr>
        <w:t>（六）资格审查</w:t>
      </w:r>
      <w:bookmarkEnd w:id="50"/>
      <w:bookmarkEnd w:id="51"/>
      <w:bookmarkEnd w:id="52"/>
      <w:bookmarkEnd w:id="53"/>
    </w:p>
    <w:p w14:paraId="748C73FF">
      <w:pPr>
        <w:tabs>
          <w:tab w:val="left" w:pos="567"/>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17.资格审查</w:t>
      </w:r>
    </w:p>
    <w:p w14:paraId="5E70C801">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17.1.开标结束后，</w:t>
      </w:r>
      <w:r>
        <w:rPr>
          <w:rFonts w:hint="eastAsia" w:ascii="宋体" w:hAnsi="宋体" w:eastAsia="宋体" w:cs="宋体"/>
          <w:kern w:val="0"/>
          <w:sz w:val="24"/>
          <w:lang w:val="en-US" w:eastAsia="zh-CN"/>
        </w:rPr>
        <w:t>资格审查小组由采购代理机构2人和采购人代表1人共同组成</w:t>
      </w:r>
      <w:r>
        <w:rPr>
          <w:rFonts w:hint="eastAsia" w:ascii="宋体" w:hAnsi="宋体" w:eastAsia="宋体" w:cs="宋体"/>
          <w:kern w:val="0"/>
          <w:sz w:val="24"/>
        </w:rPr>
        <w:t>，对投标文件中资格证明文件进行审查。</w:t>
      </w:r>
    </w:p>
    <w:p w14:paraId="24D31FA1">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17.2审查小组按照招标文件第三部分评标方法和评标标准中的规定进行资格审查。</w:t>
      </w:r>
    </w:p>
    <w:p w14:paraId="024601FB">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17.3资格审查以投标文件中提供资料为准，必要时可核验证明材料原件、在相关网站进行查询，查询结果应经投标人确认。</w:t>
      </w:r>
    </w:p>
    <w:p w14:paraId="2130B6B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17.4资格审查完成后应编制资格审查报告。</w:t>
      </w:r>
    </w:p>
    <w:p w14:paraId="02B7D909">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17.5资格审查工作在评标前完成，资格审查后合格投标人不足3家时，不进入评标环节。</w:t>
      </w:r>
    </w:p>
    <w:p w14:paraId="03C57402">
      <w:pPr>
        <w:pStyle w:val="4"/>
        <w:spacing w:before="0" w:after="0" w:line="360" w:lineRule="auto"/>
        <w:rPr>
          <w:rFonts w:hint="eastAsia" w:ascii="宋体" w:hAnsi="宋体" w:eastAsia="宋体" w:cs="宋体"/>
          <w:sz w:val="28"/>
          <w:szCs w:val="28"/>
        </w:rPr>
      </w:pPr>
      <w:bookmarkStart w:id="54" w:name="_Toc24176"/>
      <w:bookmarkStart w:id="55" w:name="_Toc28666"/>
      <w:bookmarkStart w:id="56" w:name="_Toc7392"/>
      <w:bookmarkStart w:id="57" w:name="_Toc22287"/>
      <w:r>
        <w:rPr>
          <w:rFonts w:hint="eastAsia" w:ascii="宋体" w:hAnsi="宋体" w:eastAsia="宋体" w:cs="宋体"/>
          <w:sz w:val="28"/>
          <w:szCs w:val="28"/>
        </w:rPr>
        <w:t>（七）组织评标</w:t>
      </w:r>
      <w:bookmarkEnd w:id="54"/>
      <w:bookmarkEnd w:id="55"/>
      <w:bookmarkEnd w:id="56"/>
      <w:bookmarkEnd w:id="57"/>
    </w:p>
    <w:p w14:paraId="2571C01A">
      <w:pPr>
        <w:tabs>
          <w:tab w:val="left" w:pos="0"/>
        </w:tabs>
        <w:adjustRightInd w:val="0"/>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18.组建评标委员会</w:t>
      </w:r>
    </w:p>
    <w:p w14:paraId="10710AF2">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18.1</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根据有关法律法规和本招标文件的规定，结合招标项目特点组建评标委员会。评标委员会由</w:t>
      </w:r>
      <w:r>
        <w:rPr>
          <w:rFonts w:hint="eastAsia" w:ascii="宋体" w:hAnsi="宋体" w:cs="宋体"/>
          <w:kern w:val="0"/>
          <w:sz w:val="24"/>
          <w:lang w:eastAsia="zh-CN"/>
        </w:rPr>
        <w:t>采购人</w:t>
      </w:r>
      <w:r>
        <w:rPr>
          <w:rFonts w:hint="eastAsia" w:ascii="宋体" w:hAnsi="宋体" w:eastAsia="宋体" w:cs="宋体"/>
          <w:kern w:val="0"/>
          <w:sz w:val="24"/>
        </w:rPr>
        <w:t>代表以及专家组成，成员为五人以上单数，其中专家人数不少于成员总数的三分之二。评标委员会成员人数以及专家的确定方式见投标人须知前附表。</w:t>
      </w:r>
    </w:p>
    <w:p w14:paraId="6183EF9C">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18.2</w:t>
      </w:r>
      <w:r>
        <w:rPr>
          <w:rFonts w:hint="eastAsia" w:ascii="宋体" w:hAnsi="宋体" w:cs="宋体"/>
          <w:kern w:val="0"/>
          <w:sz w:val="24"/>
          <w:lang w:eastAsia="zh-CN"/>
        </w:rPr>
        <w:t>采购代理机构</w:t>
      </w:r>
      <w:r>
        <w:rPr>
          <w:rFonts w:hint="eastAsia" w:ascii="宋体" w:hAnsi="宋体" w:eastAsia="宋体" w:cs="宋体"/>
          <w:kern w:val="0"/>
          <w:sz w:val="24"/>
        </w:rPr>
        <w:t>就招标文件征询过意见的专家，不得作为评标专家参加评标，采购单位人员不得以专家身份参与评标，</w:t>
      </w:r>
      <w:r>
        <w:rPr>
          <w:rFonts w:hint="eastAsia" w:ascii="宋体" w:hAnsi="宋体" w:cs="宋体"/>
          <w:kern w:val="0"/>
          <w:sz w:val="24"/>
          <w:lang w:eastAsia="zh-CN"/>
        </w:rPr>
        <w:t>采购代理机构</w:t>
      </w:r>
      <w:r>
        <w:rPr>
          <w:rFonts w:hint="eastAsia" w:ascii="宋体" w:hAnsi="宋体" w:eastAsia="宋体" w:cs="宋体"/>
          <w:kern w:val="0"/>
          <w:sz w:val="24"/>
        </w:rPr>
        <w:t>工作人员不得参加评标。</w:t>
      </w:r>
    </w:p>
    <w:p w14:paraId="259E52E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18.3评审专家与投标人存在利害关系的，应按照《政府采购评审专家管理办法》第十六条等要求回避。</w:t>
      </w:r>
    </w:p>
    <w:p w14:paraId="3B4D359E">
      <w:pPr>
        <w:tabs>
          <w:tab w:val="left" w:pos="0"/>
        </w:tabs>
        <w:adjustRightInd w:val="0"/>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19. 评标</w:t>
      </w:r>
    </w:p>
    <w:p w14:paraId="3A82133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19.1评标活动遵循公平、公正、科学和择优的原则。</w:t>
      </w:r>
    </w:p>
    <w:p w14:paraId="2A9504EA">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19.2评标委员会按照第三部分“评标办法”规定的方法、评审因素、标准和程序，对资格审查合格的投标人的商务技术投标文件进行评审。招标文件中没有规定的方法、评审因素和标准，不作为评标依据。</w:t>
      </w:r>
    </w:p>
    <w:p w14:paraId="400DE5D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19.3评标过程中因评标委员会成员缺席、回避或者健康等特殊原因导致评标委员会组成不符合相关法律规定的，代理机构应当依法补足后继续评标。被更换的评标委员会成员所作出的评标意见无效。无法及时补足评标委员会成员的，代理机构应当停止评标活动，封存所有投标文件和开标、评标资料，依法重新组建评标委员会进行评标。原评标委员会所作出的评标意见无效。</w:t>
      </w:r>
    </w:p>
    <w:p w14:paraId="1DF33E67">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19.4评标完成后，评标委员会应当编制提交书面评标报告。</w:t>
      </w:r>
    </w:p>
    <w:p w14:paraId="6A01F20F">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20.推荐中标候选人及确定中标人</w:t>
      </w:r>
    </w:p>
    <w:p w14:paraId="50F757FB">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20.1推荐中标候选人</w:t>
      </w:r>
    </w:p>
    <w:p w14:paraId="3CFA259C">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20.1推荐中标候选人顺序须遵循下列原则：</w:t>
      </w:r>
    </w:p>
    <w:p w14:paraId="0662D62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20.1.1采用综合评分法的，遵循下列原则：</w:t>
      </w:r>
    </w:p>
    <w:p w14:paraId="36359712">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20.1.1.1按评审后投标人的综合得分由高到低顺序排列。</w:t>
      </w:r>
    </w:p>
    <w:p w14:paraId="038CE03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20.1.1.2综合得分相同的，按投标报价由低到高顺序排列。</w:t>
      </w:r>
    </w:p>
    <w:p w14:paraId="05779DA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20.1.1.3综合得分且投标报价相同的按照技术、服务等因素得分较高顺序排列。</w:t>
      </w:r>
    </w:p>
    <w:p w14:paraId="5839BE1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20.1.1.4对于提供相同品牌产品的供应商，在推荐中标候选人时需遵循以下原则：</w:t>
      </w:r>
    </w:p>
    <w:p w14:paraId="4993FE7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20.1.1.4.1对于单一产品采购项目，投标人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248E8D11">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20.1.1.4.2对于非单一产品采购项目，标的物名称中标注“※”的产品为核心产品。多家投标人提供的核心产品品牌全部相同的，推荐中标候选人时按20.1.1.4.1规定处理。</w:t>
      </w:r>
    </w:p>
    <w:p w14:paraId="367D5301">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20.1.1.5评标委员会应当根据综合得分情况，按照综合得分由高到低的顺序推荐中标候选人。</w:t>
      </w:r>
    </w:p>
    <w:p w14:paraId="56532570">
      <w:pPr>
        <w:tabs>
          <w:tab w:val="left" w:pos="567"/>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20.1.1.6评审得分最高的投标人为第一的中标候选人。</w:t>
      </w:r>
    </w:p>
    <w:p w14:paraId="6A61C0A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20.1.2采用最低评标价法的，遵循下列原则：</w:t>
      </w:r>
    </w:p>
    <w:p w14:paraId="0F038F6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20.1.2.1按评审后的投标报价由低到高顺序排列。</w:t>
      </w:r>
    </w:p>
    <w:p w14:paraId="3B5186E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20.1.2.2投标报价相同的，按照技术、服务等因素的优劣进行排列。</w:t>
      </w:r>
    </w:p>
    <w:p w14:paraId="6991E84B">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20.1.2.3对于提供相同品牌产品的供应商，在推荐中标候选人时需遵循以下原则：</w:t>
      </w:r>
    </w:p>
    <w:p w14:paraId="5990D313">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20.1.2.3.1对于单一产品采购项目，投标人提供相同品牌产品的不同投标人参加同一合同项下投标的，以其中通过资格审查、符合性审查且报价最低的参加评标；报价相同的采取随机抽取方式确定，其他投标无效。</w:t>
      </w:r>
    </w:p>
    <w:p w14:paraId="7B94945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20.1.2.3.2对于非单一产品采购项目，标的物名称中标注“※”的产品为核心产品。多家投标人提供的核心产品品牌全部相同的，推荐中标候选人时按20.1.2.3.1规定处理。</w:t>
      </w:r>
    </w:p>
    <w:p w14:paraId="7C107B8F">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20.2除投标人须知前附表规定评标委员会直接确定中标人外，</w:t>
      </w:r>
      <w:r>
        <w:rPr>
          <w:rFonts w:hint="eastAsia" w:ascii="宋体" w:hAnsi="宋体" w:cs="宋体"/>
          <w:kern w:val="0"/>
          <w:sz w:val="24"/>
          <w:lang w:eastAsia="zh-CN"/>
        </w:rPr>
        <w:t>采购人</w:t>
      </w:r>
      <w:r>
        <w:rPr>
          <w:rFonts w:hint="eastAsia" w:ascii="宋体" w:hAnsi="宋体" w:eastAsia="宋体" w:cs="宋体"/>
          <w:kern w:val="0"/>
          <w:sz w:val="24"/>
        </w:rPr>
        <w:t>依据评标委员会推荐的中标候选人确定中标人，评标委员会推荐中标候选人的</w:t>
      </w:r>
      <w:r>
        <w:rPr>
          <w:rFonts w:hint="eastAsia" w:ascii="宋体" w:hAnsi="宋体" w:eastAsia="宋体" w:cs="宋体"/>
          <w:kern w:val="0"/>
          <w:sz w:val="24"/>
          <w:lang w:val="en-US" w:eastAsia="zh-CN"/>
        </w:rPr>
        <w:t>数量</w:t>
      </w:r>
      <w:r>
        <w:rPr>
          <w:rFonts w:hint="eastAsia" w:ascii="宋体" w:hAnsi="宋体" w:eastAsia="宋体" w:cs="宋体"/>
          <w:kern w:val="0"/>
          <w:sz w:val="24"/>
        </w:rPr>
        <w:t>见投标人须知前附表。</w:t>
      </w:r>
    </w:p>
    <w:p w14:paraId="5E041D29">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21.评标过程保密</w:t>
      </w:r>
    </w:p>
    <w:p w14:paraId="27F4146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应当采取必要措施，保证评标在严格保密的情况下进行。除</w:t>
      </w:r>
      <w:r>
        <w:rPr>
          <w:rFonts w:hint="eastAsia" w:ascii="宋体" w:hAnsi="宋体" w:cs="宋体"/>
          <w:kern w:val="0"/>
          <w:sz w:val="24"/>
          <w:lang w:eastAsia="zh-CN"/>
        </w:rPr>
        <w:t>采购人</w:t>
      </w:r>
      <w:r>
        <w:rPr>
          <w:rFonts w:hint="eastAsia" w:ascii="宋体" w:hAnsi="宋体" w:eastAsia="宋体" w:cs="宋体"/>
          <w:kern w:val="0"/>
          <w:sz w:val="24"/>
        </w:rPr>
        <w:t>代表、评标现场组织人员和法律法规规定的其他人员外，</w:t>
      </w:r>
      <w:r>
        <w:rPr>
          <w:rFonts w:hint="eastAsia" w:ascii="宋体" w:hAnsi="宋体" w:cs="宋体"/>
          <w:kern w:val="0"/>
          <w:sz w:val="24"/>
          <w:lang w:eastAsia="zh-CN"/>
        </w:rPr>
        <w:t>采购人</w:t>
      </w:r>
      <w:r>
        <w:rPr>
          <w:rFonts w:hint="eastAsia" w:ascii="宋体" w:hAnsi="宋体" w:eastAsia="宋体" w:cs="宋体"/>
          <w:kern w:val="0"/>
          <w:sz w:val="24"/>
        </w:rPr>
        <w:t>的其他工作人员以及与评标工作无关的人员不得进入评标现场。</w:t>
      </w:r>
    </w:p>
    <w:p w14:paraId="02751CDC">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21.2开标后，直到授予中标人合同止，凡是属于审查、澄清、评价和比较投标的有关资料以及授标意向等，均不得向投标人或其他与评标无关的人员透露。有关人员对评标情况以及在评标过程中获悉的国家秘密、商业秘密负有保密责任。</w:t>
      </w:r>
    </w:p>
    <w:p w14:paraId="769877E4">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22.关于投标人非实质性响应滞后发现的处理规则</w:t>
      </w:r>
    </w:p>
    <w:p w14:paraId="63DF2239">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应依法采取相应的补救及纠正措施。</w:t>
      </w:r>
    </w:p>
    <w:p w14:paraId="1D5F06D9">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23.采购项目废标</w:t>
      </w:r>
    </w:p>
    <w:p w14:paraId="2C6E7430">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23.1在评标过程中，评标委员会发现有下列情形之一的，应对采购项目予以废标：</w:t>
      </w:r>
    </w:p>
    <w:p w14:paraId="3256A16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3</w:t>
      </w:r>
      <w:r>
        <w:rPr>
          <w:rFonts w:hint="eastAsia" w:ascii="宋体" w:hAnsi="宋体" w:eastAsia="宋体" w:cs="宋体"/>
          <w:kern w:val="0"/>
          <w:sz w:val="24"/>
        </w:rPr>
        <w:t>.1.1符合专业条件的供应商或者对招标文件作实质响应的供应商不足三家的；</w:t>
      </w:r>
    </w:p>
    <w:p w14:paraId="3DA92319">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3</w:t>
      </w:r>
      <w:r>
        <w:rPr>
          <w:rFonts w:hint="eastAsia" w:ascii="宋体" w:hAnsi="宋体" w:eastAsia="宋体" w:cs="宋体"/>
          <w:kern w:val="0"/>
          <w:sz w:val="24"/>
        </w:rPr>
        <w:t>.1.2出现影响采购公正的违法、违规行为的；</w:t>
      </w:r>
    </w:p>
    <w:p w14:paraId="3EEBEF7D">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3</w:t>
      </w:r>
      <w:r>
        <w:rPr>
          <w:rFonts w:hint="eastAsia" w:ascii="宋体" w:hAnsi="宋体" w:eastAsia="宋体" w:cs="宋体"/>
          <w:kern w:val="0"/>
          <w:sz w:val="24"/>
        </w:rPr>
        <w:t>.1.3投标人的报价均超过了采购预算，采购人不能支付的；</w:t>
      </w:r>
    </w:p>
    <w:p w14:paraId="4729BD5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23.1.4</w:t>
      </w:r>
      <w:r>
        <w:rPr>
          <w:rFonts w:hint="eastAsia" w:ascii="宋体" w:hAnsi="宋体" w:eastAsia="宋体" w:cs="宋体"/>
          <w:kern w:val="0"/>
          <w:sz w:val="24"/>
        </w:rPr>
        <w:t>因重大变故，采购任务取消的。</w:t>
      </w:r>
    </w:p>
    <w:p w14:paraId="33B487AC">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23.2采购项目废标后，评标委员会应做出书面报告。</w:t>
      </w:r>
    </w:p>
    <w:p w14:paraId="2CC67FA8">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23.3采购项目废标后，</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应当将废标原因通知所有投标人，并依法重新组织采购活动。</w:t>
      </w:r>
    </w:p>
    <w:p w14:paraId="2A6D89DB">
      <w:pPr>
        <w:pStyle w:val="4"/>
        <w:spacing w:before="0" w:after="0" w:line="360" w:lineRule="auto"/>
        <w:rPr>
          <w:rFonts w:hint="eastAsia" w:ascii="宋体" w:hAnsi="宋体" w:eastAsia="宋体" w:cs="宋体"/>
          <w:sz w:val="28"/>
          <w:szCs w:val="28"/>
        </w:rPr>
      </w:pPr>
      <w:bookmarkStart w:id="58" w:name="_Toc2166"/>
      <w:bookmarkStart w:id="59" w:name="_Toc24628"/>
      <w:bookmarkStart w:id="60" w:name="_Toc8384"/>
      <w:bookmarkStart w:id="61" w:name="_Toc25652"/>
      <w:r>
        <w:rPr>
          <w:rFonts w:hint="eastAsia" w:ascii="宋体" w:hAnsi="宋体" w:eastAsia="宋体" w:cs="宋体"/>
          <w:sz w:val="28"/>
          <w:szCs w:val="28"/>
        </w:rPr>
        <w:t>（八）签订合同</w:t>
      </w:r>
      <w:bookmarkEnd w:id="58"/>
      <w:bookmarkEnd w:id="59"/>
      <w:bookmarkEnd w:id="60"/>
      <w:bookmarkEnd w:id="61"/>
    </w:p>
    <w:p w14:paraId="35D92A4E">
      <w:pPr>
        <w:tabs>
          <w:tab w:val="left" w:pos="0"/>
        </w:tabs>
        <w:adjustRightInd w:val="0"/>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24.中标通知</w:t>
      </w:r>
    </w:p>
    <w:p w14:paraId="6167FD32">
      <w:pPr>
        <w:tabs>
          <w:tab w:val="left" w:pos="567"/>
        </w:tabs>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24.1采购人或采购代理机构自中标人确定之日起2个工作日内，在山西省政府采购网公告中标结果，同时向中标人发出中标通知书，中标公告期限为1个工作日。</w:t>
      </w:r>
    </w:p>
    <w:p w14:paraId="2B6E7E4E">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w:t>
      </w:r>
      <w:r>
        <w:rPr>
          <w:rFonts w:hint="eastAsia" w:ascii="宋体" w:hAnsi="宋体" w:cs="宋体"/>
          <w:kern w:val="0"/>
          <w:sz w:val="24"/>
          <w:lang w:val="en-US" w:eastAsia="zh-CN"/>
        </w:rPr>
        <w:t>2</w:t>
      </w:r>
      <w:r>
        <w:rPr>
          <w:rFonts w:hint="eastAsia" w:ascii="宋体" w:hAnsi="宋体" w:eastAsia="宋体" w:cs="宋体"/>
          <w:kern w:val="0"/>
          <w:sz w:val="24"/>
        </w:rPr>
        <w:t>中标供应商可在政府采购云平台中自行下载打印中标通知书。中标通知书对采购人和中标人具有同等法律效力。中标通知书发出以后，采购人改变中标结果或者中标供应商放弃中标，应当承担相应的法律责任。</w:t>
      </w:r>
    </w:p>
    <w:p w14:paraId="5581B1B2">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24.2</w:t>
      </w:r>
      <w:r>
        <w:rPr>
          <w:rFonts w:hint="eastAsia" w:ascii="宋体" w:hAnsi="宋体" w:cs="宋体"/>
          <w:kern w:val="0"/>
          <w:sz w:val="24"/>
          <w:lang w:eastAsia="zh-CN"/>
        </w:rPr>
        <w:t>采购代理机构</w:t>
      </w:r>
      <w:r>
        <w:rPr>
          <w:rFonts w:hint="eastAsia" w:ascii="宋体" w:hAnsi="宋体" w:eastAsia="宋体" w:cs="宋体"/>
          <w:kern w:val="0"/>
          <w:sz w:val="24"/>
        </w:rPr>
        <w:t>对未中标的投标人不作未中标原因的解释。</w:t>
      </w:r>
    </w:p>
    <w:p w14:paraId="43E5CCA5">
      <w:pPr>
        <w:tabs>
          <w:tab w:val="left" w:pos="567"/>
        </w:tabs>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24.3中标通知书是合同的组成部分。</w:t>
      </w:r>
    </w:p>
    <w:p w14:paraId="680E59BF">
      <w:pPr>
        <w:widowControl/>
        <w:tabs>
          <w:tab w:val="left" w:pos="0"/>
        </w:tabs>
        <w:snapToGrid w:val="0"/>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25.签订合同</w:t>
      </w:r>
    </w:p>
    <w:p w14:paraId="7DFE7A51">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25.1中标人应在中标通知书</w:t>
      </w:r>
      <w:r>
        <w:rPr>
          <w:rFonts w:hint="eastAsia" w:ascii="宋体" w:hAnsi="宋体" w:eastAsia="宋体" w:cs="宋体"/>
          <w:kern w:val="0"/>
          <w:sz w:val="24"/>
          <w:lang w:eastAsia="zh-CN"/>
        </w:rPr>
        <w:t>（在系统中自行下载）</w:t>
      </w:r>
      <w:r>
        <w:rPr>
          <w:rFonts w:hint="eastAsia" w:ascii="宋体" w:hAnsi="宋体" w:eastAsia="宋体" w:cs="宋体"/>
          <w:kern w:val="0"/>
          <w:sz w:val="24"/>
        </w:rPr>
        <w:t>发出之日30日内与</w:t>
      </w:r>
      <w:r>
        <w:rPr>
          <w:rFonts w:hint="eastAsia" w:ascii="宋体" w:hAnsi="宋体" w:cs="宋体"/>
          <w:kern w:val="0"/>
          <w:sz w:val="24"/>
          <w:lang w:eastAsia="zh-CN"/>
        </w:rPr>
        <w:t>采购人</w:t>
      </w:r>
      <w:r>
        <w:rPr>
          <w:rFonts w:hint="eastAsia" w:ascii="宋体" w:hAnsi="宋体" w:eastAsia="宋体" w:cs="宋体"/>
          <w:kern w:val="0"/>
          <w:sz w:val="24"/>
        </w:rPr>
        <w:t>在山西政府采购业务执行系统中线上签订政府采购合同。</w:t>
      </w:r>
    </w:p>
    <w:p w14:paraId="07DC1D3B">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25.2中标人因不可抗力原因不能履行采购合同或放弃中标的，</w:t>
      </w:r>
      <w:r>
        <w:rPr>
          <w:rFonts w:hint="eastAsia" w:ascii="宋体" w:hAnsi="宋体" w:cs="宋体"/>
          <w:kern w:val="0"/>
          <w:sz w:val="24"/>
          <w:lang w:eastAsia="zh-CN"/>
        </w:rPr>
        <w:t>采购人可以按照评标报告推荐的中标候选人名单排序，确定下一候选人为中标人，也可以重新开展政府采购活动。</w:t>
      </w:r>
    </w:p>
    <w:p w14:paraId="60DC4E5A">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25.3中标人应按照招标文件、投标文件及评标过程中的有关澄清、说明或者补正文件的内容与</w:t>
      </w:r>
      <w:r>
        <w:rPr>
          <w:rFonts w:hint="eastAsia" w:ascii="宋体" w:hAnsi="宋体" w:cs="宋体"/>
          <w:kern w:val="0"/>
          <w:sz w:val="24"/>
          <w:lang w:eastAsia="zh-CN"/>
        </w:rPr>
        <w:t>采购人</w:t>
      </w:r>
      <w:r>
        <w:rPr>
          <w:rFonts w:hint="eastAsia" w:ascii="宋体" w:hAnsi="宋体" w:eastAsia="宋体" w:cs="宋体"/>
          <w:kern w:val="0"/>
          <w:sz w:val="24"/>
        </w:rPr>
        <w:t>签订合同。中标人不得再与</w:t>
      </w:r>
      <w:r>
        <w:rPr>
          <w:rFonts w:hint="eastAsia" w:ascii="宋体" w:hAnsi="宋体" w:cs="宋体"/>
          <w:kern w:val="0"/>
          <w:sz w:val="24"/>
          <w:lang w:eastAsia="zh-CN"/>
        </w:rPr>
        <w:t>采购人</w:t>
      </w:r>
      <w:r>
        <w:rPr>
          <w:rFonts w:hint="eastAsia" w:ascii="宋体" w:hAnsi="宋体" w:eastAsia="宋体" w:cs="宋体"/>
          <w:kern w:val="0"/>
          <w:sz w:val="24"/>
        </w:rPr>
        <w:t>签订背离合同实质性内容的其它协议或声明。</w:t>
      </w:r>
    </w:p>
    <w:p w14:paraId="7DE79687">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25.4在签订合同前，中标人应按投标人须知前附表规定的形式、金额或者事先经过</w:t>
      </w:r>
      <w:r>
        <w:rPr>
          <w:rFonts w:hint="eastAsia" w:ascii="宋体" w:hAnsi="宋体" w:cs="宋体"/>
          <w:kern w:val="0"/>
          <w:sz w:val="24"/>
          <w:lang w:eastAsia="zh-CN"/>
        </w:rPr>
        <w:t>采购人</w:t>
      </w:r>
      <w:r>
        <w:rPr>
          <w:rFonts w:hint="eastAsia" w:ascii="宋体" w:hAnsi="宋体" w:eastAsia="宋体" w:cs="宋体"/>
          <w:kern w:val="0"/>
          <w:sz w:val="24"/>
        </w:rPr>
        <w:t>书面认可的履约保证金格式向</w:t>
      </w:r>
      <w:r>
        <w:rPr>
          <w:rFonts w:hint="eastAsia" w:ascii="宋体" w:hAnsi="宋体" w:cs="宋体"/>
          <w:kern w:val="0"/>
          <w:sz w:val="24"/>
          <w:lang w:eastAsia="zh-CN"/>
        </w:rPr>
        <w:t>采购人</w:t>
      </w:r>
      <w:r>
        <w:rPr>
          <w:rFonts w:hint="eastAsia" w:ascii="宋体" w:hAnsi="宋体" w:eastAsia="宋体" w:cs="宋体"/>
          <w:kern w:val="0"/>
          <w:sz w:val="24"/>
        </w:rPr>
        <w:t>提交</w:t>
      </w:r>
      <w:r>
        <w:rPr>
          <w:rFonts w:hint="eastAsia" w:ascii="宋体" w:hAnsi="宋体" w:cs="宋体"/>
          <w:kern w:val="0"/>
          <w:sz w:val="24"/>
          <w:lang w:eastAsia="zh-CN"/>
        </w:rPr>
        <w:t>履约保证金</w:t>
      </w:r>
      <w:r>
        <w:rPr>
          <w:rFonts w:hint="eastAsia" w:ascii="宋体" w:hAnsi="宋体" w:eastAsia="宋体" w:cs="宋体"/>
          <w:kern w:val="0"/>
          <w:sz w:val="24"/>
        </w:rPr>
        <w:t>。中标人不能按要求提交</w:t>
      </w:r>
      <w:r>
        <w:rPr>
          <w:rFonts w:hint="eastAsia" w:ascii="宋体" w:hAnsi="宋体" w:cs="宋体"/>
          <w:kern w:val="0"/>
          <w:sz w:val="24"/>
          <w:lang w:eastAsia="zh-CN"/>
        </w:rPr>
        <w:t>履约保证金</w:t>
      </w:r>
      <w:r>
        <w:rPr>
          <w:rFonts w:hint="eastAsia" w:ascii="宋体" w:hAnsi="宋体" w:eastAsia="宋体" w:cs="宋体"/>
          <w:kern w:val="0"/>
          <w:sz w:val="24"/>
        </w:rPr>
        <w:t>的，视为放弃中标，其投标保证金不予退还，给</w:t>
      </w:r>
      <w:r>
        <w:rPr>
          <w:rFonts w:hint="eastAsia" w:ascii="宋体" w:hAnsi="宋体" w:cs="宋体"/>
          <w:kern w:val="0"/>
          <w:sz w:val="24"/>
          <w:lang w:eastAsia="zh-CN"/>
        </w:rPr>
        <w:t>采购人</w:t>
      </w:r>
      <w:r>
        <w:rPr>
          <w:rFonts w:hint="eastAsia" w:ascii="宋体" w:hAnsi="宋体" w:eastAsia="宋体" w:cs="宋体"/>
          <w:kern w:val="0"/>
          <w:sz w:val="24"/>
        </w:rPr>
        <w:t>造成的损失超过投标保证金数额的，中标人还应当对超过部分予以赔偿。</w:t>
      </w:r>
    </w:p>
    <w:p w14:paraId="1B6A6DA9">
      <w:pPr>
        <w:tabs>
          <w:tab w:val="left" w:pos="567"/>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25.5采购合同履行过程中，</w:t>
      </w:r>
      <w:r>
        <w:rPr>
          <w:rFonts w:hint="eastAsia" w:ascii="宋体" w:hAnsi="宋体" w:cs="宋体"/>
          <w:kern w:val="0"/>
          <w:sz w:val="24"/>
          <w:lang w:eastAsia="zh-CN"/>
        </w:rPr>
        <w:t>采购人</w:t>
      </w:r>
      <w:r>
        <w:rPr>
          <w:rFonts w:hint="eastAsia" w:ascii="宋体" w:hAnsi="宋体" w:eastAsia="宋体" w:cs="宋体"/>
          <w:kern w:val="0"/>
          <w:sz w:val="24"/>
        </w:rPr>
        <w:t>需要追加与合同标的相同的货物、工程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E34F2B">
      <w:pPr>
        <w:tabs>
          <w:tab w:val="left" w:pos="0"/>
        </w:tabs>
        <w:adjustRightInd w:val="0"/>
        <w:snapToGrid w:val="0"/>
        <w:spacing w:line="360" w:lineRule="auto"/>
        <w:ind w:firstLine="482" w:firstLineChars="200"/>
        <w:jc w:val="left"/>
        <w:rPr>
          <w:rFonts w:hint="eastAsia" w:ascii="宋体" w:hAnsi="宋体" w:eastAsia="宋体" w:cs="宋体"/>
          <w:b/>
          <w:kern w:val="0"/>
          <w:sz w:val="24"/>
        </w:rPr>
      </w:pPr>
      <w:bookmarkStart w:id="62" w:name="_Toc30178"/>
      <w:bookmarkStart w:id="63" w:name="_Toc15400"/>
      <w:bookmarkStart w:id="64" w:name="_Toc1314"/>
      <w:bookmarkStart w:id="65" w:name="_Toc4468"/>
      <w:r>
        <w:rPr>
          <w:rFonts w:hint="eastAsia" w:ascii="宋体" w:hAnsi="宋体" w:eastAsia="宋体" w:cs="宋体"/>
          <w:b/>
          <w:kern w:val="0"/>
          <w:sz w:val="24"/>
        </w:rPr>
        <w:t>26.合同分包</w:t>
      </w:r>
    </w:p>
    <w:p w14:paraId="0D358896">
      <w:pPr>
        <w:tabs>
          <w:tab w:val="left" w:pos="567"/>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26.1</w:t>
      </w:r>
      <w:r>
        <w:rPr>
          <w:rFonts w:hint="eastAsia" w:ascii="宋体" w:hAnsi="宋体" w:eastAsia="宋体" w:cs="宋体"/>
          <w:sz w:val="24"/>
          <w:szCs w:val="24"/>
        </w:rPr>
        <w:t>中标人拟在中标后将项目的部分工作进行分包的，应符合投标人须知前附表的规定。</w:t>
      </w:r>
    </w:p>
    <w:p w14:paraId="061E729C">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26.2采购合同实行分包履行的，</w:t>
      </w:r>
      <w:r>
        <w:rPr>
          <w:rFonts w:hint="eastAsia" w:ascii="宋体" w:hAnsi="宋体" w:eastAsia="宋体" w:cs="宋体"/>
          <w:sz w:val="24"/>
          <w:szCs w:val="24"/>
        </w:rPr>
        <w:t>中标人应当就分包项目向</w:t>
      </w:r>
      <w:r>
        <w:rPr>
          <w:rFonts w:hint="eastAsia" w:ascii="宋体" w:hAnsi="宋体" w:cs="宋体"/>
          <w:sz w:val="24"/>
          <w:szCs w:val="24"/>
          <w:lang w:eastAsia="zh-CN"/>
        </w:rPr>
        <w:t>采购人</w:t>
      </w:r>
      <w:r>
        <w:rPr>
          <w:rFonts w:hint="eastAsia" w:ascii="宋体" w:hAnsi="宋体" w:eastAsia="宋体" w:cs="宋体"/>
          <w:sz w:val="24"/>
          <w:szCs w:val="24"/>
        </w:rPr>
        <w:t>负责，分包方就分包项目承担连带责任。</w:t>
      </w:r>
      <w:r>
        <w:rPr>
          <w:rFonts w:hint="eastAsia" w:ascii="宋体" w:hAnsi="宋体" w:eastAsia="宋体" w:cs="宋体"/>
          <w:kern w:val="0"/>
          <w:sz w:val="24"/>
          <w:szCs w:val="24"/>
        </w:rPr>
        <w:t>履行分包项目事项要求具备法定资质的，分包方应当取得相应资质。</w:t>
      </w:r>
    </w:p>
    <w:p w14:paraId="5E5615D1">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26.3中小企业依据《政府采购促进中小企业发展管理办法》(财库〔2020〕46号）规定的政策获取政府采购合同后，小型、微型企业不得分包给大型、中型企业，中型企业不得分包给大型企业。</w:t>
      </w:r>
    </w:p>
    <w:p w14:paraId="36EFB231">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26.4本采购项目严禁中标人将任何政府采购合同义务转包。</w:t>
      </w:r>
    </w:p>
    <w:p w14:paraId="01668B09">
      <w:pPr>
        <w:tabs>
          <w:tab w:val="left" w:pos="0"/>
        </w:tabs>
        <w:adjustRightInd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27.合同公告</w:t>
      </w:r>
    </w:p>
    <w:p w14:paraId="056F6AC0">
      <w:pPr>
        <w:tabs>
          <w:tab w:val="left" w:pos="567"/>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采购人</w:t>
      </w:r>
      <w:r>
        <w:rPr>
          <w:rFonts w:hint="eastAsia" w:ascii="宋体" w:hAnsi="宋体" w:eastAsia="宋体" w:cs="宋体"/>
          <w:kern w:val="0"/>
          <w:sz w:val="24"/>
          <w:szCs w:val="24"/>
        </w:rPr>
        <w:t>或</w:t>
      </w:r>
      <w:r>
        <w:rPr>
          <w:rFonts w:hint="eastAsia" w:ascii="宋体" w:hAnsi="宋体" w:cs="宋体"/>
          <w:kern w:val="0"/>
          <w:sz w:val="24"/>
          <w:szCs w:val="24"/>
          <w:lang w:eastAsia="zh-CN"/>
        </w:rPr>
        <w:t>采购代理机构</w:t>
      </w:r>
      <w:r>
        <w:rPr>
          <w:rFonts w:hint="eastAsia" w:ascii="宋体" w:hAnsi="宋体" w:eastAsia="宋体" w:cs="宋体"/>
          <w:kern w:val="0"/>
          <w:sz w:val="24"/>
          <w:szCs w:val="24"/>
        </w:rPr>
        <w:t>应当在政府采购合同签订后，依法将政府采购合同在刊登本次招标公告的媒体上公告，但政府采购合同中涉及国家秘密、商业秘密的内容除外。</w:t>
      </w:r>
    </w:p>
    <w:p w14:paraId="7653F169">
      <w:pPr>
        <w:tabs>
          <w:tab w:val="left" w:pos="567"/>
        </w:tabs>
        <w:snapToGrid w:val="0"/>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（九）保密和披露</w:t>
      </w:r>
      <w:bookmarkEnd w:id="62"/>
      <w:bookmarkEnd w:id="63"/>
      <w:bookmarkEnd w:id="64"/>
      <w:bookmarkEnd w:id="65"/>
    </w:p>
    <w:p w14:paraId="116741AB">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28.保密</w:t>
      </w:r>
    </w:p>
    <w:p w14:paraId="41A65E8E">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投标人自领取招标文件之日起，须承诺承担本招标项目下保密义务，不得将因参加本次招标获得的信息向第三人外传。</w:t>
      </w:r>
    </w:p>
    <w:p w14:paraId="187258C8">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29.披露</w:t>
      </w:r>
    </w:p>
    <w:p w14:paraId="4A2B92AC">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29.1</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有权将投标人提供的所有资料向有关政府部门或评审投标文件的有关人员披露。</w:t>
      </w:r>
    </w:p>
    <w:p w14:paraId="0D2A9888">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29.2在</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认为适当时、国家机关调查、审查、审计时以及其他符合法律规定的情形下，</w:t>
      </w:r>
      <w:r>
        <w:rPr>
          <w:rFonts w:hint="eastAsia" w:ascii="宋体" w:hAnsi="宋体" w:cs="宋体"/>
          <w:kern w:val="0"/>
          <w:sz w:val="24"/>
          <w:lang w:eastAsia="zh-CN"/>
        </w:rPr>
        <w:t>采购人</w:t>
      </w:r>
      <w:r>
        <w:rPr>
          <w:rFonts w:hint="eastAsia" w:ascii="宋体" w:hAnsi="宋体" w:eastAsia="宋体" w:cs="宋体"/>
          <w:kern w:val="0"/>
          <w:sz w:val="24"/>
        </w:rPr>
        <w:t>或</w:t>
      </w:r>
      <w:r>
        <w:rPr>
          <w:rFonts w:hint="eastAsia" w:ascii="宋体" w:hAnsi="宋体" w:cs="宋体"/>
          <w:kern w:val="0"/>
          <w:sz w:val="24"/>
          <w:lang w:eastAsia="zh-CN"/>
        </w:rPr>
        <w:t>采购代理机构</w:t>
      </w:r>
      <w:r>
        <w:rPr>
          <w:rFonts w:hint="eastAsia" w:ascii="宋体" w:hAnsi="宋体" w:eastAsia="宋体" w:cs="宋体"/>
          <w:kern w:val="0"/>
          <w:sz w:val="24"/>
        </w:rPr>
        <w:t>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4CCC549">
      <w:pPr>
        <w:pStyle w:val="4"/>
        <w:spacing w:before="0" w:after="0" w:line="360" w:lineRule="auto"/>
        <w:rPr>
          <w:rFonts w:hint="eastAsia" w:ascii="宋体" w:hAnsi="宋体" w:eastAsia="宋体" w:cs="宋体"/>
          <w:sz w:val="28"/>
          <w:szCs w:val="28"/>
        </w:rPr>
      </w:pPr>
      <w:bookmarkStart w:id="66" w:name="_Toc5452"/>
      <w:bookmarkStart w:id="67" w:name="_Toc11307"/>
      <w:bookmarkStart w:id="68" w:name="_Toc10003"/>
      <w:bookmarkStart w:id="69" w:name="_Toc21529"/>
      <w:r>
        <w:rPr>
          <w:rFonts w:hint="eastAsia" w:ascii="宋体" w:hAnsi="宋体" w:eastAsia="宋体" w:cs="宋体"/>
          <w:sz w:val="28"/>
          <w:szCs w:val="28"/>
        </w:rPr>
        <w:t>（十）询问和质疑</w:t>
      </w:r>
      <w:bookmarkEnd w:id="66"/>
      <w:bookmarkEnd w:id="67"/>
      <w:bookmarkEnd w:id="68"/>
      <w:bookmarkEnd w:id="69"/>
    </w:p>
    <w:p w14:paraId="7825540B">
      <w:pPr>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30.投标人有权就招标事宜提出询问和质疑</w:t>
      </w:r>
    </w:p>
    <w:p w14:paraId="1CD7802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30.1询问</w:t>
      </w:r>
    </w:p>
    <w:p w14:paraId="038984E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投标人对招标文件有疑问的，通过政采云系统向</w:t>
      </w:r>
      <w:r>
        <w:rPr>
          <w:rFonts w:hint="eastAsia" w:ascii="宋体" w:hAnsi="宋体" w:cs="宋体"/>
          <w:kern w:val="0"/>
          <w:sz w:val="24"/>
          <w:lang w:eastAsia="zh-CN"/>
        </w:rPr>
        <w:t>采购代理机构</w:t>
      </w:r>
      <w:r>
        <w:rPr>
          <w:rFonts w:hint="eastAsia" w:ascii="宋体" w:hAnsi="宋体" w:eastAsia="宋体" w:cs="宋体"/>
          <w:kern w:val="0"/>
          <w:sz w:val="24"/>
        </w:rPr>
        <w:t>、采购人提出询问；进行质疑的，通过政采云系统提出质疑函。投标人对评审过程、采购结果有疑问的，可按中标（成交）公告中载明的联系方式、地址提出质疑。</w:t>
      </w:r>
    </w:p>
    <w:p w14:paraId="5FA7192F">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30.2质疑</w:t>
      </w:r>
    </w:p>
    <w:p w14:paraId="67C0B57A">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30.2.1投标人认为招标文件、评审过程和采购结果使自己的权益受到损害的，应当在知道或者应知其权益受到损害之日起7个工作日内通过政府采购平台进入“项目质疑管理”程序提出。</w:t>
      </w:r>
    </w:p>
    <w:p w14:paraId="4935E1B0">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37CDE1C9">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7D3E4B2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30.2.4有下列情形之一的，属于无效质疑，</w:t>
      </w:r>
      <w:r>
        <w:rPr>
          <w:rFonts w:hint="eastAsia" w:ascii="宋体" w:hAnsi="宋体" w:cs="宋体"/>
          <w:kern w:val="0"/>
          <w:sz w:val="24"/>
          <w:lang w:eastAsia="zh-CN"/>
        </w:rPr>
        <w:t>采购代理机构</w:t>
      </w:r>
      <w:r>
        <w:rPr>
          <w:rFonts w:hint="eastAsia" w:ascii="宋体" w:hAnsi="宋体" w:eastAsia="宋体" w:cs="宋体"/>
          <w:kern w:val="0"/>
          <w:sz w:val="24"/>
        </w:rPr>
        <w:t>（或采购人）可不予受理：</w:t>
      </w:r>
    </w:p>
    <w:p w14:paraId="25ED79F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（1）未在有效期限内提出质疑的；</w:t>
      </w:r>
    </w:p>
    <w:p w14:paraId="0B26D0E6">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（2）所提交材料未明示属于质疑材料的；</w:t>
      </w:r>
    </w:p>
    <w:p w14:paraId="2A5A8D3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（3）质疑书没有法定代表人签署本人姓名或印盖本人姓名章并加盖单位公章的；质疑书由参加采购项目的授权代表签署本人姓名或印盖本人姓名章，但没有法定代表人特别授权的；</w:t>
      </w:r>
    </w:p>
    <w:p w14:paraId="2F028791">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（4）质疑书未提供有效联系人或联系方式的；</w:t>
      </w:r>
    </w:p>
    <w:p w14:paraId="4FAEAD9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（5）质疑事项已经进入投诉或者行政复议或者诉讼程序的；</w:t>
      </w:r>
    </w:p>
    <w:p w14:paraId="55B21D8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（6）质疑书未附相关证明材料，被视为无有效证据支持的；</w:t>
      </w:r>
    </w:p>
    <w:p w14:paraId="4EB6C0A2">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（7）投标人对招标文件条款或技术参数有异议，未在开标前通过澄清或修改程序提出，并且投标人已经参与投标，而于开标后对招标文件提出质疑的；</w:t>
      </w:r>
    </w:p>
    <w:p w14:paraId="22B1D8D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（8）在提出本次质疑前半年内连续三次质疑而无事实依据的；</w:t>
      </w:r>
    </w:p>
    <w:p w14:paraId="2D8C3E0E">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（9）其它不符合受理条件的情形。</w:t>
      </w:r>
    </w:p>
    <w:p w14:paraId="4B50B383">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30.2.5</w:t>
      </w:r>
      <w:r>
        <w:rPr>
          <w:rFonts w:hint="eastAsia" w:ascii="宋体" w:hAnsi="宋体" w:cs="宋体"/>
          <w:kern w:val="0"/>
          <w:sz w:val="24"/>
          <w:lang w:eastAsia="zh-CN"/>
        </w:rPr>
        <w:t>采购代理机构</w:t>
      </w:r>
      <w:r>
        <w:rPr>
          <w:rFonts w:hint="eastAsia" w:ascii="宋体" w:hAnsi="宋体" w:eastAsia="宋体" w:cs="宋体"/>
          <w:kern w:val="0"/>
          <w:sz w:val="24"/>
        </w:rPr>
        <w:t>（或采购人）将在系统收到质疑后7个工作日内审查质疑事项，作出答复或相关处理决定，并通过政采云系统线上通知质疑投标人和其他有关投标人，但答复的内容不涉及商业秘密。</w:t>
      </w:r>
    </w:p>
    <w:p w14:paraId="702D21DC">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30.2.6疑投标人对</w:t>
      </w:r>
      <w:r>
        <w:rPr>
          <w:rFonts w:hint="eastAsia" w:ascii="宋体" w:hAnsi="宋体" w:cs="宋体"/>
          <w:kern w:val="0"/>
          <w:sz w:val="24"/>
          <w:lang w:eastAsia="zh-CN"/>
        </w:rPr>
        <w:t>采购代理机构</w:t>
      </w:r>
      <w:r>
        <w:rPr>
          <w:rFonts w:hint="eastAsia" w:ascii="宋体" w:hAnsi="宋体" w:eastAsia="宋体" w:cs="宋体"/>
          <w:kern w:val="0"/>
          <w:sz w:val="24"/>
        </w:rPr>
        <w:t>（或采购人）的答复不满意以及</w:t>
      </w:r>
      <w:r>
        <w:rPr>
          <w:rFonts w:hint="eastAsia" w:ascii="宋体" w:hAnsi="宋体" w:cs="宋体"/>
          <w:kern w:val="0"/>
          <w:sz w:val="24"/>
          <w:lang w:eastAsia="zh-CN"/>
        </w:rPr>
        <w:t>采购代理机构</w:t>
      </w:r>
      <w:r>
        <w:rPr>
          <w:rFonts w:hint="eastAsia" w:ascii="宋体" w:hAnsi="宋体" w:eastAsia="宋体" w:cs="宋体"/>
          <w:kern w:val="0"/>
          <w:sz w:val="24"/>
        </w:rPr>
        <w:t>（或采购人）未在规定的时间内做出答复的，可以在答复期满后15个工作日内向政府采购监管部门投诉。</w:t>
      </w:r>
    </w:p>
    <w:p w14:paraId="51923404">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30.2.7投标人进行虚假和恶意质疑的，</w:t>
      </w:r>
      <w:r>
        <w:rPr>
          <w:rFonts w:hint="eastAsia" w:ascii="宋体" w:hAnsi="宋体" w:cs="宋体"/>
          <w:kern w:val="0"/>
          <w:sz w:val="24"/>
          <w:lang w:eastAsia="zh-CN"/>
        </w:rPr>
        <w:t>采购代理机构</w:t>
      </w:r>
      <w:r>
        <w:rPr>
          <w:rFonts w:hint="eastAsia" w:ascii="宋体" w:hAnsi="宋体" w:eastAsia="宋体" w:cs="宋体"/>
          <w:kern w:val="0"/>
          <w:sz w:val="24"/>
        </w:rPr>
        <w:t>、采购人可以提请政府采购监管部门将其列入不良记录名单，在一至三年内禁止参加政府采购活动，并将处理决定在相关政府采购媒体上公布。</w:t>
      </w:r>
    </w:p>
    <w:p w14:paraId="24B7DA0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rPr>
        <w:t>30.2.8质疑投标人撤回质疑的，终止质疑处理。</w:t>
      </w:r>
    </w:p>
    <w:p w14:paraId="11239587">
      <w:pPr>
        <w:pStyle w:val="4"/>
        <w:spacing w:before="0" w:after="0" w:line="360" w:lineRule="auto"/>
        <w:rPr>
          <w:rFonts w:hint="eastAsia" w:ascii="宋体" w:hAnsi="宋体" w:eastAsia="宋体" w:cs="宋体"/>
          <w:sz w:val="28"/>
          <w:szCs w:val="28"/>
        </w:rPr>
      </w:pPr>
      <w:bookmarkStart w:id="70" w:name="_Toc664"/>
      <w:bookmarkStart w:id="71" w:name="_Toc12393"/>
      <w:bookmarkStart w:id="72" w:name="_Toc4100"/>
      <w:bookmarkStart w:id="73" w:name="_Toc7636"/>
      <w:bookmarkStart w:id="74" w:name="_Toc18680"/>
      <w:bookmarkStart w:id="75" w:name="_Toc16128"/>
      <w:bookmarkStart w:id="76" w:name="_Toc2976"/>
      <w:bookmarkStart w:id="77" w:name="_Toc25921"/>
      <w:bookmarkStart w:id="78" w:name="_Toc2623"/>
      <w:bookmarkStart w:id="79" w:name="_Toc1511"/>
      <w:bookmarkStart w:id="80" w:name="_Toc468802210"/>
      <w:bookmarkStart w:id="81" w:name="_Toc497329034"/>
      <w:r>
        <w:rPr>
          <w:rFonts w:hint="eastAsia" w:ascii="宋体" w:hAnsi="宋体" w:eastAsia="宋体" w:cs="宋体"/>
          <w:sz w:val="28"/>
          <w:szCs w:val="28"/>
        </w:rPr>
        <w:t>（十一）其他</w:t>
      </w:r>
      <w:bookmarkEnd w:id="70"/>
      <w:bookmarkEnd w:id="71"/>
      <w:bookmarkEnd w:id="72"/>
      <w:bookmarkEnd w:id="73"/>
      <w:bookmarkEnd w:id="74"/>
      <w:bookmarkEnd w:id="75"/>
      <w:bookmarkEnd w:id="76"/>
      <w:bookmarkEnd w:id="77"/>
      <w:bookmarkEnd w:id="78"/>
      <w:bookmarkEnd w:id="79"/>
    </w:p>
    <w:p w14:paraId="2EA8C3B3">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31.政府采购相关政策要求</w:t>
      </w:r>
      <w:bookmarkEnd w:id="80"/>
      <w:bookmarkEnd w:id="81"/>
    </w:p>
    <w:p w14:paraId="66C8B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1</w:t>
      </w:r>
      <w:r>
        <w:rPr>
          <w:rFonts w:hint="eastAsia" w:ascii="宋体" w:hAnsi="宋体" w:eastAsia="宋体" w:cs="宋体"/>
          <w:sz w:val="24"/>
          <w:szCs w:val="28"/>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529CF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（2）政府采购活动中既有本国产品又有非本国产品参与竞争的，依法对本国产品给予价格评审优惠，对本国产品的报价给予20%的价格扣除，用扣除后的价格参与评审。 </w:t>
      </w:r>
    </w:p>
    <w:p w14:paraId="10E6D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C467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本文件列明的强制采购绿色产品标的物，投标人必须投报“节能产品政府采购品目清单”中的强制节能产品，同时提供处于有效期之内的产品认证证书扫描件，并如实填写《政府强制采购产品明细表》（格式见第六部分）；不接受非强制采购产品。</w:t>
      </w:r>
    </w:p>
    <w:p w14:paraId="7B1A4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75C90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4）当投标人所投产品属于优先采购的绿色产品时，享受该项产品的价格折扣政策优惠。投标人应提供处于有效期之内的节能/环保产品认证证书扫描件，并如实填写《政府采购绿色产品明细表》（格式见第六部分），符合价格扣除优惠措施的，将根据投标人提供的产品及证明材料给予一定比例的价格扣除（具体比例详见投标人须知前附表）。</w:t>
      </w:r>
    </w:p>
    <w:p w14:paraId="5B7B4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rPr>
      </w:pPr>
      <w:r>
        <w:rPr>
          <w:rFonts w:hint="eastAsia" w:ascii="宋体" w:hAnsi="宋体" w:eastAsia="宋体" w:cs="宋体"/>
          <w:sz w:val="24"/>
          <w:szCs w:val="28"/>
          <w:lang w:val="en-US" w:eastAsia="zh-CN"/>
        </w:rPr>
        <w:t>对中小微企业等主体,严格落实政府采购优惠政策,同时享受绿色采购政策的价格扣除等评审优惠措施,分别计算、叠加执行,叠加计算方式以财政主管部门相关政策文件为准。</w:t>
      </w:r>
    </w:p>
    <w:p w14:paraId="49FB8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w:t>
      </w:r>
      <w:r>
        <w:rPr>
          <w:rFonts w:hint="eastAsia" w:ascii="宋体" w:hAnsi="宋体" w:eastAsia="宋体" w:cs="宋体"/>
          <w:sz w:val="24"/>
          <w:szCs w:val="28"/>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六部分。</w:t>
      </w:r>
    </w:p>
    <w:p w14:paraId="0A997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）本项目采购标的物涉及计算机产品或硬件产品内预装软件的，投标人须填写《正版软件承诺》。</w:t>
      </w:r>
    </w:p>
    <w:p w14:paraId="15B89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）投标</w:t>
      </w:r>
      <w:r>
        <w:rPr>
          <w:rFonts w:hint="eastAsia" w:ascii="宋体" w:hAnsi="宋体" w:cs="宋体"/>
          <w:sz w:val="24"/>
          <w:szCs w:val="28"/>
          <w:lang w:val="en-US" w:eastAsia="zh-CN"/>
        </w:rPr>
        <w:t>产品</w:t>
      </w:r>
      <w:r>
        <w:rPr>
          <w:rFonts w:hint="eastAsia" w:ascii="宋体" w:hAnsi="宋体" w:eastAsia="宋体" w:cs="宋体"/>
          <w:sz w:val="24"/>
          <w:szCs w:val="28"/>
        </w:rPr>
        <w:t>中如含有</w:t>
      </w:r>
      <w:r>
        <w:rPr>
          <w:rFonts w:hint="eastAsia" w:ascii="宋体" w:hAnsi="宋体" w:eastAsia="宋体" w:cs="宋体"/>
          <w:sz w:val="24"/>
          <w:szCs w:val="28"/>
          <w:lang w:val="en-US" w:eastAsia="zh-CN"/>
        </w:rPr>
        <w:t>工信部</w:t>
      </w:r>
      <w:r>
        <w:rPr>
          <w:rFonts w:hint="eastAsia" w:ascii="宋体" w:hAnsi="宋体" w:eastAsia="宋体" w:cs="宋体"/>
          <w:sz w:val="24"/>
          <w:szCs w:val="28"/>
        </w:rPr>
        <w:t>会同有关部门制定下发的《网络关键设备和网络安全专用产品目录》中的产品，须</w:t>
      </w:r>
      <w:r>
        <w:rPr>
          <w:rFonts w:hint="eastAsia" w:ascii="宋体" w:hAnsi="宋体" w:cs="宋体"/>
          <w:sz w:val="24"/>
          <w:szCs w:val="28"/>
          <w:lang w:eastAsia="zh-CN"/>
        </w:rPr>
        <w:t>提供</w:t>
      </w:r>
      <w:r>
        <w:rPr>
          <w:rFonts w:hint="eastAsia" w:ascii="宋体" w:hAnsi="宋体" w:eastAsia="宋体" w:cs="宋体"/>
          <w:sz w:val="24"/>
          <w:szCs w:val="28"/>
        </w:rPr>
        <w:t>由具备资格的机构安全认证合格或者安全检测符合要求的有效</w:t>
      </w:r>
      <w:r>
        <w:rPr>
          <w:rFonts w:hint="eastAsia" w:ascii="宋体" w:hAnsi="宋体" w:eastAsia="宋体" w:cs="宋体"/>
          <w:sz w:val="24"/>
          <w:szCs w:val="28"/>
          <w:lang w:val="en-US" w:eastAsia="zh-CN"/>
        </w:rPr>
        <w:t>证明材料</w:t>
      </w:r>
      <w:r>
        <w:rPr>
          <w:rFonts w:hint="eastAsia" w:ascii="宋体" w:hAnsi="宋体" w:eastAsia="宋体" w:cs="宋体"/>
          <w:sz w:val="24"/>
          <w:szCs w:val="28"/>
        </w:rPr>
        <w:t>扫描件</w:t>
      </w:r>
      <w:r>
        <w:rPr>
          <w:rFonts w:hint="eastAsia" w:ascii="宋体" w:hAnsi="宋体" w:eastAsia="宋体" w:cs="宋体"/>
          <w:sz w:val="24"/>
          <w:szCs w:val="28"/>
          <w:lang w:eastAsia="zh-CN"/>
        </w:rPr>
        <w:t>（</w:t>
      </w:r>
      <w:r>
        <w:rPr>
          <w:rFonts w:hint="eastAsia" w:ascii="宋体" w:hAnsi="宋体" w:eastAsia="宋体" w:cs="宋体"/>
          <w:sz w:val="24"/>
          <w:szCs w:val="28"/>
        </w:rPr>
        <w:t>具备资格的机构是指列入《承担网络关键设备和网络安全专用产品安全认证和安全检测任务机构名录》的机构</w:t>
      </w:r>
      <w:r>
        <w:rPr>
          <w:rFonts w:hint="eastAsia" w:ascii="宋体" w:hAnsi="宋体" w:eastAsia="宋体" w:cs="宋体"/>
          <w:sz w:val="24"/>
          <w:szCs w:val="28"/>
          <w:lang w:eastAsia="zh-CN"/>
        </w:rPr>
        <w:t>），</w:t>
      </w:r>
      <w:r>
        <w:rPr>
          <w:rFonts w:hint="eastAsia" w:ascii="宋体" w:hAnsi="宋体" w:eastAsia="宋体" w:cs="宋体"/>
          <w:sz w:val="24"/>
          <w:szCs w:val="28"/>
        </w:rPr>
        <w:t>否则将可能导致投标无效。</w:t>
      </w:r>
    </w:p>
    <w:p w14:paraId="4F81D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8</w:t>
      </w:r>
      <w:r>
        <w:rPr>
          <w:rFonts w:hint="eastAsia" w:ascii="宋体" w:hAnsi="宋体" w:eastAsia="宋体" w:cs="宋体"/>
          <w:sz w:val="24"/>
          <w:szCs w:val="28"/>
        </w:rPr>
        <w:t>）小型、微型企业参加本项目的评审标准</w:t>
      </w:r>
    </w:p>
    <w:p w14:paraId="3E53C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sz w:val="24"/>
          <w:szCs w:val="28"/>
          <w:lang w:eastAsia="zh-CN"/>
        </w:rPr>
        <w:t>）</w:t>
      </w:r>
      <w:r>
        <w:rPr>
          <w:rFonts w:hint="eastAsia" w:ascii="宋体" w:hAnsi="宋体" w:eastAsia="宋体" w:cs="宋体"/>
          <w:sz w:val="24"/>
          <w:szCs w:val="28"/>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 w:val="24"/>
          <w:szCs w:val="28"/>
          <w:lang w:val="en-US" w:eastAsia="zh-CN"/>
        </w:rPr>
        <w:t>中小</w:t>
      </w:r>
      <w:r>
        <w:rPr>
          <w:rFonts w:hint="eastAsia" w:ascii="宋体" w:hAnsi="宋体" w:eastAsia="宋体" w:cs="宋体"/>
          <w:sz w:val="24"/>
          <w:szCs w:val="28"/>
        </w:rPr>
        <w:t>企业声明函》。</w:t>
      </w:r>
    </w:p>
    <w:p w14:paraId="68D82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lang w:eastAsia="zh-CN"/>
        </w:rPr>
        <w:t>）</w:t>
      </w:r>
      <w:r>
        <w:rPr>
          <w:rFonts w:hint="eastAsia" w:ascii="宋体" w:hAnsi="宋体" w:eastAsia="宋体" w:cs="宋体"/>
          <w:sz w:val="24"/>
          <w:szCs w:val="28"/>
        </w:rPr>
        <w:t>小型、微企业只有提供本企业制造的货物或者服务，或者提供其他小型、微企业制造的货物，享受投标货物价格折扣。</w:t>
      </w:r>
    </w:p>
    <w:p w14:paraId="24CC9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eastAsia="宋体" w:cs="宋体"/>
          <w:sz w:val="24"/>
          <w:szCs w:val="28"/>
          <w:lang w:eastAsia="zh-CN"/>
        </w:rPr>
        <w:t>）</w:t>
      </w:r>
      <w:r>
        <w:rPr>
          <w:rFonts w:hint="eastAsia" w:ascii="宋体" w:hAnsi="宋体" w:eastAsia="宋体" w:cs="宋体"/>
          <w:sz w:val="24"/>
          <w:szCs w:val="28"/>
        </w:rPr>
        <w:t>小型、微型企业提供的货物既有中小企业制造货物，也有大型企业制造货物的，不享受价格折扣。</w:t>
      </w:r>
    </w:p>
    <w:p w14:paraId="55423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eastAsia="宋体" w:cs="宋体"/>
          <w:sz w:val="24"/>
          <w:szCs w:val="28"/>
          <w:lang w:eastAsia="zh-CN"/>
        </w:rPr>
        <w:t>）</w:t>
      </w:r>
      <w:r>
        <w:rPr>
          <w:rFonts w:hint="eastAsia" w:ascii="宋体" w:hAnsi="宋体" w:eastAsia="宋体" w:cs="宋体"/>
          <w:sz w:val="24"/>
          <w:szCs w:val="28"/>
        </w:rPr>
        <w:t>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eastAsia="宋体" w:cs="宋体"/>
          <w:sz w:val="24"/>
          <w:szCs w:val="28"/>
          <w:lang w:val="en-US" w:eastAsia="zh-CN"/>
        </w:rPr>
        <w:t>一定比例</w:t>
      </w:r>
      <w:r>
        <w:rPr>
          <w:rFonts w:hint="eastAsia" w:ascii="宋体" w:hAnsi="宋体" w:eastAsia="宋体" w:cs="宋体"/>
          <w:sz w:val="24"/>
          <w:szCs w:val="28"/>
        </w:rPr>
        <w:t>的</w:t>
      </w:r>
      <w:r>
        <w:rPr>
          <w:rFonts w:hint="eastAsia" w:ascii="宋体" w:hAnsi="宋体" w:eastAsia="宋体" w:cs="宋体"/>
          <w:sz w:val="24"/>
          <w:szCs w:val="28"/>
          <w:lang w:val="en-US" w:eastAsia="zh-CN"/>
        </w:rPr>
        <w:t>价格</w:t>
      </w:r>
      <w:r>
        <w:rPr>
          <w:rFonts w:hint="eastAsia" w:ascii="宋体" w:hAnsi="宋体" w:eastAsia="宋体" w:cs="宋体"/>
          <w:sz w:val="24"/>
          <w:szCs w:val="28"/>
        </w:rPr>
        <w:t>扣除，用扣除后价格参加评审。组成联合体小微企业与联合体内其他企业之间存在直接控 股、管理关系的，不享受价格扣除优惠政策。</w:t>
      </w:r>
    </w:p>
    <w:p w14:paraId="10B81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eastAsia="宋体" w:cs="宋体"/>
          <w:sz w:val="24"/>
          <w:szCs w:val="28"/>
          <w:lang w:eastAsia="zh-CN"/>
        </w:rPr>
        <w:t>）</w:t>
      </w:r>
      <w:r>
        <w:rPr>
          <w:rFonts w:hint="eastAsia" w:ascii="宋体" w:hAnsi="宋体" w:eastAsia="宋体" w:cs="宋体"/>
          <w:sz w:val="24"/>
          <w:szCs w:val="28"/>
        </w:rPr>
        <w:t>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eastAsia="宋体" w:cs="宋体"/>
          <w:sz w:val="24"/>
          <w:szCs w:val="28"/>
          <w:lang w:val="en-US" w:eastAsia="zh-CN"/>
        </w:rPr>
        <w:t>一定比例</w:t>
      </w:r>
      <w:r>
        <w:rPr>
          <w:rFonts w:hint="eastAsia" w:ascii="宋体" w:hAnsi="宋体" w:eastAsia="宋体" w:cs="宋体"/>
          <w:sz w:val="24"/>
          <w:szCs w:val="28"/>
        </w:rPr>
        <w:t>的</w:t>
      </w:r>
      <w:r>
        <w:rPr>
          <w:rFonts w:hint="eastAsia" w:ascii="宋体" w:hAnsi="宋体" w:eastAsia="宋体" w:cs="宋体"/>
          <w:sz w:val="24"/>
          <w:szCs w:val="28"/>
          <w:lang w:val="en-US" w:eastAsia="zh-CN"/>
        </w:rPr>
        <w:t>价格</w:t>
      </w:r>
      <w:r>
        <w:rPr>
          <w:rFonts w:hint="eastAsia" w:ascii="宋体" w:hAnsi="宋体" w:eastAsia="宋体" w:cs="宋体"/>
          <w:sz w:val="24"/>
          <w:szCs w:val="28"/>
        </w:rPr>
        <w:t>扣除，用扣除后价格参加评审。接受分包 的小微企业与分包企业之间存在直接控股、管理关系的，不享受价格扣除优惠政策。</w:t>
      </w:r>
    </w:p>
    <w:p w14:paraId="19AB9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lang w:val="en-US" w:eastAsia="zh-CN"/>
        </w:rPr>
        <w:t>6</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通过</w:t>
      </w:r>
      <w:r>
        <w:rPr>
          <w:rFonts w:hint="eastAsia" w:ascii="宋体" w:hAnsi="宋体" w:eastAsia="宋体" w:cs="宋体"/>
          <w:sz w:val="24"/>
          <w:szCs w:val="28"/>
        </w:rPr>
        <w:t>享受扶持政策</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价格折扣并</w:t>
      </w:r>
      <w:r>
        <w:rPr>
          <w:rFonts w:hint="eastAsia" w:ascii="宋体" w:hAnsi="宋体" w:eastAsia="宋体" w:cs="宋体"/>
          <w:sz w:val="24"/>
          <w:szCs w:val="28"/>
        </w:rPr>
        <w:t>获得政府采购合同的</w:t>
      </w:r>
      <w:r>
        <w:rPr>
          <w:rFonts w:hint="eastAsia" w:ascii="宋体" w:hAnsi="宋体" w:eastAsia="宋体" w:cs="宋体"/>
          <w:sz w:val="24"/>
          <w:szCs w:val="28"/>
          <w:lang w:eastAsia="zh-CN"/>
        </w:rPr>
        <w:t>：</w:t>
      </w:r>
      <w:r>
        <w:rPr>
          <w:rFonts w:hint="eastAsia" w:ascii="宋体" w:hAnsi="宋体" w:eastAsia="宋体" w:cs="宋体"/>
          <w:sz w:val="24"/>
          <w:szCs w:val="28"/>
        </w:rPr>
        <w:t>小微企业不得将合同分包给大中型企业</w:t>
      </w:r>
      <w:r>
        <w:rPr>
          <w:rFonts w:hint="eastAsia" w:ascii="宋体" w:hAnsi="宋体" w:eastAsia="宋体" w:cs="宋体"/>
          <w:sz w:val="24"/>
          <w:szCs w:val="28"/>
          <w:lang w:eastAsia="zh-CN"/>
        </w:rPr>
        <w:t>；</w:t>
      </w:r>
      <w:r>
        <w:rPr>
          <w:rFonts w:hint="eastAsia" w:ascii="宋体" w:hAnsi="宋体" w:eastAsia="宋体" w:cs="宋体"/>
          <w:sz w:val="24"/>
          <w:szCs w:val="28"/>
        </w:rPr>
        <w:t>中型企业不得将合同分包给大型企业</w:t>
      </w:r>
      <w:r>
        <w:rPr>
          <w:rFonts w:hint="eastAsia" w:ascii="宋体" w:hAnsi="宋体" w:eastAsia="宋体" w:cs="宋体"/>
          <w:sz w:val="24"/>
          <w:szCs w:val="28"/>
          <w:lang w:eastAsia="zh-CN"/>
        </w:rPr>
        <w:t>。</w:t>
      </w:r>
    </w:p>
    <w:p w14:paraId="123C4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7）对于经主管预算单位统筹后未预留份额专门面向中小企业采购的采购项目，以及预留份额项目中的非预留部分采购包，对符合《政府采购促进中小企业发展管理办法》（财库﹝2020﹞46号）和《山西省财政厅关于进一步加大政府采购支持中小企业力度助力扎实稳住经济的通知》（晋财购〔2022〕6号）规定的小微企业报价给予15%（工程项目为5%）的扣除，用扣除后的价格参加评审。</w:t>
      </w:r>
    </w:p>
    <w:p w14:paraId="0CC85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9</w:t>
      </w:r>
      <w:r>
        <w:rPr>
          <w:rFonts w:hint="eastAsia" w:ascii="宋体" w:hAnsi="宋体" w:eastAsia="宋体" w:cs="宋体"/>
          <w:sz w:val="24"/>
          <w:szCs w:val="28"/>
        </w:rPr>
        <w:t>）残疾人福利性单位参加本项目的评审标准</w:t>
      </w:r>
    </w:p>
    <w:p w14:paraId="0902A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sz w:val="24"/>
          <w:szCs w:val="28"/>
          <w:lang w:eastAsia="zh-CN"/>
        </w:rPr>
        <w:t>）</w:t>
      </w:r>
      <w:r>
        <w:rPr>
          <w:rFonts w:hint="eastAsia" w:ascii="宋体" w:hAnsi="宋体" w:eastAsia="宋体" w:cs="宋体"/>
          <w:sz w:val="24"/>
          <w:szCs w:val="28"/>
        </w:rPr>
        <w:t>须根据财库【2017】141号《关于促进残疾人就业政府采购政策的通知》的要求，如实填写《残疾人福利性单位声明函》，残疾人福利性单位参加本项目投标时，享受</w:t>
      </w:r>
      <w:r>
        <w:rPr>
          <w:rFonts w:hint="eastAsia" w:ascii="宋体" w:hAnsi="宋体" w:eastAsia="宋体" w:cs="宋体"/>
          <w:sz w:val="24"/>
          <w:szCs w:val="28"/>
          <w:lang w:val="en-US" w:eastAsia="zh-CN"/>
        </w:rPr>
        <w:t>等同于小微企业</w:t>
      </w:r>
      <w:r>
        <w:rPr>
          <w:rFonts w:hint="eastAsia" w:ascii="宋体" w:hAnsi="宋体" w:eastAsia="宋体" w:cs="宋体"/>
          <w:sz w:val="24"/>
          <w:szCs w:val="28"/>
        </w:rPr>
        <w:t>的价格折扣，用扣除后的价格参与评审。</w:t>
      </w:r>
    </w:p>
    <w:p w14:paraId="50A14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lang w:eastAsia="zh-CN"/>
        </w:rPr>
        <w:t>）</w:t>
      </w:r>
      <w:r>
        <w:rPr>
          <w:rFonts w:hint="eastAsia" w:ascii="宋体" w:hAnsi="宋体" w:eastAsia="宋体" w:cs="宋体"/>
          <w:sz w:val="24"/>
          <w:szCs w:val="28"/>
        </w:rPr>
        <w:t>享受政府采购支持政策的残疾人福利性单位应当同时满足以下条件：</w:t>
      </w:r>
    </w:p>
    <w:p w14:paraId="1C57B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①</w:t>
      </w:r>
      <w:r>
        <w:rPr>
          <w:rFonts w:hint="eastAsia" w:ascii="宋体" w:hAnsi="宋体" w:eastAsia="宋体" w:cs="宋体"/>
          <w:sz w:val="24"/>
          <w:szCs w:val="28"/>
        </w:rPr>
        <w:t>安置的残疾人占本单位在职职工人数的比例不低于25%（含25%），并且安置的残疾人人数不少于10人（含10人）；</w:t>
      </w:r>
    </w:p>
    <w:p w14:paraId="2AAC9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②</w:t>
      </w:r>
      <w:r>
        <w:rPr>
          <w:rFonts w:hint="eastAsia" w:ascii="宋体" w:hAnsi="宋体" w:eastAsia="宋体" w:cs="宋体"/>
          <w:sz w:val="24"/>
          <w:szCs w:val="28"/>
        </w:rPr>
        <w:t>依法与安置的每位残疾人签订了一年以上（含一年）的劳动合同或服务协议；</w:t>
      </w:r>
    </w:p>
    <w:p w14:paraId="40088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③</w:t>
      </w:r>
      <w:r>
        <w:rPr>
          <w:rFonts w:hint="eastAsia" w:ascii="宋体" w:hAnsi="宋体" w:eastAsia="宋体" w:cs="宋体"/>
          <w:sz w:val="24"/>
          <w:szCs w:val="28"/>
        </w:rPr>
        <w:t>为安置的每位残疾人按月足额缴纳了基本养老保险、基本医疗保险、失业保险、工伤保险和生育保险等社会保险费；</w:t>
      </w:r>
    </w:p>
    <w:p w14:paraId="1E5CD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④</w:t>
      </w:r>
      <w:r>
        <w:rPr>
          <w:rFonts w:hint="eastAsia" w:ascii="宋体" w:hAnsi="宋体" w:eastAsia="宋体" w:cs="宋体"/>
          <w:sz w:val="24"/>
          <w:szCs w:val="28"/>
        </w:rPr>
        <w:t>通过银行等金融机构向安置的每位残疾人，按月支付了不低于单位所在区县适用的经省级人民政府批准的月最低工资标准的工资；</w:t>
      </w:r>
    </w:p>
    <w:p w14:paraId="1C4FD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lang w:val="en-US" w:eastAsia="zh-CN"/>
        </w:rPr>
        <w:t>⑤</w:t>
      </w:r>
      <w:r>
        <w:rPr>
          <w:rFonts w:hint="eastAsia" w:ascii="宋体" w:hAnsi="宋体" w:eastAsia="宋体" w:cs="宋体"/>
          <w:sz w:val="24"/>
          <w:szCs w:val="28"/>
        </w:rPr>
        <w:t>提供本单位制造的货物、承担的工程或者服务（以下简称产品），或者提供其他残疾人福利性单位制造的货物（不包括使用非残疾人福利性单位注册商标的货物）</w:t>
      </w:r>
      <w:r>
        <w:rPr>
          <w:rFonts w:hint="eastAsia" w:ascii="宋体" w:hAnsi="宋体" w:cs="宋体"/>
          <w:sz w:val="24"/>
          <w:szCs w:val="28"/>
          <w:lang w:eastAsia="zh-CN"/>
        </w:rPr>
        <w:t>；</w:t>
      </w:r>
    </w:p>
    <w:p w14:paraId="3401E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⑥</w:t>
      </w:r>
      <w:r>
        <w:rPr>
          <w:rFonts w:hint="eastAsia" w:ascii="宋体" w:hAnsi="宋体" w:eastAsia="宋体" w:cs="宋体"/>
          <w:sz w:val="24"/>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8936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⑦</w:t>
      </w:r>
      <w:r>
        <w:rPr>
          <w:rFonts w:hint="eastAsia" w:ascii="宋体" w:hAnsi="宋体" w:eastAsia="宋体" w:cs="宋体"/>
          <w:sz w:val="24"/>
          <w:szCs w:val="28"/>
        </w:rPr>
        <w:t>供应商提供的《残疾人福利性单位声明函》与事实不符的，依照《政府采购法》第七十七条第一款的规定追究法律责任；</w:t>
      </w:r>
    </w:p>
    <w:p w14:paraId="4B9BD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⑧</w:t>
      </w:r>
      <w:r>
        <w:rPr>
          <w:rFonts w:hint="eastAsia" w:ascii="宋体" w:hAnsi="宋体" w:eastAsia="宋体" w:cs="宋体"/>
          <w:sz w:val="24"/>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569F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10</w:t>
      </w:r>
      <w:r>
        <w:rPr>
          <w:rFonts w:hint="eastAsia" w:ascii="宋体" w:hAnsi="宋体" w:eastAsia="宋体" w:cs="宋体"/>
          <w:sz w:val="24"/>
          <w:szCs w:val="28"/>
        </w:rPr>
        <w:t>）监狱企业参加本项目的评审标准</w:t>
      </w:r>
    </w:p>
    <w:p w14:paraId="3C442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1）监狱企业参加投标视同小微企业，需提供由省级以上监狱管理局或戒毒管理局出具的属于监狱企业的证明文件。</w:t>
      </w:r>
    </w:p>
    <w:p w14:paraId="3A9DC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2）监狱企业只有提供本企业制造的货物或服务，或者提供其他小、微企业制造的货物，享受</w:t>
      </w:r>
      <w:r>
        <w:rPr>
          <w:rFonts w:hint="eastAsia" w:ascii="宋体" w:hAnsi="宋体" w:eastAsia="宋体" w:cs="宋体"/>
          <w:sz w:val="24"/>
          <w:szCs w:val="28"/>
          <w:lang w:val="en-US" w:eastAsia="zh-CN"/>
        </w:rPr>
        <w:t>等同于小微企业</w:t>
      </w:r>
      <w:r>
        <w:rPr>
          <w:rFonts w:hint="eastAsia" w:ascii="宋体" w:hAnsi="宋体" w:eastAsia="宋体" w:cs="宋体"/>
          <w:sz w:val="24"/>
          <w:szCs w:val="28"/>
        </w:rPr>
        <w:t>的价格折扣。</w:t>
      </w:r>
    </w:p>
    <w:p w14:paraId="657D6E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3）监狱企业与中型企业组成联合体参加投标的，或者向监狱企业分包，且联合体协议或分包意向协议约定监狱企业的协议金额占到合同金额30%以上的，享受投标标的</w:t>
      </w:r>
      <w:r>
        <w:rPr>
          <w:rFonts w:hint="eastAsia" w:ascii="宋体" w:hAnsi="宋体" w:eastAsia="宋体" w:cs="宋体"/>
          <w:sz w:val="24"/>
          <w:szCs w:val="28"/>
          <w:lang w:val="en-US" w:eastAsia="zh-CN"/>
        </w:rPr>
        <w:t>一定比例</w:t>
      </w:r>
      <w:r>
        <w:rPr>
          <w:rFonts w:hint="eastAsia" w:ascii="宋体" w:hAnsi="宋体" w:eastAsia="宋体" w:cs="宋体"/>
          <w:sz w:val="24"/>
          <w:szCs w:val="28"/>
        </w:rPr>
        <w:t>的价格扣除，用扣除后的价格参与评审。</w:t>
      </w:r>
    </w:p>
    <w:p w14:paraId="08715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11</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专门面向中小企业采购的项目，不重复执行中小企业发展、促进残疾人就业、支持监狱企业发展的价格优惠政策。</w:t>
      </w:r>
    </w:p>
    <w:p w14:paraId="20CF8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12</w:t>
      </w:r>
      <w:r>
        <w:rPr>
          <w:rFonts w:hint="eastAsia" w:ascii="宋体" w:hAnsi="宋体" w:eastAsia="宋体" w:cs="宋体"/>
          <w:sz w:val="24"/>
          <w:szCs w:val="28"/>
        </w:rPr>
        <w:t>）本项目涉及商品包装和快递包装的评审标准</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严格落实《商品包装政府采购需求标准（试行）》《快递包装政府采购需求标准（试行）》。</w:t>
      </w:r>
      <w:r>
        <w:rPr>
          <w:rFonts w:hint="eastAsia" w:ascii="宋体" w:hAnsi="宋体" w:eastAsia="宋体" w:cs="宋体"/>
          <w:sz w:val="24"/>
          <w:szCs w:val="28"/>
        </w:rPr>
        <w:t>本项目涉及商品包装和快递包装要求的，投标人须填写《商品包装和快递包装承诺函》（</w:t>
      </w:r>
      <w:r>
        <w:rPr>
          <w:rFonts w:hint="eastAsia" w:ascii="宋体" w:hAnsi="宋体" w:eastAsia="宋体" w:cs="宋体"/>
          <w:sz w:val="24"/>
          <w:szCs w:val="28"/>
          <w:lang w:eastAsia="zh-CN"/>
        </w:rPr>
        <w:t>格式见第六部分</w:t>
      </w:r>
      <w:r>
        <w:rPr>
          <w:rFonts w:hint="eastAsia" w:ascii="宋体" w:hAnsi="宋体" w:eastAsia="宋体" w:cs="宋体"/>
          <w:sz w:val="24"/>
          <w:szCs w:val="28"/>
        </w:rPr>
        <w:t>）。</w:t>
      </w:r>
    </w:p>
    <w:p w14:paraId="4CE20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（13）涉及绿色建筑和绿色建材政府强制采购的要求：</w:t>
      </w:r>
    </w:p>
    <w:p w14:paraId="551F1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六部分）。</w:t>
      </w:r>
    </w:p>
    <w:p w14:paraId="11C8B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sz w:val="24"/>
          <w:szCs w:val="28"/>
          <w:lang w:val="en-US" w:eastAsia="zh-CN"/>
        </w:rPr>
        <w:t>（14）本项目涉及创新产品、创新服务的要求：投标产品或服务属于《山西省创新产品和服务推荐清单》中创新产品或创新服务的，在评审中给予评审加分或价格折扣6%。</w:t>
      </w:r>
    </w:p>
    <w:p w14:paraId="4AEA509D">
      <w:pPr>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32.需要补充的其他内容</w:t>
      </w:r>
    </w:p>
    <w:p w14:paraId="092E5FBD">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详见投标人须知前附表。</w:t>
      </w:r>
      <w:r>
        <w:rPr>
          <w:rFonts w:hint="eastAsia" w:ascii="宋体" w:hAnsi="宋体" w:eastAsia="宋体" w:cs="宋体"/>
          <w:kern w:val="0"/>
          <w:sz w:val="24"/>
        </w:rPr>
        <w:br w:type="page"/>
      </w:r>
    </w:p>
    <w:p w14:paraId="3974F0A9">
      <w:pPr>
        <w:pStyle w:val="2"/>
        <w:bidi w:val="0"/>
        <w:rPr>
          <w:rFonts w:hint="eastAsia" w:ascii="宋体" w:hAnsi="宋体" w:eastAsia="宋体" w:cs="宋体"/>
        </w:rPr>
      </w:pPr>
      <w:bookmarkStart w:id="82" w:name="_Toc23672"/>
      <w:r>
        <w:rPr>
          <w:rFonts w:hint="eastAsia" w:ascii="宋体" w:hAnsi="宋体" w:eastAsia="宋体" w:cs="宋体"/>
        </w:rPr>
        <w:t>第三部分  评标</w:t>
      </w:r>
      <w:bookmarkEnd w:id="32"/>
      <w:bookmarkEnd w:id="33"/>
      <w:r>
        <w:rPr>
          <w:rFonts w:hint="eastAsia" w:ascii="宋体" w:hAnsi="宋体" w:eastAsia="宋体" w:cs="宋体"/>
        </w:rPr>
        <w:t>办法</w:t>
      </w:r>
      <w:bookmarkEnd w:id="82"/>
    </w:p>
    <w:p w14:paraId="0DE9B1A8">
      <w:pPr>
        <w:pStyle w:val="3"/>
        <w:autoSpaceDE w:val="0"/>
        <w:autoSpaceDN w:val="0"/>
        <w:adjustRightInd w:val="0"/>
        <w:spacing w:after="140" w:line="240" w:lineRule="auto"/>
        <w:rPr>
          <w:rFonts w:hint="eastAsia" w:ascii="宋体" w:hAnsi="宋体" w:eastAsia="宋体" w:cs="宋体"/>
          <w:b/>
          <w:bCs/>
        </w:rPr>
      </w:pPr>
      <w:bookmarkStart w:id="83" w:name="_Toc175644027"/>
      <w:r>
        <w:rPr>
          <w:rFonts w:hint="eastAsia" w:ascii="宋体" w:hAnsi="宋体" w:eastAsia="宋体" w:cs="宋体"/>
          <w:b/>
          <w:bCs/>
        </w:rPr>
        <w:t>一、评标办法前附表</w:t>
      </w:r>
    </w:p>
    <w:bookmarkEnd w:id="83"/>
    <w:p w14:paraId="45D6CEC4">
      <w:pPr>
        <w:rPr>
          <w:rFonts w:hint="eastAsia" w:ascii="宋体" w:hAnsi="宋体" w:eastAsia="宋体" w:cs="宋体"/>
          <w:kern w:val="44"/>
        </w:rPr>
      </w:pPr>
      <w:bookmarkStart w:id="84" w:name="_Toc326737322"/>
      <w:bookmarkStart w:id="85" w:name="_Toc175644030"/>
    </w:p>
    <w:p w14:paraId="676AA3F8">
      <w:pPr>
        <w:pStyle w:val="4"/>
        <w:spacing w:before="0" w:after="0" w:line="360" w:lineRule="auto"/>
        <w:rPr>
          <w:rFonts w:hint="eastAsia" w:ascii="宋体" w:hAnsi="宋体" w:eastAsia="宋体" w:cs="宋体"/>
          <w:sz w:val="28"/>
          <w:szCs w:val="28"/>
        </w:rPr>
      </w:pPr>
      <w:bookmarkStart w:id="86" w:name="_Toc13817"/>
      <w:bookmarkStart w:id="87" w:name="_Toc19091"/>
      <w:bookmarkStart w:id="88" w:name="_Toc13259"/>
      <w:bookmarkStart w:id="89" w:name="_Toc30355"/>
      <w:bookmarkStart w:id="90" w:name="_Toc7417"/>
      <w:bookmarkStart w:id="91" w:name="_Toc326247998"/>
      <w:bookmarkStart w:id="92" w:name="_Toc352761951"/>
      <w:r>
        <w:rPr>
          <w:rFonts w:hint="eastAsia" w:ascii="宋体" w:hAnsi="宋体" w:eastAsia="宋体" w:cs="宋体"/>
          <w:sz w:val="28"/>
          <w:szCs w:val="28"/>
        </w:rPr>
        <w:t>1、资格审查内容及标准</w:t>
      </w:r>
      <w:bookmarkEnd w:id="86"/>
      <w:bookmarkEnd w:id="87"/>
      <w:bookmarkEnd w:id="88"/>
      <w:bookmarkEnd w:id="89"/>
      <w:bookmarkEnd w:id="90"/>
      <w:r>
        <w:rPr>
          <w:rFonts w:hint="eastAsia" w:ascii="宋体" w:hAnsi="宋体" w:eastAsia="宋体" w:cs="宋体"/>
          <w:sz w:val="28"/>
          <w:szCs w:val="28"/>
        </w:rPr>
        <w:t>：</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1"/>
        <w:gridCol w:w="3690"/>
        <w:gridCol w:w="4982"/>
      </w:tblGrid>
      <w:tr w14:paraId="6EC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shd w:val="clear" w:color="auto" w:fill="F8F8F8"/>
            <w:vAlign w:val="center"/>
          </w:tcPr>
          <w:p w14:paraId="65C3A945">
            <w:pPr>
              <w:pStyle w:val="36"/>
              <w:keepNext w:val="0"/>
              <w:keepLines w:val="0"/>
              <w:pageBreakBefore w:val="0"/>
              <w:wordWrap/>
              <w:overflowPunct/>
              <w:topLinePunct w:val="0"/>
              <w:bidi w:val="0"/>
              <w:spacing w:line="221" w:lineRule="auto"/>
              <w:ind w:left="0" w:right="0"/>
              <w:jc w:val="center"/>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类型</w:t>
            </w:r>
          </w:p>
        </w:tc>
        <w:tc>
          <w:tcPr>
            <w:tcW w:w="1891" w:type="pct"/>
            <w:shd w:val="clear" w:color="auto" w:fill="F8F8F8"/>
            <w:vAlign w:val="center"/>
          </w:tcPr>
          <w:p w14:paraId="65753EDC">
            <w:pPr>
              <w:pStyle w:val="36"/>
              <w:keepNext w:val="0"/>
              <w:keepLines w:val="0"/>
              <w:pageBreakBefore w:val="0"/>
              <w:wordWrap/>
              <w:overflowPunct/>
              <w:topLinePunct w:val="0"/>
              <w:bidi w:val="0"/>
              <w:spacing w:line="222" w:lineRule="auto"/>
              <w:ind w:left="0" w:right="0"/>
              <w:jc w:val="center"/>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审查要求</w:t>
            </w:r>
          </w:p>
        </w:tc>
        <w:tc>
          <w:tcPr>
            <w:tcW w:w="2553" w:type="pct"/>
            <w:shd w:val="clear" w:color="auto" w:fill="F8F8F8"/>
            <w:vAlign w:val="center"/>
          </w:tcPr>
          <w:p w14:paraId="6C3C3C14">
            <w:pPr>
              <w:pStyle w:val="36"/>
              <w:keepNext w:val="0"/>
              <w:keepLines w:val="0"/>
              <w:pageBreakBefore w:val="0"/>
              <w:wordWrap/>
              <w:overflowPunct/>
              <w:topLinePunct w:val="0"/>
              <w:bidi w:val="0"/>
              <w:spacing w:line="221" w:lineRule="auto"/>
              <w:ind w:left="0" w:right="0"/>
              <w:jc w:val="center"/>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要求说明</w:t>
            </w:r>
          </w:p>
        </w:tc>
      </w:tr>
      <w:tr w14:paraId="649E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791A49EC">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营业执照</w:t>
            </w:r>
          </w:p>
        </w:tc>
        <w:tc>
          <w:tcPr>
            <w:tcW w:w="1891" w:type="pct"/>
            <w:vAlign w:val="center"/>
          </w:tcPr>
          <w:p w14:paraId="091AE26D">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具有独立承担民事责任的能力</w:t>
            </w:r>
          </w:p>
        </w:tc>
        <w:tc>
          <w:tcPr>
            <w:tcW w:w="2553" w:type="pct"/>
            <w:vAlign w:val="center"/>
          </w:tcPr>
          <w:p w14:paraId="2EC00ED4">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5CD251B3">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229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22E44194">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财务报告</w:t>
            </w:r>
          </w:p>
        </w:tc>
        <w:tc>
          <w:tcPr>
            <w:tcW w:w="1891" w:type="pct"/>
            <w:vAlign w:val="center"/>
          </w:tcPr>
          <w:p w14:paraId="46465853">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具有良好的商业信誉和健全的财务会计制度</w:t>
            </w:r>
          </w:p>
        </w:tc>
        <w:tc>
          <w:tcPr>
            <w:tcW w:w="2553" w:type="pct"/>
            <w:vAlign w:val="center"/>
          </w:tcPr>
          <w:p w14:paraId="689CC087">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5E8333BC">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0F5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5D24B646">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基本资质</w:t>
            </w:r>
          </w:p>
        </w:tc>
        <w:tc>
          <w:tcPr>
            <w:tcW w:w="1891" w:type="pct"/>
            <w:vAlign w:val="center"/>
          </w:tcPr>
          <w:p w14:paraId="29327B08">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具有履行合同所必需的设备和专业技术能力</w:t>
            </w:r>
          </w:p>
        </w:tc>
        <w:tc>
          <w:tcPr>
            <w:tcW w:w="2553" w:type="pct"/>
            <w:vAlign w:val="center"/>
          </w:tcPr>
          <w:p w14:paraId="7DBE1932">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7F0954B2">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117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2D3548EF">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基本资质</w:t>
            </w:r>
          </w:p>
        </w:tc>
        <w:tc>
          <w:tcPr>
            <w:tcW w:w="1891" w:type="pct"/>
            <w:vAlign w:val="center"/>
          </w:tcPr>
          <w:p w14:paraId="10640637">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有依法缴纳税收和社会保障资金的良好记录</w:t>
            </w:r>
          </w:p>
        </w:tc>
        <w:tc>
          <w:tcPr>
            <w:tcW w:w="2553" w:type="pct"/>
            <w:vAlign w:val="center"/>
          </w:tcPr>
          <w:p w14:paraId="082B5757">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331A4C4E">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3681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6EEA2646">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基本资质</w:t>
            </w:r>
          </w:p>
        </w:tc>
        <w:tc>
          <w:tcPr>
            <w:tcW w:w="1891" w:type="pct"/>
            <w:vAlign w:val="center"/>
          </w:tcPr>
          <w:p w14:paraId="4EE67447">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参加政府采购活动前三年内，在经营活动中没 有重大违法记录</w:t>
            </w:r>
          </w:p>
        </w:tc>
        <w:tc>
          <w:tcPr>
            <w:tcW w:w="2553" w:type="pct"/>
            <w:vAlign w:val="center"/>
          </w:tcPr>
          <w:p w14:paraId="55E62BFC">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4F34D848">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792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vAlign w:val="center"/>
          </w:tcPr>
          <w:p w14:paraId="22FAFFBD">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基本资质</w:t>
            </w:r>
          </w:p>
        </w:tc>
        <w:tc>
          <w:tcPr>
            <w:tcW w:w="1891" w:type="pct"/>
            <w:vAlign w:val="center"/>
          </w:tcPr>
          <w:p w14:paraId="1DF8B3FF">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政府采购活动承诺书</w:t>
            </w:r>
          </w:p>
        </w:tc>
        <w:tc>
          <w:tcPr>
            <w:tcW w:w="2553" w:type="pct"/>
            <w:vAlign w:val="center"/>
          </w:tcPr>
          <w:p w14:paraId="233087ED">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提供供应商信用承诺书。</w:t>
            </w:r>
          </w:p>
          <w:p w14:paraId="10291A8B">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以上证明材料须符合要求、有效、完整。否则 , 响应无效。</w:t>
            </w:r>
          </w:p>
        </w:tc>
      </w:tr>
      <w:tr w14:paraId="402F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54" w:type="pct"/>
            <w:shd w:val="clear" w:color="auto" w:fill="auto"/>
            <w:vAlign w:val="center"/>
          </w:tcPr>
          <w:p w14:paraId="5317F2A8">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基本资质</w:t>
            </w:r>
          </w:p>
        </w:tc>
        <w:tc>
          <w:tcPr>
            <w:tcW w:w="1891" w:type="pct"/>
            <w:shd w:val="clear" w:color="auto" w:fill="auto"/>
            <w:vAlign w:val="center"/>
          </w:tcPr>
          <w:p w14:paraId="6226456C">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保证金的交纳及开户许可证</w:t>
            </w:r>
          </w:p>
        </w:tc>
        <w:tc>
          <w:tcPr>
            <w:tcW w:w="2553" w:type="pct"/>
            <w:shd w:val="clear" w:color="auto" w:fill="auto"/>
            <w:vAlign w:val="center"/>
          </w:tcPr>
          <w:p w14:paraId="33BE3BF3">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1、提供证明已缴纳投标保证金的凭证或票 据或保函等复印件。</w:t>
            </w:r>
          </w:p>
          <w:p w14:paraId="0396927F">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2、开户许可证或基本存款账户信息复印件。 交纳金额和形式符合文件要求</w:t>
            </w:r>
          </w:p>
        </w:tc>
      </w:tr>
    </w:tbl>
    <w:p w14:paraId="5FD74264">
      <w:pPr>
        <w:tabs>
          <w:tab w:val="left" w:pos="567"/>
        </w:tabs>
        <w:adjustRightInd w:val="0"/>
        <w:snapToGrid w:val="0"/>
        <w:spacing w:line="400" w:lineRule="exact"/>
        <w:jc w:val="left"/>
        <w:rPr>
          <w:rFonts w:hint="eastAsia" w:ascii="宋体" w:hAnsi="宋体" w:eastAsia="宋体" w:cs="宋体"/>
          <w:b/>
          <w:bCs/>
          <w:szCs w:val="21"/>
        </w:rPr>
      </w:pPr>
    </w:p>
    <w:p w14:paraId="483C7EA5">
      <w:pPr>
        <w:tabs>
          <w:tab w:val="left" w:pos="567"/>
        </w:tabs>
        <w:adjustRightInd w:val="0"/>
        <w:snapToGrid w:val="0"/>
        <w:spacing w:line="400" w:lineRule="exact"/>
        <w:ind w:firstLine="422" w:firstLineChars="200"/>
        <w:jc w:val="left"/>
        <w:rPr>
          <w:rFonts w:hint="eastAsia" w:ascii="宋体" w:hAnsi="宋体" w:eastAsia="宋体" w:cs="宋体"/>
          <w:szCs w:val="21"/>
        </w:rPr>
      </w:pPr>
      <w:r>
        <w:rPr>
          <w:rFonts w:hint="eastAsia" w:ascii="宋体" w:hAnsi="宋体" w:eastAsia="宋体" w:cs="宋体"/>
          <w:b/>
          <w:bCs/>
          <w:szCs w:val="21"/>
        </w:rPr>
        <w:t>说明：除上述内容外，投标人提供的其他材料，不作为资格审查的内容。</w:t>
      </w:r>
    </w:p>
    <w:p w14:paraId="0A5EEA33">
      <w:pPr>
        <w:tabs>
          <w:tab w:val="left" w:pos="567"/>
        </w:tabs>
        <w:adjustRightInd w:val="0"/>
        <w:snapToGrid w:val="0"/>
        <w:spacing w:line="400" w:lineRule="exact"/>
        <w:jc w:val="left"/>
        <w:rPr>
          <w:rFonts w:hint="eastAsia" w:ascii="宋体" w:hAnsi="宋体" w:eastAsia="宋体" w:cs="宋体"/>
          <w:b/>
          <w:bCs/>
          <w:szCs w:val="21"/>
        </w:rPr>
      </w:pPr>
      <w:bookmarkStart w:id="93" w:name="_Toc23890"/>
      <w:bookmarkStart w:id="94" w:name="_Toc13712"/>
      <w:bookmarkStart w:id="95" w:name="_Toc18914"/>
      <w:bookmarkStart w:id="96" w:name="_Toc1634"/>
      <w:bookmarkStart w:id="97" w:name="_Toc16003"/>
    </w:p>
    <w:p w14:paraId="4AB2E965">
      <w:pPr>
        <w:pStyle w:val="4"/>
        <w:spacing w:before="0" w:after="0" w:line="360" w:lineRule="auto"/>
        <w:rPr>
          <w:rFonts w:hint="eastAsia" w:ascii="宋体" w:hAnsi="宋体" w:eastAsia="宋体" w:cs="宋体"/>
          <w:color w:val="000000"/>
          <w:sz w:val="28"/>
          <w:szCs w:val="28"/>
        </w:rPr>
      </w:pPr>
      <w:r>
        <w:rPr>
          <w:rFonts w:hint="eastAsia" w:ascii="宋体" w:hAnsi="宋体" w:eastAsia="宋体" w:cs="宋体"/>
          <w:sz w:val="28"/>
          <w:szCs w:val="28"/>
        </w:rPr>
        <w:t>2、符合性审查的内容及标准</w:t>
      </w:r>
      <w:bookmarkEnd w:id="93"/>
      <w:bookmarkEnd w:id="94"/>
      <w:bookmarkEnd w:id="95"/>
      <w:bookmarkEnd w:id="96"/>
      <w:bookmarkEnd w:id="97"/>
      <w:r>
        <w:rPr>
          <w:rFonts w:hint="eastAsia" w:ascii="宋体" w:hAnsi="宋体" w:eastAsia="宋体" w:cs="宋体"/>
          <w:sz w:val="28"/>
          <w:szCs w:val="28"/>
        </w:rPr>
        <w:t>：</w:t>
      </w:r>
      <w:r>
        <w:rPr>
          <w:rFonts w:hint="eastAsia" w:ascii="宋体" w:hAnsi="宋体" w:eastAsia="宋体" w:cs="宋体"/>
          <w:color w:val="000000"/>
          <w:sz w:val="28"/>
          <w:szCs w:val="28"/>
        </w:rPr>
        <w:t>（商务、技术部分需上传包括资格在内的全部投标文件）</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267"/>
        <w:gridCol w:w="2718"/>
        <w:gridCol w:w="5158"/>
      </w:tblGrid>
      <w:tr w14:paraId="3081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7" w:type="pct"/>
            <w:vAlign w:val="center"/>
          </w:tcPr>
          <w:p w14:paraId="3D3BB540">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636" w:type="pct"/>
            <w:vAlign w:val="center"/>
          </w:tcPr>
          <w:p w14:paraId="332C8D3F">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kern w:val="0"/>
                <w:szCs w:val="21"/>
              </w:rPr>
            </w:pPr>
            <w:r>
              <w:rPr>
                <w:rFonts w:hint="eastAsia" w:ascii="宋体" w:hAnsi="宋体" w:eastAsia="宋体" w:cs="宋体"/>
                <w:b/>
                <w:bCs/>
                <w:szCs w:val="21"/>
              </w:rPr>
              <w:t>内容</w:t>
            </w:r>
          </w:p>
        </w:tc>
        <w:tc>
          <w:tcPr>
            <w:tcW w:w="1365" w:type="pct"/>
            <w:vAlign w:val="center"/>
          </w:tcPr>
          <w:p w14:paraId="5E3EE63D">
            <w:pPr>
              <w:pStyle w:val="3"/>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sz w:val="21"/>
                <w:szCs w:val="21"/>
              </w:rPr>
              <w:t>审查项目</w:t>
            </w:r>
          </w:p>
        </w:tc>
        <w:tc>
          <w:tcPr>
            <w:tcW w:w="2590" w:type="pct"/>
            <w:vAlign w:val="center"/>
          </w:tcPr>
          <w:p w14:paraId="782760D2">
            <w:pPr>
              <w:pStyle w:val="3"/>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sz w:val="21"/>
                <w:szCs w:val="21"/>
              </w:rPr>
              <w:t>审查标准</w:t>
            </w:r>
          </w:p>
        </w:tc>
      </w:tr>
      <w:tr w14:paraId="20C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vAlign w:val="center"/>
          </w:tcPr>
          <w:p w14:paraId="355471EC">
            <w:pPr>
              <w:pageBreakBefore w:val="0"/>
              <w:widowControl/>
              <w:kinsoku/>
              <w:wordWrap/>
              <w:overflowPunct/>
              <w:topLinePunct w:val="0"/>
              <w:autoSpaceDE/>
              <w:autoSpaceDN/>
              <w:bidi w:val="0"/>
              <w:jc w:val="center"/>
              <w:textAlignment w:val="auto"/>
              <w:rPr>
                <w:rFonts w:hint="eastAsia" w:ascii="宋体" w:hAnsi="宋体" w:eastAsia="宋体" w:cs="宋体"/>
                <w:szCs w:val="21"/>
              </w:rPr>
            </w:pPr>
            <w:r>
              <w:rPr>
                <w:rFonts w:hint="eastAsia" w:ascii="宋体" w:hAnsi="宋体" w:eastAsia="宋体" w:cs="宋体"/>
                <w:szCs w:val="21"/>
              </w:rPr>
              <w:t>1</w:t>
            </w:r>
          </w:p>
        </w:tc>
        <w:tc>
          <w:tcPr>
            <w:tcW w:w="636" w:type="pct"/>
            <w:vAlign w:val="center"/>
          </w:tcPr>
          <w:p w14:paraId="1EB878CD">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bCs/>
                <w:szCs w:val="21"/>
              </w:rPr>
            </w:pPr>
            <w:r>
              <w:rPr>
                <w:rFonts w:hint="eastAsia" w:ascii="宋体" w:hAnsi="宋体" w:eastAsia="宋体" w:cs="宋体"/>
                <w:szCs w:val="21"/>
              </w:rPr>
              <w:t>商务资信</w:t>
            </w:r>
          </w:p>
        </w:tc>
        <w:tc>
          <w:tcPr>
            <w:tcW w:w="1365" w:type="pct"/>
            <w:vAlign w:val="center"/>
          </w:tcPr>
          <w:p w14:paraId="7C5881A2">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bCs/>
                <w:szCs w:val="21"/>
              </w:rPr>
            </w:pPr>
            <w:r>
              <w:rPr>
                <w:rFonts w:hint="eastAsia" w:ascii="宋体" w:hAnsi="宋体" w:eastAsia="宋体" w:cs="宋体"/>
                <w:szCs w:val="21"/>
              </w:rPr>
              <w:t>投标函</w:t>
            </w:r>
          </w:p>
        </w:tc>
        <w:tc>
          <w:tcPr>
            <w:tcW w:w="2590" w:type="pct"/>
            <w:vAlign w:val="center"/>
          </w:tcPr>
          <w:p w14:paraId="06499E1B">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rPr>
            </w:pPr>
            <w:r>
              <w:rPr>
                <w:rFonts w:hint="eastAsia" w:ascii="宋体" w:hAnsi="宋体" w:eastAsia="宋体" w:cs="宋体"/>
                <w:szCs w:val="21"/>
              </w:rPr>
              <w:t>审核投标函须按招标文件中提供的格式填写，且内容完整、准确、真实、有效。投标函须按招标文件要求签字、盖章。</w:t>
            </w:r>
          </w:p>
          <w:p w14:paraId="79D393E9">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rPr>
            </w:pPr>
            <w:r>
              <w:rPr>
                <w:rFonts w:hint="eastAsia" w:ascii="宋体" w:hAnsi="宋体" w:eastAsia="宋体" w:cs="宋体"/>
                <w:szCs w:val="21"/>
              </w:rPr>
              <w:t>不符合以上要求的或未提供的，投标无效。</w:t>
            </w:r>
          </w:p>
        </w:tc>
      </w:tr>
      <w:tr w14:paraId="12D8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07" w:type="pct"/>
            <w:vAlign w:val="center"/>
          </w:tcPr>
          <w:p w14:paraId="1EEE5141">
            <w:pPr>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kern w:val="0"/>
                <w:szCs w:val="21"/>
              </w:rPr>
              <w:t>2</w:t>
            </w:r>
          </w:p>
        </w:tc>
        <w:tc>
          <w:tcPr>
            <w:tcW w:w="636" w:type="pct"/>
            <w:vAlign w:val="center"/>
          </w:tcPr>
          <w:p w14:paraId="3695CDC6">
            <w:pPr>
              <w:pStyle w:val="27"/>
              <w:pageBreakBefore w:val="0"/>
              <w:kinsoku/>
              <w:wordWrap/>
              <w:overflowPunct/>
              <w:topLinePunct w:val="0"/>
              <w:autoSpaceDE/>
              <w:autoSpaceDN/>
              <w:bidi w:val="0"/>
              <w:ind w:firstLine="0" w:firstLineChars="0"/>
              <w:jc w:val="center"/>
              <w:textAlignment w:val="auto"/>
              <w:rPr>
                <w:rFonts w:hint="eastAsia" w:ascii="宋体" w:hAnsi="宋体" w:eastAsia="宋体" w:cs="宋体"/>
                <w:bCs/>
                <w:szCs w:val="21"/>
              </w:rPr>
            </w:pPr>
            <w:r>
              <w:rPr>
                <w:rFonts w:hint="eastAsia" w:ascii="宋体" w:hAnsi="宋体" w:eastAsia="宋体" w:cs="宋体"/>
                <w:szCs w:val="21"/>
              </w:rPr>
              <w:t>报价</w:t>
            </w:r>
          </w:p>
        </w:tc>
        <w:tc>
          <w:tcPr>
            <w:tcW w:w="1365" w:type="pct"/>
            <w:shd w:val="clear" w:color="auto" w:fill="auto"/>
            <w:vAlign w:val="center"/>
          </w:tcPr>
          <w:p w14:paraId="62AC5326">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bCs/>
                <w:szCs w:val="21"/>
              </w:rPr>
            </w:pPr>
            <w:r>
              <w:rPr>
                <w:rFonts w:hint="eastAsia" w:ascii="宋体" w:hAnsi="宋体" w:eastAsia="宋体" w:cs="宋体"/>
                <w:bCs/>
                <w:szCs w:val="21"/>
              </w:rPr>
              <w:t>开标一览表</w:t>
            </w:r>
          </w:p>
        </w:tc>
        <w:tc>
          <w:tcPr>
            <w:tcW w:w="2590" w:type="pct"/>
            <w:shd w:val="clear" w:color="auto" w:fill="auto"/>
            <w:vAlign w:val="center"/>
          </w:tcPr>
          <w:p w14:paraId="0B30A719">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lang w:eastAsia="zh-CN"/>
              </w:rPr>
            </w:pPr>
            <w:r>
              <w:rPr>
                <w:rFonts w:hint="eastAsia" w:ascii="宋体" w:hAnsi="宋体" w:eastAsia="宋体" w:cs="宋体"/>
                <w:szCs w:val="21"/>
              </w:rPr>
              <w:t>审查开标一览表是否按招标文件提供的内容进行填写；投标报价未超过招标文件中规定的项目采购预算</w:t>
            </w:r>
            <w:r>
              <w:rPr>
                <w:rFonts w:hint="eastAsia" w:ascii="宋体" w:hAnsi="宋体" w:cs="宋体"/>
                <w:szCs w:val="21"/>
                <w:lang w:val="en-US" w:eastAsia="zh-CN"/>
              </w:rPr>
              <w:t>（</w:t>
            </w:r>
            <w:r>
              <w:rPr>
                <w:rFonts w:hint="eastAsia" w:ascii="宋体" w:hAnsi="宋体" w:eastAsia="宋体" w:cs="宋体"/>
                <w:szCs w:val="21"/>
              </w:rPr>
              <w:t>最高限价</w:t>
            </w:r>
            <w:r>
              <w:rPr>
                <w:rFonts w:hint="eastAsia" w:ascii="宋体" w:hAnsi="宋体" w:cs="宋体"/>
                <w:szCs w:val="21"/>
                <w:lang w:val="en-US" w:eastAsia="zh-CN"/>
              </w:rPr>
              <w:t>）</w:t>
            </w:r>
            <w:r>
              <w:rPr>
                <w:rFonts w:hint="eastAsia" w:ascii="宋体" w:hAnsi="宋体" w:cs="宋体"/>
                <w:szCs w:val="21"/>
                <w:lang w:eastAsia="zh-CN"/>
              </w:rPr>
              <w:t>；</w:t>
            </w:r>
            <w:r>
              <w:rPr>
                <w:rFonts w:hint="eastAsia" w:ascii="宋体" w:hAnsi="宋体" w:eastAsia="宋体" w:cs="宋体"/>
                <w:szCs w:val="21"/>
              </w:rPr>
              <w:t>投标文件未出现可选择性或可调整的报价（招标文件另有规定的除外）</w:t>
            </w:r>
            <w:r>
              <w:rPr>
                <w:rFonts w:hint="eastAsia" w:ascii="宋体" w:hAnsi="宋体" w:cs="宋体"/>
                <w:szCs w:val="21"/>
                <w:lang w:eastAsia="zh-CN"/>
              </w:rPr>
              <w:t>。</w:t>
            </w:r>
          </w:p>
        </w:tc>
      </w:tr>
      <w:tr w14:paraId="765E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vAlign w:val="center"/>
          </w:tcPr>
          <w:p w14:paraId="7EEC802F">
            <w:pPr>
              <w:pageBreakBefore w:val="0"/>
              <w:kinsoku/>
              <w:wordWrap/>
              <w:overflowPunct/>
              <w:topLinePunct w:val="0"/>
              <w:autoSpaceDE/>
              <w:autoSpaceDN/>
              <w:bidi w:val="0"/>
              <w:adjustRightInd w:val="0"/>
              <w:snapToGrid w:val="0"/>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6" w:type="pct"/>
            <w:vAlign w:val="center"/>
          </w:tcPr>
          <w:p w14:paraId="20E1F896">
            <w:pPr>
              <w:pStyle w:val="27"/>
              <w:pageBreakBefore w:val="0"/>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报价</w:t>
            </w:r>
          </w:p>
        </w:tc>
        <w:tc>
          <w:tcPr>
            <w:tcW w:w="1365" w:type="pct"/>
            <w:shd w:val="clear" w:color="auto" w:fill="auto"/>
            <w:vAlign w:val="center"/>
          </w:tcPr>
          <w:p w14:paraId="57EF1494">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bCs/>
                <w:szCs w:val="21"/>
                <w:lang w:val="en-US" w:eastAsia="zh-CN"/>
              </w:rPr>
            </w:pPr>
            <w:r>
              <w:rPr>
                <w:rFonts w:hint="eastAsia" w:ascii="宋体" w:hAnsi="宋体" w:cs="宋体"/>
                <w:bCs/>
                <w:szCs w:val="21"/>
                <w:lang w:val="en-US" w:eastAsia="zh-CN"/>
              </w:rPr>
              <w:t>分项报价表</w:t>
            </w:r>
          </w:p>
        </w:tc>
        <w:tc>
          <w:tcPr>
            <w:tcW w:w="2590" w:type="pct"/>
            <w:shd w:val="clear" w:color="auto" w:fill="auto"/>
            <w:vAlign w:val="center"/>
          </w:tcPr>
          <w:p w14:paraId="4581E1B0">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审查</w:t>
            </w:r>
            <w:r>
              <w:rPr>
                <w:rFonts w:hint="eastAsia" w:ascii="宋体" w:hAnsi="宋体" w:cs="宋体"/>
                <w:szCs w:val="21"/>
                <w:lang w:val="en-US" w:eastAsia="zh-CN"/>
              </w:rPr>
              <w:t>分项报价</w:t>
            </w:r>
            <w:r>
              <w:rPr>
                <w:rFonts w:hint="eastAsia" w:ascii="宋体" w:hAnsi="宋体" w:eastAsia="宋体" w:cs="宋体"/>
                <w:szCs w:val="21"/>
              </w:rPr>
              <w:t>表是否按招标文件提供的内容进行填写；投标报价未超过招标文件中规定的</w:t>
            </w:r>
            <w:r>
              <w:rPr>
                <w:rFonts w:hint="eastAsia" w:ascii="宋体" w:hAnsi="宋体" w:cs="宋体"/>
                <w:szCs w:val="21"/>
                <w:lang w:val="en-US" w:eastAsia="zh-CN"/>
              </w:rPr>
              <w:t>各单项</w:t>
            </w:r>
            <w:r>
              <w:rPr>
                <w:rFonts w:hint="eastAsia" w:ascii="宋体" w:hAnsi="宋体" w:eastAsia="宋体" w:cs="宋体"/>
                <w:szCs w:val="21"/>
              </w:rPr>
              <w:t>采购预算</w:t>
            </w:r>
            <w:r>
              <w:rPr>
                <w:rFonts w:hint="eastAsia" w:ascii="宋体" w:hAnsi="宋体" w:cs="宋体"/>
                <w:szCs w:val="21"/>
                <w:lang w:val="en-US" w:eastAsia="zh-CN"/>
              </w:rPr>
              <w:t>（</w:t>
            </w:r>
            <w:r>
              <w:rPr>
                <w:rFonts w:hint="eastAsia" w:ascii="宋体" w:hAnsi="宋体" w:eastAsia="宋体" w:cs="宋体"/>
                <w:szCs w:val="21"/>
              </w:rPr>
              <w:t>最高限价</w:t>
            </w:r>
            <w:r>
              <w:rPr>
                <w:rFonts w:hint="eastAsia" w:ascii="宋体" w:hAnsi="宋体" w:cs="宋体"/>
                <w:szCs w:val="21"/>
                <w:lang w:val="en-US" w:eastAsia="zh-CN"/>
              </w:rPr>
              <w:t>）</w:t>
            </w:r>
            <w:r>
              <w:rPr>
                <w:rFonts w:hint="eastAsia" w:ascii="宋体" w:hAnsi="宋体" w:cs="宋体"/>
                <w:szCs w:val="21"/>
                <w:lang w:eastAsia="zh-CN"/>
              </w:rPr>
              <w:t>；</w:t>
            </w:r>
            <w:r>
              <w:rPr>
                <w:rFonts w:hint="eastAsia" w:ascii="宋体" w:hAnsi="宋体" w:eastAsia="宋体" w:cs="宋体"/>
                <w:szCs w:val="21"/>
              </w:rPr>
              <w:t>投标文件未出现可选择性或可调整的报价（招标文件另有规定的除外）</w:t>
            </w:r>
            <w:r>
              <w:rPr>
                <w:rFonts w:hint="eastAsia" w:ascii="宋体" w:hAnsi="宋体" w:cs="宋体"/>
                <w:szCs w:val="21"/>
                <w:lang w:eastAsia="zh-CN"/>
              </w:rPr>
              <w:t>。</w:t>
            </w:r>
          </w:p>
        </w:tc>
      </w:tr>
      <w:tr w14:paraId="3CA2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shd w:val="clear" w:color="auto" w:fill="auto"/>
            <w:vAlign w:val="center"/>
          </w:tcPr>
          <w:p w14:paraId="16DA7D70">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w:t>
            </w:r>
          </w:p>
        </w:tc>
        <w:tc>
          <w:tcPr>
            <w:tcW w:w="636" w:type="pct"/>
            <w:vAlign w:val="center"/>
          </w:tcPr>
          <w:p w14:paraId="66D65D83">
            <w:pPr>
              <w:pStyle w:val="27"/>
              <w:pageBreakBefore w:val="0"/>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商务资信</w:t>
            </w:r>
          </w:p>
        </w:tc>
        <w:tc>
          <w:tcPr>
            <w:tcW w:w="1365" w:type="pct"/>
            <w:shd w:val="clear" w:color="auto" w:fill="auto"/>
            <w:vAlign w:val="center"/>
          </w:tcPr>
          <w:p w14:paraId="1239C1D1">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bCs/>
                <w:szCs w:val="21"/>
              </w:rPr>
            </w:pPr>
            <w:r>
              <w:rPr>
                <w:rFonts w:hint="eastAsia" w:ascii="宋体" w:hAnsi="宋体" w:eastAsia="宋体" w:cs="宋体"/>
                <w:bCs/>
                <w:szCs w:val="21"/>
              </w:rPr>
              <w:t>法定代表人（单位负责人）身份证明书、法定代表人授权委托书</w:t>
            </w:r>
          </w:p>
        </w:tc>
        <w:tc>
          <w:tcPr>
            <w:tcW w:w="2590" w:type="pct"/>
            <w:shd w:val="clear" w:color="auto" w:fill="auto"/>
            <w:vAlign w:val="center"/>
          </w:tcPr>
          <w:p w14:paraId="17D863FD">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rPr>
            </w:pPr>
            <w:r>
              <w:rPr>
                <w:rFonts w:hint="eastAsia" w:ascii="宋体" w:hAnsi="宋体" w:eastAsia="宋体" w:cs="宋体"/>
                <w:szCs w:val="21"/>
              </w:rPr>
              <w:t>审核法定代表人（单位负责人）身份证明文件、法定代表人授权委托书是否按招标文件要求提供；内容是否完整、有效；授权人签署是否在授权书有效期内。</w:t>
            </w:r>
          </w:p>
        </w:tc>
      </w:tr>
      <w:tr w14:paraId="67D2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shd w:val="clear" w:color="auto" w:fill="auto"/>
            <w:vAlign w:val="center"/>
          </w:tcPr>
          <w:p w14:paraId="5AED7972">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w:t>
            </w:r>
          </w:p>
        </w:tc>
        <w:tc>
          <w:tcPr>
            <w:tcW w:w="636" w:type="pct"/>
            <w:vAlign w:val="center"/>
          </w:tcPr>
          <w:p w14:paraId="51723A12">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商务资信</w:t>
            </w:r>
          </w:p>
        </w:tc>
        <w:tc>
          <w:tcPr>
            <w:tcW w:w="1365" w:type="pct"/>
            <w:shd w:val="clear" w:color="auto" w:fill="auto"/>
            <w:vAlign w:val="center"/>
          </w:tcPr>
          <w:p w14:paraId="32C57366">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商务、技术条款偏离表</w:t>
            </w:r>
          </w:p>
        </w:tc>
        <w:tc>
          <w:tcPr>
            <w:tcW w:w="2590" w:type="pct"/>
            <w:shd w:val="clear" w:color="auto" w:fill="auto"/>
            <w:vAlign w:val="center"/>
          </w:tcPr>
          <w:p w14:paraId="2BE4EF33">
            <w:pPr>
              <w:pStyle w:val="27"/>
              <w:pageBreakBefore w:val="0"/>
              <w:widowControl/>
              <w:kinsoku/>
              <w:wordWrap/>
              <w:overflowPunct/>
              <w:topLinePunct w:val="0"/>
              <w:autoSpaceDE/>
              <w:autoSpaceDN/>
              <w:bidi w:val="0"/>
              <w:ind w:firstLine="0" w:firstLineChars="0"/>
              <w:jc w:val="left"/>
              <w:textAlignment w:val="auto"/>
              <w:rPr>
                <w:rFonts w:hint="eastAsia" w:ascii="宋体" w:hAnsi="宋体" w:eastAsia="宋体" w:cs="宋体"/>
                <w:szCs w:val="21"/>
              </w:rPr>
            </w:pPr>
            <w:r>
              <w:rPr>
                <w:rFonts w:hint="eastAsia" w:ascii="宋体" w:hAnsi="宋体" w:eastAsia="宋体" w:cs="宋体"/>
                <w:szCs w:val="21"/>
              </w:rPr>
              <w:t>审查投标文件商务技术条款偏离表中对照招标文件第四部分要求的响应情况，标“★”的内容作出实质性响应，如有负偏离按废标处理，或响应内容经评标委员会共同认定属重大技术负偏离的，或未提供偏离表的，响应均无效。</w:t>
            </w:r>
          </w:p>
        </w:tc>
      </w:tr>
      <w:tr w14:paraId="03E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shd w:val="clear" w:color="auto" w:fill="auto"/>
            <w:vAlign w:val="center"/>
          </w:tcPr>
          <w:p w14:paraId="0B3F407A">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6</w:t>
            </w:r>
          </w:p>
        </w:tc>
        <w:tc>
          <w:tcPr>
            <w:tcW w:w="636" w:type="pct"/>
            <w:shd w:val="clear" w:color="auto" w:fill="auto"/>
            <w:vAlign w:val="center"/>
          </w:tcPr>
          <w:p w14:paraId="71400F07">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商务资信</w:t>
            </w:r>
          </w:p>
        </w:tc>
        <w:tc>
          <w:tcPr>
            <w:tcW w:w="1365" w:type="pct"/>
            <w:shd w:val="clear" w:color="auto" w:fill="auto"/>
            <w:vAlign w:val="center"/>
          </w:tcPr>
          <w:p w14:paraId="78CB9A20">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投标文件的签署盖章</w:t>
            </w:r>
          </w:p>
        </w:tc>
        <w:tc>
          <w:tcPr>
            <w:tcW w:w="2590" w:type="pct"/>
            <w:shd w:val="clear" w:color="auto" w:fill="auto"/>
            <w:vAlign w:val="center"/>
          </w:tcPr>
          <w:p w14:paraId="4941AB6C">
            <w:pPr>
              <w:pageBreakBefore w:val="0"/>
              <w:widowControl/>
              <w:tabs>
                <w:tab w:val="left" w:pos="567"/>
              </w:tabs>
              <w:kinsoku/>
              <w:wordWrap/>
              <w:overflowPunct/>
              <w:topLinePunct w:val="0"/>
              <w:autoSpaceDE/>
              <w:autoSpaceDN/>
              <w:bidi w:val="0"/>
              <w:snapToGrid w:val="0"/>
              <w:jc w:val="left"/>
              <w:textAlignment w:val="auto"/>
              <w:rPr>
                <w:rFonts w:hint="eastAsia" w:ascii="宋体" w:hAnsi="宋体" w:eastAsia="宋体" w:cs="宋体"/>
                <w:szCs w:val="21"/>
              </w:rPr>
            </w:pPr>
            <w:r>
              <w:rPr>
                <w:rFonts w:hint="eastAsia" w:ascii="宋体" w:hAnsi="宋体" w:eastAsia="宋体" w:cs="宋体"/>
                <w:szCs w:val="21"/>
              </w:rPr>
              <w:t>审查投标文件是否按照招标文件的要求签署盖章。</w:t>
            </w:r>
          </w:p>
        </w:tc>
      </w:tr>
      <w:tr w14:paraId="439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7" w:type="pct"/>
            <w:vAlign w:val="center"/>
          </w:tcPr>
          <w:p w14:paraId="71F8B1A0">
            <w:pPr>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636" w:type="pct"/>
            <w:vAlign w:val="center"/>
          </w:tcPr>
          <w:p w14:paraId="7730774F">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技术</w:t>
            </w:r>
          </w:p>
        </w:tc>
        <w:tc>
          <w:tcPr>
            <w:tcW w:w="1365" w:type="pct"/>
            <w:vAlign w:val="center"/>
          </w:tcPr>
          <w:p w14:paraId="5EF3E554">
            <w:pPr>
              <w:pStyle w:val="27"/>
              <w:pageBreakBefore w:val="0"/>
              <w:widowControl/>
              <w:kinsoku/>
              <w:wordWrap/>
              <w:overflowPunct/>
              <w:topLinePunct w:val="0"/>
              <w:autoSpaceDE/>
              <w:autoSpaceDN/>
              <w:bidi w:val="0"/>
              <w:ind w:firstLine="0" w:firstLineChars="0"/>
              <w:jc w:val="center"/>
              <w:textAlignment w:val="auto"/>
              <w:rPr>
                <w:rFonts w:hint="eastAsia" w:ascii="宋体" w:hAnsi="宋体" w:eastAsia="宋体" w:cs="宋体"/>
                <w:szCs w:val="21"/>
              </w:rPr>
            </w:pPr>
            <w:r>
              <w:rPr>
                <w:rFonts w:hint="eastAsia" w:ascii="宋体" w:hAnsi="宋体" w:eastAsia="宋体" w:cs="宋体"/>
                <w:szCs w:val="21"/>
              </w:rPr>
              <w:t>其他要求</w:t>
            </w:r>
          </w:p>
        </w:tc>
        <w:tc>
          <w:tcPr>
            <w:tcW w:w="2590" w:type="pct"/>
            <w:vAlign w:val="center"/>
          </w:tcPr>
          <w:p w14:paraId="028334F6">
            <w:pPr>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kern w:val="0"/>
                <w:szCs w:val="21"/>
              </w:rPr>
            </w:pPr>
            <w:r>
              <w:rPr>
                <w:rFonts w:hint="eastAsia" w:ascii="宋体" w:hAnsi="宋体" w:eastAsia="宋体" w:cs="宋体"/>
                <w:kern w:val="0"/>
                <w:szCs w:val="21"/>
              </w:rPr>
              <w:t>未发现存在法律法规规定及招标文件约定的违法违规情形。</w:t>
            </w:r>
          </w:p>
        </w:tc>
      </w:tr>
    </w:tbl>
    <w:p w14:paraId="256019BC">
      <w:pPr>
        <w:spacing w:line="440" w:lineRule="exact"/>
        <w:ind w:firstLine="420" w:firstLineChars="200"/>
        <w:rPr>
          <w:rFonts w:hint="eastAsia" w:ascii="宋体" w:hAnsi="宋体" w:eastAsia="宋体" w:cs="宋体"/>
          <w:highlight w:val="none"/>
        </w:rPr>
      </w:pPr>
    </w:p>
    <w:p w14:paraId="3E2B6B47">
      <w:pPr>
        <w:pStyle w:val="4"/>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3、详细评审标准</w:t>
      </w:r>
      <w:bookmarkEnd w:id="91"/>
      <w:bookmarkEnd w:id="92"/>
      <w:r>
        <w:rPr>
          <w:rFonts w:hint="eastAsia" w:ascii="宋体" w:hAnsi="宋体" w:eastAsia="宋体" w:cs="宋体"/>
          <w:sz w:val="28"/>
          <w:szCs w:val="28"/>
          <w:highlight w:val="none"/>
        </w:rPr>
        <w:t>：</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382"/>
        <w:gridCol w:w="6495"/>
        <w:gridCol w:w="1247"/>
      </w:tblGrid>
      <w:tr w14:paraId="4B6A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shd w:val="clear" w:color="auto" w:fill="F8F8F8"/>
            <w:vAlign w:val="center"/>
          </w:tcPr>
          <w:p w14:paraId="16323FB4">
            <w:pPr>
              <w:ind w:firstLine="3"/>
              <w:jc w:val="center"/>
              <w:rPr>
                <w:rFonts w:hint="eastAsia" w:ascii="宋体" w:hAnsi="宋体" w:eastAsia="宋体" w:cs="宋体"/>
                <w:sz w:val="21"/>
                <w:szCs w:val="21"/>
                <w:lang w:val="zh-CN"/>
              </w:rPr>
            </w:pPr>
            <w:bookmarkStart w:id="98" w:name="_Toc26529"/>
            <w:bookmarkStart w:id="99" w:name="_Toc3973"/>
            <w:bookmarkStart w:id="100" w:name="_Toc14105"/>
            <w:bookmarkStart w:id="101" w:name="_Toc13111"/>
            <w:bookmarkStart w:id="102" w:name="_Toc31573"/>
            <w:r>
              <w:rPr>
                <w:rFonts w:hint="eastAsia" w:ascii="宋体" w:hAnsi="宋体" w:eastAsia="宋体" w:cs="宋体"/>
                <w:sz w:val="21"/>
                <w:szCs w:val="21"/>
                <w:lang w:val="zh-CN"/>
              </w:rPr>
              <w:t>序号</w:t>
            </w:r>
          </w:p>
        </w:tc>
        <w:tc>
          <w:tcPr>
            <w:tcW w:w="694" w:type="pct"/>
            <w:shd w:val="clear" w:color="auto" w:fill="F8F8F8"/>
            <w:vAlign w:val="center"/>
          </w:tcPr>
          <w:p w14:paraId="20C28CB9">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类型</w:t>
            </w:r>
          </w:p>
        </w:tc>
        <w:tc>
          <w:tcPr>
            <w:tcW w:w="3261" w:type="pct"/>
            <w:shd w:val="clear" w:color="auto" w:fill="F8F8F8"/>
            <w:vAlign w:val="center"/>
          </w:tcPr>
          <w:p w14:paraId="629D4EC0">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626" w:type="pct"/>
            <w:shd w:val="clear" w:color="auto" w:fill="F8F8F8"/>
            <w:vAlign w:val="center"/>
          </w:tcPr>
          <w:p w14:paraId="47E308C5">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分值权重</w:t>
            </w:r>
          </w:p>
        </w:tc>
      </w:tr>
      <w:tr w14:paraId="72C9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593F3388">
            <w:pPr>
              <w:ind w:firstLine="3"/>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94" w:type="pct"/>
            <w:vAlign w:val="center"/>
          </w:tcPr>
          <w:p w14:paraId="68A8CE4E">
            <w:pPr>
              <w:ind w:firstLine="3"/>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报价</w:t>
            </w:r>
          </w:p>
        </w:tc>
        <w:tc>
          <w:tcPr>
            <w:tcW w:w="3261" w:type="pct"/>
            <w:shd w:val="clear" w:color="auto" w:fill="auto"/>
            <w:vAlign w:val="center"/>
          </w:tcPr>
          <w:p w14:paraId="15DD47D4">
            <w:pPr>
              <w:ind w:firstLine="3" w:firstLineChars="0"/>
              <w:jc w:val="both"/>
              <w:rPr>
                <w:rFonts w:hint="eastAsia" w:ascii="宋体" w:hAnsi="宋体" w:eastAsia="宋体" w:cs="宋体"/>
                <w:sz w:val="21"/>
                <w:szCs w:val="21"/>
                <w:lang w:val="zh-CN" w:eastAsia="zh-CN"/>
              </w:rPr>
            </w:pPr>
            <w:r>
              <w:rPr>
                <w:rFonts w:hint="eastAsia" w:ascii="宋体" w:hAnsi="宋体" w:eastAsia="宋体" w:cs="宋体"/>
                <w:b w:val="0"/>
                <w:bCs/>
                <w:color w:val="auto"/>
                <w:kern w:val="0"/>
                <w:sz w:val="21"/>
                <w:szCs w:val="21"/>
                <w:highlight w:val="none"/>
                <w:lang w:val="en-US" w:eastAsia="zh-CN" w:bidi="ar-SA"/>
              </w:rPr>
              <w:t>满足招标文件要求且投标价格最低的投标报价为评标基准价，其价格分为满分10分。其他投标人的价格分统一按照下列公式计算：投标报价得分=（评标基准价/投标报价）x 10% x 100</w:t>
            </w:r>
          </w:p>
        </w:tc>
        <w:tc>
          <w:tcPr>
            <w:tcW w:w="626" w:type="pct"/>
            <w:shd w:val="clear" w:color="auto" w:fill="auto"/>
            <w:vAlign w:val="center"/>
          </w:tcPr>
          <w:p w14:paraId="1C072BBD">
            <w:pPr>
              <w:ind w:firstLine="3"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w:t>
            </w:r>
          </w:p>
        </w:tc>
      </w:tr>
      <w:tr w14:paraId="4D92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shd w:val="clear" w:color="auto" w:fill="auto"/>
            <w:vAlign w:val="center"/>
          </w:tcPr>
          <w:p w14:paraId="1E002381">
            <w:pPr>
              <w:ind w:firstLine="3"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1</w:t>
            </w:r>
          </w:p>
        </w:tc>
        <w:tc>
          <w:tcPr>
            <w:tcW w:w="694" w:type="pct"/>
            <w:shd w:val="clear" w:color="auto" w:fill="auto"/>
            <w:vAlign w:val="center"/>
          </w:tcPr>
          <w:p w14:paraId="7F0F7436">
            <w:pPr>
              <w:ind w:firstLine="3"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商务资信</w:t>
            </w:r>
          </w:p>
        </w:tc>
        <w:tc>
          <w:tcPr>
            <w:tcW w:w="3261" w:type="pct"/>
            <w:shd w:val="clear" w:color="auto" w:fill="auto"/>
            <w:vAlign w:val="center"/>
          </w:tcPr>
          <w:p w14:paraId="40002019">
            <w:pPr>
              <w:ind w:firstLine="3" w:firstLineChars="0"/>
              <w:jc w:val="left"/>
              <w:rPr>
                <w:rFonts w:hint="eastAsia" w:ascii="宋体" w:hAnsi="宋体" w:eastAsia="宋体" w:cs="宋体"/>
                <w:sz w:val="21"/>
                <w:szCs w:val="21"/>
                <w:lang w:val="zh-CN"/>
              </w:rPr>
            </w:pPr>
            <w:r>
              <w:rPr>
                <w:rFonts w:hint="eastAsia" w:ascii="宋体" w:hAnsi="宋体" w:eastAsia="宋体" w:cs="宋体"/>
                <w:sz w:val="21"/>
                <w:szCs w:val="21"/>
                <w:lang w:val="zh-CN" w:eastAsia="zh-CN"/>
              </w:rPr>
              <w:t>资信</w:t>
            </w:r>
            <w:r>
              <w:rPr>
                <w:rFonts w:hint="eastAsia" w:ascii="宋体" w:hAnsi="宋体" w:eastAsia="宋体" w:cs="宋体"/>
                <w:sz w:val="21"/>
                <w:szCs w:val="21"/>
                <w:lang w:val="zh-CN"/>
              </w:rPr>
              <w:t>（6分）</w:t>
            </w:r>
          </w:p>
          <w:p w14:paraId="5F0ABF4E">
            <w:pPr>
              <w:ind w:firstLine="3" w:firstLineChars="0"/>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投标人提供自身有效的①电子与智能化工程专业承包二级及以上；</w:t>
            </w:r>
            <w:r>
              <w:rPr>
                <w:rFonts w:hint="eastAsia" w:ascii="宋体" w:hAnsi="宋体" w:eastAsia="宋体" w:cs="宋体"/>
                <w:sz w:val="21"/>
                <w:szCs w:val="21"/>
                <w:lang w:val="en-US" w:eastAsia="zh-CN"/>
              </w:rPr>
              <w:t>②</w:t>
            </w:r>
            <w:r>
              <w:rPr>
                <w:rFonts w:hint="eastAsia" w:ascii="宋体" w:hAnsi="宋体" w:eastAsia="宋体" w:cs="宋体"/>
                <w:sz w:val="21"/>
                <w:szCs w:val="21"/>
                <w:lang w:val="zh-CN"/>
              </w:rPr>
              <w:t>信息技术服务运行维护标准符合性证书三级及以上；</w:t>
            </w:r>
            <w:r>
              <w:rPr>
                <w:rFonts w:hint="eastAsia" w:ascii="宋体" w:hAnsi="宋体" w:cs="宋体"/>
                <w:sz w:val="21"/>
                <w:szCs w:val="21"/>
                <w:lang w:val="en-US" w:eastAsia="zh-CN"/>
              </w:rPr>
              <w:t>③</w:t>
            </w:r>
            <w:r>
              <w:rPr>
                <w:rFonts w:hint="eastAsia" w:ascii="宋体" w:hAnsi="宋体" w:eastAsia="宋体" w:cs="宋体"/>
                <w:sz w:val="21"/>
                <w:szCs w:val="21"/>
                <w:lang w:val="zh-CN"/>
              </w:rPr>
              <w:t>信息安全服务资质。</w:t>
            </w:r>
            <w:r>
              <w:rPr>
                <w:rFonts w:hint="eastAsia" w:ascii="宋体" w:hAnsi="宋体" w:eastAsia="宋体" w:cs="宋体"/>
                <w:sz w:val="21"/>
                <w:szCs w:val="21"/>
                <w:lang w:val="zh-CN" w:eastAsia="zh-CN"/>
              </w:rPr>
              <w:t>每提供一项有效证书得（2）分，最高得（6）分；</w:t>
            </w:r>
            <w:r>
              <w:rPr>
                <w:rFonts w:hint="eastAsia" w:ascii="宋体" w:hAnsi="宋体" w:eastAsia="宋体" w:cs="宋体"/>
                <w:sz w:val="21"/>
                <w:szCs w:val="21"/>
                <w:lang w:val="zh-CN"/>
              </w:rPr>
              <w:t>未提供或提供无效证书的，得0分。</w:t>
            </w:r>
          </w:p>
        </w:tc>
        <w:tc>
          <w:tcPr>
            <w:tcW w:w="626" w:type="pct"/>
            <w:shd w:val="clear" w:color="auto" w:fill="auto"/>
            <w:vAlign w:val="center"/>
          </w:tcPr>
          <w:p w14:paraId="472A3263">
            <w:pPr>
              <w:ind w:firstLine="3"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0-6</w:t>
            </w:r>
          </w:p>
        </w:tc>
      </w:tr>
      <w:tr w14:paraId="069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3E602144">
            <w:pPr>
              <w:ind w:firstLine="3"/>
              <w:jc w:val="cente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694" w:type="pct"/>
            <w:vAlign w:val="center"/>
          </w:tcPr>
          <w:p w14:paraId="08E90958">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商务资信</w:t>
            </w:r>
          </w:p>
        </w:tc>
        <w:tc>
          <w:tcPr>
            <w:tcW w:w="3261" w:type="pct"/>
          </w:tcPr>
          <w:p w14:paraId="5C8C7C73">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投标人业绩（10分）</w:t>
            </w:r>
          </w:p>
          <w:p w14:paraId="6059652F">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提供投标人自身</w:t>
            </w:r>
            <w:r>
              <w:rPr>
                <w:rFonts w:hint="eastAsia" w:ascii="宋体" w:hAnsi="宋体" w:eastAsia="宋体" w:cs="宋体"/>
                <w:sz w:val="21"/>
                <w:szCs w:val="21"/>
                <w:lang w:val="zh-CN" w:eastAsia="zh-CN"/>
              </w:rPr>
              <w:t>近三年（投标文件递交截止日前三年）</w:t>
            </w:r>
            <w:r>
              <w:rPr>
                <w:rFonts w:hint="eastAsia" w:ascii="宋体" w:hAnsi="宋体" w:eastAsia="宋体" w:cs="宋体"/>
                <w:sz w:val="21"/>
                <w:szCs w:val="21"/>
                <w:lang w:val="zh-CN"/>
              </w:rPr>
              <w:t>内已完成的同类项目合同，要求提供与最终用户签订的①合同首页；②合同金额所在页；③签字盖章页；④项目验收证明材料或结算凭证（结算凭证指对应业绩合同增值税发票和对应款项银行回单）</w:t>
            </w:r>
            <w:r>
              <w:rPr>
                <w:rFonts w:hint="eastAsia" w:ascii="宋体" w:hAnsi="宋体" w:eastAsia="宋体" w:cs="宋体"/>
                <w:sz w:val="21"/>
                <w:szCs w:val="21"/>
                <w:lang w:val="zh-CN" w:eastAsia="zh-CN"/>
              </w:rPr>
              <w:t>①②③④</w:t>
            </w:r>
            <w:r>
              <w:rPr>
                <w:rFonts w:hint="eastAsia" w:ascii="宋体" w:hAnsi="宋体" w:eastAsia="宋体" w:cs="宋体"/>
                <w:sz w:val="21"/>
                <w:szCs w:val="21"/>
                <w:lang w:val="zh-CN"/>
              </w:rPr>
              <w:t>项内容的扫描件作为一项有效业绩的完整认定证明材料，其中同类项目指具备软件开发及系统集成类项目。每认定一个有效项目合同案例得（2）分，最高得（10）分。</w:t>
            </w:r>
          </w:p>
        </w:tc>
        <w:tc>
          <w:tcPr>
            <w:tcW w:w="626" w:type="pct"/>
            <w:vAlign w:val="center"/>
          </w:tcPr>
          <w:p w14:paraId="0DAC0564">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w:t>
            </w:r>
          </w:p>
        </w:tc>
      </w:tr>
      <w:tr w14:paraId="2702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720810DA">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94" w:type="pct"/>
            <w:vAlign w:val="center"/>
          </w:tcPr>
          <w:p w14:paraId="3A7B6119">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商务资信</w:t>
            </w:r>
          </w:p>
        </w:tc>
        <w:tc>
          <w:tcPr>
            <w:tcW w:w="3261" w:type="pct"/>
          </w:tcPr>
          <w:p w14:paraId="622340B5">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人员配备（10分）</w:t>
            </w:r>
          </w:p>
          <w:p w14:paraId="7CE67AAE">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（1）项目经理（3分）</w:t>
            </w:r>
          </w:p>
          <w:p w14:paraId="5E3CFA5F">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投标人结合项目实际情况拟派1名项目经理，项目经理（不能兼任本项目其他职务）具有</w:t>
            </w:r>
            <w:r>
              <w:rPr>
                <w:rFonts w:hint="eastAsia" w:ascii="宋体" w:hAnsi="宋体" w:cs="宋体"/>
                <w:sz w:val="21"/>
                <w:szCs w:val="21"/>
                <w:lang w:val="en-US" w:eastAsia="zh-CN"/>
              </w:rPr>
              <w:t>①</w:t>
            </w:r>
            <w:r>
              <w:rPr>
                <w:rFonts w:hint="eastAsia" w:ascii="宋体" w:hAnsi="宋体" w:eastAsia="宋体" w:cs="宋体"/>
                <w:sz w:val="21"/>
                <w:szCs w:val="21"/>
                <w:lang w:val="zh-CN" w:eastAsia="zh-CN"/>
              </w:rPr>
              <w:t>《信息系统项目管理师》</w:t>
            </w:r>
            <w:r>
              <w:rPr>
                <w:rFonts w:hint="eastAsia" w:ascii="宋体" w:hAnsi="宋体" w:cs="宋体"/>
                <w:sz w:val="21"/>
                <w:szCs w:val="21"/>
                <w:lang w:val="zh-CN" w:eastAsia="zh-CN"/>
              </w:rPr>
              <w:t>；</w:t>
            </w:r>
            <w:r>
              <w:rPr>
                <w:rFonts w:hint="eastAsia" w:ascii="宋体" w:hAnsi="宋体" w:cs="宋体"/>
                <w:sz w:val="21"/>
                <w:szCs w:val="21"/>
                <w:lang w:val="en-US" w:eastAsia="zh-CN"/>
              </w:rPr>
              <w:t>②</w:t>
            </w:r>
            <w:r>
              <w:rPr>
                <w:rFonts w:hint="eastAsia" w:ascii="宋体" w:hAnsi="宋体" w:eastAsia="宋体" w:cs="宋体"/>
                <w:sz w:val="21"/>
                <w:szCs w:val="21"/>
                <w:lang w:val="zh-CN" w:eastAsia="zh-CN"/>
              </w:rPr>
              <w:t>《系统分析师》每提供一项有效证书得（</w:t>
            </w:r>
            <w:r>
              <w:rPr>
                <w:rFonts w:hint="eastAsia" w:ascii="宋体" w:hAnsi="宋体" w:cs="宋体"/>
                <w:sz w:val="21"/>
                <w:szCs w:val="21"/>
                <w:lang w:val="en-US" w:eastAsia="zh-CN"/>
              </w:rPr>
              <w:t>1.5</w:t>
            </w:r>
            <w:r>
              <w:rPr>
                <w:rFonts w:hint="eastAsia" w:ascii="宋体" w:hAnsi="宋体" w:eastAsia="宋体" w:cs="宋体"/>
                <w:sz w:val="21"/>
                <w:szCs w:val="21"/>
                <w:lang w:val="zh-CN" w:eastAsia="zh-CN"/>
              </w:rPr>
              <w:t>）分，最高得（</w:t>
            </w:r>
            <w:r>
              <w:rPr>
                <w:rFonts w:hint="eastAsia" w:ascii="宋体" w:hAnsi="宋体" w:cs="宋体"/>
                <w:sz w:val="21"/>
                <w:szCs w:val="21"/>
                <w:lang w:val="en-US" w:eastAsia="zh-CN"/>
              </w:rPr>
              <w:t>3</w:t>
            </w:r>
            <w:r>
              <w:rPr>
                <w:rFonts w:hint="eastAsia" w:ascii="宋体" w:hAnsi="宋体" w:eastAsia="宋体" w:cs="宋体"/>
                <w:sz w:val="21"/>
                <w:szCs w:val="21"/>
                <w:lang w:val="zh-CN" w:eastAsia="zh-CN"/>
              </w:rPr>
              <w:t>）分；</w:t>
            </w:r>
            <w:r>
              <w:rPr>
                <w:rFonts w:hint="eastAsia" w:ascii="宋体" w:hAnsi="宋体" w:eastAsia="宋体" w:cs="宋体"/>
                <w:sz w:val="21"/>
                <w:szCs w:val="21"/>
                <w:lang w:val="zh-CN"/>
              </w:rPr>
              <w:t>未提供或提供无效证书的，得0分。</w:t>
            </w:r>
          </w:p>
          <w:p w14:paraId="66B1EE5F">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（2）项目服务团队（7分）</w:t>
            </w:r>
          </w:p>
          <w:p w14:paraId="624B406F">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应具备在项目实施期限内完成项目实施的能力，并明确项目实施团队人员基本信息及分工。拟派项目实施团队（不含项目经理）人员配置齐全、岗位职责清晰、人员稳定，团队人员每提供一项所列有效专业资质证书得</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分，单人多项证书按一项计分，本项最高得</w:t>
            </w:r>
            <w:r>
              <w:rPr>
                <w:rFonts w:hint="eastAsia" w:ascii="宋体" w:hAnsi="宋体" w:eastAsia="宋体" w:cs="宋体"/>
                <w:sz w:val="21"/>
                <w:szCs w:val="21"/>
                <w:lang w:val="zh-CN" w:eastAsia="zh-CN"/>
              </w:rPr>
              <w:t>（7）</w:t>
            </w:r>
            <w:r>
              <w:rPr>
                <w:rFonts w:hint="eastAsia" w:ascii="宋体" w:hAnsi="宋体" w:eastAsia="宋体" w:cs="宋体"/>
                <w:sz w:val="21"/>
                <w:szCs w:val="21"/>
                <w:lang w:val="zh-CN"/>
              </w:rPr>
              <w:t>分。有效专业资质范围为：①系统规划与管理师②网络规划设计师③软件设计师④数据库系统工程师⑤网络工程师⑥系统集成项目管理工程师⑦注册信息安全专业人员证书（CISP）</w:t>
            </w:r>
            <w:r>
              <w:rPr>
                <w:rFonts w:hint="eastAsia" w:ascii="宋体" w:hAnsi="宋体" w:eastAsia="宋体" w:cs="宋体"/>
                <w:sz w:val="21"/>
                <w:szCs w:val="21"/>
                <w:lang w:val="zh-CN" w:eastAsia="zh-CN"/>
              </w:rPr>
              <w:t>。</w:t>
            </w:r>
            <w:r>
              <w:rPr>
                <w:rFonts w:hint="eastAsia" w:ascii="宋体" w:hAnsi="宋体" w:eastAsia="宋体" w:cs="宋体"/>
                <w:sz w:val="21"/>
                <w:szCs w:val="21"/>
                <w:lang w:val="zh-CN"/>
              </w:rPr>
              <w:t xml:space="preserve"> </w:t>
            </w:r>
          </w:p>
          <w:p w14:paraId="5454FEF0">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注：1.上述证书须为国家认可、在有效期内的职业资格或专业技术资格证书； 2.所有人员须为投标人在职在岗人员，不接受临时外聘、挂靠人员； 3.提供团队配置清单（格式自拟，清单应至少包含人员姓名、本项目岗位、职称或职业资格、联系方式等）、对应资质证书、在投标人单位缴纳的社保证明或劳动合同扫描件</w:t>
            </w:r>
            <w:r>
              <w:rPr>
                <w:rFonts w:hint="eastAsia" w:ascii="宋体" w:hAnsi="宋体" w:eastAsia="宋体" w:cs="宋体"/>
                <w:sz w:val="21"/>
                <w:szCs w:val="21"/>
                <w:lang w:val="zh-CN" w:eastAsia="zh-CN"/>
              </w:rPr>
              <w:t>；4.</w:t>
            </w:r>
            <w:r>
              <w:rPr>
                <w:rFonts w:hint="eastAsia" w:ascii="宋体" w:hAnsi="宋体" w:eastAsia="宋体" w:cs="宋体"/>
                <w:sz w:val="21"/>
                <w:szCs w:val="21"/>
                <w:lang w:val="zh-CN"/>
              </w:rPr>
              <w:t>未按要求提供资料或</w:t>
            </w:r>
            <w:r>
              <w:rPr>
                <w:rFonts w:hint="eastAsia" w:ascii="宋体" w:hAnsi="宋体" w:eastAsia="宋体" w:cs="宋体"/>
                <w:sz w:val="21"/>
                <w:szCs w:val="21"/>
                <w:lang w:val="zh-CN" w:eastAsia="zh-CN"/>
              </w:rPr>
              <w:t>资料不完整</w:t>
            </w:r>
            <w:r>
              <w:rPr>
                <w:rFonts w:hint="eastAsia" w:ascii="宋体" w:hAnsi="宋体" w:eastAsia="宋体" w:cs="宋体"/>
                <w:sz w:val="21"/>
                <w:szCs w:val="21"/>
                <w:lang w:val="zh-CN"/>
              </w:rPr>
              <w:t>不得分。</w:t>
            </w:r>
          </w:p>
        </w:tc>
        <w:tc>
          <w:tcPr>
            <w:tcW w:w="626" w:type="pct"/>
            <w:vAlign w:val="center"/>
          </w:tcPr>
          <w:p w14:paraId="47718E56">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w:t>
            </w:r>
          </w:p>
        </w:tc>
      </w:tr>
      <w:tr w14:paraId="7E93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316A5E46">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94" w:type="pct"/>
            <w:vAlign w:val="center"/>
          </w:tcPr>
          <w:p w14:paraId="58AF7EFE">
            <w:pPr>
              <w:ind w:firstLine="3"/>
              <w:jc w:val="center"/>
              <w:rPr>
                <w:rFonts w:hint="eastAsia" w:ascii="宋体" w:hAnsi="宋体" w:eastAsia="宋体" w:cs="宋体"/>
                <w:sz w:val="21"/>
                <w:szCs w:val="21"/>
              </w:rPr>
            </w:pPr>
            <w:r>
              <w:rPr>
                <w:rFonts w:hint="eastAsia" w:ascii="宋体" w:hAnsi="宋体" w:eastAsia="宋体" w:cs="宋体"/>
                <w:sz w:val="21"/>
                <w:szCs w:val="21"/>
              </w:rPr>
              <w:t>技术</w:t>
            </w:r>
          </w:p>
        </w:tc>
        <w:tc>
          <w:tcPr>
            <w:tcW w:w="3261" w:type="pct"/>
          </w:tcPr>
          <w:p w14:paraId="2F9B103B">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技术指标</w:t>
            </w:r>
            <w:r>
              <w:rPr>
                <w:rFonts w:hint="eastAsia" w:ascii="宋体" w:hAnsi="宋体" w:eastAsia="宋体" w:cs="宋体"/>
                <w:sz w:val="21"/>
                <w:szCs w:val="21"/>
                <w:lang w:val="zh-CN" w:eastAsia="zh-CN"/>
              </w:rPr>
              <w:t>（26分）</w:t>
            </w:r>
          </w:p>
          <w:p w14:paraId="54F3B704">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 xml:space="preserve">满足招标文件要求的全部技术指标得26分。 </w:t>
            </w:r>
          </w:p>
          <w:p w14:paraId="49970168">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（1）任何一项主要技术指标（指技术指标中加★号的参数）没有实质性响应招标文件的要求，将导致响应无效。</w:t>
            </w:r>
          </w:p>
          <w:p w14:paraId="35168894">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w:t>
            </w:r>
            <w:r>
              <w:rPr>
                <w:rFonts w:hint="eastAsia" w:ascii="宋体" w:hAnsi="宋体" w:eastAsia="宋体" w:cs="宋体"/>
                <w:sz w:val="21"/>
                <w:szCs w:val="21"/>
                <w:lang w:val="zh-CN"/>
              </w:rPr>
              <w:t>标注 “▲” 的为重要技术指标，每有一项不响应、响应含糊不清或未按要求提供相应证明材料的</w:t>
            </w:r>
            <w:r>
              <w:rPr>
                <w:rFonts w:hint="eastAsia" w:ascii="宋体" w:hAnsi="宋体" w:eastAsia="宋体" w:cs="宋体"/>
                <w:sz w:val="21"/>
                <w:szCs w:val="21"/>
                <w:lang w:val="zh-CN" w:eastAsia="zh-CN"/>
              </w:rPr>
              <w:t>扣2分，不满足</w:t>
            </w:r>
            <w:r>
              <w:rPr>
                <w:rFonts w:hint="eastAsia" w:ascii="宋体" w:hAnsi="宋体" w:cs="宋体"/>
                <w:sz w:val="21"/>
                <w:szCs w:val="21"/>
                <w:lang w:val="en-US" w:eastAsia="zh-CN"/>
              </w:rPr>
              <w:t>项</w:t>
            </w:r>
            <w:r>
              <w:rPr>
                <w:rFonts w:hint="eastAsia" w:ascii="宋体" w:hAnsi="宋体" w:eastAsia="宋体" w:cs="宋体"/>
                <w:sz w:val="21"/>
                <w:szCs w:val="21"/>
                <w:lang w:val="en-US" w:eastAsia="zh-CN"/>
              </w:rPr>
              <w:t>大于</w:t>
            </w:r>
            <w:r>
              <w:rPr>
                <w:rFonts w:hint="eastAsia" w:ascii="宋体" w:hAnsi="宋体" w:eastAsia="宋体" w:cs="宋体"/>
                <w:sz w:val="21"/>
                <w:szCs w:val="21"/>
                <w:lang w:val="zh-CN" w:eastAsia="zh-CN"/>
              </w:rPr>
              <w:t>8项技术部分不得分；</w:t>
            </w:r>
            <w:r>
              <w:rPr>
                <w:rFonts w:hint="eastAsia" w:ascii="宋体" w:hAnsi="宋体" w:eastAsia="宋体" w:cs="宋体"/>
                <w:sz w:val="21"/>
                <w:szCs w:val="21"/>
                <w:lang w:val="zh-CN"/>
              </w:rPr>
              <w:t>一般性技术指标</w:t>
            </w:r>
            <w:r>
              <w:rPr>
                <w:rFonts w:hint="eastAsia" w:ascii="宋体" w:hAnsi="宋体" w:eastAsia="宋体" w:cs="宋体"/>
                <w:sz w:val="21"/>
                <w:szCs w:val="21"/>
                <w:lang w:val="zh-CN" w:eastAsia="zh-CN"/>
              </w:rPr>
              <w:t>（非★号和▲号的其他参数）</w:t>
            </w:r>
            <w:r>
              <w:rPr>
                <w:rFonts w:hint="eastAsia" w:ascii="宋体" w:hAnsi="宋体" w:eastAsia="宋体" w:cs="宋体"/>
                <w:sz w:val="21"/>
                <w:szCs w:val="21"/>
                <w:lang w:val="zh-CN"/>
              </w:rPr>
              <w:t>每有一项不响应、响应含糊不清或未按要求提供相应证明材料的</w:t>
            </w:r>
            <w:r>
              <w:rPr>
                <w:rFonts w:hint="eastAsia" w:ascii="宋体" w:hAnsi="宋体" w:eastAsia="宋体" w:cs="宋体"/>
                <w:sz w:val="21"/>
                <w:szCs w:val="21"/>
                <w:lang w:val="zh-CN" w:eastAsia="zh-CN"/>
              </w:rPr>
              <w:t>扣1分，不满足</w:t>
            </w:r>
            <w:r>
              <w:rPr>
                <w:rFonts w:hint="eastAsia" w:ascii="宋体" w:hAnsi="宋体" w:cs="宋体"/>
                <w:sz w:val="21"/>
                <w:szCs w:val="21"/>
                <w:lang w:val="en-US" w:eastAsia="zh-CN"/>
              </w:rPr>
              <w:t>项</w:t>
            </w:r>
            <w:r>
              <w:rPr>
                <w:rFonts w:hint="eastAsia" w:ascii="宋体" w:hAnsi="宋体" w:eastAsia="宋体" w:cs="宋体"/>
                <w:sz w:val="21"/>
                <w:szCs w:val="21"/>
                <w:lang w:val="en-US" w:eastAsia="zh-CN"/>
              </w:rPr>
              <w:t>大于</w:t>
            </w:r>
            <w:r>
              <w:rPr>
                <w:rFonts w:hint="eastAsia" w:ascii="宋体" w:hAnsi="宋体" w:eastAsia="宋体" w:cs="宋体"/>
                <w:sz w:val="21"/>
                <w:szCs w:val="21"/>
                <w:lang w:val="zh-CN" w:eastAsia="zh-CN"/>
              </w:rPr>
              <w:t>10项技术部分不得分。漏报技术条款视为不满足。</w:t>
            </w:r>
          </w:p>
          <w:p w14:paraId="2911F7F8">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注：1.如技术指标偏离表内的响应情况与技术证明文件资料描述不符，评审专家有权认定为负偏离。</w:t>
            </w:r>
          </w:p>
          <w:p w14:paraId="1FC78104">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eastAsia="zh-CN"/>
              </w:rPr>
              <w:t>2.供应商技术指标响应程度（即技术指标偏离表）为交付验收的技术标准，如中标验收时与其不相符，</w:t>
            </w:r>
            <w:r>
              <w:rPr>
                <w:rFonts w:hint="eastAsia" w:ascii="宋体" w:hAnsi="宋体" w:cs="宋体"/>
                <w:sz w:val="21"/>
                <w:szCs w:val="21"/>
                <w:lang w:val="zh-CN" w:eastAsia="zh-CN"/>
              </w:rPr>
              <w:t>采购人</w:t>
            </w:r>
            <w:r>
              <w:rPr>
                <w:rFonts w:hint="eastAsia" w:ascii="宋体" w:hAnsi="宋体" w:eastAsia="宋体" w:cs="宋体"/>
                <w:sz w:val="21"/>
                <w:szCs w:val="21"/>
                <w:lang w:val="zh-CN" w:eastAsia="zh-CN"/>
              </w:rPr>
              <w:t>有权终止合同，并追究其虚假应标的相关法律责任。</w:t>
            </w:r>
          </w:p>
        </w:tc>
        <w:tc>
          <w:tcPr>
            <w:tcW w:w="626" w:type="pct"/>
            <w:vAlign w:val="center"/>
          </w:tcPr>
          <w:p w14:paraId="3EE85C89">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0-26</w:t>
            </w:r>
          </w:p>
        </w:tc>
      </w:tr>
      <w:tr w14:paraId="5231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02E79CE3">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94" w:type="pct"/>
            <w:vAlign w:val="center"/>
          </w:tcPr>
          <w:p w14:paraId="0A7A575B">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tcPr>
          <w:p w14:paraId="5C5BDD1B">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项目建设方案（</w:t>
            </w:r>
            <w:r>
              <w:rPr>
                <w:rFonts w:hint="eastAsia" w:ascii="宋体" w:hAnsi="宋体" w:eastAsia="宋体" w:cs="宋体"/>
                <w:sz w:val="21"/>
                <w:szCs w:val="21"/>
                <w:lang w:val="zh-CN" w:eastAsia="zh-CN"/>
              </w:rPr>
              <w:t>10</w:t>
            </w:r>
            <w:r>
              <w:rPr>
                <w:rFonts w:hint="eastAsia" w:ascii="宋体" w:hAnsi="宋体" w:eastAsia="宋体" w:cs="宋体"/>
                <w:sz w:val="21"/>
                <w:szCs w:val="21"/>
                <w:lang w:val="zh-CN"/>
              </w:rPr>
              <w:t>分）</w:t>
            </w:r>
          </w:p>
          <w:p w14:paraId="7FFBBA9E">
            <w:pPr>
              <w:ind w:firstLine="3"/>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投标人针对本项目提供的建设方案</w:t>
            </w:r>
            <w:r>
              <w:rPr>
                <w:rFonts w:hint="eastAsia" w:ascii="宋体" w:hAnsi="宋体" w:eastAsia="宋体" w:cs="宋体"/>
                <w:sz w:val="21"/>
                <w:szCs w:val="21"/>
                <w:lang w:val="zh-CN" w:eastAsia="zh-CN"/>
              </w:rPr>
              <w:t>，</w:t>
            </w:r>
            <w:r>
              <w:rPr>
                <w:rFonts w:hint="eastAsia" w:ascii="宋体" w:hAnsi="宋体" w:eastAsia="宋体" w:cs="宋体"/>
                <w:sz w:val="21"/>
                <w:szCs w:val="21"/>
                <w:lang w:val="zh-CN"/>
              </w:rPr>
              <w:t>包含但不限于①项目理解与需求分析、②总体设计与架构方案、③功能模块与业务实现、④数据建设与数据治理、⑤优势与预期效果五项核心内容</w:t>
            </w:r>
            <w:r>
              <w:rPr>
                <w:rFonts w:hint="eastAsia" w:ascii="宋体" w:hAnsi="宋体" w:eastAsia="宋体" w:cs="宋体"/>
                <w:sz w:val="21"/>
                <w:szCs w:val="21"/>
                <w:lang w:val="zh-CN" w:eastAsia="zh-CN"/>
              </w:rPr>
              <w:t>。</w:t>
            </w:r>
          </w:p>
          <w:p w14:paraId="6510B2C4">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上述①至⑤项内容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满足实际需求得10分，每有一项内容缺失扣2分，每有1处存在内容缺陷扣1分，扣完为止，无相关内容不得分。</w:t>
            </w:r>
          </w:p>
          <w:p w14:paraId="0C962756">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534F8B75">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0-10</w:t>
            </w:r>
          </w:p>
        </w:tc>
      </w:tr>
      <w:tr w14:paraId="0C06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3FA3905C">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94" w:type="pct"/>
            <w:vAlign w:val="center"/>
          </w:tcPr>
          <w:p w14:paraId="00E60147">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tcPr>
          <w:p w14:paraId="44A398D1">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项目实施方案（7分）</w:t>
            </w:r>
          </w:p>
          <w:p w14:paraId="2CBDBD17">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投标人针对本项目提供的实施方案，包括但不限于以下内容：①实施组织保障；②实施总体计划；③详细实施方案；④系统集成及接口方案；⑤环境部署及测试方案；⑥试运行与上线方案；⑦验收交付方案。</w:t>
            </w:r>
          </w:p>
          <w:p w14:paraId="30D9029F">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w:t>
            </w:r>
            <w:r>
              <w:rPr>
                <w:rFonts w:hint="eastAsia" w:ascii="宋体" w:hAnsi="宋体" w:eastAsia="宋体" w:cs="宋体"/>
                <w:sz w:val="21"/>
                <w:szCs w:val="21"/>
                <w:lang w:val="zh-CN" w:eastAsia="zh-CN"/>
              </w:rPr>
              <w:t>⑦</w:t>
            </w:r>
            <w:r>
              <w:rPr>
                <w:rFonts w:hint="eastAsia" w:ascii="宋体" w:hAnsi="宋体" w:eastAsia="宋体" w:cs="宋体"/>
                <w:sz w:val="21"/>
                <w:szCs w:val="21"/>
                <w:lang w:val="zh-CN"/>
              </w:rPr>
              <w:t>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w:t>
            </w:r>
            <w:r>
              <w:rPr>
                <w:rFonts w:hint="eastAsia" w:ascii="宋体" w:hAnsi="宋体" w:eastAsia="宋体" w:cs="宋体"/>
                <w:sz w:val="21"/>
                <w:szCs w:val="21"/>
                <w:lang w:val="zh-CN" w:eastAsia="zh-CN"/>
              </w:rPr>
              <w:t>7</w:t>
            </w:r>
            <w:r>
              <w:rPr>
                <w:rFonts w:hint="eastAsia" w:ascii="宋体" w:hAnsi="宋体" w:eastAsia="宋体" w:cs="宋体"/>
                <w:sz w:val="21"/>
                <w:szCs w:val="21"/>
                <w:lang w:val="zh-CN"/>
              </w:rPr>
              <w:t>分，每有一项内容缺失扣</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分，每有1处存在内容缺陷扣</w:t>
            </w:r>
            <w:r>
              <w:rPr>
                <w:rFonts w:hint="eastAsia" w:ascii="宋体" w:hAnsi="宋体" w:eastAsia="宋体" w:cs="宋体"/>
                <w:sz w:val="21"/>
                <w:szCs w:val="21"/>
                <w:lang w:val="zh-CN" w:eastAsia="zh-CN"/>
              </w:rPr>
              <w:t>0.5</w:t>
            </w:r>
            <w:r>
              <w:rPr>
                <w:rFonts w:hint="eastAsia" w:ascii="宋体" w:hAnsi="宋体" w:eastAsia="宋体" w:cs="宋体"/>
                <w:sz w:val="21"/>
                <w:szCs w:val="21"/>
                <w:lang w:val="zh-CN"/>
              </w:rPr>
              <w:t>分，扣完为止，无相关内容不得分。</w:t>
            </w:r>
          </w:p>
          <w:p w14:paraId="069135FA">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2A655D09">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0-7</w:t>
            </w:r>
          </w:p>
        </w:tc>
      </w:tr>
      <w:tr w14:paraId="7DD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6D58BBC0">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94" w:type="pct"/>
            <w:shd w:val="clear" w:color="auto" w:fill="auto"/>
            <w:vAlign w:val="center"/>
          </w:tcPr>
          <w:p w14:paraId="0027ADCD">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shd w:val="clear" w:color="auto" w:fill="auto"/>
          </w:tcPr>
          <w:p w14:paraId="3945F535">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项目进度方案（5分）</w:t>
            </w:r>
          </w:p>
          <w:p w14:paraId="56FDB472">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投标人针对本项目提供的项目进度方案，包括但不限于以下内容：①项目进度计划甘特图；②实施团队进度表；③实施进度控制；④进度保障措施；⑤进度管控与应急措施</w:t>
            </w:r>
            <w:r>
              <w:rPr>
                <w:rFonts w:hint="eastAsia" w:ascii="宋体" w:hAnsi="宋体" w:eastAsia="宋体" w:cs="宋体"/>
                <w:sz w:val="21"/>
                <w:szCs w:val="21"/>
                <w:lang w:val="zh-CN" w:eastAsia="zh-CN"/>
              </w:rPr>
              <w:t>，</w:t>
            </w:r>
            <w:r>
              <w:rPr>
                <w:rFonts w:hint="eastAsia" w:ascii="宋体" w:hAnsi="宋体" w:eastAsia="宋体" w:cs="宋体"/>
                <w:sz w:val="21"/>
                <w:szCs w:val="21"/>
                <w:lang w:val="zh-CN"/>
              </w:rPr>
              <w:t>对其项目实施执行落地的可行性进行综合评价</w:t>
            </w:r>
            <w:r>
              <w:rPr>
                <w:rFonts w:hint="eastAsia" w:ascii="宋体" w:hAnsi="宋体" w:eastAsia="宋体" w:cs="宋体"/>
                <w:sz w:val="21"/>
                <w:szCs w:val="21"/>
                <w:lang w:val="zh-CN" w:eastAsia="zh-CN"/>
              </w:rPr>
              <w:t>。</w:t>
            </w:r>
          </w:p>
          <w:p w14:paraId="496BEAF9">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w:t>
            </w:r>
            <w:r>
              <w:rPr>
                <w:rFonts w:hint="eastAsia" w:ascii="宋体" w:hAnsi="宋体" w:eastAsia="宋体" w:cs="宋体"/>
                <w:sz w:val="21"/>
                <w:szCs w:val="21"/>
                <w:lang w:val="zh-CN" w:eastAsia="zh-CN"/>
              </w:rPr>
              <w:t>⑤</w:t>
            </w:r>
            <w:r>
              <w:rPr>
                <w:rFonts w:hint="eastAsia" w:ascii="宋体" w:hAnsi="宋体" w:eastAsia="宋体" w:cs="宋体"/>
                <w:sz w:val="21"/>
                <w:szCs w:val="21"/>
                <w:lang w:val="zh-CN"/>
              </w:rPr>
              <w:t>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w:t>
            </w:r>
            <w:r>
              <w:rPr>
                <w:rFonts w:hint="eastAsia" w:ascii="宋体" w:hAnsi="宋体" w:eastAsia="宋体" w:cs="宋体"/>
                <w:sz w:val="21"/>
                <w:szCs w:val="21"/>
                <w:lang w:val="zh-CN" w:eastAsia="zh-CN"/>
              </w:rPr>
              <w:t>5</w:t>
            </w:r>
            <w:r>
              <w:rPr>
                <w:rFonts w:hint="eastAsia" w:ascii="宋体" w:hAnsi="宋体" w:eastAsia="宋体" w:cs="宋体"/>
                <w:sz w:val="21"/>
                <w:szCs w:val="21"/>
                <w:lang w:val="zh-CN"/>
              </w:rPr>
              <w:t>分，每有一项内容缺失扣</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分，每有1处存在内容缺陷扣</w:t>
            </w:r>
            <w:r>
              <w:rPr>
                <w:rFonts w:hint="eastAsia" w:ascii="宋体" w:hAnsi="宋体" w:eastAsia="宋体" w:cs="宋体"/>
                <w:sz w:val="21"/>
                <w:szCs w:val="21"/>
                <w:lang w:val="zh-CN" w:eastAsia="zh-CN"/>
              </w:rPr>
              <w:t>0.5</w:t>
            </w:r>
            <w:r>
              <w:rPr>
                <w:rFonts w:hint="eastAsia" w:ascii="宋体" w:hAnsi="宋体" w:eastAsia="宋体" w:cs="宋体"/>
                <w:sz w:val="21"/>
                <w:szCs w:val="21"/>
                <w:lang w:val="zh-CN"/>
              </w:rPr>
              <w:t>分，扣完为止，无相关内容不得分。</w:t>
            </w:r>
          </w:p>
          <w:p w14:paraId="71E06954">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6862B3D4">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r>
      <w:tr w14:paraId="17AF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4509AAD6">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94" w:type="pct"/>
            <w:vAlign w:val="center"/>
          </w:tcPr>
          <w:p w14:paraId="1EEB9C0D">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tcPr>
          <w:p w14:paraId="5CDB4A3B">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售后服务方案（6分）</w:t>
            </w:r>
          </w:p>
          <w:p w14:paraId="10DB5293">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针对本项目提供的售后服务方案，包括但不限于以下内容：①售后服务体系及服务内容；②人员配置情况；③售后保障措施；④售后响应时间安排；⑤应急保障措施；⑥异常问题的分析及故障诊断与排除的应对措施等。</w:t>
            </w:r>
          </w:p>
          <w:p w14:paraId="5CA5A459">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w:t>
            </w:r>
            <w:r>
              <w:rPr>
                <w:rFonts w:hint="eastAsia" w:ascii="宋体" w:hAnsi="宋体" w:eastAsia="宋体" w:cs="宋体"/>
                <w:sz w:val="21"/>
                <w:szCs w:val="21"/>
                <w:lang w:val="zh-CN" w:eastAsia="zh-CN"/>
              </w:rPr>
              <w:t>⑥</w:t>
            </w:r>
            <w:r>
              <w:rPr>
                <w:rFonts w:hint="eastAsia" w:ascii="宋体" w:hAnsi="宋体" w:eastAsia="宋体" w:cs="宋体"/>
                <w:sz w:val="21"/>
                <w:szCs w:val="21"/>
                <w:lang w:val="zh-CN"/>
              </w:rPr>
              <w:t>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w:t>
            </w:r>
            <w:r>
              <w:rPr>
                <w:rFonts w:hint="eastAsia" w:ascii="宋体" w:hAnsi="宋体" w:eastAsia="宋体" w:cs="宋体"/>
                <w:sz w:val="21"/>
                <w:szCs w:val="21"/>
                <w:lang w:val="zh-CN" w:eastAsia="zh-CN"/>
              </w:rPr>
              <w:t>6</w:t>
            </w:r>
            <w:r>
              <w:rPr>
                <w:rFonts w:hint="eastAsia" w:ascii="宋体" w:hAnsi="宋体" w:eastAsia="宋体" w:cs="宋体"/>
                <w:sz w:val="21"/>
                <w:szCs w:val="21"/>
                <w:lang w:val="zh-CN"/>
              </w:rPr>
              <w:t>分，每有一项内容缺失扣</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分，每有1处存在内容缺陷扣</w:t>
            </w:r>
            <w:r>
              <w:rPr>
                <w:rFonts w:hint="eastAsia" w:ascii="宋体" w:hAnsi="宋体" w:eastAsia="宋体" w:cs="宋体"/>
                <w:sz w:val="21"/>
                <w:szCs w:val="21"/>
                <w:lang w:val="zh-CN" w:eastAsia="zh-CN"/>
              </w:rPr>
              <w:t>0.5</w:t>
            </w:r>
            <w:r>
              <w:rPr>
                <w:rFonts w:hint="eastAsia" w:ascii="宋体" w:hAnsi="宋体" w:eastAsia="宋体" w:cs="宋体"/>
                <w:sz w:val="21"/>
                <w:szCs w:val="21"/>
                <w:lang w:val="zh-CN"/>
              </w:rPr>
              <w:t>分，扣完为止，无相关内容不得分。</w:t>
            </w:r>
          </w:p>
          <w:p w14:paraId="6A1668FE">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3AD50D73">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0-6</w:t>
            </w:r>
          </w:p>
        </w:tc>
      </w:tr>
      <w:tr w14:paraId="6DF9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6816EE8A">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94" w:type="pct"/>
            <w:vAlign w:val="center"/>
          </w:tcPr>
          <w:p w14:paraId="6C8C2A7B">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tcPr>
          <w:p w14:paraId="049BA393">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培训方案（5分）</w:t>
            </w:r>
          </w:p>
          <w:p w14:paraId="38AE2FB1">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投标人针对本项目提供的培训方案，包括但不限于以下内容：①培训内容；②培训课程及时间安排；③培训方式；④培训师资；⑤培训材料与考核机制。</w:t>
            </w:r>
          </w:p>
          <w:p w14:paraId="23BE162A">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w:t>
            </w:r>
            <w:r>
              <w:rPr>
                <w:rFonts w:hint="eastAsia" w:ascii="宋体" w:hAnsi="宋体" w:eastAsia="宋体" w:cs="宋体"/>
                <w:sz w:val="21"/>
                <w:szCs w:val="21"/>
                <w:lang w:val="zh-CN" w:eastAsia="zh-CN"/>
              </w:rPr>
              <w:t>⑤</w:t>
            </w:r>
            <w:r>
              <w:rPr>
                <w:rFonts w:hint="eastAsia" w:ascii="宋体" w:hAnsi="宋体" w:eastAsia="宋体" w:cs="宋体"/>
                <w:sz w:val="21"/>
                <w:szCs w:val="21"/>
                <w:lang w:val="zh-CN"/>
              </w:rPr>
              <w:t>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w:t>
            </w:r>
            <w:r>
              <w:rPr>
                <w:rFonts w:hint="eastAsia" w:ascii="宋体" w:hAnsi="宋体" w:eastAsia="宋体" w:cs="宋体"/>
                <w:sz w:val="21"/>
                <w:szCs w:val="21"/>
                <w:lang w:val="zh-CN" w:eastAsia="zh-CN"/>
              </w:rPr>
              <w:t>5</w:t>
            </w:r>
            <w:r>
              <w:rPr>
                <w:rFonts w:hint="eastAsia" w:ascii="宋体" w:hAnsi="宋体" w:eastAsia="宋体" w:cs="宋体"/>
                <w:sz w:val="21"/>
                <w:szCs w:val="21"/>
                <w:lang w:val="zh-CN"/>
              </w:rPr>
              <w:t>分，每有一项内容缺失扣</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分，每有1处存在内容缺陷扣</w:t>
            </w:r>
            <w:r>
              <w:rPr>
                <w:rFonts w:hint="eastAsia" w:ascii="宋体" w:hAnsi="宋体" w:eastAsia="宋体" w:cs="宋体"/>
                <w:sz w:val="21"/>
                <w:szCs w:val="21"/>
                <w:lang w:val="zh-CN" w:eastAsia="zh-CN"/>
              </w:rPr>
              <w:t>0.5</w:t>
            </w:r>
            <w:r>
              <w:rPr>
                <w:rFonts w:hint="eastAsia" w:ascii="宋体" w:hAnsi="宋体" w:eastAsia="宋体" w:cs="宋体"/>
                <w:sz w:val="21"/>
                <w:szCs w:val="21"/>
                <w:lang w:val="zh-CN"/>
              </w:rPr>
              <w:t>分，扣完为止，无相关内容不得分。</w:t>
            </w:r>
          </w:p>
          <w:p w14:paraId="68A63669">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6CBCBA34">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r>
      <w:tr w14:paraId="77D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 w:type="pct"/>
            <w:vAlign w:val="center"/>
          </w:tcPr>
          <w:p w14:paraId="6B8DBC1F">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94" w:type="pct"/>
            <w:vAlign w:val="center"/>
          </w:tcPr>
          <w:p w14:paraId="634F935A">
            <w:pPr>
              <w:ind w:firstLine="3"/>
              <w:jc w:val="center"/>
              <w:rPr>
                <w:rFonts w:hint="eastAsia" w:ascii="宋体" w:hAnsi="宋体" w:eastAsia="宋体" w:cs="宋体"/>
                <w:sz w:val="21"/>
                <w:szCs w:val="21"/>
                <w:lang w:val="zh-CN"/>
              </w:rPr>
            </w:pPr>
            <w:r>
              <w:rPr>
                <w:rFonts w:hint="eastAsia" w:ascii="宋体" w:hAnsi="宋体" w:eastAsia="宋体" w:cs="宋体"/>
                <w:sz w:val="21"/>
                <w:szCs w:val="21"/>
                <w:lang w:val="zh-CN"/>
              </w:rPr>
              <w:t>技术</w:t>
            </w:r>
          </w:p>
        </w:tc>
        <w:tc>
          <w:tcPr>
            <w:tcW w:w="3261" w:type="pct"/>
          </w:tcPr>
          <w:p w14:paraId="710D4E34">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安全保障措施（5分）</w:t>
            </w:r>
          </w:p>
          <w:p w14:paraId="36E78193">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投标人须结合项目实际情况，提供针对本项目的安全保障措施，包括但不限于以下内容：①安全风险识别；②风险防控措施、③安全责任分工；④人员安全保障措施；⑤安全检查方案等。</w:t>
            </w:r>
          </w:p>
          <w:p w14:paraId="743DF883">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上述①至</w:t>
            </w:r>
            <w:r>
              <w:rPr>
                <w:rFonts w:hint="eastAsia" w:ascii="宋体" w:hAnsi="宋体" w:eastAsia="宋体" w:cs="宋体"/>
                <w:sz w:val="21"/>
                <w:szCs w:val="21"/>
                <w:lang w:val="zh-CN" w:eastAsia="zh-CN"/>
              </w:rPr>
              <w:t>⑤</w:t>
            </w:r>
            <w:r>
              <w:rPr>
                <w:rFonts w:hint="eastAsia" w:ascii="宋体" w:hAnsi="宋体" w:eastAsia="宋体" w:cs="宋体"/>
                <w:sz w:val="21"/>
                <w:szCs w:val="21"/>
                <w:lang w:val="zh-CN"/>
              </w:rPr>
              <w:t>项内容</w:t>
            </w:r>
            <w:r>
              <w:rPr>
                <w:rFonts w:hint="eastAsia" w:ascii="宋体" w:hAnsi="宋体" w:eastAsia="宋体" w:cs="宋体"/>
                <w:sz w:val="21"/>
                <w:szCs w:val="21"/>
                <w:lang w:val="zh-CN" w:eastAsia="zh-CN"/>
              </w:rPr>
              <w:t>全部</w:t>
            </w:r>
            <w:r>
              <w:rPr>
                <w:rFonts w:hint="eastAsia" w:ascii="宋体" w:hAnsi="宋体" w:eastAsia="宋体" w:cs="宋体"/>
                <w:sz w:val="21"/>
                <w:szCs w:val="21"/>
                <w:lang w:val="zh-CN"/>
              </w:rPr>
              <w:t>满足实际需求得</w:t>
            </w:r>
            <w:r>
              <w:rPr>
                <w:rFonts w:hint="eastAsia" w:ascii="宋体" w:hAnsi="宋体" w:eastAsia="宋体" w:cs="宋体"/>
                <w:sz w:val="21"/>
                <w:szCs w:val="21"/>
                <w:lang w:val="zh-CN" w:eastAsia="zh-CN"/>
              </w:rPr>
              <w:t>5</w:t>
            </w:r>
            <w:r>
              <w:rPr>
                <w:rFonts w:hint="eastAsia" w:ascii="宋体" w:hAnsi="宋体" w:eastAsia="宋体" w:cs="宋体"/>
                <w:sz w:val="21"/>
                <w:szCs w:val="21"/>
                <w:lang w:val="zh-CN"/>
              </w:rPr>
              <w:t>分，每有一项内容缺失扣</w:t>
            </w:r>
            <w:r>
              <w:rPr>
                <w:rFonts w:hint="eastAsia" w:ascii="宋体" w:hAnsi="宋体" w:eastAsia="宋体" w:cs="宋体"/>
                <w:sz w:val="21"/>
                <w:szCs w:val="21"/>
                <w:lang w:val="zh-CN" w:eastAsia="zh-CN"/>
              </w:rPr>
              <w:t>1</w:t>
            </w:r>
            <w:r>
              <w:rPr>
                <w:rFonts w:hint="eastAsia" w:ascii="宋体" w:hAnsi="宋体" w:eastAsia="宋体" w:cs="宋体"/>
                <w:sz w:val="21"/>
                <w:szCs w:val="21"/>
                <w:lang w:val="zh-CN"/>
              </w:rPr>
              <w:t>分，每有1处存在内容缺陷扣</w:t>
            </w:r>
            <w:r>
              <w:rPr>
                <w:rFonts w:hint="eastAsia" w:ascii="宋体" w:hAnsi="宋体" w:eastAsia="宋体" w:cs="宋体"/>
                <w:sz w:val="21"/>
                <w:szCs w:val="21"/>
                <w:lang w:val="zh-CN" w:eastAsia="zh-CN"/>
              </w:rPr>
              <w:t>0.5</w:t>
            </w:r>
            <w:r>
              <w:rPr>
                <w:rFonts w:hint="eastAsia" w:ascii="宋体" w:hAnsi="宋体" w:eastAsia="宋体" w:cs="宋体"/>
                <w:sz w:val="21"/>
                <w:szCs w:val="21"/>
                <w:lang w:val="zh-CN"/>
              </w:rPr>
              <w:t>分，扣完为止，无相关内容不得分。</w:t>
            </w:r>
          </w:p>
          <w:p w14:paraId="0C046CA0">
            <w:pPr>
              <w:ind w:firstLine="3"/>
              <w:jc w:val="left"/>
              <w:rPr>
                <w:rFonts w:hint="eastAsia" w:ascii="宋体" w:hAnsi="宋体" w:eastAsia="宋体" w:cs="宋体"/>
                <w:sz w:val="21"/>
                <w:szCs w:val="21"/>
                <w:lang w:val="zh-CN"/>
              </w:rPr>
            </w:pPr>
            <w:r>
              <w:rPr>
                <w:rFonts w:hint="eastAsia" w:ascii="宋体" w:hAnsi="宋体" w:eastAsia="宋体" w:cs="宋体"/>
                <w:sz w:val="21"/>
                <w:szCs w:val="21"/>
                <w:lang w:val="zh-CN"/>
              </w:rPr>
              <w:t>（注：缺陷是指方案中存在包括但不限于内容不合理、缺少关键点、表述前后不一致、与项目需求不匹配或贴合度不高、方案缺乏针对性、套用其他项目内容、存在逻辑漏洞、科学原理或常识错误及不利于本项目目标实现的其他问题。）</w:t>
            </w:r>
          </w:p>
        </w:tc>
        <w:tc>
          <w:tcPr>
            <w:tcW w:w="626" w:type="pct"/>
            <w:vAlign w:val="center"/>
          </w:tcPr>
          <w:p w14:paraId="26A0B65A">
            <w:pPr>
              <w:ind w:firstLine="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w:t>
            </w:r>
          </w:p>
        </w:tc>
      </w:tr>
    </w:tbl>
    <w:p w14:paraId="44BE3AB8">
      <w:pPr>
        <w:bidi w:val="0"/>
        <w:rPr>
          <w:rFonts w:hint="eastAsia"/>
          <w:lang w:val="en-US" w:eastAsia="zh-CN"/>
        </w:rPr>
      </w:pPr>
    </w:p>
    <w:bookmarkEnd w:id="98"/>
    <w:bookmarkEnd w:id="99"/>
    <w:bookmarkEnd w:id="100"/>
    <w:bookmarkEnd w:id="101"/>
    <w:bookmarkEnd w:id="102"/>
    <w:p w14:paraId="052F3096">
      <w:pPr>
        <w:pStyle w:val="4"/>
        <w:spacing w:before="0" w:after="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、落实政府采购政策性要求的评审内容及标准：</w:t>
      </w:r>
    </w:p>
    <w:p w14:paraId="139944DD">
      <w:pPr>
        <w:snapToGrid w:val="0"/>
        <w:spacing w:line="360" w:lineRule="auto"/>
        <w:ind w:firstLine="480" w:firstLineChars="200"/>
        <w:jc w:val="left"/>
        <w:rPr>
          <w:rFonts w:hint="eastAsia" w:ascii="宋体" w:hAnsi="宋体" w:eastAsia="宋体" w:cs="宋体"/>
          <w:b/>
          <w:bCs/>
        </w:rPr>
      </w:pPr>
      <w:r>
        <w:rPr>
          <w:rFonts w:hint="eastAsia" w:ascii="宋体" w:hAnsi="宋体" w:eastAsia="宋体" w:cs="宋体"/>
          <w:kern w:val="0"/>
          <w:sz w:val="24"/>
          <w:lang w:val="en-US" w:eastAsia="zh-CN"/>
        </w:rPr>
        <w:t>详见“第二部分  二、投标人须知正文”。</w:t>
      </w:r>
      <w:r>
        <w:rPr>
          <w:rFonts w:hint="eastAsia" w:ascii="宋体" w:hAnsi="宋体" w:eastAsia="宋体" w:cs="宋体"/>
          <w:b/>
          <w:bCs/>
        </w:rPr>
        <w:br w:type="page"/>
      </w:r>
    </w:p>
    <w:p w14:paraId="731ED0E3">
      <w:pPr>
        <w:pStyle w:val="3"/>
        <w:autoSpaceDE w:val="0"/>
        <w:autoSpaceDN w:val="0"/>
        <w:adjustRightInd w:val="0"/>
        <w:spacing w:after="140" w:line="240" w:lineRule="auto"/>
        <w:jc w:val="center"/>
        <w:rPr>
          <w:rFonts w:hint="eastAsia" w:ascii="宋体" w:hAnsi="宋体" w:eastAsia="宋体" w:cs="宋体"/>
          <w:b/>
          <w:bCs/>
        </w:rPr>
      </w:pPr>
      <w:r>
        <w:rPr>
          <w:rFonts w:hint="eastAsia" w:ascii="宋体" w:hAnsi="宋体" w:eastAsia="宋体" w:cs="宋体"/>
          <w:b/>
          <w:bCs/>
        </w:rPr>
        <w:t>二、评标办法正文</w:t>
      </w:r>
    </w:p>
    <w:p w14:paraId="3D566AA6">
      <w:pPr>
        <w:pStyle w:val="4"/>
        <w:widowControl/>
        <w:spacing w:before="0" w:after="0" w:line="360" w:lineRule="auto"/>
        <w:rPr>
          <w:rFonts w:hint="eastAsia" w:ascii="宋体" w:hAnsi="宋体" w:eastAsia="宋体" w:cs="宋体"/>
          <w:sz w:val="24"/>
          <w:szCs w:val="24"/>
        </w:rPr>
      </w:pPr>
      <w:bookmarkStart w:id="103" w:name="_Toc2421"/>
      <w:bookmarkStart w:id="104" w:name="_Toc9432"/>
      <w:bookmarkStart w:id="105" w:name="_Toc14535"/>
      <w:bookmarkStart w:id="106" w:name="_Toc15185"/>
      <w:bookmarkStart w:id="107" w:name="_Toc11376"/>
      <w:bookmarkStart w:id="108" w:name="_Toc30455"/>
      <w:bookmarkStart w:id="109" w:name="_Toc7225"/>
      <w:bookmarkStart w:id="110" w:name="_Toc26722"/>
      <w:bookmarkStart w:id="111" w:name="_Toc18784"/>
      <w:bookmarkStart w:id="112" w:name="_Toc24290"/>
      <w:r>
        <w:rPr>
          <w:rFonts w:hint="eastAsia" w:ascii="宋体" w:hAnsi="宋体" w:eastAsia="宋体" w:cs="宋体"/>
          <w:sz w:val="24"/>
          <w:szCs w:val="24"/>
        </w:rPr>
        <w:t>1.评标</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4"/>
          <w:szCs w:val="24"/>
        </w:rPr>
        <w:t>办法</w:t>
      </w:r>
    </w:p>
    <w:p w14:paraId="637D0810">
      <w:pPr>
        <w:snapToGri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本项目采用综合评分法，满足招标文件要求且投标价格最低的投标报价为</w:t>
      </w:r>
      <w:r>
        <w:rPr>
          <w:rFonts w:hint="eastAsia" w:ascii="宋体" w:hAnsi="宋体" w:eastAsia="宋体" w:cs="宋体"/>
          <w:kern w:val="0"/>
          <w:sz w:val="24"/>
          <w:lang w:eastAsia="zh-CN"/>
        </w:rPr>
        <w:t>“</w:t>
      </w:r>
      <w:r>
        <w:rPr>
          <w:rFonts w:hint="eastAsia" w:ascii="宋体" w:hAnsi="宋体" w:eastAsia="宋体" w:cs="宋体"/>
          <w:kern w:val="0"/>
          <w:sz w:val="24"/>
        </w:rPr>
        <w:t>评标基准价</w:t>
      </w:r>
      <w:r>
        <w:rPr>
          <w:rFonts w:hint="eastAsia" w:ascii="宋体" w:hAnsi="宋体" w:eastAsia="宋体" w:cs="宋体"/>
          <w:kern w:val="0"/>
          <w:sz w:val="24"/>
          <w:lang w:eastAsia="zh-CN"/>
        </w:rPr>
        <w:t>”</w:t>
      </w:r>
      <w:r>
        <w:rPr>
          <w:rFonts w:hint="eastAsia" w:ascii="宋体" w:hAnsi="宋体" w:eastAsia="宋体" w:cs="宋体"/>
          <w:kern w:val="0"/>
          <w:sz w:val="24"/>
        </w:rPr>
        <w:t>，其价格分为满分</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因落实政府采购政策进行价格调整的，以调整后的价格计算评标基准价和投标报价。根据省财政厅晋财购【2024】54号文件相关要求，对中小微企业等主体，严格落实政府采购优惠政策，同时享受绿色采购政策的价格扣除评审优惠措施。叠加计算方式为：</w:t>
      </w:r>
    </w:p>
    <w:p w14:paraId="731DFF5B">
      <w:pPr>
        <w:snapToGri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最终有效报价=（最终总报价-有效绿色产品总价×绿色产品价格扣除比例）×（1-小微企业价格扣除比例）【说明：专门面向中小（小微）企业项目，小微企业价格扣除比例为0；残疾人企业和监狱企业视同为小微企业，价格扣除比例等于同于小微企业价格扣除比例】。</w:t>
      </w:r>
    </w:p>
    <w:p w14:paraId="4BA7B06B">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评标委员会对满足招标文件实质性要求的投标文件，按照本章第2.2款规定的评分标准进行打分，并按综合得分由高到低顺序推荐中标候选人。综合评分相等时，以投标报价低的优先；得分且投标报价相同的采取随机抽取的方式确定中标供应商或者排名第一的中标候选人。</w:t>
      </w:r>
    </w:p>
    <w:p w14:paraId="48592B12">
      <w:pPr>
        <w:pStyle w:val="4"/>
        <w:widowControl/>
        <w:spacing w:before="0" w:after="0" w:line="360" w:lineRule="auto"/>
        <w:rPr>
          <w:rFonts w:hint="eastAsia" w:ascii="宋体" w:hAnsi="宋体" w:eastAsia="宋体" w:cs="宋体"/>
          <w:sz w:val="24"/>
          <w:szCs w:val="24"/>
        </w:rPr>
      </w:pPr>
      <w:bookmarkStart w:id="113" w:name="_Toc28892"/>
      <w:bookmarkStart w:id="114" w:name="_Toc26718"/>
      <w:bookmarkStart w:id="115" w:name="_Toc23779"/>
      <w:bookmarkStart w:id="116" w:name="_Toc28402"/>
      <w:bookmarkStart w:id="117" w:name="_Toc31481"/>
      <w:bookmarkStart w:id="118" w:name="_Toc31229"/>
      <w:bookmarkStart w:id="119" w:name="_Toc20122"/>
      <w:bookmarkStart w:id="120" w:name="_Toc27455"/>
      <w:bookmarkStart w:id="121" w:name="_Toc18100"/>
      <w:bookmarkStart w:id="122" w:name="_Toc17222"/>
      <w:r>
        <w:rPr>
          <w:rFonts w:hint="eastAsia" w:ascii="宋体" w:hAnsi="宋体" w:eastAsia="宋体" w:cs="宋体"/>
          <w:sz w:val="24"/>
          <w:szCs w:val="24"/>
        </w:rPr>
        <w:t>2.评标程序</w:t>
      </w:r>
      <w:bookmarkEnd w:id="113"/>
      <w:bookmarkEnd w:id="114"/>
      <w:bookmarkEnd w:id="115"/>
      <w:bookmarkEnd w:id="116"/>
      <w:bookmarkEnd w:id="117"/>
      <w:bookmarkEnd w:id="118"/>
      <w:bookmarkEnd w:id="119"/>
      <w:bookmarkEnd w:id="120"/>
      <w:bookmarkEnd w:id="121"/>
      <w:bookmarkEnd w:id="122"/>
    </w:p>
    <w:p w14:paraId="52A575A6">
      <w:pPr>
        <w:spacing w:line="360" w:lineRule="auto"/>
        <w:rPr>
          <w:rFonts w:hint="eastAsia" w:ascii="宋体" w:hAnsi="宋体" w:eastAsia="宋体" w:cs="宋体"/>
          <w:b/>
          <w:sz w:val="24"/>
        </w:rPr>
      </w:pPr>
      <w:r>
        <w:rPr>
          <w:rFonts w:hint="eastAsia" w:ascii="宋体" w:hAnsi="宋体" w:eastAsia="宋体" w:cs="宋体"/>
          <w:b/>
          <w:sz w:val="24"/>
        </w:rPr>
        <w:t>2.1符合性审查</w:t>
      </w:r>
    </w:p>
    <w:p w14:paraId="5540529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2.1.1评标委员会要审核投标文件是否实质上响应了招标文件的要求。实质上响应的投标是指与招标文件的主要条款、条件和规格相符，没有重大偏离。</w:t>
      </w:r>
    </w:p>
    <w:p w14:paraId="40915531">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2.1.2审查内容详见评标办法前附表，有一项不符合，评标委员会认定其投标无效。</w:t>
      </w:r>
    </w:p>
    <w:p w14:paraId="512D9909">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2.1.3评标委员会对投标文件的判定,只依据投标文件内容本身,不依据任何外来证明。</w:t>
      </w:r>
    </w:p>
    <w:p w14:paraId="20DB7785">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2.1.4审核中，投标文件报价出现</w:t>
      </w:r>
      <w:r>
        <w:rPr>
          <w:rFonts w:hint="eastAsia" w:ascii="宋体" w:hAnsi="宋体" w:cs="宋体"/>
          <w:kern w:val="0"/>
          <w:sz w:val="24"/>
          <w:lang w:val="en-US" w:eastAsia="zh-CN"/>
        </w:rPr>
        <w:t xml:space="preserve"> </w:t>
      </w:r>
      <w:r>
        <w:rPr>
          <w:rFonts w:hint="eastAsia" w:ascii="宋体" w:hAnsi="宋体" w:eastAsia="宋体" w:cs="宋体"/>
          <w:kern w:val="0"/>
          <w:sz w:val="24"/>
        </w:rPr>
        <w:t>前后不一致的按下述原则处理：</w:t>
      </w:r>
    </w:p>
    <w:p w14:paraId="04B0227E">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（1）投标文件中开标一览表（报价表）内容与投标文件中相应内容不一致的，以开标一览表（报价表）为准；</w:t>
      </w:r>
    </w:p>
    <w:p w14:paraId="651BD75C">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（2）大写金额和小写金额不一致的，以大写金额为准；</w:t>
      </w:r>
    </w:p>
    <w:p w14:paraId="1D09F168">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（3）单价金额小数点或者百分比有明显错位的，以开标一览表（报价表）的总价为准，并修改单价；</w:t>
      </w:r>
    </w:p>
    <w:p w14:paraId="498F3EF2">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（4）总价金额与按单价汇总金额不一致的，以单价金额计算结果为准。</w:t>
      </w:r>
    </w:p>
    <w:p w14:paraId="3681FAA2">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szCs w:val="24"/>
        </w:rPr>
        <w:t>（5）如果分项报价中存在缺漏项</w:t>
      </w:r>
      <w:r>
        <w:rPr>
          <w:rFonts w:hint="eastAsia" w:ascii="宋体" w:hAnsi="宋体" w:eastAsia="宋体" w:cs="宋体"/>
          <w:kern w:val="0"/>
          <w:sz w:val="24"/>
          <w:szCs w:val="24"/>
        </w:rPr>
        <w:t>，且缺漏项内容不属实质性偏差的</w:t>
      </w:r>
      <w:r>
        <w:rPr>
          <w:rFonts w:hint="eastAsia" w:ascii="宋体" w:hAnsi="宋体" w:eastAsia="宋体" w:cs="宋体"/>
          <w:sz w:val="24"/>
          <w:szCs w:val="24"/>
        </w:rPr>
        <w:t>，则视为缺漏项价格已包含在其他分项报价之中。</w:t>
      </w:r>
    </w:p>
    <w:p w14:paraId="32491226">
      <w:pPr>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同时出现两种以上不一致的，按照前款规定的顺序修正。调整后的数据应对投标人具有约束力，若投标人不同意以上修正，其投标无效。</w:t>
      </w:r>
    </w:p>
    <w:p w14:paraId="58C00502">
      <w:pPr>
        <w:adjustRightInd w:val="0"/>
        <w:snapToGrid w:val="0"/>
        <w:spacing w:line="360" w:lineRule="auto"/>
        <w:jc w:val="left"/>
        <w:rPr>
          <w:rFonts w:hint="eastAsia" w:ascii="宋体" w:hAnsi="宋体" w:eastAsia="宋体" w:cs="宋体"/>
          <w:b/>
          <w:sz w:val="24"/>
        </w:rPr>
      </w:pPr>
      <w:r>
        <w:rPr>
          <w:rFonts w:hint="eastAsia" w:ascii="宋体" w:hAnsi="宋体" w:eastAsia="宋体" w:cs="宋体"/>
          <w:b/>
          <w:sz w:val="24"/>
        </w:rPr>
        <w:t>2.2详细评审</w:t>
      </w:r>
    </w:p>
    <w:p w14:paraId="790D34EB">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2.2.1评标委员会只对通过符合性审查的投标进行评价和比较，具体按评标办法前附表规定的量化因素和分值进行打分。</w:t>
      </w:r>
    </w:p>
    <w:p w14:paraId="4523B45D">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2.2.2每一投标人的报价得分由评标委员会共同认定，商务部分、技术服务部分得分为所有评标委员会成员评分的算术平均值，综合得分为报价、技术服务、商务部分的汇总得分。</w:t>
      </w:r>
    </w:p>
    <w:p w14:paraId="3A198DA9">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2.2.3所有评分分值计算保留小数点后两位，小数点后第三位“四舍五入”。</w:t>
      </w:r>
    </w:p>
    <w:p w14:paraId="5F3A1210">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2.2.4</w:t>
      </w:r>
      <w:r>
        <w:rPr>
          <w:rFonts w:hint="eastAsia" w:ascii="宋体" w:hAnsi="宋体" w:cs="宋体"/>
          <w:kern w:val="0"/>
          <w:sz w:val="24"/>
          <w:lang w:eastAsia="zh-CN"/>
        </w:rPr>
        <w:t>采购人</w:t>
      </w:r>
      <w:r>
        <w:rPr>
          <w:rFonts w:hint="eastAsia" w:ascii="宋体" w:hAnsi="宋体" w:eastAsia="宋体" w:cs="宋体"/>
          <w:kern w:val="0"/>
          <w:sz w:val="24"/>
        </w:rPr>
        <w:t>不接受投标人恶意低价竞争。评标委员会认为投标人的报价明显低于其他通过符合性审查投标人的报价，有可能影响产品质量或者不能诚信履约的，应当要求其在评标现场合理时间内提供书面说明，并提交相关证明材料；投标人不能证明其报价合理性的，评标委员会应当将其作为无效投标处理。</w:t>
      </w:r>
    </w:p>
    <w:p w14:paraId="152BEF08">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2.2.5异常低价处理</w:t>
      </w:r>
    </w:p>
    <w:p w14:paraId="5372D13B">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2.2.5.1政府采购评审中出现下列情形之一的，评审委员会应当启动异常低价投标（响应）审查程序：</w:t>
      </w:r>
    </w:p>
    <w:p w14:paraId="3335C331">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（1）投标（响应）报价低于全部通过符合性审查供应商投标（响应）报价平均值</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%的，即投标（响应）报价&lt;全部通过符合性审查供应商投标（响应）报价平均值×</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w:t>
      </w:r>
    </w:p>
    <w:p w14:paraId="621AE47B">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（2）投标（响应）报价低于通过符合性审查的次低报价供应商投标（响应）报价</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%的，即投标（响应）报价&lt;通过符合性审查的次低报价供应商投标（响应）报价×</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w:t>
      </w:r>
    </w:p>
    <w:p w14:paraId="7797216E">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（3）投标（响应）报价低于采购项目最高限价</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%的，即投标（响应）报价&lt;采购项目最高限价×</w:t>
      </w:r>
      <w:r>
        <w:rPr>
          <w:rFonts w:hint="eastAsia" w:ascii="宋体" w:hAnsi="宋体" w:cs="宋体"/>
          <w:kern w:val="0"/>
          <w:sz w:val="24"/>
          <w:lang w:val="en-US" w:eastAsia="zh-CN"/>
        </w:rPr>
        <w:t>65</w:t>
      </w:r>
      <w:r>
        <w:rPr>
          <w:rFonts w:hint="eastAsia" w:ascii="宋体" w:hAnsi="宋体" w:eastAsia="宋体" w:cs="宋体"/>
          <w:kern w:val="0"/>
          <w:sz w:val="24"/>
          <w:lang w:val="en-US" w:eastAsia="zh-CN"/>
        </w:rPr>
        <w:t>%；</w:t>
      </w:r>
    </w:p>
    <w:p w14:paraId="4D8FDB3D">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（4）评审委员会基于专业判断，认为供应商报价过低，有可能影响产品质量或者不能诚信履约的其他情形。</w:t>
      </w:r>
    </w:p>
    <w:p w14:paraId="7571641F">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相关法律法规对供应商报价有规定的，从其规定。</w:t>
      </w:r>
    </w:p>
    <w:p w14:paraId="6249D85F">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2.2.5.2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CA841E">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2.2.5.3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762CE6">
      <w:pPr>
        <w:adjustRightInd w:val="0"/>
        <w:snapToGrid w:val="0"/>
        <w:spacing w:line="360" w:lineRule="auto"/>
        <w:ind w:firstLine="48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采购人、</w:t>
      </w:r>
      <w:r>
        <w:rPr>
          <w:rFonts w:hint="eastAsia" w:ascii="宋体" w:hAnsi="宋体" w:cs="宋体"/>
          <w:kern w:val="0"/>
          <w:sz w:val="24"/>
          <w:lang w:val="en-US" w:eastAsia="zh-CN"/>
        </w:rPr>
        <w:t>采购代理机构</w:t>
      </w:r>
      <w:r>
        <w:rPr>
          <w:rFonts w:hint="eastAsia" w:ascii="宋体" w:hAnsi="宋体" w:eastAsia="宋体" w:cs="宋体"/>
          <w:kern w:val="0"/>
          <w:sz w:val="24"/>
          <w:lang w:val="en-US" w:eastAsia="zh-CN"/>
        </w:rPr>
        <w:t>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A6701D3">
      <w:pPr>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4EAECE8">
      <w:pPr>
        <w:spacing w:line="360" w:lineRule="auto"/>
        <w:rPr>
          <w:rFonts w:hint="eastAsia" w:ascii="宋体" w:hAnsi="宋体" w:eastAsia="宋体" w:cs="宋体"/>
          <w:b/>
          <w:sz w:val="24"/>
        </w:rPr>
      </w:pPr>
      <w:r>
        <w:rPr>
          <w:rFonts w:hint="eastAsia" w:ascii="宋体" w:hAnsi="宋体" w:eastAsia="宋体" w:cs="宋体"/>
          <w:b/>
          <w:sz w:val="24"/>
        </w:rPr>
        <w:t>2.3投标文件的澄清和补正</w:t>
      </w:r>
    </w:p>
    <w:p w14:paraId="0B607350">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2.3.1评标委员会有权要求投标人对投标文件中含义不明确、对同类问题表述不一致或者有明显文字和计算错误等内容作必要的澄清、说明或者补正。该要求应当采用书面形式,并由评标委员会共同签字。</w:t>
      </w:r>
    </w:p>
    <w:p w14:paraId="26B9641F">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2.3.2投标人必须按照评标委员会通知的内容和时间做出书面答复，该答复经法定代表人或投标人代表的签字认可，将作为投标文件内容的一部分。澄清、说明或者补正不得超出投标文件的范围或者改变投标文件的实质性内容。</w:t>
      </w:r>
    </w:p>
    <w:p w14:paraId="28C3A19F">
      <w:pPr>
        <w:spacing w:line="360" w:lineRule="auto"/>
        <w:rPr>
          <w:rFonts w:hint="eastAsia" w:ascii="宋体" w:hAnsi="宋体" w:eastAsia="宋体" w:cs="宋体"/>
          <w:b/>
          <w:sz w:val="24"/>
        </w:rPr>
      </w:pPr>
      <w:r>
        <w:rPr>
          <w:rFonts w:hint="eastAsia" w:ascii="宋体" w:hAnsi="宋体" w:eastAsia="宋体" w:cs="宋体"/>
          <w:b/>
          <w:sz w:val="24"/>
        </w:rPr>
        <w:t>2.4评审复核</w:t>
      </w:r>
    </w:p>
    <w:p w14:paraId="3A24BEE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2.4.1评标结果汇总完成后，除下列情形外，任何人不得修改评标结果：</w:t>
      </w:r>
    </w:p>
    <w:p w14:paraId="76D61B6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⑴分值汇总计算错误的；</w:t>
      </w:r>
    </w:p>
    <w:p w14:paraId="390ACAB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⑵分项评分超出评分标准范围的；</w:t>
      </w:r>
    </w:p>
    <w:p w14:paraId="22AE369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⑶评标委员会成员对客观评审因素评分不一致的；</w:t>
      </w:r>
    </w:p>
    <w:p w14:paraId="42C88B5C">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⑷经评标委员会认定评分畸高、畸低的。</w:t>
      </w:r>
    </w:p>
    <w:p w14:paraId="1A8B994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2.4.2评标报告签署前，经复核发现存在以上情形之一的，评标委员会应当当场修改评标结果，并在评标报告中记载；评标报告签署后，</w:t>
      </w:r>
      <w:r>
        <w:rPr>
          <w:rFonts w:hint="eastAsia" w:ascii="宋体" w:hAnsi="宋体" w:cs="宋体"/>
          <w:kern w:val="0"/>
          <w:sz w:val="24"/>
          <w:lang w:eastAsia="zh-CN"/>
        </w:rPr>
        <w:t>采购人</w:t>
      </w:r>
      <w:r>
        <w:rPr>
          <w:rFonts w:hint="eastAsia" w:ascii="宋体" w:hAnsi="宋体" w:eastAsia="宋体" w:cs="宋体"/>
          <w:kern w:val="0"/>
          <w:sz w:val="24"/>
        </w:rPr>
        <w:t>或代理机构发现存在以上情形之一的，应当组织原评标委员会进行重新评审。</w:t>
      </w:r>
    </w:p>
    <w:p w14:paraId="25002819">
      <w:pPr>
        <w:spacing w:line="360" w:lineRule="auto"/>
        <w:rPr>
          <w:rFonts w:hint="eastAsia" w:ascii="宋体" w:hAnsi="宋体" w:eastAsia="宋体" w:cs="宋体"/>
          <w:sz w:val="24"/>
          <w:szCs w:val="24"/>
        </w:rPr>
      </w:pPr>
      <w:bookmarkStart w:id="123" w:name="_Toc15186"/>
      <w:bookmarkStart w:id="124" w:name="_Toc20026"/>
      <w:bookmarkStart w:id="125" w:name="_Toc24922"/>
      <w:bookmarkStart w:id="126" w:name="_Toc18976"/>
      <w:bookmarkStart w:id="127" w:name="_Toc3151"/>
      <w:bookmarkStart w:id="128" w:name="_Toc16383"/>
      <w:bookmarkStart w:id="129" w:name="_Toc2343"/>
      <w:bookmarkStart w:id="130" w:name="_Toc19224"/>
      <w:bookmarkStart w:id="131" w:name="_Toc28400"/>
      <w:bookmarkStart w:id="132" w:name="_Toc18201"/>
      <w:r>
        <w:rPr>
          <w:rFonts w:hint="eastAsia" w:ascii="宋体" w:hAnsi="宋体" w:eastAsia="宋体" w:cs="宋体"/>
          <w:sz w:val="24"/>
          <w:szCs w:val="24"/>
        </w:rPr>
        <w:t>2.5无效投标与无效评标</w:t>
      </w:r>
    </w:p>
    <w:p w14:paraId="2B3419DB">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2.5.1投标人存在下列情况之一的，投标无效:</w:t>
      </w:r>
    </w:p>
    <w:p w14:paraId="6CEB364F">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（一）未按照招标文件的规定提交投标保证金的；</w:t>
      </w:r>
    </w:p>
    <w:p w14:paraId="0DFDC98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（二）投标文件未按招标文件要求签署、盖章的；</w:t>
      </w:r>
    </w:p>
    <w:p w14:paraId="08B78072">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（三）不具备招标文件中规定的资格要求的；</w:t>
      </w:r>
    </w:p>
    <w:p w14:paraId="71B2610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w:t>
      </w:r>
      <w:r>
        <w:rPr>
          <w:rFonts w:hint="eastAsia" w:ascii="宋体" w:hAnsi="宋体" w:cs="宋体"/>
          <w:kern w:val="0"/>
          <w:sz w:val="24"/>
          <w:lang w:val="en-US" w:eastAsia="zh-CN"/>
        </w:rPr>
        <w:t>总</w:t>
      </w:r>
      <w:r>
        <w:rPr>
          <w:rFonts w:hint="eastAsia" w:ascii="宋体" w:hAnsi="宋体" w:eastAsia="宋体" w:cs="宋体"/>
          <w:kern w:val="0"/>
          <w:sz w:val="24"/>
        </w:rPr>
        <w:t>报价</w:t>
      </w:r>
      <w:r>
        <w:rPr>
          <w:rFonts w:hint="eastAsia" w:ascii="宋体" w:hAnsi="宋体" w:cs="宋体"/>
          <w:kern w:val="0"/>
          <w:sz w:val="24"/>
          <w:lang w:val="en-US" w:eastAsia="zh-CN"/>
        </w:rPr>
        <w:t>和单项报价</w:t>
      </w:r>
      <w:r>
        <w:rPr>
          <w:rFonts w:hint="eastAsia" w:ascii="宋体" w:hAnsi="宋体" w:eastAsia="宋体" w:cs="宋体"/>
          <w:kern w:val="0"/>
          <w:sz w:val="24"/>
        </w:rPr>
        <w:t>超过招标文件中规定的预算金额或者最高限价的；</w:t>
      </w:r>
    </w:p>
    <w:p w14:paraId="0E6AAC7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（五）投标文件含有</w:t>
      </w:r>
      <w:r>
        <w:rPr>
          <w:rFonts w:hint="eastAsia" w:ascii="宋体" w:hAnsi="宋体" w:cs="宋体"/>
          <w:kern w:val="0"/>
          <w:sz w:val="24"/>
          <w:lang w:eastAsia="zh-CN"/>
        </w:rPr>
        <w:t>采购人</w:t>
      </w:r>
      <w:r>
        <w:rPr>
          <w:rFonts w:hint="eastAsia" w:ascii="宋体" w:hAnsi="宋体" w:eastAsia="宋体" w:cs="宋体"/>
          <w:kern w:val="0"/>
          <w:sz w:val="24"/>
        </w:rPr>
        <w:t>不能接受的附加条件的;</w:t>
      </w:r>
    </w:p>
    <w:p w14:paraId="790E63DC">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（六）法律、法规和招标文件规定的其他无效情形。</w:t>
      </w:r>
    </w:p>
    <w:p w14:paraId="6C1D8CB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2.5.2有下列情形之一的，视为投标人串通投标，其投标无效：</w:t>
      </w:r>
    </w:p>
    <w:p w14:paraId="17EE002F">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（一）不同投标人的投标文件由同一单位或者个人编制；</w:t>
      </w:r>
    </w:p>
    <w:p w14:paraId="067AF8D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（二）不同投标人委托同一单位或者个人办理投标事宜；</w:t>
      </w:r>
    </w:p>
    <w:p w14:paraId="32E93C5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（三）不同投标人的投标文件载明的项目管理成员或者联系人员为同一人；</w:t>
      </w:r>
    </w:p>
    <w:p w14:paraId="647F29A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（四）不同投标人的投标文件异常一致或者投标报价呈规律性差异；</w:t>
      </w:r>
    </w:p>
    <w:p w14:paraId="1806E63F">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（五）不同投标人的投标文件相互混装；</w:t>
      </w:r>
    </w:p>
    <w:p w14:paraId="001595F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（六）不同投标人的投标保证金从同一单位或者个人的账户转出。</w:t>
      </w:r>
    </w:p>
    <w:p w14:paraId="5A3656D0">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2.5.3评标委员会或者其成员存在下列情形导致评标结果无效的，</w:t>
      </w:r>
      <w:r>
        <w:rPr>
          <w:rFonts w:hint="eastAsia" w:ascii="宋体" w:hAnsi="宋体" w:cs="宋体"/>
          <w:kern w:val="0"/>
          <w:sz w:val="24"/>
          <w:lang w:eastAsia="zh-CN"/>
        </w:rPr>
        <w:t>采购人</w:t>
      </w:r>
      <w:r>
        <w:rPr>
          <w:rFonts w:hint="eastAsia" w:ascii="宋体" w:hAnsi="宋体" w:eastAsia="宋体" w:cs="宋体"/>
          <w:kern w:val="0"/>
          <w:sz w:val="24"/>
        </w:rPr>
        <w:t>、</w:t>
      </w:r>
      <w:r>
        <w:rPr>
          <w:rFonts w:hint="eastAsia" w:ascii="宋体" w:hAnsi="宋体" w:cs="宋体"/>
          <w:kern w:val="0"/>
          <w:sz w:val="24"/>
          <w:lang w:eastAsia="zh-CN"/>
        </w:rPr>
        <w:t>采购代理机构</w:t>
      </w:r>
      <w:r>
        <w:rPr>
          <w:rFonts w:hint="eastAsia" w:ascii="宋体" w:hAnsi="宋体" w:eastAsia="宋体" w:cs="宋体"/>
          <w:kern w:val="0"/>
          <w:sz w:val="24"/>
        </w:rPr>
        <w:t>可以重新组建评标委员会进行评标，并书面报告本级财政部门，但采购合同已经履行的除外：</w:t>
      </w:r>
    </w:p>
    <w:p w14:paraId="6589906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（一）评标委员会组成不符合《政府采购货物和服务招标投标管理办法》规定的；</w:t>
      </w:r>
    </w:p>
    <w:p w14:paraId="17626EB3">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（二）有《政府采购货物和服务招标投标管理办法》第六十二条第一至五项情形的；</w:t>
      </w:r>
    </w:p>
    <w:p w14:paraId="5ED1F2B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（三）评标委员会及其成员独立评标受到非法干预的；</w:t>
      </w:r>
    </w:p>
    <w:p w14:paraId="1DFF218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（四）有《中华人民共和国政府采购法实施条例》第七十五条规定的违法行为的。</w:t>
      </w:r>
    </w:p>
    <w:p w14:paraId="7C25C5E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（五）有违法违规行为的原评标委员会成员不得参加重新组建的评标委员会。</w:t>
      </w:r>
    </w:p>
    <w:p w14:paraId="1947801F">
      <w:pPr>
        <w:pStyle w:val="4"/>
        <w:widowControl/>
        <w:spacing w:before="0" w:after="0" w:line="360" w:lineRule="auto"/>
        <w:rPr>
          <w:rFonts w:hint="eastAsia" w:ascii="宋体" w:hAnsi="宋体" w:eastAsia="宋体" w:cs="宋体"/>
          <w:sz w:val="24"/>
          <w:szCs w:val="24"/>
        </w:rPr>
      </w:pPr>
      <w:r>
        <w:rPr>
          <w:rFonts w:hint="eastAsia" w:ascii="宋体" w:hAnsi="宋体" w:eastAsia="宋体" w:cs="宋体"/>
          <w:sz w:val="24"/>
          <w:szCs w:val="24"/>
        </w:rPr>
        <w:t>3.评标结果</w:t>
      </w:r>
      <w:bookmarkEnd w:id="123"/>
      <w:bookmarkEnd w:id="124"/>
      <w:bookmarkEnd w:id="125"/>
      <w:bookmarkEnd w:id="126"/>
      <w:bookmarkEnd w:id="127"/>
      <w:bookmarkEnd w:id="128"/>
      <w:bookmarkEnd w:id="129"/>
      <w:bookmarkEnd w:id="130"/>
      <w:bookmarkEnd w:id="131"/>
      <w:bookmarkEnd w:id="132"/>
    </w:p>
    <w:p w14:paraId="67521557">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3.1评标委员会根据详细评审结果，按综合得分由高到低顺序排列，得分最高的投标人为中标供应商或者是排名第一的中标候选人。如授权评标委</w:t>
      </w:r>
      <w:r>
        <w:rPr>
          <w:rFonts w:hint="eastAsia" w:ascii="宋体" w:hAnsi="宋体" w:cs="宋体"/>
          <w:kern w:val="0"/>
          <w:sz w:val="24"/>
          <w:lang w:eastAsia="zh-CN"/>
        </w:rPr>
        <w:t>员会</w:t>
      </w:r>
      <w:r>
        <w:rPr>
          <w:rFonts w:hint="eastAsia" w:ascii="宋体" w:hAnsi="宋体" w:eastAsia="宋体" w:cs="宋体"/>
          <w:kern w:val="0"/>
          <w:sz w:val="24"/>
        </w:rPr>
        <w:t>确定中标人的，评标委员会应根据推荐结果确定。</w:t>
      </w:r>
    </w:p>
    <w:p w14:paraId="67437B19">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3.2评标委员会完成评标后，应当向</w:t>
      </w:r>
      <w:r>
        <w:rPr>
          <w:rFonts w:hint="eastAsia" w:ascii="宋体" w:hAnsi="宋体" w:cs="宋体"/>
          <w:kern w:val="0"/>
          <w:sz w:val="24"/>
          <w:lang w:eastAsia="zh-CN"/>
        </w:rPr>
        <w:t>采购人</w:t>
      </w:r>
      <w:r>
        <w:rPr>
          <w:rFonts w:hint="eastAsia" w:ascii="宋体" w:hAnsi="宋体" w:eastAsia="宋体" w:cs="宋体"/>
          <w:kern w:val="0"/>
          <w:sz w:val="24"/>
        </w:rPr>
        <w:t>提交书面评标报告。评标报告应当包括以下内容：</w:t>
      </w:r>
    </w:p>
    <w:p w14:paraId="6921960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⑴招标公告刊登的媒体名称、开标日期和地点；</w:t>
      </w:r>
    </w:p>
    <w:p w14:paraId="5DAB679A">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⑵投标人名单和评标委员会成员名单；</w:t>
      </w:r>
    </w:p>
    <w:p w14:paraId="73DD79F6">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⑶评标方法和标准；</w:t>
      </w:r>
    </w:p>
    <w:p w14:paraId="685B8128">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⑷开标记录和评标情况及说明，包括无效投标人名单及原因；</w:t>
      </w:r>
    </w:p>
    <w:p w14:paraId="14AB7D14">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⑸评标结果，确定的中标候选人名单或经</w:t>
      </w:r>
      <w:r>
        <w:rPr>
          <w:rFonts w:hint="eastAsia" w:ascii="宋体" w:hAnsi="宋体" w:cs="宋体"/>
          <w:kern w:val="0"/>
          <w:sz w:val="24"/>
          <w:lang w:eastAsia="zh-CN"/>
        </w:rPr>
        <w:t>采购人</w:t>
      </w:r>
      <w:r>
        <w:rPr>
          <w:rFonts w:hint="eastAsia" w:ascii="宋体" w:hAnsi="宋体" w:eastAsia="宋体" w:cs="宋体"/>
          <w:kern w:val="0"/>
          <w:sz w:val="24"/>
        </w:rPr>
        <w:t>委托直接确定的中标人；</w:t>
      </w:r>
    </w:p>
    <w:p w14:paraId="58EE2A5D">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⑹其他需要说明的情况，包括评标过程中投标人根据评标委员会要求进行的澄清、说明或者补正，评标委员会成员的更换等。 </w:t>
      </w:r>
    </w:p>
    <w:p w14:paraId="47F0F8CE">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3.3评标委员会成员对需要共同认定的事项存在争议的，应当按照少数服从多数的原则作出结论。持不同意见的评标委员会成员应当在评标报告上签署不同意见及理由，否则视为同意评标报告。</w:t>
      </w:r>
    </w:p>
    <w:p w14:paraId="40F1A4A2">
      <w:pPr>
        <w:tabs>
          <w:tab w:val="left" w:pos="567"/>
        </w:tabs>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3.4评标报告由全体评标委员会成员共同签字确认。</w:t>
      </w:r>
    </w:p>
    <w:p w14:paraId="4EFBB957">
      <w:pPr>
        <w:widowControl/>
        <w:jc w:val="left"/>
        <w:rPr>
          <w:rFonts w:hint="eastAsia" w:ascii="宋体" w:hAnsi="宋体" w:eastAsia="宋体" w:cs="宋体"/>
          <w:b/>
          <w:bCs/>
          <w:kern w:val="0"/>
          <w:sz w:val="52"/>
          <w:szCs w:val="52"/>
        </w:rPr>
      </w:pPr>
      <w:r>
        <w:rPr>
          <w:rFonts w:hint="eastAsia" w:ascii="宋体" w:hAnsi="宋体" w:eastAsia="宋体" w:cs="宋体"/>
          <w:sz w:val="52"/>
          <w:szCs w:val="52"/>
        </w:rPr>
        <w:br w:type="page"/>
      </w:r>
    </w:p>
    <w:p w14:paraId="6A8C28A3">
      <w:pPr>
        <w:pStyle w:val="2"/>
        <w:keepNext w:val="0"/>
        <w:keepLines w:val="0"/>
        <w:pageBreakBefore w:val="0"/>
        <w:widowControl w:val="0"/>
        <w:kinsoku/>
        <w:wordWrap/>
        <w:overflowPunct/>
        <w:topLinePunct w:val="0"/>
        <w:autoSpaceDE w:val="0"/>
        <w:autoSpaceDN w:val="0"/>
        <w:bidi w:val="0"/>
        <w:adjustRightInd w:val="0"/>
        <w:snapToGrid/>
        <w:spacing w:before="1561" w:beforeLines="500"/>
        <w:textAlignment w:val="auto"/>
        <w:rPr>
          <w:rFonts w:hint="eastAsia" w:ascii="宋体" w:hAnsi="宋体" w:eastAsia="宋体" w:cs="宋体"/>
        </w:rPr>
      </w:pPr>
      <w:bookmarkStart w:id="133" w:name="_Toc4393"/>
      <w:r>
        <w:rPr>
          <w:rFonts w:hint="eastAsia" w:ascii="宋体" w:hAnsi="宋体" w:eastAsia="宋体" w:cs="宋体"/>
        </w:rPr>
        <w:t>第四部分  商务技术要求</w:t>
      </w:r>
      <w:bookmarkEnd w:id="84"/>
      <w:bookmarkEnd w:id="133"/>
    </w:p>
    <w:bookmarkEnd w:id="85"/>
    <w:p w14:paraId="7237F478">
      <w:pPr>
        <w:keepNext w:val="0"/>
        <w:keepLines w:val="0"/>
        <w:pageBreakBefore w:val="0"/>
        <w:wordWrap/>
        <w:overflowPunct/>
        <w:topLinePunct w:val="0"/>
        <w:bidi w:val="0"/>
        <w:spacing w:line="360" w:lineRule="auto"/>
        <w:rPr>
          <w:rFonts w:hint="eastAsia" w:ascii="宋体" w:hAnsi="宋体" w:eastAsia="宋体" w:cs="宋体"/>
          <w:b/>
          <w:bCs/>
          <w:sz w:val="24"/>
          <w:szCs w:val="24"/>
          <w:lang w:val="en-US" w:eastAsia="zh-CN"/>
        </w:rPr>
      </w:pPr>
      <w:bookmarkStart w:id="134" w:name="_Toc326737323"/>
    </w:p>
    <w:p w14:paraId="266AD364">
      <w:pPr>
        <w:keepNext w:val="0"/>
        <w:keepLines w:val="0"/>
        <w:pageBreakBefore w:val="0"/>
        <w:wordWrap/>
        <w:overflowPunct/>
        <w:topLinePunct w:val="0"/>
        <w:bidi w:val="0"/>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一、商务要求</w:t>
      </w:r>
    </w:p>
    <w:p w14:paraId="77F0F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red"/>
          <w:lang w:val="en-US" w:eastAsia="zh-CN"/>
        </w:rPr>
      </w:pPr>
      <w:r>
        <w:rPr>
          <w:rFonts w:hint="eastAsia" w:ascii="宋体" w:hAnsi="宋体" w:eastAsia="宋体" w:cs="宋体"/>
          <w:sz w:val="24"/>
          <w:szCs w:val="24"/>
          <w:lang w:val="en-US" w:eastAsia="zh-CN"/>
        </w:rPr>
        <w:t>（一）合同履行期限：</w:t>
      </w:r>
      <w:r>
        <w:rPr>
          <w:rFonts w:hint="eastAsia" w:ascii="宋体" w:hAnsi="宋体" w:eastAsia="宋体" w:cs="宋体"/>
          <w:sz w:val="24"/>
          <w:szCs w:val="24"/>
          <w:highlight w:val="none"/>
          <w:lang w:val="en-US" w:eastAsia="zh-CN"/>
        </w:rPr>
        <w:t>签订合同后至2026年12月31日前完成功能开发部署实施，系统具备上线试运行条件并通过初验。初验通过后系统稳定运行90日历天后甲方组织终验，终验通过之日起进入系统免费运维期。</w:t>
      </w:r>
    </w:p>
    <w:p w14:paraId="0BFA8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（二）服务地点：山西省太原市尖草坪区中北大街，晋创谷·太原。</w:t>
      </w:r>
    </w:p>
    <w:p w14:paraId="2F9B16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（三）付款条件：项目付款共分为3个阶段。</w:t>
      </w:r>
    </w:p>
    <w:p w14:paraId="4578E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第一阶段：首付款支付比例：合同总金额的40%</w:t>
      </w:r>
    </w:p>
    <w:p w14:paraId="31A50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支付条件：本合同正式生效后，供应商已向采购人缴纳项目履约保证金（合同总金额的3%）,并提供开工报告。经采购人审核确认无误合规后的5个工作日内，完成本阶段款项支付。</w:t>
      </w:r>
    </w:p>
    <w:p w14:paraId="68D74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注：本阶段款项支付后，供应商应立即启动项目实施工作，确保项目按合同约定进度推进。</w:t>
      </w:r>
    </w:p>
    <w:p w14:paraId="243DE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第二阶段：初验款支付比例：合同总金额的30%</w:t>
      </w:r>
    </w:p>
    <w:p w14:paraId="2EB5A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条件：项目按照服务内容清单开发、实施完成，供应商完成内部自检并达到合同约定的初验标准后，向采购人提交初验申请及相关资料，采购人按照内部规章制度的要求组织相关的技术团队开展初验，初验合格并签署《项目初验报告》后，满足以下条件，采购人在确认初验合格、资料齐全后的7个工作日内，完成本阶段款项支付。</w:t>
      </w:r>
    </w:p>
    <w:p w14:paraId="5C16F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1.初验通过，《项目初验报告》经双方签字盖章确认，明确项目基础功能完整、核心性能达标，如存在非核心功能的轻微缺陷需明确整改清单及整改时限；</w:t>
      </w:r>
    </w:p>
    <w:p w14:paraId="1368C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2.供应商已按初验意见提交整改方案，承诺在约定时限内完成整改。</w:t>
      </w:r>
    </w:p>
    <w:p w14:paraId="43624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备注：初验仅作为项目阶段性成果确认，《项目初验报告》仅作为本阶段付款凭证，不具备项目完结的法律效力，供应商需按整改方案完成优化，确保达到终验标准。</w:t>
      </w:r>
    </w:p>
    <w:p w14:paraId="43BBC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第三阶段：终验款支付比例：合同总金额的30%</w:t>
      </w:r>
    </w:p>
    <w:p w14:paraId="3D6E0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条件：供应商完成初验整改事项，经采购人确认后项目进入试运行期（试运行期不少于90个日历天，具体时长双方可另行约定），试运行期间系统运行稳定、符合合同约定的全部功能及性能要求，供应商提交终验申请及全套验收资料，采购人按照内部规章制度的要求组织多部门联合验收，终验合格并签署《项目终验报告》后，满足以下条件，采购人在确认终验合格、资料齐全、交接完成后的10个工作日内，完成本阶段款项支付。</w:t>
      </w:r>
    </w:p>
    <w:p w14:paraId="235268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1.终验通过，《项目终验报告》经双方签字盖章确认，明确项目全面符合合同约定及相关行业标准，无未整改缺陷；</w:t>
      </w:r>
    </w:p>
    <w:p w14:paraId="190BB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2.供应商已向采购人提交全套交付资料（包括但不限于系统架构图、操作手册、运维手册、API接口文档、测试报告等）；</w:t>
      </w:r>
    </w:p>
    <w:p w14:paraId="74447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3.供应商已按照采购人的要求开具合法有效的等额增值税专用发票（合同总金额的100%）；</w:t>
      </w:r>
    </w:p>
    <w:p w14:paraId="41AC9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4.双方完成项目交接手续，明确项目交付范围及后续运维责任。</w:t>
      </w:r>
    </w:p>
    <w:p w14:paraId="19556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备注：《项目终验报告》签署后，视为项目正式交付，项目进入硬件质保期及软件维保期，供应商需按本合同约定履行质保、维保义务。</w:t>
      </w:r>
    </w:p>
    <w:p w14:paraId="0F612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履约保证金退还阶段：退还履约保证金合同总金额的3%</w:t>
      </w:r>
    </w:p>
    <w:p w14:paraId="67F48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退还条件：本合同硬件质保期及软件维保期届满后，且满足以下全部条件，采购人在确认硬件质保期及软件维保期届满、无任何未解决问题、资料齐全后的15个工作日内，无息退还履约保证金。</w:t>
      </w:r>
    </w:p>
    <w:p w14:paraId="614BB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1.自《项目终验报告》签署之日起计算，开始进入硬件质保期和软件维保期；</w:t>
      </w:r>
    </w:p>
    <w:p w14:paraId="125F2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2.在硬件质保期和软件维保期内，供应商已按合同约定履行硬件质保义务和软件维保义务，及时处理项目出现的质量问题，无重大质量缺陷，或虽有轻微缺陷但已及时整改完毕，采购人无未解决的合理异议。</w:t>
      </w:r>
    </w:p>
    <w:p w14:paraId="5E54C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备注：若在硬件质保期或软件维保期内出现质量问题，供应商未按约定及时整改或整改后仍未达标，采购人有权按照合同的约定要求供应商承担责任。</w:t>
      </w:r>
    </w:p>
    <w:p w14:paraId="02E3AF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default" w:ascii="宋体" w:hAnsi="宋体" w:eastAsia="宋体" w:cs="宋体"/>
          <w:b/>
          <w:bCs/>
          <w:sz w:val="24"/>
          <w:szCs w:val="24"/>
          <w:lang w:val="en-US" w:eastAsia="zh-CN"/>
        </w:rPr>
        <w:t>政策性及强制性要求</w:t>
      </w:r>
    </w:p>
    <w:p w14:paraId="175E9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1.本项目属于政府采购强制采购的产品：</w:t>
      </w:r>
      <w:r>
        <w:rPr>
          <w:rFonts w:hint="eastAsia" w:ascii="宋体" w:hAnsi="宋体" w:cs="宋体"/>
          <w:sz w:val="24"/>
          <w:szCs w:val="24"/>
          <w:lang w:val="en-US" w:eastAsia="zh-CN"/>
        </w:rPr>
        <w:t>无</w:t>
      </w:r>
    </w:p>
    <w:p w14:paraId="12DAE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2.涉及价格折扣优惠的绿色产品： 无</w:t>
      </w:r>
    </w:p>
    <w:p w14:paraId="64FAA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以上产品投标人需投报“节能产品政府采购品目清单”或“环境标志产品政府采购品目清单”范围内的产品，同时提供处于有效期之内的产品认证证书扫描件，并如实填写《政府采购绿色产品明细表》（格式见第</w:t>
      </w:r>
      <w:r>
        <w:rPr>
          <w:rFonts w:hint="eastAsia" w:ascii="宋体" w:hAnsi="宋体" w:cs="宋体"/>
          <w:sz w:val="24"/>
          <w:szCs w:val="24"/>
          <w:lang w:val="en-US" w:eastAsia="zh-CN"/>
        </w:rPr>
        <w:t>六</w:t>
      </w:r>
      <w:r>
        <w:rPr>
          <w:rFonts w:hint="default" w:ascii="宋体" w:hAnsi="宋体" w:eastAsia="宋体" w:cs="宋体"/>
          <w:sz w:val="24"/>
          <w:szCs w:val="24"/>
          <w:lang w:val="en-US" w:eastAsia="zh-CN"/>
        </w:rPr>
        <w:t>部分），才可享受该项产品的价格折扣；品目清单外的产品不享受价格折扣优惠政策。</w:t>
      </w:r>
    </w:p>
    <w:p w14:paraId="33568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3.政府采购绿色包装和绿色运输要求：</w:t>
      </w:r>
    </w:p>
    <w:p w14:paraId="3CBE5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w:t>
      </w:r>
      <w:r>
        <w:rPr>
          <w:rFonts w:hint="eastAsia" w:ascii="宋体" w:hAnsi="宋体" w:cs="宋体"/>
          <w:sz w:val="24"/>
          <w:szCs w:val="24"/>
          <w:lang w:val="en-US" w:eastAsia="zh-CN"/>
        </w:rPr>
        <w:t>六</w:t>
      </w:r>
      <w:r>
        <w:rPr>
          <w:rFonts w:hint="default" w:ascii="宋体" w:hAnsi="宋体" w:eastAsia="宋体" w:cs="宋体"/>
          <w:sz w:val="24"/>
          <w:szCs w:val="24"/>
          <w:lang w:val="en-US" w:eastAsia="zh-CN"/>
        </w:rPr>
        <w:t>部分）。鼓励中标供应商在运输过程中推广使用新能源车辆进行配送，优化运输路线以减少空驶和碳排放，确保运输过程的环保性。</w:t>
      </w:r>
    </w:p>
    <w:p w14:paraId="0DB21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含有工信部会同有关部门制定下发的《网络关键设备和网络安全专用产品目录》中的网络安全专用产品：外连路由器、核心交换机、防火墙、容灾备份一体机、日志审计、数据库审计、堡垒机、终端安全管控系统、网络资产脆弱性扫描、WAF</w:t>
      </w:r>
    </w:p>
    <w:p w14:paraId="4B69A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说明：详情参见《关于调整网络安全专用产品安全管理有关事项的公告》</w:t>
      </w:r>
    </w:p>
    <w:p w14:paraId="5B55E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5.正版软件承诺：承诺所投报的计算机预装正版操作系统，硬件产品内的预装软件为正版软件。</w:t>
      </w:r>
    </w:p>
    <w:p w14:paraId="71465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6.其他强制性要求：无</w:t>
      </w:r>
    </w:p>
    <w:p w14:paraId="042F03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default" w:ascii="宋体" w:hAnsi="宋体" w:eastAsia="宋体" w:cs="宋体"/>
          <w:b/>
          <w:bCs/>
          <w:sz w:val="24"/>
          <w:szCs w:val="24"/>
          <w:lang w:val="en-US" w:eastAsia="zh-CN"/>
        </w:rPr>
        <w:t>、服务要求</w:t>
      </w:r>
    </w:p>
    <w:p w14:paraId="530CB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（一）提供本项目售后服务总负责人的姓名、职务、详细的地址和联系方式。</w:t>
      </w:r>
    </w:p>
    <w:p w14:paraId="64815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（二）具备稳定的技术支持团队，具备开展项目实施和技术支持，现场技术支援的能力，提供技术团队人员配置情况的清单。</w:t>
      </w:r>
    </w:p>
    <w:p w14:paraId="7962F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（三）提供售后保障措施。（包括但不限于：故障应急响应速度、售后服务体系、服务响应机制）</w:t>
      </w:r>
    </w:p>
    <w:p w14:paraId="27EAD7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（四）★硬件质保期3年，软件维保期5年</w:t>
      </w:r>
    </w:p>
    <w:p w14:paraId="0A097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硬件质保期：自项目正式交付后，供应商开始履行硬件质保期的义务，硬件质保期3年。如果相关法律、行政法规、部门规章等文件规定了最低质量保证期，约定的质量保证期低于法定最低标准，以法定的质量保证期为准。</w:t>
      </w:r>
    </w:p>
    <w:p w14:paraId="3F785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相应的硬件质保期内，供应商承担的质量保证责任，具体包括：（1）在3年硬件质保期内，若硬件经维修仍不能保证持续正常使用的，采购人有权选择采取下列措施：①要求供应商更换同种型号的同类新产品，相关一切费用由供应商承担；②要求退货退款，相关一切费用均由供应商承担。（2）无论是否在硬件质保期内，因硬件质量引起的侵权责任或者违约责任，均由供应商承担。</w:t>
      </w:r>
    </w:p>
    <w:p w14:paraId="7CE6C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2.软件维保期：自项目正式交付后，供应商开始履行软件维保期的义务，软件维保期5年。</w:t>
      </w:r>
    </w:p>
    <w:p w14:paraId="318FC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在硬件质保期及软件维保期内，由供应商提供全程专业技术团队承接，配备专属技术人员驻场，驻场人员如有调整需采购方同意后方可更换，须建立全周期服务闭环，保障项目硬件设备与软件系统全时段稳定、安全、合规运行。在硬件质保期内，需提供常态化技术支持和应急响应服务，针对非人为损坏、非不可抗力导致的硬件故障、元器件老化损坏、性能不达标等问题，提供免费故障定位、检测维修及正品备件更换服务。软件维保期内，需提供 7*24 小时应急响应服务，同步提供应急处置与业务恢复服务，提供 5×8 小时常态化免费技术咨询、操作指导、账号权限管理协助与全时段运维答疑。</w:t>
      </w:r>
    </w:p>
    <w:p w14:paraId="06B45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四、验收标准</w:t>
      </w:r>
    </w:p>
    <w:p w14:paraId="6F2DD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该标准适用于项目初验及终验等各阶段，验收标准如下：</w:t>
      </w:r>
    </w:p>
    <w:p w14:paraId="6D759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稳定性指标：试运行期间，系统核心业务接口可用率达到99.99%，无突发性宕机或严重功能错误。</w:t>
      </w:r>
    </w:p>
    <w:p w14:paraId="148CA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响应速度指标：在模拟生产数据量下，核心交易响应时间≤1.5秒，列表查询响应时间≤2秒。</w:t>
      </w:r>
    </w:p>
    <w:p w14:paraId="4A4C2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数据准确率：试运行期间数据流转、计算结果的准确率≥99.9%，需提供数据对账报告。</w:t>
      </w:r>
    </w:p>
    <w:p w14:paraId="552D5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UAT 验收通过率：完成用户验收测试（UAT），测试用例通过率100%，用户签字确认无遗留重大缺陷。</w:t>
      </w:r>
    </w:p>
    <w:p w14:paraId="6EEA8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运维文档交付：试运行开始前，供应商必须向采购人完整交付《运维手册》、《常见故障排查指南》及《系统架构说明书》，项目源代码产权归采购人，确保交付物齐全。</w:t>
      </w:r>
    </w:p>
    <w:p w14:paraId="28122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五、技术要求</w:t>
      </w:r>
    </w:p>
    <w:p w14:paraId="40995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（货物类）中小企业划型标准</w:t>
      </w:r>
      <w:r>
        <w:rPr>
          <w:rFonts w:hint="eastAsia" w:ascii="宋体" w:hAnsi="宋体" w:cs="宋体"/>
          <w:sz w:val="24"/>
          <w:szCs w:val="24"/>
          <w:lang w:val="en-US" w:eastAsia="zh-CN"/>
        </w:rPr>
        <w:t>：工业</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279"/>
        <w:gridCol w:w="4653"/>
        <w:gridCol w:w="946"/>
        <w:gridCol w:w="1086"/>
        <w:gridCol w:w="1086"/>
      </w:tblGrid>
      <w:tr w14:paraId="2489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455" w:type="pct"/>
            <w:vAlign w:val="center"/>
          </w:tcPr>
          <w:p w14:paraId="669EAC32">
            <w:pPr>
              <w:spacing w:before="100" w:beforeAutospacing="1" w:after="100" w:afterAutospacing="1" w:line="360" w:lineRule="auto"/>
              <w:jc w:val="center"/>
              <w:rPr>
                <w:b/>
                <w:bCs/>
                <w:color w:val="auto"/>
              </w:rPr>
            </w:pPr>
            <w:r>
              <w:rPr>
                <w:rFonts w:hint="eastAsia"/>
                <w:b/>
                <w:bCs/>
                <w:color w:val="auto"/>
              </w:rPr>
              <w:t>序号</w:t>
            </w:r>
          </w:p>
        </w:tc>
        <w:tc>
          <w:tcPr>
            <w:tcW w:w="642" w:type="pct"/>
            <w:vAlign w:val="center"/>
          </w:tcPr>
          <w:p w14:paraId="0E3FF781">
            <w:pPr>
              <w:spacing w:before="100" w:beforeAutospacing="1" w:after="100" w:afterAutospacing="1" w:line="360" w:lineRule="auto"/>
              <w:jc w:val="center"/>
              <w:rPr>
                <w:b/>
                <w:bCs/>
                <w:color w:val="auto"/>
              </w:rPr>
            </w:pPr>
            <w:r>
              <w:rPr>
                <w:rFonts w:hint="eastAsia"/>
                <w:b/>
                <w:bCs/>
                <w:color w:val="auto"/>
              </w:rPr>
              <w:t>服务内容</w:t>
            </w:r>
          </w:p>
        </w:tc>
        <w:tc>
          <w:tcPr>
            <w:tcW w:w="2336" w:type="pct"/>
            <w:vAlign w:val="center"/>
          </w:tcPr>
          <w:p w14:paraId="32F5B206">
            <w:pPr>
              <w:spacing w:before="100" w:beforeAutospacing="1" w:after="100" w:afterAutospacing="1" w:line="360" w:lineRule="auto"/>
              <w:jc w:val="center"/>
              <w:rPr>
                <w:b/>
                <w:bCs/>
                <w:color w:val="auto"/>
              </w:rPr>
            </w:pPr>
            <w:r>
              <w:rPr>
                <w:rFonts w:hint="eastAsia"/>
                <w:b/>
                <w:bCs/>
                <w:color w:val="auto"/>
              </w:rPr>
              <w:t>服务范围及标准</w:t>
            </w:r>
          </w:p>
        </w:tc>
        <w:tc>
          <w:tcPr>
            <w:tcW w:w="475" w:type="pct"/>
            <w:vAlign w:val="center"/>
          </w:tcPr>
          <w:p w14:paraId="5E690E35">
            <w:pPr>
              <w:spacing w:line="120" w:lineRule="atLeast"/>
              <w:jc w:val="center"/>
              <w:rPr>
                <w:b/>
                <w:bCs/>
                <w:color w:val="auto"/>
              </w:rPr>
            </w:pPr>
            <w:r>
              <w:rPr>
                <w:rFonts w:hint="eastAsia"/>
                <w:b/>
                <w:bCs/>
                <w:color w:val="auto"/>
              </w:rPr>
              <w:t>数量</w:t>
            </w:r>
          </w:p>
        </w:tc>
        <w:tc>
          <w:tcPr>
            <w:tcW w:w="545" w:type="pct"/>
            <w:vAlign w:val="top"/>
          </w:tcPr>
          <w:p w14:paraId="6700315D">
            <w:pPr>
              <w:spacing w:line="120" w:lineRule="atLeast"/>
              <w:jc w:val="center"/>
              <w:rPr>
                <w:rFonts w:hint="eastAsia" w:eastAsia="宋体"/>
                <w:b/>
                <w:bCs/>
                <w:color w:val="auto"/>
                <w:lang w:val="en-US" w:eastAsia="zh-CN"/>
              </w:rPr>
            </w:pPr>
            <w:r>
              <w:rPr>
                <w:rFonts w:hint="eastAsia"/>
                <w:b/>
                <w:bCs/>
                <w:color w:val="auto"/>
                <w:lang w:val="en-US" w:eastAsia="zh-CN"/>
              </w:rPr>
              <w:t>预算单价（万元）</w:t>
            </w:r>
          </w:p>
        </w:tc>
        <w:tc>
          <w:tcPr>
            <w:tcW w:w="545" w:type="pct"/>
          </w:tcPr>
          <w:p w14:paraId="60FA218A">
            <w:pPr>
              <w:spacing w:line="120" w:lineRule="atLeast"/>
              <w:jc w:val="center"/>
              <w:rPr>
                <w:b/>
                <w:bCs/>
                <w:color w:val="auto"/>
              </w:rPr>
            </w:pPr>
            <w:r>
              <w:rPr>
                <w:rFonts w:hint="eastAsia"/>
                <w:b/>
                <w:bCs/>
                <w:color w:val="auto"/>
              </w:rPr>
              <w:t>预算金额（万元）</w:t>
            </w:r>
          </w:p>
        </w:tc>
      </w:tr>
      <w:tr w14:paraId="0634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0B3190E4">
            <w:pPr>
              <w:jc w:val="center"/>
              <w:rPr>
                <w:color w:val="auto"/>
              </w:rPr>
            </w:pPr>
            <w:r>
              <w:rPr>
                <w:color w:val="auto"/>
              </w:rPr>
              <w:t>1</w:t>
            </w:r>
          </w:p>
        </w:tc>
        <w:tc>
          <w:tcPr>
            <w:tcW w:w="3998" w:type="pct"/>
            <w:gridSpan w:val="4"/>
            <w:vAlign w:val="center"/>
          </w:tcPr>
          <w:p w14:paraId="273BC8A4">
            <w:pPr>
              <w:jc w:val="center"/>
              <w:rPr>
                <w:color w:val="auto"/>
              </w:rPr>
            </w:pPr>
            <w:r>
              <w:rPr>
                <w:rFonts w:hint="eastAsia"/>
                <w:color w:val="auto"/>
              </w:rPr>
              <w:t>商用密码应用安全建设</w:t>
            </w:r>
          </w:p>
        </w:tc>
        <w:tc>
          <w:tcPr>
            <w:tcW w:w="545" w:type="pct"/>
            <w:vAlign w:val="center"/>
          </w:tcPr>
          <w:p w14:paraId="4A5A3972">
            <w:pPr>
              <w:jc w:val="center"/>
              <w:rPr>
                <w:color w:val="auto"/>
              </w:rPr>
            </w:pPr>
            <w:r>
              <w:rPr>
                <w:color w:val="auto"/>
              </w:rPr>
              <w:t>63.96</w:t>
            </w:r>
          </w:p>
        </w:tc>
      </w:tr>
      <w:tr w14:paraId="636F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72388834">
            <w:pPr>
              <w:jc w:val="center"/>
              <w:rPr>
                <w:color w:val="auto"/>
                <w:lang w:bidi="ar"/>
              </w:rPr>
            </w:pPr>
            <w:r>
              <w:rPr>
                <w:rFonts w:hint="eastAsia"/>
                <w:color w:val="auto"/>
                <w:lang w:bidi="ar"/>
              </w:rPr>
              <w:t>1.1</w:t>
            </w:r>
          </w:p>
        </w:tc>
        <w:tc>
          <w:tcPr>
            <w:tcW w:w="642" w:type="pct"/>
            <w:vAlign w:val="center"/>
          </w:tcPr>
          <w:p w14:paraId="4B13B3BF">
            <w:pPr>
              <w:jc w:val="center"/>
              <w:rPr>
                <w:color w:val="auto"/>
                <w:lang w:bidi="ar"/>
              </w:rPr>
            </w:pPr>
            <w:r>
              <w:rPr>
                <w:rFonts w:hint="eastAsia"/>
                <w:color w:val="auto"/>
              </w:rPr>
              <w:t>服务器密码机</w:t>
            </w:r>
          </w:p>
        </w:tc>
        <w:tc>
          <w:tcPr>
            <w:tcW w:w="2336" w:type="pct"/>
            <w:vAlign w:val="center"/>
          </w:tcPr>
          <w:p w14:paraId="10DB8BBC">
            <w:pPr>
              <w:rPr>
                <w:rFonts w:eastAsia="宋体"/>
                <w:color w:val="auto"/>
              </w:rPr>
            </w:pPr>
            <w:r>
              <w:rPr>
                <w:rFonts w:hint="eastAsia"/>
                <w:color w:val="auto"/>
              </w:rPr>
              <w:t>硬件要求：采用国产化处理器和操作系统，内存≥8G，硬盘≥4T，冗余电源，≥2个千兆电口。处理器主频：2.8GHz。</w:t>
            </w:r>
          </w:p>
          <w:p w14:paraId="179B4026">
            <w:pPr>
              <w:rPr>
                <w:color w:val="auto"/>
              </w:rPr>
            </w:pPr>
            <w:r>
              <w:rPr>
                <w:rFonts w:hint="eastAsia"/>
                <w:color w:val="auto"/>
              </w:rPr>
              <w:t>1.支持国密SM1、SM2、SM3、SM4算法。</w:t>
            </w:r>
          </w:p>
          <w:p w14:paraId="4E986468">
            <w:pPr>
              <w:rPr>
                <w:color w:val="auto"/>
              </w:rPr>
            </w:pPr>
            <w:r>
              <w:rPr>
                <w:rFonts w:hint="eastAsia"/>
                <w:color w:val="auto"/>
              </w:rPr>
              <w:t>2.支持对称、非对称算法加解密，SM1和 SM4算法支持ECB、CBC、OFB、CFB、CTR模式。</w:t>
            </w:r>
          </w:p>
          <w:p w14:paraId="177646FD">
            <w:pPr>
              <w:rPr>
                <w:color w:val="auto"/>
              </w:rPr>
            </w:pPr>
            <w:r>
              <w:rPr>
                <w:rFonts w:hint="eastAsia"/>
                <w:color w:val="auto"/>
              </w:rPr>
              <w:t>3.支持密钥的安全产生、安装、存储、使用、销毁以及备份恢复全生命周期的管理。</w:t>
            </w:r>
          </w:p>
          <w:p w14:paraId="150E3286">
            <w:pPr>
              <w:rPr>
                <w:color w:val="auto"/>
              </w:rPr>
            </w:pPr>
            <w:r>
              <w:rPr>
                <w:rFonts w:hint="eastAsia"/>
                <w:color w:val="auto"/>
              </w:rPr>
              <w:t>4.支持设备初始化配置包括密钥产生安装、生成管理员、按照安全机制对密钥安全存储和备份、系统配置、一键检测功能。</w:t>
            </w:r>
          </w:p>
          <w:p w14:paraId="6767C54E">
            <w:pPr>
              <w:rPr>
                <w:color w:val="auto"/>
              </w:rPr>
            </w:pPr>
            <w:r>
              <w:rPr>
                <w:rFonts w:hint="eastAsia"/>
                <w:color w:val="auto"/>
              </w:rPr>
              <w:t>5.支持密钥安全存储，保证关键密钥在任何时候不以明文形式出现在设备外，密钥备份文件也受到备份密钥的加密保护。</w:t>
            </w:r>
          </w:p>
          <w:p w14:paraId="5522F80A">
            <w:pPr>
              <w:rPr>
                <w:color w:val="auto"/>
              </w:rPr>
            </w:pPr>
            <w:r>
              <w:rPr>
                <w:rFonts w:hint="eastAsia"/>
                <w:color w:val="auto"/>
              </w:rPr>
              <w:t>6.具备基于主密钥保护下的密钥的备份和恢复功能。</w:t>
            </w:r>
          </w:p>
          <w:p w14:paraId="782EBB35">
            <w:pPr>
              <w:rPr>
                <w:color w:val="auto"/>
              </w:rPr>
            </w:pPr>
            <w:r>
              <w:rPr>
                <w:rFonts w:hint="eastAsia"/>
                <w:color w:val="auto"/>
              </w:rPr>
              <w:t>7.采用数字认证自研密码卡提供密码运算服务。</w:t>
            </w:r>
          </w:p>
          <w:p w14:paraId="54687437">
            <w:pPr>
              <w:rPr>
                <w:color w:val="auto"/>
              </w:rPr>
            </w:pPr>
            <w:r>
              <w:rPr>
                <w:rFonts w:hint="eastAsia"/>
                <w:color w:val="auto"/>
              </w:rPr>
              <w:t>8.支持基于SM4算法的MAC产生及验证,SM3算法的HMAC产生及验证。</w:t>
            </w:r>
          </w:p>
          <w:p w14:paraId="2E32812E">
            <w:pPr>
              <w:rPr>
                <w:color w:val="auto"/>
              </w:rPr>
            </w:pPr>
            <w:r>
              <w:rPr>
                <w:rFonts w:hint="eastAsia"/>
                <w:color w:val="auto"/>
              </w:rPr>
              <w:t>9.具备基于RSA/SM2密码算法的数字信封功能，并具备由内部密钥保护到外部密钥保护的数字信封转换功能。</w:t>
            </w:r>
          </w:p>
          <w:p w14:paraId="75EFF356">
            <w:pPr>
              <w:rPr>
                <w:color w:val="auto"/>
              </w:rPr>
            </w:pPr>
            <w:r>
              <w:rPr>
                <w:rFonts w:hint="eastAsia"/>
                <w:color w:val="auto"/>
              </w:rPr>
              <w:t>10.具备多方协同签名、多方协同解密功能。</w:t>
            </w:r>
          </w:p>
          <w:p w14:paraId="3F45D1D6">
            <w:pPr>
              <w:rPr>
                <w:color w:val="auto"/>
              </w:rPr>
            </w:pPr>
            <w:r>
              <w:rPr>
                <w:rFonts w:hint="eastAsia"/>
                <w:color w:val="auto"/>
              </w:rPr>
              <w:t>11.具备密钥分散功能。</w:t>
            </w:r>
          </w:p>
          <w:p w14:paraId="35C1DB73">
            <w:pPr>
              <w:rPr>
                <w:color w:val="auto"/>
              </w:rPr>
            </w:pPr>
            <w:r>
              <w:rPr>
                <w:rFonts w:hint="eastAsia"/>
                <w:color w:val="auto"/>
              </w:rPr>
              <w:t>12.具备基于SM4算法的FPE保留格式加解密功能。</w:t>
            </w:r>
          </w:p>
          <w:p w14:paraId="61F3F9D1">
            <w:pPr>
              <w:rPr>
                <w:color w:val="auto"/>
              </w:rPr>
            </w:pPr>
            <w:r>
              <w:rPr>
                <w:rFonts w:hint="eastAsia"/>
                <w:color w:val="auto"/>
              </w:rPr>
              <w:t>13.具备可视化管理，支持SNMP协议，系统监控、设备硬件及软件的运行状态监测功能。</w:t>
            </w:r>
          </w:p>
          <w:p w14:paraId="13F9D72B">
            <w:pPr>
              <w:rPr>
                <w:color w:val="auto"/>
              </w:rPr>
            </w:pPr>
            <w:r>
              <w:rPr>
                <w:rFonts w:hint="eastAsia"/>
                <w:color w:val="auto"/>
              </w:rPr>
              <w:t>14.支持IPV4和IPV6网络管理。</w:t>
            </w:r>
          </w:p>
          <w:p w14:paraId="3F4DDED0">
            <w:pPr>
              <w:rPr>
                <w:color w:val="auto"/>
              </w:rPr>
            </w:pPr>
            <w:r>
              <w:rPr>
                <w:rFonts w:hint="eastAsia"/>
                <w:color w:val="auto"/>
              </w:rPr>
              <w:t>15.管理员通过管理界面支持日志查看和导出功能，具备IP地址和端口号等白名单管理功能，可通过web管理页面直接升级。</w:t>
            </w:r>
          </w:p>
          <w:p w14:paraId="4164447E">
            <w:pPr>
              <w:rPr>
                <w:color w:val="auto"/>
              </w:rPr>
            </w:pPr>
            <w:r>
              <w:rPr>
                <w:rFonts w:hint="eastAsia"/>
                <w:color w:val="auto"/>
              </w:rPr>
              <w:t>16.具备双机热备、冗余双电源和负载均衡高可用功能。</w:t>
            </w:r>
          </w:p>
        </w:tc>
        <w:tc>
          <w:tcPr>
            <w:tcW w:w="475" w:type="pct"/>
            <w:vAlign w:val="center"/>
          </w:tcPr>
          <w:p w14:paraId="78DF8FF7">
            <w:pPr>
              <w:jc w:val="center"/>
              <w:rPr>
                <w:color w:val="auto"/>
              </w:rPr>
            </w:pPr>
            <w:r>
              <w:rPr>
                <w:color w:val="auto"/>
              </w:rPr>
              <w:t>2</w:t>
            </w:r>
            <w:r>
              <w:rPr>
                <w:rFonts w:hint="eastAsia"/>
                <w:color w:val="auto"/>
              </w:rPr>
              <w:t>台</w:t>
            </w:r>
          </w:p>
        </w:tc>
        <w:tc>
          <w:tcPr>
            <w:tcW w:w="545" w:type="pct"/>
            <w:vAlign w:val="center"/>
          </w:tcPr>
          <w:p w14:paraId="35E337DC">
            <w:pPr>
              <w:jc w:val="center"/>
              <w:rPr>
                <w:color w:val="auto"/>
              </w:rPr>
            </w:pPr>
            <w:r>
              <w:rPr>
                <w:rFonts w:hint="eastAsia"/>
                <w:color w:val="auto"/>
                <w:lang w:val="en-US" w:eastAsia="zh-CN"/>
              </w:rPr>
              <w:t>4.75</w:t>
            </w:r>
          </w:p>
        </w:tc>
        <w:tc>
          <w:tcPr>
            <w:tcW w:w="545" w:type="pct"/>
            <w:vAlign w:val="center"/>
          </w:tcPr>
          <w:p w14:paraId="1D2615AE">
            <w:pPr>
              <w:jc w:val="center"/>
              <w:rPr>
                <w:color w:val="auto"/>
              </w:rPr>
            </w:pPr>
            <w:r>
              <w:rPr>
                <w:color w:val="auto"/>
              </w:rPr>
              <w:t>9.5</w:t>
            </w:r>
          </w:p>
        </w:tc>
      </w:tr>
      <w:tr w14:paraId="7E95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4232F212">
            <w:pPr>
              <w:jc w:val="center"/>
              <w:rPr>
                <w:color w:val="auto"/>
                <w:lang w:bidi="ar"/>
              </w:rPr>
            </w:pPr>
            <w:r>
              <w:rPr>
                <w:rFonts w:hint="eastAsia"/>
                <w:color w:val="auto"/>
                <w:lang w:bidi="ar"/>
              </w:rPr>
              <w:t>1.</w:t>
            </w:r>
            <w:r>
              <w:rPr>
                <w:color w:val="auto"/>
                <w:lang w:bidi="ar"/>
              </w:rPr>
              <w:t>2</w:t>
            </w:r>
          </w:p>
        </w:tc>
        <w:tc>
          <w:tcPr>
            <w:tcW w:w="642" w:type="pct"/>
            <w:vAlign w:val="center"/>
          </w:tcPr>
          <w:p w14:paraId="38180782">
            <w:pPr>
              <w:jc w:val="center"/>
              <w:rPr>
                <w:color w:val="auto"/>
                <w:lang w:bidi="ar"/>
              </w:rPr>
            </w:pPr>
            <w:r>
              <w:rPr>
                <w:rFonts w:hint="eastAsia"/>
                <w:color w:val="auto"/>
              </w:rPr>
              <w:t>签名验签服务器</w:t>
            </w:r>
          </w:p>
        </w:tc>
        <w:tc>
          <w:tcPr>
            <w:tcW w:w="2336" w:type="pct"/>
            <w:vAlign w:val="center"/>
          </w:tcPr>
          <w:p w14:paraId="30B0DEFA">
            <w:pPr>
              <w:rPr>
                <w:color w:val="auto"/>
              </w:rPr>
            </w:pPr>
            <w:r>
              <w:rPr>
                <w:rFonts w:hint="eastAsia"/>
                <w:color w:val="auto"/>
              </w:rPr>
              <w:t>硬件要求：采用国产化处理器和操作系统，内存≥8G，硬盘≥4T，冗余电源，≥2个千兆电口。</w:t>
            </w:r>
          </w:p>
          <w:p w14:paraId="51F2CEBB">
            <w:pPr>
              <w:rPr>
                <w:color w:val="auto"/>
              </w:rPr>
            </w:pPr>
            <w:r>
              <w:rPr>
                <w:rFonts w:hint="eastAsia"/>
                <w:color w:val="auto"/>
              </w:rPr>
              <w:t>1.具备国密SM2、SM3、SM4算法。</w:t>
            </w:r>
          </w:p>
          <w:p w14:paraId="16FB8694">
            <w:pPr>
              <w:rPr>
                <w:color w:val="auto"/>
              </w:rPr>
            </w:pPr>
            <w:r>
              <w:rPr>
                <w:rFonts w:hint="eastAsia"/>
                <w:color w:val="auto"/>
              </w:rPr>
              <w:t>2.具备PKCS1/PKCS7 attach/PKCS7 detach/XMLl Sign等格式的数字签名和验证，同时支持文件数字签名和验证。</w:t>
            </w:r>
          </w:p>
          <w:p w14:paraId="4F68B150">
            <w:pPr>
              <w:rPr>
                <w:color w:val="auto"/>
              </w:rPr>
            </w:pPr>
            <w:r>
              <w:rPr>
                <w:rFonts w:hint="eastAsia"/>
                <w:color w:val="auto"/>
              </w:rPr>
              <w:t>3.具备对签名、加密证书进行验证。可配置多CA签发的根证书，验证证书的信任域多CA证书验证，CRL/LDAP验证验证方式和验证级别。</w:t>
            </w:r>
          </w:p>
          <w:p w14:paraId="2A6EE20A">
            <w:pPr>
              <w:rPr>
                <w:color w:val="auto"/>
              </w:rPr>
            </w:pPr>
            <w:r>
              <w:rPr>
                <w:rFonts w:hint="eastAsia"/>
                <w:color w:val="auto"/>
              </w:rPr>
              <w:t>4.具备完善的身份鉴别机制，支持基于数字证书的身份认证，同时管理员通过管理界面可进行应用管理、证书管理、系统配置以及日志查询等管理操作，可通过web管理界面直接升级。</w:t>
            </w:r>
          </w:p>
          <w:p w14:paraId="35C4C311">
            <w:pPr>
              <w:rPr>
                <w:color w:val="auto"/>
              </w:rPr>
            </w:pPr>
            <w:r>
              <w:rPr>
                <w:rFonts w:hint="eastAsia"/>
                <w:color w:val="auto"/>
              </w:rPr>
              <w:t>5.具备配置NTP同步功能，自动同步时间。</w:t>
            </w:r>
          </w:p>
          <w:p w14:paraId="217092F6">
            <w:pPr>
              <w:rPr>
                <w:color w:val="auto"/>
              </w:rPr>
            </w:pPr>
            <w:r>
              <w:rPr>
                <w:rFonts w:hint="eastAsia"/>
                <w:color w:val="auto"/>
              </w:rPr>
              <w:t>6.具备国密双证机制（签名证书、加密证书），支持导入多级CA证书及管理。</w:t>
            </w:r>
          </w:p>
          <w:p w14:paraId="692C3EFD">
            <w:pPr>
              <w:rPr>
                <w:color w:val="auto"/>
              </w:rPr>
            </w:pPr>
            <w:r>
              <w:rPr>
                <w:rFonts w:hint="eastAsia"/>
                <w:color w:val="auto"/>
              </w:rPr>
              <w:t>7.具备黑白名单访问策略，采用动态更新方式。</w:t>
            </w:r>
          </w:p>
          <w:p w14:paraId="21216EB3">
            <w:pPr>
              <w:rPr>
                <w:color w:val="auto"/>
              </w:rPr>
            </w:pPr>
            <w:r>
              <w:rPr>
                <w:rFonts w:hint="eastAsia"/>
                <w:color w:val="auto"/>
              </w:rPr>
              <w:t>8.具备WebService服务。</w:t>
            </w:r>
          </w:p>
          <w:p w14:paraId="43F35908">
            <w:pPr>
              <w:rPr>
                <w:color w:val="auto"/>
              </w:rPr>
            </w:pPr>
            <w:r>
              <w:rPr>
                <w:rFonts w:hint="eastAsia"/>
                <w:color w:val="auto"/>
              </w:rPr>
              <w:t>9.具备可视化管理，支持SNMP协议，系统监控、设备硬件及软件的运行状态监测功能。</w:t>
            </w:r>
          </w:p>
          <w:p w14:paraId="2707B73F">
            <w:pPr>
              <w:rPr>
                <w:color w:val="auto"/>
              </w:rPr>
            </w:pPr>
            <w:r>
              <w:rPr>
                <w:rFonts w:hint="eastAsia"/>
                <w:color w:val="auto"/>
              </w:rPr>
              <w:t>10.PGP协议签名/验证、加密/解密。</w:t>
            </w:r>
          </w:p>
          <w:p w14:paraId="12AD32D6">
            <w:pPr>
              <w:rPr>
                <w:color w:val="auto"/>
              </w:rPr>
            </w:pPr>
            <w:r>
              <w:rPr>
                <w:rFonts w:hint="eastAsia"/>
                <w:color w:val="auto"/>
              </w:rPr>
              <w:t>11.具备接口鉴权签名HMAC、MAC。</w:t>
            </w:r>
          </w:p>
          <w:p w14:paraId="58ACB2D0">
            <w:pPr>
              <w:rPr>
                <w:color w:val="auto"/>
              </w:rPr>
            </w:pPr>
            <w:r>
              <w:rPr>
                <w:rFonts w:hint="eastAsia"/>
                <w:color w:val="auto"/>
              </w:rPr>
              <w:t>12.具备PDF签名、验签功能。</w:t>
            </w:r>
          </w:p>
          <w:p w14:paraId="74935E61">
            <w:pPr>
              <w:rPr>
                <w:color w:val="auto"/>
              </w:rPr>
            </w:pPr>
            <w:r>
              <w:rPr>
                <w:rFonts w:hint="eastAsia"/>
                <w:color w:val="auto"/>
              </w:rPr>
              <w:t>13.提供分级权限管理模式，分为管理员、操作员、审计员三级，分别赋予不同权限，实现权限分割，保证设备内存储数据和程序的安全。</w:t>
            </w:r>
          </w:p>
          <w:p w14:paraId="4F5D1927">
            <w:pPr>
              <w:rPr>
                <w:color w:val="auto"/>
              </w:rPr>
            </w:pPr>
            <w:r>
              <w:rPr>
                <w:rFonts w:hint="eastAsia"/>
                <w:color w:val="auto"/>
              </w:rPr>
              <w:t>14.具备IPV4和IPV6网络管理。</w:t>
            </w:r>
          </w:p>
          <w:p w14:paraId="53012597">
            <w:pPr>
              <w:rPr>
                <w:color w:val="auto"/>
              </w:rPr>
            </w:pPr>
            <w:r>
              <w:rPr>
                <w:rFonts w:hint="eastAsia"/>
                <w:color w:val="auto"/>
              </w:rPr>
              <w:t>15.具备双机热备、冗余双电源和负载均衡高可用功能。</w:t>
            </w:r>
          </w:p>
        </w:tc>
        <w:tc>
          <w:tcPr>
            <w:tcW w:w="475" w:type="pct"/>
            <w:vAlign w:val="center"/>
          </w:tcPr>
          <w:p w14:paraId="7F14D4E5">
            <w:pPr>
              <w:jc w:val="center"/>
              <w:rPr>
                <w:color w:val="auto"/>
              </w:rPr>
            </w:pPr>
            <w:r>
              <w:rPr>
                <w:rFonts w:hint="eastAsia"/>
                <w:color w:val="auto"/>
              </w:rPr>
              <w:t>1台</w:t>
            </w:r>
          </w:p>
        </w:tc>
        <w:tc>
          <w:tcPr>
            <w:tcW w:w="545" w:type="pct"/>
            <w:vAlign w:val="center"/>
          </w:tcPr>
          <w:p w14:paraId="0548B481">
            <w:pPr>
              <w:jc w:val="center"/>
              <w:rPr>
                <w:color w:val="auto"/>
              </w:rPr>
            </w:pPr>
            <w:r>
              <w:rPr>
                <w:rFonts w:hint="eastAsia"/>
                <w:color w:val="auto"/>
                <w:lang w:val="en-US" w:eastAsia="zh-CN"/>
              </w:rPr>
              <w:t>12.5</w:t>
            </w:r>
          </w:p>
        </w:tc>
        <w:tc>
          <w:tcPr>
            <w:tcW w:w="545" w:type="pct"/>
            <w:vAlign w:val="center"/>
          </w:tcPr>
          <w:p w14:paraId="418D1F97">
            <w:pPr>
              <w:jc w:val="center"/>
              <w:rPr>
                <w:color w:val="auto"/>
              </w:rPr>
            </w:pPr>
            <w:r>
              <w:rPr>
                <w:color w:val="auto"/>
              </w:rPr>
              <w:t>12.5</w:t>
            </w:r>
          </w:p>
        </w:tc>
      </w:tr>
      <w:tr w14:paraId="00BC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23733228">
            <w:pPr>
              <w:jc w:val="center"/>
              <w:rPr>
                <w:color w:val="auto"/>
                <w:lang w:bidi="ar"/>
              </w:rPr>
            </w:pPr>
            <w:r>
              <w:rPr>
                <w:rFonts w:hint="eastAsia"/>
                <w:color w:val="auto"/>
                <w:lang w:bidi="ar"/>
              </w:rPr>
              <w:t>1.</w:t>
            </w:r>
            <w:r>
              <w:rPr>
                <w:color w:val="auto"/>
                <w:lang w:bidi="ar"/>
              </w:rPr>
              <w:t>3</w:t>
            </w:r>
          </w:p>
        </w:tc>
        <w:tc>
          <w:tcPr>
            <w:tcW w:w="642" w:type="pct"/>
            <w:vAlign w:val="center"/>
          </w:tcPr>
          <w:p w14:paraId="68A05053">
            <w:pPr>
              <w:jc w:val="center"/>
              <w:rPr>
                <w:color w:val="auto"/>
                <w:lang w:bidi="ar"/>
              </w:rPr>
            </w:pPr>
            <w:r>
              <w:rPr>
                <w:rFonts w:hint="eastAsia"/>
                <w:color w:val="auto"/>
                <w:lang w:bidi="ar"/>
              </w:rPr>
              <w:t>签名验签与时间戳二合一服务器</w:t>
            </w:r>
          </w:p>
        </w:tc>
        <w:tc>
          <w:tcPr>
            <w:tcW w:w="2336" w:type="pct"/>
            <w:vAlign w:val="center"/>
          </w:tcPr>
          <w:p w14:paraId="1BE25994">
            <w:pPr>
              <w:rPr>
                <w:color w:val="auto"/>
              </w:rPr>
            </w:pPr>
            <w:r>
              <w:rPr>
                <w:rFonts w:hint="eastAsia"/>
                <w:color w:val="auto"/>
              </w:rPr>
              <w:t>硬件要求：采用国产化处理器和操作系统，内存≥8G，硬盘≥4T，冗余电源，≥2个千兆电口，采用国家授时中心时间源,提供北斗授时方式，授时精度：0.5-3ms(毫秒)，守时精度：&lt;1ms（72小时）。</w:t>
            </w:r>
          </w:p>
          <w:p w14:paraId="2C13785E">
            <w:pPr>
              <w:rPr>
                <w:color w:val="auto"/>
              </w:rPr>
            </w:pPr>
            <w:r>
              <w:rPr>
                <w:rFonts w:hint="eastAsia"/>
                <w:color w:val="auto"/>
              </w:rPr>
              <w:t>1.时间戳签发和验证接口支持使用SM2、SM3算法。</w:t>
            </w:r>
          </w:p>
          <w:p w14:paraId="7F0FD293">
            <w:pPr>
              <w:rPr>
                <w:color w:val="auto"/>
              </w:rPr>
            </w:pPr>
            <w:r>
              <w:rPr>
                <w:rFonts w:hint="eastAsia"/>
                <w:color w:val="auto"/>
              </w:rPr>
              <w:t>2.签发可信时间戳、验证时间戳有效性接口需调用正常，时间戳结构与RFC3161/RFC2630/GM0033要求一致，Adobe免集成方式的时间戳签名和验证功能正常。</w:t>
            </w:r>
          </w:p>
          <w:p w14:paraId="7B709B59">
            <w:pPr>
              <w:rPr>
                <w:color w:val="auto"/>
              </w:rPr>
            </w:pPr>
            <w:r>
              <w:rPr>
                <w:rFonts w:hint="eastAsia"/>
                <w:color w:val="auto"/>
              </w:rPr>
              <w:t>3.可配置多CA签发的根证书，对其他CA签发的时间戳验证通过，采用CRL/LDAP验证方式和验证。</w:t>
            </w:r>
          </w:p>
          <w:p w14:paraId="3E3CA245">
            <w:pPr>
              <w:rPr>
                <w:color w:val="auto"/>
              </w:rPr>
            </w:pPr>
            <w:r>
              <w:rPr>
                <w:rFonts w:hint="eastAsia"/>
                <w:color w:val="auto"/>
              </w:rPr>
              <w:t>4.通过管理界面可进行应用管理、证书管理、系统配置以及日志查询管理操作，可通过web管理页面直接升级系统。</w:t>
            </w:r>
          </w:p>
          <w:p w14:paraId="2EA398B5">
            <w:pPr>
              <w:rPr>
                <w:color w:val="auto"/>
              </w:rPr>
            </w:pPr>
            <w:r>
              <w:rPr>
                <w:rFonts w:hint="eastAsia"/>
                <w:color w:val="auto"/>
              </w:rPr>
              <w:t>5.内、外置时间源同步功能正常，配置NTP、SNTP同步功能正常，可进行外置时间源同步，以自身时间源为基准的内置时间源同步功能正常，对外提供时间同步服务正常。</w:t>
            </w:r>
          </w:p>
          <w:p w14:paraId="6C9E1001">
            <w:pPr>
              <w:rPr>
                <w:color w:val="auto"/>
              </w:rPr>
            </w:pPr>
            <w:r>
              <w:rPr>
                <w:rFonts w:hint="eastAsia"/>
                <w:color w:val="auto"/>
              </w:rPr>
              <w:t>6.提供了日志管理功能，日志输出格式可选择Syslog协议。</w:t>
            </w:r>
          </w:p>
          <w:p w14:paraId="4247399E">
            <w:pPr>
              <w:rPr>
                <w:color w:val="auto"/>
              </w:rPr>
            </w:pPr>
            <w:r>
              <w:rPr>
                <w:rFonts w:hint="eastAsia"/>
                <w:color w:val="auto"/>
              </w:rPr>
              <w:t>7.提供分级权限管理模式，分为管理员、操作员、审计员三级，分别赋予不同权限。</w:t>
            </w:r>
          </w:p>
          <w:p w14:paraId="7F8AFAED">
            <w:pPr>
              <w:rPr>
                <w:color w:val="auto"/>
              </w:rPr>
            </w:pPr>
            <w:r>
              <w:rPr>
                <w:rFonts w:hint="eastAsia"/>
                <w:color w:val="auto"/>
              </w:rPr>
              <w:t>8.可配置黑白名单访问策略，黑白名单采用动态更新方式。</w:t>
            </w:r>
          </w:p>
          <w:p w14:paraId="7B501AD3">
            <w:pPr>
              <w:rPr>
                <w:color w:val="auto"/>
              </w:rPr>
            </w:pPr>
            <w:r>
              <w:rPr>
                <w:rFonts w:hint="eastAsia"/>
                <w:color w:val="auto"/>
              </w:rPr>
              <w:t>9.配置IPV4和IPV6地址后根据配置ip可成功访问系统。</w:t>
            </w:r>
          </w:p>
          <w:p w14:paraId="358DADF4">
            <w:pPr>
              <w:rPr>
                <w:color w:val="auto"/>
              </w:rPr>
            </w:pPr>
            <w:r>
              <w:rPr>
                <w:rFonts w:hint="eastAsia"/>
                <w:color w:val="auto"/>
              </w:rPr>
              <w:t>10.具备双机热备、冗余双电源和负载均衡配置功能。。</w:t>
            </w:r>
          </w:p>
          <w:p w14:paraId="08C3B5C0">
            <w:pPr>
              <w:rPr>
                <w:color w:val="auto"/>
              </w:rPr>
            </w:pPr>
            <w:r>
              <w:rPr>
                <w:rFonts w:hint="eastAsia"/>
                <w:color w:val="auto"/>
              </w:rPr>
              <w:t>11.采用可视化管理，使用SNMP协议；系统监控、设备硬件及软件的运行状态监测功能，监测数据与实际一致。</w:t>
            </w:r>
          </w:p>
        </w:tc>
        <w:tc>
          <w:tcPr>
            <w:tcW w:w="475" w:type="pct"/>
            <w:vAlign w:val="center"/>
          </w:tcPr>
          <w:p w14:paraId="097E1338">
            <w:pPr>
              <w:jc w:val="center"/>
              <w:rPr>
                <w:color w:val="auto"/>
              </w:rPr>
            </w:pPr>
            <w:r>
              <w:rPr>
                <w:rFonts w:hint="eastAsia"/>
                <w:color w:val="auto"/>
              </w:rPr>
              <w:t>1台</w:t>
            </w:r>
          </w:p>
        </w:tc>
        <w:tc>
          <w:tcPr>
            <w:tcW w:w="545" w:type="pct"/>
            <w:vAlign w:val="center"/>
          </w:tcPr>
          <w:p w14:paraId="2A52B8CC">
            <w:pPr>
              <w:jc w:val="center"/>
              <w:rPr>
                <w:color w:val="auto"/>
              </w:rPr>
            </w:pPr>
            <w:r>
              <w:rPr>
                <w:rFonts w:hint="eastAsia"/>
                <w:color w:val="auto"/>
                <w:lang w:val="en-US" w:eastAsia="zh-CN"/>
              </w:rPr>
              <w:t>15.8</w:t>
            </w:r>
          </w:p>
        </w:tc>
        <w:tc>
          <w:tcPr>
            <w:tcW w:w="545" w:type="pct"/>
            <w:vAlign w:val="center"/>
          </w:tcPr>
          <w:p w14:paraId="4AD81981">
            <w:pPr>
              <w:jc w:val="center"/>
              <w:rPr>
                <w:color w:val="auto"/>
              </w:rPr>
            </w:pPr>
            <w:r>
              <w:rPr>
                <w:color w:val="auto"/>
              </w:rPr>
              <w:t>15.8</w:t>
            </w:r>
          </w:p>
        </w:tc>
      </w:tr>
      <w:tr w14:paraId="7B57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77B378B7">
            <w:pPr>
              <w:jc w:val="center"/>
              <w:rPr>
                <w:color w:val="auto"/>
                <w:lang w:bidi="ar"/>
              </w:rPr>
            </w:pPr>
            <w:r>
              <w:rPr>
                <w:rFonts w:hint="eastAsia"/>
                <w:color w:val="auto"/>
                <w:lang w:bidi="ar"/>
              </w:rPr>
              <w:t>1.</w:t>
            </w:r>
            <w:r>
              <w:rPr>
                <w:color w:val="auto"/>
                <w:lang w:bidi="ar"/>
              </w:rPr>
              <w:t>4</w:t>
            </w:r>
          </w:p>
        </w:tc>
        <w:tc>
          <w:tcPr>
            <w:tcW w:w="642" w:type="pct"/>
            <w:vAlign w:val="center"/>
          </w:tcPr>
          <w:p w14:paraId="2FEEB94F">
            <w:pPr>
              <w:jc w:val="center"/>
              <w:rPr>
                <w:color w:val="auto"/>
                <w:lang w:bidi="ar"/>
              </w:rPr>
            </w:pPr>
            <w:r>
              <w:rPr>
                <w:rFonts w:hint="eastAsia"/>
                <w:color w:val="auto"/>
              </w:rPr>
              <w:t>IPSec/SSL VPN综合安全网关</w:t>
            </w:r>
          </w:p>
        </w:tc>
        <w:tc>
          <w:tcPr>
            <w:tcW w:w="2336" w:type="pct"/>
            <w:vAlign w:val="center"/>
          </w:tcPr>
          <w:p w14:paraId="0F52CADF">
            <w:pPr>
              <w:rPr>
                <w:color w:val="auto"/>
              </w:rPr>
            </w:pPr>
            <w:r>
              <w:rPr>
                <w:rFonts w:hint="eastAsia"/>
                <w:color w:val="auto"/>
              </w:rPr>
              <w:t>▲1.具备国产密码SM2、SM3、SM4算法；</w:t>
            </w:r>
          </w:p>
          <w:p w14:paraId="59D7AD0F">
            <w:pPr>
              <w:rPr>
                <w:color w:val="auto"/>
              </w:rPr>
            </w:pPr>
            <w:r>
              <w:rPr>
                <w:rFonts w:hint="eastAsia"/>
                <w:color w:val="auto"/>
              </w:rPr>
              <w:t>2.具备TLS1.0、TLS1.2等协议；</w:t>
            </w:r>
          </w:p>
          <w:p w14:paraId="36CF0ACA">
            <w:pPr>
              <w:rPr>
                <w:color w:val="auto"/>
              </w:rPr>
            </w:pPr>
            <w:r>
              <w:rPr>
                <w:rFonts w:hint="eastAsia"/>
                <w:color w:val="auto"/>
              </w:rPr>
              <w:t>3.具备IPsec协议；</w:t>
            </w:r>
          </w:p>
          <w:p w14:paraId="25C623AD">
            <w:pPr>
              <w:rPr>
                <w:color w:val="auto"/>
              </w:rPr>
            </w:pPr>
            <w:r>
              <w:rPr>
                <w:rFonts w:hint="eastAsia"/>
                <w:color w:val="auto"/>
              </w:rPr>
              <w:t>4.具备虚拟站点新增、删除功能；</w:t>
            </w:r>
          </w:p>
          <w:p w14:paraId="67182DAD">
            <w:pPr>
              <w:rPr>
                <w:color w:val="auto"/>
              </w:rPr>
            </w:pPr>
            <w:r>
              <w:rPr>
                <w:rFonts w:hint="eastAsia"/>
                <w:color w:val="auto"/>
              </w:rPr>
              <w:t>5.SSL新建连接数≥1300 次/秒；</w:t>
            </w:r>
          </w:p>
          <w:p w14:paraId="3840B7A5">
            <w:pPr>
              <w:rPr>
                <w:color w:val="auto"/>
              </w:rPr>
            </w:pPr>
            <w:r>
              <w:rPr>
                <w:rFonts w:hint="eastAsia"/>
                <w:color w:val="auto"/>
              </w:rPr>
              <w:t>6.SSL并发连接数≥90000；</w:t>
            </w:r>
          </w:p>
          <w:p w14:paraId="51E5B9A3">
            <w:pPr>
              <w:rPr>
                <w:color w:val="auto"/>
              </w:rPr>
            </w:pPr>
            <w:r>
              <w:rPr>
                <w:rFonts w:hint="eastAsia"/>
                <w:color w:val="auto"/>
              </w:rPr>
              <w:t>7.SSL吞吐量≥900Mbps；</w:t>
            </w:r>
          </w:p>
          <w:p w14:paraId="792B170E">
            <w:pPr>
              <w:rPr>
                <w:color w:val="auto"/>
              </w:rPr>
            </w:pPr>
            <w:r>
              <w:rPr>
                <w:rFonts w:hint="eastAsia"/>
                <w:color w:val="auto"/>
              </w:rPr>
              <w:t>8.IPsec VPN 吞吐量≥1400Mbps；</w:t>
            </w:r>
          </w:p>
          <w:p w14:paraId="56DBA315">
            <w:pPr>
              <w:rPr>
                <w:color w:val="auto"/>
              </w:rPr>
            </w:pPr>
            <w:r>
              <w:rPr>
                <w:rFonts w:hint="eastAsia"/>
                <w:color w:val="auto"/>
              </w:rPr>
              <w:t>9.IPsec VPN 隧道数≥50条；</w:t>
            </w:r>
          </w:p>
          <w:p w14:paraId="09D068A5">
            <w:pPr>
              <w:rPr>
                <w:color w:val="auto"/>
              </w:rPr>
            </w:pPr>
            <w:r>
              <w:rPr>
                <w:rFonts w:hint="eastAsia"/>
                <w:color w:val="auto"/>
              </w:rPr>
              <w:t>10.硬件规格：2U，冗余双电源，≥2 个千兆电口。</w:t>
            </w:r>
          </w:p>
        </w:tc>
        <w:tc>
          <w:tcPr>
            <w:tcW w:w="475" w:type="pct"/>
            <w:vAlign w:val="center"/>
          </w:tcPr>
          <w:p w14:paraId="5E9709B8">
            <w:pPr>
              <w:jc w:val="center"/>
              <w:rPr>
                <w:color w:val="auto"/>
              </w:rPr>
            </w:pPr>
            <w:r>
              <w:rPr>
                <w:rFonts w:hint="eastAsia"/>
                <w:color w:val="auto"/>
              </w:rPr>
              <w:t>2台</w:t>
            </w:r>
          </w:p>
        </w:tc>
        <w:tc>
          <w:tcPr>
            <w:tcW w:w="545" w:type="pct"/>
            <w:vAlign w:val="center"/>
          </w:tcPr>
          <w:p w14:paraId="0F3C4C49">
            <w:pPr>
              <w:jc w:val="center"/>
              <w:rPr>
                <w:color w:val="auto"/>
              </w:rPr>
            </w:pPr>
            <w:r>
              <w:rPr>
                <w:rFonts w:hint="eastAsia"/>
                <w:color w:val="auto"/>
                <w:lang w:val="en-US" w:eastAsia="zh-CN"/>
              </w:rPr>
              <w:t>13.08</w:t>
            </w:r>
          </w:p>
        </w:tc>
        <w:tc>
          <w:tcPr>
            <w:tcW w:w="545" w:type="pct"/>
            <w:vAlign w:val="center"/>
          </w:tcPr>
          <w:p w14:paraId="4A411CD5">
            <w:pPr>
              <w:jc w:val="center"/>
              <w:rPr>
                <w:color w:val="auto"/>
              </w:rPr>
            </w:pPr>
            <w:r>
              <w:rPr>
                <w:color w:val="auto"/>
              </w:rPr>
              <w:t>26.16</w:t>
            </w:r>
          </w:p>
        </w:tc>
      </w:tr>
      <w:tr w14:paraId="00D7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EB4F8D1">
            <w:pPr>
              <w:jc w:val="center"/>
              <w:rPr>
                <w:color w:val="auto"/>
                <w:lang w:bidi="ar"/>
              </w:rPr>
            </w:pPr>
            <w:r>
              <w:rPr>
                <w:rFonts w:hint="eastAsia"/>
                <w:color w:val="auto"/>
                <w:lang w:bidi="ar"/>
              </w:rPr>
              <w:t>2</w:t>
            </w:r>
          </w:p>
        </w:tc>
        <w:tc>
          <w:tcPr>
            <w:tcW w:w="3998" w:type="pct"/>
            <w:gridSpan w:val="4"/>
            <w:vAlign w:val="center"/>
          </w:tcPr>
          <w:p w14:paraId="5D49E55D">
            <w:pPr>
              <w:spacing w:before="100" w:beforeAutospacing="1" w:after="100" w:afterAutospacing="1"/>
              <w:jc w:val="center"/>
              <w:rPr>
                <w:snapToGrid w:val="0"/>
                <w:color w:val="auto"/>
                <w:lang w:bidi="ar"/>
              </w:rPr>
            </w:pPr>
            <w:r>
              <w:rPr>
                <w:rFonts w:hint="eastAsia"/>
                <w:color w:val="auto"/>
              </w:rPr>
              <w:t>数据中心</w:t>
            </w:r>
          </w:p>
        </w:tc>
        <w:tc>
          <w:tcPr>
            <w:tcW w:w="545" w:type="pct"/>
            <w:vAlign w:val="center"/>
          </w:tcPr>
          <w:p w14:paraId="684A6140">
            <w:pPr>
              <w:spacing w:before="100" w:beforeAutospacing="1" w:after="100" w:afterAutospacing="1"/>
              <w:jc w:val="center"/>
              <w:rPr>
                <w:color w:val="auto"/>
              </w:rPr>
            </w:pPr>
            <w:r>
              <w:rPr>
                <w:snapToGrid w:val="0"/>
                <w:color w:val="auto"/>
                <w:lang w:bidi="ar"/>
              </w:rPr>
              <w:t>669.2</w:t>
            </w:r>
          </w:p>
        </w:tc>
      </w:tr>
      <w:tr w14:paraId="2F54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4230240D">
            <w:pPr>
              <w:jc w:val="center"/>
              <w:rPr>
                <w:color w:val="auto"/>
                <w:szCs w:val="21"/>
                <w:lang w:bidi="ar"/>
              </w:rPr>
            </w:pPr>
            <w:r>
              <w:rPr>
                <w:rFonts w:hint="eastAsia"/>
                <w:color w:val="auto"/>
                <w:szCs w:val="21"/>
                <w:lang w:bidi="ar"/>
              </w:rPr>
              <w:t>2.1</w:t>
            </w:r>
          </w:p>
        </w:tc>
        <w:tc>
          <w:tcPr>
            <w:tcW w:w="642" w:type="pct"/>
            <w:vAlign w:val="center"/>
          </w:tcPr>
          <w:p w14:paraId="4E1C16B3">
            <w:pPr>
              <w:jc w:val="center"/>
              <w:rPr>
                <w:color w:val="auto"/>
                <w:szCs w:val="21"/>
                <w:lang w:bidi="ar"/>
              </w:rPr>
            </w:pPr>
            <w:r>
              <w:rPr>
                <w:rFonts w:hint="eastAsia"/>
                <w:color w:val="auto"/>
                <w:szCs w:val="21"/>
                <w:lang w:bidi="ar"/>
              </w:rPr>
              <w:t>计算节点服务器</w:t>
            </w:r>
          </w:p>
        </w:tc>
        <w:tc>
          <w:tcPr>
            <w:tcW w:w="2336" w:type="pct"/>
            <w:vAlign w:val="center"/>
          </w:tcPr>
          <w:p w14:paraId="32409699">
            <w:pPr>
              <w:rPr>
                <w:color w:val="auto"/>
              </w:rPr>
            </w:pPr>
            <w:r>
              <w:rPr>
                <w:rFonts w:hint="eastAsia"/>
                <w:color w:val="auto"/>
              </w:rPr>
              <w:t>1、CPU ：国产处理器，处理器要求≥2颗；处理器≥32核；主频≥2.6GHz。</w:t>
            </w:r>
            <w:r>
              <w:rPr>
                <w:rFonts w:hint="eastAsia"/>
                <w:color w:val="auto"/>
              </w:rPr>
              <w:br w:type="textWrapping"/>
            </w:r>
            <w:r>
              <w:rPr>
                <w:rFonts w:hint="eastAsia"/>
                <w:color w:val="auto"/>
              </w:rPr>
              <w:t>2、内存：总内存物理插槽数≥16个；单根内存条容量支持16GB/32GB/64GB/128GB；内存总容量≥384GB。</w:t>
            </w:r>
            <w:r>
              <w:rPr>
                <w:rFonts w:hint="eastAsia"/>
                <w:color w:val="auto"/>
              </w:rPr>
              <w:br w:type="textWrapping"/>
            </w:r>
            <w:r>
              <w:rPr>
                <w:rFonts w:hint="eastAsia"/>
                <w:color w:val="auto"/>
              </w:rPr>
              <w:t>3、存储：≥12个硬盘盘位；SAS/SATA硬盘支持暴力热插拔，NVMe硬盘支持暴力热插拔或通知式热插拔。本次配置：2*480G、2*1.92TB、4*8T。</w:t>
            </w:r>
            <w:r>
              <w:rPr>
                <w:rFonts w:hint="eastAsia"/>
                <w:color w:val="auto"/>
              </w:rPr>
              <w:br w:type="textWrapping"/>
            </w:r>
            <w:r>
              <w:rPr>
                <w:rFonts w:hint="eastAsia"/>
                <w:color w:val="auto"/>
              </w:rPr>
              <w:t>4、RAID：配置独立RAID卡，支持RAID级别0/1/5/6/10/50/60，≥2G Cache,支持超级电容和边带管理。</w:t>
            </w:r>
            <w:r>
              <w:rPr>
                <w:rFonts w:hint="eastAsia"/>
                <w:color w:val="auto"/>
              </w:rPr>
              <w:br w:type="textWrapping"/>
            </w:r>
            <w:r>
              <w:rPr>
                <w:rFonts w:hint="eastAsia"/>
                <w:color w:val="auto"/>
              </w:rPr>
              <w:t>5、标准接口：USB3.0接口≥4个，RJ45串口≥1个，RJ45系统管理端口≥1个，显示接口DB15 VGA≥2个。</w:t>
            </w:r>
            <w:r>
              <w:rPr>
                <w:rFonts w:hint="eastAsia"/>
                <w:color w:val="auto"/>
              </w:rPr>
              <w:br w:type="textWrapping"/>
            </w:r>
            <w:r>
              <w:rPr>
                <w:rFonts w:hint="eastAsia"/>
                <w:color w:val="auto"/>
              </w:rPr>
              <w:t>6、网络接口：支持板载网络插卡≥2个，本次配置：4*GE电口、1*4*25GE/10GE光口-4端口SFP28、1*以太网卡-25GE光口-双端口-SFP28，配置6*10GE光模块。</w:t>
            </w:r>
            <w:r>
              <w:rPr>
                <w:rFonts w:hint="eastAsia"/>
                <w:color w:val="auto"/>
              </w:rPr>
              <w:br w:type="textWrapping"/>
            </w:r>
            <w:r>
              <w:rPr>
                <w:rFonts w:hint="eastAsia"/>
                <w:color w:val="auto"/>
              </w:rPr>
              <w:t>7、电源：2*服务器900W国产化电源。</w:t>
            </w:r>
            <w:r>
              <w:rPr>
                <w:rFonts w:hint="eastAsia"/>
                <w:color w:val="auto"/>
              </w:rPr>
              <w:br w:type="textWrapping"/>
            </w:r>
            <w:r>
              <w:rPr>
                <w:rFonts w:hint="eastAsia"/>
                <w:color w:val="auto"/>
              </w:rPr>
              <w:t>8、管理端口：提供1个10/100/1000Mbps的RJ45管理网卡，支持IPMI、SOL、KVM over IP以及虚拟媒体。</w:t>
            </w:r>
            <w:r>
              <w:rPr>
                <w:rFonts w:hint="eastAsia"/>
                <w:color w:val="auto"/>
              </w:rPr>
              <w:br w:type="textWrapping"/>
            </w:r>
            <w:r>
              <w:rPr>
                <w:rFonts w:hint="eastAsia"/>
                <w:color w:val="auto"/>
              </w:rPr>
              <w:t>9、▲BMC：支持SSL证书加密及证书替换功能。证书替换功能可以通过Web界面进行操作[11.1]，支持虚拟 KVM（Keyboard， Video， and Mouse）和虚拟媒体功能，提供方便的远程维护手段。</w:t>
            </w:r>
            <w:r>
              <w:rPr>
                <w:rFonts w:hint="eastAsia"/>
                <w:color w:val="auto"/>
              </w:rPr>
              <w:br w:type="textWrapping"/>
            </w:r>
            <w:r>
              <w:rPr>
                <w:rFonts w:hint="eastAsia"/>
                <w:color w:val="auto"/>
              </w:rPr>
              <w:t>10、显示输出：系统主板集成显示芯片，提供32MB显存，支持最高60Hz频率下16 M色彩的最大分辨率是1920x1200像素。</w:t>
            </w:r>
          </w:p>
          <w:p w14:paraId="2568E95F">
            <w:pPr>
              <w:rPr>
                <w:color w:val="auto"/>
              </w:rPr>
            </w:pPr>
            <w:r>
              <w:rPr>
                <w:rFonts w:hint="eastAsia"/>
                <w:color w:val="auto"/>
              </w:rPr>
              <w:t>配套软件:</w:t>
            </w:r>
          </w:p>
          <w:p w14:paraId="77927EF3">
            <w:pPr>
              <w:rPr>
                <w:color w:val="auto"/>
              </w:rPr>
            </w:pPr>
            <w:r>
              <w:rPr>
                <w:rFonts w:hint="eastAsia"/>
                <w:color w:val="auto"/>
              </w:rPr>
              <w:t>计算虚拟化：</w:t>
            </w:r>
            <w:r>
              <w:rPr>
                <w:rFonts w:hint="eastAsia"/>
                <w:color w:val="auto"/>
              </w:rPr>
              <w:br w:type="textWrapping"/>
            </w:r>
            <w:r>
              <w:rPr>
                <w:rFonts w:hint="eastAsia"/>
                <w:color w:val="auto"/>
              </w:rPr>
              <w:t>1.架构解耦，架构解耦，支持异构服务器，部署灵活；节点角色可设为存储、计算、计算+存储，集群内可任意组合，满足多场景需求，支持资源不均衡场景下的灵活扩容（需提供功能截图）。</w:t>
            </w:r>
          </w:p>
          <w:p w14:paraId="6759F15F">
            <w:pPr>
              <w:rPr>
                <w:color w:val="auto"/>
              </w:rPr>
            </w:pPr>
            <w:r>
              <w:rPr>
                <w:rFonts w:hint="eastAsia"/>
                <w:color w:val="auto"/>
              </w:rPr>
              <w:t>2.具备通过硬盘、ISO 等多种镜像创建虚拟机，单虚拟机可加载多个 ISO，支持本地 / URL 上传镜像及数据验证与全生命周期管理；可图形化调整网络、硬盘、光驱启动顺序，提供内置终端访问及 SPICE、VNC 远程协议，支持控制台密码与嵌套虚拟化，支持 GPU 透传。具备虚拟机高可用、节点故障自动迁移及热迁移能力，支持同节点批量热迁移且业务无中断，可基于现有虚拟机制作自定义镜像。</w:t>
            </w:r>
          </w:p>
          <w:p w14:paraId="600B7917">
            <w:pPr>
              <w:rPr>
                <w:color w:val="auto"/>
              </w:rPr>
            </w:pPr>
            <w:r>
              <w:rPr>
                <w:rFonts w:hint="eastAsia"/>
                <w:color w:val="auto"/>
              </w:rPr>
              <w:t>网络虚拟化：</w:t>
            </w:r>
            <w:r>
              <w:rPr>
                <w:rFonts w:hint="eastAsia"/>
                <w:color w:val="auto"/>
              </w:rPr>
              <w:br w:type="textWrapping"/>
            </w:r>
            <w:r>
              <w:rPr>
                <w:rFonts w:hint="eastAsia"/>
                <w:color w:val="auto"/>
              </w:rPr>
              <w:t>1.具备网络微分段与可视化细粒度安全组策略，实现虚拟机精细分组隔离；支持全局默认安全策略，可在同一规则拓扑中配置虚拟机网络策略，设置黑白名单、协议及端口，支持虚拟机一键隔离（需提供功能截图）。</w:t>
            </w:r>
            <w:r>
              <w:rPr>
                <w:rFonts w:hint="eastAsia"/>
                <w:color w:val="auto"/>
              </w:rPr>
              <w:br w:type="textWrapping"/>
            </w:r>
            <w:r>
              <w:rPr>
                <w:rFonts w:hint="eastAsia"/>
                <w:color w:val="auto"/>
              </w:rPr>
              <w:t>2.具备NoVLAN、VLAN组网模式，支持自定义三层网络的网段、网关地址、VLAN ID、IP地址池、DNS服务器地址等。</w:t>
            </w:r>
            <w:r>
              <w:rPr>
                <w:rFonts w:hint="eastAsia"/>
                <w:color w:val="auto"/>
              </w:rPr>
              <w:br w:type="textWrapping"/>
            </w:r>
            <w:r>
              <w:rPr>
                <w:rFonts w:hint="eastAsia"/>
                <w:color w:val="auto"/>
              </w:rPr>
              <w:t>3.实现虚拟交换机管理，虚拟交换机支持 SR-IOV。</w:t>
            </w:r>
            <w:r>
              <w:rPr>
                <w:rFonts w:hint="eastAsia"/>
                <w:color w:val="auto"/>
              </w:rPr>
              <w:br w:type="textWrapping"/>
            </w:r>
            <w:r>
              <w:rPr>
                <w:rFonts w:hint="eastAsia"/>
                <w:color w:val="auto"/>
              </w:rPr>
              <w:t>4.具备虚拟机开机、关机状态下加载和卸载网络。</w:t>
            </w:r>
            <w:r>
              <w:rPr>
                <w:rFonts w:hint="eastAsia"/>
                <w:color w:val="auto"/>
              </w:rPr>
              <w:br w:type="textWrapping"/>
            </w:r>
            <w:r>
              <w:rPr>
                <w:rFonts w:hint="eastAsia"/>
                <w:color w:val="auto"/>
              </w:rPr>
              <w:t>5.虚拟网卡多队列，提高虚拟机的网络吞吐性能。</w:t>
            </w:r>
            <w:r>
              <w:rPr>
                <w:rFonts w:hint="eastAsia"/>
                <w:color w:val="auto"/>
              </w:rPr>
              <w:br w:type="textWrapping"/>
            </w:r>
            <w:r>
              <w:rPr>
                <w:rFonts w:hint="eastAsia"/>
                <w:color w:val="auto"/>
              </w:rPr>
              <w:t>存储虚拟化：</w:t>
            </w:r>
            <w:r>
              <w:rPr>
                <w:rFonts w:hint="eastAsia"/>
                <w:color w:val="auto"/>
              </w:rPr>
              <w:br w:type="textWrapping"/>
            </w:r>
            <w:r>
              <w:rPr>
                <w:rFonts w:hint="eastAsia"/>
                <w:color w:val="auto"/>
              </w:rPr>
              <w:t>1.具备SSD高速缓存，采用创新 IO 聚合技术，将小块随机 IO 转为大块顺序 IO，保障高并发、高负载场景下性能稳定，EC 性能可达到与副本相当水平。</w:t>
            </w:r>
            <w:r>
              <w:rPr>
                <w:rFonts w:hint="eastAsia"/>
                <w:color w:val="auto"/>
              </w:rPr>
              <w:br w:type="textWrapping"/>
            </w:r>
            <w:r>
              <w:rPr>
                <w:rFonts w:hint="eastAsia"/>
                <w:color w:val="auto"/>
              </w:rPr>
              <w:t>2.★单集群可同时提供虚拟机服务，集群存储资源池统一支撑块存储、文件存储、对象存储及大数据存储需求，数据共池部署，提升存储空间利用率、降低运维复杂度（需提供功能截图）。</w:t>
            </w:r>
            <w:r>
              <w:rPr>
                <w:rFonts w:hint="eastAsia"/>
                <w:color w:val="auto"/>
              </w:rPr>
              <w:br w:type="textWrapping"/>
            </w:r>
            <w:r>
              <w:rPr>
                <w:rFonts w:hint="eastAsia"/>
                <w:color w:val="auto"/>
              </w:rPr>
              <w:t>3.存储池支持在线数据压缩及压缩算法修改，虚拟化场景下可用容量提升 1.5～2.5 倍且性能无损；缓存写满后写性能保持峰值 50%～75%，无断崖式下跌。虚拟机操作与数据快速增长不会导致存储池容量及性能不均衡，减少数据重平衡对业务影响。数据降级时系统自动重建，支持自定义恢复带宽，最小化业务干扰。支持主机、机柜等多级故障隔离，可按机架级别创建故障域，提升单机柜故障时的数据可靠性。可快速识别硬盘、网络亚健康状态并主动隔离，保障集群整体性能。</w:t>
            </w:r>
          </w:p>
          <w:p w14:paraId="0C461BE1">
            <w:pPr>
              <w:rPr>
                <w:color w:val="auto"/>
              </w:rPr>
            </w:pPr>
            <w:r>
              <w:rPr>
                <w:rFonts w:hint="eastAsia"/>
                <w:color w:val="auto"/>
              </w:rPr>
              <w:t>云管理平台：</w:t>
            </w:r>
            <w:r>
              <w:rPr>
                <w:rFonts w:hint="eastAsia"/>
                <w:color w:val="auto"/>
              </w:rPr>
              <w:br w:type="textWrapping"/>
            </w:r>
            <w:r>
              <w:rPr>
                <w:rFonts w:hint="eastAsia"/>
                <w:color w:val="auto"/>
              </w:rPr>
              <w:t>1.平台提供全面监控分析能力，支持监控筛选、图表拖拽、周期切换、悬浮查看告警及资源跳转，可一键对接 Grafana 大屏并实现多集群统一监控；覆盖计算、存储、网络、宿主机等全维度指标，支持时间轴利用率分析与趋势预测，可自定义监控视图、图表及 Top10 展示。支持节点角色与预留资源调整、高级筛选，提供仿真数据中心物理视图可视化管理；内置统一告警与多种主动运维策略，支持一键全局生效及灵活开关。具备事件与系统日志审计、高级筛选能力，支持访问令牌管理及第三方 API 权限控制，提供 CLI 命令行管理、基础设施即代码及 Terraform 虚拟机资源管理。</w:t>
            </w:r>
          </w:p>
        </w:tc>
        <w:tc>
          <w:tcPr>
            <w:tcW w:w="475" w:type="pct"/>
            <w:vAlign w:val="center"/>
          </w:tcPr>
          <w:p w14:paraId="76CE3D8A">
            <w:pPr>
              <w:jc w:val="center"/>
              <w:rPr>
                <w:color w:val="auto"/>
                <w:szCs w:val="21"/>
              </w:rPr>
            </w:pPr>
            <w:r>
              <w:rPr>
                <w:rFonts w:hint="eastAsia"/>
                <w:color w:val="auto"/>
                <w:szCs w:val="21"/>
              </w:rPr>
              <w:t>6台</w:t>
            </w:r>
          </w:p>
        </w:tc>
        <w:tc>
          <w:tcPr>
            <w:tcW w:w="545" w:type="pct"/>
            <w:vAlign w:val="center"/>
          </w:tcPr>
          <w:p w14:paraId="0DE44FB8">
            <w:pPr>
              <w:jc w:val="center"/>
              <w:rPr>
                <w:color w:val="auto"/>
                <w:szCs w:val="21"/>
              </w:rPr>
            </w:pPr>
            <w:r>
              <w:rPr>
                <w:rFonts w:hint="eastAsia"/>
                <w:color w:val="auto"/>
                <w:szCs w:val="21"/>
                <w:lang w:val="en-US" w:eastAsia="zh-CN"/>
              </w:rPr>
              <w:t>13</w:t>
            </w:r>
          </w:p>
        </w:tc>
        <w:tc>
          <w:tcPr>
            <w:tcW w:w="545" w:type="pct"/>
            <w:vAlign w:val="center"/>
          </w:tcPr>
          <w:p w14:paraId="2ED90005">
            <w:pPr>
              <w:jc w:val="center"/>
              <w:rPr>
                <w:color w:val="auto"/>
                <w:szCs w:val="21"/>
              </w:rPr>
            </w:pPr>
            <w:r>
              <w:rPr>
                <w:color w:val="auto"/>
                <w:szCs w:val="21"/>
              </w:rPr>
              <w:t>78</w:t>
            </w:r>
          </w:p>
        </w:tc>
      </w:tr>
      <w:tr w14:paraId="344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69608E43">
            <w:pPr>
              <w:jc w:val="center"/>
              <w:rPr>
                <w:color w:val="auto"/>
                <w:szCs w:val="21"/>
                <w:lang w:bidi="ar"/>
              </w:rPr>
            </w:pPr>
            <w:r>
              <w:rPr>
                <w:rFonts w:hint="eastAsia"/>
                <w:color w:val="auto"/>
                <w:szCs w:val="21"/>
                <w:lang w:bidi="ar"/>
              </w:rPr>
              <w:t>2.2</w:t>
            </w:r>
          </w:p>
        </w:tc>
        <w:tc>
          <w:tcPr>
            <w:tcW w:w="642" w:type="pct"/>
            <w:vAlign w:val="center"/>
          </w:tcPr>
          <w:p w14:paraId="3C6A9928">
            <w:pPr>
              <w:jc w:val="center"/>
              <w:rPr>
                <w:color w:val="auto"/>
                <w:szCs w:val="21"/>
                <w:lang w:bidi="ar"/>
              </w:rPr>
            </w:pPr>
            <w:r>
              <w:rPr>
                <w:rFonts w:hint="eastAsia"/>
                <w:color w:val="auto"/>
                <w:szCs w:val="21"/>
                <w:lang w:bidi="ar"/>
              </w:rPr>
              <w:t>分布式存储</w:t>
            </w:r>
          </w:p>
        </w:tc>
        <w:tc>
          <w:tcPr>
            <w:tcW w:w="2336" w:type="pct"/>
            <w:vAlign w:val="center"/>
          </w:tcPr>
          <w:p w14:paraId="1D995F55">
            <w:pPr>
              <w:rPr>
                <w:color w:val="auto"/>
              </w:rPr>
            </w:pPr>
            <w:r>
              <w:rPr>
                <w:rFonts w:hint="eastAsia"/>
                <w:color w:val="auto"/>
              </w:rPr>
              <w:t>1.配置三节点，采用分布式架构进行管理；单节点配置为：4U36盘位机架式主机；配置≥2颗32核国产处理器；配置256GB 内存；配置≥2块480GB SSD硬盘，≥2块7.68TB SSD企业级硬盘，≥30块8TB 企业级 7200RPM 3.5寸 SATA硬盘；配置≥2个千兆电口，≥6个万兆光口（含模块），配置iBMC管理模块，配置RAID卡，支持RAID 0, 1, 5, 6, 10, 50, 60。</w:t>
            </w:r>
            <w:r>
              <w:rPr>
                <w:rFonts w:hint="eastAsia"/>
                <w:color w:val="auto"/>
              </w:rPr>
              <w:br w:type="textWrapping"/>
            </w:r>
            <w:r>
              <w:rPr>
                <w:rFonts w:hint="eastAsia"/>
                <w:color w:val="auto"/>
              </w:rPr>
              <w:t xml:space="preserve">2.采用分布式架构设计，提供≥240TB可用容量授权许可，一个存储池可以同时支持多种架构CPU（鲲鹏，飞腾，海光等），可同时支持块，文件，对象和大数据。 </w:t>
            </w:r>
            <w:r>
              <w:rPr>
                <w:rFonts w:hint="eastAsia"/>
                <w:color w:val="auto"/>
              </w:rPr>
              <w:br w:type="textWrapping"/>
            </w:r>
            <w:r>
              <w:rPr>
                <w:rFonts w:hint="eastAsia"/>
                <w:color w:val="auto"/>
              </w:rPr>
              <w:t>3.自带分布式存储技术支持多副本数据保护及纠删数据保护模式，支持1~6副本，支持在线修改副本数，在线修改精简EC到EC，支持根据拓扑节点设置权重，支持采用优选的EC算法，以少量的冗余信息保证数据可靠性，块和文件支持全场景EC；对象支持EC。</w:t>
            </w:r>
            <w:r>
              <w:rPr>
                <w:rFonts w:hint="eastAsia"/>
                <w:color w:val="auto"/>
              </w:rPr>
              <w:br w:type="textWrapping"/>
            </w:r>
            <w:r>
              <w:rPr>
                <w:rFonts w:hint="eastAsia"/>
                <w:color w:val="auto"/>
              </w:rPr>
              <w:t>4.针对在线实时读写数据时做CRC校验，防止静默数据错误；支持在创建存储池时启用加密功能，支持使用加密算法对落盘数据进行加密。</w:t>
            </w:r>
            <w:r>
              <w:rPr>
                <w:rFonts w:hint="eastAsia"/>
                <w:color w:val="auto"/>
              </w:rPr>
              <w:br w:type="textWrapping"/>
            </w:r>
            <w:r>
              <w:rPr>
                <w:rFonts w:hint="eastAsia"/>
                <w:color w:val="auto"/>
              </w:rPr>
              <w:t>5.实现多级故障域，在线升级故障域，从节点升级到机架，机房，支持双活数据中心；对于故障盘或慢盘，即时检测告警，自动隔离并可解除隔离；支持网络亚健康告警，在丢包或时延网络亚健康场景下，网络亚健康告警，网络端口切换。</w:t>
            </w:r>
            <w:r>
              <w:rPr>
                <w:rFonts w:hint="eastAsia"/>
                <w:color w:val="auto"/>
              </w:rPr>
              <w:br w:type="textWrapping"/>
            </w:r>
            <w:r>
              <w:rPr>
                <w:rFonts w:hint="eastAsia"/>
                <w:color w:val="auto"/>
              </w:rPr>
              <w:t>6.提供存储池数据压缩，界面可显示压缩比，开启压缩，性能下降不超过5%，在线修改压缩算法（提供以上功能截图）。</w:t>
            </w:r>
            <w:r>
              <w:rPr>
                <w:rFonts w:hint="eastAsia"/>
                <w:color w:val="auto"/>
              </w:rPr>
              <w:br w:type="textWrapping"/>
            </w:r>
            <w:r>
              <w:rPr>
                <w:rFonts w:hint="eastAsia"/>
                <w:color w:val="auto"/>
              </w:rPr>
              <w:t>7.提供通过延展集群的方式实现同城双活，自定义集群主副本位置，可手动切换，实现本地读优先。块，文件和对象（需要多站点配合）都支持双活。</w:t>
            </w:r>
            <w:r>
              <w:rPr>
                <w:rFonts w:hint="eastAsia"/>
                <w:color w:val="auto"/>
              </w:rPr>
              <w:br w:type="textWrapping"/>
            </w:r>
            <w:r>
              <w:rPr>
                <w:rFonts w:hint="eastAsia"/>
                <w:color w:val="auto"/>
              </w:rPr>
              <w:t xml:space="preserve">8.通过SSD构成高速缓存，采用创新性的IO聚合技术，将小块随机IO聚合成大块顺序IO，可智能I/O过滤大块数据，可支持高并发和高负载下的持续稳定的性能，EC可以获得跟副本相当的性能。 </w:t>
            </w:r>
            <w:r>
              <w:rPr>
                <w:rFonts w:hint="eastAsia"/>
                <w:color w:val="auto"/>
              </w:rPr>
              <w:br w:type="textWrapping"/>
            </w:r>
            <w:r>
              <w:rPr>
                <w:rFonts w:hint="eastAsia"/>
                <w:color w:val="auto"/>
              </w:rPr>
              <w:t>9.▲满足缓存池和数据池解耦，相互之间可独立部署，独立扩容，互不影响（提供以上功能截图）。</w:t>
            </w:r>
            <w:r>
              <w:rPr>
                <w:rFonts w:hint="eastAsia"/>
                <w:color w:val="auto"/>
              </w:rPr>
              <w:br w:type="textWrapping"/>
            </w:r>
            <w:r>
              <w:rPr>
                <w:rFonts w:hint="eastAsia"/>
                <w:color w:val="auto"/>
              </w:rPr>
              <w:t>10.块、文件、对象和大数据可支持多个存储池，支持多存储池以隔离故障域或用于支持整池扩容等高级功能。</w:t>
            </w:r>
            <w:r>
              <w:rPr>
                <w:rFonts w:hint="eastAsia"/>
                <w:color w:val="auto"/>
              </w:rPr>
              <w:br w:type="textWrapping"/>
            </w:r>
            <w:r>
              <w:rPr>
                <w:rFonts w:hint="eastAsia"/>
                <w:color w:val="auto"/>
              </w:rPr>
              <w:t>11.具备卷异步复制，基于快照级别的分钟级异步复制，实现远程数据容灾。当主资源故障的时候，可自动切换到目标集群，校验异步复制的数据一致；支持64个卷的一致性组异步复制。</w:t>
            </w:r>
            <w:r>
              <w:rPr>
                <w:rFonts w:hint="eastAsia"/>
                <w:color w:val="auto"/>
              </w:rPr>
              <w:br w:type="textWrapping"/>
            </w:r>
            <w:r>
              <w:rPr>
                <w:rFonts w:hint="eastAsia"/>
                <w:color w:val="auto"/>
              </w:rPr>
              <w:t>12.提供闲时做自动重平衡，当发现集群内OSD容量不均衡的时候，会自动以最低速进行重平衡。</w:t>
            </w:r>
            <w:r>
              <w:rPr>
                <w:rFonts w:hint="eastAsia"/>
                <w:color w:val="auto"/>
              </w:rPr>
              <w:br w:type="textWrapping"/>
            </w:r>
            <w:r>
              <w:rPr>
                <w:rFonts w:hint="eastAsia"/>
                <w:color w:val="auto"/>
              </w:rPr>
              <w:t>13.具备iSCSI，FC，Local SCSI ，CSI，RBD，cinder-iscsi 等多种协议访问，支持NFS v3/v4/CIFS/FTP/S3/HDFS/Manila协议互通。</w:t>
            </w:r>
            <w:r>
              <w:rPr>
                <w:rFonts w:hint="eastAsia"/>
                <w:color w:val="auto"/>
              </w:rPr>
              <w:br w:type="textWrapping"/>
            </w:r>
            <w:r>
              <w:rPr>
                <w:rFonts w:hint="eastAsia"/>
                <w:color w:val="auto"/>
              </w:rPr>
              <w:t xml:space="preserve">14.对象存储功能开启多版本功能后，存储桶性能不下降，单桶（命名空间）支持1000亿以上的对象规模。 </w:t>
            </w:r>
            <w:r>
              <w:rPr>
                <w:rFonts w:hint="eastAsia"/>
                <w:color w:val="auto"/>
              </w:rPr>
              <w:br w:type="textWrapping"/>
            </w:r>
            <w:r>
              <w:rPr>
                <w:rFonts w:hint="eastAsia"/>
                <w:color w:val="auto"/>
              </w:rPr>
              <w:t>15.具备桶快照开放接口，利用开放接口高效使用桶快照能力；支持桶复制，支持多对一的复制模式。</w:t>
            </w:r>
            <w:r>
              <w:rPr>
                <w:rFonts w:hint="eastAsia"/>
                <w:color w:val="auto"/>
              </w:rPr>
              <w:br w:type="textWrapping"/>
            </w:r>
            <w:r>
              <w:rPr>
                <w:rFonts w:hint="eastAsia"/>
                <w:color w:val="auto"/>
              </w:rPr>
              <w:t>16.具备接入第三方对象/NAS存储系统，并根据业务需求选择多种方式进行跨集群的数据读取，支持重定向模式，支持代理访问模式，支持CDN模式。</w:t>
            </w:r>
            <w:r>
              <w:rPr>
                <w:rFonts w:hint="eastAsia"/>
                <w:color w:val="auto"/>
              </w:rPr>
              <w:br w:type="textWrapping"/>
            </w:r>
            <w:r>
              <w:rPr>
                <w:rFonts w:hint="eastAsia"/>
                <w:color w:val="auto"/>
              </w:rPr>
              <w:t>17.文件系统支持统一命名空间，支持100亿+文件，且性能稳定，支持100PB+的容量。</w:t>
            </w:r>
            <w:r>
              <w:rPr>
                <w:rFonts w:hint="eastAsia"/>
                <w:color w:val="auto"/>
              </w:rPr>
              <w:br w:type="textWrapping"/>
            </w:r>
            <w:r>
              <w:rPr>
                <w:rFonts w:hint="eastAsia"/>
                <w:color w:val="auto"/>
              </w:rPr>
              <w:t>18.文件系统支持在线整池扩容，支持文件在线压缩功能，支持在线修改压缩算法，支持小文件聚合，将小文件聚合写入数据池，提升小文件的性能和容量利用率，4KB小文件容量放大不超过50%。</w:t>
            </w:r>
            <w:r>
              <w:rPr>
                <w:rFonts w:hint="eastAsia"/>
                <w:color w:val="auto"/>
              </w:rPr>
              <w:br w:type="textWrapping"/>
            </w:r>
            <w:r>
              <w:rPr>
                <w:rFonts w:hint="eastAsia"/>
                <w:color w:val="auto"/>
              </w:rPr>
              <w:t>19.具备任意目录级快照，分钟级数据保护，支持手动快照，定时快照，支持快照回滚；可支持目录同时做快照和WORM。</w:t>
            </w:r>
          </w:p>
        </w:tc>
        <w:tc>
          <w:tcPr>
            <w:tcW w:w="475" w:type="pct"/>
            <w:vAlign w:val="center"/>
          </w:tcPr>
          <w:p w14:paraId="18A32CC2">
            <w:pPr>
              <w:jc w:val="center"/>
              <w:rPr>
                <w:color w:val="auto"/>
                <w:szCs w:val="21"/>
              </w:rPr>
            </w:pPr>
            <w:r>
              <w:rPr>
                <w:rFonts w:hint="eastAsia"/>
                <w:color w:val="auto"/>
                <w:szCs w:val="21"/>
              </w:rPr>
              <w:t>3台</w:t>
            </w:r>
          </w:p>
        </w:tc>
        <w:tc>
          <w:tcPr>
            <w:tcW w:w="545" w:type="pct"/>
            <w:vAlign w:val="center"/>
          </w:tcPr>
          <w:p w14:paraId="0633A64E">
            <w:pPr>
              <w:jc w:val="center"/>
              <w:rPr>
                <w:color w:val="auto"/>
                <w:szCs w:val="21"/>
              </w:rPr>
            </w:pPr>
            <w:r>
              <w:rPr>
                <w:rFonts w:hint="eastAsia"/>
                <w:color w:val="auto"/>
                <w:szCs w:val="21"/>
                <w:lang w:val="en-US" w:eastAsia="zh-CN"/>
              </w:rPr>
              <w:t>27</w:t>
            </w:r>
          </w:p>
        </w:tc>
        <w:tc>
          <w:tcPr>
            <w:tcW w:w="545" w:type="pct"/>
            <w:vAlign w:val="center"/>
          </w:tcPr>
          <w:p w14:paraId="0BC78537">
            <w:pPr>
              <w:jc w:val="center"/>
              <w:rPr>
                <w:color w:val="auto"/>
                <w:szCs w:val="21"/>
              </w:rPr>
            </w:pPr>
            <w:r>
              <w:rPr>
                <w:color w:val="auto"/>
                <w:szCs w:val="21"/>
              </w:rPr>
              <w:t>81</w:t>
            </w:r>
          </w:p>
        </w:tc>
      </w:tr>
      <w:tr w14:paraId="216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5DA0261A">
            <w:pPr>
              <w:jc w:val="center"/>
              <w:rPr>
                <w:color w:val="auto"/>
                <w:szCs w:val="21"/>
                <w:lang w:bidi="ar"/>
              </w:rPr>
            </w:pPr>
            <w:r>
              <w:rPr>
                <w:rFonts w:hint="eastAsia"/>
                <w:color w:val="auto"/>
                <w:szCs w:val="21"/>
                <w:lang w:bidi="ar"/>
              </w:rPr>
              <w:t>2.3</w:t>
            </w:r>
          </w:p>
        </w:tc>
        <w:tc>
          <w:tcPr>
            <w:tcW w:w="642" w:type="pct"/>
            <w:vAlign w:val="center"/>
          </w:tcPr>
          <w:p w14:paraId="1DD10C90">
            <w:pPr>
              <w:jc w:val="center"/>
              <w:rPr>
                <w:color w:val="auto"/>
                <w:szCs w:val="21"/>
                <w:lang w:bidi="ar"/>
              </w:rPr>
            </w:pPr>
            <w:r>
              <w:rPr>
                <w:rFonts w:hint="eastAsia"/>
                <w:color w:val="auto"/>
                <w:szCs w:val="21"/>
                <w:lang w:bidi="ar"/>
              </w:rPr>
              <w:t>外联路由器</w:t>
            </w:r>
          </w:p>
        </w:tc>
        <w:tc>
          <w:tcPr>
            <w:tcW w:w="2336" w:type="pct"/>
            <w:vAlign w:val="center"/>
          </w:tcPr>
          <w:p w14:paraId="70725C77">
            <w:pPr>
              <w:rPr>
                <w:color w:val="auto"/>
              </w:rPr>
            </w:pPr>
            <w:r>
              <w:rPr>
                <w:rFonts w:hint="eastAsia"/>
                <w:color w:val="auto"/>
              </w:rPr>
              <w:t>1.设备要求控制和转发物理分离，具备独立主控板卡和业务转发板卡。设备主控槽位≥2，转发槽位≥1，业务槽位≥8，电源槽位数≥2。</w:t>
            </w:r>
          </w:p>
          <w:p w14:paraId="5E61C90B">
            <w:pPr>
              <w:rPr>
                <w:color w:val="auto"/>
              </w:rPr>
            </w:pPr>
            <w:r>
              <w:rPr>
                <w:rFonts w:hint="eastAsia"/>
                <w:color w:val="auto"/>
              </w:rPr>
              <w:t>2.设备支持100G、10G、GE、155M/622M/2.5G POS、155M CPOS等广域网接口。</w:t>
            </w:r>
          </w:p>
          <w:p w14:paraId="3240D2E8">
            <w:pPr>
              <w:rPr>
                <w:color w:val="auto"/>
              </w:rPr>
            </w:pPr>
            <w:r>
              <w:rPr>
                <w:rFonts w:hint="eastAsia"/>
                <w:color w:val="auto"/>
              </w:rPr>
              <w:t>3.具备路由协议的SM3认证、ACL安全过滤。</w:t>
            </w:r>
          </w:p>
          <w:p w14:paraId="1FB90E29">
            <w:pPr>
              <w:rPr>
                <w:color w:val="auto"/>
              </w:rPr>
            </w:pPr>
            <w:r>
              <w:rPr>
                <w:rFonts w:hint="eastAsia"/>
                <w:color w:val="auto"/>
              </w:rPr>
              <w:t>4.具备CPU保护、配置文件加密、日志加密功能，提供国家认可的第三方检测机构出具的检测报告。</w:t>
            </w:r>
          </w:p>
          <w:p w14:paraId="7E3403F2">
            <w:pPr>
              <w:rPr>
                <w:color w:val="auto"/>
              </w:rPr>
            </w:pPr>
            <w:r>
              <w:rPr>
                <w:rFonts w:hint="eastAsia"/>
                <w:color w:val="auto"/>
              </w:rPr>
              <w:t>5.设备具备GRE、IPSEC、NAT、L2TP等多业务功能，如果需要配置相应的LICENSE和硬件板卡才支持，则必须配置。</w:t>
            </w:r>
          </w:p>
          <w:p w14:paraId="59BD4AD3">
            <w:pPr>
              <w:rPr>
                <w:color w:val="auto"/>
              </w:rPr>
            </w:pPr>
            <w:r>
              <w:rPr>
                <w:rFonts w:hint="eastAsia"/>
                <w:color w:val="auto"/>
              </w:rPr>
              <w:t>6.设备无中、高危漏洞，提供国家认可的第三方检测机构出具的检测报告。</w:t>
            </w:r>
          </w:p>
          <w:p w14:paraId="226A7913">
            <w:pPr>
              <w:rPr>
                <w:color w:val="auto"/>
              </w:rPr>
            </w:pPr>
            <w:r>
              <w:rPr>
                <w:rFonts w:hint="eastAsia"/>
                <w:color w:val="auto"/>
              </w:rPr>
              <w:t>7.本次配置双主控，双电源，100G接口≥1、万兆光接口≥4、千兆光接口≥4、千兆电接口≥8。</w:t>
            </w:r>
          </w:p>
        </w:tc>
        <w:tc>
          <w:tcPr>
            <w:tcW w:w="475" w:type="pct"/>
            <w:vAlign w:val="center"/>
          </w:tcPr>
          <w:p w14:paraId="1A0509CE">
            <w:pPr>
              <w:jc w:val="center"/>
              <w:rPr>
                <w:color w:val="auto"/>
                <w:szCs w:val="21"/>
              </w:rPr>
            </w:pPr>
            <w:r>
              <w:rPr>
                <w:rFonts w:hint="eastAsia"/>
                <w:color w:val="auto"/>
                <w:szCs w:val="21"/>
              </w:rPr>
              <w:t>2台</w:t>
            </w:r>
          </w:p>
        </w:tc>
        <w:tc>
          <w:tcPr>
            <w:tcW w:w="545" w:type="pct"/>
            <w:vAlign w:val="center"/>
          </w:tcPr>
          <w:p w14:paraId="7A3FB3DB">
            <w:pPr>
              <w:jc w:val="center"/>
              <w:rPr>
                <w:color w:val="auto"/>
                <w:szCs w:val="21"/>
              </w:rPr>
            </w:pPr>
            <w:r>
              <w:rPr>
                <w:rFonts w:hint="eastAsia"/>
                <w:color w:val="auto"/>
                <w:szCs w:val="21"/>
                <w:lang w:val="en-US" w:eastAsia="zh-CN"/>
              </w:rPr>
              <w:t>10</w:t>
            </w:r>
          </w:p>
        </w:tc>
        <w:tc>
          <w:tcPr>
            <w:tcW w:w="545" w:type="pct"/>
            <w:vAlign w:val="center"/>
          </w:tcPr>
          <w:p w14:paraId="0B3238A4">
            <w:pPr>
              <w:jc w:val="center"/>
              <w:rPr>
                <w:color w:val="auto"/>
                <w:szCs w:val="21"/>
              </w:rPr>
            </w:pPr>
            <w:r>
              <w:rPr>
                <w:color w:val="auto"/>
                <w:szCs w:val="21"/>
              </w:rPr>
              <w:t>20</w:t>
            </w:r>
          </w:p>
        </w:tc>
      </w:tr>
      <w:tr w14:paraId="2117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6AA32F75">
            <w:pPr>
              <w:jc w:val="center"/>
              <w:rPr>
                <w:color w:val="auto"/>
                <w:szCs w:val="21"/>
                <w:lang w:bidi="ar"/>
              </w:rPr>
            </w:pPr>
            <w:r>
              <w:rPr>
                <w:rFonts w:hint="eastAsia"/>
                <w:color w:val="auto"/>
                <w:szCs w:val="21"/>
                <w:lang w:bidi="ar"/>
              </w:rPr>
              <w:t>2.4</w:t>
            </w:r>
          </w:p>
        </w:tc>
        <w:tc>
          <w:tcPr>
            <w:tcW w:w="642" w:type="pct"/>
            <w:vAlign w:val="center"/>
          </w:tcPr>
          <w:p w14:paraId="3F2A9066">
            <w:pPr>
              <w:jc w:val="center"/>
              <w:rPr>
                <w:color w:val="auto"/>
                <w:szCs w:val="21"/>
                <w:lang w:bidi="ar"/>
              </w:rPr>
            </w:pPr>
            <w:r>
              <w:rPr>
                <w:rFonts w:hint="eastAsia"/>
                <w:color w:val="auto"/>
                <w:szCs w:val="21"/>
                <w:lang w:bidi="ar"/>
              </w:rPr>
              <w:t>出口防火墙</w:t>
            </w:r>
          </w:p>
        </w:tc>
        <w:tc>
          <w:tcPr>
            <w:tcW w:w="2336" w:type="pct"/>
            <w:vAlign w:val="center"/>
          </w:tcPr>
          <w:p w14:paraId="6BA44119">
            <w:pPr>
              <w:rPr>
                <w:color w:val="auto"/>
              </w:rPr>
            </w:pPr>
            <w:r>
              <w:rPr>
                <w:rFonts w:hint="eastAsia"/>
                <w:color w:val="auto"/>
              </w:rPr>
              <w:t>1.设备使用国产CPU和国产操作系统，千兆电口≥12个，万兆光口≥8个，扩展槽≥4个，模块化电源≥2个，2U设备。配置应用特征库、URL库、防病毒库、入侵防御库支持3年的升级授权。</w:t>
            </w:r>
          </w:p>
          <w:p w14:paraId="7D4401EE">
            <w:pPr>
              <w:rPr>
                <w:color w:val="auto"/>
              </w:rPr>
            </w:pPr>
            <w:r>
              <w:rPr>
                <w:rFonts w:hint="eastAsia"/>
                <w:color w:val="auto"/>
              </w:rPr>
              <w:t>2.网络层吞吐量≥32G；应用层吞吐量≥20G；并发连接数≥2000万；HTTP新建连接数≥30万。</w:t>
            </w:r>
          </w:p>
          <w:p w14:paraId="410EC695">
            <w:pPr>
              <w:rPr>
                <w:color w:val="auto"/>
              </w:rPr>
            </w:pPr>
            <w:r>
              <w:rPr>
                <w:rFonts w:hint="eastAsia"/>
                <w:color w:val="auto"/>
              </w:rPr>
              <w:t>3.具备静态路由、策略路由、RIPv1/2、OSPF、OSPFv3、BGP等动态路由协议,要求支持ECMP与WCMP的路由均衡方式，并且能够根据预设探测条件实现动态的链路切换。</w:t>
            </w:r>
          </w:p>
          <w:p w14:paraId="752809DD">
            <w:pPr>
              <w:rPr>
                <w:color w:val="auto"/>
              </w:rPr>
            </w:pPr>
            <w:r>
              <w:rPr>
                <w:rFonts w:hint="eastAsia"/>
                <w:color w:val="auto"/>
              </w:rPr>
              <w:t>4.具备主-备和主-主二种模式，支持同步配置、会话、运行状态、VPN状态、特征库，支持强制抢占主模式，支持AGG口作为心跳口，提高心跳口可靠性，支持配置抢占模式和抢占延时，支持配置HA监控接口。提供功能界面截图。</w:t>
            </w:r>
          </w:p>
          <w:p w14:paraId="2D8C28A5">
            <w:pPr>
              <w:rPr>
                <w:color w:val="auto"/>
              </w:rPr>
            </w:pPr>
            <w:r>
              <w:rPr>
                <w:rFonts w:hint="eastAsia"/>
                <w:color w:val="auto"/>
              </w:rPr>
              <w:t>5.具备端口镜像功能，支持入流量、出流量和双向流量等维度镜像。</w:t>
            </w:r>
          </w:p>
          <w:p w14:paraId="3F6F0B55">
            <w:pPr>
              <w:rPr>
                <w:color w:val="auto"/>
              </w:rPr>
            </w:pPr>
            <w:r>
              <w:rPr>
                <w:rFonts w:hint="eastAsia"/>
                <w:color w:val="auto"/>
              </w:rPr>
              <w:t>6.具备虚拟路由转发功能，使用VRF功能可以从系统层面隔离不同VRF组里的流量信息和路由信息，可作为MPLS组网里的MCE设备。</w:t>
            </w:r>
          </w:p>
          <w:p w14:paraId="0CE86AF8">
            <w:pPr>
              <w:rPr>
                <w:color w:val="auto"/>
              </w:rPr>
            </w:pPr>
            <w:r>
              <w:rPr>
                <w:rFonts w:hint="eastAsia"/>
                <w:color w:val="auto"/>
              </w:rPr>
              <w:t>7.系统具备防病毒功能，支持压缩文件的病毒查杀，最大解压层数的设置。默认值5；范围：5-20；病毒库不低于400万,支持病毒库在线和离线升级。</w:t>
            </w:r>
          </w:p>
          <w:p w14:paraId="1740B6D6">
            <w:pPr>
              <w:rPr>
                <w:color w:val="auto"/>
              </w:rPr>
            </w:pPr>
            <w:r>
              <w:rPr>
                <w:rFonts w:hint="eastAsia"/>
                <w:color w:val="auto"/>
              </w:rPr>
              <w:t>8.内置IPS特征库，支持9000+条预定于入侵攻击特征，系统定义主流攻击规则包含后门、缓冲区溢出、拒绝服务攻击、挖矿、恶意扫描、SQL注入、WEB攻击、WEB序列化、WEBSHELL、蠕虫、木马外联等类型；（提供功能界面截图）</w:t>
            </w:r>
          </w:p>
          <w:p w14:paraId="0E58EAEE">
            <w:pPr>
              <w:rPr>
                <w:color w:val="auto"/>
              </w:rPr>
            </w:pPr>
            <w:r>
              <w:rPr>
                <w:rFonts w:hint="eastAsia"/>
                <w:color w:val="auto"/>
              </w:rPr>
              <w:t>9.具备非法外联学习和防护特性，可有效保障服务器安全，可定义外联白名单地址和端口；支持通过流量自学习能获得服务器合法的外联行为，检测流量中的异常访问流量，可以自动拦截。（提供功能界面截图）</w:t>
            </w:r>
          </w:p>
          <w:p w14:paraId="69784F42">
            <w:pPr>
              <w:rPr>
                <w:color w:val="auto"/>
              </w:rPr>
            </w:pPr>
            <w:r>
              <w:rPr>
                <w:rFonts w:hint="eastAsia"/>
                <w:color w:val="auto"/>
              </w:rPr>
              <w:t>10.具备弱口令扫描能力，可针对IP、IP端、端口等对象，扫描监控空密码、用户名密码相同、预置弱口令、自定义弱口令等规则，可设置立即扫描或定期扫描，弱口令字典支持自定义设置。（提供功能界面截图）</w:t>
            </w:r>
          </w:p>
          <w:p w14:paraId="5D7DA2AB">
            <w:pPr>
              <w:rPr>
                <w:color w:val="auto"/>
              </w:rPr>
            </w:pPr>
            <w:r>
              <w:rPr>
                <w:rFonts w:hint="eastAsia"/>
                <w:color w:val="auto"/>
              </w:rPr>
              <w:t>11.具备针对IP、端口进行端口扫描，可选择立即执行或定期执行；支持呈现扫描结果，包括端口、端口状态、端口服务、程序版本、操作系统、风险状态、设备类型和时间等信息，支持结果导出。（提供功能界面截图）</w:t>
            </w:r>
          </w:p>
          <w:p w14:paraId="5E8CAC57">
            <w:pPr>
              <w:rPr>
                <w:color w:val="auto"/>
              </w:rPr>
            </w:pPr>
            <w:r>
              <w:rPr>
                <w:rFonts w:hint="eastAsia"/>
                <w:color w:val="auto"/>
              </w:rPr>
              <w:t>12.具备展示风险级别、IP、用户、部门、风险级别、操作系统、重要程度、受攻击总数、风险来源等内容。（提供功能界面截图）</w:t>
            </w:r>
          </w:p>
        </w:tc>
        <w:tc>
          <w:tcPr>
            <w:tcW w:w="475" w:type="pct"/>
            <w:vAlign w:val="center"/>
          </w:tcPr>
          <w:p w14:paraId="33C9D244">
            <w:pPr>
              <w:jc w:val="center"/>
              <w:rPr>
                <w:color w:val="auto"/>
                <w:szCs w:val="21"/>
              </w:rPr>
            </w:pPr>
            <w:r>
              <w:rPr>
                <w:rFonts w:hint="eastAsia"/>
                <w:color w:val="auto"/>
                <w:szCs w:val="21"/>
              </w:rPr>
              <w:t>2台</w:t>
            </w:r>
          </w:p>
        </w:tc>
        <w:tc>
          <w:tcPr>
            <w:tcW w:w="545" w:type="pct"/>
            <w:vAlign w:val="center"/>
          </w:tcPr>
          <w:p w14:paraId="0CFF867F">
            <w:pPr>
              <w:jc w:val="center"/>
              <w:rPr>
                <w:rFonts w:hint="eastAsia"/>
                <w:color w:val="auto"/>
                <w:szCs w:val="21"/>
              </w:rPr>
            </w:pPr>
            <w:r>
              <w:rPr>
                <w:rFonts w:hint="eastAsia"/>
                <w:color w:val="auto"/>
                <w:szCs w:val="21"/>
                <w:lang w:val="en-US" w:eastAsia="zh-CN"/>
              </w:rPr>
              <w:t>23</w:t>
            </w:r>
          </w:p>
        </w:tc>
        <w:tc>
          <w:tcPr>
            <w:tcW w:w="545" w:type="pct"/>
            <w:vAlign w:val="center"/>
          </w:tcPr>
          <w:p w14:paraId="437EA0FA">
            <w:pPr>
              <w:jc w:val="center"/>
              <w:rPr>
                <w:color w:val="auto"/>
                <w:szCs w:val="21"/>
              </w:rPr>
            </w:pPr>
            <w:r>
              <w:rPr>
                <w:rFonts w:hint="eastAsia"/>
                <w:color w:val="auto"/>
                <w:szCs w:val="21"/>
              </w:rPr>
              <w:t>4</w:t>
            </w:r>
            <w:r>
              <w:rPr>
                <w:color w:val="auto"/>
                <w:szCs w:val="21"/>
              </w:rPr>
              <w:t>6</w:t>
            </w:r>
          </w:p>
        </w:tc>
      </w:tr>
      <w:tr w14:paraId="0D5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0325BC6E">
            <w:pPr>
              <w:jc w:val="center"/>
              <w:rPr>
                <w:color w:val="auto"/>
                <w:szCs w:val="21"/>
                <w:lang w:bidi="ar"/>
              </w:rPr>
            </w:pPr>
            <w:r>
              <w:rPr>
                <w:rFonts w:hint="eastAsia"/>
                <w:color w:val="auto"/>
                <w:szCs w:val="21"/>
                <w:lang w:bidi="ar"/>
              </w:rPr>
              <w:t>2.5</w:t>
            </w:r>
          </w:p>
        </w:tc>
        <w:tc>
          <w:tcPr>
            <w:tcW w:w="642" w:type="pct"/>
            <w:vAlign w:val="center"/>
          </w:tcPr>
          <w:p w14:paraId="2F6B9F73">
            <w:pPr>
              <w:jc w:val="center"/>
              <w:rPr>
                <w:color w:val="auto"/>
                <w:szCs w:val="21"/>
                <w:lang w:bidi="ar"/>
              </w:rPr>
            </w:pPr>
            <w:r>
              <w:rPr>
                <w:rFonts w:hint="eastAsia"/>
                <w:color w:val="auto"/>
                <w:szCs w:val="21"/>
                <w:lang w:bidi="ar"/>
              </w:rPr>
              <w:t>核心交换机</w:t>
            </w:r>
          </w:p>
        </w:tc>
        <w:tc>
          <w:tcPr>
            <w:tcW w:w="2336" w:type="pct"/>
            <w:vAlign w:val="center"/>
          </w:tcPr>
          <w:p w14:paraId="1F61209A">
            <w:pPr>
              <w:rPr>
                <w:color w:val="auto"/>
              </w:rPr>
            </w:pPr>
            <w:r>
              <w:rPr>
                <w:rFonts w:hint="eastAsia"/>
                <w:color w:val="auto"/>
              </w:rPr>
              <w:t>1.全宽尺寸主控槽位≥2，独立的交换网板槽位≥6，机框采用正交CLOS架构，交换网板和业务板卡90度正交，支持独立模块化风扇框≥2，支持独立模块化风扇单元≥16，支持独立模块化电源≥8，业务槽位≥8。</w:t>
            </w:r>
          </w:p>
          <w:p w14:paraId="7CA79C75">
            <w:pPr>
              <w:rPr>
                <w:color w:val="auto"/>
              </w:rPr>
            </w:pPr>
            <w:r>
              <w:rPr>
                <w:rFonts w:hint="eastAsia"/>
                <w:color w:val="auto"/>
              </w:rPr>
              <w:t>2.交换容量≥512Tbps，包转发率≥230000Mpps，若存在多个参数时，以最小参数为准。</w:t>
            </w:r>
          </w:p>
          <w:p w14:paraId="293E9344">
            <w:pPr>
              <w:rPr>
                <w:color w:val="auto"/>
              </w:rPr>
            </w:pPr>
            <w:r>
              <w:rPr>
                <w:rFonts w:hint="eastAsia"/>
                <w:color w:val="auto"/>
              </w:rPr>
              <w:t>3.整机操作系统需兼容麒麟操作系统，使用国产自主安全CPU,使用国产自主安全交换芯片，设备运行网络系统软件，具备自主知识产权。</w:t>
            </w:r>
          </w:p>
          <w:p w14:paraId="1E625B56">
            <w:pPr>
              <w:rPr>
                <w:color w:val="auto"/>
              </w:rPr>
            </w:pPr>
            <w:r>
              <w:rPr>
                <w:rFonts w:hint="eastAsia"/>
                <w:color w:val="auto"/>
              </w:rPr>
              <w:t>4.单槽位支持1G+2.5G+10G端口形态，并支持PoE++。</w:t>
            </w:r>
          </w:p>
          <w:p w14:paraId="28A47AC9">
            <w:pPr>
              <w:rPr>
                <w:color w:val="auto"/>
              </w:rPr>
            </w:pPr>
            <w:r>
              <w:rPr>
                <w:rFonts w:hint="eastAsia"/>
                <w:color w:val="auto"/>
              </w:rPr>
              <w:t>5.具备扩展可信芯片，并可支持可信计算。</w:t>
            </w:r>
          </w:p>
          <w:p w14:paraId="4A203AEB">
            <w:pPr>
              <w:rPr>
                <w:color w:val="auto"/>
              </w:rPr>
            </w:pPr>
            <w:r>
              <w:rPr>
                <w:rFonts w:hint="eastAsia"/>
                <w:color w:val="auto"/>
              </w:rPr>
              <w:t>6.具备配置文件国密算法加密，防护设备配置环境信息泄漏。支持MSTP协议国密算法加密；RIP、OSPF协议支持国密认证算法。</w:t>
            </w:r>
          </w:p>
          <w:p w14:paraId="5DCBD244">
            <w:pPr>
              <w:rPr>
                <w:color w:val="auto"/>
              </w:rPr>
            </w:pPr>
            <w:r>
              <w:rPr>
                <w:rFonts w:hint="eastAsia"/>
                <w:color w:val="auto"/>
              </w:rPr>
              <w:t>7.具备Trill，支持二层、三层Vxlan网关。</w:t>
            </w:r>
          </w:p>
          <w:p w14:paraId="0AB940EB">
            <w:pPr>
              <w:rPr>
                <w:color w:val="auto"/>
              </w:rPr>
            </w:pPr>
            <w:r>
              <w:rPr>
                <w:rFonts w:hint="eastAsia"/>
                <w:color w:val="auto"/>
              </w:rPr>
              <w:t>8.具备BFD for Static/RIP/OSPF/BGP等，支持硬件BFD，支持 BFD 1ms*3次检测。</w:t>
            </w:r>
          </w:p>
          <w:p w14:paraId="4219BF35">
            <w:pPr>
              <w:rPr>
                <w:color w:val="auto"/>
              </w:rPr>
            </w:pPr>
            <w:r>
              <w:rPr>
                <w:rFonts w:hint="eastAsia"/>
                <w:color w:val="auto"/>
              </w:rPr>
              <w:t>9.具备IPFIX、Sflow，支持openflow1.3协议标准。</w:t>
            </w:r>
          </w:p>
          <w:p w14:paraId="549DDCB1">
            <w:pPr>
              <w:rPr>
                <w:color w:val="auto"/>
              </w:rPr>
            </w:pPr>
            <w:r>
              <w:rPr>
                <w:rFonts w:hint="eastAsia"/>
                <w:color w:val="auto"/>
              </w:rPr>
              <w:t>10.交换机配置双主控、双交换板，双电源，双风扇，万兆光口≥48个，40GE以太网光接口≥12个，满配光模块。</w:t>
            </w:r>
          </w:p>
        </w:tc>
        <w:tc>
          <w:tcPr>
            <w:tcW w:w="475" w:type="pct"/>
            <w:vAlign w:val="center"/>
          </w:tcPr>
          <w:p w14:paraId="0C03BACE">
            <w:pPr>
              <w:jc w:val="center"/>
              <w:rPr>
                <w:color w:val="auto"/>
                <w:szCs w:val="21"/>
              </w:rPr>
            </w:pPr>
            <w:r>
              <w:rPr>
                <w:rFonts w:hint="eastAsia"/>
                <w:color w:val="auto"/>
                <w:szCs w:val="21"/>
              </w:rPr>
              <w:t>2台</w:t>
            </w:r>
          </w:p>
        </w:tc>
        <w:tc>
          <w:tcPr>
            <w:tcW w:w="545" w:type="pct"/>
            <w:vAlign w:val="center"/>
          </w:tcPr>
          <w:p w14:paraId="4C802BD6">
            <w:pPr>
              <w:jc w:val="center"/>
              <w:rPr>
                <w:color w:val="auto"/>
                <w:szCs w:val="21"/>
              </w:rPr>
            </w:pPr>
            <w:r>
              <w:rPr>
                <w:rFonts w:hint="eastAsia"/>
                <w:color w:val="auto"/>
                <w:szCs w:val="21"/>
                <w:lang w:val="en-US" w:eastAsia="zh-CN"/>
              </w:rPr>
              <w:t>28</w:t>
            </w:r>
          </w:p>
        </w:tc>
        <w:tc>
          <w:tcPr>
            <w:tcW w:w="545" w:type="pct"/>
            <w:vAlign w:val="center"/>
          </w:tcPr>
          <w:p w14:paraId="2F4DAC74">
            <w:pPr>
              <w:jc w:val="center"/>
              <w:rPr>
                <w:color w:val="auto"/>
                <w:szCs w:val="21"/>
              </w:rPr>
            </w:pPr>
            <w:r>
              <w:rPr>
                <w:color w:val="auto"/>
                <w:szCs w:val="21"/>
              </w:rPr>
              <w:t>56</w:t>
            </w:r>
          </w:p>
        </w:tc>
      </w:tr>
      <w:tr w14:paraId="33B3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9851685">
            <w:pPr>
              <w:jc w:val="center"/>
              <w:rPr>
                <w:color w:val="auto"/>
                <w:szCs w:val="21"/>
                <w:lang w:bidi="ar"/>
              </w:rPr>
            </w:pPr>
            <w:r>
              <w:rPr>
                <w:rFonts w:hint="eastAsia"/>
                <w:color w:val="auto"/>
                <w:szCs w:val="21"/>
                <w:lang w:bidi="ar"/>
              </w:rPr>
              <w:t>2.6</w:t>
            </w:r>
          </w:p>
        </w:tc>
        <w:tc>
          <w:tcPr>
            <w:tcW w:w="642" w:type="pct"/>
            <w:vAlign w:val="center"/>
          </w:tcPr>
          <w:p w14:paraId="1190A32C">
            <w:pPr>
              <w:jc w:val="center"/>
              <w:rPr>
                <w:color w:val="auto"/>
                <w:szCs w:val="21"/>
                <w:lang w:bidi="ar"/>
              </w:rPr>
            </w:pPr>
            <w:r>
              <w:rPr>
                <w:rFonts w:hint="eastAsia"/>
                <w:color w:val="auto"/>
                <w:szCs w:val="21"/>
                <w:lang w:bidi="ar"/>
              </w:rPr>
              <w:t>万兆交换机（计算、存储）</w:t>
            </w:r>
          </w:p>
        </w:tc>
        <w:tc>
          <w:tcPr>
            <w:tcW w:w="2336" w:type="pct"/>
            <w:vAlign w:val="center"/>
          </w:tcPr>
          <w:p w14:paraId="6DA299E6">
            <w:pPr>
              <w:rPr>
                <w:color w:val="auto"/>
              </w:rPr>
            </w:pPr>
            <w:r>
              <w:rPr>
                <w:rFonts w:hint="eastAsia"/>
                <w:color w:val="auto"/>
              </w:rPr>
              <w:t>1.万兆光接口≥48个，40G QSFP光接口≥2个，100GE（兼容40GE）光接口≥4个，配置1+1冗余电源，模块热插拔，单个模块故障不影响整机运行，配置模块化冗余风扇，配置堆叠线缆。</w:t>
            </w:r>
          </w:p>
          <w:p w14:paraId="6621D556">
            <w:pPr>
              <w:rPr>
                <w:color w:val="auto"/>
              </w:rPr>
            </w:pPr>
            <w:r>
              <w:rPr>
                <w:rFonts w:hint="eastAsia"/>
                <w:color w:val="auto"/>
              </w:rPr>
              <w:t>2.交换容量≥2.56Tbps，包转发率≥1260Mpps，若存在多个数值时以最小值为准。</w:t>
            </w:r>
          </w:p>
          <w:p w14:paraId="1B020DBA">
            <w:pPr>
              <w:rPr>
                <w:color w:val="auto"/>
              </w:rPr>
            </w:pPr>
            <w:r>
              <w:rPr>
                <w:rFonts w:hint="eastAsia"/>
                <w:color w:val="auto"/>
              </w:rPr>
              <w:t>3.设备采用国产自主安全CPU，使用国产自主安全交换芯片。设备运行网络系统软件，具备自主知识产权。</w:t>
            </w:r>
          </w:p>
          <w:p w14:paraId="3BA60A8C">
            <w:pPr>
              <w:rPr>
                <w:color w:val="auto"/>
              </w:rPr>
            </w:pPr>
            <w:r>
              <w:rPr>
                <w:rFonts w:hint="eastAsia"/>
                <w:color w:val="auto"/>
              </w:rPr>
              <w:t>4.具备MSTP协议国密算法加密，RIP、OSPF、ISIS、BGP协议支持国密认证算法；支持配置文件加密，保护设备配置信息泄漏。</w:t>
            </w:r>
          </w:p>
          <w:p w14:paraId="09BB55FE">
            <w:pPr>
              <w:rPr>
                <w:color w:val="auto"/>
              </w:rPr>
            </w:pPr>
            <w:r>
              <w:rPr>
                <w:rFonts w:hint="eastAsia"/>
                <w:color w:val="auto"/>
              </w:rPr>
              <w:t>5.具备VXLAN二层网关，三层网关。</w:t>
            </w:r>
          </w:p>
          <w:p w14:paraId="48018932">
            <w:pPr>
              <w:rPr>
                <w:color w:val="auto"/>
              </w:rPr>
            </w:pPr>
            <w:r>
              <w:rPr>
                <w:rFonts w:hint="eastAsia"/>
                <w:color w:val="auto"/>
              </w:rPr>
              <w:t>6.具备TRILL协议、具备虚拟机迁移功能，具备二层、三层TRILL功能，具备TRILL OAM功能。</w:t>
            </w:r>
          </w:p>
          <w:p w14:paraId="7DDD8327">
            <w:pPr>
              <w:rPr>
                <w:color w:val="auto"/>
              </w:rPr>
            </w:pPr>
            <w:r>
              <w:rPr>
                <w:rFonts w:hint="eastAsia"/>
                <w:color w:val="auto"/>
              </w:rPr>
              <w:t>7.具备横向虚拟化（堆叠），纵向虚拟化。</w:t>
            </w:r>
          </w:p>
          <w:p w14:paraId="22E468CC">
            <w:pPr>
              <w:rPr>
                <w:color w:val="auto"/>
              </w:rPr>
            </w:pPr>
            <w:r>
              <w:rPr>
                <w:rFonts w:hint="eastAsia"/>
                <w:color w:val="auto"/>
              </w:rPr>
              <w:t>8.具备openflow1.3协议标准。</w:t>
            </w:r>
          </w:p>
        </w:tc>
        <w:tc>
          <w:tcPr>
            <w:tcW w:w="475" w:type="pct"/>
            <w:vAlign w:val="center"/>
          </w:tcPr>
          <w:p w14:paraId="32F9A95B">
            <w:pPr>
              <w:jc w:val="center"/>
              <w:rPr>
                <w:color w:val="auto"/>
                <w:szCs w:val="21"/>
              </w:rPr>
            </w:pPr>
            <w:r>
              <w:rPr>
                <w:rFonts w:hint="eastAsia"/>
                <w:color w:val="auto"/>
                <w:szCs w:val="21"/>
              </w:rPr>
              <w:t>4台</w:t>
            </w:r>
          </w:p>
        </w:tc>
        <w:tc>
          <w:tcPr>
            <w:tcW w:w="545" w:type="pct"/>
            <w:vAlign w:val="center"/>
          </w:tcPr>
          <w:p w14:paraId="68088B3C">
            <w:pPr>
              <w:jc w:val="center"/>
              <w:rPr>
                <w:color w:val="auto"/>
                <w:szCs w:val="21"/>
              </w:rPr>
            </w:pPr>
            <w:r>
              <w:rPr>
                <w:rFonts w:hint="eastAsia"/>
                <w:color w:val="auto"/>
                <w:szCs w:val="21"/>
                <w:lang w:val="en-US" w:eastAsia="zh-CN"/>
              </w:rPr>
              <w:t>7</w:t>
            </w:r>
          </w:p>
        </w:tc>
        <w:tc>
          <w:tcPr>
            <w:tcW w:w="545" w:type="pct"/>
            <w:vAlign w:val="center"/>
          </w:tcPr>
          <w:p w14:paraId="1C158DD4">
            <w:pPr>
              <w:jc w:val="center"/>
              <w:rPr>
                <w:color w:val="auto"/>
                <w:szCs w:val="21"/>
              </w:rPr>
            </w:pPr>
            <w:r>
              <w:rPr>
                <w:color w:val="auto"/>
                <w:szCs w:val="21"/>
              </w:rPr>
              <w:t>28</w:t>
            </w:r>
          </w:p>
        </w:tc>
      </w:tr>
      <w:tr w14:paraId="79F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52FAE3B">
            <w:pPr>
              <w:jc w:val="center"/>
              <w:rPr>
                <w:color w:val="auto"/>
                <w:szCs w:val="21"/>
                <w:lang w:bidi="ar"/>
              </w:rPr>
            </w:pPr>
            <w:r>
              <w:rPr>
                <w:rFonts w:hint="eastAsia"/>
                <w:color w:val="auto"/>
                <w:szCs w:val="21"/>
                <w:lang w:bidi="ar"/>
              </w:rPr>
              <w:t>2.7</w:t>
            </w:r>
          </w:p>
        </w:tc>
        <w:tc>
          <w:tcPr>
            <w:tcW w:w="642" w:type="pct"/>
            <w:vAlign w:val="center"/>
          </w:tcPr>
          <w:p w14:paraId="255D9805">
            <w:pPr>
              <w:jc w:val="center"/>
              <w:rPr>
                <w:color w:val="auto"/>
                <w:szCs w:val="21"/>
                <w:lang w:bidi="ar"/>
              </w:rPr>
            </w:pPr>
            <w:r>
              <w:rPr>
                <w:rFonts w:hint="eastAsia"/>
                <w:color w:val="auto"/>
                <w:szCs w:val="21"/>
                <w:lang w:bidi="ar"/>
              </w:rPr>
              <w:t>超融合管理交换机</w:t>
            </w:r>
          </w:p>
        </w:tc>
        <w:tc>
          <w:tcPr>
            <w:tcW w:w="2336" w:type="pct"/>
            <w:vAlign w:val="center"/>
          </w:tcPr>
          <w:p w14:paraId="58CD3B66">
            <w:pPr>
              <w:rPr>
                <w:color w:val="auto"/>
              </w:rPr>
            </w:pPr>
            <w:r>
              <w:rPr>
                <w:rFonts w:hint="eastAsia"/>
                <w:color w:val="auto"/>
              </w:rPr>
              <w:t>1.千兆光口≥48个，万兆光口≥6个，所有10G光口都能支持业务数据上行转发及堆叠，USB口≥1个，配置模块化双电源。</w:t>
            </w:r>
          </w:p>
          <w:p w14:paraId="156F9E9D">
            <w:pPr>
              <w:rPr>
                <w:color w:val="auto"/>
              </w:rPr>
            </w:pPr>
            <w:r>
              <w:rPr>
                <w:rFonts w:hint="eastAsia"/>
                <w:color w:val="auto"/>
              </w:rPr>
              <w:t>2.交换容量≥650Gbps，包转发率≥226Mpps。</w:t>
            </w:r>
          </w:p>
          <w:p w14:paraId="10B80854">
            <w:pPr>
              <w:rPr>
                <w:color w:val="auto"/>
              </w:rPr>
            </w:pPr>
            <w:r>
              <w:rPr>
                <w:rFonts w:hint="eastAsia"/>
                <w:color w:val="auto"/>
              </w:rPr>
              <w:t>3.使用国产化CPU、交换芯片、PHY、内存、Flash、操作系统，提供国家认可的第三方检测机构出具的检测报告。</w:t>
            </w:r>
          </w:p>
          <w:p w14:paraId="6958BF1C">
            <w:pPr>
              <w:rPr>
                <w:color w:val="auto"/>
              </w:rPr>
            </w:pPr>
            <w:r>
              <w:rPr>
                <w:rFonts w:hint="eastAsia"/>
                <w:color w:val="auto"/>
              </w:rPr>
              <w:t>4.具备RIP、OSPF、ISIS、BGP等IPv4动态路由协议。支持并实配OSPFv2、OSPFv3、RIPv2、RIPng、ISISv4、ISISv6、BGP、BGP4+协议的国密（SM3）安全认证功能、生成树协议国密（SM4）安全认证功能、SSH协议国密（SM3）安全认证功能、配置文件、设备日志、操作记录国密（SM4）加密功能。</w:t>
            </w:r>
          </w:p>
          <w:p w14:paraId="297FE76C">
            <w:pPr>
              <w:rPr>
                <w:color w:val="auto"/>
              </w:rPr>
            </w:pPr>
            <w:r>
              <w:rPr>
                <w:rFonts w:hint="eastAsia"/>
                <w:color w:val="auto"/>
              </w:rPr>
              <w:t>5.具备并实配VXLAN功能，支持VXLAN L2、L3转发，支持VXLAN集中式、分布式网关，支持BGP-EVPN VXLAN功能。</w:t>
            </w:r>
          </w:p>
          <w:p w14:paraId="3A6B7320">
            <w:pPr>
              <w:rPr>
                <w:color w:val="auto"/>
              </w:rPr>
            </w:pPr>
            <w:r>
              <w:rPr>
                <w:rFonts w:hint="eastAsia"/>
                <w:color w:val="auto"/>
              </w:rPr>
              <w:t>6.具备并实配M-LAG功能。</w:t>
            </w:r>
          </w:p>
          <w:p w14:paraId="63CA680F">
            <w:pPr>
              <w:rPr>
                <w:color w:val="auto"/>
              </w:rPr>
            </w:pPr>
            <w:r>
              <w:rPr>
                <w:rFonts w:hint="eastAsia"/>
                <w:color w:val="auto"/>
              </w:rPr>
              <w:t>7.具备并实配横向虚拟化功能，支持分布式设备管理、分布式链路聚合，统一路由管理。支持纵向管理虚拟化。</w:t>
            </w:r>
          </w:p>
        </w:tc>
        <w:tc>
          <w:tcPr>
            <w:tcW w:w="475" w:type="pct"/>
            <w:vAlign w:val="center"/>
          </w:tcPr>
          <w:p w14:paraId="46945939">
            <w:pPr>
              <w:jc w:val="center"/>
              <w:rPr>
                <w:color w:val="auto"/>
                <w:szCs w:val="21"/>
              </w:rPr>
            </w:pPr>
            <w:r>
              <w:rPr>
                <w:rFonts w:hint="eastAsia"/>
                <w:color w:val="auto"/>
                <w:szCs w:val="21"/>
              </w:rPr>
              <w:t>2台</w:t>
            </w:r>
          </w:p>
        </w:tc>
        <w:tc>
          <w:tcPr>
            <w:tcW w:w="545" w:type="pct"/>
            <w:vAlign w:val="center"/>
          </w:tcPr>
          <w:p w14:paraId="43A83434">
            <w:pPr>
              <w:jc w:val="center"/>
              <w:rPr>
                <w:color w:val="auto"/>
                <w:szCs w:val="21"/>
              </w:rPr>
            </w:pPr>
            <w:r>
              <w:rPr>
                <w:rFonts w:hint="eastAsia"/>
                <w:color w:val="auto"/>
                <w:szCs w:val="21"/>
                <w:lang w:val="en-US" w:eastAsia="zh-CN"/>
              </w:rPr>
              <w:t>3.8</w:t>
            </w:r>
          </w:p>
        </w:tc>
        <w:tc>
          <w:tcPr>
            <w:tcW w:w="545" w:type="pct"/>
            <w:vAlign w:val="center"/>
          </w:tcPr>
          <w:p w14:paraId="76BF4BB1">
            <w:pPr>
              <w:jc w:val="center"/>
              <w:rPr>
                <w:color w:val="auto"/>
                <w:szCs w:val="21"/>
              </w:rPr>
            </w:pPr>
            <w:r>
              <w:rPr>
                <w:color w:val="auto"/>
                <w:szCs w:val="21"/>
              </w:rPr>
              <w:t>7.6</w:t>
            </w:r>
          </w:p>
        </w:tc>
      </w:tr>
      <w:tr w14:paraId="3E2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992D584">
            <w:pPr>
              <w:jc w:val="center"/>
              <w:rPr>
                <w:color w:val="auto"/>
                <w:szCs w:val="21"/>
                <w:lang w:bidi="ar"/>
              </w:rPr>
            </w:pPr>
            <w:r>
              <w:rPr>
                <w:rFonts w:hint="eastAsia"/>
                <w:color w:val="auto"/>
                <w:szCs w:val="21"/>
                <w:lang w:bidi="ar"/>
              </w:rPr>
              <w:t>2.8</w:t>
            </w:r>
          </w:p>
        </w:tc>
        <w:tc>
          <w:tcPr>
            <w:tcW w:w="642" w:type="pct"/>
            <w:vAlign w:val="center"/>
          </w:tcPr>
          <w:p w14:paraId="73DBBE13">
            <w:pPr>
              <w:jc w:val="center"/>
              <w:rPr>
                <w:color w:val="auto"/>
                <w:szCs w:val="21"/>
                <w:lang w:bidi="ar"/>
              </w:rPr>
            </w:pPr>
            <w:r>
              <w:rPr>
                <w:rFonts w:hint="eastAsia"/>
                <w:color w:val="auto"/>
                <w:szCs w:val="21"/>
                <w:lang w:bidi="ar"/>
              </w:rPr>
              <w:t>千兆交换机（管理+带外）</w:t>
            </w:r>
          </w:p>
        </w:tc>
        <w:tc>
          <w:tcPr>
            <w:tcW w:w="2336" w:type="pct"/>
            <w:vAlign w:val="center"/>
          </w:tcPr>
          <w:p w14:paraId="7F4B820D">
            <w:pPr>
              <w:rPr>
                <w:color w:val="auto"/>
              </w:rPr>
            </w:pPr>
            <w:r>
              <w:rPr>
                <w:rFonts w:hint="eastAsia"/>
                <w:color w:val="auto"/>
              </w:rPr>
              <w:t>1.千兆光口≥48个，万兆光口≥6个，所有10G光口都能支持业务数据上行转发及堆叠，USB口≥1个，配置模块化双电源。</w:t>
            </w:r>
          </w:p>
          <w:p w14:paraId="01705025">
            <w:pPr>
              <w:rPr>
                <w:color w:val="auto"/>
              </w:rPr>
            </w:pPr>
            <w:r>
              <w:rPr>
                <w:rFonts w:hint="eastAsia"/>
                <w:color w:val="auto"/>
              </w:rPr>
              <w:t>2.交换容量≥650Gbps，包转发率≥226Mpps。</w:t>
            </w:r>
          </w:p>
          <w:p w14:paraId="7B217CC6">
            <w:pPr>
              <w:rPr>
                <w:color w:val="auto"/>
              </w:rPr>
            </w:pPr>
            <w:r>
              <w:rPr>
                <w:rFonts w:hint="eastAsia"/>
                <w:color w:val="auto"/>
              </w:rPr>
              <w:t>3.使用国产化CPU、交换芯片、PHY、内存、Flash、操作系统，提供国家认可的第三方检测机构出具的检测报告。</w:t>
            </w:r>
          </w:p>
          <w:p w14:paraId="7447DA69">
            <w:pPr>
              <w:rPr>
                <w:color w:val="auto"/>
              </w:rPr>
            </w:pPr>
            <w:r>
              <w:rPr>
                <w:rFonts w:hint="eastAsia"/>
                <w:color w:val="auto"/>
              </w:rPr>
              <w:t>4.具备RIP、OSPF、ISIS、BGP等IPv4动态路由协议。支持并实配OSPFv2、OSPFv3、RIPv2、RIPng、ISISv4、ISISv6、BGP、BGP4+协议的国密（SM3）安全认证功能、生成树协议国密（SM4）安全认证功能、SSH协议国密（SM3）安全认证功能、配置文件、设备日志、操作记录国密（SM4）加密功能。</w:t>
            </w:r>
          </w:p>
          <w:p w14:paraId="56812D8A">
            <w:pPr>
              <w:rPr>
                <w:color w:val="auto"/>
              </w:rPr>
            </w:pPr>
            <w:r>
              <w:rPr>
                <w:rFonts w:hint="eastAsia"/>
                <w:color w:val="auto"/>
              </w:rPr>
              <w:t>5.具备并实配VXLAN功能，支持VXLAN L2、L3转发，支持VXLAN集中式、分布式网关，支持BGP-EVPN VXLAN功能。</w:t>
            </w:r>
          </w:p>
          <w:p w14:paraId="5D1BD47E">
            <w:pPr>
              <w:rPr>
                <w:color w:val="auto"/>
              </w:rPr>
            </w:pPr>
            <w:r>
              <w:rPr>
                <w:rFonts w:hint="eastAsia"/>
                <w:color w:val="auto"/>
              </w:rPr>
              <w:t>6.具备并实配M-LAG功能。</w:t>
            </w:r>
          </w:p>
          <w:p w14:paraId="3F256A75">
            <w:pPr>
              <w:rPr>
                <w:color w:val="auto"/>
              </w:rPr>
            </w:pPr>
            <w:r>
              <w:rPr>
                <w:rFonts w:hint="eastAsia"/>
                <w:color w:val="auto"/>
              </w:rPr>
              <w:t>7.具备并实配横向虚拟化功能，支持分布式设备管理、分布式链路聚合，统一路由管理。支持纵向管理虚拟化。</w:t>
            </w:r>
          </w:p>
        </w:tc>
        <w:tc>
          <w:tcPr>
            <w:tcW w:w="475" w:type="pct"/>
            <w:vAlign w:val="center"/>
          </w:tcPr>
          <w:p w14:paraId="12A21789">
            <w:pPr>
              <w:jc w:val="center"/>
              <w:rPr>
                <w:color w:val="auto"/>
                <w:szCs w:val="21"/>
              </w:rPr>
            </w:pPr>
            <w:r>
              <w:rPr>
                <w:rFonts w:hint="eastAsia"/>
                <w:color w:val="auto"/>
                <w:szCs w:val="21"/>
              </w:rPr>
              <w:t>2台</w:t>
            </w:r>
          </w:p>
        </w:tc>
        <w:tc>
          <w:tcPr>
            <w:tcW w:w="545" w:type="pct"/>
            <w:vAlign w:val="center"/>
          </w:tcPr>
          <w:p w14:paraId="02735D7C">
            <w:pPr>
              <w:jc w:val="center"/>
              <w:rPr>
                <w:color w:val="auto"/>
                <w:szCs w:val="21"/>
              </w:rPr>
            </w:pPr>
            <w:r>
              <w:rPr>
                <w:rFonts w:hint="eastAsia"/>
                <w:color w:val="auto"/>
                <w:szCs w:val="21"/>
                <w:lang w:val="en-US" w:eastAsia="zh-CN"/>
              </w:rPr>
              <w:t>3.8</w:t>
            </w:r>
          </w:p>
        </w:tc>
        <w:tc>
          <w:tcPr>
            <w:tcW w:w="545" w:type="pct"/>
            <w:vAlign w:val="center"/>
          </w:tcPr>
          <w:p w14:paraId="21837149">
            <w:pPr>
              <w:jc w:val="center"/>
              <w:rPr>
                <w:color w:val="auto"/>
                <w:szCs w:val="21"/>
              </w:rPr>
            </w:pPr>
            <w:r>
              <w:rPr>
                <w:color w:val="auto"/>
                <w:szCs w:val="21"/>
              </w:rPr>
              <w:t>7.6</w:t>
            </w:r>
          </w:p>
        </w:tc>
      </w:tr>
      <w:tr w14:paraId="15AA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42C01B8">
            <w:pPr>
              <w:jc w:val="center"/>
              <w:rPr>
                <w:color w:val="auto"/>
                <w:szCs w:val="21"/>
                <w:lang w:bidi="ar"/>
              </w:rPr>
            </w:pPr>
            <w:r>
              <w:rPr>
                <w:rFonts w:hint="eastAsia"/>
                <w:color w:val="auto"/>
                <w:szCs w:val="21"/>
                <w:lang w:bidi="ar"/>
              </w:rPr>
              <w:t>2.9</w:t>
            </w:r>
          </w:p>
        </w:tc>
        <w:tc>
          <w:tcPr>
            <w:tcW w:w="642" w:type="pct"/>
            <w:vAlign w:val="center"/>
          </w:tcPr>
          <w:p w14:paraId="13302D64">
            <w:pPr>
              <w:jc w:val="center"/>
              <w:rPr>
                <w:color w:val="auto"/>
                <w:szCs w:val="21"/>
                <w:lang w:bidi="ar"/>
              </w:rPr>
            </w:pPr>
            <w:r>
              <w:rPr>
                <w:rFonts w:hint="eastAsia"/>
                <w:color w:val="auto"/>
                <w:szCs w:val="21"/>
                <w:lang w:bidi="ar"/>
              </w:rPr>
              <w:t>区域核心交换机</w:t>
            </w:r>
          </w:p>
        </w:tc>
        <w:tc>
          <w:tcPr>
            <w:tcW w:w="2336" w:type="pct"/>
            <w:vAlign w:val="center"/>
          </w:tcPr>
          <w:p w14:paraId="6B15AF41">
            <w:pPr>
              <w:rPr>
                <w:color w:val="auto"/>
              </w:rPr>
            </w:pPr>
            <w:r>
              <w:rPr>
                <w:rFonts w:hint="eastAsia"/>
                <w:color w:val="auto"/>
              </w:rPr>
              <w:t>1.千兆电接口≥24，万兆光口≥18，25G SFP28光口（支持10G、25G）≥8个，配置1+1冗余电源，模块热插拔，单个模块故障不影响整机运行。</w:t>
            </w:r>
          </w:p>
          <w:p w14:paraId="275B3956">
            <w:pPr>
              <w:rPr>
                <w:color w:val="auto"/>
              </w:rPr>
            </w:pPr>
            <w:r>
              <w:rPr>
                <w:rFonts w:hint="eastAsia"/>
                <w:color w:val="auto"/>
              </w:rPr>
              <w:t>2.交换容量≥2.88Tbps；包转发率≥1200Mpps，若官网存在多个数值时以最小值为准。</w:t>
            </w:r>
          </w:p>
          <w:p w14:paraId="57813C50">
            <w:pPr>
              <w:rPr>
                <w:color w:val="auto"/>
              </w:rPr>
            </w:pPr>
            <w:r>
              <w:rPr>
                <w:rFonts w:hint="eastAsia"/>
                <w:color w:val="auto"/>
              </w:rPr>
              <w:t>3.设备采用国产自主安全CPU，使用国产自主安全交换芯片，提供国家认可的第三方检测机构出具的检测报告。设备运行网络系统软件，具备自主知识产权。</w:t>
            </w:r>
          </w:p>
          <w:p w14:paraId="23060A7E">
            <w:pPr>
              <w:rPr>
                <w:color w:val="auto"/>
              </w:rPr>
            </w:pPr>
            <w:r>
              <w:rPr>
                <w:rFonts w:hint="eastAsia"/>
                <w:color w:val="auto"/>
              </w:rPr>
              <w:t>4.具备MSTP协议国密算法加密，RIP、OSPF、ISIS、BGP协议支持国密认证算法；支持配置文件加密，保护设备配置信息泄漏。</w:t>
            </w:r>
          </w:p>
          <w:p w14:paraId="5FE24B36">
            <w:pPr>
              <w:rPr>
                <w:color w:val="auto"/>
              </w:rPr>
            </w:pPr>
            <w:r>
              <w:rPr>
                <w:rFonts w:hint="eastAsia"/>
                <w:color w:val="auto"/>
              </w:rPr>
              <w:t>5.具备VXLAN二层网关，三层网关。</w:t>
            </w:r>
          </w:p>
          <w:p w14:paraId="5F88439C">
            <w:pPr>
              <w:rPr>
                <w:color w:val="auto"/>
              </w:rPr>
            </w:pPr>
            <w:r>
              <w:rPr>
                <w:rFonts w:hint="eastAsia"/>
                <w:color w:val="auto"/>
              </w:rPr>
              <w:t>6.具备TRILL协议、具备虚拟机迁移功能，具备二层、三层TRILL功能，具备TRILL OAM功能。</w:t>
            </w:r>
          </w:p>
          <w:p w14:paraId="6E967AA4">
            <w:pPr>
              <w:rPr>
                <w:color w:val="auto"/>
              </w:rPr>
            </w:pPr>
            <w:r>
              <w:rPr>
                <w:rFonts w:hint="eastAsia"/>
                <w:color w:val="auto"/>
              </w:rPr>
              <w:t>7.具备横向虚拟化（堆叠），纵向虚拟化。</w:t>
            </w:r>
          </w:p>
          <w:p w14:paraId="4267ADE3">
            <w:pPr>
              <w:rPr>
                <w:color w:val="auto"/>
              </w:rPr>
            </w:pPr>
            <w:r>
              <w:rPr>
                <w:rFonts w:hint="eastAsia"/>
                <w:color w:val="auto"/>
              </w:rPr>
              <w:t>8.具备openflow1.3协议标准。</w:t>
            </w:r>
          </w:p>
          <w:p w14:paraId="4AAD2828">
            <w:pPr>
              <w:rPr>
                <w:color w:val="auto"/>
              </w:rPr>
            </w:pPr>
            <w:r>
              <w:rPr>
                <w:rFonts w:hint="eastAsia"/>
                <w:color w:val="auto"/>
              </w:rPr>
              <w:t>9.配置≥10个万兆多模光模块，≥1根SFP28堆叠线缆。</w:t>
            </w:r>
          </w:p>
        </w:tc>
        <w:tc>
          <w:tcPr>
            <w:tcW w:w="475" w:type="pct"/>
            <w:vAlign w:val="center"/>
          </w:tcPr>
          <w:p w14:paraId="4510439D">
            <w:pPr>
              <w:jc w:val="center"/>
              <w:rPr>
                <w:color w:val="auto"/>
                <w:szCs w:val="21"/>
              </w:rPr>
            </w:pPr>
            <w:r>
              <w:rPr>
                <w:rFonts w:hint="eastAsia"/>
                <w:color w:val="auto"/>
                <w:szCs w:val="21"/>
              </w:rPr>
              <w:t>2台</w:t>
            </w:r>
          </w:p>
        </w:tc>
        <w:tc>
          <w:tcPr>
            <w:tcW w:w="545" w:type="pct"/>
            <w:vAlign w:val="center"/>
          </w:tcPr>
          <w:p w14:paraId="3368AC43">
            <w:pPr>
              <w:jc w:val="center"/>
              <w:rPr>
                <w:color w:val="auto"/>
                <w:szCs w:val="21"/>
              </w:rPr>
            </w:pPr>
            <w:r>
              <w:rPr>
                <w:rFonts w:hint="eastAsia"/>
                <w:color w:val="auto"/>
                <w:szCs w:val="21"/>
                <w:lang w:val="en-US" w:eastAsia="zh-CN"/>
              </w:rPr>
              <w:t>3</w:t>
            </w:r>
          </w:p>
        </w:tc>
        <w:tc>
          <w:tcPr>
            <w:tcW w:w="545" w:type="pct"/>
            <w:vAlign w:val="center"/>
          </w:tcPr>
          <w:p w14:paraId="06B71995">
            <w:pPr>
              <w:jc w:val="center"/>
              <w:rPr>
                <w:color w:val="auto"/>
                <w:szCs w:val="21"/>
              </w:rPr>
            </w:pPr>
            <w:r>
              <w:rPr>
                <w:color w:val="auto"/>
                <w:szCs w:val="21"/>
              </w:rPr>
              <w:t>6</w:t>
            </w:r>
          </w:p>
        </w:tc>
      </w:tr>
      <w:tr w14:paraId="5C7C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097199D7">
            <w:pPr>
              <w:jc w:val="center"/>
              <w:rPr>
                <w:color w:val="auto"/>
                <w:szCs w:val="21"/>
                <w:lang w:bidi="ar"/>
              </w:rPr>
            </w:pPr>
            <w:r>
              <w:rPr>
                <w:rFonts w:hint="eastAsia"/>
                <w:color w:val="auto"/>
                <w:szCs w:val="21"/>
                <w:lang w:bidi="ar"/>
              </w:rPr>
              <w:t>2.10</w:t>
            </w:r>
          </w:p>
        </w:tc>
        <w:tc>
          <w:tcPr>
            <w:tcW w:w="642" w:type="pct"/>
            <w:vAlign w:val="center"/>
          </w:tcPr>
          <w:p w14:paraId="1F235298">
            <w:pPr>
              <w:jc w:val="center"/>
              <w:rPr>
                <w:color w:val="auto"/>
                <w:szCs w:val="21"/>
                <w:lang w:bidi="ar"/>
              </w:rPr>
            </w:pPr>
            <w:r>
              <w:rPr>
                <w:rFonts w:hint="eastAsia"/>
                <w:color w:val="auto"/>
                <w:szCs w:val="21"/>
                <w:lang w:bidi="ar"/>
              </w:rPr>
              <w:t>边界控制防火墙</w:t>
            </w:r>
          </w:p>
        </w:tc>
        <w:tc>
          <w:tcPr>
            <w:tcW w:w="2336" w:type="pct"/>
            <w:vAlign w:val="center"/>
          </w:tcPr>
          <w:p w14:paraId="125284CA">
            <w:pPr>
              <w:rPr>
                <w:color w:val="auto"/>
              </w:rPr>
            </w:pPr>
            <w:r>
              <w:rPr>
                <w:rFonts w:hint="eastAsia"/>
                <w:color w:val="auto"/>
              </w:rPr>
              <w:t>1.设备使用国产CPU和国产操作系统，千兆电口≥4个，千兆光口≥4个，万兆光口≥4个，双电源。配置应用特征库、 URL库、防病毒库、入侵防御库支持3年的升级授权；</w:t>
            </w:r>
          </w:p>
          <w:p w14:paraId="7E599277">
            <w:pPr>
              <w:rPr>
                <w:color w:val="auto"/>
              </w:rPr>
            </w:pPr>
            <w:r>
              <w:rPr>
                <w:rFonts w:hint="eastAsia"/>
                <w:color w:val="auto"/>
              </w:rPr>
              <w:t>2.网络层吞吐量≥20G；应用层吞吐量≥10G；并发连接数≥1000万；HTTP新建连接数≥20万；</w:t>
            </w:r>
          </w:p>
          <w:p w14:paraId="4A638E02">
            <w:pPr>
              <w:rPr>
                <w:color w:val="auto"/>
              </w:rPr>
            </w:pPr>
            <w:r>
              <w:rPr>
                <w:rFonts w:hint="eastAsia"/>
                <w:color w:val="auto"/>
              </w:rPr>
              <w:t>3.具备IPv6/v4双栈，支持IPv6网络的访问控制，可由IPv4网络平滑升级到IPV6网络，硬件无需更换；</w:t>
            </w:r>
          </w:p>
          <w:p w14:paraId="07C14179">
            <w:pPr>
              <w:rPr>
                <w:color w:val="auto"/>
              </w:rPr>
            </w:pPr>
            <w:r>
              <w:rPr>
                <w:rFonts w:hint="eastAsia"/>
                <w:color w:val="auto"/>
              </w:rPr>
              <w:t>4.提供智能策略分析功能，支持策略命中分析、隐藏策略分析、冗余策略分析、冲突策略分析、可合并策略分析、过期策略发现、空策略发现、策略宽松度分析，并在web页面显示分析结果。提供产品界面截图；</w:t>
            </w:r>
          </w:p>
          <w:p w14:paraId="3D11B658">
            <w:pPr>
              <w:rPr>
                <w:color w:val="auto"/>
              </w:rPr>
            </w:pPr>
            <w:r>
              <w:rPr>
                <w:rFonts w:hint="eastAsia"/>
                <w:color w:val="auto"/>
              </w:rPr>
              <w:t>5.具备应用智能和快速识别模式配置，应用智能识别可有效识别P2P和迅雷行为，识别模式可选择严格、适中、宽松，支持排除扫描端口配置。提供功能界面截图；</w:t>
            </w:r>
          </w:p>
          <w:p w14:paraId="3308632F">
            <w:pPr>
              <w:rPr>
                <w:color w:val="auto"/>
              </w:rPr>
            </w:pPr>
            <w:r>
              <w:rPr>
                <w:rFonts w:hint="eastAsia"/>
                <w:color w:val="auto"/>
              </w:rPr>
              <w:t>6.具备自定义应用，包括但不限于数据包方向、协议、端口、IP地址、目标域名、关键字识别等维度，数据包方向包括任意、请求数据、响应数据，关键字匹配模式支持文本或正则表达式；支持DNS域名学习模式，可引用数据包特征中的目标域名或指定域名。提供功能界面截图；</w:t>
            </w:r>
          </w:p>
          <w:p w14:paraId="5448D920">
            <w:pPr>
              <w:rPr>
                <w:color w:val="auto"/>
              </w:rPr>
            </w:pPr>
            <w:r>
              <w:rPr>
                <w:rFonts w:hint="eastAsia"/>
                <w:color w:val="auto"/>
              </w:rPr>
              <w:t>7.具备内置55种以上URL类型，定义URL库对不同类型URL过滤；支持URL分类成人、傀儡主机、博彩、犯罪、钓鱼网站、木马病毒、色情、远程代理、毒品、赌博、游戏、在线股票交易等不低于55种分类。提供产品界面截图。支持URL分类库的在线与离线升级；提供功能界面截图；</w:t>
            </w:r>
          </w:p>
          <w:p w14:paraId="063AB07C">
            <w:pPr>
              <w:rPr>
                <w:color w:val="auto"/>
              </w:rPr>
            </w:pPr>
            <w:r>
              <w:rPr>
                <w:rFonts w:hint="eastAsia"/>
                <w:color w:val="auto"/>
              </w:rPr>
              <w:t>8.具备防私接防共享，可自定义限定单IP支持的终端数量以及冻结时间，支持添加信任列表，具备例外排除功能，可针对终端类型分别设置阀值数量；提供功能界面截图。</w:t>
            </w:r>
          </w:p>
        </w:tc>
        <w:tc>
          <w:tcPr>
            <w:tcW w:w="475" w:type="pct"/>
            <w:vAlign w:val="center"/>
          </w:tcPr>
          <w:p w14:paraId="34A2F142">
            <w:pPr>
              <w:jc w:val="center"/>
              <w:rPr>
                <w:color w:val="auto"/>
                <w:szCs w:val="21"/>
              </w:rPr>
            </w:pPr>
            <w:r>
              <w:rPr>
                <w:rFonts w:hint="eastAsia"/>
                <w:color w:val="auto"/>
                <w:szCs w:val="21"/>
              </w:rPr>
              <w:t>2台</w:t>
            </w:r>
          </w:p>
        </w:tc>
        <w:tc>
          <w:tcPr>
            <w:tcW w:w="545" w:type="pct"/>
            <w:vAlign w:val="center"/>
          </w:tcPr>
          <w:p w14:paraId="6A77EDB8">
            <w:pPr>
              <w:jc w:val="center"/>
              <w:rPr>
                <w:color w:val="auto"/>
                <w:szCs w:val="21"/>
              </w:rPr>
            </w:pPr>
            <w:r>
              <w:rPr>
                <w:rFonts w:hint="eastAsia"/>
                <w:color w:val="auto"/>
                <w:szCs w:val="21"/>
                <w:lang w:val="en-US" w:eastAsia="zh-CN"/>
              </w:rPr>
              <w:t>16</w:t>
            </w:r>
          </w:p>
        </w:tc>
        <w:tc>
          <w:tcPr>
            <w:tcW w:w="545" w:type="pct"/>
            <w:vAlign w:val="center"/>
          </w:tcPr>
          <w:p w14:paraId="2226960E">
            <w:pPr>
              <w:jc w:val="center"/>
              <w:rPr>
                <w:color w:val="auto"/>
                <w:szCs w:val="21"/>
              </w:rPr>
            </w:pPr>
            <w:r>
              <w:rPr>
                <w:color w:val="auto"/>
                <w:szCs w:val="21"/>
              </w:rPr>
              <w:t>32</w:t>
            </w:r>
          </w:p>
        </w:tc>
      </w:tr>
      <w:tr w14:paraId="6C67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559244B1">
            <w:pPr>
              <w:jc w:val="center"/>
              <w:rPr>
                <w:color w:val="auto"/>
                <w:szCs w:val="21"/>
                <w:lang w:bidi="ar"/>
              </w:rPr>
            </w:pPr>
            <w:r>
              <w:rPr>
                <w:rFonts w:hint="eastAsia"/>
                <w:color w:val="auto"/>
                <w:szCs w:val="21"/>
                <w:lang w:bidi="ar"/>
              </w:rPr>
              <w:t>2.11</w:t>
            </w:r>
          </w:p>
        </w:tc>
        <w:tc>
          <w:tcPr>
            <w:tcW w:w="642" w:type="pct"/>
            <w:vAlign w:val="center"/>
          </w:tcPr>
          <w:p w14:paraId="2D7090A3">
            <w:pPr>
              <w:jc w:val="center"/>
              <w:rPr>
                <w:color w:val="auto"/>
                <w:szCs w:val="21"/>
                <w:lang w:bidi="ar"/>
              </w:rPr>
            </w:pPr>
            <w:r>
              <w:rPr>
                <w:rFonts w:hint="eastAsia"/>
                <w:color w:val="auto"/>
                <w:szCs w:val="21"/>
                <w:lang w:bidi="ar"/>
              </w:rPr>
              <w:t>堡垒机</w:t>
            </w:r>
          </w:p>
        </w:tc>
        <w:tc>
          <w:tcPr>
            <w:tcW w:w="2336" w:type="pct"/>
            <w:vAlign w:val="center"/>
          </w:tcPr>
          <w:p w14:paraId="0E451A3D">
            <w:pPr>
              <w:rPr>
                <w:color w:val="auto"/>
              </w:rPr>
            </w:pPr>
            <w:r>
              <w:rPr>
                <w:rFonts w:hint="eastAsia"/>
                <w:color w:val="auto"/>
              </w:rPr>
              <w:t>1.设备使用国产CPU和国产操作系统，标准化1U设备，支持千兆电口≥6个，千兆光口≥2个，接口扩展板卡插槽≥2个，配置硬盘≥4T，配置冗余电源，配置≥50个被管资源数授权。</w:t>
            </w:r>
          </w:p>
          <w:p w14:paraId="6BF81EA5">
            <w:pPr>
              <w:rPr>
                <w:color w:val="auto"/>
              </w:rPr>
            </w:pPr>
            <w:r>
              <w:rPr>
                <w:rFonts w:hint="eastAsia"/>
                <w:color w:val="auto"/>
              </w:rPr>
              <w:t>2.设备采用旁路部署，不得影响业务环境，支持HA双机部署，支持集群部署，支持跨地域、跨数据中心分级部署，支持异地灾备部署。</w:t>
            </w:r>
          </w:p>
          <w:p w14:paraId="223B59ED">
            <w:pPr>
              <w:rPr>
                <w:color w:val="auto"/>
              </w:rPr>
            </w:pPr>
            <w:r>
              <w:rPr>
                <w:rFonts w:hint="eastAsia"/>
                <w:color w:val="auto"/>
              </w:rPr>
              <w:t>3.具备多因子认证，方式包括手机令牌、手机短信、动态令牌、国密USBKey等多因子认证方式</w:t>
            </w:r>
          </w:p>
          <w:p w14:paraId="7EA55100">
            <w:pPr>
              <w:rPr>
                <w:color w:val="auto"/>
              </w:rPr>
            </w:pPr>
            <w:r>
              <w:rPr>
                <w:rFonts w:hint="eastAsia"/>
                <w:color w:val="auto"/>
              </w:rPr>
              <w:t>4.具备微信小程序动态口令认证方式登录堡垒机，且当用户需要使用手机令牌登录时，需要绑定手机令牌。</w:t>
            </w:r>
          </w:p>
          <w:p w14:paraId="06DE1B06">
            <w:pPr>
              <w:rPr>
                <w:color w:val="auto"/>
              </w:rPr>
            </w:pPr>
            <w:r>
              <w:rPr>
                <w:rFonts w:hint="eastAsia"/>
                <w:color w:val="auto"/>
              </w:rPr>
              <w:t>5.具备IPv6网络环境下的运维、操作审计；支持按IP范围、端口进行资源设备自动发现，实现快速批量添加资源设备。</w:t>
            </w:r>
          </w:p>
          <w:p w14:paraId="5214FA6B">
            <w:pPr>
              <w:rPr>
                <w:color w:val="auto"/>
              </w:rPr>
            </w:pPr>
            <w:r>
              <w:rPr>
                <w:rFonts w:hint="eastAsia"/>
                <w:color w:val="auto"/>
              </w:rPr>
              <w:t>6.具备云主机资源批量添加，包括阿里云、华为云、腾讯云的资源。</w:t>
            </w:r>
          </w:p>
          <w:p w14:paraId="1A86BC56">
            <w:pPr>
              <w:rPr>
                <w:color w:val="auto"/>
              </w:rPr>
            </w:pPr>
            <w:r>
              <w:rPr>
                <w:rFonts w:hint="eastAsia"/>
                <w:color w:val="auto"/>
              </w:rPr>
              <w:t>7.具备运维过程中会话协同，可邀请其他用户参与、协助操作；会话协同过程中，参与者可以控制会话。</w:t>
            </w:r>
          </w:p>
          <w:p w14:paraId="5098E47F">
            <w:pPr>
              <w:rPr>
                <w:color w:val="auto"/>
              </w:rPr>
            </w:pPr>
            <w:r>
              <w:rPr>
                <w:rFonts w:hint="eastAsia"/>
                <w:color w:val="auto"/>
              </w:rPr>
              <w:t>8.具备以云盘形式在堡垒机上存储常用文件（支持文件下载，文件展示最近修改时间和权限）并进行审计。</w:t>
            </w:r>
          </w:p>
          <w:p w14:paraId="7A7F86FD">
            <w:pPr>
              <w:rPr>
                <w:color w:val="auto"/>
              </w:rPr>
            </w:pPr>
            <w:r>
              <w:rPr>
                <w:rFonts w:hint="eastAsia"/>
                <w:color w:val="auto"/>
              </w:rPr>
              <w:t>9.具备工单审批时，可以设置多人审批模式或会签审批模式。支持对运维操作中的详细操作命令、步骤、以及双人授权、协同用户、剪切板拷贝行为进行记录，并可以通过关键字搜索定位回放。</w:t>
            </w:r>
          </w:p>
          <w:p w14:paraId="226D0D46">
            <w:pPr>
              <w:rPr>
                <w:color w:val="auto"/>
              </w:rPr>
            </w:pPr>
            <w:r>
              <w:rPr>
                <w:rFonts w:hint="eastAsia"/>
                <w:color w:val="auto"/>
              </w:rPr>
              <w:t>10.具备基于用户登录账号、用户登录时间、控制对象账号等制定命令控制策略，并具备单点登录功能。（提供产品功能截图）。</w:t>
            </w:r>
          </w:p>
        </w:tc>
        <w:tc>
          <w:tcPr>
            <w:tcW w:w="475" w:type="pct"/>
            <w:vAlign w:val="center"/>
          </w:tcPr>
          <w:p w14:paraId="0E19905F">
            <w:pPr>
              <w:jc w:val="center"/>
              <w:rPr>
                <w:color w:val="auto"/>
                <w:szCs w:val="21"/>
              </w:rPr>
            </w:pPr>
            <w:r>
              <w:rPr>
                <w:rFonts w:hint="eastAsia"/>
                <w:color w:val="auto"/>
                <w:szCs w:val="21"/>
              </w:rPr>
              <w:t>1台</w:t>
            </w:r>
          </w:p>
        </w:tc>
        <w:tc>
          <w:tcPr>
            <w:tcW w:w="545" w:type="pct"/>
            <w:vAlign w:val="center"/>
          </w:tcPr>
          <w:p w14:paraId="303D1DD7">
            <w:pPr>
              <w:jc w:val="center"/>
              <w:rPr>
                <w:color w:val="auto"/>
                <w:szCs w:val="21"/>
              </w:rPr>
            </w:pPr>
            <w:r>
              <w:rPr>
                <w:rFonts w:hint="eastAsia"/>
                <w:color w:val="auto"/>
                <w:szCs w:val="21"/>
                <w:lang w:val="en-US" w:eastAsia="zh-CN"/>
              </w:rPr>
              <w:t>20</w:t>
            </w:r>
          </w:p>
        </w:tc>
        <w:tc>
          <w:tcPr>
            <w:tcW w:w="545" w:type="pct"/>
            <w:vAlign w:val="center"/>
          </w:tcPr>
          <w:p w14:paraId="71B2B561">
            <w:pPr>
              <w:jc w:val="center"/>
              <w:rPr>
                <w:color w:val="auto"/>
                <w:szCs w:val="21"/>
              </w:rPr>
            </w:pPr>
            <w:r>
              <w:rPr>
                <w:color w:val="auto"/>
                <w:szCs w:val="21"/>
              </w:rPr>
              <w:t>20</w:t>
            </w:r>
          </w:p>
        </w:tc>
      </w:tr>
      <w:tr w14:paraId="4115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34710815">
            <w:pPr>
              <w:jc w:val="center"/>
              <w:rPr>
                <w:color w:val="auto"/>
                <w:szCs w:val="21"/>
                <w:lang w:bidi="ar"/>
              </w:rPr>
            </w:pPr>
            <w:r>
              <w:rPr>
                <w:rFonts w:hint="eastAsia"/>
                <w:color w:val="auto"/>
                <w:szCs w:val="21"/>
                <w:lang w:bidi="ar"/>
              </w:rPr>
              <w:t>2.12</w:t>
            </w:r>
          </w:p>
        </w:tc>
        <w:tc>
          <w:tcPr>
            <w:tcW w:w="642" w:type="pct"/>
            <w:vAlign w:val="center"/>
          </w:tcPr>
          <w:p w14:paraId="71927E87">
            <w:pPr>
              <w:jc w:val="center"/>
              <w:rPr>
                <w:color w:val="auto"/>
                <w:szCs w:val="21"/>
                <w:lang w:bidi="ar"/>
              </w:rPr>
            </w:pPr>
            <w:r>
              <w:rPr>
                <w:rFonts w:hint="eastAsia"/>
                <w:color w:val="auto"/>
                <w:szCs w:val="21"/>
                <w:lang w:bidi="ar"/>
              </w:rPr>
              <w:t>日志审计</w:t>
            </w:r>
          </w:p>
        </w:tc>
        <w:tc>
          <w:tcPr>
            <w:tcW w:w="2336" w:type="pct"/>
            <w:vAlign w:val="center"/>
          </w:tcPr>
          <w:p w14:paraId="2A77702A">
            <w:pPr>
              <w:rPr>
                <w:color w:val="auto"/>
              </w:rPr>
            </w:pPr>
            <w:r>
              <w:rPr>
                <w:rFonts w:hint="eastAsia"/>
                <w:color w:val="auto"/>
              </w:rPr>
              <w:t>1.设备使用国产CPU和国产操作系统，标准化2U设备，支持千兆电口≥6个，千兆光口≥4个，≥2个扩展板卡插槽，≥1个Console口，内置≥256GB mSATA卡、≥4TB企业级硬盘，配置≥135个被管资源数授权。</w:t>
            </w:r>
          </w:p>
          <w:p w14:paraId="13948E8C">
            <w:pPr>
              <w:rPr>
                <w:color w:val="auto"/>
              </w:rPr>
            </w:pPr>
            <w:r>
              <w:rPr>
                <w:rFonts w:hint="eastAsia"/>
                <w:color w:val="auto"/>
              </w:rPr>
              <w:t>2.具备通过Syslog、Syslog-NG、SNMP Trap、JDBC、Agent代理、WMI、(S)FTP、文件读取、Kafka等多种方式完成各种日志的收集功能；</w:t>
            </w:r>
          </w:p>
          <w:p w14:paraId="05F4A837">
            <w:pPr>
              <w:rPr>
                <w:color w:val="auto"/>
              </w:rPr>
            </w:pPr>
            <w:r>
              <w:rPr>
                <w:rFonts w:hint="eastAsia"/>
                <w:color w:val="auto"/>
              </w:rPr>
              <w:t>3.系统提供页面可视化编辑归一化策略，对页面查看的日志编辑归一化策略，所见即所得，也支持通过归一化文件的导入来支持归一化,不需修改系统程序。</w:t>
            </w:r>
          </w:p>
          <w:p w14:paraId="360AD1A1">
            <w:pPr>
              <w:rPr>
                <w:color w:val="auto"/>
              </w:rPr>
            </w:pPr>
            <w:r>
              <w:rPr>
                <w:rFonts w:hint="eastAsia"/>
                <w:color w:val="auto"/>
              </w:rPr>
              <w:t>4.系统可自动识别收集的日志，也可由人工设置设备的范化策略。</w:t>
            </w:r>
          </w:p>
          <w:p w14:paraId="0C41A423">
            <w:pPr>
              <w:rPr>
                <w:color w:val="auto"/>
              </w:rPr>
            </w:pPr>
            <w:r>
              <w:rPr>
                <w:rFonts w:hint="eastAsia"/>
                <w:color w:val="auto"/>
              </w:rPr>
              <w:t>5.具备等保大屏查看设备运行天数、日志源数量、原始日志数、告警总数；（提供产品功能截图）</w:t>
            </w:r>
          </w:p>
        </w:tc>
        <w:tc>
          <w:tcPr>
            <w:tcW w:w="475" w:type="pct"/>
            <w:vAlign w:val="center"/>
          </w:tcPr>
          <w:p w14:paraId="6AE3CF75">
            <w:pPr>
              <w:jc w:val="center"/>
              <w:rPr>
                <w:color w:val="auto"/>
                <w:szCs w:val="21"/>
              </w:rPr>
            </w:pPr>
            <w:r>
              <w:rPr>
                <w:rFonts w:hint="eastAsia"/>
                <w:color w:val="auto"/>
                <w:szCs w:val="21"/>
              </w:rPr>
              <w:t>1台</w:t>
            </w:r>
          </w:p>
        </w:tc>
        <w:tc>
          <w:tcPr>
            <w:tcW w:w="545" w:type="pct"/>
            <w:vAlign w:val="center"/>
          </w:tcPr>
          <w:p w14:paraId="560AE40F">
            <w:pPr>
              <w:jc w:val="center"/>
              <w:rPr>
                <w:color w:val="auto"/>
                <w:szCs w:val="21"/>
              </w:rPr>
            </w:pPr>
            <w:r>
              <w:rPr>
                <w:rFonts w:hint="eastAsia"/>
                <w:color w:val="auto"/>
                <w:szCs w:val="21"/>
                <w:lang w:val="en-US" w:eastAsia="zh-CN"/>
              </w:rPr>
              <w:t>15</w:t>
            </w:r>
          </w:p>
        </w:tc>
        <w:tc>
          <w:tcPr>
            <w:tcW w:w="545" w:type="pct"/>
            <w:vAlign w:val="center"/>
          </w:tcPr>
          <w:p w14:paraId="3C24AD5D">
            <w:pPr>
              <w:jc w:val="center"/>
              <w:rPr>
                <w:color w:val="auto"/>
                <w:szCs w:val="21"/>
              </w:rPr>
            </w:pPr>
            <w:r>
              <w:rPr>
                <w:color w:val="auto"/>
                <w:szCs w:val="21"/>
              </w:rPr>
              <w:t>15</w:t>
            </w:r>
          </w:p>
        </w:tc>
      </w:tr>
      <w:tr w14:paraId="2A51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6077B08B">
            <w:pPr>
              <w:jc w:val="center"/>
              <w:rPr>
                <w:color w:val="auto"/>
                <w:szCs w:val="21"/>
                <w:lang w:bidi="ar"/>
              </w:rPr>
            </w:pPr>
            <w:r>
              <w:rPr>
                <w:rFonts w:hint="eastAsia"/>
                <w:color w:val="auto"/>
                <w:szCs w:val="21"/>
                <w:lang w:bidi="ar"/>
              </w:rPr>
              <w:t>2.13</w:t>
            </w:r>
          </w:p>
        </w:tc>
        <w:tc>
          <w:tcPr>
            <w:tcW w:w="642" w:type="pct"/>
            <w:vAlign w:val="center"/>
          </w:tcPr>
          <w:p w14:paraId="29D73306">
            <w:pPr>
              <w:jc w:val="center"/>
              <w:rPr>
                <w:color w:val="auto"/>
                <w:szCs w:val="21"/>
                <w:lang w:bidi="ar"/>
              </w:rPr>
            </w:pPr>
            <w:r>
              <w:rPr>
                <w:rFonts w:hint="eastAsia"/>
                <w:color w:val="auto"/>
                <w:szCs w:val="21"/>
                <w:lang w:bidi="ar"/>
              </w:rPr>
              <w:t>数据库审计</w:t>
            </w:r>
          </w:p>
        </w:tc>
        <w:tc>
          <w:tcPr>
            <w:tcW w:w="2336" w:type="pct"/>
            <w:vAlign w:val="center"/>
          </w:tcPr>
          <w:p w14:paraId="55B9BDA0">
            <w:pPr>
              <w:rPr>
                <w:color w:val="auto"/>
              </w:rPr>
            </w:pPr>
            <w:r>
              <w:rPr>
                <w:rFonts w:hint="eastAsia"/>
                <w:color w:val="auto"/>
              </w:rPr>
              <w:t>1.设备使用国产CPU和操作系统，标准化2U设备，≥32G内存，支持千兆电口≥6个，千兆光口≥4个，扩展板卡插槽≥2个，≥1个Console口，≥2个USB口，配置硬盘≥4T，配置冗余电源、液晶显示屏，数据库审计数量不受限制。</w:t>
            </w:r>
          </w:p>
          <w:p w14:paraId="2216A125">
            <w:pPr>
              <w:rPr>
                <w:color w:val="auto"/>
              </w:rPr>
            </w:pPr>
            <w:r>
              <w:rPr>
                <w:rFonts w:hint="eastAsia"/>
                <w:color w:val="auto"/>
              </w:rPr>
              <w:t>2.系统可同时支持IPv4和IPv6的网络环境下数据库的审计。可通过端口镜像（SPAN）或者分流器（TAP）模式旁路部署。</w:t>
            </w:r>
          </w:p>
          <w:p w14:paraId="1DED9C26">
            <w:pPr>
              <w:rPr>
                <w:color w:val="auto"/>
              </w:rPr>
            </w:pPr>
            <w:r>
              <w:rPr>
                <w:rFonts w:hint="eastAsia"/>
                <w:color w:val="auto"/>
              </w:rPr>
              <w:t>3.具备的数据库：达梦、人大金仓、南大通用Gbase等主流国产化数据库。</w:t>
            </w:r>
          </w:p>
          <w:p w14:paraId="41C6FE40">
            <w:pPr>
              <w:rPr>
                <w:color w:val="auto"/>
              </w:rPr>
            </w:pPr>
            <w:r>
              <w:rPr>
                <w:rFonts w:hint="eastAsia"/>
                <w:color w:val="auto"/>
              </w:rPr>
              <w:t>4.旁路阻断功能（非串联方式）。阻断两种模式，宽松模式：对单一会话危险操作阻断。</w:t>
            </w:r>
          </w:p>
          <w:p w14:paraId="36A5BC4D">
            <w:pPr>
              <w:rPr>
                <w:color w:val="auto"/>
              </w:rPr>
            </w:pPr>
            <w:r>
              <w:rPr>
                <w:rFonts w:hint="eastAsia"/>
                <w:color w:val="auto"/>
              </w:rPr>
              <w:t>5.具备IP过滤，在流量进入网卡之前对网络流量进行扫描，对无用的信息从网络层进行过滤；避免占用系统资源，使系统性能达到最佳。</w:t>
            </w:r>
          </w:p>
          <w:p w14:paraId="358D79F0">
            <w:pPr>
              <w:rPr>
                <w:color w:val="auto"/>
              </w:rPr>
            </w:pPr>
            <w:r>
              <w:rPr>
                <w:rFonts w:hint="eastAsia"/>
                <w:color w:val="auto"/>
              </w:rPr>
              <w:t>6.系统能自动发现网络中存在的数据库，并自动添加成审计对象进行审计，简化操作，避免用户因模糊记忆引起的配置故障。</w:t>
            </w:r>
          </w:p>
        </w:tc>
        <w:tc>
          <w:tcPr>
            <w:tcW w:w="475" w:type="pct"/>
            <w:vAlign w:val="center"/>
          </w:tcPr>
          <w:p w14:paraId="42885BBE">
            <w:pPr>
              <w:jc w:val="center"/>
              <w:rPr>
                <w:color w:val="auto"/>
                <w:szCs w:val="21"/>
              </w:rPr>
            </w:pPr>
            <w:r>
              <w:rPr>
                <w:rFonts w:hint="eastAsia"/>
                <w:color w:val="auto"/>
                <w:szCs w:val="21"/>
              </w:rPr>
              <w:t>1台</w:t>
            </w:r>
          </w:p>
        </w:tc>
        <w:tc>
          <w:tcPr>
            <w:tcW w:w="545" w:type="pct"/>
            <w:vAlign w:val="center"/>
          </w:tcPr>
          <w:p w14:paraId="46E10CB4">
            <w:pPr>
              <w:jc w:val="center"/>
              <w:rPr>
                <w:color w:val="auto"/>
                <w:szCs w:val="21"/>
              </w:rPr>
            </w:pPr>
            <w:r>
              <w:rPr>
                <w:rFonts w:hint="eastAsia"/>
                <w:color w:val="auto"/>
                <w:szCs w:val="21"/>
                <w:lang w:val="en-US" w:eastAsia="zh-CN"/>
              </w:rPr>
              <w:t>15</w:t>
            </w:r>
          </w:p>
        </w:tc>
        <w:tc>
          <w:tcPr>
            <w:tcW w:w="545" w:type="pct"/>
            <w:vAlign w:val="center"/>
          </w:tcPr>
          <w:p w14:paraId="7073AA8E">
            <w:pPr>
              <w:jc w:val="center"/>
              <w:rPr>
                <w:color w:val="auto"/>
                <w:szCs w:val="21"/>
              </w:rPr>
            </w:pPr>
            <w:r>
              <w:rPr>
                <w:color w:val="auto"/>
                <w:szCs w:val="21"/>
              </w:rPr>
              <w:t>15</w:t>
            </w:r>
          </w:p>
        </w:tc>
      </w:tr>
      <w:tr w14:paraId="5BFE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4D82BAA8">
            <w:pPr>
              <w:jc w:val="center"/>
              <w:rPr>
                <w:color w:val="auto"/>
                <w:szCs w:val="21"/>
                <w:lang w:bidi="ar"/>
              </w:rPr>
            </w:pPr>
            <w:r>
              <w:rPr>
                <w:rFonts w:hint="eastAsia"/>
                <w:color w:val="auto"/>
                <w:szCs w:val="21"/>
                <w:lang w:bidi="ar"/>
              </w:rPr>
              <w:t>2.1</w:t>
            </w:r>
            <w:r>
              <w:rPr>
                <w:color w:val="auto"/>
                <w:szCs w:val="21"/>
                <w:lang w:bidi="ar"/>
              </w:rPr>
              <w:t>4</w:t>
            </w:r>
          </w:p>
        </w:tc>
        <w:tc>
          <w:tcPr>
            <w:tcW w:w="642" w:type="pct"/>
            <w:vAlign w:val="center"/>
          </w:tcPr>
          <w:p w14:paraId="031880CE">
            <w:pPr>
              <w:jc w:val="center"/>
              <w:rPr>
                <w:color w:val="auto"/>
                <w:szCs w:val="21"/>
                <w:lang w:bidi="ar"/>
              </w:rPr>
            </w:pPr>
            <w:r>
              <w:rPr>
                <w:rFonts w:hint="eastAsia"/>
                <w:color w:val="auto"/>
                <w:szCs w:val="21"/>
                <w:lang w:bidi="ar"/>
              </w:rPr>
              <w:t>WAF</w:t>
            </w:r>
          </w:p>
        </w:tc>
        <w:tc>
          <w:tcPr>
            <w:tcW w:w="2336" w:type="pct"/>
            <w:vAlign w:val="center"/>
          </w:tcPr>
          <w:p w14:paraId="56F5C17E">
            <w:pPr>
              <w:rPr>
                <w:color w:val="auto"/>
              </w:rPr>
            </w:pPr>
            <w:r>
              <w:rPr>
                <w:rFonts w:hint="eastAsia"/>
                <w:color w:val="auto"/>
              </w:rPr>
              <w:t>1.设备使用国产CPU和操作系统，网络吞吐量≥4Gbps，HTTP吞吐量≥500Mbps，HTTP新建连接数≥15000/秒，HTTP并发连接数≥200万/秒，标准2U机箱，液晶面板，≥4TB硬盘，冗余电源，独立HA口、独立MGT管理口，千兆电口≥4个，千兆光口≥4个，扩展板卡插槽≥2个，≥1个console口，≥2个USB口，3年Web特征库服务。</w:t>
            </w:r>
          </w:p>
          <w:p w14:paraId="1666A6EE">
            <w:pPr>
              <w:rPr>
                <w:color w:val="auto"/>
              </w:rPr>
            </w:pPr>
            <w:r>
              <w:rPr>
                <w:rFonts w:hint="eastAsia"/>
                <w:color w:val="auto"/>
              </w:rPr>
              <w:t>2.具备透明传输模式、反向代理模式部署，并支持两台设备形成主-备冗余部署模式，能够将WEB访问负载均衡到多台WEB服务器上。</w:t>
            </w:r>
          </w:p>
          <w:p w14:paraId="7D1286E6">
            <w:pPr>
              <w:rPr>
                <w:color w:val="auto"/>
              </w:rPr>
            </w:pPr>
            <w:r>
              <w:rPr>
                <w:rFonts w:hint="eastAsia"/>
                <w:color w:val="auto"/>
              </w:rPr>
              <w:t>3.具备IPv6 的网络环境并能有效运行其安全功能和自身安全功能，能够满足IPv6核心协议、IPv6NDP协议、IPv6 Autoconfig协议、ICMPv6协议和IPy6 PMTU协议的一致性要求，能抵御IPv6、ICMPv6、TCP for IPv6 Server等畸形报文攻击，满足IPv6协议健壮性的要求，并支持IPv6过渡网络环境。</w:t>
            </w:r>
          </w:p>
          <w:p w14:paraId="64B1E91F">
            <w:pPr>
              <w:rPr>
                <w:color w:val="auto"/>
              </w:rPr>
            </w:pPr>
            <w:r>
              <w:rPr>
                <w:rFonts w:hint="eastAsia"/>
                <w:color w:val="auto"/>
              </w:rPr>
              <w:t>4.具备基于源/目的IP地址、源/目的端口的访问控制功能，具备WEB应用访问控制功能，支持对HTTP传输内容的关键字、HTTP 请求方式(GET、POST、PUT、HEAD等)、HTTP请求文件类型、HTTP协议头中各字段长度(general-header、request-header、response-header等)、HTTP上传文件类型、HTTP请求频率、HTTP返回的响应内容、HTTPS等进行控制。</w:t>
            </w:r>
          </w:p>
          <w:p w14:paraId="59337F8B">
            <w:pPr>
              <w:rPr>
                <w:color w:val="auto"/>
              </w:rPr>
            </w:pPr>
            <w:r>
              <w:rPr>
                <w:rFonts w:hint="eastAsia"/>
                <w:color w:val="auto"/>
              </w:rPr>
              <w:t>5.具备安全审计日志记录内容包括：事件发生的日期和时间、主体、客体、描述、协议类型、源地址、目标地址、源端口和目标端口等，告警信息包括事件发生的日期和时间、主体、客体、描述、危害级别等，能够对高频发生的相同告警事件进行合并告警，能够按照IP地址、时间段和应用类型条件和以上条件组合对应用流量进行统计，以报表形式输出统计结果。</w:t>
            </w:r>
          </w:p>
          <w:p w14:paraId="308BFC69">
            <w:pPr>
              <w:rPr>
                <w:color w:val="auto"/>
              </w:rPr>
            </w:pPr>
            <w:r>
              <w:rPr>
                <w:rFonts w:hint="eastAsia"/>
                <w:color w:val="auto"/>
              </w:rPr>
              <w:t>6.具备Windows、Debian、Ubuntu、CentOS、Redhat、统信、欧拉、麒麟等操作系统防护客户端下载，可自动探测防护端主机名、插件ID、IP地址、操作系统类型、版本号等信息，并可进行防护端配置。</w:t>
            </w:r>
          </w:p>
          <w:p w14:paraId="0F0764BD">
            <w:pPr>
              <w:rPr>
                <w:color w:val="auto"/>
              </w:rPr>
            </w:pPr>
            <w:r>
              <w:rPr>
                <w:rFonts w:hint="eastAsia"/>
                <w:color w:val="auto"/>
              </w:rPr>
              <w:t>7.具备透明代理、反向代理、负载均衡，具备客户端IP还原、数据压缩、高速缓存、响应URL改写、绑定代理IP等功能，高速缓存支持html、gif、jpg、jpeg、png、bmp、swf、js、CSS等多种文件类型，数据压缩支持text/plain application/x-javascript text/css application/xml等多种MIME类型。</w:t>
            </w:r>
          </w:p>
          <w:p w14:paraId="62C304ED">
            <w:pPr>
              <w:rPr>
                <w:color w:val="auto"/>
              </w:rPr>
            </w:pPr>
            <w:r>
              <w:rPr>
                <w:rFonts w:hint="eastAsia"/>
                <w:color w:val="auto"/>
              </w:rPr>
              <w:t>8.具备Ping、Telnet、Tcpdump、Traceroute等多种运维工具，并可通过点击生成按钮完成一键信息收集。</w:t>
            </w:r>
          </w:p>
          <w:p w14:paraId="06341035">
            <w:pPr>
              <w:rPr>
                <w:color w:val="auto"/>
              </w:rPr>
            </w:pPr>
            <w:r>
              <w:rPr>
                <w:rFonts w:hint="eastAsia"/>
                <w:color w:val="auto"/>
              </w:rPr>
              <w:t>9.具备GET、HEAD、POST、PUT、DELETE、MKCOL、COPY、MOVE、OPTIONS、PROPFIND、PROPPATCH、LOCK、UNLOCK、PATCH等请求方法的自学习，可生成URL结果，支持资产树形图和URL列表视图展示。</w:t>
            </w:r>
          </w:p>
        </w:tc>
        <w:tc>
          <w:tcPr>
            <w:tcW w:w="475" w:type="pct"/>
            <w:vAlign w:val="center"/>
          </w:tcPr>
          <w:p w14:paraId="258FD1B5">
            <w:pPr>
              <w:jc w:val="center"/>
              <w:rPr>
                <w:color w:val="auto"/>
                <w:szCs w:val="21"/>
              </w:rPr>
            </w:pPr>
            <w:r>
              <w:rPr>
                <w:rFonts w:hint="eastAsia"/>
                <w:color w:val="auto"/>
                <w:szCs w:val="21"/>
              </w:rPr>
              <w:t>1台</w:t>
            </w:r>
          </w:p>
        </w:tc>
        <w:tc>
          <w:tcPr>
            <w:tcW w:w="545" w:type="pct"/>
            <w:vAlign w:val="center"/>
          </w:tcPr>
          <w:p w14:paraId="42927E34">
            <w:pPr>
              <w:jc w:val="center"/>
              <w:rPr>
                <w:color w:val="auto"/>
                <w:szCs w:val="21"/>
              </w:rPr>
            </w:pPr>
            <w:r>
              <w:rPr>
                <w:rFonts w:hint="eastAsia"/>
                <w:color w:val="auto"/>
                <w:szCs w:val="21"/>
                <w:lang w:val="en-US" w:eastAsia="zh-CN"/>
              </w:rPr>
              <w:t>15</w:t>
            </w:r>
          </w:p>
        </w:tc>
        <w:tc>
          <w:tcPr>
            <w:tcW w:w="545" w:type="pct"/>
            <w:vAlign w:val="center"/>
          </w:tcPr>
          <w:p w14:paraId="045E2ECA">
            <w:pPr>
              <w:jc w:val="center"/>
              <w:rPr>
                <w:color w:val="auto"/>
                <w:szCs w:val="21"/>
              </w:rPr>
            </w:pPr>
            <w:r>
              <w:rPr>
                <w:color w:val="auto"/>
                <w:szCs w:val="21"/>
              </w:rPr>
              <w:t>15</w:t>
            </w:r>
          </w:p>
        </w:tc>
      </w:tr>
      <w:tr w14:paraId="53AE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55" w:type="pct"/>
            <w:vAlign w:val="center"/>
          </w:tcPr>
          <w:p w14:paraId="61F92022">
            <w:pPr>
              <w:jc w:val="center"/>
              <w:rPr>
                <w:color w:val="auto"/>
                <w:szCs w:val="21"/>
                <w:lang w:bidi="ar"/>
              </w:rPr>
            </w:pPr>
            <w:r>
              <w:rPr>
                <w:rFonts w:hint="eastAsia"/>
                <w:color w:val="auto"/>
                <w:szCs w:val="21"/>
                <w:lang w:bidi="ar"/>
              </w:rPr>
              <w:t>2.1</w:t>
            </w:r>
            <w:r>
              <w:rPr>
                <w:color w:val="auto"/>
                <w:szCs w:val="21"/>
                <w:lang w:bidi="ar"/>
              </w:rPr>
              <w:t>5</w:t>
            </w:r>
          </w:p>
        </w:tc>
        <w:tc>
          <w:tcPr>
            <w:tcW w:w="642" w:type="pct"/>
            <w:vAlign w:val="center"/>
          </w:tcPr>
          <w:p w14:paraId="46494D1C">
            <w:pPr>
              <w:jc w:val="center"/>
              <w:rPr>
                <w:color w:val="auto"/>
                <w:szCs w:val="21"/>
                <w:lang w:bidi="ar"/>
              </w:rPr>
            </w:pPr>
            <w:r>
              <w:rPr>
                <w:rFonts w:hint="eastAsia"/>
                <w:color w:val="auto"/>
                <w:szCs w:val="21"/>
                <w:lang w:bidi="ar"/>
              </w:rPr>
              <w:t>国产算力一体机</w:t>
            </w:r>
          </w:p>
        </w:tc>
        <w:tc>
          <w:tcPr>
            <w:tcW w:w="2336" w:type="pct"/>
            <w:vAlign w:val="center"/>
          </w:tcPr>
          <w:p w14:paraId="78AFF4E8">
            <w:pPr>
              <w:rPr>
                <w:color w:val="auto"/>
              </w:rPr>
            </w:pPr>
            <w:r>
              <w:rPr>
                <w:rFonts w:hint="eastAsia"/>
                <w:color w:val="auto"/>
              </w:rPr>
              <w:t>1.处理器：国产处理器，处理器要求≥4颗；单颗处理器核心≥80个，主频≥2.9GHz；</w:t>
            </w:r>
          </w:p>
          <w:p w14:paraId="7E872E9B">
            <w:pPr>
              <w:rPr>
                <w:color w:val="auto"/>
              </w:rPr>
            </w:pPr>
            <w:r>
              <w:rPr>
                <w:rFonts w:hint="eastAsia"/>
                <w:color w:val="auto"/>
              </w:rPr>
              <w:t>2.内存：32*（DDR5，RDIMM，32GB，5600MHz，1.2V，2Rank，ECC）；</w:t>
            </w:r>
          </w:p>
          <w:p w14:paraId="07329B43">
            <w:pPr>
              <w:rPr>
                <w:color w:val="auto"/>
              </w:rPr>
            </w:pPr>
            <w:r>
              <w:rPr>
                <w:rFonts w:hint="eastAsia"/>
                <w:color w:val="auto"/>
              </w:rPr>
              <w:t>3.存储：2* 480GB、2*Nvme SSD，3.84TB；</w:t>
            </w:r>
          </w:p>
          <w:p w14:paraId="7D9B555F">
            <w:pPr>
              <w:rPr>
                <w:color w:val="auto"/>
              </w:rPr>
            </w:pPr>
            <w:r>
              <w:rPr>
                <w:rFonts w:hint="eastAsia"/>
                <w:color w:val="auto"/>
              </w:rPr>
              <w:t>4.AI处理器：支持 8 路AI 处理器。可提供8路NPU通过交换芯片互联，双向互联带宽可达≥784GB/s；</w:t>
            </w:r>
          </w:p>
          <w:p w14:paraId="3C406C22">
            <w:pPr>
              <w:rPr>
                <w:color w:val="auto"/>
              </w:rPr>
            </w:pPr>
            <w:r>
              <w:rPr>
                <w:rFonts w:hint="eastAsia"/>
                <w:color w:val="auto"/>
              </w:rPr>
              <w:t>5.AI算力：≥4.4 PFLOPS FP16、≥1.2 PFLOPS FP32、≥8.9 POPS INT8；</w:t>
            </w:r>
          </w:p>
          <w:p w14:paraId="49D656F8">
            <w:pPr>
              <w:rPr>
                <w:color w:val="auto"/>
              </w:rPr>
            </w:pPr>
            <w:r>
              <w:rPr>
                <w:rFonts w:hint="eastAsia"/>
                <w:color w:val="auto"/>
              </w:rPr>
              <w:t>6.RAID卡：配置独立RAID卡，支持RAID级别0/1/5/6/10/50/60，支持4GRAID Cache,支持超级电容和边带管理</w:t>
            </w:r>
          </w:p>
          <w:p w14:paraId="452C6AC3">
            <w:pPr>
              <w:rPr>
                <w:color w:val="auto"/>
              </w:rPr>
            </w:pPr>
            <w:r>
              <w:rPr>
                <w:rFonts w:hint="eastAsia"/>
                <w:color w:val="auto"/>
              </w:rPr>
              <w:t>7.超级电容：RAID卡超级电容 (带电池盒)</w:t>
            </w:r>
          </w:p>
          <w:p w14:paraId="7E4DB797">
            <w:pPr>
              <w:rPr>
                <w:color w:val="auto"/>
              </w:rPr>
            </w:pPr>
            <w:r>
              <w:rPr>
                <w:rFonts w:hint="eastAsia"/>
                <w:color w:val="auto"/>
              </w:rPr>
              <w:t>8.网卡：1*100GE光口-双端口，配备光模块</w:t>
            </w:r>
          </w:p>
          <w:p w14:paraId="0D6E1E17">
            <w:pPr>
              <w:rPr>
                <w:color w:val="auto"/>
              </w:rPr>
            </w:pPr>
            <w:r>
              <w:rPr>
                <w:rFonts w:hint="eastAsia"/>
                <w:color w:val="auto"/>
              </w:rPr>
              <w:t>9.网卡：1*25GE-两端口，配备光模块</w:t>
            </w:r>
          </w:p>
          <w:p w14:paraId="3535BCEF">
            <w:pPr>
              <w:rPr>
                <w:color w:val="auto"/>
              </w:rPr>
            </w:pPr>
            <w:r>
              <w:rPr>
                <w:rFonts w:hint="eastAsia"/>
                <w:color w:val="auto"/>
              </w:rPr>
              <w:t>10.电源：6* 3000W 交流&amp;高压直流电源，配置冗余5+1 电源，支持热插拔，</w:t>
            </w:r>
          </w:p>
          <w:p w14:paraId="2B779078">
            <w:pPr>
              <w:rPr>
                <w:color w:val="auto"/>
              </w:rPr>
            </w:pPr>
            <w:r>
              <w:rPr>
                <w:rFonts w:hint="eastAsia"/>
                <w:color w:val="auto"/>
              </w:rPr>
              <w:t>11.扩展接口：</w:t>
            </w:r>
          </w:p>
          <w:p w14:paraId="250459F8">
            <w:pPr>
              <w:rPr>
                <w:color w:val="auto"/>
              </w:rPr>
            </w:pPr>
            <w:r>
              <w:rPr>
                <w:rFonts w:hint="eastAsia"/>
                <w:color w:val="auto"/>
              </w:rPr>
              <w:t>最多支持5个 PCIe 5.0 扩展插槽。</w:t>
            </w:r>
          </w:p>
          <w:p w14:paraId="7B76103C">
            <w:pPr>
              <w:rPr>
                <w:color w:val="auto"/>
              </w:rPr>
            </w:pPr>
            <w:r>
              <w:rPr>
                <w:rFonts w:hint="eastAsia"/>
                <w:color w:val="auto"/>
              </w:rPr>
              <w:t>12.Riser 模组 1 支持以下 PCIe 规格：</w:t>
            </w:r>
          </w:p>
          <w:p w14:paraId="0D8E5F01">
            <w:pPr>
              <w:rPr>
                <w:color w:val="auto"/>
              </w:rPr>
            </w:pPr>
            <w:r>
              <w:rPr>
                <w:rFonts w:hint="eastAsia"/>
                <w:color w:val="auto"/>
              </w:rPr>
              <w:t>支持2个全高半长的PCIe 5.0 x16标准物理槽位。</w:t>
            </w:r>
          </w:p>
          <w:p w14:paraId="50B4AFF9">
            <w:pPr>
              <w:rPr>
                <w:color w:val="auto"/>
              </w:rPr>
            </w:pPr>
            <w:r>
              <w:rPr>
                <w:rFonts w:hint="eastAsia"/>
                <w:color w:val="auto"/>
              </w:rPr>
              <w:t>13.Riser 模组 2 支持以下 PCIe 规格：</w:t>
            </w:r>
          </w:p>
          <w:p w14:paraId="2228D535">
            <w:pPr>
              <w:rPr>
                <w:color w:val="auto"/>
              </w:rPr>
            </w:pPr>
            <w:r>
              <w:rPr>
                <w:rFonts w:hint="eastAsia"/>
                <w:color w:val="auto"/>
              </w:rPr>
              <w:t>支持2个半高半长的PCIe 5.0 x8标准物理槽位。</w:t>
            </w:r>
          </w:p>
          <w:p w14:paraId="72BB0BB0">
            <w:pPr>
              <w:rPr>
                <w:color w:val="auto"/>
              </w:rPr>
            </w:pPr>
            <w:r>
              <w:rPr>
                <w:rFonts w:hint="eastAsia"/>
                <w:color w:val="auto"/>
              </w:rPr>
              <w:t>14.Riser 模组 3 支持以下 PCIe 规格：</w:t>
            </w:r>
          </w:p>
          <w:p w14:paraId="3339F8B4">
            <w:pPr>
              <w:rPr>
                <w:color w:val="auto"/>
              </w:rPr>
            </w:pPr>
            <w:r>
              <w:rPr>
                <w:rFonts w:hint="eastAsia"/>
                <w:color w:val="auto"/>
              </w:rPr>
              <w:t>支持1个全高全长的PCIe 5.0 x16标准物理槽位。</w:t>
            </w:r>
          </w:p>
          <w:p w14:paraId="4634CCD1">
            <w:pPr>
              <w:rPr>
                <w:color w:val="auto"/>
              </w:rPr>
            </w:pPr>
            <w:r>
              <w:rPr>
                <w:rFonts w:hint="eastAsia"/>
                <w:color w:val="auto"/>
              </w:rPr>
              <w:t>15.管理端口：iBMC支持IPMI、SOL、KVM over IP以及虚拟媒体，提供1个10/100/1000Mbps的管理网口汇聚到机柜管理板。</w:t>
            </w:r>
          </w:p>
        </w:tc>
        <w:tc>
          <w:tcPr>
            <w:tcW w:w="475" w:type="pct"/>
            <w:vAlign w:val="center"/>
          </w:tcPr>
          <w:p w14:paraId="11A837A1">
            <w:pPr>
              <w:jc w:val="center"/>
              <w:rPr>
                <w:color w:val="auto"/>
                <w:szCs w:val="21"/>
              </w:rPr>
            </w:pPr>
            <w:r>
              <w:rPr>
                <w:rFonts w:hint="eastAsia"/>
                <w:color w:val="auto"/>
                <w:szCs w:val="21"/>
              </w:rPr>
              <w:t>1台</w:t>
            </w:r>
          </w:p>
        </w:tc>
        <w:tc>
          <w:tcPr>
            <w:tcW w:w="545" w:type="pct"/>
            <w:vAlign w:val="center"/>
          </w:tcPr>
          <w:p w14:paraId="4057142F">
            <w:pPr>
              <w:jc w:val="center"/>
              <w:rPr>
                <w:color w:val="auto"/>
                <w:szCs w:val="21"/>
              </w:rPr>
            </w:pPr>
            <w:r>
              <w:rPr>
                <w:rFonts w:hint="eastAsia"/>
                <w:color w:val="auto"/>
                <w:szCs w:val="21"/>
                <w:lang w:val="en-US" w:eastAsia="zh-CN"/>
              </w:rPr>
              <w:t>242</w:t>
            </w:r>
          </w:p>
        </w:tc>
        <w:tc>
          <w:tcPr>
            <w:tcW w:w="545" w:type="pct"/>
            <w:vAlign w:val="center"/>
          </w:tcPr>
          <w:p w14:paraId="0AA7E245">
            <w:pPr>
              <w:jc w:val="center"/>
              <w:rPr>
                <w:color w:val="auto"/>
                <w:szCs w:val="21"/>
              </w:rPr>
            </w:pPr>
            <w:r>
              <w:rPr>
                <w:color w:val="auto"/>
                <w:szCs w:val="21"/>
              </w:rPr>
              <w:t>242</w:t>
            </w:r>
          </w:p>
        </w:tc>
      </w:tr>
    </w:tbl>
    <w:p w14:paraId="2454E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5458A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软件</w:t>
      </w:r>
      <w:r>
        <w:rPr>
          <w:rFonts w:hint="default" w:ascii="宋体" w:hAnsi="宋体" w:eastAsia="宋体" w:cs="宋体"/>
          <w:sz w:val="24"/>
          <w:szCs w:val="24"/>
          <w:lang w:val="en-US" w:eastAsia="zh-CN"/>
        </w:rPr>
        <w:t>类）</w:t>
      </w:r>
      <w:r>
        <w:rPr>
          <w:rFonts w:hint="eastAsia" w:ascii="宋体" w:hAnsi="宋体" w:cs="宋体"/>
          <w:sz w:val="24"/>
          <w:szCs w:val="24"/>
          <w:lang w:val="en-US" w:eastAsia="zh-CN"/>
        </w:rPr>
        <w:t>中小企业划型标准：软件和信息技术服务业</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33"/>
        <w:gridCol w:w="4882"/>
        <w:gridCol w:w="807"/>
        <w:gridCol w:w="110"/>
        <w:gridCol w:w="1038"/>
        <w:gridCol w:w="79"/>
        <w:gridCol w:w="1069"/>
      </w:tblGrid>
      <w:tr w14:paraId="52B5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38" w:type="dxa"/>
            <w:vAlign w:val="center"/>
          </w:tcPr>
          <w:p w14:paraId="7930E52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b/>
                <w:bCs/>
                <w:color w:val="auto"/>
                <w:sz w:val="21"/>
                <w:szCs w:val="21"/>
              </w:rPr>
            </w:pPr>
            <w:r>
              <w:rPr>
                <w:rFonts w:hint="eastAsia"/>
                <w:b/>
                <w:bCs/>
                <w:color w:val="auto"/>
                <w:sz w:val="21"/>
                <w:szCs w:val="21"/>
              </w:rPr>
              <w:t>序号</w:t>
            </w:r>
          </w:p>
        </w:tc>
        <w:tc>
          <w:tcPr>
            <w:tcW w:w="1133" w:type="dxa"/>
            <w:vAlign w:val="center"/>
          </w:tcPr>
          <w:p w14:paraId="752505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b/>
                <w:bCs/>
                <w:color w:val="auto"/>
                <w:sz w:val="21"/>
                <w:szCs w:val="21"/>
              </w:rPr>
            </w:pPr>
            <w:r>
              <w:rPr>
                <w:rFonts w:hint="eastAsia"/>
                <w:b/>
                <w:bCs/>
                <w:color w:val="auto"/>
                <w:sz w:val="21"/>
                <w:szCs w:val="21"/>
              </w:rPr>
              <w:t>服务内容</w:t>
            </w:r>
          </w:p>
        </w:tc>
        <w:tc>
          <w:tcPr>
            <w:tcW w:w="4882" w:type="dxa"/>
            <w:vAlign w:val="center"/>
          </w:tcPr>
          <w:p w14:paraId="00B02F7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eastAsia="宋体"/>
                <w:b/>
                <w:bCs/>
                <w:color w:val="auto"/>
                <w:sz w:val="21"/>
                <w:szCs w:val="21"/>
              </w:rPr>
            </w:pPr>
            <w:r>
              <w:rPr>
                <w:rFonts w:hint="eastAsia" w:eastAsia="宋体"/>
                <w:b/>
                <w:bCs/>
                <w:color w:val="auto"/>
                <w:sz w:val="21"/>
                <w:szCs w:val="21"/>
              </w:rPr>
              <w:t>服务范围及标准</w:t>
            </w:r>
          </w:p>
        </w:tc>
        <w:tc>
          <w:tcPr>
            <w:tcW w:w="917" w:type="dxa"/>
            <w:gridSpan w:val="2"/>
            <w:vAlign w:val="center"/>
          </w:tcPr>
          <w:p w14:paraId="05BD63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eastAsia="宋体"/>
                <w:b/>
                <w:bCs/>
                <w:color w:val="auto"/>
                <w:sz w:val="21"/>
                <w:szCs w:val="21"/>
              </w:rPr>
            </w:pPr>
            <w:r>
              <w:rPr>
                <w:rFonts w:hint="eastAsia" w:eastAsia="宋体"/>
                <w:b/>
                <w:bCs/>
                <w:color w:val="auto"/>
                <w:sz w:val="21"/>
                <w:szCs w:val="21"/>
              </w:rPr>
              <w:t>数量</w:t>
            </w:r>
          </w:p>
        </w:tc>
        <w:tc>
          <w:tcPr>
            <w:tcW w:w="1117" w:type="dxa"/>
            <w:gridSpan w:val="2"/>
            <w:shd w:val="clear" w:color="auto" w:fill="auto"/>
            <w:vAlign w:val="top"/>
          </w:tcPr>
          <w:p w14:paraId="544C3E2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b/>
                <w:bCs/>
                <w:color w:val="auto"/>
                <w:kern w:val="2"/>
                <w:sz w:val="21"/>
                <w:szCs w:val="21"/>
                <w:lang w:val="en-US" w:eastAsia="zh-CN" w:bidi="ar-SA"/>
              </w:rPr>
            </w:pPr>
            <w:r>
              <w:rPr>
                <w:rFonts w:hint="eastAsia"/>
                <w:b/>
                <w:bCs/>
                <w:color w:val="auto"/>
                <w:sz w:val="21"/>
                <w:szCs w:val="21"/>
                <w:lang w:val="en-US" w:eastAsia="zh-CN"/>
              </w:rPr>
              <w:t>预算单价（万元）</w:t>
            </w:r>
          </w:p>
        </w:tc>
        <w:tc>
          <w:tcPr>
            <w:tcW w:w="1069" w:type="dxa"/>
          </w:tcPr>
          <w:p w14:paraId="307C0A4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b/>
                <w:bCs/>
                <w:color w:val="auto"/>
                <w:sz w:val="21"/>
                <w:szCs w:val="21"/>
              </w:rPr>
            </w:pPr>
            <w:r>
              <w:rPr>
                <w:rFonts w:hint="eastAsia"/>
                <w:b/>
                <w:bCs/>
                <w:color w:val="auto"/>
                <w:sz w:val="21"/>
                <w:szCs w:val="21"/>
              </w:rPr>
              <w:t>预算金额（万元）</w:t>
            </w:r>
          </w:p>
        </w:tc>
      </w:tr>
      <w:tr w14:paraId="24DF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BFEE8C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1</w:t>
            </w:r>
          </w:p>
        </w:tc>
        <w:tc>
          <w:tcPr>
            <w:tcW w:w="6015" w:type="dxa"/>
            <w:gridSpan w:val="2"/>
            <w:vAlign w:val="center"/>
          </w:tcPr>
          <w:p w14:paraId="171F4C3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企行校产教融合综合管理保障服务平台（综合管理）</w:t>
            </w:r>
          </w:p>
        </w:tc>
        <w:tc>
          <w:tcPr>
            <w:tcW w:w="917" w:type="dxa"/>
            <w:gridSpan w:val="2"/>
            <w:vAlign w:val="center"/>
          </w:tcPr>
          <w:p w14:paraId="7B2CF0B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4F8A5E9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83.5</w:t>
            </w:r>
          </w:p>
        </w:tc>
        <w:tc>
          <w:tcPr>
            <w:tcW w:w="1069" w:type="dxa"/>
            <w:vAlign w:val="center"/>
          </w:tcPr>
          <w:p w14:paraId="7E8D46A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rPr>
              <w:t>83</w:t>
            </w:r>
            <w:r>
              <w:rPr>
                <w:rFonts w:hint="eastAsia"/>
                <w:color w:val="auto"/>
                <w:sz w:val="21"/>
                <w:szCs w:val="21"/>
              </w:rPr>
              <w:t>.5</w:t>
            </w:r>
          </w:p>
        </w:tc>
      </w:tr>
      <w:tr w14:paraId="5346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25451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1.1</w:t>
            </w:r>
          </w:p>
        </w:tc>
        <w:tc>
          <w:tcPr>
            <w:tcW w:w="1133" w:type="dxa"/>
            <w:vAlign w:val="center"/>
          </w:tcPr>
          <w:p w14:paraId="5B17B70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实训基地基础信息管理</w:t>
            </w:r>
          </w:p>
        </w:tc>
        <w:tc>
          <w:tcPr>
            <w:tcW w:w="4882" w:type="dxa"/>
            <w:vAlign w:val="center"/>
          </w:tcPr>
          <w:p w14:paraId="48AC566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实现实训基地管理功能，支持设备参数、服务能力及需求参数的管理，支持设备匹配；支持设备管理。</w:t>
            </w:r>
          </w:p>
          <w:p w14:paraId="331A3EC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1、设备信息管理：支持实训基地管理仪器设备参数、可提供服务能力说明、设备需求参数；支持设备信息的增删改查，确保信息及时更新。</w:t>
            </w:r>
          </w:p>
          <w:p w14:paraId="6F0FF69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2、智能匹配：对已有记录进行智能匹配筛选，匹配平台内符合条件的资源，并展示匹配结果。</w:t>
            </w:r>
          </w:p>
          <w:p w14:paraId="7962C77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3、设备维护管理：支持上传记录设备运行状态。</w:t>
            </w:r>
          </w:p>
          <w:p w14:paraId="3A32A09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4、安全管理：提供标准API接口，支持上传设备安全、环境安全；支持紧急预警触发，推送预警信息至相关负责人。</w:t>
            </w:r>
          </w:p>
        </w:tc>
        <w:tc>
          <w:tcPr>
            <w:tcW w:w="917" w:type="dxa"/>
            <w:gridSpan w:val="2"/>
            <w:vAlign w:val="center"/>
          </w:tcPr>
          <w:p w14:paraId="45D91F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7D08097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30</w:t>
            </w:r>
          </w:p>
        </w:tc>
        <w:tc>
          <w:tcPr>
            <w:tcW w:w="1069" w:type="dxa"/>
            <w:vAlign w:val="center"/>
          </w:tcPr>
          <w:p w14:paraId="2CB359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30</w:t>
            </w:r>
          </w:p>
        </w:tc>
      </w:tr>
      <w:tr w14:paraId="6D6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982E0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1.2</w:t>
            </w:r>
          </w:p>
        </w:tc>
        <w:tc>
          <w:tcPr>
            <w:tcW w:w="1133" w:type="dxa"/>
            <w:vAlign w:val="center"/>
          </w:tcPr>
          <w:p w14:paraId="55C76FB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学校基础信息管理</w:t>
            </w:r>
          </w:p>
        </w:tc>
        <w:tc>
          <w:tcPr>
            <w:tcW w:w="4882" w:type="dxa"/>
            <w:vAlign w:val="center"/>
          </w:tcPr>
          <w:p w14:paraId="22B105E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支持对学校基础信息的录入及维护，根据权限，仅支持本校管理员对该校信息录入及维护。</w:t>
            </w:r>
          </w:p>
        </w:tc>
        <w:tc>
          <w:tcPr>
            <w:tcW w:w="917" w:type="dxa"/>
            <w:gridSpan w:val="2"/>
            <w:vAlign w:val="center"/>
          </w:tcPr>
          <w:p w14:paraId="0CDDFC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196CBE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7</w:t>
            </w:r>
          </w:p>
        </w:tc>
        <w:tc>
          <w:tcPr>
            <w:tcW w:w="1069" w:type="dxa"/>
            <w:vAlign w:val="center"/>
          </w:tcPr>
          <w:p w14:paraId="0940C4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7</w:t>
            </w:r>
          </w:p>
        </w:tc>
      </w:tr>
      <w:tr w14:paraId="64F0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DB2842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1.3</w:t>
            </w:r>
          </w:p>
        </w:tc>
        <w:tc>
          <w:tcPr>
            <w:tcW w:w="1133" w:type="dxa"/>
            <w:vAlign w:val="center"/>
          </w:tcPr>
          <w:p w14:paraId="32639B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企业基础信息管理</w:t>
            </w:r>
          </w:p>
        </w:tc>
        <w:tc>
          <w:tcPr>
            <w:tcW w:w="4882" w:type="dxa"/>
            <w:vAlign w:val="center"/>
          </w:tcPr>
          <w:p w14:paraId="57D0FBC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支持对企业基础信息的录入及维护，根据不同权限仅支持对本企业信息进行维护。</w:t>
            </w:r>
          </w:p>
        </w:tc>
        <w:tc>
          <w:tcPr>
            <w:tcW w:w="917" w:type="dxa"/>
            <w:gridSpan w:val="2"/>
            <w:vAlign w:val="center"/>
          </w:tcPr>
          <w:p w14:paraId="0CA25A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3A7FE0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7</w:t>
            </w:r>
          </w:p>
        </w:tc>
        <w:tc>
          <w:tcPr>
            <w:tcW w:w="1069" w:type="dxa"/>
            <w:vAlign w:val="center"/>
          </w:tcPr>
          <w:p w14:paraId="2154302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7</w:t>
            </w:r>
          </w:p>
        </w:tc>
      </w:tr>
      <w:tr w14:paraId="3A4D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E9AF3A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1.4</w:t>
            </w:r>
          </w:p>
        </w:tc>
        <w:tc>
          <w:tcPr>
            <w:tcW w:w="1133" w:type="dxa"/>
            <w:vAlign w:val="center"/>
          </w:tcPr>
          <w:p w14:paraId="56AAF70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人才基础信息管理</w:t>
            </w:r>
          </w:p>
        </w:tc>
        <w:tc>
          <w:tcPr>
            <w:tcW w:w="4882" w:type="dxa"/>
            <w:vAlign w:val="center"/>
          </w:tcPr>
          <w:p w14:paraId="1C2AD06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支持对人才的基础信息录入管理及维护。</w:t>
            </w:r>
          </w:p>
        </w:tc>
        <w:tc>
          <w:tcPr>
            <w:tcW w:w="917" w:type="dxa"/>
            <w:gridSpan w:val="2"/>
            <w:vAlign w:val="center"/>
          </w:tcPr>
          <w:p w14:paraId="50E805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4DD6FC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7</w:t>
            </w:r>
          </w:p>
        </w:tc>
        <w:tc>
          <w:tcPr>
            <w:tcW w:w="1069" w:type="dxa"/>
            <w:vAlign w:val="center"/>
          </w:tcPr>
          <w:p w14:paraId="35697D1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7</w:t>
            </w:r>
          </w:p>
        </w:tc>
      </w:tr>
      <w:tr w14:paraId="33C2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06536C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1.5</w:t>
            </w:r>
          </w:p>
        </w:tc>
        <w:tc>
          <w:tcPr>
            <w:tcW w:w="1133" w:type="dxa"/>
            <w:vAlign w:val="center"/>
          </w:tcPr>
          <w:p w14:paraId="0052D6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专家基础信息管理</w:t>
            </w:r>
          </w:p>
        </w:tc>
        <w:tc>
          <w:tcPr>
            <w:tcW w:w="4882" w:type="dxa"/>
            <w:vAlign w:val="center"/>
          </w:tcPr>
          <w:p w14:paraId="059A5DF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该信息用于专家在平台登录、</w:t>
            </w:r>
          </w:p>
          <w:p w14:paraId="20CA2BC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支持对人员基础信息进行录入管理。可以个人上传相关信息，企业和院校可以利用批量上传功能一次性上传多个产教融合师资的信息，提高管理效率。</w:t>
            </w:r>
          </w:p>
          <w:p w14:paraId="2463DCB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1、信息采集：支持专家个人上传信息；支持院校批量上传信息。</w:t>
            </w:r>
          </w:p>
          <w:p w14:paraId="0382E75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2、身份验证：专家信息完成身份校验，确保操作权限与身份匹配。</w:t>
            </w:r>
          </w:p>
          <w:p w14:paraId="0EE69C5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3、经验交流：提供文字交流模块，支持专家发布工作经验、实训心得，可进行评论、点赞、收藏互动；支持按主题筛选交流内容，方便信息查找。</w:t>
            </w:r>
          </w:p>
        </w:tc>
        <w:tc>
          <w:tcPr>
            <w:tcW w:w="917" w:type="dxa"/>
            <w:gridSpan w:val="2"/>
            <w:vAlign w:val="center"/>
          </w:tcPr>
          <w:p w14:paraId="2B42755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16F077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5</w:t>
            </w:r>
          </w:p>
        </w:tc>
        <w:tc>
          <w:tcPr>
            <w:tcW w:w="1069" w:type="dxa"/>
            <w:vAlign w:val="center"/>
          </w:tcPr>
          <w:p w14:paraId="42F02A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5</w:t>
            </w:r>
          </w:p>
        </w:tc>
      </w:tr>
      <w:tr w14:paraId="2C6A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2299D3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1.6</w:t>
            </w:r>
          </w:p>
        </w:tc>
        <w:tc>
          <w:tcPr>
            <w:tcW w:w="1133" w:type="dxa"/>
            <w:vAlign w:val="center"/>
          </w:tcPr>
          <w:p w14:paraId="2955C6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教师基础信息管理</w:t>
            </w:r>
          </w:p>
        </w:tc>
        <w:tc>
          <w:tcPr>
            <w:tcW w:w="4882" w:type="dxa"/>
            <w:vAlign w:val="center"/>
          </w:tcPr>
          <w:p w14:paraId="16DCE50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该信息用于教师在平台登录、</w:t>
            </w:r>
          </w:p>
          <w:p w14:paraId="718C25F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支持对人员基础信息进行录入管理。可以个人上传相关信息，企业和院校可以利用批量上传功能一次性上传多个产教融合师资的信息，提高管理效率。</w:t>
            </w:r>
          </w:p>
          <w:p w14:paraId="22EFDA3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1、信息采集：支持教师个人上传信息；支持院校批量上传信息。</w:t>
            </w:r>
          </w:p>
          <w:p w14:paraId="25A63F8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2、身份验证：教师信息完成身份校验，确保操作权限与身份匹配。</w:t>
            </w:r>
          </w:p>
          <w:p w14:paraId="56BC8C6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3、经验交流：提供文字交流模块，支持教师发布工作经验、实训心得，可进行评论、点赞、收藏互动；支持按主题筛选交流内容，方便信息查找。</w:t>
            </w:r>
          </w:p>
        </w:tc>
        <w:tc>
          <w:tcPr>
            <w:tcW w:w="917" w:type="dxa"/>
            <w:gridSpan w:val="2"/>
            <w:vAlign w:val="center"/>
          </w:tcPr>
          <w:p w14:paraId="5B92411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5EDC6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5</w:t>
            </w:r>
          </w:p>
        </w:tc>
        <w:tc>
          <w:tcPr>
            <w:tcW w:w="1069" w:type="dxa"/>
            <w:vAlign w:val="center"/>
          </w:tcPr>
          <w:p w14:paraId="499580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5</w:t>
            </w:r>
          </w:p>
        </w:tc>
      </w:tr>
      <w:tr w14:paraId="31F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01B210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1.7</w:t>
            </w:r>
          </w:p>
        </w:tc>
        <w:tc>
          <w:tcPr>
            <w:tcW w:w="1133" w:type="dxa"/>
            <w:vAlign w:val="center"/>
          </w:tcPr>
          <w:p w14:paraId="007BB4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学员信息管理</w:t>
            </w:r>
          </w:p>
        </w:tc>
        <w:tc>
          <w:tcPr>
            <w:tcW w:w="4882" w:type="dxa"/>
            <w:vAlign w:val="center"/>
          </w:tcPr>
          <w:p w14:paraId="403B345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学院信息录入和管理，参与产教融合实习实训学员的基本信息，如姓名、性别、年龄、班级、学号等。系统管理员通过平台可以高效精准地进行产教融合实习实训学员信息的增加、修改、删除和查询等操作，确保信息的准确性和实时性。</w:t>
            </w:r>
          </w:p>
          <w:p w14:paraId="2DF0CDE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1、学员基础信息管理：记录学员基本信息（姓名、性别、年龄、班级、学号等），仅用于平台操作（登录、实训室预约、课程学习）身份验证及个人信息绑定；支持管理员对信息进行增删改查，提供信息导入 / 导出功能，并记录信息修改日志。</w:t>
            </w:r>
          </w:p>
          <w:p w14:paraId="0F08B5C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2、实训成绩管理：记录学员各科实训成绩，支持成绩录入、成绩计算、成绩查询、成绩统计。</w:t>
            </w:r>
          </w:p>
          <w:p w14:paraId="7289BD4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3、用户权限与终端管理：提供用户权限配置，支持权限灵活分配；支持学员申请使用实训设备，记录设备使用日志。</w:t>
            </w:r>
          </w:p>
        </w:tc>
        <w:tc>
          <w:tcPr>
            <w:tcW w:w="917" w:type="dxa"/>
            <w:gridSpan w:val="2"/>
            <w:vAlign w:val="center"/>
          </w:tcPr>
          <w:p w14:paraId="2D26922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21E882B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5</w:t>
            </w:r>
          </w:p>
        </w:tc>
        <w:tc>
          <w:tcPr>
            <w:tcW w:w="1069" w:type="dxa"/>
            <w:vAlign w:val="center"/>
          </w:tcPr>
          <w:p w14:paraId="1E3A5C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5</w:t>
            </w:r>
          </w:p>
        </w:tc>
      </w:tr>
      <w:tr w14:paraId="5F45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A599E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1.8</w:t>
            </w:r>
          </w:p>
        </w:tc>
        <w:tc>
          <w:tcPr>
            <w:tcW w:w="1133" w:type="dxa"/>
            <w:vAlign w:val="center"/>
          </w:tcPr>
          <w:p w14:paraId="6B1C37B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考试考核管理</w:t>
            </w:r>
          </w:p>
        </w:tc>
        <w:tc>
          <w:tcPr>
            <w:tcW w:w="4882" w:type="dxa"/>
            <w:vAlign w:val="center"/>
          </w:tcPr>
          <w:p w14:paraId="36D24C1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实现实习实训考试考核的通知发布，及考试全流程管理，涵盖线上线下考试管理、试卷管理、成绩登录及查询检索；支持制定试卷、选择考试方式，支持学员查询个人成绩。</w:t>
            </w:r>
          </w:p>
          <w:p w14:paraId="01CA228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1、考核管理：支持教师、企业、管理员设置考核标准；支持考核过程记录；支持根据考核结果管理，录入成绩与评价，作为发证依据。</w:t>
            </w:r>
          </w:p>
          <w:p w14:paraId="15948DD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2、考试安排：支持设置考试类型、考试科目、考试时间、考试时长、参考学员范围；支持线上考试的试卷分发、线下考试的考场安排。</w:t>
            </w:r>
          </w:p>
          <w:p w14:paraId="2428D29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3、试卷管理：支持试卷创建、试卷保存、试卷修改、试卷预览。</w:t>
            </w:r>
          </w:p>
          <w:p w14:paraId="70B8679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4、阅卷管理：支持自动化阅卷、人工阅卷；支持阅卷进度查看，支持成绩异议处理。</w:t>
            </w:r>
          </w:p>
          <w:p w14:paraId="17645DA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5、成绩管理：支持成绩录入、成绩查询、成绩统计；支持成绩导出。</w:t>
            </w:r>
          </w:p>
        </w:tc>
        <w:tc>
          <w:tcPr>
            <w:tcW w:w="917" w:type="dxa"/>
            <w:gridSpan w:val="2"/>
            <w:vAlign w:val="center"/>
          </w:tcPr>
          <w:p w14:paraId="3397926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6EBEBB8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5</w:t>
            </w:r>
          </w:p>
        </w:tc>
        <w:tc>
          <w:tcPr>
            <w:tcW w:w="1069" w:type="dxa"/>
            <w:vAlign w:val="center"/>
          </w:tcPr>
          <w:p w14:paraId="68771FC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5</w:t>
            </w:r>
          </w:p>
        </w:tc>
      </w:tr>
      <w:tr w14:paraId="07C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4F6C04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1.9</w:t>
            </w:r>
          </w:p>
        </w:tc>
        <w:tc>
          <w:tcPr>
            <w:tcW w:w="1133" w:type="dxa"/>
            <w:vAlign w:val="center"/>
          </w:tcPr>
          <w:p w14:paraId="0D3C84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企业证书管理</w:t>
            </w:r>
          </w:p>
        </w:tc>
        <w:tc>
          <w:tcPr>
            <w:tcW w:w="4882" w:type="dxa"/>
            <w:vAlign w:val="center"/>
          </w:tcPr>
          <w:p w14:paraId="74318F4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实现企业颁发或认定证书管理功能，包含证书编码资源管理（确保编码规范唯一）、证书档案管理。</w:t>
            </w:r>
          </w:p>
          <w:p w14:paraId="3181390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1.证书编码管理：内置证书编码生成规则。</w:t>
            </w:r>
          </w:p>
          <w:p w14:paraId="37088AF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2.证书档案管理：支持证书信息录入，关联证书电子版上传；支持证书检索；支持证书更新；支持证书导出。</w:t>
            </w:r>
          </w:p>
        </w:tc>
        <w:tc>
          <w:tcPr>
            <w:tcW w:w="917" w:type="dxa"/>
            <w:gridSpan w:val="2"/>
            <w:vAlign w:val="center"/>
          </w:tcPr>
          <w:p w14:paraId="2C9C3B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2BF5EE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w:t>
            </w:r>
          </w:p>
        </w:tc>
        <w:tc>
          <w:tcPr>
            <w:tcW w:w="1069" w:type="dxa"/>
            <w:vAlign w:val="center"/>
          </w:tcPr>
          <w:p w14:paraId="51D7E3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w:t>
            </w:r>
          </w:p>
        </w:tc>
      </w:tr>
      <w:tr w14:paraId="3A2B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89BA53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1.10</w:t>
            </w:r>
          </w:p>
        </w:tc>
        <w:tc>
          <w:tcPr>
            <w:tcW w:w="1133" w:type="dxa"/>
            <w:vAlign w:val="center"/>
          </w:tcPr>
          <w:p w14:paraId="17E4DD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课程资源基础信息管理</w:t>
            </w:r>
          </w:p>
        </w:tc>
        <w:tc>
          <w:tcPr>
            <w:tcW w:w="4882" w:type="dxa"/>
            <w:vAlign w:val="center"/>
          </w:tcPr>
          <w:p w14:paraId="3152ED7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实现实训课程资源集中管理，支持课程资源录入、审核、发布、评价、查看、收藏、分享设置；支持对设备、教材、教案、视频等资源统一分类、整理、存储；支持形成本地化教学资源。</w:t>
            </w:r>
          </w:p>
          <w:p w14:paraId="6F77132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1、资源操作：支持课程资源录入；支持资源审核；支持资源评价；支持资源查看、收藏、分享。</w:t>
            </w:r>
          </w:p>
          <w:p w14:paraId="1FE6886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2、资源分类存储：对设备、教材、教案、视频等资源按专业领域、资源类型、实训课程关联关系进行统一分类；支持自定义分类标签，方便资源归类与检索。</w:t>
            </w:r>
          </w:p>
        </w:tc>
        <w:tc>
          <w:tcPr>
            <w:tcW w:w="917" w:type="dxa"/>
            <w:gridSpan w:val="2"/>
            <w:vAlign w:val="center"/>
          </w:tcPr>
          <w:p w14:paraId="6C5FBE7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8430B6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9.5</w:t>
            </w:r>
          </w:p>
        </w:tc>
        <w:tc>
          <w:tcPr>
            <w:tcW w:w="1069" w:type="dxa"/>
            <w:vAlign w:val="center"/>
          </w:tcPr>
          <w:p w14:paraId="566860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9.5</w:t>
            </w:r>
          </w:p>
        </w:tc>
      </w:tr>
      <w:tr w14:paraId="692F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13B873A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2</w:t>
            </w:r>
          </w:p>
        </w:tc>
        <w:tc>
          <w:tcPr>
            <w:tcW w:w="6015" w:type="dxa"/>
            <w:gridSpan w:val="2"/>
            <w:vAlign w:val="center"/>
          </w:tcPr>
          <w:p w14:paraId="5C606E8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产教融合实训基地管理平台（实训基地）</w:t>
            </w:r>
          </w:p>
        </w:tc>
        <w:tc>
          <w:tcPr>
            <w:tcW w:w="917" w:type="dxa"/>
            <w:gridSpan w:val="2"/>
            <w:vAlign w:val="center"/>
          </w:tcPr>
          <w:p w14:paraId="25E197B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5B91A1C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86.21</w:t>
            </w:r>
          </w:p>
        </w:tc>
        <w:tc>
          <w:tcPr>
            <w:tcW w:w="1069" w:type="dxa"/>
            <w:vAlign w:val="center"/>
          </w:tcPr>
          <w:p w14:paraId="105024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rPr>
              <w:t>86</w:t>
            </w:r>
            <w:r>
              <w:rPr>
                <w:rFonts w:hint="eastAsia"/>
                <w:color w:val="auto"/>
                <w:sz w:val="21"/>
                <w:szCs w:val="21"/>
              </w:rPr>
              <w:t>.</w:t>
            </w:r>
            <w:r>
              <w:rPr>
                <w:color w:val="auto"/>
                <w:sz w:val="21"/>
                <w:szCs w:val="21"/>
              </w:rPr>
              <w:t>21</w:t>
            </w:r>
          </w:p>
        </w:tc>
      </w:tr>
      <w:tr w14:paraId="468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45FA8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2.1</w:t>
            </w:r>
          </w:p>
        </w:tc>
        <w:tc>
          <w:tcPr>
            <w:tcW w:w="1133" w:type="dxa"/>
            <w:vAlign w:val="center"/>
          </w:tcPr>
          <w:p w14:paraId="76CCFA6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实习实训基地需求申请</w:t>
            </w:r>
          </w:p>
        </w:tc>
        <w:tc>
          <w:tcPr>
            <w:tcW w:w="4882" w:type="dxa"/>
            <w:vAlign w:val="center"/>
          </w:tcPr>
          <w:p w14:paraId="77F0830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为学校及企业提供实训需求管理功能，支持学生或教师提交含设备、场地、时间的实训需求申请；支持根据申请自动或手动进行资源分配调度（设备预约、场地安排、教师分配）；支持实时跟踪申请、审批、执行进度并提供报告；支持实训需求数据统计分析；具备用户权限管理功能。</w:t>
            </w:r>
          </w:p>
          <w:p w14:paraId="489EF63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1、需求提交：支持学生 / 教师填写实训需求申请；支持附件上传。</w:t>
            </w:r>
          </w:p>
          <w:p w14:paraId="5E20058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2、审批流程：支持审批节点权限分配；支持审批操作；支持审批进度跟踪，审批结果自动推送通知。</w:t>
            </w:r>
          </w:p>
          <w:p w14:paraId="2B786CF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3、资源分配：支持自动分配、手动分配；支持资源预约锁定；支持分配结果公示。</w:t>
            </w:r>
          </w:p>
          <w:p w14:paraId="3DDF392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4、进度监控：实时跟踪需求申请、资源执行进度；支持报告生成；支持异常提醒。</w:t>
            </w:r>
          </w:p>
          <w:p w14:paraId="2A87E95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5、数据统计：支持统计实训需求分布、资源使用效率；支持统计数据导出，提供数据图表展示。</w:t>
            </w:r>
          </w:p>
          <w:p w14:paraId="19EB812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6、权限管理：按用户角色分配权限，限制信息访问、操作范围；支持权限修改，记录权限变更日志。</w:t>
            </w:r>
          </w:p>
        </w:tc>
        <w:tc>
          <w:tcPr>
            <w:tcW w:w="917" w:type="dxa"/>
            <w:gridSpan w:val="2"/>
            <w:vAlign w:val="center"/>
          </w:tcPr>
          <w:p w14:paraId="59B384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6AAED92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34.48</w:t>
            </w:r>
          </w:p>
        </w:tc>
        <w:tc>
          <w:tcPr>
            <w:tcW w:w="1069" w:type="dxa"/>
            <w:vAlign w:val="center"/>
          </w:tcPr>
          <w:p w14:paraId="64F7E6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34.48</w:t>
            </w:r>
          </w:p>
        </w:tc>
      </w:tr>
      <w:tr w14:paraId="72E2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4A6E57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2.2</w:t>
            </w:r>
          </w:p>
        </w:tc>
        <w:tc>
          <w:tcPr>
            <w:tcW w:w="1133" w:type="dxa"/>
            <w:vAlign w:val="center"/>
          </w:tcPr>
          <w:p w14:paraId="400E82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实习实训基地共享服务管理</w:t>
            </w:r>
          </w:p>
        </w:tc>
        <w:tc>
          <w:tcPr>
            <w:tcW w:w="4882" w:type="dxa"/>
            <w:vAlign w:val="center"/>
          </w:tcPr>
          <w:p w14:paraId="3074A76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实现实训基地资源共享与预约管理，支持在线提交共享申请（含设备、场地、使用时间段）及审批，审批结果实时通知申请人；支持在线预约申请及审核，审核结果反馈申请人。</w:t>
            </w:r>
          </w:p>
          <w:p w14:paraId="4C60FB2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1、共享申请：支持用户在线提交共享申请；支持申请信息预览，确认后提交；支持申请状态查询。</w:t>
            </w:r>
          </w:p>
          <w:p w14:paraId="0E35ADA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2、共享审批：支持管理员接收共享申请，查看申请详情及附件；支持审批操作；支持审批结果自动通知申请人。</w:t>
            </w:r>
          </w:p>
          <w:p w14:paraId="41871F1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3、预约申请：支持用户在线选择预约资源、预约时间段，填写预约用途、参与人数；支持实时查看资源空闲状态，避免冲突申请；支持预约申请暂存，后续完善提交。</w:t>
            </w:r>
          </w:p>
          <w:p w14:paraId="3D117FC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4、预约审核：支持审核结果反馈；支持预约修改 / 取消。</w:t>
            </w:r>
          </w:p>
        </w:tc>
        <w:tc>
          <w:tcPr>
            <w:tcW w:w="917" w:type="dxa"/>
            <w:gridSpan w:val="2"/>
            <w:vAlign w:val="center"/>
          </w:tcPr>
          <w:p w14:paraId="47A663D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C06B13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31.73</w:t>
            </w:r>
          </w:p>
        </w:tc>
        <w:tc>
          <w:tcPr>
            <w:tcW w:w="1069" w:type="dxa"/>
            <w:vAlign w:val="center"/>
          </w:tcPr>
          <w:p w14:paraId="4F2DF37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31.73</w:t>
            </w:r>
          </w:p>
        </w:tc>
      </w:tr>
      <w:tr w14:paraId="1C86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A3FA6C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2.3</w:t>
            </w:r>
          </w:p>
        </w:tc>
        <w:tc>
          <w:tcPr>
            <w:tcW w:w="1133" w:type="dxa"/>
            <w:vAlign w:val="center"/>
          </w:tcPr>
          <w:p w14:paraId="0176542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实习实训课程学习</w:t>
            </w:r>
          </w:p>
        </w:tc>
        <w:tc>
          <w:tcPr>
            <w:tcW w:w="4882" w:type="dxa"/>
            <w:vAlign w:val="center"/>
          </w:tcPr>
          <w:p w14:paraId="485DF6D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支持在线学习；维护实训课程，记录学生学习进度与成绩。</w:t>
            </w:r>
          </w:p>
          <w:p w14:paraId="267DC17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1、教学设计：支持教师创建实训课程；支持课程大纲上传、修改，关联课程资源。</w:t>
            </w:r>
          </w:p>
          <w:p w14:paraId="17A56BD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2、多样化教学：支持在线学习；支持线下实训记录。</w:t>
            </w:r>
          </w:p>
          <w:p w14:paraId="19E3426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3、安全监控：提供标准API接口，支持上传，实现监控实训设备运行状态，异常时触发预警。</w:t>
            </w:r>
          </w:p>
          <w:p w14:paraId="2733A34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4、学习跟踪：记录学员学习进度；记录学员成绩；支持学习数据统计，生成学习报告。</w:t>
            </w:r>
          </w:p>
        </w:tc>
        <w:tc>
          <w:tcPr>
            <w:tcW w:w="917" w:type="dxa"/>
            <w:gridSpan w:val="2"/>
            <w:vAlign w:val="center"/>
          </w:tcPr>
          <w:p w14:paraId="6CECDF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421A4E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20</w:t>
            </w:r>
          </w:p>
        </w:tc>
        <w:tc>
          <w:tcPr>
            <w:tcW w:w="1069" w:type="dxa"/>
            <w:vAlign w:val="center"/>
          </w:tcPr>
          <w:p w14:paraId="118207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20</w:t>
            </w:r>
          </w:p>
        </w:tc>
      </w:tr>
      <w:tr w14:paraId="58CC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02B1D8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3</w:t>
            </w:r>
          </w:p>
        </w:tc>
        <w:tc>
          <w:tcPr>
            <w:tcW w:w="6015" w:type="dxa"/>
            <w:gridSpan w:val="2"/>
            <w:vAlign w:val="center"/>
          </w:tcPr>
          <w:p w14:paraId="59A904B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※人才培养及人力资源供需对接服务平台（人才共育）</w:t>
            </w:r>
          </w:p>
        </w:tc>
        <w:tc>
          <w:tcPr>
            <w:tcW w:w="917" w:type="dxa"/>
            <w:gridSpan w:val="2"/>
            <w:vAlign w:val="center"/>
          </w:tcPr>
          <w:p w14:paraId="53BCCB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4AC1364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77.51</w:t>
            </w:r>
          </w:p>
        </w:tc>
        <w:tc>
          <w:tcPr>
            <w:tcW w:w="1069" w:type="dxa"/>
            <w:vAlign w:val="center"/>
          </w:tcPr>
          <w:p w14:paraId="005FC08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rPr>
              <w:t>77</w:t>
            </w:r>
            <w:r>
              <w:rPr>
                <w:rFonts w:hint="eastAsia"/>
                <w:color w:val="auto"/>
                <w:sz w:val="21"/>
                <w:szCs w:val="21"/>
              </w:rPr>
              <w:t>.51</w:t>
            </w:r>
          </w:p>
        </w:tc>
      </w:tr>
      <w:tr w14:paraId="769E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77E7C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3.1</w:t>
            </w:r>
          </w:p>
        </w:tc>
        <w:tc>
          <w:tcPr>
            <w:tcW w:w="1133" w:type="dxa"/>
            <w:vAlign w:val="center"/>
          </w:tcPr>
          <w:p w14:paraId="424C6A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产业项目对接</w:t>
            </w:r>
          </w:p>
        </w:tc>
        <w:tc>
          <w:tcPr>
            <w:tcW w:w="4882" w:type="dxa"/>
            <w:vAlign w:val="center"/>
          </w:tcPr>
          <w:p w14:paraId="7DC0942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由企业提出项目需求，学校、教师响应并组建团队服务；支持项目信息查看（名称、简介、附录上传）、技术领域与人员需求管理、联系方式录入、费用预算查阅与合作协议模板管理；支持跟踪记录项目合作各阶段过程结果、项目验收。</w:t>
            </w:r>
          </w:p>
          <w:p w14:paraId="13728FF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1.项目信息管理功能：支持企业发布项目需求；支持上传附录材料；支持项目信息编辑、下架；支持用户按项目名称、技术领域、发布时间检索项目。</w:t>
            </w:r>
          </w:p>
          <w:p w14:paraId="78DC58A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2.技术与人员管理：支持企业标注项目技术领域；</w:t>
            </w:r>
          </w:p>
          <w:p w14:paraId="62C60B9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沟通与联系：支持企业录入联系方式；支持站内信文字留言；</w:t>
            </w:r>
          </w:p>
          <w:p w14:paraId="681DC02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预算与协议管理：支持上传项目费用预算表；支持平台提供合作协议模板；</w:t>
            </w:r>
          </w:p>
          <w:p w14:paraId="21FEDDC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3.项目跟踪：支持设置项目合作阶段；支持各阶段过程记录；支持佐证材料上传。</w:t>
            </w:r>
          </w:p>
          <w:p w14:paraId="436474C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4.验收管理：支持企业发起项目验收；支持上传验收材料；支持验收评估；支持验收结果公示。</w:t>
            </w:r>
          </w:p>
        </w:tc>
        <w:tc>
          <w:tcPr>
            <w:tcW w:w="917" w:type="dxa"/>
            <w:gridSpan w:val="2"/>
            <w:vAlign w:val="center"/>
          </w:tcPr>
          <w:p w14:paraId="1E43B5E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016DE9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12</w:t>
            </w:r>
          </w:p>
        </w:tc>
        <w:tc>
          <w:tcPr>
            <w:tcW w:w="1069" w:type="dxa"/>
            <w:vAlign w:val="center"/>
          </w:tcPr>
          <w:p w14:paraId="5FE3A1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12</w:t>
            </w:r>
          </w:p>
        </w:tc>
      </w:tr>
      <w:tr w14:paraId="6ABD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5E4B4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3.2</w:t>
            </w:r>
          </w:p>
        </w:tc>
        <w:tc>
          <w:tcPr>
            <w:tcW w:w="1133" w:type="dxa"/>
            <w:vAlign w:val="center"/>
          </w:tcPr>
          <w:p w14:paraId="3918F11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人才共育培养</w:t>
            </w:r>
          </w:p>
        </w:tc>
        <w:tc>
          <w:tcPr>
            <w:tcW w:w="4882" w:type="dxa"/>
            <w:vAlign w:val="center"/>
          </w:tcPr>
          <w:p w14:paraId="5C3880C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为校企提供需求对接与合作功能，企业可发布人才定向培养计划及就业信息，高校可查阅需求；支持合作协议生成模板及线下签订后上传；支持校企共同开发课程。</w:t>
            </w:r>
          </w:p>
          <w:p w14:paraId="067B300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1.需求发布与查阅：支持企业发布人才定向培养计划；支持发布就业信息；支持高校按专业、地区、企业类型检索企业需求；支持需求收藏。</w:t>
            </w:r>
          </w:p>
          <w:p w14:paraId="713653A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2.合作协议管理：支持平台提供合作协议模板；支持协议线下签订后上传；支持协议查询。</w:t>
            </w:r>
          </w:p>
          <w:p w14:paraId="27F4521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3.课程共建：支持校企共同创建课程；支持线下课程设计记录上传；支持课件、教材上传；支持课程内容审核。</w:t>
            </w:r>
          </w:p>
        </w:tc>
        <w:tc>
          <w:tcPr>
            <w:tcW w:w="917" w:type="dxa"/>
            <w:gridSpan w:val="2"/>
            <w:vAlign w:val="center"/>
          </w:tcPr>
          <w:p w14:paraId="01FC923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4939D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12</w:t>
            </w:r>
          </w:p>
        </w:tc>
        <w:tc>
          <w:tcPr>
            <w:tcW w:w="1069" w:type="dxa"/>
            <w:vAlign w:val="center"/>
          </w:tcPr>
          <w:p w14:paraId="7245D5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12</w:t>
            </w:r>
          </w:p>
        </w:tc>
      </w:tr>
      <w:tr w14:paraId="24A5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19EF287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3.3</w:t>
            </w:r>
          </w:p>
        </w:tc>
        <w:tc>
          <w:tcPr>
            <w:tcW w:w="1133" w:type="dxa"/>
            <w:vAlign w:val="center"/>
          </w:tcPr>
          <w:p w14:paraId="713801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实训基地共建</w:t>
            </w:r>
          </w:p>
        </w:tc>
        <w:tc>
          <w:tcPr>
            <w:tcW w:w="4882" w:type="dxa"/>
            <w:vAlign w:val="center"/>
          </w:tcPr>
          <w:p w14:paraId="30AFA37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支持校企发起基地建设项目，发布支持需求；支持校企信息共享、资源优化配置；具备项目管理、进度跟踪功能。</w:t>
            </w:r>
          </w:p>
          <w:p w14:paraId="1CC9F47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1.项目发起：支持学校 / 企业发起基地建设项目；支持上传已有建设条件证明；支持发布支持需求。</w:t>
            </w:r>
          </w:p>
          <w:p w14:paraId="2F795C1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2.信息共享：支持项目发起方查看响应方信息；支持响应方查看项目详情及建设条件、支持需求；支持双方上传补充材料；</w:t>
            </w:r>
          </w:p>
          <w:p w14:paraId="48DA877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3.资源配置：支持资源需求匹配；支持资源使用记录。</w:t>
            </w:r>
          </w:p>
          <w:p w14:paraId="44A0B4A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4.项目管理：支持进度跟踪。</w:t>
            </w:r>
          </w:p>
        </w:tc>
        <w:tc>
          <w:tcPr>
            <w:tcW w:w="917" w:type="dxa"/>
            <w:gridSpan w:val="2"/>
            <w:vAlign w:val="center"/>
          </w:tcPr>
          <w:p w14:paraId="297DD4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2D15F5C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12</w:t>
            </w:r>
          </w:p>
        </w:tc>
        <w:tc>
          <w:tcPr>
            <w:tcW w:w="1069" w:type="dxa"/>
            <w:vAlign w:val="center"/>
          </w:tcPr>
          <w:p w14:paraId="7E5D07B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12</w:t>
            </w:r>
          </w:p>
        </w:tc>
      </w:tr>
      <w:tr w14:paraId="009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807051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3.4</w:t>
            </w:r>
          </w:p>
        </w:tc>
        <w:tc>
          <w:tcPr>
            <w:tcW w:w="1133" w:type="dxa"/>
            <w:vAlign w:val="center"/>
          </w:tcPr>
          <w:p w14:paraId="44C1F6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人才需求</w:t>
            </w:r>
          </w:p>
        </w:tc>
        <w:tc>
          <w:tcPr>
            <w:tcW w:w="4882" w:type="dxa"/>
            <w:vAlign w:val="center"/>
          </w:tcPr>
          <w:p w14:paraId="08EB2D2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实现校企人才实训需求对接，企业可发布人才需求及行业专家资源；学校可推荐人才、提出专家需求；支持校企查看智能匹配报告。</w:t>
            </w:r>
          </w:p>
          <w:p w14:paraId="37E00B6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1、企业需求发布：支持企业发布人才需求；支持发布行业专家资源；支持需求修改、下架。</w:t>
            </w:r>
          </w:p>
          <w:p w14:paraId="7A7D1B4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2、学校人才推荐：支持学校查看企业人才需求，筛选符合条件的学员；支持提交人才推荐申请；支持推荐记录查询。</w:t>
            </w:r>
          </w:p>
          <w:p w14:paraId="7E7A9A9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3、专家需求对接：支持学校提出专家需求；支持企业查看专家需求，推荐匹配的行业专家；</w:t>
            </w:r>
          </w:p>
          <w:p w14:paraId="0BFE009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4、智能匹配：支持按企业人才需求与学校人才输出进行匹配，生成匹配报告；支持企、校查看匹配报告；支持匹配记录存档。</w:t>
            </w:r>
          </w:p>
        </w:tc>
        <w:tc>
          <w:tcPr>
            <w:tcW w:w="917" w:type="dxa"/>
            <w:gridSpan w:val="2"/>
            <w:vAlign w:val="center"/>
          </w:tcPr>
          <w:p w14:paraId="22E9632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6718DD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10</w:t>
            </w:r>
          </w:p>
        </w:tc>
        <w:tc>
          <w:tcPr>
            <w:tcW w:w="1069" w:type="dxa"/>
            <w:vAlign w:val="center"/>
          </w:tcPr>
          <w:p w14:paraId="7BA5870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10</w:t>
            </w:r>
          </w:p>
        </w:tc>
      </w:tr>
      <w:tr w14:paraId="2AB7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4B9F1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3.5</w:t>
            </w:r>
          </w:p>
        </w:tc>
        <w:tc>
          <w:tcPr>
            <w:tcW w:w="1133" w:type="dxa"/>
            <w:vAlign w:val="center"/>
          </w:tcPr>
          <w:p w14:paraId="1142946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岗位需求</w:t>
            </w:r>
          </w:p>
        </w:tc>
        <w:tc>
          <w:tcPr>
            <w:tcW w:w="4882" w:type="dxa"/>
            <w:vAlign w:val="center"/>
          </w:tcPr>
          <w:p w14:paraId="01A53D7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支持院系端提出岗位需求；校园端审核需求，审核通过后发布至平台；平台根据需求在企业资源中智能匹配推荐，供院系端查看。</w:t>
            </w:r>
          </w:p>
          <w:p w14:paraId="1538864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需求提出：支持院系端发布岗位需求；支持需求附件上传；支持需求草稿保存，后续完善提交。</w:t>
            </w:r>
          </w:p>
          <w:p w14:paraId="00B6DBC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1.需求审核：支持校园端接收院系需求，审核需求合理性、可行性；支持审核操作；支持审核记录查询。</w:t>
            </w:r>
          </w:p>
          <w:p w14:paraId="7394285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2.需求发布与匹配：审核通过的需求自动发布至平台，供企业查看；支持平台按需求关键词在企业资源库中检索匹配企业；支持生成匹配推荐列表；支持院系端查看推荐结果，选择对接企业。</w:t>
            </w:r>
          </w:p>
        </w:tc>
        <w:tc>
          <w:tcPr>
            <w:tcW w:w="917" w:type="dxa"/>
            <w:gridSpan w:val="2"/>
            <w:vAlign w:val="center"/>
          </w:tcPr>
          <w:p w14:paraId="08A1C75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FD1BA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9</w:t>
            </w:r>
          </w:p>
        </w:tc>
        <w:tc>
          <w:tcPr>
            <w:tcW w:w="1069" w:type="dxa"/>
            <w:vAlign w:val="center"/>
          </w:tcPr>
          <w:p w14:paraId="2C1EF1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9</w:t>
            </w:r>
          </w:p>
        </w:tc>
      </w:tr>
      <w:tr w14:paraId="64AA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C657F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3.6</w:t>
            </w:r>
          </w:p>
        </w:tc>
        <w:tc>
          <w:tcPr>
            <w:tcW w:w="1133" w:type="dxa"/>
            <w:vAlign w:val="center"/>
          </w:tcPr>
          <w:p w14:paraId="685507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就业方向及职业规划辅导</w:t>
            </w:r>
          </w:p>
        </w:tc>
        <w:tc>
          <w:tcPr>
            <w:tcW w:w="4882" w:type="dxa"/>
            <w:vAlign w:val="center"/>
          </w:tcPr>
          <w:p w14:paraId="749FC5F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整合教师、企业、AI 辅导资源，教师可按学生情况提供个性化就业指导；企业专家可分享行业趋势、岗位需求等；基于学生专业及就业倾向，推荐就业方向岗位，实时更新就业信息。</w:t>
            </w:r>
          </w:p>
          <w:p w14:paraId="1E62F4C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1.教师辅导：支持教师查看学生信息；支持教师为学生提供就业指导；支持辅导记录保存；支持教师发布就业指导资料。</w:t>
            </w:r>
          </w:p>
          <w:p w14:paraId="2553824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2.企业辅导：支持企业专家入驻平台，填写专家信息；支持专家发布行业动态、就业经验分享；</w:t>
            </w:r>
          </w:p>
          <w:p w14:paraId="47B33E0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3.AI 辅导：支持分析学生就业倾向、能力短板；支持 AI 推荐就业方向、岗位；支持 AI 实时更新就业信息；支持 AI 生成个性化职业规划报告。</w:t>
            </w:r>
          </w:p>
        </w:tc>
        <w:tc>
          <w:tcPr>
            <w:tcW w:w="917" w:type="dxa"/>
            <w:gridSpan w:val="2"/>
            <w:vAlign w:val="center"/>
          </w:tcPr>
          <w:p w14:paraId="37C67C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77978B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7</w:t>
            </w:r>
          </w:p>
        </w:tc>
        <w:tc>
          <w:tcPr>
            <w:tcW w:w="1069" w:type="dxa"/>
            <w:vAlign w:val="center"/>
          </w:tcPr>
          <w:p w14:paraId="52FEA33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7</w:t>
            </w:r>
          </w:p>
        </w:tc>
      </w:tr>
      <w:tr w14:paraId="05CB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669C2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3.7</w:t>
            </w:r>
          </w:p>
        </w:tc>
        <w:tc>
          <w:tcPr>
            <w:tcW w:w="1133" w:type="dxa"/>
            <w:vAlign w:val="center"/>
          </w:tcPr>
          <w:p w14:paraId="37E8F98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产教融合实习实训学员就业需求及信息管理</w:t>
            </w:r>
          </w:p>
        </w:tc>
        <w:tc>
          <w:tcPr>
            <w:tcW w:w="4882" w:type="dxa"/>
            <w:vAlign w:val="center"/>
          </w:tcPr>
          <w:p w14:paraId="5D982E0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记录管理考核认证后学员就业需求及就业信息；提供就业持续跟踪服务；支持就业信息统计分析，为教学改进、企业招聘提供数据支持。</w:t>
            </w:r>
          </w:p>
          <w:p w14:paraId="1128823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1.就业信息采集：支持记录学员就业状态、就业单位信息、就业时间、工作岗位、薪资水平；支持信息录入；支持信息验证。</w:t>
            </w:r>
          </w:p>
          <w:p w14:paraId="1E23D71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2.就业供需对接：支持学员发布就业需求；支持企业发布招聘需求，平台按学员需求与企业需求进行匹配，推送匹配岗位；支持学员查看招聘信息，提交求职申请；支持就业对接记录保存。</w:t>
            </w:r>
          </w:p>
          <w:p w14:paraId="245CF17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3.就业跟踪：支持设置跟踪周期，自动提醒管理员跟踪学员；支持记录跟踪内容；支持提供后续服务；支持跟踪记录统计。</w:t>
            </w:r>
          </w:p>
          <w:p w14:paraId="648D0FB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4.数据统计分析：支持按行业、岗位、薪资区间、就业地区统计学员就业分布；支持统计就业率、就业稳定性；支持生成就业分析报告；支持报告导出，为学校优化教学、企业招聘提供数据支持。</w:t>
            </w:r>
          </w:p>
        </w:tc>
        <w:tc>
          <w:tcPr>
            <w:tcW w:w="917" w:type="dxa"/>
            <w:gridSpan w:val="2"/>
            <w:vAlign w:val="center"/>
          </w:tcPr>
          <w:p w14:paraId="139FA4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289294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6</w:t>
            </w:r>
          </w:p>
        </w:tc>
        <w:tc>
          <w:tcPr>
            <w:tcW w:w="1069" w:type="dxa"/>
            <w:vAlign w:val="center"/>
          </w:tcPr>
          <w:p w14:paraId="38DDE18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6</w:t>
            </w:r>
          </w:p>
        </w:tc>
      </w:tr>
      <w:tr w14:paraId="0F44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328793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3.8</w:t>
            </w:r>
          </w:p>
        </w:tc>
        <w:tc>
          <w:tcPr>
            <w:tcW w:w="1133" w:type="dxa"/>
            <w:vAlign w:val="center"/>
          </w:tcPr>
          <w:p w14:paraId="56F7C04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毕业求职</w:t>
            </w:r>
          </w:p>
        </w:tc>
        <w:tc>
          <w:tcPr>
            <w:tcW w:w="4882" w:type="dxa"/>
            <w:vAlign w:val="center"/>
          </w:tcPr>
          <w:p w14:paraId="3B731D0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为毕业生与企业提供求职招聘服务，毕业生可发布简历、求职信息；企业可查看求职信息、筛选候选人。</w:t>
            </w:r>
          </w:p>
          <w:p w14:paraId="68D6269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1、毕业生求职：支持毕业生注册账号，完善个人简历；支持简历上传、预览；支持毕业生搜索招聘信息；支持在线投递简历。</w:t>
            </w:r>
          </w:p>
          <w:p w14:paraId="30D774E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2、企业招聘：支持企业注册账号，认证企业信息；支持发布招聘信息；支持招聘信息审核；支持企业查看求职简历；支持企业站内信文字留言；支持企业管理招聘流程。</w:t>
            </w:r>
          </w:p>
          <w:p w14:paraId="332B5ED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3、智能匹配推荐：支持按毕业生求职意向与企业招聘需求进行智能匹配，向毕业生推送匹配岗位，向企业推送匹配简历；支持基于毕业生简历内容、企业招聘要求优化匹配，提高匹配精准度；支持个性化推荐。</w:t>
            </w:r>
          </w:p>
        </w:tc>
        <w:tc>
          <w:tcPr>
            <w:tcW w:w="917" w:type="dxa"/>
            <w:gridSpan w:val="2"/>
            <w:vAlign w:val="center"/>
          </w:tcPr>
          <w:p w14:paraId="3A42C9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190819E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9.51</w:t>
            </w:r>
          </w:p>
        </w:tc>
        <w:tc>
          <w:tcPr>
            <w:tcW w:w="1069" w:type="dxa"/>
            <w:vAlign w:val="center"/>
          </w:tcPr>
          <w:p w14:paraId="0DF49A1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9.51</w:t>
            </w:r>
          </w:p>
        </w:tc>
      </w:tr>
      <w:tr w14:paraId="53AF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DDA789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4</w:t>
            </w:r>
          </w:p>
        </w:tc>
        <w:tc>
          <w:tcPr>
            <w:tcW w:w="6015" w:type="dxa"/>
            <w:gridSpan w:val="2"/>
            <w:vAlign w:val="center"/>
          </w:tcPr>
          <w:p w14:paraId="236C2F8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政策情报分析及信息咨询服务平台（政策情报）</w:t>
            </w:r>
          </w:p>
        </w:tc>
        <w:tc>
          <w:tcPr>
            <w:tcW w:w="917" w:type="dxa"/>
            <w:gridSpan w:val="2"/>
            <w:vAlign w:val="center"/>
          </w:tcPr>
          <w:p w14:paraId="368DD3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4978FC0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59.22</w:t>
            </w:r>
          </w:p>
        </w:tc>
        <w:tc>
          <w:tcPr>
            <w:tcW w:w="1069" w:type="dxa"/>
            <w:vAlign w:val="center"/>
          </w:tcPr>
          <w:p w14:paraId="077CE1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rPr>
              <w:t>59.22</w:t>
            </w:r>
          </w:p>
        </w:tc>
      </w:tr>
      <w:tr w14:paraId="1E38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2476FC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4.1</w:t>
            </w:r>
          </w:p>
        </w:tc>
        <w:tc>
          <w:tcPr>
            <w:tcW w:w="1133" w:type="dxa"/>
            <w:vAlign w:val="center"/>
          </w:tcPr>
          <w:p w14:paraId="178826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情报资源分析</w:t>
            </w:r>
          </w:p>
        </w:tc>
        <w:tc>
          <w:tcPr>
            <w:tcW w:w="4882" w:type="dxa"/>
            <w:vAlign w:val="center"/>
          </w:tcPr>
          <w:p w14:paraId="181F7A2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1.科研方向功能要求</w:t>
            </w:r>
          </w:p>
          <w:p w14:paraId="388F996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1）科研资源整合：汇聚学术论文、专利等科研资源，覆盖主流科研数据库资源，支持资源批量导入、分类存储与标准化管理。</w:t>
            </w:r>
          </w:p>
          <w:p w14:paraId="3C530DC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（2）检索查询服务：提供多维度检索功能，支持关键词、作者、机构、时间、主题等组合检索，提供检索结果的分类筛选查看。</w:t>
            </w:r>
          </w:p>
          <w:p w14:paraId="5BE5E7B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（3）科研趋势分析：具备科研热点识别、趋势追踪功能，可通过数据可视化展示学科发展动态、研究热点演变路径。</w:t>
            </w:r>
          </w:p>
          <w:p w14:paraId="615B9CD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2.教学方向功能要求</w:t>
            </w:r>
          </w:p>
          <w:p w14:paraId="4EB594B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（1）教学资源整合：具备汇聚课件、教学视频等教学资源的能力，支持理论教学、实践教学等多场景资源分类；提供资源检索查询、上传、分类管理与在线预览功能。</w:t>
            </w:r>
          </w:p>
          <w:p w14:paraId="0BBE0A4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（2）个性化教学支撑：具备学生学习需求与兴趣点分析功能，可基于学习行为数据生成针对性教学建议，辅助教师优化教学设计。</w:t>
            </w:r>
          </w:p>
          <w:p w14:paraId="359410A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（3）实践教学合作：支持导入校企实践教学资源，提供实习实训基地信息、企业导师资源展示与匹配推荐功能，促进实践教学合作落地。</w:t>
            </w:r>
          </w:p>
          <w:p w14:paraId="5DAEC50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3.产/行业方向功能要求</w:t>
            </w:r>
          </w:p>
          <w:p w14:paraId="0DA4267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（1）产/行业信息收集：提供重点产业发展趋势、市场需求、技术动态等资讯、报告类资源、行业政策法规类资源、标准规范类资源的发现服务，提供资源的自动采集与人工录入、一体化和标准化管理。</w:t>
            </w:r>
          </w:p>
          <w:p w14:paraId="013042E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（2）战略决策支持：具备产业数据分析功能，可生成产业/行业发展报告等，为企业发展战略制定提供数据支撑。</w:t>
            </w:r>
          </w:p>
          <w:p w14:paraId="0CA6BBC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（3）产业态势监测：提供行业动态实时监测、生成产业动态监测快报，支持政策风险预警，支持企业竞争策略制定与市场机遇捕捉。</w:t>
            </w:r>
          </w:p>
          <w:p w14:paraId="5DA2774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（4）行业交流合作：提供行业内企业、院校、科研机构的交流合作信息发布功能，促进行业资源共享与协同发展。</w:t>
            </w:r>
          </w:p>
          <w:p w14:paraId="06BC9AA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其他要求</w:t>
            </w:r>
          </w:p>
          <w:p w14:paraId="3D03106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（5）可视化展示：支持通过图表、图谱等可视化方式展示分析结果，包括趋势图、关联图谱、统计报表等。</w:t>
            </w:r>
          </w:p>
          <w:p w14:paraId="02A1715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（6）可扩展性：支持资源类型、功能模块的灵活扩展，可适配未来校企合作新增情报需求。</w:t>
            </w:r>
          </w:p>
        </w:tc>
        <w:tc>
          <w:tcPr>
            <w:tcW w:w="917" w:type="dxa"/>
            <w:gridSpan w:val="2"/>
            <w:vAlign w:val="center"/>
          </w:tcPr>
          <w:p w14:paraId="4880F8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143BCA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14.22</w:t>
            </w:r>
          </w:p>
        </w:tc>
        <w:tc>
          <w:tcPr>
            <w:tcW w:w="1069" w:type="dxa"/>
            <w:vAlign w:val="center"/>
          </w:tcPr>
          <w:p w14:paraId="00D1A8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14.22</w:t>
            </w:r>
          </w:p>
        </w:tc>
      </w:tr>
      <w:tr w14:paraId="666C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4B7B75F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4.2</w:t>
            </w:r>
          </w:p>
        </w:tc>
        <w:tc>
          <w:tcPr>
            <w:tcW w:w="1133" w:type="dxa"/>
            <w:vAlign w:val="center"/>
          </w:tcPr>
          <w:p w14:paraId="6368E25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人力资源规划</w:t>
            </w:r>
          </w:p>
        </w:tc>
        <w:tc>
          <w:tcPr>
            <w:tcW w:w="4882" w:type="dxa"/>
            <w:vAlign w:val="center"/>
          </w:tcPr>
          <w:p w14:paraId="09FDA74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1.建设人力资源数据管理系统</w:t>
            </w:r>
          </w:p>
          <w:p w14:paraId="428D8E0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数据源以接口等方式接入，实现来自院校、企业人力资源数据以及企业需求数据的聚合；支持不同来源字段标准化映射和对齐，其中人员的描述维度不少于基本信息、教育背景、职业背景、成果、技能特长等；提供人力资源数据批量导入、导出。</w:t>
            </w:r>
          </w:p>
          <w:p w14:paraId="699BC65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2.人力资源分析与评估</w:t>
            </w:r>
          </w:p>
          <w:p w14:paraId="1BD028D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（1）提供人力资源数据统一检索服务功能，支持从关键词、主题等单维度检索及多条件组合检索。</w:t>
            </w:r>
          </w:p>
          <w:p w14:paraId="79B772E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（2）支持人力资源从产业方向、学历、工作经验、地区等进行多维度分面浏览和筛选；</w:t>
            </w:r>
          </w:p>
          <w:p w14:paraId="65E6546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提供人力资源和企业需求数据的统计分析和关联分析功能，包括人力资源的多维度变化趋势、人力资源的多维度分布统计、人力资源和企业的需求数据的关联统计分析；提供人才流动分析功能，包括人才空间流动分析、行业流动分析、产-学流动分析；从科研与工程不同需求角度提供人才潜力分析功能。</w:t>
            </w:r>
          </w:p>
          <w:p w14:paraId="72943C4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3.智能推荐及预测</w:t>
            </w:r>
          </w:p>
          <w:p w14:paraId="2D35572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基于本地历史岗位需求数据、人力资源数据，构建岗位需求度模型，结合大模型技术推荐热点岗位、潜力岗位。</w:t>
            </w:r>
          </w:p>
          <w:p w14:paraId="08F863E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4.用户画像</w:t>
            </w:r>
          </w:p>
          <w:p w14:paraId="6F7DECC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（1）支持公开数据、内部数据等多来源数据汇聚，提供数据去重、格式标准化、异常值剔除等基础清洗功能，保障数据基本准确与完整；支持数据定时更新（可配置周期），确保数据时效性。</w:t>
            </w:r>
          </w:p>
          <w:p w14:paraId="7E13F3A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（2）提供画像构建功能，内置标准化核心标签，提供企业/行业人才、院校人才等核心主体画像构建，从而支持基于用户画像的科研合作信息发布、合作需求匹配、资源对接、成果共享与合作交流。</w:t>
            </w:r>
          </w:p>
          <w:p w14:paraId="156EDE5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提供画像分析与可视化功能：包括基础分析，如提供用户分群、特征对比、趋势分析等；可视化展示，如支持柱状图、折线图、饼图等常见可视化形式；数据查看，支持从整体数据向下查看明细信息；报告生成，支持自动生成基础版画像分析报告。</w:t>
            </w:r>
          </w:p>
        </w:tc>
        <w:tc>
          <w:tcPr>
            <w:tcW w:w="917" w:type="dxa"/>
            <w:gridSpan w:val="2"/>
            <w:vAlign w:val="center"/>
          </w:tcPr>
          <w:p w14:paraId="70E1AA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EA448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w:t>
            </w:r>
          </w:p>
        </w:tc>
        <w:tc>
          <w:tcPr>
            <w:tcW w:w="1069" w:type="dxa"/>
            <w:vAlign w:val="center"/>
          </w:tcPr>
          <w:p w14:paraId="0DA1C9E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w:t>
            </w:r>
          </w:p>
        </w:tc>
      </w:tr>
      <w:tr w14:paraId="734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003EBB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4.3</w:t>
            </w:r>
          </w:p>
        </w:tc>
        <w:tc>
          <w:tcPr>
            <w:tcW w:w="1133" w:type="dxa"/>
            <w:vAlign w:val="center"/>
          </w:tcPr>
          <w:p w14:paraId="6F6C2F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政策情报分析</w:t>
            </w:r>
          </w:p>
        </w:tc>
        <w:tc>
          <w:tcPr>
            <w:tcW w:w="4882" w:type="dxa"/>
            <w:vAlign w:val="center"/>
          </w:tcPr>
          <w:p w14:paraId="3FB6B63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1.政策规范整合</w:t>
            </w:r>
          </w:p>
          <w:p w14:paraId="0BCAD76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整合国家、山西省级政策、标准规范等资源整合，提供政策资源关键词检索，以及基于政策名称、发布机构、发布年份等字段的多维度检索；提供政策标题、发文机关、有效期、适用范围等标准化映射核心字段。</w:t>
            </w:r>
          </w:p>
          <w:p w14:paraId="7C45706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2.政策解读功能</w:t>
            </w:r>
          </w:p>
          <w:p w14:paraId="74B557E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汇聚何关联“官方解读”（发文机关释义）、“专家解读”（学术机构分析）、“案例解读”（企业实操经验）等多类解读内容，保证解读内容与政策原文关联度校验准确率。</w:t>
            </w:r>
          </w:p>
          <w:p w14:paraId="14F8C43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3.政策咨询服务功能</w:t>
            </w:r>
          </w:p>
          <w:p w14:paraId="4C368AC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提供在线咨询服务通道，部署政策AI智能问答，覆盖80%常见问题（如“专精特新企业申报条件”），支持多轮对话上下文记忆；用户咨询记录全流程追溯。</w:t>
            </w:r>
          </w:p>
          <w:p w14:paraId="260AD9C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4.政策智能匹配：根据用户特征，自动匹配和推荐适配政策，推送申报提醒政策内容。</w:t>
            </w:r>
          </w:p>
          <w:p w14:paraId="090D49F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5.政策申报辅导服务</w:t>
            </w:r>
          </w:p>
          <w:p w14:paraId="094EC53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针对符合相关政策要求的人员，平台提供一站式的补贴申报辅导服务。</w:t>
            </w:r>
          </w:p>
        </w:tc>
        <w:tc>
          <w:tcPr>
            <w:tcW w:w="917" w:type="dxa"/>
            <w:gridSpan w:val="2"/>
            <w:vAlign w:val="center"/>
          </w:tcPr>
          <w:p w14:paraId="39D207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73E203F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w:t>
            </w:r>
          </w:p>
        </w:tc>
        <w:tc>
          <w:tcPr>
            <w:tcW w:w="1069" w:type="dxa"/>
            <w:vAlign w:val="center"/>
          </w:tcPr>
          <w:p w14:paraId="58BD9AE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w:t>
            </w:r>
          </w:p>
        </w:tc>
      </w:tr>
      <w:tr w14:paraId="753B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F1473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4.4</w:t>
            </w:r>
          </w:p>
        </w:tc>
        <w:tc>
          <w:tcPr>
            <w:tcW w:w="1133" w:type="dxa"/>
            <w:vAlign w:val="center"/>
          </w:tcPr>
          <w:p w14:paraId="34227FA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三晋人才服务管理系统</w:t>
            </w:r>
          </w:p>
        </w:tc>
        <w:tc>
          <w:tcPr>
            <w:tcW w:w="4882" w:type="dxa"/>
            <w:vAlign w:val="center"/>
          </w:tcPr>
          <w:p w14:paraId="66BFB5B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1.首页</w:t>
            </w:r>
          </w:p>
          <w:p w14:paraId="7663FA7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基于人才数据、重点产业人才管理产生的相关数据进行统计分析汇总展示。支持人才总览、人才分布热力图、人才多维统计图表等多种形式内容查看。</w:t>
            </w:r>
          </w:p>
          <w:p w14:paraId="075A1D6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2.权限管理</w:t>
            </w:r>
          </w:p>
          <w:p w14:paraId="146E598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针对平台的不同权限开展数据权限管理。</w:t>
            </w:r>
          </w:p>
          <w:p w14:paraId="35A3087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3.人才数据中枢</w:t>
            </w:r>
          </w:p>
          <w:p w14:paraId="47E71B5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建设海量高质量、结构化国内科技人才大数据，覆盖主要高校、科研机构、医院、奖项荣誉等来源，支持对人才的发现、多维度筛选、分布统计分析，支持对高层次人才进行专题建设和服务，支持对人才的全面描述和画像构建如人才头像、人才基本信息、人才履历、人才成果关联等，识别和整合人才的多来源数据，支持对人才数据的高效管理和精编加工。</w:t>
            </w:r>
          </w:p>
          <w:p w14:paraId="5E43525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4.产业人才缺口预测</w:t>
            </w:r>
          </w:p>
          <w:p w14:paraId="1B1BD61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结合山西主导产业发展规划、历史人才流动数据、院校人才培养数据，预测重点领域的人才需求缺口。</w:t>
            </w:r>
          </w:p>
          <w:p w14:paraId="0F899A6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5.政策服务</w:t>
            </w:r>
          </w:p>
          <w:p w14:paraId="3F62464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支持跳转到政策情报分析及信息咨询服务平台，查看人才政策归集与更新，提供政策推送、政策申报辅导、政策解读服务。</w:t>
            </w:r>
          </w:p>
        </w:tc>
        <w:tc>
          <w:tcPr>
            <w:tcW w:w="917" w:type="dxa"/>
            <w:gridSpan w:val="2"/>
            <w:vAlign w:val="center"/>
          </w:tcPr>
          <w:p w14:paraId="126E579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62A1B61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w:t>
            </w:r>
          </w:p>
        </w:tc>
        <w:tc>
          <w:tcPr>
            <w:tcW w:w="1069" w:type="dxa"/>
            <w:vAlign w:val="center"/>
          </w:tcPr>
          <w:p w14:paraId="38FBE50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w:t>
            </w:r>
          </w:p>
        </w:tc>
      </w:tr>
      <w:tr w14:paraId="132A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058F9D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w:t>
            </w:r>
          </w:p>
        </w:tc>
        <w:tc>
          <w:tcPr>
            <w:tcW w:w="6015" w:type="dxa"/>
            <w:gridSpan w:val="2"/>
            <w:vAlign w:val="center"/>
          </w:tcPr>
          <w:p w14:paraId="22097D8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产教融合技术创新及科技成果资讯服务平台</w:t>
            </w:r>
          </w:p>
        </w:tc>
        <w:tc>
          <w:tcPr>
            <w:tcW w:w="917" w:type="dxa"/>
            <w:gridSpan w:val="2"/>
            <w:vAlign w:val="center"/>
          </w:tcPr>
          <w:p w14:paraId="15A8B4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3B1F26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156.05</w:t>
            </w:r>
          </w:p>
        </w:tc>
        <w:tc>
          <w:tcPr>
            <w:tcW w:w="1069" w:type="dxa"/>
            <w:vAlign w:val="center"/>
          </w:tcPr>
          <w:p w14:paraId="348FF5F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rPr>
              <w:t>15</w:t>
            </w:r>
            <w:r>
              <w:rPr>
                <w:rFonts w:hint="eastAsia"/>
                <w:color w:val="auto"/>
                <w:sz w:val="21"/>
                <w:szCs w:val="21"/>
              </w:rPr>
              <w:t>6.05</w:t>
            </w:r>
          </w:p>
        </w:tc>
      </w:tr>
      <w:tr w14:paraId="4EAF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D259A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5.1</w:t>
            </w:r>
          </w:p>
        </w:tc>
        <w:tc>
          <w:tcPr>
            <w:tcW w:w="1133" w:type="dxa"/>
            <w:vAlign w:val="center"/>
          </w:tcPr>
          <w:p w14:paraId="6A6633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产教融合科技成果展示</w:t>
            </w:r>
          </w:p>
        </w:tc>
        <w:tc>
          <w:tcPr>
            <w:tcW w:w="4882" w:type="dxa"/>
            <w:vAlign w:val="center"/>
          </w:tcPr>
          <w:p w14:paraId="02BE931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1.检索功能：支持成果分类、成果类型、成果来源、成果状态4个核心维度的条件检索</w:t>
            </w:r>
          </w:p>
          <w:p w14:paraId="18028C7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2.详情展示</w:t>
            </w:r>
          </w:p>
          <w:p w14:paraId="5A637A0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(1)信息展示</w:t>
            </w:r>
          </w:p>
          <w:p w14:paraId="3DFFB64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完整展示成果类型、有效期、发布日期、技术成熟度、核心团队、成果简介、联系方式、成果附件、转化案例9类核心信息，信息展示完整度100%；</w:t>
            </w:r>
          </w:p>
          <w:p w14:paraId="4CBAF6D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信息分享：支持成果信息一键分享，分享内容自动生成摘要。</w:t>
            </w:r>
          </w:p>
          <w:p w14:paraId="0943B2F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3.数据导出</w:t>
            </w:r>
          </w:p>
          <w:p w14:paraId="3EC67E8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导出格式：支持多种格式导出；</w:t>
            </w:r>
          </w:p>
          <w:p w14:paraId="61588D8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4.收藏功能</w:t>
            </w:r>
          </w:p>
          <w:p w14:paraId="178B47C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(1)支持成果单个收藏、批量收藏，收藏数量无上限，支持收藏夹分类管理；</w:t>
            </w:r>
          </w:p>
          <w:p w14:paraId="112F013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(2)关注功能：支持对核心团队、成果所属机构关注，关注对象有新成果发布时自动推送通知；</w:t>
            </w:r>
          </w:p>
          <w:p w14:paraId="46399FF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(3)收藏管理：支持收藏成果检索、导出，支持收藏成果更新提醒。</w:t>
            </w:r>
          </w:p>
          <w:p w14:paraId="7813A7D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5.评价功能</w:t>
            </w:r>
          </w:p>
          <w:p w14:paraId="7476355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评价展示：成果详情页展示平均星级、评价数量、好评率，支持评价按时间排序。</w:t>
            </w:r>
          </w:p>
          <w:p w14:paraId="6FB426D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6.数据统计</w:t>
            </w:r>
          </w:p>
          <w:p w14:paraId="4CBAF69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(1)成果统计：支持按成果分类、类型、来源、状态、发布时间等维度统计，统计结果支持图表展示（柱状图、折线图、饼图、雷达图）；</w:t>
            </w:r>
          </w:p>
          <w:p w14:paraId="436AF2E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(2)检索统计：支持检索关键词热度统计、检索频次统计，统计周期可自定义；</w:t>
            </w:r>
          </w:p>
          <w:p w14:paraId="390F3DA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(3)统计报表：支持自定义统计报表生成、导出，报表模板可保存。</w:t>
            </w:r>
          </w:p>
        </w:tc>
        <w:tc>
          <w:tcPr>
            <w:tcW w:w="917" w:type="dxa"/>
            <w:gridSpan w:val="2"/>
            <w:vAlign w:val="center"/>
          </w:tcPr>
          <w:p w14:paraId="0669D8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35A869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w:t>
            </w:r>
          </w:p>
        </w:tc>
        <w:tc>
          <w:tcPr>
            <w:tcW w:w="1069" w:type="dxa"/>
            <w:vAlign w:val="center"/>
          </w:tcPr>
          <w:p w14:paraId="229B177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w:t>
            </w:r>
          </w:p>
        </w:tc>
      </w:tr>
      <w:tr w14:paraId="7FEB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1EE49E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5.2</w:t>
            </w:r>
          </w:p>
        </w:tc>
        <w:tc>
          <w:tcPr>
            <w:tcW w:w="1133" w:type="dxa"/>
            <w:vAlign w:val="center"/>
          </w:tcPr>
          <w:p w14:paraId="48A62DA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产教融合专利技术展示</w:t>
            </w:r>
          </w:p>
        </w:tc>
        <w:tc>
          <w:tcPr>
            <w:tcW w:w="4882" w:type="dxa"/>
            <w:vAlign w:val="center"/>
          </w:tcPr>
          <w:p w14:paraId="227F467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1.数据库构建：采用标准化数据存储架构，支持专利数据结构化存储；</w:t>
            </w:r>
          </w:p>
          <w:p w14:paraId="25ED318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w:t>
            </w:r>
          </w:p>
          <w:p w14:paraId="4FA9BEF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(1)检索维度：支持关键字检索、多条件组合检索；</w:t>
            </w:r>
          </w:p>
          <w:p w14:paraId="3D8A852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(2)检索增强：支持专利号精确检索、同族专利检索、法律状态检索，支持检索结果筛选，检索结果高亮显示匹配关键字及所在字段。</w:t>
            </w:r>
          </w:p>
          <w:p w14:paraId="73E1CB6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3.详情展示</w:t>
            </w:r>
          </w:p>
          <w:p w14:paraId="6251FA1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 信息展示：完整展示专利类型、申请号、专利号、发明人、申请人、申请日期、授权日期、法律状态、技术领域、摘要、权利要求书、说明书、附图13类核心信息；</w:t>
            </w:r>
          </w:p>
          <w:p w14:paraId="2B5CE99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(2)文档预览：支持专利说明书（PDF、TIF、DOC格式）在线预览，支持页面跳转、目录导航；</w:t>
            </w:r>
          </w:p>
          <w:p w14:paraId="3F8FB08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(3)附图操作：支持矢量图、位图查看，支持缩放、旋转、平移、对比查看，支持附图下载；</w:t>
            </w:r>
          </w:p>
          <w:p w14:paraId="337C0F3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4.数据校验</w:t>
            </w:r>
          </w:p>
          <w:p w14:paraId="0DFB98C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(1)校验维度：支持关键字段完整性校验、格式校验、逻辑校验；</w:t>
            </w:r>
          </w:p>
          <w:p w14:paraId="0887CCC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(2)预警机制：缺失关键字段或校验不通过时触发分级预警；</w:t>
            </w:r>
          </w:p>
          <w:p w14:paraId="3296CF6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(3)数据修正：支持批量修正校验不通过数据，提供修正建议，修正后自动重新校验。</w:t>
            </w:r>
          </w:p>
          <w:p w14:paraId="5B337A6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5.数据分析:支持按专利类型、技术领域、申请人、发明人、申请年份等维度统计，统计结果支持图表展示（柱状图、折线图、饼图、词云等）。</w:t>
            </w:r>
          </w:p>
        </w:tc>
        <w:tc>
          <w:tcPr>
            <w:tcW w:w="917" w:type="dxa"/>
            <w:gridSpan w:val="2"/>
            <w:vAlign w:val="center"/>
          </w:tcPr>
          <w:p w14:paraId="51E2A2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C1FF07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w:t>
            </w:r>
          </w:p>
        </w:tc>
        <w:tc>
          <w:tcPr>
            <w:tcW w:w="1069" w:type="dxa"/>
            <w:vAlign w:val="center"/>
          </w:tcPr>
          <w:p w14:paraId="52EAD34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w:t>
            </w:r>
          </w:p>
        </w:tc>
      </w:tr>
      <w:tr w14:paraId="08E5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E1E9AC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5.3</w:t>
            </w:r>
          </w:p>
        </w:tc>
        <w:tc>
          <w:tcPr>
            <w:tcW w:w="1133" w:type="dxa"/>
            <w:vAlign w:val="center"/>
          </w:tcPr>
          <w:p w14:paraId="085A29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技术需求检索</w:t>
            </w:r>
          </w:p>
        </w:tc>
        <w:tc>
          <w:tcPr>
            <w:tcW w:w="4882" w:type="dxa"/>
            <w:vAlign w:val="center"/>
          </w:tcPr>
          <w:p w14:paraId="60258E4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1.检索功能</w:t>
            </w:r>
          </w:p>
          <w:p w14:paraId="74822A1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(1)检索维度：支持关键字检索、多条件组合检索；</w:t>
            </w:r>
          </w:p>
          <w:p w14:paraId="465D328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(2)排序功能：支持按发布时间、需求紧急程度、匹配度排序；</w:t>
            </w:r>
          </w:p>
          <w:p w14:paraId="0C4722E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 模板管理：支持检索条件保存、修改、删除，模板支持共享（仅对指定用户/角色），支持模板分类管理，模板保存数量无上限。</w:t>
            </w:r>
          </w:p>
          <w:p w14:paraId="72F99FA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2.详情展示</w:t>
            </w:r>
          </w:p>
          <w:p w14:paraId="0DEC63A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(1)信息展示：完整展示需求类型、行业类别、需求有效期、发布时间、联系人、联系电话、需求介绍、需求说明、目标、预算范围、紧急程度、附件12类核心信息；</w:t>
            </w:r>
          </w:p>
          <w:p w14:paraId="6C3C5FA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(2)内容支持：需求介绍支持富文本编辑，视频支持MP4格式，附件支持Word、Excel、PDF、PPT、ZIP格式；</w:t>
            </w:r>
          </w:p>
          <w:p w14:paraId="04D1B93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(3)附件操作：支持附件在线预览、下载，支持附件批量下载；</w:t>
            </w:r>
          </w:p>
          <w:p w14:paraId="59C0EA1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(4)联系人保护：联系电话支持脱敏展示（中间4位隐藏），需登录并获得查看权限后可查看完整号码。</w:t>
            </w:r>
          </w:p>
          <w:p w14:paraId="321F1FD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3.需求匹配</w:t>
            </w:r>
          </w:p>
          <w:p w14:paraId="48F19C3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(1)匹配机制：采用关键词匹配+语义分析+行业分类匹配的多维度匹配算法；</w:t>
            </w:r>
          </w:p>
          <w:p w14:paraId="57637F8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(2)匹配优化：支持用户自定义匹配权重（关键词权重、行业权重、技术成熟度权重等），支持匹配结果人工筛选、收藏；</w:t>
            </w:r>
          </w:p>
          <w:p w14:paraId="70156AB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(3)匹配反馈：支持用户对匹配结果进行评价；</w:t>
            </w:r>
          </w:p>
          <w:p w14:paraId="45EB1E6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4.需求发布与管理</w:t>
            </w:r>
          </w:p>
          <w:p w14:paraId="752ACD0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(1)发布流程：支持需求在线填报、草稿保存、预览、提交审核，审核通过后发布，审核流程可自定义；</w:t>
            </w:r>
          </w:p>
          <w:p w14:paraId="789A5FE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(2)需求管理：支持需求修改、撤回、下架、重新发布，支持需求状态跟踪（草稿/审核中/已发布/已下架/已对接等）；</w:t>
            </w:r>
          </w:p>
          <w:p w14:paraId="1682CCE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(3)到期提醒：需求有效期到期前自动推送提醒，支持需求有效期延长申请。</w:t>
            </w:r>
          </w:p>
          <w:p w14:paraId="218523C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5.需求对接跟踪</w:t>
            </w:r>
          </w:p>
          <w:p w14:paraId="2EA5CBA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(1)对接方式：支持线上留言、电话联系、预约对接会议三种对接方式，对接记录自动留存；</w:t>
            </w:r>
          </w:p>
          <w:p w14:paraId="443BD16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(2)跟踪管理：支持对接状态跟踪，支持对接进度更新、备注，支持对接结果反馈；</w:t>
            </w:r>
          </w:p>
          <w:p w14:paraId="6976EEF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(3)合作管理：支持合作意向确认、合作协议上传，合作状态自动同步至需求详情页。</w:t>
            </w:r>
          </w:p>
          <w:p w14:paraId="2730838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6.需求统计分析</w:t>
            </w:r>
          </w:p>
          <w:p w14:paraId="16E3CCB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(1)需求统计：支持按需求分类、行业类别、紧急程度、发布时间等维度统计，统计结果支持图表展示；</w:t>
            </w:r>
          </w:p>
          <w:p w14:paraId="586DCAD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(2)对接统计：支持对接成功率、对接周期、热门需求领域统计，统计周期可自定义；</w:t>
            </w:r>
          </w:p>
          <w:p w14:paraId="08D3A32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(3)统计报表：支持自定义统计报表生成、导出。</w:t>
            </w:r>
          </w:p>
        </w:tc>
        <w:tc>
          <w:tcPr>
            <w:tcW w:w="917" w:type="dxa"/>
            <w:gridSpan w:val="2"/>
            <w:vAlign w:val="center"/>
          </w:tcPr>
          <w:p w14:paraId="3AA268C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1E5D92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16.05</w:t>
            </w:r>
          </w:p>
        </w:tc>
        <w:tc>
          <w:tcPr>
            <w:tcW w:w="1069" w:type="dxa"/>
            <w:vAlign w:val="center"/>
          </w:tcPr>
          <w:p w14:paraId="7BBFFF8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16.05</w:t>
            </w:r>
          </w:p>
        </w:tc>
      </w:tr>
      <w:tr w14:paraId="78C1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482E0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5.4</w:t>
            </w:r>
          </w:p>
        </w:tc>
        <w:tc>
          <w:tcPr>
            <w:tcW w:w="1133" w:type="dxa"/>
            <w:vAlign w:val="center"/>
          </w:tcPr>
          <w:p w14:paraId="66CCDCB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产教融合技术需求供需对接及转化</w:t>
            </w:r>
          </w:p>
        </w:tc>
        <w:tc>
          <w:tcPr>
            <w:tcW w:w="4882" w:type="dxa"/>
            <w:vAlign w:val="center"/>
          </w:tcPr>
          <w:p w14:paraId="61AFB96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1.挂牌成果展示</w:t>
            </w:r>
          </w:p>
          <w:p w14:paraId="3427124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w:t>
            </w:r>
          </w:p>
          <w:p w14:paraId="148E23F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字段展示：支持挂牌成果关键字段及图片展示，支持字段自定义显示/隐藏；</w:t>
            </w:r>
          </w:p>
          <w:p w14:paraId="7CDFF71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图片支持：支持JPG、PNG格式，支持多图展示，图片支持轮播、缩略图切换，支持图片懒加载；</w:t>
            </w:r>
          </w:p>
          <w:p w14:paraId="3FD7DA8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标签展示：支持成果特色标签展示，标签可自定义添加。</w:t>
            </w:r>
          </w:p>
          <w:p w14:paraId="5640D0A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（2）排序功能</w:t>
            </w:r>
          </w:p>
          <w:p w14:paraId="73BDA29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排序维度：支持按挂牌时间、交易价格、人气、转化率排序；</w:t>
            </w:r>
          </w:p>
          <w:p w14:paraId="0A5C967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分页设置：支持分页展示，支持无分页滚动加载；</w:t>
            </w:r>
          </w:p>
          <w:p w14:paraId="6340E49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筛选功能：支持按交易方式、技术成熟度、挂牌期限筛选，筛选后排序结果实时更新。</w:t>
            </w:r>
          </w:p>
          <w:p w14:paraId="052E447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2.挂牌成果检索</w:t>
            </w:r>
          </w:p>
          <w:p w14:paraId="789F626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（1）检索功能</w:t>
            </w:r>
          </w:p>
          <w:p w14:paraId="18BD4B1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检索维度：支持关键字检索、多条件组合检索；</w:t>
            </w:r>
          </w:p>
          <w:p w14:paraId="2B056F5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价格检索：支持区间检索、精确检索、价格范围筛选，检索精度到元；</w:t>
            </w:r>
          </w:p>
          <w:p w14:paraId="788B46A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检索增强：支持交易方式、挂牌期限多维度组合检索，支持检索结果高亮显示匹配关键字；</w:t>
            </w:r>
          </w:p>
          <w:p w14:paraId="7ED0F60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（2）收藏功能：支持单个收藏、批量收藏，收藏成果支持分类管理、快速检索，支持收藏到期提醒（与挂牌期限同步）；</w:t>
            </w:r>
          </w:p>
          <w:p w14:paraId="683DDAB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（3）导出功能：支持Excel、PDF、CSV格式导出，导出字段可自定义选择，支持导出任务后台执行并推送下载通知；</w:t>
            </w:r>
          </w:p>
          <w:p w14:paraId="1C91A4E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（4）分享功能：支持检索结果批量分享，分享内容含成果摘要和挂牌核心信息。</w:t>
            </w:r>
          </w:p>
          <w:p w14:paraId="1694F06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3.挂牌成果详情</w:t>
            </w:r>
          </w:p>
          <w:p w14:paraId="5A1CFD5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w:t>
            </w:r>
          </w:p>
          <w:p w14:paraId="27A2D8A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信息展示：完整展示交易价格、成果类型、有效期、发布日期、技术成熟度、申请号、专利号、发明人、申请人、专利状态、成果简介、说明书、成果附图、交易方式、挂牌期限、所属机构、联系人、联系电话18类核心信息；</w:t>
            </w:r>
          </w:p>
          <w:p w14:paraId="1E6D224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文档预览：支持成果说明书（PDF、TIF、DOC格式）在线预览，支持目录导航、页面跳转、关键词检索；</w:t>
            </w:r>
          </w:p>
          <w:p w14:paraId="5A58814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附图操作：支持多图切换、缩略图查看、缩放、旋转、下载；</w:t>
            </w:r>
          </w:p>
          <w:p w14:paraId="5053DF1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交易信息说明：支持交易方式、付款方式、交付方式、售后服务说明展示，支持交易风险提示。</w:t>
            </w:r>
          </w:p>
          <w:p w14:paraId="1E07E41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（2）对接功能</w:t>
            </w:r>
          </w:p>
          <w:p w14:paraId="74D0F0D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对接流程：支持在线咨询、预约看样、提交对接申请三种对接方式，对接表单自动填充成果核心信息，支持自定义添加需求说明；</w:t>
            </w:r>
          </w:p>
          <w:p w14:paraId="2835E19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表单验证：支持表单字段格式校验、必填项校验，提交失败给出明确提示，支持表单草稿保存；</w:t>
            </w:r>
          </w:p>
          <w:p w14:paraId="34FBCEE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对接反馈：对接申请提交后，实时推送通知给成果所属机构，对接进度实时更新。</w:t>
            </w:r>
          </w:p>
        </w:tc>
        <w:tc>
          <w:tcPr>
            <w:tcW w:w="917" w:type="dxa"/>
            <w:gridSpan w:val="2"/>
            <w:vAlign w:val="center"/>
          </w:tcPr>
          <w:p w14:paraId="3A77F95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7F560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40</w:t>
            </w:r>
          </w:p>
        </w:tc>
        <w:tc>
          <w:tcPr>
            <w:tcW w:w="1069" w:type="dxa"/>
            <w:vAlign w:val="center"/>
          </w:tcPr>
          <w:p w14:paraId="25DD4F4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40</w:t>
            </w:r>
          </w:p>
        </w:tc>
      </w:tr>
      <w:tr w14:paraId="3A9B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52FEDA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5.5</w:t>
            </w:r>
          </w:p>
        </w:tc>
        <w:tc>
          <w:tcPr>
            <w:tcW w:w="1133" w:type="dxa"/>
            <w:vAlign w:val="center"/>
          </w:tcPr>
          <w:p w14:paraId="281289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产教融合科技资源资讯</w:t>
            </w:r>
          </w:p>
        </w:tc>
        <w:tc>
          <w:tcPr>
            <w:tcW w:w="4882" w:type="dxa"/>
            <w:vAlign w:val="center"/>
          </w:tcPr>
          <w:p w14:paraId="2C96F78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1.新闻动态</w:t>
            </w:r>
          </w:p>
          <w:p w14:paraId="6C27D6A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文章列表（网格/列表视图切换）、图文结合、视频新闻展示，图片支持自适应页面宽度和懒加载，视频播放流畅；文字排版符合中文阅读习惯，支持夜间模式切换；支持新闻标签展示，标签可点击筛选，支持热门标签推荐；</w:t>
            </w:r>
          </w:p>
          <w:p w14:paraId="6177C10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支持关键字检索、多条件组合检索；支持按发布时间、阅读量、点赞数、评论数排序；支持相似文章推荐、相关标签文章推荐；支持检索历史记录保存、一键清除，支持检索结果导出（Excel格式，含文章标题、作者、发布时间、链接）。</w:t>
            </w:r>
          </w:p>
          <w:p w14:paraId="03CCC43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2.科技政策</w:t>
            </w:r>
          </w:p>
          <w:p w14:paraId="60AB75B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多级分类标签（一级分类：国家/地方/行业；二级分类：税收优惠/资金扶持/人才政策等），标签可点击筛选、组合筛选；支持政策原文、政策解读、实施细则分栏展示，支持政策全文搜索（关键词高亮）；支持政策原文（PDF、DOC格式）、政策解读（PDF格式）下载，支持批量下载；支持政策有效期、实施日期、废止日期标注，过期政策自动标注“已过期”并下沉展示；</w:t>
            </w:r>
          </w:p>
          <w:p w14:paraId="27A1A6A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支持关键字检索、多条件组合检索；支持按政策层级、政策类型、发文单位、有效期筛选，筛选结果实时更新；支持政策文号精确检索、同义词扩展检索；支持政策单个收藏、批量收藏，支持收藏夹分类管理，收藏政策更新自动提醒。</w:t>
            </w:r>
          </w:p>
          <w:p w14:paraId="1553787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3.通知公告</w:t>
            </w:r>
          </w:p>
          <w:p w14:paraId="4086E6E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文章列表（网格/列表视图切换），列表含公告标题、发布单位、发布日期、阅读量、是否置顶、是否紧急标识；支持置顶公告展示，置顶顺序可调整，置顶标识（红色顶置标签）清晰，支持紧急公告标红展示；支持公告正文、附件（PDF、DOC、Excel格式）展示，附件支持在线预览、下载。</w:t>
            </w:r>
          </w:p>
          <w:p w14:paraId="44509FD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(2)检索功能：支持关键字、公告发布日期区间检索，检索结果支持按阅读量排序。</w:t>
            </w:r>
          </w:p>
        </w:tc>
        <w:tc>
          <w:tcPr>
            <w:tcW w:w="917" w:type="dxa"/>
            <w:gridSpan w:val="2"/>
            <w:vAlign w:val="center"/>
          </w:tcPr>
          <w:p w14:paraId="61CF72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8A19EA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40</w:t>
            </w:r>
          </w:p>
        </w:tc>
        <w:tc>
          <w:tcPr>
            <w:tcW w:w="1069" w:type="dxa"/>
            <w:vAlign w:val="center"/>
          </w:tcPr>
          <w:p w14:paraId="78524F5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40</w:t>
            </w:r>
          </w:p>
        </w:tc>
      </w:tr>
      <w:tr w14:paraId="3078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2025B8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5.6</w:t>
            </w:r>
          </w:p>
        </w:tc>
        <w:tc>
          <w:tcPr>
            <w:tcW w:w="1133" w:type="dxa"/>
            <w:vAlign w:val="center"/>
          </w:tcPr>
          <w:p w14:paraId="14576D7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服务大厅</w:t>
            </w:r>
          </w:p>
        </w:tc>
        <w:tc>
          <w:tcPr>
            <w:tcW w:w="4882" w:type="dxa"/>
            <w:vAlign w:val="center"/>
          </w:tcPr>
          <w:p w14:paraId="512409B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1.科技创新服务</w:t>
            </w:r>
          </w:p>
          <w:p w14:paraId="6E95AB6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多级服务分类（一级分类：知识产权、仪器设备、检验检测、科技金融等；二级分类：专利申请、商标注册、设备租赁、样品检测等），分类图标清晰，支持查看服务简介、服务机构、服务价格区间；支持服务卡片展示，支持服务详情页分栏展示；支持热门服务推荐（按浏览量、成交量排序），支持服务标签筛选；</w:t>
            </w:r>
          </w:p>
          <w:p w14:paraId="565A982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(2)检索功能：支持关键字检索与条件检索（服务类型、服务机构、服务区域）；检索结果含服务评分、用户评价，支持按评分排序；</w:t>
            </w:r>
          </w:p>
          <w:p w14:paraId="0278E7E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对接功能：支持在线咨询、预约服务、提交需求三种对接方式，预约表单支持自定义字段，支持需求材料上传；支持表单字段格式校验、必填项校验，提交失败给出明确提示，支持表单草稿保存；支持服务预约进度实时跟踪（待审核/已受理/服务中/已完成/已取消），进度更新自动推送。</w:t>
            </w:r>
          </w:p>
          <w:p w14:paraId="20E22C3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2.科技创新资源</w:t>
            </w:r>
          </w:p>
          <w:p w14:paraId="41D9835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资源关键字段（资源名称、所属机构、资源类型、资源规格、使用范围、收费标准、联系方式）及图片展示，支持字段自定义显示/隐藏；支持缩略图/大图切换、轮播查看、放大下载；支持资源特色标签（如“免费使用”“共享资源”“高精度”）展示，标签可点击筛选；支持资源详情页分栏展示（资源介绍、技术参数、使用说明、预约流程、用户评价），支持资源视频展示；</w:t>
            </w:r>
          </w:p>
          <w:p w14:paraId="63BAD3C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持关键字检索、多条件组合检索；支持按发布时间、浏览量、收藏量、评分排序；支持资源关键词联想、精确检索；支持单个收藏、批量收藏，收藏资源支持分类管理、快速检索，支持收藏资源更新提醒；支持收藏资源、检索结果批量导出（Excel、PDF格式）。</w:t>
            </w:r>
          </w:p>
          <w:p w14:paraId="19B97CE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3.专家人才</w:t>
            </w:r>
          </w:p>
          <w:p w14:paraId="69AE20C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展示功能：支持专家团队列表（网格/列表视图切换），含团队名称、核心专家、研究领域、团队规模、所属机构、团队简介、团队成果数量；支持专家个人列表展示（含姓名、职称、研究领域、所属机构、头像），支持专家详情页分栏展示（个人简介、教育背景、工作经历、研究成果、专利、论文、项目经验、联系方式、服务范围等）；支持专家研究成果（专利、论文、项目）关联展示，支持成果点击查看详情；支持专家标签（如“国家级专家”“行业领军人才”“青年专家”）展示，标签可点击筛选；</w:t>
            </w:r>
          </w:p>
          <w:p w14:paraId="4536CBB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检索功能：支持关键字检索、多条件组合检索；支持按职称等级、研究成果数量、浏览量、对接成功率排序；支持专家姓名精确检索、研究领域同义词扩展检索；支持在线咨询、预约交流、项目合作对接三种方式，对接表单自动填充专家相关信息，支持留言、附件上传。</w:t>
            </w:r>
          </w:p>
        </w:tc>
        <w:tc>
          <w:tcPr>
            <w:tcW w:w="917" w:type="dxa"/>
            <w:gridSpan w:val="2"/>
            <w:vAlign w:val="center"/>
          </w:tcPr>
          <w:p w14:paraId="6E3A897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C01ADC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10</w:t>
            </w:r>
          </w:p>
        </w:tc>
        <w:tc>
          <w:tcPr>
            <w:tcW w:w="1069" w:type="dxa"/>
            <w:vAlign w:val="center"/>
          </w:tcPr>
          <w:p w14:paraId="616307E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10</w:t>
            </w:r>
          </w:p>
        </w:tc>
      </w:tr>
      <w:tr w14:paraId="7829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121274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5.7</w:t>
            </w:r>
          </w:p>
        </w:tc>
        <w:tc>
          <w:tcPr>
            <w:tcW w:w="1133" w:type="dxa"/>
            <w:vAlign w:val="center"/>
          </w:tcPr>
          <w:p w14:paraId="537CA28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产教融合重大平台载体和实训基地管理系统（企业服务管理)</w:t>
            </w:r>
          </w:p>
        </w:tc>
        <w:tc>
          <w:tcPr>
            <w:tcW w:w="4882" w:type="dxa"/>
            <w:vAlign w:val="center"/>
          </w:tcPr>
          <w:p w14:paraId="68D2FDD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1.管理员端</w:t>
            </w:r>
          </w:p>
          <w:p w14:paraId="2453F65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（1）用户管理</w:t>
            </w:r>
          </w:p>
          <w:p w14:paraId="19DB89B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支持单位、主体单位以及专家进行新增、删除、修改、查询等操作支持对账号基本信息进行编辑修改，包括主体信息、法人信息、联系人信息、密码等</w:t>
            </w:r>
          </w:p>
          <w:p w14:paraId="06EC39B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（2）申报管理</w:t>
            </w:r>
          </w:p>
          <w:p w14:paraId="78EB792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按照山西省市级行政区进行划分支持对申报的重大载体和实训基地进行筛选查询、指派专家、查看、编辑、预览以及导出操作。可查看并编辑待分配申报、待审申报、已审申报，并可添加并使用申报模板</w:t>
            </w:r>
          </w:p>
          <w:p w14:paraId="5B0CB31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2.申报端</w:t>
            </w:r>
          </w:p>
          <w:p w14:paraId="1E5C038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（1）根据填报说明填写申报信息，支持上传PDF文件进行主体简介、实施方案以及相关支撑材料的上传。可以在申报材料截止时间之前修改申报材料，截止后将不再允许修改</w:t>
            </w:r>
          </w:p>
          <w:p w14:paraId="6373892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3.专家端</w:t>
            </w:r>
          </w:p>
          <w:p w14:paraId="7D42AD3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（1）专家可查看到已被指派的审批项目和申报材料，并可以在线进行审批操作</w:t>
            </w:r>
          </w:p>
        </w:tc>
        <w:tc>
          <w:tcPr>
            <w:tcW w:w="917" w:type="dxa"/>
            <w:gridSpan w:val="2"/>
            <w:vAlign w:val="center"/>
          </w:tcPr>
          <w:p w14:paraId="651CE5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098F8FB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20</w:t>
            </w:r>
          </w:p>
        </w:tc>
        <w:tc>
          <w:tcPr>
            <w:tcW w:w="1069" w:type="dxa"/>
            <w:vAlign w:val="center"/>
          </w:tcPr>
          <w:p w14:paraId="480AE94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20</w:t>
            </w:r>
          </w:p>
        </w:tc>
      </w:tr>
      <w:tr w14:paraId="62A2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2BF864E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6</w:t>
            </w:r>
          </w:p>
        </w:tc>
        <w:tc>
          <w:tcPr>
            <w:tcW w:w="6015" w:type="dxa"/>
            <w:gridSpan w:val="2"/>
            <w:vAlign w:val="center"/>
          </w:tcPr>
          <w:p w14:paraId="0F1D175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创新研发、重点课题及项目管理（重点项目）</w:t>
            </w:r>
          </w:p>
        </w:tc>
        <w:tc>
          <w:tcPr>
            <w:tcW w:w="807" w:type="dxa"/>
            <w:vAlign w:val="center"/>
          </w:tcPr>
          <w:p w14:paraId="7BFBC0F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48" w:type="dxa"/>
            <w:gridSpan w:val="2"/>
            <w:shd w:val="clear" w:color="auto" w:fill="auto"/>
            <w:vAlign w:val="center"/>
          </w:tcPr>
          <w:p w14:paraId="03F5CD6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90.15</w:t>
            </w:r>
          </w:p>
        </w:tc>
        <w:tc>
          <w:tcPr>
            <w:tcW w:w="1148" w:type="dxa"/>
            <w:gridSpan w:val="2"/>
            <w:vAlign w:val="center"/>
          </w:tcPr>
          <w:p w14:paraId="28E8EDE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rPr>
              <w:t>90.15</w:t>
            </w:r>
          </w:p>
        </w:tc>
      </w:tr>
      <w:tr w14:paraId="5D09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7BA94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6.1</w:t>
            </w:r>
          </w:p>
        </w:tc>
        <w:tc>
          <w:tcPr>
            <w:tcW w:w="1133" w:type="dxa"/>
            <w:vAlign w:val="center"/>
          </w:tcPr>
          <w:p w14:paraId="2E267A1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rPr>
              <w:t>产教融合科研创新服务</w:t>
            </w:r>
          </w:p>
        </w:tc>
        <w:tc>
          <w:tcPr>
            <w:tcW w:w="4882" w:type="dxa"/>
            <w:vAlign w:val="center"/>
          </w:tcPr>
          <w:p w14:paraId="6B91E67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1.产教融合科研管理</w:t>
            </w:r>
          </w:p>
          <w:p w14:paraId="061A1C2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基础功能：支持通知公告、公开公示、申报指南、政策解读、科研动态发布与管理，附件支持Word、PDF、Excel格式；支持内容草稿保存、预览、修改、删除、撤回，支持内容定时发布（精确到分钟），支持内容分类管理、标签管理；支持内容阅读量、下载量、分享量统计，统计数据实时更新，支持统计报表导出（Excel格式）；</w:t>
            </w:r>
          </w:p>
          <w:p w14:paraId="425958D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(2)服务目录：支持统一服务目录展示，目录分类清晰，支持按服务类型、服务对象筛选，支持服务流程可视化展示。</w:t>
            </w:r>
          </w:p>
          <w:p w14:paraId="21558B5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2.产教融合科研项目申报前服务</w:t>
            </w:r>
          </w:p>
          <w:p w14:paraId="0ADD4FA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填报功能：支持在线填报、预算填报、附件上传，表单字段支持必填项标识、格式校验（数字、日期、金额、身份证号、邮箱）、逻辑校验（字段关联性），支持表单字段动态显示/隐藏（基于填报内容）；支持表单自动保存、手动保存，支持草稿查看、修改、删除，草稿留存期限；</w:t>
            </w:r>
          </w:p>
          <w:p w14:paraId="6AB7BE5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(2)模板管理：支持自定义填报模板，模板可导入导出（格式支持Excel、Word），模板数量无上限；支持模板版本管理；</w:t>
            </w:r>
          </w:p>
          <w:p w14:paraId="729E879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(3)辅导服务</w:t>
            </w:r>
          </w:p>
          <w:p w14:paraId="51B9E6D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辅导资源：支持辅导文档（PDF、Word格式）下载、辅导视频查看、客服咨询；</w:t>
            </w:r>
          </w:p>
          <w:p w14:paraId="0D93F78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辅导方式：支持线上录播课程学习、一对一咨询辅导，支持辅导预约；</w:t>
            </w:r>
          </w:p>
          <w:p w14:paraId="1689A00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辅导记录：支持辅导咨询记录留存，支持辅导问题检索、分类查看；</w:t>
            </w:r>
          </w:p>
          <w:p w14:paraId="3D41680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常见问题：支持常见问题库建设（按问题类型分类），支持关键字检索，支持用户反馈问题提交。</w:t>
            </w:r>
          </w:p>
          <w:p w14:paraId="677B2A5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3.项目全流程服务</w:t>
            </w:r>
          </w:p>
          <w:p w14:paraId="556F57F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(1)流程协助</w:t>
            </w:r>
          </w:p>
          <w:p w14:paraId="2926A9F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申报指引可视化：提供项目全生命周期流程展示，以流程图 + 文字说明形式呈现，明确每个阶段的核心任务、审批节点及时间周期参考。</w:t>
            </w:r>
          </w:p>
          <w:p w14:paraId="7822DAA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(2)知识检索：支持政策及专业知识检索。</w:t>
            </w:r>
          </w:p>
        </w:tc>
        <w:tc>
          <w:tcPr>
            <w:tcW w:w="807" w:type="dxa"/>
            <w:vAlign w:val="center"/>
          </w:tcPr>
          <w:p w14:paraId="0F6EFE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48" w:type="dxa"/>
            <w:gridSpan w:val="2"/>
            <w:shd w:val="clear" w:color="auto" w:fill="auto"/>
            <w:vAlign w:val="center"/>
          </w:tcPr>
          <w:p w14:paraId="5EB40BB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20.15</w:t>
            </w:r>
          </w:p>
        </w:tc>
        <w:tc>
          <w:tcPr>
            <w:tcW w:w="1148" w:type="dxa"/>
            <w:gridSpan w:val="2"/>
            <w:vAlign w:val="center"/>
          </w:tcPr>
          <w:p w14:paraId="0801E6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20.15</w:t>
            </w:r>
          </w:p>
        </w:tc>
      </w:tr>
      <w:tr w14:paraId="68CB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45623D5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6.2</w:t>
            </w:r>
          </w:p>
        </w:tc>
        <w:tc>
          <w:tcPr>
            <w:tcW w:w="1133" w:type="dxa"/>
            <w:vAlign w:val="center"/>
          </w:tcPr>
          <w:p w14:paraId="444403D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rPr>
              <w:t>成果转化服务</w:t>
            </w:r>
          </w:p>
        </w:tc>
        <w:tc>
          <w:tcPr>
            <w:tcW w:w="4882" w:type="dxa"/>
            <w:vAlign w:val="center"/>
          </w:tcPr>
          <w:p w14:paraId="1048CCB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1.科技信息统计</w:t>
            </w:r>
          </w:p>
          <w:p w14:paraId="7B3117F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(1)数据管理</w:t>
            </w:r>
          </w:p>
          <w:p w14:paraId="249531D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数据录入：支持在线录入、Excel批量导入、API接口推送，支持数据字段自定义（文本、数字、日期、附件等）；资料上传：支持Excel、PDF、JPG、PNG、DOC、ZIP格式，支持断点续传；</w:t>
            </w:r>
          </w:p>
          <w:p w14:paraId="2E41A6F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数据校验：支持自定义校验规则（字段格式、数据范围、逻辑关联性），支持批量校验、实时校验，校验错误触发预警（红色），支持错误数据导出修改；</w:t>
            </w:r>
          </w:p>
          <w:p w14:paraId="5FCCF72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数据清洗：支持重复数据自动去重、缺失数据补全提示；</w:t>
            </w:r>
          </w:p>
          <w:p w14:paraId="3B2DFA4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(2)统计功能：支持按时间（年/季/月）、领域、机构等维度统计，统计结果支持图表展示（柱状图、折线图、饼图）；支持统计报表生成与导出，导出格式为Excel、PDF。</w:t>
            </w:r>
          </w:p>
          <w:p w14:paraId="5EC8AFF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2.科技成果登记</w:t>
            </w:r>
          </w:p>
          <w:p w14:paraId="15250A3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(1)流程管理</w:t>
            </w:r>
          </w:p>
          <w:p w14:paraId="62582BA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登记流程：支持成果信息录入、资料上传、初审、复审、终审、入库、转化状态跟踪全流程线上操作，支持流程跳转、回退；</w:t>
            </w:r>
          </w:p>
          <w:p w14:paraId="2139FB3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审核功能：支持多级审核，审核人员可指定，支持审核意见录入、附件上传、审核通过/驳回，支持批量审核；</w:t>
            </w:r>
          </w:p>
          <w:p w14:paraId="47C8F29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资料管理：支持成果资料分类上传，支持资料在线预览、下载，资料完整性自动校验；</w:t>
            </w:r>
          </w:p>
          <w:p w14:paraId="79A7FA1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流程跟踪：支持登记流程进度实时跟踪，支持节点办理时间统计，审核结果自动推送。</w:t>
            </w:r>
          </w:p>
          <w:p w14:paraId="466A7D6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(2)状态管理</w:t>
            </w:r>
          </w:p>
          <w:p w14:paraId="7D132E9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支持转化状态细分。</w:t>
            </w:r>
          </w:p>
        </w:tc>
        <w:tc>
          <w:tcPr>
            <w:tcW w:w="917" w:type="dxa"/>
            <w:gridSpan w:val="2"/>
            <w:vAlign w:val="center"/>
          </w:tcPr>
          <w:p w14:paraId="032C02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D5D74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30</w:t>
            </w:r>
          </w:p>
        </w:tc>
        <w:tc>
          <w:tcPr>
            <w:tcW w:w="1069" w:type="dxa"/>
            <w:vAlign w:val="center"/>
          </w:tcPr>
          <w:p w14:paraId="67A8A2B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30</w:t>
            </w:r>
          </w:p>
        </w:tc>
      </w:tr>
      <w:tr w14:paraId="5B6B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4EAFC4E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6.3</w:t>
            </w:r>
          </w:p>
        </w:tc>
        <w:tc>
          <w:tcPr>
            <w:tcW w:w="1133" w:type="dxa"/>
            <w:vAlign w:val="center"/>
          </w:tcPr>
          <w:p w14:paraId="04E560E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实训基地建设项目管理</w:t>
            </w:r>
          </w:p>
        </w:tc>
        <w:tc>
          <w:tcPr>
            <w:tcW w:w="4882" w:type="dxa"/>
            <w:vAlign w:val="center"/>
          </w:tcPr>
          <w:p w14:paraId="5469E5A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1.规划管理</w:t>
            </w:r>
          </w:p>
          <w:p w14:paraId="6B2DD88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(1)支持多实训基地并行录入管理，每个基地分配唯一标识编码，基地类型、建设等级、所属区域、责任单位等核心信息；</w:t>
            </w:r>
          </w:p>
          <w:p w14:paraId="633EA68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(2)支持基地信息批量导入（Excel格式）、导出；</w:t>
            </w:r>
          </w:p>
          <w:p w14:paraId="1C09221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(3)支持基地信息分类筛选、模糊检索。</w:t>
            </w:r>
          </w:p>
          <w:p w14:paraId="72AE1B7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(4)支持重复建设比对；</w:t>
            </w:r>
          </w:p>
          <w:p w14:paraId="4FDA21C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(5)支持规划方案附件上传，支持在线预览；</w:t>
            </w:r>
          </w:p>
          <w:p w14:paraId="097FF91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(6)支持规划方案版本管理，可查看历史记录；</w:t>
            </w:r>
          </w:p>
          <w:p w14:paraId="0A7ED5E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(7)审批过程支持意见录入、附件上传、审批通过/驳回操作，审批状态实时同步至申报单位。</w:t>
            </w:r>
          </w:p>
          <w:p w14:paraId="4750621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2.建设管理</w:t>
            </w:r>
          </w:p>
          <w:p w14:paraId="4E3AA87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(1)进度管理</w:t>
            </w:r>
          </w:p>
          <w:p w14:paraId="0F1D954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支持按基地分别设置建设里程碑节点，每个节点关联计划完成时间、责任人、验收标准；</w:t>
            </w:r>
          </w:p>
          <w:p w14:paraId="1FF82D7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支持进度线上填报，视频支持MP4格式；</w:t>
            </w:r>
          </w:p>
          <w:p w14:paraId="4512B40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支持进度与计划偏差自动测算，预警信息推送至责任单位与监管人员；</w:t>
            </w:r>
          </w:p>
          <w:p w14:paraId="5F2F978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支持多基地进度汇总展示，支持按建设阶段、进度状态筛选查看；</w:t>
            </w:r>
          </w:p>
          <w:p w14:paraId="75B3FF5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(2)设备采购管理</w:t>
            </w:r>
          </w:p>
          <w:p w14:paraId="4EE8AA3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支持按基地关联设备采购订单，录入采购设备型号、数量、单价、交货时间、供应商信息，支持采购合同附件上传；</w:t>
            </w:r>
          </w:p>
          <w:p w14:paraId="62E0947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支持设备到货验收、安装调试记录录入，记录含验收人员、验收时间、验收结果、调试参数等；</w:t>
            </w:r>
          </w:p>
          <w:p w14:paraId="0C361C3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支持设备采购与安装进度跟踪；</w:t>
            </w:r>
          </w:p>
          <w:p w14:paraId="33FBA52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支持多基地设备采购数据汇总统计，便于成本管控。</w:t>
            </w:r>
          </w:p>
          <w:p w14:paraId="3374AB0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2.设备与资源管理</w:t>
            </w:r>
          </w:p>
          <w:p w14:paraId="404B435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(1)设备管理</w:t>
            </w:r>
          </w:p>
          <w:p w14:paraId="5368C6E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支持按基地对设备进行分类建档，每个设备分配唯一资产编码，关联设备名称、型号规格、生产厂家、采购时间、安装位置、所属实训室、责任人等核心信息；</w:t>
            </w:r>
          </w:p>
          <w:p w14:paraId="04E6870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支持设备信息批量导入导出（Excel格式）；</w:t>
            </w:r>
          </w:p>
          <w:p w14:paraId="4C832D5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支持按基地、设备类型、使用状态等维度筛选检索；</w:t>
            </w:r>
          </w:p>
          <w:p w14:paraId="54D4743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(2)设备使用状态监控</w:t>
            </w:r>
          </w:p>
          <w:p w14:paraId="4BCF3EE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提供标准API接口，支持上传设备信息及设备状态；可记录使用人员、使用时间、实训项目等信息；</w:t>
            </w:r>
          </w:p>
          <w:p w14:paraId="36F4238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支持设备使用频次、使用时长统计，按基地、设备类型生成报表；</w:t>
            </w:r>
          </w:p>
          <w:p w14:paraId="058269A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支持多基地设备使用状态汇总展示，便于资源统筹调度。</w:t>
            </w:r>
          </w:p>
          <w:p w14:paraId="4556BF08">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(3)设备维护管理</w:t>
            </w:r>
          </w:p>
          <w:p w14:paraId="0DD4FC2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支持按设备设置定期维护计划，关联维护周期、维护内容、责任人，自动推送维护提醒（平台内通知）；</w:t>
            </w:r>
          </w:p>
          <w:p w14:paraId="3235712C">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支持维护记录线上录入，含维护时间、维护人员、维护内容、更换配件、维护结果等，支持附件上传（维护报告、照片等）；</w:t>
            </w:r>
          </w:p>
          <w:p w14:paraId="161F058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支持设备维护成本统计、故障频次分析，按基地生成维护报表；</w:t>
            </w:r>
          </w:p>
        </w:tc>
        <w:tc>
          <w:tcPr>
            <w:tcW w:w="917" w:type="dxa"/>
            <w:gridSpan w:val="2"/>
            <w:vAlign w:val="center"/>
          </w:tcPr>
          <w:p w14:paraId="0B0A32C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7EE395B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40</w:t>
            </w:r>
          </w:p>
        </w:tc>
        <w:tc>
          <w:tcPr>
            <w:tcW w:w="1069" w:type="dxa"/>
            <w:vAlign w:val="center"/>
          </w:tcPr>
          <w:p w14:paraId="1C4E3E6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40</w:t>
            </w:r>
          </w:p>
        </w:tc>
      </w:tr>
      <w:tr w14:paraId="45D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06600B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7</w:t>
            </w:r>
          </w:p>
        </w:tc>
        <w:tc>
          <w:tcPr>
            <w:tcW w:w="6015" w:type="dxa"/>
            <w:gridSpan w:val="2"/>
            <w:vAlign w:val="center"/>
          </w:tcPr>
          <w:p w14:paraId="3519465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业务中台</w:t>
            </w:r>
          </w:p>
        </w:tc>
        <w:tc>
          <w:tcPr>
            <w:tcW w:w="917" w:type="dxa"/>
            <w:gridSpan w:val="2"/>
            <w:vAlign w:val="center"/>
          </w:tcPr>
          <w:p w14:paraId="3A6FCBC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65F1DC9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146.13</w:t>
            </w:r>
          </w:p>
        </w:tc>
        <w:tc>
          <w:tcPr>
            <w:tcW w:w="1069" w:type="dxa"/>
            <w:vAlign w:val="center"/>
          </w:tcPr>
          <w:p w14:paraId="73C5F09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rPr>
              <w:t>146.13</w:t>
            </w:r>
          </w:p>
        </w:tc>
      </w:tr>
      <w:tr w14:paraId="128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5410E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7</w:t>
            </w:r>
            <w:r>
              <w:rPr>
                <w:rFonts w:hint="eastAsia"/>
                <w:color w:val="auto"/>
                <w:sz w:val="21"/>
                <w:szCs w:val="21"/>
                <w:lang w:bidi="ar"/>
              </w:rPr>
              <w:t>.1</w:t>
            </w:r>
          </w:p>
        </w:tc>
        <w:tc>
          <w:tcPr>
            <w:tcW w:w="1133" w:type="dxa"/>
            <w:vAlign w:val="center"/>
          </w:tcPr>
          <w:p w14:paraId="606C42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统一用户管理</w:t>
            </w:r>
          </w:p>
        </w:tc>
        <w:tc>
          <w:tcPr>
            <w:tcW w:w="4882" w:type="dxa"/>
            <w:vAlign w:val="center"/>
          </w:tcPr>
          <w:p w14:paraId="4C5E2510">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组织机构：支持多维度管理，可基于不同维度设置不同组织结构。支持管理和维护组织结构，可为组织分配组织岗位、组织人员、组织负责人、组织人员下属管理等。支持管理维护职务，可与组织岗位进行绑定。支持组织属性扩展，如扩展组织所在区域、级别等。</w:t>
            </w:r>
          </w:p>
          <w:p w14:paraId="62BE998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2.用户中心：实现管理与维护用户的操作,可快速添加与查看用户所在的组织与角色，用户可从其他系统同步，也可在系统中维护。支持用户属性扩展，如扩展学历、职称等。支持查看在线用户。</w:t>
            </w:r>
          </w:p>
          <w:p w14:paraId="0CE1C52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3.统一人员信息服务：为外部应用系统提供单位、部门、人员信息的同步服务接口。</w:t>
            </w:r>
          </w:p>
        </w:tc>
        <w:tc>
          <w:tcPr>
            <w:tcW w:w="917" w:type="dxa"/>
            <w:gridSpan w:val="2"/>
            <w:vAlign w:val="center"/>
          </w:tcPr>
          <w:p w14:paraId="04C87B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2D5B62C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19</w:t>
            </w:r>
          </w:p>
        </w:tc>
        <w:tc>
          <w:tcPr>
            <w:tcW w:w="1069" w:type="dxa"/>
            <w:vAlign w:val="center"/>
          </w:tcPr>
          <w:p w14:paraId="427612A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19</w:t>
            </w:r>
          </w:p>
        </w:tc>
      </w:tr>
      <w:tr w14:paraId="236A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1ABB1FA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7</w:t>
            </w:r>
            <w:r>
              <w:rPr>
                <w:rFonts w:hint="eastAsia"/>
                <w:color w:val="auto"/>
                <w:sz w:val="21"/>
                <w:szCs w:val="21"/>
                <w:lang w:bidi="ar"/>
              </w:rPr>
              <w:t>.2</w:t>
            </w:r>
          </w:p>
        </w:tc>
        <w:tc>
          <w:tcPr>
            <w:tcW w:w="1133" w:type="dxa"/>
            <w:vAlign w:val="center"/>
          </w:tcPr>
          <w:p w14:paraId="4EFF7A7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统一身份认证</w:t>
            </w:r>
          </w:p>
        </w:tc>
        <w:tc>
          <w:tcPr>
            <w:tcW w:w="4882" w:type="dxa"/>
            <w:vAlign w:val="center"/>
          </w:tcPr>
          <w:p w14:paraId="145C48E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1.登录为接入中台各系统提供统一登录页面，支持登录跳转不同系统。</w:t>
            </w:r>
          </w:p>
          <w:p w14:paraId="4FE63C8B">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2.统一身份认证服务：对外提供单位、组织机构和用户等相关API接口，用于外部应用系统与用户中心对接，满足单点登录、统一认证和统一用户管理的需要。</w:t>
            </w:r>
          </w:p>
        </w:tc>
        <w:tc>
          <w:tcPr>
            <w:tcW w:w="917" w:type="dxa"/>
            <w:gridSpan w:val="2"/>
            <w:vAlign w:val="center"/>
          </w:tcPr>
          <w:p w14:paraId="2BDF5E1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269B3A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23</w:t>
            </w:r>
          </w:p>
        </w:tc>
        <w:tc>
          <w:tcPr>
            <w:tcW w:w="1069" w:type="dxa"/>
            <w:vAlign w:val="center"/>
          </w:tcPr>
          <w:p w14:paraId="3FBF35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23</w:t>
            </w:r>
          </w:p>
        </w:tc>
      </w:tr>
      <w:tr w14:paraId="608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56B5CBF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7</w:t>
            </w:r>
            <w:r>
              <w:rPr>
                <w:rFonts w:hint="eastAsia"/>
                <w:color w:val="auto"/>
                <w:sz w:val="21"/>
                <w:szCs w:val="21"/>
                <w:lang w:bidi="ar"/>
              </w:rPr>
              <w:t>.3</w:t>
            </w:r>
          </w:p>
        </w:tc>
        <w:tc>
          <w:tcPr>
            <w:tcW w:w="1133" w:type="dxa"/>
            <w:vAlign w:val="center"/>
          </w:tcPr>
          <w:p w14:paraId="04565AD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统一集成对接</w:t>
            </w:r>
          </w:p>
        </w:tc>
        <w:tc>
          <w:tcPr>
            <w:tcW w:w="4882" w:type="dxa"/>
            <w:vAlign w:val="center"/>
          </w:tcPr>
          <w:p w14:paraId="1C35A9C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为第三方应用开发人员提供统一集成对接平台：标准API文档、demo、学习资料的开放平台。</w:t>
            </w:r>
          </w:p>
        </w:tc>
        <w:tc>
          <w:tcPr>
            <w:tcW w:w="917" w:type="dxa"/>
            <w:gridSpan w:val="2"/>
            <w:vAlign w:val="center"/>
          </w:tcPr>
          <w:p w14:paraId="7041CA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7538096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38</w:t>
            </w:r>
          </w:p>
        </w:tc>
        <w:tc>
          <w:tcPr>
            <w:tcW w:w="1069" w:type="dxa"/>
            <w:vAlign w:val="center"/>
          </w:tcPr>
          <w:p w14:paraId="29CB5B6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38</w:t>
            </w:r>
          </w:p>
        </w:tc>
      </w:tr>
      <w:tr w14:paraId="2F9C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18213B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7</w:t>
            </w:r>
            <w:r>
              <w:rPr>
                <w:rFonts w:hint="eastAsia"/>
                <w:color w:val="auto"/>
                <w:sz w:val="21"/>
                <w:szCs w:val="21"/>
                <w:lang w:bidi="ar"/>
              </w:rPr>
              <w:t>.4</w:t>
            </w:r>
          </w:p>
        </w:tc>
        <w:tc>
          <w:tcPr>
            <w:tcW w:w="1133" w:type="dxa"/>
            <w:vAlign w:val="center"/>
          </w:tcPr>
          <w:p w14:paraId="2512AB0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统一设计开发平台</w:t>
            </w:r>
          </w:p>
        </w:tc>
        <w:tc>
          <w:tcPr>
            <w:tcW w:w="4882" w:type="dxa"/>
            <w:vAlign w:val="center"/>
          </w:tcPr>
          <w:p w14:paraId="303098F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1.数据建模：支持可视化数据建模，支持设计主从上下级层级设计，业务模型支持自动在数据库中生成物理表。可设置表名，字段名称类型大小等</w:t>
            </w:r>
          </w:p>
          <w:p w14:paraId="4571E8B1">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2.表单设计：支持可视化表单设计，支持多页签布局，栅格布局，分页布局，折叠面板等布局，支持单行文本（包含流水号），多行文本（包含富文本），属性文本，数字等</w:t>
            </w:r>
          </w:p>
          <w:p w14:paraId="34AAFEB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3.应用设计：快速设计开发应用，可自定义页面数据显示内容，查询条件，筛选条件，排序规则，数据权限，按钮权限（新增、编辑、删除、明细、修改记录等；</w:t>
            </w:r>
          </w:p>
          <w:p w14:paraId="04CD150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4.应用发布：可以将应用设计的简单应用通过菜单发布、应用配置等方式发布供用户使用，可配置不同用户不同使用权限。</w:t>
            </w:r>
          </w:p>
        </w:tc>
        <w:tc>
          <w:tcPr>
            <w:tcW w:w="917" w:type="dxa"/>
            <w:gridSpan w:val="2"/>
            <w:vAlign w:val="center"/>
          </w:tcPr>
          <w:p w14:paraId="610F503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C408AA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30</w:t>
            </w:r>
          </w:p>
        </w:tc>
        <w:tc>
          <w:tcPr>
            <w:tcW w:w="1069" w:type="dxa"/>
            <w:vAlign w:val="center"/>
          </w:tcPr>
          <w:p w14:paraId="6FBEC7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30</w:t>
            </w:r>
          </w:p>
        </w:tc>
      </w:tr>
      <w:tr w14:paraId="3B03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7856FC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7</w:t>
            </w:r>
            <w:r>
              <w:rPr>
                <w:rFonts w:hint="eastAsia"/>
                <w:color w:val="auto"/>
                <w:sz w:val="21"/>
                <w:szCs w:val="21"/>
                <w:lang w:bidi="ar"/>
              </w:rPr>
              <w:t>.5</w:t>
            </w:r>
          </w:p>
        </w:tc>
        <w:tc>
          <w:tcPr>
            <w:tcW w:w="1133" w:type="dxa"/>
            <w:vAlign w:val="center"/>
          </w:tcPr>
          <w:p w14:paraId="74E2579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共性能力复用</w:t>
            </w:r>
          </w:p>
        </w:tc>
        <w:tc>
          <w:tcPr>
            <w:tcW w:w="4882" w:type="dxa"/>
            <w:vAlign w:val="center"/>
          </w:tcPr>
          <w:p w14:paraId="266EE0E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1.统一消息服务：支持按照用户的身份角色，将不同的系统产生的通知、消息等内容，在统一门户中进行集中展示。</w:t>
            </w:r>
          </w:p>
          <w:p w14:paraId="32300AA2">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2.实名认证：统一代理管理客户实名认证服务支持姓名、身份证号两要素验证，以及姓名、身份证号要素验证。</w:t>
            </w:r>
          </w:p>
        </w:tc>
        <w:tc>
          <w:tcPr>
            <w:tcW w:w="917" w:type="dxa"/>
            <w:gridSpan w:val="2"/>
            <w:vAlign w:val="center"/>
          </w:tcPr>
          <w:p w14:paraId="10E4CFA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6F4720F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21</w:t>
            </w:r>
          </w:p>
        </w:tc>
        <w:tc>
          <w:tcPr>
            <w:tcW w:w="1069" w:type="dxa"/>
            <w:vAlign w:val="center"/>
          </w:tcPr>
          <w:p w14:paraId="3DFCB3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21</w:t>
            </w:r>
          </w:p>
        </w:tc>
      </w:tr>
      <w:tr w14:paraId="3CBB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060F063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7</w:t>
            </w:r>
            <w:r>
              <w:rPr>
                <w:rFonts w:hint="eastAsia"/>
                <w:color w:val="auto"/>
                <w:sz w:val="21"/>
                <w:szCs w:val="21"/>
                <w:lang w:bidi="ar"/>
              </w:rPr>
              <w:t>.6</w:t>
            </w:r>
          </w:p>
        </w:tc>
        <w:tc>
          <w:tcPr>
            <w:tcW w:w="1133" w:type="dxa"/>
            <w:vAlign w:val="center"/>
          </w:tcPr>
          <w:p w14:paraId="3E004A3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rFonts w:hint="eastAsia"/>
                <w:color w:val="auto"/>
                <w:sz w:val="21"/>
                <w:szCs w:val="21"/>
                <w:lang w:bidi="ar"/>
              </w:rPr>
              <w:t>统一运维平台</w:t>
            </w:r>
          </w:p>
        </w:tc>
        <w:tc>
          <w:tcPr>
            <w:tcW w:w="4882" w:type="dxa"/>
            <w:vAlign w:val="center"/>
          </w:tcPr>
          <w:p w14:paraId="7368339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1.数据概览：数据概览页面通过整体运维稳定性、异常运维问题、周期实例运行及出错情况排行榜等维度，展示工作空间中的运维概况。</w:t>
            </w:r>
          </w:p>
          <w:p w14:paraId="23483A5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2.监控应用配置配置监控应用名称来源等基础信息，配置监测地址、配置巡检规则。</w:t>
            </w:r>
          </w:p>
          <w:p w14:paraId="3068DF7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3.日志管理异常日志管理查看，辅助定位问题位置、分析问题原因</w:t>
            </w:r>
          </w:p>
          <w:p w14:paraId="798F2E3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4.预警管理查看预警记录、配置系统预警阈值、紧急联系人等信息等。</w:t>
            </w:r>
          </w:p>
        </w:tc>
        <w:tc>
          <w:tcPr>
            <w:tcW w:w="917" w:type="dxa"/>
            <w:gridSpan w:val="2"/>
            <w:vAlign w:val="center"/>
          </w:tcPr>
          <w:p w14:paraId="4531E3C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6D1233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
              </w:rPr>
            </w:pPr>
            <w:r>
              <w:rPr>
                <w:rFonts w:hint="eastAsia"/>
                <w:color w:val="auto"/>
                <w:sz w:val="21"/>
                <w:szCs w:val="21"/>
                <w:lang w:val="en-US" w:eastAsia="zh-CN" w:bidi="ar"/>
              </w:rPr>
              <w:t>15.13</w:t>
            </w:r>
          </w:p>
        </w:tc>
        <w:tc>
          <w:tcPr>
            <w:tcW w:w="1069" w:type="dxa"/>
            <w:vAlign w:val="center"/>
          </w:tcPr>
          <w:p w14:paraId="3495BF1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lang w:bidi="ar"/>
              </w:rPr>
            </w:pPr>
            <w:r>
              <w:rPr>
                <w:color w:val="auto"/>
                <w:sz w:val="21"/>
                <w:szCs w:val="21"/>
                <w:lang w:bidi="ar"/>
              </w:rPr>
              <w:t>15.13</w:t>
            </w:r>
          </w:p>
        </w:tc>
      </w:tr>
      <w:tr w14:paraId="4FA2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226F7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8</w:t>
            </w:r>
          </w:p>
        </w:tc>
        <w:tc>
          <w:tcPr>
            <w:tcW w:w="1133" w:type="dxa"/>
            <w:vAlign w:val="center"/>
          </w:tcPr>
          <w:p w14:paraId="61682C4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产教融合办事服务工作站</w:t>
            </w:r>
          </w:p>
        </w:tc>
        <w:tc>
          <w:tcPr>
            <w:tcW w:w="4882" w:type="dxa"/>
            <w:vAlign w:val="center"/>
          </w:tcPr>
          <w:p w14:paraId="5970A0C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1.云呼叫中心支持电话、在线、表单等咨询入口的统一接入，支持通话后创建问题工单，一键流转给同事/现场服务工程师，快速解决客户问题；</w:t>
            </w:r>
          </w:p>
          <w:p w14:paraId="61AA3D2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2.工单系统包含话务及座席实时监控，应用系统，客户工单、知识库、通话报表等。包含坐席账号。</w:t>
            </w:r>
          </w:p>
        </w:tc>
        <w:tc>
          <w:tcPr>
            <w:tcW w:w="917" w:type="dxa"/>
            <w:gridSpan w:val="2"/>
            <w:vAlign w:val="center"/>
          </w:tcPr>
          <w:p w14:paraId="0315AB7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5493B5B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25.19</w:t>
            </w:r>
          </w:p>
        </w:tc>
        <w:tc>
          <w:tcPr>
            <w:tcW w:w="1069" w:type="dxa"/>
            <w:vAlign w:val="center"/>
          </w:tcPr>
          <w:p w14:paraId="66EB31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25.19</w:t>
            </w:r>
          </w:p>
        </w:tc>
      </w:tr>
      <w:tr w14:paraId="1B85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4AE23CA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p>
        </w:tc>
        <w:tc>
          <w:tcPr>
            <w:tcW w:w="1133" w:type="dxa"/>
            <w:vAlign w:val="center"/>
          </w:tcPr>
          <w:p w14:paraId="56E10C9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科技创新及科技成果转化服务平台</w:t>
            </w:r>
          </w:p>
        </w:tc>
        <w:tc>
          <w:tcPr>
            <w:tcW w:w="4882" w:type="dxa"/>
            <w:vAlign w:val="center"/>
          </w:tcPr>
          <w:p w14:paraId="0638772E">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1.数据整合与可视化：汇聚教育机构、行业企业、政策法规等多源数据，提供仪表盘、图表、地图等可视化展示，辅助决策。</w:t>
            </w:r>
          </w:p>
          <w:p w14:paraId="09BBA053">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2.趋势分析与预测：基于历史数据分析产教融合发展趋势，通过预测模型研判未来方向，为决策提供参考。</w:t>
            </w:r>
          </w:p>
          <w:p w14:paraId="2B2F65A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3.资源匹配与优化：实时跟踪人力、物力、财力等产教融合资源，实现智能匹配与优化配置，提升资源利用效率。</w:t>
            </w:r>
          </w:p>
          <w:p w14:paraId="77680499">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4.政策制定与评估：为政策制定提供数据支撑，对已落地政策开展效果评估并给出优化建议。</w:t>
            </w:r>
          </w:p>
          <w:p w14:paraId="28DDBE7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5.合作项目推荐：分析产教融合项目价值与潜力，按领域、地区、企业智能推荐优质合作项目。</w:t>
            </w:r>
          </w:p>
          <w:p w14:paraId="36453C47">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6.风险评估与管理：识别产教融合潜在风险，提供对应风控策略与处置措施，保障工作平稳推进。</w:t>
            </w:r>
          </w:p>
          <w:p w14:paraId="0242A116">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7.绩效评估与激励：建立绩效指标体系，定期评估机构与项目成效，支持配套激励措施落地。</w:t>
            </w:r>
          </w:p>
          <w:p w14:paraId="13BB0B14">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8.拓展功能：可根据实际需求灵活配置展示内容与功能模块。</w:t>
            </w:r>
          </w:p>
        </w:tc>
        <w:tc>
          <w:tcPr>
            <w:tcW w:w="917" w:type="dxa"/>
            <w:gridSpan w:val="2"/>
            <w:vAlign w:val="center"/>
          </w:tcPr>
          <w:p w14:paraId="2EDBE26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snapToGrid w:val="0"/>
                <w:color w:val="auto"/>
                <w:sz w:val="21"/>
                <w:szCs w:val="21"/>
                <w:lang w:bidi="ar"/>
              </w:rPr>
              <w:t>1套</w:t>
            </w:r>
          </w:p>
        </w:tc>
        <w:tc>
          <w:tcPr>
            <w:tcW w:w="1117" w:type="dxa"/>
            <w:gridSpan w:val="2"/>
            <w:shd w:val="clear" w:color="auto" w:fill="auto"/>
            <w:vAlign w:val="center"/>
          </w:tcPr>
          <w:p w14:paraId="7D93743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28.8</w:t>
            </w:r>
          </w:p>
        </w:tc>
        <w:tc>
          <w:tcPr>
            <w:tcW w:w="1069" w:type="dxa"/>
            <w:vAlign w:val="center"/>
          </w:tcPr>
          <w:p w14:paraId="066C5BE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rPr>
              <w:t>28.8</w:t>
            </w:r>
          </w:p>
        </w:tc>
      </w:tr>
      <w:tr w14:paraId="142D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5E336B2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.1</w:t>
            </w:r>
          </w:p>
        </w:tc>
        <w:tc>
          <w:tcPr>
            <w:tcW w:w="1133" w:type="dxa"/>
            <w:vAlign w:val="center"/>
          </w:tcPr>
          <w:p w14:paraId="31590D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信息发布与动态监测</w:t>
            </w:r>
          </w:p>
        </w:tc>
        <w:tc>
          <w:tcPr>
            <w:tcW w:w="4882" w:type="dxa"/>
            <w:vAlign w:val="center"/>
          </w:tcPr>
          <w:p w14:paraId="1D449F4F">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定期发布区域产教融合发展动态、高等教育产教融合项目、技术服务供给与需求等信息，为各参与主体提供及时、准确的市场情报。同时，通过构建动态监测系统，实时跟踪产教融合项目的进展情况，评估项目成效，为决策提供数据支持。</w:t>
            </w:r>
          </w:p>
        </w:tc>
        <w:tc>
          <w:tcPr>
            <w:tcW w:w="917" w:type="dxa"/>
            <w:gridSpan w:val="2"/>
            <w:vAlign w:val="center"/>
          </w:tcPr>
          <w:p w14:paraId="6A4B07D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7D0D4B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4</w:t>
            </w:r>
          </w:p>
        </w:tc>
        <w:tc>
          <w:tcPr>
            <w:tcW w:w="1069" w:type="dxa"/>
            <w:vAlign w:val="center"/>
          </w:tcPr>
          <w:p w14:paraId="7DC484D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4</w:t>
            </w:r>
          </w:p>
        </w:tc>
      </w:tr>
      <w:tr w14:paraId="5CEF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1EB01AB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.2</w:t>
            </w:r>
          </w:p>
        </w:tc>
        <w:tc>
          <w:tcPr>
            <w:tcW w:w="1133" w:type="dxa"/>
            <w:vAlign w:val="center"/>
          </w:tcPr>
          <w:p w14:paraId="20D1FCE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政策情报分析与信息咨询检索</w:t>
            </w:r>
          </w:p>
        </w:tc>
        <w:tc>
          <w:tcPr>
            <w:tcW w:w="4882" w:type="dxa"/>
            <w:vAlign w:val="center"/>
          </w:tcPr>
          <w:p w14:paraId="62C8F5AD">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依托强大的数据分析能力，支持深度挖掘政策文件、行业标准与市场需求等信息，为各主体提供政策解读、风险评估与战略规划等咨询服务。此外，还将建立信息咨询检索平台，方便用户快速获取所需信息，提升决策效率。</w:t>
            </w:r>
          </w:p>
        </w:tc>
        <w:tc>
          <w:tcPr>
            <w:tcW w:w="917" w:type="dxa"/>
            <w:gridSpan w:val="2"/>
            <w:vAlign w:val="center"/>
          </w:tcPr>
          <w:p w14:paraId="3579693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5219501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5</w:t>
            </w:r>
          </w:p>
        </w:tc>
        <w:tc>
          <w:tcPr>
            <w:tcW w:w="1069" w:type="dxa"/>
            <w:vAlign w:val="center"/>
          </w:tcPr>
          <w:p w14:paraId="36AF57A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5</w:t>
            </w:r>
          </w:p>
        </w:tc>
      </w:tr>
      <w:tr w14:paraId="5126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71D5594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.3</w:t>
            </w:r>
          </w:p>
        </w:tc>
        <w:tc>
          <w:tcPr>
            <w:tcW w:w="1133" w:type="dxa"/>
            <w:vAlign w:val="center"/>
          </w:tcPr>
          <w:p w14:paraId="63681C7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人才培养与人力资源供需对接</w:t>
            </w:r>
          </w:p>
        </w:tc>
        <w:tc>
          <w:tcPr>
            <w:tcW w:w="4882" w:type="dxa"/>
            <w:vAlign w:val="center"/>
          </w:tcPr>
          <w:p w14:paraId="079911F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支持整合区域内教育资源与企业需求，构建人才供需数据库，实现人才培养与岗位需求的精准对接。通过组织校企联合招聘会、实习实训项目、职业技能培训等活动，促进学生就业与企业招才引智的双赢局面。</w:t>
            </w:r>
          </w:p>
        </w:tc>
        <w:tc>
          <w:tcPr>
            <w:tcW w:w="917" w:type="dxa"/>
            <w:gridSpan w:val="2"/>
            <w:vAlign w:val="center"/>
          </w:tcPr>
          <w:p w14:paraId="594261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E0061D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4</w:t>
            </w:r>
          </w:p>
        </w:tc>
        <w:tc>
          <w:tcPr>
            <w:tcW w:w="1069" w:type="dxa"/>
            <w:vAlign w:val="center"/>
          </w:tcPr>
          <w:p w14:paraId="3AE3215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4</w:t>
            </w:r>
          </w:p>
        </w:tc>
      </w:tr>
      <w:tr w14:paraId="79B6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611205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.4</w:t>
            </w:r>
          </w:p>
        </w:tc>
        <w:tc>
          <w:tcPr>
            <w:tcW w:w="1133" w:type="dxa"/>
            <w:vAlign w:val="center"/>
          </w:tcPr>
          <w:p w14:paraId="675A8D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企业与产业学院推介</w:t>
            </w:r>
          </w:p>
        </w:tc>
        <w:tc>
          <w:tcPr>
            <w:tcW w:w="4882" w:type="dxa"/>
            <w:vAlign w:val="center"/>
          </w:tcPr>
          <w:p w14:paraId="41EF22F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支持针对产教融合中的优秀企业与示范性产业学院，数据运营中心将进行深度挖掘与广泛推介。通过举办成果展示会、经验交流会等活动，展示企业与学院的合作成果与典型案例，提升品牌影响力与知名度，吸引更多优质资源加入产教融合行列。</w:t>
            </w:r>
          </w:p>
        </w:tc>
        <w:tc>
          <w:tcPr>
            <w:tcW w:w="917" w:type="dxa"/>
            <w:gridSpan w:val="2"/>
            <w:vAlign w:val="center"/>
          </w:tcPr>
          <w:p w14:paraId="477C571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2FE26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5</w:t>
            </w:r>
          </w:p>
        </w:tc>
        <w:tc>
          <w:tcPr>
            <w:tcW w:w="1069" w:type="dxa"/>
            <w:vAlign w:val="center"/>
          </w:tcPr>
          <w:p w14:paraId="690D802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5</w:t>
            </w:r>
          </w:p>
        </w:tc>
      </w:tr>
      <w:tr w14:paraId="517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24F612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.5</w:t>
            </w:r>
          </w:p>
        </w:tc>
        <w:tc>
          <w:tcPr>
            <w:tcW w:w="1133" w:type="dxa"/>
            <w:vAlign w:val="center"/>
          </w:tcPr>
          <w:p w14:paraId="270D3AD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技术创新与成果转化服务</w:t>
            </w:r>
          </w:p>
        </w:tc>
        <w:tc>
          <w:tcPr>
            <w:tcW w:w="4882" w:type="dxa"/>
            <w:vAlign w:val="center"/>
          </w:tcPr>
          <w:p w14:paraId="465828A5">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搭建技术创新与成果转化服务平台，为企业提供技术研发、产品测试、专利申请等一站式服务。同时，联合高校与科研机构，共同开展科研项目攻关与成果转化工作，推动科技成果从实验室走向市场，助力产业升级与经济发展。</w:t>
            </w:r>
          </w:p>
        </w:tc>
        <w:tc>
          <w:tcPr>
            <w:tcW w:w="917" w:type="dxa"/>
            <w:gridSpan w:val="2"/>
            <w:vAlign w:val="center"/>
          </w:tcPr>
          <w:p w14:paraId="3265B9D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3F36639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5</w:t>
            </w:r>
          </w:p>
        </w:tc>
        <w:tc>
          <w:tcPr>
            <w:tcW w:w="1069" w:type="dxa"/>
            <w:vAlign w:val="center"/>
          </w:tcPr>
          <w:p w14:paraId="4794FD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5</w:t>
            </w:r>
          </w:p>
        </w:tc>
      </w:tr>
      <w:tr w14:paraId="260E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8" w:type="dxa"/>
            <w:vAlign w:val="center"/>
          </w:tcPr>
          <w:p w14:paraId="3DDF3E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9</w:t>
            </w:r>
            <w:r>
              <w:rPr>
                <w:rFonts w:hint="eastAsia"/>
                <w:color w:val="auto"/>
                <w:sz w:val="21"/>
                <w:szCs w:val="21"/>
                <w:lang w:bidi="ar"/>
              </w:rPr>
              <w:t>.6</w:t>
            </w:r>
          </w:p>
        </w:tc>
        <w:tc>
          <w:tcPr>
            <w:tcW w:w="1133" w:type="dxa"/>
            <w:vAlign w:val="center"/>
          </w:tcPr>
          <w:p w14:paraId="3315EDB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rFonts w:hint="eastAsia"/>
                <w:color w:val="auto"/>
                <w:sz w:val="21"/>
                <w:szCs w:val="21"/>
                <w:lang w:bidi="ar"/>
              </w:rPr>
              <w:t>引教入企服务</w:t>
            </w:r>
          </w:p>
        </w:tc>
        <w:tc>
          <w:tcPr>
            <w:tcW w:w="4882" w:type="dxa"/>
            <w:vAlign w:val="center"/>
          </w:tcPr>
          <w:p w14:paraId="1C252A4A">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 w:val="21"/>
                <w:szCs w:val="21"/>
              </w:rPr>
            </w:pPr>
            <w:r>
              <w:rPr>
                <w:rFonts w:hint="eastAsia"/>
                <w:color w:val="auto"/>
                <w:sz w:val="21"/>
                <w:szCs w:val="21"/>
              </w:rPr>
              <w:t>提供引教入企服务。通过组织教师赴企业实践、邀请企业专家进校授课等方式，实现教育资源与企业需求的无缝对接。同时，推动校企共建研发中心、实验室等创新平台，促进产学研深度融合与协同发展。</w:t>
            </w:r>
          </w:p>
        </w:tc>
        <w:tc>
          <w:tcPr>
            <w:tcW w:w="917" w:type="dxa"/>
            <w:gridSpan w:val="2"/>
            <w:vAlign w:val="center"/>
          </w:tcPr>
          <w:p w14:paraId="27A227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lang w:bidi="ar"/>
              </w:rPr>
              <w:t>1</w:t>
            </w:r>
            <w:r>
              <w:rPr>
                <w:rFonts w:hint="eastAsia"/>
                <w:color w:val="auto"/>
                <w:sz w:val="21"/>
                <w:szCs w:val="21"/>
                <w:lang w:bidi="ar"/>
              </w:rPr>
              <w:t>项</w:t>
            </w:r>
          </w:p>
        </w:tc>
        <w:tc>
          <w:tcPr>
            <w:tcW w:w="1117" w:type="dxa"/>
            <w:gridSpan w:val="2"/>
            <w:shd w:val="clear" w:color="auto" w:fill="auto"/>
            <w:vAlign w:val="center"/>
          </w:tcPr>
          <w:p w14:paraId="4A2D7CC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Times New Roman" w:eastAsiaTheme="minorEastAsia"/>
                <w:color w:val="auto"/>
                <w:kern w:val="2"/>
                <w:sz w:val="21"/>
                <w:szCs w:val="21"/>
                <w:lang w:val="en-US" w:eastAsia="zh-CN" w:bidi="ar-SA"/>
              </w:rPr>
            </w:pPr>
            <w:r>
              <w:rPr>
                <w:rFonts w:hint="eastAsia"/>
                <w:color w:val="auto"/>
                <w:sz w:val="21"/>
                <w:szCs w:val="21"/>
                <w:lang w:val="en-US" w:eastAsia="zh-CN"/>
              </w:rPr>
              <w:t>5.8</w:t>
            </w:r>
          </w:p>
        </w:tc>
        <w:tc>
          <w:tcPr>
            <w:tcW w:w="1069" w:type="dxa"/>
            <w:vAlign w:val="center"/>
          </w:tcPr>
          <w:p w14:paraId="1DD411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color w:val="auto"/>
                <w:sz w:val="21"/>
                <w:szCs w:val="21"/>
              </w:rPr>
            </w:pPr>
            <w:r>
              <w:rPr>
                <w:color w:val="auto"/>
                <w:sz w:val="21"/>
                <w:szCs w:val="21"/>
              </w:rPr>
              <w:t>5.8</w:t>
            </w:r>
          </w:p>
        </w:tc>
      </w:tr>
    </w:tbl>
    <w:p w14:paraId="25CB0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AEC5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（服务类）</w:t>
      </w:r>
      <w:r>
        <w:rPr>
          <w:rFonts w:hint="eastAsia" w:ascii="宋体" w:hAnsi="宋体" w:cs="宋体"/>
          <w:sz w:val="24"/>
          <w:szCs w:val="24"/>
          <w:lang w:val="en-US" w:eastAsia="zh-CN"/>
        </w:rPr>
        <w:t>中小企业划型标准：软件和信息技术服务业</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279"/>
        <w:gridCol w:w="4649"/>
        <w:gridCol w:w="946"/>
        <w:gridCol w:w="1086"/>
        <w:gridCol w:w="1086"/>
      </w:tblGrid>
      <w:tr w14:paraId="1F8B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910" w:type="dxa"/>
            <w:vAlign w:val="center"/>
          </w:tcPr>
          <w:p w14:paraId="49E0A6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b/>
                <w:bCs/>
                <w:color w:val="auto"/>
              </w:rPr>
            </w:pPr>
            <w:r>
              <w:rPr>
                <w:rFonts w:hint="eastAsia"/>
                <w:b/>
                <w:bCs/>
                <w:color w:val="auto"/>
              </w:rPr>
              <w:t>序号</w:t>
            </w:r>
          </w:p>
        </w:tc>
        <w:tc>
          <w:tcPr>
            <w:tcW w:w="1279" w:type="dxa"/>
            <w:vAlign w:val="center"/>
          </w:tcPr>
          <w:p w14:paraId="727481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b/>
                <w:bCs/>
                <w:color w:val="auto"/>
              </w:rPr>
            </w:pPr>
            <w:r>
              <w:rPr>
                <w:rFonts w:hint="eastAsia"/>
                <w:b/>
                <w:bCs/>
                <w:color w:val="auto"/>
              </w:rPr>
              <w:t>服务内容</w:t>
            </w:r>
          </w:p>
        </w:tc>
        <w:tc>
          <w:tcPr>
            <w:tcW w:w="4649" w:type="dxa"/>
            <w:vAlign w:val="center"/>
          </w:tcPr>
          <w:p w14:paraId="0AD902A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b/>
                <w:bCs/>
                <w:color w:val="auto"/>
              </w:rPr>
            </w:pPr>
            <w:r>
              <w:rPr>
                <w:rFonts w:hint="eastAsia"/>
                <w:b/>
                <w:bCs/>
                <w:color w:val="auto"/>
              </w:rPr>
              <w:t>服务范围及标准</w:t>
            </w:r>
          </w:p>
        </w:tc>
        <w:tc>
          <w:tcPr>
            <w:tcW w:w="946" w:type="dxa"/>
            <w:vAlign w:val="center"/>
          </w:tcPr>
          <w:p w14:paraId="424649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b/>
                <w:bCs/>
                <w:color w:val="auto"/>
              </w:rPr>
            </w:pPr>
            <w:r>
              <w:rPr>
                <w:rFonts w:hint="eastAsia"/>
                <w:b/>
                <w:bCs/>
                <w:color w:val="auto"/>
              </w:rPr>
              <w:t>数量</w:t>
            </w:r>
          </w:p>
        </w:tc>
        <w:tc>
          <w:tcPr>
            <w:tcW w:w="1086" w:type="dxa"/>
            <w:shd w:val="clear" w:color="auto" w:fill="auto"/>
            <w:vAlign w:val="center"/>
          </w:tcPr>
          <w:p w14:paraId="1ACD88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b/>
                <w:bCs/>
                <w:color w:val="auto"/>
                <w:kern w:val="2"/>
                <w:sz w:val="21"/>
                <w:szCs w:val="22"/>
                <w:lang w:val="en-US" w:eastAsia="zh-CN" w:bidi="ar-SA"/>
              </w:rPr>
            </w:pPr>
            <w:r>
              <w:rPr>
                <w:rFonts w:hint="eastAsia"/>
                <w:b/>
                <w:bCs/>
                <w:color w:val="auto"/>
                <w:lang w:val="en-US" w:eastAsia="zh-CN"/>
              </w:rPr>
              <w:t>预算单价（万元）</w:t>
            </w:r>
          </w:p>
        </w:tc>
        <w:tc>
          <w:tcPr>
            <w:tcW w:w="1086" w:type="dxa"/>
            <w:vAlign w:val="center"/>
          </w:tcPr>
          <w:p w14:paraId="67ED12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b/>
                <w:bCs/>
                <w:color w:val="auto"/>
              </w:rPr>
            </w:pPr>
            <w:r>
              <w:rPr>
                <w:rFonts w:hint="eastAsia"/>
                <w:b/>
                <w:bCs/>
                <w:color w:val="auto"/>
              </w:rPr>
              <w:t>预算金额（万元）</w:t>
            </w:r>
          </w:p>
        </w:tc>
      </w:tr>
      <w:tr w14:paraId="2CD6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 w:type="dxa"/>
            <w:vAlign w:val="center"/>
          </w:tcPr>
          <w:p w14:paraId="0ADDA29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color w:val="auto"/>
              </w:rPr>
              <w:t>1</w:t>
            </w:r>
          </w:p>
        </w:tc>
        <w:tc>
          <w:tcPr>
            <w:tcW w:w="1279" w:type="dxa"/>
            <w:vAlign w:val="center"/>
          </w:tcPr>
          <w:p w14:paraId="24299AA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服务器操作系统</w:t>
            </w:r>
          </w:p>
        </w:tc>
        <w:tc>
          <w:tcPr>
            <w:tcW w:w="4649" w:type="dxa"/>
            <w:vAlign w:val="center"/>
          </w:tcPr>
          <w:p w14:paraId="40E0933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1.操作系统产品提供安全中心功能，支持以命令行工具和图形化界面的方式对系统进行安全加固、账户保护、网络保护、应用保护等。</w:t>
            </w:r>
          </w:p>
          <w:p w14:paraId="59BF03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提供智能运维工具，具备系统体检（CVE漏洞扫描、BUG缺陷检查、服务状态检查）、日志收集（全量日志收集、选择日志收集）和系统监控（进程监控、文件监控、内存监控、网络监控）等功能，简化系统运维复杂度。</w:t>
            </w:r>
          </w:p>
          <w:p w14:paraId="404BB21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具备文件系统管理、设备管理、用户管理、日志管理、软件包管理、磁盘管理等基本功能；提供服务配置和管理、进程管理、网络管理、资源管理和监控、文件共享、系统更新等服务器常用工具和集成开发环境。</w:t>
            </w:r>
          </w:p>
          <w:p w14:paraId="628515A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4.操作系统应当符合安全可靠测评要求，符合财政部、工业和信息化部所制定的《操作系统政府采购需求标准（2023年版）》要求。</w:t>
            </w:r>
          </w:p>
          <w:p w14:paraId="30C9281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5.支持作为客户机安装到KVM、Xen、Hyper-V、ESXi等虚拟机和云平台中。</w:t>
            </w:r>
          </w:p>
        </w:tc>
        <w:tc>
          <w:tcPr>
            <w:tcW w:w="946" w:type="dxa"/>
            <w:vAlign w:val="center"/>
          </w:tcPr>
          <w:p w14:paraId="00C830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center"/>
              <w:rPr>
                <w:snapToGrid w:val="0"/>
                <w:color w:val="auto"/>
                <w:lang w:bidi="ar"/>
              </w:rPr>
            </w:pPr>
            <w:r>
              <w:rPr>
                <w:rFonts w:hint="eastAsia"/>
                <w:snapToGrid w:val="0"/>
                <w:color w:val="auto"/>
                <w:lang w:bidi="ar"/>
              </w:rPr>
              <w:t>6</w:t>
            </w:r>
            <w:r>
              <w:rPr>
                <w:snapToGrid w:val="0"/>
                <w:color w:val="auto"/>
                <w:lang w:bidi="ar"/>
              </w:rPr>
              <w:t>0</w:t>
            </w:r>
            <w:r>
              <w:rPr>
                <w:rFonts w:hint="eastAsia"/>
                <w:snapToGrid w:val="0"/>
                <w:color w:val="auto"/>
                <w:lang w:bidi="ar"/>
              </w:rPr>
              <w:t>套</w:t>
            </w:r>
          </w:p>
        </w:tc>
        <w:tc>
          <w:tcPr>
            <w:tcW w:w="1086" w:type="dxa"/>
            <w:shd w:val="clear" w:color="auto" w:fill="auto"/>
            <w:vAlign w:val="center"/>
          </w:tcPr>
          <w:p w14:paraId="00FEEB8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0.5</w:t>
            </w:r>
          </w:p>
        </w:tc>
        <w:tc>
          <w:tcPr>
            <w:tcW w:w="1086" w:type="dxa"/>
            <w:vAlign w:val="center"/>
          </w:tcPr>
          <w:p w14:paraId="3D4C46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center"/>
              <w:rPr>
                <w:color w:val="auto"/>
                <w:lang w:bidi="ar"/>
              </w:rPr>
            </w:pPr>
            <w:r>
              <w:rPr>
                <w:rFonts w:hint="eastAsia"/>
                <w:snapToGrid w:val="0"/>
                <w:color w:val="auto"/>
                <w:lang w:bidi="ar"/>
              </w:rPr>
              <w:t>30</w:t>
            </w:r>
          </w:p>
        </w:tc>
      </w:tr>
      <w:tr w14:paraId="0946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 w:type="dxa"/>
            <w:vAlign w:val="center"/>
          </w:tcPr>
          <w:p w14:paraId="7CE4A2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color w:val="auto"/>
              </w:rPr>
              <w:t>2</w:t>
            </w:r>
          </w:p>
        </w:tc>
        <w:tc>
          <w:tcPr>
            <w:tcW w:w="1279" w:type="dxa"/>
            <w:vAlign w:val="center"/>
          </w:tcPr>
          <w:p w14:paraId="1B13FE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lang w:bidi="ar"/>
              </w:rPr>
              <w:t>数据库系统</w:t>
            </w:r>
          </w:p>
        </w:tc>
        <w:tc>
          <w:tcPr>
            <w:tcW w:w="4649" w:type="dxa"/>
            <w:vAlign w:val="center"/>
          </w:tcPr>
          <w:p w14:paraId="751482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1.产品需为国产集中式关系型数据库，提供软件著作权证书。</w:t>
            </w:r>
          </w:p>
          <w:p w14:paraId="1A91F9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2.★数据库产品通过中国信息安全测评中心或国家保密科技测评中心的安全可靠评测，且在集中式数据库目录中。</w:t>
            </w:r>
          </w:p>
          <w:p w14:paraId="3708E9E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3.所提供产品符合财政部、工业和信息化部《数据库政府采购需求标准（2023年版）》标准，提供满足集中式数据库政府采购需求标准中功能要求的证书。</w:t>
            </w:r>
          </w:p>
          <w:p w14:paraId="5E6488A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有跨操作系统平台的能力，支持Linux、麒麟、UOS等操作系统等，支持INTEL、鲲鹏、飞腾等处理器；数据库以集群形态分别在鲲鹏、飞腾、海光芯片和国产麒麟、统信等操作系统上，执行TPC-C测试7*24小时内无故障，运行成功率达到99.99%。</w:t>
            </w:r>
          </w:p>
          <w:p w14:paraId="0F6293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针对国产处理器平台有专门的优化技术，要求在2路国产处理器平台上TPC-C测试中100仓数据量性能可达到150万tpmC以上，须提供工信部下属测评机构：中国软件评测中心、国家工业信息安全发展研究中心、工业和信息化部电子第五研究所、中国电子技术标准化研究院、中国信息通信研究院其中之一按信创测试大纲测试后出具的《产品质量测试报告》或《产品确认测试报告》。</w:t>
            </w:r>
          </w:p>
          <w:p w14:paraId="1CA9E03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6.支持ANSI SQL-2003以上标准；支持JDBC/ODBC标准接口；支持PL/pgSQL等过程语言。过程性语言支持自治事务，包括存储过程、自定义函数、触发器以及匿名块。存储过程支持自治事务的嵌套调用。</w:t>
            </w:r>
          </w:p>
          <w:p w14:paraId="469854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7.数据库具备备份恢复功能，具备逻辑备份、物理备份功能。支持全量备份、增量备份，支持PITR指定时间点恢复。支持B-TREE索引、GIN倒排索引、Gist空间索引、UBtree等多种索引访问方式。</w:t>
            </w:r>
          </w:p>
          <w:p w14:paraId="278D89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支持HA故障转移集群和主备同步技术，支持共享存储集群。具备读写分离以及故障转移功能，支持主从、一主多从、级联复制等架构，从库能设置延迟复制和优选提交复制。集群在确保RPO=0的前提下，可以实现RTO≤10s。须提供操作截图。</w:t>
            </w:r>
          </w:p>
          <w:p w14:paraId="6B5847E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9.内置内存引擎，是真正的存储引擎，可通过简单操作语句直接指定是否启用内存引擎。能够实现在同一个实例中内存表跟普通的磁盘表的共存，内存表支持ACID、常用SQL语法、存储过程和数据持久化等功能特性，针对内存表支持使用PREPARE语句的查询原生编译。</w:t>
            </w:r>
            <w:bookmarkStart w:id="135" w:name="OLE_LINK6"/>
            <w:r>
              <w:rPr>
                <w:rFonts w:hint="eastAsia"/>
                <w:color w:val="auto"/>
              </w:rPr>
              <w:t>须提供国家认可的第三方检测机构出具的检测报告</w:t>
            </w:r>
            <w:bookmarkEnd w:id="135"/>
            <w:r>
              <w:rPr>
                <w:rFonts w:hint="eastAsia"/>
                <w:color w:val="auto"/>
              </w:rPr>
              <w:t>，并提供操作截图。</w:t>
            </w:r>
          </w:p>
          <w:p w14:paraId="2032F4C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10.在2 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须提供国家认可的第三方检测机构出具的检测报告，另外须提供操作截图。</w:t>
            </w:r>
          </w:p>
          <w:p w14:paraId="28054D6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11.支持基于共享存储的存算分离数据库架构，计算节点和存储节点分离，存储利用率提升50%以上。在集群管理上，基于双重心跳检测、共享盘仲裁、IO/Fencing等技术实现集群节点故障自动检测、恢复和隔离。在64核的基础上，TPC-C测试中1000仓500并发可以达到60万以上tpmC值，升到1000并发后，性能衰减不超过3万tpmC。须提供操作截图。</w:t>
            </w:r>
          </w:p>
        </w:tc>
        <w:tc>
          <w:tcPr>
            <w:tcW w:w="946" w:type="dxa"/>
            <w:vAlign w:val="center"/>
          </w:tcPr>
          <w:p w14:paraId="4794AD4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1</w:t>
            </w:r>
            <w:r>
              <w:rPr>
                <w:snapToGrid w:val="0"/>
                <w:color w:val="auto"/>
                <w:lang w:bidi="ar"/>
              </w:rPr>
              <w:t>4</w:t>
            </w:r>
            <w:r>
              <w:rPr>
                <w:rFonts w:hint="eastAsia"/>
                <w:snapToGrid w:val="0"/>
                <w:color w:val="auto"/>
                <w:lang w:bidi="ar"/>
              </w:rPr>
              <w:t>套</w:t>
            </w:r>
          </w:p>
        </w:tc>
        <w:tc>
          <w:tcPr>
            <w:tcW w:w="1086" w:type="dxa"/>
            <w:shd w:val="clear" w:color="auto" w:fill="auto"/>
            <w:vAlign w:val="center"/>
          </w:tcPr>
          <w:p w14:paraId="2E2B5A1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5</w:t>
            </w:r>
          </w:p>
        </w:tc>
        <w:tc>
          <w:tcPr>
            <w:tcW w:w="1086" w:type="dxa"/>
            <w:vAlign w:val="center"/>
          </w:tcPr>
          <w:p w14:paraId="3927A17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snapToGrid w:val="0"/>
                <w:color w:val="auto"/>
                <w:lang w:bidi="ar"/>
              </w:rPr>
              <w:t>70</w:t>
            </w:r>
          </w:p>
        </w:tc>
      </w:tr>
      <w:tr w14:paraId="087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55740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3</w:t>
            </w:r>
          </w:p>
        </w:tc>
        <w:tc>
          <w:tcPr>
            <w:tcW w:w="7960" w:type="dxa"/>
            <w:gridSpan w:val="4"/>
            <w:vAlign w:val="center"/>
          </w:tcPr>
          <w:p w14:paraId="39B2A92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snapToGrid w:val="0"/>
                <w:color w:val="auto"/>
                <w:lang w:bidi="ar"/>
              </w:rPr>
            </w:pPr>
            <w:r>
              <w:rPr>
                <w:rFonts w:hint="eastAsia"/>
                <w:color w:val="auto"/>
                <w:lang w:bidi="ar"/>
              </w:rPr>
              <w:t>中间件</w:t>
            </w:r>
          </w:p>
        </w:tc>
        <w:tc>
          <w:tcPr>
            <w:tcW w:w="1086" w:type="dxa"/>
            <w:vAlign w:val="center"/>
          </w:tcPr>
          <w:p w14:paraId="68A04F9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snapToGrid w:val="0"/>
                <w:color w:val="auto"/>
                <w:lang w:bidi="ar"/>
              </w:rPr>
              <w:t>70</w:t>
            </w:r>
          </w:p>
        </w:tc>
      </w:tr>
      <w:tr w14:paraId="669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5D38CE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3.1</w:t>
            </w:r>
          </w:p>
        </w:tc>
        <w:tc>
          <w:tcPr>
            <w:tcW w:w="1279" w:type="dxa"/>
            <w:vAlign w:val="center"/>
          </w:tcPr>
          <w:p w14:paraId="72A6C48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应用中间件</w:t>
            </w:r>
          </w:p>
        </w:tc>
        <w:tc>
          <w:tcPr>
            <w:tcW w:w="4649" w:type="dxa"/>
            <w:vAlign w:val="center"/>
          </w:tcPr>
          <w:p w14:paraId="1DF4B6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1.▲投标产品需具有国产自主知识产权，具有计算机软件著作权登记证书。</w:t>
            </w:r>
          </w:p>
          <w:p w14:paraId="23AC7E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2.通过 Java EE 5、6、7、8，Jakarta EE8与JakartaEE 9.1、JakartaEE 10认证等更多标准规范认证。提供包括或不限于以上规范官方兼容认证截图；</w:t>
            </w:r>
          </w:p>
          <w:p w14:paraId="0728441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3.兼容Jakarta EE 标准的企业级应用服务器，对标 WebLogic、WebSphere，为 Java 应用提供运行容器与全生命周期支撑。</w:t>
            </w:r>
          </w:p>
          <w:p w14:paraId="70C2D13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4.具备Servlet、JSP、EJB、JMS 等规范，提供 JDBC 连接池、分布式事务、集群部署、微服务适配等能力，适配容器化与云环境，为方便统一运维要求所投中间件产品为同一品牌。</w:t>
            </w:r>
          </w:p>
        </w:tc>
        <w:tc>
          <w:tcPr>
            <w:tcW w:w="946" w:type="dxa"/>
            <w:vAlign w:val="center"/>
          </w:tcPr>
          <w:p w14:paraId="0954B3E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3</w:t>
            </w:r>
            <w:r>
              <w:rPr>
                <w:snapToGrid w:val="0"/>
                <w:color w:val="auto"/>
                <w:lang w:bidi="ar"/>
              </w:rPr>
              <w:t>5</w:t>
            </w:r>
            <w:r>
              <w:rPr>
                <w:rFonts w:hint="eastAsia"/>
                <w:snapToGrid w:val="0"/>
                <w:color w:val="auto"/>
                <w:lang w:bidi="ar"/>
              </w:rPr>
              <w:t>套</w:t>
            </w:r>
          </w:p>
        </w:tc>
        <w:tc>
          <w:tcPr>
            <w:tcW w:w="1086" w:type="dxa"/>
            <w:shd w:val="clear" w:color="auto" w:fill="auto"/>
            <w:vAlign w:val="center"/>
          </w:tcPr>
          <w:p w14:paraId="3294E50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1.7943</w:t>
            </w:r>
          </w:p>
        </w:tc>
        <w:tc>
          <w:tcPr>
            <w:tcW w:w="1086" w:type="dxa"/>
            <w:vAlign w:val="center"/>
          </w:tcPr>
          <w:p w14:paraId="375743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6</w:t>
            </w:r>
            <w:r>
              <w:rPr>
                <w:snapToGrid w:val="0"/>
                <w:color w:val="auto"/>
                <w:lang w:bidi="ar"/>
              </w:rPr>
              <w:t>2.8</w:t>
            </w:r>
          </w:p>
        </w:tc>
      </w:tr>
      <w:tr w14:paraId="290E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7F849A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3.2</w:t>
            </w:r>
          </w:p>
        </w:tc>
        <w:tc>
          <w:tcPr>
            <w:tcW w:w="1279" w:type="dxa"/>
            <w:vAlign w:val="center"/>
          </w:tcPr>
          <w:p w14:paraId="24229C7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消息中间件</w:t>
            </w:r>
          </w:p>
        </w:tc>
        <w:tc>
          <w:tcPr>
            <w:tcW w:w="4649" w:type="dxa"/>
            <w:vAlign w:val="center"/>
          </w:tcPr>
          <w:p w14:paraId="0B0531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1.▲具有国产自主知识产权，具有计算机软件著作权登记证书。</w:t>
            </w:r>
          </w:p>
          <w:p w14:paraId="2344878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 为保障产品的技术先进性，产品关键技术如采用了国家专利。</w:t>
            </w:r>
          </w:p>
          <w:p w14:paraId="1ADE99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3.提供队列/发布-订阅模式，支持消息持久化、SSL/国密加密、集群负载均衡与线路备份，适配跨平台、跨协议通信，为方便统一运维要求所投中间件产品为同一品牌。</w:t>
            </w:r>
          </w:p>
        </w:tc>
        <w:tc>
          <w:tcPr>
            <w:tcW w:w="946" w:type="dxa"/>
            <w:vAlign w:val="center"/>
          </w:tcPr>
          <w:p w14:paraId="74B5DF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snapToGrid w:val="0"/>
                <w:color w:val="auto"/>
                <w:lang w:bidi="ar"/>
              </w:rPr>
              <w:t>5</w:t>
            </w:r>
            <w:r>
              <w:rPr>
                <w:rFonts w:hint="eastAsia"/>
                <w:snapToGrid w:val="0"/>
                <w:color w:val="auto"/>
                <w:lang w:bidi="ar"/>
              </w:rPr>
              <w:t>套</w:t>
            </w:r>
          </w:p>
        </w:tc>
        <w:tc>
          <w:tcPr>
            <w:tcW w:w="1086" w:type="dxa"/>
            <w:shd w:val="clear" w:color="auto" w:fill="auto"/>
            <w:vAlign w:val="center"/>
          </w:tcPr>
          <w:p w14:paraId="52D563C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0.36</w:t>
            </w:r>
          </w:p>
        </w:tc>
        <w:tc>
          <w:tcPr>
            <w:tcW w:w="1086" w:type="dxa"/>
            <w:vAlign w:val="center"/>
          </w:tcPr>
          <w:p w14:paraId="525CB5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1</w:t>
            </w:r>
            <w:r>
              <w:rPr>
                <w:snapToGrid w:val="0"/>
                <w:color w:val="auto"/>
                <w:lang w:bidi="ar"/>
              </w:rPr>
              <w:t>.8</w:t>
            </w:r>
          </w:p>
        </w:tc>
      </w:tr>
      <w:tr w14:paraId="79B2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8785E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3.3</w:t>
            </w:r>
          </w:p>
        </w:tc>
        <w:tc>
          <w:tcPr>
            <w:tcW w:w="1279" w:type="dxa"/>
            <w:vAlign w:val="center"/>
          </w:tcPr>
          <w:p w14:paraId="36B9B79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缓存中间件</w:t>
            </w:r>
          </w:p>
        </w:tc>
        <w:tc>
          <w:tcPr>
            <w:tcW w:w="4649" w:type="dxa"/>
            <w:vAlign w:val="center"/>
          </w:tcPr>
          <w:p w14:paraId="4964CB0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1.▲具有国产自主知识产权 ，具有计算机软件著作权登记证书。</w:t>
            </w:r>
          </w:p>
          <w:p w14:paraId="747C56A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2.为保障产品的技术先进性，产品关键技术如采用了国家专利须提供相关专利证明。</w:t>
            </w:r>
          </w:p>
          <w:p w14:paraId="2C1E44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3.高性能内存缓存产品，兼容 Redis 接口，提供分布式数据缓存、共享与同步能力，提升系统读写性能与扩展性。</w:t>
            </w:r>
          </w:p>
          <w:p w14:paraId="0AE929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4.采用Java语言开发，支持 String、List 等 Redis 核心数据类型及定制拓展，具备数据持久化、多集群模式（哨兵、Redis Cluster）、高并发处理能力，为方便统一运维要求所投产品中间件为同一品牌。</w:t>
            </w:r>
          </w:p>
        </w:tc>
        <w:tc>
          <w:tcPr>
            <w:tcW w:w="946" w:type="dxa"/>
            <w:vAlign w:val="center"/>
          </w:tcPr>
          <w:p w14:paraId="62BA662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snapToGrid w:val="0"/>
                <w:color w:val="auto"/>
                <w:lang w:bidi="ar"/>
              </w:rPr>
              <w:t>5</w:t>
            </w:r>
            <w:r>
              <w:rPr>
                <w:rFonts w:hint="eastAsia"/>
                <w:snapToGrid w:val="0"/>
                <w:color w:val="auto"/>
                <w:lang w:bidi="ar"/>
              </w:rPr>
              <w:t>套</w:t>
            </w:r>
          </w:p>
        </w:tc>
        <w:tc>
          <w:tcPr>
            <w:tcW w:w="1086" w:type="dxa"/>
            <w:shd w:val="clear" w:color="auto" w:fill="auto"/>
            <w:vAlign w:val="center"/>
          </w:tcPr>
          <w:p w14:paraId="68731FF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0.72</w:t>
            </w:r>
          </w:p>
        </w:tc>
        <w:tc>
          <w:tcPr>
            <w:tcW w:w="1086" w:type="dxa"/>
            <w:vAlign w:val="center"/>
          </w:tcPr>
          <w:p w14:paraId="2BC0BFF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3</w:t>
            </w:r>
            <w:r>
              <w:rPr>
                <w:snapToGrid w:val="0"/>
                <w:color w:val="auto"/>
                <w:lang w:bidi="ar"/>
              </w:rPr>
              <w:t>.6</w:t>
            </w:r>
          </w:p>
        </w:tc>
      </w:tr>
      <w:tr w14:paraId="6F9C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38418C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3.4</w:t>
            </w:r>
          </w:p>
        </w:tc>
        <w:tc>
          <w:tcPr>
            <w:tcW w:w="1279" w:type="dxa"/>
            <w:vAlign w:val="center"/>
          </w:tcPr>
          <w:p w14:paraId="7B11BD0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负载均衡中间件</w:t>
            </w:r>
          </w:p>
        </w:tc>
        <w:tc>
          <w:tcPr>
            <w:tcW w:w="4649" w:type="dxa"/>
            <w:vAlign w:val="center"/>
          </w:tcPr>
          <w:p w14:paraId="329E3F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1.▲具有国产自主知识产权 ，具有计算机软件著作权登记证书。</w:t>
            </w:r>
          </w:p>
          <w:p w14:paraId="57EC709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2.轻量级四层/七层负载均衡与反向代理软件，用于构建高可用、高扩展的应用服务集群，可替代Nginx等同类产品。</w:t>
            </w:r>
          </w:p>
          <w:p w14:paraId="59A147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3.支持TCP、HTTP、HTTPS（含国密）等协议，提供带权轮询、IP哈希等多种负载均衡算法，支持动静分离、反向代理、静态资源托管，为方便统一运维要求所投中间件产品为同一品牌。</w:t>
            </w:r>
          </w:p>
        </w:tc>
        <w:tc>
          <w:tcPr>
            <w:tcW w:w="946" w:type="dxa"/>
            <w:vAlign w:val="center"/>
          </w:tcPr>
          <w:p w14:paraId="276642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snapToGrid w:val="0"/>
                <w:color w:val="auto"/>
                <w:lang w:bidi="ar"/>
              </w:rPr>
              <w:t>3</w:t>
            </w:r>
            <w:r>
              <w:rPr>
                <w:rFonts w:hint="eastAsia"/>
                <w:snapToGrid w:val="0"/>
                <w:color w:val="auto"/>
                <w:lang w:bidi="ar"/>
              </w:rPr>
              <w:t>套</w:t>
            </w:r>
          </w:p>
        </w:tc>
        <w:tc>
          <w:tcPr>
            <w:tcW w:w="1086" w:type="dxa"/>
            <w:shd w:val="clear" w:color="auto" w:fill="auto"/>
            <w:vAlign w:val="center"/>
          </w:tcPr>
          <w:p w14:paraId="00C194A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0.6</w:t>
            </w:r>
          </w:p>
        </w:tc>
        <w:tc>
          <w:tcPr>
            <w:tcW w:w="1086" w:type="dxa"/>
            <w:vAlign w:val="center"/>
          </w:tcPr>
          <w:p w14:paraId="257B31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lang w:bidi="ar"/>
              </w:rPr>
              <w:t>1</w:t>
            </w:r>
            <w:r>
              <w:rPr>
                <w:snapToGrid w:val="0"/>
                <w:color w:val="auto"/>
                <w:lang w:bidi="ar"/>
              </w:rPr>
              <w:t>.8</w:t>
            </w:r>
          </w:p>
        </w:tc>
      </w:tr>
      <w:tr w14:paraId="33E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83FBF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4</w:t>
            </w:r>
          </w:p>
        </w:tc>
        <w:tc>
          <w:tcPr>
            <w:tcW w:w="1279" w:type="dxa"/>
            <w:vAlign w:val="center"/>
          </w:tcPr>
          <w:p w14:paraId="47233EC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云平台</w:t>
            </w:r>
          </w:p>
        </w:tc>
        <w:tc>
          <w:tcPr>
            <w:tcW w:w="4649" w:type="dxa"/>
            <w:vAlign w:val="center"/>
          </w:tcPr>
          <w:p w14:paraId="30269CA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配套平台全面兼容海光、飞腾、鲲鹏等芯片，支持异构硬件统一纳管与混合部署，可完整满足虚拟化资源全生命周期管理需求，涵盖虚拟机创建与部署、资源弹性伸缩、镜像标准化管理、存储与网络虚拟化、高可用集群、在线迁移、故障自愈、权限分级管控等核心能力。平台内置精细化监控体系，支持CPU、内存、磁盘、网络等关键指标秒级粒度采集与实时告警，实现资源负载、业务状态、硬件健康全方位可视可管可控，为业务稳定运行提供可靠支撑。</w:t>
            </w:r>
          </w:p>
        </w:tc>
        <w:tc>
          <w:tcPr>
            <w:tcW w:w="946" w:type="dxa"/>
            <w:vAlign w:val="center"/>
          </w:tcPr>
          <w:p w14:paraId="12230F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snapToGrid w:val="0"/>
                <w:color w:val="auto"/>
                <w:lang w:bidi="ar"/>
              </w:rPr>
              <w:t>1</w:t>
            </w:r>
            <w:r>
              <w:rPr>
                <w:rFonts w:hint="eastAsia"/>
                <w:snapToGrid w:val="0"/>
                <w:color w:val="auto"/>
                <w:lang w:bidi="ar"/>
              </w:rPr>
              <w:t>套</w:t>
            </w:r>
          </w:p>
        </w:tc>
        <w:tc>
          <w:tcPr>
            <w:tcW w:w="1086" w:type="dxa"/>
            <w:shd w:val="clear" w:color="auto" w:fill="auto"/>
            <w:vAlign w:val="center"/>
          </w:tcPr>
          <w:p w14:paraId="4A5F12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2"/>
                <w:lang w:val="en-US" w:eastAsia="zh-CN" w:bidi="ar"/>
              </w:rPr>
            </w:pPr>
            <w:r>
              <w:rPr>
                <w:rFonts w:hint="eastAsia"/>
                <w:snapToGrid w:val="0"/>
                <w:color w:val="auto"/>
                <w:lang w:val="en-US" w:eastAsia="zh-CN" w:bidi="ar"/>
              </w:rPr>
              <w:t>30</w:t>
            </w:r>
          </w:p>
        </w:tc>
        <w:tc>
          <w:tcPr>
            <w:tcW w:w="1086" w:type="dxa"/>
            <w:vAlign w:val="center"/>
          </w:tcPr>
          <w:p w14:paraId="6FF674A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snapToGrid w:val="0"/>
                <w:color w:val="auto"/>
                <w:lang w:bidi="ar"/>
              </w:rPr>
              <w:t>30</w:t>
            </w:r>
          </w:p>
        </w:tc>
      </w:tr>
      <w:tr w14:paraId="6155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51DFE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lang w:bidi="ar"/>
              </w:rPr>
              <w:t>5</w:t>
            </w:r>
          </w:p>
        </w:tc>
        <w:tc>
          <w:tcPr>
            <w:tcW w:w="1279" w:type="dxa"/>
            <w:vAlign w:val="center"/>
          </w:tcPr>
          <w:p w14:paraId="69550A1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rPr>
              <w:t>密码服务管理平台（含云密码资源池管理系统、密钥管理系统）</w:t>
            </w:r>
          </w:p>
        </w:tc>
        <w:tc>
          <w:tcPr>
            <w:tcW w:w="4649" w:type="dxa"/>
            <w:vAlign w:val="center"/>
          </w:tcPr>
          <w:p w14:paraId="2D5EA2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1.便携部署</w:t>
            </w:r>
          </w:p>
          <w:p w14:paraId="639DFD4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具备在超融合一体机中部署功能；具备可视化便捷部署功能；具备关键参数设置功能；具备虚拟机内存检测功能；具备账号验证功能。</w:t>
            </w:r>
          </w:p>
          <w:p w14:paraId="55CBA4B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2.密码设备管理</w:t>
            </w:r>
          </w:p>
          <w:p w14:paraId="3812E1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具备密码设备登记功能；具备设备连通性测试功能；具备资源监控及监控配置功能。</w:t>
            </w:r>
          </w:p>
          <w:p w14:paraId="4C25ABE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3.密码服务网关管理</w:t>
            </w:r>
          </w:p>
          <w:p w14:paraId="22C30FC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具备查看网关概览功能；具备密码服务网关配置功能。</w:t>
            </w:r>
          </w:p>
          <w:p w14:paraId="322E677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4.基础密码服务SDK 功能</w:t>
            </w:r>
          </w:p>
          <w:p w14:paraId="623FDA8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具备SDK 环境初始化功能；具备大文件哈希及文件加解密运算功能。</w:t>
            </w:r>
          </w:p>
          <w:p w14:paraId="1B6E24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5.密码接口服务及应用管理功能</w:t>
            </w:r>
          </w:p>
          <w:p w14:paraId="6628C2A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具备密码接口服务功能；具备应用接入管理功能。</w:t>
            </w:r>
          </w:p>
          <w:p w14:paraId="1C9163F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6.统一服务发布功能</w:t>
            </w:r>
          </w:p>
          <w:p w14:paraId="7C37AF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具备密码服务发布功能；具备密码服务管理功能</w:t>
            </w:r>
          </w:p>
          <w:p w14:paraId="1EF655E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7.密钥生命周期管理功能</w:t>
            </w:r>
          </w:p>
          <w:p w14:paraId="5E7774F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具备应用密钥共享功能；具备密钥统计分析功能</w:t>
            </w:r>
          </w:p>
          <w:p w14:paraId="4189DB3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8.证书生命周期管理功能</w:t>
            </w:r>
          </w:p>
          <w:p w14:paraId="5D0531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具备应用证书管理功能；具备证书导入功能；具备CRL 管理功能；具备证书使用统计分析功能。</w:t>
            </w:r>
          </w:p>
        </w:tc>
        <w:tc>
          <w:tcPr>
            <w:tcW w:w="946" w:type="dxa"/>
            <w:vAlign w:val="center"/>
          </w:tcPr>
          <w:p w14:paraId="28C88A1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1套</w:t>
            </w:r>
          </w:p>
        </w:tc>
        <w:tc>
          <w:tcPr>
            <w:tcW w:w="1086" w:type="dxa"/>
            <w:shd w:val="clear" w:color="auto" w:fill="auto"/>
            <w:vAlign w:val="center"/>
          </w:tcPr>
          <w:p w14:paraId="05C536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2"/>
                <w:lang w:val="en-US" w:eastAsia="zh-CN" w:bidi="ar-SA"/>
              </w:rPr>
            </w:pPr>
            <w:r>
              <w:rPr>
                <w:rFonts w:hint="eastAsia"/>
                <w:color w:val="auto"/>
                <w:lang w:val="en-US" w:eastAsia="zh-CN"/>
              </w:rPr>
              <w:t>55</w:t>
            </w:r>
          </w:p>
        </w:tc>
        <w:tc>
          <w:tcPr>
            <w:tcW w:w="1086" w:type="dxa"/>
            <w:vAlign w:val="center"/>
          </w:tcPr>
          <w:p w14:paraId="720DC4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rPr>
              <w:t>55</w:t>
            </w:r>
          </w:p>
        </w:tc>
      </w:tr>
      <w:tr w14:paraId="731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7FFAC8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6</w:t>
            </w:r>
          </w:p>
        </w:tc>
        <w:tc>
          <w:tcPr>
            <w:tcW w:w="1279" w:type="dxa"/>
            <w:vAlign w:val="center"/>
          </w:tcPr>
          <w:p w14:paraId="6687383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rPr>
              <w:t>数字证书认证系统</w:t>
            </w:r>
          </w:p>
        </w:tc>
        <w:tc>
          <w:tcPr>
            <w:tcW w:w="4649" w:type="dxa"/>
            <w:vAlign w:val="center"/>
          </w:tcPr>
          <w:p w14:paraId="35B8E3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1.系统的设计及建设符合国家密码管理局、工业和信息化部等国家有关标准规范要求，包括根证书签发系统，证书签发系统，证书注册系统，密钥管理系统，LDAP目录服务系统，OCSP在线查询系统。</w:t>
            </w:r>
          </w:p>
          <w:p w14:paraId="613171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2.证书符合ITU X.509 V3标准及具有标准扩展域的证书；证书撤消列表符合ITU X.509 V2标准。</w:t>
            </w:r>
          </w:p>
          <w:p w14:paraId="52D0E1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3.根证书签发系统</w:t>
            </w:r>
          </w:p>
          <w:p w14:paraId="7B04461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（1）具备SM2、RSA算法，RSA算法支持2048、4096。</w:t>
            </w:r>
          </w:p>
          <w:p w14:paraId="183D98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（2）提供根CA全生命周期管理，提供根证书签发、更新、废除、查询等功能。</w:t>
            </w:r>
          </w:p>
          <w:p w14:paraId="37B3029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（3）具备根证书交叉认证管理。</w:t>
            </w:r>
          </w:p>
          <w:p w14:paraId="7D58B87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（4）具备最大证书容量≥10万张。</w:t>
            </w:r>
          </w:p>
          <w:p w14:paraId="0C65EC9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（5）RSA双证书签发速度≥30张/秒。</w:t>
            </w:r>
          </w:p>
          <w:p w14:paraId="083E5F5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（6）SM2双证书签发速度≥50张/秒。</w:t>
            </w:r>
          </w:p>
          <w:p w14:paraId="637D43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4.证书签发系统</w:t>
            </w:r>
          </w:p>
          <w:p w14:paraId="4AFBC72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（1）具备SM2、RSA算法，其中RSA算法支持2048、4096位。支持双证书（加密证书和签名证书）和双中心（证书管理中心和密钥管理中心）结构。</w:t>
            </w:r>
          </w:p>
          <w:p w14:paraId="403D1E2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（3）具备高可用，支持动态水平扩展。</w:t>
            </w:r>
          </w:p>
          <w:p w14:paraId="21A031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（4）具备服务器证书配置和导出证书链等管理功能。</w:t>
            </w:r>
          </w:p>
          <w:p w14:paraId="0860486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5）具备证书策略管理，对密钥用法、扩展密钥用法、有效期、生效时间进行配置管理；支持多种内置证书模板，可签发普通用户单双证书、机构证书、设备证书、VPN证书、代码签名证书、微软域证书；具有自定义数字证书扩展项。</w:t>
            </w:r>
          </w:p>
          <w:p w14:paraId="568E21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（6）证书模板支持动态字段和固定值配置，支持主题DN强制校验和主题DN不校验等多种验证模式。</w:t>
            </w:r>
          </w:p>
          <w:p w14:paraId="261BA60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（7）具备黑名单（CRL）的生成、发布，支持CRL策略管理。支持基于HTTP/HTTPS协议、LDAP协议的CRL发布点。</w:t>
            </w:r>
          </w:p>
          <w:p w14:paraId="13CAB59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5.证书注册系统</w:t>
            </w:r>
          </w:p>
          <w:p w14:paraId="37706A9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（1）提供定期归档，人工归档两种证书归档方式；</w:t>
            </w:r>
          </w:p>
          <w:p w14:paraId="13D003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（2）具备安全审计功能：支持各个功能模块的运行事件记录、系统重要策略、权限变更，证书操作记录，并有相应的审计机制，日志支持签名验证。支持证书查询和汇总统计报表生成。审计记录支持防篡改。</w:t>
            </w:r>
          </w:p>
          <w:p w14:paraId="164375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（3）证书对中文和特殊符号有良好的支持，证书主题DN项支持逗号，加号，双引号，百分号，括号等功能。</w:t>
            </w:r>
          </w:p>
          <w:p w14:paraId="60B5EE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（4）具备证书签发有效期灵活配置，包括以申请时间、审核时间、下载时间三种模式配置。</w:t>
            </w:r>
          </w:p>
          <w:p w14:paraId="7E05A0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（5）具备最大证书容量可达千万级以上。</w:t>
            </w:r>
          </w:p>
          <w:p w14:paraId="3B05B1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（6）RSA2048双证书签发速度≥500张/秒。</w:t>
            </w:r>
          </w:p>
          <w:p w14:paraId="1E5810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（7）SM2单证书签发速度≥3000张/秒 SM2双证书签发速度≥800张/秒。</w:t>
            </w:r>
          </w:p>
          <w:p w14:paraId="12A311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（8）系统最大并发访问量≥1000用户。</w:t>
            </w:r>
          </w:p>
          <w:p w14:paraId="4F05C23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（9）具备B/S结构，系统提供证书申请、作废、更新、查询和下载等功能，支持用户身份审核，支持多级授权。</w:t>
            </w:r>
          </w:p>
          <w:p w14:paraId="21EA89A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（10）具备自动、手动两种证书审核模式。</w:t>
            </w:r>
          </w:p>
          <w:p w14:paraId="7A34C6E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（11）具备划分多个层次的管理域，包括机构域和权限域，每个域管理该区域内的证书用户，每个域可以设置相应的管理员。</w:t>
            </w:r>
          </w:p>
          <w:p w14:paraId="6145379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（12)具备超级管理员，业务管理员，审计管理员，业务操作员，审计员五种管理角色，系统的审计业务和其他业务可实现严格的分权管理，审计业务的管理员和其他业务管理员产生过程相互独立。</w:t>
            </w:r>
          </w:p>
          <w:p w14:paraId="01A754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（13)具备用户证书查询：证书注册审核中心系统操作员可以查看指定用户的证书信息，包括证书的当前状态、有效期、颁发者等。</w:t>
            </w:r>
          </w:p>
          <w:p w14:paraId="272B519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（14)具备证书注册中心日志查询、分析、审计：系统具备独立的审计模块，可以对操作日志进行审计，签名验证。支持对证书发放数量，证书状态统计功能。</w:t>
            </w:r>
          </w:p>
          <w:p w14:paraId="0B3B7BC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（15)最大并发用户数≥1000用户。</w:t>
            </w:r>
          </w:p>
          <w:p w14:paraId="5B1A82E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6.密钥管理系统</w:t>
            </w:r>
          </w:p>
          <w:p w14:paraId="7AA273A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（1)具备CA接入管理，并且支持为多个CA提供密钥服务。</w:t>
            </w:r>
          </w:p>
          <w:p w14:paraId="38BC36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（2)具备SM2，RSA，AES，SM4、SHA256等算法，其中RSA算法支持2048、4096。</w:t>
            </w:r>
          </w:p>
          <w:p w14:paraId="12636A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（3)具备密钥生成：根据CA的请求为用户生成非对称密钥对，该密钥对由密钥管理系统的硬件密码设备生成。</w:t>
            </w:r>
          </w:p>
          <w:p w14:paraId="5DCBC5F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（4)具备密钥存储：密钥管理系统生成的非对称密钥对，经硬件密码设备加密后存储在数据库中。</w:t>
            </w:r>
          </w:p>
          <w:p w14:paraId="7E66D41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（5)具备密钥分发：密钥管理系统生成的非对称密钥对通过证书认证系统分发到用户证书载体中。</w:t>
            </w:r>
          </w:p>
          <w:p w14:paraId="052E20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（6)具备密钥撤消：当证书到期、用户需要或管理机构认为必要时，密钥管理系统根据CA请求撤消用户当前使用的密钥。</w:t>
            </w:r>
          </w:p>
          <w:p w14:paraId="1899E3F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（7)具备密钥归档：密钥管理系统为到期或撤消的密钥提供安全长期的存储。</w:t>
            </w:r>
          </w:p>
          <w:p w14:paraId="7B68BBB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（8)具备密钥恢复：密钥管理系统可为用户提供密钥恢复服务。密钥恢复可进行审批，一般用户只限于恢复自身密钥。</w:t>
            </w:r>
          </w:p>
          <w:p w14:paraId="22EFDFE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（9)具备司法取证员注册、查询并提供密钥恢复功能。</w:t>
            </w:r>
          </w:p>
          <w:p w14:paraId="689F65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（10)具备预产生密钥功能,可以通过设定策略定时产生，也可以具备手动产生。</w:t>
            </w:r>
          </w:p>
          <w:p w14:paraId="758AE08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（11)具备采用本地备份、冷备份、热备份和异地备份等措施实现密钥安全备份。</w:t>
            </w:r>
          </w:p>
          <w:p w14:paraId="62A2FD9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（12)提供密钥托管服务，支持对称和非对称密钥算法，可实现包括密钥生成，密钥分发，密钥计算、密钥统计等功能。</w:t>
            </w:r>
          </w:p>
          <w:p w14:paraId="6E01DFF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提供密钥数据备份和恢复功能。</w:t>
            </w:r>
          </w:p>
          <w:p w14:paraId="0F6C4DD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（13)具备安全审计功能：支持各个功能模块的运行事件记录、系统重要策略、密钥操作记录等，并有相应的审计机制，日志支持签名验证。支持密钥查询和汇总统计报表生成。审计记录支持防篡改。</w:t>
            </w:r>
          </w:p>
          <w:p w14:paraId="411522C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（14)各模块使用的密码运算都在密码设备中完成。</w:t>
            </w:r>
          </w:p>
          <w:p w14:paraId="06FF88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（15)系统生成非对称密钥对的速度≥3500对/秒。</w:t>
            </w:r>
          </w:p>
          <w:p w14:paraId="28994F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7.目录发布服务系统</w:t>
            </w:r>
          </w:p>
          <w:p w14:paraId="4BF6360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（1)具备LDAP V3标准，在LDAP V3中使用的X.500用户Schema支持标准的LDIF格式。</w:t>
            </w:r>
          </w:p>
          <w:p w14:paraId="3F61A1C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（2)具备数据复制与引用机制。支持主从结构，支持一主多从的部署方式。支持自定义模式，用户可以根据需要定义自己的数据类型。</w:t>
            </w:r>
          </w:p>
          <w:p w14:paraId="6AA5234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（3)提供良好、易用的人机界面，易于维护与管理。系统提供基于Java API接口，具备良好的二次开发能力和整合能力。</w:t>
            </w:r>
          </w:p>
          <w:p w14:paraId="27BC017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（4)精确查询（千万级条目）：查询性能超过2000tps响应时间不高于50ms</w:t>
            </w:r>
          </w:p>
          <w:p w14:paraId="6E75915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8.OCSP在线查询系统</w:t>
            </w:r>
          </w:p>
          <w:p w14:paraId="5D5F920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（1)符合OCSP协议标准。</w:t>
            </w:r>
          </w:p>
          <w:p w14:paraId="510B69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（2)具备按颁发者，证书序列号查询页面。</w:t>
            </w:r>
          </w:p>
          <w:p w14:paraId="08BF74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（3)具备在线证书状态查询系统的白名单访问控制配置。</w:t>
            </w:r>
          </w:p>
          <w:p w14:paraId="0464BF5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（4)精确查询（千万级数据）：查询性能超过2000tps响应时间不高于50ms。</w:t>
            </w:r>
          </w:p>
          <w:p w14:paraId="0759C2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（5)提供证书在线状态查询接口。</w:t>
            </w:r>
          </w:p>
          <w:p w14:paraId="046600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rFonts w:eastAsia="宋体"/>
                <w:color w:val="auto"/>
              </w:rPr>
            </w:pPr>
            <w:r>
              <w:rPr>
                <w:rFonts w:hint="eastAsia"/>
                <w:color w:val="auto"/>
              </w:rPr>
              <w:t>9.SM2密钥对生成速率≥3200对/秒，SM4加/解密速率≥85Mbps，SM2加/解密速率≥2.5Mbps，签名验签速率≥4000次/秒，SM3运算速率≥1200Mbps。</w:t>
            </w:r>
          </w:p>
          <w:p w14:paraId="69CBEE1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10.提供≥5万证书授权数量。</w:t>
            </w:r>
          </w:p>
        </w:tc>
        <w:tc>
          <w:tcPr>
            <w:tcW w:w="946" w:type="dxa"/>
            <w:vAlign w:val="center"/>
          </w:tcPr>
          <w:p w14:paraId="7FE6124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1</w:t>
            </w:r>
            <w:r>
              <w:rPr>
                <w:rFonts w:hint="eastAsia"/>
                <w:snapToGrid w:val="0"/>
                <w:color w:val="auto"/>
                <w:lang w:bidi="ar"/>
              </w:rPr>
              <w:t>套</w:t>
            </w:r>
          </w:p>
        </w:tc>
        <w:tc>
          <w:tcPr>
            <w:tcW w:w="1086" w:type="dxa"/>
            <w:shd w:val="clear" w:color="auto" w:fill="auto"/>
            <w:vAlign w:val="center"/>
          </w:tcPr>
          <w:p w14:paraId="63A0260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2"/>
                <w:lang w:val="en-US" w:eastAsia="zh-CN" w:bidi="ar-SA"/>
              </w:rPr>
            </w:pPr>
            <w:r>
              <w:rPr>
                <w:rFonts w:hint="eastAsia"/>
                <w:color w:val="auto"/>
                <w:lang w:val="en-US" w:eastAsia="zh-CN"/>
              </w:rPr>
              <w:t>33.3</w:t>
            </w:r>
          </w:p>
        </w:tc>
        <w:tc>
          <w:tcPr>
            <w:tcW w:w="1086" w:type="dxa"/>
            <w:vAlign w:val="center"/>
          </w:tcPr>
          <w:p w14:paraId="5225D20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rPr>
              <w:t>33.3</w:t>
            </w:r>
          </w:p>
        </w:tc>
      </w:tr>
      <w:tr w14:paraId="1225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666E8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7</w:t>
            </w:r>
          </w:p>
        </w:tc>
        <w:tc>
          <w:tcPr>
            <w:tcW w:w="1279" w:type="dxa"/>
            <w:vAlign w:val="center"/>
          </w:tcPr>
          <w:p w14:paraId="13CE842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rPr>
              <w:t>国密浏览器</w:t>
            </w:r>
          </w:p>
        </w:tc>
        <w:tc>
          <w:tcPr>
            <w:tcW w:w="4649" w:type="dxa"/>
            <w:vAlign w:val="center"/>
          </w:tcPr>
          <w:p w14:paraId="56AF23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1.由浏览器内核、浏览器界面、密码算法/SSL协议逻辑运算模块等组成；</w:t>
            </w:r>
          </w:p>
          <w:p w14:paraId="13929C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2.采用智能密码钥匙及相关软硬件提供密码服务支撑。</w:t>
            </w:r>
          </w:p>
          <w:p w14:paraId="4092227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3.具备SM2、SM3、SM4算法，与Web服务器之间建立安全通道，保证Web网页访问的安全性。</w:t>
            </w:r>
          </w:p>
        </w:tc>
        <w:tc>
          <w:tcPr>
            <w:tcW w:w="946" w:type="dxa"/>
            <w:vAlign w:val="center"/>
          </w:tcPr>
          <w:p w14:paraId="3FCE9F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1</w:t>
            </w:r>
            <w:r>
              <w:rPr>
                <w:color w:val="auto"/>
              </w:rPr>
              <w:t>0</w:t>
            </w:r>
            <w:r>
              <w:rPr>
                <w:rFonts w:hint="eastAsia"/>
                <w:color w:val="auto"/>
              </w:rPr>
              <w:t>套</w:t>
            </w:r>
          </w:p>
        </w:tc>
        <w:tc>
          <w:tcPr>
            <w:tcW w:w="1086" w:type="dxa"/>
            <w:shd w:val="clear" w:color="auto" w:fill="auto"/>
            <w:vAlign w:val="center"/>
          </w:tcPr>
          <w:p w14:paraId="61F15EB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2"/>
                <w:lang w:val="en-US" w:eastAsia="zh-CN" w:bidi="ar-SA"/>
              </w:rPr>
            </w:pPr>
            <w:r>
              <w:rPr>
                <w:rFonts w:hint="eastAsia"/>
                <w:color w:val="auto"/>
                <w:lang w:val="en-US" w:eastAsia="zh-CN"/>
              </w:rPr>
              <w:t>0.04</w:t>
            </w:r>
          </w:p>
        </w:tc>
        <w:tc>
          <w:tcPr>
            <w:tcW w:w="1086" w:type="dxa"/>
            <w:vAlign w:val="center"/>
          </w:tcPr>
          <w:p w14:paraId="7080943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0</w:t>
            </w:r>
            <w:r>
              <w:rPr>
                <w:color w:val="auto"/>
              </w:rPr>
              <w:t>.4</w:t>
            </w:r>
          </w:p>
        </w:tc>
      </w:tr>
      <w:tr w14:paraId="7EA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BEFF38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8</w:t>
            </w:r>
          </w:p>
        </w:tc>
        <w:tc>
          <w:tcPr>
            <w:tcW w:w="1279" w:type="dxa"/>
            <w:vAlign w:val="center"/>
          </w:tcPr>
          <w:p w14:paraId="6F3E849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rPr>
              <w:t>智能密码钥匙</w:t>
            </w:r>
          </w:p>
        </w:tc>
        <w:tc>
          <w:tcPr>
            <w:tcW w:w="4649" w:type="dxa"/>
            <w:vAlign w:val="center"/>
          </w:tcPr>
          <w:p w14:paraId="3B26645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1、USB Key为标准USB 2.0设备，支持USB3.0接口；</w:t>
            </w:r>
          </w:p>
          <w:p w14:paraId="16FCCA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2、USBKey容量≥200K字节；</w:t>
            </w:r>
          </w:p>
          <w:p w14:paraId="30935C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3、USB Key自身的安全要求：具备完善的PIN校验保护功能；</w:t>
            </w:r>
          </w:p>
          <w:p w14:paraId="430CBF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4、具备标准SM2、SM3、SM4算法</w:t>
            </w:r>
          </w:p>
        </w:tc>
        <w:tc>
          <w:tcPr>
            <w:tcW w:w="946" w:type="dxa"/>
            <w:vAlign w:val="center"/>
          </w:tcPr>
          <w:p w14:paraId="62ACDE8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1</w:t>
            </w:r>
            <w:r>
              <w:rPr>
                <w:color w:val="auto"/>
              </w:rPr>
              <w:t>0</w:t>
            </w:r>
            <w:r>
              <w:rPr>
                <w:rFonts w:hint="eastAsia"/>
                <w:color w:val="auto"/>
              </w:rPr>
              <w:t>套</w:t>
            </w:r>
          </w:p>
        </w:tc>
        <w:tc>
          <w:tcPr>
            <w:tcW w:w="1086" w:type="dxa"/>
            <w:shd w:val="clear" w:color="auto" w:fill="auto"/>
            <w:vAlign w:val="center"/>
          </w:tcPr>
          <w:p w14:paraId="0AE06F1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2"/>
                <w:lang w:val="en-US" w:eastAsia="zh-CN" w:bidi="ar-SA"/>
              </w:rPr>
            </w:pPr>
            <w:r>
              <w:rPr>
                <w:rFonts w:hint="eastAsia"/>
                <w:color w:val="auto"/>
                <w:lang w:val="en-US" w:eastAsia="zh-CN"/>
              </w:rPr>
              <w:t>0.016</w:t>
            </w:r>
          </w:p>
        </w:tc>
        <w:tc>
          <w:tcPr>
            <w:tcW w:w="1086" w:type="dxa"/>
            <w:vAlign w:val="center"/>
          </w:tcPr>
          <w:p w14:paraId="0B01CE2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rPr>
              <w:t>0.16</w:t>
            </w:r>
          </w:p>
        </w:tc>
      </w:tr>
      <w:tr w14:paraId="1D59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DB4934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9</w:t>
            </w:r>
          </w:p>
        </w:tc>
        <w:tc>
          <w:tcPr>
            <w:tcW w:w="1279" w:type="dxa"/>
            <w:vAlign w:val="center"/>
          </w:tcPr>
          <w:p w14:paraId="499E0C5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网络资产脆弱性扫描</w:t>
            </w:r>
          </w:p>
        </w:tc>
        <w:tc>
          <w:tcPr>
            <w:tcW w:w="4649" w:type="dxa"/>
            <w:vAlign w:val="center"/>
          </w:tcPr>
          <w:p w14:paraId="673A37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设备使用国产CPU和操作系统，Web扫描域名≥3000个，Web扫描任务并发数≥2个。系统扫描IP地址无限制，支持扫描A类、B类、C类地址，系统扫描支持≥100个IP地址并行扫描。标准2U机架式，≥4T硬盘，≥32G内存，≥6个千兆电口，≥4个千兆光口，≥2个扩展板卡插槽，≥2个USB口，≥1个Console口，冗余电源。3年漏洞特征库升级，3年硬件维修服务。</w:t>
            </w:r>
          </w:p>
          <w:p w14:paraId="3F98D2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2.漏洞库中每个漏洞提供风险级别、年份、CVE编号、CVSS评分、CNCVE编号、CNNVD编号、Bugtraq ID、描述、解决办法等信息。</w:t>
            </w:r>
          </w:p>
          <w:p w14:paraId="5757A64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具备扫描任务中同时进行系统扫描、Web扫描、口令猜解和仅存活探测，扫描目标可手动输入、批量导入和直接使用系统资产数据，执行方式支持立即执行、定时执行一次、每天执行一次、每周执行一次和每月执行一次。</w:t>
            </w:r>
          </w:p>
          <w:p w14:paraId="75920A1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4.具备设置扫描插件超时时间、单个主机检测并发数、单个主机检测并发数、单个扫描任务并发主机数、单个主机TCP连接数，可单独控制危险测试方法是否启用、是否测试Oracle账号、是否根据版本信息推测漏洞。</w:t>
            </w:r>
          </w:p>
          <w:p w14:paraId="7EB9F3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5.具备浏览器脆弱性扫描功能：能扫描到浏览器版本号，能扫描到浏览器安全设置，能够扫描出浏览器自身脆弱性，并能针对扫描出的安全隐患结果提出相应的安全性建议。</w:t>
            </w:r>
          </w:p>
          <w:p w14:paraId="3CDB18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6.具备远程运维协议服务脆弱性扫描功能：能扫描到 Telnet、SSH等其它服务程序的旗标、版本号，能扫描到服务程序或错误配置所造成的脆弱性，并能针对扫描出的安全隐患结果提出相应的安全性建议。</w:t>
            </w:r>
          </w:p>
          <w:p w14:paraId="2F25EB6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7.具备扫描结果比对功能：可对同一目标多次扫描结果或者不同主机间扫描结果进行比对，并能根据比对结果生成比对报告。</w:t>
            </w:r>
          </w:p>
          <w:p w14:paraId="6CF0E84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8.▲具备浏览器脆弱性、邮件服务脆弱性、FTP 服务脆弱性、Web 服务脆弱性、DNS 服务脆弱性、SSH和Telnet服务脆弱性、RPC服务的脆弱性、SNMP服务的脆弱性、弱口令、Windows 操作系统用户和口令脆弱性、木马感染、NFS 服务脆弱性、路由器脆弱性、交换机脆弱性、DOS 攻击脆弱性、文件共享脆弱性的扫描。（提供产品功能截图）</w:t>
            </w:r>
          </w:p>
          <w:p w14:paraId="58A0597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9.具备WEB服务脆弱性扫描功能：能扫描到使用 Web服务程序的旗标、版本号，能扫描到Web服务程序、服务器上运行的CGI程序的脆弱性及未升级而存在的安全隐患，并能针对扫描出的安全隐患结果提出相应的安全性建议。</w:t>
            </w:r>
          </w:p>
        </w:tc>
        <w:tc>
          <w:tcPr>
            <w:tcW w:w="946" w:type="dxa"/>
            <w:vAlign w:val="center"/>
          </w:tcPr>
          <w:p w14:paraId="2B9B8C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1台</w:t>
            </w:r>
          </w:p>
        </w:tc>
        <w:tc>
          <w:tcPr>
            <w:tcW w:w="1086" w:type="dxa"/>
            <w:shd w:val="clear" w:color="auto" w:fill="auto"/>
            <w:vAlign w:val="center"/>
          </w:tcPr>
          <w:p w14:paraId="4F9932E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20</w:t>
            </w:r>
          </w:p>
        </w:tc>
        <w:tc>
          <w:tcPr>
            <w:tcW w:w="1086" w:type="dxa"/>
            <w:vAlign w:val="center"/>
          </w:tcPr>
          <w:p w14:paraId="73D11FC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20</w:t>
            </w:r>
          </w:p>
        </w:tc>
      </w:tr>
      <w:tr w14:paraId="5A03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39EB4C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10</w:t>
            </w:r>
          </w:p>
        </w:tc>
        <w:tc>
          <w:tcPr>
            <w:tcW w:w="1279" w:type="dxa"/>
            <w:vAlign w:val="center"/>
          </w:tcPr>
          <w:p w14:paraId="43FBD4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终端安全管控系统</w:t>
            </w:r>
          </w:p>
        </w:tc>
        <w:tc>
          <w:tcPr>
            <w:tcW w:w="4649" w:type="dxa"/>
            <w:vAlign w:val="center"/>
          </w:tcPr>
          <w:p w14:paraId="1D777A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1.国产网络版控制中心实现对客户端的集中管理，包括终端统一部署、策略配置、任务分发、集中监控、日志报表等终端安全管理功能。</w:t>
            </w:r>
          </w:p>
          <w:p w14:paraId="1E056BA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2.具备灰度发布功能，可设置灰度发布范围、批次号、观察时长，灰度发布版本观察完成后，自动替换当前全网版本。</w:t>
            </w:r>
          </w:p>
          <w:p w14:paraId="079F36F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3.具备对系统文件、日志文件、临时文件、系统补丁、回收站、系统缓存、国产浏览器等进行扫描与垃圾清理，可进行启动项、服务项、计划任务的优化管理，识别自启动状态并提供建议。</w:t>
            </w:r>
          </w:p>
          <w:p w14:paraId="3E8C15F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4.▲具备对主机磁盘、主机内存、主机引导区、移动存储介质等的病毒检测，病毒检测类型包含文件感染型病毒、宏病毒、蠕虫、木马程序、间谍软件、脚本恶意程序、后门程序、僵尸程序、勒索软件、RootKit 恶意程序、BootKit恶意程序等，病毒处理动作包含阻止、删除、隔离、清除还原等。（提供产品功能截图）</w:t>
            </w:r>
          </w:p>
          <w:p w14:paraId="1E5F819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5.具备逃避检测防护，包含压缩文件检测、加壳文件检测、格式混淆检测、捆绑文件检测等防护方式。</w:t>
            </w:r>
          </w:p>
          <w:p w14:paraId="0440566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6.具备未知病毒检测功能：支持基于静态文件二进制特征、动态行为特征未知病毒检测。</w:t>
            </w:r>
          </w:p>
          <w:p w14:paraId="5DA278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7.具备准确采集终端系统、应用程序和驱动等软件信息，采集的软件信息包含软件名称、厂商和版本等内容，能够实时显示安装、卸载软件的软件资产信息，并记录日期时间、终端名称、软件名称、变更事件描述等内容。</w:t>
            </w:r>
          </w:p>
          <w:p w14:paraId="3736739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8.具备按照补丁分发范围、分发时间、安装情况和终端类型等方式进行补丁分发，支持补丁静默和用户提示安装两种方式，可显示终端已安装和未安装补丁信息。</w:t>
            </w:r>
          </w:p>
          <w:p w14:paraId="27EC8A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9.具备终端网络地址、物理地址等参数的绑定，能够对未授权终端接入指定网络行为进行报警并阻断其接入。</w:t>
            </w:r>
          </w:p>
          <w:p w14:paraId="1AEA3B1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10.具备对单个和用户组终端进行软件分发，能够将软件分发到默认目录和自定义目录，支持多种分发软件格式，对分发的软件支持软件远程安装，安装方式包含静默安装和用户安装两种。</w:t>
            </w:r>
          </w:p>
        </w:tc>
        <w:tc>
          <w:tcPr>
            <w:tcW w:w="946" w:type="dxa"/>
            <w:vAlign w:val="center"/>
          </w:tcPr>
          <w:p w14:paraId="083248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1台</w:t>
            </w:r>
          </w:p>
        </w:tc>
        <w:tc>
          <w:tcPr>
            <w:tcW w:w="1086" w:type="dxa"/>
            <w:shd w:val="clear" w:color="auto" w:fill="auto"/>
            <w:vAlign w:val="center"/>
          </w:tcPr>
          <w:p w14:paraId="0B7EEEC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3.46</w:t>
            </w:r>
          </w:p>
        </w:tc>
        <w:tc>
          <w:tcPr>
            <w:tcW w:w="1086" w:type="dxa"/>
            <w:vAlign w:val="center"/>
          </w:tcPr>
          <w:p w14:paraId="17B3B3A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3.46</w:t>
            </w:r>
          </w:p>
        </w:tc>
      </w:tr>
      <w:tr w14:paraId="2F68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817AF4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11</w:t>
            </w:r>
          </w:p>
        </w:tc>
        <w:tc>
          <w:tcPr>
            <w:tcW w:w="1279" w:type="dxa"/>
            <w:vAlign w:val="center"/>
          </w:tcPr>
          <w:p w14:paraId="06E5330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容灾备份一体机</w:t>
            </w:r>
          </w:p>
        </w:tc>
        <w:tc>
          <w:tcPr>
            <w:tcW w:w="4649" w:type="dxa"/>
            <w:vAlign w:val="center"/>
          </w:tcPr>
          <w:p w14:paraId="0415ACA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1.投标备份一体机为国产品牌，自主研发非OEM产品，签订合同前提供厂商《知识产权管理体系认证证书》复印件及国家认可的第三方检测机构出具的源代码安全审计证书复印件加盖厂商公章。2U机架式机箱≥12盘位，配置≥4*1GE 电口，≥2个万兆光口；配置≥2颗 （2.6GHz/32核） CPU，≥64G内存，冗余电源，≥2块480G SSD系统盘，≥8块6TB SATA数据盘，可用容量≥20TB备份授权。不限客户端数量的授权。</w:t>
            </w:r>
          </w:p>
          <w:p w14:paraId="7C6C179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2.备份管理服务端软件和介质存储服务器端软件支持部署在基于龙芯、飞腾、海光、兆芯、申威、华为鲲鹏等架构下银河麒麟、中科方德、UOS统一操作系统等国产操作系统。</w:t>
            </w:r>
          </w:p>
          <w:p w14:paraId="3FDCB52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3.具备管理员，审计员、安全员、操作员、监控员、池复制员等多角色管理模式，角色权限颗粒度最小化，通过角色权限管理保障系统管理操作的安全性，无需人工定义即可开启使用。</w:t>
            </w:r>
          </w:p>
          <w:p w14:paraId="6D3290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rPr>
                <w:color w:val="auto"/>
              </w:rPr>
            </w:pPr>
            <w:r>
              <w:rPr>
                <w:rFonts w:hint="eastAsia"/>
                <w:color w:val="auto"/>
              </w:rPr>
              <w:t>4.具备达梦数据库的物理完全备份、增量备份、日志备份、合成备份和表空间浏览备份功能，备份过程无需在数据库服务器上运行单独脚本，备份数据无需在服务器上缓存，可通过备份软件管理界面配置备份策略与作业管理，并支持介质恢复、时间点恢复、还原日志、演练、逻辑还原、逻辑演练、即时恢复；支持神舟通用数据库物理备份，备份过程无需在数据库服务器上运行单独脚本，备份数据无需在服务器上缓存，可通过备份软件管理界面配置备份策略与作业管理，同时支持其完全备份、增量备份、差异备份功能，有效兼容单机、双机、读写分离集群环境；支持南大通用 GBase 8t、GBase 8s、GBase 8a 数据库的备份与恢复。</w:t>
            </w:r>
          </w:p>
        </w:tc>
        <w:tc>
          <w:tcPr>
            <w:tcW w:w="946" w:type="dxa"/>
            <w:vAlign w:val="center"/>
          </w:tcPr>
          <w:p w14:paraId="49E7B4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1台</w:t>
            </w:r>
          </w:p>
        </w:tc>
        <w:tc>
          <w:tcPr>
            <w:tcW w:w="1086" w:type="dxa"/>
            <w:shd w:val="clear" w:color="auto" w:fill="auto"/>
            <w:vAlign w:val="center"/>
          </w:tcPr>
          <w:p w14:paraId="72EF6A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25</w:t>
            </w:r>
          </w:p>
        </w:tc>
        <w:tc>
          <w:tcPr>
            <w:tcW w:w="1086" w:type="dxa"/>
            <w:vAlign w:val="center"/>
          </w:tcPr>
          <w:p w14:paraId="6BB21F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25</w:t>
            </w:r>
          </w:p>
        </w:tc>
      </w:tr>
      <w:tr w14:paraId="47CC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7578FB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12</w:t>
            </w:r>
          </w:p>
        </w:tc>
        <w:tc>
          <w:tcPr>
            <w:tcW w:w="7960" w:type="dxa"/>
            <w:gridSpan w:val="4"/>
            <w:vAlign w:val="center"/>
          </w:tcPr>
          <w:p w14:paraId="792B4A2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szCs w:val="21"/>
                <w:lang w:bidi="ar"/>
              </w:rPr>
            </w:pPr>
            <w:r>
              <w:rPr>
                <w:rFonts w:hint="eastAsia"/>
                <w:color w:val="auto"/>
                <w:szCs w:val="21"/>
                <w:lang w:bidi="ar"/>
              </w:rPr>
              <w:t>产教融合办事服务工作站</w:t>
            </w:r>
          </w:p>
        </w:tc>
        <w:tc>
          <w:tcPr>
            <w:tcW w:w="1086" w:type="dxa"/>
            <w:vAlign w:val="center"/>
          </w:tcPr>
          <w:p w14:paraId="3FC0FE2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snapToGrid w:val="0"/>
                <w:color w:val="auto"/>
                <w:szCs w:val="21"/>
                <w:lang w:bidi="ar"/>
              </w:rPr>
              <w:t>139.2</w:t>
            </w:r>
          </w:p>
        </w:tc>
      </w:tr>
      <w:tr w14:paraId="3E2B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AFFF21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12.1</w:t>
            </w:r>
          </w:p>
        </w:tc>
        <w:tc>
          <w:tcPr>
            <w:tcW w:w="1279" w:type="dxa"/>
            <w:vAlign w:val="center"/>
          </w:tcPr>
          <w:p w14:paraId="681621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服务站配套</w:t>
            </w:r>
          </w:p>
        </w:tc>
        <w:tc>
          <w:tcPr>
            <w:tcW w:w="4649" w:type="dxa"/>
            <w:vAlign w:val="center"/>
          </w:tcPr>
          <w:p w14:paraId="59D4405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在获取文件后，联系学校进行现场踏勘。</w:t>
            </w:r>
          </w:p>
          <w:p w14:paraId="1E80B91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踏勘联系人：贾越</w:t>
            </w:r>
          </w:p>
          <w:p w14:paraId="1285381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szCs w:val="21"/>
              </w:rPr>
              <w:t>联系电话：</w:t>
            </w:r>
            <w:r>
              <w:rPr>
                <w:rFonts w:ascii="Times New Roman" w:hAnsi="Times New Roman" w:cs="Times New Roman"/>
                <w:color w:val="auto"/>
                <w:szCs w:val="21"/>
              </w:rPr>
              <w:t>13403691561</w:t>
            </w:r>
          </w:p>
        </w:tc>
        <w:tc>
          <w:tcPr>
            <w:tcW w:w="946" w:type="dxa"/>
            <w:vAlign w:val="center"/>
          </w:tcPr>
          <w:p w14:paraId="79F94C7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1套</w:t>
            </w:r>
          </w:p>
        </w:tc>
        <w:tc>
          <w:tcPr>
            <w:tcW w:w="1086" w:type="dxa"/>
            <w:shd w:val="clear" w:color="auto" w:fill="auto"/>
            <w:vAlign w:val="center"/>
          </w:tcPr>
          <w:p w14:paraId="442BD1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64.5</w:t>
            </w:r>
          </w:p>
        </w:tc>
        <w:tc>
          <w:tcPr>
            <w:tcW w:w="1086" w:type="dxa"/>
            <w:vAlign w:val="center"/>
          </w:tcPr>
          <w:p w14:paraId="1F9681F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64.5</w:t>
            </w:r>
          </w:p>
        </w:tc>
      </w:tr>
      <w:tr w14:paraId="399F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D24BE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12.2</w:t>
            </w:r>
          </w:p>
        </w:tc>
        <w:tc>
          <w:tcPr>
            <w:tcW w:w="1279" w:type="dxa"/>
            <w:vAlign w:val="center"/>
          </w:tcPr>
          <w:p w14:paraId="0C2C61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机房建设</w:t>
            </w:r>
          </w:p>
        </w:tc>
        <w:tc>
          <w:tcPr>
            <w:tcW w:w="4649" w:type="dxa"/>
            <w:vAlign w:val="center"/>
          </w:tcPr>
          <w:p w14:paraId="554CB7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在获取文件后，联系学校进行现场踏勘。</w:t>
            </w:r>
          </w:p>
          <w:p w14:paraId="0E791F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踏勘联系人：贾越</w:t>
            </w:r>
          </w:p>
          <w:p w14:paraId="776CF0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szCs w:val="21"/>
              </w:rPr>
              <w:t>联系电话：</w:t>
            </w:r>
            <w:r>
              <w:rPr>
                <w:rFonts w:ascii="Times New Roman" w:hAnsi="Times New Roman" w:cs="Times New Roman"/>
                <w:color w:val="auto"/>
                <w:szCs w:val="21"/>
              </w:rPr>
              <w:t>13403691561</w:t>
            </w:r>
          </w:p>
        </w:tc>
        <w:tc>
          <w:tcPr>
            <w:tcW w:w="946" w:type="dxa"/>
            <w:vAlign w:val="center"/>
          </w:tcPr>
          <w:p w14:paraId="3AF5AD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1套</w:t>
            </w:r>
          </w:p>
        </w:tc>
        <w:tc>
          <w:tcPr>
            <w:tcW w:w="1086" w:type="dxa"/>
            <w:shd w:val="clear" w:color="auto" w:fill="auto"/>
            <w:vAlign w:val="center"/>
          </w:tcPr>
          <w:p w14:paraId="29F143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40</w:t>
            </w:r>
          </w:p>
        </w:tc>
        <w:tc>
          <w:tcPr>
            <w:tcW w:w="1086" w:type="dxa"/>
            <w:vAlign w:val="center"/>
          </w:tcPr>
          <w:p w14:paraId="5EA8F3E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40</w:t>
            </w:r>
          </w:p>
        </w:tc>
      </w:tr>
      <w:tr w14:paraId="5F3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7013AB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12.3</w:t>
            </w:r>
          </w:p>
        </w:tc>
        <w:tc>
          <w:tcPr>
            <w:tcW w:w="1279" w:type="dxa"/>
            <w:vAlign w:val="center"/>
          </w:tcPr>
          <w:p w14:paraId="01F6165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运营指挥中心建设</w:t>
            </w:r>
          </w:p>
        </w:tc>
        <w:tc>
          <w:tcPr>
            <w:tcW w:w="4649" w:type="dxa"/>
            <w:vAlign w:val="center"/>
          </w:tcPr>
          <w:p w14:paraId="00EFEF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在获取文件后，联系学校进行现场踏勘。</w:t>
            </w:r>
          </w:p>
          <w:p w14:paraId="129556A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szCs w:val="21"/>
              </w:rPr>
            </w:pPr>
            <w:r>
              <w:rPr>
                <w:rFonts w:hint="eastAsia"/>
                <w:color w:val="auto"/>
                <w:szCs w:val="21"/>
              </w:rPr>
              <w:t>踏勘联系人：贾越</w:t>
            </w:r>
          </w:p>
          <w:p w14:paraId="03E6E97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szCs w:val="21"/>
              </w:rPr>
              <w:t>联系电话：</w:t>
            </w:r>
            <w:r>
              <w:rPr>
                <w:rFonts w:ascii="Times New Roman" w:hAnsi="Times New Roman" w:cs="Times New Roman"/>
                <w:color w:val="auto"/>
                <w:szCs w:val="21"/>
              </w:rPr>
              <w:t>13403691561</w:t>
            </w:r>
          </w:p>
        </w:tc>
        <w:tc>
          <w:tcPr>
            <w:tcW w:w="946" w:type="dxa"/>
            <w:vAlign w:val="center"/>
          </w:tcPr>
          <w:p w14:paraId="3767DB6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1套</w:t>
            </w:r>
          </w:p>
        </w:tc>
        <w:tc>
          <w:tcPr>
            <w:tcW w:w="1086" w:type="dxa"/>
            <w:shd w:val="clear" w:color="auto" w:fill="auto"/>
            <w:vAlign w:val="center"/>
          </w:tcPr>
          <w:p w14:paraId="2D418D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34.7</w:t>
            </w:r>
          </w:p>
        </w:tc>
        <w:tc>
          <w:tcPr>
            <w:tcW w:w="1086" w:type="dxa"/>
            <w:vAlign w:val="center"/>
          </w:tcPr>
          <w:p w14:paraId="3519ECF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34.7</w:t>
            </w:r>
          </w:p>
        </w:tc>
      </w:tr>
      <w:tr w14:paraId="1B3C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0FA561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13</w:t>
            </w:r>
          </w:p>
        </w:tc>
        <w:tc>
          <w:tcPr>
            <w:tcW w:w="1279" w:type="dxa"/>
            <w:vAlign w:val="center"/>
          </w:tcPr>
          <w:p w14:paraId="6F7CABC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区块链服务</w:t>
            </w:r>
          </w:p>
        </w:tc>
        <w:tc>
          <w:tcPr>
            <w:tcW w:w="4649" w:type="dxa"/>
            <w:vAlign w:val="center"/>
          </w:tcPr>
          <w:p w14:paraId="410D8A9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区块链底层软件：</w:t>
            </w:r>
          </w:p>
          <w:p w14:paraId="1248F11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共识机制</w:t>
            </w:r>
          </w:p>
          <w:p w14:paraId="0B7D620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★具备 RAFT、RBFT、NoxBFT、SOLO 等多种共识算法，可适配不同容错与规模场景；支持联盟成员动态准入准出及节点、账本自动恢复。</w:t>
            </w:r>
          </w:p>
          <w:p w14:paraId="0755CF1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（2）多重加密机制</w:t>
            </w:r>
          </w:p>
          <w:p w14:paraId="253DD99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▲具备全套国密算法，包括SM2、SM3、SM4等。</w:t>
            </w:r>
          </w:p>
          <w:p w14:paraId="6A0F3B9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2.区块链管理软件：</w:t>
            </w:r>
          </w:p>
          <w:p w14:paraId="42D9D78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（1）联盟链管理</w:t>
            </w:r>
          </w:p>
          <w:p w14:paraId="0960BE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提供联盟链的全生命周期管控，支持链的创建、删除、启用、重启、停用等操作。链列表展示所有联盟链的详细信息，用户可查看链的节点、二级事件日志等细粒度的管理操作。</w:t>
            </w:r>
          </w:p>
          <w:p w14:paraId="3830B32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（2）节点管理</w:t>
            </w:r>
          </w:p>
          <w:p w14:paraId="36BA144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▲具备共识节点、非共识节点和灾备节点的可视化生命周期管理，支持新增、删除、启动、重启、停用节点及下载节点配置文件、查看节点二级事件日志等通用的管理操作。</w:t>
            </w:r>
          </w:p>
          <w:p w14:paraId="4429A76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（3）证书安全管理</w:t>
            </w:r>
          </w:p>
          <w:p w14:paraId="0FD043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提供区块链证书下载功能，证书是联盟链的准入机制，只有获取联盟链的证书才能成功接入联盟链，起到一个通行证的作用。</w:t>
            </w:r>
          </w:p>
          <w:p w14:paraId="543AA4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（4）联盟机构管理</w:t>
            </w:r>
          </w:p>
          <w:p w14:paraId="0E8E25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具备国产自主联盟链的多机构组网，联盟管理员可对联盟机构进行管理。</w:t>
            </w:r>
          </w:p>
          <w:p w14:paraId="2E5680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（5）合约管理</w:t>
            </w:r>
          </w:p>
          <w:p w14:paraId="11CFD9F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提供部署、升级、调用、冻结、解冻和删除合约的操作</w:t>
            </w:r>
          </w:p>
          <w:p w14:paraId="77317C5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2.区块链轻节点管理模块</w:t>
            </w:r>
          </w:p>
          <w:p w14:paraId="346E05B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（1）构造交易</w:t>
            </w:r>
          </w:p>
          <w:p w14:paraId="7C86D6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提供轻节点的交易构造功能。</w:t>
            </w:r>
          </w:p>
          <w:p w14:paraId="63DC0B7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（2）区块摘要信息同步</w:t>
            </w:r>
          </w:p>
          <w:p w14:paraId="0080CA8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具备同步区块链区块摘要信息。</w:t>
            </w:r>
          </w:p>
          <w:p w14:paraId="12C4FB8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（3）交易信息存储</w:t>
            </w:r>
          </w:p>
          <w:p w14:paraId="389FBB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存储本地发送的相关交易信息。</w:t>
            </w:r>
          </w:p>
          <w:p w14:paraId="7360322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（4）订阅区块链上信息</w:t>
            </w:r>
          </w:p>
          <w:p w14:paraId="00D5B1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订阅区块链上相关的交易信息。</w:t>
            </w:r>
          </w:p>
          <w:p w14:paraId="6665A7C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（5）区块链指令信息同步</w:t>
            </w:r>
          </w:p>
          <w:p w14:paraId="3C40613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将区块链的权限判断及身份验证信息返回至相关系统的功能。</w:t>
            </w:r>
          </w:p>
          <w:p w14:paraId="751059B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（6）通用业务</w:t>
            </w:r>
          </w:p>
          <w:p w14:paraId="590F23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平台概览：平台概览是平台资源和信息的集中概览，分别从个人和机构两个维度展示联盟链、主机等信息和状态。</w:t>
            </w:r>
          </w:p>
          <w:p w14:paraId="77908DB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账号中心：供用户账号的全生命周期管理，具备账号退出登录、查看账号详情、修改用户名和密码等功能。</w:t>
            </w:r>
          </w:p>
          <w:p w14:paraId="1CA70C9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消息中心：消息中心是区块链可视化管理平台的系统管理员与用户之间沟通的主要手段，此外诸如系统关键操作的结果，也可以通过消息中心来呈现。</w:t>
            </w:r>
          </w:p>
          <w:p w14:paraId="5DAEBA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文档中心：提供平台文档的集中浏览功能，展示文档概览、目录结构和详细内容，支持标题锚点定位和最近更新时间显示。</w:t>
            </w:r>
          </w:p>
          <w:p w14:paraId="688C21B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我的机构：存储机构基本信息、成员信息和角色信息。</w:t>
            </w:r>
          </w:p>
          <w:p w14:paraId="2F1AF6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密钥管理：支持用户托管或平台生成密钥，提供国密/非国密默认密钥。支持下载和删除，保障交易验签和身份认证安全。</w:t>
            </w:r>
          </w:p>
          <w:p w14:paraId="0C57940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访问控制：当用户需要调用API访问平台资源时，需要使用Key对API请求内容进行签名，只有通过验证才可以访问平台。</w:t>
            </w:r>
          </w:p>
        </w:tc>
        <w:tc>
          <w:tcPr>
            <w:tcW w:w="946" w:type="dxa"/>
            <w:vAlign w:val="center"/>
          </w:tcPr>
          <w:p w14:paraId="6768FC8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44A88E3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1"/>
                <w:lang w:val="en-US" w:eastAsia="zh-CN" w:bidi="ar"/>
              </w:rPr>
            </w:pPr>
            <w:r>
              <w:rPr>
                <w:rFonts w:hint="eastAsia"/>
                <w:snapToGrid w:val="0"/>
                <w:color w:val="auto"/>
                <w:szCs w:val="21"/>
                <w:lang w:val="en-US" w:eastAsia="zh-CN" w:bidi="ar"/>
              </w:rPr>
              <w:t>129</w:t>
            </w:r>
          </w:p>
        </w:tc>
        <w:tc>
          <w:tcPr>
            <w:tcW w:w="1086" w:type="dxa"/>
            <w:vAlign w:val="center"/>
          </w:tcPr>
          <w:p w14:paraId="5B3490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129</w:t>
            </w:r>
          </w:p>
        </w:tc>
      </w:tr>
      <w:tr w14:paraId="0D6E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62D18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14</w:t>
            </w:r>
          </w:p>
        </w:tc>
        <w:tc>
          <w:tcPr>
            <w:tcW w:w="1279" w:type="dxa"/>
            <w:vAlign w:val="center"/>
          </w:tcPr>
          <w:p w14:paraId="3FE7BA6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AI平台</w:t>
            </w:r>
          </w:p>
        </w:tc>
        <w:tc>
          <w:tcPr>
            <w:tcW w:w="4649" w:type="dxa"/>
            <w:vAlign w:val="center"/>
          </w:tcPr>
          <w:p w14:paraId="031953A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支持数据产品中心，产教融合成果分析、产教发展监测预警分析、相关模块数据检索、内容推荐、平台客服等相关应用使用。</w:t>
            </w:r>
          </w:p>
          <w:p w14:paraId="07A176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1、平台基础能力</w:t>
            </w:r>
          </w:p>
          <w:p w14:paraId="1E04D15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平台定位：提供一站式大模型全生命周期管理能力，覆盖大模型训练、推理、部署、运维全流程，同时支持智能体开发。</w:t>
            </w:r>
          </w:p>
          <w:p w14:paraId="14EF83B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多模型兼容：支持主流开源大模型及行业专用大模型的统一接入、统一调度与统一管理，支持模型版本控制，可根据业务需求灵活切换模型。</w:t>
            </w:r>
          </w:p>
          <w:p w14:paraId="405AFE7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统一API规范：提供标准化API接口；支持API调用监控、详细日志记录，实现API版本管理，保障接口调用的稳定性与可追溯性。</w:t>
            </w:r>
          </w:p>
          <w:p w14:paraId="33CB6F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可视化控制台：提供统一Web端可视化控制台，实现任务管理、资源监控、服务管理、日志查询、监控看板可视化展示，界面操作简洁。</w:t>
            </w:r>
          </w:p>
          <w:p w14:paraId="6ECB85D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2、大模型训练与微调</w:t>
            </w:r>
          </w:p>
          <w:p w14:paraId="37275F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数据管理：支持文本、表格等多类型预处理数据的接入及管理。</w:t>
            </w:r>
          </w:p>
          <w:p w14:paraId="66DEE87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训练方式：支持两种核心训练方式，包括全参数微调（对模型所有参数进行调整）和参数高效微调（PEFT），其中PEFT支持LoRA、QLoRA等主流范式。</w:t>
            </w:r>
          </w:p>
          <w:p w14:paraId="5E1299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训练范式：支持监督微调（SFT）及偏好对齐训练，其中偏好对齐训练包含DPO、RLHF等主流范式，可实现人工反馈数据导入，保障模型输出符合预期偏好。</w:t>
            </w:r>
          </w:p>
          <w:p w14:paraId="7F02A7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训练监控：支持训练过程实时监控，核心指标可视化展示，可查看详细训练日志，实现断点续训（意外中断后可恢复进度），具备异常告警功能，及时提醒训练过程中的异常情况。</w:t>
            </w:r>
          </w:p>
          <w:p w14:paraId="2B8544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模型评估：支持大模型评测体系，可帮助客户构建"标准基准+业务定制"双轮驱动的模型评估能力，实现模型效果可量化、迭代有依据、上线有保障，全面提升大模型项目交付质量与商业竞争力。支持20+基准数据集（MMLU、C-Eval、GSM8K、HumanEval等），覆盖知识、推理、代码、多模态全维度能力评估。原生Native/OpenCompass/VLMEvalKit三引擎支持，兼容纯文本、多模态、URL在线评测，满足多样化业务场景需求。支持SFT训练中实时自动评测（step/epoch级），实现"训练即评估"，大幅缩短模型迭代周期。提供标准CSV/JSONL数据规范，支持客户私有业务数据快速接入，评测指标（Accuracy/ROUGE/BLEU）可配置，保障评测结果与业务目标强对齐。</w:t>
            </w:r>
          </w:p>
          <w:p w14:paraId="5017C32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3、模型推理与服务部署</w:t>
            </w:r>
          </w:p>
          <w:p w14:paraId="6297797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部署能力：具备模型一键部署功能，无需手动配置复杂部署环境，简化部署流程，实现模型快速上线，保障部署效率与稳定性。</w:t>
            </w:r>
          </w:p>
          <w:p w14:paraId="763E7F1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推理优化：具备推理加速功能，集成主流推理优化方案，实现推理请求批处理，有效降低推理时延，提升推理吞吐量，保障服务响应速度。</w:t>
            </w:r>
          </w:p>
          <w:p w14:paraId="020356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发布方式：具备标准OpenAI API发布方式，接口规范与OpenAI API兼容，便于开发人员快速对接，降低集成成本，支持API调用鉴权与基础限流。</w:t>
            </w:r>
          </w:p>
          <w:p w14:paraId="47372C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服务监控：支持服务核心指标实时监控，涵盖QPS（查询每秒）、推理时延、调用成功率、错误率及调用量统计，指标可视化展示，便于实时掌握服务运行状态。</w:t>
            </w:r>
          </w:p>
          <w:p w14:paraId="5A4649E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4、知识库与RAG</w:t>
            </w:r>
          </w:p>
          <w:p w14:paraId="3298D44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文档处理：具备PDF、Word、Excel、PPT、TXT、Markdown等常见格式文档的上传与解析，可提取文档核心内容，支持多文档批量上传与基础分类管理。</w:t>
            </w:r>
          </w:p>
          <w:p w14:paraId="37A2012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向量构建：支持文档自动切片、文本向量化处理，可构建向量索引，实现向量库增量更新与批量构建，保障向量检索的效率与准确性。</w:t>
            </w:r>
          </w:p>
          <w:p w14:paraId="3B51AD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检索增强：支持检索结果重排序，可将检索到的相关内容融入对话上下文，实现精准问答，提升问答结果的相关性与准确性，保障RAG能力落地效果。</w:t>
            </w:r>
          </w:p>
          <w:p w14:paraId="1303F3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知识库管理：支持知识库版本管理、精细化权限控制，实现多知识库隔离，不同知识库数据互不干扰，可根据用户角色分配知识库操作权限。</w:t>
            </w:r>
          </w:p>
          <w:p w14:paraId="171FBE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5、智能体开发</w:t>
            </w:r>
          </w:p>
          <w:p w14:paraId="2DD777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智能体编排：支持可视化拖拽式智能体编排，可配置执行流程、设置节点关联关系，实现智能体执行过程追踪，便于查看执行进度与节点状态。</w:t>
            </w:r>
          </w:p>
          <w:p w14:paraId="439B89B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对话与记忆：支持多轮对话交互，可准确理解对话上下文，保持对话连贯性，实现短期记忆与长期记忆分离管理，可保存用户关键信息与对话历史摘要。</w:t>
            </w:r>
          </w:p>
          <w:p w14:paraId="2C0BF36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工具调用：支持智能体工具调用、脚本执行功能，可对接外部API与企业内部系统，实现系统集成，支持工具调用参数配置与基础异常处理。</w:t>
            </w:r>
          </w:p>
          <w:p w14:paraId="0503CA6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多智能体协同：支持多智能体协同工作，可进行任务拆解，将复杂任务分配给不同子智能体执行，实现子任务调度与结果汇总，提升任务执行效率。</w:t>
            </w:r>
          </w:p>
          <w:p w14:paraId="1E8C9D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调试与追踪：具备智能体调试功能，可查看详细执行日志，实现效果追踪与异常处理，及时排查执行过程中的问题，保障智能体稳定运行。</w:t>
            </w:r>
          </w:p>
          <w:p w14:paraId="0CDCA4F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6、运维监控与运营分析</w:t>
            </w:r>
          </w:p>
          <w:p w14:paraId="21C615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统一监控：提供统一监控大盘，整合资源、服务、任务多维度状态监控，实时展示CPU、GPU等资源使用率、服务运行状态及任务执行进度，便于全局掌握平台运行情况。</w:t>
            </w:r>
          </w:p>
          <w:p w14:paraId="4C31FDC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告警能力：支持自定义告警配置，可设置不同监控指标的告警阈值，实现异常通知功能，便于快速定位问题、及时处理，保障平台稳定运行。</w:t>
            </w:r>
          </w:p>
        </w:tc>
        <w:tc>
          <w:tcPr>
            <w:tcW w:w="946" w:type="dxa"/>
            <w:vAlign w:val="center"/>
          </w:tcPr>
          <w:p w14:paraId="45F1BA7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4CA2923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snapToGrid w:val="0"/>
                <w:color w:val="auto"/>
                <w:kern w:val="2"/>
                <w:sz w:val="21"/>
                <w:szCs w:val="21"/>
                <w:lang w:val="en-US" w:eastAsia="zh-CN" w:bidi="ar"/>
              </w:rPr>
            </w:pPr>
            <w:r>
              <w:rPr>
                <w:rFonts w:hint="eastAsia"/>
                <w:snapToGrid w:val="0"/>
                <w:color w:val="auto"/>
                <w:szCs w:val="21"/>
                <w:lang w:val="en-US" w:eastAsia="zh-CN" w:bidi="ar"/>
              </w:rPr>
              <w:t>192</w:t>
            </w:r>
          </w:p>
        </w:tc>
        <w:tc>
          <w:tcPr>
            <w:tcW w:w="1086" w:type="dxa"/>
            <w:vAlign w:val="center"/>
          </w:tcPr>
          <w:p w14:paraId="23EC510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w:t>
            </w:r>
            <w:r>
              <w:rPr>
                <w:snapToGrid w:val="0"/>
                <w:color w:val="auto"/>
                <w:szCs w:val="21"/>
                <w:lang w:bidi="ar"/>
              </w:rPr>
              <w:t>9</w:t>
            </w:r>
            <w:r>
              <w:rPr>
                <w:rFonts w:hint="eastAsia"/>
                <w:snapToGrid w:val="0"/>
                <w:color w:val="auto"/>
                <w:szCs w:val="21"/>
                <w:lang w:bidi="ar"/>
              </w:rPr>
              <w:t>2</w:t>
            </w:r>
          </w:p>
        </w:tc>
      </w:tr>
      <w:tr w14:paraId="63DA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52BD6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1</w:t>
            </w:r>
            <w:r>
              <w:rPr>
                <w:color w:val="auto"/>
                <w:lang w:bidi="ar"/>
              </w:rPr>
              <w:t>5</w:t>
            </w:r>
          </w:p>
        </w:tc>
        <w:tc>
          <w:tcPr>
            <w:tcW w:w="6874" w:type="dxa"/>
            <w:gridSpan w:val="3"/>
            <w:vAlign w:val="center"/>
          </w:tcPr>
          <w:p w14:paraId="01E90DC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数据中台</w:t>
            </w:r>
          </w:p>
        </w:tc>
        <w:tc>
          <w:tcPr>
            <w:tcW w:w="1086" w:type="dxa"/>
            <w:vAlign w:val="center"/>
          </w:tcPr>
          <w:p w14:paraId="666A5E3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color w:val="auto"/>
                <w:szCs w:val="21"/>
              </w:rPr>
            </w:pPr>
          </w:p>
        </w:tc>
        <w:tc>
          <w:tcPr>
            <w:tcW w:w="1086" w:type="dxa"/>
            <w:vAlign w:val="center"/>
          </w:tcPr>
          <w:p w14:paraId="7AFBF63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205.16</w:t>
            </w:r>
          </w:p>
        </w:tc>
      </w:tr>
      <w:tr w14:paraId="6268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6FD78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.1</w:t>
            </w:r>
          </w:p>
        </w:tc>
        <w:tc>
          <w:tcPr>
            <w:tcW w:w="1279" w:type="dxa"/>
            <w:vAlign w:val="center"/>
          </w:tcPr>
          <w:p w14:paraId="7FE8D9F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数据采集</w:t>
            </w:r>
          </w:p>
        </w:tc>
        <w:tc>
          <w:tcPr>
            <w:tcW w:w="4649" w:type="dxa"/>
            <w:vAlign w:val="center"/>
          </w:tcPr>
          <w:p w14:paraId="0767E1B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1.需支持数据源的统一管理及在线连通测试，包括但不限于Mysql、Oracle、SQLServer、PostgreSQL、Hive、Hbase、MongoDB、国产数据库GaussDB、SFTP、HDFS，满足不同数据源之间的数据集成与传输需求。</w:t>
            </w:r>
          </w:p>
          <w:p w14:paraId="3446D05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2.支持通过简单的界面对结构化数据、半结构化数据、非结构化数据、离线数据进行批量采集，无需进行复杂配置；</w:t>
            </w:r>
          </w:p>
          <w:p w14:paraId="6FAE20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采集需提供可视化的数据库直连采集界面，将各业务系统中的大量数据批量快速的生成采集任务，集成到数据仓库，支持自定义配置数据增全量采集规则及采集周期，增量采集需支持流水数据追加采集、变化数据更新等机制。</w:t>
            </w:r>
          </w:p>
        </w:tc>
        <w:tc>
          <w:tcPr>
            <w:tcW w:w="946" w:type="dxa"/>
            <w:vAlign w:val="center"/>
          </w:tcPr>
          <w:p w14:paraId="3F8C262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4B0996D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15</w:t>
            </w:r>
          </w:p>
        </w:tc>
        <w:tc>
          <w:tcPr>
            <w:tcW w:w="1086" w:type="dxa"/>
            <w:vAlign w:val="center"/>
          </w:tcPr>
          <w:p w14:paraId="13EAA45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15</w:t>
            </w:r>
          </w:p>
        </w:tc>
      </w:tr>
      <w:tr w14:paraId="6956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7E366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.2</w:t>
            </w:r>
          </w:p>
        </w:tc>
        <w:tc>
          <w:tcPr>
            <w:tcW w:w="1279" w:type="dxa"/>
            <w:vAlign w:val="center"/>
          </w:tcPr>
          <w:p w14:paraId="5F8C917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数据标准</w:t>
            </w:r>
          </w:p>
        </w:tc>
        <w:tc>
          <w:tcPr>
            <w:tcW w:w="4649" w:type="dxa"/>
            <w:vAlign w:val="center"/>
          </w:tcPr>
          <w:p w14:paraId="35B3087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为规范和促进学校数据管理工作，加强学校数据资产的统一管理和质量保障，在安全的前提下推动数据资产共享和使用，促进业务部门之间的协作，提升公共服务水平，增强学校治理能力，需对我校数据资产的管理目标、管理依据、管理原则、工作内容、工作规范、工作流程等进行描述和规定，制定相关管理制度，包括《数据标准发布和执行制度》、《数据集成共享制度》、《数据生产责任制度》、《数据质量保障制度》、《数据安全保障制度》、《数据调用审核制度》、《数据治理绩效考核管理办法》等。</w:t>
            </w:r>
          </w:p>
          <w:p w14:paraId="4F9010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2.▲需支持通过数据项标准的多级体系建设，构建数据项多级目录体系、定制数据项子集及数据项子类、维护子类间数据项的取用、引用关系。（提供产品功能截图）</w:t>
            </w:r>
          </w:p>
          <w:p w14:paraId="08C75B0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3.需提供代码标准、数据项标准的批量提交审核功能，以满足实施过程中的代码变更及后续国家教育部代码更新，需支持将每次提交审核通过的代码维护小版本，记录变更历史。</w:t>
            </w:r>
          </w:p>
          <w:p w14:paraId="21A6A6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4.需提供代码标准、数据项标准的发布定版功能，支持在数据治理完成或国家教育部发布更新文件后生成定版的代码标准，发布公示。</w:t>
            </w:r>
          </w:p>
        </w:tc>
        <w:tc>
          <w:tcPr>
            <w:tcW w:w="946" w:type="dxa"/>
            <w:vAlign w:val="center"/>
          </w:tcPr>
          <w:p w14:paraId="6093DF1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4696273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14</w:t>
            </w:r>
          </w:p>
        </w:tc>
        <w:tc>
          <w:tcPr>
            <w:tcW w:w="1086" w:type="dxa"/>
            <w:vAlign w:val="center"/>
          </w:tcPr>
          <w:p w14:paraId="05FD215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14</w:t>
            </w:r>
          </w:p>
        </w:tc>
      </w:tr>
      <w:tr w14:paraId="0804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47DFD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.3</w:t>
            </w:r>
          </w:p>
        </w:tc>
        <w:tc>
          <w:tcPr>
            <w:tcW w:w="1279" w:type="dxa"/>
            <w:vAlign w:val="center"/>
          </w:tcPr>
          <w:p w14:paraId="2B4533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主数据</w:t>
            </w:r>
          </w:p>
        </w:tc>
        <w:tc>
          <w:tcPr>
            <w:tcW w:w="4649" w:type="dxa"/>
            <w:vAlign w:val="center"/>
          </w:tcPr>
          <w:p w14:paraId="1445FFC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支持基于数据标准进行标准表设计，保证标准库结构一致性。需支持学校主题业务域目录的分级分层，提供基于数据标准以主题维度进行主题表设计。.需提供标准库&amp;主题库表的增删改操作，支持维护数据表主键，配置脱敏加密规则，批量导出Excel文件，批量导出Word文档等操作。</w:t>
            </w:r>
          </w:p>
          <w:p w14:paraId="372D970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2.支持将治理后的主题表进行归档，形成资产数据；支持上架、下架等操作控制资产对外可见权限。需实现对主数据结构的变更监控，支持查询数据表历史变更记录。</w:t>
            </w:r>
          </w:p>
          <w:p w14:paraId="2387290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可视化的数据治理，维护管理数据流转关系，支持通过向导模式和开发模式对原始库、标准库、主题库进行原数据采集、数据转换、数据集成等操作；向导模式即通过简易的界面操作，快速创建数据转换、集成关系实现数据处理，支持可视化单表映射、多表关联映射、设置过滤条件；开发模式即提供复杂场景的自定义SQL编写，通过自动解析SQL语句实现数据转换、集成关系的快速创建。（提供产品功能截图）</w:t>
            </w:r>
          </w:p>
          <w:p w14:paraId="59C255C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4.数据转换关系支持通过对原始库数据进行数据识别、数据加载、数据清洗、数据转换等构建标准库，支持转换任务的周期调度、立即转换、日志检索、初始化等操作。</w:t>
            </w:r>
          </w:p>
        </w:tc>
        <w:tc>
          <w:tcPr>
            <w:tcW w:w="946" w:type="dxa"/>
            <w:vAlign w:val="center"/>
          </w:tcPr>
          <w:p w14:paraId="5342EC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478F1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15</w:t>
            </w:r>
          </w:p>
        </w:tc>
        <w:tc>
          <w:tcPr>
            <w:tcW w:w="1086" w:type="dxa"/>
            <w:vAlign w:val="center"/>
          </w:tcPr>
          <w:p w14:paraId="4CFB92C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15</w:t>
            </w:r>
          </w:p>
        </w:tc>
      </w:tr>
      <w:tr w14:paraId="57EE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288A91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.4</w:t>
            </w:r>
          </w:p>
        </w:tc>
        <w:tc>
          <w:tcPr>
            <w:tcW w:w="1279" w:type="dxa"/>
            <w:vAlign w:val="center"/>
          </w:tcPr>
          <w:p w14:paraId="067EDB4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元数据</w:t>
            </w:r>
          </w:p>
        </w:tc>
        <w:tc>
          <w:tcPr>
            <w:tcW w:w="4649" w:type="dxa"/>
            <w:vAlign w:val="center"/>
          </w:tcPr>
          <w:p w14:paraId="6B11324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1.需支持基于MOF规范对元数据建模，开发基于此模型的适配器做元数据采集，实时监控业务系统元数据变化情况，针对变化情况及时通过站内信反馈。</w:t>
            </w:r>
          </w:p>
          <w:p w14:paraId="2CAB151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2.需支持元模型包无限极目录及元模型分类的维护管理，支持维护元模型之间父类、子类、组合、被组合、依赖、被依赖一对一，一对多，多对多等关系。</w:t>
            </w:r>
          </w:p>
          <w:p w14:paraId="1D349DD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3.需提供元数据采集任务管理，支持新增元数据采集任务，手动执行采集任务，设置自动周期采集元数据信息。</w:t>
            </w:r>
          </w:p>
          <w:p w14:paraId="67AE8FB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4.需支持基于元模型的元数据管理，提供表、视图、字段等元数据信息的查询检索、批量导入、版本发布，以及历史版本追溯等操作。</w:t>
            </w:r>
          </w:p>
          <w:p w14:paraId="3D161BC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5.▲需提供元数据血缘地图，支持表、字段的血缘溯源分析及影响分析，溯源分析需向上追溯至业务库，影响分析需向下追踪至数据共享交换。（提供产品功能截图）</w:t>
            </w:r>
          </w:p>
        </w:tc>
        <w:tc>
          <w:tcPr>
            <w:tcW w:w="946" w:type="dxa"/>
            <w:vAlign w:val="center"/>
          </w:tcPr>
          <w:p w14:paraId="5B07D8B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398AC1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15</w:t>
            </w:r>
          </w:p>
        </w:tc>
        <w:tc>
          <w:tcPr>
            <w:tcW w:w="1086" w:type="dxa"/>
            <w:vAlign w:val="center"/>
          </w:tcPr>
          <w:p w14:paraId="04C213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15</w:t>
            </w:r>
          </w:p>
        </w:tc>
      </w:tr>
      <w:tr w14:paraId="5510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A457A7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.5</w:t>
            </w:r>
          </w:p>
        </w:tc>
        <w:tc>
          <w:tcPr>
            <w:tcW w:w="1279" w:type="dxa"/>
            <w:vAlign w:val="center"/>
          </w:tcPr>
          <w:p w14:paraId="618E027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数据质量</w:t>
            </w:r>
          </w:p>
        </w:tc>
        <w:tc>
          <w:tcPr>
            <w:tcW w:w="4649" w:type="dxa"/>
            <w:vAlign w:val="center"/>
          </w:tcPr>
          <w:p w14:paraId="4F7331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提供将不同检核类别下的质检规则进行组合，构成一个完整的质检方案进行统一管理，支持方案的上下线、手动执行、周期调度、监控、告警等操作，并提供根据质检结果生成系统质检报告及详细分析，其中详细分析需支持通过层层下钻分析系统、表层、字段层的问题率，变化趋势，数据质量对比等，并支持导出异常数据。</w:t>
            </w:r>
          </w:p>
          <w:p w14:paraId="11ABAFF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2.需提供自动生成质检方案质量维度模型，检查方案覆盖维度。需提供对质检方案执行的监控日志，随着方案的运行，自动生成输出各业务系统每日质检报告及质检分析。</w:t>
            </w:r>
          </w:p>
          <w:p w14:paraId="6EC13FC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质检报告需包括但不限于查看指定日期下质检总表数、检核表数、检核字段数、检核数据量、问题率、问题表、问题字段、问题数据、已解决/未解决问题数据、重点字段数、重点字段问题率、检核规则数量、检核维度数、检核维度分布数据质量问题率趋势分析图、重点字段质检云图、汇总统计质检总字段数据、问题字段数据、问题率生成多维趋势图，辅助分析问题率趋势变化及问题数据解决效率，支持导出Word版质检报告。</w:t>
            </w:r>
          </w:p>
          <w:p w14:paraId="016A865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需提供对常用数据检测规则的提炼，抽象，避免重复定义，对各质量维度从数据完整性、唯一性、有效性、准确性、一致性进行更细粒度的划分，并直接对度量规则的提出进行指导性的定义和说明。需预置常用的规则模板，包括但不限于：空值检测、重复检测、手机、邮箱、证件号码格式检查、不在代码表检测、日期格式检测、数值范围检测、长度不合规检测等，并提供可扩展的自定义规则模板管理能力。</w:t>
            </w:r>
          </w:p>
        </w:tc>
        <w:tc>
          <w:tcPr>
            <w:tcW w:w="946" w:type="dxa"/>
            <w:vAlign w:val="center"/>
          </w:tcPr>
          <w:p w14:paraId="29DBA0B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3A5D4C8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16.16</w:t>
            </w:r>
          </w:p>
        </w:tc>
        <w:tc>
          <w:tcPr>
            <w:tcW w:w="1086" w:type="dxa"/>
            <w:vAlign w:val="center"/>
          </w:tcPr>
          <w:p w14:paraId="694D0E5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16.16</w:t>
            </w:r>
          </w:p>
        </w:tc>
      </w:tr>
      <w:tr w14:paraId="6F0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2CA15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.6</w:t>
            </w:r>
          </w:p>
        </w:tc>
        <w:tc>
          <w:tcPr>
            <w:tcW w:w="1279" w:type="dxa"/>
            <w:vAlign w:val="center"/>
          </w:tcPr>
          <w:p w14:paraId="7A61748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数据开发</w:t>
            </w:r>
          </w:p>
        </w:tc>
        <w:tc>
          <w:tcPr>
            <w:tcW w:w="4649" w:type="dxa"/>
            <w:vAlign w:val="center"/>
          </w:tcPr>
          <w:p w14:paraId="73B499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1支持按项目管理工作流，实现多个项目的并行数据开发管理；支持工作流的上线、下线、运行、暂停和恢复执行等执行方式；</w:t>
            </w:r>
          </w:p>
          <w:p w14:paraId="35F3740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支持数据开发的可视化操作，提供编排DataX、Sqoop、Shell、Python、SQL、Procedure、MR、Spark、Flink、算法AI、HTTP等多种类型任务，支持多级工作流嵌套；</w:t>
            </w:r>
          </w:p>
          <w:p w14:paraId="4320435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提供算法模型库管理，实现对算法模型的统一维护及版本管理，支持手动注册、维护算法模型，管理模型文件，定义算法框架、输入数据集，支持快捷导入数据集元数据自动填充，支持配置模型状态，可查看任意版本模型详情及下载模型文件。</w:t>
            </w:r>
          </w:p>
          <w:p w14:paraId="79015F8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在线机器学习实验空间，0代码开发人工智能算法服务，内置成熟算法模型及读数据表、写数据表、线性回归、随机森林回归、逻辑回归、决策树、DBSCAN聚类、K-means聚类等多种机器学习组件，通过可视化、拖拉拽操作完成模型训练及模型使用；支持在数据开发工作流中调用算法实验，实现数据同步、数据计算及数据挖掘等多种场景。（提供产品功能截图）</w:t>
            </w:r>
          </w:p>
        </w:tc>
        <w:tc>
          <w:tcPr>
            <w:tcW w:w="946" w:type="dxa"/>
            <w:vAlign w:val="center"/>
          </w:tcPr>
          <w:p w14:paraId="7131F91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4143E5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14</w:t>
            </w:r>
          </w:p>
        </w:tc>
        <w:tc>
          <w:tcPr>
            <w:tcW w:w="1086" w:type="dxa"/>
            <w:vAlign w:val="center"/>
          </w:tcPr>
          <w:p w14:paraId="3D72447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14</w:t>
            </w:r>
          </w:p>
        </w:tc>
      </w:tr>
      <w:tr w14:paraId="2109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E03010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.7</w:t>
            </w:r>
          </w:p>
        </w:tc>
        <w:tc>
          <w:tcPr>
            <w:tcW w:w="1279" w:type="dxa"/>
            <w:vAlign w:val="center"/>
          </w:tcPr>
          <w:p w14:paraId="5944990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数据服务</w:t>
            </w:r>
          </w:p>
        </w:tc>
        <w:tc>
          <w:tcPr>
            <w:tcW w:w="4649" w:type="dxa"/>
            <w:vAlign w:val="center"/>
          </w:tcPr>
          <w:p w14:paraId="72F9F4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1.数据服务是对外输出数据的环节，以API的方式提供数据给其他业务系统，提供管理员用来统一创建、发布、维护以及管理API接口；</w:t>
            </w:r>
          </w:p>
          <w:p w14:paraId="4CCA5D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2.支持快速自定义API接口信息，支持http和https协议、GET和POST请求方式、摘要签名认证和令牌认证两种安全认证方式、记录服务访问日志、设置服务超时时间、设置最大返回条数；</w:t>
            </w:r>
          </w:p>
          <w:p w14:paraId="7FC7B1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3.支持对API接口返回参数进行安全脱敏规则配置，便于调用API接口时，敏感根据指定脱敏规则处理后返回；</w:t>
            </w:r>
          </w:p>
          <w:p w14:paraId="3D36B25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支持数据源的数据服务访问、SQL语言和语法编写数据查询逻辑、自动化生成请求参数、设置请求参数是否必填和默认值、自动化生成返回参数；支持在线数据服务API接口连通及数据测试。（提供产品功能截图）</w:t>
            </w:r>
          </w:p>
          <w:p w14:paraId="7A3B22A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5.支持API接口的归类、目录维护、列表查询、接口申请审核的管理、授权用户管理、接口的创建、修改、注销、上线/下线等；</w:t>
            </w:r>
          </w:p>
        </w:tc>
        <w:tc>
          <w:tcPr>
            <w:tcW w:w="946" w:type="dxa"/>
            <w:vAlign w:val="center"/>
          </w:tcPr>
          <w:p w14:paraId="3E1D5E7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9AA1D0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12</w:t>
            </w:r>
          </w:p>
        </w:tc>
        <w:tc>
          <w:tcPr>
            <w:tcW w:w="1086" w:type="dxa"/>
            <w:vAlign w:val="center"/>
          </w:tcPr>
          <w:p w14:paraId="568BF4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12</w:t>
            </w:r>
          </w:p>
        </w:tc>
      </w:tr>
      <w:tr w14:paraId="677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9FDF3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.8</w:t>
            </w:r>
          </w:p>
        </w:tc>
        <w:tc>
          <w:tcPr>
            <w:tcW w:w="1279" w:type="dxa"/>
            <w:vAlign w:val="center"/>
          </w:tcPr>
          <w:p w14:paraId="6D70CD1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rPr>
              <w:t>数据交换</w:t>
            </w:r>
          </w:p>
        </w:tc>
        <w:tc>
          <w:tcPr>
            <w:tcW w:w="4649" w:type="dxa"/>
            <w:vAlign w:val="center"/>
          </w:tcPr>
          <w:p w14:paraId="2CEB72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1.提供各部门将其结构化数据（接入的业务数据、治理后的标准数据、汇聚形成的主题数据）、非结构化文件数据及消息数据，通过交换平台配置、审核、发布后，组合成交换资源，统一维护管理；</w:t>
            </w:r>
          </w:p>
          <w:p w14:paraId="347F90A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2.▲结构化资源需支持以ETL推送形式根据设定的周期频次将数据同步至订阅数据库中、以API接口形式进行接口数据调用、以在线查询形式在数据资产中心在线查询下载数据（提供产品功能截图）；</w:t>
            </w:r>
          </w:p>
          <w:p w14:paraId="5CBC0E3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3.非结构化资源需支持以SFTP交换形式根据设定的周期频次将文件同步至订阅文件服务器中、以API接口形式进行接口文件调用、以在线查询形式在数据资产中心中在线查询下载文件。</w:t>
            </w:r>
          </w:p>
          <w:p w14:paraId="5DE035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4.消息资源需支持以实时通讯形式，由资源发布系统推送消息，资源订阅系统在指定的消息区实时获取消息数据（提供产品功能截图）。</w:t>
            </w:r>
          </w:p>
          <w:p w14:paraId="33E61F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5.需提供快速检索各部门下业务系统的基本介绍、系统编码、公钥密钥、接入数据源等信息。需提供资源详情介绍，包括但不限于资源基本描述、数据结构、数据样例、接口调用说明、接口对接手册等信息。</w:t>
            </w:r>
          </w:p>
          <w:p w14:paraId="337F73F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6.需提供资源订阅关系查询，包括但不限于显示申请部门、申请系统、申请时间、授权状态、订阅有效期、交换次数、交换记录及交换日志信息，并支持手动解除授权、立即执行交换等资源操作。</w:t>
            </w:r>
          </w:p>
        </w:tc>
        <w:tc>
          <w:tcPr>
            <w:tcW w:w="946" w:type="dxa"/>
            <w:vAlign w:val="center"/>
          </w:tcPr>
          <w:p w14:paraId="4B826C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1788A8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14</w:t>
            </w:r>
          </w:p>
        </w:tc>
        <w:tc>
          <w:tcPr>
            <w:tcW w:w="1086" w:type="dxa"/>
            <w:vAlign w:val="center"/>
          </w:tcPr>
          <w:p w14:paraId="0BD121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14</w:t>
            </w:r>
          </w:p>
        </w:tc>
      </w:tr>
      <w:tr w14:paraId="49B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570A80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.9</w:t>
            </w:r>
          </w:p>
        </w:tc>
        <w:tc>
          <w:tcPr>
            <w:tcW w:w="1279" w:type="dxa"/>
            <w:vAlign w:val="center"/>
          </w:tcPr>
          <w:p w14:paraId="22AEFD4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数据安全</w:t>
            </w:r>
          </w:p>
        </w:tc>
        <w:tc>
          <w:tcPr>
            <w:tcW w:w="4649" w:type="dxa"/>
            <w:vAlign w:val="center"/>
          </w:tcPr>
          <w:p w14:paraId="0C644B1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1.需提供数据安全脱敏算法配置，需内置常见的掩码、哈希、截断、加密等多种安全模板，同时支持自定义扩展数据脱敏算法；</w:t>
            </w:r>
          </w:p>
          <w:p w14:paraId="25C63FA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基于数据安全模板定义识别规则，支持在主数据查询、数据服务对外提供API接口及数据共享交换时，根据规则进行数据项脱敏处理，以保证数据安全性；</w:t>
            </w:r>
          </w:p>
          <w:p w14:paraId="783D303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2.需支持将数据识别规则与原始库数据进行绑定，实现数据脱敏；支持查询标准库、主题库、共享交换资源绑定了识别规则的字段信息。支持根据规则查询数据服务API、标准库、主题库的绑定规则的字段信息；</w:t>
            </w:r>
          </w:p>
          <w:p w14:paraId="56C3403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指定用户的脱敏白名单配置，被授权的用户可屏蔽指定脱敏算法，从而查看完整的未脱敏的数据内容；基于数据安全的相关法律及政策要求，需制定明确的数据安全管理办法，对数据进行安全分级分类，颗粒度至字段级别，根据不同安全等级，可自定义配置不同的数据申请审核流程，保障数据申请使用的安全合法。</w:t>
            </w:r>
          </w:p>
        </w:tc>
        <w:tc>
          <w:tcPr>
            <w:tcW w:w="946" w:type="dxa"/>
            <w:vAlign w:val="center"/>
          </w:tcPr>
          <w:p w14:paraId="578B9E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709A84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15</w:t>
            </w:r>
          </w:p>
        </w:tc>
        <w:tc>
          <w:tcPr>
            <w:tcW w:w="1086" w:type="dxa"/>
            <w:vAlign w:val="center"/>
          </w:tcPr>
          <w:p w14:paraId="213F80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15</w:t>
            </w:r>
          </w:p>
        </w:tc>
      </w:tr>
      <w:tr w14:paraId="6CC8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7924FF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.10</w:t>
            </w:r>
          </w:p>
        </w:tc>
        <w:tc>
          <w:tcPr>
            <w:tcW w:w="1279" w:type="dxa"/>
            <w:vAlign w:val="center"/>
          </w:tcPr>
          <w:p w14:paraId="3B0DDD0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数据门户</w:t>
            </w:r>
          </w:p>
        </w:tc>
        <w:tc>
          <w:tcPr>
            <w:tcW w:w="4649" w:type="dxa"/>
            <w:vAlign w:val="center"/>
          </w:tcPr>
          <w:p w14:paraId="7DD56C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提供以部门角度的数据清单，清晰展示部门所拥有数据项信息，包括但不限于展示数据项名、数据项中文简称、数据类型长度、数据安全等级、应用对象、应用域、应用说明、数据血缘分析等，支持各部门负责人单个数据项/批量数据项的在线确权确认，确保数据权责划分有依有据。</w:t>
            </w:r>
          </w:p>
          <w:p w14:paraId="75B975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需提供可视化数据治理成果展现，以数据搜索为基础，提供治理后表的基本信息、数据结构、数据血缘及数据的在线查询，需支持数据权限控制，管理者默认拥有所有资产表的访问权限，普通用户需提供数据访问权限申请，根据申请资产表字段的安全等级、责任单位，发起不同等级的数据审核流程。（提供产品功能截图）</w:t>
            </w:r>
          </w:p>
          <w:p w14:paraId="4B3224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提供平台数据标准管理规范建设进度及映射使用情况实时监控呈现，包括但不限于体现数据标准建设总数、映射使用数量、发布定版版本数、当前定版号、标准类型及安全等级分布、版本建设历程、国标数据项映射率、校标数据项映射率，快速分析标准建设进度及使用情况，促进数据标准落地整改。</w:t>
            </w:r>
          </w:p>
          <w:p w14:paraId="0B32A69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需提供定版代码标准、数据项标准目录查询，包括但不限于展示标准定版版本号、标准目录、标准编码、标准名称、标准详细内容、发布机构、标准类型、映射使用次数、映射使用详情，支持查询数据标准的变更记录并提供各版本间数据新增、编辑、删除差异对比。（提供产品功能截图）</w:t>
            </w:r>
          </w:p>
          <w:p w14:paraId="35A4251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需提供各部门业务系统的详细质检报告展示，包括但不限于系统问题率、总数据对象、总数据字段、检核数据对象、检核数据字段、检核重点字段、检核数据量、质检维度、质检规则数、问题对象、问题字段、重点字段问题、数据问题量、近7轮检核情况、质检维度模型、问题对象排行、重点字段词云及问题情况、数据字段问题排行等系统质量数据。</w:t>
            </w:r>
          </w:p>
          <w:p w14:paraId="46F9D02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需提供数据集市资源清单检索，包括但不限于展示各部门发布资源类型、资源名称、资源主题、发布系统、责任部门、浏览量、关注数、订阅数、资源支持交换形式，支持根据资源责任部门、发布系统、资源类型、资源主题、交换形式、是否关注及资源名/资源备注/资源内容进行模糊匹配或精准搜索。</w:t>
            </w:r>
          </w:p>
          <w:p w14:paraId="40E8859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7.需提供资源内容详细展示，包括但不限于资源基本信息、支持的交换形式、数据结构、资源样例，数据接口手册如功能说明、请求参数、返回参数、请求示例、响应示例、状态码说明、接口在线测试等；支持资源的在线关注及在线申请，数据需求方可按需进行资源订阅申请，根据申请字段的安全等级及字段确权部门发起不同等级的审核流程，保障数据使用安全。（提供产品功能截图）</w:t>
            </w:r>
          </w:p>
          <w:p w14:paraId="42A480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8.需提供已订阅资源的维护管理，支持查看订阅的资源信息，展示订阅资源类型、资源名称、资源主题域、订阅信息、订阅数据、累计交换次数、最近交换时间及详细交换日志信息等。需提供个人工作台，统一集中的管理审核待办任务及站内消息提醒</w:t>
            </w:r>
          </w:p>
        </w:tc>
        <w:tc>
          <w:tcPr>
            <w:tcW w:w="946" w:type="dxa"/>
            <w:vAlign w:val="center"/>
          </w:tcPr>
          <w:p w14:paraId="24D9649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5DECDA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10</w:t>
            </w:r>
          </w:p>
        </w:tc>
        <w:tc>
          <w:tcPr>
            <w:tcW w:w="1086" w:type="dxa"/>
            <w:vAlign w:val="center"/>
          </w:tcPr>
          <w:p w14:paraId="5BDBD86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10</w:t>
            </w:r>
          </w:p>
        </w:tc>
      </w:tr>
      <w:tr w14:paraId="5B3B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4CCAAB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.11</w:t>
            </w:r>
          </w:p>
        </w:tc>
        <w:tc>
          <w:tcPr>
            <w:tcW w:w="1279" w:type="dxa"/>
            <w:vAlign w:val="center"/>
          </w:tcPr>
          <w:p w14:paraId="13DC655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数据资产</w:t>
            </w:r>
          </w:p>
        </w:tc>
        <w:tc>
          <w:tcPr>
            <w:tcW w:w="4649" w:type="dxa"/>
            <w:vAlign w:val="center"/>
          </w:tcPr>
          <w:p w14:paraId="6F7D0FC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 提供可视化数据大屏展示，对数据采集、清洗、存储、计算、应用等进行全链路盘点分析，形成数据资产中心大屏、数据治理大屏、数据质量大屏、数据安全大屏、数据集市大屏及运维监控大屏。</w:t>
            </w:r>
          </w:p>
          <w:p w14:paraId="5341DE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数据资产中心大屏需宏观展示平台数据情况，包括但不限于体现接入部门数、接入业务系统数、接入数据源、采集任务情况、线下数据接入情况、元数据信息、数据标准建设情况、各部门数据治理建设完成度、数据资产建设分析、各部门字段确权进度、热点数据资产、数据质量情况、数据集市资源、订阅数、累计交换次数等。</w:t>
            </w:r>
          </w:p>
          <w:p w14:paraId="45EC25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数据治理大屏需体现数据采集、数据转换、数据集成过程，供快速掌握整体数据治理工作进度，包括但不限于体现采集任务及原始数据情况、近期数据采集趋势、各业务系统采集情况、数据标准建设及映射使用情况、转换任务及标准数据情况、数据治理建设完成度、各业务系统转换情况、集成任务及主题数据情况、热点主题数据、数据资产主题分布、元数据建设、元数据变更告警分析等。</w:t>
            </w:r>
          </w:p>
          <w:p w14:paraId="2383E08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 数据质量大屏需提供数据质量监测，全面、及时的暴露学校数据质量问题，包括但不限于体现学校原始数据、标准数据的问题率、下次质检倒计时、质检规则、质检方案、质检次数、质检数据对象、质检数据字段、质检数据条数、覆盖部门、覆盖业务系统面、检核维度、各业务系统质检规则分布、各业务系统质检执行情况、质量最优的系统、质量问题最高的系统、质量问题最高的表信息、质量告警分析等。</w:t>
            </w:r>
          </w:p>
          <w:p w14:paraId="7FC5B17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数据安全大屏需对平台数据安全建设落地情况进行分析统计，包括但不限于体现平台安全运行时长、安全保护机制图、数据安全分级、各安全等级下字段数、脱敏率、数据审批情况、数据安全建设云图、数据备份情况、疑似异常操作、服务运行监控等。</w:t>
            </w:r>
          </w:p>
          <w:p w14:paraId="1E391C8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 数据集市大屏需提供数据共享交换资源监控，评估数据资产应用及资源活跃情况，包括但不限于体现数据资产对象数、资产字段数、资产应用率、集市资源数、资源使用率、累计交换次数、资源关系一览图、资源安全保护机制、资源发布系统排行、资源交换形式分布、资源主题分布、热门资源、资源订阅系统排行、资源交换形式分布、近30天资源交换频次、近期交换资源耗时情况。</w:t>
            </w:r>
          </w:p>
        </w:tc>
        <w:tc>
          <w:tcPr>
            <w:tcW w:w="946" w:type="dxa"/>
            <w:vAlign w:val="center"/>
          </w:tcPr>
          <w:p w14:paraId="4EE4AFB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13FBB90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15</w:t>
            </w:r>
          </w:p>
        </w:tc>
        <w:tc>
          <w:tcPr>
            <w:tcW w:w="1086" w:type="dxa"/>
            <w:vAlign w:val="center"/>
          </w:tcPr>
          <w:p w14:paraId="37998B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15</w:t>
            </w:r>
          </w:p>
        </w:tc>
      </w:tr>
      <w:tr w14:paraId="0D48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0AB0B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15</w:t>
            </w:r>
            <w:r>
              <w:rPr>
                <w:rFonts w:hint="eastAsia"/>
                <w:color w:val="auto"/>
                <w:szCs w:val="21"/>
                <w:lang w:bidi="ar"/>
              </w:rPr>
              <w:t>.12</w:t>
            </w:r>
          </w:p>
        </w:tc>
        <w:tc>
          <w:tcPr>
            <w:tcW w:w="1279" w:type="dxa"/>
            <w:vAlign w:val="center"/>
          </w:tcPr>
          <w:p w14:paraId="5880508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数据治理服务</w:t>
            </w:r>
          </w:p>
        </w:tc>
        <w:tc>
          <w:tcPr>
            <w:tcW w:w="4649" w:type="dxa"/>
            <w:vAlign w:val="center"/>
          </w:tcPr>
          <w:p w14:paraId="0919C78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提供数据治理服务，服务内容包括数据源梳理、数据探察、数据接入、数据清洗、数据运维、数据发布等内容。</w:t>
            </w:r>
          </w:p>
        </w:tc>
        <w:tc>
          <w:tcPr>
            <w:tcW w:w="946" w:type="dxa"/>
            <w:vAlign w:val="center"/>
          </w:tcPr>
          <w:p w14:paraId="1F6DE6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0A0FCB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50</w:t>
            </w:r>
          </w:p>
        </w:tc>
        <w:tc>
          <w:tcPr>
            <w:tcW w:w="1086" w:type="dxa"/>
            <w:vAlign w:val="center"/>
          </w:tcPr>
          <w:p w14:paraId="25F5BC2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50</w:t>
            </w:r>
          </w:p>
        </w:tc>
      </w:tr>
      <w:tr w14:paraId="3EC6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4B560A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1</w:t>
            </w:r>
            <w:r>
              <w:rPr>
                <w:color w:val="auto"/>
                <w:lang w:bidi="ar"/>
              </w:rPr>
              <w:t>6</w:t>
            </w:r>
          </w:p>
        </w:tc>
        <w:tc>
          <w:tcPr>
            <w:tcW w:w="6874" w:type="dxa"/>
            <w:gridSpan w:val="3"/>
            <w:vAlign w:val="center"/>
          </w:tcPr>
          <w:p w14:paraId="2269AF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技术平台</w:t>
            </w:r>
          </w:p>
        </w:tc>
        <w:tc>
          <w:tcPr>
            <w:tcW w:w="1086" w:type="dxa"/>
            <w:vAlign w:val="center"/>
          </w:tcPr>
          <w:p w14:paraId="5ED2C29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color w:val="auto"/>
                <w:szCs w:val="21"/>
              </w:rPr>
            </w:pPr>
          </w:p>
        </w:tc>
        <w:tc>
          <w:tcPr>
            <w:tcW w:w="1086" w:type="dxa"/>
            <w:vAlign w:val="center"/>
          </w:tcPr>
          <w:p w14:paraId="415D8C6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122.04</w:t>
            </w:r>
          </w:p>
        </w:tc>
      </w:tr>
      <w:tr w14:paraId="0AB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33279A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16</w:t>
            </w:r>
            <w:r>
              <w:rPr>
                <w:rFonts w:hint="eastAsia"/>
                <w:color w:val="auto"/>
                <w:szCs w:val="21"/>
                <w:lang w:bidi="ar"/>
              </w:rPr>
              <w:t>.1</w:t>
            </w:r>
          </w:p>
        </w:tc>
        <w:tc>
          <w:tcPr>
            <w:tcW w:w="1279" w:type="dxa"/>
            <w:vAlign w:val="center"/>
          </w:tcPr>
          <w:p w14:paraId="1B4D5DC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数据开发规范</w:t>
            </w:r>
          </w:p>
        </w:tc>
        <w:tc>
          <w:tcPr>
            <w:tcW w:w="4649" w:type="dxa"/>
            <w:vAlign w:val="center"/>
          </w:tcPr>
          <w:p w14:paraId="3FDFE81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建立规范的数据标准，消除数据的不一致性，从根本上解决系统的数据质量问题，实现数据有效共享，并为后续质量检查提供依据。规范数据的定义，确保数据口径一致，帮助建立全局的数据标准体系，为提高数据质量提供标准定义、约束规则。</w:t>
            </w:r>
          </w:p>
          <w:p w14:paraId="4572BBF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数据开发规范旨在为数据研发者、管理者提供规范化的开发流程指导方法，目的是简化、规范日常的数据中台管理和开发工作，提高工作效率，减少无效与冗余工作，赋能项目更强大的数据掌控力来应对海量增长的业务数据。</w:t>
            </w:r>
          </w:p>
          <w:p w14:paraId="09F795B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3.需求分析：通过组织启动会和走访等方式了解客户需求，明确在数据接入、标准建设、主题建模及数据服务等方面的业务目标与预期成果。确定所需治理的数据范围、数据类型、格式要求及质量目标。</w:t>
            </w:r>
          </w:p>
          <w:p w14:paraId="33E4E4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4.数据收集：根据需求，制定数据接入计划，明确数据来源、接入方式及接入频率。所有数据源须在数据治理平台中进行注册，并确保数据可溯源、结构完整、连接稳定。</w:t>
            </w:r>
          </w:p>
          <w:p w14:paraId="6A08213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数据清洗：对收集到的数据进行清洗，去除重复、无效、错误的数据，确保数据的一致性和准确性。对数据分层管理，对源层数据进行清洗与标准化处理后进入标准层。清洗内容包括去除重复记录、修正无效值、补全缺失注释、统一编码格式等，确保数据符合数据项标准与代码标准，提升数据一致性与准确性。</w:t>
            </w:r>
          </w:p>
          <w:p w14:paraId="6D7FC33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6.数据转换：在标准层数据基础上，按核心业务域进行深度关联与融合，构建主题层模型。</w:t>
            </w:r>
          </w:p>
          <w:p w14:paraId="62E3F2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7.数据存储：数据仓库采用分层存储架构，包括原始层（存储未经加工的源系统数据）、标准层（存储清洗后的标准数据）、主题层(存储面向主题的融合数据)。</w:t>
            </w:r>
          </w:p>
          <w:p w14:paraId="1342D6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8.数据安全：对敏感数据进行标识与保护。谨慎直接对接生产库，优先使用中间库或备份库；对涉及个人身份、财务等高敏数据，须实施脱敏、访问控制与权限最小化策略。</w:t>
            </w:r>
          </w:p>
          <w:p w14:paraId="25E783A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9.数据备份：制定数据备份计划，定期备份数据，确保数据的可恢复性和长期保存。</w:t>
            </w:r>
          </w:p>
          <w:p w14:paraId="636B67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10.数据监控：建立全流程数据质量监控机制。对数据空值、唯一性、格式合规性进行全面检查。及时发现和解决数据异常和故障，确保数据的稳定性和持续性。</w:t>
            </w:r>
          </w:p>
          <w:p w14:paraId="3848A32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11.文档记录：对整个数据处理过程进行详细记录，记录完整数据处理链路，包括数据来源、处理方法、结果等，以便后续查阅和理解。</w:t>
            </w:r>
          </w:p>
          <w:p w14:paraId="099270E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12.验证和测试：数据接入后核对与调研清单的一致性。标准层建表后验证是否符合数据项标准。主题层开发完成后通过业务场景进行逻辑与结果验证。数据成果由需求发起方和实施方联合验收，确保数据准确、完整、可用，满足约定的预期成果。</w:t>
            </w:r>
          </w:p>
          <w:p w14:paraId="0AC723E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13.每个方面都需要具体、明确地规范，以确保数据处理过程的规范化和可靠性。</w:t>
            </w:r>
          </w:p>
        </w:tc>
        <w:tc>
          <w:tcPr>
            <w:tcW w:w="946" w:type="dxa"/>
            <w:vAlign w:val="center"/>
          </w:tcPr>
          <w:p w14:paraId="44A0CC3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0584FD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30</w:t>
            </w:r>
          </w:p>
        </w:tc>
        <w:tc>
          <w:tcPr>
            <w:tcW w:w="1086" w:type="dxa"/>
            <w:vAlign w:val="center"/>
          </w:tcPr>
          <w:p w14:paraId="0D3062C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30</w:t>
            </w:r>
          </w:p>
        </w:tc>
      </w:tr>
      <w:tr w14:paraId="76DE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023F9E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16</w:t>
            </w:r>
            <w:r>
              <w:rPr>
                <w:rFonts w:hint="eastAsia"/>
                <w:color w:val="auto"/>
                <w:szCs w:val="21"/>
                <w:lang w:bidi="ar"/>
              </w:rPr>
              <w:t>.2</w:t>
            </w:r>
          </w:p>
        </w:tc>
        <w:tc>
          <w:tcPr>
            <w:tcW w:w="1279" w:type="dxa"/>
            <w:vAlign w:val="center"/>
          </w:tcPr>
          <w:p w14:paraId="1238BBD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应用开发规范</w:t>
            </w:r>
          </w:p>
        </w:tc>
        <w:tc>
          <w:tcPr>
            <w:tcW w:w="4649" w:type="dxa"/>
            <w:vAlign w:val="center"/>
          </w:tcPr>
          <w:p w14:paraId="5E8E0EC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1.需求分析规范：这是定义需求的过程，包括对项目的技术需求、功能需求、性能需求、安全需求等进行详细地分析和定义。</w:t>
            </w:r>
          </w:p>
          <w:p w14:paraId="7FB80D8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2.设计规范：这是对软件系统的设计过程进行规定的规范，包括系统架构设计、数据库设计、接口设计、模块划分等。</w:t>
            </w:r>
          </w:p>
          <w:p w14:paraId="171F55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3.编码规范：这是对编码风格和程序结构进行规定的规范，包括命名规则、注释规则、代码复用原则等。</w:t>
            </w:r>
          </w:p>
          <w:p w14:paraId="2CB4F6E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4.测试规范：这是对软件系统的测试过程进行规定的规范，包括测试用例设计、性能测试、安全测试等。</w:t>
            </w:r>
          </w:p>
          <w:p w14:paraId="105FB5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5.质量控制规范：这是对软件质量控制的过程进行规定的规范，包括代码审查、单元测试、集成测试、系统测试等。</w:t>
            </w:r>
          </w:p>
          <w:p w14:paraId="706FC0D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6.项目管理规范：这是对软件开发项目的管理过程进行规定的规范，包括项目计划、风险管理、质量管理等。</w:t>
            </w:r>
          </w:p>
          <w:p w14:paraId="244DA09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7.文档编写规范：这是对软件开发过程中产生的文档进行规定的规范，包括需求文档、设计文档、用户手册等。</w:t>
            </w:r>
          </w:p>
          <w:p w14:paraId="5A4C37E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8.维护和部署规范：这是对软件系统的维护和部署过程进行规定的规范，包括系统部署、版本控制、故障排查等。</w:t>
            </w:r>
          </w:p>
        </w:tc>
        <w:tc>
          <w:tcPr>
            <w:tcW w:w="946" w:type="dxa"/>
            <w:vAlign w:val="center"/>
          </w:tcPr>
          <w:p w14:paraId="050E00E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0A1580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30.04</w:t>
            </w:r>
          </w:p>
        </w:tc>
        <w:tc>
          <w:tcPr>
            <w:tcW w:w="1086" w:type="dxa"/>
            <w:vAlign w:val="center"/>
          </w:tcPr>
          <w:p w14:paraId="70793D4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30.04</w:t>
            </w:r>
          </w:p>
        </w:tc>
      </w:tr>
      <w:tr w14:paraId="3E30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7855C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16</w:t>
            </w:r>
            <w:r>
              <w:rPr>
                <w:rFonts w:hint="eastAsia"/>
                <w:color w:val="auto"/>
                <w:szCs w:val="21"/>
                <w:lang w:bidi="ar"/>
              </w:rPr>
              <w:t>.3</w:t>
            </w:r>
          </w:p>
        </w:tc>
        <w:tc>
          <w:tcPr>
            <w:tcW w:w="1279" w:type="dxa"/>
            <w:vAlign w:val="center"/>
          </w:tcPr>
          <w:p w14:paraId="331B455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运维服务体系</w:t>
            </w:r>
          </w:p>
        </w:tc>
        <w:tc>
          <w:tcPr>
            <w:tcW w:w="4649" w:type="dxa"/>
            <w:vAlign w:val="center"/>
          </w:tcPr>
          <w:p w14:paraId="77D3D0C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服务内容：包括一系列的运维服务，如信息资产统计服务、网络和安全系统运维服务、主机和存储系统运维服务、应用软件运维服务，以及业务系统运维服务等。这些服务都以保持信息系统的稳定、安全、高效运行为目标，同时根据日常维护的数据和记录，提供用户信息系统的整体建设规划和建议。</w:t>
            </w:r>
          </w:p>
          <w:p w14:paraId="5031A18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2.服务流程：是实施运维服务的步骤和程序，确保了运维服务的有序进行，同时最大化了运维的效果。一般情况下，服务流程会涵盖服务的请求、审批、执行、监督和评价等阶段。</w:t>
            </w:r>
          </w:p>
          <w:p w14:paraId="4DA2C8B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3.管理制度和规范：是保证运维服务质量和效率的重要手段。这些规范和制度会对运维服务的各方面进行详细的描述和规定，以确保所有服务都按照统一的标准和要求进行。</w:t>
            </w:r>
          </w:p>
          <w:p w14:paraId="584202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4.应急响应措施：在信息化项目中，可能出现的突发状况有很多，如系统故障、信息安全威胁等。运维服务将提供一套完善的应急响应措施以应对这些突发状况，确保信息系统的稳定运行。</w:t>
            </w:r>
          </w:p>
        </w:tc>
        <w:tc>
          <w:tcPr>
            <w:tcW w:w="946" w:type="dxa"/>
            <w:vAlign w:val="center"/>
          </w:tcPr>
          <w:p w14:paraId="192E27A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0CDC52D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32</w:t>
            </w:r>
          </w:p>
        </w:tc>
        <w:tc>
          <w:tcPr>
            <w:tcW w:w="1086" w:type="dxa"/>
            <w:vAlign w:val="center"/>
          </w:tcPr>
          <w:p w14:paraId="69ADFFD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32</w:t>
            </w:r>
          </w:p>
        </w:tc>
      </w:tr>
      <w:tr w14:paraId="0DD0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011874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16</w:t>
            </w:r>
            <w:r>
              <w:rPr>
                <w:rFonts w:hint="eastAsia"/>
                <w:color w:val="auto"/>
                <w:szCs w:val="21"/>
                <w:lang w:bidi="ar"/>
              </w:rPr>
              <w:t>.4</w:t>
            </w:r>
          </w:p>
        </w:tc>
        <w:tc>
          <w:tcPr>
            <w:tcW w:w="1279" w:type="dxa"/>
            <w:vAlign w:val="center"/>
          </w:tcPr>
          <w:p w14:paraId="0FFADC0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安全保障体系</w:t>
            </w:r>
          </w:p>
        </w:tc>
        <w:tc>
          <w:tcPr>
            <w:tcW w:w="4649" w:type="dxa"/>
            <w:vAlign w:val="center"/>
          </w:tcPr>
          <w:p w14:paraId="2FB6241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1.安全策略和法规遵守：制定并实施明确的安全策略和规定，以确保项目符合国家和行业特定的安全标准和法规。</w:t>
            </w:r>
          </w:p>
          <w:p w14:paraId="6924E2A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2.安全风险评估和管理：进行定期的安全风险评估，识别潜在的安全威胁，并采取相应的措施来降低或消除这些风险。</w:t>
            </w:r>
          </w:p>
          <w:p w14:paraId="6AD384B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3.访问控制和身份管理：建立严格的访问控制策略，包括用户身份验证、权限管理和审计跟踪，以防止未经授权的访问和潜在的安全威胁。</w:t>
            </w:r>
          </w:p>
          <w:p w14:paraId="596EE09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4.数据安全：制定和执行严格的数据安全政策，包括数据加密、完整性验证和备份策略，以确保数据在传输、存储和使用过程中的安全性。</w:t>
            </w:r>
          </w:p>
          <w:p w14:paraId="1AB343F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5.应用程序安全：对所有应用程序进行安全审查，发现并修复潜在的安全漏洞，以防止恶意攻击和非法访问。</w:t>
            </w:r>
          </w:p>
          <w:p w14:paraId="71D51EA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6.物理安全：对项目所在的设施进行严格的安全管理，包括门禁控制、视频监控和消防安全措施，以确保项目免受物理威胁。</w:t>
            </w:r>
          </w:p>
          <w:p w14:paraId="730893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7.灾难恢复和业务连续性计划：建立灾难恢复计划，以应对自然灾害、人为破坏或其他重大事件，确保项目能够迅速恢复正常运营。</w:t>
            </w:r>
          </w:p>
          <w:p w14:paraId="0181E03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8.培训和意识提升：定期为项目团队和相关员工提供安全培训和意识提升课程，提高他们对安全问题的认识和应对能力。</w:t>
            </w:r>
          </w:p>
          <w:p w14:paraId="0D5B06E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9.安全审计和监控：实施定期的安全审计和监控，确保所有安全政策和措施得到有效执行，及时发现并解决潜在的安全问题。</w:t>
            </w:r>
          </w:p>
          <w:p w14:paraId="434006D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10.应急响应计划：建立应急响应计划，明确应对各种安全事件的流程和责任人，以确保在紧急情况下能够迅速、有效地做出响应。</w:t>
            </w:r>
          </w:p>
        </w:tc>
        <w:tc>
          <w:tcPr>
            <w:tcW w:w="946" w:type="dxa"/>
            <w:vAlign w:val="center"/>
          </w:tcPr>
          <w:p w14:paraId="21AF349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622404E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
              </w:rPr>
            </w:pPr>
            <w:r>
              <w:rPr>
                <w:rFonts w:hint="eastAsia"/>
                <w:color w:val="auto"/>
                <w:szCs w:val="21"/>
                <w:lang w:val="en-US" w:eastAsia="zh-CN" w:bidi="ar"/>
              </w:rPr>
              <w:t>30</w:t>
            </w:r>
          </w:p>
        </w:tc>
        <w:tc>
          <w:tcPr>
            <w:tcW w:w="1086" w:type="dxa"/>
            <w:vAlign w:val="center"/>
          </w:tcPr>
          <w:p w14:paraId="1D38D86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30</w:t>
            </w:r>
          </w:p>
        </w:tc>
      </w:tr>
      <w:tr w14:paraId="708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891E79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17</w:t>
            </w:r>
          </w:p>
        </w:tc>
        <w:tc>
          <w:tcPr>
            <w:tcW w:w="1279" w:type="dxa"/>
            <w:vAlign w:val="center"/>
          </w:tcPr>
          <w:p w14:paraId="30A73F9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引教入企服务</w:t>
            </w:r>
          </w:p>
        </w:tc>
        <w:tc>
          <w:tcPr>
            <w:tcW w:w="4649" w:type="dxa"/>
            <w:vAlign w:val="center"/>
          </w:tcPr>
          <w:p w14:paraId="58FBDB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1、岗位专业匹配</w:t>
            </w:r>
          </w:p>
          <w:p w14:paraId="5E4FCBF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支持提供线上及线下的校企合作服务，对于学校或企业之间提出的岗位需求进行匹配服务。</w:t>
            </w:r>
          </w:p>
          <w:p w14:paraId="6D7444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2、师资力量匹配</w:t>
            </w:r>
          </w:p>
          <w:p w14:paraId="5ADA9E9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支持提供线上及线下的校企合作服务，对于学校或企业之间提出的师资需求进行匹配服务。</w:t>
            </w:r>
          </w:p>
          <w:p w14:paraId="5653FDB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3、需求资源匹配</w:t>
            </w:r>
          </w:p>
          <w:p w14:paraId="617B08F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支持提供线上及线下的校企合作服务，对于学校或企业之间提出的相关需求进行匹配。</w:t>
            </w:r>
          </w:p>
        </w:tc>
        <w:tc>
          <w:tcPr>
            <w:tcW w:w="946" w:type="dxa"/>
            <w:vAlign w:val="center"/>
          </w:tcPr>
          <w:p w14:paraId="641C2A7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2085C1D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70.29</w:t>
            </w:r>
          </w:p>
        </w:tc>
        <w:tc>
          <w:tcPr>
            <w:tcW w:w="1086" w:type="dxa"/>
            <w:vAlign w:val="center"/>
          </w:tcPr>
          <w:p w14:paraId="786E5E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70.29</w:t>
            </w:r>
          </w:p>
        </w:tc>
      </w:tr>
      <w:tr w14:paraId="2878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38F24C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18</w:t>
            </w:r>
          </w:p>
        </w:tc>
        <w:tc>
          <w:tcPr>
            <w:tcW w:w="1279" w:type="dxa"/>
            <w:vAlign w:val="center"/>
          </w:tcPr>
          <w:p w14:paraId="66DD333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产教融合成果分析</w:t>
            </w:r>
          </w:p>
        </w:tc>
        <w:tc>
          <w:tcPr>
            <w:tcW w:w="4649" w:type="dxa"/>
            <w:vAlign w:val="center"/>
          </w:tcPr>
          <w:p w14:paraId="387A069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1.产教融合相关获奖情况统计</w:t>
            </w:r>
          </w:p>
          <w:p w14:paraId="5579D91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对产教融合相关获奖情况进行统计并可视化展示</w:t>
            </w:r>
          </w:p>
          <w:p w14:paraId="53AE73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2.产教融合相关创新成果统计</w:t>
            </w:r>
          </w:p>
          <w:p w14:paraId="5B11EA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对产教融合相关创新成果进行统计并可视化展示，将各方创新成果进行展示</w:t>
            </w:r>
          </w:p>
          <w:p w14:paraId="291B74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3.相关专利获得统计</w:t>
            </w:r>
          </w:p>
          <w:p w14:paraId="595743C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对产教融合相关专利获得情况进行统计并可视化展示</w:t>
            </w:r>
          </w:p>
          <w:p w14:paraId="0C77D40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对科研成果、学校的科研成果数量、科研成果分类、科研转化数量进行展示</w:t>
            </w:r>
          </w:p>
        </w:tc>
        <w:tc>
          <w:tcPr>
            <w:tcW w:w="946" w:type="dxa"/>
            <w:vAlign w:val="center"/>
          </w:tcPr>
          <w:p w14:paraId="0F2F7A5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2FEDFC8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86.08</w:t>
            </w:r>
          </w:p>
        </w:tc>
        <w:tc>
          <w:tcPr>
            <w:tcW w:w="1086" w:type="dxa"/>
            <w:vAlign w:val="center"/>
          </w:tcPr>
          <w:p w14:paraId="599FA54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86.08</w:t>
            </w:r>
          </w:p>
        </w:tc>
      </w:tr>
      <w:tr w14:paraId="7341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B97CD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19</w:t>
            </w:r>
          </w:p>
        </w:tc>
        <w:tc>
          <w:tcPr>
            <w:tcW w:w="1279" w:type="dxa"/>
            <w:vAlign w:val="center"/>
          </w:tcPr>
          <w:p w14:paraId="152D61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产教发展监测预警分析</w:t>
            </w:r>
          </w:p>
        </w:tc>
        <w:tc>
          <w:tcPr>
            <w:tcW w:w="4649" w:type="dxa"/>
            <w:vAlign w:val="center"/>
          </w:tcPr>
          <w:p w14:paraId="22C1BD1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1.产业发展分析</w:t>
            </w:r>
          </w:p>
          <w:p w14:paraId="108C90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针对产业人才需求、区域人才需求、企业用人需求、学历要求人才需求分布以及能力素质需求等维度进行可视化展示，方便实时了解需求侧数据信息。</w:t>
            </w:r>
          </w:p>
          <w:p w14:paraId="3648EF1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2.教育发展分析</w:t>
            </w:r>
          </w:p>
          <w:p w14:paraId="7EDE854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针对在校生人数、区域人才培养的分布情况、专业培养能力要求、学历层次在校生人数分布以及能力素质测评结果等维度进行可视化展示，方便实时了解供给侧数据信息。</w:t>
            </w:r>
          </w:p>
          <w:p w14:paraId="7C8A365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3.产教融合教育资源分析</w:t>
            </w:r>
          </w:p>
          <w:p w14:paraId="6671A69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可视化展示山西省全部院校区域分布情况，院校师生占比，院校各层级学生人数，产教融合型院校数量统计、校内外实训室分布及数量统计、实验设备以及师资资源统计等维度</w:t>
            </w:r>
          </w:p>
          <w:p w14:paraId="53C179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可视化展示山西省院校专业师生占比，专业各层级学生人数统计、新增专业和撤销专业占比、产教融合型专业数量统计、校内外实训室分布及数量统计以及实验设备统计等维度。</w:t>
            </w:r>
          </w:p>
          <w:p w14:paraId="20D08EB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4.产教融合相关服务组织分析</w:t>
            </w:r>
          </w:p>
          <w:p w14:paraId="797662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对山西省产教融合相关服务组织的区域分布情况、开展的活动、校企合作项目、服务成效进行统计和可视化展示。</w:t>
            </w:r>
          </w:p>
          <w:p w14:paraId="3FA84E0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5.产教融合数据报告中心</w:t>
            </w:r>
          </w:p>
          <w:p w14:paraId="368E515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（1）报告生成：提供基于产教融合数据的行业人才需求报告生成功能、专业趋势和建议报告生成功能、产教供需匹配报告生成功能、毕业生跟踪调研报告生成功能等。</w:t>
            </w:r>
          </w:p>
          <w:p w14:paraId="62A670E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（2）报告发布：提供生成报告列表管理，用户可以查看和下载权限内发布的报告。</w:t>
            </w:r>
          </w:p>
          <w:p w14:paraId="6F81FA9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（3）报告共享和出售功能：提供不同类型报告的使用权限设置，包括免费报告、付费报告两类。免费报告面向平台认证用户提供免费在线查看和浏览，付费报告显示定价标签，用户支付后才可以点击查看全文。</w:t>
            </w:r>
          </w:p>
          <w:p w14:paraId="0AB730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6.产教对接谱系图分析系统</w:t>
            </w:r>
          </w:p>
          <w:p w14:paraId="4A1523F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区域岗位需求总览大屏，提供可视化岗位总需求量、岗位分析、地方区域产业群等。</w:t>
            </w:r>
          </w:p>
          <w:p w14:paraId="7077776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7.产业集群分析服务</w:t>
            </w:r>
          </w:p>
          <w:p w14:paraId="6713683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提供山西省产业集群发展现状分析，分析维度包括产业聚集度、相关企业发展、人力资源、产业环境、创新水平等，支持从省级视图下钻至市级、园区级，直至具体企业详情。</w:t>
            </w:r>
          </w:p>
        </w:tc>
        <w:tc>
          <w:tcPr>
            <w:tcW w:w="946" w:type="dxa"/>
            <w:vAlign w:val="center"/>
          </w:tcPr>
          <w:p w14:paraId="0F6D6DB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7EA2C97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80</w:t>
            </w:r>
          </w:p>
        </w:tc>
        <w:tc>
          <w:tcPr>
            <w:tcW w:w="1086" w:type="dxa"/>
            <w:vAlign w:val="center"/>
          </w:tcPr>
          <w:p w14:paraId="60CAFE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80</w:t>
            </w:r>
          </w:p>
        </w:tc>
      </w:tr>
      <w:tr w14:paraId="3710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764492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2</w:t>
            </w:r>
            <w:r>
              <w:rPr>
                <w:color w:val="auto"/>
                <w:lang w:bidi="ar"/>
              </w:rPr>
              <w:t>0</w:t>
            </w:r>
          </w:p>
        </w:tc>
        <w:tc>
          <w:tcPr>
            <w:tcW w:w="1279" w:type="dxa"/>
            <w:vAlign w:val="center"/>
          </w:tcPr>
          <w:p w14:paraId="42E6B0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文献情报能力服务</w:t>
            </w:r>
          </w:p>
        </w:tc>
        <w:tc>
          <w:tcPr>
            <w:tcW w:w="4649" w:type="dxa"/>
            <w:vAlign w:val="center"/>
          </w:tcPr>
          <w:p w14:paraId="3DE1E87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提供学术论文、专利等科研大数据检索发现服务，支持资源的多维度检索、分类筛选服务。</w:t>
            </w:r>
          </w:p>
        </w:tc>
        <w:tc>
          <w:tcPr>
            <w:tcW w:w="946" w:type="dxa"/>
            <w:vAlign w:val="center"/>
          </w:tcPr>
          <w:p w14:paraId="41AA499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snapToGrid w:val="0"/>
                <w:color w:val="auto"/>
                <w:szCs w:val="21"/>
                <w:lang w:bidi="ar"/>
              </w:rPr>
              <w:t>1套</w:t>
            </w:r>
          </w:p>
        </w:tc>
        <w:tc>
          <w:tcPr>
            <w:tcW w:w="1086" w:type="dxa"/>
            <w:shd w:val="clear" w:color="auto" w:fill="auto"/>
            <w:vAlign w:val="center"/>
          </w:tcPr>
          <w:p w14:paraId="2C3D6CF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262.66</w:t>
            </w:r>
          </w:p>
        </w:tc>
        <w:tc>
          <w:tcPr>
            <w:tcW w:w="1086" w:type="dxa"/>
            <w:vAlign w:val="center"/>
          </w:tcPr>
          <w:p w14:paraId="22CB886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262.66</w:t>
            </w:r>
          </w:p>
        </w:tc>
      </w:tr>
      <w:tr w14:paraId="2BAB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9DC166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lang w:bidi="ar"/>
              </w:rPr>
              <w:t>2</w:t>
            </w:r>
            <w:r>
              <w:rPr>
                <w:color w:val="auto"/>
                <w:lang w:bidi="ar"/>
              </w:rPr>
              <w:t>1</w:t>
            </w:r>
          </w:p>
        </w:tc>
        <w:tc>
          <w:tcPr>
            <w:tcW w:w="6874" w:type="dxa"/>
            <w:gridSpan w:val="3"/>
            <w:vAlign w:val="center"/>
          </w:tcPr>
          <w:p w14:paraId="1235BDD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rPr>
              <w:t>数字化产品服务</w:t>
            </w:r>
          </w:p>
        </w:tc>
        <w:tc>
          <w:tcPr>
            <w:tcW w:w="1086" w:type="dxa"/>
            <w:vAlign w:val="center"/>
          </w:tcPr>
          <w:p w14:paraId="26DE284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color w:val="auto"/>
                <w:szCs w:val="21"/>
              </w:rPr>
            </w:pPr>
          </w:p>
        </w:tc>
        <w:tc>
          <w:tcPr>
            <w:tcW w:w="1086" w:type="dxa"/>
            <w:vAlign w:val="center"/>
          </w:tcPr>
          <w:p w14:paraId="78622D0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59.84</w:t>
            </w:r>
          </w:p>
        </w:tc>
      </w:tr>
      <w:tr w14:paraId="6D36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451066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21</w:t>
            </w:r>
            <w:r>
              <w:rPr>
                <w:rFonts w:hint="eastAsia"/>
                <w:color w:val="auto"/>
                <w:szCs w:val="21"/>
                <w:lang w:bidi="ar"/>
              </w:rPr>
              <w:t>.1</w:t>
            </w:r>
          </w:p>
        </w:tc>
        <w:tc>
          <w:tcPr>
            <w:tcW w:w="1279" w:type="dxa"/>
            <w:vAlign w:val="center"/>
          </w:tcPr>
          <w:p w14:paraId="550D3BF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精准化信息发布</w:t>
            </w:r>
          </w:p>
        </w:tc>
        <w:tc>
          <w:tcPr>
            <w:tcW w:w="4649" w:type="dxa"/>
            <w:vAlign w:val="center"/>
          </w:tcPr>
          <w:p w14:paraId="0251DE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需搭建一个高效、精准的信息发布平台。该平台利用大数据分析与人工智能技术，深入挖掘并整合各类主体的实际需求与资源优势，包括但不限于企业技术创新需求、高校科研成果转化意愿、产教融合扶持政策导向等。通过智能筛选与分类，这些信息将被转化为易于理解、高度相关的内容，并面向全社会广泛发布。这种精准化的信息发布机制，不仅能够有效降低信息搜索成本，还能显著提升合作效率，使供需双方能够迅速找到匹配度高的合作伙伴，加速产教融合的进程。</w:t>
            </w:r>
          </w:p>
        </w:tc>
        <w:tc>
          <w:tcPr>
            <w:tcW w:w="946" w:type="dxa"/>
            <w:vAlign w:val="center"/>
          </w:tcPr>
          <w:p w14:paraId="5DAF162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8B31E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15</w:t>
            </w:r>
          </w:p>
        </w:tc>
        <w:tc>
          <w:tcPr>
            <w:tcW w:w="1086" w:type="dxa"/>
            <w:vAlign w:val="center"/>
          </w:tcPr>
          <w:p w14:paraId="7D3463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15</w:t>
            </w:r>
          </w:p>
        </w:tc>
      </w:tr>
      <w:tr w14:paraId="13FB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D4440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21</w:t>
            </w:r>
            <w:r>
              <w:rPr>
                <w:rFonts w:hint="eastAsia"/>
                <w:color w:val="auto"/>
                <w:szCs w:val="21"/>
                <w:lang w:bidi="ar"/>
              </w:rPr>
              <w:t>.2</w:t>
            </w:r>
          </w:p>
        </w:tc>
        <w:tc>
          <w:tcPr>
            <w:tcW w:w="1279" w:type="dxa"/>
            <w:vAlign w:val="center"/>
          </w:tcPr>
          <w:p w14:paraId="503527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高效检索功能</w:t>
            </w:r>
          </w:p>
        </w:tc>
        <w:tc>
          <w:tcPr>
            <w:tcW w:w="4649" w:type="dxa"/>
            <w:vAlign w:val="center"/>
          </w:tcPr>
          <w:p w14:paraId="36E2E4F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需采用先进的智能检索技术，通过构建复杂的算法模型与索引机制，实现对海量数据的快速遍历与精准定位。用户只需输入关键词或设定特定条件，系统便能迅速响应，返回一系列高度相关且排序合理的检索结果。这种高效、智能的检索体验，不仅提高了信息获取的便捷性，还为用户提供了丰富的决策依据，助力其做出更加精准、科学的决策。</w:t>
            </w:r>
          </w:p>
        </w:tc>
        <w:tc>
          <w:tcPr>
            <w:tcW w:w="946" w:type="dxa"/>
            <w:vAlign w:val="center"/>
          </w:tcPr>
          <w:p w14:paraId="6A70232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785F583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15</w:t>
            </w:r>
          </w:p>
        </w:tc>
        <w:tc>
          <w:tcPr>
            <w:tcW w:w="1086" w:type="dxa"/>
            <w:vAlign w:val="center"/>
          </w:tcPr>
          <w:p w14:paraId="714697D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15</w:t>
            </w:r>
          </w:p>
        </w:tc>
      </w:tr>
      <w:tr w14:paraId="0BD3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67B3416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21</w:t>
            </w:r>
            <w:r>
              <w:rPr>
                <w:rFonts w:hint="eastAsia"/>
                <w:color w:val="auto"/>
                <w:szCs w:val="21"/>
                <w:lang w:bidi="ar"/>
              </w:rPr>
              <w:t>.3</w:t>
            </w:r>
          </w:p>
        </w:tc>
        <w:tc>
          <w:tcPr>
            <w:tcW w:w="1279" w:type="dxa"/>
            <w:vAlign w:val="center"/>
          </w:tcPr>
          <w:p w14:paraId="1F55E2D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个性化推荐系统</w:t>
            </w:r>
          </w:p>
        </w:tc>
        <w:tc>
          <w:tcPr>
            <w:tcW w:w="4649" w:type="dxa"/>
            <w:vAlign w:val="center"/>
          </w:tcPr>
          <w:p w14:paraId="76E813F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需配备个性化推荐系统。该系统基于用户的历史行为、偏好及当前需求，运用机器学习算法进行深度挖掘与分析，从而为用户推荐可能感兴趣的合作项目、潜在合作伙伴或相关政策资源。这种个性化推荐不仅能够帮助用户发现潜在的合作机遇与商业价值，还能激发其创新思维与跨界融合的想法，为产教融合的深度发展注入新的活力。</w:t>
            </w:r>
          </w:p>
        </w:tc>
        <w:tc>
          <w:tcPr>
            <w:tcW w:w="946" w:type="dxa"/>
            <w:vAlign w:val="center"/>
          </w:tcPr>
          <w:p w14:paraId="2A0177E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15D8ABD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14</w:t>
            </w:r>
          </w:p>
        </w:tc>
        <w:tc>
          <w:tcPr>
            <w:tcW w:w="1086" w:type="dxa"/>
            <w:vAlign w:val="center"/>
          </w:tcPr>
          <w:p w14:paraId="484BEAF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14</w:t>
            </w:r>
          </w:p>
        </w:tc>
      </w:tr>
      <w:tr w14:paraId="3C68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16CD6A0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21</w:t>
            </w:r>
            <w:r>
              <w:rPr>
                <w:rFonts w:hint="eastAsia"/>
                <w:color w:val="auto"/>
                <w:szCs w:val="21"/>
                <w:lang w:bidi="ar"/>
              </w:rPr>
              <w:t>.4</w:t>
            </w:r>
          </w:p>
        </w:tc>
        <w:tc>
          <w:tcPr>
            <w:tcW w:w="1279" w:type="dxa"/>
            <w:vAlign w:val="center"/>
          </w:tcPr>
          <w:p w14:paraId="47CEC59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增值服务体系</w:t>
            </w:r>
          </w:p>
        </w:tc>
        <w:tc>
          <w:tcPr>
            <w:tcW w:w="4649" w:type="dxa"/>
            <w:vAlign w:val="center"/>
          </w:tcPr>
          <w:p w14:paraId="3CE2D26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rPr>
            </w:pPr>
            <w:r>
              <w:rPr>
                <w:rFonts w:hint="eastAsia"/>
                <w:color w:val="auto"/>
              </w:rPr>
              <w:t>需提供包括但不限于合作项目咨询、产业趋势分析、政策文件解读、线上交流平台搭建等。</w:t>
            </w:r>
          </w:p>
        </w:tc>
        <w:tc>
          <w:tcPr>
            <w:tcW w:w="946" w:type="dxa"/>
            <w:vAlign w:val="center"/>
          </w:tcPr>
          <w:p w14:paraId="7281D56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48494FE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15.84</w:t>
            </w:r>
          </w:p>
        </w:tc>
        <w:tc>
          <w:tcPr>
            <w:tcW w:w="1086" w:type="dxa"/>
            <w:vAlign w:val="center"/>
          </w:tcPr>
          <w:p w14:paraId="033CD3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15.84</w:t>
            </w:r>
          </w:p>
        </w:tc>
      </w:tr>
      <w:tr w14:paraId="1EA3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5CC75E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22</w:t>
            </w:r>
          </w:p>
        </w:tc>
        <w:tc>
          <w:tcPr>
            <w:tcW w:w="6874" w:type="dxa"/>
            <w:gridSpan w:val="3"/>
            <w:vAlign w:val="center"/>
          </w:tcPr>
          <w:p w14:paraId="010F8D3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lang w:bidi="ar"/>
              </w:rPr>
              <w:t>产教融合数据运营平台</w:t>
            </w:r>
          </w:p>
        </w:tc>
        <w:tc>
          <w:tcPr>
            <w:tcW w:w="1086" w:type="dxa"/>
            <w:vAlign w:val="center"/>
          </w:tcPr>
          <w:p w14:paraId="78782C3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szCs w:val="21"/>
              </w:rPr>
            </w:pPr>
          </w:p>
        </w:tc>
        <w:tc>
          <w:tcPr>
            <w:tcW w:w="1086" w:type="dxa"/>
            <w:vAlign w:val="center"/>
          </w:tcPr>
          <w:p w14:paraId="56C6E6F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2</w:t>
            </w:r>
            <w:r>
              <w:rPr>
                <w:rFonts w:hint="eastAsia"/>
                <w:color w:val="auto"/>
                <w:szCs w:val="21"/>
              </w:rPr>
              <w:t>7.28</w:t>
            </w:r>
          </w:p>
        </w:tc>
      </w:tr>
      <w:tr w14:paraId="4E9A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D0AEC1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22</w:t>
            </w:r>
            <w:r>
              <w:rPr>
                <w:rFonts w:hint="eastAsia"/>
                <w:color w:val="auto"/>
                <w:szCs w:val="21"/>
                <w:lang w:bidi="ar"/>
              </w:rPr>
              <w:t>.1</w:t>
            </w:r>
          </w:p>
        </w:tc>
        <w:tc>
          <w:tcPr>
            <w:tcW w:w="1279" w:type="dxa"/>
            <w:vAlign w:val="center"/>
          </w:tcPr>
          <w:p w14:paraId="01620D3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产教项目建设数据运营中心</w:t>
            </w:r>
          </w:p>
        </w:tc>
        <w:tc>
          <w:tcPr>
            <w:tcW w:w="4649" w:type="dxa"/>
            <w:vAlign w:val="center"/>
          </w:tcPr>
          <w:p w14:paraId="651EEF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根据山西省产教项目建设数据构建数据运营中心，对产教项目数量、计划总投资、本年度总投资、本年度完成投资、本期完成投资以及开建累计完成投资等维度进行可视化展示；此外支持查看项目所属行业分析、项目空间分布、项目性质、项目建设进度以及投资情况（包括总投资额、已完成投资额以及累计完成投资额）</w:t>
            </w:r>
          </w:p>
        </w:tc>
        <w:tc>
          <w:tcPr>
            <w:tcW w:w="946" w:type="dxa"/>
            <w:vAlign w:val="center"/>
          </w:tcPr>
          <w:p w14:paraId="740B0DF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27D4463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6</w:t>
            </w:r>
          </w:p>
        </w:tc>
        <w:tc>
          <w:tcPr>
            <w:tcW w:w="1086" w:type="dxa"/>
            <w:vAlign w:val="center"/>
          </w:tcPr>
          <w:p w14:paraId="74F1D85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6</w:t>
            </w:r>
          </w:p>
        </w:tc>
      </w:tr>
      <w:tr w14:paraId="0136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08F04A7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22</w:t>
            </w:r>
            <w:r>
              <w:rPr>
                <w:rFonts w:hint="eastAsia"/>
                <w:color w:val="auto"/>
                <w:szCs w:val="21"/>
                <w:lang w:bidi="ar"/>
              </w:rPr>
              <w:t>.2</w:t>
            </w:r>
          </w:p>
        </w:tc>
        <w:tc>
          <w:tcPr>
            <w:tcW w:w="1279" w:type="dxa"/>
            <w:vAlign w:val="center"/>
          </w:tcPr>
          <w:p w14:paraId="41E64E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产业波动监测数据运营中心</w:t>
            </w:r>
          </w:p>
        </w:tc>
        <w:tc>
          <w:tcPr>
            <w:tcW w:w="4649" w:type="dxa"/>
            <w:vAlign w:val="center"/>
          </w:tcPr>
          <w:p w14:paraId="6D220C9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根据山西省产业数据与产业波动数据构建产业波动监测数据运营中心，可视化展示产业经济、重点行业、营商环境以及创新环境的情况。从目标偏离、增长趋势、变动幅度、横向对比等多个维度来实现异常情况识别，展示产业波动情况并及时预警。</w:t>
            </w:r>
          </w:p>
        </w:tc>
        <w:tc>
          <w:tcPr>
            <w:tcW w:w="946" w:type="dxa"/>
            <w:vAlign w:val="center"/>
          </w:tcPr>
          <w:p w14:paraId="7987EE0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360C2B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6</w:t>
            </w:r>
          </w:p>
        </w:tc>
        <w:tc>
          <w:tcPr>
            <w:tcW w:w="1086" w:type="dxa"/>
            <w:vAlign w:val="center"/>
          </w:tcPr>
          <w:p w14:paraId="2E62AC0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6</w:t>
            </w:r>
          </w:p>
        </w:tc>
      </w:tr>
      <w:tr w14:paraId="13B4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3EE66D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22</w:t>
            </w:r>
            <w:r>
              <w:rPr>
                <w:rFonts w:hint="eastAsia"/>
                <w:color w:val="auto"/>
                <w:szCs w:val="21"/>
                <w:lang w:bidi="ar"/>
              </w:rPr>
              <w:t>.3</w:t>
            </w:r>
          </w:p>
        </w:tc>
        <w:tc>
          <w:tcPr>
            <w:tcW w:w="1279" w:type="dxa"/>
            <w:vAlign w:val="center"/>
          </w:tcPr>
          <w:p w14:paraId="0ED3A4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产业经济波动监测数据运营中心</w:t>
            </w:r>
          </w:p>
        </w:tc>
        <w:tc>
          <w:tcPr>
            <w:tcW w:w="4649" w:type="dxa"/>
            <w:vAlign w:val="center"/>
          </w:tcPr>
          <w:p w14:paraId="741E392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根据山西省产业经济数据构建数据运营中心，可视化呈现山西省产业存量与新增企业数量、重点企业数量、企业注册资本、经济贡献、行业分布、投融资、创新、风险预警等核心信息，宏观掌握区域经济运行态势，多维度挖掘具有经济引领力的龙头企业，并可通过地图缩放操作，详细展示区域企业具体分布，便于城市网格化管理与及时预警。</w:t>
            </w:r>
          </w:p>
        </w:tc>
        <w:tc>
          <w:tcPr>
            <w:tcW w:w="946" w:type="dxa"/>
            <w:vAlign w:val="center"/>
          </w:tcPr>
          <w:p w14:paraId="4DD8030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0DCFFA9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6</w:t>
            </w:r>
          </w:p>
        </w:tc>
        <w:tc>
          <w:tcPr>
            <w:tcW w:w="1086" w:type="dxa"/>
            <w:vAlign w:val="center"/>
          </w:tcPr>
          <w:p w14:paraId="42D084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6</w:t>
            </w:r>
          </w:p>
        </w:tc>
      </w:tr>
      <w:tr w14:paraId="181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71C6673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22</w:t>
            </w:r>
            <w:r>
              <w:rPr>
                <w:rFonts w:hint="eastAsia"/>
                <w:color w:val="auto"/>
                <w:szCs w:val="21"/>
                <w:lang w:bidi="ar"/>
              </w:rPr>
              <w:t>.4</w:t>
            </w:r>
          </w:p>
        </w:tc>
        <w:tc>
          <w:tcPr>
            <w:tcW w:w="1279" w:type="dxa"/>
            <w:vAlign w:val="center"/>
          </w:tcPr>
          <w:p w14:paraId="3F9DFB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企业运行监测数据运营中心</w:t>
            </w:r>
          </w:p>
        </w:tc>
        <w:tc>
          <w:tcPr>
            <w:tcW w:w="4649" w:type="dxa"/>
            <w:vAlign w:val="center"/>
          </w:tcPr>
          <w:p w14:paraId="6CBBFEC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rPr>
              <w:t>根据山西省企业数据构建企业运行监测数据运营中心，对企业投融资情况、企业创新总览、企业资产情况、主营业务情况、企业利润情况、企业风险预警等进行可视化大屏展示。支持具体查看企业资产情况下的资产总计和流动资产合计情况（包括应收账款、存货量、产成品等）；支持具体查看主营业务情况下的主营业务收入、主营业务成本和主营业务税金及附加等情况；支持具体查看企业利润情况下的利润额和利税总额情况；支持查看企业风险预警下的运营费用情况（包括销售费用、管理费用、财务费用、税务费用等）和企业亏损情况（包括亏损企业数量、亏损企业亏损额、负债合计等）</w:t>
            </w:r>
          </w:p>
        </w:tc>
        <w:tc>
          <w:tcPr>
            <w:tcW w:w="946" w:type="dxa"/>
            <w:vAlign w:val="center"/>
          </w:tcPr>
          <w:p w14:paraId="1C3FC7B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lang w:bidi="ar"/>
              </w:rPr>
              <w:t>1</w:t>
            </w:r>
            <w:r>
              <w:rPr>
                <w:rFonts w:hint="eastAsia"/>
                <w:color w:val="auto"/>
                <w:szCs w:val="21"/>
                <w:lang w:bidi="ar"/>
              </w:rPr>
              <w:t>项</w:t>
            </w:r>
          </w:p>
        </w:tc>
        <w:tc>
          <w:tcPr>
            <w:tcW w:w="1086" w:type="dxa"/>
            <w:shd w:val="clear" w:color="auto" w:fill="auto"/>
            <w:vAlign w:val="center"/>
          </w:tcPr>
          <w:p w14:paraId="5C282C3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default" w:ascii="Calibri" w:hAnsi="Calibri" w:cs="Times New Roman" w:eastAsiaTheme="minorEastAsia"/>
                <w:color w:val="auto"/>
                <w:kern w:val="2"/>
                <w:sz w:val="21"/>
                <w:szCs w:val="21"/>
                <w:lang w:val="en-US" w:eastAsia="zh-CN" w:bidi="ar-SA"/>
              </w:rPr>
            </w:pPr>
            <w:r>
              <w:rPr>
                <w:rFonts w:hint="eastAsia"/>
                <w:color w:val="auto"/>
                <w:szCs w:val="21"/>
                <w:lang w:val="en-US" w:eastAsia="zh-CN"/>
              </w:rPr>
              <w:t>9.28</w:t>
            </w:r>
          </w:p>
        </w:tc>
        <w:tc>
          <w:tcPr>
            <w:tcW w:w="1086" w:type="dxa"/>
            <w:vAlign w:val="center"/>
          </w:tcPr>
          <w:p w14:paraId="32A0EC9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color w:val="auto"/>
                <w:szCs w:val="21"/>
              </w:rPr>
              <w:t>9.28</w:t>
            </w:r>
          </w:p>
        </w:tc>
      </w:tr>
      <w:tr w14:paraId="6F11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vAlign w:val="center"/>
          </w:tcPr>
          <w:p w14:paraId="2A69070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color w:val="auto"/>
                <w:szCs w:val="21"/>
                <w:lang w:bidi="ar"/>
              </w:rPr>
              <w:t>23</w:t>
            </w:r>
          </w:p>
        </w:tc>
        <w:tc>
          <w:tcPr>
            <w:tcW w:w="1279" w:type="dxa"/>
            <w:vAlign w:val="center"/>
          </w:tcPr>
          <w:p w14:paraId="04EF49D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color w:val="auto"/>
                <w:lang w:bidi="ar"/>
              </w:rPr>
            </w:pPr>
            <w:r>
              <w:rPr>
                <w:rFonts w:hint="eastAsia"/>
                <w:color w:val="auto"/>
                <w:szCs w:val="21"/>
                <w:lang w:bidi="ar"/>
              </w:rPr>
              <w:t>系统集成</w:t>
            </w:r>
          </w:p>
        </w:tc>
        <w:tc>
          <w:tcPr>
            <w:tcW w:w="4649" w:type="dxa"/>
            <w:vAlign w:val="center"/>
          </w:tcPr>
          <w:p w14:paraId="26598A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rPr>
                <w:color w:val="auto"/>
              </w:rPr>
            </w:pPr>
            <w:r>
              <w:rPr>
                <w:rFonts w:hint="eastAsia"/>
                <w:color w:val="auto"/>
                <w:szCs w:val="21"/>
              </w:rPr>
              <w:t>完成系统集成工作。</w:t>
            </w:r>
          </w:p>
        </w:tc>
        <w:tc>
          <w:tcPr>
            <w:tcW w:w="946" w:type="dxa"/>
            <w:vAlign w:val="center"/>
          </w:tcPr>
          <w:p w14:paraId="496DF80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1项</w:t>
            </w:r>
          </w:p>
        </w:tc>
        <w:tc>
          <w:tcPr>
            <w:tcW w:w="1086" w:type="dxa"/>
            <w:shd w:val="clear" w:color="auto" w:fill="auto"/>
            <w:vAlign w:val="center"/>
          </w:tcPr>
          <w:p w14:paraId="28EDABA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rFonts w:hint="eastAsia" w:ascii="Calibri" w:hAnsi="Calibri" w:cs="Times New Roman" w:eastAsiaTheme="minorEastAsia"/>
                <w:color w:val="auto"/>
                <w:kern w:val="2"/>
                <w:sz w:val="21"/>
                <w:szCs w:val="21"/>
                <w:lang w:val="en-US" w:eastAsia="zh-CN" w:bidi="ar-SA"/>
              </w:rPr>
            </w:pPr>
            <w:r>
              <w:rPr>
                <w:rFonts w:hint="eastAsia"/>
                <w:color w:val="auto"/>
                <w:szCs w:val="21"/>
                <w:lang w:val="en-US" w:eastAsia="zh-CN"/>
              </w:rPr>
              <w:t>55.76</w:t>
            </w:r>
          </w:p>
        </w:tc>
        <w:tc>
          <w:tcPr>
            <w:tcW w:w="1086" w:type="dxa"/>
            <w:vAlign w:val="center"/>
          </w:tcPr>
          <w:p w14:paraId="16424B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rPr>
                <w:snapToGrid w:val="0"/>
                <w:color w:val="auto"/>
                <w:lang w:bidi="ar"/>
              </w:rPr>
            </w:pPr>
            <w:r>
              <w:rPr>
                <w:rFonts w:hint="eastAsia"/>
                <w:color w:val="auto"/>
                <w:szCs w:val="21"/>
              </w:rPr>
              <w:t>55.76</w:t>
            </w:r>
          </w:p>
        </w:tc>
      </w:tr>
    </w:tbl>
    <w:p w14:paraId="2C940412">
      <w:pPr>
        <w:widowControl/>
        <w:spacing w:line="360" w:lineRule="auto"/>
        <w:jc w:val="left"/>
        <w:rPr>
          <w:rFonts w:hint="eastAsia" w:ascii="宋体" w:hAnsi="宋体" w:eastAsia="宋体" w:cs="宋体"/>
          <w:b/>
          <w:sz w:val="20"/>
          <w:szCs w:val="20"/>
        </w:rPr>
      </w:pPr>
    </w:p>
    <w:p w14:paraId="2A247ABB">
      <w:pPr>
        <w:widowControl/>
        <w:spacing w:line="360" w:lineRule="auto"/>
        <w:ind w:firstLine="402" w:firstLineChars="200"/>
        <w:jc w:val="left"/>
        <w:rPr>
          <w:rFonts w:hint="eastAsia" w:ascii="宋体" w:hAnsi="宋体" w:eastAsia="宋体" w:cs="宋体"/>
          <w:b/>
          <w:sz w:val="20"/>
          <w:szCs w:val="20"/>
          <w:lang w:val="en-US" w:eastAsia="zh-CN"/>
        </w:rPr>
      </w:pPr>
      <w:r>
        <w:rPr>
          <w:rFonts w:hint="eastAsia" w:ascii="宋体" w:hAnsi="宋体" w:eastAsia="宋体" w:cs="宋体"/>
          <w:b/>
          <w:sz w:val="20"/>
          <w:szCs w:val="20"/>
          <w:lang w:eastAsia="zh-CN"/>
        </w:rPr>
        <w:t>说明：</w:t>
      </w:r>
      <w:r>
        <w:rPr>
          <w:rFonts w:hint="eastAsia" w:ascii="宋体" w:hAnsi="宋体" w:eastAsia="宋体" w:cs="宋体"/>
          <w:b/>
          <w:sz w:val="20"/>
          <w:szCs w:val="20"/>
          <w:lang w:val="en-US" w:eastAsia="zh-CN"/>
        </w:rPr>
        <w:t>1.投标人应按照技术要求中的序号顺序编制技术要求响应内容。</w:t>
      </w:r>
    </w:p>
    <w:p w14:paraId="6117C2FD">
      <w:pPr>
        <w:widowControl/>
        <w:spacing w:line="360" w:lineRule="auto"/>
        <w:ind w:firstLine="402" w:firstLineChars="200"/>
        <w:jc w:val="left"/>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2.技术要求响应内容的作用:投标人所提供的技术要求响应内容是评标委员会及其成员评定投标标的物是否实质性响应招标文件技术要求以及综合比较与评价的依据。</w:t>
      </w:r>
    </w:p>
    <w:p w14:paraId="6574574F">
      <w:pPr>
        <w:widowControl/>
        <w:spacing w:line="360" w:lineRule="auto"/>
        <w:ind w:firstLine="402" w:firstLineChars="200"/>
        <w:jc w:val="left"/>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3.标的物名称中标注“※”的产品为核心产品</w:t>
      </w:r>
      <w:r>
        <w:rPr>
          <w:rFonts w:hint="eastAsia" w:ascii="宋体" w:hAnsi="宋体" w:cs="宋体"/>
          <w:b/>
          <w:sz w:val="20"/>
          <w:szCs w:val="20"/>
          <w:lang w:val="en-US" w:eastAsia="zh-CN"/>
        </w:rPr>
        <w:t>，</w:t>
      </w:r>
      <w:r>
        <w:rPr>
          <w:rFonts w:hint="eastAsia" w:ascii="宋体" w:hAnsi="宋体" w:eastAsia="宋体" w:cs="宋体"/>
          <w:b/>
          <w:sz w:val="20"/>
          <w:szCs w:val="20"/>
          <w:lang w:val="en-US" w:eastAsia="zh-CN"/>
        </w:rPr>
        <w:t>技术参数前加'★’号的参数指标为主要技术指标(符合性审查内容)，投标人所投产品必须满足或优于这些指标;未加'★’号的参数指标为一般性技术指标(评分考量内容)，投标人所投产品应尽量满足这些技术指标要求，若所投产品不能满足一般性技术指标要求，评标委员会将按照评标标准和方法对一般性技术指标响应情况进行扣分。</w:t>
      </w:r>
    </w:p>
    <w:p w14:paraId="3185A5F3">
      <w:pPr>
        <w:widowControl/>
        <w:spacing w:line="360" w:lineRule="auto"/>
        <w:ind w:firstLine="402" w:firstLineChars="200"/>
        <w:jc w:val="left"/>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能够证明投标标的物满足招标文件技术要求的证明材料，证明材料包括但不限于投报标的物技术指标的官网链接/功能截图/产品彩页/详细的技术说明文件/运行性能的详细描述文件等，客观证明材料无法完整体现相应技术要求的，允许投标人提供自述的技术指标性能、功能详细描述文件进行佐证:其中标注'★’的技术需求或性能描述必须提供相应证明材料</w:t>
      </w:r>
      <w:r>
        <w:rPr>
          <w:rFonts w:hint="eastAsia" w:ascii="宋体" w:hAnsi="宋体" w:cs="宋体"/>
          <w:b/>
          <w:sz w:val="20"/>
          <w:szCs w:val="20"/>
          <w:lang w:val="en-US" w:eastAsia="zh-CN"/>
        </w:rPr>
        <w:t>；</w:t>
      </w:r>
      <w:r>
        <w:rPr>
          <w:rFonts w:hint="eastAsia" w:ascii="宋体" w:hAnsi="宋体" w:eastAsia="宋体" w:cs="宋体"/>
          <w:b/>
          <w:sz w:val="20"/>
          <w:szCs w:val="20"/>
          <w:lang w:val="en-US" w:eastAsia="zh-CN"/>
        </w:rPr>
        <w:t>一般技术指标允许投标人自制对应技术偏离表，并客观真实体现偏离况。</w:t>
      </w:r>
    </w:p>
    <w:p w14:paraId="7352C972">
      <w:pPr>
        <w:widowControl/>
        <w:spacing w:line="360" w:lineRule="auto"/>
        <w:ind w:firstLine="402" w:firstLineChars="200"/>
        <w:jc w:val="left"/>
        <w:rPr>
          <w:rFonts w:hint="eastAsia" w:ascii="宋体" w:hAnsi="宋体" w:eastAsia="宋体" w:cs="宋体"/>
          <w:b/>
          <w:sz w:val="20"/>
          <w:szCs w:val="20"/>
          <w:lang w:eastAsia="zh-CN"/>
        </w:rPr>
      </w:pPr>
      <w:r>
        <w:rPr>
          <w:rFonts w:hint="eastAsia" w:ascii="宋体" w:hAnsi="宋体" w:eastAsia="宋体" w:cs="宋体"/>
          <w:b/>
          <w:sz w:val="20"/>
          <w:szCs w:val="20"/>
          <w:lang w:val="en-US" w:eastAsia="zh-CN"/>
        </w:rPr>
        <w:t>4.项目实施过程中所需的主要辅材（若有的话，供应商按品牌、型号、产地、单价、数量。自行列表响应）。</w:t>
      </w:r>
    </w:p>
    <w:p w14:paraId="6FE4A95A">
      <w:pPr>
        <w:widowControl/>
        <w:spacing w:line="360" w:lineRule="auto"/>
        <w:ind w:firstLine="402" w:firstLineChars="200"/>
        <w:jc w:val="left"/>
        <w:rPr>
          <w:rFonts w:hint="eastAsia" w:ascii="宋体" w:hAnsi="宋体" w:eastAsia="宋体" w:cs="宋体"/>
          <w:b/>
          <w:sz w:val="20"/>
          <w:szCs w:val="20"/>
          <w:lang w:eastAsia="zh-CN"/>
        </w:rPr>
        <w:sectPr>
          <w:footerReference r:id="rId13" w:type="default"/>
          <w:footerReference r:id="rId14" w:type="even"/>
          <w:pgSz w:w="11905" w:h="16838"/>
          <w:pgMar w:top="1440" w:right="1080" w:bottom="1440" w:left="1080" w:header="1020" w:footer="1020" w:gutter="0"/>
          <w:pgNumType w:fmt="decimal"/>
          <w:cols w:space="0" w:num="1"/>
          <w:docGrid w:linePitch="312" w:charSpace="0"/>
        </w:sectPr>
      </w:pPr>
      <w:r>
        <w:rPr>
          <w:rFonts w:hint="eastAsia" w:ascii="宋体" w:hAnsi="宋体" w:eastAsia="宋体" w:cs="宋体"/>
          <w:b/>
          <w:sz w:val="20"/>
          <w:szCs w:val="20"/>
          <w:lang w:eastAsia="zh-CN"/>
        </w:rPr>
        <w:br w:type="page"/>
      </w:r>
    </w:p>
    <w:p w14:paraId="02AD89EA">
      <w:pPr>
        <w:widowControl/>
        <w:spacing w:line="360" w:lineRule="auto"/>
        <w:ind w:firstLine="402" w:firstLineChars="200"/>
        <w:jc w:val="left"/>
        <w:rPr>
          <w:rFonts w:hint="eastAsia" w:ascii="宋体" w:hAnsi="宋体" w:eastAsia="宋体" w:cs="宋体"/>
          <w:b/>
          <w:sz w:val="20"/>
          <w:szCs w:val="20"/>
          <w:lang w:eastAsia="zh-CN"/>
        </w:rPr>
      </w:pPr>
    </w:p>
    <w:p w14:paraId="484A6BC2">
      <w:pPr>
        <w:pStyle w:val="2"/>
        <w:bidi w:val="0"/>
        <w:rPr>
          <w:rFonts w:hint="eastAsia" w:ascii="宋体" w:hAnsi="宋体" w:eastAsia="宋体" w:cs="宋体"/>
        </w:rPr>
      </w:pPr>
      <w:bookmarkStart w:id="136" w:name="_Toc30736"/>
      <w:r>
        <w:rPr>
          <w:rFonts w:hint="eastAsia" w:ascii="宋体" w:hAnsi="宋体" w:eastAsia="宋体" w:cs="宋体"/>
        </w:rPr>
        <w:t>第五部分  合同原则</w:t>
      </w:r>
      <w:bookmarkEnd w:id="134"/>
      <w:bookmarkEnd w:id="136"/>
    </w:p>
    <w:p w14:paraId="299B2AEC">
      <w:pPr>
        <w:rPr>
          <w:color w:val="auto"/>
        </w:rPr>
      </w:pPr>
      <w:bookmarkStart w:id="137" w:name="_Toc175644061"/>
      <w:bookmarkStart w:id="138" w:name="_Toc326737324"/>
      <w:r>
        <w:rPr>
          <w:color w:val="auto"/>
        </w:rPr>
        <w:drawing>
          <wp:inline distT="0" distB="0" distL="114300" distR="114300">
            <wp:extent cx="681990" cy="681990"/>
            <wp:effectExtent l="0" t="0" r="3810" b="3810"/>
            <wp:docPr id="2" name="图片 2" descr="图片包含 游戏机,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游戏机, 房间&#10;&#10;描述已自动生成"/>
                    <pic:cNvPicPr>
                      <a:picLocks noChangeAspect="1"/>
                    </pic:cNvPicPr>
                  </pic:nvPicPr>
                  <pic:blipFill>
                    <a:blip r:embed="rId20" r:link="rId21"/>
                    <a:stretch>
                      <a:fillRect/>
                    </a:stretch>
                  </pic:blipFill>
                  <pic:spPr>
                    <a:xfrm>
                      <a:off x="0" y="0"/>
                      <a:ext cx="681990" cy="681990"/>
                    </a:xfrm>
                    <a:prstGeom prst="rect">
                      <a:avLst/>
                    </a:prstGeom>
                    <a:noFill/>
                    <a:ln>
                      <a:noFill/>
                    </a:ln>
                  </pic:spPr>
                </pic:pic>
              </a:graphicData>
            </a:graphic>
          </wp:inline>
        </w:drawing>
      </w:r>
    </w:p>
    <w:p w14:paraId="40CA6CE9">
      <w:pPr>
        <w:rPr>
          <w:color w:val="auto"/>
        </w:rPr>
      </w:pPr>
    </w:p>
    <w:p w14:paraId="30C103EE">
      <w:pPr>
        <w:rPr>
          <w:color w:val="auto"/>
        </w:rPr>
      </w:pPr>
    </w:p>
    <w:p w14:paraId="77C0A0C4">
      <w:pPr>
        <w:rPr>
          <w:color w:val="auto"/>
        </w:rPr>
      </w:pPr>
    </w:p>
    <w:p w14:paraId="33E48134">
      <w:pPr>
        <w:jc w:val="center"/>
        <w:rPr>
          <w:bCs/>
          <w:color w:val="auto"/>
          <w:sz w:val="72"/>
          <w:szCs w:val="72"/>
          <w:highlight w:val="none"/>
        </w:rPr>
      </w:pPr>
      <w:r>
        <w:rPr>
          <w:rFonts w:hint="eastAsia"/>
          <w:bCs/>
          <w:color w:val="auto"/>
          <w:sz w:val="72"/>
          <w:szCs w:val="72"/>
          <w:highlight w:val="none"/>
        </w:rPr>
        <w:t>中北大学</w:t>
      </w:r>
    </w:p>
    <w:p w14:paraId="603D876C">
      <w:pPr>
        <w:jc w:val="center"/>
        <w:rPr>
          <w:bCs/>
          <w:color w:val="auto"/>
          <w:sz w:val="72"/>
          <w:szCs w:val="72"/>
          <w:highlight w:val="none"/>
        </w:rPr>
      </w:pPr>
      <w:r>
        <w:rPr>
          <w:rFonts w:hint="eastAsia"/>
          <w:bCs/>
          <w:color w:val="auto"/>
          <w:sz w:val="72"/>
          <w:szCs w:val="72"/>
          <w:highlight w:val="none"/>
        </w:rPr>
        <w:t>服务采购合同</w:t>
      </w:r>
    </w:p>
    <w:p w14:paraId="33812AC7">
      <w:pPr>
        <w:jc w:val="center"/>
        <w:rPr>
          <w:color w:val="FF0000"/>
          <w:sz w:val="52"/>
          <w:szCs w:val="52"/>
          <w:highlight w:val="none"/>
        </w:rPr>
      </w:pPr>
      <w:r>
        <w:rPr>
          <w:rFonts w:hint="eastAsia"/>
          <w:b/>
          <w:color w:val="FF0000"/>
          <w:sz w:val="32"/>
          <w:szCs w:val="32"/>
          <w:highlight w:val="none"/>
        </w:rPr>
        <w:t>（说明：本模板中红色字体仅为提示，填写完毕后删除。）</w:t>
      </w:r>
    </w:p>
    <w:p w14:paraId="7D52E763">
      <w:pPr>
        <w:rPr>
          <w:color w:val="auto"/>
          <w:sz w:val="52"/>
          <w:szCs w:val="52"/>
          <w:highlight w:val="none"/>
        </w:rPr>
      </w:pPr>
    </w:p>
    <w:p w14:paraId="7083ABA9">
      <w:pPr>
        <w:ind w:firstLine="880" w:firstLineChars="200"/>
        <w:rPr>
          <w:color w:val="auto"/>
          <w:sz w:val="44"/>
          <w:szCs w:val="44"/>
          <w:highlight w:val="none"/>
        </w:rPr>
      </w:pPr>
    </w:p>
    <w:p w14:paraId="065D656A">
      <w:pPr>
        <w:ind w:firstLine="880" w:firstLineChars="200"/>
        <w:rPr>
          <w:color w:val="auto"/>
          <w:sz w:val="44"/>
          <w:szCs w:val="44"/>
          <w:highlight w:val="none"/>
        </w:rPr>
      </w:pPr>
    </w:p>
    <w:p w14:paraId="48084017">
      <w:pPr>
        <w:ind w:firstLine="880" w:firstLineChars="200"/>
        <w:rPr>
          <w:color w:val="auto"/>
          <w:sz w:val="44"/>
          <w:szCs w:val="44"/>
          <w:highlight w:val="none"/>
        </w:rPr>
      </w:pPr>
    </w:p>
    <w:p w14:paraId="7F8F8F1D">
      <w:pPr>
        <w:ind w:firstLine="1320" w:firstLineChars="300"/>
        <w:rPr>
          <w:color w:val="auto"/>
          <w:sz w:val="44"/>
          <w:szCs w:val="44"/>
          <w:highlight w:val="none"/>
          <w:u w:val="single"/>
        </w:rPr>
      </w:pPr>
      <w:r>
        <w:rPr>
          <w:rFonts w:hint="eastAsia"/>
          <w:color w:val="auto"/>
          <w:sz w:val="44"/>
          <w:szCs w:val="44"/>
          <w:highlight w:val="none"/>
        </w:rPr>
        <w:t>合同编号：</w:t>
      </w:r>
      <w:r>
        <w:rPr>
          <w:rFonts w:hint="eastAsia"/>
          <w:color w:val="auto"/>
          <w:sz w:val="44"/>
          <w:szCs w:val="44"/>
          <w:highlight w:val="none"/>
          <w:u w:val="single"/>
        </w:rPr>
        <w:t xml:space="preserve">          </w:t>
      </w:r>
      <w:r>
        <w:rPr>
          <w:rFonts w:hint="eastAsia"/>
          <w:color w:val="auto"/>
          <w:sz w:val="44"/>
          <w:szCs w:val="44"/>
          <w:highlight w:val="none"/>
          <w:u w:val="single"/>
          <w:lang w:val="en-US" w:eastAsia="zh-CN"/>
        </w:rPr>
        <w:t xml:space="preserve">     </w:t>
      </w:r>
      <w:r>
        <w:rPr>
          <w:rFonts w:hint="eastAsia"/>
          <w:color w:val="auto"/>
          <w:sz w:val="44"/>
          <w:szCs w:val="44"/>
          <w:highlight w:val="none"/>
          <w:u w:val="single"/>
        </w:rPr>
        <w:t xml:space="preserve">          </w:t>
      </w:r>
    </w:p>
    <w:p w14:paraId="417246CB">
      <w:pPr>
        <w:ind w:firstLine="1320" w:firstLineChars="300"/>
        <w:rPr>
          <w:color w:val="auto"/>
          <w:sz w:val="44"/>
          <w:szCs w:val="44"/>
          <w:highlight w:val="none"/>
        </w:rPr>
      </w:pPr>
      <w:r>
        <w:rPr>
          <w:rFonts w:hint="eastAsia"/>
          <w:color w:val="auto"/>
          <w:sz w:val="44"/>
          <w:szCs w:val="44"/>
          <w:highlight w:val="none"/>
        </w:rPr>
        <w:t>政府采购项目编号：</w:t>
      </w:r>
      <w:r>
        <w:rPr>
          <w:rFonts w:hint="eastAsia"/>
          <w:color w:val="auto"/>
          <w:szCs w:val="21"/>
          <w:highlight w:val="none"/>
          <w:u w:val="single"/>
        </w:rPr>
        <w:t xml:space="preserve"> </w:t>
      </w:r>
      <w:r>
        <w:rPr>
          <w:rFonts w:hint="eastAsia"/>
          <w:color w:val="auto"/>
          <w:sz w:val="44"/>
          <w:szCs w:val="44"/>
          <w:highlight w:val="none"/>
          <w:u w:val="single"/>
        </w:rPr>
        <w:t xml:space="preserve"> </w:t>
      </w:r>
      <w:r>
        <w:rPr>
          <w:rFonts w:hint="eastAsia"/>
          <w:color w:val="auto"/>
          <w:sz w:val="44"/>
          <w:szCs w:val="44"/>
          <w:highlight w:val="none"/>
          <w:u w:val="single"/>
          <w:lang w:val="en-US" w:eastAsia="zh-CN"/>
        </w:rPr>
        <w:t xml:space="preserve">             </w:t>
      </w:r>
      <w:r>
        <w:rPr>
          <w:rFonts w:hint="eastAsia"/>
          <w:color w:val="auto"/>
          <w:sz w:val="44"/>
          <w:szCs w:val="44"/>
          <w:highlight w:val="none"/>
          <w:u w:val="single"/>
        </w:rPr>
        <w:t xml:space="preserve">  </w:t>
      </w:r>
    </w:p>
    <w:p w14:paraId="5812ABF1">
      <w:pPr>
        <w:ind w:firstLine="1320" w:firstLineChars="300"/>
        <w:rPr>
          <w:color w:val="auto"/>
          <w:sz w:val="44"/>
          <w:szCs w:val="44"/>
          <w:highlight w:val="none"/>
          <w:u w:val="single"/>
        </w:rPr>
      </w:pPr>
      <w:r>
        <w:rPr>
          <w:rFonts w:hint="eastAsia"/>
          <w:color w:val="auto"/>
          <w:sz w:val="44"/>
          <w:szCs w:val="44"/>
          <w:highlight w:val="none"/>
        </w:rPr>
        <w:t>项目名称：</w:t>
      </w:r>
      <w:r>
        <w:rPr>
          <w:rFonts w:hint="eastAsia"/>
          <w:color w:val="auto"/>
          <w:sz w:val="44"/>
          <w:szCs w:val="44"/>
          <w:highlight w:val="none"/>
          <w:u w:val="single"/>
        </w:rPr>
        <w:t xml:space="preserve">                         </w:t>
      </w:r>
    </w:p>
    <w:p w14:paraId="5F5B205B">
      <w:pPr>
        <w:ind w:firstLine="1320" w:firstLineChars="300"/>
        <w:rPr>
          <w:color w:val="auto"/>
          <w:sz w:val="44"/>
          <w:szCs w:val="44"/>
          <w:highlight w:val="none"/>
          <w:u w:val="single"/>
        </w:rPr>
      </w:pPr>
      <w:r>
        <w:rPr>
          <w:rFonts w:hint="eastAsia"/>
          <w:color w:val="auto"/>
          <w:sz w:val="44"/>
          <w:szCs w:val="44"/>
          <w:highlight w:val="none"/>
        </w:rPr>
        <w:t>包    号：</w:t>
      </w:r>
      <w:r>
        <w:rPr>
          <w:rFonts w:hint="eastAsia"/>
          <w:color w:val="auto"/>
          <w:sz w:val="44"/>
          <w:szCs w:val="44"/>
          <w:highlight w:val="none"/>
          <w:u w:val="single"/>
        </w:rPr>
        <w:t xml:space="preserve">                         </w:t>
      </w:r>
    </w:p>
    <w:p w14:paraId="45F51ACD">
      <w:pPr>
        <w:rPr>
          <w:color w:val="auto"/>
          <w:highlight w:val="none"/>
        </w:rPr>
      </w:pPr>
    </w:p>
    <w:p w14:paraId="6711F8D8">
      <w:pPr>
        <w:snapToGrid w:val="0"/>
        <w:spacing w:line="360" w:lineRule="auto"/>
        <w:jc w:val="center"/>
        <w:rPr>
          <w:b/>
          <w:bCs/>
          <w:color w:val="auto"/>
          <w:sz w:val="36"/>
          <w:szCs w:val="36"/>
          <w:highlight w:val="none"/>
        </w:rPr>
      </w:pPr>
    </w:p>
    <w:p w14:paraId="37847686">
      <w:pPr>
        <w:ind w:firstLine="420" w:firstLineChars="200"/>
        <w:rPr>
          <w:color w:val="FF0000"/>
          <w:highlight w:val="none"/>
        </w:rPr>
      </w:pPr>
      <w:r>
        <w:rPr>
          <w:rFonts w:hint="eastAsia"/>
          <w:color w:val="FF0000"/>
          <w:highlight w:val="none"/>
        </w:rPr>
        <w:t xml:space="preserve">注意：1、合同由供应商填写完整，并加盖公章、骑缝章后，由学校具体采购单位经费负责人签字后，送到中北大学国有资产管理处审核。   </w:t>
      </w:r>
    </w:p>
    <w:p w14:paraId="6FC3B66A">
      <w:pPr>
        <w:ind w:firstLine="945" w:firstLineChars="450"/>
        <w:rPr>
          <w:color w:val="auto"/>
          <w:highlight w:val="none"/>
        </w:rPr>
      </w:pPr>
      <w:r>
        <w:rPr>
          <w:rFonts w:hint="eastAsia"/>
          <w:color w:val="FF0000"/>
          <w:highlight w:val="none"/>
        </w:rPr>
        <w:t>2、合同签订前，成交供应商应按照约定先缴纳履约保证金。</w:t>
      </w:r>
    </w:p>
    <w:p w14:paraId="4239E224">
      <w:pPr>
        <w:jc w:val="center"/>
        <w:rPr>
          <w:color w:val="auto"/>
          <w:highlight w:val="none"/>
        </w:rPr>
        <w:sectPr>
          <w:headerReference r:id="rId15" w:type="default"/>
          <w:footerReference r:id="rId16" w:type="default"/>
          <w:pgSz w:w="11906" w:h="16838"/>
          <w:pgMar w:top="1134" w:right="926" w:bottom="1134" w:left="1418" w:header="1020" w:footer="1020" w:gutter="0"/>
          <w:pgNumType w:fmt="decimal"/>
          <w:cols w:space="720" w:num="1"/>
          <w:docGrid w:type="lines" w:linePitch="312" w:charSpace="0"/>
        </w:sectPr>
      </w:pPr>
    </w:p>
    <w:p w14:paraId="03E04DB8">
      <w:pPr>
        <w:jc w:val="center"/>
        <w:rPr>
          <w:b/>
          <w:color w:val="auto"/>
          <w:sz w:val="36"/>
          <w:szCs w:val="36"/>
        </w:rPr>
      </w:pPr>
      <w:r>
        <w:rPr>
          <w:rFonts w:hint="eastAsia"/>
          <w:b/>
          <w:color w:val="auto"/>
          <w:sz w:val="36"/>
          <w:szCs w:val="36"/>
        </w:rPr>
        <w:t>中北大学服务采购合同</w:t>
      </w:r>
    </w:p>
    <w:p w14:paraId="4F123C3F">
      <w:pPr>
        <w:jc w:val="center"/>
        <w:rPr>
          <w:b/>
          <w:color w:val="auto"/>
          <w:sz w:val="36"/>
          <w:szCs w:val="36"/>
        </w:rPr>
      </w:pPr>
    </w:p>
    <w:p w14:paraId="099E23C4">
      <w:pPr>
        <w:ind w:firstLine="602" w:firstLineChars="200"/>
        <w:rPr>
          <w:b/>
          <w:color w:val="auto"/>
          <w:sz w:val="30"/>
          <w:szCs w:val="30"/>
        </w:rPr>
      </w:pPr>
      <w:r>
        <w:rPr>
          <w:rFonts w:hint="eastAsia"/>
          <w:b/>
          <w:color w:val="auto"/>
          <w:sz w:val="30"/>
          <w:szCs w:val="30"/>
        </w:rPr>
        <w:t>甲         方：中北大学</w:t>
      </w:r>
    </w:p>
    <w:p w14:paraId="12CED8BE">
      <w:pPr>
        <w:ind w:firstLine="602" w:firstLineChars="200"/>
        <w:rPr>
          <w:b/>
          <w:color w:val="auto"/>
          <w:sz w:val="30"/>
          <w:szCs w:val="30"/>
        </w:rPr>
      </w:pPr>
      <w:r>
        <w:rPr>
          <w:rFonts w:hint="eastAsia"/>
          <w:b/>
          <w:color w:val="auto"/>
          <w:sz w:val="30"/>
          <w:szCs w:val="30"/>
        </w:rPr>
        <w:t xml:space="preserve">乙         方： </w:t>
      </w:r>
    </w:p>
    <w:p w14:paraId="245DAFE4">
      <w:pPr>
        <w:ind w:firstLine="602" w:firstLineChars="200"/>
        <w:rPr>
          <w:b/>
          <w:color w:val="FF0000"/>
          <w:sz w:val="18"/>
          <w:szCs w:val="18"/>
        </w:rPr>
      </w:pPr>
      <w:r>
        <w:rPr>
          <w:rFonts w:hint="eastAsia"/>
          <w:b/>
          <w:color w:val="auto"/>
          <w:sz w:val="30"/>
          <w:szCs w:val="30"/>
        </w:rPr>
        <w:t>合  同  编 号：</w:t>
      </w:r>
      <w:r>
        <w:rPr>
          <w:rFonts w:hint="eastAsia"/>
          <w:b/>
          <w:color w:val="FF0000"/>
          <w:sz w:val="18"/>
          <w:szCs w:val="18"/>
        </w:rPr>
        <w:t>(</w:t>
      </w:r>
      <w:r>
        <w:rPr>
          <w:rFonts w:hint="eastAsia"/>
          <w:color w:val="FF0000"/>
          <w:sz w:val="18"/>
          <w:szCs w:val="18"/>
        </w:rPr>
        <w:t>说明：投标编号＋包号，例子：ZBDXGZC2015010401,此括号内容填写后删除</w:t>
      </w:r>
      <w:r>
        <w:rPr>
          <w:rFonts w:hint="eastAsia"/>
          <w:b/>
          <w:color w:val="FF0000"/>
          <w:sz w:val="18"/>
          <w:szCs w:val="18"/>
        </w:rPr>
        <w:t>)</w:t>
      </w:r>
    </w:p>
    <w:p w14:paraId="39318084">
      <w:pPr>
        <w:ind w:left="281" w:leftChars="134" w:firstLine="420" w:firstLineChars="150"/>
        <w:rPr>
          <w:color w:val="auto"/>
          <w:sz w:val="28"/>
          <w:szCs w:val="28"/>
        </w:rPr>
      </w:pPr>
      <w:r>
        <w:rPr>
          <w:rFonts w:hint="eastAsia"/>
          <w:color w:val="auto"/>
          <w:sz w:val="28"/>
          <w:szCs w:val="28"/>
        </w:rPr>
        <w:t>乙方在</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r>
        <w:rPr>
          <w:rFonts w:hint="eastAsia"/>
          <w:color w:val="auto"/>
          <w:sz w:val="30"/>
          <w:szCs w:val="30"/>
        </w:rPr>
        <w:t>由</w:t>
      </w:r>
      <w:r>
        <w:rPr>
          <w:rFonts w:hint="eastAsia"/>
          <w:color w:val="auto"/>
          <w:sz w:val="30"/>
          <w:szCs w:val="30"/>
          <w:u w:val="single"/>
        </w:rPr>
        <w:t xml:space="preserve">        </w:t>
      </w:r>
      <w:r>
        <w:rPr>
          <w:rFonts w:hint="eastAsia"/>
          <w:color w:val="FF0000"/>
          <w:szCs w:val="21"/>
        </w:rPr>
        <w:t>（采购代理公司名称，</w:t>
      </w:r>
      <w:r>
        <w:rPr>
          <w:rFonts w:hint="eastAsia"/>
          <w:color w:val="FF0000"/>
          <w:sz w:val="18"/>
          <w:szCs w:val="18"/>
        </w:rPr>
        <w:t>此括号内容填写后删除</w:t>
      </w:r>
      <w:r>
        <w:rPr>
          <w:rFonts w:hint="eastAsia"/>
          <w:color w:val="FF0000"/>
          <w:szCs w:val="21"/>
        </w:rPr>
        <w:t>）</w:t>
      </w:r>
      <w:r>
        <w:rPr>
          <w:rFonts w:hint="eastAsia"/>
          <w:color w:val="auto"/>
          <w:sz w:val="28"/>
          <w:szCs w:val="28"/>
        </w:rPr>
        <w:t>组织的采购项目中的第</w:t>
      </w:r>
      <w:r>
        <w:rPr>
          <w:rFonts w:hint="eastAsia"/>
          <w:color w:val="auto"/>
          <w:sz w:val="28"/>
          <w:szCs w:val="28"/>
          <w:u w:val="single"/>
        </w:rPr>
        <w:t xml:space="preserve">    </w:t>
      </w:r>
      <w:r>
        <w:rPr>
          <w:rFonts w:hint="eastAsia"/>
          <w:color w:val="auto"/>
          <w:sz w:val="28"/>
          <w:szCs w:val="28"/>
        </w:rPr>
        <w:t>包中标（成交），依据《中华人民共和国民法典》及其它有关法律、行政法规，遵循平等、自愿、公平和诚实信用的原则，双方就本项目协商一致，签订本合同。</w:t>
      </w:r>
    </w:p>
    <w:p w14:paraId="3B1C14C1">
      <w:pPr>
        <w:numPr>
          <w:ilvl w:val="0"/>
          <w:numId w:val="1"/>
        </w:numPr>
        <w:ind w:left="0" w:firstLine="0"/>
        <w:rPr>
          <w:b/>
          <w:color w:val="auto"/>
          <w:sz w:val="28"/>
          <w:szCs w:val="28"/>
        </w:rPr>
      </w:pPr>
      <w:r>
        <w:rPr>
          <w:rFonts w:hint="eastAsia"/>
          <w:b/>
          <w:color w:val="auto"/>
          <w:sz w:val="28"/>
          <w:szCs w:val="28"/>
        </w:rPr>
        <w:t>合同标的</w:t>
      </w:r>
    </w:p>
    <w:p w14:paraId="3F5510EC">
      <w:pPr>
        <w:spacing w:line="360" w:lineRule="auto"/>
        <w:ind w:firstLine="700" w:firstLineChars="250"/>
        <w:rPr>
          <w:color w:val="auto"/>
          <w:sz w:val="28"/>
          <w:szCs w:val="28"/>
        </w:rPr>
      </w:pPr>
      <w:r>
        <w:rPr>
          <w:rFonts w:hint="eastAsia"/>
          <w:color w:val="auto"/>
          <w:sz w:val="28"/>
          <w:szCs w:val="28"/>
        </w:rPr>
        <w:t>1、服务地点、时间和服务范围</w:t>
      </w:r>
    </w:p>
    <w:p w14:paraId="3D76FB49">
      <w:pPr>
        <w:spacing w:line="360" w:lineRule="auto"/>
        <w:ind w:firstLine="700" w:firstLineChars="250"/>
        <w:rPr>
          <w:rFonts w:hint="default" w:ascii="宋体" w:hAnsi="宋体" w:eastAsia="宋体" w:cs="宋体"/>
          <w:color w:val="auto"/>
          <w:sz w:val="28"/>
          <w:szCs w:val="28"/>
          <w:highlight w:val="none"/>
          <w:u w:val="single"/>
        </w:rPr>
      </w:pPr>
      <w:r>
        <w:rPr>
          <w:rFonts w:hint="eastAsia"/>
          <w:color w:val="auto"/>
          <w:sz w:val="28"/>
          <w:szCs w:val="28"/>
          <w:highlight w:val="none"/>
        </w:rPr>
        <w:t>合同履行地点：</w:t>
      </w:r>
      <w:r>
        <w:rPr>
          <w:rFonts w:hint="default" w:ascii="宋体" w:hAnsi="宋体" w:eastAsia="宋体" w:cs="宋体"/>
          <w:color w:val="auto"/>
          <w:sz w:val="28"/>
          <w:szCs w:val="28"/>
          <w:highlight w:val="none"/>
          <w:u w:val="single"/>
          <w:lang w:val="en-US" w:eastAsia="zh-CN"/>
        </w:rPr>
        <w:t xml:space="preserve">                   </w:t>
      </w:r>
    </w:p>
    <w:p w14:paraId="1892F949">
      <w:pPr>
        <w:spacing w:line="360" w:lineRule="auto"/>
        <w:ind w:firstLine="700" w:firstLineChars="250"/>
        <w:rPr>
          <w:rFonts w:hint="default" w:ascii="宋体" w:hAnsi="宋体" w:eastAsia="宋体" w:cs="宋体"/>
          <w:color w:val="auto"/>
          <w:sz w:val="28"/>
          <w:szCs w:val="28"/>
          <w:highlight w:val="none"/>
          <w:u w:val="single"/>
          <w:lang w:val="en-US" w:eastAsia="zh-CN"/>
        </w:rPr>
      </w:pPr>
      <w:r>
        <w:rPr>
          <w:rFonts w:hint="eastAsia"/>
          <w:color w:val="auto"/>
          <w:sz w:val="28"/>
          <w:szCs w:val="28"/>
          <w:highlight w:val="none"/>
        </w:rPr>
        <w:t>合同履行时间：</w:t>
      </w:r>
      <w:r>
        <w:rPr>
          <w:rFonts w:ascii="宋体" w:hAnsi="宋体" w:eastAsia="宋体" w:cs="宋体"/>
          <w:color w:val="auto"/>
          <w:sz w:val="28"/>
          <w:szCs w:val="28"/>
          <w:highlight w:val="none"/>
          <w:u w:val="single"/>
        </w:rPr>
        <w:t xml:space="preserve"> </w:t>
      </w:r>
      <w:r>
        <w:rPr>
          <w:rFonts w:hint="default" w:ascii="宋体" w:hAnsi="宋体" w:eastAsia="宋体" w:cs="宋体"/>
          <w:color w:val="auto"/>
          <w:sz w:val="28"/>
          <w:szCs w:val="28"/>
          <w:highlight w:val="none"/>
          <w:u w:val="single"/>
          <w:lang w:val="en-US" w:eastAsia="zh-CN"/>
        </w:rPr>
        <w:t xml:space="preserve">                  </w:t>
      </w:r>
    </w:p>
    <w:p w14:paraId="59723039">
      <w:pPr>
        <w:spacing w:line="360" w:lineRule="auto"/>
        <w:ind w:firstLine="700" w:firstLineChars="250"/>
        <w:rPr>
          <w:color w:val="auto"/>
          <w:sz w:val="28"/>
          <w:szCs w:val="28"/>
          <w:highlight w:val="none"/>
        </w:rPr>
      </w:pPr>
      <w:r>
        <w:rPr>
          <w:color w:val="auto"/>
          <w:sz w:val="28"/>
          <w:szCs w:val="28"/>
          <w:highlight w:val="none"/>
        </w:rPr>
        <w:t>2.合同履行的</w:t>
      </w:r>
      <w:r>
        <w:rPr>
          <w:rFonts w:hint="eastAsia"/>
          <w:color w:val="auto"/>
          <w:sz w:val="28"/>
          <w:szCs w:val="28"/>
          <w:highlight w:val="none"/>
        </w:rPr>
        <w:t>具体内容和标准：见产品清单，作为合同附件。</w:t>
      </w:r>
    </w:p>
    <w:p w14:paraId="0CB0D839">
      <w:pPr>
        <w:numPr>
          <w:ilvl w:val="0"/>
          <w:numId w:val="1"/>
        </w:numPr>
        <w:rPr>
          <w:b/>
          <w:color w:val="auto"/>
          <w:sz w:val="28"/>
          <w:szCs w:val="28"/>
          <w:highlight w:val="none"/>
        </w:rPr>
      </w:pPr>
      <w:r>
        <w:rPr>
          <w:rFonts w:hint="eastAsia"/>
          <w:b/>
          <w:color w:val="auto"/>
          <w:sz w:val="28"/>
          <w:szCs w:val="28"/>
          <w:highlight w:val="none"/>
        </w:rPr>
        <w:t>合同总金额</w:t>
      </w:r>
    </w:p>
    <w:p w14:paraId="7763AA31">
      <w:pPr>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1.定价方式：</w:t>
      </w:r>
      <w:r>
        <w:rPr>
          <w:rFonts w:ascii="Apple Color Emoji" w:hAnsi="Apple Color Emoji" w:eastAsia="宋体" w:cs="Apple Color Emoji"/>
          <w:color w:val="auto"/>
          <w:sz w:val="28"/>
          <w:szCs w:val="28"/>
          <w:highlight w:val="none"/>
        </w:rPr>
        <w:t>☑</w:t>
      </w:r>
      <w:r>
        <w:rPr>
          <w:rFonts w:hint="eastAsia" w:ascii="宋体" w:hAnsi="宋体" w:eastAsia="宋体" w:cs="宋体"/>
          <w:color w:val="auto"/>
          <w:sz w:val="28"/>
          <w:szCs w:val="28"/>
          <w:highlight w:val="none"/>
        </w:rPr>
        <w:t>固定总价</w:t>
      </w:r>
      <w:r>
        <w:rPr>
          <w:rFonts w:ascii="宋体" w:hAnsi="宋体" w:eastAsia="宋体" w:cs="宋体"/>
          <w:color w:val="auto"/>
          <w:sz w:val="28"/>
          <w:szCs w:val="28"/>
          <w:highlight w:val="none"/>
        </w:rPr>
        <w:t xml:space="preserve">     □固定单价   </w:t>
      </w:r>
    </w:p>
    <w:p w14:paraId="0009A963">
      <w:pPr>
        <w:spacing w:line="480" w:lineRule="exact"/>
        <w:ind w:firstLine="560" w:firstLineChars="200"/>
        <w:rPr>
          <w:rFonts w:hint="eastAsia" w:ascii="宋体" w:hAnsi="宋体" w:eastAsia="宋体" w:cs="宋体"/>
          <w:color w:val="auto"/>
          <w:sz w:val="28"/>
          <w:szCs w:val="28"/>
          <w:highlight w:val="none"/>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合同总金额（含税费用）：</w:t>
      </w:r>
    </w:p>
    <w:p w14:paraId="45850F70">
      <w:pPr>
        <w:spacing w:line="480" w:lineRule="exact"/>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p>
    <w:p w14:paraId="1CAE1C6C">
      <w:pPr>
        <w:spacing w:line="480" w:lineRule="exact"/>
        <w:ind w:firstLine="840" w:firstLineChars="3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小写：</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ascii="宋体" w:hAnsi="宋体" w:eastAsia="宋体" w:cs="宋体"/>
          <w:color w:val="auto"/>
          <w:sz w:val="28"/>
          <w:szCs w:val="28"/>
          <w:highlight w:val="none"/>
          <w:u w:val="single"/>
        </w:rPr>
        <w:t xml:space="preserve">  </w:t>
      </w:r>
    </w:p>
    <w:p w14:paraId="5E8521D1">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同总金额说明：本合同的履行涉及到硬件、软件和服务费用，所以合同费用包括乙方为完成本合同所产生的硬件、软件的费用以及软件使用费、维护升级费用、劳务费、差旅费、耗材费、售后服务费、税费等所有的费用。</w:t>
      </w:r>
    </w:p>
    <w:p w14:paraId="346F2CD0">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在合同履行的范围内中，不论因何种原因引起乙方履行合同成本的变动，乙方不得就本合同的履行向甲方主张任何其他的费用。</w:t>
      </w:r>
    </w:p>
    <w:p w14:paraId="2816F1E5">
      <w:pPr>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合同费用的支付：本合同费用分为三期支付给乙方。</w:t>
      </w:r>
    </w:p>
    <w:p w14:paraId="134A98DD">
      <w:pPr>
        <w:spacing w:line="480" w:lineRule="exact"/>
        <w:ind w:firstLine="562" w:firstLineChars="2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第一阶段：</w:t>
      </w:r>
    </w:p>
    <w:p w14:paraId="2FD71261">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首付款</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元（支付比例：合同总金额的40%）</w:t>
      </w:r>
    </w:p>
    <w:p w14:paraId="68E8E0A3">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支付条件：本合同正式生效后，乙方先已向甲方缴纳项目履约保证金（合同总金额的3%）,并提供开工报告。经甲方审核确认无误合规后的5个工作日内，完成本阶段款项支付。</w:t>
      </w:r>
    </w:p>
    <w:p w14:paraId="48FEBF68">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注：本阶段款项支付后，乙方应立即启动项目实施工作，确保项目按合同约定进度推进。</w:t>
      </w:r>
    </w:p>
    <w:p w14:paraId="7001CBB9">
      <w:pPr>
        <w:spacing w:line="480" w:lineRule="exact"/>
        <w:ind w:firstLine="562" w:firstLineChars="2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第二阶段：</w:t>
      </w:r>
    </w:p>
    <w:p w14:paraId="0FF17B56">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初验款</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元（支付比例：合同总金额的30%）</w:t>
      </w:r>
    </w:p>
    <w:p w14:paraId="3E1540EC">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支付条件：项目按照服务内容清单开发、实施完成，乙方完成内部自检并达到合同约定的初验标准后，向甲方提交初验申请及相关资料，甲方按照内部规章制度的要求组织双方技术团队开展初验，初验合格并签署《项目初验报告》后，满足以下条件，甲方在确认初验合格、资料齐全后的7个工作日内，完成本阶段款项支付。</w:t>
      </w:r>
    </w:p>
    <w:p w14:paraId="50687DCB">
      <w:pPr>
        <w:spacing w:line="4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1.初验通过，《项目初验报告》经双方签字盖章确认，明确项目基础功能完整、核心性能达标，如存在非核心功能的轻微缺陷需明确整改清单及整改时限</w:t>
      </w:r>
      <w:r>
        <w:rPr>
          <w:rFonts w:hint="eastAsia" w:ascii="宋体" w:hAnsi="宋体" w:eastAsia="宋体" w:cs="宋体"/>
          <w:color w:val="auto"/>
          <w:sz w:val="28"/>
          <w:szCs w:val="28"/>
          <w:highlight w:val="none"/>
          <w:lang w:eastAsia="zh-CN"/>
        </w:rPr>
        <w:t>；</w:t>
      </w:r>
    </w:p>
    <w:p w14:paraId="53AEA957">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2.乙方已按初验意见提交整改方案，承诺在约定时限内完成整改。</w:t>
      </w:r>
    </w:p>
    <w:p w14:paraId="6EA34B37">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备注：初验仅作为项目阶段性成果确认，《项目初验报告》仅作为本阶段付款凭证，不具备项目完结的法律效力，乙方需按整改方案完成优化，确保达到终验标准。</w:t>
      </w:r>
    </w:p>
    <w:p w14:paraId="09896A4E">
      <w:pPr>
        <w:spacing w:line="48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第三阶段：</w:t>
      </w:r>
    </w:p>
    <w:p w14:paraId="31FD9F75">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终验款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元（支付比例：合同总金额的30%）</w:t>
      </w:r>
    </w:p>
    <w:p w14:paraId="6D8AD4DF">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支付条件：</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完成初验整改事项，</w:t>
      </w:r>
      <w:r>
        <w:rPr>
          <w:rFonts w:hint="eastAsia" w:ascii="宋体" w:hAnsi="宋体" w:eastAsia="宋体" w:cs="宋体"/>
          <w:color w:val="auto"/>
          <w:sz w:val="28"/>
          <w:szCs w:val="28"/>
          <w:highlight w:val="none"/>
          <w:lang w:val="en-US" w:eastAsia="zh-CN"/>
        </w:rPr>
        <w:t>经甲方确认后项目进入试运行期（试运行期不少于90个日历天，具体时长双方可另行约定），试运行期间系统运行稳定、符合合同约定的全部功能及性能要求，乙方提交终验申请及全套验收资料，甲方按照内部规章制度的要求组织多部门联合验收，终验合格并签署《项目终验报告》后，满足以下条件，甲方在确认终验合格、资料齐全、交接完成后的10个工作日内，完成本阶段款项支付。</w:t>
      </w:r>
    </w:p>
    <w:p w14:paraId="08E34E7A">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1.终验通过，《项目终验报告》经双方签字盖章确认，明确项目全面符合合同约定及相关行业标准，无未整改缺陷；</w:t>
      </w:r>
    </w:p>
    <w:p w14:paraId="760A4F63">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已向</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提交全套交付资料（包括但不限于系统架构图、操作手册、运维手册、API接口文档、测试报告等）；</w:t>
      </w:r>
    </w:p>
    <w:p w14:paraId="6B8C67C2">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已按照</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的要求开具合法有效的等额增值税专用发票（合同总金额的100%）；</w:t>
      </w:r>
    </w:p>
    <w:p w14:paraId="78A636D2">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4.双方完成项目交接手续，明确项目交付范围及后续运维责任。</w:t>
      </w:r>
    </w:p>
    <w:p w14:paraId="3B8C369B">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备注：《项目终验报告》签署后，项目进入硬件质保期及软件</w:t>
      </w:r>
      <w:r>
        <w:rPr>
          <w:rFonts w:hint="eastAsia" w:ascii="宋体" w:hAnsi="宋体" w:eastAsia="宋体" w:cs="宋体"/>
          <w:color w:val="auto"/>
          <w:sz w:val="28"/>
          <w:szCs w:val="28"/>
          <w:highlight w:val="none"/>
        </w:rPr>
        <w:t>维保期</w:t>
      </w:r>
      <w:r>
        <w:rPr>
          <w:rFonts w:hint="eastAsia" w:ascii="宋体" w:hAnsi="宋体" w:eastAsia="宋体" w:cs="宋体"/>
          <w:color w:val="auto"/>
          <w:sz w:val="28"/>
          <w:szCs w:val="28"/>
          <w:highlight w:val="none"/>
          <w:lang w:val="en-US" w:eastAsia="zh-CN"/>
        </w:rPr>
        <w:t>，供应商需按本合同约定履行质保、维保义务。</w:t>
      </w:r>
    </w:p>
    <w:p w14:paraId="6DF86DEF">
      <w:pPr>
        <w:spacing w:line="480" w:lineRule="exact"/>
        <w:ind w:firstLine="562" w:firstLineChars="2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履约保证金退还阶段：</w:t>
      </w:r>
    </w:p>
    <w:p w14:paraId="6E9E69F3">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退还履约保证金</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元（合同总金额的3%）</w:t>
      </w:r>
    </w:p>
    <w:p w14:paraId="243D1C3F">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退还条件：本合同硬件质保期及软件维保期届满后，且满足以下全部条件，</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在确</w:t>
      </w:r>
      <w:r>
        <w:rPr>
          <w:rFonts w:hint="eastAsia" w:ascii="宋体" w:hAnsi="宋体" w:eastAsia="宋体" w:cs="宋体"/>
          <w:color w:val="auto"/>
          <w:sz w:val="28"/>
          <w:szCs w:val="28"/>
          <w:highlight w:val="none"/>
          <w:lang w:val="en-US" w:eastAsia="zh-CN"/>
        </w:rPr>
        <w:t>认硬件质保期及软件维保期届满</w:t>
      </w:r>
      <w:r>
        <w:rPr>
          <w:rFonts w:hint="eastAsia" w:ascii="宋体" w:hAnsi="宋体" w:eastAsia="宋体" w:cs="宋体"/>
          <w:color w:val="auto"/>
          <w:sz w:val="28"/>
          <w:szCs w:val="28"/>
          <w:highlight w:val="none"/>
        </w:rPr>
        <w:t>、无任何未解决问题、资料齐全后的15个工作日内，无息退还履约保证金。</w:t>
      </w:r>
    </w:p>
    <w:p w14:paraId="2B3F339B">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1.自《项目</w:t>
      </w:r>
      <w:r>
        <w:rPr>
          <w:rFonts w:hint="eastAsia" w:ascii="宋体" w:hAnsi="宋体" w:eastAsia="宋体" w:cs="宋体"/>
          <w:color w:val="auto"/>
          <w:sz w:val="28"/>
          <w:szCs w:val="28"/>
          <w:highlight w:val="none"/>
          <w:lang w:val="en-US" w:eastAsia="zh-CN"/>
        </w:rPr>
        <w:t>终验</w:t>
      </w:r>
      <w:r>
        <w:rPr>
          <w:rFonts w:hint="eastAsia" w:ascii="宋体" w:hAnsi="宋体" w:eastAsia="宋体" w:cs="宋体"/>
          <w:color w:val="auto"/>
          <w:sz w:val="28"/>
          <w:szCs w:val="28"/>
          <w:highlight w:val="none"/>
        </w:rPr>
        <w:t>报告》签署之日起计算，开始进入硬件质保期和软件维保期；</w:t>
      </w:r>
    </w:p>
    <w:p w14:paraId="3DF64D45">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2.在硬件质保期和软件维保期内，</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已按合同约定履行</w:t>
      </w:r>
      <w:r>
        <w:rPr>
          <w:rFonts w:hint="eastAsia" w:ascii="宋体" w:hAnsi="宋体" w:eastAsia="宋体" w:cs="宋体"/>
          <w:color w:val="auto"/>
          <w:sz w:val="28"/>
          <w:szCs w:val="28"/>
          <w:highlight w:val="none"/>
          <w:lang w:val="en-US" w:eastAsia="zh-CN"/>
        </w:rPr>
        <w:t>硬件质保义务和软件</w:t>
      </w:r>
      <w:r>
        <w:rPr>
          <w:rFonts w:hint="eastAsia" w:ascii="宋体" w:hAnsi="宋体" w:eastAsia="宋体" w:cs="宋体"/>
          <w:color w:val="auto"/>
          <w:sz w:val="28"/>
          <w:szCs w:val="28"/>
          <w:highlight w:val="none"/>
        </w:rPr>
        <w:t>维保义务，及时处理项目出现的质量问题，无</w:t>
      </w:r>
      <w:r>
        <w:rPr>
          <w:rFonts w:hint="eastAsia" w:ascii="宋体" w:hAnsi="宋体" w:eastAsia="宋体" w:cs="宋体"/>
          <w:color w:val="auto"/>
          <w:sz w:val="28"/>
          <w:szCs w:val="28"/>
          <w:highlight w:val="none"/>
          <w:lang w:val="en-US" w:eastAsia="zh-CN"/>
        </w:rPr>
        <w:t>重大质量缺陷</w:t>
      </w:r>
      <w:r>
        <w:rPr>
          <w:rFonts w:hint="eastAsia" w:ascii="宋体" w:hAnsi="宋体" w:eastAsia="宋体" w:cs="宋体"/>
          <w:color w:val="auto"/>
          <w:sz w:val="28"/>
          <w:szCs w:val="28"/>
          <w:highlight w:val="none"/>
        </w:rPr>
        <w:t>，或虽有轻微缺陷但已及时整改完毕，</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无未解决的合理异议。</w:t>
      </w:r>
    </w:p>
    <w:p w14:paraId="03B95E21">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备注：若在硬件质保期或软件维保期内出现质量问题，乙方未按约定及时整改或整改后仍未达标，</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有权按照合同的约定要求</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承担责任。</w:t>
      </w:r>
    </w:p>
    <w:p w14:paraId="06EFE27E">
      <w:pPr>
        <w:spacing w:line="48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三、售后服务承诺及业务考核</w:t>
      </w:r>
    </w:p>
    <w:p w14:paraId="3BD0BD43">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乙方就本次交付的服务的售后服务向甲方做出如下承诺：</w:t>
      </w:r>
    </w:p>
    <w:p w14:paraId="51F983BD">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（请乙方严格按照投标文件或谈判响应文件所做售后服务承诺填写）</w:t>
      </w:r>
    </w:p>
    <w:p w14:paraId="6C3FBFAD">
      <w:pPr>
        <w:adjustRightInd w:val="0"/>
        <w:snapToGrid w:val="0"/>
        <w:spacing w:line="480" w:lineRule="exact"/>
        <w:ind w:firstLine="562" w:firstLineChars="200"/>
        <w:rPr>
          <w:rStyle w:val="29"/>
          <w:rFonts w:ascii="宋体" w:hAnsi="宋体" w:cs="宋体"/>
          <w:b/>
          <w:color w:val="auto"/>
          <w:sz w:val="28"/>
          <w:szCs w:val="28"/>
          <w:highlight w:val="none"/>
        </w:rPr>
      </w:pPr>
      <w:r>
        <w:rPr>
          <w:rFonts w:hint="eastAsia" w:ascii="宋体" w:hAnsi="宋体" w:eastAsia="宋体" w:cs="宋体"/>
          <w:b/>
          <w:color w:val="auto"/>
          <w:sz w:val="28"/>
          <w:szCs w:val="28"/>
          <w:highlight w:val="none"/>
        </w:rPr>
        <w:t>四、</w:t>
      </w:r>
      <w:r>
        <w:rPr>
          <w:rStyle w:val="29"/>
          <w:rFonts w:hint="eastAsia" w:ascii="宋体" w:hAnsi="宋体" w:cs="宋体"/>
          <w:b/>
          <w:color w:val="auto"/>
          <w:sz w:val="28"/>
          <w:szCs w:val="28"/>
          <w:highlight w:val="none"/>
        </w:rPr>
        <w:t>合同验收</w:t>
      </w:r>
    </w:p>
    <w:p w14:paraId="64A93DC4">
      <w:pPr>
        <w:spacing w:line="480" w:lineRule="exact"/>
        <w:ind w:firstLine="560" w:firstLineChars="200"/>
        <w:rPr>
          <w:rFonts w:ascii="宋体" w:hAnsi="宋体" w:eastAsia="宋体" w:cs="宋体"/>
          <w:color w:val="auto"/>
          <w:sz w:val="28"/>
          <w:szCs w:val="28"/>
          <w:highlight w:val="none"/>
          <w:u w:val="single"/>
        </w:rPr>
      </w:pPr>
      <w:r>
        <w:rPr>
          <w:rFonts w:ascii="宋体" w:hAnsi="宋体" w:eastAsia="宋体" w:cs="宋体"/>
          <w:color w:val="auto"/>
          <w:sz w:val="28"/>
          <w:szCs w:val="28"/>
          <w:highlight w:val="none"/>
        </w:rPr>
        <w:t>1.验收主体：</w:t>
      </w:r>
      <w:r>
        <w:rPr>
          <w:rFonts w:ascii="宋体" w:hAnsi="宋体" w:eastAsia="宋体" w:cs="宋体"/>
          <w:color w:val="auto"/>
          <w:sz w:val="28"/>
          <w:szCs w:val="28"/>
          <w:highlight w:val="none"/>
          <w:u w:val="single"/>
        </w:rPr>
        <w:t xml:space="preserve"> 中北大学 </w:t>
      </w:r>
    </w:p>
    <w:p w14:paraId="4BB37406">
      <w:pPr>
        <w:widowControl/>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2.验收方式：</w:t>
      </w:r>
      <w:r>
        <w:rPr>
          <w:rFonts w:hint="eastAsia" w:ascii="宋体" w:hAnsi="宋体" w:eastAsia="宋体" w:cs="宋体"/>
          <w:color w:val="auto"/>
          <w:sz w:val="28"/>
          <w:szCs w:val="28"/>
          <w:highlight w:val="none"/>
          <w:u w:val="single"/>
        </w:rPr>
        <w:t>按照合同的约定分期进行验收</w:t>
      </w:r>
    </w:p>
    <w:p w14:paraId="3E76F2A1">
      <w:pPr>
        <w:widowControl/>
        <w:spacing w:line="480" w:lineRule="exact"/>
        <w:ind w:firstLine="560" w:firstLineChars="200"/>
        <w:rPr>
          <w:rFonts w:ascii="宋体" w:hAnsi="宋体" w:eastAsia="宋体" w:cs="宋体"/>
          <w:color w:val="auto"/>
          <w:sz w:val="28"/>
          <w:szCs w:val="28"/>
          <w:highlight w:val="none"/>
          <w:u w:val="single"/>
        </w:rPr>
      </w:pPr>
      <w:r>
        <w:rPr>
          <w:rFonts w:ascii="宋体" w:hAnsi="宋体" w:eastAsia="宋体" w:cs="宋体"/>
          <w:color w:val="auto"/>
          <w:sz w:val="28"/>
          <w:szCs w:val="28"/>
          <w:highlight w:val="none"/>
        </w:rPr>
        <w:t>3.验收内容：</w:t>
      </w:r>
      <w:r>
        <w:rPr>
          <w:rFonts w:hint="eastAsia" w:ascii="宋体" w:hAnsi="宋体" w:eastAsia="宋体" w:cs="宋体"/>
          <w:color w:val="auto"/>
          <w:sz w:val="28"/>
          <w:szCs w:val="28"/>
          <w:highlight w:val="none"/>
          <w:u w:val="single"/>
        </w:rPr>
        <w:t>根据采购文件（包括响应文件）、合同的约定、乙方的售后服务承诺及要求进行验收</w:t>
      </w:r>
    </w:p>
    <w:p w14:paraId="7446EC44">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4.验收标准：</w:t>
      </w:r>
    </w:p>
    <w:p w14:paraId="277E765E">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val="en-US" w:eastAsia="zh-CN"/>
        </w:rPr>
        <w:t>该标准适用于项目初验及终验等各阶段，</w:t>
      </w:r>
      <w:r>
        <w:rPr>
          <w:rFonts w:hint="eastAsia" w:ascii="宋体" w:hAnsi="宋体" w:eastAsia="宋体" w:cs="宋体"/>
          <w:color w:val="auto"/>
          <w:sz w:val="28"/>
          <w:szCs w:val="28"/>
          <w:highlight w:val="none"/>
          <w:u w:val="single"/>
        </w:rPr>
        <w:t>验收标准如下：</w:t>
      </w:r>
    </w:p>
    <w:p w14:paraId="1FE3AF3D">
      <w:pPr>
        <w:widowControl/>
        <w:spacing w:line="480" w:lineRule="exact"/>
        <w:ind w:firstLine="560" w:firstLineChars="200"/>
        <w:rPr>
          <w:rFonts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u w:val="single"/>
          <w:lang w:bidi="ar"/>
        </w:rPr>
        <w:t>稳定性指标：试运行期间，系统核心业务接口可用率达到</w:t>
      </w:r>
      <w:r>
        <w:rPr>
          <w:rFonts w:ascii="宋体" w:hAnsi="宋体" w:eastAsia="宋体" w:cs="宋体"/>
          <w:color w:val="auto"/>
          <w:sz w:val="28"/>
          <w:szCs w:val="28"/>
          <w:highlight w:val="none"/>
          <w:u w:val="single"/>
          <w:lang w:bidi="ar"/>
        </w:rPr>
        <w:t>99.99%</w:t>
      </w:r>
      <w:r>
        <w:rPr>
          <w:rFonts w:hint="eastAsia" w:ascii="宋体" w:hAnsi="宋体" w:eastAsia="宋体" w:cs="宋体"/>
          <w:color w:val="auto"/>
          <w:sz w:val="28"/>
          <w:szCs w:val="28"/>
          <w:highlight w:val="none"/>
          <w:u w:val="single"/>
          <w:lang w:bidi="ar"/>
        </w:rPr>
        <w:t>，无突发性宕机或严重功能错误。</w:t>
      </w:r>
    </w:p>
    <w:p w14:paraId="7CC686BB">
      <w:pPr>
        <w:widowControl/>
        <w:spacing w:line="480" w:lineRule="exact"/>
        <w:ind w:firstLine="560" w:firstLineChars="200"/>
        <w:rPr>
          <w:rFonts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u w:val="single"/>
          <w:lang w:bidi="ar"/>
        </w:rPr>
        <w:t>响应速度指标：在模拟生产数据量下，核心交易响应时间≤</w:t>
      </w:r>
      <w:r>
        <w:rPr>
          <w:rFonts w:ascii="宋体" w:hAnsi="宋体" w:eastAsia="宋体" w:cs="宋体"/>
          <w:color w:val="auto"/>
          <w:sz w:val="28"/>
          <w:szCs w:val="28"/>
          <w:highlight w:val="none"/>
          <w:u w:val="single"/>
          <w:lang w:bidi="ar"/>
        </w:rPr>
        <w:t>1.5秒</w:t>
      </w:r>
      <w:r>
        <w:rPr>
          <w:rFonts w:hint="eastAsia" w:ascii="宋体" w:hAnsi="宋体" w:eastAsia="宋体" w:cs="宋体"/>
          <w:color w:val="auto"/>
          <w:sz w:val="28"/>
          <w:szCs w:val="28"/>
          <w:highlight w:val="none"/>
          <w:u w:val="single"/>
          <w:lang w:bidi="ar"/>
        </w:rPr>
        <w:t>，列表查询响应时间≤</w:t>
      </w:r>
      <w:r>
        <w:rPr>
          <w:rFonts w:ascii="宋体" w:hAnsi="宋体" w:eastAsia="宋体" w:cs="宋体"/>
          <w:color w:val="auto"/>
          <w:sz w:val="28"/>
          <w:szCs w:val="28"/>
          <w:highlight w:val="none"/>
          <w:u w:val="single"/>
          <w:lang w:bidi="ar"/>
        </w:rPr>
        <w:t>2秒。</w:t>
      </w:r>
    </w:p>
    <w:p w14:paraId="672BB063">
      <w:pPr>
        <w:widowControl/>
        <w:spacing w:line="480" w:lineRule="exact"/>
        <w:ind w:firstLine="560" w:firstLineChars="200"/>
        <w:rPr>
          <w:rFonts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u w:val="single"/>
          <w:lang w:bidi="ar"/>
        </w:rPr>
        <w:t>数据准确率：试运行期间数据流转、计算结果的准确率≥</w:t>
      </w:r>
      <w:r>
        <w:rPr>
          <w:rFonts w:ascii="宋体" w:hAnsi="宋体" w:eastAsia="宋体" w:cs="宋体"/>
          <w:color w:val="auto"/>
          <w:sz w:val="28"/>
          <w:szCs w:val="28"/>
          <w:highlight w:val="none"/>
          <w:u w:val="single"/>
          <w:lang w:bidi="ar"/>
        </w:rPr>
        <w:t>99.9%</w:t>
      </w:r>
      <w:r>
        <w:rPr>
          <w:rFonts w:hint="eastAsia" w:ascii="宋体" w:hAnsi="宋体" w:eastAsia="宋体" w:cs="宋体"/>
          <w:color w:val="auto"/>
          <w:sz w:val="28"/>
          <w:szCs w:val="28"/>
          <w:highlight w:val="none"/>
          <w:u w:val="single"/>
          <w:lang w:bidi="ar"/>
        </w:rPr>
        <w:t>，需提供数据对账报告。</w:t>
      </w:r>
    </w:p>
    <w:p w14:paraId="121ABAEE">
      <w:pPr>
        <w:widowControl/>
        <w:spacing w:line="480" w:lineRule="exact"/>
        <w:ind w:firstLine="560" w:firstLineChars="200"/>
        <w:rPr>
          <w:rFonts w:ascii="宋体" w:hAnsi="宋体" w:eastAsia="宋体" w:cs="宋体"/>
          <w:color w:val="auto"/>
          <w:sz w:val="28"/>
          <w:szCs w:val="28"/>
          <w:highlight w:val="none"/>
          <w:u w:val="single"/>
          <w:lang w:bidi="ar"/>
        </w:rPr>
      </w:pPr>
      <w:r>
        <w:rPr>
          <w:rFonts w:ascii="宋体" w:hAnsi="宋体" w:eastAsia="宋体" w:cs="宋体"/>
          <w:color w:val="auto"/>
          <w:sz w:val="28"/>
          <w:szCs w:val="28"/>
          <w:highlight w:val="none"/>
          <w:u w:val="single"/>
          <w:lang w:bidi="ar"/>
        </w:rPr>
        <w:t xml:space="preserve">UAT </w:t>
      </w:r>
      <w:r>
        <w:rPr>
          <w:rFonts w:hint="eastAsia" w:ascii="宋体" w:hAnsi="宋体" w:eastAsia="宋体" w:cs="宋体"/>
          <w:color w:val="auto"/>
          <w:sz w:val="28"/>
          <w:szCs w:val="28"/>
          <w:highlight w:val="none"/>
          <w:u w:val="single"/>
          <w:lang w:bidi="ar"/>
        </w:rPr>
        <w:t>验收通过率：完成用户验收测试（</w:t>
      </w:r>
      <w:r>
        <w:rPr>
          <w:rFonts w:ascii="宋体" w:hAnsi="宋体" w:eastAsia="宋体" w:cs="宋体"/>
          <w:color w:val="auto"/>
          <w:sz w:val="28"/>
          <w:szCs w:val="28"/>
          <w:highlight w:val="none"/>
          <w:u w:val="single"/>
          <w:lang w:bidi="ar"/>
        </w:rPr>
        <w:t>UAT），</w:t>
      </w:r>
      <w:r>
        <w:rPr>
          <w:rFonts w:hint="eastAsia" w:ascii="宋体" w:hAnsi="宋体" w:eastAsia="宋体" w:cs="宋体"/>
          <w:color w:val="auto"/>
          <w:sz w:val="28"/>
          <w:szCs w:val="28"/>
          <w:highlight w:val="none"/>
          <w:u w:val="single"/>
          <w:lang w:bidi="ar"/>
        </w:rPr>
        <w:t>测试用例通过率</w:t>
      </w:r>
      <w:r>
        <w:rPr>
          <w:rFonts w:ascii="宋体" w:hAnsi="宋体" w:eastAsia="宋体" w:cs="宋体"/>
          <w:color w:val="auto"/>
          <w:sz w:val="28"/>
          <w:szCs w:val="28"/>
          <w:highlight w:val="none"/>
          <w:u w:val="single"/>
          <w:lang w:bidi="ar"/>
        </w:rPr>
        <w:t>100%</w:t>
      </w:r>
      <w:r>
        <w:rPr>
          <w:rFonts w:hint="eastAsia" w:ascii="宋体" w:hAnsi="宋体" w:eastAsia="宋体" w:cs="宋体"/>
          <w:color w:val="auto"/>
          <w:sz w:val="28"/>
          <w:szCs w:val="28"/>
          <w:highlight w:val="none"/>
          <w:u w:val="single"/>
          <w:lang w:bidi="ar"/>
        </w:rPr>
        <w:t>，用户签字确认无遗留重大缺陷。</w:t>
      </w:r>
    </w:p>
    <w:p w14:paraId="268204B2">
      <w:pPr>
        <w:widowControl/>
        <w:spacing w:line="480" w:lineRule="exact"/>
        <w:ind w:firstLine="560" w:firstLineChars="200"/>
        <w:rPr>
          <w:rFonts w:hint="eastAsia"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u w:val="single"/>
          <w:lang w:bidi="ar"/>
        </w:rPr>
        <w:t>运维文档交付：试运行</w:t>
      </w:r>
      <w:r>
        <w:rPr>
          <w:rFonts w:hint="eastAsia" w:ascii="宋体" w:hAnsi="宋体" w:eastAsia="宋体" w:cs="宋体"/>
          <w:color w:val="auto"/>
          <w:sz w:val="28"/>
          <w:szCs w:val="28"/>
          <w:highlight w:val="none"/>
          <w:u w:val="single"/>
          <w:lang w:val="en-US" w:eastAsia="zh-CN" w:bidi="ar"/>
        </w:rPr>
        <w:t>开始前</w:t>
      </w:r>
      <w:r>
        <w:rPr>
          <w:rFonts w:hint="eastAsia" w:ascii="宋体" w:hAnsi="宋体" w:eastAsia="宋体" w:cs="宋体"/>
          <w:color w:val="auto"/>
          <w:sz w:val="28"/>
          <w:szCs w:val="28"/>
          <w:highlight w:val="none"/>
          <w:u w:val="single"/>
          <w:lang w:bidi="ar"/>
        </w:rPr>
        <w:t>，</w:t>
      </w:r>
      <w:r>
        <w:rPr>
          <w:rFonts w:hint="eastAsia" w:ascii="宋体" w:hAnsi="宋体" w:eastAsia="宋体" w:cs="宋体"/>
          <w:color w:val="auto"/>
          <w:sz w:val="28"/>
          <w:szCs w:val="28"/>
          <w:highlight w:val="none"/>
          <w:u w:val="single"/>
          <w:lang w:val="en-US" w:eastAsia="zh-CN" w:bidi="ar"/>
        </w:rPr>
        <w:t>乙方</w:t>
      </w:r>
      <w:r>
        <w:rPr>
          <w:rFonts w:hint="eastAsia" w:ascii="宋体" w:hAnsi="宋体" w:eastAsia="宋体" w:cs="宋体"/>
          <w:color w:val="auto"/>
          <w:sz w:val="28"/>
          <w:szCs w:val="28"/>
          <w:highlight w:val="none"/>
          <w:u w:val="single"/>
          <w:lang w:bidi="ar"/>
        </w:rPr>
        <w:t>必须</w:t>
      </w:r>
      <w:r>
        <w:rPr>
          <w:rFonts w:hint="eastAsia" w:ascii="宋体" w:hAnsi="宋体" w:eastAsia="宋体" w:cs="宋体"/>
          <w:color w:val="auto"/>
          <w:sz w:val="28"/>
          <w:szCs w:val="28"/>
          <w:highlight w:val="none"/>
          <w:u w:val="single"/>
          <w:lang w:val="en-US" w:eastAsia="zh-CN" w:bidi="ar"/>
        </w:rPr>
        <w:t>向甲方</w:t>
      </w:r>
      <w:r>
        <w:rPr>
          <w:rFonts w:hint="eastAsia" w:ascii="宋体" w:hAnsi="宋体" w:eastAsia="宋体" w:cs="宋体"/>
          <w:color w:val="auto"/>
          <w:sz w:val="28"/>
          <w:szCs w:val="28"/>
          <w:highlight w:val="none"/>
          <w:u w:val="single"/>
          <w:lang w:bidi="ar"/>
        </w:rPr>
        <w:t>完整交付《运维手册》、《常见故障排查指南》及《系统架构说明书》，项目源代码产权归</w:t>
      </w:r>
      <w:r>
        <w:rPr>
          <w:rFonts w:hint="eastAsia" w:ascii="宋体" w:hAnsi="宋体" w:eastAsia="宋体" w:cs="宋体"/>
          <w:color w:val="auto"/>
          <w:sz w:val="28"/>
          <w:szCs w:val="28"/>
          <w:highlight w:val="none"/>
          <w:u w:val="single"/>
          <w:lang w:val="en-US" w:eastAsia="zh-CN" w:bidi="ar"/>
        </w:rPr>
        <w:t>甲方</w:t>
      </w:r>
      <w:r>
        <w:rPr>
          <w:rFonts w:hint="eastAsia" w:ascii="宋体" w:hAnsi="宋体" w:eastAsia="宋体" w:cs="宋体"/>
          <w:color w:val="auto"/>
          <w:sz w:val="28"/>
          <w:szCs w:val="28"/>
          <w:highlight w:val="none"/>
          <w:u w:val="single"/>
          <w:lang w:bidi="ar"/>
        </w:rPr>
        <w:t>，确保交付物齐全。</w:t>
      </w:r>
    </w:p>
    <w:p w14:paraId="760569AC">
      <w:pPr>
        <w:widowControl/>
        <w:spacing w:line="480" w:lineRule="exact"/>
        <w:ind w:firstLine="560" w:firstLineChars="200"/>
        <w:rPr>
          <w:rFonts w:ascii="宋体" w:hAnsi="宋体" w:eastAsia="宋体" w:cs="宋体"/>
          <w:color w:val="auto"/>
          <w:sz w:val="28"/>
          <w:szCs w:val="28"/>
          <w:highlight w:val="none"/>
          <w:u w:val="single"/>
          <w:lang w:bidi="ar"/>
        </w:rPr>
      </w:pPr>
      <w:r>
        <w:rPr>
          <w:rFonts w:ascii="宋体" w:hAnsi="宋体" w:eastAsia="宋体" w:cs="宋体"/>
          <w:color w:val="auto"/>
          <w:sz w:val="28"/>
          <w:szCs w:val="28"/>
          <w:highlight w:val="none"/>
          <w:u w:val="single"/>
          <w:lang w:bidi="ar"/>
        </w:rPr>
        <w:t>5.</w:t>
      </w:r>
      <w:r>
        <w:rPr>
          <w:rFonts w:hint="eastAsia" w:ascii="宋体" w:hAnsi="宋体" w:eastAsia="宋体" w:cs="宋体"/>
          <w:color w:val="auto"/>
          <w:sz w:val="28"/>
          <w:szCs w:val="28"/>
          <w:highlight w:val="none"/>
          <w:u w:val="single"/>
          <w:lang w:bidi="ar"/>
        </w:rPr>
        <w:t>验收期限：甲方应于乙方提交验收申请后15个工作日内</w:t>
      </w:r>
      <w:r>
        <w:rPr>
          <w:rFonts w:hint="eastAsia" w:ascii="宋体" w:hAnsi="宋体" w:eastAsia="宋体" w:cs="宋体"/>
          <w:color w:val="auto"/>
          <w:sz w:val="28"/>
          <w:szCs w:val="28"/>
          <w:highlight w:val="none"/>
          <w:u w:val="single"/>
          <w:lang w:val="en-US" w:eastAsia="zh-CN" w:bidi="ar"/>
        </w:rPr>
        <w:t>开始</w:t>
      </w:r>
      <w:r>
        <w:rPr>
          <w:rFonts w:hint="eastAsia" w:ascii="宋体" w:hAnsi="宋体" w:eastAsia="宋体" w:cs="宋体"/>
          <w:color w:val="auto"/>
          <w:sz w:val="28"/>
          <w:szCs w:val="28"/>
          <w:highlight w:val="none"/>
          <w:u w:val="single"/>
          <w:lang w:bidi="ar"/>
        </w:rPr>
        <w:t>验收</w:t>
      </w:r>
      <w:r>
        <w:rPr>
          <w:rFonts w:hint="eastAsia" w:ascii="宋体" w:hAnsi="宋体" w:eastAsia="宋体" w:cs="宋体"/>
          <w:color w:val="auto"/>
          <w:sz w:val="28"/>
          <w:szCs w:val="28"/>
          <w:highlight w:val="none"/>
          <w:u w:val="single"/>
          <w:lang w:val="en-US" w:eastAsia="zh-CN" w:bidi="ar"/>
        </w:rPr>
        <w:t>工作</w:t>
      </w:r>
      <w:r>
        <w:rPr>
          <w:rFonts w:hint="eastAsia" w:ascii="宋体" w:hAnsi="宋体" w:eastAsia="宋体" w:cs="宋体"/>
          <w:color w:val="auto"/>
          <w:sz w:val="28"/>
          <w:szCs w:val="28"/>
          <w:highlight w:val="none"/>
          <w:u w:val="single"/>
          <w:lang w:eastAsia="zh-CN" w:bidi="ar"/>
        </w:rPr>
        <w:t>。</w:t>
      </w:r>
      <w:r>
        <w:rPr>
          <w:rFonts w:hint="eastAsia" w:ascii="宋体" w:hAnsi="宋体" w:eastAsia="宋体" w:cs="宋体"/>
          <w:color w:val="auto"/>
          <w:sz w:val="28"/>
          <w:szCs w:val="28"/>
          <w:highlight w:val="none"/>
          <w:u w:val="single"/>
          <w:lang w:val="en-US" w:eastAsia="zh-CN" w:bidi="ar"/>
        </w:rPr>
        <w:t>同时甲方应在开始之日起的60个工作日内完成验收工作。若甲方在60个工作日内未完成验收工作，</w:t>
      </w:r>
      <w:r>
        <w:rPr>
          <w:rFonts w:hint="eastAsia" w:ascii="宋体" w:hAnsi="宋体" w:eastAsia="宋体" w:cs="宋体"/>
          <w:color w:val="auto"/>
          <w:sz w:val="28"/>
          <w:szCs w:val="28"/>
          <w:highlight w:val="none"/>
          <w:u w:val="single"/>
          <w:lang w:bidi="ar"/>
        </w:rPr>
        <w:t>视为验收</w:t>
      </w:r>
      <w:r>
        <w:rPr>
          <w:rFonts w:hint="eastAsia" w:ascii="宋体" w:hAnsi="宋体" w:eastAsia="宋体" w:cs="宋体"/>
          <w:color w:val="auto"/>
          <w:sz w:val="28"/>
          <w:szCs w:val="28"/>
          <w:highlight w:val="none"/>
          <w:u w:val="single"/>
          <w:lang w:val="en-US" w:eastAsia="zh-CN" w:bidi="ar"/>
        </w:rPr>
        <w:t>通过</w:t>
      </w:r>
      <w:r>
        <w:rPr>
          <w:rFonts w:hint="eastAsia" w:ascii="宋体" w:hAnsi="宋体" w:eastAsia="宋体" w:cs="宋体"/>
          <w:color w:val="auto"/>
          <w:sz w:val="28"/>
          <w:szCs w:val="28"/>
          <w:highlight w:val="none"/>
          <w:u w:val="single"/>
          <w:lang w:bidi="ar"/>
        </w:rPr>
        <w:t>。</w:t>
      </w:r>
    </w:p>
    <w:p w14:paraId="64FAD809">
      <w:pPr>
        <w:adjustRightInd w:val="0"/>
        <w:snapToGrid w:val="0"/>
        <w:spacing w:line="480" w:lineRule="exact"/>
        <w:ind w:firstLine="562" w:firstLineChars="200"/>
        <w:rPr>
          <w:rStyle w:val="29"/>
          <w:rFonts w:ascii="宋体" w:hAnsi="宋体" w:cs="宋体"/>
          <w:b/>
          <w:color w:val="auto"/>
          <w:sz w:val="28"/>
          <w:szCs w:val="28"/>
          <w:highlight w:val="none"/>
        </w:rPr>
      </w:pPr>
      <w:r>
        <w:rPr>
          <w:rStyle w:val="29"/>
          <w:rFonts w:hint="eastAsia" w:ascii="宋体" w:hAnsi="宋体" w:cs="宋体"/>
          <w:b/>
          <w:color w:val="auto"/>
          <w:sz w:val="28"/>
          <w:szCs w:val="28"/>
          <w:highlight w:val="none"/>
        </w:rPr>
        <w:t>五</w:t>
      </w:r>
      <w:r>
        <w:rPr>
          <w:rStyle w:val="29"/>
          <w:rFonts w:ascii="宋体" w:hAnsi="宋体" w:cs="宋体"/>
          <w:b/>
          <w:color w:val="auto"/>
          <w:sz w:val="28"/>
          <w:szCs w:val="28"/>
          <w:highlight w:val="none"/>
        </w:rPr>
        <w:t>、</w:t>
      </w:r>
      <w:r>
        <w:rPr>
          <w:rStyle w:val="29"/>
          <w:rFonts w:hint="eastAsia" w:ascii="宋体" w:hAnsi="宋体" w:cs="宋体"/>
          <w:b/>
          <w:color w:val="auto"/>
          <w:sz w:val="28"/>
          <w:szCs w:val="28"/>
          <w:highlight w:val="none"/>
        </w:rPr>
        <w:t>甲方</w:t>
      </w:r>
      <w:r>
        <w:rPr>
          <w:rStyle w:val="29"/>
          <w:rFonts w:ascii="宋体" w:hAnsi="宋体" w:cs="宋体"/>
          <w:b/>
          <w:color w:val="auto"/>
          <w:sz w:val="28"/>
          <w:szCs w:val="28"/>
          <w:highlight w:val="none"/>
        </w:rPr>
        <w:t>的权利和义务</w:t>
      </w:r>
    </w:p>
    <w:p w14:paraId="063EB407">
      <w:pPr>
        <w:adjustRightInd w:val="0"/>
        <w:snapToGrid w:val="0"/>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1.甲方指派</w:t>
      </w:r>
      <w:r>
        <w:rPr>
          <w:rStyle w:val="29"/>
          <w:rFonts w:ascii="宋体" w:hAnsi="宋体" w:cs="宋体"/>
          <w:color w:val="auto"/>
          <w:sz w:val="28"/>
          <w:szCs w:val="28"/>
          <w:highlight w:val="none"/>
          <w:u w:val="single"/>
        </w:rPr>
        <w:t xml:space="preserve">   </w:t>
      </w:r>
      <w:r>
        <w:rPr>
          <w:rStyle w:val="29"/>
          <w:rFonts w:hint="eastAsia" w:ascii="宋体" w:hAnsi="宋体" w:eastAsia="宋体" w:cs="宋体"/>
          <w:color w:val="auto"/>
          <w:sz w:val="28"/>
          <w:szCs w:val="28"/>
          <w:highlight w:val="none"/>
          <w:u w:val="single"/>
          <w:lang w:val="en-US" w:eastAsia="zh-CN"/>
        </w:rPr>
        <w:t xml:space="preserve">  </w:t>
      </w:r>
      <w:r>
        <w:rPr>
          <w:rStyle w:val="29"/>
          <w:rFonts w:ascii="宋体" w:hAnsi="宋体" w:cs="宋体"/>
          <w:color w:val="auto"/>
          <w:sz w:val="28"/>
          <w:szCs w:val="28"/>
          <w:highlight w:val="none"/>
          <w:u w:val="single"/>
        </w:rPr>
        <w:t xml:space="preserve">  </w:t>
      </w:r>
      <w:r>
        <w:rPr>
          <w:rStyle w:val="29"/>
          <w:rFonts w:hint="eastAsia" w:ascii="宋体" w:hAnsi="宋体" w:cs="宋体"/>
          <w:color w:val="auto"/>
          <w:sz w:val="28"/>
          <w:szCs w:val="28"/>
          <w:highlight w:val="none"/>
        </w:rPr>
        <w:t>为本项目联系人，负责与乙方进行沟通对接工作、办理验收和付款等手续和其他事宜。</w:t>
      </w:r>
    </w:p>
    <w:p w14:paraId="2E8D3375">
      <w:pPr>
        <w:adjustRightInd w:val="0"/>
        <w:snapToGrid w:val="0"/>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2.甲方负责提供工作场地以及其他必要的便利条件，协助</w:t>
      </w:r>
      <w:r>
        <w:rPr>
          <w:rStyle w:val="29"/>
          <w:rFonts w:hint="eastAsia" w:ascii="宋体" w:hAnsi="宋体" w:cs="宋体"/>
          <w:color w:val="auto"/>
          <w:sz w:val="28"/>
          <w:szCs w:val="28"/>
          <w:highlight w:val="none"/>
        </w:rPr>
        <w:t>乙</w:t>
      </w:r>
      <w:r>
        <w:rPr>
          <w:rStyle w:val="29"/>
          <w:rFonts w:ascii="宋体" w:hAnsi="宋体" w:cs="宋体"/>
          <w:color w:val="auto"/>
          <w:sz w:val="28"/>
          <w:szCs w:val="28"/>
          <w:highlight w:val="none"/>
        </w:rPr>
        <w:t>方</w:t>
      </w:r>
      <w:r>
        <w:rPr>
          <w:rStyle w:val="29"/>
          <w:rFonts w:hint="eastAsia" w:ascii="宋体" w:hAnsi="宋体" w:cs="宋体"/>
          <w:color w:val="auto"/>
          <w:sz w:val="28"/>
          <w:szCs w:val="28"/>
          <w:highlight w:val="none"/>
        </w:rPr>
        <w:t>履行合同。</w:t>
      </w:r>
    </w:p>
    <w:p w14:paraId="79FBCAD8">
      <w:pPr>
        <w:adjustRightInd w:val="0"/>
        <w:snapToGrid w:val="0"/>
        <w:spacing w:line="480" w:lineRule="exact"/>
        <w:ind w:firstLine="560" w:firstLineChars="200"/>
        <w:rPr>
          <w:rFonts w:ascii="宋体" w:hAnsi="宋体" w:eastAsia="宋体" w:cs="宋体"/>
          <w:color w:val="auto"/>
          <w:sz w:val="28"/>
          <w:szCs w:val="28"/>
          <w:highlight w:val="none"/>
        </w:rPr>
      </w:pPr>
      <w:r>
        <w:rPr>
          <w:rStyle w:val="29"/>
          <w:rFonts w:ascii="宋体" w:hAnsi="宋体" w:cs="宋体"/>
          <w:color w:val="auto"/>
          <w:sz w:val="28"/>
          <w:szCs w:val="28"/>
          <w:highlight w:val="none"/>
        </w:rPr>
        <w:t>3.</w:t>
      </w:r>
      <w:r>
        <w:rPr>
          <w:rFonts w:hint="eastAsia" w:ascii="宋体" w:hAnsi="宋体" w:eastAsia="宋体" w:cs="宋体"/>
          <w:color w:val="auto"/>
          <w:sz w:val="28"/>
          <w:szCs w:val="28"/>
          <w:highlight w:val="none"/>
        </w:rPr>
        <w:t>乙方履行完毕本合同后，甲方依本合同的约定进行组织验收工作并及时向乙方支付合同款项。</w:t>
      </w:r>
    </w:p>
    <w:p w14:paraId="4BA1BB47">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验收不合格的，甲方有权要求乙方限期内进行整改；仍不能通过验收的，甲方有权按照合同的约定追究乙方的违约责任。</w:t>
      </w:r>
    </w:p>
    <w:p w14:paraId="169A618C">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4.在合同履行过程中，甲方对本合同的履行情况有监督、检查、督促的权利。对甲方提出的合理性建议，乙方应予以执行，以保证甲方订立本合同目的的实现。</w:t>
      </w:r>
    </w:p>
    <w:p w14:paraId="3B9CE7AA">
      <w:pPr>
        <w:adjustRightInd w:val="0"/>
        <w:snapToGrid w:val="0"/>
        <w:spacing w:line="480" w:lineRule="exact"/>
        <w:ind w:firstLine="562" w:firstLineChars="200"/>
        <w:rPr>
          <w:rStyle w:val="29"/>
          <w:rFonts w:ascii="宋体" w:hAnsi="宋体" w:cs="宋体"/>
          <w:b/>
          <w:color w:val="auto"/>
          <w:sz w:val="28"/>
          <w:szCs w:val="28"/>
          <w:highlight w:val="none"/>
        </w:rPr>
      </w:pPr>
      <w:r>
        <w:rPr>
          <w:rStyle w:val="29"/>
          <w:rFonts w:hint="eastAsia" w:ascii="宋体" w:hAnsi="宋体" w:cs="宋体"/>
          <w:b/>
          <w:color w:val="auto"/>
          <w:sz w:val="28"/>
          <w:szCs w:val="28"/>
          <w:highlight w:val="none"/>
        </w:rPr>
        <w:t>六</w:t>
      </w:r>
      <w:r>
        <w:rPr>
          <w:rStyle w:val="29"/>
          <w:rFonts w:ascii="宋体" w:hAnsi="宋体" w:cs="宋体"/>
          <w:b/>
          <w:color w:val="auto"/>
          <w:sz w:val="28"/>
          <w:szCs w:val="28"/>
          <w:highlight w:val="none"/>
        </w:rPr>
        <w:t>、</w:t>
      </w:r>
      <w:r>
        <w:rPr>
          <w:rStyle w:val="29"/>
          <w:rFonts w:hint="eastAsia" w:ascii="宋体" w:hAnsi="宋体" w:cs="宋体"/>
          <w:b/>
          <w:color w:val="auto"/>
          <w:sz w:val="28"/>
          <w:szCs w:val="28"/>
          <w:highlight w:val="none"/>
        </w:rPr>
        <w:t>乙</w:t>
      </w:r>
      <w:r>
        <w:rPr>
          <w:rStyle w:val="29"/>
          <w:rFonts w:ascii="宋体" w:hAnsi="宋体" w:cs="宋体"/>
          <w:b/>
          <w:color w:val="auto"/>
          <w:sz w:val="28"/>
          <w:szCs w:val="28"/>
          <w:highlight w:val="none"/>
        </w:rPr>
        <w:t>方的权利和义务</w:t>
      </w:r>
    </w:p>
    <w:p w14:paraId="673F64A9">
      <w:pPr>
        <w:adjustRightInd w:val="0"/>
        <w:snapToGrid w:val="0"/>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1.</w:t>
      </w:r>
      <w:r>
        <w:rPr>
          <w:rStyle w:val="29"/>
          <w:rFonts w:hint="eastAsia" w:ascii="宋体" w:hAnsi="宋体" w:cs="宋体"/>
          <w:color w:val="auto"/>
          <w:sz w:val="28"/>
          <w:szCs w:val="28"/>
          <w:highlight w:val="none"/>
        </w:rPr>
        <w:t>乙方指派</w:t>
      </w:r>
      <w:r>
        <w:rPr>
          <w:rStyle w:val="29"/>
          <w:rFonts w:ascii="宋体" w:hAnsi="宋体" w:cs="宋体"/>
          <w:color w:val="auto"/>
          <w:sz w:val="28"/>
          <w:szCs w:val="28"/>
          <w:highlight w:val="none"/>
          <w:u w:val="single"/>
        </w:rPr>
        <w:t xml:space="preserve">   </w:t>
      </w:r>
      <w:r>
        <w:rPr>
          <w:rStyle w:val="29"/>
          <w:rFonts w:hint="eastAsia" w:ascii="宋体" w:hAnsi="宋体" w:eastAsia="宋体" w:cs="宋体"/>
          <w:color w:val="auto"/>
          <w:sz w:val="28"/>
          <w:szCs w:val="28"/>
          <w:highlight w:val="none"/>
          <w:u w:val="single"/>
          <w:lang w:val="en-US" w:eastAsia="zh-CN"/>
        </w:rPr>
        <w:t xml:space="preserve">  </w:t>
      </w:r>
      <w:r>
        <w:rPr>
          <w:rStyle w:val="29"/>
          <w:rFonts w:ascii="宋体" w:hAnsi="宋体" w:cs="宋体"/>
          <w:color w:val="auto"/>
          <w:sz w:val="28"/>
          <w:szCs w:val="28"/>
          <w:highlight w:val="none"/>
          <w:u w:val="single"/>
        </w:rPr>
        <w:t xml:space="preserve">  </w:t>
      </w:r>
      <w:r>
        <w:rPr>
          <w:rStyle w:val="29"/>
          <w:rFonts w:hint="eastAsia" w:ascii="宋体" w:hAnsi="宋体" w:cs="宋体"/>
          <w:color w:val="auto"/>
          <w:sz w:val="28"/>
          <w:szCs w:val="28"/>
          <w:highlight w:val="none"/>
        </w:rPr>
        <w:t>为本项目联系人，与甲方进行沟通对接工作、协调合同履行的各项事宜。</w:t>
      </w:r>
    </w:p>
    <w:p w14:paraId="148103E4">
      <w:pPr>
        <w:adjustRightInd w:val="0"/>
        <w:snapToGrid w:val="0"/>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2.乙方保证在合同履行的过程中具有履行本合同的能力和资质，提供的</w:t>
      </w:r>
      <w:r>
        <w:rPr>
          <w:rStyle w:val="29"/>
          <w:rFonts w:hint="eastAsia" w:ascii="宋体" w:hAnsi="宋体" w:cs="宋体"/>
          <w:color w:val="auto"/>
          <w:sz w:val="28"/>
          <w:szCs w:val="28"/>
          <w:highlight w:val="none"/>
        </w:rPr>
        <w:t>硬件、软件以及</w:t>
      </w:r>
      <w:r>
        <w:rPr>
          <w:rStyle w:val="29"/>
          <w:rFonts w:ascii="宋体" w:hAnsi="宋体" w:cs="宋体"/>
          <w:color w:val="auto"/>
          <w:sz w:val="28"/>
          <w:szCs w:val="28"/>
          <w:highlight w:val="none"/>
        </w:rPr>
        <w:t>服务</w:t>
      </w:r>
      <w:r>
        <w:rPr>
          <w:rStyle w:val="29"/>
          <w:rFonts w:hint="eastAsia" w:ascii="宋体" w:hAnsi="宋体" w:cs="宋体"/>
          <w:color w:val="auto"/>
          <w:sz w:val="28"/>
          <w:szCs w:val="28"/>
          <w:highlight w:val="none"/>
        </w:rPr>
        <w:t>和完成的工作成果</w:t>
      </w:r>
      <w:r>
        <w:rPr>
          <w:rStyle w:val="29"/>
          <w:rFonts w:ascii="宋体" w:hAnsi="宋体" w:cs="宋体"/>
          <w:color w:val="auto"/>
          <w:sz w:val="28"/>
          <w:szCs w:val="28"/>
          <w:highlight w:val="none"/>
        </w:rPr>
        <w:t>符合</w:t>
      </w:r>
      <w:r>
        <w:rPr>
          <w:rStyle w:val="29"/>
          <w:rFonts w:hint="eastAsia" w:ascii="宋体" w:hAnsi="宋体" w:cs="宋体"/>
          <w:color w:val="auto"/>
          <w:sz w:val="28"/>
          <w:szCs w:val="28"/>
          <w:highlight w:val="none"/>
        </w:rPr>
        <w:t>合同的约定和</w:t>
      </w:r>
      <w:r>
        <w:rPr>
          <w:rStyle w:val="29"/>
          <w:rFonts w:ascii="宋体" w:hAnsi="宋体" w:cs="宋体"/>
          <w:color w:val="auto"/>
          <w:sz w:val="28"/>
          <w:szCs w:val="28"/>
          <w:highlight w:val="none"/>
        </w:rPr>
        <w:t>国家</w:t>
      </w:r>
      <w:r>
        <w:rPr>
          <w:rStyle w:val="29"/>
          <w:rFonts w:hint="eastAsia" w:ascii="宋体" w:hAnsi="宋体" w:cs="宋体"/>
          <w:color w:val="auto"/>
          <w:sz w:val="28"/>
          <w:szCs w:val="28"/>
          <w:highlight w:val="none"/>
        </w:rPr>
        <w:t>法律法规或地方性法律法规或者行业规范的要求</w:t>
      </w:r>
      <w:r>
        <w:rPr>
          <w:rStyle w:val="29"/>
          <w:rFonts w:ascii="宋体" w:hAnsi="宋体" w:cs="宋体"/>
          <w:color w:val="auto"/>
          <w:sz w:val="28"/>
          <w:szCs w:val="28"/>
          <w:highlight w:val="none"/>
        </w:rPr>
        <w:t>，满足</w:t>
      </w:r>
      <w:r>
        <w:rPr>
          <w:rStyle w:val="29"/>
          <w:rFonts w:hint="eastAsia" w:ascii="宋体" w:hAnsi="宋体" w:cs="宋体"/>
          <w:color w:val="auto"/>
          <w:sz w:val="28"/>
          <w:szCs w:val="28"/>
          <w:highlight w:val="none"/>
        </w:rPr>
        <w:t>甲</w:t>
      </w:r>
      <w:r>
        <w:rPr>
          <w:rStyle w:val="29"/>
          <w:rFonts w:ascii="宋体" w:hAnsi="宋体" w:cs="宋体"/>
          <w:color w:val="auto"/>
          <w:sz w:val="28"/>
          <w:szCs w:val="28"/>
          <w:highlight w:val="none"/>
        </w:rPr>
        <w:t>方的实际需求</w:t>
      </w:r>
      <w:r>
        <w:rPr>
          <w:rStyle w:val="29"/>
          <w:rFonts w:hint="eastAsia" w:ascii="宋体" w:hAnsi="宋体" w:cs="宋体"/>
          <w:color w:val="auto"/>
          <w:sz w:val="28"/>
          <w:szCs w:val="28"/>
          <w:highlight w:val="none"/>
        </w:rPr>
        <w:t>。</w:t>
      </w:r>
    </w:p>
    <w:p w14:paraId="1B5B50D9">
      <w:pPr>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乙方应按照合同要求履约，确保提供的硬件、软件及相关服务符合招投标文件和合同约定的品牌、规格型号、技术性能、配置、质量、数量等有关要求，符合国家法律法规或者行业规定的相关标准，接受项目行业管理部门及政府有关部门的指导，配合甲方的履约检查及验收，并负责合同履行过程中的所有协调工作。</w:t>
      </w:r>
    </w:p>
    <w:p w14:paraId="6946D8A9">
      <w:pPr>
        <w:widowControl/>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4.乙方所交付的</w:t>
      </w:r>
      <w:r>
        <w:rPr>
          <w:rFonts w:hint="eastAsia" w:ascii="宋体" w:hAnsi="宋体" w:eastAsia="宋体" w:cs="宋体"/>
          <w:color w:val="auto"/>
          <w:sz w:val="28"/>
          <w:szCs w:val="28"/>
          <w:highlight w:val="none"/>
        </w:rPr>
        <w:t>硬件和软件包括相关的其备品备件、工具、手册及其他技术资料（包括但不限于产品目录、图纸、操作手册、使用说明、维护手册或服务指南等）等，上述文件应包装好随硬件或者软件一同发运或者交付。同时乙方应提供与硬件或者软件有关的服务（包括但不限于质量保证、运输、检验、现场准备、安装、集成、调试、培训、维修、技术支持等）。</w:t>
      </w:r>
    </w:p>
    <w:p w14:paraId="4B4B53A1">
      <w:pPr>
        <w:widowControl/>
        <w:numPr>
          <w:ilvl w:val="255"/>
          <w:numId w:val="0"/>
        </w:num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.乙方承担的</w:t>
      </w:r>
      <w:r>
        <w:rPr>
          <w:rFonts w:hint="eastAsia" w:ascii="宋体" w:hAnsi="宋体" w:eastAsia="宋体" w:cs="宋体"/>
          <w:color w:val="auto"/>
          <w:sz w:val="28"/>
          <w:szCs w:val="28"/>
          <w:highlight w:val="none"/>
          <w:lang w:val="en-US" w:eastAsia="zh-CN"/>
        </w:rPr>
        <w:t>硬件质保期及软件</w:t>
      </w:r>
      <w:r>
        <w:rPr>
          <w:rFonts w:hint="eastAsia" w:ascii="宋体" w:hAnsi="宋体" w:eastAsia="宋体" w:cs="宋体"/>
          <w:color w:val="auto"/>
          <w:sz w:val="28"/>
          <w:szCs w:val="28"/>
          <w:highlight w:val="none"/>
        </w:rPr>
        <w:t>维保期</w:t>
      </w:r>
      <w:r>
        <w:rPr>
          <w:rFonts w:ascii="宋体" w:hAnsi="宋体" w:eastAsia="宋体" w:cs="宋体"/>
          <w:color w:val="auto"/>
          <w:sz w:val="28"/>
          <w:szCs w:val="28"/>
          <w:highlight w:val="none"/>
        </w:rPr>
        <w:t>责任</w:t>
      </w:r>
      <w:r>
        <w:rPr>
          <w:rFonts w:hint="eastAsia" w:ascii="宋体" w:hAnsi="宋体" w:eastAsia="宋体" w:cs="宋体"/>
          <w:color w:val="auto"/>
          <w:sz w:val="28"/>
          <w:szCs w:val="28"/>
          <w:highlight w:val="none"/>
        </w:rPr>
        <w:t>：</w:t>
      </w:r>
    </w:p>
    <w:p w14:paraId="30B93EC4">
      <w:pPr>
        <w:widowControl/>
        <w:numPr>
          <w:ilvl w:val="255"/>
          <w:numId w:val="0"/>
        </w:num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5.1</w:t>
      </w:r>
      <w:r>
        <w:rPr>
          <w:rFonts w:hint="eastAsia" w:ascii="宋体" w:hAnsi="宋体" w:eastAsia="宋体" w:cs="宋体"/>
          <w:color w:val="auto"/>
          <w:sz w:val="28"/>
          <w:szCs w:val="28"/>
          <w:highlight w:val="none"/>
        </w:rPr>
        <w:t>硬件</w:t>
      </w:r>
      <w:r>
        <w:rPr>
          <w:rFonts w:hint="eastAsia" w:ascii="宋体" w:hAnsi="宋体" w:eastAsia="宋体" w:cs="宋体"/>
          <w:color w:val="auto"/>
          <w:sz w:val="28"/>
          <w:szCs w:val="28"/>
          <w:highlight w:val="none"/>
          <w:lang w:val="en-US" w:eastAsia="zh-CN"/>
        </w:rPr>
        <w:t>质保期</w:t>
      </w:r>
      <w:r>
        <w:rPr>
          <w:rFonts w:hint="eastAsia" w:ascii="宋体" w:hAnsi="宋体" w:eastAsia="宋体" w:cs="宋体"/>
          <w:color w:val="auto"/>
          <w:sz w:val="28"/>
          <w:szCs w:val="28"/>
          <w:highlight w:val="none"/>
        </w:rPr>
        <w:t>：自项目正式交付后，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开始履行</w:t>
      </w:r>
      <w:r>
        <w:rPr>
          <w:rFonts w:hint="eastAsia" w:ascii="宋体" w:hAnsi="宋体" w:eastAsia="宋体" w:cs="宋体"/>
          <w:color w:val="auto"/>
          <w:sz w:val="28"/>
          <w:szCs w:val="28"/>
          <w:highlight w:val="none"/>
          <w:lang w:val="en-US" w:eastAsia="zh-CN"/>
        </w:rPr>
        <w:t>硬件质保期</w:t>
      </w:r>
      <w:r>
        <w:rPr>
          <w:rFonts w:hint="eastAsia" w:ascii="宋体" w:hAnsi="宋体" w:eastAsia="宋体" w:cs="宋体"/>
          <w:color w:val="auto"/>
          <w:sz w:val="28"/>
          <w:szCs w:val="28"/>
          <w:highlight w:val="none"/>
        </w:rPr>
        <w:t>的义务，硬件</w:t>
      </w:r>
      <w:r>
        <w:rPr>
          <w:rFonts w:hint="eastAsia" w:ascii="宋体" w:hAnsi="宋体" w:eastAsia="宋体" w:cs="宋体"/>
          <w:color w:val="auto"/>
          <w:sz w:val="28"/>
          <w:szCs w:val="28"/>
          <w:highlight w:val="none"/>
          <w:lang w:val="en-US" w:eastAsia="zh-CN"/>
        </w:rPr>
        <w:t>质保期</w:t>
      </w:r>
      <w:r>
        <w:rPr>
          <w:rFonts w:hint="eastAsia" w:ascii="宋体" w:hAnsi="宋体" w:eastAsia="宋体" w:cs="宋体"/>
          <w:color w:val="auto"/>
          <w:sz w:val="28"/>
          <w:szCs w:val="28"/>
          <w:highlight w:val="none"/>
        </w:rPr>
        <w:t>3年。</w:t>
      </w:r>
      <w:r>
        <w:rPr>
          <w:rFonts w:hint="eastAsia" w:ascii="宋体" w:hAnsi="宋体" w:eastAsia="宋体" w:cs="宋体"/>
          <w:color w:val="auto"/>
          <w:sz w:val="28"/>
          <w:szCs w:val="28"/>
          <w:highlight w:val="none"/>
          <w:lang w:val="en-US" w:eastAsia="zh-CN"/>
        </w:rPr>
        <w:t>如果相关法律、行政法规、部门规章等文件规定了最低质量保证期，约定的质量保证期低于法定最低标准，以法定的质量保证期为准。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相应的硬件质保期</w:t>
      </w:r>
      <w:r>
        <w:rPr>
          <w:rFonts w:hint="eastAsia" w:ascii="宋体" w:hAnsi="宋体" w:eastAsia="宋体" w:cs="宋体"/>
          <w:color w:val="auto"/>
          <w:sz w:val="28"/>
          <w:szCs w:val="28"/>
          <w:highlight w:val="none"/>
        </w:rPr>
        <w:t>内，</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承担的质量保证责任，具体包括：在</w:t>
      </w:r>
      <w:r>
        <w:rPr>
          <w:rFonts w:hint="eastAsia" w:ascii="宋体" w:hAnsi="宋体" w:eastAsia="宋体" w:cs="宋体"/>
          <w:color w:val="auto"/>
          <w:sz w:val="28"/>
          <w:szCs w:val="28"/>
          <w:highlight w:val="none"/>
          <w:lang w:val="en-US" w:eastAsia="zh-CN"/>
        </w:rPr>
        <w:t>3年硬件质</w:t>
      </w:r>
      <w:r>
        <w:rPr>
          <w:rFonts w:hint="eastAsia" w:ascii="宋体" w:hAnsi="宋体" w:eastAsia="宋体" w:cs="宋体"/>
          <w:color w:val="auto"/>
          <w:sz w:val="28"/>
          <w:szCs w:val="28"/>
          <w:highlight w:val="none"/>
        </w:rPr>
        <w:t>保期内，若硬件经维修仍不能保证持续正常使用的，</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有权选择采取下列措施：①要求</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更换同种型号的同类新产品，相关一切费用由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承担；②要求退货退款，相关一切费用均由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）无论是否在</w:t>
      </w:r>
      <w:r>
        <w:rPr>
          <w:rFonts w:hint="eastAsia" w:ascii="宋体" w:hAnsi="宋体" w:eastAsia="宋体" w:cs="宋体"/>
          <w:color w:val="auto"/>
          <w:sz w:val="28"/>
          <w:szCs w:val="28"/>
          <w:highlight w:val="none"/>
          <w:lang w:val="en-US" w:eastAsia="zh-CN"/>
        </w:rPr>
        <w:t>硬件质保期</w:t>
      </w:r>
      <w:r>
        <w:rPr>
          <w:rFonts w:hint="eastAsia" w:ascii="宋体" w:hAnsi="宋体" w:eastAsia="宋体" w:cs="宋体"/>
          <w:color w:val="auto"/>
          <w:sz w:val="28"/>
          <w:szCs w:val="28"/>
          <w:highlight w:val="none"/>
        </w:rPr>
        <w:t>内，因硬件质量引起的侵权责任或者违约责任，均由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承担。</w:t>
      </w:r>
    </w:p>
    <w:p w14:paraId="4F703008">
      <w:pPr>
        <w:widowControl/>
        <w:numPr>
          <w:ilvl w:val="255"/>
          <w:numId w:val="0"/>
        </w:num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软件维保期：</w:t>
      </w:r>
      <w:r>
        <w:rPr>
          <w:rFonts w:hint="eastAsia" w:ascii="宋体" w:hAnsi="宋体" w:eastAsia="宋体" w:cs="宋体"/>
          <w:color w:val="auto"/>
          <w:sz w:val="28"/>
          <w:szCs w:val="28"/>
          <w:highlight w:val="none"/>
        </w:rPr>
        <w:t>自项目正式交付后，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开始履行</w:t>
      </w:r>
      <w:r>
        <w:rPr>
          <w:rFonts w:hint="eastAsia" w:ascii="宋体" w:hAnsi="宋体" w:eastAsia="宋体" w:cs="宋体"/>
          <w:color w:val="auto"/>
          <w:sz w:val="28"/>
          <w:szCs w:val="28"/>
          <w:highlight w:val="none"/>
          <w:lang w:val="en-US" w:eastAsia="zh-CN"/>
        </w:rPr>
        <w:t>软件维保期</w:t>
      </w:r>
      <w:r>
        <w:rPr>
          <w:rFonts w:hint="eastAsia" w:ascii="宋体" w:hAnsi="宋体" w:eastAsia="宋体" w:cs="宋体"/>
          <w:color w:val="auto"/>
          <w:sz w:val="28"/>
          <w:szCs w:val="28"/>
          <w:highlight w:val="none"/>
        </w:rPr>
        <w:t>的义务，</w:t>
      </w:r>
      <w:r>
        <w:rPr>
          <w:rFonts w:hint="eastAsia" w:ascii="宋体" w:hAnsi="宋体" w:eastAsia="宋体" w:cs="宋体"/>
          <w:color w:val="auto"/>
          <w:sz w:val="28"/>
          <w:szCs w:val="28"/>
          <w:highlight w:val="none"/>
          <w:lang w:val="en-US" w:eastAsia="zh-CN"/>
        </w:rPr>
        <w:t>软件维保期5</w:t>
      </w:r>
      <w:r>
        <w:rPr>
          <w:rFonts w:hint="eastAsia" w:ascii="宋体" w:hAnsi="宋体" w:eastAsia="宋体" w:cs="宋体"/>
          <w:color w:val="auto"/>
          <w:sz w:val="28"/>
          <w:szCs w:val="28"/>
          <w:highlight w:val="none"/>
        </w:rPr>
        <w:t>年。</w:t>
      </w:r>
    </w:p>
    <w:p w14:paraId="0E12C879">
      <w:pPr>
        <w:widowControl/>
        <w:numPr>
          <w:ilvl w:val="255"/>
          <w:numId w:val="0"/>
        </w:num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6.在硬件质保期及软件维保期内，由乙方提供全程专业技术团队承接，配备专属技术人员驻场，</w:t>
      </w:r>
      <w:r>
        <w:rPr>
          <w:rFonts w:hint="eastAsia" w:ascii="宋体" w:hAnsi="宋体" w:eastAsia="宋体" w:cs="宋体"/>
          <w:color w:val="auto"/>
          <w:sz w:val="28"/>
          <w:szCs w:val="28"/>
          <w:highlight w:val="none"/>
        </w:rPr>
        <w:t>驻场人员如有调整需甲方同意后方可更换，须建立全周期服务闭环，保障项目硬件设备与软件系统全时段稳定、安全、合规运行。在</w:t>
      </w:r>
      <w:r>
        <w:rPr>
          <w:rFonts w:hint="eastAsia" w:ascii="宋体" w:hAnsi="宋体" w:eastAsia="宋体" w:cs="宋体"/>
          <w:color w:val="auto"/>
          <w:sz w:val="28"/>
          <w:szCs w:val="28"/>
          <w:highlight w:val="none"/>
          <w:lang w:val="en-US" w:eastAsia="zh-CN"/>
        </w:rPr>
        <w:t>硬件质保期</w:t>
      </w:r>
      <w:r>
        <w:rPr>
          <w:rFonts w:hint="eastAsia" w:ascii="宋体" w:hAnsi="宋体" w:eastAsia="宋体" w:cs="宋体"/>
          <w:color w:val="auto"/>
          <w:sz w:val="28"/>
          <w:szCs w:val="28"/>
          <w:highlight w:val="none"/>
        </w:rPr>
        <w:t>内，需提供常态化技术支持和应急响应服务，针对非人为损坏、非不可抗力导致的硬件故障、元器件老化损坏、性能不达标等问题，提供免费故障定位、检测维修及正品备件更换服务。软件维保期内，需提供</w:t>
      </w:r>
      <w:r>
        <w:rPr>
          <w:rFonts w:ascii="宋体" w:hAnsi="宋体" w:eastAsia="宋体" w:cs="宋体"/>
          <w:color w:val="auto"/>
          <w:sz w:val="28"/>
          <w:szCs w:val="28"/>
          <w:highlight w:val="none"/>
        </w:rPr>
        <w:t xml:space="preserve"> 7*24 </w:t>
      </w:r>
      <w:r>
        <w:rPr>
          <w:rFonts w:hint="eastAsia" w:ascii="宋体" w:hAnsi="宋体" w:eastAsia="宋体" w:cs="宋体"/>
          <w:color w:val="auto"/>
          <w:sz w:val="28"/>
          <w:szCs w:val="28"/>
          <w:highlight w:val="none"/>
        </w:rPr>
        <w:t>小时应急响应服务，同步提供应急处置与业务恢复服务，提供</w:t>
      </w:r>
      <w:r>
        <w:rPr>
          <w:rFonts w:ascii="宋体" w:hAnsi="宋体" w:eastAsia="宋体" w:cs="宋体"/>
          <w:color w:val="auto"/>
          <w:sz w:val="28"/>
          <w:szCs w:val="28"/>
          <w:highlight w:val="none"/>
        </w:rPr>
        <w:t xml:space="preserve"> 5×8 </w:t>
      </w:r>
      <w:r>
        <w:rPr>
          <w:rFonts w:hint="eastAsia" w:ascii="宋体" w:hAnsi="宋体" w:eastAsia="宋体" w:cs="宋体"/>
          <w:color w:val="auto"/>
          <w:sz w:val="28"/>
          <w:szCs w:val="28"/>
          <w:highlight w:val="none"/>
        </w:rPr>
        <w:t>小时常态化免费技术咨询、操作指导、账号权限管理协助与全时段运维答疑。</w:t>
      </w:r>
    </w:p>
    <w:p w14:paraId="44BA744F">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乙方确保交付的硬件或者软件安全无损地运抵甲方指定的地点，办理将硬件或者软件运抵交货地点、装卸、保险、交付至甲方的一切运输事项，相关费用已包含在合同金额中。</w:t>
      </w:r>
    </w:p>
    <w:p w14:paraId="49EF0ACA">
      <w:pPr>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ascii="宋体" w:hAnsi="宋体" w:eastAsia="宋体" w:cs="宋体"/>
          <w:color w:val="auto"/>
          <w:sz w:val="28"/>
          <w:szCs w:val="28"/>
          <w:highlight w:val="none"/>
        </w:rPr>
        <w:t>.若乙方提供的</w:t>
      </w:r>
      <w:r>
        <w:rPr>
          <w:rFonts w:hint="eastAsia" w:ascii="宋体" w:hAnsi="宋体" w:eastAsia="宋体" w:cs="宋体"/>
          <w:color w:val="auto"/>
          <w:sz w:val="28"/>
          <w:szCs w:val="28"/>
          <w:highlight w:val="none"/>
        </w:rPr>
        <w:t>硬件或者软件及相关服务涉及到具体包装要求的，乙方应保证包装的要求符合相关法律法规的规定。</w:t>
      </w:r>
    </w:p>
    <w:p w14:paraId="2EE66C91">
      <w:pPr>
        <w:widowControl/>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ascii="宋体" w:hAnsi="宋体" w:eastAsia="宋体" w:cs="宋体"/>
          <w:color w:val="auto"/>
          <w:sz w:val="28"/>
          <w:szCs w:val="28"/>
          <w:highlight w:val="none"/>
        </w:rPr>
        <w:t>.乙方保证</w:t>
      </w:r>
      <w:r>
        <w:rPr>
          <w:rFonts w:hint="eastAsia" w:ascii="宋体" w:hAnsi="宋体" w:eastAsia="宋体" w:cs="宋体"/>
          <w:color w:val="auto"/>
          <w:sz w:val="28"/>
          <w:szCs w:val="28"/>
          <w:highlight w:val="none"/>
        </w:rPr>
        <w:t>提供的硬件或者交付的软件享有合法的权利，不存在抵押权等担保物权；乙方对其提供的硬件或者交付的软件应当享有知识产权或者经权利人合法授权，保证没有侵犯任何第三方的知识产权等权利。</w:t>
      </w:r>
    </w:p>
    <w:p w14:paraId="5CCDF3F6">
      <w:pPr>
        <w:pStyle w:val="9"/>
        <w:widowControl/>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乙方在履行本合同的过程中，因乙方的原因造成第三方或者甲方及其工作人员人身财产损失的，均由乙方承担责任。若甲方被追责的，有权向乙方追偿。</w:t>
      </w:r>
    </w:p>
    <w:p w14:paraId="42319AD7">
      <w:pPr>
        <w:pStyle w:val="9"/>
        <w:widowControl/>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乙方工作人员与甲方无任何关系，乙方对其工作人员依法承担责任。</w:t>
      </w:r>
    </w:p>
    <w:p w14:paraId="4BC118C3">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lang w:bidi="ar"/>
        </w:rPr>
        <w:t>乙方在项目实施及维保过程中接触的所有甲方数据（包括但不限于师生个人信息、科研数据、校务管理数据）的所有权归甲方，乙方不得复制、泄露、转让或用于本项目之外的任何用途。乙方需符合《数据安全法》《个人信息保护法》等法律法规的要求，因乙方原因导致数据泄露的，乙方需承担全部法律责任，并赔偿甲方因此产生的所有损失（包括但不限于监管部门罚款、用户赔偿、名誉损失）。</w:t>
      </w:r>
    </w:p>
    <w:p w14:paraId="3F197003">
      <w:pPr>
        <w:widowControl/>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r>
        <w:rPr>
          <w:rFonts w:ascii="宋体" w:hAnsi="宋体" w:eastAsia="宋体" w:cs="宋体"/>
          <w:color w:val="auto"/>
          <w:sz w:val="28"/>
          <w:szCs w:val="28"/>
          <w:highlight w:val="none"/>
        </w:rPr>
        <w:t>.乙方承诺：乙方</w:t>
      </w:r>
      <w:r>
        <w:rPr>
          <w:rFonts w:hint="eastAsia" w:ascii="宋体" w:hAnsi="宋体" w:eastAsia="宋体" w:cs="宋体"/>
          <w:color w:val="auto"/>
          <w:sz w:val="28"/>
          <w:szCs w:val="28"/>
          <w:highlight w:val="none"/>
        </w:rPr>
        <w:t>在履行合同的过程中所使用的软件、素材等不得侵犯任何第三人的知识产权及合法权益，乙方保证甲方有权根据本合同约定使用乙方提供的服务和工作成果。若因此导致第三方向甲方主张权利的，乙方应承担全部责任，并赔偿甲方全部损失，包括但不限于向第三方支付的赔偿、诉讼成本等。但是，因甲方提供的材料导致的侵权，乙方不承担责任。</w:t>
      </w:r>
    </w:p>
    <w:p w14:paraId="5A71F699">
      <w:pPr>
        <w:widowControl/>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乙方保证在维保期内定期进行维护升级，并承担安全责任。</w:t>
      </w:r>
    </w:p>
    <w:p w14:paraId="11C4F823">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13.自项目正式</w:t>
      </w:r>
      <w:r>
        <w:rPr>
          <w:rFonts w:hint="eastAsia" w:ascii="宋体" w:hAnsi="宋体" w:eastAsia="宋体" w:cs="宋体"/>
          <w:color w:val="auto"/>
          <w:sz w:val="28"/>
          <w:szCs w:val="28"/>
          <w:highlight w:val="none"/>
          <w:lang w:val="en-US" w:eastAsia="zh-CN"/>
        </w:rPr>
        <w:t>交付</w:t>
      </w:r>
      <w:r>
        <w:rPr>
          <w:rFonts w:hint="eastAsia" w:ascii="宋体" w:hAnsi="宋体" w:eastAsia="宋体" w:cs="宋体"/>
          <w:color w:val="auto"/>
          <w:sz w:val="28"/>
          <w:szCs w:val="28"/>
          <w:highlight w:val="none"/>
        </w:rPr>
        <w:t>后，本合同的履行所产生的工作成果（包括但不限于数据、软件以及源代码、目标代码、文档、数据库结构）以及硬件的所有权或者知识产权归甲方所有。</w:t>
      </w:r>
    </w:p>
    <w:p w14:paraId="03BD6B61">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在项目正式</w:t>
      </w:r>
      <w:r>
        <w:rPr>
          <w:rFonts w:hint="eastAsia" w:ascii="宋体" w:hAnsi="宋体" w:eastAsia="宋体" w:cs="宋体"/>
          <w:color w:val="auto"/>
          <w:sz w:val="28"/>
          <w:szCs w:val="28"/>
          <w:highlight w:val="none"/>
          <w:lang w:val="en-US" w:eastAsia="zh-CN"/>
        </w:rPr>
        <w:t>交付</w:t>
      </w:r>
      <w:r>
        <w:rPr>
          <w:rFonts w:hint="eastAsia" w:ascii="宋体" w:hAnsi="宋体" w:eastAsia="宋体" w:cs="宋体"/>
          <w:color w:val="auto"/>
          <w:sz w:val="28"/>
          <w:szCs w:val="28"/>
          <w:highlight w:val="none"/>
        </w:rPr>
        <w:t>前硬件和软件的风险责任</w:t>
      </w:r>
      <w:r>
        <w:rPr>
          <w:rFonts w:hint="eastAsia" w:ascii="宋体" w:hAnsi="宋体" w:eastAsia="宋体" w:cs="宋体"/>
          <w:color w:val="auto"/>
          <w:sz w:val="28"/>
          <w:szCs w:val="28"/>
          <w:highlight w:val="none"/>
          <w:lang w:val="en-US" w:eastAsia="zh-CN"/>
        </w:rPr>
        <w:t>均</w:t>
      </w:r>
      <w:r>
        <w:rPr>
          <w:rFonts w:hint="eastAsia" w:ascii="宋体" w:hAnsi="宋体" w:eastAsia="宋体" w:cs="宋体"/>
          <w:color w:val="auto"/>
          <w:sz w:val="28"/>
          <w:szCs w:val="28"/>
          <w:highlight w:val="none"/>
        </w:rPr>
        <w:t>由乙方承担。</w:t>
      </w:r>
    </w:p>
    <w:p w14:paraId="77C7D426">
      <w:pPr>
        <w:adjustRightInd w:val="0"/>
        <w:snapToGrid w:val="0"/>
        <w:spacing w:line="48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15.在</w:t>
      </w:r>
      <w:r>
        <w:rPr>
          <w:rFonts w:hint="eastAsia" w:ascii="宋体" w:hAnsi="宋体" w:eastAsia="宋体" w:cs="宋体"/>
          <w:color w:val="auto"/>
          <w:sz w:val="28"/>
          <w:szCs w:val="28"/>
          <w:highlight w:val="none"/>
          <w:lang w:val="en-US" w:eastAsia="zh-CN"/>
        </w:rPr>
        <w:t>硬件质保期或者软件</w:t>
      </w:r>
      <w:r>
        <w:rPr>
          <w:rFonts w:hint="eastAsia" w:ascii="宋体" w:hAnsi="宋体" w:eastAsia="宋体" w:cs="宋体"/>
          <w:color w:val="auto"/>
          <w:sz w:val="28"/>
          <w:szCs w:val="28"/>
          <w:highlight w:val="none"/>
        </w:rPr>
        <w:t>维保期届满后，乙方保证甲方有权在本合同约定的范围内，继续使用相关的软件。</w:t>
      </w:r>
    </w:p>
    <w:p w14:paraId="1A4875F1">
      <w:pPr>
        <w:spacing w:line="480" w:lineRule="exact"/>
        <w:ind w:firstLine="562" w:firstLineChars="200"/>
        <w:rPr>
          <w:rStyle w:val="29"/>
          <w:rFonts w:hint="eastAsia" w:ascii="宋体" w:hAnsi="宋体" w:cs="宋体"/>
          <w:b/>
          <w:color w:val="auto"/>
          <w:sz w:val="28"/>
          <w:szCs w:val="28"/>
          <w:highlight w:val="none"/>
        </w:rPr>
      </w:pPr>
      <w:r>
        <w:rPr>
          <w:rStyle w:val="29"/>
          <w:rFonts w:hint="eastAsia" w:ascii="宋体" w:hAnsi="宋体" w:cs="宋体"/>
          <w:b/>
          <w:color w:val="auto"/>
          <w:sz w:val="28"/>
          <w:szCs w:val="28"/>
          <w:highlight w:val="none"/>
        </w:rPr>
        <w:t>七、违约责任</w:t>
      </w:r>
    </w:p>
    <w:p w14:paraId="68E161E9">
      <w:pPr>
        <w:spacing w:line="480" w:lineRule="exact"/>
        <w:ind w:firstLine="560" w:firstLineChars="200"/>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rPr>
        <w:t>1.双方在订立合同前，乙方已明确知晓基于硬件、软件和服务的一体性方可实现订立本合同订立的目的。</w:t>
      </w:r>
      <w:r>
        <w:rPr>
          <w:rFonts w:hint="eastAsia" w:ascii="宋体" w:hAnsi="宋体" w:eastAsia="宋体" w:cs="宋体"/>
          <w:color w:val="auto"/>
          <w:sz w:val="28"/>
          <w:szCs w:val="28"/>
          <w:highlight w:val="none"/>
          <w:lang w:val="en-US" w:eastAsia="zh-CN"/>
        </w:rPr>
        <w:t>若任何一项履行合同内容不符合合同的约定，即会影响订立合同目的的实现。</w:t>
      </w:r>
    </w:p>
    <w:p w14:paraId="29760CCD">
      <w:pPr>
        <w:spacing w:before="0" w:beforeAutospacing="0" w:after="0" w:afterAutospacing="0"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2.乙方在</w:t>
      </w:r>
      <w:r>
        <w:rPr>
          <w:rFonts w:hint="eastAsia" w:ascii="宋体" w:hAnsi="宋体" w:eastAsia="宋体" w:cs="宋体"/>
          <w:color w:val="auto"/>
          <w:sz w:val="28"/>
          <w:szCs w:val="28"/>
          <w:highlight w:val="none"/>
          <w:lang w:val="en-US" w:eastAsia="zh-CN"/>
        </w:rPr>
        <w:t>项目进入试运行期</w:t>
      </w:r>
      <w:r>
        <w:rPr>
          <w:rFonts w:hint="eastAsia" w:ascii="宋体" w:hAnsi="宋体" w:eastAsia="宋体" w:cs="宋体"/>
          <w:color w:val="auto"/>
          <w:sz w:val="28"/>
          <w:szCs w:val="28"/>
          <w:highlight w:val="none"/>
        </w:rPr>
        <w:t>前，应严格按照合同约定或者承诺履行义务，每逾期一日，应按合同总金额的万分之五向甲方支付违约金，甲方有权从应付的合同总金额中予以抵扣。如此时的违约行为超过30日的，甲方有权立即解除合同，不再向乙方支付任何合同款项，已支付的款项甲方有权要求返还，并要求乙方承担合同总金额20%的违约金。同时乙方应在合理的期限内将现场的</w:t>
      </w:r>
      <w:r>
        <w:rPr>
          <w:rFonts w:hint="eastAsia" w:ascii="宋体" w:hAnsi="宋体" w:eastAsia="宋体" w:cs="宋体"/>
          <w:color w:val="auto"/>
          <w:sz w:val="28"/>
          <w:szCs w:val="28"/>
          <w:highlight w:val="none"/>
          <w:lang w:val="en-US" w:eastAsia="zh-CN"/>
        </w:rPr>
        <w:t>硬件</w:t>
      </w:r>
      <w:r>
        <w:rPr>
          <w:rFonts w:hint="eastAsia" w:ascii="宋体" w:hAnsi="宋体" w:eastAsia="宋体" w:cs="宋体"/>
          <w:color w:val="auto"/>
          <w:sz w:val="28"/>
          <w:szCs w:val="28"/>
          <w:highlight w:val="none"/>
        </w:rPr>
        <w:t>搬走。未在合理的期限内搬走，甲方有权处置且不承担任何责任。</w:t>
      </w:r>
    </w:p>
    <w:p w14:paraId="30D5D031">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乙方未在约定的时间</w:t>
      </w:r>
      <w:r>
        <w:rPr>
          <w:rFonts w:hint="eastAsia" w:ascii="宋体" w:hAnsi="宋体" w:eastAsia="宋体" w:cs="宋体"/>
          <w:color w:val="auto"/>
          <w:sz w:val="28"/>
          <w:szCs w:val="28"/>
          <w:highlight w:val="none"/>
          <w:lang w:val="en-US" w:eastAsia="zh-CN"/>
        </w:rPr>
        <w:t>进入试运行期</w:t>
      </w:r>
      <w:r>
        <w:rPr>
          <w:rFonts w:hint="eastAsia" w:ascii="宋体" w:hAnsi="宋体" w:eastAsia="宋体" w:cs="宋体"/>
          <w:color w:val="auto"/>
          <w:sz w:val="28"/>
          <w:szCs w:val="28"/>
          <w:highlight w:val="none"/>
        </w:rPr>
        <w:t>，甲方有权立即解除合同，要求乙方返还甲方已支付的合同款项，并要求乙方承担合同总金额20%的违约金。同时乙方</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应合理的期限内将现场的</w:t>
      </w:r>
      <w:r>
        <w:rPr>
          <w:rFonts w:hint="eastAsia" w:ascii="宋体" w:hAnsi="宋体" w:eastAsia="宋体" w:cs="宋体"/>
          <w:color w:val="auto"/>
          <w:sz w:val="28"/>
          <w:szCs w:val="28"/>
          <w:highlight w:val="none"/>
          <w:lang w:val="en-US" w:eastAsia="zh-CN"/>
        </w:rPr>
        <w:t>硬件</w:t>
      </w:r>
      <w:r>
        <w:rPr>
          <w:rFonts w:hint="eastAsia" w:ascii="宋体" w:hAnsi="宋体" w:eastAsia="宋体" w:cs="宋体"/>
          <w:color w:val="auto"/>
          <w:sz w:val="28"/>
          <w:szCs w:val="28"/>
          <w:highlight w:val="none"/>
        </w:rPr>
        <w:t>搬走。未在合理的期限内搬走，甲方有权处置且不承担任何责任。</w:t>
      </w:r>
    </w:p>
    <w:p w14:paraId="15A0B8BA">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在本条规定的情形下解除合同的，除乙方按照本条的第一款和第二款承担责任外，已完成的软件等工作成果的知识产权属于甲方所有。</w:t>
      </w:r>
    </w:p>
    <w:p w14:paraId="51DB71A4">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w:t>
      </w:r>
      <w:r>
        <w:rPr>
          <w:rFonts w:hint="eastAsia" w:ascii="宋体" w:hAnsi="宋体" w:eastAsia="宋体" w:cs="宋体"/>
          <w:color w:val="auto"/>
          <w:sz w:val="28"/>
          <w:szCs w:val="28"/>
          <w:highlight w:val="none"/>
          <w:lang w:val="en-US" w:eastAsia="zh-CN"/>
        </w:rPr>
        <w:t>在硬件质保期及软件维保期内</w:t>
      </w:r>
      <w:r>
        <w:rPr>
          <w:rFonts w:hint="eastAsia" w:ascii="宋体" w:hAnsi="宋体" w:eastAsia="宋体" w:cs="宋体"/>
          <w:color w:val="auto"/>
          <w:sz w:val="28"/>
          <w:szCs w:val="28"/>
          <w:highlight w:val="none"/>
        </w:rPr>
        <w:t>，甲方每年按照合同的约定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en-US" w:eastAsia="zh-CN"/>
        </w:rPr>
        <w:t>文件、投标文件和乙方的承诺</w:t>
      </w:r>
      <w:r>
        <w:rPr>
          <w:rFonts w:hint="eastAsia" w:ascii="宋体" w:hAnsi="宋体" w:eastAsia="宋体" w:cs="宋体"/>
          <w:color w:val="auto"/>
          <w:sz w:val="28"/>
          <w:szCs w:val="28"/>
          <w:highlight w:val="none"/>
        </w:rPr>
        <w:t>等的要求对乙方提供的服务进行考核</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未通过考核，甲方有权要求乙方承担合同总金额的</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%违约金，同时不予退还全部履约保证金。如果因此给甲方造成其他损失的，甲方有权要求乙方承担。考核标准由甲乙双方协商制定。</w:t>
      </w:r>
    </w:p>
    <w:p w14:paraId="6AA371A6">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如果乙方连续两年考核不</w:t>
      </w:r>
      <w:r>
        <w:rPr>
          <w:rFonts w:hint="eastAsia" w:ascii="宋体" w:hAnsi="宋体" w:eastAsia="宋体" w:cs="宋体"/>
          <w:color w:val="auto"/>
          <w:sz w:val="28"/>
          <w:szCs w:val="28"/>
          <w:highlight w:val="none"/>
          <w:lang w:val="en-US" w:eastAsia="zh-CN"/>
        </w:rPr>
        <w:t>通过</w:t>
      </w:r>
      <w:r>
        <w:rPr>
          <w:rFonts w:hint="eastAsia" w:ascii="宋体" w:hAnsi="宋体" w:eastAsia="宋体" w:cs="宋体"/>
          <w:color w:val="auto"/>
          <w:sz w:val="28"/>
          <w:szCs w:val="28"/>
          <w:highlight w:val="none"/>
        </w:rPr>
        <w:t>，甲方有权立即解除合同，要求乙方按照合同总金额的30%承担违约金，同时不予退还全部履约保证金。如果因此给甲方造成其他损失的，甲方有权要求乙方承担。</w:t>
      </w:r>
    </w:p>
    <w:p w14:paraId="1B4BDBAD">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4、甲方无正当理由延迟付款，每逾期一日，应按合同总金额的万分之五向乙方支付违约金。</w:t>
      </w:r>
    </w:p>
    <w:p w14:paraId="483744AE">
      <w:pPr>
        <w:widowControl/>
        <w:spacing w:line="480" w:lineRule="exact"/>
        <w:ind w:firstLine="562" w:firstLineChars="200"/>
        <w:rPr>
          <w:rStyle w:val="23"/>
          <w:rFonts w:hint="eastAsia" w:ascii="宋体" w:hAnsi="宋体" w:cs="宋体"/>
          <w:b/>
          <w:bCs/>
          <w:color w:val="auto"/>
          <w:sz w:val="28"/>
          <w:szCs w:val="28"/>
          <w:highlight w:val="none"/>
        </w:rPr>
      </w:pPr>
      <w:r>
        <w:rPr>
          <w:rStyle w:val="23"/>
          <w:rFonts w:hint="eastAsia" w:ascii="宋体" w:hAnsi="宋体" w:cs="宋体"/>
          <w:b/>
          <w:bCs/>
          <w:color w:val="auto"/>
          <w:sz w:val="28"/>
          <w:szCs w:val="28"/>
          <w:highlight w:val="none"/>
        </w:rPr>
        <w:t>八、不可抗力</w:t>
      </w:r>
    </w:p>
    <w:p w14:paraId="0B528FF8">
      <w:pPr>
        <w:widowControl/>
        <w:spacing w:line="480" w:lineRule="exact"/>
        <w:ind w:firstLine="560" w:firstLineChars="200"/>
        <w:rPr>
          <w:rStyle w:val="29"/>
          <w:rFonts w:ascii="宋体" w:hAnsi="宋体" w:cs="宋体"/>
          <w:color w:val="auto"/>
          <w:sz w:val="28"/>
          <w:szCs w:val="28"/>
          <w:highlight w:val="none"/>
        </w:rPr>
      </w:pPr>
      <w:r>
        <w:rPr>
          <w:rFonts w:hint="eastAsia" w:ascii="宋体" w:hAnsi="宋体" w:eastAsia="宋体" w:cs="宋体"/>
          <w:color w:val="auto"/>
          <w:sz w:val="28"/>
          <w:szCs w:val="28"/>
          <w:highlight w:val="none"/>
        </w:rPr>
        <w:t>甲乙双方的任何一方由于不可抗力的原因不能履行合同时，应及时向对方通知不能履行或不能完全履行理由；在取得有关主管机关证明以后，允许延期履行、部分履行或者不履行合同，并根据情况可部分或全部免予承担违约责任。</w:t>
      </w:r>
    </w:p>
    <w:p w14:paraId="7969DEE1">
      <w:pPr>
        <w:spacing w:line="480" w:lineRule="exact"/>
        <w:ind w:firstLine="562" w:firstLineChars="200"/>
        <w:rPr>
          <w:rStyle w:val="29"/>
          <w:rFonts w:ascii="宋体" w:hAnsi="宋体" w:cs="宋体"/>
          <w:b/>
          <w:color w:val="auto"/>
          <w:sz w:val="28"/>
          <w:szCs w:val="28"/>
          <w:highlight w:val="none"/>
        </w:rPr>
      </w:pPr>
      <w:r>
        <w:rPr>
          <w:rStyle w:val="29"/>
          <w:rFonts w:hint="eastAsia" w:ascii="宋体" w:hAnsi="宋体" w:cs="宋体"/>
          <w:b/>
          <w:color w:val="auto"/>
          <w:sz w:val="28"/>
          <w:szCs w:val="28"/>
          <w:highlight w:val="none"/>
        </w:rPr>
        <w:t>九</w:t>
      </w:r>
      <w:r>
        <w:rPr>
          <w:rStyle w:val="29"/>
          <w:rFonts w:ascii="宋体" w:hAnsi="宋体" w:cs="宋体"/>
          <w:b/>
          <w:color w:val="auto"/>
          <w:sz w:val="28"/>
          <w:szCs w:val="28"/>
          <w:highlight w:val="none"/>
        </w:rPr>
        <w:t>、争议解决</w:t>
      </w:r>
    </w:p>
    <w:p w14:paraId="6D984A02">
      <w:pPr>
        <w:spacing w:line="48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因本合同及有关事项发生的争议，由双方协商解决；协商不成的，选择下列第</w:t>
      </w: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种方式解决：</w:t>
      </w:r>
    </w:p>
    <w:p w14:paraId="065C1AB4">
      <w:pPr>
        <w:spacing w:line="480" w:lineRule="exact"/>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1.提交人民调解委员会调解。</w:t>
      </w:r>
    </w:p>
    <w:p w14:paraId="16791521">
      <w:pPr>
        <w:spacing w:line="480" w:lineRule="exact"/>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2.向太原仲裁委员会提起仲裁。</w:t>
      </w:r>
    </w:p>
    <w:p w14:paraId="3E2C4D22">
      <w:pPr>
        <w:spacing w:line="480" w:lineRule="exact"/>
        <w:ind w:firstLine="560" w:firstLineChars="200"/>
        <w:rPr>
          <w:rFonts w:ascii="宋体" w:hAnsi="宋体" w:eastAsia="宋体" w:cs="宋体"/>
          <w:b/>
          <w:color w:val="auto"/>
          <w:sz w:val="28"/>
          <w:szCs w:val="28"/>
          <w:highlight w:val="none"/>
        </w:rPr>
      </w:pPr>
      <w:r>
        <w:rPr>
          <w:rFonts w:ascii="宋体" w:hAnsi="宋体" w:eastAsia="宋体" w:cs="宋体"/>
          <w:bCs/>
          <w:color w:val="auto"/>
          <w:sz w:val="28"/>
          <w:szCs w:val="28"/>
          <w:highlight w:val="none"/>
        </w:rPr>
        <w:t>3.向甲方所在地法院提出诉讼。</w:t>
      </w:r>
    </w:p>
    <w:p w14:paraId="4497E964">
      <w:pPr>
        <w:spacing w:line="480" w:lineRule="exact"/>
        <w:ind w:firstLine="562" w:firstLineChars="200"/>
        <w:rPr>
          <w:rStyle w:val="29"/>
          <w:rFonts w:ascii="宋体" w:hAnsi="宋体" w:cs="宋体"/>
          <w:b/>
          <w:color w:val="auto"/>
          <w:sz w:val="28"/>
          <w:szCs w:val="28"/>
          <w:highlight w:val="none"/>
        </w:rPr>
      </w:pPr>
      <w:r>
        <w:rPr>
          <w:rStyle w:val="29"/>
          <w:rFonts w:ascii="宋体" w:hAnsi="宋体" w:cs="宋体"/>
          <w:b/>
          <w:color w:val="auto"/>
          <w:sz w:val="28"/>
          <w:szCs w:val="28"/>
          <w:highlight w:val="none"/>
        </w:rPr>
        <w:t>十、合同</w:t>
      </w:r>
      <w:r>
        <w:rPr>
          <w:rStyle w:val="29"/>
          <w:rFonts w:hint="eastAsia" w:ascii="宋体" w:hAnsi="宋体" w:cs="宋体"/>
          <w:b/>
          <w:color w:val="auto"/>
          <w:sz w:val="28"/>
          <w:szCs w:val="28"/>
          <w:highlight w:val="none"/>
        </w:rPr>
        <w:t>生效和份数</w:t>
      </w:r>
    </w:p>
    <w:p w14:paraId="12E18B94">
      <w:pPr>
        <w:spacing w:line="480" w:lineRule="exact"/>
        <w:ind w:firstLine="560" w:firstLineChars="200"/>
        <w:rPr>
          <w:rFonts w:ascii="宋体" w:hAnsi="宋体" w:eastAsia="宋体" w:cs="宋体"/>
          <w:color w:val="auto"/>
          <w:sz w:val="28"/>
          <w:szCs w:val="28"/>
          <w:highlight w:val="none"/>
        </w:rPr>
      </w:pPr>
      <w:r>
        <w:rPr>
          <w:rStyle w:val="29"/>
          <w:rFonts w:ascii="宋体" w:hAnsi="宋体" w:cs="宋体"/>
          <w:color w:val="auto"/>
          <w:sz w:val="28"/>
          <w:szCs w:val="28"/>
          <w:highlight w:val="none"/>
        </w:rPr>
        <w:t>1.合同经过</w:t>
      </w:r>
      <w:r>
        <w:rPr>
          <w:rStyle w:val="29"/>
          <w:rFonts w:hint="eastAsia" w:ascii="宋体" w:hAnsi="宋体" w:cs="宋体"/>
          <w:color w:val="auto"/>
          <w:sz w:val="28"/>
          <w:szCs w:val="28"/>
          <w:highlight w:val="none"/>
        </w:rPr>
        <w:t>甲乙</w:t>
      </w:r>
      <w:r>
        <w:rPr>
          <w:rFonts w:hint="eastAsia" w:ascii="宋体" w:hAnsi="宋体" w:eastAsia="宋体" w:cs="宋体"/>
          <w:color w:val="auto"/>
          <w:sz w:val="28"/>
          <w:szCs w:val="28"/>
          <w:highlight w:val="none"/>
        </w:rPr>
        <w:t>双方法定代表人签字（或盖章）并加盖单位公章后即行生效。</w:t>
      </w:r>
    </w:p>
    <w:p w14:paraId="71B475F8">
      <w:pPr>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2.本合同一式</w:t>
      </w:r>
      <w:r>
        <w:rPr>
          <w:rStyle w:val="29"/>
          <w:rFonts w:hint="eastAsia" w:ascii="宋体" w:hAnsi="宋体" w:cs="宋体"/>
          <w:color w:val="auto"/>
          <w:sz w:val="28"/>
          <w:szCs w:val="28"/>
          <w:highlight w:val="none"/>
        </w:rPr>
        <w:t>肆</w:t>
      </w:r>
      <w:r>
        <w:rPr>
          <w:rStyle w:val="29"/>
          <w:rFonts w:ascii="宋体" w:hAnsi="宋体" w:cs="宋体"/>
          <w:color w:val="auto"/>
          <w:sz w:val="28"/>
          <w:szCs w:val="28"/>
          <w:highlight w:val="none"/>
        </w:rPr>
        <w:t>份，</w:t>
      </w:r>
      <w:r>
        <w:rPr>
          <w:rStyle w:val="29"/>
          <w:rFonts w:hint="eastAsia" w:ascii="宋体" w:hAnsi="宋体" w:cs="宋体"/>
          <w:color w:val="auto"/>
          <w:sz w:val="28"/>
          <w:szCs w:val="28"/>
          <w:highlight w:val="none"/>
        </w:rPr>
        <w:t>甲</w:t>
      </w:r>
      <w:r>
        <w:rPr>
          <w:rStyle w:val="29"/>
          <w:rFonts w:ascii="宋体" w:hAnsi="宋体" w:cs="宋体"/>
          <w:color w:val="auto"/>
          <w:sz w:val="28"/>
          <w:szCs w:val="28"/>
          <w:highlight w:val="none"/>
        </w:rPr>
        <w:t>方叁份</w:t>
      </w:r>
      <w:r>
        <w:rPr>
          <w:rStyle w:val="29"/>
          <w:rFonts w:hint="eastAsia" w:ascii="宋体" w:hAnsi="宋体" w:cs="宋体"/>
          <w:color w:val="auto"/>
          <w:sz w:val="28"/>
          <w:szCs w:val="28"/>
          <w:highlight w:val="none"/>
        </w:rPr>
        <w:t>，乙</w:t>
      </w:r>
      <w:r>
        <w:rPr>
          <w:rStyle w:val="29"/>
          <w:rFonts w:ascii="宋体" w:hAnsi="宋体" w:cs="宋体"/>
          <w:color w:val="auto"/>
          <w:sz w:val="28"/>
          <w:szCs w:val="28"/>
          <w:highlight w:val="none"/>
        </w:rPr>
        <w:t>方壹份</w:t>
      </w:r>
      <w:r>
        <w:rPr>
          <w:rStyle w:val="29"/>
          <w:rFonts w:hint="eastAsia" w:ascii="宋体" w:hAnsi="宋体" w:cs="宋体"/>
          <w:color w:val="auto"/>
          <w:sz w:val="28"/>
          <w:szCs w:val="28"/>
          <w:highlight w:val="none"/>
        </w:rPr>
        <w:t>，均具有同等法律效力</w:t>
      </w:r>
      <w:r>
        <w:rPr>
          <w:rStyle w:val="29"/>
          <w:rFonts w:ascii="宋体" w:hAnsi="宋体" w:cs="宋体"/>
          <w:color w:val="auto"/>
          <w:sz w:val="28"/>
          <w:szCs w:val="28"/>
          <w:highlight w:val="none"/>
        </w:rPr>
        <w:t>。</w:t>
      </w:r>
    </w:p>
    <w:p w14:paraId="331E96B1">
      <w:pPr>
        <w:spacing w:line="480" w:lineRule="exact"/>
        <w:ind w:firstLine="562" w:firstLineChars="200"/>
        <w:rPr>
          <w:rStyle w:val="29"/>
          <w:rFonts w:ascii="宋体" w:hAnsi="宋体" w:cs="宋体"/>
          <w:b/>
          <w:color w:val="auto"/>
          <w:sz w:val="28"/>
          <w:szCs w:val="28"/>
          <w:highlight w:val="none"/>
        </w:rPr>
      </w:pPr>
      <w:r>
        <w:rPr>
          <w:rStyle w:val="29"/>
          <w:rFonts w:ascii="宋体" w:hAnsi="宋体" w:cs="宋体"/>
          <w:b/>
          <w:color w:val="auto"/>
          <w:sz w:val="28"/>
          <w:szCs w:val="28"/>
          <w:highlight w:val="none"/>
        </w:rPr>
        <w:t>十</w:t>
      </w:r>
      <w:r>
        <w:rPr>
          <w:rStyle w:val="29"/>
          <w:rFonts w:hint="eastAsia" w:ascii="宋体" w:hAnsi="宋体" w:cs="宋体"/>
          <w:b/>
          <w:color w:val="auto"/>
          <w:sz w:val="28"/>
          <w:szCs w:val="28"/>
          <w:highlight w:val="none"/>
        </w:rPr>
        <w:t>一</w:t>
      </w:r>
      <w:r>
        <w:rPr>
          <w:rStyle w:val="29"/>
          <w:rFonts w:ascii="宋体" w:hAnsi="宋体" w:cs="宋体"/>
          <w:b/>
          <w:color w:val="auto"/>
          <w:sz w:val="28"/>
          <w:szCs w:val="28"/>
          <w:highlight w:val="none"/>
        </w:rPr>
        <w:t>、下列文件为本合同不可分割部分</w:t>
      </w:r>
    </w:p>
    <w:p w14:paraId="3787D7D9">
      <w:pPr>
        <w:spacing w:line="480" w:lineRule="exact"/>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1.采购文件；2.投标（或响应）文件；3.中标（成交）通知书；4.乙方所作的其他承诺。</w:t>
      </w:r>
    </w:p>
    <w:p w14:paraId="7170679C">
      <w:pPr>
        <w:spacing w:line="480" w:lineRule="exact"/>
        <w:ind w:firstLine="562" w:firstLineChars="2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（以下无正文，系签署页）</w:t>
      </w:r>
    </w:p>
    <w:p w14:paraId="0043CC54">
      <w:pPr>
        <w:spacing w:line="480" w:lineRule="exact"/>
        <w:ind w:firstLine="480" w:firstLineChars="200"/>
        <w:rPr>
          <w:rFonts w:ascii="宋体" w:hAnsi="宋体" w:eastAsia="宋体" w:cs="宋体"/>
          <w:color w:val="auto"/>
          <w:sz w:val="24"/>
          <w:highlight w:val="none"/>
        </w:rPr>
      </w:pPr>
    </w:p>
    <w:p w14:paraId="44026159">
      <w:pPr>
        <w:pStyle w:val="13"/>
        <w:spacing w:line="480" w:lineRule="exact"/>
        <w:ind w:firstLine="560" w:firstLineChars="200"/>
        <w:rPr>
          <w:rStyle w:val="29"/>
          <w:rFonts w:ascii="宋体" w:hAnsi="宋体" w:cs="宋体"/>
          <w:color w:val="auto"/>
          <w:sz w:val="28"/>
          <w:szCs w:val="28"/>
          <w:highlight w:val="none"/>
        </w:rPr>
      </w:pPr>
    </w:p>
    <w:p w14:paraId="2A5D5AF7">
      <w:pPr>
        <w:spacing w:line="480" w:lineRule="exact"/>
        <w:ind w:firstLine="560" w:firstLineChars="200"/>
        <w:rPr>
          <w:rStyle w:val="29"/>
          <w:rFonts w:ascii="宋体" w:hAnsi="宋体" w:cs="宋体"/>
          <w:color w:val="auto"/>
          <w:sz w:val="28"/>
          <w:szCs w:val="28"/>
          <w:highlight w:val="none"/>
        </w:rPr>
      </w:pPr>
      <w:r>
        <w:rPr>
          <w:rStyle w:val="29"/>
          <w:rFonts w:hint="eastAsia" w:ascii="宋体" w:hAnsi="宋体" w:cs="宋体"/>
          <w:color w:val="auto"/>
          <w:sz w:val="28"/>
          <w:szCs w:val="28"/>
          <w:highlight w:val="none"/>
        </w:rPr>
        <w:t>甲方</w:t>
      </w:r>
      <w:r>
        <w:rPr>
          <w:rStyle w:val="29"/>
          <w:rFonts w:ascii="宋体" w:hAnsi="宋体" w:cs="宋体"/>
          <w:color w:val="auto"/>
          <w:sz w:val="28"/>
          <w:szCs w:val="28"/>
          <w:highlight w:val="none"/>
        </w:rPr>
        <w:t xml:space="preserve">（章）：  中北大学         </w:t>
      </w:r>
      <w:r>
        <w:rPr>
          <w:rStyle w:val="29"/>
          <w:rFonts w:hint="eastAsia" w:ascii="宋体" w:hAnsi="宋体" w:cs="宋体"/>
          <w:color w:val="auto"/>
          <w:sz w:val="28"/>
          <w:szCs w:val="28"/>
          <w:highlight w:val="none"/>
        </w:rPr>
        <w:t>乙</w:t>
      </w:r>
      <w:r>
        <w:rPr>
          <w:rStyle w:val="29"/>
          <w:rFonts w:ascii="宋体" w:hAnsi="宋体" w:cs="宋体"/>
          <w:color w:val="auto"/>
          <w:sz w:val="28"/>
          <w:szCs w:val="28"/>
          <w:highlight w:val="none"/>
        </w:rPr>
        <w:t>方（章）：</w:t>
      </w:r>
    </w:p>
    <w:p w14:paraId="5A779078">
      <w:pPr>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法定代表人（签字</w:t>
      </w:r>
      <w:r>
        <w:rPr>
          <w:rStyle w:val="29"/>
          <w:rFonts w:hint="eastAsia" w:ascii="宋体" w:hAnsi="宋体" w:cs="宋体"/>
          <w:color w:val="auto"/>
          <w:sz w:val="28"/>
          <w:szCs w:val="28"/>
          <w:highlight w:val="none"/>
        </w:rPr>
        <w:t>或盖章</w:t>
      </w:r>
      <w:r>
        <w:rPr>
          <w:rStyle w:val="29"/>
          <w:rFonts w:ascii="宋体" w:hAnsi="宋体" w:cs="宋体"/>
          <w:color w:val="auto"/>
          <w:sz w:val="28"/>
          <w:szCs w:val="28"/>
          <w:highlight w:val="none"/>
        </w:rPr>
        <w:t>）：     法定代表人（签字</w:t>
      </w:r>
      <w:r>
        <w:rPr>
          <w:rStyle w:val="29"/>
          <w:rFonts w:hint="eastAsia" w:ascii="宋体" w:hAnsi="宋体" w:cs="宋体"/>
          <w:color w:val="auto"/>
          <w:sz w:val="28"/>
          <w:szCs w:val="28"/>
          <w:highlight w:val="none"/>
        </w:rPr>
        <w:t>或盖章</w:t>
      </w:r>
      <w:r>
        <w:rPr>
          <w:rStyle w:val="29"/>
          <w:rFonts w:ascii="宋体" w:hAnsi="宋体" w:cs="宋体"/>
          <w:color w:val="auto"/>
          <w:sz w:val="28"/>
          <w:szCs w:val="28"/>
          <w:highlight w:val="none"/>
        </w:rPr>
        <w:t>）：</w:t>
      </w:r>
    </w:p>
    <w:p w14:paraId="37EE2429">
      <w:pPr>
        <w:spacing w:line="480" w:lineRule="exact"/>
        <w:ind w:firstLine="560" w:firstLineChars="200"/>
        <w:rPr>
          <w:rStyle w:val="29"/>
          <w:rFonts w:ascii="宋体" w:hAnsi="宋体" w:cs="宋体"/>
          <w:color w:val="auto"/>
          <w:sz w:val="28"/>
          <w:szCs w:val="28"/>
          <w:highlight w:val="none"/>
        </w:rPr>
      </w:pPr>
      <w:r>
        <w:rPr>
          <w:rStyle w:val="29"/>
          <w:rFonts w:hint="eastAsia" w:ascii="宋体" w:hAnsi="宋体" w:cs="宋体"/>
          <w:color w:val="auto"/>
          <w:sz w:val="28"/>
          <w:szCs w:val="28"/>
          <w:highlight w:val="none"/>
        </w:rPr>
        <w:t>采购项目联系人</w:t>
      </w:r>
      <w:r>
        <w:rPr>
          <w:rStyle w:val="29"/>
          <w:rFonts w:ascii="宋体" w:hAnsi="宋体" w:cs="宋体"/>
          <w:color w:val="auto"/>
          <w:sz w:val="28"/>
          <w:szCs w:val="28"/>
          <w:highlight w:val="none"/>
        </w:rPr>
        <w:t>（签字）：       委托代理人（签字）：</w:t>
      </w:r>
    </w:p>
    <w:p w14:paraId="45EE0732">
      <w:pPr>
        <w:spacing w:line="480" w:lineRule="exact"/>
        <w:ind w:firstLine="560" w:firstLineChars="200"/>
        <w:rPr>
          <w:rStyle w:val="29"/>
          <w:rFonts w:ascii="宋体" w:hAnsi="宋体" w:cs="宋体"/>
          <w:color w:val="auto"/>
          <w:spacing w:val="-20"/>
          <w:sz w:val="28"/>
          <w:szCs w:val="28"/>
          <w:highlight w:val="none"/>
        </w:rPr>
      </w:pPr>
      <w:r>
        <w:rPr>
          <w:rStyle w:val="29"/>
          <w:rFonts w:ascii="宋体" w:hAnsi="宋体" w:cs="宋体"/>
          <w:color w:val="auto"/>
          <w:sz w:val="28"/>
          <w:szCs w:val="28"/>
          <w:highlight w:val="none"/>
        </w:rPr>
        <w:t xml:space="preserve">                                   地址：</w:t>
      </w:r>
    </w:p>
    <w:p w14:paraId="5796DBE2">
      <w:pPr>
        <w:spacing w:line="480" w:lineRule="exact"/>
        <w:ind w:firstLine="560" w:firstLineChars="200"/>
        <w:rPr>
          <w:rStyle w:val="29"/>
          <w:rFonts w:ascii="宋体" w:hAnsi="宋体" w:cs="宋体"/>
          <w:color w:val="auto"/>
          <w:sz w:val="28"/>
          <w:szCs w:val="28"/>
          <w:highlight w:val="none"/>
        </w:rPr>
      </w:pPr>
      <w:r>
        <w:rPr>
          <w:rStyle w:val="29"/>
          <w:rFonts w:hint="eastAsia" w:ascii="宋体" w:hAnsi="宋体" w:cs="宋体"/>
          <w:color w:val="auto"/>
          <w:sz w:val="28"/>
          <w:szCs w:val="28"/>
          <w:highlight w:val="none"/>
        </w:rPr>
        <w:t>项目</w:t>
      </w:r>
      <w:r>
        <w:rPr>
          <w:rStyle w:val="29"/>
          <w:rFonts w:ascii="宋体" w:hAnsi="宋体" w:cs="宋体"/>
          <w:color w:val="auto"/>
          <w:sz w:val="28"/>
          <w:szCs w:val="28"/>
          <w:highlight w:val="none"/>
        </w:rPr>
        <w:t>负责人（签字）：           电话：</w:t>
      </w:r>
    </w:p>
    <w:p w14:paraId="517E5B52">
      <w:pPr>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 xml:space="preserve">                              </w:t>
      </w:r>
      <w:r>
        <w:rPr>
          <w:rStyle w:val="29"/>
          <w:rFonts w:hint="eastAsia" w:ascii="宋体" w:hAnsi="宋体" w:cs="宋体"/>
          <w:color w:val="auto"/>
          <w:sz w:val="28"/>
          <w:szCs w:val="28"/>
          <w:highlight w:val="none"/>
        </w:rPr>
        <w:t>开</w:t>
      </w:r>
      <w:r>
        <w:rPr>
          <w:rStyle w:val="29"/>
          <w:rFonts w:ascii="宋体" w:hAnsi="宋体" w:cs="宋体"/>
          <w:color w:val="auto"/>
          <w:sz w:val="28"/>
          <w:szCs w:val="28"/>
          <w:highlight w:val="none"/>
        </w:rPr>
        <w:t>户银行：</w:t>
      </w:r>
    </w:p>
    <w:p w14:paraId="77823A0B">
      <w:pPr>
        <w:spacing w:line="480" w:lineRule="exact"/>
        <w:ind w:firstLine="560" w:firstLineChars="200"/>
        <w:rPr>
          <w:rStyle w:val="29"/>
          <w:rFonts w:ascii="宋体" w:hAnsi="宋体" w:cs="宋体"/>
          <w:color w:val="auto"/>
          <w:sz w:val="28"/>
          <w:szCs w:val="28"/>
          <w:highlight w:val="none"/>
        </w:rPr>
      </w:pPr>
      <w:r>
        <w:rPr>
          <w:rStyle w:val="29"/>
          <w:rFonts w:ascii="宋体" w:hAnsi="宋体" w:cs="宋体"/>
          <w:color w:val="auto"/>
          <w:sz w:val="28"/>
          <w:szCs w:val="28"/>
          <w:highlight w:val="none"/>
        </w:rPr>
        <w:t>电话：                        银行行号：</w:t>
      </w:r>
    </w:p>
    <w:p w14:paraId="59F9AF5B">
      <w:pPr>
        <w:spacing w:line="480" w:lineRule="exact"/>
        <w:ind w:firstLine="560" w:firstLineChars="200"/>
        <w:rPr>
          <w:rStyle w:val="29"/>
          <w:rFonts w:ascii="宋体" w:hAnsi="宋体" w:cs="宋体"/>
          <w:color w:val="auto"/>
          <w:sz w:val="28"/>
          <w:szCs w:val="28"/>
          <w:highlight w:val="none"/>
        </w:rPr>
      </w:pPr>
      <w:r>
        <w:rPr>
          <w:rStyle w:val="29"/>
          <w:rFonts w:hint="eastAsia" w:ascii="宋体" w:hAnsi="宋体" w:cs="宋体"/>
          <w:color w:val="auto"/>
          <w:sz w:val="28"/>
          <w:szCs w:val="28"/>
          <w:highlight w:val="none"/>
        </w:rPr>
        <w:t>账</w:t>
      </w:r>
      <w:r>
        <w:rPr>
          <w:rStyle w:val="29"/>
          <w:rFonts w:ascii="宋体" w:hAnsi="宋体" w:cs="宋体"/>
          <w:color w:val="auto"/>
          <w:sz w:val="28"/>
          <w:szCs w:val="28"/>
          <w:highlight w:val="none"/>
        </w:rPr>
        <w:t>号：</w:t>
      </w:r>
    </w:p>
    <w:p w14:paraId="5AC91D89">
      <w:pPr>
        <w:spacing w:line="480" w:lineRule="exact"/>
        <w:ind w:firstLine="560" w:firstLineChars="200"/>
        <w:rPr>
          <w:rStyle w:val="29"/>
          <w:rFonts w:ascii="宋体" w:hAnsi="宋体" w:cs="宋体"/>
          <w:color w:val="auto"/>
          <w:sz w:val="28"/>
          <w:szCs w:val="28"/>
          <w:highlight w:val="none"/>
        </w:rPr>
      </w:pPr>
      <w:r>
        <w:rPr>
          <w:rStyle w:val="29"/>
          <w:rFonts w:hint="eastAsia" w:ascii="宋体" w:hAnsi="宋体" w:cs="宋体"/>
          <w:color w:val="auto"/>
          <w:sz w:val="28"/>
          <w:szCs w:val="28"/>
          <w:highlight w:val="none"/>
        </w:rPr>
        <w:t>签订合同</w:t>
      </w:r>
      <w:r>
        <w:rPr>
          <w:rStyle w:val="29"/>
          <w:rFonts w:ascii="宋体" w:hAnsi="宋体" w:cs="宋体"/>
          <w:color w:val="auto"/>
          <w:sz w:val="28"/>
          <w:szCs w:val="28"/>
          <w:highlight w:val="none"/>
        </w:rPr>
        <w:t xml:space="preserve">日期：   年  月   日         </w:t>
      </w:r>
    </w:p>
    <w:p w14:paraId="0D26E98D">
      <w:pPr>
        <w:spacing w:line="220" w:lineRule="atLeast"/>
        <w:rPr>
          <w:rFonts w:hint="eastAsia" w:ascii="宋体" w:hAnsi="宋体" w:eastAsia="宋体" w:cs="宋体"/>
          <w:b/>
          <w:sz w:val="24"/>
          <w:szCs w:val="24"/>
        </w:rPr>
      </w:pPr>
    </w:p>
    <w:p w14:paraId="28BFFDB5">
      <w:pPr>
        <w:bidi w:val="0"/>
        <w:rPr>
          <w:rFonts w:hint="eastAsia" w:ascii="宋体" w:hAnsi="宋体" w:eastAsia="宋体" w:cs="宋体"/>
        </w:rPr>
      </w:pPr>
    </w:p>
    <w:p w14:paraId="4DA34A19">
      <w:pPr>
        <w:bidi w:val="0"/>
        <w:rPr>
          <w:rFonts w:hint="eastAsia" w:ascii="宋体" w:hAnsi="宋体" w:eastAsia="宋体" w:cs="宋体"/>
        </w:rPr>
      </w:pPr>
    </w:p>
    <w:p w14:paraId="2753FAB7">
      <w:pPr>
        <w:pStyle w:val="8"/>
        <w:rPr>
          <w:rFonts w:hint="eastAsia" w:ascii="宋体" w:hAnsi="宋体" w:eastAsia="宋体" w:cs="宋体"/>
        </w:rPr>
      </w:pPr>
    </w:p>
    <w:p w14:paraId="4AB7255D">
      <w:pPr>
        <w:rPr>
          <w:rFonts w:hint="eastAsia" w:ascii="宋体" w:hAnsi="宋体" w:cs="宋体"/>
          <w:b/>
          <w:bCs/>
          <w:sz w:val="28"/>
          <w:szCs w:val="24"/>
          <w:lang w:val="en-US" w:eastAsia="zh-CN"/>
        </w:rPr>
      </w:pPr>
      <w:r>
        <w:rPr>
          <w:rFonts w:hint="eastAsia" w:ascii="宋体" w:hAnsi="宋体" w:cs="宋体"/>
          <w:b/>
          <w:bCs/>
          <w:sz w:val="28"/>
          <w:szCs w:val="24"/>
          <w:lang w:val="en-US" w:eastAsia="zh-CN"/>
        </w:rPr>
        <w:br w:type="page"/>
      </w:r>
    </w:p>
    <w:p w14:paraId="4839ED2D">
      <w:pPr>
        <w:pStyle w:val="8"/>
        <w:rPr>
          <w:rFonts w:hint="default" w:ascii="宋体" w:hAnsi="宋体" w:eastAsia="宋体" w:cs="宋体"/>
          <w:b/>
          <w:bCs/>
          <w:sz w:val="28"/>
          <w:szCs w:val="24"/>
          <w:lang w:val="en-US" w:eastAsia="zh-CN"/>
        </w:rPr>
      </w:pPr>
      <w:r>
        <w:rPr>
          <w:rFonts w:hint="eastAsia" w:ascii="宋体" w:hAnsi="宋体" w:cs="宋体"/>
          <w:b/>
          <w:bCs/>
          <w:sz w:val="28"/>
          <w:szCs w:val="24"/>
          <w:lang w:val="en-US" w:eastAsia="zh-CN"/>
        </w:rPr>
        <w:t>附件：</w:t>
      </w:r>
    </w:p>
    <w:p w14:paraId="5D296570">
      <w:pPr>
        <w:pStyle w:val="8"/>
        <w:rPr>
          <w:rFonts w:hint="eastAsia" w:ascii="宋体" w:hAnsi="宋体" w:eastAsia="宋体" w:cs="宋体"/>
        </w:rPr>
      </w:pPr>
    </w:p>
    <w:p w14:paraId="4C48674C">
      <w:pPr>
        <w:spacing w:line="220" w:lineRule="atLeast"/>
        <w:rPr>
          <w:rFonts w:hint="eastAsia" w:ascii="宋体" w:hAnsi="宋体" w:eastAsia="宋体" w:cs="宋体"/>
          <w:b/>
          <w:sz w:val="24"/>
          <w:szCs w:val="24"/>
        </w:rPr>
      </w:pPr>
    </w:p>
    <w:p w14:paraId="2AFE484E">
      <w:pPr>
        <w:bidi w:val="0"/>
        <w:rPr>
          <w:rFonts w:hint="eastAsia" w:ascii="宋体" w:hAnsi="宋体" w:eastAsia="宋体" w:cs="宋体"/>
        </w:rPr>
      </w:pPr>
    </w:p>
    <w:p w14:paraId="471D923B">
      <w:pPr>
        <w:bidi w:val="0"/>
        <w:rPr>
          <w:rFonts w:hint="eastAsia" w:ascii="宋体" w:hAnsi="宋体" w:eastAsia="宋体" w:cs="宋体"/>
        </w:rPr>
      </w:pPr>
    </w:p>
    <w:p w14:paraId="50E8D2BE">
      <w:pPr>
        <w:pStyle w:val="8"/>
        <w:rPr>
          <w:rFonts w:hint="eastAsia" w:ascii="宋体" w:hAnsi="宋体" w:eastAsia="宋体" w:cs="宋体"/>
        </w:rPr>
      </w:pPr>
    </w:p>
    <w:p w14:paraId="5306E327">
      <w:pPr>
        <w:pStyle w:val="8"/>
        <w:rPr>
          <w:rFonts w:hint="eastAsia" w:ascii="宋体" w:hAnsi="宋体" w:eastAsia="宋体" w:cs="宋体"/>
        </w:rPr>
      </w:pPr>
    </w:p>
    <w:p w14:paraId="16D76D52">
      <w:pPr>
        <w:pStyle w:val="8"/>
        <w:rPr>
          <w:rFonts w:hint="eastAsia" w:ascii="宋体" w:hAnsi="宋体" w:eastAsia="宋体" w:cs="宋体"/>
        </w:rPr>
      </w:pPr>
    </w:p>
    <w:p w14:paraId="0EF1F6AB">
      <w:pPr>
        <w:pStyle w:val="8"/>
        <w:rPr>
          <w:rFonts w:hint="eastAsia" w:ascii="宋体" w:hAnsi="宋体" w:eastAsia="宋体" w:cs="宋体"/>
        </w:rPr>
      </w:pPr>
    </w:p>
    <w:p w14:paraId="6BA9BAD3">
      <w:pPr>
        <w:pStyle w:val="8"/>
        <w:rPr>
          <w:rFonts w:hint="eastAsia" w:ascii="宋体" w:hAnsi="宋体" w:eastAsia="宋体" w:cs="宋体"/>
        </w:rPr>
      </w:pPr>
    </w:p>
    <w:p w14:paraId="75E1DBCC">
      <w:pPr>
        <w:pStyle w:val="8"/>
        <w:rPr>
          <w:rFonts w:hint="eastAsia" w:ascii="宋体" w:hAnsi="宋体" w:eastAsia="宋体" w:cs="宋体"/>
        </w:rPr>
      </w:pPr>
    </w:p>
    <w:p w14:paraId="57B57147">
      <w:pPr>
        <w:bidi w:val="0"/>
        <w:rPr>
          <w:rFonts w:hint="eastAsia"/>
        </w:rPr>
      </w:pPr>
      <w:bookmarkStart w:id="139" w:name="_Toc4834"/>
    </w:p>
    <w:p w14:paraId="504629AA">
      <w:pPr>
        <w:rPr>
          <w:rFonts w:hint="eastAsia" w:ascii="宋体" w:hAnsi="宋体" w:eastAsia="宋体" w:cs="宋体"/>
        </w:rPr>
        <w:sectPr>
          <w:headerReference r:id="rId17" w:type="default"/>
          <w:footerReference r:id="rId18" w:type="default"/>
          <w:pgSz w:w="11905" w:h="16838"/>
          <w:pgMar w:top="1440" w:right="1080" w:bottom="1440" w:left="1080" w:header="1020" w:footer="1020" w:gutter="0"/>
          <w:pgNumType w:fmt="decimal"/>
          <w:cols w:space="0" w:num="1"/>
          <w:docGrid w:linePitch="312" w:charSpace="0"/>
        </w:sectPr>
      </w:pPr>
      <w:r>
        <w:rPr>
          <w:rFonts w:hint="eastAsia" w:ascii="宋体" w:hAnsi="宋体" w:eastAsia="宋体" w:cs="宋体"/>
        </w:rPr>
        <w:br w:type="page"/>
      </w:r>
    </w:p>
    <w:p w14:paraId="50642CD6">
      <w:pPr>
        <w:rPr>
          <w:rFonts w:hint="eastAsia" w:ascii="宋体" w:hAnsi="宋体" w:eastAsia="宋体" w:cs="宋体"/>
        </w:rPr>
      </w:pPr>
    </w:p>
    <w:p w14:paraId="0995BDA0">
      <w:pPr>
        <w:pStyle w:val="2"/>
        <w:bidi w:val="0"/>
        <w:rPr>
          <w:rFonts w:hint="eastAsia" w:ascii="宋体" w:hAnsi="宋体" w:eastAsia="宋体" w:cs="宋体"/>
        </w:rPr>
      </w:pPr>
      <w:r>
        <w:rPr>
          <w:rFonts w:hint="eastAsia" w:ascii="宋体" w:hAnsi="宋体" w:eastAsia="宋体" w:cs="宋体"/>
        </w:rPr>
        <w:t xml:space="preserve">第六部分  </w:t>
      </w:r>
      <w:bookmarkStart w:id="140" w:name="_Toc86202632"/>
      <w:r>
        <w:rPr>
          <w:rFonts w:hint="eastAsia" w:ascii="宋体" w:hAnsi="宋体" w:eastAsia="宋体" w:cs="宋体"/>
        </w:rPr>
        <w:t>投标文件格式</w:t>
      </w:r>
      <w:bookmarkEnd w:id="137"/>
      <w:bookmarkEnd w:id="138"/>
      <w:bookmarkEnd w:id="139"/>
      <w:bookmarkEnd w:id="140"/>
    </w:p>
    <w:p w14:paraId="240A55CF">
      <w:pPr>
        <w:jc w:val="left"/>
        <w:rPr>
          <w:rFonts w:hint="eastAsia" w:ascii="宋体" w:hAnsi="宋体" w:eastAsia="宋体" w:cs="宋体"/>
          <w:kern w:val="0"/>
          <w:szCs w:val="21"/>
        </w:rPr>
      </w:pPr>
    </w:p>
    <w:p w14:paraId="0CAFB4FB">
      <w:pPr>
        <w:widowControl/>
        <w:snapToGrid w:val="0"/>
        <w:spacing w:line="300" w:lineRule="auto"/>
        <w:rPr>
          <w:rFonts w:hint="eastAsia" w:ascii="宋体" w:hAnsi="宋体" w:eastAsia="宋体" w:cs="宋体"/>
          <w:b/>
          <w:bCs/>
          <w:kern w:val="0"/>
          <w:sz w:val="52"/>
          <w:szCs w:val="52"/>
          <w:u w:val="single"/>
        </w:rPr>
      </w:pPr>
    </w:p>
    <w:p w14:paraId="524B04B4">
      <w:pPr>
        <w:spacing w:line="300" w:lineRule="auto"/>
        <w:jc w:val="center"/>
        <w:rPr>
          <w:rFonts w:hint="eastAsia" w:ascii="宋体" w:hAnsi="宋体" w:eastAsia="宋体" w:cs="宋体"/>
          <w:b/>
          <w:sz w:val="36"/>
          <w:szCs w:val="36"/>
          <w:lang w:eastAsia="zh-CN"/>
        </w:rPr>
      </w:pPr>
      <w:r>
        <w:rPr>
          <w:rFonts w:hint="eastAsia" w:ascii="宋体" w:hAnsi="宋体" w:eastAsia="宋体" w:cs="宋体"/>
          <w:b/>
          <w:sz w:val="36"/>
          <w:szCs w:val="36"/>
          <w:u w:val="single"/>
          <w:lang w:val="en-US" w:eastAsia="zh-CN"/>
        </w:rPr>
        <w:t xml:space="preserve">              </w:t>
      </w:r>
      <w:r>
        <w:rPr>
          <w:rFonts w:hint="eastAsia" w:ascii="宋体" w:hAnsi="宋体" w:eastAsia="宋体" w:cs="宋体"/>
          <w:b/>
          <w:sz w:val="36"/>
          <w:szCs w:val="36"/>
          <w:lang w:eastAsia="zh-CN"/>
        </w:rPr>
        <w:t>（</w:t>
      </w:r>
      <w:r>
        <w:rPr>
          <w:rFonts w:hint="eastAsia" w:ascii="宋体" w:hAnsi="宋体" w:eastAsia="宋体" w:cs="宋体"/>
          <w:b/>
          <w:sz w:val="36"/>
          <w:szCs w:val="36"/>
          <w:lang w:val="en-US" w:eastAsia="zh-CN"/>
        </w:rPr>
        <w:t>项目名称</w:t>
      </w:r>
      <w:r>
        <w:rPr>
          <w:rFonts w:hint="eastAsia" w:ascii="宋体" w:hAnsi="宋体" w:eastAsia="宋体" w:cs="宋体"/>
          <w:b/>
          <w:sz w:val="36"/>
          <w:szCs w:val="36"/>
          <w:lang w:eastAsia="zh-CN"/>
        </w:rPr>
        <w:t>）</w:t>
      </w:r>
    </w:p>
    <w:p w14:paraId="58573F01">
      <w:pPr>
        <w:spacing w:line="300" w:lineRule="auto"/>
        <w:jc w:val="center"/>
        <w:rPr>
          <w:rFonts w:hint="eastAsia" w:ascii="宋体" w:hAnsi="宋体" w:eastAsia="宋体" w:cs="宋体"/>
          <w:b/>
          <w:sz w:val="84"/>
          <w:szCs w:val="84"/>
        </w:rPr>
      </w:pPr>
      <w:r>
        <w:rPr>
          <w:rFonts w:hint="eastAsia" w:ascii="宋体" w:hAnsi="宋体" w:eastAsia="宋体" w:cs="宋体"/>
          <w:b/>
          <w:sz w:val="84"/>
          <w:szCs w:val="84"/>
        </w:rPr>
        <w:t>投 标 文 件</w:t>
      </w:r>
    </w:p>
    <w:p w14:paraId="79A2ADD1">
      <w:pPr>
        <w:widowControl/>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项目编号：</w:t>
      </w:r>
    </w:p>
    <w:p w14:paraId="5733DA14">
      <w:pPr>
        <w:widowControl/>
        <w:snapToGrid w:val="0"/>
        <w:spacing w:line="300" w:lineRule="auto"/>
        <w:jc w:val="center"/>
        <w:rPr>
          <w:rFonts w:hint="eastAsia" w:ascii="宋体" w:hAnsi="宋体" w:eastAsia="宋体" w:cs="宋体"/>
          <w:kern w:val="0"/>
          <w:sz w:val="44"/>
          <w:szCs w:val="44"/>
        </w:rPr>
      </w:pPr>
    </w:p>
    <w:p w14:paraId="782AAF51">
      <w:pPr>
        <w:widowControl/>
        <w:snapToGrid w:val="0"/>
        <w:spacing w:line="300" w:lineRule="auto"/>
        <w:jc w:val="left"/>
        <w:rPr>
          <w:rFonts w:hint="eastAsia" w:ascii="宋体" w:hAnsi="宋体" w:eastAsia="宋体" w:cs="宋体"/>
          <w:kern w:val="0"/>
          <w:sz w:val="52"/>
          <w:szCs w:val="52"/>
        </w:rPr>
      </w:pPr>
    </w:p>
    <w:p w14:paraId="5C846E20">
      <w:pPr>
        <w:widowControl/>
        <w:snapToGrid w:val="0"/>
        <w:spacing w:line="300" w:lineRule="auto"/>
        <w:jc w:val="left"/>
        <w:rPr>
          <w:rFonts w:hint="eastAsia" w:ascii="宋体" w:hAnsi="宋体" w:eastAsia="宋体" w:cs="宋体"/>
          <w:kern w:val="0"/>
          <w:sz w:val="36"/>
          <w:szCs w:val="30"/>
        </w:rPr>
      </w:pPr>
    </w:p>
    <w:p w14:paraId="65AF3164">
      <w:pPr>
        <w:widowControl/>
        <w:snapToGrid w:val="0"/>
        <w:spacing w:line="300" w:lineRule="auto"/>
        <w:jc w:val="left"/>
        <w:rPr>
          <w:rFonts w:hint="eastAsia" w:ascii="宋体" w:hAnsi="宋体" w:eastAsia="宋体" w:cs="宋体"/>
          <w:kern w:val="0"/>
          <w:sz w:val="36"/>
          <w:szCs w:val="30"/>
        </w:rPr>
      </w:pPr>
    </w:p>
    <w:p w14:paraId="1D00DFA4">
      <w:pPr>
        <w:pStyle w:val="15"/>
        <w:rPr>
          <w:rFonts w:hint="eastAsia" w:ascii="宋体" w:hAnsi="宋体" w:eastAsia="宋体" w:cs="宋体"/>
          <w:kern w:val="0"/>
          <w:szCs w:val="30"/>
        </w:rPr>
      </w:pPr>
    </w:p>
    <w:p w14:paraId="205A6353">
      <w:pPr>
        <w:rPr>
          <w:rFonts w:hint="eastAsia" w:ascii="宋体" w:hAnsi="宋体" w:eastAsia="宋体" w:cs="宋体"/>
        </w:rPr>
      </w:pPr>
    </w:p>
    <w:p w14:paraId="1089751F">
      <w:pPr>
        <w:widowControl/>
        <w:snapToGrid w:val="0"/>
        <w:spacing w:line="300" w:lineRule="auto"/>
        <w:jc w:val="left"/>
        <w:rPr>
          <w:rFonts w:hint="eastAsia" w:ascii="宋体" w:hAnsi="宋体" w:eastAsia="宋体" w:cs="宋体"/>
          <w:kern w:val="0"/>
          <w:sz w:val="36"/>
          <w:szCs w:val="30"/>
        </w:rPr>
      </w:pPr>
    </w:p>
    <w:p w14:paraId="204B4F25">
      <w:pPr>
        <w:spacing w:line="300" w:lineRule="auto"/>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rPr>
        <w:t>投标人：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（单位公章）</w:t>
      </w:r>
    </w:p>
    <w:p w14:paraId="7CC86394">
      <w:pPr>
        <w:spacing w:line="300" w:lineRule="auto"/>
        <w:jc w:val="left"/>
        <w:rPr>
          <w:rFonts w:hint="eastAsia" w:ascii="宋体" w:hAnsi="宋体" w:eastAsia="宋体" w:cs="宋体"/>
          <w:b/>
          <w:bCs/>
          <w:sz w:val="32"/>
          <w:szCs w:val="32"/>
        </w:rPr>
      </w:pPr>
      <w:r>
        <w:rPr>
          <w:rFonts w:hint="eastAsia" w:ascii="宋体" w:hAnsi="宋体" w:eastAsia="宋体" w:cs="宋体"/>
          <w:b/>
          <w:bCs/>
          <w:sz w:val="32"/>
          <w:szCs w:val="32"/>
        </w:rPr>
        <w:t xml:space="preserve">  法定代表人或授权委托代理人：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（签字或盖章）</w:t>
      </w:r>
    </w:p>
    <w:p w14:paraId="3D8A88C7">
      <w:pPr>
        <w:spacing w:line="300" w:lineRule="auto"/>
        <w:ind w:left="1260" w:leftChars="600"/>
        <w:jc w:val="center"/>
        <w:rPr>
          <w:rFonts w:hint="eastAsia" w:ascii="宋体" w:hAnsi="宋体" w:eastAsia="宋体" w:cs="宋体"/>
          <w:b/>
          <w:bCs/>
          <w:sz w:val="32"/>
          <w:szCs w:val="32"/>
        </w:rPr>
      </w:pPr>
    </w:p>
    <w:p w14:paraId="752C2501">
      <w:pPr>
        <w:spacing w:line="300" w:lineRule="auto"/>
        <w:jc w:val="center"/>
        <w:rPr>
          <w:rFonts w:hint="eastAsia" w:ascii="宋体" w:hAnsi="宋体" w:eastAsia="宋体" w:cs="宋体"/>
          <w:b/>
          <w:bCs/>
          <w:sz w:val="32"/>
          <w:szCs w:val="32"/>
        </w:rPr>
      </w:pP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1EDEC8F3">
      <w:pPr>
        <w:widowControl/>
        <w:snapToGrid w:val="0"/>
        <w:spacing w:line="500" w:lineRule="atLeast"/>
        <w:ind w:firstLine="900" w:firstLineChars="250"/>
        <w:jc w:val="left"/>
        <w:rPr>
          <w:rFonts w:hint="eastAsia" w:ascii="宋体" w:hAnsi="宋体" w:eastAsia="宋体" w:cs="宋体"/>
          <w:kern w:val="0"/>
          <w:sz w:val="24"/>
          <w:szCs w:val="24"/>
        </w:rPr>
      </w:pPr>
      <w:r>
        <w:rPr>
          <w:rFonts w:hint="eastAsia" w:ascii="宋体" w:hAnsi="宋体" w:eastAsia="宋体" w:cs="宋体"/>
          <w:kern w:val="0"/>
          <w:sz w:val="36"/>
          <w:szCs w:val="30"/>
        </w:rPr>
        <w:br w:type="page"/>
      </w:r>
    </w:p>
    <w:p w14:paraId="13F21C0F">
      <w:pPr>
        <w:adjustRightInd w:val="0"/>
        <w:snapToGrid w:val="0"/>
        <w:jc w:val="center"/>
        <w:textAlignment w:val="baseline"/>
        <w:rPr>
          <w:rFonts w:hint="eastAsia" w:ascii="宋体" w:hAnsi="宋体" w:eastAsia="宋体" w:cs="宋体"/>
          <w:spacing w:val="20"/>
          <w:kern w:val="0"/>
          <w:sz w:val="44"/>
          <w:szCs w:val="44"/>
        </w:rPr>
      </w:pPr>
    </w:p>
    <w:p w14:paraId="56972721">
      <w:pPr>
        <w:adjustRightInd w:val="0"/>
        <w:snapToGrid w:val="0"/>
        <w:jc w:val="center"/>
        <w:textAlignment w:val="baseline"/>
        <w:rPr>
          <w:rFonts w:hint="eastAsia" w:ascii="宋体" w:hAnsi="宋体" w:eastAsia="宋体" w:cs="宋体"/>
          <w:sz w:val="24"/>
        </w:rPr>
      </w:pPr>
      <w:r>
        <w:rPr>
          <w:rFonts w:hint="eastAsia" w:ascii="宋体" w:hAnsi="宋体" w:eastAsia="宋体" w:cs="宋体"/>
          <w:spacing w:val="20"/>
          <w:kern w:val="0"/>
          <w:sz w:val="44"/>
          <w:szCs w:val="44"/>
        </w:rPr>
        <w:t>目  录</w:t>
      </w:r>
    </w:p>
    <w:p w14:paraId="53538DA4">
      <w:pPr>
        <w:tabs>
          <w:tab w:val="left" w:pos="4000"/>
        </w:tabs>
        <w:adjustRightInd w:val="0"/>
        <w:snapToGrid w:val="0"/>
        <w:spacing w:line="300" w:lineRule="auto"/>
        <w:jc w:val="left"/>
        <w:textAlignment w:val="baseline"/>
        <w:rPr>
          <w:rFonts w:hint="eastAsia" w:ascii="宋体" w:hAnsi="宋体" w:eastAsia="宋体" w:cs="宋体"/>
          <w:bCs/>
          <w:u w:val="single"/>
        </w:rPr>
      </w:pPr>
    </w:p>
    <w:p w14:paraId="1D59BC44">
      <w:pPr>
        <w:pStyle w:val="17"/>
        <w:spacing w:line="360" w:lineRule="auto"/>
        <w:ind w:left="384" w:hanging="241"/>
        <w:rPr>
          <w:rFonts w:hint="eastAsia" w:ascii="宋体" w:hAnsi="宋体" w:eastAsia="宋体" w:cs="宋体"/>
          <w:b/>
          <w:bCs/>
          <w:kern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"_Toc827" </w:instrText>
      </w:r>
      <w:r>
        <w:rPr>
          <w:rFonts w:hint="eastAsia" w:ascii="宋体" w:hAnsi="宋体" w:eastAsia="宋体" w:cs="宋体"/>
        </w:rPr>
        <w:fldChar w:fldCharType="separate"/>
      </w:r>
      <w:r>
        <w:rPr>
          <w:rFonts w:hint="eastAsia" w:ascii="宋体" w:hAnsi="宋体" w:eastAsia="宋体" w:cs="宋体"/>
          <w:b/>
          <w:bCs/>
          <w:sz w:val="28"/>
          <w:szCs w:val="28"/>
        </w:rPr>
        <w:t>资格证明文件</w:t>
      </w:r>
      <w:r>
        <w:rPr>
          <w:rFonts w:hint="eastAsia" w:ascii="宋体" w:hAnsi="宋体" w:eastAsia="宋体" w:cs="宋体"/>
          <w:b/>
          <w:bCs/>
          <w:sz w:val="28"/>
          <w:szCs w:val="28"/>
        </w:rPr>
        <w:fldChar w:fldCharType="end"/>
      </w:r>
    </w:p>
    <w:p w14:paraId="36DE07E4">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一、供应商信用承诺书</w:t>
      </w:r>
    </w:p>
    <w:p w14:paraId="52D44438">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二、政府采购活动承诺书</w:t>
      </w:r>
    </w:p>
    <w:p w14:paraId="49B1DD80">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三、投标保证金凭证</w:t>
      </w:r>
    </w:p>
    <w:p w14:paraId="01C8EA82">
      <w:pPr>
        <w:pStyle w:val="17"/>
        <w:spacing w:line="360" w:lineRule="auto"/>
        <w:ind w:left="466" w:hanging="323"/>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四、特定资格</w:t>
      </w:r>
    </w:p>
    <w:p w14:paraId="02DAA212">
      <w:pPr>
        <w:pStyle w:val="17"/>
        <w:spacing w:line="360" w:lineRule="auto"/>
        <w:ind w:left="466" w:hanging="323"/>
        <w:rPr>
          <w:rFonts w:hint="eastAsia" w:ascii="宋体" w:hAnsi="宋体" w:eastAsia="宋体" w:cs="宋体"/>
          <w:b/>
          <w:kern w:val="0"/>
          <w:sz w:val="28"/>
          <w:szCs w:val="28"/>
        </w:rPr>
      </w:pPr>
    </w:p>
    <w:p w14:paraId="3B93836A">
      <w:pPr>
        <w:pStyle w:val="17"/>
        <w:spacing w:line="360" w:lineRule="auto"/>
        <w:ind w:left="466" w:hanging="323"/>
        <w:rPr>
          <w:rFonts w:hint="eastAsia" w:ascii="宋体" w:hAnsi="宋体" w:eastAsia="宋体" w:cs="宋体"/>
          <w:b/>
          <w:kern w:val="0"/>
          <w:sz w:val="28"/>
          <w:szCs w:val="28"/>
        </w:rPr>
      </w:pPr>
      <w:r>
        <w:rPr>
          <w:rFonts w:hint="eastAsia" w:ascii="宋体" w:hAnsi="宋体" w:eastAsia="宋体" w:cs="宋体"/>
          <w:b/>
          <w:kern w:val="0"/>
          <w:sz w:val="28"/>
          <w:szCs w:val="28"/>
        </w:rPr>
        <w:t>商务技术文件</w:t>
      </w:r>
    </w:p>
    <w:p w14:paraId="30A92EB7">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一、投标函</w:t>
      </w:r>
    </w:p>
    <w:p w14:paraId="78059A47">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二、开标一览表</w:t>
      </w:r>
    </w:p>
    <w:p w14:paraId="019ABE77">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lang w:val="en-US" w:eastAsia="zh-CN"/>
        </w:rPr>
        <w:t>三、分项报</w:t>
      </w:r>
      <w:r>
        <w:rPr>
          <w:rFonts w:hint="eastAsia" w:ascii="宋体" w:hAnsi="宋体" w:cs="宋体"/>
          <w:sz w:val="24"/>
          <w:szCs w:val="24"/>
          <w:lang w:val="en-US" w:eastAsia="zh-CN"/>
        </w:rPr>
        <w:t>价表</w:t>
      </w:r>
    </w:p>
    <w:p w14:paraId="60A9A8CD">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lang w:val="en-US" w:eastAsia="zh-CN"/>
        </w:rPr>
        <w:t>四</w:t>
      </w:r>
      <w:r>
        <w:rPr>
          <w:rFonts w:hint="eastAsia" w:ascii="宋体" w:hAnsi="宋体" w:eastAsia="宋体" w:cs="宋体"/>
          <w:bCs/>
          <w:kern w:val="0"/>
          <w:sz w:val="24"/>
        </w:rPr>
        <w:t>、法定代表人身份证明书</w:t>
      </w:r>
    </w:p>
    <w:p w14:paraId="5A9C34A8">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五、法定代表人授权委托书</w:t>
      </w:r>
    </w:p>
    <w:p w14:paraId="6E6A4E81">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六、商务技术条款响应表</w:t>
      </w:r>
    </w:p>
    <w:p w14:paraId="454D4438">
      <w:pPr>
        <w:pStyle w:val="17"/>
        <w:spacing w:line="360" w:lineRule="auto"/>
        <w:ind w:left="419" w:hanging="276"/>
        <w:rPr>
          <w:rFonts w:hint="eastAsia" w:ascii="宋体" w:hAnsi="宋体" w:eastAsia="宋体" w:cs="宋体"/>
          <w:bCs/>
          <w:kern w:val="0"/>
          <w:sz w:val="24"/>
          <w:lang w:eastAsia="zh-CN"/>
        </w:rPr>
      </w:pPr>
      <w:r>
        <w:rPr>
          <w:rFonts w:hint="eastAsia" w:ascii="宋体" w:hAnsi="宋体" w:eastAsia="宋体" w:cs="宋体"/>
          <w:bCs/>
          <w:kern w:val="0"/>
          <w:sz w:val="24"/>
        </w:rPr>
        <w:t>七、</w:t>
      </w:r>
      <w:r>
        <w:rPr>
          <w:rFonts w:hint="eastAsia" w:ascii="宋体" w:hAnsi="宋体" w:cs="宋体"/>
          <w:bCs/>
          <w:kern w:val="0"/>
          <w:sz w:val="24"/>
          <w:lang w:eastAsia="zh-CN"/>
        </w:rPr>
        <w:t>投标产品</w:t>
      </w:r>
      <w:r>
        <w:rPr>
          <w:rFonts w:hint="eastAsia" w:ascii="宋体" w:hAnsi="宋体" w:eastAsia="宋体" w:cs="宋体"/>
          <w:bCs/>
          <w:kern w:val="0"/>
          <w:sz w:val="24"/>
          <w:lang w:eastAsia="zh-CN"/>
        </w:rPr>
        <w:t>主要技术指标和运行性能的详细描述</w:t>
      </w:r>
    </w:p>
    <w:p w14:paraId="45628C17">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八、同类项目案例及相关证明资料</w:t>
      </w:r>
    </w:p>
    <w:p w14:paraId="34C2F46A">
      <w:pPr>
        <w:pStyle w:val="17"/>
        <w:spacing w:line="360" w:lineRule="auto"/>
        <w:ind w:left="419" w:hanging="276"/>
        <w:rPr>
          <w:rFonts w:hint="eastAsia" w:ascii="宋体" w:hAnsi="宋体" w:eastAsia="宋体" w:cs="宋体"/>
          <w:bCs/>
          <w:kern w:val="0"/>
          <w:sz w:val="24"/>
          <w:lang w:eastAsia="zh-CN"/>
        </w:rPr>
      </w:pPr>
      <w:r>
        <w:rPr>
          <w:rFonts w:hint="eastAsia" w:ascii="宋体" w:hAnsi="宋体" w:eastAsia="宋体" w:cs="宋体"/>
          <w:bCs/>
          <w:kern w:val="0"/>
          <w:sz w:val="24"/>
        </w:rPr>
        <w:t>九、</w:t>
      </w:r>
      <w:r>
        <w:rPr>
          <w:rFonts w:hint="eastAsia" w:ascii="宋体" w:hAnsi="宋体" w:cs="宋体"/>
          <w:bCs/>
          <w:kern w:val="0"/>
          <w:sz w:val="24"/>
          <w:lang w:eastAsia="zh-CN"/>
        </w:rPr>
        <w:t>响应方案</w:t>
      </w:r>
    </w:p>
    <w:p w14:paraId="4369608B">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lang w:val="en-US" w:eastAsia="zh-CN"/>
        </w:rPr>
        <w:t>十</w:t>
      </w:r>
      <w:r>
        <w:rPr>
          <w:rFonts w:hint="eastAsia" w:ascii="宋体" w:hAnsi="宋体" w:eastAsia="宋体" w:cs="宋体"/>
          <w:bCs/>
          <w:kern w:val="0"/>
          <w:sz w:val="24"/>
        </w:rPr>
        <w:t>、招标文件要求或投标人认为需要提供的其他商务、技术材料</w:t>
      </w:r>
    </w:p>
    <w:p w14:paraId="175BEA5D">
      <w:pPr>
        <w:pStyle w:val="17"/>
        <w:spacing w:line="360" w:lineRule="auto"/>
        <w:ind w:left="419" w:hanging="276"/>
        <w:rPr>
          <w:rFonts w:hint="eastAsia" w:ascii="宋体" w:hAnsi="宋体" w:eastAsia="宋体" w:cs="宋体"/>
          <w:bCs/>
          <w:kern w:val="0"/>
          <w:sz w:val="24"/>
        </w:rPr>
      </w:pPr>
      <w:r>
        <w:rPr>
          <w:rFonts w:hint="eastAsia" w:ascii="宋体" w:hAnsi="宋体" w:eastAsia="宋体" w:cs="宋体"/>
          <w:bCs/>
          <w:kern w:val="0"/>
          <w:sz w:val="24"/>
        </w:rPr>
        <w:t>十</w:t>
      </w:r>
      <w:r>
        <w:rPr>
          <w:rFonts w:hint="eastAsia" w:ascii="宋体" w:hAnsi="宋体" w:eastAsia="宋体" w:cs="宋体"/>
          <w:bCs/>
          <w:kern w:val="0"/>
          <w:sz w:val="24"/>
          <w:lang w:val="en-US" w:eastAsia="zh-CN"/>
        </w:rPr>
        <w:t>一</w:t>
      </w:r>
      <w:r>
        <w:rPr>
          <w:rFonts w:hint="eastAsia" w:ascii="宋体" w:hAnsi="宋体" w:eastAsia="宋体" w:cs="宋体"/>
          <w:bCs/>
          <w:kern w:val="0"/>
          <w:sz w:val="24"/>
        </w:rPr>
        <w:t>、政策性要求</w:t>
      </w:r>
    </w:p>
    <w:p w14:paraId="0E663C7A">
      <w:pPr>
        <w:pStyle w:val="17"/>
        <w:spacing w:line="360" w:lineRule="auto"/>
        <w:ind w:left="419" w:hanging="276"/>
        <w:rPr>
          <w:rFonts w:hint="eastAsia" w:ascii="宋体" w:hAnsi="宋体" w:eastAsia="宋体" w:cs="宋体"/>
          <w:bCs/>
          <w:kern w:val="0"/>
          <w:sz w:val="24"/>
        </w:rPr>
      </w:pPr>
    </w:p>
    <w:p w14:paraId="6BDBBB52">
      <w:pPr>
        <w:rPr>
          <w:rFonts w:hint="eastAsia" w:ascii="宋体" w:hAnsi="宋体" w:eastAsia="宋体" w:cs="宋体"/>
        </w:rPr>
      </w:pPr>
      <w:r>
        <w:rPr>
          <w:rFonts w:hint="eastAsia" w:ascii="宋体" w:hAnsi="宋体" w:eastAsia="宋体" w:cs="宋体"/>
          <w:bCs/>
          <w:kern w:val="0"/>
          <w:sz w:val="24"/>
          <w:szCs w:val="24"/>
        </w:rPr>
        <w:t>上述目录可根据实际情况进行调整</w:t>
      </w:r>
    </w:p>
    <w:p w14:paraId="795DBD84">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5CD3F44B">
      <w:pPr>
        <w:rPr>
          <w:rFonts w:hint="eastAsia" w:ascii="宋体" w:hAnsi="宋体" w:eastAsia="宋体" w:cs="宋体"/>
        </w:rPr>
      </w:pPr>
    </w:p>
    <w:p w14:paraId="0A6BD821">
      <w:pPr>
        <w:pStyle w:val="3"/>
        <w:autoSpaceDE w:val="0"/>
        <w:autoSpaceDN w:val="0"/>
        <w:adjustRightInd w:val="0"/>
        <w:spacing w:after="140" w:line="240" w:lineRule="auto"/>
        <w:jc w:val="center"/>
        <w:rPr>
          <w:rFonts w:hint="eastAsia" w:ascii="宋体" w:hAnsi="宋体" w:eastAsia="宋体" w:cs="宋体"/>
          <w:b/>
          <w:bCs/>
        </w:rPr>
      </w:pPr>
      <w:bookmarkStart w:id="141" w:name="_Toc22572"/>
      <w:bookmarkStart w:id="142" w:name="_Toc5360"/>
      <w:r>
        <w:rPr>
          <w:rFonts w:hint="eastAsia" w:ascii="宋体" w:hAnsi="宋体" w:eastAsia="宋体" w:cs="宋体"/>
          <w:b/>
          <w:bCs/>
        </w:rPr>
        <w:t>资格证明文件</w:t>
      </w:r>
      <w:bookmarkEnd w:id="141"/>
      <w:bookmarkEnd w:id="142"/>
    </w:p>
    <w:p w14:paraId="079BD104">
      <w:pPr>
        <w:pStyle w:val="4"/>
        <w:spacing w:before="0" w:after="0" w:line="360" w:lineRule="auto"/>
        <w:rPr>
          <w:rFonts w:hint="eastAsia" w:ascii="宋体" w:hAnsi="宋体" w:eastAsia="宋体" w:cs="宋体"/>
          <w:sz w:val="28"/>
          <w:szCs w:val="28"/>
        </w:rPr>
      </w:pPr>
      <w:bookmarkStart w:id="143" w:name="_Toc76"/>
      <w:bookmarkStart w:id="144" w:name="_Toc29174"/>
      <w:bookmarkStart w:id="145" w:name="_Toc28485"/>
      <w:bookmarkStart w:id="146" w:name="_Toc13152"/>
      <w:bookmarkStart w:id="147" w:name="_Toc22271"/>
      <w:bookmarkStart w:id="148" w:name="_Toc31135"/>
      <w:bookmarkStart w:id="149" w:name="_Toc22433"/>
      <w:bookmarkStart w:id="150" w:name="_Toc26312"/>
      <w:bookmarkStart w:id="151" w:name="_Toc15613"/>
      <w:bookmarkStart w:id="152" w:name="_Toc5009"/>
      <w:bookmarkStart w:id="153" w:name="_Toc11408"/>
      <w:bookmarkStart w:id="154" w:name="_Toc6858"/>
      <w:bookmarkStart w:id="155" w:name="_Toc26637"/>
      <w:bookmarkStart w:id="156" w:name="_Toc7939"/>
      <w:bookmarkStart w:id="157" w:name="_Toc20820"/>
      <w:bookmarkStart w:id="158" w:name="_Toc5800"/>
      <w:r>
        <w:rPr>
          <w:rFonts w:hint="eastAsia" w:ascii="宋体" w:hAnsi="宋体" w:eastAsia="宋体" w:cs="宋体"/>
          <w:sz w:val="28"/>
          <w:szCs w:val="28"/>
        </w:rPr>
        <w:t>一、</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s="宋体"/>
          <w:sz w:val="28"/>
          <w:szCs w:val="28"/>
        </w:rPr>
        <w:t>供应商信用承诺书</w:t>
      </w:r>
    </w:p>
    <w:p w14:paraId="0FB3EDD8">
      <w:pPr>
        <w:jc w:val="center"/>
        <w:rPr>
          <w:rFonts w:hint="eastAsia" w:ascii="宋体" w:hAnsi="宋体" w:eastAsia="宋体" w:cs="宋体"/>
          <w:b/>
          <w:bCs/>
          <w:sz w:val="28"/>
          <w:szCs w:val="28"/>
        </w:rPr>
      </w:pPr>
      <w:r>
        <w:rPr>
          <w:rFonts w:hint="eastAsia" w:ascii="宋体" w:hAnsi="宋体" w:eastAsia="宋体" w:cs="宋体"/>
          <w:b/>
          <w:bCs/>
          <w:sz w:val="28"/>
          <w:szCs w:val="28"/>
        </w:rPr>
        <w:t>1、具有独立承担民事责任的能力</w:t>
      </w:r>
    </w:p>
    <w:p w14:paraId="05CBE6A1">
      <w:pPr>
        <w:rPr>
          <w:rFonts w:hint="eastAsia" w:ascii="宋体" w:hAnsi="宋体" w:eastAsia="宋体" w:cs="宋体"/>
        </w:rPr>
      </w:pPr>
    </w:p>
    <w:p w14:paraId="16184F31">
      <w:pPr>
        <w:tabs>
          <w:tab w:val="left" w:pos="4000"/>
        </w:tabs>
        <w:spacing w:line="360" w:lineRule="auto"/>
        <w:rPr>
          <w:rStyle w:val="29"/>
          <w:rFonts w:hint="eastAsia" w:ascii="宋体" w:hAnsi="宋体" w:eastAsia="宋体" w:cs="宋体"/>
          <w:bCs/>
          <w:szCs w:val="21"/>
          <w:u w:val="single"/>
        </w:rPr>
      </w:pPr>
    </w:p>
    <w:p w14:paraId="06658553">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Fonts w:hint="eastAsia" w:ascii="宋体" w:hAnsi="宋体" w:eastAsia="宋体" w:cs="宋体"/>
          <w:b/>
          <w:sz w:val="24"/>
          <w:szCs w:val="24"/>
        </w:rPr>
        <w:t xml:space="preserve"> ：</w:t>
      </w:r>
    </w:p>
    <w:p w14:paraId="4D44FE60">
      <w:pPr>
        <w:keepNext/>
        <w:snapToGrid w:val="0"/>
        <w:spacing w:line="360" w:lineRule="auto"/>
        <w:ind w:firstLine="480" w:firstLineChars="200"/>
        <w:jc w:val="left"/>
        <w:rPr>
          <w:rFonts w:hint="eastAsia" w:ascii="宋体" w:hAnsi="宋体" w:eastAsia="宋体" w:cs="宋体"/>
          <w:sz w:val="24"/>
          <w:szCs w:val="24"/>
        </w:rPr>
      </w:pPr>
    </w:p>
    <w:p w14:paraId="491E778F">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）的采购活动。依据招标文件相关规定，现郑重承诺：我方具有有效的营业执照或事业单位法人证书或自然人身份证明或其他非企业组织证明文件及有效的开户许可证，能独立承担民事责任的能力。</w:t>
      </w:r>
    </w:p>
    <w:p w14:paraId="7AEDC3E7">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基本信息如下：</w:t>
      </w:r>
    </w:p>
    <w:p w14:paraId="7C0FA003">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A5F306">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法定代表人（负责人）为：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E9BB09">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营业期限为: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5BE646C">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基本开户银行为：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AF1EDE">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账号为：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B7CDE2">
      <w:pPr>
        <w:keepNext/>
        <w:snapToGrid w:val="0"/>
        <w:spacing w:line="360" w:lineRule="auto"/>
        <w:ind w:firstLine="480" w:firstLineChars="200"/>
        <w:jc w:val="left"/>
        <w:rPr>
          <w:rFonts w:hint="eastAsia" w:ascii="宋体" w:hAnsi="宋体" w:eastAsia="宋体" w:cs="宋体"/>
          <w:sz w:val="24"/>
          <w:szCs w:val="24"/>
        </w:rPr>
      </w:pPr>
    </w:p>
    <w:p w14:paraId="27BB76A6">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以上承诺信息如有虚假或隐瞒，我方愿意承担一切后果。</w:t>
      </w:r>
    </w:p>
    <w:p w14:paraId="6A6009BE">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特此承诺。</w:t>
      </w:r>
    </w:p>
    <w:p w14:paraId="5BEDAE84">
      <w:pPr>
        <w:pStyle w:val="27"/>
        <w:spacing w:line="360" w:lineRule="auto"/>
        <w:ind w:firstLine="2400" w:firstLineChars="1000"/>
        <w:rPr>
          <w:rFonts w:hint="eastAsia" w:ascii="宋体" w:hAnsi="宋体" w:eastAsia="宋体" w:cs="宋体"/>
          <w:sz w:val="24"/>
        </w:rPr>
      </w:pPr>
    </w:p>
    <w:p w14:paraId="2EEDBD82">
      <w:pPr>
        <w:pStyle w:val="27"/>
        <w:spacing w:line="360" w:lineRule="auto"/>
        <w:ind w:firstLine="3542" w:firstLineChars="1476"/>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106053F7">
      <w:pPr>
        <w:pStyle w:val="27"/>
        <w:spacing w:line="360" w:lineRule="auto"/>
        <w:ind w:firstLine="3542" w:firstLineChars="1476"/>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5D4E6571">
      <w:pPr>
        <w:pStyle w:val="27"/>
        <w:spacing w:line="360" w:lineRule="auto"/>
        <w:ind w:firstLine="3542" w:firstLineChars="1476"/>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2F7ED291">
      <w:pPr>
        <w:pStyle w:val="27"/>
        <w:spacing w:line="360" w:lineRule="auto"/>
        <w:ind w:firstLine="480"/>
        <w:rPr>
          <w:rFonts w:hint="eastAsia" w:ascii="宋体" w:hAnsi="宋体" w:eastAsia="宋体" w:cs="宋体"/>
          <w:sz w:val="24"/>
          <w:u w:val="single"/>
        </w:rPr>
      </w:pPr>
    </w:p>
    <w:p w14:paraId="0E1D79CA">
      <w:pPr>
        <w:pStyle w:val="27"/>
        <w:spacing w:line="360" w:lineRule="auto"/>
        <w:ind w:firstLine="482"/>
        <w:rPr>
          <w:rFonts w:hint="eastAsia" w:ascii="宋体" w:hAnsi="宋体" w:eastAsia="宋体" w:cs="宋体"/>
          <w:b/>
          <w:bCs/>
          <w:sz w:val="24"/>
        </w:rPr>
      </w:pPr>
      <w:r>
        <w:rPr>
          <w:rFonts w:hint="eastAsia" w:ascii="宋体" w:hAnsi="宋体" w:eastAsia="宋体" w:cs="宋体"/>
          <w:b/>
          <w:bCs/>
          <w:sz w:val="24"/>
        </w:rPr>
        <w:t>附有效的营业执照或其他非企业组织证书（副本）</w:t>
      </w:r>
    </w:p>
    <w:p w14:paraId="2A79B93F">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14:paraId="25334C35">
      <w:pPr>
        <w:jc w:val="center"/>
        <w:rPr>
          <w:rFonts w:hint="eastAsia" w:ascii="宋体" w:hAnsi="宋体" w:eastAsia="宋体" w:cs="宋体"/>
          <w:b/>
          <w:bCs/>
          <w:sz w:val="28"/>
          <w:szCs w:val="28"/>
        </w:rPr>
      </w:pPr>
      <w:r>
        <w:rPr>
          <w:rFonts w:hint="eastAsia" w:ascii="宋体" w:hAnsi="宋体" w:eastAsia="宋体" w:cs="宋体"/>
          <w:b/>
          <w:bCs/>
          <w:sz w:val="28"/>
          <w:szCs w:val="28"/>
        </w:rPr>
        <w:t>2、具有良好的商业信誉和健全的财务会计制度</w:t>
      </w:r>
    </w:p>
    <w:p w14:paraId="41A33E4F">
      <w:pPr>
        <w:tabs>
          <w:tab w:val="left" w:pos="4000"/>
        </w:tabs>
        <w:spacing w:line="360" w:lineRule="auto"/>
        <w:rPr>
          <w:rFonts w:hint="eastAsia" w:ascii="宋体" w:hAnsi="宋体" w:eastAsia="宋体" w:cs="宋体"/>
          <w:b/>
          <w:sz w:val="24"/>
          <w:szCs w:val="24"/>
          <w:u w:val="single"/>
        </w:rPr>
      </w:pPr>
    </w:p>
    <w:p w14:paraId="6A13DDFB">
      <w:pPr>
        <w:tabs>
          <w:tab w:val="left" w:pos="4000"/>
        </w:tabs>
        <w:spacing w:line="360" w:lineRule="auto"/>
        <w:rPr>
          <w:rStyle w:val="29"/>
          <w:rFonts w:hint="eastAsia" w:ascii="宋体" w:hAnsi="宋体" w:eastAsia="宋体" w:cs="宋体"/>
          <w:bCs/>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Style w:val="29"/>
          <w:rFonts w:hint="eastAsia" w:ascii="宋体" w:hAnsi="宋体" w:eastAsia="宋体" w:cs="宋体"/>
          <w:bCs/>
          <w:sz w:val="24"/>
          <w:szCs w:val="24"/>
        </w:rPr>
        <w:t>：</w:t>
      </w:r>
    </w:p>
    <w:p w14:paraId="273711F5">
      <w:pPr>
        <w:widowControl/>
        <w:snapToGrid w:val="0"/>
        <w:spacing w:line="360" w:lineRule="auto"/>
        <w:ind w:firstLine="480" w:firstLineChars="200"/>
        <w:rPr>
          <w:rFonts w:hint="eastAsia" w:ascii="宋体" w:hAnsi="宋体" w:eastAsia="宋体" w:cs="宋体"/>
          <w:sz w:val="24"/>
          <w:szCs w:val="24"/>
        </w:rPr>
      </w:pPr>
    </w:p>
    <w:p w14:paraId="32E8D24E">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rPr>
        <w:t>）的采购活动。依据招标文件相关规定，现郑重承诺：我方具有通过具备审计资格的第三方出具的2024年度</w:t>
      </w:r>
      <w:r>
        <w:rPr>
          <w:rFonts w:hint="eastAsia" w:ascii="宋体" w:hAnsi="宋体" w:eastAsia="宋体" w:cs="宋体"/>
          <w:sz w:val="24"/>
          <w:szCs w:val="24"/>
          <w:lang w:val="en-US" w:eastAsia="zh-CN"/>
        </w:rPr>
        <w:t>或2025年度</w:t>
      </w:r>
      <w:r>
        <w:rPr>
          <w:rFonts w:hint="eastAsia" w:ascii="宋体" w:hAnsi="宋体" w:eastAsia="宋体" w:cs="宋体"/>
          <w:sz w:val="24"/>
          <w:szCs w:val="24"/>
        </w:rPr>
        <w:t>合格且有效的财务审计报告或在基本户开户银行出具的无不良记录资信证明等文件。商业信誉良好，财务制度健全。</w:t>
      </w:r>
    </w:p>
    <w:p w14:paraId="261012E4">
      <w:pPr>
        <w:keepNext/>
        <w:snapToGrid w:val="0"/>
        <w:spacing w:line="360" w:lineRule="auto"/>
        <w:ind w:firstLine="480" w:firstLineChars="200"/>
        <w:jc w:val="left"/>
        <w:rPr>
          <w:rFonts w:hint="eastAsia" w:ascii="宋体" w:hAnsi="宋体" w:eastAsia="宋体" w:cs="宋体"/>
          <w:sz w:val="24"/>
          <w:szCs w:val="24"/>
        </w:rPr>
      </w:pPr>
    </w:p>
    <w:p w14:paraId="425484A2">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以上承诺信息如有虚假或隐瞒，我方愿意承担一切后果。</w:t>
      </w:r>
    </w:p>
    <w:p w14:paraId="02EB6B6B">
      <w:pPr>
        <w:keepNext/>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 w:val="24"/>
          <w:szCs w:val="24"/>
        </w:rPr>
        <w:t>特此承诺。</w:t>
      </w:r>
    </w:p>
    <w:p w14:paraId="1D1E60A0">
      <w:pPr>
        <w:pStyle w:val="10"/>
        <w:rPr>
          <w:rFonts w:hint="eastAsia" w:ascii="宋体" w:hAnsi="宋体" w:eastAsia="宋体" w:cs="宋体"/>
        </w:rPr>
      </w:pPr>
    </w:p>
    <w:p w14:paraId="4824EB4C">
      <w:pPr>
        <w:pStyle w:val="27"/>
        <w:spacing w:line="360" w:lineRule="auto"/>
        <w:ind w:firstLine="2400" w:firstLineChars="100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5C44EDCB">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0C9A5A60">
      <w:pPr>
        <w:pStyle w:val="27"/>
        <w:spacing w:line="360" w:lineRule="auto"/>
        <w:ind w:firstLine="2400" w:firstLineChars="1000"/>
        <w:rPr>
          <w:rFonts w:hint="eastAsia" w:ascii="宋体" w:hAnsi="宋体" w:eastAsia="宋体" w:cs="宋体"/>
          <w:b/>
          <w:bCs/>
          <w:kern w:val="0"/>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3CD5989C">
      <w:pPr>
        <w:rPr>
          <w:rFonts w:hint="eastAsia" w:ascii="宋体" w:hAnsi="宋体" w:eastAsia="宋体" w:cs="宋体"/>
          <w:b/>
          <w:bCs/>
          <w:kern w:val="0"/>
          <w:sz w:val="24"/>
          <w:szCs w:val="24"/>
        </w:rPr>
      </w:pPr>
    </w:p>
    <w:p w14:paraId="2066BA3E">
      <w:pPr>
        <w:rPr>
          <w:rFonts w:hint="eastAsia" w:ascii="宋体" w:hAnsi="宋体" w:eastAsia="宋体" w:cs="宋体"/>
          <w:sz w:val="28"/>
          <w:szCs w:val="28"/>
        </w:rPr>
      </w:pPr>
      <w:r>
        <w:rPr>
          <w:rFonts w:hint="eastAsia" w:ascii="宋体" w:hAnsi="宋体" w:eastAsia="宋体" w:cs="宋体"/>
          <w:sz w:val="28"/>
          <w:szCs w:val="28"/>
        </w:rPr>
        <w:br w:type="page"/>
      </w:r>
    </w:p>
    <w:p w14:paraId="2D42D4D6">
      <w:pPr>
        <w:jc w:val="center"/>
        <w:rPr>
          <w:rFonts w:hint="eastAsia" w:ascii="宋体" w:hAnsi="宋体" w:eastAsia="宋体" w:cs="宋体"/>
          <w:b/>
          <w:bCs/>
          <w:sz w:val="28"/>
          <w:szCs w:val="28"/>
        </w:rPr>
      </w:pPr>
      <w:r>
        <w:rPr>
          <w:rFonts w:hint="eastAsia" w:ascii="宋体" w:hAnsi="宋体" w:eastAsia="宋体" w:cs="宋体"/>
          <w:b/>
          <w:bCs/>
          <w:sz w:val="28"/>
          <w:szCs w:val="28"/>
        </w:rPr>
        <w:t>3、具有履行合同所必需的设备和专业技术能力</w:t>
      </w:r>
    </w:p>
    <w:p w14:paraId="1F3E465C">
      <w:pPr>
        <w:adjustRightInd w:val="0"/>
        <w:snapToGrid w:val="0"/>
        <w:spacing w:line="360" w:lineRule="auto"/>
        <w:jc w:val="left"/>
        <w:rPr>
          <w:rFonts w:hint="eastAsia" w:ascii="宋体" w:hAnsi="宋体" w:eastAsia="宋体" w:cs="宋体"/>
          <w:szCs w:val="21"/>
          <w:u w:val="single"/>
        </w:rPr>
      </w:pPr>
    </w:p>
    <w:p w14:paraId="5C174BD9">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Fonts w:hint="eastAsia" w:ascii="宋体" w:hAnsi="宋体" w:eastAsia="宋体" w:cs="宋体"/>
          <w:b/>
          <w:sz w:val="24"/>
          <w:szCs w:val="24"/>
        </w:rPr>
        <w:t xml:space="preserve"> ：</w:t>
      </w:r>
    </w:p>
    <w:p w14:paraId="0A614757">
      <w:pPr>
        <w:adjustRightInd w:val="0"/>
        <w:snapToGrid w:val="0"/>
        <w:spacing w:line="360" w:lineRule="auto"/>
        <w:ind w:firstLine="480" w:firstLineChars="200"/>
        <w:jc w:val="left"/>
        <w:rPr>
          <w:rFonts w:hint="eastAsia" w:ascii="宋体" w:hAnsi="宋体" w:eastAsia="宋体" w:cs="宋体"/>
          <w:sz w:val="24"/>
          <w:szCs w:val="24"/>
        </w:rPr>
      </w:pPr>
    </w:p>
    <w:p w14:paraId="19134D7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）的采购活动，现承诺具备履行合同所必需的设备和专业技术能力。</w:t>
      </w:r>
    </w:p>
    <w:p w14:paraId="4FC6496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如上述承诺不真实，愿意按照政府采购有关法律法规的规定接受处罚。</w:t>
      </w:r>
    </w:p>
    <w:p w14:paraId="3810CFF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特此声明。</w:t>
      </w:r>
    </w:p>
    <w:p w14:paraId="0D42F2BA">
      <w:pPr>
        <w:pStyle w:val="10"/>
        <w:rPr>
          <w:rFonts w:hint="eastAsia" w:ascii="宋体" w:hAnsi="宋体" w:eastAsia="宋体" w:cs="宋体"/>
          <w:sz w:val="24"/>
        </w:rPr>
      </w:pPr>
    </w:p>
    <w:p w14:paraId="0669186F">
      <w:pPr>
        <w:pStyle w:val="27"/>
        <w:spacing w:line="360" w:lineRule="auto"/>
        <w:ind w:firstLine="2400" w:firstLineChars="100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0574AF07">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26F7A874">
      <w:pPr>
        <w:pStyle w:val="27"/>
        <w:spacing w:line="360" w:lineRule="auto"/>
        <w:ind w:firstLine="2400" w:firstLineChars="1000"/>
        <w:rPr>
          <w:rFonts w:hint="eastAsia" w:ascii="宋体" w:hAnsi="宋体" w:eastAsia="宋体" w:cs="宋体"/>
          <w:b/>
          <w:bCs/>
          <w:kern w:val="0"/>
          <w:sz w:val="24"/>
        </w:rPr>
      </w:pPr>
      <w:r>
        <w:rPr>
          <w:rFonts w:hint="eastAsia" w:ascii="宋体" w:hAnsi="宋体" w:eastAsia="宋体" w:cs="宋体"/>
          <w:sz w:val="24"/>
        </w:rPr>
        <w:t>日期：</w:t>
      </w:r>
      <w:r>
        <w:rPr>
          <w:rFonts w:hint="eastAsia" w:ascii="宋体" w:hAnsi="宋体" w:eastAsia="宋体" w:cs="宋体"/>
          <w:sz w:val="24"/>
          <w:u w:val="single"/>
        </w:rPr>
        <w:t xml:space="preserve">              </w:t>
      </w:r>
    </w:p>
    <w:p w14:paraId="6BD1F3F1">
      <w:pPr>
        <w:rPr>
          <w:rFonts w:hint="eastAsia" w:ascii="宋体" w:hAnsi="宋体" w:eastAsia="宋体" w:cs="宋体"/>
        </w:rPr>
      </w:pPr>
      <w:r>
        <w:rPr>
          <w:rFonts w:hint="eastAsia" w:ascii="宋体" w:hAnsi="宋体" w:eastAsia="宋体" w:cs="宋体"/>
        </w:rPr>
        <w:br w:type="page"/>
      </w:r>
    </w:p>
    <w:p w14:paraId="00A58296">
      <w:pPr>
        <w:jc w:val="center"/>
        <w:rPr>
          <w:rFonts w:hint="eastAsia" w:ascii="宋体" w:hAnsi="宋体" w:eastAsia="宋体" w:cs="宋体"/>
          <w:b/>
          <w:bCs/>
          <w:sz w:val="28"/>
          <w:szCs w:val="28"/>
        </w:rPr>
      </w:pPr>
      <w:r>
        <w:rPr>
          <w:rFonts w:hint="eastAsia" w:ascii="宋体" w:hAnsi="宋体" w:eastAsia="宋体" w:cs="宋体"/>
          <w:b/>
          <w:bCs/>
          <w:sz w:val="28"/>
          <w:szCs w:val="28"/>
        </w:rPr>
        <w:t>4、有依法缴纳税收和社会保障资金的良好记录</w:t>
      </w:r>
    </w:p>
    <w:p w14:paraId="1217D5A7">
      <w:pPr>
        <w:spacing w:line="360" w:lineRule="auto"/>
        <w:rPr>
          <w:rFonts w:hint="eastAsia" w:ascii="宋体" w:hAnsi="宋体" w:eastAsia="宋体" w:cs="宋体"/>
          <w:szCs w:val="21"/>
        </w:rPr>
      </w:pPr>
    </w:p>
    <w:p w14:paraId="4C50535A">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Fonts w:hint="eastAsia" w:ascii="宋体" w:hAnsi="宋体" w:eastAsia="宋体" w:cs="宋体"/>
          <w:b/>
          <w:sz w:val="24"/>
          <w:szCs w:val="24"/>
        </w:rPr>
        <w:t xml:space="preserve"> ：</w:t>
      </w:r>
    </w:p>
    <w:p w14:paraId="0F9C0DC7">
      <w:pPr>
        <w:widowControl/>
        <w:snapToGrid w:val="0"/>
        <w:spacing w:line="360" w:lineRule="auto"/>
        <w:ind w:firstLine="480" w:firstLineChars="200"/>
        <w:rPr>
          <w:rFonts w:hint="eastAsia" w:ascii="宋体" w:hAnsi="宋体" w:eastAsia="宋体" w:cs="宋体"/>
          <w:sz w:val="24"/>
          <w:szCs w:val="24"/>
        </w:rPr>
      </w:pPr>
    </w:p>
    <w:p w14:paraId="71FBEEDC">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本单位现参与 </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）的采购活动。依据招标文件相关规定，现郑重承诺：我方在参加本次采购活动前严格依法缴纳税收或依法享受国家免税优惠政策，并依法给单位职工缴纳社会保障金或依法不需要缴纳社会保障资金。</w:t>
      </w:r>
    </w:p>
    <w:p w14:paraId="2D04C608">
      <w:pPr>
        <w:keepNext/>
        <w:snapToGrid w:val="0"/>
        <w:spacing w:line="360" w:lineRule="auto"/>
        <w:ind w:firstLine="480" w:firstLineChars="200"/>
        <w:jc w:val="left"/>
        <w:rPr>
          <w:rFonts w:hint="eastAsia" w:ascii="宋体" w:hAnsi="宋体" w:eastAsia="宋体" w:cs="宋体"/>
          <w:sz w:val="24"/>
          <w:szCs w:val="24"/>
        </w:rPr>
      </w:pPr>
    </w:p>
    <w:p w14:paraId="6E2BACFB">
      <w:pPr>
        <w:keepNext/>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以上承诺信息如有虚假或隐瞒，我方愿意承担一切后果。 </w:t>
      </w:r>
    </w:p>
    <w:p w14:paraId="7D13D769">
      <w:pPr>
        <w:keepNext/>
        <w:snapToGrid w:val="0"/>
        <w:spacing w:line="360" w:lineRule="auto"/>
        <w:ind w:firstLine="480" w:firstLineChars="200"/>
        <w:jc w:val="left"/>
        <w:rPr>
          <w:rFonts w:hint="eastAsia" w:ascii="宋体" w:hAnsi="宋体" w:eastAsia="宋体" w:cs="宋体"/>
        </w:rPr>
      </w:pPr>
      <w:r>
        <w:rPr>
          <w:rFonts w:hint="eastAsia" w:ascii="宋体" w:hAnsi="宋体" w:eastAsia="宋体" w:cs="宋体"/>
          <w:sz w:val="24"/>
          <w:szCs w:val="24"/>
        </w:rPr>
        <w:t>特此承诺。</w:t>
      </w:r>
    </w:p>
    <w:p w14:paraId="245F2FF7">
      <w:pPr>
        <w:pStyle w:val="10"/>
        <w:rPr>
          <w:rFonts w:hint="eastAsia" w:ascii="宋体" w:hAnsi="宋体" w:eastAsia="宋体" w:cs="宋体"/>
          <w:sz w:val="24"/>
        </w:rPr>
      </w:pPr>
    </w:p>
    <w:p w14:paraId="38940272">
      <w:pPr>
        <w:pStyle w:val="27"/>
        <w:spacing w:line="360" w:lineRule="auto"/>
        <w:ind w:firstLine="2400" w:firstLineChars="100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7B05048B">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2FDB70B2">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589D4A95">
      <w:pPr>
        <w:pStyle w:val="27"/>
        <w:spacing w:line="360" w:lineRule="auto"/>
        <w:ind w:firstLine="2400" w:firstLineChars="1000"/>
        <w:rPr>
          <w:rFonts w:hint="eastAsia" w:ascii="宋体" w:hAnsi="宋体" w:eastAsia="宋体" w:cs="宋体"/>
          <w:sz w:val="24"/>
          <w:u w:val="single"/>
        </w:rPr>
      </w:pPr>
    </w:p>
    <w:p w14:paraId="5FD3DE65">
      <w:pPr>
        <w:rPr>
          <w:rFonts w:hint="eastAsia" w:ascii="宋体" w:hAnsi="宋体" w:eastAsia="宋体" w:cs="宋体"/>
          <w:sz w:val="28"/>
          <w:szCs w:val="28"/>
        </w:rPr>
      </w:pPr>
      <w:r>
        <w:rPr>
          <w:rFonts w:hint="eastAsia" w:ascii="宋体" w:hAnsi="宋体" w:eastAsia="宋体" w:cs="宋体"/>
          <w:sz w:val="28"/>
          <w:szCs w:val="28"/>
        </w:rPr>
        <w:br w:type="page"/>
      </w:r>
    </w:p>
    <w:p w14:paraId="66AFE78A">
      <w:pPr>
        <w:jc w:val="center"/>
        <w:rPr>
          <w:rFonts w:hint="eastAsia" w:ascii="宋体" w:hAnsi="宋体" w:eastAsia="宋体" w:cs="宋体"/>
          <w:b/>
          <w:bCs/>
          <w:sz w:val="28"/>
          <w:szCs w:val="28"/>
        </w:rPr>
      </w:pPr>
      <w:r>
        <w:rPr>
          <w:rFonts w:hint="eastAsia" w:ascii="宋体" w:hAnsi="宋体" w:eastAsia="宋体" w:cs="宋体"/>
          <w:b/>
          <w:bCs/>
          <w:sz w:val="28"/>
          <w:szCs w:val="28"/>
        </w:rPr>
        <w:t>5、参加政府采购活动前三年内，在经营活动中没有重大违法记录</w:t>
      </w:r>
    </w:p>
    <w:p w14:paraId="56385D3B">
      <w:pPr>
        <w:rPr>
          <w:rFonts w:hint="eastAsia" w:ascii="宋体" w:hAnsi="宋体" w:eastAsia="宋体" w:cs="宋体"/>
        </w:rPr>
      </w:pPr>
    </w:p>
    <w:p w14:paraId="38C8BDDC">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Fonts w:hint="eastAsia" w:ascii="宋体" w:hAnsi="宋体" w:eastAsia="宋体" w:cs="宋体"/>
          <w:b/>
          <w:sz w:val="24"/>
          <w:szCs w:val="24"/>
        </w:rPr>
        <w:t xml:space="preserve"> ：</w:t>
      </w:r>
    </w:p>
    <w:p w14:paraId="32181E5C">
      <w:pPr>
        <w:adjustRightInd w:val="0"/>
        <w:snapToGrid w:val="0"/>
        <w:spacing w:line="360" w:lineRule="auto"/>
        <w:ind w:firstLine="420"/>
        <w:rPr>
          <w:rFonts w:hint="eastAsia" w:ascii="宋体" w:hAnsi="宋体" w:eastAsia="宋体" w:cs="宋体"/>
          <w:bCs/>
          <w:sz w:val="24"/>
          <w:szCs w:val="24"/>
        </w:rPr>
      </w:pPr>
    </w:p>
    <w:p w14:paraId="52E6E25C">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本单位现参与 </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）的采购活动。依据招标文件相关规定，现郑重承诺：</w:t>
      </w:r>
      <w:r>
        <w:rPr>
          <w:rFonts w:hint="eastAsia" w:ascii="宋体" w:hAnsi="宋体" w:eastAsia="宋体" w:cs="宋体"/>
          <w:bCs/>
          <w:sz w:val="24"/>
          <w:szCs w:val="24"/>
        </w:rPr>
        <w:t>在本项目提交投标文件截止时间前，</w:t>
      </w:r>
      <w:r>
        <w:rPr>
          <w:rFonts w:hint="eastAsia" w:ascii="宋体" w:hAnsi="宋体" w:eastAsia="宋体" w:cs="宋体"/>
          <w:sz w:val="24"/>
          <w:szCs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失信主体、政府采购严重违法失信行为记录名单。</w:t>
      </w:r>
    </w:p>
    <w:p w14:paraId="1CB60A47">
      <w:pPr>
        <w:tabs>
          <w:tab w:val="left" w:pos="10065"/>
        </w:tabs>
        <w:adjustRightInd w:val="0"/>
        <w:snapToGrid w:val="0"/>
        <w:spacing w:line="360" w:lineRule="auto"/>
        <w:ind w:firstLine="372"/>
        <w:rPr>
          <w:rFonts w:hint="eastAsia" w:ascii="宋体" w:hAnsi="宋体" w:eastAsia="宋体" w:cs="宋体"/>
          <w:sz w:val="24"/>
          <w:szCs w:val="24"/>
        </w:rPr>
      </w:pPr>
      <w:r>
        <w:rPr>
          <w:rFonts w:hint="eastAsia" w:ascii="宋体" w:hAnsi="宋体" w:eastAsia="宋体" w:cs="宋体"/>
          <w:sz w:val="24"/>
          <w:szCs w:val="24"/>
        </w:rPr>
        <w:t>如发现我单位提供的声明函不实时，我单位将按照《中华人民共和国政府采购法》有关提供虚假材料的规定，接受处罚。</w:t>
      </w:r>
    </w:p>
    <w:p w14:paraId="5E9CDC9D">
      <w:pPr>
        <w:tabs>
          <w:tab w:val="left" w:pos="10065"/>
        </w:tabs>
        <w:adjustRightInd w:val="0"/>
        <w:snapToGrid w:val="0"/>
        <w:spacing w:line="360" w:lineRule="auto"/>
        <w:ind w:firstLine="372"/>
        <w:rPr>
          <w:rFonts w:hint="eastAsia" w:ascii="宋体" w:hAnsi="宋体" w:eastAsia="宋体" w:cs="宋体"/>
          <w:sz w:val="24"/>
          <w:szCs w:val="24"/>
        </w:rPr>
      </w:pPr>
      <w:r>
        <w:rPr>
          <w:rFonts w:hint="eastAsia" w:ascii="宋体" w:hAnsi="宋体" w:eastAsia="宋体" w:cs="宋体"/>
          <w:sz w:val="24"/>
          <w:szCs w:val="24"/>
        </w:rPr>
        <w:t>贵方可通过“信用中国”(网站：www.creditchina.gov.cn)、“中国政府采购网”（网站www.ccgp.gov.cn）网站证实。</w:t>
      </w:r>
    </w:p>
    <w:p w14:paraId="6A9DC6CD">
      <w:pPr>
        <w:tabs>
          <w:tab w:val="left" w:pos="10065"/>
        </w:tabs>
        <w:adjustRightInd w:val="0"/>
        <w:snapToGrid w:val="0"/>
        <w:spacing w:line="360" w:lineRule="auto"/>
        <w:ind w:firstLine="372"/>
        <w:rPr>
          <w:rFonts w:hint="eastAsia" w:ascii="宋体" w:hAnsi="宋体" w:eastAsia="宋体" w:cs="宋体"/>
          <w:sz w:val="24"/>
          <w:szCs w:val="24"/>
        </w:rPr>
      </w:pPr>
      <w:r>
        <w:rPr>
          <w:rFonts w:hint="eastAsia" w:ascii="宋体" w:hAnsi="宋体" w:eastAsia="宋体" w:cs="宋体"/>
          <w:sz w:val="24"/>
          <w:szCs w:val="24"/>
        </w:rPr>
        <w:t>特此声明。</w:t>
      </w:r>
    </w:p>
    <w:p w14:paraId="29633420">
      <w:pPr>
        <w:pStyle w:val="10"/>
        <w:rPr>
          <w:rFonts w:hint="eastAsia" w:ascii="宋体" w:hAnsi="宋体" w:eastAsia="宋体" w:cs="宋体"/>
          <w:sz w:val="24"/>
        </w:rPr>
      </w:pPr>
    </w:p>
    <w:p w14:paraId="55A6284C">
      <w:pPr>
        <w:pStyle w:val="27"/>
        <w:spacing w:line="360" w:lineRule="auto"/>
        <w:ind w:firstLine="2400" w:firstLineChars="100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4B4818C7">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52FA1F71">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740BDD9A">
      <w:pPr>
        <w:rPr>
          <w:rFonts w:hint="eastAsia" w:ascii="宋体" w:hAnsi="宋体" w:eastAsia="宋体" w:cs="宋体"/>
          <w:sz w:val="28"/>
          <w:szCs w:val="28"/>
        </w:rPr>
      </w:pPr>
      <w:r>
        <w:rPr>
          <w:rFonts w:hint="eastAsia" w:ascii="宋体" w:hAnsi="宋体" w:eastAsia="宋体" w:cs="宋体"/>
          <w:sz w:val="28"/>
          <w:szCs w:val="28"/>
        </w:rPr>
        <w:br w:type="page"/>
      </w:r>
    </w:p>
    <w:p w14:paraId="491D120E">
      <w:pPr>
        <w:pStyle w:val="4"/>
        <w:spacing w:before="0" w:after="0" w:line="360" w:lineRule="auto"/>
        <w:rPr>
          <w:rFonts w:hint="eastAsia" w:ascii="宋体" w:hAnsi="宋体" w:eastAsia="宋体" w:cs="宋体"/>
          <w:b/>
          <w:bCs/>
          <w:sz w:val="28"/>
          <w:szCs w:val="28"/>
        </w:rPr>
      </w:pPr>
      <w:r>
        <w:rPr>
          <w:rFonts w:hint="eastAsia" w:ascii="宋体" w:hAnsi="宋体" w:eastAsia="宋体" w:cs="宋体"/>
          <w:b/>
          <w:bCs/>
          <w:sz w:val="28"/>
          <w:szCs w:val="28"/>
        </w:rPr>
        <w:t>二、政府采购活动承诺书</w:t>
      </w:r>
    </w:p>
    <w:p w14:paraId="4F996085">
      <w:pPr>
        <w:adjustRightInd w:val="0"/>
        <w:snapToGrid w:val="0"/>
        <w:spacing w:line="360" w:lineRule="auto"/>
        <w:rPr>
          <w:rFonts w:hint="eastAsia" w:ascii="宋体" w:hAnsi="宋体" w:eastAsia="宋体" w:cs="宋体"/>
          <w:b/>
          <w:sz w:val="24"/>
          <w:szCs w:val="24"/>
          <w:u w:val="single"/>
        </w:rPr>
      </w:pPr>
    </w:p>
    <w:p w14:paraId="7DB79E64">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u w:val="single"/>
        </w:rPr>
        <w:t xml:space="preserve">     （</w:t>
      </w:r>
      <w:r>
        <w:rPr>
          <w:rFonts w:hint="eastAsia" w:ascii="宋体" w:hAnsi="宋体" w:cs="宋体"/>
          <w:b/>
          <w:sz w:val="24"/>
          <w:szCs w:val="24"/>
          <w:u w:val="single"/>
          <w:lang w:eastAsia="zh-CN"/>
        </w:rPr>
        <w:t>采购人</w:t>
      </w:r>
      <w:r>
        <w:rPr>
          <w:rFonts w:hint="eastAsia" w:ascii="宋体" w:hAnsi="宋体" w:eastAsia="宋体" w:cs="宋体"/>
          <w:b/>
          <w:sz w:val="24"/>
          <w:szCs w:val="24"/>
          <w:u w:val="single"/>
        </w:rPr>
        <w:t xml:space="preserve">名称） </w:t>
      </w:r>
      <w:r>
        <w:rPr>
          <w:rFonts w:hint="eastAsia" w:ascii="宋体" w:hAnsi="宋体" w:eastAsia="宋体" w:cs="宋体"/>
          <w:b/>
          <w:sz w:val="24"/>
          <w:szCs w:val="24"/>
        </w:rPr>
        <w:t xml:space="preserve"> ：</w:t>
      </w:r>
    </w:p>
    <w:p w14:paraId="231641E5">
      <w:pPr>
        <w:spacing w:line="360" w:lineRule="auto"/>
        <w:ind w:firstLine="480" w:firstLineChars="200"/>
        <w:rPr>
          <w:rFonts w:hint="eastAsia" w:ascii="宋体" w:hAnsi="宋体" w:eastAsia="宋体" w:cs="宋体"/>
          <w:sz w:val="24"/>
          <w:szCs w:val="24"/>
        </w:rPr>
      </w:pPr>
    </w:p>
    <w:p w14:paraId="784EE0A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我公司参与</w:t>
      </w:r>
      <w:r>
        <w:rPr>
          <w:rFonts w:hint="eastAsia" w:ascii="宋体" w:hAnsi="宋体" w:eastAsia="宋体" w:cs="宋体"/>
          <w:sz w:val="24"/>
          <w:szCs w:val="24"/>
          <w:u w:val="single"/>
        </w:rPr>
        <w:t xml:space="preserve">（项目名称、项目编号） </w:t>
      </w:r>
      <w:r>
        <w:rPr>
          <w:rFonts w:hint="eastAsia" w:ascii="宋体" w:hAnsi="宋体" w:eastAsia="宋体" w:cs="宋体"/>
          <w:color w:val="000000"/>
          <w:sz w:val="24"/>
          <w:szCs w:val="24"/>
        </w:rPr>
        <w:t>的政府采购活动，就有关公平竞争事项郑重声明如下：</w:t>
      </w:r>
    </w:p>
    <w:p w14:paraId="5C467A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本单位与采购人之间：</w:t>
      </w:r>
    </w:p>
    <w:p w14:paraId="14E3D94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□不存在利害关系/□存在下列利害关系：</w:t>
      </w:r>
      <w:r>
        <w:rPr>
          <w:rFonts w:hint="eastAsia" w:ascii="宋体" w:hAnsi="宋体" w:eastAsia="宋体" w:cs="宋体"/>
          <w:color w:val="000000"/>
          <w:sz w:val="24"/>
          <w:szCs w:val="24"/>
          <w:u w:val="single"/>
        </w:rPr>
        <w:t xml:space="preserve">                      </w:t>
      </w:r>
    </w:p>
    <w:p w14:paraId="5F416064">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A.投资关系；B.行政隶属关系；C.业务指导关系；D.其他可能影响采购公正的利害关系：（如有，请如实说明）</w:t>
      </w:r>
      <w:r>
        <w:rPr>
          <w:rFonts w:hint="eastAsia" w:ascii="宋体" w:hAnsi="宋体" w:eastAsia="宋体" w:cs="宋体"/>
          <w:color w:val="000000"/>
          <w:sz w:val="24"/>
          <w:szCs w:val="24"/>
          <w:u w:val="single"/>
        </w:rPr>
        <w:t xml:space="preserve">                       </w:t>
      </w:r>
    </w:p>
    <w:p w14:paraId="2CD2C3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本单位与其他投标人之间：</w:t>
      </w:r>
    </w:p>
    <w:p w14:paraId="4233D7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□不存在围标串标行为/□存在围标串标行为：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C6F702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□不存在</w:t>
      </w:r>
      <w:r>
        <w:rPr>
          <w:rFonts w:hint="eastAsia" w:ascii="宋体" w:hAnsi="宋体" w:eastAsia="宋体" w:cs="宋体"/>
          <w:sz w:val="24"/>
          <w:szCs w:val="24"/>
        </w:rPr>
        <w:t>单位负责人为同一人或者存在直接控股、管理关系的不同投标人，参加同一合同项下的政府采购活动</w:t>
      </w:r>
      <w:r>
        <w:rPr>
          <w:rFonts w:hint="eastAsia" w:ascii="宋体" w:hAnsi="宋体" w:eastAsia="宋体" w:cs="宋体"/>
          <w:color w:val="000000"/>
          <w:sz w:val="24"/>
          <w:szCs w:val="24"/>
        </w:rPr>
        <w:t>/□存在</w:t>
      </w:r>
      <w:r>
        <w:rPr>
          <w:rFonts w:hint="eastAsia" w:ascii="宋体" w:hAnsi="宋体" w:eastAsia="宋体" w:cs="宋体"/>
          <w:sz w:val="24"/>
          <w:szCs w:val="24"/>
        </w:rPr>
        <w:t>单位负责人为同一人或者存在直接控股、管理关系的不同投标人，参加同一合同项下的政府采购活动；</w:t>
      </w:r>
    </w:p>
    <w:p w14:paraId="353838A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现已清楚知道并承诺严格遵守政府采购法律法规，严格按照招标文件规定签署本承诺书，如有任何存在围标串标行为，将自行承担一切法律后果。</w:t>
      </w:r>
    </w:p>
    <w:p w14:paraId="4C622DE1">
      <w:pPr>
        <w:pStyle w:val="27"/>
        <w:spacing w:line="360" w:lineRule="auto"/>
        <w:ind w:firstLine="480"/>
        <w:rPr>
          <w:rFonts w:hint="eastAsia" w:ascii="宋体" w:hAnsi="宋体" w:eastAsia="宋体" w:cs="宋体"/>
          <w:color w:val="000000"/>
          <w:sz w:val="24"/>
        </w:rPr>
      </w:pPr>
      <w:r>
        <w:rPr>
          <w:rFonts w:hint="eastAsia" w:ascii="宋体" w:hAnsi="宋体" w:eastAsia="宋体" w:cs="宋体"/>
          <w:color w:val="000000"/>
          <w:sz w:val="24"/>
        </w:rPr>
        <w:t>特此承诺</w:t>
      </w:r>
    </w:p>
    <w:p w14:paraId="159F2928">
      <w:pPr>
        <w:pStyle w:val="27"/>
        <w:spacing w:line="360" w:lineRule="auto"/>
        <w:ind w:firstLine="480"/>
        <w:rPr>
          <w:rFonts w:hint="eastAsia" w:ascii="宋体" w:hAnsi="宋体" w:eastAsia="宋体" w:cs="宋体"/>
          <w:color w:val="000000"/>
          <w:sz w:val="24"/>
        </w:rPr>
      </w:pPr>
    </w:p>
    <w:p w14:paraId="08B3FDF6">
      <w:pPr>
        <w:pStyle w:val="27"/>
        <w:spacing w:line="360" w:lineRule="auto"/>
        <w:ind w:firstLine="2400" w:firstLineChars="100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35C4BC9C">
      <w:pPr>
        <w:pStyle w:val="27"/>
        <w:spacing w:line="360" w:lineRule="auto"/>
        <w:ind w:firstLine="2400" w:firstLineChars="1000"/>
        <w:rPr>
          <w:rFonts w:hint="eastAsia" w:ascii="宋体" w:hAnsi="宋体" w:eastAsia="宋体" w:cs="宋体"/>
          <w:sz w:val="24"/>
          <w:u w:val="single"/>
        </w:rPr>
      </w:pPr>
      <w:r>
        <w:rPr>
          <w:rFonts w:hint="eastAsia" w:ascii="宋体" w:hAnsi="宋体" w:eastAsia="宋体" w:cs="宋体"/>
          <w:sz w:val="24"/>
        </w:rPr>
        <w:t>法定代表人（单位负责人）（签字或盖章）：</w:t>
      </w:r>
      <w:r>
        <w:rPr>
          <w:rFonts w:hint="eastAsia" w:ascii="宋体" w:hAnsi="宋体" w:eastAsia="宋体" w:cs="宋体"/>
          <w:sz w:val="24"/>
          <w:u w:val="single"/>
        </w:rPr>
        <w:t xml:space="preserve">         </w:t>
      </w:r>
    </w:p>
    <w:p w14:paraId="658E6CF3">
      <w:pPr>
        <w:pStyle w:val="27"/>
        <w:spacing w:line="360" w:lineRule="auto"/>
        <w:ind w:firstLine="2400" w:firstLineChars="1000"/>
        <w:rPr>
          <w:rFonts w:hint="eastAsia" w:ascii="宋体" w:hAnsi="宋体" w:eastAsia="宋体" w:cs="宋体"/>
          <w:sz w:val="28"/>
          <w:szCs w:val="28"/>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8"/>
          <w:szCs w:val="28"/>
        </w:rPr>
        <w:br w:type="page"/>
      </w:r>
    </w:p>
    <w:p w14:paraId="2F594F4F">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rPr>
        <w:t>三、投标保证金凭证</w:t>
      </w:r>
    </w:p>
    <w:p w14:paraId="70AAE631">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需提供开户许可证或基本存款账户信息、保证金转账凭证或银行保函或担保机构投标保证合同复印件须加盖投标人公章。</w:t>
      </w:r>
    </w:p>
    <w:p w14:paraId="47ECDCCA">
      <w:pPr>
        <w:rPr>
          <w:rFonts w:hint="eastAsia" w:ascii="宋体" w:hAnsi="宋体" w:eastAsia="宋体" w:cs="宋体"/>
          <w:b/>
          <w:bCs/>
          <w:kern w:val="0"/>
          <w:sz w:val="24"/>
          <w:szCs w:val="24"/>
        </w:rPr>
      </w:pPr>
    </w:p>
    <w:p w14:paraId="7C265296">
      <w:pPr>
        <w:rPr>
          <w:rFonts w:hint="eastAsia" w:ascii="宋体" w:hAnsi="宋体" w:eastAsia="宋体" w:cs="宋体"/>
          <w:b/>
          <w:bCs/>
          <w:kern w:val="0"/>
          <w:sz w:val="24"/>
          <w:szCs w:val="24"/>
        </w:rPr>
      </w:pPr>
    </w:p>
    <w:p w14:paraId="5236E103">
      <w:pPr>
        <w:rPr>
          <w:rFonts w:hint="eastAsia" w:ascii="宋体" w:hAnsi="宋体" w:eastAsia="宋体" w:cs="宋体"/>
          <w:b/>
          <w:bCs/>
          <w:kern w:val="0"/>
          <w:sz w:val="24"/>
          <w:szCs w:val="24"/>
        </w:rPr>
      </w:pPr>
    </w:p>
    <w:p w14:paraId="3919E777">
      <w:pPr>
        <w:pStyle w:val="30"/>
        <w:ind w:firstLine="480"/>
        <w:rPr>
          <w:rFonts w:hint="eastAsia" w:ascii="宋体" w:hAnsi="宋体" w:eastAsia="宋体" w:cs="宋体"/>
        </w:rPr>
      </w:pPr>
    </w:p>
    <w:p w14:paraId="630390BB">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6C1B1084">
      <w:pPr>
        <w:pStyle w:val="3"/>
        <w:autoSpaceDE w:val="0"/>
        <w:autoSpaceDN w:val="0"/>
        <w:adjustRightInd w:val="0"/>
        <w:spacing w:after="140" w:line="240" w:lineRule="auto"/>
        <w:jc w:val="center"/>
        <w:rPr>
          <w:rFonts w:hint="eastAsia" w:ascii="宋体" w:hAnsi="宋体" w:eastAsia="宋体" w:cs="宋体"/>
          <w:b/>
          <w:bCs/>
        </w:rPr>
      </w:pPr>
      <w:r>
        <w:rPr>
          <w:rFonts w:hint="eastAsia" w:ascii="宋体" w:hAnsi="宋体" w:eastAsia="宋体" w:cs="宋体"/>
          <w:b/>
          <w:bCs/>
        </w:rPr>
        <w:t>商务技术文件</w:t>
      </w:r>
    </w:p>
    <w:p w14:paraId="50040784">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rPr>
        <w:t>一、投标函</w:t>
      </w:r>
    </w:p>
    <w:p w14:paraId="67B8F8F2">
      <w:pPr>
        <w:widowControl/>
        <w:snapToGrid w:val="0"/>
        <w:spacing w:line="300" w:lineRule="auto"/>
        <w:jc w:val="center"/>
        <w:rPr>
          <w:rFonts w:hint="eastAsia" w:ascii="宋体" w:hAnsi="宋体" w:eastAsia="宋体" w:cs="宋体"/>
          <w:kern w:val="0"/>
          <w:szCs w:val="21"/>
        </w:rPr>
      </w:pPr>
    </w:p>
    <w:p w14:paraId="7753F047">
      <w:pPr>
        <w:widowControl/>
        <w:tabs>
          <w:tab w:val="left" w:pos="4860"/>
        </w:tabs>
        <w:snapToGrid w:val="0"/>
        <w:spacing w:line="360" w:lineRule="auto"/>
        <w:jc w:val="left"/>
        <w:rPr>
          <w:rFonts w:hint="eastAsia" w:ascii="宋体" w:hAnsi="宋体" w:eastAsia="宋体" w:cs="宋体"/>
          <w:kern w:val="0"/>
          <w:sz w:val="24"/>
          <w:szCs w:val="24"/>
        </w:rPr>
      </w:pPr>
      <w:r>
        <w:rPr>
          <w:rFonts w:hint="eastAsia" w:ascii="宋体" w:hAnsi="宋体" w:eastAsia="宋体" w:cs="宋体"/>
          <w:b/>
          <w:bCs/>
          <w:kern w:val="0"/>
          <w:sz w:val="24"/>
          <w:szCs w:val="24"/>
        </w:rPr>
        <w:t>致：</w:t>
      </w:r>
      <w:r>
        <w:rPr>
          <w:rFonts w:hint="eastAsia" w:ascii="宋体" w:hAnsi="宋体" w:eastAsia="宋体" w:cs="宋体"/>
          <w:b/>
          <w:bCs/>
          <w:kern w:val="0"/>
          <w:sz w:val="24"/>
          <w:szCs w:val="24"/>
          <w:u w:val="single"/>
        </w:rPr>
        <w:t xml:space="preserve">   （ </w:t>
      </w:r>
      <w:r>
        <w:rPr>
          <w:rFonts w:hint="eastAsia" w:ascii="宋体" w:hAnsi="宋体" w:cs="宋体"/>
          <w:b/>
          <w:bCs/>
          <w:kern w:val="0"/>
          <w:sz w:val="24"/>
          <w:szCs w:val="24"/>
          <w:u w:val="single"/>
          <w:lang w:eastAsia="zh-CN"/>
        </w:rPr>
        <w:t>采购人</w:t>
      </w:r>
      <w:r>
        <w:rPr>
          <w:rFonts w:hint="eastAsia" w:ascii="宋体" w:hAnsi="宋体" w:eastAsia="宋体" w:cs="宋体"/>
          <w:b/>
          <w:bCs/>
          <w:kern w:val="0"/>
          <w:sz w:val="24"/>
          <w:szCs w:val="24"/>
          <w:u w:val="single"/>
        </w:rPr>
        <w:t xml:space="preserve"> ）    </w:t>
      </w:r>
      <w:r>
        <w:rPr>
          <w:rFonts w:hint="eastAsia" w:ascii="宋体" w:hAnsi="宋体" w:eastAsia="宋体" w:cs="宋体"/>
          <w:kern w:val="0"/>
          <w:sz w:val="24"/>
          <w:szCs w:val="24"/>
        </w:rPr>
        <w:t xml:space="preserve">       </w:t>
      </w:r>
    </w:p>
    <w:p w14:paraId="6ECF21CD">
      <w:pPr>
        <w:widowControl/>
        <w:tabs>
          <w:tab w:val="left" w:pos="1200"/>
        </w:tabs>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(投标人全称)授权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(被授权代理人姓名)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(职务、职称)为我方代表，参加贵方组织的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(项目名称、项目编号)招标的有关活动，并对此项目进行投标。为此：</w:t>
      </w:r>
    </w:p>
    <w:p w14:paraId="226D8E14">
      <w:pPr>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1、我方同意在本项目招标文件中规定的开标日起的有效期内</w:t>
      </w:r>
      <w:r>
        <w:rPr>
          <w:rFonts w:hint="eastAsia" w:ascii="宋体" w:hAnsi="宋体" w:eastAsia="宋体" w:cs="宋体"/>
          <w:kern w:val="0"/>
          <w:sz w:val="24"/>
          <w:u w:val="single"/>
        </w:rPr>
        <w:t xml:space="preserve"> 90日历天 </w:t>
      </w:r>
      <w:r>
        <w:rPr>
          <w:rFonts w:hint="eastAsia" w:ascii="宋体" w:hAnsi="宋体" w:eastAsia="宋体" w:cs="宋体"/>
          <w:kern w:val="0"/>
          <w:sz w:val="24"/>
        </w:rPr>
        <w:t>遵守本投标文件中的承诺且在此期限期满之前均具有约束力。</w:t>
      </w:r>
    </w:p>
    <w:p w14:paraId="0503ACB1">
      <w:pPr>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2、我方承诺已经具备《中华人民共和国政府采购法》中规定的参加政府采购活动的投标人应当具备的全部条件。</w:t>
      </w:r>
    </w:p>
    <w:p w14:paraId="23DAF2FA">
      <w:pPr>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3、我方已详细审核全部投标文件，包括投标文件修改书（如有的话）、参考资料及有关附件，确认无误。</w:t>
      </w:r>
    </w:p>
    <w:p w14:paraId="22E0B7BE">
      <w:pPr>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4、提供投标须知规定的全部投标文件，包括投标文件正本、副本。</w:t>
      </w:r>
    </w:p>
    <w:p w14:paraId="6236C5A3">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5、按招标文件要求提供和交付的货物和服务的投标报价详见开标一览表。</w:t>
      </w:r>
    </w:p>
    <w:p w14:paraId="572F5B59">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6、完全理解投标报价超过开标时公布的预算金额或最高限价时，投标将被拒绝。</w:t>
      </w:r>
    </w:p>
    <w:p w14:paraId="4C812E27">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7、我方承诺接受招标文件中《合同条款》的全部条款且无任何异议。保证忠实地执行双方所签订的合同，并承担合同规定的责任和义务。</w:t>
      </w:r>
    </w:p>
    <w:p w14:paraId="2B93BDD1">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8、承诺完全满足和响应招标文件中的各项商务和技术要求，若有偏差，已在投标文件商务条款偏离表中予以明确特别说明。</w:t>
      </w:r>
    </w:p>
    <w:p w14:paraId="7D6A01CD">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9、保证遵守招标文件的规定。</w:t>
      </w:r>
    </w:p>
    <w:p w14:paraId="417490C6">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10、如果在开标后规定的投标有效期内撤回投标，我方的投标保证金可被贵方没收。</w:t>
      </w:r>
    </w:p>
    <w:p w14:paraId="6BFA863A">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11、我方完全理解贵方不一定接受最低价的投标。</w:t>
      </w:r>
    </w:p>
    <w:p w14:paraId="376E5460">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12、我方愿意向贵方提供任何与本项投标有关的数据、情况和技术资料。若贵方需要，我方愿意提供我方做出的一切承诺的证明材料。</w:t>
      </w:r>
    </w:p>
    <w:p w14:paraId="64024B6F">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13、我方承诺：</w:t>
      </w:r>
      <w:r>
        <w:rPr>
          <w:rFonts w:hint="eastAsia" w:ascii="宋体" w:hAnsi="宋体" w:cs="宋体"/>
          <w:kern w:val="0"/>
          <w:sz w:val="24"/>
          <w:lang w:eastAsia="zh-CN"/>
        </w:rPr>
        <w:t>采购人</w:t>
      </w:r>
      <w:r>
        <w:rPr>
          <w:rFonts w:hint="eastAsia" w:ascii="宋体" w:hAnsi="宋体" w:eastAsia="宋体" w:cs="宋体"/>
          <w:kern w:val="0"/>
          <w:sz w:val="24"/>
        </w:rPr>
        <w:t>若需追加采购本项目招标文件所列货物及相关服务的，在不改变合同其他实质性条款的前提下，按相同或更优惠的折扣率保证供货。</w:t>
      </w:r>
    </w:p>
    <w:p w14:paraId="78664EA5">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1753105">
      <w:pPr>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（1）提供虚假材料谋取中标、成交的；</w:t>
      </w:r>
    </w:p>
    <w:p w14:paraId="0656F0CF">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（2）采取不正当手段诋毁、排挤其他投标人的；</w:t>
      </w:r>
    </w:p>
    <w:p w14:paraId="5A8546E1">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（3）与</w:t>
      </w:r>
      <w:r>
        <w:rPr>
          <w:rFonts w:hint="eastAsia" w:ascii="宋体" w:hAnsi="宋体" w:cs="宋体"/>
          <w:kern w:val="0"/>
          <w:sz w:val="24"/>
          <w:lang w:eastAsia="zh-CN"/>
        </w:rPr>
        <w:t>采购人</w:t>
      </w:r>
      <w:r>
        <w:rPr>
          <w:rFonts w:hint="eastAsia" w:ascii="宋体" w:hAnsi="宋体" w:eastAsia="宋体" w:cs="宋体"/>
          <w:kern w:val="0"/>
          <w:sz w:val="24"/>
        </w:rPr>
        <w:t>、其它投标人或者</w:t>
      </w:r>
      <w:r>
        <w:rPr>
          <w:rFonts w:hint="eastAsia" w:ascii="宋体" w:hAnsi="宋体" w:cs="宋体"/>
          <w:kern w:val="0"/>
          <w:sz w:val="24"/>
          <w:lang w:eastAsia="zh-CN"/>
        </w:rPr>
        <w:t>采购代理机构</w:t>
      </w:r>
      <w:r>
        <w:rPr>
          <w:rFonts w:hint="eastAsia" w:ascii="宋体" w:hAnsi="宋体" w:eastAsia="宋体" w:cs="宋体"/>
          <w:kern w:val="0"/>
          <w:sz w:val="24"/>
        </w:rPr>
        <w:t>工作人员恶意串通的；</w:t>
      </w:r>
    </w:p>
    <w:p w14:paraId="6E35D44C">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（4）向</w:t>
      </w:r>
      <w:r>
        <w:rPr>
          <w:rFonts w:hint="eastAsia" w:ascii="宋体" w:hAnsi="宋体" w:cs="宋体"/>
          <w:kern w:val="0"/>
          <w:sz w:val="24"/>
          <w:lang w:eastAsia="zh-CN"/>
        </w:rPr>
        <w:t>采购人</w:t>
      </w:r>
      <w:r>
        <w:rPr>
          <w:rFonts w:hint="eastAsia" w:ascii="宋体" w:hAnsi="宋体" w:eastAsia="宋体" w:cs="宋体"/>
          <w:kern w:val="0"/>
          <w:sz w:val="24"/>
        </w:rPr>
        <w:t>、</w:t>
      </w:r>
      <w:r>
        <w:rPr>
          <w:rFonts w:hint="eastAsia" w:ascii="宋体" w:hAnsi="宋体" w:cs="宋体"/>
          <w:kern w:val="0"/>
          <w:sz w:val="24"/>
          <w:lang w:eastAsia="zh-CN"/>
        </w:rPr>
        <w:t>采购代理机构</w:t>
      </w:r>
      <w:r>
        <w:rPr>
          <w:rFonts w:hint="eastAsia" w:ascii="宋体" w:hAnsi="宋体" w:eastAsia="宋体" w:cs="宋体"/>
          <w:kern w:val="0"/>
          <w:sz w:val="24"/>
        </w:rPr>
        <w:t>工作人员行贿或者提供其他不正当利益的；</w:t>
      </w:r>
    </w:p>
    <w:p w14:paraId="19EBEAF9">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（5）未经</w:t>
      </w:r>
      <w:r>
        <w:rPr>
          <w:rFonts w:hint="eastAsia" w:ascii="宋体" w:hAnsi="宋体" w:cs="宋体"/>
          <w:kern w:val="0"/>
          <w:sz w:val="24"/>
          <w:lang w:eastAsia="zh-CN"/>
        </w:rPr>
        <w:t>采购代理机构</w:t>
      </w:r>
      <w:r>
        <w:rPr>
          <w:rFonts w:hint="eastAsia" w:ascii="宋体" w:hAnsi="宋体" w:eastAsia="宋体" w:cs="宋体"/>
          <w:kern w:val="0"/>
          <w:sz w:val="24"/>
        </w:rPr>
        <w:t>同意，在采购过程中与</w:t>
      </w:r>
      <w:r>
        <w:rPr>
          <w:rFonts w:hint="eastAsia" w:ascii="宋体" w:hAnsi="宋体" w:cs="宋体"/>
          <w:kern w:val="0"/>
          <w:sz w:val="24"/>
          <w:lang w:eastAsia="zh-CN"/>
        </w:rPr>
        <w:t>采购人</w:t>
      </w:r>
      <w:r>
        <w:rPr>
          <w:rFonts w:hint="eastAsia" w:ascii="宋体" w:hAnsi="宋体" w:eastAsia="宋体" w:cs="宋体"/>
          <w:kern w:val="0"/>
          <w:sz w:val="24"/>
        </w:rPr>
        <w:t>进行协商谈判的；</w:t>
      </w:r>
    </w:p>
    <w:p w14:paraId="5E42243F">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（6）拒绝有关部门监督检查或提供虚假情况的。</w:t>
      </w:r>
    </w:p>
    <w:p w14:paraId="03624D60">
      <w:pPr>
        <w:adjustRightInd w:val="0"/>
        <w:snapToGrid w:val="0"/>
        <w:spacing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15、我方不存在，根据《政府采购质疑和投诉办法》（中华人民共和国财政部令第 94 号）第三十七条规定，投诉人在全国范围12个月内三次以上投诉查无实据的，由财政部门列入不良行为记录名单的情形。</w:t>
      </w:r>
    </w:p>
    <w:p w14:paraId="557CC8F4">
      <w:pPr>
        <w:widowControl/>
        <w:snapToGrid w:val="0"/>
        <w:spacing w:line="360" w:lineRule="auto"/>
        <w:ind w:firstLine="480" w:firstLineChars="200"/>
        <w:jc w:val="left"/>
        <w:rPr>
          <w:rFonts w:hint="eastAsia" w:ascii="宋体" w:hAnsi="宋体" w:eastAsia="宋体" w:cs="宋体"/>
          <w:kern w:val="0"/>
          <w:sz w:val="24"/>
        </w:rPr>
      </w:pPr>
    </w:p>
    <w:p w14:paraId="4B071D8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所有有关本投标的一切往来联系方式为：</w:t>
      </w:r>
    </w:p>
    <w:p w14:paraId="429B97FE">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邮编：</w:t>
      </w:r>
      <w:r>
        <w:rPr>
          <w:rFonts w:hint="eastAsia" w:ascii="宋体" w:hAnsi="宋体" w:eastAsia="宋体" w:cs="宋体"/>
          <w:kern w:val="0"/>
          <w:sz w:val="24"/>
          <w:szCs w:val="24"/>
        </w:rPr>
        <w:tab/>
      </w:r>
    </w:p>
    <w:p w14:paraId="60CCE878">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传真：</w:t>
      </w:r>
    </w:p>
    <w:p w14:paraId="4666380B">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被授权代理人姓名：</w:t>
      </w:r>
    </w:p>
    <w:p w14:paraId="00D7C05E">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被授权代理人联系电话：（办公）  （移动）</w:t>
      </w:r>
    </w:p>
    <w:p w14:paraId="10780608">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E-mail：</w:t>
      </w:r>
    </w:p>
    <w:p w14:paraId="04F6B90A">
      <w:pPr>
        <w:widowControl/>
        <w:snapToGrid w:val="0"/>
        <w:spacing w:line="360" w:lineRule="auto"/>
        <w:ind w:firstLine="480" w:firstLineChars="200"/>
        <w:jc w:val="left"/>
        <w:rPr>
          <w:rFonts w:hint="eastAsia" w:ascii="宋体" w:hAnsi="宋体" w:eastAsia="宋体" w:cs="宋体"/>
          <w:kern w:val="0"/>
          <w:sz w:val="24"/>
          <w:szCs w:val="24"/>
        </w:rPr>
      </w:pPr>
    </w:p>
    <w:p w14:paraId="4E3751CF">
      <w:pPr>
        <w:pStyle w:val="27"/>
        <w:spacing w:line="360" w:lineRule="auto"/>
        <w:ind w:firstLine="48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2A423F1B">
      <w:pPr>
        <w:pStyle w:val="27"/>
        <w:spacing w:line="360" w:lineRule="auto"/>
        <w:ind w:firstLine="480"/>
        <w:rPr>
          <w:rFonts w:hint="eastAsia" w:ascii="宋体" w:hAnsi="宋体" w:eastAsia="宋体" w:cs="宋体"/>
          <w:sz w:val="24"/>
        </w:rPr>
      </w:pPr>
      <w:r>
        <w:rPr>
          <w:rFonts w:hint="eastAsia" w:ascii="宋体" w:hAnsi="宋体" w:eastAsia="宋体" w:cs="宋体"/>
          <w:sz w:val="24"/>
        </w:rPr>
        <w:t>法定代表人（单位负责人）或被授权代理人（签字或盖章）：</w:t>
      </w:r>
      <w:r>
        <w:rPr>
          <w:rFonts w:hint="eastAsia" w:ascii="宋体" w:hAnsi="宋体" w:eastAsia="宋体" w:cs="宋体"/>
          <w:sz w:val="24"/>
          <w:u w:val="single"/>
        </w:rPr>
        <w:t xml:space="preserve">         </w:t>
      </w:r>
    </w:p>
    <w:p w14:paraId="70DB56E5">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100DC36C">
      <w:pPr>
        <w:widowControl/>
        <w:snapToGrid w:val="0"/>
        <w:spacing w:line="360" w:lineRule="auto"/>
        <w:ind w:firstLine="480" w:firstLineChars="200"/>
        <w:jc w:val="left"/>
        <w:rPr>
          <w:rFonts w:hint="eastAsia" w:ascii="宋体" w:hAnsi="宋体" w:eastAsia="宋体" w:cs="宋体"/>
          <w:kern w:val="0"/>
          <w:sz w:val="24"/>
          <w:szCs w:val="24"/>
        </w:rPr>
      </w:pPr>
    </w:p>
    <w:p w14:paraId="756BAA4E">
      <w:pPr>
        <w:widowControl/>
        <w:snapToGrid w:val="0"/>
        <w:spacing w:line="360" w:lineRule="auto"/>
        <w:jc w:val="left"/>
        <w:rPr>
          <w:rFonts w:hint="eastAsia" w:ascii="宋体" w:hAnsi="宋体" w:eastAsia="宋体" w:cs="宋体"/>
          <w:kern w:val="0"/>
          <w:sz w:val="24"/>
          <w:szCs w:val="24"/>
        </w:rPr>
      </w:pPr>
    </w:p>
    <w:p w14:paraId="0EE138EC">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
          <w:kern w:val="0"/>
          <w:sz w:val="24"/>
          <w:szCs w:val="24"/>
        </w:rPr>
        <w:t>注：除可填报项目外，对本投标函的任何修改将被视为非实质性响应投标，从而导致该投标被拒绝。</w:t>
      </w:r>
    </w:p>
    <w:p w14:paraId="05C22447">
      <w:pPr>
        <w:rPr>
          <w:rFonts w:hint="eastAsia" w:ascii="宋体" w:hAnsi="宋体" w:eastAsia="宋体" w:cs="宋体"/>
          <w:kern w:val="0"/>
          <w:szCs w:val="21"/>
        </w:rPr>
      </w:pPr>
      <w:r>
        <w:rPr>
          <w:rFonts w:hint="eastAsia" w:ascii="宋体" w:hAnsi="宋体" w:eastAsia="宋体" w:cs="宋体"/>
          <w:kern w:val="0"/>
          <w:szCs w:val="21"/>
        </w:rPr>
        <w:br w:type="page"/>
      </w:r>
    </w:p>
    <w:p w14:paraId="5369D98A">
      <w:pPr>
        <w:widowControl/>
        <w:snapToGrid w:val="0"/>
        <w:spacing w:line="300" w:lineRule="auto"/>
        <w:jc w:val="center"/>
        <w:rPr>
          <w:rFonts w:hint="eastAsia" w:ascii="宋体" w:hAnsi="宋体" w:eastAsia="宋体" w:cs="宋体"/>
          <w:kern w:val="0"/>
          <w:szCs w:val="21"/>
        </w:rPr>
      </w:pPr>
    </w:p>
    <w:p w14:paraId="2F130EF3">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rPr>
        <w:t>二、开标一览表</w:t>
      </w:r>
    </w:p>
    <w:p w14:paraId="3202E746">
      <w:pPr>
        <w:widowControl/>
        <w:snapToGrid w:val="0"/>
        <w:spacing w:line="400" w:lineRule="exact"/>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开标一览表</w:t>
      </w:r>
    </w:p>
    <w:p w14:paraId="019CF5A4">
      <w:pPr>
        <w:pStyle w:val="7"/>
        <w:jc w:val="right"/>
        <w:rPr>
          <w:rFonts w:hint="eastAsia" w:ascii="宋体" w:hAnsi="宋体" w:eastAsia="宋体" w:cs="宋体"/>
          <w:bCs/>
          <w:snapToGrid w:val="0"/>
          <w:sz w:val="22"/>
          <w:szCs w:val="22"/>
        </w:rPr>
      </w:pPr>
      <w:r>
        <w:rPr>
          <w:rFonts w:hint="eastAsia" w:ascii="宋体" w:hAnsi="宋体" w:eastAsia="宋体" w:cs="宋体"/>
          <w:bCs/>
          <w:snapToGrid w:val="0"/>
          <w:sz w:val="22"/>
          <w:szCs w:val="22"/>
        </w:rPr>
        <w:t>货币：人民币/元</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7227"/>
      </w:tblGrid>
      <w:tr w14:paraId="747B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714D081F">
            <w:pPr>
              <w:jc w:val="center"/>
              <w:rPr>
                <w:rFonts w:hint="eastAsia" w:ascii="宋体" w:hAnsi="宋体" w:eastAsia="宋体" w:cs="宋体"/>
                <w:sz w:val="22"/>
                <w:szCs w:val="24"/>
              </w:rPr>
            </w:pPr>
            <w:r>
              <w:rPr>
                <w:rFonts w:hint="eastAsia" w:ascii="宋体" w:hAnsi="宋体" w:eastAsia="宋体" w:cs="宋体"/>
                <w:sz w:val="22"/>
                <w:szCs w:val="24"/>
              </w:rPr>
              <w:t>项目名称</w:t>
            </w:r>
          </w:p>
        </w:tc>
        <w:tc>
          <w:tcPr>
            <w:tcW w:w="3630" w:type="pct"/>
            <w:noWrap w:val="0"/>
            <w:vAlign w:val="center"/>
          </w:tcPr>
          <w:p w14:paraId="3414E434">
            <w:pPr>
              <w:jc w:val="center"/>
              <w:rPr>
                <w:rFonts w:hint="eastAsia" w:ascii="宋体" w:hAnsi="宋体" w:eastAsia="宋体" w:cs="宋体"/>
                <w:sz w:val="22"/>
                <w:szCs w:val="24"/>
              </w:rPr>
            </w:pPr>
          </w:p>
        </w:tc>
      </w:tr>
      <w:tr w14:paraId="2DB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5917AC0D">
            <w:pPr>
              <w:jc w:val="center"/>
              <w:rPr>
                <w:rFonts w:hint="eastAsia" w:ascii="宋体" w:hAnsi="宋体" w:eastAsia="宋体" w:cs="宋体"/>
                <w:sz w:val="22"/>
                <w:szCs w:val="24"/>
              </w:rPr>
            </w:pPr>
            <w:r>
              <w:rPr>
                <w:rFonts w:hint="eastAsia" w:ascii="宋体" w:hAnsi="宋体" w:eastAsia="宋体" w:cs="宋体"/>
                <w:sz w:val="22"/>
                <w:szCs w:val="24"/>
              </w:rPr>
              <w:t>项目编号</w:t>
            </w:r>
          </w:p>
        </w:tc>
        <w:tc>
          <w:tcPr>
            <w:tcW w:w="3630" w:type="pct"/>
            <w:noWrap w:val="0"/>
            <w:vAlign w:val="center"/>
          </w:tcPr>
          <w:p w14:paraId="230812E5">
            <w:pPr>
              <w:jc w:val="center"/>
              <w:rPr>
                <w:rFonts w:hint="eastAsia" w:ascii="宋体" w:hAnsi="宋体" w:eastAsia="宋体" w:cs="宋体"/>
                <w:sz w:val="22"/>
                <w:szCs w:val="24"/>
              </w:rPr>
            </w:pPr>
          </w:p>
        </w:tc>
      </w:tr>
      <w:tr w14:paraId="4FE5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vMerge w:val="restart"/>
            <w:noWrap w:val="0"/>
            <w:vAlign w:val="center"/>
          </w:tcPr>
          <w:p w14:paraId="214C716C">
            <w:pPr>
              <w:jc w:val="center"/>
              <w:rPr>
                <w:rFonts w:hint="eastAsia" w:ascii="宋体" w:hAnsi="宋体" w:eastAsia="宋体" w:cs="宋体"/>
                <w:sz w:val="22"/>
                <w:szCs w:val="24"/>
              </w:rPr>
            </w:pPr>
            <w:r>
              <w:rPr>
                <w:rFonts w:hint="eastAsia" w:ascii="宋体" w:hAnsi="宋体" w:eastAsia="宋体" w:cs="宋体"/>
                <w:sz w:val="22"/>
                <w:szCs w:val="24"/>
              </w:rPr>
              <w:t>总报价</w:t>
            </w:r>
          </w:p>
        </w:tc>
        <w:tc>
          <w:tcPr>
            <w:tcW w:w="3630" w:type="pct"/>
            <w:noWrap w:val="0"/>
            <w:vAlign w:val="center"/>
          </w:tcPr>
          <w:p w14:paraId="69D57B4F">
            <w:pPr>
              <w:jc w:val="left"/>
              <w:rPr>
                <w:rFonts w:hint="eastAsia" w:ascii="宋体" w:hAnsi="宋体" w:eastAsia="宋体" w:cs="宋体"/>
                <w:sz w:val="22"/>
                <w:szCs w:val="24"/>
              </w:rPr>
            </w:pPr>
            <w:r>
              <w:rPr>
                <w:rFonts w:hint="eastAsia" w:ascii="宋体" w:hAnsi="宋体" w:eastAsia="宋体" w:cs="宋体"/>
                <w:sz w:val="22"/>
                <w:szCs w:val="24"/>
              </w:rPr>
              <w:t>大写：</w:t>
            </w:r>
          </w:p>
        </w:tc>
      </w:tr>
      <w:tr w14:paraId="7C8E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vMerge w:val="continue"/>
            <w:noWrap w:val="0"/>
            <w:vAlign w:val="center"/>
          </w:tcPr>
          <w:p w14:paraId="137B16EF">
            <w:pPr>
              <w:jc w:val="center"/>
              <w:rPr>
                <w:rFonts w:hint="eastAsia" w:ascii="宋体" w:hAnsi="宋体" w:eastAsia="宋体" w:cs="宋体"/>
                <w:sz w:val="22"/>
                <w:szCs w:val="24"/>
              </w:rPr>
            </w:pPr>
          </w:p>
        </w:tc>
        <w:tc>
          <w:tcPr>
            <w:tcW w:w="3630" w:type="pct"/>
            <w:noWrap w:val="0"/>
            <w:vAlign w:val="center"/>
          </w:tcPr>
          <w:p w14:paraId="3E1951A6">
            <w:pPr>
              <w:jc w:val="left"/>
              <w:rPr>
                <w:rFonts w:hint="eastAsia" w:ascii="宋体" w:hAnsi="宋体" w:eastAsia="宋体" w:cs="宋体"/>
                <w:sz w:val="22"/>
                <w:szCs w:val="24"/>
              </w:rPr>
            </w:pPr>
            <w:r>
              <w:rPr>
                <w:rFonts w:hint="eastAsia" w:ascii="宋体" w:hAnsi="宋体" w:eastAsia="宋体" w:cs="宋体"/>
                <w:sz w:val="22"/>
                <w:szCs w:val="24"/>
              </w:rPr>
              <w:t>小写：</w:t>
            </w:r>
          </w:p>
        </w:tc>
      </w:tr>
      <w:tr w14:paraId="637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7641ED58">
            <w:pPr>
              <w:jc w:val="center"/>
              <w:rPr>
                <w:rFonts w:hint="eastAsia" w:ascii="宋体" w:hAnsi="宋体" w:eastAsia="宋体" w:cs="宋体"/>
                <w:sz w:val="22"/>
                <w:szCs w:val="24"/>
              </w:rPr>
            </w:pPr>
            <w:r>
              <w:rPr>
                <w:rFonts w:hint="eastAsia" w:ascii="宋体" w:hAnsi="宋体" w:eastAsia="宋体" w:cs="宋体"/>
                <w:sz w:val="22"/>
                <w:szCs w:val="22"/>
              </w:rPr>
              <w:t>合同履行期限</w:t>
            </w:r>
          </w:p>
        </w:tc>
        <w:tc>
          <w:tcPr>
            <w:tcW w:w="3630" w:type="pct"/>
            <w:noWrap w:val="0"/>
            <w:vAlign w:val="center"/>
          </w:tcPr>
          <w:p w14:paraId="405CAA8F">
            <w:pPr>
              <w:jc w:val="center"/>
              <w:rPr>
                <w:rFonts w:hint="eastAsia" w:ascii="宋体" w:hAnsi="宋体" w:eastAsia="宋体" w:cs="宋体"/>
                <w:sz w:val="22"/>
                <w:szCs w:val="24"/>
              </w:rPr>
            </w:pPr>
          </w:p>
        </w:tc>
      </w:tr>
      <w:tr w14:paraId="1CF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9" w:type="pct"/>
            <w:noWrap w:val="0"/>
            <w:vAlign w:val="center"/>
          </w:tcPr>
          <w:p w14:paraId="03A092CB">
            <w:pPr>
              <w:jc w:val="center"/>
              <w:rPr>
                <w:rFonts w:hint="eastAsia" w:ascii="宋体" w:hAnsi="宋体" w:eastAsia="宋体" w:cs="宋体"/>
                <w:sz w:val="22"/>
                <w:szCs w:val="24"/>
              </w:rPr>
            </w:pPr>
            <w:r>
              <w:rPr>
                <w:rFonts w:hint="eastAsia" w:ascii="宋体" w:hAnsi="宋体" w:eastAsia="宋体" w:cs="宋体"/>
                <w:bCs/>
                <w:snapToGrid w:val="0"/>
                <w:sz w:val="22"/>
                <w:szCs w:val="22"/>
              </w:rPr>
              <w:t>备注</w:t>
            </w:r>
          </w:p>
        </w:tc>
        <w:tc>
          <w:tcPr>
            <w:tcW w:w="3630" w:type="pct"/>
            <w:noWrap w:val="0"/>
            <w:vAlign w:val="center"/>
          </w:tcPr>
          <w:p w14:paraId="6E004796">
            <w:pPr>
              <w:jc w:val="center"/>
              <w:rPr>
                <w:rFonts w:hint="eastAsia" w:ascii="宋体" w:hAnsi="宋体" w:eastAsia="宋体" w:cs="宋体"/>
                <w:sz w:val="22"/>
                <w:szCs w:val="24"/>
              </w:rPr>
            </w:pPr>
          </w:p>
        </w:tc>
      </w:tr>
    </w:tbl>
    <w:p w14:paraId="7280A4B2">
      <w:pPr>
        <w:adjustRightInd w:val="0"/>
        <w:snapToGrid w:val="0"/>
        <w:spacing w:line="360" w:lineRule="auto"/>
        <w:ind w:right="105" w:rightChars="50"/>
        <w:jc w:val="left"/>
        <w:rPr>
          <w:rFonts w:hint="eastAsia" w:ascii="宋体" w:hAnsi="宋体" w:eastAsia="宋体" w:cs="宋体"/>
          <w:szCs w:val="21"/>
        </w:rPr>
      </w:pPr>
    </w:p>
    <w:p w14:paraId="78DDDD42">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szCs w:val="21"/>
        </w:rPr>
        <w:t>注：投标报价均以人民币报价，四舍五入保留两位小数。</w:t>
      </w:r>
    </w:p>
    <w:p w14:paraId="573FAC26">
      <w:pPr>
        <w:pStyle w:val="10"/>
        <w:rPr>
          <w:rFonts w:hint="eastAsia" w:ascii="宋体" w:hAnsi="宋体" w:eastAsia="宋体" w:cs="宋体"/>
          <w:bCs/>
          <w:kern w:val="0"/>
          <w:sz w:val="24"/>
        </w:rPr>
      </w:pPr>
    </w:p>
    <w:p w14:paraId="172EEDA0">
      <w:pPr>
        <w:widowControl/>
        <w:tabs>
          <w:tab w:val="left" w:pos="4000"/>
        </w:tabs>
        <w:snapToGrid w:val="0"/>
        <w:spacing w:line="300" w:lineRule="auto"/>
        <w:jc w:val="left"/>
        <w:rPr>
          <w:rFonts w:hint="eastAsia" w:ascii="宋体" w:hAnsi="宋体" w:eastAsia="宋体" w:cs="宋体"/>
          <w:kern w:val="0"/>
          <w:sz w:val="24"/>
          <w:szCs w:val="24"/>
        </w:rPr>
      </w:pPr>
    </w:p>
    <w:p w14:paraId="72B71287">
      <w:pPr>
        <w:pStyle w:val="27"/>
        <w:spacing w:line="360" w:lineRule="auto"/>
        <w:ind w:firstLine="48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021CC942">
      <w:pPr>
        <w:pStyle w:val="27"/>
        <w:spacing w:line="360" w:lineRule="auto"/>
        <w:ind w:firstLine="480"/>
        <w:rPr>
          <w:rFonts w:hint="eastAsia" w:ascii="宋体" w:hAnsi="宋体" w:eastAsia="宋体" w:cs="宋体"/>
          <w:sz w:val="24"/>
        </w:rPr>
      </w:pPr>
      <w:r>
        <w:rPr>
          <w:rFonts w:hint="eastAsia" w:ascii="宋体" w:hAnsi="宋体" w:eastAsia="宋体" w:cs="宋体"/>
          <w:sz w:val="24"/>
        </w:rPr>
        <w:t>法定代表人（单位负责人）或被授权代理人（签字或盖章）：</w:t>
      </w:r>
      <w:r>
        <w:rPr>
          <w:rFonts w:hint="eastAsia" w:ascii="宋体" w:hAnsi="宋体" w:eastAsia="宋体" w:cs="宋体"/>
          <w:sz w:val="24"/>
          <w:u w:val="single"/>
        </w:rPr>
        <w:t xml:space="preserve">         </w:t>
      </w:r>
    </w:p>
    <w:p w14:paraId="0CD56577">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7A0DC55D">
      <w:pPr>
        <w:rPr>
          <w:rFonts w:hint="eastAsia" w:ascii="宋体" w:hAnsi="宋体" w:eastAsia="宋体" w:cs="宋体"/>
          <w:sz w:val="24"/>
          <w:szCs w:val="24"/>
          <w:u w:val="single"/>
        </w:rPr>
      </w:pPr>
    </w:p>
    <w:p w14:paraId="41A87855">
      <w:pPr>
        <w:rPr>
          <w:rFonts w:hint="eastAsia" w:ascii="宋体" w:hAnsi="宋体" w:eastAsia="宋体" w:cs="宋体"/>
          <w:sz w:val="24"/>
          <w:szCs w:val="24"/>
          <w:u w:val="single"/>
        </w:rPr>
      </w:pPr>
    </w:p>
    <w:p w14:paraId="39EADE26">
      <w:pPr>
        <w:rPr>
          <w:rFonts w:hint="eastAsia" w:ascii="宋体" w:hAnsi="宋体" w:eastAsia="宋体" w:cs="宋体"/>
          <w:sz w:val="24"/>
          <w:szCs w:val="24"/>
          <w:u w:val="single"/>
        </w:rPr>
      </w:pPr>
    </w:p>
    <w:p w14:paraId="121F02AE">
      <w:pPr>
        <w:rPr>
          <w:rFonts w:hint="eastAsia" w:ascii="宋体" w:hAnsi="宋体" w:eastAsia="宋体" w:cs="宋体"/>
          <w:b/>
          <w:bCs/>
          <w:sz w:val="32"/>
          <w:szCs w:val="32"/>
        </w:rPr>
      </w:pPr>
      <w:r>
        <w:rPr>
          <w:rFonts w:hint="eastAsia" w:ascii="宋体" w:hAnsi="宋体" w:eastAsia="宋体" w:cs="宋体"/>
          <w:b/>
          <w:bCs/>
          <w:sz w:val="32"/>
          <w:szCs w:val="32"/>
        </w:rPr>
        <w:br w:type="page"/>
      </w:r>
    </w:p>
    <w:p w14:paraId="716777C0">
      <w:pPr>
        <w:pStyle w:val="4"/>
        <w:spacing w:before="0" w:after="0" w:line="360" w:lineRule="auto"/>
        <w:jc w:val="center"/>
        <w:rPr>
          <w:rFonts w:hint="eastAsia" w:ascii="宋体" w:hAnsi="宋体" w:eastAsia="宋体" w:cs="宋体"/>
          <w:b/>
          <w:bCs/>
          <w:sz w:val="32"/>
          <w:szCs w:val="32"/>
        </w:rPr>
      </w:pPr>
      <w:r>
        <w:rPr>
          <w:rFonts w:hint="eastAsia" w:ascii="宋体" w:hAnsi="宋体" w:cs="宋体"/>
          <w:b/>
          <w:bCs/>
          <w:sz w:val="32"/>
          <w:szCs w:val="32"/>
          <w:lang w:val="en-US" w:eastAsia="zh-CN"/>
        </w:rPr>
        <w:t>三、</w:t>
      </w:r>
      <w:r>
        <w:rPr>
          <w:rFonts w:hint="eastAsia" w:ascii="宋体" w:hAnsi="宋体" w:eastAsia="宋体" w:cs="宋体"/>
          <w:b/>
          <w:bCs/>
          <w:sz w:val="32"/>
          <w:szCs w:val="32"/>
        </w:rPr>
        <w:t>分项报价表</w:t>
      </w:r>
    </w:p>
    <w:p w14:paraId="0075D8BA">
      <w:pPr>
        <w:spacing w:line="360" w:lineRule="auto"/>
        <w:rPr>
          <w:rFonts w:hint="eastAsia" w:ascii="宋体" w:hAnsi="宋体" w:eastAsia="宋体" w:cs="宋体"/>
          <w:sz w:val="24"/>
        </w:rPr>
      </w:pPr>
      <w:r>
        <w:rPr>
          <w:rFonts w:hint="eastAsia" w:ascii="宋体" w:hAnsi="宋体" w:eastAsia="宋体" w:cs="宋体"/>
          <w:sz w:val="24"/>
        </w:rPr>
        <w:t xml:space="preserve">项目名称： </w:t>
      </w:r>
    </w:p>
    <w:p w14:paraId="549DBC99">
      <w:pPr>
        <w:spacing w:line="360" w:lineRule="auto"/>
        <w:rPr>
          <w:rFonts w:hint="eastAsia" w:ascii="宋体" w:hAnsi="宋体" w:eastAsia="宋体" w:cs="宋体"/>
          <w:sz w:val="24"/>
        </w:rPr>
      </w:pPr>
      <w:r>
        <w:rPr>
          <w:rFonts w:hint="eastAsia" w:ascii="宋体" w:hAnsi="宋体" w:eastAsia="宋体" w:cs="宋体"/>
          <w:sz w:val="24"/>
        </w:rPr>
        <w:t>项目编号：</w:t>
      </w:r>
    </w:p>
    <w:p w14:paraId="65004CD4">
      <w:pPr>
        <w:spacing w:line="360" w:lineRule="auto"/>
        <w:ind w:firstLine="6720" w:firstLineChars="2800"/>
        <w:rPr>
          <w:rFonts w:hint="eastAsia" w:ascii="宋体" w:hAnsi="宋体" w:eastAsia="宋体" w:cs="宋体"/>
          <w:sz w:val="24"/>
        </w:rPr>
      </w:pPr>
      <w:r>
        <w:rPr>
          <w:rFonts w:hint="eastAsia" w:ascii="宋体" w:hAnsi="宋体" w:eastAsia="宋体" w:cs="宋体"/>
          <w:sz w:val="24"/>
        </w:rPr>
        <w:t xml:space="preserve">货币：人民币/元 </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712"/>
        <w:gridCol w:w="942"/>
        <w:gridCol w:w="942"/>
        <w:gridCol w:w="942"/>
        <w:gridCol w:w="1413"/>
        <w:gridCol w:w="1413"/>
        <w:gridCol w:w="942"/>
        <w:gridCol w:w="866"/>
      </w:tblGrid>
      <w:tr w14:paraId="00A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6F2E7E2A">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76BCC3D9">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71B7685E">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5877E616">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09517C70">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品牌</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39C8F3E7">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规格型号</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F164988">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产地及制造商全称</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5C104515">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282C4E0E">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总价</w:t>
            </w:r>
          </w:p>
        </w:tc>
      </w:tr>
      <w:tr w14:paraId="1997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248DC48">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1</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727387B6">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23DFF467">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5DF76A20">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0443B319">
            <w:pPr>
              <w:widowControl/>
              <w:snapToGrid w:val="0"/>
              <w:jc w:val="center"/>
              <w:rPr>
                <w:rFonts w:hint="eastAsia" w:ascii="宋体" w:hAnsi="宋体" w:eastAsia="宋体" w:cs="宋体"/>
                <w:kern w:val="0"/>
                <w:szCs w:val="21"/>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BBDA9D9">
            <w:pPr>
              <w:widowControl/>
              <w:snapToGrid w:val="0"/>
              <w:jc w:val="center"/>
              <w:rPr>
                <w:rFonts w:hint="eastAsia" w:ascii="宋体" w:hAnsi="宋体" w:eastAsia="宋体" w:cs="宋体"/>
                <w:kern w:val="0"/>
                <w:szCs w:val="21"/>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D63F670">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6F4FCE0A">
            <w:pPr>
              <w:widowControl/>
              <w:snapToGrid w:val="0"/>
              <w:jc w:val="center"/>
              <w:rPr>
                <w:rFonts w:hint="eastAsia" w:ascii="宋体" w:hAnsi="宋体" w:eastAsia="宋体" w:cs="宋体"/>
                <w:kern w:val="0"/>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14:paraId="67B67085">
            <w:pPr>
              <w:widowControl/>
              <w:snapToGrid w:val="0"/>
              <w:jc w:val="center"/>
              <w:rPr>
                <w:rFonts w:hint="eastAsia" w:ascii="宋体" w:hAnsi="宋体" w:eastAsia="宋体" w:cs="宋体"/>
                <w:kern w:val="0"/>
                <w:szCs w:val="21"/>
              </w:rPr>
            </w:pPr>
          </w:p>
        </w:tc>
      </w:tr>
      <w:tr w14:paraId="15BF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2E0BC0E3">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47660511">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0A6B97D6">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38821C22">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1DDE92D7">
            <w:pPr>
              <w:widowControl/>
              <w:snapToGrid w:val="0"/>
              <w:jc w:val="center"/>
              <w:rPr>
                <w:rFonts w:hint="eastAsia" w:ascii="宋体" w:hAnsi="宋体" w:eastAsia="宋体" w:cs="宋体"/>
                <w:kern w:val="0"/>
                <w:szCs w:val="21"/>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51F16DA">
            <w:pPr>
              <w:widowControl/>
              <w:snapToGrid w:val="0"/>
              <w:jc w:val="center"/>
              <w:rPr>
                <w:rFonts w:hint="eastAsia" w:ascii="宋体" w:hAnsi="宋体" w:eastAsia="宋体" w:cs="宋体"/>
                <w:kern w:val="0"/>
                <w:szCs w:val="21"/>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67F24DF">
            <w:pPr>
              <w:widowControl/>
              <w:snapToGrid w:val="0"/>
              <w:jc w:val="center"/>
              <w:rPr>
                <w:rFonts w:hint="eastAsia" w:ascii="宋体" w:hAnsi="宋体" w:eastAsia="宋体" w:cs="宋体"/>
                <w:kern w:val="0"/>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0857E32C">
            <w:pPr>
              <w:widowControl/>
              <w:snapToGrid w:val="0"/>
              <w:jc w:val="center"/>
              <w:rPr>
                <w:rFonts w:hint="eastAsia" w:ascii="宋体" w:hAnsi="宋体" w:eastAsia="宋体" w:cs="宋体"/>
                <w:kern w:val="0"/>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14:paraId="105363D5">
            <w:pPr>
              <w:widowControl/>
              <w:snapToGrid w:val="0"/>
              <w:jc w:val="center"/>
              <w:rPr>
                <w:rFonts w:hint="eastAsia" w:ascii="宋体" w:hAnsi="宋体" w:eastAsia="宋体" w:cs="宋体"/>
                <w:kern w:val="0"/>
                <w:szCs w:val="21"/>
              </w:rPr>
            </w:pPr>
          </w:p>
        </w:tc>
      </w:tr>
      <w:tr w14:paraId="05CD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43F1AF8">
            <w:pPr>
              <w:widowControl/>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总报价：（大写）                             （小写）</w:t>
            </w:r>
            <w:r>
              <w:rPr>
                <w:rFonts w:hint="eastAsia" w:ascii="宋体" w:hAnsi="宋体" w:eastAsia="宋体" w:cs="宋体"/>
                <w:kern w:val="0"/>
                <w:szCs w:val="21"/>
                <w:lang w:val="en-US" w:eastAsia="zh-CN"/>
              </w:rPr>
              <w:t>¥</w:t>
            </w: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p>
        </w:tc>
      </w:tr>
    </w:tbl>
    <w:p w14:paraId="64C43C61">
      <w:pPr>
        <w:pStyle w:val="27"/>
        <w:spacing w:line="360" w:lineRule="auto"/>
        <w:ind w:left="0" w:leftChars="0" w:firstLine="0" w:firstLineChars="0"/>
        <w:rPr>
          <w:rFonts w:hint="eastAsia" w:ascii="宋体" w:hAnsi="宋体" w:eastAsia="宋体" w:cs="宋体"/>
          <w:sz w:val="24"/>
        </w:rPr>
      </w:pPr>
      <w:r>
        <w:rPr>
          <w:rFonts w:hint="eastAsia" w:ascii="宋体" w:hAnsi="宋体" w:eastAsia="宋体" w:cs="宋体"/>
          <w:sz w:val="22"/>
          <w:szCs w:val="22"/>
        </w:rPr>
        <w:t>说明：</w:t>
      </w:r>
      <w:r>
        <w:rPr>
          <w:rFonts w:hint="eastAsia" w:ascii="宋体" w:hAnsi="宋体" w:cs="宋体"/>
          <w:sz w:val="22"/>
          <w:szCs w:val="22"/>
          <w:lang w:val="en-US" w:eastAsia="zh-CN"/>
        </w:rPr>
        <w:t>①</w:t>
      </w:r>
      <w:r>
        <w:rPr>
          <w:rFonts w:hint="eastAsia" w:ascii="宋体" w:hAnsi="宋体" w:eastAsia="宋体" w:cs="宋体"/>
          <w:sz w:val="22"/>
          <w:szCs w:val="22"/>
        </w:rPr>
        <w:t>单项报价超预算</w:t>
      </w:r>
      <w:r>
        <w:rPr>
          <w:rFonts w:hint="eastAsia" w:ascii="宋体" w:hAnsi="宋体" w:cs="宋体"/>
          <w:sz w:val="22"/>
          <w:szCs w:val="22"/>
          <w:lang w:val="en-US" w:eastAsia="zh-CN"/>
        </w:rPr>
        <w:t>金额</w:t>
      </w:r>
      <w:r>
        <w:rPr>
          <w:rFonts w:hint="eastAsia" w:ascii="宋体" w:hAnsi="宋体" w:eastAsia="宋体" w:cs="宋体"/>
          <w:sz w:val="22"/>
          <w:szCs w:val="22"/>
        </w:rPr>
        <w:t>按无效标处理。</w:t>
      </w:r>
      <w:r>
        <w:rPr>
          <w:rFonts w:hint="eastAsia" w:ascii="宋体" w:hAnsi="宋体" w:eastAsia="宋体" w:cs="宋体"/>
          <w:sz w:val="22"/>
          <w:szCs w:val="22"/>
          <w:lang w:val="en-US" w:eastAsia="zh-CN"/>
        </w:rPr>
        <w:t>②</w:t>
      </w:r>
      <w:r>
        <w:rPr>
          <w:rFonts w:hint="eastAsia" w:ascii="宋体" w:hAnsi="宋体" w:eastAsia="宋体" w:cs="宋体"/>
          <w:sz w:val="22"/>
          <w:szCs w:val="22"/>
        </w:rPr>
        <w:t>投标人如实填写表格，无相应内容可填的，填写“无”、“未测试”、“没有相应指标”等明确的回答文字，或用“/”来表示。</w:t>
      </w:r>
    </w:p>
    <w:p w14:paraId="6E4F2746">
      <w:pPr>
        <w:pStyle w:val="27"/>
        <w:spacing w:line="360" w:lineRule="auto"/>
        <w:ind w:firstLine="480"/>
        <w:rPr>
          <w:rFonts w:hint="eastAsia" w:ascii="宋体" w:hAnsi="宋体" w:eastAsia="宋体" w:cs="宋体"/>
          <w:sz w:val="24"/>
        </w:rPr>
      </w:pPr>
    </w:p>
    <w:p w14:paraId="495C387B">
      <w:pPr>
        <w:pStyle w:val="27"/>
        <w:spacing w:line="360" w:lineRule="auto"/>
        <w:ind w:firstLine="480"/>
        <w:rPr>
          <w:rFonts w:hint="eastAsia" w:ascii="宋体" w:hAnsi="宋体" w:eastAsia="宋体" w:cs="宋体"/>
          <w:sz w:val="24"/>
        </w:rPr>
      </w:pPr>
    </w:p>
    <w:p w14:paraId="788C4592">
      <w:pPr>
        <w:pStyle w:val="27"/>
        <w:spacing w:line="360" w:lineRule="auto"/>
        <w:ind w:firstLine="48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37C9523C">
      <w:pPr>
        <w:pStyle w:val="27"/>
        <w:spacing w:line="360" w:lineRule="auto"/>
        <w:ind w:firstLine="480"/>
        <w:rPr>
          <w:rFonts w:hint="eastAsia" w:ascii="宋体" w:hAnsi="宋体" w:eastAsia="宋体" w:cs="宋体"/>
          <w:sz w:val="24"/>
        </w:rPr>
      </w:pPr>
      <w:r>
        <w:rPr>
          <w:rFonts w:hint="eastAsia" w:ascii="宋体" w:hAnsi="宋体" w:eastAsia="宋体" w:cs="宋体"/>
          <w:sz w:val="24"/>
        </w:rPr>
        <w:t>法定代表人（单位负责人）或被授权代理人（签字或盖章）：</w:t>
      </w:r>
      <w:r>
        <w:rPr>
          <w:rFonts w:hint="eastAsia" w:ascii="宋体" w:hAnsi="宋体" w:eastAsia="宋体" w:cs="宋体"/>
          <w:sz w:val="24"/>
          <w:u w:val="single"/>
        </w:rPr>
        <w:t xml:space="preserve">         </w:t>
      </w:r>
    </w:p>
    <w:p w14:paraId="69F6413D">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15810546">
      <w:pPr>
        <w:rPr>
          <w:rFonts w:hint="eastAsia" w:ascii="宋体" w:hAnsi="宋体" w:eastAsia="宋体" w:cs="宋体"/>
          <w:sz w:val="24"/>
          <w:szCs w:val="24"/>
          <w:u w:val="single"/>
        </w:rPr>
      </w:pPr>
    </w:p>
    <w:p w14:paraId="37836859">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47DD4420">
      <w:pPr>
        <w:pStyle w:val="4"/>
        <w:spacing w:before="0" w:after="0" w:line="360" w:lineRule="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四</w:t>
      </w:r>
      <w:r>
        <w:rPr>
          <w:rFonts w:hint="eastAsia" w:ascii="宋体" w:hAnsi="宋体" w:eastAsia="宋体" w:cs="宋体"/>
          <w:kern w:val="0"/>
          <w:sz w:val="28"/>
          <w:szCs w:val="28"/>
        </w:rPr>
        <w:t xml:space="preserve">、法定代表人身份证明书 </w:t>
      </w:r>
    </w:p>
    <w:p w14:paraId="7072486F">
      <w:pPr>
        <w:widowControl/>
        <w:snapToGrid w:val="0"/>
        <w:spacing w:line="300" w:lineRule="auto"/>
        <w:jc w:val="center"/>
        <w:rPr>
          <w:rFonts w:hint="eastAsia" w:ascii="宋体" w:hAnsi="宋体" w:eastAsia="宋体" w:cs="宋体"/>
          <w:kern w:val="0"/>
          <w:szCs w:val="21"/>
        </w:rPr>
      </w:pPr>
    </w:p>
    <w:p w14:paraId="5847B708">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14:paraId="42959EFF">
      <w:pPr>
        <w:widowControl/>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74A4F86C">
      <w:pPr>
        <w:widowControl/>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b/>
          <w:sz w:val="24"/>
          <w:szCs w:val="24"/>
        </w:rPr>
        <w:t xml:space="preserve"> </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B97B0BF">
      <w:pPr>
        <w:widowControl/>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w:t>
      </w:r>
    </w:p>
    <w:p w14:paraId="40DF900C">
      <w:pPr>
        <w:widowControl/>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w:t>
      </w:r>
      <w:r>
        <w:rPr>
          <w:rFonts w:hint="eastAsia" w:ascii="宋体" w:hAnsi="宋体" w:eastAsia="宋体" w:cs="宋体"/>
          <w:sz w:val="24"/>
          <w:szCs w:val="24"/>
        </w:rPr>
        <w:t xml:space="preserve"> 性别：</w:t>
      </w:r>
      <w:r>
        <w:rPr>
          <w:rFonts w:hint="eastAsia" w:ascii="宋体" w:hAnsi="宋体" w:eastAsia="宋体" w:cs="宋体"/>
          <w:sz w:val="24"/>
          <w:szCs w:val="24"/>
          <w:u w:val="single"/>
        </w:rPr>
        <w:t>　　　　　</w:t>
      </w:r>
      <w:r>
        <w:rPr>
          <w:rFonts w:hint="eastAsia" w:ascii="宋体" w:hAnsi="宋体" w:eastAsia="宋体" w:cs="宋体"/>
          <w:sz w:val="24"/>
          <w:szCs w:val="24"/>
        </w:rPr>
        <w:t xml:space="preserve"> 年龄：</w:t>
      </w:r>
      <w:r>
        <w:rPr>
          <w:rFonts w:hint="eastAsia" w:ascii="宋体" w:hAnsi="宋体" w:eastAsia="宋体" w:cs="宋体"/>
          <w:sz w:val="24"/>
          <w:szCs w:val="24"/>
          <w:u w:val="single"/>
        </w:rPr>
        <w:t>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7DA825F9">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w:t>
      </w:r>
      <w:r>
        <w:rPr>
          <w:rFonts w:hint="eastAsia" w:ascii="宋体" w:hAnsi="宋体" w:eastAsia="宋体" w:cs="宋体"/>
          <w:sz w:val="24"/>
          <w:szCs w:val="24"/>
        </w:rPr>
        <w:t>（投标人名称）的法定代表人</w:t>
      </w:r>
    </w:p>
    <w:p w14:paraId="3C256237">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AB4857A">
      <w:pPr>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投标人（单位公章）：</w:t>
      </w:r>
      <w:r>
        <w:rPr>
          <w:rFonts w:hint="eastAsia" w:ascii="宋体" w:hAnsi="宋体" w:eastAsia="宋体" w:cs="宋体"/>
          <w:kern w:val="0"/>
          <w:sz w:val="24"/>
          <w:szCs w:val="24"/>
          <w:u w:val="single"/>
        </w:rPr>
        <w:t xml:space="preserve">                </w:t>
      </w:r>
    </w:p>
    <w:p w14:paraId="462A5154">
      <w:pPr>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szCs w:val="24"/>
          <w:u w:val="single"/>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p>
    <w:p w14:paraId="5649155F">
      <w:pPr>
        <w:adjustRightInd w:val="0"/>
        <w:snapToGrid w:val="0"/>
        <w:spacing w:line="360" w:lineRule="auto"/>
        <w:ind w:firstLine="482" w:firstLineChars="200"/>
        <w:jc w:val="left"/>
        <w:textAlignment w:val="baseline"/>
        <w:rPr>
          <w:rFonts w:hint="eastAsia" w:ascii="宋体" w:hAnsi="宋体" w:eastAsia="宋体" w:cs="宋体"/>
          <w:b/>
          <w:kern w:val="0"/>
          <w:sz w:val="24"/>
          <w:szCs w:val="24"/>
        </w:rPr>
      </w:pPr>
    </w:p>
    <w:p w14:paraId="200E6B10">
      <w:pPr>
        <w:adjustRightInd w:val="0"/>
        <w:snapToGrid w:val="0"/>
        <w:spacing w:line="360" w:lineRule="auto"/>
        <w:ind w:firstLine="422" w:firstLineChars="200"/>
        <w:jc w:val="left"/>
        <w:textAlignment w:val="baseline"/>
        <w:rPr>
          <w:rFonts w:hint="eastAsia" w:ascii="宋体" w:hAnsi="宋体" w:eastAsia="宋体" w:cs="宋体"/>
          <w:b/>
          <w:kern w:val="0"/>
          <w:szCs w:val="21"/>
        </w:rPr>
      </w:pPr>
      <w:r>
        <w:rPr>
          <w:rFonts w:hint="eastAsia" w:ascii="宋体" w:hAnsi="宋体" w:eastAsia="宋体" w:cs="宋体"/>
          <w:b/>
          <w:kern w:val="0"/>
          <w:szCs w:val="21"/>
        </w:rPr>
        <w:t>注：附法定代表人身份证复印件（国徽面、人像面）。</w:t>
      </w:r>
    </w:p>
    <w:p w14:paraId="00CF91C8">
      <w:pPr>
        <w:pStyle w:val="10"/>
        <w:rPr>
          <w:rFonts w:hint="eastAsia" w:ascii="宋体" w:hAnsi="宋体" w:eastAsia="宋体" w:cs="宋体"/>
          <w:b/>
          <w:kern w:val="0"/>
          <w:szCs w:val="21"/>
        </w:rPr>
      </w:pPr>
    </w:p>
    <w:p w14:paraId="4A1FDD99">
      <w:pPr>
        <w:pStyle w:val="10"/>
        <w:rPr>
          <w:rFonts w:hint="eastAsia" w:ascii="宋体" w:hAnsi="宋体" w:eastAsia="宋体" w:cs="宋体"/>
          <w:b/>
          <w:kern w:val="0"/>
          <w:szCs w:val="21"/>
        </w:rPr>
      </w:pPr>
    </w:p>
    <w:p w14:paraId="453C4C9E">
      <w:pPr>
        <w:pStyle w:val="8"/>
        <w:rPr>
          <w:rFonts w:hint="eastAsia" w:ascii="宋体" w:hAnsi="宋体" w:eastAsia="宋体" w:cs="宋体"/>
        </w:rPr>
      </w:pPr>
    </w:p>
    <w:p w14:paraId="25AC45DF">
      <w:pPr>
        <w:rPr>
          <w:rFonts w:hint="eastAsia" w:ascii="宋体" w:hAnsi="宋体" w:eastAsia="宋体" w:cs="宋体"/>
          <w:sz w:val="28"/>
          <w:szCs w:val="28"/>
        </w:rPr>
      </w:pPr>
      <w:bookmarkStart w:id="159" w:name="_Toc175644065"/>
      <w:bookmarkStart w:id="160" w:name="_Toc86202635"/>
      <w:r>
        <w:rPr>
          <w:rFonts w:hint="eastAsia" w:ascii="宋体" w:hAnsi="宋体" w:eastAsia="宋体" w:cs="宋体"/>
          <w:sz w:val="28"/>
          <w:szCs w:val="28"/>
        </w:rPr>
        <w:br w:type="page"/>
      </w:r>
    </w:p>
    <w:p w14:paraId="24D0098E">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 xml:space="preserve">、法定代表人授权委托书 </w:t>
      </w:r>
    </w:p>
    <w:p w14:paraId="0E72E5D9">
      <w:pPr>
        <w:widowControl/>
        <w:snapToGrid w:val="0"/>
        <w:spacing w:line="300" w:lineRule="auto"/>
        <w:jc w:val="center"/>
        <w:rPr>
          <w:rFonts w:hint="eastAsia" w:ascii="宋体" w:hAnsi="宋体" w:eastAsia="宋体" w:cs="宋体"/>
          <w:b/>
          <w:kern w:val="0"/>
          <w:sz w:val="32"/>
          <w:szCs w:val="32"/>
        </w:rPr>
      </w:pPr>
    </w:p>
    <w:p w14:paraId="695432D6">
      <w:pPr>
        <w:widowControl/>
        <w:adjustRightInd w:val="0"/>
        <w:snapToGrid w:val="0"/>
        <w:spacing w:line="360" w:lineRule="auto"/>
        <w:jc w:val="left"/>
        <w:textAlignment w:val="baseline"/>
        <w:rPr>
          <w:rFonts w:hint="eastAsia" w:ascii="宋体" w:hAnsi="宋体" w:eastAsia="宋体" w:cs="宋体"/>
          <w:spacing w:val="20"/>
          <w:kern w:val="0"/>
          <w:sz w:val="24"/>
        </w:rPr>
      </w:pPr>
      <w:r>
        <w:rPr>
          <w:rFonts w:hint="eastAsia" w:ascii="宋体" w:hAnsi="宋体" w:eastAsia="宋体" w:cs="宋体"/>
          <w:spacing w:val="20"/>
          <w:kern w:val="0"/>
          <w:sz w:val="24"/>
        </w:rPr>
        <w:t>致：</w:t>
      </w:r>
      <w:r>
        <w:rPr>
          <w:rFonts w:hint="eastAsia" w:ascii="宋体" w:hAnsi="宋体" w:eastAsia="宋体" w:cs="宋体"/>
          <w:spacing w:val="20"/>
          <w:kern w:val="0"/>
          <w:sz w:val="24"/>
          <w:u w:val="single"/>
        </w:rPr>
        <w:t xml:space="preserve">                     </w:t>
      </w:r>
      <w:r>
        <w:rPr>
          <w:rFonts w:hint="eastAsia" w:ascii="宋体" w:hAnsi="宋体" w:eastAsia="宋体" w:cs="宋体"/>
          <w:spacing w:val="20"/>
          <w:kern w:val="0"/>
          <w:sz w:val="24"/>
        </w:rPr>
        <w:t>(</w:t>
      </w:r>
      <w:r>
        <w:rPr>
          <w:rFonts w:hint="eastAsia" w:ascii="宋体" w:hAnsi="宋体" w:cs="宋体"/>
          <w:spacing w:val="20"/>
          <w:kern w:val="0"/>
          <w:sz w:val="24"/>
          <w:lang w:eastAsia="zh-CN"/>
        </w:rPr>
        <w:t>采购人</w:t>
      </w:r>
      <w:r>
        <w:rPr>
          <w:rFonts w:hint="eastAsia" w:ascii="宋体" w:hAnsi="宋体" w:eastAsia="宋体" w:cs="宋体"/>
          <w:spacing w:val="20"/>
          <w:kern w:val="0"/>
          <w:sz w:val="24"/>
        </w:rPr>
        <w:t>全称)</w:t>
      </w:r>
    </w:p>
    <w:p w14:paraId="1152EC12">
      <w:pPr>
        <w:widowControl/>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 xml:space="preserve">             </w:t>
      </w:r>
      <w:r>
        <w:rPr>
          <w:rFonts w:hint="eastAsia" w:ascii="宋体" w:hAnsi="宋体" w:eastAsia="宋体" w:cs="宋体"/>
          <w:kern w:val="0"/>
          <w:sz w:val="24"/>
        </w:rPr>
        <w:t>（投标人住址）的</w:t>
      </w:r>
      <w:r>
        <w:rPr>
          <w:rFonts w:hint="eastAsia" w:ascii="宋体" w:hAnsi="宋体" w:eastAsia="宋体" w:cs="宋体"/>
          <w:kern w:val="0"/>
          <w:sz w:val="24"/>
          <w:u w:val="single"/>
        </w:rPr>
        <w:t xml:space="preserve">               </w:t>
      </w:r>
      <w:r>
        <w:rPr>
          <w:rFonts w:hint="eastAsia" w:ascii="宋体" w:hAnsi="宋体" w:eastAsia="宋体" w:cs="宋体"/>
          <w:kern w:val="0"/>
          <w:sz w:val="24"/>
        </w:rPr>
        <w:t>（投标人名称）法定代表人</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（法定代表人姓名、职务）代表本公司授权</w:t>
      </w:r>
      <w:r>
        <w:rPr>
          <w:rFonts w:hint="eastAsia" w:ascii="宋体" w:hAnsi="宋体" w:eastAsia="宋体" w:cs="宋体"/>
          <w:kern w:val="0"/>
          <w:sz w:val="24"/>
          <w:u w:val="single"/>
        </w:rPr>
        <w:t xml:space="preserve">                   </w:t>
      </w:r>
      <w:r>
        <w:rPr>
          <w:rFonts w:hint="eastAsia" w:ascii="宋体" w:hAnsi="宋体" w:eastAsia="宋体" w:cs="宋体"/>
          <w:kern w:val="0"/>
          <w:sz w:val="24"/>
        </w:rPr>
        <w:t>（投标人代表姓名、职务）为本公司的合法代理人，就贵方组织的</w:t>
      </w:r>
      <w:r>
        <w:rPr>
          <w:rFonts w:hint="eastAsia" w:ascii="宋体" w:hAnsi="宋体" w:eastAsia="宋体" w:cs="宋体"/>
          <w:b/>
          <w:kern w:val="0"/>
          <w:sz w:val="24"/>
          <w:u w:val="single"/>
        </w:rPr>
        <w:t xml:space="preserve">                 </w:t>
      </w:r>
      <w:r>
        <w:rPr>
          <w:rFonts w:hint="eastAsia" w:ascii="宋体" w:hAnsi="宋体" w:eastAsia="宋体" w:cs="宋体"/>
          <w:b/>
          <w:kern w:val="0"/>
          <w:sz w:val="24"/>
        </w:rPr>
        <w:t xml:space="preserve"> </w:t>
      </w:r>
      <w:r>
        <w:rPr>
          <w:rFonts w:hint="eastAsia" w:ascii="宋体" w:hAnsi="宋体" w:eastAsia="宋体" w:cs="宋体"/>
          <w:kern w:val="0"/>
          <w:sz w:val="24"/>
        </w:rPr>
        <w:t>项目，项目编号：</w:t>
      </w:r>
      <w:r>
        <w:rPr>
          <w:rFonts w:hint="eastAsia" w:ascii="宋体" w:hAnsi="宋体" w:eastAsia="宋体" w:cs="宋体"/>
          <w:b/>
          <w:kern w:val="0"/>
          <w:sz w:val="24"/>
          <w:u w:val="single"/>
        </w:rPr>
        <w:t xml:space="preserve">        </w:t>
      </w:r>
      <w:r>
        <w:rPr>
          <w:rFonts w:hint="eastAsia" w:ascii="宋体" w:hAnsi="宋体" w:eastAsia="宋体" w:cs="宋体"/>
          <w:kern w:val="0"/>
          <w:sz w:val="24"/>
        </w:rPr>
        <w:t>，以本公司名义处理一切与之有关招投标的事务。</w:t>
      </w:r>
    </w:p>
    <w:p w14:paraId="20AD30DA">
      <w:pPr>
        <w:widowControl/>
        <w:adjustRightInd w:val="0"/>
        <w:snapToGrid w:val="0"/>
        <w:spacing w:line="360" w:lineRule="auto"/>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本授权书于</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日生效，特此声明。</w:t>
      </w:r>
    </w:p>
    <w:p w14:paraId="4C2AD256">
      <w:pPr>
        <w:widowControl/>
        <w:adjustRightInd w:val="0"/>
        <w:snapToGrid w:val="0"/>
        <w:spacing w:line="360" w:lineRule="auto"/>
        <w:jc w:val="left"/>
        <w:textAlignment w:val="baseline"/>
        <w:rPr>
          <w:rFonts w:hint="eastAsia" w:ascii="宋体" w:hAnsi="宋体" w:eastAsia="宋体" w:cs="宋体"/>
          <w:kern w:val="0"/>
          <w:sz w:val="24"/>
        </w:rPr>
      </w:pPr>
      <w:r>
        <w:rPr>
          <w:rFonts w:hint="eastAsia" w:ascii="宋体" w:hAnsi="宋体" w:eastAsia="宋体" w:cs="宋体"/>
          <w:kern w:val="0"/>
          <w:sz w:val="24"/>
        </w:rPr>
        <w:t xml:space="preserve"> </w:t>
      </w:r>
    </w:p>
    <w:p w14:paraId="553F1804">
      <w:pPr>
        <w:widowControl/>
        <w:adjustRightInd w:val="0"/>
        <w:snapToGrid w:val="0"/>
        <w:spacing w:line="360" w:lineRule="auto"/>
        <w:jc w:val="left"/>
        <w:textAlignment w:val="baseline"/>
        <w:rPr>
          <w:rFonts w:hint="eastAsia" w:ascii="宋体" w:hAnsi="宋体" w:eastAsia="宋体" w:cs="宋体"/>
          <w:kern w:val="0"/>
          <w:sz w:val="24"/>
        </w:rPr>
      </w:pPr>
      <w:r>
        <w:rPr>
          <w:rFonts w:hint="eastAsia" w:ascii="宋体" w:hAnsi="宋体" w:eastAsia="宋体" w:cs="宋体"/>
          <w:kern w:val="0"/>
          <w:sz w:val="24"/>
        </w:rPr>
        <w:t>法定代表人签字或盖章：</w:t>
      </w:r>
      <w:r>
        <w:rPr>
          <w:rFonts w:hint="eastAsia" w:ascii="宋体" w:hAnsi="宋体" w:eastAsia="宋体" w:cs="宋体"/>
          <w:kern w:val="0"/>
          <w:sz w:val="24"/>
          <w:u w:val="single"/>
        </w:rPr>
        <w:t xml:space="preserve">                   </w:t>
      </w:r>
    </w:p>
    <w:p w14:paraId="71D98CA5">
      <w:pPr>
        <w:widowControl/>
        <w:adjustRightInd w:val="0"/>
        <w:snapToGrid w:val="0"/>
        <w:spacing w:line="360" w:lineRule="auto"/>
        <w:jc w:val="left"/>
        <w:textAlignment w:val="baseline"/>
        <w:rPr>
          <w:rFonts w:hint="eastAsia" w:ascii="宋体" w:hAnsi="宋体" w:eastAsia="宋体" w:cs="宋体"/>
          <w:kern w:val="0"/>
          <w:sz w:val="24"/>
        </w:rPr>
      </w:pPr>
      <w:r>
        <w:rPr>
          <w:rFonts w:hint="eastAsia" w:ascii="宋体" w:hAnsi="宋体" w:eastAsia="宋体" w:cs="宋体"/>
          <w:kern w:val="0"/>
          <w:sz w:val="24"/>
        </w:rPr>
        <w:t>投标人授权代表签字或盖章：</w:t>
      </w:r>
      <w:r>
        <w:rPr>
          <w:rFonts w:hint="eastAsia" w:ascii="宋体" w:hAnsi="宋体" w:eastAsia="宋体" w:cs="宋体"/>
          <w:kern w:val="0"/>
          <w:sz w:val="24"/>
          <w:u w:val="single"/>
        </w:rPr>
        <w:t xml:space="preserve">                   </w:t>
      </w:r>
    </w:p>
    <w:p w14:paraId="3EB69AAF">
      <w:pPr>
        <w:widowControl/>
        <w:tabs>
          <w:tab w:val="left" w:pos="730"/>
        </w:tabs>
        <w:adjustRightInd w:val="0"/>
        <w:snapToGrid w:val="0"/>
        <w:spacing w:line="360" w:lineRule="auto"/>
        <w:jc w:val="left"/>
        <w:textAlignment w:val="baseline"/>
        <w:rPr>
          <w:rFonts w:hint="eastAsia" w:ascii="宋体" w:hAnsi="宋体" w:eastAsia="宋体" w:cs="宋体"/>
          <w:kern w:val="0"/>
          <w:sz w:val="24"/>
        </w:rPr>
      </w:pPr>
      <w:r>
        <w:rPr>
          <w:rFonts w:hint="eastAsia" w:ascii="宋体" w:hAnsi="宋体" w:eastAsia="宋体" w:cs="宋体"/>
          <w:kern w:val="0"/>
          <w:sz w:val="24"/>
        </w:rPr>
        <w:t>投标人（单位公章）：</w:t>
      </w:r>
      <w:r>
        <w:rPr>
          <w:rFonts w:hint="eastAsia" w:ascii="宋体" w:hAnsi="宋体" w:eastAsia="宋体" w:cs="宋体"/>
          <w:kern w:val="0"/>
          <w:sz w:val="24"/>
          <w:u w:val="single"/>
        </w:rPr>
        <w:t xml:space="preserve">                             </w:t>
      </w:r>
    </w:p>
    <w:p w14:paraId="758118B6">
      <w:pPr>
        <w:adjustRightInd w:val="0"/>
        <w:snapToGrid w:val="0"/>
        <w:spacing w:line="300" w:lineRule="auto"/>
        <w:jc w:val="left"/>
        <w:textAlignment w:val="baseline"/>
        <w:rPr>
          <w:rFonts w:hint="eastAsia" w:ascii="宋体" w:hAnsi="宋体" w:eastAsia="宋体" w:cs="宋体"/>
          <w:b/>
          <w:kern w:val="0"/>
          <w:szCs w:val="21"/>
        </w:rPr>
      </w:pPr>
    </w:p>
    <w:p w14:paraId="58E7C9DB">
      <w:pPr>
        <w:adjustRightInd w:val="0"/>
        <w:snapToGrid w:val="0"/>
        <w:spacing w:line="300" w:lineRule="auto"/>
        <w:ind w:firstLine="422" w:firstLineChars="200"/>
        <w:jc w:val="left"/>
        <w:textAlignment w:val="baseline"/>
        <w:rPr>
          <w:rFonts w:hint="eastAsia" w:ascii="宋体" w:hAnsi="宋体" w:eastAsia="宋体" w:cs="宋体"/>
          <w:b/>
          <w:kern w:val="0"/>
          <w:szCs w:val="21"/>
        </w:rPr>
      </w:pPr>
      <w:r>
        <w:rPr>
          <w:rFonts w:hint="eastAsia" w:ascii="宋体" w:hAnsi="宋体" w:eastAsia="宋体" w:cs="宋体"/>
          <w:b/>
          <w:kern w:val="0"/>
          <w:szCs w:val="21"/>
        </w:rPr>
        <w:t>注：附被授权人身份复印件（国徽面、人像面）。</w:t>
      </w:r>
    </w:p>
    <w:p w14:paraId="6D0B75C0">
      <w:pPr>
        <w:rPr>
          <w:rFonts w:hint="eastAsia" w:ascii="宋体" w:hAnsi="宋体" w:eastAsia="宋体" w:cs="宋体"/>
          <w:kern w:val="0"/>
          <w:sz w:val="24"/>
          <w:szCs w:val="24"/>
          <w:u w:val="single"/>
        </w:rPr>
      </w:pPr>
      <w:r>
        <w:rPr>
          <w:rFonts w:hint="eastAsia" w:ascii="宋体" w:hAnsi="宋体" w:eastAsia="宋体" w:cs="宋体"/>
          <w:kern w:val="0"/>
          <w:sz w:val="24"/>
          <w:szCs w:val="24"/>
          <w:u w:val="single"/>
        </w:rPr>
        <w:br w:type="page"/>
      </w:r>
    </w:p>
    <w:p w14:paraId="4CE381AD">
      <w:pPr>
        <w:pStyle w:val="8"/>
        <w:rPr>
          <w:rFonts w:hint="eastAsia" w:ascii="宋体" w:hAnsi="宋体" w:eastAsia="宋体" w:cs="宋体"/>
        </w:rPr>
      </w:pPr>
    </w:p>
    <w:bookmarkEnd w:id="159"/>
    <w:bookmarkEnd w:id="160"/>
    <w:p w14:paraId="3E07C5B8">
      <w:pPr>
        <w:pStyle w:val="4"/>
        <w:spacing w:before="0" w:after="0" w:line="360" w:lineRule="auto"/>
        <w:rPr>
          <w:rFonts w:hint="eastAsia" w:ascii="宋体" w:hAnsi="宋体" w:eastAsia="宋体" w:cs="宋体"/>
          <w:sz w:val="28"/>
          <w:szCs w:val="28"/>
        </w:rPr>
      </w:pPr>
      <w:bookmarkStart w:id="161" w:name="_Toc4003"/>
      <w:bookmarkStart w:id="162" w:name="_Toc7705"/>
      <w:bookmarkStart w:id="163" w:name="_Toc617"/>
      <w:bookmarkStart w:id="164" w:name="_Toc7059"/>
      <w:bookmarkStart w:id="165" w:name="_Toc28604"/>
      <w:r>
        <w:rPr>
          <w:rFonts w:hint="eastAsia" w:ascii="宋体" w:hAnsi="宋体" w:eastAsia="宋体" w:cs="宋体"/>
          <w:sz w:val="28"/>
          <w:szCs w:val="28"/>
          <w:lang w:val="en-US" w:eastAsia="zh-CN"/>
        </w:rPr>
        <w:t>六</w:t>
      </w:r>
      <w:r>
        <w:rPr>
          <w:rFonts w:hint="eastAsia" w:ascii="宋体" w:hAnsi="宋体" w:eastAsia="宋体" w:cs="宋体"/>
          <w:sz w:val="28"/>
          <w:szCs w:val="28"/>
        </w:rPr>
        <w:t>、</w:t>
      </w:r>
      <w:bookmarkEnd w:id="161"/>
      <w:bookmarkEnd w:id="162"/>
      <w:bookmarkEnd w:id="163"/>
      <w:bookmarkEnd w:id="164"/>
      <w:bookmarkEnd w:id="165"/>
      <w:r>
        <w:rPr>
          <w:rFonts w:hint="eastAsia" w:ascii="宋体" w:hAnsi="宋体" w:eastAsia="宋体" w:cs="宋体"/>
          <w:sz w:val="28"/>
          <w:szCs w:val="28"/>
        </w:rPr>
        <w:t>商务、技术条款偏离表</w:t>
      </w:r>
    </w:p>
    <w:p w14:paraId="69C01540">
      <w:pPr>
        <w:snapToGrid w:val="0"/>
        <w:jc w:val="center"/>
        <w:rPr>
          <w:rFonts w:hint="eastAsia" w:ascii="宋体" w:hAnsi="宋体" w:eastAsia="宋体" w:cs="宋体"/>
          <w:b/>
          <w:bCs/>
          <w:sz w:val="28"/>
          <w:szCs w:val="28"/>
        </w:rPr>
      </w:pPr>
    </w:p>
    <w:p w14:paraId="2CCCADA8">
      <w:pPr>
        <w:snapToGrid w:val="0"/>
        <w:jc w:val="center"/>
        <w:rPr>
          <w:rFonts w:hint="eastAsia" w:ascii="宋体" w:hAnsi="宋体" w:eastAsia="宋体" w:cs="宋体"/>
          <w:sz w:val="28"/>
          <w:szCs w:val="28"/>
        </w:rPr>
      </w:pPr>
      <w:r>
        <w:rPr>
          <w:rFonts w:hint="eastAsia" w:ascii="宋体" w:hAnsi="宋体" w:eastAsia="宋体" w:cs="宋体"/>
          <w:b/>
          <w:bCs/>
          <w:sz w:val="28"/>
          <w:szCs w:val="28"/>
        </w:rPr>
        <w:t>商务、技术条款偏离表</w:t>
      </w:r>
    </w:p>
    <w:p w14:paraId="20009062">
      <w:pPr>
        <w:spacing w:line="480" w:lineRule="exact"/>
        <w:rPr>
          <w:rFonts w:hint="eastAsia" w:ascii="宋体" w:hAnsi="宋体" w:eastAsia="宋体" w:cs="宋体"/>
          <w:sz w:val="24"/>
        </w:rPr>
      </w:pPr>
      <w:r>
        <w:rPr>
          <w:rFonts w:hint="eastAsia" w:ascii="宋体" w:hAnsi="宋体" w:eastAsia="宋体" w:cs="宋体"/>
          <w:sz w:val="24"/>
        </w:rPr>
        <w:t>项目名称：</w:t>
      </w:r>
    </w:p>
    <w:p w14:paraId="4E2DAB13">
      <w:pPr>
        <w:spacing w:line="480" w:lineRule="exact"/>
        <w:rPr>
          <w:rFonts w:hint="eastAsia" w:ascii="宋体" w:hAnsi="宋体" w:eastAsia="宋体" w:cs="宋体"/>
          <w:sz w:val="24"/>
        </w:rPr>
      </w:pPr>
      <w:r>
        <w:rPr>
          <w:rFonts w:hint="eastAsia" w:ascii="宋体" w:hAnsi="宋体" w:eastAsia="宋体" w:cs="宋体"/>
          <w:sz w:val="24"/>
        </w:rPr>
        <w:t>项目编号：</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674"/>
        <w:gridCol w:w="3008"/>
        <w:gridCol w:w="1839"/>
        <w:gridCol w:w="1604"/>
      </w:tblGrid>
      <w:tr w14:paraId="1872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082B9A5D">
            <w:pPr>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序号</w:t>
            </w:r>
          </w:p>
        </w:tc>
        <w:tc>
          <w:tcPr>
            <w:tcW w:w="1342" w:type="pct"/>
            <w:vAlign w:val="center"/>
          </w:tcPr>
          <w:p w14:paraId="46ADF92D">
            <w:pPr>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招标文件要求</w:t>
            </w:r>
          </w:p>
        </w:tc>
        <w:tc>
          <w:tcPr>
            <w:tcW w:w="1510" w:type="pct"/>
            <w:vAlign w:val="center"/>
          </w:tcPr>
          <w:p w14:paraId="009E3C87">
            <w:pPr>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投标文件的对应响应</w:t>
            </w:r>
          </w:p>
        </w:tc>
        <w:tc>
          <w:tcPr>
            <w:tcW w:w="923" w:type="pct"/>
            <w:vAlign w:val="center"/>
          </w:tcPr>
          <w:p w14:paraId="02D7FF50">
            <w:pPr>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偏离</w:t>
            </w:r>
          </w:p>
        </w:tc>
        <w:tc>
          <w:tcPr>
            <w:tcW w:w="805" w:type="pct"/>
            <w:vAlign w:val="center"/>
          </w:tcPr>
          <w:p w14:paraId="4E40A49B">
            <w:pPr>
              <w:snapToGrid w:val="0"/>
              <w:ind w:left="-63" w:leftChars="-30" w:right="-63" w:rightChars="-30"/>
              <w:jc w:val="center"/>
              <w:rPr>
                <w:rFonts w:hint="eastAsia" w:ascii="宋体" w:hAnsi="宋体" w:eastAsia="宋体" w:cs="宋体"/>
                <w:sz w:val="24"/>
              </w:rPr>
            </w:pPr>
            <w:r>
              <w:rPr>
                <w:rFonts w:hint="eastAsia" w:ascii="宋体" w:hAnsi="宋体" w:eastAsia="宋体" w:cs="宋体"/>
                <w:sz w:val="24"/>
              </w:rPr>
              <w:t>说 明</w:t>
            </w:r>
          </w:p>
        </w:tc>
      </w:tr>
      <w:tr w14:paraId="2720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2B23BD8B">
            <w:pPr>
              <w:snapToGrid w:val="0"/>
              <w:ind w:left="-63" w:leftChars="-30" w:right="-63" w:rightChars="-30"/>
              <w:jc w:val="center"/>
              <w:rPr>
                <w:rFonts w:hint="eastAsia" w:ascii="宋体" w:hAnsi="宋体" w:eastAsia="宋体" w:cs="宋体"/>
                <w:sz w:val="24"/>
              </w:rPr>
            </w:pPr>
          </w:p>
        </w:tc>
        <w:tc>
          <w:tcPr>
            <w:tcW w:w="1342" w:type="pct"/>
            <w:vAlign w:val="center"/>
          </w:tcPr>
          <w:p w14:paraId="6825B5A9">
            <w:pPr>
              <w:snapToGrid w:val="0"/>
              <w:spacing w:line="400" w:lineRule="exact"/>
              <w:jc w:val="center"/>
              <w:rPr>
                <w:rFonts w:hint="eastAsia" w:ascii="宋体" w:hAnsi="宋体" w:eastAsia="宋体" w:cs="宋体"/>
                <w:sz w:val="24"/>
              </w:rPr>
            </w:pPr>
          </w:p>
        </w:tc>
        <w:tc>
          <w:tcPr>
            <w:tcW w:w="1510" w:type="pct"/>
            <w:vAlign w:val="center"/>
          </w:tcPr>
          <w:p w14:paraId="23CFE54C">
            <w:pPr>
              <w:snapToGrid w:val="0"/>
              <w:jc w:val="center"/>
              <w:rPr>
                <w:rFonts w:hint="eastAsia" w:ascii="宋体" w:hAnsi="宋体" w:eastAsia="宋体" w:cs="宋体"/>
                <w:sz w:val="24"/>
              </w:rPr>
            </w:pPr>
          </w:p>
        </w:tc>
        <w:tc>
          <w:tcPr>
            <w:tcW w:w="923" w:type="pct"/>
            <w:vAlign w:val="center"/>
          </w:tcPr>
          <w:p w14:paraId="1D0ADDAA">
            <w:pPr>
              <w:snapToGrid w:val="0"/>
              <w:jc w:val="center"/>
              <w:rPr>
                <w:rFonts w:hint="eastAsia" w:ascii="宋体" w:hAnsi="宋体" w:eastAsia="宋体" w:cs="宋体"/>
                <w:sz w:val="24"/>
              </w:rPr>
            </w:pPr>
          </w:p>
        </w:tc>
        <w:tc>
          <w:tcPr>
            <w:tcW w:w="805" w:type="pct"/>
            <w:vAlign w:val="center"/>
          </w:tcPr>
          <w:p w14:paraId="5941C9A7">
            <w:pPr>
              <w:snapToGrid w:val="0"/>
              <w:jc w:val="center"/>
              <w:rPr>
                <w:rFonts w:hint="eastAsia" w:ascii="宋体" w:hAnsi="宋体" w:eastAsia="宋体" w:cs="宋体"/>
                <w:sz w:val="24"/>
              </w:rPr>
            </w:pPr>
          </w:p>
        </w:tc>
      </w:tr>
      <w:tr w14:paraId="2741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18" w:type="pct"/>
            <w:vAlign w:val="center"/>
          </w:tcPr>
          <w:p w14:paraId="5D85A92A">
            <w:pPr>
              <w:snapToGrid w:val="0"/>
              <w:ind w:left="-63" w:leftChars="-30" w:right="-63" w:rightChars="-30"/>
              <w:jc w:val="center"/>
              <w:rPr>
                <w:rFonts w:hint="eastAsia" w:ascii="宋体" w:hAnsi="宋体" w:eastAsia="宋体" w:cs="宋体"/>
                <w:sz w:val="24"/>
              </w:rPr>
            </w:pPr>
          </w:p>
        </w:tc>
        <w:tc>
          <w:tcPr>
            <w:tcW w:w="1342" w:type="pct"/>
            <w:vAlign w:val="center"/>
          </w:tcPr>
          <w:p w14:paraId="15C6A603">
            <w:pPr>
              <w:snapToGrid w:val="0"/>
              <w:spacing w:line="400" w:lineRule="exact"/>
              <w:jc w:val="center"/>
              <w:rPr>
                <w:rFonts w:hint="eastAsia" w:ascii="宋体" w:hAnsi="宋体" w:eastAsia="宋体" w:cs="宋体"/>
                <w:sz w:val="24"/>
              </w:rPr>
            </w:pPr>
          </w:p>
        </w:tc>
        <w:tc>
          <w:tcPr>
            <w:tcW w:w="1510" w:type="pct"/>
            <w:vAlign w:val="center"/>
          </w:tcPr>
          <w:p w14:paraId="4382C9C9">
            <w:pPr>
              <w:snapToGrid w:val="0"/>
              <w:jc w:val="center"/>
              <w:rPr>
                <w:rFonts w:hint="eastAsia" w:ascii="宋体" w:hAnsi="宋体" w:eastAsia="宋体" w:cs="宋体"/>
                <w:sz w:val="24"/>
              </w:rPr>
            </w:pPr>
          </w:p>
        </w:tc>
        <w:tc>
          <w:tcPr>
            <w:tcW w:w="923" w:type="pct"/>
            <w:vAlign w:val="center"/>
          </w:tcPr>
          <w:p w14:paraId="18CDAAF1">
            <w:pPr>
              <w:snapToGrid w:val="0"/>
              <w:jc w:val="center"/>
              <w:rPr>
                <w:rFonts w:hint="eastAsia" w:ascii="宋体" w:hAnsi="宋体" w:eastAsia="宋体" w:cs="宋体"/>
                <w:sz w:val="24"/>
              </w:rPr>
            </w:pPr>
          </w:p>
        </w:tc>
        <w:tc>
          <w:tcPr>
            <w:tcW w:w="805" w:type="pct"/>
            <w:vAlign w:val="center"/>
          </w:tcPr>
          <w:p w14:paraId="2EBBA628">
            <w:pPr>
              <w:snapToGrid w:val="0"/>
              <w:jc w:val="center"/>
              <w:rPr>
                <w:rFonts w:hint="eastAsia" w:ascii="宋体" w:hAnsi="宋体" w:eastAsia="宋体" w:cs="宋体"/>
                <w:sz w:val="24"/>
              </w:rPr>
            </w:pPr>
          </w:p>
        </w:tc>
      </w:tr>
      <w:tr w14:paraId="79E1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8" w:type="pct"/>
            <w:vAlign w:val="center"/>
          </w:tcPr>
          <w:p w14:paraId="1E507B72">
            <w:pPr>
              <w:snapToGrid w:val="0"/>
              <w:ind w:left="-63" w:leftChars="-30" w:right="-63" w:rightChars="-30"/>
              <w:jc w:val="center"/>
              <w:rPr>
                <w:rFonts w:hint="eastAsia" w:ascii="宋体" w:hAnsi="宋体" w:eastAsia="宋体" w:cs="宋体"/>
                <w:sz w:val="24"/>
              </w:rPr>
            </w:pPr>
          </w:p>
        </w:tc>
        <w:tc>
          <w:tcPr>
            <w:tcW w:w="1342" w:type="pct"/>
            <w:vAlign w:val="center"/>
          </w:tcPr>
          <w:p w14:paraId="1F825C89">
            <w:pPr>
              <w:snapToGrid w:val="0"/>
              <w:spacing w:line="400" w:lineRule="exact"/>
              <w:jc w:val="center"/>
              <w:rPr>
                <w:rFonts w:hint="eastAsia" w:ascii="宋体" w:hAnsi="宋体" w:eastAsia="宋体" w:cs="宋体"/>
                <w:sz w:val="24"/>
              </w:rPr>
            </w:pPr>
          </w:p>
        </w:tc>
        <w:tc>
          <w:tcPr>
            <w:tcW w:w="1510" w:type="pct"/>
            <w:vAlign w:val="center"/>
          </w:tcPr>
          <w:p w14:paraId="5E8F0AEF">
            <w:pPr>
              <w:snapToGrid w:val="0"/>
              <w:jc w:val="center"/>
              <w:rPr>
                <w:rFonts w:hint="eastAsia" w:ascii="宋体" w:hAnsi="宋体" w:eastAsia="宋体" w:cs="宋体"/>
                <w:sz w:val="24"/>
              </w:rPr>
            </w:pPr>
          </w:p>
        </w:tc>
        <w:tc>
          <w:tcPr>
            <w:tcW w:w="923" w:type="pct"/>
            <w:vAlign w:val="center"/>
          </w:tcPr>
          <w:p w14:paraId="11A02EDA">
            <w:pPr>
              <w:snapToGrid w:val="0"/>
              <w:jc w:val="center"/>
              <w:rPr>
                <w:rFonts w:hint="eastAsia" w:ascii="宋体" w:hAnsi="宋体" w:eastAsia="宋体" w:cs="宋体"/>
                <w:sz w:val="24"/>
              </w:rPr>
            </w:pPr>
          </w:p>
        </w:tc>
        <w:tc>
          <w:tcPr>
            <w:tcW w:w="805" w:type="pct"/>
            <w:vAlign w:val="center"/>
          </w:tcPr>
          <w:p w14:paraId="446AF4E6">
            <w:pPr>
              <w:snapToGrid w:val="0"/>
              <w:jc w:val="center"/>
              <w:rPr>
                <w:rFonts w:hint="eastAsia" w:ascii="宋体" w:hAnsi="宋体" w:eastAsia="宋体" w:cs="宋体"/>
                <w:sz w:val="24"/>
              </w:rPr>
            </w:pPr>
          </w:p>
        </w:tc>
      </w:tr>
    </w:tbl>
    <w:p w14:paraId="5CDB0FA1">
      <w:pPr>
        <w:adjustRightInd w:val="0"/>
        <w:snapToGrid w:val="0"/>
        <w:spacing w:line="300" w:lineRule="auto"/>
        <w:jc w:val="left"/>
        <w:textAlignment w:val="baseline"/>
        <w:rPr>
          <w:rFonts w:hint="eastAsia" w:ascii="宋体" w:hAnsi="宋体" w:eastAsia="宋体" w:cs="宋体"/>
          <w:b/>
          <w:kern w:val="0"/>
          <w:szCs w:val="21"/>
        </w:rPr>
      </w:pPr>
      <w:r>
        <w:rPr>
          <w:rFonts w:hint="eastAsia" w:ascii="宋体" w:hAnsi="宋体" w:eastAsia="宋体" w:cs="宋体"/>
          <w:b/>
          <w:kern w:val="0"/>
          <w:szCs w:val="21"/>
        </w:rPr>
        <w:t>注：⑴“偏离”栏填写“正”、“无”或“负”；</w:t>
      </w:r>
    </w:p>
    <w:p w14:paraId="73C548D5">
      <w:pPr>
        <w:adjustRightInd w:val="0"/>
        <w:snapToGrid w:val="0"/>
        <w:spacing w:line="300" w:lineRule="auto"/>
        <w:ind w:firstLine="422" w:firstLineChars="200"/>
        <w:jc w:val="left"/>
        <w:textAlignment w:val="baseline"/>
        <w:rPr>
          <w:rFonts w:hint="eastAsia" w:ascii="宋体" w:hAnsi="宋体" w:eastAsia="宋体" w:cs="宋体"/>
          <w:b/>
          <w:kern w:val="0"/>
          <w:szCs w:val="21"/>
        </w:rPr>
      </w:pPr>
      <w:r>
        <w:rPr>
          <w:rFonts w:hint="eastAsia" w:ascii="宋体" w:hAnsi="宋体" w:eastAsia="宋体" w:cs="宋体"/>
          <w:b/>
          <w:kern w:val="0"/>
          <w:szCs w:val="21"/>
        </w:rPr>
        <w:t>⑵招标文件要求提供证明材料的，按照要求附有效证明材料。</w:t>
      </w:r>
    </w:p>
    <w:p w14:paraId="32FDED2A">
      <w:pPr>
        <w:rPr>
          <w:rFonts w:hint="eastAsia" w:ascii="宋体" w:hAnsi="宋体" w:eastAsia="宋体" w:cs="宋体"/>
        </w:rPr>
      </w:pPr>
    </w:p>
    <w:p w14:paraId="228275BD">
      <w:pPr>
        <w:pStyle w:val="27"/>
        <w:spacing w:line="360" w:lineRule="auto"/>
        <w:ind w:firstLine="48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kern w:val="0"/>
          <w:sz w:val="24"/>
        </w:rPr>
        <w:t>(单位公章)</w:t>
      </w:r>
      <w:r>
        <w:rPr>
          <w:rFonts w:hint="eastAsia" w:ascii="宋体" w:hAnsi="宋体" w:eastAsia="宋体" w:cs="宋体"/>
          <w:sz w:val="24"/>
        </w:rPr>
        <w:t>：</w:t>
      </w:r>
      <w:r>
        <w:rPr>
          <w:rFonts w:hint="eastAsia" w:ascii="宋体" w:hAnsi="宋体" w:eastAsia="宋体" w:cs="宋体"/>
          <w:sz w:val="24"/>
          <w:u w:val="single"/>
        </w:rPr>
        <w:t xml:space="preserve">               </w:t>
      </w:r>
    </w:p>
    <w:p w14:paraId="21584C96">
      <w:pPr>
        <w:pStyle w:val="27"/>
        <w:spacing w:line="360" w:lineRule="auto"/>
        <w:ind w:firstLine="480"/>
        <w:rPr>
          <w:rFonts w:hint="eastAsia" w:ascii="宋体" w:hAnsi="宋体" w:eastAsia="宋体" w:cs="宋体"/>
          <w:sz w:val="24"/>
        </w:rPr>
      </w:pPr>
      <w:r>
        <w:rPr>
          <w:rFonts w:hint="eastAsia" w:ascii="宋体" w:hAnsi="宋体" w:eastAsia="宋体" w:cs="宋体"/>
          <w:sz w:val="24"/>
        </w:rPr>
        <w:t>法定代表人（单位负责人）或被授权代理人（签字或盖章）：</w:t>
      </w:r>
      <w:r>
        <w:rPr>
          <w:rFonts w:hint="eastAsia" w:ascii="宋体" w:hAnsi="宋体" w:eastAsia="宋体" w:cs="宋体"/>
          <w:sz w:val="24"/>
          <w:u w:val="single"/>
        </w:rPr>
        <w:t xml:space="preserve">         </w:t>
      </w:r>
    </w:p>
    <w:p w14:paraId="5F08D494">
      <w:pPr>
        <w:widowControl/>
        <w:tabs>
          <w:tab w:val="left" w:pos="4000"/>
        </w:tabs>
        <w:adjustRightInd w:val="0"/>
        <w:snapToGrid w:val="0"/>
        <w:spacing w:line="360" w:lineRule="auto"/>
        <w:ind w:firstLine="480" w:firstLineChars="200"/>
        <w:jc w:val="left"/>
        <w:textAlignment w:val="baseline"/>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14:paraId="650AC365">
      <w:pPr>
        <w:widowControl/>
        <w:tabs>
          <w:tab w:val="left" w:pos="4000"/>
        </w:tabs>
        <w:snapToGrid w:val="0"/>
        <w:spacing w:line="480" w:lineRule="auto"/>
        <w:jc w:val="center"/>
        <w:rPr>
          <w:rFonts w:hint="eastAsia" w:ascii="宋体" w:hAnsi="宋体" w:eastAsia="宋体" w:cs="宋体"/>
          <w:kern w:val="0"/>
          <w:sz w:val="24"/>
        </w:rPr>
      </w:pPr>
    </w:p>
    <w:p w14:paraId="0B966807">
      <w:pPr>
        <w:rPr>
          <w:rFonts w:hint="eastAsia" w:ascii="宋体" w:hAnsi="宋体" w:eastAsia="宋体" w:cs="宋体"/>
          <w:sz w:val="28"/>
          <w:szCs w:val="28"/>
        </w:rPr>
      </w:pPr>
      <w:bookmarkStart w:id="166" w:name="_Toc8950"/>
      <w:bookmarkStart w:id="167" w:name="_Toc15694"/>
      <w:bookmarkStart w:id="168" w:name="_Toc1801"/>
      <w:bookmarkStart w:id="169" w:name="_Toc27571"/>
      <w:bookmarkStart w:id="170" w:name="_Toc173299099"/>
      <w:bookmarkStart w:id="171" w:name="_Toc173236497"/>
      <w:bookmarkStart w:id="172" w:name="_Toc183244155"/>
      <w:r>
        <w:rPr>
          <w:rFonts w:hint="eastAsia" w:ascii="宋体" w:hAnsi="宋体" w:eastAsia="宋体" w:cs="宋体"/>
          <w:sz w:val="28"/>
          <w:szCs w:val="28"/>
        </w:rPr>
        <w:br w:type="page"/>
      </w:r>
    </w:p>
    <w:p w14:paraId="18DA88DD">
      <w:pPr>
        <w:pStyle w:val="4"/>
        <w:spacing w:before="0" w:after="0"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七</w:t>
      </w:r>
      <w:r>
        <w:rPr>
          <w:rFonts w:hint="eastAsia" w:ascii="宋体" w:hAnsi="宋体" w:eastAsia="宋体" w:cs="宋体"/>
          <w:sz w:val="28"/>
          <w:szCs w:val="28"/>
        </w:rPr>
        <w:t>、</w:t>
      </w:r>
      <w:bookmarkEnd w:id="166"/>
      <w:bookmarkEnd w:id="167"/>
      <w:bookmarkEnd w:id="168"/>
      <w:bookmarkEnd w:id="169"/>
      <w:r>
        <w:rPr>
          <w:rFonts w:hint="eastAsia" w:ascii="宋体" w:hAnsi="宋体" w:cs="宋体"/>
          <w:sz w:val="28"/>
          <w:szCs w:val="28"/>
          <w:lang w:eastAsia="zh-CN"/>
        </w:rPr>
        <w:t>投标产品</w:t>
      </w:r>
      <w:r>
        <w:rPr>
          <w:rFonts w:hint="eastAsia" w:ascii="宋体" w:hAnsi="宋体" w:eastAsia="宋体" w:cs="宋体"/>
          <w:sz w:val="28"/>
          <w:szCs w:val="28"/>
          <w:lang w:eastAsia="zh-CN"/>
        </w:rPr>
        <w:t>主要技术指标和运行性能的详细描述</w:t>
      </w:r>
    </w:p>
    <w:p w14:paraId="7D55483C">
      <w:pPr>
        <w:widowControl/>
        <w:snapToGrid w:val="0"/>
        <w:spacing w:line="300" w:lineRule="auto"/>
        <w:ind w:firstLine="480"/>
        <w:jc w:val="left"/>
        <w:rPr>
          <w:rFonts w:hint="eastAsia" w:ascii="宋体" w:hAnsi="宋体" w:eastAsia="宋体" w:cs="宋体"/>
          <w:sz w:val="24"/>
        </w:rPr>
      </w:pPr>
      <w:r>
        <w:rPr>
          <w:rFonts w:hint="eastAsia" w:ascii="宋体" w:hAnsi="宋体" w:eastAsia="宋体" w:cs="宋体"/>
          <w:sz w:val="24"/>
        </w:rPr>
        <w:t>投标人应针对招标文件要求，依据所提供的服务如实逐条对</w:t>
      </w:r>
      <w:r>
        <w:rPr>
          <w:rFonts w:hint="eastAsia" w:ascii="宋体" w:hAnsi="宋体" w:cs="宋体"/>
          <w:sz w:val="24"/>
          <w:lang w:eastAsia="zh-CN"/>
        </w:rPr>
        <w:t>采购人</w:t>
      </w:r>
      <w:r>
        <w:rPr>
          <w:rFonts w:hint="eastAsia" w:ascii="宋体" w:hAnsi="宋体" w:eastAsia="宋体" w:cs="宋体"/>
          <w:sz w:val="24"/>
        </w:rPr>
        <w:t>的技术需求进行应答。对于那些可以用量化形式表述的条款，投标人必须明确回答，否则投标人应以功能描述回答，说明实现方式。</w:t>
      </w:r>
    </w:p>
    <w:p w14:paraId="42CD73B3">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0D361B39">
      <w:pPr>
        <w:pStyle w:val="4"/>
        <w:spacing w:before="0" w:after="0" w:line="360" w:lineRule="auto"/>
        <w:rPr>
          <w:rFonts w:hint="eastAsia" w:ascii="宋体" w:hAnsi="宋体" w:eastAsia="宋体" w:cs="宋体"/>
          <w:bCs w:val="0"/>
          <w:kern w:val="0"/>
          <w:sz w:val="28"/>
          <w:szCs w:val="28"/>
        </w:rPr>
      </w:pPr>
      <w:bookmarkStart w:id="173" w:name="_Toc20890"/>
      <w:bookmarkStart w:id="174" w:name="_Toc12398"/>
      <w:bookmarkStart w:id="175" w:name="_Toc29945"/>
      <w:bookmarkStart w:id="176" w:name="_Toc18811"/>
      <w:r>
        <w:rPr>
          <w:rFonts w:hint="eastAsia" w:ascii="宋体" w:hAnsi="宋体" w:eastAsia="宋体" w:cs="宋体"/>
          <w:bCs w:val="0"/>
          <w:kern w:val="0"/>
          <w:sz w:val="28"/>
          <w:szCs w:val="28"/>
          <w:lang w:val="en-US" w:eastAsia="zh-CN"/>
        </w:rPr>
        <w:t>八</w:t>
      </w:r>
      <w:r>
        <w:rPr>
          <w:rFonts w:hint="eastAsia" w:ascii="宋体" w:hAnsi="宋体" w:eastAsia="宋体" w:cs="宋体"/>
          <w:bCs w:val="0"/>
          <w:kern w:val="0"/>
          <w:sz w:val="28"/>
          <w:szCs w:val="28"/>
        </w:rPr>
        <w:t>、同类项目案例</w:t>
      </w:r>
      <w:bookmarkEnd w:id="173"/>
      <w:bookmarkEnd w:id="174"/>
      <w:bookmarkEnd w:id="175"/>
      <w:bookmarkEnd w:id="176"/>
    </w:p>
    <w:p w14:paraId="09946CD7">
      <w:pPr>
        <w:tabs>
          <w:tab w:val="left" w:pos="900"/>
        </w:tabs>
        <w:spacing w:line="360" w:lineRule="auto"/>
        <w:ind w:firstLine="562" w:firstLineChars="200"/>
        <w:jc w:val="center"/>
        <w:rPr>
          <w:rFonts w:hint="eastAsia" w:ascii="宋体" w:hAnsi="宋体" w:eastAsia="宋体" w:cs="宋体"/>
          <w:b/>
          <w:bCs/>
          <w:sz w:val="28"/>
          <w:szCs w:val="28"/>
        </w:rPr>
      </w:pPr>
      <w:bookmarkStart w:id="177" w:name="_Toc8361"/>
      <w:bookmarkStart w:id="178" w:name="_Toc10836"/>
      <w:r>
        <w:rPr>
          <w:rFonts w:hint="eastAsia" w:ascii="宋体" w:hAnsi="宋体" w:eastAsia="宋体" w:cs="宋体"/>
          <w:b/>
          <w:bCs/>
          <w:sz w:val="28"/>
          <w:szCs w:val="28"/>
        </w:rPr>
        <w:t>近年完成的类似业绩</w:t>
      </w:r>
      <w:bookmarkEnd w:id="177"/>
      <w:bookmarkEnd w:id="178"/>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165"/>
        <w:gridCol w:w="1960"/>
        <w:gridCol w:w="1858"/>
        <w:gridCol w:w="1880"/>
        <w:gridCol w:w="1207"/>
      </w:tblGrid>
      <w:tr w14:paraId="64BD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43" w:type="pct"/>
            <w:vAlign w:val="center"/>
          </w:tcPr>
          <w:p w14:paraId="7594DC44">
            <w:pPr>
              <w:jc w:val="center"/>
              <w:rPr>
                <w:rFonts w:hint="eastAsia" w:ascii="宋体" w:hAnsi="宋体" w:eastAsia="宋体" w:cs="宋体"/>
                <w:sz w:val="24"/>
                <w:szCs w:val="18"/>
              </w:rPr>
            </w:pPr>
            <w:r>
              <w:rPr>
                <w:rFonts w:hint="eastAsia" w:ascii="宋体" w:hAnsi="宋体" w:eastAsia="宋体" w:cs="宋体"/>
                <w:sz w:val="24"/>
                <w:szCs w:val="18"/>
              </w:rPr>
              <w:t>序号</w:t>
            </w:r>
          </w:p>
        </w:tc>
        <w:tc>
          <w:tcPr>
            <w:tcW w:w="1087" w:type="pct"/>
            <w:vAlign w:val="center"/>
          </w:tcPr>
          <w:p w14:paraId="75A5D038">
            <w:pPr>
              <w:jc w:val="center"/>
              <w:rPr>
                <w:rFonts w:hint="eastAsia" w:ascii="宋体" w:hAnsi="宋体" w:eastAsia="宋体" w:cs="宋体"/>
                <w:sz w:val="24"/>
                <w:szCs w:val="18"/>
              </w:rPr>
            </w:pPr>
            <w:r>
              <w:rPr>
                <w:rFonts w:hint="eastAsia" w:ascii="宋体" w:hAnsi="宋体" w:eastAsia="宋体" w:cs="宋体"/>
                <w:sz w:val="24"/>
                <w:szCs w:val="18"/>
              </w:rPr>
              <w:t>项目名称</w:t>
            </w:r>
          </w:p>
        </w:tc>
        <w:tc>
          <w:tcPr>
            <w:tcW w:w="984" w:type="pct"/>
            <w:vAlign w:val="center"/>
          </w:tcPr>
          <w:p w14:paraId="40D4FDCC">
            <w:pPr>
              <w:jc w:val="center"/>
              <w:rPr>
                <w:rFonts w:hint="eastAsia" w:ascii="宋体" w:hAnsi="宋体" w:eastAsia="宋体" w:cs="宋体"/>
                <w:sz w:val="24"/>
                <w:szCs w:val="18"/>
              </w:rPr>
            </w:pPr>
            <w:r>
              <w:rPr>
                <w:rFonts w:hint="eastAsia" w:ascii="宋体" w:hAnsi="宋体" w:eastAsia="宋体" w:cs="宋体"/>
                <w:sz w:val="24"/>
                <w:szCs w:val="18"/>
              </w:rPr>
              <w:t>内容</w:t>
            </w:r>
          </w:p>
        </w:tc>
        <w:tc>
          <w:tcPr>
            <w:tcW w:w="933" w:type="pct"/>
            <w:vAlign w:val="center"/>
          </w:tcPr>
          <w:p w14:paraId="5BEA24BE">
            <w:pPr>
              <w:jc w:val="center"/>
              <w:rPr>
                <w:rFonts w:hint="eastAsia" w:ascii="宋体" w:hAnsi="宋体" w:eastAsia="宋体" w:cs="宋体"/>
                <w:sz w:val="24"/>
                <w:szCs w:val="18"/>
              </w:rPr>
            </w:pPr>
            <w:r>
              <w:rPr>
                <w:rFonts w:hint="eastAsia" w:ascii="宋体" w:hAnsi="宋体" w:eastAsia="宋体" w:cs="宋体"/>
                <w:sz w:val="24"/>
                <w:szCs w:val="18"/>
              </w:rPr>
              <w:t>合同总额</w:t>
            </w:r>
          </w:p>
          <w:p w14:paraId="53E90923">
            <w:pPr>
              <w:jc w:val="center"/>
              <w:rPr>
                <w:rFonts w:hint="eastAsia" w:ascii="宋体" w:hAnsi="宋体" w:eastAsia="宋体" w:cs="宋体"/>
                <w:sz w:val="24"/>
                <w:szCs w:val="18"/>
              </w:rPr>
            </w:pPr>
            <w:r>
              <w:rPr>
                <w:rFonts w:hint="eastAsia" w:ascii="宋体" w:hAnsi="宋体" w:eastAsia="宋体" w:cs="宋体"/>
                <w:sz w:val="24"/>
                <w:szCs w:val="18"/>
              </w:rPr>
              <w:t>（万元）</w:t>
            </w:r>
          </w:p>
        </w:tc>
        <w:tc>
          <w:tcPr>
            <w:tcW w:w="944" w:type="pct"/>
            <w:vAlign w:val="center"/>
          </w:tcPr>
          <w:p w14:paraId="64F3BCAB">
            <w:pPr>
              <w:jc w:val="center"/>
              <w:rPr>
                <w:rFonts w:hint="eastAsia" w:ascii="宋体" w:hAnsi="宋体" w:eastAsia="宋体" w:cs="宋体"/>
                <w:sz w:val="24"/>
                <w:szCs w:val="18"/>
              </w:rPr>
            </w:pPr>
            <w:r>
              <w:rPr>
                <w:rFonts w:hint="eastAsia" w:ascii="宋体" w:hAnsi="宋体" w:eastAsia="宋体" w:cs="宋体"/>
                <w:sz w:val="24"/>
                <w:szCs w:val="18"/>
              </w:rPr>
              <w:t>客户联系人及电话</w:t>
            </w:r>
          </w:p>
        </w:tc>
        <w:tc>
          <w:tcPr>
            <w:tcW w:w="606" w:type="pct"/>
            <w:vAlign w:val="center"/>
          </w:tcPr>
          <w:p w14:paraId="13E7517F">
            <w:pPr>
              <w:jc w:val="center"/>
              <w:rPr>
                <w:rFonts w:hint="eastAsia" w:ascii="宋体" w:hAnsi="宋体" w:eastAsia="宋体" w:cs="宋体"/>
                <w:sz w:val="24"/>
                <w:szCs w:val="18"/>
              </w:rPr>
            </w:pPr>
            <w:r>
              <w:rPr>
                <w:rFonts w:hint="eastAsia" w:ascii="宋体" w:hAnsi="宋体" w:eastAsia="宋体" w:cs="宋体"/>
                <w:sz w:val="24"/>
                <w:szCs w:val="18"/>
              </w:rPr>
              <w:t>其他说明</w:t>
            </w:r>
          </w:p>
        </w:tc>
      </w:tr>
      <w:tr w14:paraId="4FBD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0DC7CC9E">
            <w:pPr>
              <w:jc w:val="center"/>
              <w:rPr>
                <w:rFonts w:hint="eastAsia" w:ascii="宋体" w:hAnsi="宋体" w:eastAsia="宋体" w:cs="宋体"/>
                <w:sz w:val="16"/>
                <w:szCs w:val="18"/>
              </w:rPr>
            </w:pPr>
            <w:r>
              <w:rPr>
                <w:rFonts w:hint="eastAsia" w:ascii="宋体" w:hAnsi="宋体" w:eastAsia="宋体" w:cs="宋体"/>
                <w:sz w:val="16"/>
                <w:szCs w:val="18"/>
              </w:rPr>
              <w:t>1</w:t>
            </w:r>
          </w:p>
        </w:tc>
        <w:tc>
          <w:tcPr>
            <w:tcW w:w="1087" w:type="pct"/>
            <w:vAlign w:val="center"/>
          </w:tcPr>
          <w:p w14:paraId="0B761A8B">
            <w:pPr>
              <w:jc w:val="center"/>
              <w:rPr>
                <w:rFonts w:hint="eastAsia" w:ascii="宋体" w:hAnsi="宋体" w:eastAsia="宋体" w:cs="宋体"/>
                <w:sz w:val="16"/>
                <w:szCs w:val="18"/>
              </w:rPr>
            </w:pPr>
          </w:p>
        </w:tc>
        <w:tc>
          <w:tcPr>
            <w:tcW w:w="984" w:type="pct"/>
          </w:tcPr>
          <w:p w14:paraId="38A90555">
            <w:pPr>
              <w:jc w:val="center"/>
              <w:rPr>
                <w:rFonts w:hint="eastAsia" w:ascii="宋体" w:hAnsi="宋体" w:eastAsia="宋体" w:cs="宋体"/>
                <w:sz w:val="16"/>
                <w:szCs w:val="18"/>
              </w:rPr>
            </w:pPr>
          </w:p>
        </w:tc>
        <w:tc>
          <w:tcPr>
            <w:tcW w:w="933" w:type="pct"/>
          </w:tcPr>
          <w:p w14:paraId="7276810C">
            <w:pPr>
              <w:jc w:val="center"/>
              <w:rPr>
                <w:rFonts w:hint="eastAsia" w:ascii="宋体" w:hAnsi="宋体" w:eastAsia="宋体" w:cs="宋体"/>
                <w:sz w:val="16"/>
                <w:szCs w:val="18"/>
              </w:rPr>
            </w:pPr>
          </w:p>
        </w:tc>
        <w:tc>
          <w:tcPr>
            <w:tcW w:w="944" w:type="pct"/>
          </w:tcPr>
          <w:p w14:paraId="316432B6">
            <w:pPr>
              <w:jc w:val="center"/>
              <w:rPr>
                <w:rFonts w:hint="eastAsia" w:ascii="宋体" w:hAnsi="宋体" w:eastAsia="宋体" w:cs="宋体"/>
                <w:sz w:val="16"/>
                <w:szCs w:val="18"/>
              </w:rPr>
            </w:pPr>
          </w:p>
        </w:tc>
        <w:tc>
          <w:tcPr>
            <w:tcW w:w="606" w:type="pct"/>
          </w:tcPr>
          <w:p w14:paraId="4F111364">
            <w:pPr>
              <w:jc w:val="center"/>
              <w:rPr>
                <w:rFonts w:hint="eastAsia" w:ascii="宋体" w:hAnsi="宋体" w:eastAsia="宋体" w:cs="宋体"/>
                <w:sz w:val="16"/>
                <w:szCs w:val="18"/>
              </w:rPr>
            </w:pPr>
          </w:p>
        </w:tc>
      </w:tr>
      <w:tr w14:paraId="10F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5178D4F7">
            <w:pPr>
              <w:jc w:val="center"/>
              <w:rPr>
                <w:rFonts w:hint="eastAsia" w:ascii="宋体" w:hAnsi="宋体" w:eastAsia="宋体" w:cs="宋体"/>
                <w:sz w:val="16"/>
                <w:szCs w:val="18"/>
              </w:rPr>
            </w:pPr>
            <w:r>
              <w:rPr>
                <w:rFonts w:hint="eastAsia" w:ascii="宋体" w:hAnsi="宋体" w:eastAsia="宋体" w:cs="宋体"/>
                <w:sz w:val="16"/>
                <w:szCs w:val="18"/>
              </w:rPr>
              <w:t>2</w:t>
            </w:r>
          </w:p>
        </w:tc>
        <w:tc>
          <w:tcPr>
            <w:tcW w:w="1087" w:type="pct"/>
            <w:vAlign w:val="center"/>
          </w:tcPr>
          <w:p w14:paraId="222516C4">
            <w:pPr>
              <w:jc w:val="center"/>
              <w:rPr>
                <w:rFonts w:hint="eastAsia" w:ascii="宋体" w:hAnsi="宋体" w:eastAsia="宋体" w:cs="宋体"/>
                <w:sz w:val="16"/>
                <w:szCs w:val="18"/>
              </w:rPr>
            </w:pPr>
          </w:p>
        </w:tc>
        <w:tc>
          <w:tcPr>
            <w:tcW w:w="984" w:type="pct"/>
          </w:tcPr>
          <w:p w14:paraId="3565C0A2">
            <w:pPr>
              <w:jc w:val="center"/>
              <w:rPr>
                <w:rFonts w:hint="eastAsia" w:ascii="宋体" w:hAnsi="宋体" w:eastAsia="宋体" w:cs="宋体"/>
                <w:sz w:val="16"/>
                <w:szCs w:val="18"/>
              </w:rPr>
            </w:pPr>
          </w:p>
        </w:tc>
        <w:tc>
          <w:tcPr>
            <w:tcW w:w="933" w:type="pct"/>
          </w:tcPr>
          <w:p w14:paraId="7A5E1A9B">
            <w:pPr>
              <w:jc w:val="center"/>
              <w:rPr>
                <w:rFonts w:hint="eastAsia" w:ascii="宋体" w:hAnsi="宋体" w:eastAsia="宋体" w:cs="宋体"/>
                <w:sz w:val="16"/>
                <w:szCs w:val="18"/>
              </w:rPr>
            </w:pPr>
          </w:p>
        </w:tc>
        <w:tc>
          <w:tcPr>
            <w:tcW w:w="944" w:type="pct"/>
          </w:tcPr>
          <w:p w14:paraId="61D7DB8D">
            <w:pPr>
              <w:jc w:val="center"/>
              <w:rPr>
                <w:rFonts w:hint="eastAsia" w:ascii="宋体" w:hAnsi="宋体" w:eastAsia="宋体" w:cs="宋体"/>
                <w:sz w:val="16"/>
                <w:szCs w:val="18"/>
              </w:rPr>
            </w:pPr>
          </w:p>
        </w:tc>
        <w:tc>
          <w:tcPr>
            <w:tcW w:w="606" w:type="pct"/>
          </w:tcPr>
          <w:p w14:paraId="3622DD67">
            <w:pPr>
              <w:jc w:val="center"/>
              <w:rPr>
                <w:rFonts w:hint="eastAsia" w:ascii="宋体" w:hAnsi="宋体" w:eastAsia="宋体" w:cs="宋体"/>
                <w:sz w:val="16"/>
                <w:szCs w:val="18"/>
              </w:rPr>
            </w:pPr>
          </w:p>
        </w:tc>
      </w:tr>
      <w:tr w14:paraId="719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43" w:type="pct"/>
            <w:vAlign w:val="center"/>
          </w:tcPr>
          <w:p w14:paraId="57F6CFF0">
            <w:pPr>
              <w:jc w:val="center"/>
              <w:rPr>
                <w:rFonts w:hint="eastAsia" w:ascii="宋体" w:hAnsi="宋体" w:eastAsia="宋体" w:cs="宋体"/>
                <w:sz w:val="16"/>
                <w:szCs w:val="18"/>
              </w:rPr>
            </w:pPr>
            <w:r>
              <w:rPr>
                <w:rFonts w:hint="eastAsia" w:ascii="宋体" w:hAnsi="宋体" w:eastAsia="宋体" w:cs="宋体"/>
                <w:sz w:val="16"/>
                <w:szCs w:val="18"/>
              </w:rPr>
              <w:t>3</w:t>
            </w:r>
          </w:p>
        </w:tc>
        <w:tc>
          <w:tcPr>
            <w:tcW w:w="1087" w:type="pct"/>
            <w:vAlign w:val="center"/>
          </w:tcPr>
          <w:p w14:paraId="499E13DE">
            <w:pPr>
              <w:jc w:val="center"/>
              <w:rPr>
                <w:rFonts w:hint="eastAsia" w:ascii="宋体" w:hAnsi="宋体" w:eastAsia="宋体" w:cs="宋体"/>
                <w:sz w:val="16"/>
                <w:szCs w:val="18"/>
              </w:rPr>
            </w:pPr>
          </w:p>
        </w:tc>
        <w:tc>
          <w:tcPr>
            <w:tcW w:w="984" w:type="pct"/>
          </w:tcPr>
          <w:p w14:paraId="39B45C23">
            <w:pPr>
              <w:jc w:val="center"/>
              <w:rPr>
                <w:rFonts w:hint="eastAsia" w:ascii="宋体" w:hAnsi="宋体" w:eastAsia="宋体" w:cs="宋体"/>
                <w:sz w:val="16"/>
                <w:szCs w:val="18"/>
              </w:rPr>
            </w:pPr>
          </w:p>
        </w:tc>
        <w:tc>
          <w:tcPr>
            <w:tcW w:w="933" w:type="pct"/>
          </w:tcPr>
          <w:p w14:paraId="657E6509">
            <w:pPr>
              <w:jc w:val="center"/>
              <w:rPr>
                <w:rFonts w:hint="eastAsia" w:ascii="宋体" w:hAnsi="宋体" w:eastAsia="宋体" w:cs="宋体"/>
                <w:sz w:val="16"/>
                <w:szCs w:val="18"/>
              </w:rPr>
            </w:pPr>
          </w:p>
        </w:tc>
        <w:tc>
          <w:tcPr>
            <w:tcW w:w="944" w:type="pct"/>
          </w:tcPr>
          <w:p w14:paraId="1635A79C">
            <w:pPr>
              <w:jc w:val="center"/>
              <w:rPr>
                <w:rFonts w:hint="eastAsia" w:ascii="宋体" w:hAnsi="宋体" w:eastAsia="宋体" w:cs="宋体"/>
                <w:sz w:val="16"/>
                <w:szCs w:val="18"/>
              </w:rPr>
            </w:pPr>
          </w:p>
        </w:tc>
        <w:tc>
          <w:tcPr>
            <w:tcW w:w="606" w:type="pct"/>
          </w:tcPr>
          <w:p w14:paraId="0A3B509A">
            <w:pPr>
              <w:jc w:val="center"/>
              <w:rPr>
                <w:rFonts w:hint="eastAsia" w:ascii="宋体" w:hAnsi="宋体" w:eastAsia="宋体" w:cs="宋体"/>
                <w:sz w:val="16"/>
                <w:szCs w:val="18"/>
              </w:rPr>
            </w:pPr>
          </w:p>
        </w:tc>
      </w:tr>
      <w:tr w14:paraId="010F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43" w:type="pct"/>
            <w:vAlign w:val="center"/>
          </w:tcPr>
          <w:p w14:paraId="499C9535">
            <w:pPr>
              <w:jc w:val="center"/>
              <w:rPr>
                <w:rFonts w:hint="eastAsia" w:ascii="宋体" w:hAnsi="宋体" w:eastAsia="宋体" w:cs="宋体"/>
                <w:sz w:val="16"/>
                <w:szCs w:val="18"/>
              </w:rPr>
            </w:pPr>
            <w:r>
              <w:rPr>
                <w:rFonts w:hint="eastAsia" w:ascii="宋体" w:hAnsi="宋体" w:eastAsia="宋体" w:cs="宋体"/>
                <w:sz w:val="16"/>
                <w:szCs w:val="18"/>
              </w:rPr>
              <w:t>…</w:t>
            </w:r>
          </w:p>
        </w:tc>
        <w:tc>
          <w:tcPr>
            <w:tcW w:w="1087" w:type="pct"/>
            <w:vAlign w:val="center"/>
          </w:tcPr>
          <w:p w14:paraId="6B58DBC9">
            <w:pPr>
              <w:jc w:val="center"/>
              <w:rPr>
                <w:rFonts w:hint="eastAsia" w:ascii="宋体" w:hAnsi="宋体" w:eastAsia="宋体" w:cs="宋体"/>
                <w:sz w:val="16"/>
                <w:szCs w:val="18"/>
              </w:rPr>
            </w:pPr>
          </w:p>
        </w:tc>
        <w:tc>
          <w:tcPr>
            <w:tcW w:w="984" w:type="pct"/>
          </w:tcPr>
          <w:p w14:paraId="4EE87F41">
            <w:pPr>
              <w:jc w:val="center"/>
              <w:rPr>
                <w:rFonts w:hint="eastAsia" w:ascii="宋体" w:hAnsi="宋体" w:eastAsia="宋体" w:cs="宋体"/>
                <w:sz w:val="16"/>
                <w:szCs w:val="18"/>
              </w:rPr>
            </w:pPr>
          </w:p>
        </w:tc>
        <w:tc>
          <w:tcPr>
            <w:tcW w:w="933" w:type="pct"/>
          </w:tcPr>
          <w:p w14:paraId="77945A35">
            <w:pPr>
              <w:jc w:val="center"/>
              <w:rPr>
                <w:rFonts w:hint="eastAsia" w:ascii="宋体" w:hAnsi="宋体" w:eastAsia="宋体" w:cs="宋体"/>
                <w:sz w:val="16"/>
                <w:szCs w:val="18"/>
              </w:rPr>
            </w:pPr>
          </w:p>
        </w:tc>
        <w:tc>
          <w:tcPr>
            <w:tcW w:w="944" w:type="pct"/>
          </w:tcPr>
          <w:p w14:paraId="50371CFF">
            <w:pPr>
              <w:jc w:val="center"/>
              <w:rPr>
                <w:rFonts w:hint="eastAsia" w:ascii="宋体" w:hAnsi="宋体" w:eastAsia="宋体" w:cs="宋体"/>
                <w:sz w:val="16"/>
                <w:szCs w:val="18"/>
              </w:rPr>
            </w:pPr>
          </w:p>
        </w:tc>
        <w:tc>
          <w:tcPr>
            <w:tcW w:w="606" w:type="pct"/>
          </w:tcPr>
          <w:p w14:paraId="576B0570">
            <w:pPr>
              <w:jc w:val="center"/>
              <w:rPr>
                <w:rFonts w:hint="eastAsia" w:ascii="宋体" w:hAnsi="宋体" w:eastAsia="宋体" w:cs="宋体"/>
                <w:sz w:val="16"/>
                <w:szCs w:val="18"/>
              </w:rPr>
            </w:pPr>
          </w:p>
        </w:tc>
      </w:tr>
    </w:tbl>
    <w:p w14:paraId="3D220A95">
      <w:pPr>
        <w:tabs>
          <w:tab w:val="left" w:pos="900"/>
        </w:tabs>
        <w:spacing w:line="360" w:lineRule="auto"/>
        <w:rPr>
          <w:rFonts w:hint="eastAsia" w:ascii="宋体" w:hAnsi="宋体" w:eastAsia="宋体" w:cs="宋体"/>
          <w:sz w:val="24"/>
        </w:rPr>
      </w:pPr>
      <w:r>
        <w:rPr>
          <w:rFonts w:hint="eastAsia" w:ascii="宋体" w:hAnsi="宋体" w:eastAsia="宋体" w:cs="宋体"/>
          <w:b/>
          <w:kern w:val="0"/>
          <w:szCs w:val="21"/>
        </w:rPr>
        <w:t>注：后附满足投标人须知前附表规定及评审办法评分标准的业绩证明资料复印件。</w:t>
      </w:r>
    </w:p>
    <w:p w14:paraId="021A109D">
      <w:pPr>
        <w:rPr>
          <w:rFonts w:hint="eastAsia" w:ascii="宋体" w:hAnsi="宋体" w:eastAsia="宋体" w:cs="宋体"/>
          <w:b/>
          <w:bCs/>
          <w:kern w:val="0"/>
          <w:sz w:val="28"/>
          <w:szCs w:val="28"/>
        </w:rPr>
      </w:pPr>
      <w:bookmarkStart w:id="179" w:name="_Toc9163"/>
      <w:bookmarkStart w:id="180" w:name="_Toc21861"/>
      <w:bookmarkStart w:id="181" w:name="_Toc12619"/>
      <w:bookmarkStart w:id="182" w:name="_Toc4302"/>
    </w:p>
    <w:p w14:paraId="5A9D7CBC">
      <w:pPr>
        <w:pStyle w:val="8"/>
        <w:rPr>
          <w:rFonts w:hint="eastAsia" w:ascii="宋体" w:hAnsi="宋体" w:eastAsia="宋体" w:cs="宋体"/>
        </w:rPr>
      </w:pPr>
    </w:p>
    <w:p w14:paraId="6107B45E">
      <w:pPr>
        <w:pStyle w:val="4"/>
        <w:spacing w:before="0" w:after="0"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九</w:t>
      </w:r>
      <w:r>
        <w:rPr>
          <w:rFonts w:hint="eastAsia" w:ascii="宋体" w:hAnsi="宋体" w:eastAsia="宋体" w:cs="宋体"/>
          <w:sz w:val="28"/>
          <w:szCs w:val="28"/>
        </w:rPr>
        <w:t>、</w:t>
      </w:r>
      <w:bookmarkEnd w:id="179"/>
      <w:bookmarkEnd w:id="180"/>
      <w:bookmarkEnd w:id="181"/>
      <w:bookmarkEnd w:id="182"/>
      <w:r>
        <w:rPr>
          <w:rFonts w:hint="eastAsia" w:ascii="宋体" w:hAnsi="宋体" w:cs="宋体"/>
          <w:sz w:val="28"/>
          <w:szCs w:val="28"/>
          <w:lang w:eastAsia="zh-CN"/>
        </w:rPr>
        <w:t>响应方案</w:t>
      </w:r>
    </w:p>
    <w:p w14:paraId="63E7B201">
      <w:pPr>
        <w:tabs>
          <w:tab w:val="left" w:pos="900"/>
        </w:tabs>
        <w:spacing w:line="360" w:lineRule="auto"/>
        <w:ind w:firstLine="480" w:firstLineChars="200"/>
        <w:rPr>
          <w:rFonts w:hint="eastAsia" w:ascii="宋体" w:hAnsi="宋体" w:eastAsia="宋体" w:cs="宋体"/>
          <w:sz w:val="24"/>
        </w:rPr>
      </w:pPr>
    </w:p>
    <w:bookmarkEnd w:id="170"/>
    <w:bookmarkEnd w:id="171"/>
    <w:bookmarkEnd w:id="172"/>
    <w:p w14:paraId="77775550">
      <w:pPr>
        <w:rPr>
          <w:rFonts w:hint="eastAsia" w:ascii="宋体" w:hAnsi="宋体" w:eastAsia="宋体" w:cs="宋体"/>
          <w:sz w:val="28"/>
          <w:szCs w:val="28"/>
        </w:rPr>
      </w:pPr>
    </w:p>
    <w:p w14:paraId="55AB938F">
      <w:pPr>
        <w:rPr>
          <w:rFonts w:hint="eastAsia" w:ascii="宋体" w:hAnsi="宋体" w:eastAsia="宋体" w:cs="宋体"/>
          <w:sz w:val="28"/>
          <w:szCs w:val="28"/>
        </w:rPr>
      </w:pPr>
    </w:p>
    <w:p w14:paraId="104967BF">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十</w:t>
      </w:r>
      <w:r>
        <w:rPr>
          <w:rFonts w:hint="eastAsia" w:ascii="宋体" w:hAnsi="宋体" w:eastAsia="宋体" w:cs="宋体"/>
          <w:sz w:val="28"/>
          <w:szCs w:val="28"/>
        </w:rPr>
        <w:t>、招标文件要求或投标人认为需要提供的其他商务技术材料</w:t>
      </w:r>
    </w:p>
    <w:p w14:paraId="2A0851B9">
      <w:pPr>
        <w:rPr>
          <w:rFonts w:hint="eastAsia" w:ascii="宋体" w:hAnsi="宋体" w:eastAsia="宋体" w:cs="宋体"/>
          <w:sz w:val="28"/>
          <w:szCs w:val="28"/>
        </w:rPr>
      </w:pPr>
      <w:r>
        <w:rPr>
          <w:rFonts w:hint="eastAsia" w:ascii="宋体" w:hAnsi="宋体" w:eastAsia="宋体" w:cs="宋体"/>
          <w:sz w:val="28"/>
          <w:szCs w:val="28"/>
        </w:rPr>
        <w:br w:type="page"/>
      </w:r>
    </w:p>
    <w:p w14:paraId="7C51A252">
      <w:pPr>
        <w:pStyle w:val="4"/>
        <w:spacing w:before="0" w:after="0" w:line="360" w:lineRule="auto"/>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、政策性要求（如不涉及可不提供）</w:t>
      </w:r>
    </w:p>
    <w:p w14:paraId="4E4F8DE9">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color w:val="000000"/>
          <w:sz w:val="24"/>
          <w:szCs w:val="20"/>
          <w:lang w:val="en-US" w:eastAsia="zh-CN"/>
        </w:rPr>
      </w:pPr>
      <w:r>
        <w:rPr>
          <w:rFonts w:hint="eastAsia" w:ascii="宋体" w:hAnsi="宋体" w:eastAsia="宋体" w:cs="宋体"/>
          <w:b/>
          <w:bCs/>
          <w:color w:val="000000"/>
          <w:sz w:val="24"/>
          <w:szCs w:val="20"/>
          <w:lang w:val="en-US" w:eastAsia="zh-CN"/>
        </w:rPr>
        <w:t>1.</w:t>
      </w:r>
      <w:r>
        <w:rPr>
          <w:rFonts w:hint="eastAsia" w:ascii="宋体" w:hAnsi="宋体" w:eastAsia="宋体" w:cs="宋体"/>
          <w:b/>
          <w:bCs/>
          <w:color w:val="000000"/>
          <w:sz w:val="24"/>
          <w:szCs w:val="20"/>
        </w:rPr>
        <w:t>本国产品标准证明文件</w:t>
      </w:r>
      <w:r>
        <w:rPr>
          <w:rFonts w:hint="eastAsia" w:ascii="宋体" w:hAnsi="宋体" w:eastAsia="宋体" w:cs="宋体"/>
          <w:b/>
          <w:bCs/>
          <w:color w:val="000000"/>
          <w:sz w:val="24"/>
          <w:szCs w:val="20"/>
          <w:lang w:val="en-US" w:eastAsia="zh-CN"/>
        </w:rPr>
        <w:t>格式</w:t>
      </w:r>
    </w:p>
    <w:p w14:paraId="42E4F32A">
      <w:pPr>
        <w:pStyle w:val="18"/>
        <w:shd w:val="clear" w:color="auto" w:fill="FFFFFF"/>
        <w:spacing w:before="30" w:beforeAutospacing="0" w:after="30" w:afterAutospacing="0"/>
        <w:jc w:val="center"/>
        <w:rPr>
          <w:rFonts w:hint="eastAsia" w:ascii="宋体" w:hAnsi="宋体" w:eastAsia="宋体" w:cs="宋体"/>
          <w:color w:val="333333"/>
        </w:rPr>
      </w:pPr>
      <w:r>
        <w:rPr>
          <w:rStyle w:val="24"/>
          <w:rFonts w:hint="eastAsia" w:ascii="宋体" w:hAnsi="宋体" w:eastAsia="宋体" w:cs="宋体"/>
          <w:color w:val="333333"/>
          <w:sz w:val="24"/>
          <w:szCs w:val="24"/>
          <w:shd w:val="clear" w:color="auto" w:fill="FFFFFF"/>
        </w:rPr>
        <w:t>关于符合本国产品标准的声明函</w:t>
      </w:r>
    </w:p>
    <w:p w14:paraId="72FF0689">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r>
        <w:rPr>
          <w:rFonts w:hint="eastAsia" w:ascii="宋体" w:hAnsi="宋体" w:eastAsia="宋体" w:cs="宋体"/>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B1CC7C2">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r>
        <w:rPr>
          <w:rFonts w:hint="eastAsia" w:ascii="宋体" w:hAnsi="宋体" w:eastAsia="宋体" w:cs="宋体"/>
          <w:color w:val="333333"/>
          <w:shd w:val="clear" w:color="auto" w:fill="FFFFFF"/>
        </w:rPr>
        <w:t>1.</w:t>
      </w:r>
      <w:r>
        <w:rPr>
          <w:rStyle w:val="26"/>
          <w:rFonts w:hint="eastAsia" w:ascii="宋体" w:hAnsi="宋体" w:eastAsia="宋体" w:cs="宋体"/>
          <w:color w:val="333333"/>
          <w:u w:val="single"/>
          <w:shd w:val="clear" w:color="auto" w:fill="FFFFFF"/>
        </w:rPr>
        <w:t>（产品名称1）</w:t>
      </w:r>
      <w:r>
        <w:rPr>
          <w:rStyle w:val="26"/>
          <w:rFonts w:hint="eastAsia" w:ascii="宋体" w:hAnsi="宋体" w:eastAsia="宋体" w:cs="宋体"/>
          <w:color w:val="333333"/>
          <w:shd w:val="clear" w:color="auto" w:fill="FFFFFF"/>
          <w:vertAlign w:val="superscript"/>
        </w:rPr>
        <w:t>1</w:t>
      </w:r>
      <w:r>
        <w:rPr>
          <w:rFonts w:hint="eastAsia" w:ascii="宋体" w:hAnsi="宋体" w:eastAsia="宋体" w:cs="宋体"/>
          <w:color w:val="333333"/>
          <w:shd w:val="clear" w:color="auto" w:fill="FFFFFF"/>
        </w:rPr>
        <w:t>，生产厂为</w:t>
      </w:r>
      <w:r>
        <w:rPr>
          <w:rStyle w:val="26"/>
          <w:rFonts w:hint="eastAsia" w:ascii="宋体" w:hAnsi="宋体" w:eastAsia="宋体" w:cs="宋体"/>
          <w:color w:val="333333"/>
          <w:u w:val="single"/>
          <w:shd w:val="clear" w:color="auto" w:fill="FFFFFF"/>
        </w:rPr>
        <w:t>（厂名）</w:t>
      </w:r>
      <w:r>
        <w:rPr>
          <w:rStyle w:val="26"/>
          <w:rFonts w:hint="eastAsia" w:ascii="宋体" w:hAnsi="宋体" w:eastAsia="宋体" w:cs="宋体"/>
          <w:color w:val="333333"/>
          <w:shd w:val="clear" w:color="auto" w:fill="FFFFFF"/>
          <w:vertAlign w:val="superscript"/>
        </w:rPr>
        <w:t>2</w:t>
      </w:r>
      <w:r>
        <w:rPr>
          <w:rFonts w:hint="eastAsia" w:ascii="宋体" w:hAnsi="宋体" w:eastAsia="宋体" w:cs="宋体"/>
          <w:color w:val="333333"/>
          <w:shd w:val="clear" w:color="auto" w:fill="FFFFFF"/>
        </w:rPr>
        <w:t>，厂址为</w:t>
      </w:r>
      <w:r>
        <w:rPr>
          <w:rStyle w:val="26"/>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26"/>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的中国境内生产的组件成本占比≥</w:t>
      </w:r>
      <w:r>
        <w:rPr>
          <w:rStyle w:val="26"/>
          <w:rFonts w:hint="eastAsia" w:ascii="宋体" w:hAnsi="宋体" w:eastAsia="宋体" w:cs="宋体"/>
          <w:color w:val="333333"/>
          <w:u w:val="single"/>
          <w:shd w:val="clear" w:color="auto" w:fill="FFFFFF"/>
        </w:rPr>
        <w:t>（规定比例）</w:t>
      </w:r>
      <w:r>
        <w:rPr>
          <w:rStyle w:val="26"/>
          <w:rFonts w:hint="eastAsia" w:ascii="宋体" w:hAnsi="宋体" w:eastAsia="宋体" w:cs="宋体"/>
          <w:color w:val="333333"/>
          <w:shd w:val="clear" w:color="auto" w:fill="FFFFFF"/>
          <w:vertAlign w:val="superscript"/>
        </w:rPr>
        <w:t>3</w:t>
      </w:r>
      <w:r>
        <w:rPr>
          <w:rFonts w:hint="eastAsia" w:ascii="宋体" w:hAnsi="宋体" w:eastAsia="宋体" w:cs="宋体"/>
          <w:color w:val="333333"/>
          <w:shd w:val="clear" w:color="auto" w:fill="FFFFFF"/>
        </w:rPr>
        <w:t>。</w:t>
      </w:r>
      <w:r>
        <w:rPr>
          <w:rStyle w:val="26"/>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26"/>
          <w:rFonts w:hint="eastAsia" w:ascii="宋体" w:hAnsi="宋体" w:eastAsia="宋体" w:cs="宋体"/>
          <w:color w:val="333333"/>
          <w:u w:val="single"/>
          <w:shd w:val="clear" w:color="auto" w:fill="FFFFFF"/>
        </w:rPr>
        <w:t>（关键组件）</w:t>
      </w:r>
      <w:r>
        <w:rPr>
          <w:rStyle w:val="26"/>
          <w:rFonts w:hint="eastAsia" w:ascii="宋体" w:hAnsi="宋体" w:eastAsia="宋体" w:cs="宋体"/>
          <w:color w:val="333333"/>
          <w:shd w:val="clear" w:color="auto" w:fill="FFFFFF"/>
          <w:vertAlign w:val="superscript"/>
        </w:rPr>
        <w:t>4</w:t>
      </w:r>
      <w:r>
        <w:rPr>
          <w:rFonts w:hint="eastAsia" w:ascii="宋体" w:hAnsi="宋体" w:eastAsia="宋体" w:cs="宋体"/>
          <w:color w:val="333333"/>
          <w:shd w:val="clear" w:color="auto" w:fill="FFFFFF"/>
        </w:rPr>
        <w:t>在中国境内生产。</w:t>
      </w:r>
      <w:r>
        <w:rPr>
          <w:rStyle w:val="26"/>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26"/>
          <w:rFonts w:hint="eastAsia" w:ascii="宋体" w:hAnsi="宋体" w:eastAsia="宋体" w:cs="宋体"/>
          <w:color w:val="333333"/>
          <w:u w:val="single"/>
          <w:shd w:val="clear" w:color="auto" w:fill="FFFFFF"/>
        </w:rPr>
        <w:t>（关键工序）</w:t>
      </w:r>
      <w:r>
        <w:rPr>
          <w:rStyle w:val="26"/>
          <w:rFonts w:hint="eastAsia" w:ascii="宋体" w:hAnsi="宋体" w:eastAsia="宋体" w:cs="宋体"/>
          <w:color w:val="333333"/>
          <w:shd w:val="clear" w:color="auto" w:fill="FFFFFF"/>
          <w:vertAlign w:val="superscript"/>
        </w:rPr>
        <w:t>5</w:t>
      </w:r>
      <w:r>
        <w:rPr>
          <w:rFonts w:hint="eastAsia" w:ascii="宋体" w:hAnsi="宋体" w:eastAsia="宋体" w:cs="宋体"/>
          <w:color w:val="333333"/>
          <w:shd w:val="clear" w:color="auto" w:fill="FFFFFF"/>
        </w:rPr>
        <w:t>在中国境内完成。</w:t>
      </w:r>
    </w:p>
    <w:p w14:paraId="31C1DF39">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r>
        <w:rPr>
          <w:rFonts w:hint="eastAsia" w:ascii="宋体" w:hAnsi="宋体" w:eastAsia="宋体" w:cs="宋体"/>
          <w:color w:val="333333"/>
          <w:shd w:val="clear" w:color="auto" w:fill="FFFFFF"/>
        </w:rPr>
        <w:t>2.</w:t>
      </w:r>
      <w:r>
        <w:rPr>
          <w:rStyle w:val="26"/>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，生产厂为</w:t>
      </w:r>
      <w:r>
        <w:rPr>
          <w:rStyle w:val="26"/>
          <w:rFonts w:hint="eastAsia" w:ascii="宋体" w:hAnsi="宋体" w:eastAsia="宋体" w:cs="宋体"/>
          <w:color w:val="333333"/>
          <w:u w:val="single"/>
          <w:shd w:val="clear" w:color="auto" w:fill="FFFFFF"/>
        </w:rPr>
        <w:t>（厂名）</w:t>
      </w:r>
      <w:r>
        <w:rPr>
          <w:rFonts w:hint="eastAsia" w:ascii="宋体" w:hAnsi="宋体" w:eastAsia="宋体" w:cs="宋体"/>
          <w:color w:val="333333"/>
          <w:shd w:val="clear" w:color="auto" w:fill="FFFFFF"/>
        </w:rPr>
        <w:t>，厂址为</w:t>
      </w:r>
      <w:r>
        <w:rPr>
          <w:rStyle w:val="26"/>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26"/>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的中国境内生产的组件成本占比≥</w:t>
      </w:r>
      <w:r>
        <w:rPr>
          <w:rStyle w:val="26"/>
          <w:rFonts w:hint="eastAsia" w:ascii="宋体" w:hAnsi="宋体" w:eastAsia="宋体" w:cs="宋体"/>
          <w:color w:val="333333"/>
          <w:u w:val="single"/>
          <w:shd w:val="clear" w:color="auto" w:fill="FFFFFF"/>
        </w:rPr>
        <w:t>（规定比例）</w:t>
      </w:r>
      <w:r>
        <w:rPr>
          <w:rFonts w:hint="eastAsia" w:ascii="宋体" w:hAnsi="宋体" w:eastAsia="宋体" w:cs="宋体"/>
          <w:color w:val="333333"/>
          <w:shd w:val="clear" w:color="auto" w:fill="FFFFFF"/>
        </w:rPr>
        <w:t>。</w:t>
      </w:r>
      <w:r>
        <w:rPr>
          <w:rStyle w:val="26"/>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26"/>
          <w:rFonts w:hint="eastAsia" w:ascii="宋体" w:hAnsi="宋体" w:eastAsia="宋体" w:cs="宋体"/>
          <w:color w:val="333333"/>
          <w:u w:val="single"/>
          <w:shd w:val="clear" w:color="auto" w:fill="FFFFFF"/>
        </w:rPr>
        <w:t>（关键组件）</w:t>
      </w:r>
      <w:r>
        <w:rPr>
          <w:rFonts w:hint="eastAsia" w:ascii="宋体" w:hAnsi="宋体" w:eastAsia="宋体" w:cs="宋体"/>
          <w:color w:val="333333"/>
          <w:shd w:val="clear" w:color="auto" w:fill="FFFFFF"/>
        </w:rPr>
        <w:t>在中国境内生产。</w:t>
      </w:r>
      <w:r>
        <w:rPr>
          <w:rStyle w:val="26"/>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26"/>
          <w:rFonts w:hint="eastAsia" w:ascii="宋体" w:hAnsi="宋体" w:eastAsia="宋体" w:cs="宋体"/>
          <w:color w:val="333333"/>
          <w:u w:val="single"/>
          <w:shd w:val="clear" w:color="auto" w:fill="FFFFFF"/>
        </w:rPr>
        <w:t>（关键工序）</w:t>
      </w:r>
      <w:r>
        <w:rPr>
          <w:rFonts w:hint="eastAsia" w:ascii="宋体" w:hAnsi="宋体" w:eastAsia="宋体" w:cs="宋体"/>
          <w:color w:val="333333"/>
          <w:shd w:val="clear" w:color="auto" w:fill="FFFFFF"/>
        </w:rPr>
        <w:t>在中国境内完成。</w:t>
      </w:r>
    </w:p>
    <w:p w14:paraId="58C842C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r>
        <w:rPr>
          <w:rFonts w:hint="eastAsia" w:ascii="宋体" w:hAnsi="宋体" w:eastAsia="宋体" w:cs="宋体"/>
          <w:color w:val="333333"/>
          <w:shd w:val="clear" w:color="auto" w:fill="FFFFFF"/>
        </w:rPr>
        <w:t>……</w:t>
      </w:r>
    </w:p>
    <w:p w14:paraId="5AEAF91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r>
        <w:rPr>
          <w:rFonts w:hint="eastAsia" w:ascii="宋体" w:hAnsi="宋体" w:eastAsia="宋体" w:cs="宋体"/>
          <w:color w:val="333333"/>
          <w:shd w:val="clear" w:color="auto" w:fill="FFFFFF"/>
        </w:rPr>
        <w:t>本公司（单位）对上述声明内容的真实性负责。如有虚假，愿承担相应法律责任。</w:t>
      </w:r>
    </w:p>
    <w:p w14:paraId="3717DE1D">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rPr>
      </w:pPr>
    </w:p>
    <w:p w14:paraId="5192EC7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shd w:val="clear" w:color="auto" w:fill="FFFFFF"/>
        </w:rPr>
      </w:pPr>
    </w:p>
    <w:p w14:paraId="5CA5982F">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3A316B83">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333333"/>
        </w:rPr>
      </w:pPr>
      <w:r>
        <w:rPr>
          <w:rFonts w:hint="eastAsia" w:ascii="宋体" w:hAnsi="宋体" w:eastAsia="宋体" w:cs="宋体"/>
          <w:color w:val="333333"/>
          <w:shd w:val="clear" w:color="auto" w:fill="FFFFFF"/>
        </w:rPr>
        <w:t>日期：　     年　  月　  日         </w:t>
      </w:r>
    </w:p>
    <w:p w14:paraId="06B021C7">
      <w:pPr>
        <w:pStyle w:val="18"/>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409CFAD9">
      <w:pPr>
        <w:pStyle w:val="18"/>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3B2017E7">
      <w:pPr>
        <w:spacing w:line="360" w:lineRule="auto"/>
        <w:ind w:left="424" w:leftChars="1" w:hanging="422" w:hangingChars="201"/>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注：1.产品如有型号，请在“产品名称”栏一并填写。</w:t>
      </w:r>
    </w:p>
    <w:p w14:paraId="23B2F441">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2.生产厂名与厂址应与生产厂营业执照载明的相关信息保持一致。</w:t>
      </w:r>
    </w:p>
    <w:p w14:paraId="67E2D9B8">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3.该产品的中国境内生产的组件成本占比相关要求实施前，“规定比例”栏可不填。</w:t>
      </w:r>
    </w:p>
    <w:p w14:paraId="23C6E3E9">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4.该产品的关键组件要求实施前，“关键组件”栏可不填。</w:t>
      </w:r>
    </w:p>
    <w:p w14:paraId="34D80FD4">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5.该产品的关键工序要求实施前，“关键工序”栏可不填。</w:t>
      </w:r>
    </w:p>
    <w:p w14:paraId="574A093C">
      <w:pPr>
        <w:widowControl/>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br w:type="page"/>
      </w:r>
    </w:p>
    <w:p w14:paraId="54CADD74">
      <w:pPr>
        <w:pStyle w:val="18"/>
        <w:shd w:val="clear" w:color="auto" w:fill="FFFFFF"/>
        <w:spacing w:before="30" w:beforeAutospacing="0" w:after="30" w:afterAutospacing="0"/>
        <w:jc w:val="center"/>
        <w:rPr>
          <w:rStyle w:val="24"/>
          <w:rFonts w:hint="eastAsia" w:ascii="宋体" w:hAnsi="宋体" w:eastAsia="宋体" w:cs="宋体"/>
          <w:sz w:val="24"/>
          <w:szCs w:val="24"/>
        </w:rPr>
      </w:pPr>
      <w:r>
        <w:rPr>
          <w:rStyle w:val="24"/>
          <w:rFonts w:hint="eastAsia" w:ascii="宋体" w:hAnsi="宋体" w:eastAsia="宋体" w:cs="宋体"/>
          <w:sz w:val="24"/>
          <w:szCs w:val="24"/>
        </w:rPr>
        <w:t>产品成本占比承诺函</w:t>
      </w:r>
    </w:p>
    <w:p w14:paraId="60405098">
      <w:pPr>
        <w:pStyle w:val="18"/>
        <w:shd w:val="clear" w:color="auto" w:fill="FFFFFF"/>
        <w:spacing w:before="30" w:beforeAutospacing="0" w:after="30" w:afterAutospacing="0"/>
        <w:rPr>
          <w:rStyle w:val="24"/>
          <w:rFonts w:hint="eastAsia" w:ascii="宋体" w:hAnsi="宋体" w:eastAsia="宋体" w:cs="宋体"/>
          <w:sz w:val="36"/>
          <w:szCs w:val="36"/>
        </w:rPr>
      </w:pPr>
    </w:p>
    <w:p w14:paraId="1B6ADDDA">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036321E9">
      <w:pPr>
        <w:widowControl/>
        <w:spacing w:line="360" w:lineRule="auto"/>
        <w:ind w:firstLine="480" w:firstLineChars="200"/>
        <w:jc w:val="left"/>
        <w:rPr>
          <w:rFonts w:hint="eastAsia" w:ascii="宋体" w:hAnsi="宋体" w:eastAsia="宋体" w:cs="宋体"/>
          <w:spacing w:val="6"/>
          <w:sz w:val="24"/>
        </w:rPr>
      </w:pPr>
      <w:r>
        <w:rPr>
          <w:rFonts w:hint="eastAsia" w:ascii="宋体" w:hAnsi="宋体" w:eastAsia="宋体" w:cs="宋体"/>
          <w:color w:val="333333"/>
          <w:sz w:val="24"/>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rPr>
        <w:t>______%。</w:t>
      </w:r>
    </w:p>
    <w:p w14:paraId="47476CEA">
      <w:pPr>
        <w:widowControl/>
        <w:spacing w:line="360" w:lineRule="auto"/>
        <w:ind w:firstLine="480" w:firstLineChars="200"/>
        <w:jc w:val="left"/>
        <w:rPr>
          <w:rFonts w:hint="eastAsia" w:ascii="宋体" w:hAnsi="宋体" w:eastAsia="宋体" w:cs="宋体"/>
          <w:color w:val="000000"/>
          <w:sz w:val="24"/>
        </w:rPr>
      </w:pPr>
    </w:p>
    <w:p w14:paraId="29FD3B0F">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320" w:firstLineChars="1800"/>
        <w:jc w:val="both"/>
        <w:textAlignment w:val="auto"/>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公司（单位）名称（盖章）：</w:t>
      </w:r>
    </w:p>
    <w:p w14:paraId="6820F32D">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320" w:firstLineChars="1800"/>
        <w:jc w:val="both"/>
        <w:textAlignment w:val="auto"/>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日期：　     年　  月　  日</w:t>
      </w:r>
    </w:p>
    <w:p w14:paraId="2E94C682">
      <w:pPr>
        <w:widowControl/>
        <w:spacing w:line="360" w:lineRule="auto"/>
        <w:jc w:val="left"/>
        <w:rPr>
          <w:rFonts w:hint="eastAsia" w:ascii="宋体" w:hAnsi="宋体" w:eastAsia="宋体" w:cs="宋体"/>
          <w:color w:val="000000"/>
          <w:sz w:val="24"/>
        </w:rPr>
      </w:pPr>
    </w:p>
    <w:p w14:paraId="2FBD77E7">
      <w:pPr>
        <w:widowControl/>
        <w:spacing w:line="360" w:lineRule="auto"/>
        <w:jc w:val="left"/>
        <w:rPr>
          <w:rFonts w:hint="eastAsia" w:ascii="宋体" w:hAnsi="宋体" w:eastAsia="宋体" w:cs="宋体"/>
          <w:color w:val="000000"/>
          <w:sz w:val="24"/>
        </w:rPr>
      </w:pPr>
    </w:p>
    <w:p w14:paraId="43ABDDA4">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注：</w:t>
      </w:r>
    </w:p>
    <w:p w14:paraId="36243F26">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 本承诺函应按包分别提供。</w:t>
      </w:r>
    </w:p>
    <w:p w14:paraId="105037AA">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 单一产品采购无须提供本承诺函；供应商提供产品全部为本国产品，且提供了《关于符合本国产品标准的声明函》时，无须提供本承诺函。</w:t>
      </w:r>
    </w:p>
    <w:p w14:paraId="182CF5CA">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rPr>
        <w:t>价格评审优惠</w:t>
      </w:r>
      <w:r>
        <w:rPr>
          <w:rFonts w:hint="eastAsia" w:ascii="宋体" w:hAnsi="宋体" w:eastAsia="宋体" w:cs="宋体"/>
          <w:color w:val="333333"/>
          <w:szCs w:val="21"/>
          <w:shd w:val="clear" w:color="auto" w:fill="FFFFFF"/>
        </w:rPr>
        <w:t>。</w:t>
      </w:r>
    </w:p>
    <w:p w14:paraId="64F29288">
      <w:pPr>
        <w:tabs>
          <w:tab w:val="left" w:pos="1680"/>
        </w:tabs>
        <w:snapToGrid w:val="0"/>
        <w:spacing w:line="440" w:lineRule="exact"/>
        <w:rPr>
          <w:rFonts w:hint="eastAsia" w:ascii="宋体" w:hAnsi="宋体" w:eastAsia="宋体" w:cs="宋体"/>
          <w:b/>
          <w:bCs w:val="0"/>
          <w:sz w:val="24"/>
        </w:rPr>
      </w:pPr>
    </w:p>
    <w:p w14:paraId="7CDCFA13">
      <w:pPr>
        <w:tabs>
          <w:tab w:val="left" w:pos="1680"/>
        </w:tabs>
        <w:snapToGrid w:val="0"/>
        <w:spacing w:line="440" w:lineRule="exact"/>
        <w:rPr>
          <w:rFonts w:hint="eastAsia" w:ascii="宋体" w:hAnsi="宋体" w:eastAsia="宋体" w:cs="宋体"/>
          <w:b/>
          <w:bCs w:val="0"/>
          <w:sz w:val="24"/>
        </w:rPr>
      </w:pPr>
    </w:p>
    <w:p w14:paraId="57F0ED94">
      <w:pPr>
        <w:widowControl/>
        <w:spacing w:line="360" w:lineRule="auto"/>
        <w:jc w:val="left"/>
        <w:rPr>
          <w:rFonts w:hint="eastAsia" w:ascii="宋体" w:hAnsi="宋体" w:eastAsia="宋体" w:cs="宋体"/>
          <w:b/>
          <w:bCs/>
          <w:color w:val="333333"/>
          <w:sz w:val="24"/>
          <w:shd w:val="clear" w:color="auto" w:fill="FFFFFF"/>
        </w:rPr>
      </w:pPr>
      <w:r>
        <w:rPr>
          <w:rFonts w:hint="eastAsia" w:ascii="宋体" w:hAnsi="宋体" w:eastAsia="宋体" w:cs="宋体"/>
          <w:b/>
          <w:bCs/>
          <w:color w:val="333333"/>
          <w:sz w:val="24"/>
          <w:shd w:val="clear" w:color="auto" w:fill="FFFFFF"/>
        </w:rPr>
        <w:t>中国境内生产的组件成本核算基本规则</w:t>
      </w:r>
    </w:p>
    <w:p w14:paraId="678A3974">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24C870D">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一、产品的一级组件是指直接组成产品的组件。产品的二级组件是指直接组成产品一级组件的组件。一级组件不可分解的，视同二级组件。</w:t>
      </w:r>
    </w:p>
    <w:p w14:paraId="2F93AD9A">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二、二级组件在中国境内生产的，其全部成本计入中国境内生产的组件成本；二级组件不在中国境内生产的，其成本不计入中国境内生产的组件成本。</w:t>
      </w:r>
    </w:p>
    <w:p w14:paraId="6289F2E6">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三、产品总成本和组件成本以相关会计核算数据、采购合同、进货记录等为基础进行计算。</w:t>
      </w:r>
    </w:p>
    <w:p w14:paraId="26265A96">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四、需要对成本核算规则予以进一步明确的其他有关事项，由财政部会同有关部门另行规定。</w:t>
      </w:r>
    </w:p>
    <w:p w14:paraId="5F89F981">
      <w:pPr>
        <w:rPr>
          <w:rFonts w:hint="eastAsia" w:ascii="宋体" w:hAnsi="宋体" w:eastAsia="宋体" w:cs="宋体"/>
          <w:b/>
          <w:bCs w:val="0"/>
          <w:sz w:val="24"/>
        </w:rPr>
      </w:pPr>
      <w:r>
        <w:rPr>
          <w:rFonts w:hint="eastAsia" w:ascii="宋体" w:hAnsi="宋体" w:eastAsia="宋体" w:cs="宋体"/>
          <w:b/>
          <w:bCs w:val="0"/>
          <w:sz w:val="24"/>
        </w:rPr>
        <w:br w:type="page"/>
      </w:r>
    </w:p>
    <w:p w14:paraId="5F34800B">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val="0"/>
          <w:sz w:val="24"/>
        </w:rPr>
      </w:pPr>
      <w:r>
        <w:rPr>
          <w:rFonts w:hint="eastAsia" w:ascii="宋体" w:hAnsi="宋体" w:eastAsia="宋体" w:cs="宋体"/>
          <w:b/>
          <w:bCs w:val="0"/>
          <w:sz w:val="24"/>
          <w:lang w:val="en-US" w:eastAsia="zh-CN"/>
        </w:rPr>
        <w:t>2.</w:t>
      </w:r>
      <w:r>
        <w:rPr>
          <w:rFonts w:hint="eastAsia" w:ascii="宋体" w:hAnsi="宋体" w:eastAsia="宋体" w:cs="宋体"/>
          <w:b/>
          <w:bCs w:val="0"/>
          <w:sz w:val="24"/>
        </w:rPr>
        <w:t>政府强制采购产品明细表格式</w:t>
      </w:r>
    </w:p>
    <w:p w14:paraId="50F9306F">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政府强制采购产品明细表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417"/>
        <w:gridCol w:w="1700"/>
        <w:gridCol w:w="2491"/>
        <w:gridCol w:w="2626"/>
      </w:tblGrid>
      <w:tr w14:paraId="11BC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5E551AEB">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E203F68">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211EAB8E">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9690E64">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节能产品认证证书号</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D3595E9">
            <w:pPr>
              <w:widowControl/>
              <w:tabs>
                <w:tab w:val="left" w:pos="0"/>
              </w:tabs>
              <w:snapToGrid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认证证书有效截止日期</w:t>
            </w:r>
          </w:p>
        </w:tc>
      </w:tr>
      <w:tr w14:paraId="33C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4FA89D39">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29EDFB">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6FE88F1A">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331743A">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81CA61E">
            <w:pPr>
              <w:widowControl/>
              <w:tabs>
                <w:tab w:val="left" w:pos="0"/>
              </w:tabs>
              <w:snapToGrid w:val="0"/>
              <w:spacing w:line="500" w:lineRule="exact"/>
              <w:jc w:val="center"/>
              <w:rPr>
                <w:rFonts w:hint="eastAsia" w:ascii="宋体" w:hAnsi="宋体" w:eastAsia="宋体" w:cs="宋体"/>
                <w:sz w:val="24"/>
                <w:szCs w:val="24"/>
                <w:highlight w:val="none"/>
              </w:rPr>
            </w:pPr>
          </w:p>
        </w:tc>
      </w:tr>
      <w:tr w14:paraId="0CD1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78DC0D9C">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4963AA53">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5241C452">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15A45779">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7FBEF05">
            <w:pPr>
              <w:widowControl/>
              <w:tabs>
                <w:tab w:val="left" w:pos="0"/>
              </w:tabs>
              <w:snapToGrid w:val="0"/>
              <w:spacing w:line="500" w:lineRule="exact"/>
              <w:jc w:val="center"/>
              <w:rPr>
                <w:rFonts w:hint="eastAsia" w:ascii="宋体" w:hAnsi="宋体" w:eastAsia="宋体" w:cs="宋体"/>
                <w:sz w:val="24"/>
                <w:szCs w:val="24"/>
                <w:highlight w:val="none"/>
              </w:rPr>
            </w:pPr>
          </w:p>
        </w:tc>
      </w:tr>
      <w:tr w14:paraId="0A3D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16535C5C">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71F550F9">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71126BD5">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68243842">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07DD310">
            <w:pPr>
              <w:widowControl/>
              <w:tabs>
                <w:tab w:val="left" w:pos="0"/>
              </w:tabs>
              <w:snapToGrid w:val="0"/>
              <w:spacing w:line="500" w:lineRule="exact"/>
              <w:jc w:val="center"/>
              <w:rPr>
                <w:rFonts w:hint="eastAsia" w:ascii="宋体" w:hAnsi="宋体" w:eastAsia="宋体" w:cs="宋体"/>
                <w:sz w:val="24"/>
                <w:szCs w:val="24"/>
                <w:highlight w:val="none"/>
              </w:rPr>
            </w:pPr>
          </w:p>
        </w:tc>
      </w:tr>
      <w:tr w14:paraId="719E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5CFB121F">
            <w:pPr>
              <w:widowControl/>
              <w:tabs>
                <w:tab w:val="left" w:pos="0"/>
              </w:tabs>
              <w:snapToGrid w:val="0"/>
              <w:spacing w:line="500" w:lineRule="exact"/>
              <w:jc w:val="center"/>
              <w:rPr>
                <w:rFonts w:hint="eastAsia" w:ascii="宋体" w:hAnsi="宋体" w:eastAsia="宋体" w:cs="宋体"/>
                <w:sz w:val="24"/>
                <w:szCs w:val="24"/>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78B26C24">
            <w:pPr>
              <w:widowControl/>
              <w:tabs>
                <w:tab w:val="left" w:pos="0"/>
              </w:tabs>
              <w:snapToGrid w:val="0"/>
              <w:spacing w:line="500" w:lineRule="exact"/>
              <w:jc w:val="center"/>
              <w:rPr>
                <w:rFonts w:hint="eastAsia" w:ascii="宋体" w:hAnsi="宋体" w:eastAsia="宋体" w:cs="宋体"/>
                <w:sz w:val="24"/>
                <w:szCs w:val="24"/>
                <w:highlight w:val="none"/>
              </w:rPr>
            </w:pPr>
          </w:p>
        </w:tc>
        <w:tc>
          <w:tcPr>
            <w:tcW w:w="853" w:type="pct"/>
            <w:tcBorders>
              <w:top w:val="single" w:color="auto" w:sz="4" w:space="0"/>
              <w:left w:val="single" w:color="auto" w:sz="4" w:space="0"/>
              <w:bottom w:val="single" w:color="auto" w:sz="4" w:space="0"/>
              <w:right w:val="single" w:color="auto" w:sz="4" w:space="0"/>
            </w:tcBorders>
            <w:noWrap w:val="0"/>
            <w:vAlign w:val="center"/>
          </w:tcPr>
          <w:p w14:paraId="6CA929B7">
            <w:pPr>
              <w:widowControl/>
              <w:tabs>
                <w:tab w:val="left" w:pos="0"/>
              </w:tabs>
              <w:snapToGrid w:val="0"/>
              <w:spacing w:line="500" w:lineRule="exact"/>
              <w:jc w:val="center"/>
              <w:rPr>
                <w:rFonts w:hint="eastAsia" w:ascii="宋体" w:hAnsi="宋体" w:eastAsia="宋体" w:cs="宋体"/>
                <w:sz w:val="24"/>
                <w:szCs w:val="24"/>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center"/>
          </w:tcPr>
          <w:p w14:paraId="391AF659">
            <w:pPr>
              <w:widowControl/>
              <w:tabs>
                <w:tab w:val="left" w:pos="0"/>
              </w:tabs>
              <w:snapToGrid w:val="0"/>
              <w:spacing w:line="500" w:lineRule="exact"/>
              <w:jc w:val="center"/>
              <w:rPr>
                <w:rFonts w:hint="eastAsia" w:ascii="宋体" w:hAnsi="宋体" w:eastAsia="宋体" w:cs="宋体"/>
                <w:sz w:val="24"/>
                <w:szCs w:val="24"/>
                <w:highlight w:val="none"/>
              </w:rPr>
            </w:pP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8068F78">
            <w:pPr>
              <w:widowControl/>
              <w:tabs>
                <w:tab w:val="left" w:pos="0"/>
              </w:tabs>
              <w:snapToGrid w:val="0"/>
              <w:spacing w:line="500" w:lineRule="exact"/>
              <w:jc w:val="center"/>
              <w:rPr>
                <w:rFonts w:hint="eastAsia" w:ascii="宋体" w:hAnsi="宋体" w:eastAsia="宋体" w:cs="宋体"/>
                <w:sz w:val="24"/>
                <w:szCs w:val="24"/>
                <w:highlight w:val="none"/>
              </w:rPr>
            </w:pPr>
          </w:p>
        </w:tc>
      </w:tr>
    </w:tbl>
    <w:p w14:paraId="118A696A">
      <w:pPr>
        <w:widowControl/>
        <w:snapToGrid w:val="0"/>
        <w:spacing w:line="500" w:lineRule="exact"/>
        <w:ind w:right="641" w:firstLine="240" w:firstLineChars="100"/>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说明：投标产品中无强制节能产品的，本表填写无</w:t>
      </w:r>
      <w:r>
        <w:rPr>
          <w:rFonts w:hint="eastAsia" w:ascii="宋体" w:hAnsi="宋体" w:eastAsia="宋体" w:cs="宋体"/>
          <w:b w:val="0"/>
          <w:bCs w:val="0"/>
          <w:sz w:val="24"/>
          <w:szCs w:val="24"/>
          <w:highlight w:val="none"/>
          <w:lang w:eastAsia="zh-CN"/>
        </w:rPr>
        <w:t>。认证证书附后（有效期之内的节能产品认证证书）。</w:t>
      </w:r>
    </w:p>
    <w:p w14:paraId="380557C9">
      <w:pPr>
        <w:tabs>
          <w:tab w:val="left" w:pos="1680"/>
        </w:tabs>
        <w:snapToGrid w:val="0"/>
        <w:spacing w:line="440" w:lineRule="exact"/>
        <w:rPr>
          <w:rFonts w:hint="eastAsia" w:ascii="宋体" w:hAnsi="宋体" w:eastAsia="宋体" w:cs="宋体"/>
          <w:b/>
          <w:bCs w:val="0"/>
          <w:sz w:val="24"/>
          <w:lang w:val="en-US" w:eastAsia="zh-CN"/>
        </w:rPr>
      </w:pPr>
      <w:bookmarkStart w:id="183" w:name="_Toc23127"/>
      <w:bookmarkStart w:id="184" w:name="_Toc16955"/>
      <w:bookmarkStart w:id="185" w:name="_Toc9094"/>
      <w:bookmarkStart w:id="186" w:name="_Toc16884"/>
    </w:p>
    <w:p w14:paraId="23C24933">
      <w:pPr>
        <w:tabs>
          <w:tab w:val="left" w:pos="1680"/>
        </w:tabs>
        <w:snapToGrid w:val="0"/>
        <w:spacing w:line="440" w:lineRule="exact"/>
        <w:rPr>
          <w:rFonts w:hint="eastAsia" w:ascii="宋体" w:hAnsi="宋体" w:eastAsia="宋体" w:cs="宋体"/>
          <w:b/>
          <w:bCs w:val="0"/>
          <w:sz w:val="24"/>
          <w:lang w:val="en-US" w:eastAsia="zh-CN"/>
        </w:rPr>
      </w:pPr>
    </w:p>
    <w:p w14:paraId="72A133CB">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val="0"/>
          <w:sz w:val="24"/>
        </w:rPr>
      </w:pPr>
      <w:r>
        <w:rPr>
          <w:rFonts w:hint="eastAsia" w:ascii="宋体" w:hAnsi="宋体" w:eastAsia="宋体" w:cs="宋体"/>
          <w:b/>
          <w:bCs w:val="0"/>
          <w:sz w:val="24"/>
          <w:lang w:val="en-US" w:eastAsia="zh-CN"/>
        </w:rPr>
        <w:t>3.</w:t>
      </w:r>
      <w:r>
        <w:rPr>
          <w:rFonts w:hint="eastAsia" w:ascii="宋体" w:hAnsi="宋体" w:eastAsia="宋体" w:cs="宋体"/>
          <w:b/>
          <w:bCs w:val="0"/>
          <w:sz w:val="24"/>
        </w:rPr>
        <w:t>政府采购绿色产品明细表格式</w:t>
      </w:r>
    </w:p>
    <w:p w14:paraId="6BFD25ED">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政府采购绿色产品明细表</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004"/>
        <w:gridCol w:w="1211"/>
        <w:gridCol w:w="1316"/>
        <w:gridCol w:w="1167"/>
        <w:gridCol w:w="1566"/>
        <w:gridCol w:w="2066"/>
      </w:tblGrid>
      <w:tr w14:paraId="61B2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4" w:type="pct"/>
            <w:noWrap w:val="0"/>
            <w:vAlign w:val="center"/>
          </w:tcPr>
          <w:p w14:paraId="1CA3970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504" w:type="pct"/>
            <w:noWrap w:val="0"/>
            <w:vAlign w:val="center"/>
          </w:tcPr>
          <w:p w14:paraId="16CDC0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608" w:type="pct"/>
            <w:noWrap w:val="0"/>
            <w:vAlign w:val="center"/>
          </w:tcPr>
          <w:p w14:paraId="1C7F89A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661" w:type="pct"/>
            <w:noWrap w:val="0"/>
            <w:vAlign w:val="center"/>
          </w:tcPr>
          <w:p w14:paraId="7B92E7A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产品单价</w:t>
            </w:r>
          </w:p>
        </w:tc>
        <w:tc>
          <w:tcPr>
            <w:tcW w:w="586" w:type="pct"/>
            <w:noWrap w:val="0"/>
            <w:vAlign w:val="center"/>
          </w:tcPr>
          <w:p w14:paraId="18DD16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786" w:type="pct"/>
            <w:noWrap w:val="0"/>
            <w:vAlign w:val="center"/>
          </w:tcPr>
          <w:p w14:paraId="50F8E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产品认证证书号</w:t>
            </w:r>
          </w:p>
        </w:tc>
        <w:tc>
          <w:tcPr>
            <w:tcW w:w="1038" w:type="pct"/>
            <w:noWrap w:val="0"/>
            <w:vAlign w:val="center"/>
          </w:tcPr>
          <w:p w14:paraId="386726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认证证书有效截止日期</w:t>
            </w:r>
          </w:p>
        </w:tc>
      </w:tr>
      <w:tr w14:paraId="017E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4" w:type="pct"/>
            <w:noWrap w:val="0"/>
            <w:vAlign w:val="top"/>
          </w:tcPr>
          <w:p w14:paraId="570BC420">
            <w:pPr>
              <w:spacing w:line="360" w:lineRule="auto"/>
              <w:rPr>
                <w:rFonts w:hint="eastAsia" w:ascii="宋体" w:hAnsi="宋体" w:eastAsia="宋体" w:cs="宋体"/>
                <w:sz w:val="24"/>
                <w:szCs w:val="24"/>
                <w:highlight w:val="none"/>
              </w:rPr>
            </w:pPr>
          </w:p>
        </w:tc>
        <w:tc>
          <w:tcPr>
            <w:tcW w:w="504" w:type="pct"/>
            <w:noWrap w:val="0"/>
            <w:vAlign w:val="top"/>
          </w:tcPr>
          <w:p w14:paraId="031B5F84">
            <w:pPr>
              <w:spacing w:line="360" w:lineRule="auto"/>
              <w:rPr>
                <w:rFonts w:hint="eastAsia" w:ascii="宋体" w:hAnsi="宋体" w:eastAsia="宋体" w:cs="宋体"/>
                <w:sz w:val="24"/>
                <w:szCs w:val="24"/>
                <w:highlight w:val="none"/>
              </w:rPr>
            </w:pPr>
          </w:p>
        </w:tc>
        <w:tc>
          <w:tcPr>
            <w:tcW w:w="608" w:type="pct"/>
            <w:noWrap w:val="0"/>
            <w:vAlign w:val="top"/>
          </w:tcPr>
          <w:p w14:paraId="6539D1FD">
            <w:pPr>
              <w:spacing w:line="360" w:lineRule="auto"/>
              <w:rPr>
                <w:rFonts w:hint="eastAsia" w:ascii="宋体" w:hAnsi="宋体" w:eastAsia="宋体" w:cs="宋体"/>
                <w:sz w:val="24"/>
                <w:szCs w:val="24"/>
                <w:highlight w:val="none"/>
              </w:rPr>
            </w:pPr>
          </w:p>
        </w:tc>
        <w:tc>
          <w:tcPr>
            <w:tcW w:w="661" w:type="pct"/>
            <w:noWrap w:val="0"/>
            <w:vAlign w:val="top"/>
          </w:tcPr>
          <w:p w14:paraId="6A722834">
            <w:pPr>
              <w:spacing w:line="360" w:lineRule="auto"/>
              <w:rPr>
                <w:rFonts w:hint="eastAsia" w:ascii="宋体" w:hAnsi="宋体" w:eastAsia="宋体" w:cs="宋体"/>
                <w:sz w:val="24"/>
                <w:szCs w:val="24"/>
                <w:highlight w:val="none"/>
              </w:rPr>
            </w:pPr>
          </w:p>
        </w:tc>
        <w:tc>
          <w:tcPr>
            <w:tcW w:w="586" w:type="pct"/>
            <w:noWrap w:val="0"/>
            <w:vAlign w:val="top"/>
          </w:tcPr>
          <w:p w14:paraId="68042E5F">
            <w:pPr>
              <w:spacing w:line="360" w:lineRule="auto"/>
              <w:rPr>
                <w:rFonts w:hint="eastAsia" w:ascii="宋体" w:hAnsi="宋体" w:eastAsia="宋体" w:cs="宋体"/>
                <w:sz w:val="24"/>
                <w:szCs w:val="24"/>
                <w:highlight w:val="none"/>
              </w:rPr>
            </w:pPr>
          </w:p>
        </w:tc>
        <w:tc>
          <w:tcPr>
            <w:tcW w:w="786" w:type="pct"/>
            <w:noWrap w:val="0"/>
            <w:vAlign w:val="top"/>
          </w:tcPr>
          <w:p w14:paraId="7DFC043E">
            <w:pPr>
              <w:spacing w:line="360" w:lineRule="auto"/>
              <w:rPr>
                <w:rFonts w:hint="eastAsia" w:ascii="宋体" w:hAnsi="宋体" w:eastAsia="宋体" w:cs="宋体"/>
                <w:sz w:val="24"/>
                <w:szCs w:val="24"/>
                <w:highlight w:val="none"/>
              </w:rPr>
            </w:pPr>
          </w:p>
        </w:tc>
        <w:tc>
          <w:tcPr>
            <w:tcW w:w="1038" w:type="pct"/>
            <w:noWrap w:val="0"/>
            <w:vAlign w:val="top"/>
          </w:tcPr>
          <w:p w14:paraId="419B5297">
            <w:pPr>
              <w:spacing w:line="360" w:lineRule="auto"/>
              <w:rPr>
                <w:rFonts w:hint="eastAsia" w:ascii="宋体" w:hAnsi="宋体" w:eastAsia="宋体" w:cs="宋体"/>
                <w:sz w:val="24"/>
                <w:szCs w:val="24"/>
                <w:highlight w:val="none"/>
              </w:rPr>
            </w:pPr>
          </w:p>
        </w:tc>
      </w:tr>
      <w:tr w14:paraId="15F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4" w:type="pct"/>
            <w:noWrap w:val="0"/>
            <w:vAlign w:val="top"/>
          </w:tcPr>
          <w:p w14:paraId="1B5DC661">
            <w:pPr>
              <w:spacing w:line="360" w:lineRule="auto"/>
              <w:rPr>
                <w:rFonts w:hint="eastAsia" w:ascii="宋体" w:hAnsi="宋体" w:eastAsia="宋体" w:cs="宋体"/>
                <w:sz w:val="24"/>
                <w:szCs w:val="24"/>
                <w:highlight w:val="none"/>
              </w:rPr>
            </w:pPr>
          </w:p>
        </w:tc>
        <w:tc>
          <w:tcPr>
            <w:tcW w:w="504" w:type="pct"/>
            <w:noWrap w:val="0"/>
            <w:vAlign w:val="top"/>
          </w:tcPr>
          <w:p w14:paraId="12792CC4">
            <w:pPr>
              <w:spacing w:line="360" w:lineRule="auto"/>
              <w:rPr>
                <w:rFonts w:hint="eastAsia" w:ascii="宋体" w:hAnsi="宋体" w:eastAsia="宋体" w:cs="宋体"/>
                <w:sz w:val="24"/>
                <w:szCs w:val="24"/>
                <w:highlight w:val="none"/>
              </w:rPr>
            </w:pPr>
          </w:p>
        </w:tc>
        <w:tc>
          <w:tcPr>
            <w:tcW w:w="608" w:type="pct"/>
            <w:noWrap w:val="0"/>
            <w:vAlign w:val="top"/>
          </w:tcPr>
          <w:p w14:paraId="1B88FB2A">
            <w:pPr>
              <w:spacing w:line="360" w:lineRule="auto"/>
              <w:rPr>
                <w:rFonts w:hint="eastAsia" w:ascii="宋体" w:hAnsi="宋体" w:eastAsia="宋体" w:cs="宋体"/>
                <w:sz w:val="24"/>
                <w:szCs w:val="24"/>
                <w:highlight w:val="none"/>
              </w:rPr>
            </w:pPr>
          </w:p>
        </w:tc>
        <w:tc>
          <w:tcPr>
            <w:tcW w:w="661" w:type="pct"/>
            <w:noWrap w:val="0"/>
            <w:vAlign w:val="top"/>
          </w:tcPr>
          <w:p w14:paraId="58984392">
            <w:pPr>
              <w:spacing w:line="360" w:lineRule="auto"/>
              <w:rPr>
                <w:rFonts w:hint="eastAsia" w:ascii="宋体" w:hAnsi="宋体" w:eastAsia="宋体" w:cs="宋体"/>
                <w:sz w:val="24"/>
                <w:szCs w:val="24"/>
                <w:highlight w:val="none"/>
              </w:rPr>
            </w:pPr>
          </w:p>
        </w:tc>
        <w:tc>
          <w:tcPr>
            <w:tcW w:w="586" w:type="pct"/>
            <w:noWrap w:val="0"/>
            <w:vAlign w:val="top"/>
          </w:tcPr>
          <w:p w14:paraId="0B2DAAD2">
            <w:pPr>
              <w:spacing w:line="360" w:lineRule="auto"/>
              <w:rPr>
                <w:rFonts w:hint="eastAsia" w:ascii="宋体" w:hAnsi="宋体" w:eastAsia="宋体" w:cs="宋体"/>
                <w:sz w:val="24"/>
                <w:szCs w:val="24"/>
                <w:highlight w:val="none"/>
              </w:rPr>
            </w:pPr>
          </w:p>
        </w:tc>
        <w:tc>
          <w:tcPr>
            <w:tcW w:w="786" w:type="pct"/>
            <w:noWrap w:val="0"/>
            <w:vAlign w:val="top"/>
          </w:tcPr>
          <w:p w14:paraId="734550F3">
            <w:pPr>
              <w:spacing w:line="360" w:lineRule="auto"/>
              <w:rPr>
                <w:rFonts w:hint="eastAsia" w:ascii="宋体" w:hAnsi="宋体" w:eastAsia="宋体" w:cs="宋体"/>
                <w:sz w:val="24"/>
                <w:szCs w:val="24"/>
                <w:highlight w:val="none"/>
              </w:rPr>
            </w:pPr>
          </w:p>
        </w:tc>
        <w:tc>
          <w:tcPr>
            <w:tcW w:w="1038" w:type="pct"/>
            <w:noWrap w:val="0"/>
            <w:vAlign w:val="top"/>
          </w:tcPr>
          <w:p w14:paraId="476BC63A">
            <w:pPr>
              <w:spacing w:line="360" w:lineRule="auto"/>
              <w:rPr>
                <w:rFonts w:hint="eastAsia" w:ascii="宋体" w:hAnsi="宋体" w:eastAsia="宋体" w:cs="宋体"/>
                <w:sz w:val="24"/>
                <w:szCs w:val="24"/>
                <w:highlight w:val="none"/>
              </w:rPr>
            </w:pPr>
          </w:p>
        </w:tc>
      </w:tr>
    </w:tbl>
    <w:p w14:paraId="0CCBAE1B">
      <w:pPr>
        <w:widowControl/>
        <w:snapToGrid w:val="0"/>
        <w:spacing w:line="500" w:lineRule="exact"/>
        <w:ind w:right="641" w:firstLine="240" w:firstLineChars="1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投报“节能产品政府采购品目清单”“环境标志产品政府采购品目清单”中产品的将给予一定比例的价格扣除（具体扣除比例详见投标人须知前附表第一项）。</w:t>
      </w:r>
    </w:p>
    <w:p w14:paraId="640CCD0F">
      <w:pPr>
        <w:widowControl/>
        <w:snapToGrid w:val="0"/>
        <w:spacing w:line="500" w:lineRule="exact"/>
        <w:ind w:right="641" w:firstLine="240" w:firstLineChars="1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认证证书附后（有效期之内的节能产品、环境标志产品证书）。</w:t>
      </w:r>
    </w:p>
    <w:p w14:paraId="306BF112">
      <w:pPr>
        <w:rPr>
          <w:rFonts w:hint="eastAsia" w:ascii="宋体" w:hAnsi="宋体" w:eastAsia="宋体" w:cs="宋体"/>
          <w:bCs/>
          <w:kern w:val="0"/>
          <w:szCs w:val="21"/>
        </w:rPr>
      </w:pPr>
      <w:r>
        <w:rPr>
          <w:rFonts w:hint="eastAsia" w:ascii="宋体" w:hAnsi="宋体" w:eastAsia="宋体" w:cs="宋体"/>
          <w:bCs/>
          <w:kern w:val="0"/>
          <w:szCs w:val="21"/>
        </w:rPr>
        <w:br w:type="page"/>
      </w:r>
    </w:p>
    <w:p w14:paraId="065063C2">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符合绿色数据中心建设要求承诺书格式</w:t>
      </w:r>
    </w:p>
    <w:p w14:paraId="6CABF448">
      <w:pPr>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符合绿色数据中心建设要求承诺书</w:t>
      </w:r>
    </w:p>
    <w:p w14:paraId="236917B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的采购活动，本公司承诺所提供并完成数据中心建设内容及标准符合绿色数据中心建设有关要求，完全满足或优于项目采购需求。</w:t>
      </w:r>
    </w:p>
    <w:p w14:paraId="6E3575A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3F7A2E5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1B0D743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sz w:val="24"/>
          <w:szCs w:val="24"/>
          <w:highlight w:val="none"/>
        </w:rPr>
      </w:pPr>
    </w:p>
    <w:p w14:paraId="6716497E">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7F559C35">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0A2EC5D6">
      <w:pPr>
        <w:widowControl/>
        <w:tabs>
          <w:tab w:val="left" w:pos="4000"/>
        </w:tabs>
        <w:snapToGrid w:val="0"/>
        <w:spacing w:line="500" w:lineRule="exact"/>
        <w:rPr>
          <w:rFonts w:hint="eastAsia" w:ascii="宋体" w:hAnsi="宋体" w:eastAsia="宋体" w:cs="宋体"/>
          <w:spacing w:val="20"/>
          <w:kern w:val="0"/>
          <w:sz w:val="24"/>
          <w:szCs w:val="24"/>
          <w:highlight w:val="none"/>
        </w:rPr>
      </w:pPr>
    </w:p>
    <w:p w14:paraId="626F0C95">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正版软件承诺格式</w:t>
      </w:r>
    </w:p>
    <w:p w14:paraId="394A0C5A">
      <w:pPr>
        <w:spacing w:line="48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正版软件承诺</w:t>
      </w:r>
    </w:p>
    <w:p w14:paraId="63FDC505">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（项目名称、项目编号、包号）</w:t>
      </w:r>
      <w:r>
        <w:rPr>
          <w:rFonts w:hint="eastAsia" w:ascii="宋体" w:hAnsi="宋体" w:eastAsia="宋体" w:cs="宋体"/>
          <w:sz w:val="24"/>
          <w:szCs w:val="24"/>
          <w:highlight w:val="none"/>
        </w:rPr>
        <w:t>的采购活动，本公司承诺投报的计算机产品预装正版操作系统，投报的硬件产品内的预装软件为正版软件。</w:t>
      </w:r>
    </w:p>
    <w:p w14:paraId="32E70D66">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7939CFF4">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b/>
          <w:sz w:val="24"/>
          <w:szCs w:val="24"/>
          <w:highlight w:val="none"/>
        </w:rPr>
      </w:pPr>
      <w:r>
        <w:rPr>
          <w:rFonts w:hint="eastAsia" w:ascii="宋体" w:hAnsi="宋体" w:eastAsia="宋体" w:cs="宋体"/>
          <w:sz w:val="24"/>
          <w:szCs w:val="24"/>
          <w:highlight w:val="none"/>
        </w:rPr>
        <w:t>特此声明。</w:t>
      </w:r>
    </w:p>
    <w:p w14:paraId="120BAE03">
      <w:pPr>
        <w:rPr>
          <w:rFonts w:hint="eastAsia" w:ascii="宋体" w:hAnsi="宋体" w:eastAsia="宋体" w:cs="宋体"/>
          <w:sz w:val="24"/>
          <w:szCs w:val="24"/>
          <w:highlight w:val="none"/>
        </w:rPr>
      </w:pPr>
    </w:p>
    <w:p w14:paraId="2839DFDA">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EC45B94">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2BBAA0E">
      <w:pPr>
        <w:rPr>
          <w:rFonts w:hint="eastAsia" w:ascii="宋体" w:hAnsi="宋体" w:eastAsia="宋体" w:cs="宋体"/>
          <w:sz w:val="24"/>
          <w:szCs w:val="24"/>
        </w:rPr>
      </w:pPr>
    </w:p>
    <w:p w14:paraId="1E3194DE">
      <w:pPr>
        <w:tabs>
          <w:tab w:val="left" w:pos="900"/>
        </w:tabs>
        <w:spacing w:line="360" w:lineRule="auto"/>
        <w:rPr>
          <w:rFonts w:hint="eastAsia" w:ascii="宋体" w:hAnsi="宋体" w:eastAsia="宋体" w:cs="宋体"/>
          <w:bCs/>
          <w:kern w:val="0"/>
          <w:szCs w:val="21"/>
        </w:rPr>
      </w:pPr>
    </w:p>
    <w:bookmarkEnd w:id="183"/>
    <w:bookmarkEnd w:id="184"/>
    <w:bookmarkEnd w:id="185"/>
    <w:bookmarkEnd w:id="186"/>
    <w:p w14:paraId="2B1FED4F">
      <w:pPr>
        <w:rPr>
          <w:rFonts w:hint="eastAsia" w:ascii="宋体" w:hAnsi="宋体" w:eastAsia="宋体" w:cs="宋体"/>
          <w:b/>
          <w:bCs/>
          <w:sz w:val="24"/>
          <w:szCs w:val="24"/>
          <w:highlight w:val="none"/>
          <w:lang w:val="en-US" w:eastAsia="zh-CN"/>
        </w:rPr>
      </w:pPr>
      <w:bookmarkStart w:id="187" w:name="_Toc20273"/>
      <w:bookmarkStart w:id="188" w:name="_Toc20452"/>
      <w:bookmarkStart w:id="189" w:name="_Toc6090"/>
      <w:bookmarkStart w:id="190" w:name="_Toc23686"/>
      <w:r>
        <w:rPr>
          <w:rFonts w:hint="eastAsia" w:ascii="宋体" w:hAnsi="宋体" w:eastAsia="宋体" w:cs="宋体"/>
          <w:b/>
          <w:bCs/>
          <w:sz w:val="24"/>
          <w:szCs w:val="24"/>
          <w:highlight w:val="none"/>
          <w:lang w:val="en-US" w:eastAsia="zh-CN"/>
        </w:rPr>
        <w:br w:type="page"/>
      </w:r>
    </w:p>
    <w:p w14:paraId="5B53E6A5">
      <w:pPr>
        <w:widowControl/>
        <w:numPr>
          <w:ilvl w:val="0"/>
          <w:numId w:val="0"/>
        </w:numPr>
        <w:snapToGrid w:val="0"/>
        <w:spacing w:line="500" w:lineRule="exact"/>
        <w:ind w:left="0" w:leftChars="0" w:right="641" w:rightChars="0" w:firstLine="0" w:firstLineChars="0"/>
        <w:jc w:val="left"/>
        <w:outlineLvl w:val="2"/>
        <w:rPr>
          <w:rFonts w:ascii="华文中宋" w:hAnsi="华文中宋" w:eastAsia="华文中宋" w:cs="华文中宋"/>
          <w:b/>
          <w:color w:val="auto"/>
          <w:sz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网络安全专用产品说明</w:t>
      </w:r>
    </w:p>
    <w:p w14:paraId="4E9B4CBF">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按照国家财政部、工信部、公安部以及其他部委联合下发《关于调整网络安全专用产品安全管理有关事项的公告》有关要求：</w:t>
      </w:r>
    </w:p>
    <w:p w14:paraId="6F8E0A8D">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0810648B">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具备资格的机构是指列入《承担网络关键设备和网络安全专用产品安全认证和安全检测任务机构名录》的机构。</w:t>
      </w:r>
    </w:p>
    <w:p w14:paraId="2C71EABF">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194550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905703">
      <w:pPr>
        <w:pStyle w:val="4"/>
        <w:widowControl/>
        <w:spacing w:before="0" w:after="0" w:line="360" w:lineRule="auto"/>
        <w:rPr>
          <w:rFonts w:hint="eastAsia" w:ascii="宋体" w:hAnsi="宋体" w:eastAsia="宋体" w:cs="宋体"/>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中小企业声明及证明</w:t>
      </w:r>
      <w:bookmarkEnd w:id="187"/>
      <w:bookmarkEnd w:id="188"/>
      <w:bookmarkEnd w:id="189"/>
      <w:bookmarkEnd w:id="190"/>
      <w:r>
        <w:rPr>
          <w:rFonts w:hint="eastAsia" w:ascii="宋体" w:hAnsi="宋体" w:eastAsia="宋体" w:cs="宋体"/>
          <w:sz w:val="24"/>
          <w:szCs w:val="24"/>
          <w:lang w:val="en-US" w:eastAsia="zh-CN"/>
        </w:rPr>
        <w:t>格式</w:t>
      </w:r>
    </w:p>
    <w:p w14:paraId="2B1A0C4C">
      <w:pPr>
        <w:tabs>
          <w:tab w:val="left" w:pos="1680"/>
        </w:tabs>
        <w:snapToGrid w:val="0"/>
        <w:spacing w:line="4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中小企业声明函（</w:t>
      </w:r>
      <w:r>
        <w:rPr>
          <w:rFonts w:hint="eastAsia" w:ascii="宋体" w:hAnsi="宋体" w:eastAsia="宋体" w:cs="宋体"/>
          <w:b/>
          <w:kern w:val="0"/>
          <w:sz w:val="24"/>
          <w:szCs w:val="24"/>
          <w:lang w:val="en-US" w:eastAsia="zh-CN"/>
        </w:rPr>
        <w:t>货物</w:t>
      </w:r>
      <w:r>
        <w:rPr>
          <w:rFonts w:hint="eastAsia" w:ascii="宋体" w:hAnsi="宋体" w:eastAsia="宋体" w:cs="宋体"/>
          <w:b/>
          <w:kern w:val="0"/>
          <w:sz w:val="24"/>
          <w:szCs w:val="24"/>
        </w:rPr>
        <w:t>）</w:t>
      </w:r>
    </w:p>
    <w:p w14:paraId="00CE450B">
      <w:pPr>
        <w:pStyle w:val="7"/>
        <w:adjustRightInd w:val="0"/>
        <w:snapToGrid w:val="0"/>
        <w:spacing w:line="360" w:lineRule="auto"/>
        <w:ind w:left="0" w:leftChars="0" w:firstLine="480" w:firstLineChars="200"/>
        <w:rPr>
          <w:rFonts w:hint="eastAsia" w:ascii="宋体" w:hAnsi="宋体" w:eastAsia="宋体" w:cs="宋体"/>
          <w:sz w:val="24"/>
          <w:szCs w:val="24"/>
        </w:rPr>
      </w:pPr>
    </w:p>
    <w:p w14:paraId="21B050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 (财库（2020) 46号）的规定，本公司（联合体）参加</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18796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 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17FEAC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 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E29FC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157C03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B43DD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032452A">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企业名称（盖章）：</w:t>
      </w:r>
    </w:p>
    <w:p w14:paraId="3E9BA9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日期：</w:t>
      </w:r>
    </w:p>
    <w:p w14:paraId="425DA5EA">
      <w:pPr>
        <w:spacing w:line="360" w:lineRule="auto"/>
        <w:ind w:firstLine="420" w:firstLineChars="200"/>
        <w:rPr>
          <w:rFonts w:hint="eastAsia" w:ascii="宋体" w:hAnsi="宋体" w:eastAsia="宋体" w:cs="宋体"/>
          <w:szCs w:val="21"/>
        </w:rPr>
      </w:pPr>
    </w:p>
    <w:p w14:paraId="5AD8F2F8">
      <w:pPr>
        <w:spacing w:line="360" w:lineRule="auto"/>
        <w:ind w:firstLine="420" w:firstLineChars="200"/>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p w14:paraId="201B88AC">
      <w:pPr>
        <w:spacing w:line="360" w:lineRule="auto"/>
        <w:rPr>
          <w:rFonts w:hint="eastAsia" w:ascii="宋体" w:hAnsi="宋体" w:eastAsia="宋体" w:cs="宋体"/>
          <w:b/>
          <w:sz w:val="24"/>
        </w:rPr>
      </w:pPr>
    </w:p>
    <w:p w14:paraId="4D42C415">
      <w:pPr>
        <w:rPr>
          <w:rFonts w:hint="eastAsia" w:ascii="宋体" w:hAnsi="宋体" w:eastAsia="宋体" w:cs="宋体"/>
        </w:rPr>
      </w:pPr>
      <w:r>
        <w:rPr>
          <w:rFonts w:hint="eastAsia" w:ascii="宋体" w:hAnsi="宋体" w:eastAsia="宋体" w:cs="宋体"/>
        </w:rPr>
        <w:br w:type="page"/>
      </w:r>
    </w:p>
    <w:p w14:paraId="6283D58C">
      <w:pPr>
        <w:tabs>
          <w:tab w:val="left" w:pos="1680"/>
        </w:tabs>
        <w:snapToGrid w:val="0"/>
        <w:spacing w:line="4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中小企业声明函（工程、服务）</w:t>
      </w:r>
    </w:p>
    <w:p w14:paraId="357E019E">
      <w:pPr>
        <w:tabs>
          <w:tab w:val="left" w:pos="1680"/>
        </w:tabs>
        <w:snapToGrid w:val="0"/>
        <w:spacing w:line="480" w:lineRule="exact"/>
        <w:jc w:val="center"/>
        <w:rPr>
          <w:rFonts w:hint="eastAsia" w:ascii="宋体" w:hAnsi="宋体" w:eastAsia="宋体" w:cs="宋体"/>
          <w:b/>
          <w:kern w:val="0"/>
          <w:sz w:val="24"/>
          <w:szCs w:val="24"/>
        </w:rPr>
      </w:pPr>
    </w:p>
    <w:p w14:paraId="30269FAC">
      <w:pPr>
        <w:autoSpaceDE w:val="0"/>
        <w:autoSpaceDN w:val="0"/>
        <w:spacing w:line="360" w:lineRule="auto"/>
        <w:ind w:left="220" w:right="415" w:firstLine="640"/>
        <w:jc w:val="left"/>
        <w:rPr>
          <w:i w:val="0"/>
          <w:iCs w:val="0"/>
          <w:kern w:val="0"/>
          <w:sz w:val="24"/>
        </w:rPr>
      </w:pPr>
      <w:r>
        <w:rPr>
          <w:i w:val="0"/>
          <w:iCs w:val="0"/>
          <w:kern w:val="0"/>
          <w:sz w:val="24"/>
        </w:rPr>
        <w:t>本公司（联合体）郑重声明，根据《政府采购促进中小企业发展管理办法》（财库﹝2020﹞46号）的规定，本公司（联合体）参加</w:t>
      </w:r>
      <w:r>
        <w:rPr>
          <w:i w:val="0"/>
          <w:iCs w:val="0"/>
          <w:kern w:val="0"/>
          <w:sz w:val="24"/>
          <w:u w:val="single"/>
        </w:rPr>
        <w:t>（单位名称）</w:t>
      </w:r>
      <w:r>
        <w:rPr>
          <w:i w:val="0"/>
          <w:iCs w:val="0"/>
          <w:kern w:val="0"/>
          <w:sz w:val="24"/>
        </w:rPr>
        <w:t>的</w:t>
      </w:r>
      <w:r>
        <w:rPr>
          <w:i w:val="0"/>
          <w:iCs w:val="0"/>
          <w:kern w:val="0"/>
          <w:sz w:val="24"/>
          <w:u w:val="single"/>
        </w:rPr>
        <w:t>（项目名称）</w:t>
      </w:r>
      <w:r>
        <w:rPr>
          <w:i w:val="0"/>
          <w:iCs w:val="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C42EBF4">
      <w:pPr>
        <w:numPr>
          <w:ilvl w:val="0"/>
          <w:numId w:val="0"/>
        </w:numPr>
        <w:tabs>
          <w:tab w:val="left" w:pos="1276"/>
          <w:tab w:val="left" w:pos="5005"/>
          <w:tab w:val="left" w:pos="7227"/>
        </w:tabs>
        <w:autoSpaceDE w:val="0"/>
        <w:autoSpaceDN w:val="0"/>
        <w:spacing w:line="360" w:lineRule="auto"/>
        <w:ind w:left="284" w:leftChars="0" w:right="236" w:rightChars="0" w:firstLine="576" w:firstLineChars="0"/>
        <w:jc w:val="left"/>
        <w:rPr>
          <w:i w:val="0"/>
          <w:iCs w:val="0"/>
          <w:kern w:val="0"/>
          <w:sz w:val="24"/>
        </w:rPr>
      </w:pPr>
      <w:r>
        <w:rPr>
          <w:rFonts w:hint="default" w:eastAsia="宋体" w:cs="Times New Roman"/>
          <w:i w:val="0"/>
          <w:iCs w:val="0"/>
          <w:kern w:val="0"/>
          <w:sz w:val="24"/>
          <w:lang w:val="en-US" w:eastAsia="zh-CN"/>
        </w:rPr>
        <w:t>1</w:t>
      </w:r>
      <w:r>
        <w:rPr>
          <w:rFonts w:hint="default" w:ascii="仿宋" w:hAnsi="仿宋" w:eastAsia="仿宋" w:cs="仿宋"/>
          <w:i w:val="0"/>
          <w:iCs w:val="0"/>
          <w:spacing w:val="0"/>
          <w:w w:val="99"/>
          <w:kern w:val="0"/>
          <w:sz w:val="32"/>
          <w:szCs w:val="32"/>
          <w:lang w:val="en-US" w:eastAsia="zh-CN" w:bidi="ar-SA"/>
        </w:rPr>
        <w:t>.</w:t>
      </w: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i w:val="0"/>
          <w:iCs w:val="0"/>
          <w:kern w:val="0"/>
          <w:sz w:val="24"/>
          <w:u w:val="single"/>
        </w:rPr>
        <w:t>（中型企业、小型企业、微型企业）</w:t>
      </w:r>
      <w:r>
        <w:rPr>
          <w:i w:val="0"/>
          <w:iCs w:val="0"/>
          <w:kern w:val="0"/>
          <w:sz w:val="24"/>
        </w:rPr>
        <w:t>；</w:t>
      </w:r>
    </w:p>
    <w:p w14:paraId="5128D327">
      <w:pPr>
        <w:numPr>
          <w:ilvl w:val="0"/>
          <w:numId w:val="0"/>
        </w:numPr>
        <w:tabs>
          <w:tab w:val="left" w:pos="1243"/>
          <w:tab w:val="left" w:pos="1806"/>
          <w:tab w:val="left" w:pos="5005"/>
          <w:tab w:val="left" w:pos="7213"/>
        </w:tabs>
        <w:autoSpaceDE w:val="0"/>
        <w:autoSpaceDN w:val="0"/>
        <w:spacing w:line="360" w:lineRule="auto"/>
        <w:ind w:left="205" w:leftChars="0" w:right="258" w:rightChars="0" w:firstLine="655" w:firstLineChars="0"/>
        <w:jc w:val="left"/>
        <w:rPr>
          <w:i w:val="0"/>
          <w:iCs w:val="0"/>
          <w:kern w:val="0"/>
          <w:sz w:val="24"/>
          <w:u w:color="000000"/>
        </w:rPr>
      </w:pPr>
      <w:r>
        <w:rPr>
          <w:rFonts w:hint="default" w:eastAsia="宋体" w:cs="Times New Roman"/>
          <w:i w:val="0"/>
          <w:iCs w:val="0"/>
          <w:kern w:val="0"/>
          <w:sz w:val="24"/>
          <w:lang w:val="en-US" w:eastAsia="zh-CN"/>
        </w:rPr>
        <w:t>2.</w:t>
      </w: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i w:val="0"/>
          <w:iCs w:val="0"/>
          <w:kern w:val="0"/>
          <w:sz w:val="24"/>
          <w:u w:val="single" w:color="000000"/>
        </w:rPr>
        <w:t>（中型企业、小型企业、微型企业）</w:t>
      </w:r>
      <w:r>
        <w:rPr>
          <w:i w:val="0"/>
          <w:iCs w:val="0"/>
          <w:kern w:val="0"/>
          <w:sz w:val="24"/>
          <w:u w:color="000000"/>
        </w:rPr>
        <w:t>；</w:t>
      </w:r>
    </w:p>
    <w:p w14:paraId="08D1582E">
      <w:pPr>
        <w:autoSpaceDE w:val="0"/>
        <w:autoSpaceDN w:val="0"/>
        <w:spacing w:line="360" w:lineRule="auto"/>
        <w:ind w:left="860"/>
        <w:jc w:val="left"/>
        <w:rPr>
          <w:i w:val="0"/>
          <w:iCs w:val="0"/>
          <w:kern w:val="0"/>
          <w:sz w:val="24"/>
        </w:rPr>
      </w:pPr>
      <w:r>
        <w:rPr>
          <w:i w:val="0"/>
          <w:iCs w:val="0"/>
          <w:kern w:val="0"/>
          <w:sz w:val="24"/>
        </w:rPr>
        <w:t>……</w:t>
      </w:r>
    </w:p>
    <w:p w14:paraId="62499CC7">
      <w:pPr>
        <w:autoSpaceDE w:val="0"/>
        <w:autoSpaceDN w:val="0"/>
        <w:spacing w:line="360" w:lineRule="auto"/>
        <w:ind w:left="220" w:right="417" w:firstLine="645"/>
        <w:rPr>
          <w:i w:val="0"/>
          <w:iCs w:val="0"/>
          <w:kern w:val="0"/>
          <w:sz w:val="24"/>
        </w:rPr>
      </w:pPr>
      <w:r>
        <w:rPr>
          <w:i w:val="0"/>
          <w:iCs w:val="0"/>
          <w:kern w:val="0"/>
          <w:sz w:val="24"/>
        </w:rPr>
        <w:t>以上企业，不属于大企业的分支机构，不存在控股股东为大企业的情形，也不存在与大企业的负责人为同一人的情形。</w:t>
      </w:r>
    </w:p>
    <w:p w14:paraId="7E9CB10E">
      <w:pPr>
        <w:spacing w:line="360" w:lineRule="auto"/>
        <w:ind w:firstLine="504"/>
        <w:rPr>
          <w:i w:val="0"/>
          <w:iCs w:val="0"/>
          <w:spacing w:val="6"/>
          <w:sz w:val="24"/>
        </w:rPr>
      </w:pPr>
      <w:r>
        <w:rPr>
          <w:i w:val="0"/>
          <w:iCs w:val="0"/>
          <w:kern w:val="0"/>
          <w:sz w:val="24"/>
        </w:rPr>
        <w:t>本企业对上述声明内容的真实性负责。如有虚假，将依法承担相应责任。</w:t>
      </w:r>
    </w:p>
    <w:p w14:paraId="15294E6D">
      <w:pPr>
        <w:spacing w:line="360" w:lineRule="auto"/>
        <w:ind w:firstLine="504"/>
        <w:rPr>
          <w:spacing w:val="6"/>
          <w:sz w:val="24"/>
        </w:rPr>
      </w:pPr>
    </w:p>
    <w:p w14:paraId="59CAD937">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企业名称（盖章）：</w:t>
      </w:r>
    </w:p>
    <w:p w14:paraId="754220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日期：</w:t>
      </w:r>
    </w:p>
    <w:p w14:paraId="7B9FBE24">
      <w:pPr>
        <w:spacing w:line="360" w:lineRule="auto"/>
        <w:ind w:right="360" w:firstLine="480"/>
        <w:jc w:val="center"/>
        <w:rPr>
          <w:rFonts w:hint="eastAsia" w:ascii="宋体" w:hAnsi="宋体" w:eastAsia="宋体" w:cs="宋体"/>
        </w:rPr>
      </w:pPr>
    </w:p>
    <w:p w14:paraId="046276EE">
      <w:pPr>
        <w:spacing w:line="360" w:lineRule="auto"/>
        <w:ind w:right="360" w:firstLine="480"/>
        <w:jc w:val="center"/>
        <w:rPr>
          <w:rFonts w:hint="eastAsia" w:ascii="宋体" w:hAnsi="宋体" w:eastAsia="宋体" w:cs="宋体"/>
        </w:rPr>
      </w:pPr>
    </w:p>
    <w:p w14:paraId="535E9816">
      <w:pPr>
        <w:spacing w:line="360" w:lineRule="auto"/>
        <w:ind w:firstLine="420" w:firstLineChars="200"/>
        <w:rPr>
          <w:rFonts w:hint="eastAsia" w:ascii="宋体" w:hAnsi="宋体" w:eastAsia="宋体" w:cs="宋体"/>
          <w:szCs w:val="21"/>
        </w:rPr>
      </w:pPr>
      <w:r>
        <w:rPr>
          <w:rFonts w:hint="eastAsia" w:ascii="宋体" w:hAnsi="宋体" w:eastAsia="宋体" w:cs="宋体"/>
          <w:szCs w:val="21"/>
          <w:vertAlign w:val="superscript"/>
        </w:rPr>
        <w:t>1</w:t>
      </w:r>
      <w:r>
        <w:rPr>
          <w:rFonts w:hint="eastAsia" w:ascii="宋体" w:hAnsi="宋体" w:eastAsia="宋体" w:cs="宋体"/>
          <w:szCs w:val="21"/>
        </w:rPr>
        <w:t>从业人员、营业收入、资产总额填报上一年度数据，无上一年度数据的新成立企业可不填报</w:t>
      </w:r>
    </w:p>
    <w:p w14:paraId="0A92D813">
      <w:pPr>
        <w:pStyle w:val="8"/>
        <w:rPr>
          <w:rFonts w:hint="eastAsia" w:ascii="宋体" w:hAnsi="宋体" w:eastAsia="宋体" w:cs="宋体"/>
        </w:rPr>
      </w:pPr>
    </w:p>
    <w:p w14:paraId="21DEF82A">
      <w:pPr>
        <w:pStyle w:val="8"/>
        <w:rPr>
          <w:rFonts w:hint="eastAsia" w:ascii="宋体" w:hAnsi="宋体" w:eastAsia="宋体" w:cs="宋体"/>
        </w:rPr>
      </w:pPr>
    </w:p>
    <w:p w14:paraId="1A39D5F7">
      <w:pPr>
        <w:pStyle w:val="8"/>
        <w:rPr>
          <w:rFonts w:hint="eastAsia" w:ascii="宋体" w:hAnsi="宋体" w:eastAsia="宋体" w:cs="宋体"/>
        </w:rPr>
      </w:pPr>
    </w:p>
    <w:p w14:paraId="6A099FB6">
      <w:pPr>
        <w:pStyle w:val="8"/>
        <w:rPr>
          <w:rFonts w:hint="eastAsia" w:ascii="宋体" w:hAnsi="宋体" w:eastAsia="宋体" w:cs="宋体"/>
        </w:rPr>
      </w:pPr>
    </w:p>
    <w:p w14:paraId="7A76C147">
      <w:pPr>
        <w:pStyle w:val="8"/>
        <w:rPr>
          <w:rFonts w:hint="eastAsia" w:ascii="宋体" w:hAnsi="宋体" w:eastAsia="宋体" w:cs="宋体"/>
        </w:rPr>
      </w:pPr>
    </w:p>
    <w:p w14:paraId="5197A68F">
      <w:pPr>
        <w:pStyle w:val="8"/>
        <w:rPr>
          <w:rFonts w:hint="eastAsia" w:ascii="宋体" w:hAnsi="宋体" w:eastAsia="宋体" w:cs="宋体"/>
        </w:rPr>
      </w:pPr>
    </w:p>
    <w:p w14:paraId="57234E77">
      <w:pPr>
        <w:pStyle w:val="8"/>
        <w:ind w:left="0" w:leftChars="0" w:firstLine="0" w:firstLineChars="0"/>
        <w:rPr>
          <w:rFonts w:hint="eastAsia" w:ascii="宋体" w:hAnsi="宋体" w:eastAsia="宋体" w:cs="宋体"/>
        </w:rPr>
      </w:pPr>
    </w:p>
    <w:p w14:paraId="526E5179">
      <w:pPr>
        <w:rPr>
          <w:rFonts w:hint="eastAsia" w:ascii="宋体" w:hAnsi="宋体" w:eastAsia="宋体" w:cs="宋体"/>
        </w:rPr>
      </w:pPr>
      <w:r>
        <w:rPr>
          <w:rFonts w:hint="eastAsia" w:ascii="宋体" w:hAnsi="宋体" w:eastAsia="宋体" w:cs="宋体"/>
        </w:rPr>
        <w:br w:type="page"/>
      </w:r>
    </w:p>
    <w:p w14:paraId="3D8BB7AA">
      <w:pPr>
        <w:pStyle w:val="4"/>
        <w:widowControl/>
        <w:spacing w:before="0" w:after="0" w:line="360" w:lineRule="auto"/>
        <w:rPr>
          <w:rFonts w:hint="eastAsia" w:ascii="宋体" w:hAnsi="宋体" w:eastAsia="宋体" w:cs="宋体"/>
          <w:b/>
          <w:spacing w:val="6"/>
          <w:sz w:val="24"/>
        </w:rPr>
      </w:pPr>
      <w:bookmarkStart w:id="191" w:name="_Toc30432"/>
      <w:bookmarkStart w:id="192" w:name="_Toc25249"/>
      <w:bookmarkStart w:id="193" w:name="_Toc26271"/>
      <w:bookmarkStart w:id="194" w:name="_Toc20799"/>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残疾人福利性单位声明函格式</w:t>
      </w:r>
      <w:bookmarkEnd w:id="191"/>
      <w:bookmarkEnd w:id="192"/>
      <w:bookmarkEnd w:id="193"/>
      <w:bookmarkEnd w:id="194"/>
    </w:p>
    <w:p w14:paraId="01080DD5">
      <w:pPr>
        <w:widowControl/>
        <w:spacing w:line="360" w:lineRule="auto"/>
        <w:jc w:val="center"/>
        <w:rPr>
          <w:rFonts w:hint="eastAsia" w:ascii="宋体" w:hAnsi="宋体" w:eastAsia="宋体" w:cs="宋体"/>
          <w:b/>
          <w:bCs/>
          <w:sz w:val="24"/>
          <w:szCs w:val="24"/>
        </w:rPr>
      </w:pPr>
      <w:bookmarkStart w:id="195" w:name="_Toc16705"/>
      <w:bookmarkStart w:id="196" w:name="_Toc9132"/>
    </w:p>
    <w:p w14:paraId="43337440">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w:t>
      </w:r>
      <w:bookmarkEnd w:id="195"/>
      <w:bookmarkEnd w:id="196"/>
    </w:p>
    <w:p w14:paraId="5873A03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项目（项目编号：__________________）采购活动提供本单位制造的货物（由本单位承担工程/提供服务），或者提供其他残疾人福利性单位制造的货物（不包括使用非残疾人福利性单位注册商标的货物）。</w:t>
      </w:r>
    </w:p>
    <w:p w14:paraId="6D304C7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6E20B037">
      <w:pPr>
        <w:spacing w:line="360" w:lineRule="auto"/>
        <w:ind w:firstLine="4560" w:firstLineChars="1900"/>
        <w:rPr>
          <w:rFonts w:hint="eastAsia" w:ascii="宋体" w:hAnsi="宋体" w:eastAsia="宋体" w:cs="宋体"/>
          <w:sz w:val="24"/>
          <w:szCs w:val="24"/>
          <w:lang w:val="en-US" w:eastAsia="zh-CN"/>
        </w:rPr>
      </w:pPr>
    </w:p>
    <w:p w14:paraId="278D70F5">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lang w:val="en-US" w:eastAsia="zh-CN"/>
        </w:rPr>
        <w:t>单位名称</w:t>
      </w:r>
      <w:r>
        <w:rPr>
          <w:rFonts w:hint="eastAsia" w:ascii="宋体" w:hAnsi="宋体" w:eastAsia="宋体" w:cs="宋体"/>
          <w:sz w:val="24"/>
          <w:szCs w:val="24"/>
        </w:rPr>
        <w:t>（盖章）：</w:t>
      </w:r>
    </w:p>
    <w:p w14:paraId="385DF939">
      <w:pPr>
        <w:widowControl/>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日期：</w:t>
      </w:r>
    </w:p>
    <w:p w14:paraId="6B42FF58">
      <w:pPr>
        <w:spacing w:line="360" w:lineRule="auto"/>
        <w:rPr>
          <w:rFonts w:hint="eastAsia" w:ascii="宋体" w:hAnsi="宋体" w:eastAsia="宋体" w:cs="宋体"/>
          <w:b/>
          <w:sz w:val="24"/>
        </w:rPr>
      </w:pPr>
    </w:p>
    <w:p w14:paraId="003906A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注：中标人为残疾人福利性单位的，</w:t>
      </w:r>
      <w:r>
        <w:rPr>
          <w:rFonts w:hint="eastAsia" w:ascii="宋体" w:hAnsi="宋体" w:cs="宋体"/>
          <w:b/>
          <w:sz w:val="24"/>
          <w:lang w:eastAsia="zh-CN"/>
        </w:rPr>
        <w:t>采购代理机构</w:t>
      </w:r>
      <w:r>
        <w:rPr>
          <w:rFonts w:hint="eastAsia" w:ascii="宋体" w:hAnsi="宋体" w:eastAsia="宋体" w:cs="宋体"/>
          <w:b/>
          <w:sz w:val="24"/>
        </w:rPr>
        <w:t>随成交结果同时公告其《残疾人福利性单位声明函》</w:t>
      </w:r>
    </w:p>
    <w:p w14:paraId="5E73622F">
      <w:pPr>
        <w:widowControl/>
        <w:snapToGrid w:val="0"/>
        <w:spacing w:line="360" w:lineRule="auto"/>
        <w:rPr>
          <w:rFonts w:hint="eastAsia" w:ascii="宋体" w:hAnsi="宋体" w:eastAsia="宋体" w:cs="宋体"/>
          <w:kern w:val="0"/>
          <w:sz w:val="24"/>
        </w:rPr>
      </w:pPr>
    </w:p>
    <w:p w14:paraId="65B33E19">
      <w:pPr>
        <w:widowControl/>
        <w:snapToGrid w:val="0"/>
        <w:spacing w:line="360" w:lineRule="auto"/>
        <w:rPr>
          <w:rFonts w:hint="eastAsia" w:ascii="宋体" w:hAnsi="宋体" w:eastAsia="宋体" w:cs="宋体"/>
          <w:kern w:val="0"/>
          <w:sz w:val="24"/>
        </w:rPr>
      </w:pPr>
    </w:p>
    <w:p w14:paraId="419DFC49">
      <w:pPr>
        <w:widowControl/>
        <w:snapToGrid w:val="0"/>
        <w:spacing w:line="360" w:lineRule="auto"/>
        <w:rPr>
          <w:rFonts w:hint="eastAsia" w:ascii="宋体" w:hAnsi="宋体" w:eastAsia="宋体" w:cs="宋体"/>
          <w:kern w:val="0"/>
          <w:sz w:val="24"/>
        </w:rPr>
      </w:pPr>
    </w:p>
    <w:p w14:paraId="757CA5FE">
      <w:pPr>
        <w:pStyle w:val="4"/>
        <w:widowControl/>
        <w:spacing w:before="0" w:after="0" w:line="360" w:lineRule="auto"/>
        <w:rPr>
          <w:rFonts w:hint="eastAsia" w:ascii="宋体" w:hAnsi="宋体" w:eastAsia="宋体" w:cs="宋体"/>
          <w:sz w:val="24"/>
          <w:szCs w:val="24"/>
        </w:rPr>
      </w:pPr>
      <w:bookmarkStart w:id="197" w:name="_Toc22841"/>
      <w:bookmarkStart w:id="198" w:name="_Toc24368"/>
      <w:bookmarkStart w:id="199" w:name="_Toc28751"/>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eastAsia="宋体" w:cs="宋体"/>
          <w:sz w:val="24"/>
          <w:szCs w:val="24"/>
        </w:rPr>
        <w:t>监狱企业声明（格式自拟）</w:t>
      </w:r>
      <w:bookmarkEnd w:id="197"/>
      <w:bookmarkEnd w:id="198"/>
      <w:bookmarkEnd w:id="199"/>
    </w:p>
    <w:p w14:paraId="0ED7B913">
      <w:pPr>
        <w:spacing w:line="360" w:lineRule="auto"/>
        <w:ind w:firstLine="480" w:firstLineChars="200"/>
        <w:rPr>
          <w:rFonts w:hint="eastAsia" w:ascii="宋体" w:hAnsi="宋体" w:eastAsia="宋体" w:cs="宋体"/>
          <w:sz w:val="24"/>
        </w:rPr>
      </w:pPr>
      <w:r>
        <w:rPr>
          <w:rFonts w:hint="eastAsia" w:ascii="宋体" w:hAnsi="宋体" w:eastAsia="宋体" w:cs="宋体"/>
          <w:sz w:val="24"/>
        </w:rPr>
        <w:t>由省级以上监狱管理局、戒毒管理局（含新疆生产建设兵团）出具的属于监狱企业证明文件。</w:t>
      </w:r>
    </w:p>
    <w:p w14:paraId="1FD8E132">
      <w:pPr>
        <w:rPr>
          <w:rFonts w:hint="eastAsia" w:ascii="宋体" w:hAnsi="宋体" w:eastAsia="宋体" w:cs="宋体"/>
        </w:rPr>
      </w:pPr>
    </w:p>
    <w:p w14:paraId="4D850EE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12A30556">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Pr>
        <w:t>商品包装和快递包装承诺</w:t>
      </w:r>
      <w:r>
        <w:rPr>
          <w:rFonts w:hint="eastAsia" w:ascii="宋体" w:hAnsi="宋体" w:eastAsia="宋体" w:cs="宋体"/>
          <w:b/>
          <w:bCs/>
          <w:sz w:val="24"/>
          <w:szCs w:val="24"/>
          <w:highlight w:val="none"/>
          <w:lang w:val="en-US" w:eastAsia="zh-CN"/>
        </w:rPr>
        <w:t>格式</w:t>
      </w:r>
    </w:p>
    <w:p w14:paraId="32BD8798">
      <w:pPr>
        <w:spacing w:line="48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商品包装和快递包装承诺</w:t>
      </w:r>
    </w:p>
    <w:p w14:paraId="3D4C94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的采购活动，本公司承诺所供商品包装符合《商品包装政府采购需求标准（试行）》，快递包装符合《快递包装政府采购需求标准（试行）》。</w:t>
      </w:r>
    </w:p>
    <w:p w14:paraId="416179D6">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34C4567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4152AF25">
      <w:pPr>
        <w:widowControl/>
        <w:spacing w:line="500" w:lineRule="exact"/>
        <w:ind w:firstLine="480" w:firstLineChars="200"/>
        <w:rPr>
          <w:rFonts w:hint="eastAsia" w:ascii="宋体" w:hAnsi="宋体" w:eastAsia="宋体" w:cs="宋体"/>
          <w:sz w:val="24"/>
          <w:szCs w:val="24"/>
          <w:highlight w:val="none"/>
        </w:rPr>
      </w:pPr>
    </w:p>
    <w:p w14:paraId="564D6071">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6A53CEA5">
      <w:pPr>
        <w:widowControl/>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664671F7">
      <w:pPr>
        <w:bidi w:val="0"/>
        <w:rPr>
          <w:rFonts w:hint="eastAsia"/>
          <w:lang w:val="en-US" w:eastAsia="zh-CN"/>
        </w:rPr>
      </w:pPr>
    </w:p>
    <w:p w14:paraId="24B71D91">
      <w:pPr>
        <w:bidi w:val="0"/>
        <w:rPr>
          <w:rFonts w:hint="eastAsia"/>
          <w:lang w:val="en-US" w:eastAsia="zh-CN"/>
        </w:rPr>
      </w:pPr>
    </w:p>
    <w:p w14:paraId="348CB82F">
      <w:pPr>
        <w:widowControl/>
        <w:numPr>
          <w:ilvl w:val="0"/>
          <w:numId w:val="0"/>
        </w:numPr>
        <w:snapToGrid w:val="0"/>
        <w:spacing w:line="500" w:lineRule="exact"/>
        <w:ind w:left="0" w:leftChars="0" w:right="641" w:rightChars="0" w:firstLine="0" w:firstLineChars="0"/>
        <w:jc w:val="left"/>
        <w:outlineLvl w:val="2"/>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1</w:t>
      </w:r>
      <w:r>
        <w:rPr>
          <w:rFonts w:hint="eastAsia" w:ascii="宋体" w:hAnsi="宋体" w:eastAsia="宋体" w:cs="宋体"/>
          <w:b/>
          <w:bCs/>
          <w:kern w:val="2"/>
          <w:sz w:val="24"/>
          <w:szCs w:val="24"/>
          <w:lang w:val="en-US" w:eastAsia="zh-CN" w:bidi="ar-SA"/>
        </w:rPr>
        <w:t>.</w:t>
      </w:r>
      <w:r>
        <w:rPr>
          <w:rFonts w:hint="eastAsia" w:ascii="宋体" w:hAnsi="宋体" w:eastAsia="宋体" w:cs="宋体"/>
          <w:b/>
          <w:bCs/>
          <w:sz w:val="24"/>
          <w:szCs w:val="24"/>
          <w:highlight w:val="none"/>
        </w:rPr>
        <w:t>符合绿色建筑和绿色建材政府采购需求承诺书格式</w:t>
      </w:r>
    </w:p>
    <w:p w14:paraId="017385D5">
      <w:pPr>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符合绿色建筑和绿色建材政府采购需求承诺书</w:t>
      </w:r>
    </w:p>
    <w:p w14:paraId="756967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pacing w:val="6"/>
          <w:sz w:val="24"/>
          <w:szCs w:val="24"/>
          <w:highlight w:val="none"/>
          <w:u w:val="single"/>
        </w:rPr>
        <w:t>（项目名称、项目编号）</w:t>
      </w:r>
      <w:r>
        <w:rPr>
          <w:rFonts w:hint="eastAsia" w:ascii="宋体" w:hAnsi="宋体" w:eastAsia="宋体" w:cs="宋体"/>
          <w:sz w:val="24"/>
          <w:szCs w:val="24"/>
          <w:highlight w:val="none"/>
        </w:rPr>
        <w:t>的采购活动，本公司承诺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p>
    <w:p w14:paraId="0044EDBB">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2669C857">
      <w:pPr>
        <w:pStyle w:val="18"/>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7A297F5">
      <w:pPr>
        <w:widowControl/>
        <w:spacing w:line="500" w:lineRule="exact"/>
        <w:ind w:firstLine="480" w:firstLineChars="200"/>
        <w:rPr>
          <w:rFonts w:hint="eastAsia" w:ascii="宋体" w:hAnsi="宋体" w:eastAsia="宋体" w:cs="宋体"/>
          <w:sz w:val="24"/>
          <w:szCs w:val="24"/>
          <w:highlight w:val="none"/>
        </w:rPr>
      </w:pPr>
    </w:p>
    <w:p w14:paraId="1ECCD9A4">
      <w:pPr>
        <w:widowControl/>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B33F2ED">
      <w:pPr>
        <w:widowControl/>
        <w:spacing w:line="5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日  期： </w:t>
      </w:r>
      <w:r>
        <w:rPr>
          <w:rFonts w:hint="eastAsia" w:ascii="宋体" w:hAnsi="宋体" w:eastAsia="宋体" w:cs="宋体"/>
          <w:sz w:val="24"/>
          <w:szCs w:val="24"/>
          <w:highlight w:val="none"/>
          <w:u w:val="single"/>
        </w:rPr>
        <w:t xml:space="preserve">                      </w:t>
      </w:r>
    </w:p>
    <w:p w14:paraId="33D22788">
      <w:pPr>
        <w:tabs>
          <w:tab w:val="left" w:pos="900"/>
        </w:tabs>
        <w:spacing w:line="360" w:lineRule="auto"/>
        <w:rPr>
          <w:rFonts w:hint="eastAsia" w:ascii="宋体" w:hAnsi="宋体" w:eastAsia="宋体" w:cs="宋体"/>
          <w:bCs/>
          <w:kern w:val="0"/>
          <w:szCs w:val="21"/>
        </w:rPr>
      </w:pPr>
    </w:p>
    <w:p w14:paraId="78E7A690">
      <w:pPr>
        <w:bidi w:val="0"/>
        <w:rPr>
          <w:rFonts w:hint="eastAsia"/>
          <w:lang w:val="en-US" w:eastAsia="zh-CN"/>
        </w:rPr>
      </w:pPr>
    </w:p>
    <w:p w14:paraId="2F4D1A8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5BFDCE1">
      <w:pPr>
        <w:pStyle w:val="4"/>
        <w:widowControl/>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创新产品或创新服务证明</w:t>
      </w:r>
      <w:r>
        <w:rPr>
          <w:rFonts w:hint="eastAsia" w:ascii="宋体" w:hAnsi="宋体" w:eastAsia="宋体" w:cs="宋体"/>
          <w:sz w:val="24"/>
          <w:szCs w:val="24"/>
          <w:lang w:val="en-US" w:eastAsia="zh-CN"/>
        </w:rPr>
        <w:t>格式</w:t>
      </w:r>
    </w:p>
    <w:p w14:paraId="47B9A9B2">
      <w:pPr>
        <w:pStyle w:val="32"/>
        <w:widowControl/>
        <w:spacing w:before="120" w:beforeLines="50" w:after="0" w:line="360" w:lineRule="auto"/>
        <w:jc w:val="center"/>
        <w:rPr>
          <w:rFonts w:hint="eastAsia" w:ascii="宋体" w:hAnsi="宋体" w:eastAsia="宋体" w:cs="宋体"/>
          <w:color w:val="auto"/>
          <w:sz w:val="24"/>
        </w:rPr>
      </w:pPr>
      <w:bookmarkStart w:id="200" w:name="_Toc19943"/>
      <w:bookmarkStart w:id="201" w:name="_Toc10148"/>
      <w:r>
        <w:rPr>
          <w:rFonts w:hint="eastAsia" w:ascii="宋体" w:hAnsi="宋体" w:eastAsia="宋体" w:cs="宋体"/>
          <w:color w:val="auto"/>
          <w:sz w:val="24"/>
        </w:rPr>
        <w:t>创新产品或创新服务明细表</w:t>
      </w:r>
      <w:bookmarkEnd w:id="200"/>
      <w:bookmarkEnd w:id="201"/>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11"/>
        <w:gridCol w:w="1992"/>
        <w:gridCol w:w="2152"/>
        <w:gridCol w:w="2998"/>
      </w:tblGrid>
      <w:tr w14:paraId="5038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4" w:type="pct"/>
            <w:vAlign w:val="center"/>
          </w:tcPr>
          <w:p w14:paraId="057C7C62">
            <w:pPr>
              <w:jc w:val="center"/>
              <w:rPr>
                <w:rFonts w:hint="eastAsia" w:ascii="宋体" w:hAnsi="宋体" w:eastAsia="宋体" w:cs="宋体"/>
                <w:bCs/>
                <w:szCs w:val="21"/>
              </w:rPr>
            </w:pPr>
            <w:r>
              <w:rPr>
                <w:rFonts w:hint="eastAsia" w:ascii="宋体" w:hAnsi="宋体" w:eastAsia="宋体" w:cs="宋体"/>
                <w:bCs/>
                <w:szCs w:val="21"/>
              </w:rPr>
              <w:t>包号</w:t>
            </w:r>
          </w:p>
        </w:tc>
        <w:tc>
          <w:tcPr>
            <w:tcW w:w="909" w:type="pct"/>
            <w:vAlign w:val="center"/>
          </w:tcPr>
          <w:p w14:paraId="3D184027">
            <w:pPr>
              <w:jc w:val="center"/>
              <w:rPr>
                <w:rFonts w:hint="eastAsia" w:ascii="宋体" w:hAnsi="宋体" w:eastAsia="宋体" w:cs="宋体"/>
                <w:bCs/>
                <w:szCs w:val="21"/>
              </w:rPr>
            </w:pPr>
            <w:r>
              <w:rPr>
                <w:rFonts w:hint="eastAsia" w:ascii="宋体" w:hAnsi="宋体" w:eastAsia="宋体" w:cs="宋体"/>
                <w:bCs/>
                <w:szCs w:val="21"/>
              </w:rPr>
              <w:t>制造商</w:t>
            </w:r>
          </w:p>
        </w:tc>
        <w:tc>
          <w:tcPr>
            <w:tcW w:w="1000" w:type="pct"/>
            <w:vAlign w:val="center"/>
          </w:tcPr>
          <w:p w14:paraId="549AD0FF">
            <w:pPr>
              <w:jc w:val="center"/>
              <w:rPr>
                <w:rFonts w:hint="eastAsia" w:ascii="宋体" w:hAnsi="宋体" w:eastAsia="宋体" w:cs="宋体"/>
                <w:bCs/>
                <w:szCs w:val="21"/>
              </w:rPr>
            </w:pPr>
            <w:r>
              <w:rPr>
                <w:rFonts w:hint="eastAsia" w:ascii="宋体" w:hAnsi="宋体" w:eastAsia="宋体" w:cs="宋体"/>
                <w:bCs/>
                <w:szCs w:val="21"/>
              </w:rPr>
              <w:t>规格型号</w:t>
            </w:r>
          </w:p>
        </w:tc>
        <w:tc>
          <w:tcPr>
            <w:tcW w:w="1080" w:type="pct"/>
            <w:vAlign w:val="center"/>
          </w:tcPr>
          <w:p w14:paraId="7C504C74">
            <w:pPr>
              <w:jc w:val="center"/>
              <w:rPr>
                <w:rFonts w:hint="eastAsia" w:ascii="宋体" w:hAnsi="宋体" w:eastAsia="宋体" w:cs="宋体"/>
                <w:bCs/>
                <w:szCs w:val="21"/>
              </w:rPr>
            </w:pPr>
            <w:r>
              <w:rPr>
                <w:rFonts w:hint="eastAsia" w:ascii="宋体" w:hAnsi="宋体" w:eastAsia="宋体" w:cs="宋体"/>
                <w:bCs/>
                <w:szCs w:val="21"/>
              </w:rPr>
              <w:t>认定文件</w:t>
            </w:r>
          </w:p>
        </w:tc>
        <w:tc>
          <w:tcPr>
            <w:tcW w:w="1505" w:type="pct"/>
            <w:vAlign w:val="center"/>
          </w:tcPr>
          <w:p w14:paraId="7BD20372">
            <w:pPr>
              <w:jc w:val="center"/>
              <w:rPr>
                <w:rFonts w:hint="eastAsia" w:ascii="宋体" w:hAnsi="宋体" w:eastAsia="宋体" w:cs="宋体"/>
                <w:bCs/>
                <w:szCs w:val="21"/>
              </w:rPr>
            </w:pPr>
            <w:r>
              <w:rPr>
                <w:rFonts w:hint="eastAsia" w:ascii="宋体" w:hAnsi="宋体" w:eastAsia="宋体" w:cs="宋体"/>
                <w:bCs/>
                <w:szCs w:val="21"/>
              </w:rPr>
              <w:t>认定机构名称</w:t>
            </w:r>
          </w:p>
        </w:tc>
      </w:tr>
      <w:tr w14:paraId="4E73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4" w:type="pct"/>
          </w:tcPr>
          <w:p w14:paraId="064E093D">
            <w:pPr>
              <w:rPr>
                <w:rFonts w:hint="eastAsia" w:ascii="宋体" w:hAnsi="宋体" w:eastAsia="宋体" w:cs="宋体"/>
                <w:bCs/>
                <w:szCs w:val="21"/>
              </w:rPr>
            </w:pPr>
          </w:p>
        </w:tc>
        <w:tc>
          <w:tcPr>
            <w:tcW w:w="909" w:type="pct"/>
          </w:tcPr>
          <w:p w14:paraId="2BAAD7BD">
            <w:pPr>
              <w:rPr>
                <w:rFonts w:hint="eastAsia" w:ascii="宋体" w:hAnsi="宋体" w:eastAsia="宋体" w:cs="宋体"/>
                <w:bCs/>
                <w:szCs w:val="21"/>
              </w:rPr>
            </w:pPr>
          </w:p>
        </w:tc>
        <w:tc>
          <w:tcPr>
            <w:tcW w:w="1000" w:type="pct"/>
          </w:tcPr>
          <w:p w14:paraId="48207A1B">
            <w:pPr>
              <w:rPr>
                <w:rFonts w:hint="eastAsia" w:ascii="宋体" w:hAnsi="宋体" w:eastAsia="宋体" w:cs="宋体"/>
                <w:bCs/>
                <w:szCs w:val="21"/>
              </w:rPr>
            </w:pPr>
          </w:p>
        </w:tc>
        <w:tc>
          <w:tcPr>
            <w:tcW w:w="1080" w:type="pct"/>
          </w:tcPr>
          <w:p w14:paraId="426ACF7F">
            <w:pPr>
              <w:rPr>
                <w:rFonts w:hint="eastAsia" w:ascii="宋体" w:hAnsi="宋体" w:eastAsia="宋体" w:cs="宋体"/>
                <w:bCs/>
                <w:szCs w:val="21"/>
              </w:rPr>
            </w:pPr>
          </w:p>
        </w:tc>
        <w:tc>
          <w:tcPr>
            <w:tcW w:w="1505" w:type="pct"/>
          </w:tcPr>
          <w:p w14:paraId="46F7DF04">
            <w:pPr>
              <w:rPr>
                <w:rFonts w:hint="eastAsia" w:ascii="宋体" w:hAnsi="宋体" w:eastAsia="宋体" w:cs="宋体"/>
                <w:bCs/>
                <w:szCs w:val="21"/>
              </w:rPr>
            </w:pPr>
          </w:p>
        </w:tc>
      </w:tr>
      <w:tr w14:paraId="2313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4" w:type="pct"/>
          </w:tcPr>
          <w:p w14:paraId="4E299F93">
            <w:pPr>
              <w:rPr>
                <w:rFonts w:hint="eastAsia" w:ascii="宋体" w:hAnsi="宋体" w:eastAsia="宋体" w:cs="宋体"/>
                <w:bCs/>
                <w:szCs w:val="21"/>
              </w:rPr>
            </w:pPr>
          </w:p>
        </w:tc>
        <w:tc>
          <w:tcPr>
            <w:tcW w:w="909" w:type="pct"/>
          </w:tcPr>
          <w:p w14:paraId="2DDAACF0">
            <w:pPr>
              <w:rPr>
                <w:rFonts w:hint="eastAsia" w:ascii="宋体" w:hAnsi="宋体" w:eastAsia="宋体" w:cs="宋体"/>
                <w:bCs/>
                <w:szCs w:val="21"/>
              </w:rPr>
            </w:pPr>
          </w:p>
        </w:tc>
        <w:tc>
          <w:tcPr>
            <w:tcW w:w="1000" w:type="pct"/>
          </w:tcPr>
          <w:p w14:paraId="7CE97FF3">
            <w:pPr>
              <w:rPr>
                <w:rFonts w:hint="eastAsia" w:ascii="宋体" w:hAnsi="宋体" w:eastAsia="宋体" w:cs="宋体"/>
                <w:bCs/>
                <w:szCs w:val="21"/>
              </w:rPr>
            </w:pPr>
          </w:p>
        </w:tc>
        <w:tc>
          <w:tcPr>
            <w:tcW w:w="1080" w:type="pct"/>
          </w:tcPr>
          <w:p w14:paraId="0A2EB3C4">
            <w:pPr>
              <w:rPr>
                <w:rFonts w:hint="eastAsia" w:ascii="宋体" w:hAnsi="宋体" w:eastAsia="宋体" w:cs="宋体"/>
                <w:bCs/>
                <w:szCs w:val="21"/>
              </w:rPr>
            </w:pPr>
          </w:p>
        </w:tc>
        <w:tc>
          <w:tcPr>
            <w:tcW w:w="1505" w:type="pct"/>
          </w:tcPr>
          <w:p w14:paraId="3EEC0DA2">
            <w:pPr>
              <w:rPr>
                <w:rFonts w:hint="eastAsia" w:ascii="宋体" w:hAnsi="宋体" w:eastAsia="宋体" w:cs="宋体"/>
                <w:bCs/>
                <w:szCs w:val="21"/>
              </w:rPr>
            </w:pPr>
          </w:p>
        </w:tc>
      </w:tr>
      <w:tr w14:paraId="4FD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4" w:type="pct"/>
          </w:tcPr>
          <w:p w14:paraId="30FA49B1">
            <w:pPr>
              <w:rPr>
                <w:rFonts w:hint="eastAsia" w:ascii="宋体" w:hAnsi="宋体" w:eastAsia="宋体" w:cs="宋体"/>
                <w:bCs/>
                <w:szCs w:val="21"/>
              </w:rPr>
            </w:pPr>
          </w:p>
        </w:tc>
        <w:tc>
          <w:tcPr>
            <w:tcW w:w="909" w:type="pct"/>
          </w:tcPr>
          <w:p w14:paraId="3CDA6089">
            <w:pPr>
              <w:rPr>
                <w:rFonts w:hint="eastAsia" w:ascii="宋体" w:hAnsi="宋体" w:eastAsia="宋体" w:cs="宋体"/>
                <w:bCs/>
                <w:szCs w:val="21"/>
              </w:rPr>
            </w:pPr>
          </w:p>
        </w:tc>
        <w:tc>
          <w:tcPr>
            <w:tcW w:w="1000" w:type="pct"/>
          </w:tcPr>
          <w:p w14:paraId="5A424CF6">
            <w:pPr>
              <w:rPr>
                <w:rFonts w:hint="eastAsia" w:ascii="宋体" w:hAnsi="宋体" w:eastAsia="宋体" w:cs="宋体"/>
                <w:bCs/>
                <w:szCs w:val="21"/>
              </w:rPr>
            </w:pPr>
          </w:p>
        </w:tc>
        <w:tc>
          <w:tcPr>
            <w:tcW w:w="1080" w:type="pct"/>
          </w:tcPr>
          <w:p w14:paraId="404B2276">
            <w:pPr>
              <w:rPr>
                <w:rFonts w:hint="eastAsia" w:ascii="宋体" w:hAnsi="宋体" w:eastAsia="宋体" w:cs="宋体"/>
                <w:bCs/>
                <w:szCs w:val="21"/>
              </w:rPr>
            </w:pPr>
          </w:p>
        </w:tc>
        <w:tc>
          <w:tcPr>
            <w:tcW w:w="1505" w:type="pct"/>
          </w:tcPr>
          <w:p w14:paraId="47A18280">
            <w:pPr>
              <w:rPr>
                <w:rFonts w:hint="eastAsia" w:ascii="宋体" w:hAnsi="宋体" w:eastAsia="宋体" w:cs="宋体"/>
                <w:bCs/>
                <w:szCs w:val="21"/>
              </w:rPr>
            </w:pPr>
          </w:p>
        </w:tc>
      </w:tr>
    </w:tbl>
    <w:p w14:paraId="4C4A2A2E">
      <w:pPr>
        <w:tabs>
          <w:tab w:val="left" w:pos="900"/>
        </w:tabs>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注：所投产品、服务属于《山西省创新产品和服务推荐清单》内容的，附有效证明文件复印件。</w:t>
      </w:r>
    </w:p>
    <w:p w14:paraId="541DAE67">
      <w:pPr>
        <w:rPr>
          <w:rFonts w:hint="eastAsia" w:ascii="宋体" w:hAnsi="宋体" w:eastAsia="宋体" w:cs="宋体"/>
        </w:rPr>
      </w:pPr>
    </w:p>
    <w:sectPr>
      <w:pgSz w:w="11905" w:h="16838"/>
      <w:pgMar w:top="1440" w:right="1080" w:bottom="1440" w:left="1080" w:header="1020"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A8D2">
    <w:pPr>
      <w:pStyle w:val="13"/>
      <w:pBdr>
        <w:top w:val="none" w:color="auto" w:sz="0"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D5FA">
    <w:pPr>
      <w:pStyle w:val="13"/>
      <w:pBdr>
        <w:top w:val="thickThinSmallGap" w:color="auto" w:sz="24" w:space="1"/>
      </w:pBdr>
      <w:rPr>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0D66C">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690D66C">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0938">
    <w:pPr>
      <w:pStyle w:val="13"/>
      <w:pBdr>
        <w:top w:val="thickThinSmallGap" w:color="auto" w:sz="24" w:space="1"/>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6AAA">
    <w:pPr>
      <w:pStyle w:val="13"/>
      <w:pBdr>
        <w:top w:val="thickThinSmallGap" w:color="auto" w:sz="24" w:space="1"/>
      </w:pBdr>
      <w:tabs>
        <w:tab w:val="center" w:pos="4872"/>
        <w:tab w:val="clear" w:pos="4153"/>
      </w:tabs>
      <w:rPr>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2CD2D">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A2CD2D">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b/>
        <w:sz w:val="21"/>
        <w:szCs w:val="21"/>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3243">
    <w:pPr>
      <w:pStyle w:val="13"/>
      <w:pBdr>
        <w:top w:val="thickThinSmallGap" w:color="auto" w:sz="24" w:space="1"/>
      </w:pBdr>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EDB095">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HpRwHLAQAAkw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Zwn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R6UcBywEAAJMDAAAOAAAAAAAAAAEAIAAAAB8BAABkcnMvZTJv&#10;RG9jLnhtbFBLBQYAAAAABgAGAFkBAABcBQAAAAA=&#10;">
              <v:fill on="f" focussize="0,0"/>
              <v:stroke on="f"/>
              <v:imagedata o:title=""/>
              <o:lock v:ext="edit" aspectratio="f"/>
              <v:textbox inset="0mm,0mm,0mm,0mm" style="mso-fit-shape-to-text:t;">
                <w:txbxContent>
                  <w:p w14:paraId="7CEDB095">
                    <w:pPr>
                      <w:pStyle w:val="13"/>
                    </w:pPr>
                    <w:r>
                      <w:fldChar w:fldCharType="begin"/>
                    </w:r>
                    <w:r>
                      <w:instrText xml:space="preserve"> PAGE  \* MERGEFORMAT </w:instrText>
                    </w:r>
                    <w:r>
                      <w:fldChar w:fldCharType="separate"/>
                    </w:r>
                    <w:r>
                      <w:t>4</w:t>
                    </w:r>
                    <w:r>
                      <w:fldChar w:fldCharType="end"/>
                    </w:r>
                  </w:p>
                </w:txbxContent>
              </v:textbox>
            </v:rect>
          </w:pict>
        </mc:Fallback>
      </mc:AlternateContent>
    </w:r>
    <w:r>
      <w:rPr>
        <w:rFonts w:hint="eastAsia"/>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BC25">
    <w:pPr>
      <w:pStyle w:val="13"/>
      <w:pBdr>
        <w:top w:val="thickThinSmallGap" w:color="auto" w:sz="24" w:space="1"/>
      </w:pBdr>
      <w:rPr>
        <w:b/>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D7F83">
                          <w:pPr>
                            <w:pStyle w:val="13"/>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BD7F83">
                    <w:pPr>
                      <w:pStyle w:val="13"/>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0A30">
    <w:pPr>
      <w:pStyle w:val="13"/>
      <w:pBdr>
        <w:top w:val="thickThinSmallGap" w:color="auto" w:sz="24" w:space="1"/>
      </w:pBdr>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C63798">
                          <w:pPr>
                            <w:pStyle w:val="13"/>
                          </w:pPr>
                          <w:r>
                            <w:fldChar w:fldCharType="begin"/>
                          </w:r>
                          <w:r>
                            <w:instrText xml:space="preserve"> PAGE  \* MERGEFORMAT </w:instrText>
                          </w:r>
                          <w:r>
                            <w:fldChar w:fldCharType="separate"/>
                          </w:r>
                          <w:r>
                            <w:t>24</w:t>
                          </w:r>
                          <w: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aINDLAQAAkwMAAA4AAABkcnMvZTJvRG9jLnhtbK1TS27bMBDdF8gd&#10;CO5rSU5R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V/V+QFZ05YevPzj+/nn7/P&#10;v57Y9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k2iDQywEAAJMDAAAOAAAAAAAAAAEAIAAAAB8BAABkcnMvZTJv&#10;RG9jLnhtbFBLBQYAAAAABgAGAFkBAABcBQAAAAA=&#10;">
              <v:fill on="f" focussize="0,0"/>
              <v:stroke on="f"/>
              <v:imagedata o:title=""/>
              <o:lock v:ext="edit" aspectratio="f"/>
              <v:textbox inset="0mm,0mm,0mm,0mm" style="mso-fit-shape-to-text:t;">
                <w:txbxContent>
                  <w:p w14:paraId="00C63798">
                    <w:pPr>
                      <w:pStyle w:val="13"/>
                    </w:pPr>
                    <w:r>
                      <w:fldChar w:fldCharType="begin"/>
                    </w:r>
                    <w:r>
                      <w:instrText xml:space="preserve"> PAGE  \* MERGEFORMAT </w:instrText>
                    </w:r>
                    <w:r>
                      <w:fldChar w:fldCharType="separate"/>
                    </w:r>
                    <w:r>
                      <w:t>24</w:t>
                    </w:r>
                    <w:r>
                      <w:fldChar w:fldCharType="end"/>
                    </w:r>
                  </w:p>
                </w:txbxContent>
              </v:textbox>
            </v:rect>
          </w:pict>
        </mc:Fallback>
      </mc:AlternateContent>
    </w:r>
    <w:r>
      <w:rPr>
        <w:rFonts w:hint="eastAsia"/>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A9F4">
    <w:pPr>
      <w:pStyle w:val="13"/>
      <w:pBdr>
        <w:top w:val="thickThinSmallGap" w:color="auto" w:sz="24" w:space="1"/>
      </w:pBd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3A0C">
                          <w:pPr>
                            <w:pStyle w:val="13"/>
                          </w:pPr>
                          <w:r>
                            <w:t xml:space="preserve">第 </w:t>
                          </w:r>
                          <w:r>
                            <w:fldChar w:fldCharType="begin"/>
                          </w:r>
                          <w:r>
                            <w:instrText xml:space="preserve"> PAGE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983A0C">
                    <w:pPr>
                      <w:pStyle w:val="13"/>
                    </w:pPr>
                    <w:r>
                      <w:t xml:space="preserve">第 </w:t>
                    </w:r>
                    <w:r>
                      <w:fldChar w:fldCharType="begin"/>
                    </w:r>
                    <w:r>
                      <w:instrText xml:space="preserve"> PAGE  \* MERGEFORMAT </w:instrText>
                    </w:r>
                    <w:r>
                      <w:fldChar w:fldCharType="separate"/>
                    </w:r>
                    <w:r>
                      <w:t>96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1054">
    <w:pPr>
      <w:pStyle w:val="13"/>
      <w:pBdr>
        <w:top w:val="thickThinSmallGap" w:color="auto" w:sz="24" w:space="1"/>
      </w:pBdr>
      <w:rPr>
        <w:b/>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C06C2">
                          <w:pPr>
                            <w:pStyle w:val="13"/>
                          </w:pPr>
                          <w:r>
                            <w:t xml:space="preserve">第 </w:t>
                          </w:r>
                          <w:r>
                            <w:fldChar w:fldCharType="begin"/>
                          </w:r>
                          <w:r>
                            <w:instrText xml:space="preserve"> PAGE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6C06C2">
                    <w:pPr>
                      <w:pStyle w:val="13"/>
                    </w:pPr>
                    <w:r>
                      <w:t xml:space="preserve">第 </w:t>
                    </w:r>
                    <w:r>
                      <w:fldChar w:fldCharType="begin"/>
                    </w:r>
                    <w:r>
                      <w:instrText xml:space="preserve"> PAGE  \* MERGEFORMAT </w:instrText>
                    </w:r>
                    <w:r>
                      <w:fldChar w:fldCharType="separate"/>
                    </w:r>
                    <w:r>
                      <w:t>97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1F35">
    <w:pPr>
      <w:pStyle w:val="14"/>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3199">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C272">
    <w:pPr>
      <w:pStyle w:val="14"/>
      <w:pBdr>
        <w:bottom w:val="thickThinSmallGap" w:color="auto" w:sz="24" w:space="1"/>
      </w:pBdr>
      <w:tabs>
        <w:tab w:val="left" w:pos="2744"/>
        <w:tab w:val="right" w:pos="9103"/>
      </w:tabs>
      <w:ind w:right="25" w:rightChars="12"/>
    </w:pPr>
    <w:r>
      <w:rPr>
        <w:rFonts w:hint="eastAsia"/>
        <w:b/>
        <w:bCs/>
        <w:lang w:eastAsia="zh-CN"/>
      </w:rPr>
      <w:t>山西省教育科技人才一体化服务产业云平台项目</w:t>
    </w:r>
    <w:r>
      <w:rPr>
        <w:rFonts w:hint="eastAsia"/>
        <w:b/>
        <w:bCs/>
        <w:lang w:val="en-US" w:eastAsia="zh-CN"/>
      </w:rPr>
      <w:t xml:space="preserve">     </w:t>
    </w:r>
    <w:r>
      <w:rPr>
        <w:rFonts w:hint="eastAsia"/>
        <w:b/>
        <w:bCs/>
      </w:rPr>
      <w:t>招标文件</w:t>
    </w:r>
  </w:p>
  <w:p w14:paraId="6FE06638">
    <w:pPr>
      <w:pStyle w:val="14"/>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2C95">
    <w:pPr>
      <w:pStyle w:val="14"/>
      <w:pBdr>
        <w:bottom w:val="thickThinSmallGap" w:color="auto" w:sz="24" w:space="1"/>
      </w:pBdr>
      <w:tabs>
        <w:tab w:val="left" w:pos="2744"/>
        <w:tab w:val="right" w:pos="9103"/>
      </w:tabs>
      <w:ind w:right="25" w:rightChars="12"/>
    </w:pPr>
    <w:r>
      <w:rPr>
        <w:rFonts w:hint="eastAsia"/>
        <w:b/>
        <w:bCs/>
      </w:rPr>
      <w:t>山西省医疗数字影像云平台建设项目项目招标文件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06B0">
    <w:pPr>
      <w:pStyle w:val="14"/>
      <w:pBdr>
        <w:bottom w:val="thickThinSmallGap" w:color="auto" w:sz="24" w:space="1"/>
      </w:pBdr>
      <w:tabs>
        <w:tab w:val="left" w:pos="2744"/>
        <w:tab w:val="right" w:pos="9103"/>
      </w:tabs>
      <w:ind w:right="25" w:rightChars="12"/>
      <w:rPr>
        <w:b/>
        <w:sz w:val="21"/>
        <w:szCs w:val="21"/>
      </w:rPr>
    </w:pPr>
    <w:r>
      <w:rPr>
        <w:rFonts w:hint="eastAsia"/>
        <w:b/>
        <w:bCs/>
        <w:lang w:eastAsia="zh-CN"/>
      </w:rPr>
      <w:t>山西省教育科技人才一体化服务产业云平台项目</w:t>
    </w:r>
    <w:r>
      <w:rPr>
        <w:rFonts w:hint="eastAsia"/>
        <w:b/>
        <w:bCs/>
        <w:lang w:val="en-US" w:eastAsia="zh-CN"/>
      </w:rPr>
      <w:t xml:space="preserve">    </w:t>
    </w:r>
    <w:r>
      <w:rPr>
        <w:rFonts w:hint="eastAsia"/>
        <w:b/>
        <w:bCs/>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798E">
    <w:pPr>
      <w:pStyle w:val="14"/>
      <w:pBdr>
        <w:bottom w:val="thickThinSmallGap" w:color="auto" w:sz="24" w:space="1"/>
      </w:pBdr>
      <w:tabs>
        <w:tab w:val="left" w:pos="2744"/>
        <w:tab w:val="right" w:pos="9103"/>
      </w:tabs>
      <w:ind w:right="25" w:rightChars="12"/>
    </w:pPr>
    <w:r>
      <w:rPr>
        <w:rFonts w:hint="eastAsia"/>
        <w:b/>
        <w:bCs/>
        <w:lang w:eastAsia="zh-CN"/>
      </w:rPr>
      <w:t>山西省教育科技人才一体化服务产业云平台项目</w:t>
    </w:r>
    <w:r>
      <w:rPr>
        <w:rFonts w:hint="eastAsia"/>
        <w:b/>
        <w:bCs/>
        <w:lang w:val="en-US" w:eastAsia="zh-CN"/>
      </w:rPr>
      <w:t xml:space="preserve">    </w:t>
    </w:r>
    <w:r>
      <w:rPr>
        <w:rFonts w:hint="eastAsia"/>
        <w:b/>
        <w:bCs/>
      </w:rPr>
      <w:t>招标文件</w:t>
    </w:r>
    <w:r>
      <w:pict>
        <v:shape id="_x0000_s4098" o:spid="_x0000_s4098" o:spt="136" type="#_x0000_t136" style="position:absolute;left:0pt;height:64.2pt;width:609.9pt;mso-position-horizontal:center;mso-position-horizontal-relative:margin;mso-position-vertical:center;mso-position-vertical-relative:margin;rotation:20643840f;z-index:-251657216;mso-width-relative:page;mso-height-relative:page;" fillcolor="#999999" filled="t" stroked="f" coordsize="21600,21600" o:allowincell="f">
          <v:path/>
          <v:fill on="t" opacity="32768f" focussize="0,0"/>
          <v:stroke on="f"/>
          <v:imagedata o:title=""/>
          <o:lock v:ext="edit"/>
          <v:textpath on="t" fitshape="t" fitpath="t" trim="f" xscale="f" string="中北大学采购合同NUC"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0CAE">
    <w:pPr>
      <w:pStyle w:val="14"/>
      <w:pBdr>
        <w:bottom w:val="thickThinSmallGap" w:color="auto" w:sz="24" w:space="1"/>
      </w:pBdr>
      <w:tabs>
        <w:tab w:val="left" w:pos="2744"/>
        <w:tab w:val="right" w:pos="9103"/>
      </w:tabs>
      <w:ind w:right="25" w:rightChars="12"/>
      <w:rPr>
        <w:b/>
        <w:sz w:val="21"/>
        <w:szCs w:val="21"/>
      </w:rPr>
    </w:pPr>
    <w:r>
      <w:rPr>
        <w:rFonts w:hint="eastAsia"/>
        <w:b/>
        <w:bCs/>
        <w:lang w:eastAsia="zh-CN"/>
      </w:rPr>
      <w:t>山西省教育科技人才一体化服务产业云平台项目</w:t>
    </w:r>
    <w:r>
      <w:rPr>
        <w:rFonts w:hint="eastAsia"/>
        <w:b/>
        <w:bCs/>
        <w:lang w:val="en-US" w:eastAsia="zh-CN"/>
      </w:rPr>
      <w:t xml:space="preserve">    </w:t>
    </w:r>
    <w:r>
      <w:rPr>
        <w:rFonts w:hint="eastAsia"/>
        <w:b/>
        <w:bC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9D522B"/>
    <w:multiLevelType w:val="multilevel"/>
    <w:tmpl w:val="729D522B"/>
    <w:lvl w:ilvl="0" w:tentative="0">
      <w:start w:val="1"/>
      <w:numFmt w:val="chineseCountingThousand"/>
      <w:lvlText w:val="%1、"/>
      <w:lvlJc w:val="left"/>
      <w:pPr>
        <w:ind w:left="420" w:hanging="420"/>
      </w:pPr>
      <w:rPr>
        <w:rFonts w:hint="default"/>
      </w:rPr>
    </w:lvl>
    <w:lvl w:ilvl="1" w:tentative="0">
      <w:start w:val="1"/>
      <w:numFmt w:val="lowerLetter"/>
      <w:lvlText w:val="%2)"/>
      <w:lvlJc w:val="left"/>
      <w:pPr>
        <w:tabs>
          <w:tab w:val="left" w:pos="1440"/>
        </w:tabs>
        <w:ind w:left="1440" w:hanging="420"/>
      </w:pPr>
      <w:rPr>
        <w:rFonts w:hint="eastAsia"/>
      </w:rPr>
    </w:lvl>
    <w:lvl w:ilvl="2" w:tentative="0">
      <w:start w:val="1"/>
      <w:numFmt w:val="lowerRoman"/>
      <w:lvlText w:val="%3."/>
      <w:lvlJc w:val="right"/>
      <w:pPr>
        <w:tabs>
          <w:tab w:val="left" w:pos="1860"/>
        </w:tabs>
        <w:ind w:left="1860" w:hanging="420"/>
      </w:pPr>
      <w:rPr>
        <w:rFonts w:hint="eastAsia"/>
      </w:rPr>
    </w:lvl>
    <w:lvl w:ilvl="3" w:tentative="0">
      <w:start w:val="1"/>
      <w:numFmt w:val="decimal"/>
      <w:lvlText w:val="%4."/>
      <w:lvlJc w:val="left"/>
      <w:pPr>
        <w:tabs>
          <w:tab w:val="left" w:pos="2280"/>
        </w:tabs>
        <w:ind w:left="2280" w:hanging="420"/>
      </w:pPr>
      <w:rPr>
        <w:rFonts w:hint="eastAsia"/>
      </w:rPr>
    </w:lvl>
    <w:lvl w:ilvl="4" w:tentative="0">
      <w:start w:val="1"/>
      <w:numFmt w:val="lowerLetter"/>
      <w:lvlText w:val="%5)"/>
      <w:lvlJc w:val="left"/>
      <w:pPr>
        <w:tabs>
          <w:tab w:val="left" w:pos="2700"/>
        </w:tabs>
        <w:ind w:left="2700" w:hanging="420"/>
      </w:pPr>
      <w:rPr>
        <w:rFonts w:hint="eastAsia"/>
      </w:rPr>
    </w:lvl>
    <w:lvl w:ilvl="5" w:tentative="0">
      <w:start w:val="1"/>
      <w:numFmt w:val="lowerRoman"/>
      <w:lvlText w:val="%6."/>
      <w:lvlJc w:val="right"/>
      <w:pPr>
        <w:tabs>
          <w:tab w:val="left" w:pos="3120"/>
        </w:tabs>
        <w:ind w:left="3120" w:hanging="420"/>
      </w:pPr>
      <w:rPr>
        <w:rFonts w:hint="eastAsia"/>
      </w:rPr>
    </w:lvl>
    <w:lvl w:ilvl="6" w:tentative="0">
      <w:start w:val="1"/>
      <w:numFmt w:val="decimal"/>
      <w:lvlText w:val="%7."/>
      <w:lvlJc w:val="left"/>
      <w:pPr>
        <w:tabs>
          <w:tab w:val="left" w:pos="3540"/>
        </w:tabs>
        <w:ind w:left="3540" w:hanging="420"/>
      </w:pPr>
      <w:rPr>
        <w:rFonts w:hint="eastAsia"/>
      </w:rPr>
    </w:lvl>
    <w:lvl w:ilvl="7" w:tentative="0">
      <w:start w:val="1"/>
      <w:numFmt w:val="lowerLetter"/>
      <w:lvlText w:val="%8)"/>
      <w:lvlJc w:val="left"/>
      <w:pPr>
        <w:tabs>
          <w:tab w:val="left" w:pos="3960"/>
        </w:tabs>
        <w:ind w:left="3960" w:hanging="420"/>
      </w:pPr>
      <w:rPr>
        <w:rFonts w:hint="eastAsia"/>
      </w:rPr>
    </w:lvl>
    <w:lvl w:ilvl="8" w:tentative="0">
      <w:start w:val="1"/>
      <w:numFmt w:val="lowerRoman"/>
      <w:lvlText w:val="%9."/>
      <w:lvlJc w:val="right"/>
      <w:pPr>
        <w:tabs>
          <w:tab w:val="left" w:pos="4380"/>
        </w:tabs>
        <w:ind w:left="43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ZiYjgwNDUwMjIyYmU0Y2IzNzMyMWNiYWUzZWIifQ=="/>
    <w:docVar w:name="KSO_WPS_MARK_KEY" w:val="f3780063-f5e4-49fe-9ee9-b457c3c95411"/>
  </w:docVars>
  <w:rsids>
    <w:rsidRoot w:val="00000000"/>
    <w:rsid w:val="002933A0"/>
    <w:rsid w:val="00E55A55"/>
    <w:rsid w:val="00FB2B5A"/>
    <w:rsid w:val="02D97D23"/>
    <w:rsid w:val="03254D39"/>
    <w:rsid w:val="03465B2E"/>
    <w:rsid w:val="050300F0"/>
    <w:rsid w:val="06197D08"/>
    <w:rsid w:val="089F058A"/>
    <w:rsid w:val="09E34638"/>
    <w:rsid w:val="0B1449A3"/>
    <w:rsid w:val="0E376545"/>
    <w:rsid w:val="0EF14C41"/>
    <w:rsid w:val="0FB7422B"/>
    <w:rsid w:val="10D534F6"/>
    <w:rsid w:val="10D815C3"/>
    <w:rsid w:val="124963EA"/>
    <w:rsid w:val="1269439D"/>
    <w:rsid w:val="12F85E90"/>
    <w:rsid w:val="13F866C4"/>
    <w:rsid w:val="151439D2"/>
    <w:rsid w:val="1556508E"/>
    <w:rsid w:val="163E4ABA"/>
    <w:rsid w:val="171C26FD"/>
    <w:rsid w:val="175D7709"/>
    <w:rsid w:val="1A332151"/>
    <w:rsid w:val="1C017C81"/>
    <w:rsid w:val="1D5E6424"/>
    <w:rsid w:val="1DF0665E"/>
    <w:rsid w:val="1ED1023E"/>
    <w:rsid w:val="1EDA07E2"/>
    <w:rsid w:val="22BF541C"/>
    <w:rsid w:val="22C051BB"/>
    <w:rsid w:val="22E545B0"/>
    <w:rsid w:val="237B5256"/>
    <w:rsid w:val="23C343DB"/>
    <w:rsid w:val="25D73BE3"/>
    <w:rsid w:val="262B2F0B"/>
    <w:rsid w:val="277420A7"/>
    <w:rsid w:val="27AB3CE7"/>
    <w:rsid w:val="27D55EAB"/>
    <w:rsid w:val="2904562C"/>
    <w:rsid w:val="2CD933E3"/>
    <w:rsid w:val="2D332013"/>
    <w:rsid w:val="2DB01E6A"/>
    <w:rsid w:val="300C0578"/>
    <w:rsid w:val="30790154"/>
    <w:rsid w:val="30DB6CFA"/>
    <w:rsid w:val="31EF6168"/>
    <w:rsid w:val="31FF75DF"/>
    <w:rsid w:val="324C1127"/>
    <w:rsid w:val="33C92430"/>
    <w:rsid w:val="343D6308"/>
    <w:rsid w:val="34430782"/>
    <w:rsid w:val="34E5618B"/>
    <w:rsid w:val="352F5302"/>
    <w:rsid w:val="37256F21"/>
    <w:rsid w:val="387C048B"/>
    <w:rsid w:val="387C653A"/>
    <w:rsid w:val="38BB4EB1"/>
    <w:rsid w:val="39D07118"/>
    <w:rsid w:val="3A9A3F80"/>
    <w:rsid w:val="3C7F4FE2"/>
    <w:rsid w:val="3CDC62D4"/>
    <w:rsid w:val="429A4C2D"/>
    <w:rsid w:val="444906F3"/>
    <w:rsid w:val="44547FAC"/>
    <w:rsid w:val="45E106AE"/>
    <w:rsid w:val="46AC6D17"/>
    <w:rsid w:val="46F636FE"/>
    <w:rsid w:val="497A30FC"/>
    <w:rsid w:val="4C483863"/>
    <w:rsid w:val="4D2717ED"/>
    <w:rsid w:val="4F582CE1"/>
    <w:rsid w:val="518640EB"/>
    <w:rsid w:val="51A64986"/>
    <w:rsid w:val="53784193"/>
    <w:rsid w:val="543F566E"/>
    <w:rsid w:val="554A11C4"/>
    <w:rsid w:val="55CA0F67"/>
    <w:rsid w:val="55DD5AFE"/>
    <w:rsid w:val="56B05E5E"/>
    <w:rsid w:val="57060C09"/>
    <w:rsid w:val="57165067"/>
    <w:rsid w:val="57C9579F"/>
    <w:rsid w:val="58A143B2"/>
    <w:rsid w:val="5A2B192F"/>
    <w:rsid w:val="5B580915"/>
    <w:rsid w:val="5BBD04E3"/>
    <w:rsid w:val="5CD037BE"/>
    <w:rsid w:val="5EE004E7"/>
    <w:rsid w:val="604C480C"/>
    <w:rsid w:val="60CF5742"/>
    <w:rsid w:val="61BB73CE"/>
    <w:rsid w:val="61D81859"/>
    <w:rsid w:val="62D21E5C"/>
    <w:rsid w:val="646F5052"/>
    <w:rsid w:val="64CF008A"/>
    <w:rsid w:val="651C7613"/>
    <w:rsid w:val="65FF4088"/>
    <w:rsid w:val="666808CA"/>
    <w:rsid w:val="666B518F"/>
    <w:rsid w:val="677E3169"/>
    <w:rsid w:val="69617A3B"/>
    <w:rsid w:val="6A745C1A"/>
    <w:rsid w:val="6AB96F4F"/>
    <w:rsid w:val="6B803527"/>
    <w:rsid w:val="6C276CBC"/>
    <w:rsid w:val="6C983716"/>
    <w:rsid w:val="6D190B9A"/>
    <w:rsid w:val="6E606A70"/>
    <w:rsid w:val="6ED24CBD"/>
    <w:rsid w:val="72296786"/>
    <w:rsid w:val="74215C59"/>
    <w:rsid w:val="763444AF"/>
    <w:rsid w:val="7752196A"/>
    <w:rsid w:val="777D6AC4"/>
    <w:rsid w:val="77D454DA"/>
    <w:rsid w:val="77D8606B"/>
    <w:rsid w:val="78946FBD"/>
    <w:rsid w:val="79113D13"/>
    <w:rsid w:val="7A7B02C9"/>
    <w:rsid w:val="7AAD1BE3"/>
    <w:rsid w:val="7ADC3C0C"/>
    <w:rsid w:val="7B3F7B7E"/>
    <w:rsid w:val="7C2743B0"/>
    <w:rsid w:val="7E573431"/>
    <w:rsid w:val="7F1F6722"/>
    <w:rsid w:val="7F8F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宋体"/>
      <w:b/>
      <w:bCs/>
      <w:kern w:val="0"/>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0"/>
    <w:pPr>
      <w:keepNext/>
      <w:keepLines/>
      <w:tabs>
        <w:tab w:val="left" w:pos="992"/>
      </w:tabs>
      <w:spacing w:before="280" w:after="290" w:line="376" w:lineRule="auto"/>
      <w:ind w:left="992" w:hanging="992"/>
      <w:outlineLvl w:val="4"/>
    </w:pPr>
    <w:rPr>
      <w:b/>
      <w:bCs/>
      <w:sz w:val="28"/>
      <w:szCs w:val="28"/>
    </w:rPr>
  </w:style>
  <w:style w:type="character" w:default="1" w:styleId="23">
    <w:name w:val="Default Paragraph Font"/>
    <w:qFormat/>
    <w:uiPriority w:val="0"/>
  </w:style>
  <w:style w:type="table" w:default="1" w:styleId="21">
    <w:name w:val="Normal Table"/>
    <w:qFormat/>
    <w:uiPriority w:val="0"/>
    <w:tblPr>
      <w:tblCellMar>
        <w:top w:w="0" w:type="dxa"/>
        <w:left w:w="108" w:type="dxa"/>
        <w:bottom w:w="0" w:type="dxa"/>
        <w:right w:w="108" w:type="dxa"/>
      </w:tblCellMar>
    </w:tblPr>
  </w:style>
  <w:style w:type="paragraph" w:customStyle="1" w:styleId="5">
    <w:name w:val="正文（段落）"/>
    <w:basedOn w:val="1"/>
    <w:qFormat/>
    <w:uiPriority w:val="0"/>
    <w:pPr>
      <w:spacing w:line="360" w:lineRule="atLeast"/>
      <w:ind w:firstLine="480"/>
    </w:pPr>
  </w:style>
  <w:style w:type="paragraph" w:styleId="7">
    <w:name w:val="table of authorities"/>
    <w:basedOn w:val="1"/>
    <w:next w:val="1"/>
    <w:unhideWhenUsed/>
    <w:qFormat/>
    <w:uiPriority w:val="99"/>
    <w:pPr>
      <w:ind w:left="420" w:leftChars="200"/>
    </w:pPr>
    <w:rPr>
      <w:rFonts w:hint="eastAsia" w:ascii="Times New Roman" w:hAnsi="Times New Roman"/>
      <w:szCs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rPr>
      <w:sz w:val="28"/>
      <w:szCs w:val="24"/>
    </w:rPr>
  </w:style>
  <w:style w:type="paragraph" w:styleId="11">
    <w:name w:val="Body Text Indent"/>
    <w:basedOn w:val="1"/>
    <w:semiHidden/>
    <w:unhideWhenUsed/>
    <w:qFormat/>
    <w:uiPriority w:val="99"/>
    <w:pPr>
      <w:spacing w:after="120"/>
      <w:ind w:left="420" w:leftChars="200"/>
    </w:pPr>
  </w:style>
  <w:style w:type="paragraph" w:styleId="12">
    <w:name w:val="Plain Text"/>
    <w:basedOn w:val="1"/>
    <w:qFormat/>
    <w:uiPriority w:val="99"/>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240" w:after="240"/>
    </w:pPr>
    <w:rPr>
      <w:rFonts w:ascii="Times New Roman" w:hAnsi="Times New Roman" w:eastAsia="仿宋"/>
      <w:sz w:val="36"/>
      <w:szCs w:val="24"/>
    </w:rPr>
  </w:style>
  <w:style w:type="paragraph" w:styleId="16">
    <w:name w:val="Subtitle"/>
    <w:basedOn w:val="1"/>
    <w:next w:val="1"/>
    <w:qFormat/>
    <w:uiPriority w:val="0"/>
    <w:pPr>
      <w:spacing w:afterLines="50"/>
      <w:jc w:val="center"/>
    </w:pPr>
    <w:rPr>
      <w:rFonts w:ascii="Times New Roman" w:hAnsi="Times New Roman" w:eastAsia="Times New Roman"/>
      <w:sz w:val="18"/>
      <w:szCs w:val="18"/>
    </w:rPr>
  </w:style>
  <w:style w:type="paragraph" w:styleId="17">
    <w:name w:val="toc 2"/>
    <w:basedOn w:val="1"/>
    <w:next w:val="1"/>
    <w:qFormat/>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10"/>
    <w:next w:val="1"/>
    <w:qFormat/>
    <w:uiPriority w:val="0"/>
    <w:pPr>
      <w:spacing w:line="360" w:lineRule="auto"/>
      <w:ind w:firstLine="422" w:firstLineChars="200"/>
    </w:pPr>
    <w:rPr>
      <w:rFonts w:ascii="宋体" w:hAnsi="宋体" w:eastAsia="宋体" w:cs="Times New Roman"/>
      <w:sz w:val="24"/>
      <w:szCs w:val="24"/>
    </w:rPr>
  </w:style>
  <w:style w:type="paragraph" w:styleId="20">
    <w:name w:val="Body Text First Indent 2"/>
    <w:basedOn w:val="11"/>
    <w:semiHidden/>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Emphasis"/>
    <w:qFormat/>
    <w:uiPriority w:val="0"/>
    <w:rPr>
      <w:color w:val="CC0033"/>
    </w:rPr>
  </w:style>
  <w:style w:type="paragraph" w:customStyle="1" w:styleId="27">
    <w:name w:val="列出段落1"/>
    <w:basedOn w:val="1"/>
    <w:qFormat/>
    <w:uiPriority w:val="0"/>
    <w:pPr>
      <w:ind w:firstLine="420" w:firstLineChars="200"/>
    </w:pPr>
    <w:rPr>
      <w:rFonts w:ascii="Times New Roman" w:hAnsi="Times New Roman"/>
      <w:szCs w:val="24"/>
    </w:rPr>
  </w:style>
  <w:style w:type="paragraph" w:styleId="28">
    <w:name w:val="List Paragraph"/>
    <w:basedOn w:val="1"/>
    <w:qFormat/>
    <w:uiPriority w:val="0"/>
    <w:pPr>
      <w:ind w:firstLine="420" w:firstLineChars="200"/>
    </w:pPr>
  </w:style>
  <w:style w:type="character" w:customStyle="1" w:styleId="29">
    <w:name w:val="NormalCharacter"/>
    <w:qFormat/>
    <w:uiPriority w:val="0"/>
  </w:style>
  <w:style w:type="paragraph" w:customStyle="1" w:styleId="30">
    <w:name w:val="正文首行缩进 21"/>
    <w:basedOn w:val="31"/>
    <w:next w:val="18"/>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1">
    <w:name w:val="正文文本缩进1"/>
    <w:basedOn w:val="1"/>
    <w:qFormat/>
    <w:uiPriority w:val="0"/>
    <w:pPr>
      <w:spacing w:after="120"/>
      <w:ind w:left="420" w:leftChars="200"/>
    </w:pPr>
    <w:rPr>
      <w:rFonts w:cs="黑体"/>
    </w:rPr>
  </w:style>
  <w:style w:type="paragraph" w:customStyle="1" w:styleId="32">
    <w:name w:val="标题 51"/>
    <w:basedOn w:val="6"/>
    <w:next w:val="10"/>
    <w:qFormat/>
    <w:uiPriority w:val="0"/>
    <w:pPr>
      <w:spacing w:line="416" w:lineRule="atLeast"/>
    </w:pPr>
    <w:rPr>
      <w:rFonts w:ascii="宋体" w:hAnsi="宋体"/>
      <w:color w:val="000000"/>
      <w:sz w:val="21"/>
    </w:rPr>
  </w:style>
  <w:style w:type="character" w:customStyle="1" w:styleId="33">
    <w:name w:val="font11"/>
    <w:basedOn w:val="23"/>
    <w:qFormat/>
    <w:uiPriority w:val="0"/>
    <w:rPr>
      <w:rFonts w:hint="eastAsia" w:ascii="宋体" w:hAnsi="宋体" w:eastAsia="宋体" w:cs="宋体"/>
      <w:color w:val="000000"/>
      <w:sz w:val="22"/>
      <w:szCs w:val="22"/>
      <w:u w:val="none"/>
    </w:rPr>
  </w:style>
  <w:style w:type="character" w:customStyle="1" w:styleId="34">
    <w:name w:val="font61"/>
    <w:basedOn w:val="23"/>
    <w:qFormat/>
    <w:uiPriority w:val="0"/>
    <w:rPr>
      <w:rFonts w:ascii="Calibri" w:hAnsi="Calibri" w:cs="Calibri"/>
      <w:color w:val="000000"/>
      <w:sz w:val="22"/>
      <w:szCs w:val="22"/>
      <w:u w:val="none"/>
    </w:rPr>
  </w:style>
  <w:style w:type="paragraph" w:customStyle="1" w:styleId="35">
    <w:name w:val="样式1"/>
    <w:basedOn w:val="1"/>
    <w:qFormat/>
    <w:uiPriority w:val="0"/>
    <w:pPr>
      <w:adjustRightInd w:val="0"/>
      <w:textAlignment w:val="baseline"/>
    </w:pPr>
    <w:rPr>
      <w:rFonts w:ascii="宋体" w:hAnsi="宋体" w:eastAsia="宋体" w:cs="Times New Roman"/>
      <w:kern w:val="0"/>
      <w:szCs w:val="21"/>
    </w:rPr>
  </w:style>
  <w:style w:type="paragraph" w:customStyle="1" w:styleId="36">
    <w:name w:val="Table Text"/>
    <w:basedOn w:val="1"/>
    <w:semiHidden/>
    <w:qFormat/>
    <w:uiPriority w:val="0"/>
    <w:rPr>
      <w:rFonts w:ascii="宋体" w:hAnsi="宋体" w:cs="宋体"/>
      <w:sz w:val="24"/>
      <w:lang w:eastAsia="en-US"/>
    </w:rPr>
  </w:style>
  <w:style w:type="character" w:customStyle="1" w:styleId="37">
    <w:name w:val="cf01"/>
    <w:qFormat/>
    <w:uiPriority w:val="0"/>
    <w:rPr>
      <w:rFonts w:hint="eastAsia" w:ascii="Microsoft YaHei UI" w:hAnsi="Microsoft YaHei UI" w:eastAsia="Microsoft YaHei UI"/>
      <w:sz w:val="18"/>
      <w:szCs w:val="18"/>
    </w:rPr>
  </w:style>
  <w:style w:type="table" w:customStyle="1" w:styleId="38">
    <w:name w:val="Table Normal"/>
    <w:semiHidden/>
    <w:unhideWhenUsed/>
    <w:qFormat/>
    <w:uiPriority w:val="0"/>
    <w:tblPr>
      <w:tblCellMar>
        <w:top w:w="0" w:type="dxa"/>
        <w:left w:w="0" w:type="dxa"/>
        <w:bottom w:w="0" w:type="dxa"/>
        <w:right w:w="0" w:type="dxa"/>
      </w:tblCellMar>
    </w:tblPr>
  </w:style>
  <w:style w:type="table" w:customStyle="1" w:styleId="39">
    <w:name w:val="网格型1"/>
    <w:basedOn w:val="2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40">
    <w:name w:val="网格型2"/>
    <w:basedOn w:val="2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41">
    <w:name w:val="网格型3"/>
    <w:basedOn w:val="2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http://www.nuc.edu.cn/yinx/images/xiaohui.gif" TargetMode="Externa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8"/>
  </customShpExts>
</s:customData>
</file>

<file path=customXml/item2.xml><?xml version="1.0" encoding="utf-8"?>
<contractReview xmlns="http://schemas.wps.cn/vas-ai-hub/contract-review">
  <reviewItems>
    <reviewItem>
      <errorID>bc2f8cde-e095-49f8-8efb-e4ae3f1fe96f</errorID>
      <errorWord>2026年03月</errorWord>
      <group>L1_Knowledge</group>
      <groupName>知识性问题</groupName>
      <ability>L2_Time</ability>
      <abilityName>日期时间</abilityName>
      <candidateList>
        <item>2026年3月</item>
      </candidateList>
      <explain>根据日常书写习惯，月份一般会省略前导零。</explain>
      <paraID>18FDB16B</paraID>
      <start>9</start>
      <end>17</end>
      <status>unmodified</status>
      <modifiedWord/>
      <trackRevisions>false</trackRevisions>
    </reviewItem>
    <reviewItem>
      <errorID>a9e570ce-1d6b-4394-8646-9d105ba9e5af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4366B6BB</paraID>
      <start>0</start>
      <end>2</end>
      <status>unmodified</status>
      <modifiedWord/>
      <trackRevisions>false</trackRevisions>
    </reviewItem>
    <reviewItem>
      <errorID>1ec910d3-c1c8-4e38-adfa-8a03fa065b92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540AE5DF</paraID>
      <start>0</start>
      <end>2</end>
      <status>unmodified</status>
      <modifiedWord/>
      <trackRevisions>false</trackRevisions>
    </reviewItem>
    <reviewItem>
      <errorID>f9de603b-b03a-4bfc-811b-c6c7bb7b735a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6A9C6868</paraID>
      <start>0</start>
      <end>2</end>
      <status>unmodified</status>
      <modifiedWord/>
      <trackRevisions>false</trackRevisions>
    </reviewItem>
    <reviewItem>
      <errorID>b7816e9f-a322-4489-993b-e4828568b920</errorID>
      <errorWord>上午00:00</errorWord>
      <group>L1_Knowledge</group>
      <groupName>知识性问题</groupName>
      <ability>L2_Time</ability>
      <abilityName>日期时间</abilityName>
      <candidateList/>
      <explain>时间与前缀不匹配，可能的时间前缀有“下午、晚上、凌晨、午夜”。</explain>
      <paraID>1B90B5B0</paraID>
      <start>29</start>
      <end>36</end>
      <status>unmodified</status>
      <modifiedWord/>
      <trackRevisions>false</trackRevisions>
    </reviewItem>
    <reviewItem>
      <errorID>fb276464-48a4-4b1b-9106-7397dc682dd7</errorID>
      <errorWord>[2002]1980号</errorWord>
      <group>L1_Knowledge</group>
      <groupName>知识性问题</groupName>
      <ability>L2_Knowledge</ability>
      <abilityName>其他知识</abilityName>
      <candidateList>
        <item>〔2002〕1980号</item>
      </candidateList>
      <explain>发文字号格式错误。</explain>
      <paraID>591E74FF</paraID>
      <start>30</start>
      <end>41</end>
      <status>unmodified</status>
      <modifiedWord/>
      <trackRevisions>false</trackRevisions>
    </reviewItem>
    <reviewItem>
      <errorID>efcd5a02-bf93-4dd4-a615-6ac8d8134594</errorID>
      <errorWord>[2003]857号</errorWord>
      <group>L1_Knowledge</group>
      <groupName>知识性问题</groupName>
      <ability>L2_Knowledge</ability>
      <abilityName>其他知识</abilityName>
      <candidateList>
        <item>〔2003〕857号</item>
      </candidateList>
      <explain>发文字号格式错误。</explain>
      <paraID>591E74FF</paraID>
      <start>50</start>
      <end>60</end>
      <status>unmodified</status>
      <modifiedWord/>
      <trackRevisions>false</trackRevisions>
    </reviewItem>
    <reviewItem>
      <errorID>bd20b68f-2157-4ccf-a8c5-d274496e5c99</errorID>
      <errorWord>：/</errorWord>
      <group>L1_Punc</group>
      <groupName>标点问题</groupName>
      <ability>L2_Punc</ability>
      <abilityName>标点符号检查</abilityName>
      <candidateList>
        <item>：</item>
      </candidateList>
      <explain/>
      <paraID>43F1A71C</paraID>
      <start>10</start>
      <end>12</end>
      <status>unmodified</status>
      <modifiedWord/>
      <trackRevisions>false</trackRevisions>
    </reviewItem>
    <reviewItem>
      <errorID>dc9e791c-3dd4-416f-aff3-a8b3123b0e7e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133ABCBA</paraID>
      <start>0</start>
      <end>2</end>
      <status>unmodified</status>
      <modifiedWord/>
      <trackRevisions>false</trackRevisions>
    </reviewItem>
    <reviewItem>
      <errorID>85c66df3-e427-4a37-a8b7-bf6f8c2f3c3d</errorID>
      <errorWord>.</errorWord>
      <group>L1_Punc</group>
      <groupName>标点问题</groupName>
      <ability>L2_Punc</ability>
      <abilityName>标点符号检查</abilityName>
      <candidateList>
        <item>、</item>
      </candidateList>
      <explain/>
      <paraID>67963B2A</paraID>
      <start>1</start>
      <end>2</end>
      <status>unmodified</status>
      <modifiedWord/>
      <trackRevisions>false</trackRevisions>
    </reviewItem>
    <reviewItem>
      <errorID>0dc038d3-adaa-4bbc-b504-371da8d9151d</errorID>
      <errorWord>。</errorWord>
      <group>L1_Punc</group>
      <groupName>标点问题</groupName>
      <ability>L2_Punc</ability>
      <abilityName>标点符号检查</abilityName>
      <candidateList>
        <item/>
      </candidateList>
      <explain/>
      <paraID> FE9CEEF</paraID>
      <start>205</start>
      <end>206</end>
      <status>unmodified</status>
      <modifiedWord/>
      <trackRevisions>false</trackRevisions>
    </reviewItem>
    <reviewItem>
      <errorID>f87f9169-ae89-4d94-90c2-3b538269485e</errorID>
      <errorWord>*</errorWord>
      <group>L1_Punc</group>
      <groupName>标点问题</groupName>
      <ability>L2_Punc</ability>
      <abilityName>标点符号检查</abilityName>
      <candidateList/>
      <explain/>
      <paraID>6E7C1D60</paraID>
      <start>0</start>
      <end>1</end>
      <status>unmodified</status>
      <modifiedWord/>
      <trackRevisions>false</trackRevisions>
    </reviewItem>
    <reviewItem>
      <errorID>4db887b0-2693-4322-a4e2-747e2f6f0269</errorID>
      <errorWord>(</errorWord>
      <group>L1_Format</group>
      <groupName>格式问题</groupName>
      <ability>L2_HalfPunc</ability>
      <abilityName>全半角检查</abilityName>
      <candidateList>
        <item>（</item>
      </candidateList>
      <explain>文本全半角错误。</explain>
      <paraID>6E7C1D60</paraID>
      <start>7</start>
      <end>8</end>
      <status>unmodified</status>
      <modifiedWord/>
      <trackRevisions>false</trackRevisions>
    </reviewItem>
    <reviewItem>
      <errorID>bb07947b-2aa4-4db1-b44f-befdf5fbf9c2</errorID>
      <errorWord>)</errorWord>
      <group>L1_Format</group>
      <groupName>格式问题</groupName>
      <ability>L2_HalfPunc</ability>
      <abilityName>全半角检查</abilityName>
      <candidateList>
        <item>）</item>
      </candidateList>
      <explain>文本全半角错误。</explain>
      <paraID>6E7C1D60</paraID>
      <start>17</start>
      <end>18</end>
      <status>unmodified</status>
      <modifiedWord/>
      <trackRevisions>false</trackRevisions>
    </reviewItem>
    <reviewItem>
      <errorID>ad423fbf-2845-4bcb-9910-b27d5fb966c0</errorID>
      <errorWord>；</errorWord>
      <group>L1_Punc</group>
      <groupName>标点问题</groupName>
      <ability>L2_Punc</ability>
      <abilityName>标点符号检查</abilityName>
      <candidateList>
        <item>。</item>
      </candidateList>
      <explain/>
      <paraID>6E7C1D60</paraID>
      <start>18</start>
      <end>19</end>
      <status>unmodified</status>
      <modifiedWord/>
      <trackRevisions>false</trackRevisions>
    </reviewItem>
    <reviewItem>
      <errorID>9111d859-f0d5-4c36-b48b-bc1711d1fbfe</errorID>
      <errorWord>*</errorWord>
      <group>L1_Punc</group>
      <groupName>标点问题</groupName>
      <ability>L2_Punc</ability>
      <abilityName>标点符号检查</abilityName>
      <candidateList/>
      <explain/>
      <paraID>1745771E</paraID>
      <start>0</start>
      <end>1</end>
      <status>unmodified</status>
      <modifiedWord/>
      <trackRevisions>false</trackRevisions>
    </reviewItem>
    <reviewItem>
      <errorID>6e8439d6-be00-4a6f-8679-9f73efa09679</errorID>
      <errorWord>(</errorWord>
      <group>L1_Format</group>
      <groupName>格式问题</groupName>
      <ability>L2_HalfPunc</ability>
      <abilityName>全半角检查</abilityName>
      <candidateList>
        <item>（</item>
      </candidateList>
      <explain>文本全半角错误。</explain>
      <paraID>1745771E</paraID>
      <start>9</start>
      <end>10</end>
      <status>unmodified</status>
      <modifiedWord/>
      <trackRevisions>false</trackRevisions>
    </reviewItem>
    <reviewItem>
      <errorID>07728bb8-cfd1-45f1-854d-da1f159cdeb9</errorID>
      <errorWord>)</errorWord>
      <group>L1_Format</group>
      <groupName>格式问题</groupName>
      <ability>L2_HalfPunc</ability>
      <abilityName>全半角检查</abilityName>
      <candidateList>
        <item>）</item>
      </candidateList>
      <explain>文本全半角错误。</explain>
      <paraID>1745771E</paraID>
      <start>19</start>
      <end>20</end>
      <status>unmodified</status>
      <modifiedWord/>
      <trackRevisions>false</trackRevisions>
    </reviewItem>
    <reviewItem>
      <errorID>a07bef12-8445-4af5-9aef-81b0fa73d578</errorID>
      <errorWord>*</errorWord>
      <group>L1_Punc</group>
      <groupName>标点问题</groupName>
      <ability>L2_Punc</ability>
      <abilityName>标点符号检查</abilityName>
      <candidateList/>
      <explain/>
      <paraID> C61B81A</paraID>
      <start>0</start>
      <end>1</end>
      <status>unmodified</status>
      <modifiedWord/>
      <trackRevisions>false</trackRevisions>
    </reviewItem>
    <reviewItem>
      <errorID>dc7a5ec2-9cc4-40ef-8533-99536849e673</errorID>
      <errorWord>(</errorWord>
      <group>L1_Format</group>
      <groupName>格式问题</groupName>
      <ability>L2_HalfPunc</ability>
      <abilityName>全半角检查</abilityName>
      <candidateList>
        <item>（</item>
      </candidateList>
      <explain>文本全半角错误。</explain>
      <paraID> C61B81A</paraID>
      <start>14</start>
      <end>15</end>
      <status>unmodified</status>
      <modifiedWord/>
      <trackRevisions>false</trackRevisions>
    </reviewItem>
    <reviewItem>
      <errorID>3bf40042-b27f-4baa-9237-d98ac9bc6397</errorID>
      <errorWord>)</errorWord>
      <group>L1_Format</group>
      <groupName>格式问题</groupName>
      <ability>L2_HalfPunc</ability>
      <abilityName>全半角检查</abilityName>
      <candidateList>
        <item>）</item>
      </candidateList>
      <explain>文本全半角错误。</explain>
      <paraID> C61B81A</paraID>
      <start>24</start>
      <end>25</end>
      <status>unmodified</status>
      <modifiedWord/>
      <trackRevisions>false</trackRevisions>
    </reviewItem>
    <reviewItem>
      <errorID>4473139a-589c-4dfe-89ca-fd7ade74693a</errorID>
      <errorWord>；</errorWord>
      <group>L1_Punc</group>
      <groupName>标点问题</groupName>
      <ability>L2_Punc</ability>
      <abilityName>标点符号检查</abilityName>
      <candidateList>
        <item>。</item>
      </candidateList>
      <explain/>
      <paraID> C61B81A</paraID>
      <start>25</start>
      <end>26</end>
      <status>unmodified</status>
      <modifiedWord/>
      <trackRevisions>false</trackRevisions>
    </reviewItem>
    <reviewItem>
      <errorID>fefb9758-eaca-4ccc-af57-abd26df22e38</errorID>
      <errorWord>*</errorWord>
      <group>L1_Punc</group>
      <groupName>标点问题</groupName>
      <ability>L2_Punc</ability>
      <abilityName>标点符号检查</abilityName>
      <candidateList/>
      <explain/>
      <paraID>2720F57C</paraID>
      <start>0</start>
      <end>1</end>
      <status>unmodified</status>
      <modifiedWord/>
      <trackRevisions>false</trackRevisions>
    </reviewItem>
    <reviewItem>
      <errorID>5f01b64c-8d55-4046-b999-3d5931c58202</errorID>
      <errorWord>(</errorWord>
      <group>L1_Format</group>
      <groupName>格式问题</groupName>
      <ability>L2_HalfPunc</ability>
      <abilityName>全半角检查</abilityName>
      <candidateList>
        <item>（</item>
      </candidateList>
      <explain>文本全半角错误。</explain>
      <paraID>2720F57C</paraID>
      <start>15</start>
      <end>16</end>
      <status>unmodified</status>
      <modifiedWord/>
      <trackRevisions>false</trackRevisions>
    </reviewItem>
    <reviewItem>
      <errorID>ad26e02f-8c66-499e-8cd6-051c34fcfe9d</errorID>
      <errorWord>)</errorWord>
      <group>L1_Format</group>
      <groupName>格式问题</groupName>
      <ability>L2_HalfPunc</ability>
      <abilityName>全半角检查</abilityName>
      <candidateList>
        <item>）</item>
      </candidateList>
      <explain>文本全半角错误。</explain>
      <paraID>2720F57C</paraID>
      <start>25</start>
      <end>26</end>
      <status>unmodified</status>
      <modifiedWord/>
      <trackRevisions>false</trackRevisions>
    </reviewItem>
    <reviewItem>
      <errorID>022571ea-ca38-448a-91b8-cbd623f1cc56</errorID>
      <errorWord>*</errorWord>
      <group>L1_Punc</group>
      <groupName>标点问题</groupName>
      <ability>L2_Punc</ability>
      <abilityName>标点符号检查</abilityName>
      <candidateList/>
      <explain/>
      <paraID>19BD39C1</paraID>
      <start>0</start>
      <end>1</end>
      <status>unmodified</status>
      <modifiedWord/>
      <trackRevisions>false</trackRevisions>
    </reviewItem>
    <reviewItem>
      <errorID>e54be561-2a0c-468e-85c1-ac8022f4c0ab</errorID>
      <errorWord>(</errorWord>
      <group>L1_Format</group>
      <groupName>格式问题</groupName>
      <ability>L2_HalfPunc</ability>
      <abilityName>全半角检查</abilityName>
      <candidateList>
        <item>（</item>
      </candidateList>
      <explain>文本全半角错误。</explain>
      <paraID>1995B595</paraID>
      <start>21</start>
      <end>22</end>
      <status>unmodified</status>
      <modifiedWord/>
      <trackRevisions>false</trackRevisions>
    </reviewItem>
    <reviewItem>
      <errorID>3152d83a-362e-46b4-a74d-17698b341995</errorID>
      <errorWord>)</errorWord>
      <group>L1_Format</group>
      <groupName>格式问题</groupName>
      <ability>L2_HalfPunc</ability>
      <abilityName>全半角检查</abilityName>
      <candidateList>
        <item>）</item>
      </candidateList>
      <explain>文本全半角错误。</explain>
      <paraID>1995B595</paraID>
      <start>31</start>
      <end>32</end>
      <status>unmodified</status>
      <modifiedWord/>
      <trackRevisions>false</trackRevisions>
    </reviewItem>
    <reviewItem>
      <errorID>e7da673d-eb58-4547-8f7a-67edccfbbf4e</errorID>
      <errorWord>,</errorWord>
      <group>L1_Format</group>
      <groupName>格式问题</groupName>
      <ability>L2_HalfPunc</ability>
      <abilityName>全半角检查</abilityName>
      <candidateList>
        <item>，</item>
      </candidateList>
      <explain>文本全半角错误。</explain>
      <paraID>679AC050</paraID>
      <start>27</start>
      <end>28</end>
      <status>unmodified</status>
      <modifiedWord/>
      <trackRevisions>false</trackRevisions>
    </reviewItem>
    <reviewItem>
      <errorID>add77a73-997b-471b-8163-ec34e046732d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264511EA</paraID>
      <start>0</start>
      <end>2</end>
      <status>unmodified</status>
      <modifiedWord/>
      <trackRevisions>false</trackRevisions>
    </reviewItem>
    <reviewItem>
      <errorID>56896e53-472a-48ef-b618-d9d2810180c8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49BDAE82</paraID>
      <start>0</start>
      <end>2</end>
      <status>unmodified</status>
      <modifiedWord/>
      <trackRevisions>false</trackRevisions>
    </reviewItem>
    <reviewItem>
      <errorID>31e091c7-14ff-4f40-a5a2-142bb0a4e0a1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79E56834</paraID>
      <start>0</start>
      <end>2</end>
      <status>unmodified</status>
      <modifiedWord/>
      <trackRevisions>false</trackRevisions>
    </reviewItem>
    <reviewItem>
      <errorID>1ea86403-ea33-4538-aa75-49233afaf78c</errorID>
      <errorWord>,</errorWord>
      <group>L1_Format</group>
      <groupName>格式问题</groupName>
      <ability>L2_HalfPunc</ability>
      <abilityName>全半角检查</abilityName>
      <candidateList>
        <item>，</item>
      </candidateList>
      <explain>文本全半角错误。</explain>
      <paraID>57095CDE</paraID>
      <start>16</start>
      <end>17</end>
      <status>unmodified</status>
      <modifiedWord/>
      <trackRevisions>false</trackRevisions>
    </reviewItem>
    <reviewItem>
      <errorID>5f976c41-c96c-4576-85d3-ef3aa2832c5b</errorID>
      <errorWord>优先</errorWord>
      <group>L1_Word</group>
      <groupName>字词问题</groupName>
      <ability>L2_Typo</ability>
      <abilityName>字词错误</abilityName>
      <candidateList>
        <item>应优先</item>
      </candidateList>
      <explain/>
      <paraID>2EFFF9F5</paraID>
      <start>41</start>
      <end>43</end>
      <status>unmodified</status>
      <modifiedWord/>
      <trackRevisions>false</trackRevisions>
    </reviewItem>
    <reviewItem>
      <errorID>ebcf6fa4-ee4c-4a2a-8adf-251f80b4e8f4</errorID>
      <errorWord>&lt;</errorWord>
      <group>L1_Format</group>
      <groupName>格式问题</groupName>
      <ability>L2_HalfPunc</ability>
      <abilityName>全半角检查</abilityName>
      <candidateList>
        <item>〈</item>
      </candidateList>
      <explain>文本全半角错误。</explain>
      <paraID>781FD130</paraID>
      <start>59</start>
      <end>60</end>
      <status>unmodified</status>
      <modifiedWord/>
      <trackRevisions>false</trackRevisions>
    </reviewItem>
    <reviewItem>
      <errorID>01185d9d-064e-481e-94f2-8c53c0264a49</errorID>
      <errorWord>&gt;</errorWord>
      <group>L1_Format</group>
      <groupName>格式问题</groupName>
      <ability>L2_HalfPunc</ability>
      <abilityName>全半角检查</abilityName>
      <candidateList>
        <item>〉</item>
      </candidateList>
      <explain>文本全半角错误。</explain>
      <paraID>781FD130</paraID>
      <start>90</start>
      <end>91</end>
      <status>unmodified</status>
      <modifiedWord/>
      <trackRevisions>false</trackRevisions>
    </reviewItem>
    <reviewItem>
      <errorID>544a4134-ea75-4456-9eb3-5703b28746b1</errorID>
      <errorWord>,</errorWord>
      <group>L1_Format</group>
      <groupName>格式问题</groupName>
      <ability>L2_HalfPunc</ability>
      <abilityName>全半角检查</abilityName>
      <candidateList>
        <item>，</item>
      </candidateList>
      <explain>文本全半角错误。</explain>
      <paraID>51DFE412</paraID>
      <start>12</start>
      <end>13</end>
      <status>unmodified</status>
      <modifiedWord/>
      <trackRevisions>false</trackRevisions>
    </reviewItem>
    <reviewItem>
      <errorID>f3f71548-e2f5-44ff-a5b2-b59216ef702f</errorID>
      <errorWord>,</errorWord>
      <group>L1_Format</group>
      <groupName>格式问题</groupName>
      <ability>L2_HalfPunc</ability>
      <abilityName>全半角检查</abilityName>
      <candidateList>
        <item>，</item>
      </candidateList>
      <explain>文本全半角错误。</explain>
      <paraID>51DFE412</paraID>
      <start>25</start>
      <end>26</end>
      <status>unmodified</status>
      <modifiedWord/>
      <trackRevisions>false</trackRevisions>
    </reviewItem>
    <reviewItem>
      <errorID>52e640b1-debc-4807-894f-108b9e685897</errorID>
      <errorWord>,</errorWord>
      <group>L1_Format</group>
      <groupName>格式问题</groupName>
      <ability>L2_HalfPunc</ability>
      <abilityName>全半角检查</abilityName>
      <candidateList>
        <item>，</item>
      </candidateList>
      <explain>文本全半角错误。</explain>
      <paraID>51DFE412</paraID>
      <start>48</start>
      <end>49</end>
      <status>unmodified</status>
      <modifiedWord/>
      <trackRevisions>false</trackRevisions>
    </reviewItem>
    <reviewItem>
      <errorID>4dad3961-9e8e-4228-bebf-1fa8b2c7fd35</errorID>
      <errorWord>,</errorWord>
      <group>L1_Format</group>
      <groupName>格式问题</groupName>
      <ability>L2_HalfPunc</ability>
      <abilityName>全半角检查</abilityName>
      <candidateList>
        <item>，</item>
      </candidateList>
      <explain>文本全半角错误。</explain>
      <paraID>51DFE412</paraID>
      <start>58</start>
      <end>59</end>
      <status>unmodified</status>
      <modifiedWord/>
      <trackRevisions>false</trackRevisions>
    </reviewItem>
    <reviewItem>
      <errorID>eb94d177-dce9-4953-877c-42a937341b9f</errorID>
      <errorWord>微</errorWord>
      <group>L1_Word</group>
      <groupName>字词问题</groupName>
      <ability>L2_Typo</ability>
      <abilityName>字词错误</abilityName>
      <candidateList>
        <item>微型</item>
      </candidateList>
      <explain/>
      <paraID>50C3220B</paraID>
      <start>6</start>
      <end>7</end>
      <status>unmodified</status>
      <modifiedWord/>
      <trackRevisions>false</trackRevisions>
    </reviewItem>
    <reviewItem>
      <errorID>ec358c8c-56f4-4bbc-90fa-76f5d10f877b</errorID>
      <errorWord>，</errorWord>
      <group>L1_Punc</group>
      <groupName>标点问题</groupName>
      <ability>L2_Punc</ability>
      <abilityName>标点符号检查</abilityName>
      <candidateList>
        <item/>
      </candidateList>
      <explain/>
      <paraID>65758FB5</paraID>
      <start>170</start>
      <end>171</end>
      <status>unmodified</status>
      <modifiedWord/>
      <trackRevisions>false</trackRevisions>
    </reviewItem>
    <reviewItem>
      <errorID>87ef45dd-f1ce-4204-8d0f-cc9292b7fb03</errorID>
      <errorWord>）</errorWord>
      <group>L1_Punc</group>
      <groupName>标点问题</groupName>
      <ability>L2_Punc</ability>
      <abilityName>标点符号检查</abilityName>
      <candidateList>
        <item>）。</item>
      </candidateList>
      <explain/>
      <paraID>65758FB5</paraID>
      <start>192</start>
      <end>193</end>
      <status>unmodified</status>
      <modifiedWord/>
      <trackRevisions>false</trackRevisions>
    </reviewItem>
    <reviewItem>
      <errorID>23fa51e1-7b3d-4750-a59d-7acf73b2e3f0</errorID>
      <errorWord>：</errorWord>
      <group>L1_Punc</group>
      <groupName>标点问题</groupName>
      <ability>L2_Punc</ability>
      <abilityName>标点符号检查</abilityName>
      <candidateList>
        <item>，</item>
      </candidateList>
      <explain/>
      <paraID>39AE2FCE</paraID>
      <start>26</start>
      <end>27</end>
      <status>unmodified</status>
      <modifiedWord/>
      <trackRevisions>false</trackRevisions>
    </reviewItem>
    <reviewItem>
      <errorID>2497e0dd-c96a-486a-b1a0-0517d7b546f6</errorID>
      <errorWord>上报</errorWord>
      <group>L1_Grammar</group>
      <groupName>语法问题</groupName>
      <ability>L2_Grammar</ability>
      <abilityName>语法错误</abilityName>
      <candidateList>
        <item>情况上报</item>
      </candidateList>
      <explain/>
      <paraID>406594AE</paraID>
      <start>43</start>
      <end>45</end>
      <status>unmodified</status>
      <modifiedWord/>
      <trackRevisions>false</trackRevisions>
    </reviewItem>
    <reviewItem>
      <errorID>2937b0d2-926e-4921-aa51-a0c8918054be</errorID>
      <errorWord>【2017】141号</errorWord>
      <group>L1_Knowledge</group>
      <groupName>知识性问题</groupName>
      <ability>L2_Knowledge</ability>
      <abilityName>其他知识</abilityName>
      <candidateList>
        <item>〔2017〕141号</item>
      </candidateList>
      <explain>发文字号格式错误。</explain>
      <paraID>26CB801A</paraID>
      <start>8</start>
      <end>18</end>
      <status>unmodified</status>
      <modifiedWord/>
      <trackRevisions>false</trackRevisions>
    </reviewItem>
    <reviewItem>
      <errorID>0c8d01a3-2ed1-445d-92bc-24b20faa3b03</errorID>
      <errorWord>只有</errorWord>
      <group>L1_Word</group>
      <groupName>字词问题</groupName>
      <ability>L2_Typo</ability>
      <abilityName>字词错误</abilityName>
      <candidateList>
        <item>若</item>
      </candidateList>
      <explain/>
      <paraID>6E78E1A9</paraID>
      <start>7</start>
      <end>9</end>
      <status>unmodified</status>
      <modifiedWord/>
      <trackRevisions>false</trackRevisions>
    </reviewItem>
    <reviewItem>
      <errorID>80e80068-b873-4e21-a779-80c2c593243a</errorID>
      <errorWord>、</errorWord>
      <group>L1_Word</group>
      <groupName>字词问题</groupName>
      <ability>L2_Typo</ability>
      <abilityName>字词错误</abilityName>
      <candidateList>
        <item>、小</item>
      </candidateList>
      <explain/>
      <paraID>6E78E1A9</paraID>
      <start>30</start>
      <end>31</end>
      <status>unmodified</status>
      <modifiedWord/>
      <trackRevisions>false</trackRevisions>
    </reviewItem>
    <reviewItem>
      <errorID>65170a0b-a0cf-4ea5-bf43-285f09b1a821</errorID>
      <errorWord>享受</errorWord>
      <group>L1_Word</group>
      <groupName>字词问题</groupName>
      <ability>L2_Typo</ability>
      <abilityName>字词错误</abilityName>
      <candidateList>
        <item>可享受</item>
      </candidateList>
      <explain/>
      <paraID>6E78E1A9</paraID>
      <start>40</start>
      <end>42</end>
      <status>unmodified</status>
      <modifiedWord/>
      <trackRevisions>false</trackRevisions>
    </reviewItem>
    <reviewItem>
      <errorID>65fe4074-8675-45cc-9521-221221a216d4</errorID>
      <errorWord>》</errorWord>
      <group>L1_Word</group>
      <groupName>字词问题</groupName>
      <ability>L2_Typo</ability>
      <abilityName>字词错误</abilityName>
      <candidateList>
        <item>》和</item>
      </candidateList>
      <explain/>
      <paraID>2FA8695F</paraID>
      <start>21</start>
      <end>22</end>
      <status>unmodified</status>
      <modifiedWord/>
      <trackRevisions>false</trackRevisions>
    </reviewItem>
    <reviewItem>
      <errorID>2c62f630-bcd7-46c6-9427-03beb898a52e</errorID>
      <errorWord>涉及到</errorWord>
      <group>L1_Grammar</group>
      <groupName>语法问题</groupName>
      <ability>L2_Grammar</ability>
      <abilityName>语法错误</abilityName>
      <candidateList>
        <item>涉及</item>
      </candidateList>
      <explain>〈动〉牵涉到；关联到：案子～好几个人｜这个问题～面很广。</explain>
      <paraID>6BDA3C74</paraID>
      <start>20</start>
      <end>23</end>
      <status>unmodified</status>
      <modifiedWord/>
      <trackRevisions>false</trackRevisions>
    </reviewItem>
    <reviewItem>
      <errorID>8767a61a-cff1-40aa-9176-4f10e2959d0d</errorID>
      <errorWord>中</errorWord>
      <group>L1_Word</group>
      <groupName>字词问题</groupName>
      <ability>L2_Typo</ability>
      <abilityName>字词错误</abilityName>
      <candidateList>
        <item>时</item>
      </candidateList>
      <explain/>
      <paraID>6BDA3C74</paraID>
      <start>132</start>
      <end>133</end>
      <status>unmodified</status>
      <modifiedWord/>
      <trackRevisions>false</trackRevisions>
    </reviewItem>
    <reviewItem>
      <errorID>7dfef698-f7f6-4b33-a0fe-e373e0e679af</errorID>
      <errorWord>“符合绿色建筑和绿色建材政府采购需求承诺书”</errorWord>
      <group>L1_Punc</group>
      <groupName>标点问题</groupName>
      <ability>L2_Punc</ability>
      <abilityName>标点符号检查</abilityName>
      <candidateList>
        <item>《符合绿色建筑和绿色建材政府采购需求承诺书》</item>
      </candidateList>
      <explain/>
      <paraID>6BDA3C74</paraID>
      <start>136</start>
      <end>158</end>
      <status>unmodified</status>
      <modifiedWord/>
      <trackRevisions>false</trackRevisions>
    </reviewItem>
    <reviewItem>
      <errorID>4d81790c-5291-4ef6-b4bb-b5ccf00a45a6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74C78B1A</paraID>
      <start>0</start>
      <end>2</end>
      <status>unmodified</status>
      <modifiedWord/>
      <trackRevisions>false</trackRevisions>
    </reviewItem>
    <reviewItem>
      <errorID>d818c195-6862-424b-9bc8-d8e4b81857e5</errorID>
      <errorWord>⑴</errorWord>
      <group>L1_Grammar</group>
      <groupName>语法问题</groupName>
      <ability>L2_Grammar</ability>
      <abilityName>语法错误</abilityName>
      <candidateList>
        <item>（1）</item>
      </candidateList>
      <explain/>
      <paraID>620DBDD9</paraID>
      <start>0</start>
      <end>1</end>
      <status>unmodified</status>
      <modifiedWord/>
      <trackRevisions>false</trackRevisions>
    </reviewItem>
    <reviewItem>
      <errorID>3d9e346e-c225-4518-b651-47da15b96b9f</errorID>
      <errorWord>：</errorWord>
      <group>L1_Punc</group>
      <groupName>标点问题</groupName>
      <ability>L2_Punc</ability>
      <abilityName>标点符号检查</abilityName>
      <candidateList>
        <item/>
      </candidateList>
      <explain/>
      <paraID>620DBDD9</paraID>
      <start>28</start>
      <end>29</end>
      <status>unmodified</status>
      <modifiedWord/>
      <trackRevisions>false</trackRevisions>
    </reviewItem>
    <reviewItem>
      <errorID>3e4346e4-ad8a-4323-ad66-cb23fdaf9c12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3DCD540D</paraID>
      <start>0</start>
      <end>2</end>
      <status>unmodified</status>
      <modifiedWord/>
      <trackRevisions>false</trackRevisions>
    </reviewItem>
    <reviewItem>
      <errorID>ef71fa7d-5178-484f-8a53-0f85d6002977</errorID>
      <errorWord>[2002]1980号</errorWord>
      <group>L1_Knowledge</group>
      <groupName>知识性问题</groupName>
      <ability>L2_Knowledge</ability>
      <abilityName>其他知识</abilityName>
      <candidateList>
        <item>〔2002〕1980号</item>
      </candidateList>
      <explain>发文字号格式错误。</explain>
      <paraID>32C140D1</paraID>
      <start>45</start>
      <end>56</end>
      <status>unmodified</status>
      <modifiedWord/>
      <trackRevisions>false</trackRevisions>
    </reviewItem>
    <reviewItem>
      <errorID>64e3e2f2-a438-411d-b2c1-6f0e4274e392</errorID>
      <errorWord>[2003]857号</errorWord>
      <group>L1_Knowledge</group>
      <groupName>知识性问题</groupName>
      <ability>L2_Knowledge</ability>
      <abilityName>其他知识</abilityName>
      <candidateList>
        <item>〔2003〕857号</item>
      </candidateList>
      <explain>发文字号格式错误。</explain>
      <paraID>32C140D1</paraID>
      <start>65</start>
      <end>75</end>
      <status>unmodified</status>
      <modifiedWord/>
      <trackRevisions>false</trackRevisions>
    </reviewItem>
    <reviewItem>
      <errorID>5ba0cff9-e899-48f2-9dae-ae84fe7a8a27</errorID>
      <errorWord>收取服务费</errorWord>
      <group>L1_Grammar</group>
      <groupName>语法问题</groupName>
      <ability>L2_Grammar</ability>
      <abilityName>语法错误</abilityName>
      <candidateList>
        <item>收取</item>
      </candidateList>
      <explain/>
      <paraID>32C140D1</paraID>
      <start>87</start>
      <end>92</end>
      <status>unmodified</status>
      <modifiedWord/>
      <trackRevisions>false</trackRevisions>
    </reviewItem>
    <reviewItem>
      <errorID>14b16d8e-2897-4afc-9926-fc52acd32a4a</errorID>
      <errorWord>参加</errorWord>
      <group>L1_Word</group>
      <groupName>字词问题</groupName>
      <ability>L2_Typo</ability>
      <abilityName>字词错误</abilityName>
      <candidateList>
        <item>并参加</item>
      </candidateList>
      <explain/>
      <paraID>1E1D5269</paraID>
      <start>28</start>
      <end>30</end>
      <status>unmodified</status>
      <modifiedWord/>
      <trackRevisions>false</trackRevisions>
    </reviewItem>
    <reviewItem>
      <errorID>6968271e-f1f9-48f6-bb70-d78d5ba85851</errorID>
      <errorWord>并提交</errorWord>
      <group>L1_Word</group>
      <groupName>字词问题</groupName>
      <ability>L2_Typo</ability>
      <abilityName>字词错误</abilityName>
      <candidateList>
        <item>提交了</item>
      </candidateList>
      <explain/>
      <paraID>1E1D5269</paraID>
      <start>33</start>
      <end>36</end>
      <status>unmodified</status>
      <modifiedWord/>
      <trackRevisions>false</trackRevisions>
    </reviewItem>
    <reviewItem>
      <errorID>5ac44801-9fef-4a05-a1bb-af2a9584d9a1</errorID>
      <errorWord>文件、最后投标</errorWord>
      <group>L1_Grammar</group>
      <groupName>语法问题</groupName>
      <ability>L2_Grammar</ability>
      <abilityName>语法错误</abilityName>
      <candidateList>
        <item>文件</item>
      </candidateList>
      <explain/>
      <paraID>1E1D5269</paraID>
      <start>38</start>
      <end>45</end>
      <status>unmodified</status>
      <modifiedWord/>
      <trackRevisions>false</trackRevisions>
    </reviewItem>
    <reviewItem>
      <errorID>b1d66ca4-2962-4392-a111-f773f4873a4e</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18497673</paraID>
      <start>36</start>
      <end>41</end>
      <status>unmodified</status>
      <modifiedWord/>
      <trackRevisions>false</trackRevisions>
    </reviewItem>
    <reviewItem>
      <errorID>a1632eed-7b74-466f-b8f1-7e9283747fb9</errorID>
      <errorWord>和</errorWord>
      <group>L1_Word</group>
      <groupName>字词问题</groupName>
      <ability>L2_Typo</ability>
      <abilityName>字词错误</abilityName>
      <candidateList>
        <item>以及</item>
      </candidateList>
      <explain/>
      <paraID>7B420D93</paraID>
      <start>26</start>
      <end>27</end>
      <status>unmodified</status>
      <modifiedWord/>
      <trackRevisions>false</trackRevisions>
    </reviewItem>
    <reviewItem>
      <errorID>547587f2-0044-478a-8615-71e8374abc8a</errorID>
      <errorWord>必须是</errorWord>
      <group>L1_Word</group>
      <groupName>字词问题</groupName>
      <ability>L2_Typo</ability>
      <abilityName>字词错误</abilityName>
      <candidateList>
        <item>必须</item>
      </candidateList>
      <explain/>
      <paraID>6DB1DACB</paraID>
      <start>6</start>
      <end>9</end>
      <status>unmodified</status>
      <modifiedWord/>
      <trackRevisions>false</trackRevisions>
    </reviewItem>
    <reviewItem>
      <errorID>7a4d54e0-4b7d-4f40-88d8-c60065bded05</errorID>
      <errorWord>及</errorWord>
      <group>L1_Word</group>
      <groupName>字词问题</groupName>
      <ability>L2_Typo</ability>
      <abilityName>字词错误</abilityName>
      <candidateList>
        <item>，并</item>
      </candidateList>
      <explain/>
      <paraID>6DB1DACB</paraID>
      <start>62</start>
      <end>63</end>
      <status>unmodified</status>
      <modifiedWord/>
      <trackRevisions>false</trackRevisions>
    </reviewItem>
    <reviewItem>
      <errorID>469b991e-b4ab-497c-b781-12fbc7cab4b1</errorID>
      <errorWord>能够</errorWord>
      <group>L1_Word</group>
      <groupName>字词问题</groupName>
      <ability>L2_Typo</ability>
      <abilityName>字词错误</abilityName>
      <candidateList>
        <item>以</item>
      </candidateList>
      <explain/>
      <paraID>6DB1DACB</paraID>
      <start>141</start>
      <end>143</end>
      <status>unmodified</status>
      <modifiedWord/>
      <trackRevisions>false</trackRevisions>
    </reviewItem>
    <reviewItem>
      <errorID>3c335d6b-2835-4517-b5ca-fa2b782e58dc</errorID>
      <errorWord>将</errorWord>
      <group>L1_Grammar</group>
      <groupName>语法问题</groupName>
      <ability>L2_Grammar</ability>
      <abilityName>语法错误</abilityName>
      <candidateList>
        <item>其投标将</item>
      </candidateList>
      <explain/>
      <paraID>56301886</paraID>
      <start>57</start>
      <end>58</end>
      <status>unmodified</status>
      <modifiedWord/>
      <trackRevisions>false</trackRevisions>
    </reviewItem>
    <reviewItem>
      <errorID>385691cf-34af-4436-b071-0a0681d80fba</errorID>
      <errorWord>其</errorWord>
      <group>L1_Grammar</group>
      <groupName>语法问题</groupName>
      <ability>L2_Grammar</ability>
      <abilityName>语法错误</abilityName>
      <candidateList>
        <item>，不得</item>
      </candidateList>
      <explain/>
      <paraID>56301886</paraID>
      <start>61</start>
      <end>62</end>
      <status>unmodified</status>
      <modifiedWord/>
      <trackRevisions>false</trackRevisions>
    </reviewItem>
    <reviewItem>
      <errorID>df22aa66-e98d-4621-8565-425358c4cd34</errorID>
      <errorWord>不会产生</errorWord>
      <group>L1_Grammar</group>
      <groupName>语法问题</groupName>
      <ability>L2_Grammar</ability>
      <abilityName>语法错误</abilityName>
      <candidateList>
        <item>不会</item>
      </candidateList>
      <explain/>
      <paraID>5FB4E0F4</paraID>
      <start>36</start>
      <end>40</end>
      <status>unmodified</status>
      <modifiedWord/>
      <trackRevisions>false</trackRevisions>
    </reviewItem>
    <reviewItem>
      <errorID>a2f6e422-47eb-4cad-84f3-eaab021d1c4f</errorID>
      <errorWord>其它</errorWord>
      <group>L1_Word</group>
      <groupName>字词问题</groupName>
      <ability>L2_Typo</ability>
      <abilityName>字词错误</abilityName>
      <candidateList>
        <item>其他</item>
      </candidateList>
      <explain/>
      <paraID>5FB4E0F4</paraID>
      <start>57</start>
      <end>59</end>
      <status>unmodified</status>
      <modifiedWord/>
      <trackRevisions>false</trackRevisions>
    </reviewItem>
    <reviewItem>
      <errorID>788c0596-360c-4e99-a152-083d8f5a266d</errorID>
      <errorWord>引起的</errorWord>
      <group>L1_Word</group>
      <groupName>字词问题</groupName>
      <ability>L2_Typo</ability>
      <abilityName>字词错误</abilityName>
      <candidateList>
        <item>产生</item>
      </candidateList>
      <explain/>
      <paraID>5FB4E0F4</paraID>
      <start>64</start>
      <end>67</end>
      <status>unmodified</status>
      <modifiedWord/>
      <trackRevisions>false</trackRevisions>
    </reviewItem>
    <reviewItem>
      <errorID>409932c7-094a-401f-b274-ef26b2c600bc</errorID>
      <errorWord>，</errorWord>
      <group>L1_Punc</group>
      <groupName>标点问题</groupName>
      <ability>L2_Punc</ability>
      <abilityName>标点符号检查</abilityName>
      <candidateList>
        <item>。</item>
      </candidateList>
      <explain/>
      <paraID>5FB4E0F4</paraID>
      <start>74</start>
      <end>75</end>
      <status>unmodified</status>
      <modifiedWord/>
      <trackRevisions>false</trackRevisions>
    </reviewItem>
    <reviewItem>
      <errorID>9e14d7d1-c63d-4cda-a813-be26f9909bb8</errorID>
      <errorWord>其它</errorWord>
      <group>L1_Word</group>
      <groupName>字词问题</groupName>
      <ability>L2_Typo</ability>
      <abilityName>字词错误</abilityName>
      <candidateList>
        <item>其他</item>
      </candidateList>
      <explain/>
      <paraID>5FB4E0F4</paraID>
      <start>85</start>
      <end>87</end>
      <status>unmodified</status>
      <modifiedWord/>
      <trackRevisions>false</trackRevisions>
    </reviewItem>
    <reviewItem>
      <errorID>87170c6b-681d-4bba-901d-be1a1599104b</errorID>
      <errorWord>投标人</errorWord>
      <group>L1_Word</group>
      <groupName>字词问题</groupName>
      <ability>L2_Typo</ability>
      <abilityName>字词错误</abilityName>
      <candidateList>
        <item>若投标人</item>
      </candidateList>
      <explain/>
      <paraID>6AEAE3C5</paraID>
      <start>3</start>
      <end>6</end>
      <status>unmodified</status>
      <modifiedWord/>
      <trackRevisions>false</trackRevisions>
    </reviewItem>
    <reviewItem>
      <errorID>4cb07af0-e637-4a92-9881-fd8ca8e99e9f</errorID>
      <errorWord>成果的</errorWord>
      <group>L1_Word</group>
      <groupName>字词问题</groupName>
      <ability>L2_Typo</ability>
      <abilityName>字词错误</abilityName>
      <candidateList>
        <item>成果</item>
      </candidateList>
      <explain/>
      <paraID>6AEAE3C5</paraID>
      <start>28</start>
      <end>31</end>
      <status>unmodified</status>
      <modifiedWord/>
      <trackRevisions>false</trackRevisions>
    </reviewItem>
    <reviewItem>
      <errorID>cb8a348b-0c39-4104-a0c8-838165e69253</errorID>
      <errorWord>含</errorWord>
      <group>L1_Word</group>
      <groupName>字词问题</groupName>
      <ability>L2_Typo</ability>
      <abilityName>字词错误</abilityName>
      <candidateList>
        <item>包括</item>
      </candidateList>
      <explain/>
      <paraID>6AEAE3C5</paraID>
      <start>82</start>
      <end>83</end>
      <status>unmodified</status>
      <modifiedWord/>
      <trackRevisions>false</trackRevisions>
    </reviewItem>
    <reviewItem>
      <errorID>3d13671a-db10-432d-a5e9-b59eb966b41c</errorID>
      <errorWord>是</errorWord>
      <group>L1_Grammar</group>
      <groupName>语法问题</groupName>
      <ability>L2_Grammar</ability>
      <abilityName>语法错误</abilityName>
      <candidateList>
        <item>，这是</item>
      </candidateList>
      <explain/>
      <paraID>5AD710E7</paraID>
      <start>74</start>
      <end>75</end>
      <status>unmodified</status>
      <modifiedWord/>
      <trackRevisions>false</trackRevisions>
    </reviewItem>
    <reviewItem>
      <errorID>f782d173-6b07-42f2-88e5-10e9d72f0272</errorID>
      <errorWord>法律、法规</errorWord>
      <group>L1_Word</group>
      <groupName>字词问题</groupName>
      <ability>L2_Typo</ability>
      <abilityName>字词错误</abilityName>
      <candidateList>
        <item>法律法规</item>
      </candidateList>
      <explain/>
      <paraID> 6966B11</paraID>
      <start>17</start>
      <end>22</end>
      <status>unmodified</status>
      <modifiedWord/>
      <trackRevisions>false</trackRevisions>
    </reviewItem>
    <reviewItem>
      <errorID>607e792f-71cd-48f2-8b28-715c35621e0d</errorID>
      <errorWord>中</errorWord>
      <group>L1_Grammar</group>
      <groupName>语法问题</groupName>
      <ability>L2_Grammar</ability>
      <abilityName>语法错误</abilityName>
      <candidateList>
        <item>过程中</item>
      </candidateList>
      <explain/>
      <paraID>18A1071D</paraID>
      <start>27</start>
      <end>28</end>
      <status>unmodified</status>
      <modifiedWord/>
      <trackRevisions>false</trackRevisions>
    </reviewItem>
    <reviewItem>
      <errorID>e74d9cd5-b1a0-4995-8c59-02908714d803</errorID>
      <errorWord>其它</errorWord>
      <group>L1_Word</group>
      <groupName>字词问题</groupName>
      <ability>L2_Typo</ability>
      <abilityName>字词错误</abilityName>
      <candidateList>
        <item>其他</item>
      </candidateList>
      <explain/>
      <paraID>1F6404D2</paraID>
      <start>23</start>
      <end>25</end>
      <status>unmodified</status>
      <modifiedWord/>
      <trackRevisions>false</trackRevisions>
    </reviewItem>
    <reviewItem>
      <errorID>6926dd5e-b757-4d9e-ab64-37555940ee74</errorID>
      <errorWord>,</errorWord>
      <group>L1_Format</group>
      <groupName>格式问题</groupName>
      <ability>L2_HalfPunc</ability>
      <abilityName>全半角检查</abilityName>
      <candidateList>
        <item>，</item>
      </candidateList>
      <explain>文本全半角错误。</explain>
      <paraID>6259BB1D</paraID>
      <start>25</start>
      <end>26</end>
      <status>unmodified</status>
      <modifiedWord/>
      <trackRevisions>false</trackRevisions>
    </reviewItem>
    <reviewItem>
      <errorID>0d3ffb87-4cc2-47b2-9bff-8f8854e93bc5</errorID>
      <errorWord>,</errorWord>
      <group>L1_Format</group>
      <groupName>格式问题</groupName>
      <ability>L2_HalfPunc</ability>
      <abilityName>全半角检查</abilityName>
      <candidateList>
        <item>，</item>
      </candidateList>
      <explain>文本全半角错误。</explain>
      <paraID>6259BB1D</paraID>
      <start>40</start>
      <end>41</end>
      <status>unmodified</status>
      <modifiedWord/>
      <trackRevisions>false</trackRevisions>
    </reviewItem>
    <reviewItem>
      <errorID>85e894ab-a884-4490-b02b-990f3ff8d0e9</errorID>
      <errorWord>“中华人民共和国价格法”</errorWord>
      <group>L1_Political</group>
      <groupName>政治性问题</groupName>
      <ability>L2_Keyword</ability>
      <abilityName>固定表述</abilityName>
      <candidateList>
        <item>《中华人民共和国价格法》</item>
      </candidateList>
      <explain>此处内容疑似含有固定表述相关错误，建议核查。</explain>
      <paraID>411FA96C</paraID>
      <start>23</start>
      <end>35</end>
      <status>unmodified</status>
      <modifiedWord/>
      <trackRevisions>false</trackRevisions>
    </reviewItem>
    <reviewItem>
      <errorID>af727d45-7a19-4f0e-81c9-11ce397de8a5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6D8AD3E3</paraID>
      <start>63</start>
      <end>66</end>
      <status>unmodified</status>
      <modifiedWord/>
      <trackRevisions>false</trackRevisions>
    </reviewItem>
    <reviewItem>
      <errorID>27df81bf-f80e-4239-9422-10e54c990bbc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6D8AD3E3</paraID>
      <start>69</start>
      <end>72</end>
      <status>unmodified</status>
      <modifiedWord/>
      <trackRevisions>false</trackRevisions>
    </reviewItem>
    <reviewItem>
      <errorID>f8e7a434-49ad-4847-8d8a-e96871614708</errorID>
      <errorWord>做出</errorWord>
      <group>L1_Word</group>
      <groupName>字词问题</groupName>
      <ability>L2_Typo</ability>
      <abilityName>字词错误</abilityName>
      <candidateList>
        <item>作出</item>
      </candidateList>
      <explain/>
      <paraID>44FB3073</paraID>
      <start>91</start>
      <end>93</end>
      <status>unmodified</status>
      <modifiedWord/>
      <trackRevisions>false</trackRevisions>
    </reviewItem>
    <reviewItem>
      <errorID>8de05398-c2b1-4981-affd-68d6543e6813</errorID>
      <errorWord>做</errorWord>
      <group>L1_Word</group>
      <groupName>字词问题</groupName>
      <ability>L2_Typo</ability>
      <abilityName>字词错误</abilityName>
      <candidateList>
        <item>作</item>
      </candidateList>
      <explain>存在发音相同字词的误用。</explain>
      <paraID>71CC0445</paraID>
      <start>40</start>
      <end>41</end>
      <status>unmodified</status>
      <modifiedWord/>
      <trackRevisions>false</trackRevisions>
    </reviewItem>
    <reviewItem>
      <errorID>f08e2d94-61fe-45c7-bb7e-f5a650579813</errorID>
      <errorWord>（</errorWord>
      <group>L1_Punc</group>
      <groupName>标点问题</groupName>
      <ability>L2_Punc</ability>
      <abilityName>标点符号检查</abilityName>
      <candidateList>
        <item/>
      </candidateList>
      <explain/>
      <paraID>425E6775</paraID>
      <start>25</start>
      <end>26</end>
      <status>unmodified</status>
      <modifiedWord/>
      <trackRevisions>false</trackRevisions>
    </reviewItem>
    <reviewItem>
      <errorID>042b7b6e-c1f7-4972-95d4-b5ef4932d271</errorID>
      <errorWord>）</errorWord>
      <group>L1_Punc</group>
      <groupName>标点问题</groupName>
      <ability>L2_Punc</ability>
      <abilityName>标点符号检查</abilityName>
      <candidateList>
        <item/>
      </candidateList>
      <explain/>
      <paraID>425E6775</paraID>
      <start>28</start>
      <end>29</end>
      <status>unmodified</status>
      <modifiedWord/>
      <trackRevisions>false</trackRevisions>
    </reviewItem>
    <reviewItem>
      <errorID>00735dd5-4156-4b14-bd59-100305983767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5F70E4E3</paraID>
      <start>59</start>
      <end>62</end>
      <status>unmodified</status>
      <modifiedWord/>
      <trackRevisions>false</trackRevisions>
    </reviewItem>
    <reviewItem>
      <errorID>b0c350ee-d652-4708-b634-ab861ea4ab42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5F70E4E3</paraID>
      <start>64</start>
      <end>67</end>
      <status>unmodified</status>
      <modifiedWord/>
      <trackRevisions>false</trackRevisions>
    </reviewItem>
    <reviewItem>
      <errorID>72ce441c-a425-4895-9d9a-1a19377a77ac</errorID>
      <errorWord>其它</errorWord>
      <group>L1_Word</group>
      <groupName>字词问题</groupName>
      <ability>L2_Alias</ability>
      <abilityName>也作/曾用词</abilityName>
      <candidateList>
        <item>其他</item>
      </candidateList>
      <explain>词汇[其它]为不规范表述或旧称，其规范书面表述为[其他]。</explain>
      <paraID>5F70E4E3</paraID>
      <start>97</start>
      <end>99</end>
      <status>unmodified</status>
      <modifiedWord/>
      <trackRevisions>false</trackRevisions>
    </reviewItem>
    <reviewItem>
      <errorID>542a5712-f881-4390-8436-68ee31918e3e</errorID>
      <errorWord>其它</errorWord>
      <group>L1_Word</group>
      <groupName>字词问题</groupName>
      <ability>L2_Typo</ability>
      <abilityName>字词错误</abilityName>
      <candidateList>
        <item>其他</item>
      </candidateList>
      <explain/>
      <paraID>5E85560C</paraID>
      <start>65</start>
      <end>67</end>
      <status>unmodified</status>
      <modifiedWord/>
      <trackRevisions>false</trackRevisions>
    </reviewItem>
    <reviewItem>
      <errorID>cb63fd2d-bcfa-4a39-8f15-8969dc01bf90</errorID>
      <errorWord>单位章</errorWord>
      <group>L1_Word</group>
      <groupName>字词问题</groupName>
      <ability>L2_Typo</ability>
      <abilityName>字词错误</abilityName>
      <candidateList>
        <item>公章</item>
      </candidateList>
      <explain/>
      <paraID> 579A822</paraID>
      <start>67</start>
      <end>70</end>
      <status>unmodified</status>
      <modifiedWord/>
      <trackRevisions>false</trackRevisions>
    </reviewItem>
    <reviewItem>
      <errorID>6a7cf79a-04c5-444d-9d92-a12be93aac3a</errorID>
      <errorWord>，</errorWord>
      <group>L1_Grammar</group>
      <groupName>语法问题</groupName>
      <ability>L2_Grammar</ability>
      <abilityName>语法错误</abilityName>
      <candidateList>
        <item>到达开标地点，</item>
      </candidateList>
      <explain/>
      <paraID>605D0E97</paraID>
      <start>36</start>
      <end>37</end>
      <status>unmodified</status>
      <modifiedWord/>
      <trackRevisions>false</trackRevisions>
    </reviewItem>
    <reviewItem>
      <errorID>20e33add-d203-4bdb-b309-83da1902e843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1D1EBEF5</paraID>
      <start>0</start>
      <end>3</end>
      <status>unmodified</status>
      <modifiedWord/>
      <trackRevisions>false</trackRevisions>
    </reviewItem>
    <reviewItem>
      <errorID>0df938c6-80a1-4380-974e-6f35f0a52599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7DB70DAA</paraID>
      <start>0</start>
      <end>3</end>
      <status>unmodified</status>
      <modifiedWord/>
      <trackRevisions>false</trackRevisions>
    </reviewItem>
    <reviewItem>
      <errorID>a6f1fdf6-6958-4e5b-8906-9769e877e367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1EE73254</paraID>
      <start>0</start>
      <end>3</end>
      <status>unmodified</status>
      <modifiedWord/>
      <trackRevisions>false</trackRevisions>
    </reviewItem>
    <reviewItem>
      <errorID>c92de5b9-a6eb-4e6c-a89b-9966061b9483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59BD8BD3</paraID>
      <start>0</start>
      <end>3</end>
      <status>unmodified</status>
      <modifiedWord/>
      <trackRevisions>false</trackRevisions>
    </reviewItem>
    <reviewItem>
      <errorID>7646db33-8891-42e3-bd3d-220ada4bb7b6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65083FA2</paraID>
      <start>0</start>
      <end>3</end>
      <status>unmodified</status>
      <modifiedWord/>
      <trackRevisions>false</trackRevisions>
    </reviewItem>
    <reviewItem>
      <errorID>49641657-f837-4d92-9501-ddbad7a15222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650E2389</paraID>
      <start>0</start>
      <end>3</end>
      <status>unmodified</status>
      <modifiedWord/>
      <trackRevisions>false</trackRevisions>
    </reviewItem>
    <reviewItem>
      <errorID>5dd30fc0-d2b5-47e2-b391-eb9bfa654266</errorID>
      <errorWord>.</errorWord>
      <group>L1_Punc</group>
      <groupName>标点问题</groupName>
      <ability>L2_Punc</ability>
      <abilityName>标点符号检查</abilityName>
      <candidateList>
        <item> </item>
      </candidateList>
      <explain/>
      <paraID>5E70C801</paraID>
      <start>4</start>
      <end>5</end>
      <status>unmodified</status>
      <modifiedWord/>
      <trackRevisions>false</trackRevisions>
    </reviewItem>
    <reviewItem>
      <errorID>4f79608a-9b9a-4cfb-9621-300d5d61934c</errorID>
      <errorWord>组建成员数</errorWord>
      <group>L1_Grammar</group>
      <groupName>语法问题</groupName>
      <ability>L2_Grammar</ability>
      <abilityName>语法错误</abilityName>
      <candidateList>
        <item>组建</item>
      </candidateList>
      <explain/>
      <paraID>5E70C801</paraID>
      <start>21</start>
      <end>26</end>
      <status>unmodified</status>
      <modifiedWord/>
      <trackRevisions>false</trackRevisions>
    </reviewItem>
    <reviewItem>
      <errorID>ea176e91-d0db-4c8a-8adf-f17a69e6f678</errorID>
      <errorWord>评审</errorWord>
      <group>L1_Grammar</group>
      <groupName>语法问题</groupName>
      <ability>L2_Grammar</ability>
      <abilityName>语法错误</abilityName>
      <candidateList>
        <item> 资格审查</item>
      </candidateList>
      <explain/>
      <paraID>24D31FA1</paraID>
      <start>4</start>
      <end>6</end>
      <status>unmodified</status>
      <modifiedWord/>
      <trackRevisions>false</trackRevisions>
    </reviewItem>
    <reviewItem>
      <errorID>491fc203-e610-4c56-bb92-9b19ad5a353e</errorID>
      <errorWord>评标方法和评标标准</errorWord>
      <group>L1_Punc</group>
      <groupName>标点问题</groupName>
      <ability>L2_Punc</ability>
      <abilityName>标点符号检查</abilityName>
      <candidateList>
        <item>“评标方法和评标标准”</item>
      </candidateList>
      <explain/>
      <paraID>24D31FA1</paraID>
      <start>18</start>
      <end>27</end>
      <status>unmodified</status>
      <modifiedWord/>
      <trackRevisions>false</trackRevisions>
    </reviewItem>
    <reviewItem>
      <errorID>b60d80ef-8e16-49f4-a485-239cce2186ad</errorID>
      <errorWord>推荐</errorWord>
      <group>L1_Word</group>
      <groupName>字词问题</groupName>
      <ability>L2_Typo</ability>
      <abilityName>字词错误</abilityName>
      <candidateList>
        <item> 推荐</item>
      </candidateList>
      <explain/>
      <paraID>3CFA259C</paraID>
      <start>4</start>
      <end>6</end>
      <status>unmodified</status>
      <modifiedWord/>
      <trackRevisions>false</trackRevisions>
    </reviewItem>
    <reviewItem>
      <errorID>f29060d2-6cc5-4d1e-84e9-7b0a75138d4a</errorID>
      <errorWord>综合</errorWord>
      <group>L1_Word</group>
      <groupName>字词问题</groupName>
      <ability>L2_Typo</ability>
      <abilityName>字词错误</abilityName>
      <candidateList>
        <item> 综合</item>
      </candidateList>
      <explain/>
      <paraID> 5779DA5</paraID>
      <start>8</start>
      <end>10</end>
      <status>unmodified</status>
      <modifiedWord/>
      <trackRevisions>false</trackRevisions>
    </reviewItem>
    <reviewItem>
      <errorID>7580c81e-3348-4d63-ad56-04aa3e66e066</errorID>
      <errorWord>按照</errorWord>
      <group>L1_Punc</group>
      <groupName>标点问题</groupName>
      <ability>L2_Punc</ability>
      <abilityName>标点符号检查</abilityName>
      <candidateList>
        <item>，按照</item>
      </candidateList>
      <explain/>
      <paraID> 5779DA5</paraID>
      <start>20</start>
      <end>22</end>
      <status>unmodified</status>
      <modifiedWord/>
      <trackRevisions>false</trackRevisions>
    </reviewItem>
    <reviewItem>
      <errorID>4a49b729-0f7a-43f4-8da9-a91a23168152</errorID>
      <errorWord>按</errorWord>
      <group>L1_Word</group>
      <groupName>字词问题</groupName>
      <ability>L2_Typo</ability>
      <abilityName>字词错误</abilityName>
      <candidateList>
        <item> 按</item>
      </candidateList>
      <explain/>
      <paraID> F038F6D</paraID>
      <start>8</start>
      <end>9</end>
      <status>unmodified</status>
      <modifiedWord/>
      <trackRevisions>false</trackRevisions>
    </reviewItem>
    <reviewItem>
      <errorID>dea650e0-9808-4a7f-8d25-6604649cf0a9</errorID>
      <errorWord>后按</errorWord>
      <group>L1_Word</group>
      <groupName>字词问题</groupName>
      <ability>L2_Typo</ability>
      <abilityName>字词错误</abilityName>
      <candidateList>
        <item>后</item>
      </candidateList>
      <explain/>
      <paraID> F038F6D</paraID>
      <start>11</start>
      <end>13</end>
      <status>unmodified</status>
      <modifiedWord/>
      <trackRevisions>false</trackRevisions>
    </reviewItem>
    <reviewItem>
      <errorID>0c462434-215e-4fdc-a700-65dba66e0d57</errorID>
      <errorWord>评</errorWord>
      <group>L1_Word</group>
      <groupName>字词问题</groupName>
      <ability>L2_Typo</ability>
      <abilityName>字词错误</abilityName>
      <candidateList>
        <item> 评</item>
      </candidateList>
      <explain/>
      <paraID>5E041D29</paraID>
      <start>3</start>
      <end>4</end>
      <status>unmodified</status>
      <modifiedWord/>
      <trackRevisions>false</trackRevisions>
    </reviewItem>
    <reviewItem>
      <errorID>9ff08dac-ed73-4eb0-8d42-00f3e7b2faa2</errorID>
      <errorWord>关于</errorWord>
      <group>L1_Word</group>
      <groupName>字词问题</groupName>
      <ability>L2_Typo</ability>
      <abilityName>字词错误</abilityName>
      <candidateList>
        <item> 关于</item>
      </candidateList>
      <explain/>
      <paraID>769877E4</paraID>
      <start>3</start>
      <end>5</end>
      <status>unmodified</status>
      <modifiedWord/>
      <trackRevisions>false</trackRevisions>
    </reviewItem>
    <reviewItem>
      <errorID>8c19bb26-386f-476f-b836-7555af32c3c0</errorID>
      <errorWord>各项</errorWord>
      <group>L1_Word</group>
      <groupName>字词问题</groupName>
      <ability>L2_Typo</ability>
      <abilityName>字词错误</abilityName>
      <candidateList>
        <item>任何</item>
      </candidateList>
      <explain/>
      <paraID>63DF2239</paraID>
      <start>9</start>
      <end>11</end>
      <status>unmodified</status>
      <modifiedWord/>
      <trackRevisions>false</trackRevisions>
    </reviewItem>
    <reviewItem>
      <errorID>7da92b2f-4ef2-4447-af9c-295db6cc517c</errorID>
      <errorWord>其它</errorWord>
      <group>L1_Word</group>
      <groupName>字词问题</groupName>
      <ability>L2_Typo</ability>
      <abilityName>字词错误</abilityName>
      <candidateList>
        <item>其他</item>
      </candidateList>
      <explain/>
      <paraID>63DF2239</paraID>
      <start>48</start>
      <end>50</end>
      <status>unmodified</status>
      <modifiedWord/>
      <trackRevisions>false</trackRevisions>
    </reviewItem>
    <reviewItem>
      <errorID>2a61c666-c762-4530-9dc1-beb683a08da1</errorID>
      <errorWord>日</errorWord>
      <group>L1_Word</group>
      <groupName>字词问题</groupName>
      <ability>L2_Typo</ability>
      <abilityName>字词错误</abilityName>
      <candidateList>
        <item>日起</item>
      </candidateList>
      <explain/>
      <paraID>7DFE7A51</paraID>
      <start>27</start>
      <end>28</end>
      <status>unmodified</status>
      <modifiedWord/>
      <trackRevisions>false</trackRevisions>
    </reviewItem>
    <reviewItem>
      <errorID>f457db0b-abc4-4fba-840d-57c6066f912e</errorID>
      <errorWord>西</errorWord>
      <group>L1_Word</group>
      <groupName>字词问题</groupName>
      <ability>L2_Typo</ability>
      <abilityName>字词错误</abilityName>
      <candidateList>
        <item>西省</item>
      </candidateList>
      <explain/>
      <paraID>7DFE7A51</paraID>
      <start>38</start>
      <end>39</end>
      <status>unmodified</status>
      <modifiedWord/>
      <trackRevisions>false</trackRevisions>
    </reviewItem>
    <reviewItem>
      <errorID>70c49c02-3fd8-40f7-bdc1-8e7d6403692c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7DC1D3B</paraID>
      <start>53</start>
      <end>57</end>
      <status>unmodified</status>
      <modifiedWord/>
      <trackRevisions>false</trackRevisions>
    </reviewItem>
    <reviewItem>
      <errorID>ee00ac66-1e6c-4dd3-a9fc-7a52a4b71329</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60DC4E5A</paraID>
      <start>73</start>
      <end>77</end>
      <status>unmodified</status>
      <modifiedWord/>
      <trackRevisions>false</trackRevisions>
    </reviewItem>
    <reviewItem>
      <errorID>4fdc39d1-d15d-4158-b250-6db8e19be679</errorID>
      <errorWord>(</errorWord>
      <group>L1_Format</group>
      <groupName>格式问题</groupName>
      <ability>L2_HalfPunc</ability>
      <abilityName>全半角检查</abilityName>
      <candidateList>
        <item>（</item>
      </candidateList>
      <explain>文本全半角错误。</explain>
      <paraID>5E5615D1</paraID>
      <start>28</start>
      <end>29</end>
      <status>unmodified</status>
      <modifiedWord/>
      <trackRevisions>false</trackRevisions>
    </reviewItem>
    <reviewItem>
      <errorID>745db5f1-89a1-4300-b5df-d2c81dbf9db9</errorID>
      <errorWord>（九）、</errorWord>
      <group>L1_Format</group>
      <groupName>格式问题</groupName>
      <ability>L2_Ordinal</ability>
      <abilityName>序号格式</abilityName>
      <candidateList>
        <item>（九）</item>
      </candidateList>
      <explain>标题顺序错误，请检查标题顺序是否合理。</explain>
      <paraID>7653F169</paraID>
      <start>0</start>
      <end>4</end>
      <status>unmodified</status>
      <modifiedWord/>
      <trackRevisions>false</trackRevisions>
    </reviewItem>
    <reviewItem>
      <errorID>60b61d62-8fd8-4d18-bd06-874300b0dc6c</errorID>
      <errorWord>下</errorWord>
      <group>L1_Word</group>
      <groupName>字词问题</groupName>
      <ability>L2_Typo</ability>
      <abilityName>字词错误</abilityName>
      <candidateList>
        <item>的</item>
      </candidateList>
      <explain>“的”常用于连接修饰语与名词性中心语，表示属性、所属或描述。</explain>
      <paraID>41A65E8E</paraID>
      <start>24</start>
      <end>25</end>
      <status>unmodified</status>
      <modifiedWord/>
      <trackRevisions>false</trackRevisions>
    </reviewItem>
    <reviewItem>
      <errorID>fb4510d1-a5e4-4919-baec-a91049d3772e</errorID>
      <errorWord>、</errorWord>
      <group>L1_Punc</group>
      <groupName>标点问题</groupName>
      <ability>L2_Punc</ability>
      <abilityName>标点符号检查</abilityName>
      <candidateList>
        <item>，</item>
      </candidateList>
      <explain/>
      <paraID> D2A9888</paraID>
      <start>20</start>
      <end>21</end>
      <status>unmodified</status>
      <modifiedWord/>
      <trackRevisions>false</trackRevisions>
    </reviewItem>
    <reviewItem>
      <errorID>9771aac2-5084-428b-938e-f641434e5f16</errorID>
      <errorWord>提出质疑</errorWord>
      <group>L1_Grammar</group>
      <groupName>语法问题</groupName>
      <ability>L2_Grammar</ability>
      <abilityName>语法错误</abilityName>
      <candidateList>
        <item>质疑</item>
      </candidateList>
      <explain>〈动〉提出疑问：～问难。</explain>
      <paraID> 38984E2</paraID>
      <start>94</start>
      <end>98</end>
      <status>unmodified</status>
      <modifiedWord/>
      <trackRevisions>false</trackRevisions>
    </reviewItem>
    <reviewItem>
      <errorID>d6dae779-4719-43d2-a846-809cca7da906</errorID>
      <errorWord>》</errorWord>
      <group>L1_Word</group>
      <groupName>字词问题</groupName>
      <ability>L2_Typo</ability>
      <abilityName>字词错误</abilityName>
      <candidateList>
        <item>》第</item>
      </candidateList>
      <explain/>
      <paraID>4935E1B0</paraID>
      <start>37</start>
      <end>38</end>
      <status>unmodified</status>
      <modifiedWord/>
      <trackRevisions>false</trackRevisions>
    </reviewItem>
    <reviewItem>
      <errorID>e3f5e216-79cb-40e1-a50e-171cc90df96e</errorID>
      <errorWord>五十五</errorWord>
      <group>L1_Word</group>
      <groupName>字词问题</groupName>
      <ability>L2_Typo</ability>
      <abilityName>字词错误</abilityName>
      <candidateList>
        <item>第五十五</item>
      </candidateList>
      <explain/>
      <paraID>4935E1B0</paraID>
      <start>38</start>
      <end>41</end>
      <status>unmodified</status>
      <modifiedWord/>
      <trackRevisions>false</trackRevisions>
    </reviewItem>
    <reviewItem>
      <errorID>c8d859ad-2068-46cb-9ec4-0497806adacf</errorID>
      <errorWord>，应当</errorWord>
      <group>L1_Grammar</group>
      <groupName>语法问题</groupName>
      <ability>L2_Grammar</ability>
      <abilityName>语法错误</abilityName>
      <candidateList>
        <item>，</item>
      </candidateList>
      <explain/>
      <paraID>4935E1B0</paraID>
      <start>59</start>
      <end>62</end>
      <status>unmodified</status>
      <modifiedWord/>
      <trackRevisions>false</trackRevisions>
    </reviewItem>
    <reviewItem>
      <errorID>6b536fa2-27ac-4fe4-a679-1e2ef8537ce3</errorID>
      <errorWord>(</errorWord>
      <group>L1_Punc</group>
      <groupName>标点问题</groupName>
      <ability>L2_Punc</ability>
      <abilityName>标点符号检查</abilityName>
      <candidateList>
        <item>（</item>
      </candidateList>
      <explain/>
      <paraID>4935E1B0</paraID>
      <start>101</start>
      <end>102</end>
      <status>unmodified</status>
      <modifiedWord/>
      <trackRevisions>false</trackRevisions>
    </reviewItem>
    <reviewItem>
      <errorID>1b084c37-610e-48ce-b5dd-f87e5f01d6ea</errorID>
      <errorWord>:</errorWord>
      <group>L1_Format</group>
      <groupName>格式问题</groupName>
      <ability>L2_HalfPunc</ability>
      <abilityName>全半角检查</abilityName>
      <candidateList>
        <item>：</item>
      </candidateList>
      <explain>文本全半角错误。</explain>
      <paraID>4935E1B0</paraID>
      <start>106</start>
      <end>107</end>
      <status>unmodified</status>
      <modifiedWord/>
      <trackRevisions>false</trackRevisions>
    </reviewItem>
    <reviewItem>
      <errorID>99f0778e-e417-4317-8f68-7f4f56c997cb</errorID>
      <errorWord>印盖本人姓名章并加盖单位公章的；质疑书由参加采购项目的授权代表签署本人姓名或印盖</errorWord>
      <group>L1_Word</group>
      <groupName>字词问题</groupName>
      <ability>L2_Typo</ability>
      <abilityName>字词错误</abilityName>
      <candidateList>
        <item>加盖本人姓名章并加盖单位公章的；质疑书由参加采购项目的授权代表签署本人姓名或加盖</item>
      </candidateList>
      <explain/>
      <paraID>2A5A8D3C</paraID>
      <start>20</start>
      <end>60</end>
      <status>unmodified</status>
      <modifiedWord/>
      <trackRevisions>false</trackRevisions>
    </reviewItem>
    <reviewItem>
      <errorID>b6cdd6dd-422c-4727-bec8-ca7601092ba4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2D8C3E0E</paraID>
      <start>3</start>
      <end>6</end>
      <status>unmodified</status>
      <modifiedWord/>
      <trackRevisions>false</trackRevisions>
    </reviewItem>
    <reviewItem>
      <errorID>92bfbeba-5e7b-49af-957f-b44e6a238d7b</errorID>
      <errorWord>疑</errorWord>
      <group>L1_Word</group>
      <groupName>字词问题</groupName>
      <ability>L2_Typo</ability>
      <abilityName>字词错误</abilityName>
      <candidateList>
        <item>质疑</item>
      </candidateList>
      <explain/>
      <paraID>702D21DC</paraID>
      <start>6</start>
      <end>7</end>
      <status>unmodified</status>
      <modifiedWord/>
      <trackRevisions>false</trackRevisions>
    </reviewItem>
    <reviewItem>
      <errorID>e9d71c64-62f3-49d0-9b0f-14a21298f650</errorID>
      <errorWord>做出</errorWord>
      <group>L1_Word</group>
      <groupName>字词问题</groupName>
      <ability>L2_Typo</ability>
      <abilityName>字词错误</abilityName>
      <candidateList>
        <item>作出</item>
      </candidateList>
      <explain/>
      <paraID>702D21DC</paraID>
      <start>51</start>
      <end>53</end>
      <status>unmodified</status>
      <modifiedWord/>
      <trackRevisions>false</trackRevisions>
    </reviewItem>
    <reviewItem>
      <errorID>d3d77454-bd99-4085-b284-1eb69984a9c6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676AA3F8</paraID>
      <start>0</start>
      <end>2</end>
      <status>unmodified</status>
      <modifiedWord/>
      <trackRevisions>false</trackRevisions>
    </reviewItem>
    <reviewItem>
      <errorID>419d0c76-42fc-4d3d-93e1-22bd4ee52ec1</errorID>
      <errorWord>。</errorWord>
      <group>L1_Punc</group>
      <groupName>标点问题</groupName>
      <ability>L2_Punc</ability>
      <abilityName>标点符号检查</abilityName>
      <candidateList>
        <item>，</item>
      </candidateList>
      <explain/>
      <paraID>5CD251B3</paraID>
      <start>17</start>
      <end>18</end>
      <status>unmodified</status>
      <modifiedWord/>
      <trackRevisions>false</trackRevisions>
    </reviewItem>
    <reviewItem>
      <errorID>92d4c46e-00c0-472c-adbc-1e2a2ecf4091</errorID>
      <errorWord> , </errorWord>
      <group>L1_Punc</group>
      <groupName>标点问题</groupName>
      <ability>L2_Punc</ability>
      <abilityName>标点符号检查</abilityName>
      <candidateList>
        <item/>
      </candidateList>
      <explain/>
      <paraID>5CD251B3</paraID>
      <start>20</start>
      <end>23</end>
      <status>unmodified</status>
      <modifiedWord/>
      <trackRevisions>false</trackRevisions>
    </reviewItem>
    <reviewItem>
      <errorID>96f1e741-5a15-4a2e-91f0-f7883009c1c2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33BE3BF3</paraID>
      <start>0</start>
      <end>2</end>
      <status>unmodified</status>
      <modifiedWord/>
      <trackRevisions>false</trackRevisions>
    </reviewItem>
    <reviewItem>
      <errorID>9d8d0d81-34de-4809-8e24-5c8ddc97772c</errorID>
      <errorWord>票 据</errorWord>
      <group>L1_Word</group>
      <groupName>字词问题</groupName>
      <ability>L2_Typo</ability>
      <abilityName>字词错误</abilityName>
      <candidateList>
        <item>票据</item>
      </candidateList>
      <explain/>
      <paraID>33BE3BF3</paraID>
      <start>18</start>
      <end>21</end>
      <status>unmodified</status>
      <modifiedWord/>
      <trackRevisions>false</trackRevisions>
    </reviewItem>
    <reviewItem>
      <errorID>6e7077b5-fef0-44d2-b8f1-95398008feaf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396927F</paraID>
      <start>0</start>
      <end>2</end>
      <status>unmodified</status>
      <modifiedWord/>
      <trackRevisions>false</trackRevisions>
    </reviewItem>
    <reviewItem>
      <errorID>d10e1535-ad4c-4665-86d7-d3e64440cf34</errorID>
      <errorWord>。 </errorWord>
      <group>L1_Punc</group>
      <groupName>标点问题</groupName>
      <ability>L2_Punc</ability>
      <abilityName>标点符号检查</abilityName>
      <candidateList>
        <item>，</item>
      </candidateList>
      <explain/>
      <paraID> 396927F</paraID>
      <start>19</start>
      <end>21</end>
      <status>unmodified</status>
      <modifiedWord/>
      <trackRevisions>false</trackRevisions>
    </reviewItem>
    <reviewItem>
      <errorID>08f95c6c-fbd0-404d-b0ac-c7aaeb1545ce</errorID>
      <errorWord>要求</errorWord>
      <group>L1_Punc</group>
      <groupName>标点问题</groupName>
      <ability>L2_Punc</ability>
      <abilityName>标点符号检查</abilityName>
      <candidateList>
        <item>要求。</item>
      </candidateList>
      <explain/>
      <paraID> 396927F</paraID>
      <start>32</start>
      <end>34</end>
      <status>unmodified</status>
      <modifiedWord/>
      <trackRevisions>false</trackRevisions>
    </reviewItem>
    <reviewItem>
      <errorID>780c8c66-2702-47ea-af70-fd859ac76091</errorID>
      <errorWord>需</errorWord>
      <group>L1_Punc</group>
      <groupName>标点问题</groupName>
      <ability>L2_Punc</ability>
      <abilityName>标点符号检查</abilityName>
      <candidateList>
        <item>，需</item>
      </candidateList>
      <explain/>
      <paraID>51241711</paraID>
      <start>15</start>
      <end>16</end>
      <status>unmodified</status>
      <modifiedWord/>
      <trackRevisions>false</trackRevisions>
    </reviewItem>
    <reviewItem>
      <errorID>9e42e24d-0761-45b5-af0e-0536e9d3deb5</errorID>
      <errorWord>需</errorWord>
      <group>L1_Punc</group>
      <groupName>标点问题</groupName>
      <ability>L2_Punc</ability>
      <abilityName>标点符号检查</abilityName>
      <candidateList>
        <item>，需</item>
      </candidateList>
      <explain/>
      <paraID>548B6906</paraID>
      <start>15</start>
      <end>16</end>
      <status>unmodified</status>
      <modifiedWord/>
      <trackRevisions>false</trackRevisions>
    </reviewItem>
    <reviewItem>
      <errorID>9aee39c7-27e6-40a2-956d-a215cb1750e7</errorID>
      <errorWord>需</errorWord>
      <group>L1_Punc</group>
      <groupName>标点问题</groupName>
      <ability>L2_Punc</ability>
      <abilityName>标点符号检查</abilityName>
      <candidateList>
        <item>，需</item>
      </candidateList>
      <explain/>
      <paraID>589054AE</paraID>
      <start>15</start>
      <end>16</end>
      <status>unmodified</status>
      <modifiedWord/>
      <trackRevisions>false</trackRevisions>
    </reviewItem>
    <reviewItem>
      <errorID>fc689f3b-5164-47de-a646-80057548759d</errorID>
      <errorWord>提供</errorWord>
      <group>L1_Punc</group>
      <groupName>标点问题</groupName>
      <ability>L2_Punc</ability>
      <abilityName>标点符号检查</abilityName>
      <candidateList>
        <item>，提供</item>
      </candidateList>
      <explain/>
      <paraID>7E24B7CA</paraID>
      <start>10</start>
      <end>12</end>
      <status>unmodified</status>
      <modifiedWord/>
      <trackRevisions>false</trackRevisions>
    </reviewItem>
    <reviewItem>
      <errorID>8f23bb37-d919-4382-88e9-96f32043cc6f</errorID>
      <errorWord>需</errorWord>
      <group>L1_Punc</group>
      <groupName>标点问题</groupName>
      <ability>L2_Punc</ability>
      <abilityName>标点符号检查</abilityName>
      <candidateList>
        <item>，需</item>
      </candidateList>
      <explain/>
      <paraID>4A1C6213</paraID>
      <start>12</start>
      <end>13</end>
      <status>unmodified</status>
      <modifiedWord/>
      <trackRevisions>false</trackRevisions>
    </reviewItem>
    <reviewItem>
      <errorID>6c99f308-a8a7-4131-8bce-b49e414e4edf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4AB2E965</paraID>
      <start>0</start>
      <end>2</end>
      <status>unmodified</status>
      <modifiedWord/>
      <trackRevisions>false</trackRevisions>
    </reviewItem>
    <reviewItem>
      <errorID>04f2c3e2-abc3-4f2a-8a84-0aa77056f361</errorID>
      <errorWord>限价的报价</errorWord>
      <group>L1_Grammar</group>
      <groupName>语法问题</groupName>
      <ability>L2_Grammar</ability>
      <abilityName>语法错误</abilityName>
      <candidateList>
        <item>限价</item>
      </candidateList>
      <explain/>
      <paraID> B30A719</paraID>
      <start>42</start>
      <end>47</end>
      <status>unmodified</status>
      <modifiedWord/>
      <trackRevisions>false</trackRevisions>
    </reviewItem>
    <reviewItem>
      <errorID>01e257d6-3362-4f61-b30b-05cd02feaa74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3E2B6B47</paraID>
      <start>0</start>
      <end>2</end>
      <status>unmodified</status>
      <modifiedWord/>
      <trackRevisions>false</trackRevisions>
    </reviewItem>
    <reviewItem>
      <errorID>98e9e8a5-3983-4b91-b2e5-7a15c67c2ff6</errorID>
      <errorWord>在</errorWord>
      <group>L1_Word</group>
      <groupName>字词问题</groupName>
      <ability>L2_Typo</ability>
      <abilityName>字词错误</abilityName>
      <candidateList>
        <item>所在</item>
      </candidateList>
      <explain/>
      <paraID>1E73A137</paraID>
      <start>75</start>
      <end>76</end>
      <status>unmodified</status>
      <modifiedWord/>
      <trackRevisions>false</trackRevisions>
    </reviewItem>
    <reviewItem>
      <errorID>ef26eff7-ccdb-44c3-b48e-e2262ebfa826</errorID>
      <errorWord>凭证为准</errorWord>
      <group>L1_Grammar</group>
      <groupName>语法问题</groupName>
      <ability>L2_Grammar</ability>
      <abilityName>语法错误</abilityName>
      <candidateList>
        <item>凭证</item>
      </candidateList>
      <explain/>
      <paraID>1E73A137</paraID>
      <start>102</start>
      <end>106</end>
      <status>unmodified</status>
      <modifiedWord/>
      <trackRevisions>false</trackRevisions>
    </reviewItem>
    <reviewItem>
      <errorID>1dd6d8e9-3a82-47f2-940b-b24c47a31c21</errorID>
      <errorWord>在</errorWord>
      <group>L1_Word</group>
      <groupName>字词问题</groupName>
      <ability>L2_Typo</ability>
      <abilityName>字词错误</abilityName>
      <candidateList>
        <item>所在</item>
      </candidateList>
      <explain/>
      <paraID> BCBFA72</paraID>
      <start>74</start>
      <end>75</end>
      <status>unmodified</status>
      <modifiedWord/>
      <trackRevisions>false</trackRevisions>
    </reviewItem>
    <reviewItem>
      <errorID>b0ad0c4d-93fb-4cd6-8a20-95cb8da5a249</errorID>
      <errorWord>凭证为准</errorWord>
      <group>L1_Grammar</group>
      <groupName>语法问题</groupName>
      <ability>L2_Grammar</ability>
      <abilityName>语法错误</abilityName>
      <candidateList>
        <item>凭证</item>
      </candidateList>
      <explain/>
      <paraID> BCBFA72</paraID>
      <start>101</start>
      <end>105</end>
      <status>unmodified</status>
      <modifiedWord/>
      <trackRevisions>false</trackRevisions>
    </reviewItem>
    <reviewItem>
      <errorID>982d7664-36e4-4ef4-9b14-bd8666485a3a</errorID>
      <errorWord>、</errorWord>
      <group>L1_Punc</group>
      <groupName>标点问题</groupName>
      <ability>L2_Punc</ability>
      <abilityName>标点符号检查</abilityName>
      <candidateList>
        <item>. </item>
      </candidateList>
      <explain/>
      <paraID>6972EFDF</paraID>
      <start>3</start>
      <end>4</end>
      <status>unmodified</status>
      <modifiedWord/>
      <trackRevisions>false</trackRevisions>
    </reviewItem>
    <reviewItem>
      <errorID>a052c66b-ebd9-4b91-9899-fe92b11926cc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526FE079</paraID>
      <start>0</start>
      <end>2</end>
      <status>unmodified</status>
      <modifiedWord/>
      <trackRevisions>false</trackRevisions>
    </reviewItem>
    <reviewItem>
      <errorID>b0ad4258-69d1-4033-83b3-fa5e4298e91e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3F281B54</paraID>
      <start>0</start>
      <end>2</end>
      <status>unmodified</status>
      <modifiedWord/>
      <trackRevisions>false</trackRevisions>
    </reviewItem>
    <reviewItem>
      <errorID>a27dc8fe-75c6-495c-befe-55ef890d7384</errorID>
      <errorWord>责</errorWord>
      <group>L1_Word</group>
      <groupName>字词问题</groupName>
      <ability>L2_Typo</ability>
      <abilityName>字词错误</abilityName>
      <candidateList>
        <item>责人</item>
      </candidateList>
      <explain/>
      <paraID>3F281B54</paraID>
      <start>13</start>
      <end>15</end>
      <status>modified</status>
      <modifiedWord>责人</modifiedWord>
      <trackRevisions>false</trackRevisions>
    </reviewItem>
    <reviewItem>
      <errorID>713b78bb-1d50-455f-a663-cb75e93ed840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431C1C7A</paraID>
      <start>0</start>
      <end>2</end>
      <status>unmodified</status>
      <modifiedWord/>
      <trackRevisions>false</trackRevisions>
    </reviewItem>
    <reviewItem>
      <errorID>3a6a9097-1aef-4ecc-9f60-fa328dedb686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16EFABF2</paraID>
      <start>0</start>
      <end>3</end>
      <status>unmodified</status>
      <modifiedWord/>
      <trackRevisions>false</trackRevisions>
    </reviewItem>
    <reviewItem>
      <errorID>6c37e9ec-5b43-4b77-9060-f2484e089e73</errorID>
      <errorWord>:</errorWord>
      <group>L1_Format</group>
      <groupName>格式问题</groupName>
      <ability>L2_HalfPunc</ability>
      <abilityName>全半角检查</abilityName>
      <candidateList>
        <item>：</item>
      </candidateList>
      <explain>文本全半角错误。</explain>
      <paraID>16EFABF2</paraID>
      <start>7</start>
      <end>8</end>
      <status>unmodified</status>
      <modifiedWord/>
      <trackRevisions>false</trackRevisions>
    </reviewItem>
    <reviewItem>
      <errorID>76677173-50b1-4ae6-8817-ffb4718f2cd7</errorID>
      <errorWord>(</errorWord>
      <group>L1_Format</group>
      <groupName>格式问题</groupName>
      <ability>L2_HalfPunc</ability>
      <abilityName>全半角检查</abilityName>
      <candidateList>
        <item>（</item>
      </candidateList>
      <explain>文本全半角错误。</explain>
      <paraID>16EFABF2</paraID>
      <start>12</start>
      <end>13</end>
      <status>unmodified</status>
      <modifiedWord/>
      <trackRevisions>false</trackRevisions>
    </reviewItem>
    <reviewItem>
      <errorID>140b8620-8b53-4c43-9c9c-c1ed861eb58f</errorID>
      <errorWord>)</errorWord>
      <group>L1_Format</group>
      <groupName>格式问题</groupName>
      <ability>L2_HalfPunc</ability>
      <abilityName>全半角检查</abilityName>
      <candidateList>
        <item>）</item>
      </candidateList>
      <explain>文本全半角错误。</explain>
      <paraID>16EFABF2</paraID>
      <start>15</start>
      <end>16</end>
      <status>unmodified</status>
      <modifiedWord/>
      <trackRevisions>false</trackRevisions>
    </reviewItem>
    <reviewItem>
      <errorID>a4395168-3cd5-404d-958b-1a04af7970a8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1F15D8BF</paraID>
      <start>0</start>
      <end>3</end>
      <status>unmodified</status>
      <modifiedWord/>
      <trackRevisions>false</trackRevisions>
    </reviewItem>
    <reviewItem>
      <errorID>cef38732-c415-462e-beb7-fa708591af5e</errorID>
      <errorWord>:</errorWord>
      <group>L1_Format</group>
      <groupName>格式问题</groupName>
      <ability>L2_HalfPunc</ability>
      <abilityName>全半角检查</abilityName>
      <candidateList>
        <item>：</item>
      </candidateList>
      <explain>文本全半角错误。</explain>
      <paraID>1F15D8BF</paraID>
      <start>7</start>
      <end>8</end>
      <status>unmodified</status>
      <modifiedWord/>
      <trackRevisions>false</trackRevisions>
    </reviewItem>
    <reviewItem>
      <errorID>bdb42885-fff2-41c9-8ffd-ad92c538d300</errorID>
      <errorWord>(</errorWord>
      <group>L1_Format</group>
      <groupName>格式问题</groupName>
      <ability>L2_HalfPunc</ability>
      <abilityName>全半角检查</abilityName>
      <candidateList>
        <item>（</item>
      </candidateList>
      <explain>文本全半角错误。</explain>
      <paraID>1F15D8BF</paraID>
      <start>12</start>
      <end>13</end>
      <status>unmodified</status>
      <modifiedWord/>
      <trackRevisions>false</trackRevisions>
    </reviewItem>
    <reviewItem>
      <errorID>f964905d-3ae8-4f42-96ed-8e0518e3fd3d</errorID>
      <errorWord>)</errorWord>
      <group>L1_Format</group>
      <groupName>格式问题</groupName>
      <ability>L2_HalfPunc</ability>
      <abilityName>全半角检查</abilityName>
      <candidateList>
        <item>）</item>
      </candidateList>
      <explain>文本全半角错误。</explain>
      <paraID>1F15D8BF</paraID>
      <start>15</start>
      <end>16</end>
      <status>unmodified</status>
      <modifiedWord/>
      <trackRevisions>false</trackRevisions>
    </reviewItem>
    <reviewItem>
      <errorID>74c6f0de-33d2-48de-902e-485f1ed344e3</errorID>
      <errorWord>的</errorWord>
      <group>L1_Word</group>
      <groupName>字词问题</groupName>
      <ability>L2_Typo</ability>
      <abilityName>字词错误</abilityName>
      <candidateList>
        <item>，但</item>
      </candidateList>
      <explain/>
      <paraID>3795F2AF</paraID>
      <start>24</start>
      <end>25</end>
      <status>unmodified</status>
      <modifiedWord/>
      <trackRevisions>false</trackRevisions>
    </reviewItem>
    <reviewItem>
      <errorID>28fb891a-c2a2-473c-b98f-d90d6a95b8e5</errorID>
      <errorWord>的前提下，</errorWord>
      <group>L1_Grammar</group>
      <groupName>语法问题</groupName>
      <ability>L2_Grammar</ability>
      <abilityName>语法错误</abilityName>
      <candidateList>
        <item>，且</item>
      </candidateList>
      <explain/>
      <paraID>3795F2AF</paraID>
      <start>47</start>
      <end>52</end>
      <status>unmodified</status>
      <modifiedWord/>
      <trackRevisions>false</trackRevisions>
    </reviewItem>
    <reviewItem>
      <errorID>9b13515c-c2ed-4e10-b8a3-63a97dbb34c3</errorID>
      <errorWord>(</errorWord>
      <group>L1_Format</group>
      <groupName>格式问题</groupName>
      <ability>L2_HalfPunc</ability>
      <abilityName>全半角检查</abilityName>
      <candidateList>
        <item>（</item>
      </candidateList>
      <explain>文本全半角错误。</explain>
      <paraID>3CB991E5</paraID>
      <start>0</start>
      <end>1</end>
      <status>unmodified</status>
      <modifiedWord/>
      <trackRevisions>false</trackRevisions>
    </reviewItem>
    <reviewItem>
      <errorID>d3743f30-bb43-476d-ba39-774342bb45c8</errorID>
      <errorWord>)</errorWord>
      <group>L1_Format</group>
      <groupName>格式问题</groupName>
      <ability>L2_HalfPunc</ability>
      <abilityName>全半角检查</abilityName>
      <candidateList>
        <item>）</item>
      </candidateList>
      <explain>文本全半角错误。</explain>
      <paraID>3CB991E5</paraID>
      <start>11</start>
      <end>12</end>
      <status>unmodified</status>
      <modifiedWord/>
      <trackRevisions>false</trackRevisions>
    </reviewItem>
    <reviewItem>
      <errorID>97da5e2c-f563-4646-a3e6-fef649c6261b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63C3890E</paraID>
      <start>0</start>
      <end>2</end>
      <status>unmodified</status>
      <modifiedWord/>
      <trackRevisions>false</trackRevisions>
    </reviewItem>
    <reviewItem>
      <errorID>7e7149bf-afe5-47f6-9e4e-b4b8454f3df4</errorID>
      <errorWord>,</errorWord>
      <group>L1_Format</group>
      <groupName>格式问题</groupName>
      <ability>L2_HalfPunc</ability>
      <abilityName>全半角检查</abilityName>
      <candidateList>
        <item>，</item>
      </candidateList>
      <explain>文本全半角错误。</explain>
      <paraID> DBE7024</paraID>
      <start>9</start>
      <end>10</end>
      <status>unmodified</status>
      <modifiedWord/>
      <trackRevisions>false</trackRevisions>
    </reviewItem>
    <reviewItem>
      <errorID>d3fa5a43-c22d-4361-a9b7-103a2e1b9809</errorID>
      <errorWord>,</errorWord>
      <group>L1_Format</group>
      <groupName>格式问题</groupName>
      <ability>L2_HalfPunc</ability>
      <abilityName>全半角检查</abilityName>
      <candidateList>
        <item>，</item>
      </candidateList>
      <explain>文本全半角错误。</explain>
      <paraID> DBE7024</paraID>
      <start>22</start>
      <end>23</end>
      <status>unmodified</status>
      <modifiedWord/>
      <trackRevisions>false</trackRevisions>
    </reviewItem>
    <reviewItem>
      <errorID>ac5e7208-511d-4190-8554-c106b69ce959</errorID>
      <errorWord>,</errorWord>
      <group>L1_Format</group>
      <groupName>格式问题</groupName>
      <ability>L2_HalfPunc</ability>
      <abilityName>全半角检查</abilityName>
      <candidateList>
        <item>，</item>
      </candidateList>
      <explain>文本全半角错误。</explain>
      <paraID> DBE7024</paraID>
      <start>45</start>
      <end>46</end>
      <status>unmodified</status>
      <modifiedWord/>
      <trackRevisions>false</trackRevisions>
    </reviewItem>
    <reviewItem>
      <errorID>5a2e8917-02a7-4fb2-8efd-fbd30a6caaed</errorID>
      <errorWord>,</errorWord>
      <group>L1_Format</group>
      <groupName>格式问题</groupName>
      <ability>L2_HalfPunc</ability>
      <abilityName>全半角检查</abilityName>
      <candidateList>
        <item>，</item>
      </candidateList>
      <explain>文本全半角错误。</explain>
      <paraID> DBE7024</paraID>
      <start>55</start>
      <end>56</end>
      <status>unmodified</status>
      <modifiedWord/>
      <trackRevisions>false</trackRevisions>
    </reviewItem>
    <reviewItem>
      <errorID>b2705229-dd06-4496-82a4-c9437777cc32</errorID>
      <errorWord>微</errorWord>
      <group>L1_Word</group>
      <groupName>字词问题</groupName>
      <ability>L2_Typo</ability>
      <abilityName>字词错误</abilityName>
      <candidateList>
        <item>微型</item>
      </candidateList>
      <explain/>
      <paraID>72689632</paraID>
      <start>5</start>
      <end>6</end>
      <status>unmodified</status>
      <modifiedWord/>
      <trackRevisions>false</trackRevisions>
    </reviewItem>
    <reviewItem>
      <errorID>6d28d64b-acc3-4352-84b2-1f3df6ffc5b7</errorID>
      <errorWord>、</errorWord>
      <group>L1_Word</group>
      <groupName>字词问题</groupName>
      <ability>L2_Typo</ability>
      <abilityName>字词错误</abilityName>
      <candidateList>
        <item>、小</item>
      </candidateList>
      <explain/>
      <paraID>72689632</paraID>
      <start>33</start>
      <end>34</end>
      <status>unmodified</status>
      <modifiedWord/>
      <trackRevisions>false</trackRevisions>
    </reviewItem>
    <reviewItem>
      <errorID>feb54537-6c7c-4445-9918-587731672849</errorID>
      <errorWord>小</errorWord>
      <group>L1_Word</group>
      <groupName>字词问题</groupName>
      <ability>L2_Typo</ability>
      <abilityName>字词错误</abilityName>
      <candidateList>
        <item>的小</item>
      </candidateList>
      <explain/>
      <paraID>280C10FB</paraID>
      <start>109</start>
      <end>110</end>
      <status>unmodified</status>
      <modifiedWord/>
      <trackRevisions>false</trackRevisions>
    </reviewItem>
    <reviewItem>
      <errorID>c22630a0-5e99-42f7-affb-eafe36b61cbc</errorID>
      <errorWord>控 股</errorWord>
      <group>L1_Word</group>
      <groupName>字词问题</groupName>
      <ability>L2_Typo</ability>
      <abilityName>字词错误</abilityName>
      <candidateList>
        <item>控股</item>
      </candidateList>
      <explain/>
      <paraID>280C10FB</paraID>
      <start>128</start>
      <end>131</end>
      <status>unmodified</status>
      <modifiedWord/>
      <trackRevisions>false</trackRevisions>
    </reviewItem>
    <reviewItem>
      <errorID>46809c3b-b8a0-4889-9392-094f025b1703</errorID>
      <errorWord> </errorWord>
      <group>L1_Punc</group>
      <groupName>标点问题</groupName>
      <ability>L2_Punc</ability>
      <abilityName>标点符号检查</abilityName>
      <candidateList>
        <item/>
      </candidateList>
      <explain>此处空格冗余，建议删除。</explain>
      <paraID>79913D71</paraID>
      <start>116</start>
      <end>117</end>
      <status>unmodified</status>
      <modifiedWord/>
      <trackRevisions>false</trackRevisions>
    </reviewItem>
    <reviewItem>
      <errorID>182d0bab-15c6-45db-a26f-70e1f7e32f47</errorID>
      <errorWord>【2017】141号</errorWord>
      <group>L1_Knowledge</group>
      <groupName>知识性问题</groupName>
      <ability>L2_Knowledge</ability>
      <abilityName>其他知识</abilityName>
      <candidateList>
        <item>〔2017〕141号</item>
      </candidateList>
      <explain>发文字号格式错误。</explain>
      <paraID>176A92CF</paraID>
      <start>7</start>
      <end>17</end>
      <status>unmodified</status>
      <modifiedWord/>
      <trackRevisions>false</trackRevisions>
    </reviewItem>
    <reviewItem>
      <errorID>dac65629-3787-456d-8897-f81040b2cc71</errorID>
      <errorWord>;</errorWord>
      <group>L1_Format</group>
      <groupName>格式问题</groupName>
      <ability>L2_HalfPunc</ability>
      <abilityName>全半角检查</abilityName>
      <candidateList>
        <item>；</item>
      </candidateList>
      <explain>文本全半角错误。</explain>
      <paraID>7D25259C</paraID>
      <start>72</start>
      <end>73</end>
      <status>unmodified</status>
      <modifiedWord/>
      <trackRevisions>false</trackRevisions>
    </reviewItem>
    <reviewItem>
      <errorID>25d4cdeb-23a9-46cd-8929-8e63e087b5aa</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504B1560</paraID>
      <start>29</start>
      <end>36</end>
      <status>unmodified</status>
      <modifiedWord/>
      <trackRevisions>false</trackRevisions>
    </reviewItem>
    <reviewItem>
      <errorID>8c790f19-5ba9-4846-bb3f-9282ad360838</errorID>
      <errorWord>的评审</errorWord>
      <group>L1_Word</group>
      <groupName>字词问题</groupName>
      <ability>L2_Typo</ability>
      <abilityName>字词错误</abilityName>
      <candidateList>
        <item>评审的</item>
      </candidateList>
      <explain/>
      <paraID>50B4AFC1</paraID>
      <start>13</start>
      <end>16</end>
      <status>unmodified</status>
      <modifiedWord/>
      <trackRevisions>false</trackRevisions>
    </reviewItem>
    <reviewItem>
      <errorID>9a4102f6-92c2-4c58-9f1d-4908f090c31c</errorID>
      <errorWord>》</errorWord>
      <group>L1_Word</group>
      <groupName>字词问题</groupName>
      <ability>L2_Typo</ability>
      <abilityName>字词错误</abilityName>
      <candidateList>
        <item>》和</item>
      </candidateList>
      <explain/>
      <paraID>33AF8579</paraID>
      <start>45</start>
      <end>46</end>
      <status>unmodified</status>
      <modifiedWord/>
      <trackRevisions>false</trackRevisions>
    </reviewItem>
    <reviewItem>
      <errorID>e12c7718-036b-4782-9afa-af08a1e1e013</errorID>
      <errorWord>采购的</errorWord>
      <group>L1_Word</group>
      <groupName>字词问题</groupName>
      <ability>L2_Typo</ability>
      <abilityName>字词错误</abilityName>
      <candidateList>
        <item>采购</item>
      </candidateList>
      <explain/>
      <paraID> 10E106F</paraID>
      <start>19</start>
      <end>22</end>
      <status>unmodified</status>
      <modifiedWord/>
      <trackRevisions>false</trackRevisions>
    </reviewItem>
    <reviewItem>
      <errorID>e0d890c0-0f4a-410d-b36a-3171715a3434</errorID>
      <errorWord>涉及到</errorWord>
      <group>L1_Grammar</group>
      <groupName>语法问题</groupName>
      <ability>L2_Grammar</ability>
      <abilityName>语法错误</abilityName>
      <candidateList>
        <item>涉及</item>
      </candidateList>
      <explain>〈动〉牵涉到；关联到：案子～好几个人｜这个问题～面很广。</explain>
      <paraID>72B499C8</paraID>
      <start>20</start>
      <end>23</end>
      <status>unmodified</status>
      <modifiedWord/>
      <trackRevisions>false</trackRevisions>
    </reviewItem>
    <reviewItem>
      <errorID>34f7c39c-0f8f-4115-9ad4-ac33006a3e7f</errorID>
      <errorWord>中</errorWord>
      <group>L1_Word</group>
      <groupName>字词问题</groupName>
      <ability>L2_Typo</ability>
      <abilityName>字词错误</abilityName>
      <candidateList>
        <item>时</item>
      </candidateList>
      <explain/>
      <paraID>72B499C8</paraID>
      <start>132</start>
      <end>133</end>
      <status>unmodified</status>
      <modifiedWord/>
      <trackRevisions>false</trackRevisions>
    </reviewItem>
    <reviewItem>
      <errorID>677d5b99-dbfc-4f9b-a23a-831617bf355b</errorID>
      <errorWord>“符合绿色建筑和绿色建材政府采购需求承诺书”</errorWord>
      <group>L1_Punc</group>
      <groupName>标点问题</groupName>
      <ability>L2_Punc</ability>
      <abilityName>标点符号检查</abilityName>
      <candidateList>
        <item>《符合绿色建筑和绿色建材政府采购需求承诺书》</item>
      </candidateList>
      <explain/>
      <paraID>72B499C8</paraID>
      <start>136</start>
      <end>158</end>
      <status>unmodified</status>
      <modifiedWord/>
      <trackRevisions>false</trackRevisions>
    </reviewItem>
    <reviewItem>
      <errorID>62e67a84-3ad3-44a1-b867-2ed47733e43d</errorID>
      <errorWord>【2024】54号</errorWord>
      <group>L1_Knowledge</group>
      <groupName>知识性问题</groupName>
      <ability>L2_Knowledge</ability>
      <abilityName>其他知识</abilityName>
      <candidateList>
        <item>〔2024〕54号</item>
      </candidateList>
      <explain>发文字号格式错误。</explain>
      <paraID>637D0810</paraID>
      <start>94</start>
      <end>103</end>
      <status>unmodified</status>
      <modifiedWord/>
      <trackRevisions>false</trackRevisions>
    </reviewItem>
    <reviewItem>
      <errorID>c6f16626-5887-4467-a3d9-20cdf0184b8b</errorID>
      <errorWord>享受</errorWord>
      <group>L1_Word</group>
      <groupName>字词问题</groupName>
      <ability>L2_Typo</ability>
      <abilityName>字词错误</abilityName>
      <candidateList>
        <item>落实</item>
      </candidateList>
      <explain/>
      <paraID>637D0810</paraID>
      <start>135</start>
      <end>137</end>
      <status>unmodified</status>
      <modifiedWord/>
      <trackRevisions>false</trackRevisions>
    </reviewItem>
    <reviewItem>
      <errorID>ad06bd98-b346-4ff6-8289-822b4d171d3e</errorID>
      <errorWord>等于同于</errorWord>
      <group>L1_Grammar</group>
      <groupName>语法问题</groupName>
      <ability>L2_Grammar</ability>
      <abilityName>语法错误</abilityName>
      <candidateList>
        <item>等于</item>
      </candidateList>
      <explain/>
      <paraID>731DFF5B</paraID>
      <start>105</start>
      <end>109</end>
      <status>unmodified</status>
      <modifiedWord/>
      <trackRevisions>false</trackRevisions>
    </reviewItem>
    <reviewItem>
      <errorID>c94d19da-3bd3-4966-93f1-95b528493c30</errorID>
      <errorWord>,</errorWord>
      <group>L1_Format</group>
      <groupName>格式问题</groupName>
      <ability>L2_HalfPunc</ability>
      <abilityName>全半角检查</abilityName>
      <candidateList>
        <item>，</item>
      </candidateList>
      <explain>文本全半角错误。</explain>
      <paraID>512D9909</paraID>
      <start>18</start>
      <end>19</end>
      <status>unmodified</status>
      <modifiedWord/>
      <trackRevisions>false</trackRevisions>
    </reviewItem>
    <reviewItem>
      <errorID>432deca0-47fa-4fad-b50d-25f0a87621d5</errorID>
      <errorWord>,</errorWord>
      <group>L1_Format</group>
      <groupName>格式问题</groupName>
      <ability>L2_HalfPunc</ability>
      <abilityName>全半角检查</abilityName>
      <candidateList>
        <item>，</item>
      </candidateList>
      <explain>文本全半角错误。</explain>
      <paraID>512D9909</paraID>
      <start>30</start>
      <end>31</end>
      <status>unmodified</status>
      <modifiedWord/>
      <trackRevisions>false</trackRevisions>
    </reviewItem>
    <reviewItem>
      <errorID>626b53f7-a90d-46e5-8fdf-9f75f4353c3d</errorID>
      <errorWord>&lt;</errorWord>
      <group>L1_Format</group>
      <groupName>格式问题</groupName>
      <ability>L2_HalfPunc</ability>
      <abilityName>全半角检查</abilityName>
      <candidateList>
        <item>〈</item>
      </candidateList>
      <explain>文本全半角错误。</explain>
      <paraID>3335C331</paraID>
      <start>50</start>
      <end>51</end>
      <status>unmodified</status>
      <modifiedWord/>
      <trackRevisions>false</trackRevisions>
    </reviewItem>
    <reviewItem>
      <errorID>a58e3ccf-125f-44bc-82c5-60991fda53aa</errorID>
      <errorWord>&lt;</errorWord>
      <group>L1_Format</group>
      <groupName>格式问题</groupName>
      <ability>L2_HalfPunc</ability>
      <abilityName>全半角检查</abilityName>
      <candidateList>
        <item>〈</item>
      </candidateList>
      <explain>文本全半角错误。</explain>
      <paraID>621AE47B</paraID>
      <start>50</start>
      <end>51</end>
      <status>unmodified</status>
      <modifiedWord/>
      <trackRevisions>false</trackRevisions>
    </reviewItem>
    <reviewItem>
      <errorID>12e5d8db-0876-43fc-aaa3-c78e66c52e74</errorID>
      <errorWord>&lt;</errorWord>
      <group>L1_Format</group>
      <groupName>格式问题</groupName>
      <ability>L2_HalfPunc</ability>
      <abilityName>全半角检查</abilityName>
      <candidateList>
        <item>〈</item>
      </candidateList>
      <explain>文本全半角错误。</explain>
      <paraID>7797216E</paraID>
      <start>35</start>
      <end>36</end>
      <status>unmodified</status>
      <modifiedWord/>
      <trackRevisions>false</trackRevisions>
    </reviewItem>
    <reviewItem>
      <errorID>fa0f5f6d-f296-48db-9da6-2ee49f87f446</errorID>
      <errorWord>作必要</errorWord>
      <group>L1_Word</group>
      <groupName>字词问题</groupName>
      <ability>L2_Typo</ability>
      <abilityName>字词错误</abilityName>
      <candidateList>
        <item>做必要</item>
      </candidateList>
      <explain/>
      <paraID> B607350</paraID>
      <start>54</start>
      <end>57</end>
      <status>unmodified</status>
      <modifiedWord/>
      <trackRevisions>false</trackRevisions>
    </reviewItem>
    <reviewItem>
      <errorID>b3568807-0bb8-46d8-bfa1-33dce0c46421</errorID>
      <errorWord>,</errorWord>
      <group>L1_Format</group>
      <groupName>格式问题</groupName>
      <ability>L2_HalfPunc</ability>
      <abilityName>全半角检查</abilityName>
      <candidateList>
        <item>，</item>
      </candidateList>
      <explain>文本全半角错误。</explain>
      <paraID> B607350</paraID>
      <start>79</start>
      <end>80</end>
      <status>unmodified</status>
      <modifiedWord/>
      <trackRevisions>false</trackRevisions>
    </reviewItem>
    <reviewItem>
      <errorID>68b12e30-6aa2-4e19-a862-1794c09e04cb</errorID>
      <errorWord>:</errorWord>
      <group>L1_Format</group>
      <groupName>格式问题</groupName>
      <ability>L2_HalfPunc</ability>
      <abilityName>全半角检查</abilityName>
      <candidateList>
        <item>：</item>
      </candidateList>
      <explain>文本全半角错误。</explain>
      <paraID>2B3419DB</paraID>
      <start>22</start>
      <end>23</end>
      <status>unmodified</status>
      <modifiedWord/>
      <trackRevisions>false</trackRevisions>
    </reviewItem>
    <reviewItem>
      <errorID>6e876716-6ddd-421b-84ad-60c9054717dc</errorID>
      <errorWord>;</errorWord>
      <group>L1_Punc</group>
      <groupName>标点问题</groupName>
      <ability>L2_Punc</ability>
      <abilityName>标点符号检查</abilityName>
      <candidateList>
        <item>；</item>
      </candidateList>
      <explain/>
      <paraID> E6AAC7D</paraID>
      <start>22</start>
      <end>23</end>
      <status>unmodified</status>
      <modifiedWord/>
      <trackRevisions>false</trackRevisions>
    </reviewItem>
    <reviewItem>
      <errorID>8ba92077-2c5e-4a44-8cd0-0e5cd49c3c50</errorID>
      <errorWord>法律、法规</errorWord>
      <group>L1_Word</group>
      <groupName>字词问题</groupName>
      <ability>L2_Typo</ability>
      <abilityName>字词错误</abilityName>
      <candidateList>
        <item>法律法规</item>
      </candidateList>
      <explain/>
      <paraID>790E63DC</paraID>
      <start>3</start>
      <end>8</end>
      <status>unmodified</status>
      <modifiedWord/>
      <trackRevisions>false</trackRevisions>
    </reviewItem>
    <reviewItem>
      <errorID>7ecbf2f6-37d9-4a03-b89b-c212d024d8b6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5795C26E</paraID>
      <start>0</start>
      <end>2</end>
      <status>unmodified</status>
      <modifiedWord/>
      <trackRevisions>false</trackRevisions>
    </reviewItem>
    <reviewItem>
      <errorID>c49632fa-7efa-46f8-b248-eb90cdb44e30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AD60D57</paraID>
      <start>0</start>
      <end>2</end>
      <status>unmodified</status>
      <modifiedWord/>
      <trackRevisions>false</trackRevisions>
    </reviewItem>
    <reviewItem>
      <errorID>12c37f79-8b95-48ce-9519-6c83e4d9db6b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67491768</paraID>
      <start>0</start>
      <end>2</end>
      <status>unmodified</status>
      <modifiedWord/>
      <trackRevisions>false</trackRevisions>
    </reviewItem>
    <reviewItem>
      <errorID>9c337b9d-9a27-4ffa-8505-e531659f09a8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74F50409</paraID>
      <start>0</start>
      <end>2</end>
      <status>unmodified</status>
      <modifiedWord/>
      <trackRevisions>false</trackRevisions>
    </reviewItem>
    <reviewItem>
      <errorID>d24911d4-c684-4e34-a9ae-367556820127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339A425E</paraID>
      <start>0</start>
      <end>2</end>
      <status>unmodified</status>
      <modifiedWord/>
      <trackRevisions>false</trackRevisions>
    </reviewItem>
    <reviewItem>
      <errorID>1d6ba97a-80e5-4f59-827f-ae09c898800f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339A425E</paraID>
      <start>16</start>
      <end>18</end>
      <status>unmodified</status>
      <modifiedWord/>
      <trackRevisions>false</trackRevisions>
    </reviewItem>
    <reviewItem>
      <errorID>76929661-8bf9-4db6-9278-4e9853037f76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76EA41DE</paraID>
      <start>0</start>
      <end>2</end>
      <status>unmodified</status>
      <modifiedWord/>
      <trackRevisions>false</trackRevisions>
    </reviewItem>
    <reviewItem>
      <errorID>5a977fa0-a31e-42a6-87a4-1e88269e74e8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524F41B1</paraID>
      <start>0</start>
      <end>2</end>
      <status>unmodified</status>
      <modifiedWord/>
      <trackRevisions>false</trackRevisions>
    </reviewItem>
    <reviewItem>
      <errorID>a8b5a304-d049-413c-b17b-4f378bc5935f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1F841707</paraID>
      <start>0</start>
      <end>2</end>
      <status>unmodified</status>
      <modifiedWord/>
      <trackRevisions>false</trackRevisions>
    </reviewItem>
    <reviewItem>
      <errorID>95275659-29c9-4308-a3e1-d99787ff3e21</errorID>
      <errorWord>(</errorWord>
      <group>L1_Format</group>
      <groupName>格式问题</groupName>
      <ability>L2_HalfPunc</ability>
      <abilityName>全半角检查</abilityName>
      <candidateList>
        <item>（</item>
      </candidateList>
      <explain>文本全半角错误。</explain>
      <paraID>2C93759E</paraID>
      <start>56</start>
      <end>57</end>
      <status>unmodified</status>
      <modifiedWord/>
      <trackRevisions>false</trackRevisions>
    </reviewItem>
    <reviewItem>
      <errorID>17d6b286-5d64-4ad7-897f-e6e08890f056</errorID>
      <errorWord>)</errorWord>
      <group>L1_Format</group>
      <groupName>格式问题</groupName>
      <ability>L2_HalfPunc</ability>
      <abilityName>全半角检查</abilityName>
      <candidateList>
        <item>）</item>
      </candidateList>
      <explain>文本全半角错误。</explain>
      <paraID>2C93759E</paraID>
      <start>93</start>
      <end>94</end>
      <status>unmodified</status>
      <modifiedWord/>
      <trackRevisions>false</trackRevisions>
    </reviewItem>
    <reviewItem>
      <errorID>b48a5421-3666-4827-a1f5-3cda44254f01</errorID>
      <errorWord>*</errorWord>
      <group>L1_Punc</group>
      <groupName>标点问题</groupName>
      <ability>L2_Punc</ability>
      <abilityName>标点符号检查</abilityName>
      <candidateList/>
      <explain/>
      <paraID>68974EA9</paraID>
      <start>0</start>
      <end>1</end>
      <status>unmodified</status>
      <modifiedWord/>
      <trackRevisions>false</trackRevisions>
    </reviewItem>
    <reviewItem>
      <errorID>caa2ee1f-d8b5-4cdf-941f-45f0896c6523</errorID>
      <errorWord>连锁</errorWord>
      <group>L1_Word</group>
      <groupName>字词问题</groupName>
      <ability>L2_Typo</ability>
      <abilityName>字词错误</abilityName>
      <candidateList>
        <item>联锁</item>
      </candidateList>
      <explain>存在发音相同字词的误用。</explain>
      <paraID>42867C18</paraID>
      <start>2</start>
      <end>4</end>
      <status>unmodified</status>
      <modifiedWord/>
      <trackRevisions>false</trackRevisions>
    </reviewItem>
    <reviewItem>
      <errorID>0f51b7d7-7eec-4822-aca8-990c0495d01b</errorID>
      <errorWord>连锁</errorWord>
      <group>L1_Word</group>
      <groupName>字词问题</groupName>
      <ability>L2_Typo</ability>
      <abilityName>字词错误</abilityName>
      <candidateList>
        <item>联锁</item>
      </candidateList>
      <explain>存在发音相同字词的误用。</explain>
      <paraID>42867C18</paraID>
      <start>23</start>
      <end>25</end>
      <status>unmodified</status>
      <modifiedWord/>
      <trackRevisions>false</trackRevisions>
    </reviewItem>
    <reviewItem>
      <errorID>a2f90064-f62a-4522-801b-cb8ab40a51e6</errorID>
      <errorWord>*</errorWord>
      <group>L1_Punc</group>
      <groupName>标点问题</groupName>
      <ability>L2_Punc</ability>
      <abilityName>标点符号检查</abilityName>
      <candidateList/>
      <explain/>
      <paraID>431A0AF7</paraID>
      <start>0</start>
      <end>1</end>
      <status>unmodified</status>
      <modifiedWord/>
      <trackRevisions>false</trackRevisions>
    </reviewItem>
    <reviewItem>
      <errorID>ccf87754-c3d5-4de3-88ec-e70eef274e4e</errorID>
      <errorWord>(</errorWord>
      <group>L1_Format</group>
      <groupName>格式问题</groupName>
      <ability>L2_HalfPunc</ability>
      <abilityName>全半角检查</abilityName>
      <candidateList>
        <item>（</item>
      </candidateList>
      <explain>文本全半角错误。</explain>
      <paraID>16C9A5B7</paraID>
      <start>3</start>
      <end>4</end>
      <status>unmodified</status>
      <modifiedWord/>
      <trackRevisions>false</trackRevisions>
    </reviewItem>
    <reviewItem>
      <errorID>39df2967-9f93-4f6d-9c5e-90bb39dd9daf</errorID>
      <errorWord>碘131</errorWord>
      <group>L1_Word</group>
      <groupName>字词问题</groupName>
      <ability>L2_Typo</ability>
      <abilityName>字词错误</abilityName>
      <candidateList>
        <item>碘-131</item>
      </candidateList>
      <explain/>
      <paraID>16C9A5B7</paraID>
      <start>5</start>
      <end>9</end>
      <status>unmodified</status>
      <modifiedWord/>
      <trackRevisions>false</trackRevisions>
    </reviewItem>
    <reviewItem>
      <errorID>f2230a3e-c092-49db-9d86-e90e7bb406e2</errorID>
      <errorWord>*</errorWord>
      <group>L1_Punc</group>
      <groupName>标点问题</groupName>
      <ability>L2_Punc</ability>
      <abilityName>标点符号检查</abilityName>
      <candidateList/>
      <explain/>
      <paraID>  3A62FD</paraID>
      <start>0</start>
      <end>1</end>
      <status>unmodified</status>
      <modifiedWord/>
      <trackRevisions>false</trackRevisions>
    </reviewItem>
    <reviewItem>
      <errorID>d5f7e9aa-8e3c-4e60-aa9f-05a103e77852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ECF6E0F</paraID>
      <start>15</start>
      <end>18</end>
      <status>unmodified</status>
      <modifiedWord/>
      <trackRevisions>false</trackRevisions>
    </reviewItem>
    <reviewItem>
      <errorID>cbd83595-3d5f-48ff-9225-78bd345a9790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3F8F5FED</paraID>
      <start>0</start>
      <end>2</end>
      <status>unmodified</status>
      <modifiedWord/>
      <trackRevisions>false</trackRevisions>
    </reviewItem>
    <reviewItem>
      <errorID>62f55907-400c-4d41-8cb0-ef3baace916f</errorID>
      <errorWord>(</errorWord>
      <group>L1_Format</group>
      <groupName>格式问题</groupName>
      <ability>L2_HalfPunc</ability>
      <abilityName>全半角检查</abilityName>
      <candidateList>
        <item>（</item>
      </candidateList>
      <explain>文本全半角错误。</explain>
      <paraID>1C300890</paraID>
      <start>2</start>
      <end>3</end>
      <status>unmodified</status>
      <modifiedWord/>
      <trackRevisions>false</trackRevisions>
    </reviewItem>
    <reviewItem>
      <errorID>8f93184e-7d1e-4fab-958f-efbb747ee458</errorID>
      <errorWord>(</errorWord>
      <group>L1_Format</group>
      <groupName>格式问题</groupName>
      <ability>L2_HalfPunc</ability>
      <abilityName>全半角检查</abilityName>
      <candidateList>
        <item>（</item>
      </candidateList>
      <explain>文本全半角错误。</explain>
      <paraID>6485286D</paraID>
      <start>2</start>
      <end>3</end>
      <status>unmodified</status>
      <modifiedWord/>
      <trackRevisions>false</trackRevisions>
    </reviewItem>
    <reviewItem>
      <errorID>7c5a905d-13ab-4c14-a1a7-6a302773b3c8</errorID>
      <errorWord>)</errorWord>
      <group>L1_Format</group>
      <groupName>格式问题</groupName>
      <ability>L2_HalfPunc</ability>
      <abilityName>全半角检查</abilityName>
      <candidateList>
        <item>）</item>
      </candidateList>
      <explain>文本全半角错误。</explain>
      <paraID>6485286D</paraID>
      <start>5</start>
      <end>6</end>
      <status>unmodified</status>
      <modifiedWord/>
      <trackRevisions>false</trackRevisions>
    </reviewItem>
    <reviewItem>
      <errorID>8771edf2-1f87-4d38-b085-fc64235fbd24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1C41E758</paraID>
      <start>0</start>
      <end>2</end>
      <status>unmodified</status>
      <modifiedWord/>
      <trackRevisions>false</trackRevisions>
    </reviewItem>
    <reviewItem>
      <errorID>08ab60e2-d7ac-4d2f-a498-1fbeab678194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6EA8346D</paraID>
      <start>0</start>
      <end>2</end>
      <status>unmodified</status>
      <modifiedWord/>
      <trackRevisions>false</trackRevisions>
    </reviewItem>
    <reviewItem>
      <errorID>8aeeadcb-437f-4bf8-b6ae-ff66082410c1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5B32AD25</paraID>
      <start>9</start>
      <end>14</end>
      <status>unmodified</status>
      <modifiedWord/>
      <trackRevisions>false</trackRevisions>
    </reviewItem>
    <reviewItem>
      <errorID>4612a0a5-9d25-437e-8a5b-1d9c56c61db0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55010A3D</paraID>
      <start>0</start>
      <end>2</end>
      <status>unmodified</status>
      <modifiedWord/>
      <trackRevisions>false</trackRevisions>
    </reviewItem>
    <reviewItem>
      <errorID>c8874302-963d-4642-8584-a9cf8601bc69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56F902DE</paraID>
      <start>26</start>
      <end>29</end>
      <status>unmodified</status>
      <modifiedWord/>
      <trackRevisions>false</trackRevisions>
    </reviewItem>
    <reviewItem>
      <errorID>d19803d6-c567-40a2-b7c8-0529c1897aa0</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6C0551ED</paraID>
      <start>160</start>
      <end>169</end>
      <status>unmodified</status>
      <modifiedWord/>
      <trackRevisions>false</trackRevisions>
    </reviewItem>
    <reviewItem>
      <errorID>b0741ba8-fcbc-4c26-a751-9270969d9911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2F97D113</paraID>
      <start>0</start>
      <end>2</end>
      <status>unmodified</status>
      <modifiedWord/>
      <trackRevisions>false</trackRevisions>
    </reviewItem>
    <reviewItem>
      <errorID>7b3f47b2-4165-4d5a-bd6a-99dd6c2f8d0c</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4DE38F60</paraID>
      <start>19</start>
      <end>23</end>
      <status>unmodified</status>
      <modifiedWord/>
      <trackRevisions>false</trackRevisions>
    </reviewItem>
    <reviewItem>
      <errorID>f8171f2b-281c-4b2e-847d-cc6638c3a3d3</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7E3D5C16</paraID>
      <start>27</start>
      <end>30</end>
      <status>unmodified</status>
      <modifiedWord/>
      <trackRevisions>false</trackRevisions>
    </reviewItem>
    <reviewItem>
      <errorID>6c0cecbb-6be1-46de-857f-82564dc1524a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58F4A2A2</paraID>
      <start>0</start>
      <end>2</end>
      <status>unmodified</status>
      <modifiedWord/>
      <trackRevisions>false</trackRevisions>
    </reviewItem>
    <reviewItem>
      <errorID>76c7dacc-8da7-4d8d-aa28-66bff04b71a2</errorID>
      <errorWord>(</errorWord>
      <group>L1_Format</group>
      <groupName>格式问题</groupName>
      <ability>L2_HalfPunc</ability>
      <abilityName>全半角检查</abilityName>
      <candidateList>
        <item>（</item>
      </candidateList>
      <explain>文本全半角错误。</explain>
      <paraID>400D496D</paraID>
      <start>34</start>
      <end>35</end>
      <status>unmodified</status>
      <modifiedWord/>
      <trackRevisions>false</trackRevisions>
    </reviewItem>
    <reviewItem>
      <errorID>16edb8c4-c445-4224-a146-734c8ad71f08</errorID>
      <errorWord>)</errorWord>
      <group>L1_Format</group>
      <groupName>格式问题</groupName>
      <ability>L2_HalfPunc</ability>
      <abilityName>全半角检查</abilityName>
      <candidateList>
        <item>）</item>
      </candidateList>
      <explain>文本全半角错误。</explain>
      <paraID>400D496D</paraID>
      <start>46</start>
      <end>47</end>
      <status>unmodified</status>
      <modifiedWord/>
      <trackRevisions>false</trackRevisions>
    </reviewItem>
    <reviewItem>
      <errorID>9245d4c4-e907-465d-98f9-fd8e9d680b85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3011ABF3</paraID>
      <start>0</start>
      <end>2</end>
      <status>unmodified</status>
      <modifiedWord/>
      <trackRevisions>false</trackRevisions>
    </reviewItem>
    <reviewItem>
      <errorID>feea473e-75b5-4b36-bfa8-e60b43cfc98f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303D5A2F</paraID>
      <start>0</start>
      <end>2</end>
      <status>unmodified</status>
      <modifiedWord/>
      <trackRevisions>false</trackRevisions>
    </reviewItem>
    <reviewItem>
      <errorID>01f10768-67d6-491b-9ab7-9b605137232d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4BD292BB</paraID>
      <start>0</start>
      <end>2</end>
      <status>unmodified</status>
      <modifiedWord/>
      <trackRevisions>false</trackRevisions>
    </reviewItem>
    <reviewItem>
      <errorID>3aa97123-c38b-44d4-b983-b295ddead92b</errorID>
      <errorWord>构造成</errorWord>
      <group>L1_Word</group>
      <groupName>字词问题</groupName>
      <ability>L2_Typo</ability>
      <abilityName>字词错误</abilityName>
      <candidateList>
        <item>构造</item>
      </candidateList>
      <explain/>
      <paraID>2CF04073</paraID>
      <start>39</start>
      <end>42</end>
      <status>unmodified</status>
      <modifiedWord/>
      <trackRevisions>false</trackRevisions>
    </reviewItem>
    <reviewItem>
      <errorID>abb4674c-b012-4b88-91cc-4bfbf728ba4f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6414B67A</paraID>
      <start>0</start>
      <end>2</end>
      <status>unmodified</status>
      <modifiedWord/>
      <trackRevisions>false</trackRevisions>
    </reviewItem>
    <reviewItem>
      <errorID>04b52457-6a93-429a-a8e0-6a89e9cfa430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1CEBD242</paraID>
      <start>0</start>
      <end>2</end>
      <status>unmodified</status>
      <modifiedWord/>
      <trackRevisions>false</trackRevisions>
    </reviewItem>
    <reviewItem>
      <errorID>a9e13ed1-42f1-42f0-a783-43dcd762c4ad</errorID>
      <errorWord>其它</errorWord>
      <group>L1_Word</group>
      <groupName>字词问题</groupName>
      <ability>L2_Alias</ability>
      <abilityName>也作/曾用词</abilityName>
      <candidateList>
        <item>其他</item>
      </candidateList>
      <explain>词汇[其它]为不规范表述或旧称，其规范书面表述为[其他]。</explain>
      <paraID>3CAF8A8B</paraID>
      <start>26</start>
      <end>28</end>
      <status>unmodified</status>
      <modifiedWord/>
      <trackRevisions>false</trackRevisions>
    </reviewItem>
    <reviewItem>
      <errorID>c988e04b-6fc9-4c4c-bef0-e9de85381273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6025271A</paraID>
      <start>0</start>
      <end>2</end>
      <status>unmodified</status>
      <modifiedWord/>
      <trackRevisions>false</trackRevisions>
    </reviewItem>
    <reviewItem>
      <errorID>1083ab0e-b425-4f24-ac81-63125598b378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BF12342</paraID>
      <start>0</start>
      <end>2</end>
      <status>unmodified</status>
      <modifiedWord/>
      <trackRevisions>false</trackRevisions>
    </reviewItem>
    <reviewItem>
      <errorID>40ef16ad-1896-427a-9df2-a92b7ab6aa5c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7830D6DA</paraID>
      <start>0</start>
      <end>2</end>
      <status>unmodified</status>
      <modifiedWord/>
      <trackRevisions>false</trackRevisions>
    </reviewItem>
    <reviewItem>
      <errorID>846dc70a-2184-4bfa-98e2-66e8029a9040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1DC23729</paraID>
      <start>0</start>
      <end>2</end>
      <status>unmodified</status>
      <modifiedWord/>
      <trackRevisions>false</trackRevisions>
    </reviewItem>
    <reviewItem>
      <errorID>66274a62-b660-4970-8063-b35761588256</errorID>
      <errorWord>发生</errorWord>
      <group>L1_Word</group>
      <groupName>字词问题</groupName>
      <ability>L2_Typo</ability>
      <abilityName>字词错误</abilityName>
      <candidateList>
        <item>发出</item>
      </candidateList>
      <explain>存在字形相近字词的误用。</explain>
      <paraID>4EDFCB72</paraID>
      <start>8</start>
      <end>10</end>
      <status>unmodified</status>
      <modifiedWord/>
      <trackRevisions>false</trackRevisions>
    </reviewItem>
    <reviewItem>
      <errorID>becd8844-f225-45ee-8611-adaac6246695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233EC42F</paraID>
      <start>0</start>
      <end>3</end>
      <status>unmodified</status>
      <modifiedWord/>
      <trackRevisions>false</trackRevisions>
    </reviewItem>
    <reviewItem>
      <errorID>25c73634-bcf0-4de7-b03e-56d8c010a505</errorID>
      <errorWord>同</errorWord>
      <group>L1_Word</group>
      <groupName>字词问题</groupName>
      <ability>L2_Typo</ability>
      <abilityName>字词错误</abilityName>
      <candidateList>
        <item>同第</item>
      </candidateList>
      <explain/>
      <paraID>6D14C882</paraID>
      <start>18</start>
      <end>19</end>
      <status>unmodified</status>
      <modifiedWord/>
      <trackRevisions>false</trackRevisions>
    </reviewItem>
    <reviewItem>
      <errorID>a19022ef-352d-427b-9feb-24281137236f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1C87377A</paraID>
      <start>0</start>
      <end>3</end>
      <status>unmodified</status>
      <modifiedWord/>
      <trackRevisions>false</trackRevisions>
    </reviewItem>
    <reviewItem>
      <errorID>e673d5e7-0e0b-4a91-93be-422bedf3a557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66AC7937</paraID>
      <start>0</start>
      <end>3</end>
      <status>unmodified</status>
      <modifiedWord/>
      <trackRevisions>false</trackRevisions>
    </reviewItem>
    <reviewItem>
      <errorID>af5542dd-c400-4168-a1f4-66bafe6327a0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1F8D7439</paraID>
      <start>0</start>
      <end>3</end>
      <status>unmodified</status>
      <modifiedWord/>
      <trackRevisions>false</trackRevisions>
    </reviewItem>
    <reviewItem>
      <errorID>2f53fe38-6e46-457c-815e-eee3742809d2</errorID>
      <errorWord>其它</errorWord>
      <group>L1_Word</group>
      <groupName>字词问题</groupName>
      <ability>L2_Alias</ability>
      <abilityName>也作/曾用词</abilityName>
      <candidateList>
        <item>其他</item>
      </candidateList>
      <explain>词汇[其它]为不规范表述或旧称，其规范书面表述为[其他]。</explain>
      <paraID>1F8D7439</paraID>
      <start>3</start>
      <end>5</end>
      <status>unmodified</status>
      <modifiedWord/>
      <trackRevisions>false</trackRevisions>
    </reviewItem>
    <reviewItem>
      <errorID>77fbbba5-178c-49ab-8c76-2241cd87fdf0</errorID>
      <errorWord>:</errorWord>
      <group>L1_Format</group>
      <groupName>格式问题</groupName>
      <ability>L2_HalfPunc</ability>
      <abilityName>全半角检查</abilityName>
      <candidateList>
        <item>：</item>
      </candidateList>
      <explain>文本全半角错误。</explain>
      <paraID>3B88E13A</paraID>
      <start>3</start>
      <end>4</end>
      <status>unmodified</status>
      <modifiedWord/>
      <trackRevisions>false</trackRevisions>
    </reviewItem>
    <reviewItem>
      <errorID>1e46517a-cbfa-4adc-9f85-e9000dbae2d3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FB3EDD8</paraID>
      <start>0</start>
      <end>2</end>
      <status>unmodified</status>
      <modifiedWord/>
      <trackRevisions>false</trackRevisions>
    </reviewItem>
    <reviewItem>
      <errorID>4b255b8b-066f-42be-961d-e511275ee4dc</errorID>
      <errorWord>:</errorWord>
      <group>L1_Format</group>
      <groupName>格式问题</groupName>
      <ability>L2_HalfPunc</ability>
      <abilityName>全半角检查</abilityName>
      <candidateList>
        <item>：</item>
      </candidateList>
      <explain>文本全半角错误。</explain>
      <paraID>4DE9BB09</paraID>
      <start>5</start>
      <end>6</end>
      <status>unmodified</status>
      <modifiedWord/>
      <trackRevisions>false</trackRevisions>
    </reviewItem>
    <reviewItem>
      <errorID>432bcc3e-04dc-4f10-bb75-6679a288136b</errorID>
      <errorWord>(</errorWord>
      <group>L1_Format</group>
      <groupName>格式问题</groupName>
      <ability>L2_HalfPunc</ability>
      <abilityName>全半角检查</abilityName>
      <candidateList>
        <item>（</item>
      </candidateList>
      <explain>文本全半角错误。</explain>
      <paraID>2EEDBD82</paraID>
      <start>3</start>
      <end>4</end>
      <status>unmodified</status>
      <modifiedWord/>
      <trackRevisions>false</trackRevisions>
    </reviewItem>
    <reviewItem>
      <errorID>fa2315ec-1996-4003-a6e5-bdd6420a0a4a</errorID>
      <errorWord>)</errorWord>
      <group>L1_Format</group>
      <groupName>格式问题</groupName>
      <ability>L2_HalfPunc</ability>
      <abilityName>全半角检查</abilityName>
      <candidateList>
        <item>）</item>
      </candidateList>
      <explain>文本全半角错误。</explain>
      <paraID>2EEDBD82</paraID>
      <start>8</start>
      <end>9</end>
      <status>unmodified</status>
      <modifiedWord/>
      <trackRevisions>false</trackRevisions>
    </reviewItem>
    <reviewItem>
      <errorID>7fdc7188-61d6-4c3a-b39f-5a0e3192ff67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25334C35</paraID>
      <start>0</start>
      <end>2</end>
      <status>unmodified</status>
      <modifiedWord/>
      <trackRevisions>false</trackRevisions>
    </reviewItem>
    <reviewItem>
      <errorID>8e6a8d6b-7ad6-4ca6-bb20-c66a78bef278</errorID>
      <errorWord>(</errorWord>
      <group>L1_Format</group>
      <groupName>格式问题</groupName>
      <ability>L2_HalfPunc</ability>
      <abilityName>全半角检查</abilityName>
      <candidateList>
        <item>（</item>
      </candidateList>
      <explain>文本全半角错误。</explain>
      <paraID>4824EB4C</paraID>
      <start>3</start>
      <end>4</end>
      <status>unmodified</status>
      <modifiedWord/>
      <trackRevisions>false</trackRevisions>
    </reviewItem>
    <reviewItem>
      <errorID>2058eec1-160c-4426-8eb2-e51321fd458d</errorID>
      <errorWord>)</errorWord>
      <group>L1_Format</group>
      <groupName>格式问题</groupName>
      <ability>L2_HalfPunc</ability>
      <abilityName>全半角检查</abilityName>
      <candidateList>
        <item>）</item>
      </candidateList>
      <explain>文本全半角错误。</explain>
      <paraID>4824EB4C</paraID>
      <start>8</start>
      <end>9</end>
      <status>unmodified</status>
      <modifiedWord/>
      <trackRevisions>false</trackRevisions>
    </reviewItem>
    <reviewItem>
      <errorID>e787580f-9109-4a55-ad77-15463d89a9e1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2D42D4D6</paraID>
      <start>0</start>
      <end>2</end>
      <status>unmodified</status>
      <modifiedWord/>
      <trackRevisions>false</trackRevisions>
    </reviewItem>
    <reviewItem>
      <errorID>bf6dc01a-e8d0-459c-bd46-04291e2e44d7</errorID>
      <errorWord>(</errorWord>
      <group>L1_Format</group>
      <groupName>格式问题</groupName>
      <ability>L2_HalfPunc</ability>
      <abilityName>全半角检查</abilityName>
      <candidateList>
        <item>（</item>
      </candidateList>
      <explain>文本全半角错误。</explain>
      <paraID> 669186F</paraID>
      <start>3</start>
      <end>4</end>
      <status>unmodified</status>
      <modifiedWord/>
      <trackRevisions>false</trackRevisions>
    </reviewItem>
    <reviewItem>
      <errorID>28f37811-242d-457d-8f15-1664fba5e606</errorID>
      <errorWord>)</errorWord>
      <group>L1_Format</group>
      <groupName>格式问题</groupName>
      <ability>L2_HalfPunc</ability>
      <abilityName>全半角检查</abilityName>
      <candidateList>
        <item>）</item>
      </candidateList>
      <explain>文本全半角错误。</explain>
      <paraID> 669186F</paraID>
      <start>8</start>
      <end>9</end>
      <status>unmodified</status>
      <modifiedWord/>
      <trackRevisions>false</trackRevisions>
    </reviewItem>
    <reviewItem>
      <errorID>48e465a9-116a-4fc9-bd34-52a37a96fcd6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A58296</paraID>
      <start>0</start>
      <end>2</end>
      <status>unmodified</status>
      <modifiedWord/>
      <trackRevisions>false</trackRevisions>
    </reviewItem>
    <reviewItem>
      <errorID>836e9b6b-0005-4382-866b-0cf5ca34d042</errorID>
      <errorWord>(</errorWord>
      <group>L1_Format</group>
      <groupName>格式问题</groupName>
      <ability>L2_HalfPunc</ability>
      <abilityName>全半角检查</abilityName>
      <candidateList>
        <item>（</item>
      </candidateList>
      <explain>文本全半角错误。</explain>
      <paraID>38940272</paraID>
      <start>3</start>
      <end>4</end>
      <status>unmodified</status>
      <modifiedWord/>
      <trackRevisions>false</trackRevisions>
    </reviewItem>
    <reviewItem>
      <errorID>cd38f5a5-6a9e-4210-bdf6-2a14c3775db5</errorID>
      <errorWord>)</errorWord>
      <group>L1_Format</group>
      <groupName>格式问题</groupName>
      <ability>L2_HalfPunc</ability>
      <abilityName>全半角检查</abilityName>
      <candidateList>
        <item>）</item>
      </candidateList>
      <explain>文本全半角错误。</explain>
      <paraID>38940272</paraID>
      <start>8</start>
      <end>9</end>
      <status>unmodified</status>
      <modifiedWord/>
      <trackRevisions>false</trackRevisions>
    </reviewItem>
    <reviewItem>
      <errorID>62e17c6e-6b34-440d-ab30-f8ce38c0a0d5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66AFE78A</paraID>
      <start>0</start>
      <end>2</end>
      <status>unmodified</status>
      <modifiedWord/>
      <trackRevisions>false</trackRevisions>
    </reviewItem>
    <reviewItem>
      <errorID>77d3fee4-15a8-4b58-b200-94492d7c2387</errorID>
      <errorWord>(</errorWord>
      <group>L1_Format</group>
      <groupName>格式问题</groupName>
      <ability>L2_HalfPunc</ability>
      <abilityName>全半角检查</abilityName>
      <candidateList>
        <item>（</item>
      </candidateList>
      <explain>文本全半角错误。</explain>
      <paraID>52E6E25C</paraID>
      <start>200</start>
      <end>201</end>
      <status>unmodified</status>
      <modifiedWord/>
      <trackRevisions>false</trackRevisions>
    </reviewItem>
    <reviewItem>
      <errorID>b9c17574-cfec-4b57-87b6-b931661fa9d1</errorID>
      <errorWord>)</errorWord>
      <group>L1_Format</group>
      <groupName>格式问题</groupName>
      <ability>L2_HalfPunc</ability>
      <abilityName>全半角检查</abilityName>
      <candidateList>
        <item>）</item>
      </candidateList>
      <explain>文本全半角错误。</explain>
      <paraID>52E6E25C</paraID>
      <start>226</start>
      <end>227</end>
      <status>unmodified</status>
      <modifiedWord/>
      <trackRevisions>false</trackRevisions>
    </reviewItem>
    <reviewItem>
      <errorID>10f0f0f9-7ae4-44cb-82e9-e1aa2d38e159</errorID>
      <errorWord>(</errorWord>
      <group>L1_Format</group>
      <groupName>格式问题</groupName>
      <ability>L2_HalfPunc</ability>
      <abilityName>全半角检查</abilityName>
      <candidateList>
        <item>（</item>
      </candidateList>
      <explain>文本全半角错误。</explain>
      <paraID>5E9CDC9D</paraID>
      <start>11</start>
      <end>12</end>
      <status>unmodified</status>
      <modifiedWord/>
      <trackRevisions>false</trackRevisions>
    </reviewItem>
    <reviewItem>
      <errorID>ca360821-50fe-4601-8876-dab7b895379d</errorID>
      <errorWord>)</errorWord>
      <group>L1_Format</group>
      <groupName>格式问题</groupName>
      <ability>L2_HalfPunc</ability>
      <abilityName>全半角检查</abilityName>
      <candidateList>
        <item>）</item>
      </candidateList>
      <explain>文本全半角错误。</explain>
      <paraID>5E9CDC9D</paraID>
      <start>37</start>
      <end>38</end>
      <status>unmodified</status>
      <modifiedWord/>
      <trackRevisions>false</trackRevisions>
    </reviewItem>
    <reviewItem>
      <errorID>47c7ef91-4653-495d-8e0f-b37f7824614b</errorID>
      <errorWord>(</errorWord>
      <group>L1_Format</group>
      <groupName>格式问题</groupName>
      <ability>L2_HalfPunc</ability>
      <abilityName>全半角检查</abilityName>
      <candidateList>
        <item>（</item>
      </candidateList>
      <explain>文本全半角错误。</explain>
      <paraID>55A6284C</paraID>
      <start>3</start>
      <end>4</end>
      <status>unmodified</status>
      <modifiedWord/>
      <trackRevisions>false</trackRevisions>
    </reviewItem>
    <reviewItem>
      <errorID>b5eab886-216d-4189-92c2-8a8e4b9fd5f2</errorID>
      <errorWord>)</errorWord>
      <group>L1_Format</group>
      <groupName>格式问题</groupName>
      <ability>L2_HalfPunc</ability>
      <abilityName>全半角检查</abilityName>
      <candidateList>
        <item>）</item>
      </candidateList>
      <explain>文本全半角错误。</explain>
      <paraID>55A6284C</paraID>
      <start>8</start>
      <end>9</end>
      <status>unmodified</status>
      <modifiedWord/>
      <trackRevisions>false</trackRevisions>
    </reviewItem>
    <reviewItem>
      <errorID>f370a4f1-f46e-42fc-8da7-245805c994fc</errorID>
      <errorWord>(</errorWord>
      <group>L1_Format</group>
      <groupName>格式问题</groupName>
      <ability>L2_HalfPunc</ability>
      <abilityName>全半角检查</abilityName>
      <candidateList>
        <item>（</item>
      </candidateList>
      <explain>文本全半角错误。</explain>
      <paraID> 8B3FDF6</paraID>
      <start>3</start>
      <end>4</end>
      <status>unmodified</status>
      <modifiedWord/>
      <trackRevisions>false</trackRevisions>
    </reviewItem>
    <reviewItem>
      <errorID>328fff29-6287-47c0-b120-465d33b9a035</errorID>
      <errorWord>)</errorWord>
      <group>L1_Format</group>
      <groupName>格式问题</groupName>
      <ability>L2_HalfPunc</ability>
      <abilityName>全半角检查</abilityName>
      <candidateList>
        <item>）</item>
      </candidateList>
      <explain>文本全半角错误。</explain>
      <paraID> 8B3FDF6</paraID>
      <start>8</start>
      <end>9</end>
      <status>unmodified</status>
      <modifiedWord/>
      <trackRevisions>false</trackRevisions>
    </reviewItem>
    <reviewItem>
      <errorID>c0e18729-80ae-4ee7-85fc-d6b65b02ecad</errorID>
      <errorWord>(</errorWord>
      <group>L1_Format</group>
      <groupName>格式问题</groupName>
      <ability>L2_HalfPunc</ability>
      <abilityName>全半角检查</abilityName>
      <candidateList>
        <item>（</item>
      </candidateList>
      <explain>文本全半角错误。</explain>
      <paraID>6ECF21CD</paraID>
      <start>20</start>
      <end>21</end>
      <status>unmodified</status>
      <modifiedWord/>
      <trackRevisions>false</trackRevisions>
    </reviewItem>
    <reviewItem>
      <errorID>5b35e8d2-aa28-48b9-89a9-423d78d67907</errorID>
      <errorWord>)</errorWord>
      <group>L1_Format</group>
      <groupName>格式问题</groupName>
      <ability>L2_HalfPunc</ability>
      <abilityName>全半角检查</abilityName>
      <candidateList>
        <item>）</item>
      </candidateList>
      <explain>文本全半角错误。</explain>
      <paraID>6ECF21CD</paraID>
      <start>26</start>
      <end>27</end>
      <status>unmodified</status>
      <modifiedWord/>
      <trackRevisions>false</trackRevisions>
    </reviewItem>
    <reviewItem>
      <errorID>d1d96a02-3ea6-4bc7-aa33-a197b3baaacb</errorID>
      <errorWord>(</errorWord>
      <group>L1_Format</group>
      <groupName>格式问题</groupName>
      <ability>L2_HalfPunc</ability>
      <abilityName>全半角检查</abilityName>
      <candidateList>
        <item>（</item>
      </candidateList>
      <explain>文本全半角错误。</explain>
      <paraID>6ECF21CD</paraID>
      <start>39</start>
      <end>40</end>
      <status>unmodified</status>
      <modifiedWord/>
      <trackRevisions>false</trackRevisions>
    </reviewItem>
    <reviewItem>
      <errorID>0dcaf2d5-02a6-4558-9c7b-af3f9a5dec94</errorID>
      <errorWord>)</errorWord>
      <group>L1_Format</group>
      <groupName>格式问题</groupName>
      <ability>L2_HalfPunc</ability>
      <abilityName>全半角检查</abilityName>
      <candidateList>
        <item>）</item>
      </candidateList>
      <explain>文本全半角错误。</explain>
      <paraID>6ECF21CD</paraID>
      <start>48</start>
      <end>49</end>
      <status>unmodified</status>
      <modifiedWord/>
      <trackRevisions>false</trackRevisions>
    </reviewItem>
    <reviewItem>
      <errorID>4dcc86d5-6823-438c-8d79-f88586f7e6ec</errorID>
      <errorWord>(</errorWord>
      <group>L1_Format</group>
      <groupName>格式问题</groupName>
      <ability>L2_HalfPunc</ability>
      <abilityName>全半角检查</abilityName>
      <candidateList>
        <item>（</item>
      </candidateList>
      <explain>文本全半角错误。</explain>
      <paraID>6ECF21CD</paraID>
      <start>61</start>
      <end>62</end>
      <status>unmodified</status>
      <modifiedWord/>
      <trackRevisions>false</trackRevisions>
    </reviewItem>
    <reviewItem>
      <errorID>999ad01b-4b78-4971-aa4b-f2d998e4241a</errorID>
      <errorWord>)</errorWord>
      <group>L1_Format</group>
      <groupName>格式问题</groupName>
      <ability>L2_HalfPunc</ability>
      <abilityName>全半角检查</abilityName>
      <candidateList>
        <item>）</item>
      </candidateList>
      <explain>文本全半角错误。</explain>
      <paraID>6ECF21CD</paraID>
      <start>67</start>
      <end>68</end>
      <status>unmodified</status>
      <modifiedWord/>
      <trackRevisions>false</trackRevisions>
    </reviewItem>
    <reviewItem>
      <errorID>a40e7662-7b72-4e03-a430-31fac6d0e620</errorID>
      <errorWord>(</errorWord>
      <group>L1_Format</group>
      <groupName>格式问题</groupName>
      <ability>L2_HalfPunc</ability>
      <abilityName>全半角检查</abilityName>
      <candidateList>
        <item>（</item>
      </candidateList>
      <explain>文本全半角错误。</explain>
      <paraID>6ECF21CD</paraID>
      <start>101</start>
      <end>102</end>
      <status>unmodified</status>
      <modifiedWord/>
      <trackRevisions>false</trackRevisions>
    </reviewItem>
    <reviewItem>
      <errorID>a07664fd-9a8e-4e24-a5d1-d93b54d1de55</errorID>
      <errorWord>)</errorWord>
      <group>L1_Format</group>
      <groupName>格式问题</groupName>
      <ability>L2_HalfPunc</ability>
      <abilityName>全半角检查</abilityName>
      <candidateList>
        <item>）</item>
      </candidateList>
      <explain>文本全半角错误。</explain>
      <paraID>6ECF21CD</paraID>
      <start>111</start>
      <end>112</end>
      <status>unmodified</status>
      <modifiedWord/>
      <trackRevisions>false</trackRevisions>
    </reviewItem>
    <reviewItem>
      <errorID>06f19f94-a351-4f72-af73-dadb9b368805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226D8E14</paraID>
      <start>0</start>
      <end>2</end>
      <status>unmodified</status>
      <modifiedWord/>
      <trackRevisions>false</trackRevisions>
    </reviewItem>
    <reviewItem>
      <errorID>25f0dfa3-a608-48b8-b0b3-0f4b51f48a15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503ACB1</paraID>
      <start>0</start>
      <end>2</end>
      <status>unmodified</status>
      <modifiedWord/>
      <trackRevisions>false</trackRevisions>
    </reviewItem>
    <reviewItem>
      <errorID>1280f42c-2d74-4df5-b4d8-0b6373a9eaf7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23DAF2FA</paraID>
      <start>0</start>
      <end>2</end>
      <status>unmodified</status>
      <modifiedWord/>
      <trackRevisions>false</trackRevisions>
    </reviewItem>
    <reviewItem>
      <errorID>59d6d1bc-6a53-4c0f-a048-db7627986a16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22E0B7BE</paraID>
      <start>0</start>
      <end>2</end>
      <status>unmodified</status>
      <modifiedWord/>
      <trackRevisions>false</trackRevisions>
    </reviewItem>
    <reviewItem>
      <errorID>0cfbfe2a-92f2-4b5e-ba2f-3ede595a9c4d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6236C5A3</paraID>
      <start>0</start>
      <end>2</end>
      <status>unmodified</status>
      <modifiedWord/>
      <trackRevisions>false</trackRevisions>
    </reviewItem>
    <reviewItem>
      <errorID>01716a51-ebbd-4d99-a0c8-337b55314285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572F5B59</paraID>
      <start>0</start>
      <end>2</end>
      <status>unmodified</status>
      <modifiedWord/>
      <trackRevisions>false</trackRevisions>
    </reviewItem>
    <reviewItem>
      <errorID>5dd4dee6-e2ca-40ab-a438-c2b7dfac3b3e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4C812E27</paraID>
      <start>0</start>
      <end>2</end>
      <status>unmodified</status>
      <modifiedWord/>
      <trackRevisions>false</trackRevisions>
    </reviewItem>
    <reviewItem>
      <errorID>ae1757f6-f371-4d57-9b54-8d649f527542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2B93BDD1</paraID>
      <start>0</start>
      <end>2</end>
      <status>unmodified</status>
      <modifiedWord/>
      <trackRevisions>false</trackRevisions>
    </reviewItem>
    <reviewItem>
      <errorID>60a80ef4-117e-4a6d-9c7e-2a99e8f61830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7D6A01CD</paraID>
      <start>0</start>
      <end>2</end>
      <status>unmodified</status>
      <modifiedWord/>
      <trackRevisions>false</trackRevisions>
    </reviewItem>
    <reviewItem>
      <errorID>1d2df4e3-0569-4b41-a2df-b8e15517dc38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417490C6</paraID>
      <start>0</start>
      <end>3</end>
      <status>unmodified</status>
      <modifiedWord/>
      <trackRevisions>false</trackRevisions>
    </reviewItem>
    <reviewItem>
      <errorID>d5a7a9d3-732d-4eae-be28-343051d9cffa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6BFA863A</paraID>
      <start>0</start>
      <end>3</end>
      <status>unmodified</status>
      <modifiedWord/>
      <trackRevisions>false</trackRevisions>
    </reviewItem>
    <reviewItem>
      <errorID>49b802f9-9625-4d4f-ac03-34a01d33f02c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376E5460</paraID>
      <start>0</start>
      <end>3</end>
      <status>unmodified</status>
      <modifiedWord/>
      <trackRevisions>false</trackRevisions>
    </reviewItem>
    <reviewItem>
      <errorID>b0ad4bcb-ccde-43a9-bd8a-51f28175787b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64024B6F</paraID>
      <start>0</start>
      <end>3</end>
      <status>unmodified</status>
      <modifiedWord/>
      <trackRevisions>false</trackRevisions>
    </reviewItem>
    <reviewItem>
      <errorID>4edfffb8-91f0-4f23-9a90-c633e2f28ec7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78664EA5</paraID>
      <start>0</start>
      <end>3</end>
      <status>unmodified</status>
      <modifiedWord/>
      <trackRevisions>false</trackRevisions>
    </reviewItem>
    <reviewItem>
      <errorID>83bd6ae1-d22c-4fab-a0df-0aa9bbbfd428</errorID>
      <errorWord>其它</errorWord>
      <group>L1_Word</group>
      <groupName>字词问题</groupName>
      <ability>L2_Alias</ability>
      <abilityName>也作/曾用词</abilityName>
      <candidateList>
        <item>其他</item>
      </candidateList>
      <explain>词汇[其它]为不规范表述或旧称，其规范书面表述为[其他]。</explain>
      <paraID>5A8546E1</paraID>
      <start>8</start>
      <end>10</end>
      <status>unmodified</status>
      <modifiedWord/>
      <trackRevisions>false</trackRevisions>
    </reviewItem>
    <reviewItem>
      <errorID>7a540954-750b-454b-a8cd-881fa47ffdea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3624D60</paraID>
      <start>0</start>
      <end>3</end>
      <status>unmodified</status>
      <modifiedWord/>
      <trackRevisions>false</trackRevisions>
    </reviewItem>
    <reviewItem>
      <errorID>e6332237-af86-4368-9604-d25a2ad85233</errorID>
      <errorWord>：</errorWord>
      <group>L1_Format</group>
      <groupName>格式问题</groupName>
      <ability>L2_HalfPunc</ability>
      <abilityName>全半角检查</abilityName>
      <candidateList>
        <item>:</item>
      </candidateList>
      <explain>文本全半角错误。</explain>
      <paraID>10780608</paraID>
      <start>6</start>
      <end>7</end>
      <status>unmodified</status>
      <modifiedWord/>
      <trackRevisions>false</trackRevisions>
    </reviewItem>
    <reviewItem>
      <errorID>c8770e83-60f9-4bcd-88dc-461522944ce2</errorID>
      <errorWord>(</errorWord>
      <group>L1_Format</group>
      <groupName>格式问题</groupName>
      <ability>L2_HalfPunc</ability>
      <abilityName>全半角检查</abilityName>
      <candidateList>
        <item>（</item>
      </candidateList>
      <explain>文本全半角错误。</explain>
      <paraID>4E3751CF</paraID>
      <start>3</start>
      <end>4</end>
      <status>unmodified</status>
      <modifiedWord/>
      <trackRevisions>false</trackRevisions>
    </reviewItem>
    <reviewItem>
      <errorID>ba7c9301-43b0-42a0-9792-0792d04ba2a0</errorID>
      <errorWord>)</errorWord>
      <group>L1_Format</group>
      <groupName>格式问题</groupName>
      <ability>L2_HalfPunc</ability>
      <abilityName>全半角检查</abilityName>
      <candidateList>
        <item>）</item>
      </candidateList>
      <explain>文本全半角错误。</explain>
      <paraID>4E3751CF</paraID>
      <start>8</start>
      <end>9</end>
      <status>unmodified</status>
      <modifiedWord/>
      <trackRevisions>false</trackRevisions>
    </reviewItem>
    <reviewItem>
      <errorID>b72eb560-8839-4128-9a57-449201e70c25</errorID>
      <errorWord>(</errorWord>
      <group>L1_Format</group>
      <groupName>格式问题</groupName>
      <ability>L2_HalfPunc</ability>
      <abilityName>全半角检查</abilityName>
      <candidateList>
        <item>（</item>
      </candidateList>
      <explain>文本全半角错误。</explain>
      <paraID>72B71287</paraID>
      <start>3</start>
      <end>4</end>
      <status>unmodified</status>
      <modifiedWord/>
      <trackRevisions>false</trackRevisions>
    </reviewItem>
    <reviewItem>
      <errorID>ea50a435-9b92-4874-b798-ab1d3c603788</errorID>
      <errorWord>)</errorWord>
      <group>L1_Format</group>
      <groupName>格式问题</groupName>
      <ability>L2_HalfPunc</ability>
      <abilityName>全半角检查</abilityName>
      <candidateList>
        <item>）</item>
      </candidateList>
      <explain>文本全半角错误。</explain>
      <paraID>72B71287</paraID>
      <start>8</start>
      <end>9</end>
      <status>unmodified</status>
      <modifiedWord/>
      <trackRevisions>false</trackRevisions>
    </reviewItem>
    <reviewItem>
      <errorID>22f10ff5-474f-441b-8698-6db6eca33b0a</errorID>
      <errorWord>(</errorWord>
      <group>L1_Format</group>
      <groupName>格式问题</groupName>
      <ability>L2_HalfPunc</ability>
      <abilityName>全半角检查</abilityName>
      <candidateList>
        <item>（</item>
      </candidateList>
      <explain>文本全半角错误。</explain>
      <paraID>788C4592</paraID>
      <start>3</start>
      <end>4</end>
      <status>unmodified</status>
      <modifiedWord/>
      <trackRevisions>false</trackRevisions>
    </reviewItem>
    <reviewItem>
      <errorID>b2ae23ef-14d6-4fc1-9213-fd945c51f580</errorID>
      <errorWord>)</errorWord>
      <group>L1_Format</group>
      <groupName>格式问题</groupName>
      <ability>L2_HalfPunc</ability>
      <abilityName>全半角检查</abilityName>
      <candidateList>
        <item>）</item>
      </candidateList>
      <explain>文本全半角错误。</explain>
      <paraID>788C4592</paraID>
      <start>8</start>
      <end>9</end>
      <status>unmodified</status>
      <modifiedWord/>
      <trackRevisions>false</trackRevisions>
    </reviewItem>
    <reviewItem>
      <errorID>5dd37ae9-fba2-4551-8930-ab7aecf57062</errorID>
      <errorWord>(</errorWord>
      <group>L1_Format</group>
      <groupName>格式问题</groupName>
      <ability>L2_HalfPunc</ability>
      <abilityName>全半角检查</abilityName>
      <candidateList>
        <item>（</item>
      </candidateList>
      <explain>文本全半角错误。</explain>
      <paraID>526656DC</paraID>
      <start>12</start>
      <end>13</end>
      <status>unmodified</status>
      <modifiedWord/>
      <trackRevisions>false</trackRevisions>
    </reviewItem>
    <reviewItem>
      <errorID>90d1256c-6768-4780-b111-07533cd78e25</errorID>
      <errorWord>)</errorWord>
      <group>L1_Format</group>
      <groupName>格式问题</groupName>
      <ability>L2_HalfPunc</ability>
      <abilityName>全半角检查</abilityName>
      <candidateList>
        <item>）</item>
      </candidateList>
      <explain>文本全半角错误。</explain>
      <paraID>526656DC</paraID>
      <start>21</start>
      <end>22</end>
      <status>unmodified</status>
      <modifiedWord/>
      <trackRevisions>false</trackRevisions>
    </reviewItem>
    <reviewItem>
      <errorID>d6f488ed-0dfa-4fbb-87cf-0adf265fafdd</errorID>
      <errorWord>......</errorWord>
      <group>L1_Punc</group>
      <groupName>标点问题</groupName>
      <ability>L2_Punc</ability>
      <abilityName>标点符号检查</abilityName>
      <candidateList>
        <item>……</item>
      </candidateList>
      <explain/>
      <paraID> AB34B39</paraID>
      <start>0</start>
      <end>6</end>
      <status>unmodified</status>
      <modifiedWord/>
      <trackRevisions>false</trackRevisions>
    </reviewItem>
    <reviewItem>
      <errorID>d985ba0e-65e0-4a64-a1bc-3e7054b432e9</errorID>
      <errorWord>......</errorWord>
      <group>L1_Punc</group>
      <groupName>标点问题</groupName>
      <ability>L2_Punc</ability>
      <abilityName>标点符号检查</abilityName>
      <candidateList>
        <item>……</item>
      </candidateList>
      <explain/>
      <paraID>468FFB3A</paraID>
      <start>0</start>
      <end>6</end>
      <status>unmodified</status>
      <modifiedWord/>
      <trackRevisions>false</trackRevisions>
    </reviewItem>
    <reviewItem>
      <errorID>b1515b7c-20f4-46e8-860b-b89d9212c152</errorID>
      <errorWord>......</errorWord>
      <group>L1_Punc</group>
      <groupName>标点问题</groupName>
      <ability>L2_Punc</ability>
      <abilityName>标点符号检查</abilityName>
      <candidateList>
        <item>……</item>
      </candidateList>
      <explain/>
      <paraID>7D07B1D9</paraID>
      <start>0</start>
      <end>6</end>
      <status>unmodified</status>
      <modifiedWord/>
      <trackRevisions>false</trackRevisions>
    </reviewItem>
    <reviewItem>
      <errorID>4362d047-b494-4511-bec7-0a2a52212f50</errorID>
      <errorWord>(</errorWord>
      <group>L1_Format</group>
      <groupName>格式问题</groupName>
      <ability>L2_HalfPunc</ability>
      <abilityName>全半角检查</abilityName>
      <candidateList>
        <item>（</item>
      </candidateList>
      <explain>文本全半角错误。</explain>
      <paraID> 1D2B7B5</paraID>
      <start>0</start>
      <end>1</end>
      <status>unmodified</status>
      <modifiedWord/>
      <trackRevisions>false</trackRevisions>
    </reviewItem>
    <reviewItem>
      <errorID>53a7e927-3b20-4a2e-a5f7-497f49210548</errorID>
      <errorWord>:</errorWord>
      <group>L1_Format</group>
      <groupName>格式问题</groupName>
      <ability>L2_HalfPunc</ability>
      <abilityName>全半角检查</abilityName>
      <candidateList>
        <item>：</item>
      </candidateList>
      <explain>文本全半角错误。</explain>
      <paraID> 1D2B7B5</paraID>
      <start>2</start>
      <end>3</end>
      <status>unmodified</status>
      <modifiedWord/>
      <trackRevisions>false</trackRevisions>
    </reviewItem>
    <reviewItem>
      <errorID>ca6f8a68-cc64-479e-b775-ed3554c8fa8e</errorID>
      <errorWord>)</errorWord>
      <group>L1_Format</group>
      <groupName>格式问题</groupName>
      <ability>L2_HalfPunc</ability>
      <abilityName>全半角检查</abilityName>
      <candidateList>
        <item>）</item>
      </candidateList>
      <explain>文本全半角错误。</explain>
      <paraID> 1D2B7B5</paraID>
      <start>53</start>
      <end>54</end>
      <status>unmodified</status>
      <modifiedWord/>
      <trackRevisions>false</trackRevisions>
    </reviewItem>
    <reviewItem>
      <errorID>c312f02f-16f1-4e68-97a4-25630c4737d5</errorID>
      <errorWord>(</errorWord>
      <group>L1_Format</group>
      <groupName>格式问题</groupName>
      <ability>L2_HalfPunc</ability>
      <abilityName>全半角检查</abilityName>
      <candidateList>
        <item>（</item>
      </candidateList>
      <explain>文本全半角错误。</explain>
      <paraID>6BA397CA</paraID>
      <start>3</start>
      <end>4</end>
      <status>unmodified</status>
      <modifiedWord/>
      <trackRevisions>false</trackRevisions>
    </reviewItem>
    <reviewItem>
      <errorID>945a2f6f-841a-4488-bd56-71354934e94b</errorID>
      <errorWord>)</errorWord>
      <group>L1_Format</group>
      <groupName>格式问题</groupName>
      <ability>L2_HalfPunc</ability>
      <abilityName>全半角检查</abilityName>
      <candidateList>
        <item>）</item>
      </candidateList>
      <explain>文本全半角错误。</explain>
      <paraID>6BA397CA</paraID>
      <start>8</start>
      <end>9</end>
      <status>unmodified</status>
      <modifiedWord/>
      <trackRevisions>false</trackRevisions>
    </reviewItem>
    <reviewItem>
      <errorID>30efe5cd-07cb-4cfd-9e68-37640c4a4ac2</errorID>
      <errorWord>(</errorWord>
      <group>L1_Format</group>
      <groupName>格式问题</groupName>
      <ability>L2_HalfPunc</ability>
      <abilityName>全半角检查</abilityName>
      <candidateList>
        <item>（</item>
      </candidateList>
      <explain>文本全半角错误。</explain>
      <paraID>695432D6</paraID>
      <start>23</start>
      <end>24</end>
      <status>unmodified</status>
      <modifiedWord/>
      <trackRevisions>false</trackRevisions>
    </reviewItem>
    <reviewItem>
      <errorID>8e6f7b9a-d849-4c2f-874e-01e5ce89293f</errorID>
      <errorWord>)</errorWord>
      <group>L1_Format</group>
      <groupName>格式问题</groupName>
      <ability>L2_HalfPunc</ability>
      <abilityName>全半角检查</abilityName>
      <candidateList>
        <item>）</item>
      </candidateList>
      <explain>文本全半角错误。</explain>
      <paraID>695432D6</paraID>
      <start>29</start>
      <end>30</end>
      <status>unmodified</status>
      <modifiedWord/>
      <trackRevisions>false</trackRevisions>
    </reviewItem>
    <reviewItem>
      <errorID>1710c780-5ab2-48c8-81b3-cd892dd372a0</errorID>
      <errorWord>份</errorWord>
      <group>L1_Word</group>
      <groupName>字词问题</groupName>
      <ability>L2_Typo</ability>
      <abilityName>字词错误</abilityName>
      <candidateList>
        <item>份证</item>
      </candidateList>
      <explain/>
      <paraID>58E7C9DB</paraID>
      <start>8</start>
      <end>9</end>
      <status>unmodified</status>
      <modifiedWord/>
      <trackRevisions>false</trackRevisions>
    </reviewItem>
    <reviewItem>
      <errorID>e08f669d-93a4-46eb-b3de-3cdfa82a1a5f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5CDB0FA1</paraID>
      <start>12</start>
      <end>15</end>
      <status>unmodified</status>
      <modifiedWord/>
      <trackRevisions>false</trackRevisions>
    </reviewItem>
    <reviewItem>
      <errorID>c3bbaabc-dd19-4eec-9ce2-5e0f6732dff3</errorID>
      <errorWord>(</errorWord>
      <group>L1_Format</group>
      <groupName>格式问题</groupName>
      <ability>L2_HalfPunc</ability>
      <abilityName>全半角检查</abilityName>
      <candidateList>
        <item>（</item>
      </candidateList>
      <explain>文本全半角错误。</explain>
      <paraID>228275BD</paraID>
      <start>3</start>
      <end>4</end>
      <status>unmodified</status>
      <modifiedWord/>
      <trackRevisions>false</trackRevisions>
    </reviewItem>
    <reviewItem>
      <errorID>1a941b16-4ac2-4531-88ad-2388565ddb67</errorID>
      <errorWord>)</errorWord>
      <group>L1_Format</group>
      <groupName>格式问题</groupName>
      <ability>L2_HalfPunc</ability>
      <abilityName>全半角检查</abilityName>
      <candidateList>
        <item>）</item>
      </candidateList>
      <explain>文本全半角错误。</explain>
      <paraID>228275BD</paraID>
      <start>8</start>
      <end>9</end>
      <status>unmodified</status>
      <modifiedWord/>
      <trackRevisions>false</trackRevisions>
    </reviewItem>
    <reviewItem>
      <errorID>7f9ce67b-e098-40e2-9867-7368fbe11033</errorID>
      <errorWord>年</errorWord>
      <group>L1_Word</group>
      <groupName>字词问题</groupName>
      <ability>L2_Typo</ability>
      <abilityName>字词错误</abilityName>
      <candidateList>
        <item>年来</item>
      </candidateList>
      <explain/>
      <paraID> 9946CD7</paraID>
      <start>1</start>
      <end>2</end>
      <status>unmodified</status>
      <modifiedWord/>
      <trackRevisions>false</trackRevisions>
    </reviewItem>
    <reviewItem>
      <errorID>c581847c-0fa6-4eab-8433-358e14034bb9</errorID>
      <errorWord>(</errorWord>
      <group>L1_Format</group>
      <groupName>格式问题</groupName>
      <ability>L2_HalfPunc</ability>
      <abilityName>全半角检查</abilityName>
      <candidateList>
        <item>（</item>
      </candidateList>
      <explain>文本全半角错误。</explain>
      <paraID>6716497E</paraID>
      <start>27</start>
      <end>28</end>
      <status>unmodified</status>
      <modifiedWord/>
      <trackRevisions>false</trackRevisions>
    </reviewItem>
    <reviewItem>
      <errorID>504f2621-b748-4e03-b9e1-6d2360ebc3a1</errorID>
      <errorWord>)</errorWord>
      <group>L1_Format</group>
      <groupName>格式问题</groupName>
      <ability>L2_HalfPunc</ability>
      <abilityName>全半角检查</abilityName>
      <candidateList>
        <item>）</item>
      </candidateList>
      <explain>文本全半角错误。</explain>
      <paraID>6716497E</paraID>
      <start>30</start>
      <end>31</end>
      <status>unmodified</status>
      <modifiedWord/>
      <trackRevisions>false</trackRevisions>
    </reviewItem>
    <reviewItem>
      <errorID>3da6f0bf-da60-45fc-8f2f-ee1b4c564d3f</errorID>
      <errorWord>(</errorWord>
      <group>L1_Format</group>
      <groupName>格式问题</groupName>
      <ability>L2_HalfPunc</ability>
      <abilityName>全半角检查</abilityName>
      <candidateList>
        <item>（</item>
      </candidateList>
      <explain>文本全半角错误。</explain>
      <paraID>2839DFDA</paraID>
      <start>27</start>
      <end>28</end>
      <status>unmodified</status>
      <modifiedWord/>
      <trackRevisions>false</trackRevisions>
    </reviewItem>
    <reviewItem>
      <errorID>f0dbcd02-2121-4fde-ba61-36b103211eac</errorID>
      <errorWord>)</errorWord>
      <group>L1_Format</group>
      <groupName>格式问题</groupName>
      <ability>L2_HalfPunc</ability>
      <abilityName>全半角检查</abilityName>
      <candidateList>
        <item>）</item>
      </candidateList>
      <explain>文本全半角错误。</explain>
      <paraID>2839DFDA</paraID>
      <start>30</start>
      <end>31</end>
      <status>unmodified</status>
      <modifiedWord/>
      <trackRevisions>false</trackRevisions>
    </reviewItem>
    <reviewItem>
      <errorID>92e36164-13f9-4f13-8470-901070938968</errorID>
      <errorWord>(</errorWord>
      <group>L1_Format</group>
      <groupName>格式问题</groupName>
      <ability>L2_HalfPunc</ability>
      <abilityName>全半角检查</abilityName>
      <candidateList>
        <item>（</item>
      </candidateList>
      <explain>文本全半角错误。</explain>
      <paraID>21B0504C</paraID>
      <start>34</start>
      <end>35</end>
      <status>unmodified</status>
      <modifiedWord/>
      <trackRevisions>false</trackRevisions>
    </reviewItem>
    <reviewItem>
      <errorID>4cd09987-753e-4393-bb48-b34df7009430</errorID>
      <errorWord>（2020) 46号</errorWord>
      <group>L1_Knowledge</group>
      <groupName>知识性问题</groupName>
      <ability>L2_Knowledge</ability>
      <abilityName>其他知识</abilityName>
      <candidateList>
        <item>〔2020〕46号</item>
      </candidateList>
      <explain>发文字号格式错误。</explain>
      <paraID>21B0504C</paraID>
      <start>37</start>
      <end>47</end>
      <status>unmodified</status>
      <modifiedWord/>
      <trackRevisions>false</trackRevisions>
    </reviewItem>
    <reviewItem>
      <errorID>81dc15aa-4aad-4e7c-a1f9-53814b3d9363</errorID>
      <errorWord>(</errorWord>
      <group>L1_Format</group>
      <groupName>格式问题</groupName>
      <ability>L2_HalfPunc</ability>
      <abilityName>全半角检查</abilityName>
      <candidateList>
        <item>（</item>
      </candidateList>
      <explain>文本全半角错误。</explain>
      <paraID> 1879690</paraID>
      <start>3</start>
      <end>4</end>
      <status>unmodified</status>
      <modifiedWord/>
      <trackRevisions>false</trackRevisions>
    </reviewItem>
    <reviewItem>
      <errorID>a54a5162-95bb-49d0-87b5-b8d11d507c12</errorID>
      <errorWord>(</errorWord>
      <group>L1_Format</group>
      <groupName>格式问题</groupName>
      <ability>L2_HalfPunc</ability>
      <abilityName>全半角检查</abilityName>
      <candidateList>
        <item>（</item>
      </candidateList>
      <explain>文本全半角错误。</explain>
      <paraID>17FEAC4C</paraID>
      <start>3</start>
      <end>4</end>
      <status>unmodified</status>
      <modifiedWord/>
      <trackRevisions>false</trackRevisions>
    </reviewItem>
    <reviewItem>
      <errorID>2a8a530e-843a-409d-b134-f0d5b04bf97d</errorID>
      <errorWord>......</errorWord>
      <group>L1_Punc</group>
      <groupName>标点问题</groupName>
      <ability>L2_Punc</ability>
      <abilityName>标点符号检查</abilityName>
      <candidateList>
        <item>……</item>
      </candidateList>
      <explain/>
      <paraID>6E29FC48</paraID>
      <start>0</start>
      <end>6</end>
      <status>unmodified</status>
      <modifiedWord/>
      <trackRevisions>false</trackRevisions>
    </reviewItem>
    <reviewItem>
      <errorID>584d7bda-6a46-4aa4-bd07-13dc72dfbeee</errorID>
      <errorWord>(</errorWord>
      <group>L1_Format</group>
      <groupName>格式问题</groupName>
      <ability>L2_HalfPunc</ability>
      <abilityName>全半角检查</abilityName>
      <candidateList>
        <item>（</item>
      </candidateList>
      <explain>文本全半角错误。</explain>
      <paraID>130C97EB</paraID>
      <start>27</start>
      <end>28</end>
      <status>unmodified</status>
      <modifiedWord/>
      <trackRevisions>false</trackRevisions>
    </reviewItem>
    <reviewItem>
      <errorID>4eb1b3fb-1c1e-4e75-8a58-1564a777fe77</errorID>
      <errorWord>)</errorWord>
      <group>L1_Format</group>
      <groupName>格式问题</groupName>
      <ability>L2_HalfPunc</ability>
      <abilityName>全半角检查</abilityName>
      <candidateList>
        <item>）</item>
      </candidateList>
      <explain>文本全半角错误。</explain>
      <paraID>130C97EB</paraID>
      <start>30</start>
      <end>31</end>
      <status>unmodified</status>
      <modifiedWord/>
      <trackRevisions>false</trackRevisions>
    </reviewItem>
    <reviewItem>
      <errorID>eec75c19-61f3-4967-9092-cca3a2b1d843</errorID>
      <errorWord>(</errorWord>
      <group>L1_Format</group>
      <groupName>格式问题</groupName>
      <ability>L2_HalfPunc</ability>
      <abilityName>全半角检查</abilityName>
      <candidateList>
        <item>（</item>
      </candidateList>
      <explain>文本全半角错误。</explain>
      <paraID>564D6071</paraID>
      <start>27</start>
      <end>28</end>
      <status>unmodified</status>
      <modifiedWord/>
      <trackRevisions>false</trackRevisions>
    </reviewItem>
    <reviewItem>
      <errorID>4d34f31c-a177-4d3f-8b5e-e70bbc40eccf</errorID>
      <errorWord>)</errorWord>
      <group>L1_Format</group>
      <groupName>格式问题</groupName>
      <ability>L2_HalfPunc</ability>
      <abilityName>全半角检查</abilityName>
      <candidateList>
        <item>）</item>
      </candidateList>
      <explain>文本全半角错误。</explain>
      <paraID>564D6071</paraID>
      <start>30</start>
      <end>31</end>
      <status>unmodified</status>
      <modifiedWord/>
      <trackRevisions>false</trackRevisions>
    </reviewItem>
    <reviewItem>
      <errorID>5b8377b0-e47a-44c3-8241-d4b517bf1110</errorID>
      <errorWord>涉及到</errorWord>
      <group>L1_Grammar</group>
      <groupName>语法问题</groupName>
      <ability>L2_Grammar</ability>
      <abilityName>语法错误</abilityName>
      <candidateList>
        <item>涉及</item>
      </candidateList>
      <explain>〈动〉牵涉到；关联到：案子～好几个人｜这个问题～面很广。</explain>
      <paraID>75696783</paraID>
      <start>48</start>
      <end>51</end>
      <status>unmodified</status>
      <modifiedWord/>
      <trackRevisions>false</trackRevisions>
    </reviewItem>
    <reviewItem>
      <errorID>22a58547-065b-4d8f-9287-5d5baee791c8</errorID>
      <errorWord>(</errorWord>
      <group>L1_Format</group>
      <groupName>格式问题</groupName>
      <ability>L2_HalfPunc</ability>
      <abilityName>全半角检查</abilityName>
      <candidateList>
        <item>（</item>
      </candidateList>
      <explain>文本全半角错误。</explain>
      <paraID>1ECCD9A4</paraID>
      <start>27</start>
      <end>28</end>
      <status>unmodified</status>
      <modifiedWord/>
      <trackRevisions>false</trackRevisions>
    </reviewItem>
    <reviewItem>
      <errorID>da568ae1-84d0-480e-92aa-75b4a1ce3ae8</errorID>
      <errorWord>)</errorWord>
      <group>L1_Format</group>
      <groupName>格式问题</groupName>
      <ability>L2_HalfPunc</ability>
      <abilityName>全半角检查</abilityName>
      <candidateList>
        <item>）</item>
      </candidateList>
      <explain>文本全半角错误。</explain>
      <paraID>1ECCD9A4</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46805-c121-40ce-b916-57d2068522ac}">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1343</Words>
  <Characters>1576</Characters>
  <Lines>1</Lines>
  <Paragraphs>1</Paragraphs>
  <TotalTime>7</TotalTime>
  <ScaleCrop>false</ScaleCrop>
  <LinksUpToDate>false</LinksUpToDate>
  <CharactersWithSpaces>1710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2025-05-06T07:50:00Z</dcterms:created>
  <dc:creator>李卫方</dc:creator>
  <cp:lastModifiedBy>启太招标</cp:lastModifiedBy>
  <dcterms:modified xsi:type="dcterms:W3CDTF">2026-04-23T10:26:33Z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308D752376344FC8B036F6DF821766FD_13</vt:lpwstr>
  </property>
  <property fmtid="{D5CDD505-2E9C-101B-9397-08002B2CF9AE}" pid="4" name="KSOTemplateDocerSaveRecord">
    <vt:lpwstr>eyJoZGlkIjoiYTExMzYyMDJmMTQwMTFkMWE3ZmM3YzEyNjU1OGQ0Y2IiLCJ1c2VySWQiOiIxOTg1NzMzNjEifQ==</vt:lpwstr>
  </property>
</Properties>
</file>