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69A2E9">
      <w:pPr>
        <w:spacing w:after="156" w:afterLines="50"/>
        <w:ind w:left="-850" w:leftChars="-405" w:right="-625"/>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 xml:space="preserve"> </w:t>
      </w:r>
    </w:p>
    <w:p w14:paraId="20CD7448">
      <w:pPr>
        <w:ind w:left="0" w:leftChars="0" w:right="0"/>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2026年阿图什市机关事业单位基本养老保险保值增值定期存款项目</w:t>
      </w:r>
    </w:p>
    <w:p w14:paraId="2B7CD58B">
      <w:pPr>
        <w:ind w:left="0" w:leftChars="0" w:right="0"/>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（第二期）</w:t>
      </w:r>
    </w:p>
    <w:p w14:paraId="4C57483B">
      <w:pPr>
        <w:pStyle w:val="40"/>
        <w:rPr>
          <w:rFonts w:hint="eastAsia" w:ascii="仿宋" w:hAnsi="仿宋" w:eastAsia="仿宋" w:cs="仿宋"/>
          <w:sz w:val="32"/>
          <w:szCs w:val="32"/>
        </w:rPr>
      </w:pPr>
    </w:p>
    <w:p w14:paraId="1864E12F">
      <w:pPr>
        <w:spacing w:after="156" w:afterLines="50"/>
        <w:ind w:left="-850" w:leftChars="-405" w:right="-625" w:firstLine="4480" w:firstLineChars="1400"/>
        <w:rPr>
          <w:rFonts w:hint="default" w:ascii="仿宋" w:hAnsi="仿宋" w:eastAsia="仿宋" w:cs="仿宋"/>
          <w:b/>
          <w:bCs w:val="0"/>
          <w:sz w:val="32"/>
          <w:szCs w:val="32"/>
          <w:highlight w:val="none"/>
          <w:lang w:val="en-US"/>
        </w:rPr>
      </w:pPr>
      <w:r>
        <w:rPr>
          <w:rFonts w:hint="eastAsia" w:ascii="仿宋" w:hAnsi="仿宋" w:eastAsia="仿宋" w:cs="仿宋"/>
          <w:b/>
          <w:bCs w:val="0"/>
          <w:sz w:val="32"/>
          <w:szCs w:val="32"/>
          <w:highlight w:val="none"/>
        </w:rPr>
        <w:t>项目编号：</w:t>
      </w:r>
      <w:r>
        <w:rPr>
          <w:rFonts w:hint="eastAsia" w:ascii="仿宋" w:hAnsi="仿宋" w:eastAsia="仿宋" w:cs="仿宋"/>
          <w:b/>
          <w:bCs w:val="0"/>
          <w:sz w:val="32"/>
          <w:szCs w:val="32"/>
          <w:highlight w:val="none"/>
          <w:lang w:val="en-US" w:eastAsia="zh-CN"/>
        </w:rPr>
        <w:t>ATSJYZX-CG-2026037</w:t>
      </w:r>
    </w:p>
    <w:p w14:paraId="0BABD76D">
      <w:pPr>
        <w:jc w:val="center"/>
        <w:rPr>
          <w:rFonts w:hint="eastAsia" w:ascii="仿宋" w:hAnsi="仿宋" w:eastAsia="仿宋" w:cs="仿宋"/>
          <w:b/>
          <w:sz w:val="24"/>
          <w:szCs w:val="24"/>
          <w:highlight w:val="none"/>
          <w:lang w:val="en-US" w:eastAsia="zh-CN"/>
        </w:rPr>
      </w:pPr>
    </w:p>
    <w:p w14:paraId="6522497B">
      <w:pPr>
        <w:jc w:val="center"/>
        <w:rPr>
          <w:rFonts w:hint="eastAsia" w:ascii="仿宋" w:hAnsi="仿宋" w:eastAsia="仿宋" w:cs="仿宋"/>
          <w:b/>
          <w:sz w:val="24"/>
          <w:szCs w:val="24"/>
          <w:highlight w:val="none"/>
          <w:lang w:val="en-US" w:eastAsia="zh-CN"/>
        </w:rPr>
      </w:pPr>
    </w:p>
    <w:p w14:paraId="54447EC2">
      <w:pPr>
        <w:jc w:val="center"/>
        <w:rPr>
          <w:rFonts w:hint="eastAsia" w:ascii="仿宋" w:hAnsi="仿宋" w:eastAsia="仿宋" w:cs="仿宋"/>
          <w:b/>
          <w:sz w:val="24"/>
          <w:szCs w:val="24"/>
          <w:highlight w:val="none"/>
          <w:lang w:val="en-US" w:eastAsia="zh-CN"/>
        </w:rPr>
      </w:pPr>
    </w:p>
    <w:p w14:paraId="2790C75D">
      <w:pPr>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竞</w:t>
      </w:r>
    </w:p>
    <w:p w14:paraId="6BEAFC18">
      <w:pPr>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争</w:t>
      </w:r>
    </w:p>
    <w:p w14:paraId="005F237A">
      <w:pPr>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性</w:t>
      </w:r>
    </w:p>
    <w:p w14:paraId="4DA8DFAB">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磋</w:t>
      </w:r>
    </w:p>
    <w:p w14:paraId="69731076">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商</w:t>
      </w:r>
    </w:p>
    <w:p w14:paraId="6EEF6A8E">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文</w:t>
      </w:r>
    </w:p>
    <w:p w14:paraId="65A44502">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件</w:t>
      </w:r>
    </w:p>
    <w:p w14:paraId="40AB2EA0">
      <w:pPr>
        <w:rPr>
          <w:rFonts w:hint="eastAsia" w:ascii="仿宋" w:hAnsi="仿宋" w:eastAsia="仿宋" w:cs="仿宋"/>
          <w:sz w:val="24"/>
          <w:szCs w:val="24"/>
          <w:highlight w:val="none"/>
        </w:rPr>
      </w:pPr>
    </w:p>
    <w:p w14:paraId="28890605">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outlineLvl w:val="9"/>
        <w:rPr>
          <w:rFonts w:hint="eastAsia" w:ascii="仿宋" w:hAnsi="仿宋" w:eastAsia="仿宋" w:cs="仿宋"/>
          <w:b/>
          <w:color w:val="auto"/>
          <w:sz w:val="28"/>
          <w:szCs w:val="28"/>
          <w:highlight w:val="none"/>
          <w:lang w:eastAsia="zh-CN"/>
        </w:rPr>
      </w:pPr>
      <w:bookmarkStart w:id="0" w:name="_Toc8779"/>
    </w:p>
    <w:p w14:paraId="435901FB">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outlineLvl w:val="9"/>
        <w:rPr>
          <w:rFonts w:hint="eastAsia" w:ascii="仿宋" w:hAnsi="仿宋" w:eastAsia="仿宋" w:cs="仿宋"/>
          <w:b/>
          <w:color w:val="auto"/>
          <w:sz w:val="28"/>
          <w:szCs w:val="28"/>
          <w:highlight w:val="none"/>
          <w:lang w:eastAsia="zh-CN"/>
        </w:rPr>
      </w:pPr>
    </w:p>
    <w:p w14:paraId="3BEABBB9">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outlineLvl w:val="9"/>
        <w:rPr>
          <w:rFonts w:hint="eastAsia" w:ascii="仿宋" w:hAnsi="仿宋" w:eastAsia="仿宋" w:cs="仿宋"/>
          <w:b/>
          <w:color w:val="auto"/>
          <w:sz w:val="28"/>
          <w:szCs w:val="28"/>
          <w:highlight w:val="none"/>
          <w:u w:val="none"/>
          <w:lang w:val="en-US" w:eastAsia="zh-CN"/>
        </w:rPr>
      </w:pPr>
      <w:r>
        <w:rPr>
          <w:rFonts w:hint="eastAsia" w:ascii="仿宋" w:hAnsi="仿宋" w:eastAsia="仿宋" w:cs="仿宋"/>
          <w:b/>
          <w:color w:val="auto"/>
          <w:sz w:val="28"/>
          <w:szCs w:val="28"/>
          <w:highlight w:val="none"/>
          <w:lang w:eastAsia="zh-CN"/>
        </w:rPr>
        <w:t>采购单位</w:t>
      </w:r>
      <w:r>
        <w:rPr>
          <w:rFonts w:hint="eastAsia" w:ascii="仿宋" w:hAnsi="仿宋" w:eastAsia="仿宋" w:cs="仿宋"/>
          <w:b/>
          <w:color w:val="auto"/>
          <w:sz w:val="28"/>
          <w:szCs w:val="28"/>
          <w:highlight w:val="none"/>
        </w:rPr>
        <w:t>：</w:t>
      </w:r>
      <w:bookmarkEnd w:id="0"/>
      <w:r>
        <w:rPr>
          <w:rFonts w:hint="eastAsia" w:ascii="仿宋" w:hAnsi="仿宋" w:eastAsia="仿宋" w:cs="仿宋"/>
          <w:b/>
          <w:color w:val="auto"/>
          <w:sz w:val="28"/>
          <w:szCs w:val="28"/>
          <w:highlight w:val="none"/>
          <w:u w:val="none"/>
          <w:lang w:eastAsia="zh-CN"/>
        </w:rPr>
        <w:t>阿图什市财政局</w:t>
      </w:r>
    </w:p>
    <w:p w14:paraId="4402FBF8">
      <w:pPr>
        <w:keepNext w:val="0"/>
        <w:keepLines w:val="0"/>
        <w:pageBreakBefore w:val="0"/>
        <w:widowControl/>
        <w:kinsoku/>
        <w:wordWrap/>
        <w:overflowPunct/>
        <w:topLinePunct w:val="0"/>
        <w:autoSpaceDE w:val="0"/>
        <w:autoSpaceDN w:val="0"/>
        <w:bidi w:val="0"/>
        <w:adjustRightInd/>
        <w:snapToGrid/>
        <w:spacing w:line="740" w:lineRule="exact"/>
        <w:ind w:right="-26" w:firstLine="560" w:firstLineChars="200"/>
        <w:textAlignment w:val="bottom"/>
        <w:rPr>
          <w:rFonts w:hint="eastAsia" w:ascii="仿宋" w:hAnsi="仿宋" w:eastAsia="仿宋" w:cs="仿宋"/>
          <w:b/>
          <w:color w:val="auto"/>
          <w:sz w:val="28"/>
          <w:szCs w:val="28"/>
          <w:highlight w:val="none"/>
          <w:u w:val="none"/>
          <w:lang w:val="en-US" w:eastAsia="zh-CN"/>
        </w:rPr>
      </w:pPr>
      <w:r>
        <w:rPr>
          <w:rFonts w:hint="eastAsia" w:ascii="仿宋" w:hAnsi="仿宋" w:eastAsia="仿宋" w:cs="仿宋"/>
          <w:b/>
          <w:color w:val="auto"/>
          <w:sz w:val="28"/>
          <w:szCs w:val="28"/>
          <w:highlight w:val="none"/>
          <w:u w:val="none"/>
          <w:lang w:val="en-US" w:eastAsia="zh-CN"/>
        </w:rPr>
        <w:t>联 系 人：张女士         联系电话：18199720299</w:t>
      </w:r>
    </w:p>
    <w:p w14:paraId="7847D8E1">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rPr>
          <w:rFonts w:hint="eastAsia" w:ascii="仿宋" w:hAnsi="仿宋" w:eastAsia="仿宋" w:cs="仿宋"/>
          <w:b/>
          <w:color w:val="auto"/>
          <w:sz w:val="28"/>
          <w:szCs w:val="28"/>
          <w:highlight w:val="none"/>
          <w:u w:val="none"/>
          <w:lang w:val="en-US" w:eastAsia="zh-CN"/>
        </w:rPr>
      </w:pPr>
      <w:r>
        <w:rPr>
          <w:rFonts w:hint="eastAsia" w:ascii="仿宋" w:hAnsi="仿宋" w:eastAsia="仿宋" w:cs="仿宋"/>
          <w:b/>
          <w:color w:val="auto"/>
          <w:sz w:val="28"/>
          <w:szCs w:val="28"/>
          <w:highlight w:val="none"/>
          <w:u w:val="none"/>
          <w:lang w:eastAsia="zh-CN"/>
        </w:rPr>
        <w:t>代理机构：</w:t>
      </w:r>
      <w:r>
        <w:rPr>
          <w:rFonts w:hint="eastAsia" w:ascii="仿宋" w:hAnsi="仿宋" w:eastAsia="仿宋" w:cs="仿宋"/>
          <w:b/>
          <w:color w:val="auto"/>
          <w:sz w:val="28"/>
          <w:szCs w:val="28"/>
          <w:highlight w:val="none"/>
          <w:u w:val="none"/>
          <w:lang w:val="en-US" w:eastAsia="zh-CN"/>
        </w:rPr>
        <w:t>新疆融联通达工程项目管理有限公司</w:t>
      </w:r>
    </w:p>
    <w:p w14:paraId="00AD71C2">
      <w:pPr>
        <w:ind w:firstLine="560" w:firstLineChars="200"/>
        <w:rPr>
          <w:rFonts w:hint="eastAsia" w:ascii="仿宋" w:hAnsi="仿宋" w:eastAsia="仿宋" w:cs="仿宋"/>
          <w:b/>
          <w:sz w:val="28"/>
          <w:szCs w:val="28"/>
          <w:highlight w:val="none"/>
          <w:u w:val="none"/>
          <w:lang w:val="en-US"/>
        </w:rPr>
      </w:pPr>
      <w:r>
        <w:rPr>
          <w:rFonts w:hint="eastAsia" w:ascii="仿宋" w:hAnsi="仿宋" w:eastAsia="仿宋" w:cs="仿宋"/>
          <w:b/>
          <w:color w:val="auto"/>
          <w:sz w:val="28"/>
          <w:szCs w:val="28"/>
          <w:highlight w:val="none"/>
          <w:u w:val="none"/>
          <w:lang w:eastAsia="zh-CN"/>
        </w:rPr>
        <w:t>联</w:t>
      </w:r>
      <w:r>
        <w:rPr>
          <w:rFonts w:hint="eastAsia" w:ascii="仿宋" w:hAnsi="仿宋" w:eastAsia="仿宋" w:cs="仿宋"/>
          <w:b/>
          <w:color w:val="auto"/>
          <w:sz w:val="28"/>
          <w:szCs w:val="28"/>
          <w:highlight w:val="none"/>
          <w:u w:val="none"/>
          <w:lang w:val="en-US" w:eastAsia="zh-CN"/>
        </w:rPr>
        <w:t xml:space="preserve"> </w:t>
      </w:r>
      <w:r>
        <w:rPr>
          <w:rFonts w:hint="eastAsia" w:ascii="仿宋" w:hAnsi="仿宋" w:eastAsia="仿宋" w:cs="仿宋"/>
          <w:b/>
          <w:color w:val="auto"/>
          <w:sz w:val="28"/>
          <w:szCs w:val="28"/>
          <w:highlight w:val="none"/>
          <w:u w:val="none"/>
          <w:lang w:eastAsia="zh-CN"/>
        </w:rPr>
        <w:t>系</w:t>
      </w:r>
      <w:r>
        <w:rPr>
          <w:rFonts w:hint="eastAsia" w:ascii="仿宋" w:hAnsi="仿宋" w:eastAsia="仿宋" w:cs="仿宋"/>
          <w:b/>
          <w:color w:val="auto"/>
          <w:sz w:val="28"/>
          <w:szCs w:val="28"/>
          <w:highlight w:val="none"/>
          <w:u w:val="none"/>
          <w:lang w:val="en-US" w:eastAsia="zh-CN"/>
        </w:rPr>
        <w:t xml:space="preserve"> </w:t>
      </w:r>
      <w:r>
        <w:rPr>
          <w:rFonts w:hint="eastAsia" w:ascii="仿宋" w:hAnsi="仿宋" w:eastAsia="仿宋" w:cs="仿宋"/>
          <w:b/>
          <w:color w:val="auto"/>
          <w:sz w:val="28"/>
          <w:szCs w:val="28"/>
          <w:highlight w:val="none"/>
          <w:u w:val="none"/>
          <w:lang w:eastAsia="zh-CN"/>
        </w:rPr>
        <w:t>人：</w:t>
      </w:r>
      <w:r>
        <w:rPr>
          <w:rFonts w:hint="eastAsia" w:ascii="仿宋" w:hAnsi="仿宋" w:eastAsia="仿宋" w:cs="仿宋"/>
          <w:b/>
          <w:color w:val="auto"/>
          <w:sz w:val="28"/>
          <w:szCs w:val="28"/>
          <w:highlight w:val="none"/>
          <w:u w:val="none"/>
          <w:lang w:val="en-US" w:eastAsia="zh-CN"/>
        </w:rPr>
        <w:t xml:space="preserve">黄女士         </w:t>
      </w:r>
      <w:r>
        <w:rPr>
          <w:rFonts w:hint="eastAsia" w:ascii="仿宋" w:hAnsi="仿宋" w:eastAsia="仿宋" w:cs="仿宋"/>
          <w:b/>
          <w:color w:val="auto"/>
          <w:sz w:val="28"/>
          <w:szCs w:val="28"/>
          <w:highlight w:val="none"/>
          <w:u w:val="none"/>
          <w:lang w:eastAsia="zh-CN"/>
        </w:rPr>
        <w:t xml:space="preserve">联系电话: </w:t>
      </w:r>
      <w:r>
        <w:rPr>
          <w:rFonts w:hint="eastAsia" w:ascii="仿宋" w:hAnsi="仿宋" w:eastAsia="仿宋" w:cs="仿宋"/>
          <w:b/>
          <w:color w:val="auto"/>
          <w:sz w:val="28"/>
          <w:szCs w:val="28"/>
          <w:highlight w:val="none"/>
          <w:u w:val="none"/>
          <w:lang w:val="en-US" w:eastAsia="zh-CN"/>
        </w:rPr>
        <w:t>17609081174</w:t>
      </w:r>
    </w:p>
    <w:p w14:paraId="241A669B">
      <w:pPr>
        <w:jc w:val="center"/>
        <w:rPr>
          <w:rFonts w:hint="eastAsia" w:ascii="仿宋" w:hAnsi="仿宋" w:eastAsia="仿宋" w:cs="仿宋"/>
          <w:b/>
          <w:sz w:val="28"/>
          <w:szCs w:val="28"/>
          <w:highlight w:val="none"/>
        </w:rPr>
      </w:pPr>
    </w:p>
    <w:p w14:paraId="021DF58E">
      <w:pPr>
        <w:jc w:val="center"/>
        <w:rPr>
          <w:rFonts w:hint="eastAsia" w:ascii="仿宋" w:hAnsi="仿宋" w:eastAsia="仿宋" w:cs="仿宋"/>
          <w:b/>
          <w:sz w:val="24"/>
          <w:szCs w:val="24"/>
          <w:highlight w:val="none"/>
        </w:rPr>
      </w:pPr>
    </w:p>
    <w:p w14:paraId="75513F6D">
      <w:pPr>
        <w:jc w:val="center"/>
        <w:rPr>
          <w:rFonts w:hint="eastAsia" w:ascii="仿宋" w:hAnsi="仿宋" w:eastAsia="仿宋" w:cs="仿宋"/>
          <w:b/>
          <w:sz w:val="24"/>
          <w:szCs w:val="24"/>
          <w:highlight w:val="none"/>
        </w:rPr>
      </w:pPr>
    </w:p>
    <w:p w14:paraId="1698D06A">
      <w:pPr>
        <w:jc w:val="center"/>
        <w:rPr>
          <w:rFonts w:hint="eastAsia" w:ascii="仿宋" w:hAnsi="仿宋" w:eastAsia="仿宋" w:cs="仿宋"/>
          <w:b/>
          <w:sz w:val="24"/>
          <w:szCs w:val="24"/>
          <w:highlight w:val="none"/>
        </w:rPr>
      </w:pPr>
    </w:p>
    <w:p w14:paraId="130ECE0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目  录</w:t>
      </w:r>
    </w:p>
    <w:p w14:paraId="2425BC93">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_Toc18783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第一章</w:t>
      </w:r>
      <w:r>
        <w:rPr>
          <w:rFonts w:hint="eastAsia" w:ascii="仿宋" w:hAnsi="仿宋" w:eastAsia="仿宋" w:cs="仿宋"/>
          <w:bCs/>
          <w:sz w:val="24"/>
          <w:szCs w:val="24"/>
          <w:highlight w:val="none"/>
          <w:lang w:val="en-US" w:eastAsia="zh-CN"/>
        </w:rPr>
        <w:t>竞争性磋商</w:t>
      </w:r>
      <w:r>
        <w:rPr>
          <w:rFonts w:hint="eastAsia" w:ascii="仿宋" w:hAnsi="仿宋" w:eastAsia="仿宋" w:cs="仿宋"/>
          <w:bCs/>
          <w:sz w:val="24"/>
          <w:szCs w:val="24"/>
          <w:highlight w:val="none"/>
        </w:rPr>
        <w:t>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_Toc18783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9BC7F59">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_Toc20754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第二章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_Toc20754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9035CB6">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_Toc10192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一、投标人须知前附表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_Toc10192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078E28">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_Toc30211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二、投标人须知</w:t>
      </w:r>
      <w:r>
        <w:rPr>
          <w:rFonts w:hint="eastAsia" w:ascii="仿宋" w:hAnsi="仿宋" w:eastAsia="仿宋" w:cs="仿宋"/>
          <w:sz w:val="24"/>
          <w:szCs w:val="24"/>
        </w:rPr>
        <w:tab/>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14:paraId="6B9C0B06">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1287D3A">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_Toc32281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_Toc32281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934EE16">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_Toc31824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_Toc31824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9A7A045">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_Toc29184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（四）投标文件的制作、上传及递交要求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_Toc29184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C8B651">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_Toc31522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（五）开 标、评标和定标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_Toc31522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8149E27">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_Toc14152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（六）合同的授予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_Toc14152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793C1B">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_Toc13031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（七）纪律和监督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_Toc13031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D3992E8">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_Toc16961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（八）质疑与投诉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_Toc16961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86A91D">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_Toc7938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政府采购投诉书（范本）、质疑函范本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_Toc7938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44624E">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_Toc29698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政府采购投诉书（范本）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_Toc29698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E339B03">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_Toc20521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投诉相关说明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_Toc20521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7954F8A">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_Toc4972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质疑函范本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_Toc4972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87D2843">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_Toc18159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第三章  评标办法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_Toc18159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2A41D51">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_Toc26415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一  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_Toc26415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6448843">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_Toc32261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一般规定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_Toc32261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020BEE">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_Toc6901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bCs/>
          <w:sz w:val="24"/>
          <w:szCs w:val="24"/>
          <w:highlight w:val="none"/>
        </w:rPr>
        <w:t>磋商组织机构的组成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_Toc6901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D3AC1EB">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三</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磋商小组职责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_Toc1850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BA7AEC8">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_Toc728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四</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磋商小组义务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_Toc728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D23860">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_Toc29099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评标程序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_Toc29099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29D5DD">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_Toc18997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二  投标文件初审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_Toc18997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EA2A17E">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_Toc5783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资格性审查: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_Toc5783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645C2BC">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_Toc20642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符合性审查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_Toc20642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87EC16">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_Toc23329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三  投标文件的澄清和补正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_Toc23329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3189D0">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_Toc3889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八</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澄清、说明或补正的形式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_Toc3889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FC86A62">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_Toc16390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九</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错误修正的原则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_Toc16390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A38D4F">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_Toc12135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四 比较与评价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_Toc12135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DE1C2C2">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_Toc24790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en-US" w:eastAsia="zh-CN"/>
        </w:rPr>
        <w:t>（十）</w:t>
      </w:r>
      <w:r>
        <w:rPr>
          <w:rFonts w:hint="eastAsia" w:ascii="仿宋" w:hAnsi="仿宋" w:eastAsia="仿宋" w:cs="仿宋"/>
          <w:bCs/>
          <w:sz w:val="24"/>
          <w:szCs w:val="24"/>
          <w:highlight w:val="none"/>
        </w:rPr>
        <w:t>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_Toc24790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5BBBF8">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_Toc32324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十一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无效投标条款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_Toc32324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949124F">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_Toc16248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第四章 </w:t>
      </w:r>
      <w:r>
        <w:rPr>
          <w:rFonts w:hint="eastAsia" w:ascii="仿宋" w:hAnsi="仿宋" w:eastAsia="仿宋" w:cs="仿宋"/>
          <w:sz w:val="24"/>
          <w:szCs w:val="24"/>
          <w:highlight w:val="none"/>
        </w:rPr>
        <w:t>招标项目技术要求及服务内容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_Toc16248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47D333">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_Toc26953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 xml:space="preserve">第五章 </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_Toc26953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32B7A56">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_Toc1255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第一条  总则</w:t>
      </w:r>
      <w:r>
        <w:rPr>
          <w:rFonts w:hint="eastAsia" w:ascii="仿宋" w:hAnsi="仿宋" w:eastAsia="仿宋" w:cs="仿宋"/>
          <w:sz w:val="24"/>
          <w:szCs w:val="24"/>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_Toc1255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024F9666">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_Toc11214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第二条 甲方权利和义务</w:t>
      </w:r>
      <w:r>
        <w:rPr>
          <w:rFonts w:hint="eastAsia" w:ascii="仿宋" w:hAnsi="仿宋" w:eastAsia="仿宋" w:cs="仿宋"/>
          <w:sz w:val="24"/>
          <w:szCs w:val="24"/>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_Toc11214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4A9A1B4D">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_Toc15616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（一）权利</w:t>
      </w:r>
      <w:r>
        <w:rPr>
          <w:rFonts w:hint="eastAsia" w:ascii="仿宋" w:hAnsi="仿宋" w:eastAsia="仿宋" w:cs="仿宋"/>
          <w:sz w:val="24"/>
          <w:szCs w:val="24"/>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_Toc15616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2CF69F30">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_Toc24103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（二）义务</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_Toc24103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72B8EF55">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_Toc2350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第三条  乙方权利和义务</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_Toc2350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7510F835">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_Toc30353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（一）权利</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_Toc30353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4B2F8592">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_Toc21812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（二）义务</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_Toc21812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39</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1B4DAF07">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_Toc11863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第四条   违约责任</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_Toc11863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39</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04B21411">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_Toc18296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第五条   附则</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_Toc18296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39</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5F824BDA">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_Toc17257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第六章 </w:t>
      </w:r>
      <w:r>
        <w:rPr>
          <w:rFonts w:hint="eastAsia" w:ascii="仿宋" w:hAnsi="仿宋" w:eastAsia="仿宋" w:cs="仿宋"/>
          <w:bCs/>
          <w:spacing w:val="0"/>
          <w:w w:val="100"/>
          <w:position w:val="0"/>
          <w:sz w:val="24"/>
          <w:szCs w:val="24"/>
          <w:lang w:eastAsia="zh-CN"/>
        </w:rPr>
        <w:t>响应文件</w:t>
      </w:r>
      <w:r>
        <w:rPr>
          <w:rFonts w:hint="eastAsia" w:ascii="仿宋" w:hAnsi="仿宋" w:eastAsia="仿宋" w:cs="仿宋"/>
          <w:bCs/>
          <w:spacing w:val="0"/>
          <w:w w:val="100"/>
          <w:position w:val="0"/>
          <w:sz w:val="24"/>
          <w:szCs w:val="24"/>
        </w:rPr>
        <w:t>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_Toc17257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B5EA3F8">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_Toc6851 </w:instrText>
      </w:r>
      <w:r>
        <w:rPr>
          <w:rFonts w:hint="eastAsia" w:ascii="仿宋" w:hAnsi="仿宋" w:eastAsia="仿宋" w:cs="仿宋"/>
          <w:sz w:val="24"/>
          <w:szCs w:val="24"/>
        </w:rPr>
        <w:fldChar w:fldCharType="separate"/>
      </w:r>
      <w:r>
        <w:rPr>
          <w:rFonts w:hint="eastAsia" w:ascii="仿宋" w:hAnsi="仿宋" w:eastAsia="仿宋" w:cs="仿宋"/>
          <w:bCs/>
          <w:kern w:val="2"/>
          <w:sz w:val="24"/>
          <w:szCs w:val="24"/>
          <w:highlight w:val="none"/>
          <w:lang w:val="en-US" w:eastAsia="zh-CN" w:bidi="ar-SA"/>
        </w:rPr>
        <w:t>第一部分 资格证明文件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_Toc6851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B0F5899">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_Toc24188 </w:instrText>
      </w:r>
      <w:r>
        <w:rPr>
          <w:rFonts w:hint="eastAsia" w:ascii="仿宋" w:hAnsi="仿宋" w:eastAsia="仿宋" w:cs="仿宋"/>
          <w:sz w:val="24"/>
          <w:szCs w:val="24"/>
        </w:rPr>
        <w:fldChar w:fldCharType="separate"/>
      </w:r>
      <w:r>
        <w:rPr>
          <w:rFonts w:hint="eastAsia" w:ascii="仿宋" w:hAnsi="仿宋" w:eastAsia="仿宋" w:cs="仿宋"/>
          <w:bCs/>
          <w:kern w:val="2"/>
          <w:sz w:val="24"/>
          <w:szCs w:val="24"/>
          <w:highlight w:val="none"/>
          <w:lang w:val="en-US" w:eastAsia="zh-CN" w:bidi="ar-SA"/>
        </w:rPr>
        <w:t>第二部分商务及技术文件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_Toc24188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9A1B77E">
      <w:pPr>
        <w:pStyle w:val="11"/>
        <w:tabs>
          <w:tab w:val="right" w:leader="dot" w:pos="9968"/>
          <w:tab w:val="clear" w:pos="9288"/>
        </w:tabs>
        <w:rPr>
          <w:rFonts w:hint="eastAsia" w:ascii="仿宋" w:hAnsi="仿宋" w:eastAsia="仿宋" w:cs="仿宋"/>
          <w:sz w:val="24"/>
          <w:szCs w:val="24"/>
        </w:rPr>
      </w:pPr>
    </w:p>
    <w:p w14:paraId="3EBADAEC">
      <w:pPr>
        <w:spacing w:line="240" w:lineRule="auto"/>
        <w:rPr>
          <w:rFonts w:hint="eastAsia" w:ascii="仿宋" w:hAnsi="仿宋" w:eastAsia="仿宋" w:cs="仿宋"/>
          <w:b/>
          <w:bCs/>
          <w:sz w:val="24"/>
          <w:szCs w:val="24"/>
          <w:highlight w:val="none"/>
        </w:rPr>
        <w:sectPr>
          <w:headerReference r:id="rId3" w:type="default"/>
          <w:footerReference r:id="rId4" w:type="default"/>
          <w:pgSz w:w="11906" w:h="16838"/>
          <w:pgMar w:top="1157" w:right="969" w:bottom="1157" w:left="969" w:header="851" w:footer="992" w:gutter="0"/>
          <w:pgNumType w:start="1"/>
          <w:cols w:space="720" w:num="1"/>
          <w:docGrid w:type="linesAndChars" w:linePitch="312" w:charSpace="0"/>
        </w:sectPr>
      </w:pPr>
      <w:r>
        <w:rPr>
          <w:rFonts w:hint="eastAsia" w:ascii="仿宋" w:hAnsi="仿宋" w:eastAsia="仿宋" w:cs="仿宋"/>
          <w:sz w:val="24"/>
          <w:szCs w:val="24"/>
        </w:rPr>
        <w:fldChar w:fldCharType="end"/>
      </w:r>
      <w:bookmarkStart w:id="1" w:name="_Toc26892"/>
      <w:bookmarkStart w:id="2" w:name="_Toc18783"/>
      <w:bookmarkStart w:id="3" w:name="_Toc25256"/>
    </w:p>
    <w:p w14:paraId="385BFCBB">
      <w:pPr>
        <w:spacing w:line="420" w:lineRule="exact"/>
        <w:jc w:val="center"/>
        <w:outlineLvl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第一章</w:t>
      </w:r>
      <w:bookmarkEnd w:id="1"/>
      <w:r>
        <w:rPr>
          <w:rFonts w:hint="eastAsia" w:ascii="仿宋" w:hAnsi="仿宋" w:eastAsia="仿宋" w:cs="仿宋"/>
          <w:b/>
          <w:bCs/>
          <w:color w:val="auto"/>
          <w:sz w:val="24"/>
          <w:szCs w:val="24"/>
          <w:highlight w:val="none"/>
          <w:lang w:val="en-US" w:eastAsia="zh-CN"/>
        </w:rPr>
        <w:t>竞争性磋商</w:t>
      </w:r>
      <w:r>
        <w:rPr>
          <w:rFonts w:hint="eastAsia" w:ascii="仿宋" w:hAnsi="仿宋" w:eastAsia="仿宋" w:cs="仿宋"/>
          <w:b/>
          <w:bCs/>
          <w:color w:val="auto"/>
          <w:sz w:val="24"/>
          <w:szCs w:val="24"/>
          <w:highlight w:val="none"/>
        </w:rPr>
        <w:t>公告</w:t>
      </w:r>
      <w:bookmarkEnd w:id="2"/>
      <w:bookmarkEnd w:id="3"/>
    </w:p>
    <w:p w14:paraId="40A037EF">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eastAsia" w:ascii="仿宋" w:hAnsi="仿宋" w:eastAsia="仿宋" w:cs="仿宋"/>
          <w:b/>
          <w:bCs/>
          <w:color w:val="auto"/>
          <w:spacing w:val="-6"/>
          <w:kern w:val="0"/>
          <w:sz w:val="24"/>
          <w:szCs w:val="24"/>
          <w:highlight w:val="none"/>
          <w:u w:val="none"/>
          <w:lang w:val="en-US" w:eastAsia="zh-CN" w:bidi="ar"/>
        </w:rPr>
      </w:pPr>
      <w:bookmarkStart w:id="4" w:name="_Toc6038"/>
      <w:r>
        <w:rPr>
          <w:rFonts w:hint="eastAsia" w:ascii="仿宋" w:hAnsi="仿宋" w:eastAsia="仿宋" w:cs="仿宋"/>
          <w:b/>
          <w:bCs/>
          <w:color w:val="auto"/>
          <w:spacing w:val="-6"/>
          <w:kern w:val="0"/>
          <w:sz w:val="24"/>
          <w:szCs w:val="24"/>
          <w:highlight w:val="none"/>
          <w:u w:val="none"/>
          <w:lang w:val="en-US" w:eastAsia="zh-CN" w:bidi="ar"/>
        </w:rPr>
        <w:t>2026年阿图什市机关事业单位基本养老保险保值增值定期存款项目（第二期）</w:t>
      </w:r>
    </w:p>
    <w:p w14:paraId="556FEB6F">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eastAsia" w:ascii="仿宋" w:hAnsi="仿宋" w:eastAsia="仿宋" w:cs="仿宋"/>
          <w:b/>
          <w:bCs/>
          <w:color w:val="auto"/>
          <w:spacing w:val="-6"/>
          <w:kern w:val="0"/>
          <w:sz w:val="24"/>
          <w:szCs w:val="24"/>
          <w:highlight w:val="none"/>
          <w:u w:val="none"/>
          <w:lang w:val="en-US" w:eastAsia="zh-CN" w:bidi="ar"/>
        </w:rPr>
      </w:pPr>
      <w:r>
        <w:rPr>
          <w:rFonts w:hint="eastAsia" w:ascii="仿宋" w:hAnsi="仿宋" w:eastAsia="仿宋" w:cs="仿宋"/>
          <w:b/>
          <w:bCs/>
          <w:color w:val="auto"/>
          <w:spacing w:val="-6"/>
          <w:kern w:val="0"/>
          <w:sz w:val="24"/>
          <w:szCs w:val="24"/>
          <w:highlight w:val="none"/>
          <w:u w:val="none"/>
          <w:lang w:val="en-US" w:eastAsia="zh-CN" w:bidi="ar"/>
        </w:rPr>
        <w:t>竞争性磋商公告</w:t>
      </w:r>
    </w:p>
    <w:tbl>
      <w:tblPr>
        <w:tblStyle w:val="25"/>
        <w:tblpPr w:leftFromText="180" w:rightFromText="180" w:vertAnchor="page" w:horzAnchor="page" w:tblpX="1387" w:tblpY="30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8"/>
      </w:tblGrid>
      <w:tr w14:paraId="7747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408" w:type="dxa"/>
            <w:tcBorders>
              <w:top w:val="single" w:color="auto" w:sz="4" w:space="0"/>
              <w:left w:val="single" w:color="auto" w:sz="4" w:space="0"/>
              <w:bottom w:val="single" w:color="auto" w:sz="4" w:space="0"/>
              <w:right w:val="single" w:color="auto" w:sz="4" w:space="0"/>
            </w:tcBorders>
            <w:noWrap w:val="0"/>
            <w:vAlign w:val="top"/>
          </w:tcPr>
          <w:p w14:paraId="46A5DFC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caps w:val="0"/>
                <w:color w:val="auto"/>
                <w:spacing w:val="0"/>
                <w:kern w:val="0"/>
                <w:sz w:val="24"/>
                <w:szCs w:val="24"/>
                <w:highlight w:val="none"/>
              </w:rPr>
              <w:t>项目概况</w:t>
            </w:r>
          </w:p>
          <w:p w14:paraId="59B7F56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caps w:val="0"/>
                <w:color w:val="auto"/>
                <w:spacing w:val="0"/>
                <w:kern w:val="0"/>
                <w:sz w:val="24"/>
                <w:szCs w:val="24"/>
                <w:highlight w:val="none"/>
                <w:lang w:eastAsia="zh-CN"/>
              </w:rPr>
              <w:t>2026年阿图什市机关事业单位基本养老保险保值增值定期存款项目（第二期）</w:t>
            </w:r>
            <w:r>
              <w:rPr>
                <w:rFonts w:hint="eastAsia" w:ascii="仿宋" w:hAnsi="仿宋" w:eastAsia="仿宋" w:cs="仿宋"/>
                <w:i w:val="0"/>
                <w:caps w:val="0"/>
                <w:color w:val="auto"/>
                <w:spacing w:val="0"/>
                <w:kern w:val="0"/>
                <w:sz w:val="24"/>
                <w:szCs w:val="24"/>
                <w:highlight w:val="none"/>
                <w:lang w:val="en-US" w:eastAsia="zh-CN"/>
              </w:rPr>
              <w:t>的潜在供应商应在政采云平台http://www.zcygov.cn/登陆，在线申请获取竞争性磋商文件（登录政府采购云平台→ 项目采购 → 获取竞争性磋商文件，如有操作性问题，可与政采云在线客服进行咨询，咨询电话：95763）。获取采购文件，并于2026年5 月9日10:15（北京时间）前提交响应文件。    </w:t>
            </w:r>
          </w:p>
        </w:tc>
      </w:tr>
    </w:tbl>
    <w:p w14:paraId="70F4957D">
      <w:pPr>
        <w:pStyle w:val="22"/>
        <w:keepNext w:val="0"/>
        <w:keepLines w:val="0"/>
        <w:pageBreakBefore w:val="0"/>
        <w:widowControl/>
        <w:numPr>
          <w:ilvl w:val="0"/>
          <w:numId w:val="4"/>
        </w:numPr>
        <w:suppressLineNumbers w:val="0"/>
        <w:kinsoku/>
        <w:wordWrap/>
        <w:overflowPunct/>
        <w:topLinePunct w:val="0"/>
        <w:autoSpaceDE w:val="0"/>
        <w:autoSpaceDN/>
        <w:bidi w:val="0"/>
        <w:adjustRightInd/>
        <w:snapToGrid/>
        <w:spacing w:before="0" w:beforeAutospacing="0" w:after="0" w:afterAutospacing="0" w:line="360" w:lineRule="auto"/>
        <w:ind w:right="0" w:rightChars="0"/>
        <w:jc w:val="both"/>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val="en-US" w:eastAsia="zh-CN" w:bidi="ar"/>
        </w:rPr>
        <w:t>项目基本情况</w:t>
      </w:r>
    </w:p>
    <w:p w14:paraId="41F0FFC8">
      <w:pPr>
        <w:pStyle w:val="2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right="0" w:rightChars="0"/>
        <w:jc w:val="both"/>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 xml:space="preserve">项目编号：ATSJYZX-CG-2026037 </w:t>
      </w:r>
    </w:p>
    <w:p w14:paraId="378DA51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spacing w:val="-6"/>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项目名称：</w:t>
      </w:r>
      <w:r>
        <w:rPr>
          <w:rFonts w:hint="eastAsia" w:ascii="仿宋" w:hAnsi="仿宋" w:eastAsia="仿宋" w:cs="仿宋"/>
          <w:color w:val="auto"/>
          <w:spacing w:val="-6"/>
          <w:kern w:val="0"/>
          <w:sz w:val="24"/>
          <w:szCs w:val="24"/>
          <w:highlight w:val="none"/>
          <w:u w:val="none"/>
          <w:lang w:val="en-US" w:eastAsia="zh-CN" w:bidi="ar"/>
        </w:rPr>
        <w:t>2026年阿图什市机关事业单位基本养老保险保值增值定期存款项目（第二期）</w:t>
      </w:r>
    </w:p>
    <w:p w14:paraId="73C85487">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采购方式：竞争性磋商</w:t>
      </w:r>
    </w:p>
    <w:p w14:paraId="7F60EC9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i w:val="0"/>
          <w:caps w:val="0"/>
          <w:color w:val="auto"/>
          <w:spacing w:val="0"/>
          <w:kern w:val="0"/>
          <w:sz w:val="24"/>
          <w:szCs w:val="24"/>
          <w:highlight w:val="none"/>
        </w:rPr>
        <w:t>预算金额（元）</w:t>
      </w:r>
      <w:r>
        <w:rPr>
          <w:rFonts w:hint="eastAsia" w:ascii="仿宋" w:hAnsi="仿宋" w:eastAsia="仿宋" w:cs="仿宋"/>
          <w:color w:val="auto"/>
          <w:kern w:val="0"/>
          <w:sz w:val="24"/>
          <w:szCs w:val="24"/>
          <w:highlight w:val="none"/>
          <w:u w:val="none"/>
          <w:lang w:val="en-US" w:eastAsia="zh-CN" w:bidi="ar"/>
        </w:rPr>
        <w:t>：1.00</w:t>
      </w:r>
    </w:p>
    <w:p w14:paraId="23E430D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最高限价（元）：1.00</w:t>
      </w:r>
    </w:p>
    <w:p w14:paraId="45FE426D">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rPr>
      </w:pPr>
      <w:r>
        <w:rPr>
          <w:rFonts w:hint="eastAsia" w:ascii="仿宋" w:hAnsi="仿宋" w:eastAsia="仿宋" w:cs="仿宋"/>
          <w:i w:val="0"/>
          <w:caps w:val="0"/>
          <w:color w:val="auto"/>
          <w:spacing w:val="0"/>
          <w:kern w:val="0"/>
          <w:sz w:val="24"/>
          <w:szCs w:val="24"/>
          <w:highlight w:val="none"/>
        </w:rPr>
        <w:t>采购需求：</w:t>
      </w:r>
    </w:p>
    <w:p w14:paraId="27354A7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6"/>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标项名称:</w:t>
      </w:r>
      <w:r>
        <w:rPr>
          <w:rFonts w:hint="eastAsia" w:ascii="仿宋" w:hAnsi="仿宋" w:eastAsia="仿宋" w:cs="仿宋"/>
          <w:i w:val="0"/>
          <w:caps w:val="0"/>
          <w:color w:val="auto"/>
          <w:spacing w:val="-6"/>
          <w:kern w:val="0"/>
          <w:sz w:val="24"/>
          <w:szCs w:val="24"/>
          <w:highlight w:val="none"/>
          <w:lang w:val="en-US" w:eastAsia="zh-CN"/>
        </w:rPr>
        <w:t>2026年阿图什市机关事业单位基本养老保险保值增值定期存款项目（第二期）</w:t>
      </w:r>
    </w:p>
    <w:p w14:paraId="5D9FD4DA">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数量: 1  </w:t>
      </w:r>
    </w:p>
    <w:p w14:paraId="1D118877">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i w:val="0"/>
          <w:caps w:val="0"/>
          <w:color w:val="auto"/>
          <w:spacing w:val="0"/>
          <w:kern w:val="0"/>
          <w:sz w:val="24"/>
          <w:szCs w:val="24"/>
          <w:highlight w:val="none"/>
          <w:lang w:val="en-US" w:eastAsia="zh-CN"/>
        </w:rPr>
        <w:t>预算金额（元）:</w:t>
      </w:r>
      <w:r>
        <w:rPr>
          <w:rFonts w:hint="eastAsia" w:ascii="仿宋" w:hAnsi="仿宋" w:eastAsia="仿宋" w:cs="仿宋"/>
          <w:color w:val="auto"/>
          <w:kern w:val="0"/>
          <w:sz w:val="24"/>
          <w:szCs w:val="24"/>
          <w:highlight w:val="none"/>
          <w:u w:val="none"/>
          <w:lang w:val="en-US" w:eastAsia="zh-CN" w:bidi="ar"/>
        </w:rPr>
        <w:t>1.00</w:t>
      </w:r>
    </w:p>
    <w:p w14:paraId="77CBF47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单位：次</w:t>
      </w:r>
    </w:p>
    <w:p w14:paraId="515E206C">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default"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简要规格描述：机关事业单位基本养老保险保值增值定期存款.</w:t>
      </w:r>
    </w:p>
    <w:p w14:paraId="408AA74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备注：具体详见竞争性磋商文件服务内容及要求</w:t>
      </w:r>
    </w:p>
    <w:p w14:paraId="0B1A8A37">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u w:val="none"/>
          <w:lang w:val="en-US" w:eastAsia="zh-CN"/>
        </w:rPr>
      </w:pPr>
      <w:r>
        <w:rPr>
          <w:rFonts w:hint="eastAsia" w:ascii="仿宋" w:hAnsi="仿宋" w:eastAsia="仿宋" w:cs="仿宋"/>
          <w:i w:val="0"/>
          <w:caps w:val="0"/>
          <w:color w:val="auto"/>
          <w:spacing w:val="0"/>
          <w:kern w:val="0"/>
          <w:sz w:val="24"/>
          <w:szCs w:val="24"/>
          <w:highlight w:val="none"/>
        </w:rPr>
        <w:t>合同履行期限：</w:t>
      </w:r>
      <w:r>
        <w:rPr>
          <w:rFonts w:hint="eastAsia" w:ascii="仿宋" w:hAnsi="仿宋" w:eastAsia="仿宋" w:cs="仿宋"/>
          <w:i w:val="0"/>
          <w:caps w:val="0"/>
          <w:color w:val="FF0000"/>
          <w:spacing w:val="0"/>
          <w:kern w:val="0"/>
          <w:sz w:val="24"/>
          <w:szCs w:val="24"/>
          <w:highlight w:val="none"/>
          <w:lang w:val="en-US" w:eastAsia="zh-CN"/>
        </w:rPr>
        <w:t>定期存12个月（从资金到位之日起算）</w:t>
      </w:r>
    </w:p>
    <w:p w14:paraId="46308FEA">
      <w:pPr>
        <w:pStyle w:val="9"/>
        <w:keepNext w:val="0"/>
        <w:keepLines w:val="0"/>
        <w:pageBreakBefore w:val="0"/>
        <w:tabs>
          <w:tab w:val="left" w:pos="562"/>
          <w:tab w:val="left" w:pos="3372"/>
          <w:tab w:val="left" w:pos="3653"/>
        </w:tabs>
        <w:kinsoku/>
        <w:wordWrap/>
        <w:overflowPunct/>
        <w:topLinePunct w:val="0"/>
        <w:autoSpaceDN/>
        <w:bidi w:val="0"/>
        <w:adjustRightInd/>
        <w:snapToGrid/>
        <w:spacing w:line="360" w:lineRule="auto"/>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本项目（否）接受联合体投标</w:t>
      </w:r>
    </w:p>
    <w:p w14:paraId="27E3CE06">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bCs/>
          <w:i w:val="0"/>
          <w:caps w:val="0"/>
          <w:color w:val="auto"/>
          <w:spacing w:val="0"/>
          <w:kern w:val="0"/>
          <w:sz w:val="24"/>
          <w:szCs w:val="24"/>
          <w:highlight w:val="none"/>
          <w:lang w:val="en-US" w:eastAsia="zh-CN"/>
        </w:rPr>
      </w:pPr>
      <w:r>
        <w:rPr>
          <w:rFonts w:hint="eastAsia" w:ascii="仿宋" w:hAnsi="仿宋" w:eastAsia="仿宋" w:cs="仿宋"/>
          <w:b/>
          <w:bCs/>
          <w:i w:val="0"/>
          <w:caps w:val="0"/>
          <w:color w:val="auto"/>
          <w:spacing w:val="0"/>
          <w:kern w:val="0"/>
          <w:sz w:val="24"/>
          <w:szCs w:val="24"/>
          <w:highlight w:val="none"/>
          <w:lang w:val="en-US" w:eastAsia="zh-CN"/>
        </w:rPr>
        <w:t>二、申请人的资格要求：</w:t>
      </w:r>
    </w:p>
    <w:p w14:paraId="551F5DD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rPr>
      </w:pPr>
      <w:r>
        <w:rPr>
          <w:rFonts w:hint="eastAsia" w:ascii="仿宋" w:hAnsi="仿宋" w:eastAsia="仿宋" w:cs="仿宋"/>
          <w:i w:val="0"/>
          <w:caps w:val="0"/>
          <w:color w:val="auto"/>
          <w:spacing w:val="0"/>
          <w:kern w:val="0"/>
          <w:sz w:val="24"/>
          <w:szCs w:val="24"/>
          <w:highlight w:val="none"/>
        </w:rPr>
        <w:t>1.满足《中华人民共和国政府采购法》第二十二条规定；</w:t>
      </w:r>
    </w:p>
    <w:p w14:paraId="0DBBE849">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12"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 xml:space="preserve">2.落实政府采购政策需满足的资格要求：本项目为非专门面向中小企业，根据《政府采购促进中小企业发展管理办法》（财库【2020】46号）及（财库[2022]19号）的规定，评标时将给予此类企业进行价格扣除10%的优惠，用优惠后的价格参与评审。 </w:t>
      </w:r>
    </w:p>
    <w:p w14:paraId="31569D5A">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rPr>
        <w:t>3.本项目的特定资格要求：</w:t>
      </w:r>
    </w:p>
    <w:p w14:paraId="1082822A">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1）具备三证合一营业执照；</w:t>
      </w:r>
    </w:p>
    <w:p w14:paraId="1A796E5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2）法定代表人（负责人）参加提供法定代表人（负责人）证明书，委托代理人参加提供法人代表（负责人）授权委托书；投标银行为非法人机构的，提供上一级银行授权委托书。</w:t>
      </w:r>
    </w:p>
    <w:p w14:paraId="154D5B0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3）投标企业须提供投标人（被授权人）近6个月任意1个月的社保证明；</w:t>
      </w:r>
    </w:p>
    <w:p w14:paraId="21DAC6F8">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4）未被列入信用中国网（www.creditchina.gov.cn）及中国政府采购网 (www.ccgp.gov.cn）失信被执行人名单、重大税收违法失信主体、政府采购严重违法失信行为记录名单（提供查询结果网页截图并加盖供应商公章）；</w:t>
      </w:r>
    </w:p>
    <w:p w14:paraId="54529DEB">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5）投标企业需提供中国银行业监督管理委员会有效的《中华人民共和国金融许可证》或《金融机构营业许可证》。</w:t>
      </w:r>
    </w:p>
    <w:p w14:paraId="13ACDB7E">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bCs/>
          <w:color w:val="auto"/>
          <w:kern w:val="0"/>
          <w:sz w:val="24"/>
          <w:szCs w:val="24"/>
          <w:highlight w:val="none"/>
          <w:u w:val="none"/>
          <w:lang w:val="en-US" w:eastAsia="zh-CN" w:bidi="ar"/>
        </w:rPr>
      </w:pPr>
      <w:r>
        <w:rPr>
          <w:rFonts w:hint="eastAsia" w:ascii="仿宋" w:hAnsi="仿宋" w:eastAsia="仿宋" w:cs="仿宋"/>
          <w:i w:val="0"/>
          <w:caps w:val="0"/>
          <w:color w:val="auto"/>
          <w:spacing w:val="0"/>
          <w:kern w:val="0"/>
          <w:sz w:val="24"/>
          <w:szCs w:val="24"/>
          <w:highlight w:val="none"/>
          <w:lang w:val="en-US" w:eastAsia="zh-CN"/>
        </w:rPr>
        <w:t xml:space="preserve"> </w:t>
      </w:r>
      <w:r>
        <w:rPr>
          <w:rFonts w:hint="eastAsia" w:ascii="仿宋" w:hAnsi="仿宋" w:eastAsia="仿宋" w:cs="仿宋"/>
          <w:b/>
          <w:bCs/>
          <w:color w:val="auto"/>
          <w:kern w:val="0"/>
          <w:sz w:val="24"/>
          <w:szCs w:val="24"/>
          <w:highlight w:val="none"/>
          <w:u w:val="none"/>
          <w:lang w:val="en-US" w:eastAsia="zh-CN" w:bidi="ar"/>
        </w:rPr>
        <w:t>三、获取磋商文件</w:t>
      </w:r>
    </w:p>
    <w:p w14:paraId="446E06DB">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1.时间：2026年4月28日至2026年5月8</w:t>
      </w:r>
      <w:bookmarkStart w:id="163" w:name="_GoBack"/>
      <w:bookmarkEnd w:id="163"/>
      <w:r>
        <w:rPr>
          <w:rFonts w:hint="eastAsia" w:ascii="仿宋" w:hAnsi="仿宋" w:eastAsia="仿宋" w:cs="仿宋"/>
          <w:i w:val="0"/>
          <w:caps w:val="0"/>
          <w:color w:val="auto"/>
          <w:spacing w:val="0"/>
          <w:kern w:val="0"/>
          <w:sz w:val="24"/>
          <w:szCs w:val="24"/>
          <w:highlight w:val="none"/>
          <w:lang w:val="en-US" w:eastAsia="zh-CN"/>
        </w:rPr>
        <w:t>日，每天上午10:00至14:00，下午16:00至19：30（北京时间，法定节假日除外）</w:t>
      </w:r>
    </w:p>
    <w:p w14:paraId="39FC0E7E">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2.地点：供应商登陆政采云平台http://www.zcygov.cn/，在线申请获取竞争性磋商文件（登录政府采购云平台 → 项目采购 → 获取竞争性磋商文件，如有操作性问题，可与政采云在线客服进行咨询，咨询电话：95763）。</w:t>
      </w:r>
    </w:p>
    <w:p w14:paraId="76AB100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3.方式：（1）线上获取（登录政府采购云平台 → 项目采购 → 获取竞争性磋商文件）。本次招标不提供纸质版竞争性磋商文件。</w:t>
      </w:r>
    </w:p>
    <w:p w14:paraId="778EB0CC">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（2）供应商获取</w:t>
      </w:r>
      <w:r>
        <w:rPr>
          <w:rFonts w:hint="eastAsia" w:ascii="仿宋" w:hAnsi="仿宋" w:eastAsia="仿宋" w:cs="仿宋"/>
          <w:i w:val="0"/>
          <w:caps w:val="0"/>
          <w:color w:val="auto"/>
          <w:spacing w:val="0"/>
          <w:kern w:val="0"/>
          <w:sz w:val="24"/>
          <w:szCs w:val="24"/>
          <w:highlight w:val="none"/>
          <w:lang w:val="en-US" w:eastAsia="zh-CN"/>
        </w:rPr>
        <w:t>竞争性磋商</w:t>
      </w:r>
      <w:r>
        <w:rPr>
          <w:rFonts w:hint="eastAsia" w:ascii="仿宋" w:hAnsi="仿宋" w:eastAsia="仿宋" w:cs="仿宋"/>
          <w:color w:val="auto"/>
          <w:kern w:val="0"/>
          <w:sz w:val="24"/>
          <w:szCs w:val="24"/>
          <w:highlight w:val="none"/>
          <w:u w:val="none"/>
          <w:lang w:val="en-US" w:eastAsia="zh-CN" w:bidi="ar"/>
        </w:rPr>
        <w:t>文件前应注册成为政府采购云平台正式供应商。</w:t>
      </w:r>
    </w:p>
    <w:p w14:paraId="47BC91AE">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2"/>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4、售价（元）：0</w:t>
      </w:r>
    </w:p>
    <w:p w14:paraId="4DDE72F5">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bCs/>
          <w:color w:val="auto"/>
          <w:kern w:val="0"/>
          <w:sz w:val="24"/>
          <w:szCs w:val="24"/>
          <w:u w:val="none"/>
          <w:lang w:val="en-US" w:eastAsia="zh-CN" w:bidi="ar"/>
        </w:rPr>
      </w:pPr>
      <w:r>
        <w:rPr>
          <w:rFonts w:hint="eastAsia" w:ascii="仿宋" w:hAnsi="仿宋" w:eastAsia="仿宋" w:cs="仿宋"/>
          <w:b/>
          <w:bCs/>
          <w:color w:val="auto"/>
          <w:kern w:val="0"/>
          <w:sz w:val="24"/>
          <w:szCs w:val="24"/>
          <w:u w:val="none"/>
          <w:lang w:val="en-US" w:eastAsia="zh-CN" w:bidi="ar"/>
        </w:rPr>
        <w:t>四、响应文件提交</w:t>
      </w:r>
    </w:p>
    <w:p w14:paraId="6B77451D">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截止时间：2026年5月9日 10：15 （北京时间）</w:t>
      </w:r>
    </w:p>
    <w:p w14:paraId="38DBF64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地点：政府采购云平台（</w:t>
      </w:r>
      <w:r>
        <w:rPr>
          <w:rFonts w:hint="eastAsia" w:ascii="仿宋" w:hAnsi="仿宋" w:eastAsia="仿宋" w:cs="仿宋"/>
          <w:color w:val="auto"/>
          <w:kern w:val="0"/>
          <w:sz w:val="24"/>
          <w:szCs w:val="24"/>
          <w:u w:val="none"/>
          <w:lang w:val="en-US" w:eastAsia="zh-CN" w:bidi="ar"/>
        </w:rPr>
        <w:fldChar w:fldCharType="begin"/>
      </w:r>
      <w:r>
        <w:rPr>
          <w:rFonts w:hint="eastAsia" w:ascii="仿宋" w:hAnsi="仿宋" w:eastAsia="仿宋" w:cs="仿宋"/>
          <w:color w:val="auto"/>
          <w:kern w:val="0"/>
          <w:sz w:val="24"/>
          <w:szCs w:val="24"/>
          <w:u w:val="none"/>
          <w:lang w:val="en-US" w:eastAsia="zh-CN" w:bidi="ar"/>
        </w:rPr>
        <w:instrText xml:space="preserve"> HYPERLINK "http://www.zcygov.cn/" </w:instrText>
      </w:r>
      <w:r>
        <w:rPr>
          <w:rFonts w:hint="eastAsia" w:ascii="仿宋" w:hAnsi="仿宋" w:eastAsia="仿宋" w:cs="仿宋"/>
          <w:color w:val="auto"/>
          <w:kern w:val="0"/>
          <w:sz w:val="24"/>
          <w:szCs w:val="24"/>
          <w:u w:val="none"/>
          <w:lang w:val="en-US" w:eastAsia="zh-CN" w:bidi="ar"/>
        </w:rPr>
        <w:fldChar w:fldCharType="separate"/>
      </w:r>
      <w:r>
        <w:rPr>
          <w:rFonts w:hint="eastAsia" w:ascii="仿宋" w:hAnsi="仿宋" w:eastAsia="仿宋" w:cs="仿宋"/>
          <w:color w:val="auto"/>
          <w:kern w:val="0"/>
          <w:sz w:val="24"/>
          <w:szCs w:val="24"/>
          <w:u w:val="none"/>
          <w:lang w:val="en-US" w:eastAsia="zh-CN" w:bidi="ar"/>
        </w:rPr>
        <w:t>www.zcygov.cn</w:t>
      </w:r>
      <w:r>
        <w:rPr>
          <w:rFonts w:hint="eastAsia" w:ascii="仿宋" w:hAnsi="仿宋" w:eastAsia="仿宋" w:cs="仿宋"/>
          <w:color w:val="auto"/>
          <w:kern w:val="0"/>
          <w:sz w:val="24"/>
          <w:szCs w:val="24"/>
          <w:u w:val="none"/>
          <w:lang w:val="en-US" w:eastAsia="zh-CN" w:bidi="ar"/>
        </w:rPr>
        <w:fldChar w:fldCharType="end"/>
      </w:r>
      <w:r>
        <w:rPr>
          <w:rFonts w:hint="eastAsia" w:ascii="仿宋" w:hAnsi="仿宋" w:eastAsia="仿宋" w:cs="仿宋"/>
          <w:color w:val="auto"/>
          <w:kern w:val="0"/>
          <w:sz w:val="24"/>
          <w:szCs w:val="24"/>
          <w:u w:val="none"/>
          <w:lang w:val="en-US" w:eastAsia="zh-CN" w:bidi="ar"/>
        </w:rPr>
        <w:t>）</w:t>
      </w:r>
    </w:p>
    <w:p w14:paraId="51B567E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bCs/>
          <w:color w:val="auto"/>
          <w:kern w:val="0"/>
          <w:sz w:val="24"/>
          <w:szCs w:val="24"/>
          <w:u w:val="none"/>
          <w:lang w:val="en-US" w:eastAsia="zh-CN" w:bidi="ar"/>
        </w:rPr>
      </w:pPr>
      <w:r>
        <w:rPr>
          <w:rFonts w:hint="eastAsia" w:ascii="仿宋" w:hAnsi="仿宋" w:eastAsia="仿宋" w:cs="仿宋"/>
          <w:b/>
          <w:bCs/>
          <w:color w:val="auto"/>
          <w:kern w:val="0"/>
          <w:sz w:val="24"/>
          <w:szCs w:val="24"/>
          <w:u w:val="none"/>
          <w:lang w:val="en-US" w:eastAsia="zh-CN" w:bidi="ar"/>
        </w:rPr>
        <w:t>五、响应文件开启</w:t>
      </w:r>
    </w:p>
    <w:p w14:paraId="704352F5">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开启时间：2026年5月9日 10：15 （北京时间）</w:t>
      </w:r>
    </w:p>
    <w:p w14:paraId="78161C9E">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rPr>
      </w:pPr>
      <w:r>
        <w:rPr>
          <w:rFonts w:hint="eastAsia" w:ascii="仿宋" w:hAnsi="仿宋" w:eastAsia="仿宋" w:cs="仿宋"/>
          <w:i w:val="0"/>
          <w:caps w:val="0"/>
          <w:color w:val="auto"/>
          <w:spacing w:val="0"/>
          <w:kern w:val="0"/>
          <w:sz w:val="24"/>
          <w:szCs w:val="24"/>
        </w:rPr>
        <w:t>地点：在政府采购云平台（</w:t>
      </w:r>
      <w:r>
        <w:rPr>
          <w:rFonts w:hint="eastAsia" w:ascii="仿宋" w:hAnsi="仿宋" w:eastAsia="仿宋" w:cs="仿宋"/>
          <w:i w:val="0"/>
          <w:caps w:val="0"/>
          <w:color w:val="auto"/>
          <w:spacing w:val="0"/>
          <w:kern w:val="0"/>
          <w:sz w:val="24"/>
          <w:szCs w:val="24"/>
        </w:rPr>
        <w:fldChar w:fldCharType="begin"/>
      </w:r>
      <w:r>
        <w:rPr>
          <w:rFonts w:hint="eastAsia" w:ascii="仿宋" w:hAnsi="仿宋" w:eastAsia="仿宋" w:cs="仿宋"/>
          <w:i w:val="0"/>
          <w:caps w:val="0"/>
          <w:color w:val="auto"/>
          <w:spacing w:val="0"/>
          <w:kern w:val="0"/>
          <w:sz w:val="24"/>
          <w:szCs w:val="24"/>
        </w:rPr>
        <w:instrText xml:space="preserve"> HYPERLINK "http://www.zcygov.cn/" </w:instrText>
      </w:r>
      <w:r>
        <w:rPr>
          <w:rFonts w:hint="eastAsia" w:ascii="仿宋" w:hAnsi="仿宋" w:eastAsia="仿宋" w:cs="仿宋"/>
          <w:i w:val="0"/>
          <w:caps w:val="0"/>
          <w:color w:val="auto"/>
          <w:spacing w:val="0"/>
          <w:kern w:val="0"/>
          <w:sz w:val="24"/>
          <w:szCs w:val="24"/>
        </w:rPr>
        <w:fldChar w:fldCharType="separate"/>
      </w:r>
      <w:r>
        <w:rPr>
          <w:rFonts w:hint="eastAsia" w:ascii="仿宋" w:hAnsi="仿宋" w:eastAsia="仿宋" w:cs="仿宋"/>
          <w:i w:val="0"/>
          <w:caps w:val="0"/>
          <w:color w:val="auto"/>
          <w:spacing w:val="0"/>
          <w:kern w:val="0"/>
          <w:sz w:val="24"/>
          <w:szCs w:val="24"/>
        </w:rPr>
        <w:t>www.zcygov.cn</w:t>
      </w:r>
      <w:r>
        <w:rPr>
          <w:rFonts w:hint="eastAsia" w:ascii="仿宋" w:hAnsi="仿宋" w:eastAsia="仿宋" w:cs="仿宋"/>
          <w:i w:val="0"/>
          <w:caps w:val="0"/>
          <w:color w:val="auto"/>
          <w:spacing w:val="0"/>
          <w:kern w:val="0"/>
          <w:sz w:val="24"/>
          <w:szCs w:val="24"/>
        </w:rPr>
        <w:fldChar w:fldCharType="end"/>
      </w:r>
      <w:r>
        <w:rPr>
          <w:rFonts w:hint="eastAsia" w:ascii="仿宋" w:hAnsi="仿宋" w:eastAsia="仿宋" w:cs="仿宋"/>
          <w:i w:val="0"/>
          <w:caps w:val="0"/>
          <w:color w:val="auto"/>
          <w:spacing w:val="0"/>
          <w:kern w:val="0"/>
          <w:sz w:val="24"/>
          <w:szCs w:val="24"/>
        </w:rPr>
        <w:t>）上开启</w:t>
      </w:r>
      <w:r>
        <w:rPr>
          <w:rFonts w:hint="eastAsia" w:ascii="仿宋" w:hAnsi="仿宋" w:eastAsia="仿宋" w:cs="仿宋"/>
          <w:i w:val="0"/>
          <w:caps w:val="0"/>
          <w:color w:val="auto"/>
          <w:spacing w:val="0"/>
          <w:kern w:val="0"/>
          <w:sz w:val="24"/>
          <w:szCs w:val="24"/>
          <w:lang w:val="en-US" w:eastAsia="zh-CN"/>
        </w:rPr>
        <w:t>响应</w:t>
      </w:r>
      <w:r>
        <w:rPr>
          <w:rFonts w:hint="eastAsia" w:ascii="仿宋" w:hAnsi="仿宋" w:eastAsia="仿宋" w:cs="仿宋"/>
          <w:i w:val="0"/>
          <w:caps w:val="0"/>
          <w:color w:val="auto"/>
          <w:spacing w:val="0"/>
          <w:kern w:val="0"/>
          <w:sz w:val="24"/>
          <w:szCs w:val="24"/>
        </w:rPr>
        <w:t>文件</w:t>
      </w:r>
      <w:r>
        <w:rPr>
          <w:rFonts w:hint="eastAsia" w:ascii="仿宋" w:hAnsi="仿宋" w:eastAsia="仿宋" w:cs="仿宋"/>
          <w:i w:val="0"/>
          <w:caps w:val="0"/>
          <w:color w:val="auto"/>
          <w:spacing w:val="0"/>
          <w:kern w:val="0"/>
          <w:sz w:val="24"/>
          <w:szCs w:val="24"/>
          <w:lang w:eastAsia="zh-CN"/>
        </w:rPr>
        <w:t>，</w:t>
      </w:r>
      <w:r>
        <w:rPr>
          <w:rFonts w:hint="eastAsia" w:ascii="仿宋" w:hAnsi="仿宋" w:eastAsia="仿宋" w:cs="仿宋"/>
          <w:i w:val="0"/>
          <w:caps w:val="0"/>
          <w:color w:val="auto"/>
          <w:spacing w:val="0"/>
          <w:kern w:val="0"/>
          <w:sz w:val="24"/>
          <w:szCs w:val="24"/>
          <w:lang w:val="en-US" w:eastAsia="zh-CN"/>
        </w:rPr>
        <w:t>开标时间后，待采购组织机构发出解密通知后30分钟内，供应商须登录“政采云”平台，用“项目采购-开标评标”功能解密响应文件。</w:t>
      </w:r>
    </w:p>
    <w:p w14:paraId="08C6DCB9">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bCs/>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val="en-US" w:eastAsia="zh-CN" w:bidi="ar"/>
        </w:rPr>
        <w:t>六、公告期限</w:t>
      </w:r>
    </w:p>
    <w:p w14:paraId="41E954F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自本公告发布之日3个工作日</w:t>
      </w:r>
    </w:p>
    <w:p w14:paraId="12972447">
      <w:pPr>
        <w:numPr>
          <w:ilvl w:val="0"/>
          <w:numId w:val="5"/>
        </w:numPr>
        <w:shd w:val="clear" w:color="auto" w:fill="auto"/>
        <w:spacing w:line="360" w:lineRule="auto"/>
        <w:jc w:val="left"/>
        <w:rPr>
          <w:rFonts w:hint="eastAsia" w:ascii="仿宋" w:hAnsi="仿宋" w:eastAsia="仿宋" w:cs="仿宋"/>
          <w:b/>
          <w:bCs/>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val="en-US" w:eastAsia="zh-CN" w:bidi="ar"/>
        </w:rPr>
        <w:t>其他补充事宜</w:t>
      </w:r>
    </w:p>
    <w:p w14:paraId="783B3F65">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1、本项目实行网上投标，采用电子投标文件。</w:t>
      </w:r>
    </w:p>
    <w:p w14:paraId="75DB6B5F">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6CCABFF7">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3、供应商将政采云电子交易客户端下载、安装完成后，可通过账号密码或CA登录客户端进行投标文件的制作。在使用政采云投标客户端时，建议使用WIN7及以上操作系统。</w:t>
      </w:r>
    </w:p>
    <w:p w14:paraId="2DCF29B5">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4、其他事项：/</w:t>
      </w:r>
    </w:p>
    <w:p w14:paraId="20CDC1F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特别提示：</w:t>
      </w:r>
    </w:p>
    <w:p w14:paraId="4D15238C">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1、采购限额标准以上，200万元以下的货物和服务采购项目、400万元以下的工程采购项目，适宜由中小企业提供的，采购人应当专门面向中小企业采购。</w:t>
      </w:r>
    </w:p>
    <w:p w14:paraId="59E28D3F">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2、超过200万元的货物和服务采购项目，预留该部分采购项目预算总额的30%以上专门面向中小企业采购，其中预留给小微企业的比例不低于60%。</w:t>
      </w:r>
    </w:p>
    <w:p w14:paraId="0E8535B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3、超过400万元的工程采购项目中适宜由中小企业提供的，预留该部分采购项目预算总额的40%以上专门面向中小企业采购，其中预留给小微企业的比例不低于60%。</w:t>
      </w:r>
    </w:p>
    <w:p w14:paraId="0F5E7D98">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8BB7ACA">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8AB49AB">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val="en-US" w:eastAsia="zh-CN" w:bidi="ar"/>
        </w:rPr>
        <w:t xml:space="preserve">八、对本次采购提出询问，请按以下方式联系 </w:t>
      </w:r>
      <w:r>
        <w:rPr>
          <w:rFonts w:hint="eastAsia" w:ascii="仿宋" w:hAnsi="仿宋" w:eastAsia="仿宋" w:cs="仿宋"/>
          <w:color w:val="auto"/>
          <w:kern w:val="0"/>
          <w:sz w:val="24"/>
          <w:szCs w:val="24"/>
          <w:highlight w:val="none"/>
          <w:u w:val="none"/>
          <w:lang w:val="en-US" w:eastAsia="zh-CN" w:bidi="ar"/>
        </w:rPr>
        <w:t xml:space="preserve">        </w:t>
      </w:r>
    </w:p>
    <w:p w14:paraId="31BF3625">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2"/>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1.采购人信息</w:t>
      </w:r>
    </w:p>
    <w:p w14:paraId="357A00C4">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 xml:space="preserve">名    称： 阿图什市财政局    </w:t>
      </w:r>
    </w:p>
    <w:p w14:paraId="5C14BC2D">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FF0000"/>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地    址： 阿图什市迎宾路</w:t>
      </w:r>
    </w:p>
    <w:p w14:paraId="48787BD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 xml:space="preserve">项目联系人：张女士        </w:t>
      </w:r>
    </w:p>
    <w:p w14:paraId="3299ABEC">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项目联系方式：18199720299</w:t>
      </w:r>
    </w:p>
    <w:p w14:paraId="2DE9B08E">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2"/>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2.采购代理机构信息</w:t>
      </w:r>
    </w:p>
    <w:p w14:paraId="66DAFBB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 xml:space="preserve">名    称：新疆融联通达工程项目管理有限公司    </w:t>
      </w:r>
    </w:p>
    <w:p w14:paraId="3CDEF05A">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default"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地    址：阿图什市友谊北路23号</w:t>
      </w:r>
    </w:p>
    <w:p w14:paraId="26DD8C6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 xml:space="preserve">联 系 人：黄女士          </w:t>
      </w:r>
    </w:p>
    <w:p w14:paraId="47DAF14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项目联系方式：17609081174</w:t>
      </w:r>
    </w:p>
    <w:p w14:paraId="5DAA3E78">
      <w:pPr>
        <w:spacing w:line="360" w:lineRule="auto"/>
        <w:rPr>
          <w:rFonts w:hint="eastAsia" w:ascii="仿宋" w:hAnsi="仿宋" w:eastAsia="仿宋" w:cs="仿宋"/>
          <w:sz w:val="24"/>
          <w:szCs w:val="24"/>
        </w:rPr>
      </w:pPr>
    </w:p>
    <w:p w14:paraId="1814C8B3">
      <w:pPr>
        <w:spacing w:line="500" w:lineRule="exact"/>
        <w:jc w:val="center"/>
        <w:outlineLvl w:val="0"/>
        <w:rPr>
          <w:rFonts w:hint="eastAsia" w:ascii="仿宋" w:hAnsi="仿宋" w:eastAsia="仿宋" w:cs="仿宋"/>
          <w:b/>
          <w:sz w:val="24"/>
          <w:szCs w:val="24"/>
          <w:highlight w:val="none"/>
        </w:rPr>
      </w:pPr>
    </w:p>
    <w:p w14:paraId="54801AE3">
      <w:pPr>
        <w:spacing w:line="500" w:lineRule="exact"/>
        <w:jc w:val="center"/>
        <w:outlineLvl w:val="0"/>
        <w:rPr>
          <w:rFonts w:hint="eastAsia" w:ascii="仿宋" w:hAnsi="仿宋" w:eastAsia="仿宋" w:cs="仿宋"/>
          <w:b/>
          <w:sz w:val="24"/>
          <w:szCs w:val="24"/>
          <w:highlight w:val="none"/>
        </w:rPr>
      </w:pPr>
    </w:p>
    <w:p w14:paraId="1CA62DA7">
      <w:pPr>
        <w:spacing w:line="500" w:lineRule="exact"/>
        <w:jc w:val="center"/>
        <w:outlineLvl w:val="0"/>
        <w:rPr>
          <w:rFonts w:hint="eastAsia" w:ascii="仿宋" w:hAnsi="仿宋" w:eastAsia="仿宋" w:cs="仿宋"/>
          <w:b/>
          <w:sz w:val="24"/>
          <w:szCs w:val="24"/>
          <w:highlight w:val="none"/>
        </w:rPr>
      </w:pPr>
    </w:p>
    <w:p w14:paraId="27E2F22A">
      <w:pPr>
        <w:spacing w:line="500" w:lineRule="exact"/>
        <w:jc w:val="center"/>
        <w:outlineLvl w:val="0"/>
        <w:rPr>
          <w:rFonts w:hint="eastAsia" w:ascii="仿宋" w:hAnsi="仿宋" w:eastAsia="仿宋" w:cs="仿宋"/>
          <w:b/>
          <w:sz w:val="24"/>
          <w:szCs w:val="24"/>
          <w:highlight w:val="none"/>
        </w:rPr>
      </w:pPr>
    </w:p>
    <w:p w14:paraId="6B65AB0B">
      <w:pPr>
        <w:spacing w:line="500" w:lineRule="exact"/>
        <w:jc w:val="center"/>
        <w:outlineLvl w:val="0"/>
        <w:rPr>
          <w:rFonts w:hint="eastAsia" w:ascii="仿宋" w:hAnsi="仿宋" w:eastAsia="仿宋" w:cs="仿宋"/>
          <w:b/>
          <w:sz w:val="24"/>
          <w:szCs w:val="24"/>
          <w:highlight w:val="none"/>
        </w:rPr>
      </w:pPr>
    </w:p>
    <w:p w14:paraId="5E127E04">
      <w:pPr>
        <w:spacing w:line="500" w:lineRule="exact"/>
        <w:jc w:val="center"/>
        <w:outlineLvl w:val="0"/>
        <w:rPr>
          <w:rFonts w:hint="eastAsia" w:ascii="仿宋" w:hAnsi="仿宋" w:eastAsia="仿宋" w:cs="仿宋"/>
          <w:b/>
          <w:sz w:val="24"/>
          <w:szCs w:val="24"/>
          <w:highlight w:val="none"/>
        </w:rPr>
      </w:pPr>
    </w:p>
    <w:p w14:paraId="7A168A76">
      <w:pPr>
        <w:spacing w:line="500" w:lineRule="exact"/>
        <w:jc w:val="center"/>
        <w:outlineLvl w:val="0"/>
        <w:rPr>
          <w:rFonts w:hint="eastAsia" w:ascii="仿宋" w:hAnsi="仿宋" w:eastAsia="仿宋" w:cs="仿宋"/>
          <w:b/>
          <w:sz w:val="24"/>
          <w:szCs w:val="24"/>
          <w:highlight w:val="none"/>
        </w:rPr>
      </w:pPr>
    </w:p>
    <w:p w14:paraId="4D5BAF8E">
      <w:pPr>
        <w:spacing w:line="500" w:lineRule="exact"/>
        <w:jc w:val="center"/>
        <w:outlineLvl w:val="0"/>
        <w:rPr>
          <w:rFonts w:hint="eastAsia" w:ascii="仿宋" w:hAnsi="仿宋" w:eastAsia="仿宋" w:cs="仿宋"/>
          <w:b/>
          <w:sz w:val="24"/>
          <w:szCs w:val="24"/>
          <w:highlight w:val="none"/>
        </w:rPr>
      </w:pPr>
    </w:p>
    <w:p w14:paraId="22520BD1">
      <w:pPr>
        <w:spacing w:line="500" w:lineRule="exact"/>
        <w:jc w:val="center"/>
        <w:outlineLvl w:val="0"/>
        <w:rPr>
          <w:rFonts w:hint="eastAsia" w:ascii="仿宋" w:hAnsi="仿宋" w:eastAsia="仿宋" w:cs="仿宋"/>
          <w:b/>
          <w:sz w:val="24"/>
          <w:szCs w:val="24"/>
          <w:highlight w:val="none"/>
        </w:rPr>
      </w:pPr>
    </w:p>
    <w:p w14:paraId="472BDDA2">
      <w:pPr>
        <w:rPr>
          <w:rFonts w:hint="eastAsia" w:ascii="仿宋" w:hAnsi="仿宋" w:eastAsia="仿宋" w:cs="仿宋"/>
          <w:b/>
          <w:sz w:val="24"/>
          <w:szCs w:val="24"/>
          <w:highlight w:val="none"/>
        </w:rPr>
      </w:pPr>
    </w:p>
    <w:p w14:paraId="6CE043C9">
      <w:pPr>
        <w:pStyle w:val="18"/>
        <w:rPr>
          <w:rFonts w:hint="eastAsia"/>
        </w:rPr>
      </w:pPr>
    </w:p>
    <w:p w14:paraId="7D40D56C">
      <w:pPr>
        <w:spacing w:line="500" w:lineRule="exact"/>
        <w:jc w:val="center"/>
        <w:outlineLvl w:val="0"/>
        <w:rPr>
          <w:rFonts w:hint="eastAsia" w:ascii="仿宋" w:hAnsi="仿宋" w:eastAsia="仿宋" w:cs="仿宋"/>
          <w:b/>
          <w:sz w:val="24"/>
          <w:szCs w:val="24"/>
          <w:highlight w:val="none"/>
        </w:rPr>
      </w:pPr>
      <w:bookmarkStart w:id="5" w:name="_Toc9601"/>
      <w:bookmarkStart w:id="6" w:name="_Toc20754"/>
    </w:p>
    <w:p w14:paraId="1E18ECB9">
      <w:pPr>
        <w:spacing w:line="500" w:lineRule="exact"/>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第二章 投标人须知</w:t>
      </w:r>
      <w:bookmarkEnd w:id="4"/>
      <w:bookmarkEnd w:id="5"/>
      <w:bookmarkEnd w:id="6"/>
    </w:p>
    <w:p w14:paraId="76E79A11">
      <w:pPr>
        <w:snapToGrid w:val="0"/>
        <w:spacing w:line="500" w:lineRule="exact"/>
        <w:jc w:val="center"/>
        <w:outlineLvl w:val="1"/>
        <w:rPr>
          <w:rFonts w:hint="eastAsia" w:ascii="仿宋" w:hAnsi="仿宋" w:eastAsia="仿宋" w:cs="仿宋"/>
          <w:b/>
          <w:sz w:val="24"/>
          <w:szCs w:val="24"/>
          <w:highlight w:val="none"/>
        </w:rPr>
      </w:pPr>
      <w:bookmarkStart w:id="7" w:name="_Toc10192"/>
      <w:bookmarkStart w:id="8" w:name="_Toc9700"/>
      <w:bookmarkStart w:id="9" w:name="_Toc26232"/>
      <w:r>
        <w:rPr>
          <w:rFonts w:hint="eastAsia" w:ascii="仿宋" w:hAnsi="仿宋" w:eastAsia="仿宋" w:cs="仿宋"/>
          <w:b/>
          <w:sz w:val="24"/>
          <w:szCs w:val="24"/>
          <w:highlight w:val="none"/>
        </w:rPr>
        <w:t>一、投标人须知前附表</w:t>
      </w:r>
      <w:bookmarkEnd w:id="7"/>
      <w:bookmarkEnd w:id="8"/>
      <w:bookmarkEnd w:id="9"/>
    </w:p>
    <w:tbl>
      <w:tblPr>
        <w:tblStyle w:val="25"/>
        <w:tblW w:w="488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96"/>
        <w:gridCol w:w="1547"/>
        <w:gridCol w:w="7911"/>
      </w:tblGrid>
      <w:tr w14:paraId="3830F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49" w:type="pct"/>
            <w:vAlign w:val="center"/>
          </w:tcPr>
          <w:p w14:paraId="1C3291C5">
            <w:pPr>
              <w:pStyle w:val="12"/>
              <w:snapToGrid w:val="0"/>
              <w:spacing w:line="290" w:lineRule="exact"/>
              <w:ind w:left="-94" w:leftChars="-45" w:right="-81" w:rightChars="-39"/>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777" w:type="pct"/>
            <w:vAlign w:val="center"/>
          </w:tcPr>
          <w:p w14:paraId="7A5490DF">
            <w:pPr>
              <w:pStyle w:val="12"/>
              <w:snapToGrid w:val="0"/>
              <w:spacing w:line="29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w:t>
            </w:r>
          </w:p>
        </w:tc>
        <w:tc>
          <w:tcPr>
            <w:tcW w:w="3973" w:type="pct"/>
            <w:vAlign w:val="center"/>
          </w:tcPr>
          <w:p w14:paraId="3EAFC1E9">
            <w:pPr>
              <w:pStyle w:val="12"/>
              <w:snapToGrid w:val="0"/>
              <w:spacing w:line="29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说明与要求</w:t>
            </w:r>
          </w:p>
        </w:tc>
      </w:tr>
      <w:tr w14:paraId="29BD33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249" w:type="pct"/>
            <w:vAlign w:val="center"/>
          </w:tcPr>
          <w:p w14:paraId="75C1D6C9">
            <w:pPr>
              <w:pStyle w:val="12"/>
              <w:snapToGrid w:val="0"/>
              <w:spacing w:line="2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77" w:type="pct"/>
            <w:vAlign w:val="center"/>
          </w:tcPr>
          <w:p w14:paraId="791DECDB">
            <w:pPr>
              <w:widowControl/>
              <w:spacing w:line="290" w:lineRule="exact"/>
              <w:jc w:val="left"/>
              <w:rPr>
                <w:rFonts w:hint="eastAsia" w:ascii="仿宋" w:hAnsi="仿宋" w:eastAsia="仿宋" w:cs="仿宋"/>
                <w:b/>
                <w:bCs/>
                <w:i w:val="0"/>
                <w:iCs w:val="0"/>
                <w:sz w:val="24"/>
                <w:szCs w:val="24"/>
                <w:highlight w:val="none"/>
              </w:rPr>
            </w:pPr>
            <w:r>
              <w:rPr>
                <w:rFonts w:hint="eastAsia" w:ascii="仿宋" w:hAnsi="仿宋" w:eastAsia="仿宋" w:cs="仿宋"/>
                <w:b/>
                <w:bCs/>
                <w:i w:val="0"/>
                <w:iCs w:val="0"/>
                <w:sz w:val="24"/>
                <w:szCs w:val="24"/>
                <w:highlight w:val="none"/>
              </w:rPr>
              <w:t>项目名称</w:t>
            </w:r>
          </w:p>
          <w:p w14:paraId="4926FF6B">
            <w:pPr>
              <w:widowControl/>
              <w:spacing w:line="290" w:lineRule="exact"/>
              <w:jc w:val="left"/>
              <w:rPr>
                <w:rFonts w:hint="eastAsia" w:ascii="仿宋" w:hAnsi="仿宋" w:eastAsia="仿宋" w:cs="仿宋"/>
                <w:b/>
                <w:bCs/>
                <w:i w:val="0"/>
                <w:iCs w:val="0"/>
                <w:sz w:val="24"/>
                <w:szCs w:val="24"/>
                <w:highlight w:val="none"/>
              </w:rPr>
            </w:pPr>
            <w:r>
              <w:rPr>
                <w:rFonts w:hint="eastAsia" w:ascii="仿宋" w:hAnsi="仿宋" w:eastAsia="仿宋" w:cs="仿宋"/>
                <w:b/>
                <w:bCs/>
                <w:i w:val="0"/>
                <w:iCs w:val="0"/>
                <w:sz w:val="24"/>
                <w:szCs w:val="24"/>
                <w:highlight w:val="none"/>
              </w:rPr>
              <w:t>项目编号</w:t>
            </w:r>
          </w:p>
          <w:p w14:paraId="3CF78392">
            <w:pPr>
              <w:widowControl/>
              <w:spacing w:line="290" w:lineRule="exact"/>
              <w:jc w:val="left"/>
              <w:rPr>
                <w:rFonts w:hint="eastAsia" w:ascii="仿宋" w:hAnsi="仿宋" w:eastAsia="仿宋" w:cs="仿宋"/>
                <w:b/>
                <w:bCs/>
                <w:i w:val="0"/>
                <w:iCs w:val="0"/>
                <w:sz w:val="24"/>
                <w:szCs w:val="24"/>
                <w:highlight w:val="none"/>
              </w:rPr>
            </w:pPr>
            <w:r>
              <w:rPr>
                <w:rFonts w:hint="eastAsia" w:ascii="仿宋" w:hAnsi="仿宋" w:eastAsia="仿宋" w:cs="仿宋"/>
                <w:b/>
                <w:bCs/>
                <w:i w:val="0"/>
                <w:iCs w:val="0"/>
                <w:sz w:val="24"/>
                <w:szCs w:val="24"/>
                <w:highlight w:val="none"/>
              </w:rPr>
              <w:t>采购内容</w:t>
            </w:r>
          </w:p>
          <w:p w14:paraId="54C2333D">
            <w:pPr>
              <w:widowControl/>
              <w:spacing w:line="290" w:lineRule="exact"/>
              <w:jc w:val="left"/>
              <w:rPr>
                <w:rFonts w:hint="eastAsia" w:ascii="仿宋" w:hAnsi="仿宋" w:eastAsia="仿宋" w:cs="仿宋"/>
                <w:sz w:val="24"/>
                <w:szCs w:val="24"/>
                <w:highlight w:val="none"/>
                <w:lang w:val="en-US" w:eastAsia="zh-CN"/>
              </w:rPr>
            </w:pPr>
            <w:r>
              <w:rPr>
                <w:rFonts w:hint="eastAsia" w:ascii="仿宋" w:hAnsi="仿宋" w:eastAsia="仿宋" w:cs="仿宋"/>
                <w:b/>
                <w:bCs/>
                <w:i w:val="0"/>
                <w:iCs w:val="0"/>
                <w:sz w:val="24"/>
                <w:szCs w:val="24"/>
                <w:highlight w:val="none"/>
                <w:lang w:val="en-US" w:eastAsia="zh-CN"/>
              </w:rPr>
              <w:t>服务期</w:t>
            </w:r>
          </w:p>
        </w:tc>
        <w:tc>
          <w:tcPr>
            <w:tcW w:w="3973" w:type="pct"/>
            <w:vAlign w:val="center"/>
          </w:tcPr>
          <w:p w14:paraId="31090AFE">
            <w:pPr>
              <w:widowControl/>
              <w:spacing w:line="29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2026年阿图什市机关事业单位基本养老保险保值增值定期存款项目（第二期）</w:t>
            </w:r>
          </w:p>
          <w:p w14:paraId="78ACB236">
            <w:pPr>
              <w:widowControl/>
              <w:spacing w:line="29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ATSJYZX-CG-2026</w:t>
            </w:r>
            <w:r>
              <w:rPr>
                <w:rFonts w:hint="eastAsia" w:ascii="仿宋" w:hAnsi="仿宋" w:eastAsia="仿宋" w:cs="仿宋"/>
                <w:sz w:val="24"/>
                <w:szCs w:val="24"/>
                <w:highlight w:val="none"/>
                <w:lang w:val="en-US" w:eastAsia="zh-CN"/>
              </w:rPr>
              <w:t xml:space="preserve"> </w:t>
            </w:r>
          </w:p>
          <w:p w14:paraId="1E97AB47">
            <w:pPr>
              <w:widowControl/>
              <w:spacing w:line="290" w:lineRule="exact"/>
              <w:rPr>
                <w:rFonts w:hint="eastAsia" w:ascii="仿宋" w:hAnsi="仿宋" w:eastAsia="仿宋" w:cs="仿宋"/>
                <w:color w:val="FF0000"/>
                <w:sz w:val="24"/>
                <w:szCs w:val="24"/>
                <w:highlight w:val="none"/>
                <w:lang w:eastAsia="zh-CN"/>
              </w:rPr>
            </w:pPr>
            <w:r>
              <w:rPr>
                <w:rFonts w:hint="eastAsia" w:ascii="仿宋" w:hAnsi="仿宋" w:eastAsia="仿宋" w:cs="仿宋"/>
                <w:sz w:val="24"/>
                <w:szCs w:val="24"/>
                <w:highlight w:val="none"/>
              </w:rPr>
              <w:t>采购内容：养老保险保值增值定期存款服务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（具体详见磋商文件服务内容及要求）</w:t>
            </w:r>
          </w:p>
          <w:p w14:paraId="1D13C6FA">
            <w:pPr>
              <w:widowControl/>
              <w:spacing w:line="29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服务期：定期存款12个月（从资金到位之日起算）</w:t>
            </w:r>
          </w:p>
        </w:tc>
      </w:tr>
      <w:tr w14:paraId="091372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49" w:type="pct"/>
            <w:vAlign w:val="center"/>
          </w:tcPr>
          <w:p w14:paraId="5C03103C">
            <w:pPr>
              <w:pStyle w:val="12"/>
              <w:snapToGrid w:val="0"/>
              <w:spacing w:line="2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77" w:type="pct"/>
            <w:vAlign w:val="center"/>
          </w:tcPr>
          <w:p w14:paraId="3EA5F0DC">
            <w:pPr>
              <w:widowControl/>
              <w:spacing w:line="29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采购人</w:t>
            </w:r>
            <w:r>
              <w:rPr>
                <w:rFonts w:hint="eastAsia" w:ascii="仿宋" w:hAnsi="仿宋" w:eastAsia="仿宋" w:cs="仿宋"/>
                <w:b/>
                <w:bCs/>
                <w:sz w:val="24"/>
                <w:szCs w:val="24"/>
                <w:highlight w:val="none"/>
                <w:lang w:eastAsia="zh-CN"/>
              </w:rPr>
              <w:t>信</w:t>
            </w:r>
            <w:r>
              <w:rPr>
                <w:rFonts w:hint="eastAsia" w:ascii="仿宋" w:hAnsi="仿宋" w:eastAsia="仿宋" w:cs="仿宋"/>
                <w:b/>
                <w:bCs/>
                <w:sz w:val="24"/>
                <w:szCs w:val="24"/>
                <w:highlight w:val="none"/>
              </w:rPr>
              <w:t>息</w:t>
            </w:r>
          </w:p>
        </w:tc>
        <w:tc>
          <w:tcPr>
            <w:tcW w:w="3973" w:type="pct"/>
            <w:vAlign w:val="center"/>
          </w:tcPr>
          <w:p w14:paraId="1427680A">
            <w:pPr>
              <w:widowControl/>
              <w:spacing w:line="29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采购单位：</w:t>
            </w:r>
            <w:r>
              <w:rPr>
                <w:rFonts w:hint="eastAsia" w:ascii="仿宋" w:hAnsi="仿宋" w:eastAsia="仿宋" w:cs="仿宋"/>
                <w:kern w:val="0"/>
                <w:sz w:val="24"/>
                <w:szCs w:val="24"/>
                <w:highlight w:val="none"/>
                <w:lang w:eastAsia="zh-CN"/>
              </w:rPr>
              <w:t>阿图什市财政局</w:t>
            </w:r>
            <w:r>
              <w:rPr>
                <w:rFonts w:hint="eastAsia" w:ascii="仿宋" w:hAnsi="仿宋" w:eastAsia="仿宋" w:cs="仿宋"/>
                <w:kern w:val="0"/>
                <w:sz w:val="24"/>
                <w:szCs w:val="24"/>
                <w:highlight w:val="none"/>
              </w:rPr>
              <w:t xml:space="preserve">  </w:t>
            </w:r>
          </w:p>
          <w:p w14:paraId="0F4AD630">
            <w:pPr>
              <w:widowControl/>
              <w:spacing w:line="29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shd w:val="clear" w:color="auto" w:fill="FFFFFF"/>
              </w:rPr>
              <w:t>联 系 人：</w:t>
            </w:r>
            <w:r>
              <w:rPr>
                <w:rFonts w:hint="eastAsia" w:ascii="仿宋" w:hAnsi="仿宋" w:eastAsia="仿宋" w:cs="仿宋"/>
                <w:sz w:val="24"/>
                <w:szCs w:val="24"/>
                <w:highlight w:val="none"/>
                <w:shd w:val="clear" w:color="auto" w:fill="FFFFFF"/>
                <w:lang w:eastAsia="zh-CN"/>
              </w:rPr>
              <w:t>张女士</w:t>
            </w:r>
            <w:r>
              <w:rPr>
                <w:rFonts w:hint="eastAsia" w:ascii="仿宋" w:hAnsi="仿宋" w:eastAsia="仿宋" w:cs="仿宋"/>
                <w:sz w:val="24"/>
                <w:szCs w:val="24"/>
                <w:highlight w:val="none"/>
                <w:shd w:val="clear" w:color="auto" w:fill="FFFFFF"/>
              </w:rPr>
              <w:t xml:space="preserve">     联系电话：</w:t>
            </w:r>
            <w:r>
              <w:rPr>
                <w:rFonts w:hint="eastAsia" w:ascii="仿宋" w:hAnsi="仿宋" w:eastAsia="仿宋" w:cs="仿宋"/>
                <w:sz w:val="24"/>
                <w:szCs w:val="24"/>
                <w:highlight w:val="none"/>
                <w:shd w:val="clear" w:color="auto" w:fill="FFFFFF"/>
                <w:lang w:val="en-US" w:eastAsia="zh-CN"/>
              </w:rPr>
              <w:t>18199720299</w:t>
            </w:r>
          </w:p>
        </w:tc>
      </w:tr>
      <w:tr w14:paraId="2178F1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49" w:type="pct"/>
            <w:vAlign w:val="center"/>
          </w:tcPr>
          <w:p w14:paraId="3FB68630">
            <w:pPr>
              <w:pStyle w:val="12"/>
              <w:snapToGrid w:val="0"/>
              <w:spacing w:line="2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77" w:type="pct"/>
            <w:vAlign w:val="center"/>
          </w:tcPr>
          <w:p w14:paraId="6788B7A7">
            <w:pPr>
              <w:widowControl/>
              <w:spacing w:line="29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采购代理机构</w:t>
            </w:r>
          </w:p>
        </w:tc>
        <w:tc>
          <w:tcPr>
            <w:tcW w:w="3973" w:type="pct"/>
            <w:vAlign w:val="center"/>
          </w:tcPr>
          <w:p w14:paraId="28262F49">
            <w:pPr>
              <w:widowControl/>
              <w:spacing w:line="290" w:lineRule="exac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名  称：</w:t>
            </w:r>
            <w:r>
              <w:rPr>
                <w:rFonts w:hint="eastAsia" w:ascii="仿宋" w:hAnsi="仿宋" w:eastAsia="仿宋" w:cs="仿宋"/>
                <w:i w:val="0"/>
                <w:iCs w:val="0"/>
                <w:caps w:val="0"/>
                <w:color w:val="000000"/>
                <w:spacing w:val="0"/>
                <w:sz w:val="24"/>
                <w:szCs w:val="24"/>
                <w:lang w:val="en-US" w:eastAsia="zh-CN"/>
              </w:rPr>
              <w:t>新疆融联通达工程项目管理有限公司</w:t>
            </w:r>
          </w:p>
          <w:p w14:paraId="5AB9AE4A">
            <w:pPr>
              <w:widowControl/>
              <w:spacing w:line="290" w:lineRule="exac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地  址：阿图什市友谊</w:t>
            </w:r>
            <w:r>
              <w:rPr>
                <w:rFonts w:hint="eastAsia" w:ascii="仿宋" w:hAnsi="仿宋" w:eastAsia="仿宋" w:cs="仿宋"/>
                <w:kern w:val="0"/>
                <w:sz w:val="24"/>
                <w:szCs w:val="24"/>
                <w:highlight w:val="none"/>
                <w:lang w:eastAsia="zh-CN"/>
              </w:rPr>
              <w:t>北路</w:t>
            </w:r>
            <w:r>
              <w:rPr>
                <w:rFonts w:hint="eastAsia" w:ascii="仿宋" w:hAnsi="仿宋" w:eastAsia="仿宋" w:cs="仿宋"/>
                <w:kern w:val="0"/>
                <w:sz w:val="24"/>
                <w:szCs w:val="24"/>
                <w:highlight w:val="none"/>
                <w:lang w:val="en-US" w:eastAsia="zh-CN"/>
              </w:rPr>
              <w:t>23号</w:t>
            </w:r>
          </w:p>
          <w:p w14:paraId="5B687AB7">
            <w:pPr>
              <w:widowControl/>
              <w:spacing w:line="290" w:lineRule="exact"/>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rPr>
              <w:t>联系人：</w:t>
            </w:r>
            <w:r>
              <w:rPr>
                <w:rFonts w:hint="eastAsia" w:ascii="仿宋" w:hAnsi="仿宋" w:eastAsia="仿宋" w:cs="仿宋"/>
                <w:kern w:val="0"/>
                <w:sz w:val="24"/>
                <w:szCs w:val="24"/>
                <w:highlight w:val="none"/>
                <w:lang w:val="en-US" w:eastAsia="zh-CN"/>
              </w:rPr>
              <w:t>黄女士</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shd w:val="clear" w:color="auto" w:fill="FFFFFF"/>
              </w:rPr>
              <w:t>联系</w:t>
            </w:r>
            <w:r>
              <w:rPr>
                <w:rFonts w:hint="eastAsia" w:ascii="仿宋" w:hAnsi="仿宋" w:eastAsia="仿宋" w:cs="仿宋"/>
                <w:kern w:val="0"/>
                <w:sz w:val="24"/>
                <w:szCs w:val="24"/>
                <w:highlight w:val="none"/>
              </w:rPr>
              <w:t>电话：</w:t>
            </w:r>
            <w:r>
              <w:rPr>
                <w:rFonts w:hint="eastAsia" w:ascii="仿宋" w:hAnsi="仿宋" w:eastAsia="仿宋" w:cs="仿宋"/>
                <w:sz w:val="24"/>
                <w:szCs w:val="24"/>
                <w:highlight w:val="none"/>
                <w:lang w:val="en-US" w:eastAsia="zh-CN" w:bidi="ar"/>
              </w:rPr>
              <w:t>17609081174</w:t>
            </w:r>
          </w:p>
        </w:tc>
      </w:tr>
      <w:tr w14:paraId="246FB0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49" w:type="pct"/>
            <w:vAlign w:val="center"/>
          </w:tcPr>
          <w:p w14:paraId="16971345">
            <w:pPr>
              <w:pStyle w:val="12"/>
              <w:snapToGrid w:val="0"/>
              <w:spacing w:line="2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777" w:type="pct"/>
            <w:vAlign w:val="center"/>
          </w:tcPr>
          <w:p w14:paraId="3852E3CC">
            <w:pPr>
              <w:widowControl/>
              <w:spacing w:line="29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最终服务地点</w:t>
            </w:r>
          </w:p>
        </w:tc>
        <w:tc>
          <w:tcPr>
            <w:tcW w:w="3973" w:type="pct"/>
            <w:vAlign w:val="center"/>
          </w:tcPr>
          <w:p w14:paraId="0AB39AD3">
            <w:pPr>
              <w:widowControl/>
              <w:spacing w:line="29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阿图什市</w:t>
            </w:r>
          </w:p>
        </w:tc>
      </w:tr>
      <w:tr w14:paraId="7A8666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49" w:type="pct"/>
            <w:vAlign w:val="center"/>
          </w:tcPr>
          <w:p w14:paraId="14D0F5B4">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777" w:type="pct"/>
            <w:vAlign w:val="center"/>
          </w:tcPr>
          <w:p w14:paraId="5AF127AC">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资金来源 </w:t>
            </w:r>
            <w:r>
              <w:rPr>
                <w:rFonts w:hint="eastAsia" w:ascii="仿宋" w:hAnsi="仿宋" w:eastAsia="仿宋" w:cs="仿宋"/>
                <w:color w:val="auto"/>
                <w:sz w:val="24"/>
                <w:szCs w:val="24"/>
                <w:highlight w:val="none"/>
              </w:rPr>
              <w:t xml:space="preserve">                                                                                                                                                                </w:t>
            </w:r>
          </w:p>
        </w:tc>
        <w:tc>
          <w:tcPr>
            <w:tcW w:w="3973" w:type="pct"/>
            <w:vAlign w:val="center"/>
          </w:tcPr>
          <w:p w14:paraId="63B16A5F">
            <w:pPr>
              <w:pStyle w:val="12"/>
              <w:snapToGrid w:val="0"/>
              <w:spacing w:line="29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财政资金</w:t>
            </w:r>
          </w:p>
        </w:tc>
      </w:tr>
      <w:tr w14:paraId="60D7F8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49" w:type="pct"/>
            <w:vAlign w:val="center"/>
          </w:tcPr>
          <w:p w14:paraId="3CF198CF">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777" w:type="pct"/>
            <w:vAlign w:val="center"/>
          </w:tcPr>
          <w:p w14:paraId="4F0A157A">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招标方式</w:t>
            </w:r>
          </w:p>
        </w:tc>
        <w:tc>
          <w:tcPr>
            <w:tcW w:w="3973" w:type="pct"/>
            <w:vAlign w:val="center"/>
          </w:tcPr>
          <w:p w14:paraId="618E3921">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竞争性磋商招标</w:t>
            </w:r>
            <w:r>
              <w:rPr>
                <w:rFonts w:hint="eastAsia" w:ascii="仿宋" w:hAnsi="仿宋" w:eastAsia="仿宋" w:cs="仿宋"/>
                <w:b/>
                <w:color w:val="auto"/>
                <w:sz w:val="24"/>
                <w:szCs w:val="24"/>
                <w:highlight w:val="none"/>
              </w:rPr>
              <w:t>(本项目采用网上电子招投标)</w:t>
            </w:r>
            <w:r>
              <w:rPr>
                <w:rFonts w:hint="eastAsia" w:ascii="仿宋" w:hAnsi="仿宋" w:eastAsia="仿宋" w:cs="仿宋"/>
                <w:color w:val="auto"/>
                <w:sz w:val="24"/>
                <w:szCs w:val="24"/>
                <w:highlight w:val="none"/>
              </w:rPr>
              <w:t xml:space="preserve">             </w:t>
            </w:r>
          </w:p>
        </w:tc>
      </w:tr>
      <w:tr w14:paraId="740A2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49" w:type="pct"/>
            <w:vAlign w:val="center"/>
          </w:tcPr>
          <w:p w14:paraId="77FAC03F">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777" w:type="pct"/>
            <w:vAlign w:val="center"/>
          </w:tcPr>
          <w:p w14:paraId="4E540F4B">
            <w:pPr>
              <w:pStyle w:val="12"/>
              <w:snapToGrid w:val="0"/>
              <w:spacing w:line="29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投标人资格条件及其他要求</w:t>
            </w:r>
          </w:p>
        </w:tc>
        <w:tc>
          <w:tcPr>
            <w:tcW w:w="3973" w:type="pct"/>
            <w:vAlign w:val="center"/>
          </w:tcPr>
          <w:p w14:paraId="059CC55E">
            <w:pPr>
              <w:pStyle w:val="44"/>
              <w:rPr>
                <w:rFonts w:hint="eastAsia" w:ascii="仿宋" w:hAnsi="仿宋" w:eastAsia="仿宋" w:cs="仿宋"/>
                <w:kern w:val="2"/>
                <w:sz w:val="24"/>
                <w:szCs w:val="24"/>
                <w:highlight w:val="none"/>
                <w:u w:color="000000"/>
                <w:lang w:val="en-US"/>
              </w:rPr>
            </w:pPr>
            <w:r>
              <w:rPr>
                <w:rFonts w:hint="eastAsia" w:ascii="仿宋" w:hAnsi="仿宋" w:eastAsia="仿宋" w:cs="仿宋"/>
                <w:kern w:val="2"/>
                <w:sz w:val="24"/>
                <w:szCs w:val="24"/>
                <w:highlight w:val="none"/>
                <w:u w:color="000000"/>
                <w:lang w:val="en-US"/>
              </w:rPr>
              <w:t>1.满足《中华人民共和国政府采购法》第二十二条规定；</w:t>
            </w:r>
          </w:p>
          <w:p w14:paraId="10520626">
            <w:pPr>
              <w:pStyle w:val="44"/>
              <w:rPr>
                <w:rFonts w:hint="eastAsia" w:ascii="仿宋" w:hAnsi="仿宋" w:eastAsia="仿宋" w:cs="仿宋"/>
                <w:kern w:val="2"/>
                <w:sz w:val="24"/>
                <w:szCs w:val="24"/>
                <w:highlight w:val="none"/>
                <w:u w:color="000000"/>
                <w:lang w:val="en-US"/>
              </w:rPr>
            </w:pPr>
            <w:r>
              <w:rPr>
                <w:rFonts w:hint="eastAsia" w:ascii="仿宋" w:hAnsi="仿宋" w:eastAsia="仿宋" w:cs="仿宋"/>
                <w:kern w:val="2"/>
                <w:sz w:val="24"/>
                <w:szCs w:val="24"/>
                <w:highlight w:val="none"/>
                <w:u w:color="000000"/>
                <w:lang w:val="en-US"/>
              </w:rPr>
              <w:t xml:space="preserve">2.落实政府采购政策需满足的资格要求：本项目为非专门面向中小企业，根据《政府采购促进中小企业发展管理办法》（财库【2020】46号）及（财库[2022]19号）的规定，评标时将给予此类企业进行价格扣除10%的优惠，用优惠后的价格参与评审。 </w:t>
            </w:r>
          </w:p>
          <w:p w14:paraId="7F87493A">
            <w:pPr>
              <w:pStyle w:val="44"/>
              <w:rPr>
                <w:rFonts w:hint="eastAsia" w:ascii="仿宋" w:hAnsi="仿宋" w:eastAsia="仿宋" w:cs="仿宋"/>
                <w:kern w:val="2"/>
                <w:sz w:val="24"/>
                <w:szCs w:val="24"/>
                <w:highlight w:val="none"/>
                <w:u w:color="000000"/>
                <w:lang w:val="en-US"/>
              </w:rPr>
            </w:pPr>
            <w:r>
              <w:rPr>
                <w:rFonts w:hint="eastAsia" w:ascii="仿宋" w:hAnsi="仿宋" w:eastAsia="仿宋" w:cs="仿宋"/>
                <w:kern w:val="2"/>
                <w:sz w:val="24"/>
                <w:szCs w:val="24"/>
                <w:highlight w:val="none"/>
                <w:u w:color="000000"/>
                <w:lang w:val="en-US"/>
              </w:rPr>
              <w:t>3.本项目的特定资格要求：</w:t>
            </w:r>
          </w:p>
          <w:p w14:paraId="35A4A1B4">
            <w:pPr>
              <w:pStyle w:val="44"/>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1）具备三证合一营业执照；</w:t>
            </w:r>
          </w:p>
          <w:p w14:paraId="27F60A5F">
            <w:pPr>
              <w:pStyle w:val="44"/>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2）法定代表人（负责人）参加提供法定代表人（负责人）证明书，委托代理人参加提供法人代表（负责人）授权委托书；投标银行为非法人机构的，提供上一级银行授权委托书；</w:t>
            </w:r>
          </w:p>
          <w:p w14:paraId="7B1CFBA6">
            <w:pPr>
              <w:pStyle w:val="44"/>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3）投标企业须提供投标人（被授权人）近6个月任意1个月的社保证明；</w:t>
            </w:r>
          </w:p>
          <w:p w14:paraId="3E431BD9">
            <w:pPr>
              <w:pStyle w:val="44"/>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4）未被列入信用中国网（</w:t>
            </w:r>
            <w:r>
              <w:rPr>
                <w:rFonts w:hint="eastAsia" w:ascii="仿宋" w:hAnsi="仿宋" w:eastAsia="仿宋" w:cs="仿宋"/>
                <w:kern w:val="2"/>
                <w:sz w:val="24"/>
                <w:szCs w:val="24"/>
                <w:highlight w:val="none"/>
                <w:u w:color="000000"/>
                <w:lang w:val="en-US" w:eastAsia="zh-CN"/>
              </w:rPr>
              <w:fldChar w:fldCharType="begin"/>
            </w:r>
            <w:r>
              <w:rPr>
                <w:rFonts w:hint="eastAsia" w:ascii="仿宋" w:hAnsi="仿宋" w:eastAsia="仿宋" w:cs="仿宋"/>
                <w:kern w:val="2"/>
                <w:sz w:val="24"/>
                <w:szCs w:val="24"/>
                <w:highlight w:val="none"/>
                <w:u w:color="000000"/>
                <w:lang w:val="en-US" w:eastAsia="zh-CN"/>
              </w:rPr>
              <w:instrText xml:space="preserve"> HYPERLINK "http://www.creditchina.gov.cn/" </w:instrText>
            </w:r>
            <w:r>
              <w:rPr>
                <w:rFonts w:hint="eastAsia" w:ascii="仿宋" w:hAnsi="仿宋" w:eastAsia="仿宋" w:cs="仿宋"/>
                <w:kern w:val="2"/>
                <w:sz w:val="24"/>
                <w:szCs w:val="24"/>
                <w:highlight w:val="none"/>
                <w:u w:color="000000"/>
                <w:lang w:val="en-US" w:eastAsia="zh-CN"/>
              </w:rPr>
              <w:fldChar w:fldCharType="separate"/>
            </w:r>
            <w:r>
              <w:rPr>
                <w:rFonts w:hint="eastAsia" w:ascii="仿宋" w:hAnsi="仿宋" w:eastAsia="仿宋" w:cs="仿宋"/>
                <w:kern w:val="2"/>
                <w:sz w:val="24"/>
                <w:szCs w:val="24"/>
                <w:highlight w:val="none"/>
                <w:u w:color="000000"/>
                <w:lang w:val="en-US" w:eastAsia="zh-CN"/>
              </w:rPr>
              <w:t>www.creditchina.gov.cn</w:t>
            </w:r>
            <w:r>
              <w:rPr>
                <w:rFonts w:hint="eastAsia" w:ascii="仿宋" w:hAnsi="仿宋" w:eastAsia="仿宋" w:cs="仿宋"/>
                <w:kern w:val="2"/>
                <w:sz w:val="24"/>
                <w:szCs w:val="24"/>
                <w:highlight w:val="none"/>
                <w:u w:color="000000"/>
                <w:lang w:val="en-US" w:eastAsia="zh-CN"/>
              </w:rPr>
              <w:fldChar w:fldCharType="end"/>
            </w:r>
            <w:r>
              <w:rPr>
                <w:rFonts w:hint="eastAsia" w:ascii="仿宋" w:hAnsi="仿宋" w:eastAsia="仿宋" w:cs="仿宋"/>
                <w:kern w:val="2"/>
                <w:sz w:val="24"/>
                <w:szCs w:val="24"/>
                <w:highlight w:val="none"/>
                <w:u w:color="000000"/>
                <w:lang w:val="en-US" w:eastAsia="zh-CN"/>
              </w:rPr>
              <w:t>）及中国政府采购网 (</w:t>
            </w:r>
            <w:r>
              <w:rPr>
                <w:rFonts w:hint="eastAsia" w:ascii="仿宋" w:hAnsi="仿宋" w:eastAsia="仿宋" w:cs="仿宋"/>
                <w:kern w:val="2"/>
                <w:sz w:val="24"/>
                <w:szCs w:val="24"/>
                <w:highlight w:val="none"/>
                <w:u w:color="000000"/>
                <w:lang w:val="en-US" w:eastAsia="zh-CN"/>
              </w:rPr>
              <w:fldChar w:fldCharType="begin"/>
            </w:r>
            <w:r>
              <w:rPr>
                <w:rFonts w:hint="eastAsia" w:ascii="仿宋" w:hAnsi="仿宋" w:eastAsia="仿宋" w:cs="仿宋"/>
                <w:kern w:val="2"/>
                <w:sz w:val="24"/>
                <w:szCs w:val="24"/>
                <w:highlight w:val="none"/>
                <w:u w:color="000000"/>
                <w:lang w:val="en-US" w:eastAsia="zh-CN"/>
              </w:rPr>
              <w:instrText xml:space="preserve"> HYPERLINK "http://www.ccgp.gov.cn/" </w:instrText>
            </w:r>
            <w:r>
              <w:rPr>
                <w:rFonts w:hint="eastAsia" w:ascii="仿宋" w:hAnsi="仿宋" w:eastAsia="仿宋" w:cs="仿宋"/>
                <w:kern w:val="2"/>
                <w:sz w:val="24"/>
                <w:szCs w:val="24"/>
                <w:highlight w:val="none"/>
                <w:u w:color="000000"/>
                <w:lang w:val="en-US" w:eastAsia="zh-CN"/>
              </w:rPr>
              <w:fldChar w:fldCharType="separate"/>
            </w:r>
            <w:r>
              <w:rPr>
                <w:rFonts w:hint="eastAsia" w:ascii="仿宋" w:hAnsi="仿宋" w:eastAsia="仿宋" w:cs="仿宋"/>
                <w:kern w:val="2"/>
                <w:sz w:val="24"/>
                <w:szCs w:val="24"/>
                <w:highlight w:val="none"/>
                <w:u w:color="000000"/>
                <w:lang w:val="en-US" w:eastAsia="zh-CN"/>
              </w:rPr>
              <w:t>www.ccgp.gov.cn</w:t>
            </w:r>
            <w:r>
              <w:rPr>
                <w:rFonts w:hint="eastAsia" w:ascii="仿宋" w:hAnsi="仿宋" w:eastAsia="仿宋" w:cs="仿宋"/>
                <w:kern w:val="2"/>
                <w:sz w:val="24"/>
                <w:szCs w:val="24"/>
                <w:highlight w:val="none"/>
                <w:u w:color="000000"/>
                <w:lang w:val="en-US" w:eastAsia="zh-CN"/>
              </w:rPr>
              <w:fldChar w:fldCharType="end"/>
            </w:r>
            <w:r>
              <w:rPr>
                <w:rFonts w:hint="eastAsia" w:ascii="仿宋" w:hAnsi="仿宋" w:eastAsia="仿宋" w:cs="仿宋"/>
                <w:kern w:val="2"/>
                <w:sz w:val="24"/>
                <w:szCs w:val="24"/>
                <w:highlight w:val="none"/>
                <w:u w:color="000000"/>
                <w:lang w:val="en-US" w:eastAsia="zh-CN"/>
              </w:rPr>
              <w:t>）失信被执行人名单、重大税收违法失信主体、政府采购严重违法失信行为记录名单（提供查询结果网页截图并加盖供应商公章）；</w:t>
            </w:r>
          </w:p>
          <w:p w14:paraId="3CA75F03">
            <w:pPr>
              <w:pStyle w:val="44"/>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5）投标企业需提供中国银行业监督管理委员会有效的《中华人民共和国金融许可证》或《金融机构营业许可证》。</w:t>
            </w:r>
          </w:p>
          <w:p w14:paraId="10CF89BB">
            <w:pPr>
              <w:pStyle w:val="44"/>
              <w:rPr>
                <w:rFonts w:hint="eastAsia" w:ascii="仿宋" w:hAnsi="仿宋" w:eastAsia="仿宋" w:cs="仿宋"/>
                <w:sz w:val="24"/>
                <w:szCs w:val="24"/>
                <w:highlight w:val="none"/>
              </w:rPr>
            </w:pPr>
            <w:r>
              <w:rPr>
                <w:rFonts w:hint="eastAsia" w:ascii="仿宋" w:hAnsi="仿宋" w:eastAsia="仿宋" w:cs="仿宋"/>
                <w:b w:val="0"/>
                <w:bCs w:val="0"/>
                <w:kern w:val="2"/>
                <w:sz w:val="24"/>
                <w:szCs w:val="24"/>
                <w:highlight w:val="none"/>
                <w:u w:color="000000"/>
                <w:lang w:val="en-US"/>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14:paraId="3407E3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49" w:type="pct"/>
            <w:vAlign w:val="center"/>
          </w:tcPr>
          <w:p w14:paraId="239A34AC">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777" w:type="pct"/>
            <w:vAlign w:val="center"/>
          </w:tcPr>
          <w:p w14:paraId="6E151790">
            <w:pPr>
              <w:pStyle w:val="12"/>
              <w:snapToGrid w:val="0"/>
              <w:spacing w:line="29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供应商信用查询</w:t>
            </w:r>
          </w:p>
        </w:tc>
        <w:tc>
          <w:tcPr>
            <w:tcW w:w="3973" w:type="pct"/>
            <w:vAlign w:val="center"/>
          </w:tcPr>
          <w:p w14:paraId="5AE8F9EA">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1、查询渠道：信用中国（网址：http://www.creditchina.gov.cn）、中国政府采购网(网址：http://www.ccgp.gov.cn）。</w:t>
            </w:r>
          </w:p>
          <w:p w14:paraId="5DCC2E97">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2、截止时点：开标前。</w:t>
            </w:r>
          </w:p>
          <w:p w14:paraId="034A7176">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3、信用信息查询记录和证据留存的具体方式：由采购组织机构在规定查询时间内打印信用信息查询记录并归入项目档案。</w:t>
            </w:r>
          </w:p>
          <w:p w14:paraId="498CA356">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4B9FB2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49" w:type="pct"/>
            <w:vAlign w:val="center"/>
          </w:tcPr>
          <w:p w14:paraId="2AF8B636">
            <w:pPr>
              <w:snapToGrid w:val="0"/>
              <w:spacing w:line="29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777" w:type="pct"/>
            <w:vAlign w:val="center"/>
          </w:tcPr>
          <w:p w14:paraId="02805859">
            <w:pPr>
              <w:pStyle w:val="12"/>
              <w:snapToGrid w:val="0"/>
              <w:spacing w:line="29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联合体投标</w:t>
            </w:r>
          </w:p>
        </w:tc>
        <w:tc>
          <w:tcPr>
            <w:tcW w:w="3973" w:type="pct"/>
            <w:vAlign w:val="center"/>
          </w:tcPr>
          <w:p w14:paraId="6485A6FB">
            <w:pPr>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☑不接受</w:t>
            </w:r>
          </w:p>
          <w:p w14:paraId="7BF38327">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□接受</w:t>
            </w:r>
          </w:p>
        </w:tc>
      </w:tr>
      <w:tr w14:paraId="385776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49" w:type="pct"/>
            <w:vAlign w:val="center"/>
          </w:tcPr>
          <w:p w14:paraId="612181E8">
            <w:pPr>
              <w:snapToGrid w:val="0"/>
              <w:spacing w:line="29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777" w:type="pct"/>
            <w:vAlign w:val="center"/>
          </w:tcPr>
          <w:p w14:paraId="17075FB4">
            <w:pPr>
              <w:snapToGrid w:val="0"/>
              <w:spacing w:line="29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招标代理费</w:t>
            </w:r>
          </w:p>
        </w:tc>
        <w:tc>
          <w:tcPr>
            <w:tcW w:w="3973" w:type="pct"/>
            <w:vAlign w:val="center"/>
          </w:tcPr>
          <w:p w14:paraId="21DD837C">
            <w:pPr>
              <w:snapToGrid w:val="0"/>
              <w:spacing w:line="290" w:lineRule="exac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本项目代理服务费：10000.00元，中标单位在拿取中标通知书时缴纳。</w:t>
            </w:r>
          </w:p>
        </w:tc>
      </w:tr>
      <w:tr w14:paraId="167B09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49" w:type="pct"/>
            <w:vMerge w:val="restart"/>
            <w:vAlign w:val="center"/>
          </w:tcPr>
          <w:p w14:paraId="499F14E0">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777" w:type="pct"/>
            <w:vAlign w:val="center"/>
          </w:tcPr>
          <w:p w14:paraId="33A2A545">
            <w:pPr>
              <w:snapToGrid w:val="0"/>
              <w:spacing w:line="290" w:lineRule="exact"/>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预算价</w:t>
            </w:r>
          </w:p>
        </w:tc>
        <w:tc>
          <w:tcPr>
            <w:tcW w:w="3973" w:type="pct"/>
            <w:vAlign w:val="center"/>
          </w:tcPr>
          <w:p w14:paraId="533E6D05">
            <w:pPr>
              <w:snapToGrid w:val="0"/>
              <w:spacing w:line="290" w:lineRule="exact"/>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u w:color="000000"/>
                <w:lang w:val="en-US" w:eastAsia="zh-CN" w:bidi="ar-SA"/>
              </w:rPr>
              <w:t>本次招标预算价：1元</w:t>
            </w:r>
          </w:p>
        </w:tc>
      </w:tr>
      <w:tr w14:paraId="70C823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49" w:type="pct"/>
            <w:vMerge w:val="continue"/>
            <w:vAlign w:val="center"/>
          </w:tcPr>
          <w:p w14:paraId="0DD90B7D">
            <w:pPr>
              <w:pStyle w:val="12"/>
              <w:snapToGrid w:val="0"/>
              <w:spacing w:line="290" w:lineRule="exact"/>
              <w:jc w:val="center"/>
              <w:rPr>
                <w:rFonts w:hint="eastAsia" w:ascii="仿宋" w:hAnsi="仿宋" w:eastAsia="仿宋" w:cs="仿宋"/>
                <w:color w:val="auto"/>
                <w:sz w:val="24"/>
                <w:szCs w:val="24"/>
                <w:highlight w:val="none"/>
              </w:rPr>
            </w:pPr>
          </w:p>
        </w:tc>
        <w:tc>
          <w:tcPr>
            <w:tcW w:w="777" w:type="pct"/>
            <w:vAlign w:val="center"/>
          </w:tcPr>
          <w:p w14:paraId="55ACFA54">
            <w:pPr>
              <w:snapToGrid w:val="0"/>
              <w:spacing w:line="290" w:lineRule="exact"/>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报价</w:t>
            </w:r>
          </w:p>
        </w:tc>
        <w:tc>
          <w:tcPr>
            <w:tcW w:w="3973" w:type="pct"/>
            <w:vAlign w:val="center"/>
          </w:tcPr>
          <w:p w14:paraId="73C76202">
            <w:pPr>
              <w:snapToGrid w:val="0"/>
              <w:spacing w:line="290" w:lineRule="exact"/>
              <w:rPr>
                <w:rFonts w:hint="eastAsia" w:ascii="仿宋" w:hAnsi="仿宋" w:eastAsia="仿宋" w:cs="仿宋"/>
                <w:b/>
                <w:bCs/>
                <w:color w:val="auto"/>
                <w:kern w:val="2"/>
                <w:sz w:val="24"/>
                <w:szCs w:val="24"/>
                <w:highlight w:val="none"/>
                <w:u w:color="000000"/>
                <w:lang w:val="en-US" w:eastAsia="zh-CN" w:bidi="ar-SA"/>
              </w:rPr>
            </w:pPr>
            <w:r>
              <w:rPr>
                <w:rFonts w:hint="eastAsia" w:ascii="仿宋" w:hAnsi="仿宋" w:eastAsia="仿宋" w:cs="仿宋"/>
                <w:b/>
                <w:bCs/>
                <w:color w:val="FF0000"/>
                <w:sz w:val="24"/>
                <w:szCs w:val="24"/>
                <w:highlight w:val="none"/>
                <w:lang w:val="en-US" w:eastAsia="zh-CN"/>
              </w:rPr>
              <w:t>报价为银行执行年利率报价</w:t>
            </w:r>
          </w:p>
        </w:tc>
      </w:tr>
      <w:tr w14:paraId="27DEA2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49" w:type="pct"/>
            <w:vAlign w:val="center"/>
          </w:tcPr>
          <w:p w14:paraId="7193F992">
            <w:pPr>
              <w:snapToGrid w:val="0"/>
              <w:spacing w:line="29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p>
        </w:tc>
        <w:tc>
          <w:tcPr>
            <w:tcW w:w="777" w:type="pct"/>
            <w:vAlign w:val="center"/>
          </w:tcPr>
          <w:p w14:paraId="3C37604B">
            <w:pPr>
              <w:pStyle w:val="12"/>
              <w:snapToGrid w:val="0"/>
              <w:spacing w:line="29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投标有效期</w:t>
            </w:r>
          </w:p>
        </w:tc>
        <w:tc>
          <w:tcPr>
            <w:tcW w:w="3973" w:type="pct"/>
            <w:vAlign w:val="center"/>
          </w:tcPr>
          <w:p w14:paraId="7E193D05">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投标有效期为</w:t>
            </w:r>
            <w:r>
              <w:rPr>
                <w:rFonts w:hint="eastAsia" w:ascii="仿宋" w:hAnsi="仿宋" w:eastAsia="仿宋" w:cs="仿宋"/>
                <w:color w:val="auto"/>
                <w:sz w:val="24"/>
                <w:szCs w:val="24"/>
                <w:highlight w:val="none"/>
                <w:u w:val="single"/>
              </w:rPr>
              <w:t xml:space="preserve"> 60 </w:t>
            </w:r>
            <w:r>
              <w:rPr>
                <w:rFonts w:hint="eastAsia" w:ascii="仿宋" w:hAnsi="仿宋" w:eastAsia="仿宋" w:cs="仿宋"/>
                <w:color w:val="auto"/>
                <w:sz w:val="24"/>
                <w:szCs w:val="24"/>
                <w:highlight w:val="none"/>
              </w:rPr>
              <w:t>日历天（从投标截止之日算起）。在此期限内，凡符合本采购文件要求的投标文件均保持有效。</w:t>
            </w:r>
          </w:p>
        </w:tc>
      </w:tr>
      <w:tr w14:paraId="19D7F2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5" w:hRule="atLeast"/>
          <w:jc w:val="center"/>
        </w:trPr>
        <w:tc>
          <w:tcPr>
            <w:tcW w:w="249" w:type="pct"/>
            <w:vAlign w:val="center"/>
          </w:tcPr>
          <w:p w14:paraId="012D8410">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777" w:type="pct"/>
            <w:tcBorders>
              <w:bottom w:val="single" w:color="auto" w:sz="4" w:space="0"/>
            </w:tcBorders>
            <w:vAlign w:val="center"/>
          </w:tcPr>
          <w:p w14:paraId="5D0F618F">
            <w:pPr>
              <w:snapToGrid w:val="0"/>
              <w:spacing w:line="29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投标保证金</w:t>
            </w:r>
          </w:p>
        </w:tc>
        <w:tc>
          <w:tcPr>
            <w:tcW w:w="3973" w:type="pct"/>
            <w:tcBorders>
              <w:bottom w:val="single" w:color="auto" w:sz="4" w:space="0"/>
            </w:tcBorders>
            <w:vAlign w:val="center"/>
          </w:tcPr>
          <w:p w14:paraId="13C73579">
            <w:pPr>
              <w:tabs>
                <w:tab w:val="left" w:pos="1662"/>
              </w:tabs>
              <w:bidi w:val="0"/>
              <w:jc w:val="both"/>
              <w:rPr>
                <w:rFonts w:hint="eastAsia" w:ascii="仿宋" w:hAnsi="仿宋" w:eastAsia="仿宋" w:cs="仿宋"/>
                <w:kern w:val="2"/>
                <w:sz w:val="24"/>
                <w:szCs w:val="24"/>
                <w:lang w:val="en-US" w:eastAsia="zh-CN" w:bidi="ar-SA"/>
              </w:rPr>
            </w:pPr>
            <w:r>
              <w:rPr>
                <w:rFonts w:hint="eastAsia" w:ascii="仿宋" w:hAnsi="仿宋" w:eastAsia="仿宋" w:cs="仿宋"/>
                <w:b w:val="0"/>
                <w:bCs w:val="0"/>
                <w:color w:val="auto"/>
                <w:sz w:val="21"/>
                <w:szCs w:val="21"/>
                <w:lang w:val="en-US" w:eastAsia="zh-CN"/>
              </w:rPr>
              <w:t>无</w:t>
            </w:r>
          </w:p>
        </w:tc>
      </w:tr>
      <w:tr w14:paraId="476042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249" w:type="pct"/>
            <w:vAlign w:val="center"/>
          </w:tcPr>
          <w:p w14:paraId="36F7DCDE">
            <w:pPr>
              <w:snapToGrid w:val="0"/>
              <w:spacing w:line="29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777" w:type="pct"/>
            <w:vAlign w:val="center"/>
          </w:tcPr>
          <w:p w14:paraId="6728B101">
            <w:pPr>
              <w:pStyle w:val="12"/>
              <w:snapToGrid w:val="0"/>
              <w:spacing w:line="29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投标文件形式</w:t>
            </w:r>
          </w:p>
        </w:tc>
        <w:tc>
          <w:tcPr>
            <w:tcW w:w="3973" w:type="pct"/>
            <w:vAlign w:val="center"/>
          </w:tcPr>
          <w:p w14:paraId="1E974A9E">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电子投标文件包括“电子加密投标文件”和“备份投标文件”，在投标文件编制完成后同时生成。</w:t>
            </w:r>
          </w:p>
          <w:p w14:paraId="23A8A69D">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1、“电子加密投标文件” 是指通过“政采云电子交易客户端”完成投标文件编制后生成并加密的数据电文形式的投标文件。</w:t>
            </w:r>
          </w:p>
          <w:p w14:paraId="6EFC4358">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2、“备份投标文件”是指与“电子加密投标文件”同时生成的数据电文形式的电子文件（备份标书，用于供应商标书解密异常时应急使用），其他方式编制的备份投标文件视为无效备份投标文件。</w:t>
            </w:r>
          </w:p>
        </w:tc>
      </w:tr>
      <w:tr w14:paraId="5D26DF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49" w:type="pct"/>
            <w:vAlign w:val="center"/>
          </w:tcPr>
          <w:p w14:paraId="5D41FFA2">
            <w:pPr>
              <w:snapToGrid w:val="0"/>
              <w:spacing w:line="290" w:lineRule="exact"/>
              <w:ind w:left="-77" w:leftChars="-37" w:right="-94" w:rightChars="-45"/>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777" w:type="pct"/>
            <w:vAlign w:val="center"/>
          </w:tcPr>
          <w:p w14:paraId="2406CA57">
            <w:pPr>
              <w:pStyle w:val="12"/>
              <w:snapToGrid w:val="0"/>
              <w:spacing w:line="29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投标文件份数及要求</w:t>
            </w:r>
          </w:p>
        </w:tc>
        <w:tc>
          <w:tcPr>
            <w:tcW w:w="3973" w:type="pct"/>
            <w:vAlign w:val="center"/>
          </w:tcPr>
          <w:p w14:paraId="705204D0">
            <w:pPr>
              <w:pStyle w:val="12"/>
              <w:snapToGrid w:val="0"/>
              <w:spacing w:line="29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1、一份电子加密标书（“.jmbs”格式），一份备份标书文件（“.bfbs”格式）。</w:t>
            </w:r>
          </w:p>
          <w:p w14:paraId="5E6A51EB">
            <w:pPr>
              <w:pStyle w:val="12"/>
              <w:snapToGrid w:val="0"/>
              <w:spacing w:line="29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2、每份电子投标文件应包括资格证明文件和商务及技术文件两部分。</w:t>
            </w:r>
          </w:p>
        </w:tc>
      </w:tr>
      <w:tr w14:paraId="355181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49" w:type="pct"/>
            <w:vMerge w:val="restart"/>
            <w:vAlign w:val="center"/>
          </w:tcPr>
          <w:p w14:paraId="16B51DF6">
            <w:pPr>
              <w:snapToGrid w:val="0"/>
              <w:spacing w:line="290" w:lineRule="exact"/>
              <w:ind w:left="-77" w:leftChars="-37" w:right="-94" w:rightChars="-45"/>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777" w:type="pct"/>
            <w:vMerge w:val="restart"/>
            <w:vAlign w:val="center"/>
          </w:tcPr>
          <w:p w14:paraId="4CE430F7">
            <w:pPr>
              <w:pStyle w:val="12"/>
              <w:snapToGrid w:val="0"/>
              <w:spacing w:line="29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zh-CN"/>
              </w:rPr>
              <w:t>投标文件的上传和递交</w:t>
            </w:r>
          </w:p>
        </w:tc>
        <w:tc>
          <w:tcPr>
            <w:tcW w:w="3973" w:type="pct"/>
            <w:vAlign w:val="center"/>
          </w:tcPr>
          <w:p w14:paraId="51F32680">
            <w:pPr>
              <w:pStyle w:val="12"/>
              <w:snapToGrid w:val="0"/>
              <w:spacing w:line="29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1.电子加密投标文件：投标文件制作完成并生成加密标书，在投标截止时间前，供应商需将加密的投标文件上传至政采云平台，</w:t>
            </w:r>
            <w:r>
              <w:rPr>
                <w:rFonts w:hint="eastAsia" w:ascii="仿宋" w:hAnsi="仿宋" w:eastAsia="仿宋" w:cs="仿宋"/>
                <w:b w:val="0"/>
                <w:bCs w:val="0"/>
                <w:color w:val="auto"/>
                <w:sz w:val="24"/>
                <w:szCs w:val="24"/>
                <w:highlight w:val="none"/>
                <w:u w:val="single"/>
              </w:rPr>
              <w:t>在开标时间开始后，待采购组织机构发出解密通知后30分钟内解密投标文件。</w:t>
            </w:r>
          </w:p>
          <w:p w14:paraId="3B3E3C32">
            <w:pPr>
              <w:pStyle w:val="12"/>
              <w:snapToGrid w:val="0"/>
              <w:spacing w:line="29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a.供应商未能在投标截止时间前成功上传电子加密投标文件的投标无效。</w:t>
            </w:r>
          </w:p>
          <w:p w14:paraId="4AB8E415">
            <w:pPr>
              <w:pStyle w:val="12"/>
              <w:snapToGrid w:val="0"/>
              <w:spacing w:line="29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b.供应商成功上传电子加密投标文件后，可自行打印投标文件接收回执。</w:t>
            </w:r>
          </w:p>
        </w:tc>
      </w:tr>
      <w:tr w14:paraId="480421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49" w:type="pct"/>
            <w:vMerge w:val="continue"/>
            <w:vAlign w:val="center"/>
          </w:tcPr>
          <w:p w14:paraId="63EF29D9">
            <w:pPr>
              <w:widowControl/>
              <w:snapToGrid w:val="0"/>
              <w:spacing w:line="290" w:lineRule="exact"/>
              <w:ind w:firstLine="100" w:firstLineChars="42"/>
              <w:jc w:val="left"/>
              <w:rPr>
                <w:rFonts w:hint="eastAsia" w:ascii="仿宋" w:hAnsi="仿宋" w:eastAsia="仿宋" w:cs="仿宋"/>
                <w:sz w:val="24"/>
                <w:szCs w:val="24"/>
                <w:highlight w:val="none"/>
              </w:rPr>
            </w:pPr>
          </w:p>
        </w:tc>
        <w:tc>
          <w:tcPr>
            <w:tcW w:w="777" w:type="pct"/>
            <w:vMerge w:val="continue"/>
            <w:vAlign w:val="center"/>
          </w:tcPr>
          <w:p w14:paraId="609B23D4">
            <w:pPr>
              <w:pStyle w:val="12"/>
              <w:snapToGrid w:val="0"/>
              <w:spacing w:line="290" w:lineRule="exact"/>
              <w:rPr>
                <w:rFonts w:hint="eastAsia" w:ascii="仿宋" w:hAnsi="仿宋" w:eastAsia="仿宋" w:cs="仿宋"/>
                <w:b/>
                <w:bCs/>
                <w:color w:val="auto"/>
                <w:sz w:val="24"/>
                <w:szCs w:val="24"/>
                <w:highlight w:val="none"/>
              </w:rPr>
            </w:pPr>
          </w:p>
        </w:tc>
        <w:tc>
          <w:tcPr>
            <w:tcW w:w="3973" w:type="pct"/>
            <w:vAlign w:val="center"/>
          </w:tcPr>
          <w:p w14:paraId="44F5C3FB">
            <w:pPr>
              <w:pStyle w:val="12"/>
              <w:snapToGrid w:val="0"/>
              <w:spacing w:line="3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2.备份投标文件：供应商在投标截止时间前将加密的投标文件上传至政府采购云平台，还可以在投标截止时间前以电子邮件方式提供备份投标文件1份（接收人邮箱：19246091@qq.com，接收人：黄女士 联系电话：17609081174）“备份投标文件”由供应商自愿提供，采购文件不作强制性要求；如不提供或未按要求提供的，当电子投标文件无法解密时，将导致无备份投标文件而失去投标资格。</w:t>
            </w:r>
          </w:p>
          <w:p w14:paraId="6D39B193">
            <w:pPr>
              <w:pStyle w:val="12"/>
              <w:snapToGrid w:val="0"/>
              <w:spacing w:line="3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1C9C4533">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5B37A9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49" w:type="pct"/>
            <w:vAlign w:val="center"/>
          </w:tcPr>
          <w:p w14:paraId="679AA835">
            <w:pPr>
              <w:snapToGrid w:val="0"/>
              <w:spacing w:line="290" w:lineRule="exact"/>
              <w:ind w:left="-77" w:leftChars="-37" w:right="-94" w:rightChars="-45"/>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777" w:type="pct"/>
            <w:vAlign w:val="center"/>
          </w:tcPr>
          <w:p w14:paraId="178C5314">
            <w:pPr>
              <w:snapToGrid w:val="0"/>
              <w:spacing w:line="29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投标截止时间及地点</w:t>
            </w:r>
          </w:p>
        </w:tc>
        <w:tc>
          <w:tcPr>
            <w:tcW w:w="3973" w:type="pct"/>
            <w:vAlign w:val="center"/>
          </w:tcPr>
          <w:p w14:paraId="76408802">
            <w:pPr>
              <w:snapToGrid w:val="0"/>
              <w:spacing w:line="290" w:lineRule="exact"/>
              <w:ind w:firstLine="21" w:firstLineChars="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投标截止时</w:t>
            </w:r>
            <w:r>
              <w:rPr>
                <w:rFonts w:hint="eastAsia" w:ascii="仿宋" w:hAnsi="仿宋" w:eastAsia="仿宋" w:cs="仿宋"/>
                <w:b w:val="0"/>
                <w:bCs w:val="0"/>
                <w:color w:val="auto"/>
                <w:sz w:val="24"/>
                <w:szCs w:val="24"/>
                <w:highlight w:val="none"/>
              </w:rPr>
              <w:t>间</w:t>
            </w: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日1</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15</w:t>
            </w:r>
            <w:r>
              <w:rPr>
                <w:rFonts w:hint="eastAsia" w:ascii="仿宋" w:hAnsi="仿宋" w:eastAsia="仿宋" w:cs="仿宋"/>
                <w:b/>
                <w:bCs/>
                <w:color w:val="auto"/>
                <w:sz w:val="24"/>
                <w:szCs w:val="24"/>
                <w:highlight w:val="none"/>
              </w:rPr>
              <w:t>分（北京时间）</w:t>
            </w:r>
          </w:p>
          <w:p w14:paraId="6C78F8D8">
            <w:pPr>
              <w:snapToGrid w:val="0"/>
              <w:spacing w:line="290" w:lineRule="exact"/>
              <w:ind w:firstLine="21" w:firstLineChars="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投标地点：新疆政府采购云平台（www.zcygov.cn）</w:t>
            </w:r>
          </w:p>
        </w:tc>
      </w:tr>
      <w:tr w14:paraId="5A0336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49" w:type="pct"/>
            <w:vAlign w:val="center"/>
          </w:tcPr>
          <w:p w14:paraId="0138BE6E">
            <w:pPr>
              <w:pStyle w:val="12"/>
              <w:snapToGrid w:val="0"/>
              <w:spacing w:line="290" w:lineRule="exact"/>
              <w:ind w:left="-77" w:leftChars="-37" w:right="-94" w:rightChars="-45"/>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777" w:type="pct"/>
            <w:vAlign w:val="center"/>
          </w:tcPr>
          <w:p w14:paraId="7162D351">
            <w:pPr>
              <w:snapToGrid w:val="0"/>
              <w:spacing w:line="29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开标时间及地点</w:t>
            </w:r>
          </w:p>
        </w:tc>
        <w:tc>
          <w:tcPr>
            <w:tcW w:w="3973" w:type="pct"/>
            <w:vAlign w:val="center"/>
          </w:tcPr>
          <w:p w14:paraId="3EAE0DD0">
            <w:pPr>
              <w:snapToGrid w:val="0"/>
              <w:spacing w:line="290" w:lineRule="exact"/>
              <w:ind w:firstLine="21" w:firstLineChars="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开标时间：同投标截止时间</w:t>
            </w:r>
          </w:p>
          <w:p w14:paraId="199818F1">
            <w:pPr>
              <w:snapToGrid w:val="0"/>
              <w:spacing w:line="290" w:lineRule="exact"/>
              <w:ind w:firstLine="21" w:firstLineChars="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开标地点：在新疆政府采购云平台（www.zcygov.cn）上开启投标文件</w:t>
            </w:r>
          </w:p>
        </w:tc>
      </w:tr>
      <w:tr w14:paraId="7448F9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49" w:type="pct"/>
            <w:vAlign w:val="center"/>
          </w:tcPr>
          <w:p w14:paraId="0272CC3E">
            <w:pPr>
              <w:pStyle w:val="12"/>
              <w:snapToGrid w:val="0"/>
              <w:spacing w:line="290" w:lineRule="exact"/>
              <w:ind w:left="-77" w:leftChars="-37" w:right="-94" w:rightChars="-45"/>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777" w:type="pct"/>
            <w:vAlign w:val="center"/>
          </w:tcPr>
          <w:p w14:paraId="7F0DCF02">
            <w:pPr>
              <w:pStyle w:val="12"/>
              <w:snapToGrid w:val="0"/>
              <w:spacing w:line="29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评标委员会的组建</w:t>
            </w:r>
          </w:p>
        </w:tc>
        <w:tc>
          <w:tcPr>
            <w:tcW w:w="3973" w:type="pct"/>
          </w:tcPr>
          <w:p w14:paraId="027A286C">
            <w:pPr>
              <w:pStyle w:val="12"/>
              <w:snapToGrid w:val="0"/>
              <w:spacing w:line="29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评标委员会由招标人依法组建；</w:t>
            </w:r>
            <w:r>
              <w:rPr>
                <w:rFonts w:hint="eastAsia" w:ascii="仿宋" w:hAnsi="仿宋" w:eastAsia="仿宋" w:cs="仿宋"/>
                <w:color w:val="auto"/>
                <w:sz w:val="24"/>
                <w:szCs w:val="24"/>
                <w:highlight w:val="none"/>
                <w:lang w:val="en-US" w:eastAsia="zh-CN"/>
              </w:rPr>
              <w:t>采购人代表1人，评审专家2人，共3人。</w:t>
            </w:r>
          </w:p>
          <w:p w14:paraId="5E5436DE">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评标专家确定方式：专家评委由招标人在开标前从政采云专家库中随机抽取</w:t>
            </w:r>
          </w:p>
        </w:tc>
      </w:tr>
      <w:tr w14:paraId="6AAF68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49" w:type="pct"/>
            <w:vAlign w:val="center"/>
          </w:tcPr>
          <w:p w14:paraId="499EAA4F">
            <w:pPr>
              <w:pStyle w:val="12"/>
              <w:snapToGrid w:val="0"/>
              <w:spacing w:line="290" w:lineRule="exact"/>
              <w:ind w:left="-77" w:leftChars="-37" w:right="-94" w:rightChars="-4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p>
        </w:tc>
        <w:tc>
          <w:tcPr>
            <w:tcW w:w="777" w:type="pct"/>
            <w:vAlign w:val="center"/>
          </w:tcPr>
          <w:p w14:paraId="3EF4C559">
            <w:pPr>
              <w:pStyle w:val="12"/>
              <w:snapToGrid w:val="0"/>
              <w:spacing w:line="29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是否授权评标委员会确定中标候选人</w:t>
            </w:r>
          </w:p>
        </w:tc>
        <w:tc>
          <w:tcPr>
            <w:tcW w:w="3973" w:type="pct"/>
            <w:vAlign w:val="center"/>
          </w:tcPr>
          <w:p w14:paraId="26E744D5">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rPr>
              <w:t>是，评标委员会推荐</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rPr>
              <w:t>名成交候选人</w:t>
            </w:r>
            <w:r>
              <w:rPr>
                <w:rFonts w:hint="eastAsia" w:ascii="仿宋" w:hAnsi="仿宋" w:eastAsia="仿宋" w:cs="仿宋"/>
                <w:color w:val="auto"/>
                <w:sz w:val="24"/>
                <w:szCs w:val="24"/>
                <w:highlight w:val="none"/>
              </w:rPr>
              <w:t>。</w:t>
            </w:r>
          </w:p>
        </w:tc>
      </w:tr>
      <w:tr w14:paraId="4A3976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49" w:type="pct"/>
            <w:vAlign w:val="center"/>
          </w:tcPr>
          <w:p w14:paraId="7A86018B">
            <w:pPr>
              <w:snapToGrid w:val="0"/>
              <w:spacing w:line="290" w:lineRule="exact"/>
              <w:ind w:left="-77" w:leftChars="-37" w:right="-94" w:rightChars="-45"/>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p>
        </w:tc>
        <w:tc>
          <w:tcPr>
            <w:tcW w:w="777" w:type="pct"/>
            <w:vAlign w:val="center"/>
          </w:tcPr>
          <w:p w14:paraId="4822EFEF">
            <w:pPr>
              <w:pStyle w:val="12"/>
              <w:snapToGrid w:val="0"/>
              <w:spacing w:line="29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中标候选人公示媒介</w:t>
            </w:r>
          </w:p>
        </w:tc>
        <w:tc>
          <w:tcPr>
            <w:tcW w:w="3973" w:type="pct"/>
            <w:vAlign w:val="center"/>
          </w:tcPr>
          <w:p w14:paraId="43189FF2">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克州公共资源交易中心网、新疆政府采购网，公示期为一个工作日。</w:t>
            </w:r>
          </w:p>
        </w:tc>
      </w:tr>
      <w:tr w14:paraId="71EF86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9" w:type="pct"/>
            <w:vMerge w:val="restart"/>
            <w:vAlign w:val="center"/>
          </w:tcPr>
          <w:p w14:paraId="79338402">
            <w:pPr>
              <w:spacing w:line="360" w:lineRule="auto"/>
              <w:jc w:val="center"/>
              <w:rPr>
                <w:rFonts w:hint="eastAsia" w:ascii="仿宋" w:hAnsi="仿宋" w:eastAsia="仿宋" w:cs="仿宋"/>
                <w:sz w:val="24"/>
                <w:szCs w:val="24"/>
                <w:highlight w:val="none"/>
                <w:lang w:val="en-US"/>
              </w:rPr>
            </w:pPr>
            <w:r>
              <w:rPr>
                <w:rFonts w:hint="eastAsia" w:ascii="仿宋" w:hAnsi="仿宋" w:eastAsia="仿宋" w:cs="仿宋"/>
                <w:color w:val="000000" w:themeColor="text1"/>
                <w:sz w:val="24"/>
                <w:szCs w:val="24"/>
                <w:lang w:val="en-US" w:eastAsia="zh-CN"/>
                <w14:textFill>
                  <w14:solidFill>
                    <w14:schemeClr w14:val="tx1"/>
                  </w14:solidFill>
                </w14:textFill>
              </w:rPr>
              <w:t>22</w:t>
            </w:r>
          </w:p>
        </w:tc>
        <w:tc>
          <w:tcPr>
            <w:tcW w:w="777" w:type="pct"/>
            <w:vMerge w:val="restart"/>
            <w:vAlign w:val="center"/>
          </w:tcPr>
          <w:p w14:paraId="17D4D54E">
            <w:p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themeColor="text1"/>
                <w:sz w:val="24"/>
                <w:szCs w:val="24"/>
                <w:lang w:eastAsia="zh-CN"/>
                <w14:textFill>
                  <w14:solidFill>
                    <w14:schemeClr w14:val="tx1"/>
                  </w14:solidFill>
                </w14:textFill>
              </w:rPr>
              <w:t>中小微企业政策文件（本政策仅限于综合评分法）</w:t>
            </w:r>
          </w:p>
        </w:tc>
        <w:tc>
          <w:tcPr>
            <w:tcW w:w="3973" w:type="pct"/>
            <w:vAlign w:val="top"/>
          </w:tcPr>
          <w:p w14:paraId="034915F3">
            <w:pPr>
              <w:widowControl/>
              <w:spacing w:line="440" w:lineRule="exact"/>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sz w:val="24"/>
                <w:szCs w:val="24"/>
                <w:lang w:val="zh-CN" w:eastAsia="zh-CN"/>
                <w14:textFill>
                  <w14:solidFill>
                    <w14:schemeClr w14:val="tx1"/>
                  </w14:solidFill>
                </w14:textFill>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14:paraId="4A798C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9" w:type="pct"/>
            <w:vMerge w:val="continue"/>
            <w:vAlign w:val="center"/>
          </w:tcPr>
          <w:p w14:paraId="657CA5E2">
            <w:pPr>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p>
        </w:tc>
        <w:tc>
          <w:tcPr>
            <w:tcW w:w="777" w:type="pct"/>
            <w:vMerge w:val="continue"/>
            <w:vAlign w:val="center"/>
          </w:tcPr>
          <w:p w14:paraId="0C5B194D">
            <w:pPr>
              <w:spacing w:line="360" w:lineRule="auto"/>
              <w:rPr>
                <w:rFonts w:hint="eastAsia" w:ascii="仿宋" w:hAnsi="仿宋" w:eastAsia="仿宋" w:cs="仿宋"/>
                <w:b/>
                <w:bCs/>
                <w:color w:val="000000" w:themeColor="text1"/>
                <w:sz w:val="24"/>
                <w:szCs w:val="24"/>
                <w:lang w:eastAsia="zh-CN"/>
                <w14:textFill>
                  <w14:solidFill>
                    <w14:schemeClr w14:val="tx1"/>
                  </w14:solidFill>
                </w14:textFill>
              </w:rPr>
            </w:pPr>
          </w:p>
        </w:tc>
        <w:tc>
          <w:tcPr>
            <w:tcW w:w="3973" w:type="pct"/>
            <w:vAlign w:val="top"/>
          </w:tcPr>
          <w:p w14:paraId="44F2C34F">
            <w:pPr>
              <w:widowControl/>
              <w:spacing w:line="440" w:lineRule="exact"/>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22D7D1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9" w:type="pct"/>
            <w:vMerge w:val="continue"/>
            <w:vAlign w:val="center"/>
          </w:tcPr>
          <w:p w14:paraId="1DCAE65D">
            <w:pPr>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p>
        </w:tc>
        <w:tc>
          <w:tcPr>
            <w:tcW w:w="777" w:type="pct"/>
            <w:vMerge w:val="continue"/>
            <w:vAlign w:val="center"/>
          </w:tcPr>
          <w:p w14:paraId="55EC20B4">
            <w:pPr>
              <w:spacing w:line="360" w:lineRule="auto"/>
              <w:rPr>
                <w:rFonts w:hint="eastAsia" w:ascii="仿宋" w:hAnsi="仿宋" w:eastAsia="仿宋" w:cs="仿宋"/>
                <w:b/>
                <w:bCs/>
                <w:color w:val="000000" w:themeColor="text1"/>
                <w:sz w:val="24"/>
                <w:szCs w:val="24"/>
                <w:lang w:eastAsia="zh-CN"/>
                <w14:textFill>
                  <w14:solidFill>
                    <w14:schemeClr w14:val="tx1"/>
                  </w14:solidFill>
                </w14:textFill>
              </w:rPr>
            </w:pPr>
          </w:p>
        </w:tc>
        <w:tc>
          <w:tcPr>
            <w:tcW w:w="3973" w:type="pct"/>
            <w:vAlign w:val="top"/>
          </w:tcPr>
          <w:p w14:paraId="610C06A3">
            <w:pPr>
              <w:widowControl/>
              <w:spacing w:line="440" w:lineRule="exact"/>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14:paraId="7B8610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9" w:type="pct"/>
            <w:vMerge w:val="restart"/>
            <w:vAlign w:val="center"/>
          </w:tcPr>
          <w:p w14:paraId="6302BC6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w:t>
            </w:r>
          </w:p>
        </w:tc>
        <w:tc>
          <w:tcPr>
            <w:tcW w:w="777" w:type="pct"/>
            <w:vMerge w:val="restart"/>
            <w:vAlign w:val="center"/>
          </w:tcPr>
          <w:p w14:paraId="0DE98A92">
            <w:pPr>
              <w:spacing w:line="36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中小微企业政策文件说明</w:t>
            </w:r>
          </w:p>
        </w:tc>
        <w:tc>
          <w:tcPr>
            <w:tcW w:w="3973" w:type="pct"/>
            <w:vAlign w:val="top"/>
          </w:tcPr>
          <w:p w14:paraId="59879A7A">
            <w:pPr>
              <w:widowControl/>
              <w:spacing w:line="44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支持中小企业发展：给予小型和微型企业产品的价格10%-20%的扣除，用扣除后的价格参与评审，本项目具体扣除比例为10%。用扣除后的价格参与评审。残疾人福利性单位视同小型、微型企业，享受同等价格扣除，但同时属于残疾人福利性单位和小微企业的，不重复价格扣除。</w:t>
            </w:r>
          </w:p>
        </w:tc>
      </w:tr>
      <w:tr w14:paraId="7350BC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9" w:type="pct"/>
            <w:vMerge w:val="continue"/>
            <w:vAlign w:val="center"/>
          </w:tcPr>
          <w:p w14:paraId="61A0D66A">
            <w:pPr>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p>
        </w:tc>
        <w:tc>
          <w:tcPr>
            <w:tcW w:w="777" w:type="pct"/>
            <w:vMerge w:val="continue"/>
            <w:vAlign w:val="center"/>
          </w:tcPr>
          <w:p w14:paraId="264B18D3">
            <w:pPr>
              <w:spacing w:line="360" w:lineRule="auto"/>
              <w:rPr>
                <w:rFonts w:hint="eastAsia" w:ascii="仿宋" w:hAnsi="仿宋" w:eastAsia="仿宋" w:cs="仿宋"/>
                <w:b/>
                <w:bCs/>
                <w:color w:val="000000" w:themeColor="text1"/>
                <w:sz w:val="24"/>
                <w:szCs w:val="24"/>
                <w:lang w:eastAsia="zh-CN"/>
                <w14:textFill>
                  <w14:solidFill>
                    <w14:schemeClr w14:val="tx1"/>
                  </w14:solidFill>
                </w14:textFill>
              </w:rPr>
            </w:pPr>
          </w:p>
        </w:tc>
        <w:tc>
          <w:tcPr>
            <w:tcW w:w="3973" w:type="pct"/>
            <w:vAlign w:val="top"/>
          </w:tcPr>
          <w:p w14:paraId="4BC403F0">
            <w:pPr>
              <w:widowControl/>
              <w:spacing w:line="44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（2）不符合上述适用情形的投标人无需提供上述声明函件。</w:t>
            </w:r>
          </w:p>
        </w:tc>
      </w:tr>
      <w:tr w14:paraId="5CBE0A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249" w:type="pct"/>
            <w:vAlign w:val="center"/>
          </w:tcPr>
          <w:p w14:paraId="0F966C26">
            <w:pPr>
              <w:snapToGrid w:val="0"/>
              <w:spacing w:line="29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777" w:type="pct"/>
            <w:vAlign w:val="center"/>
          </w:tcPr>
          <w:p w14:paraId="016A411F">
            <w:pPr>
              <w:snapToGrid w:val="0"/>
              <w:spacing w:line="290" w:lineRule="exact"/>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评标办法</w:t>
            </w:r>
          </w:p>
        </w:tc>
        <w:tc>
          <w:tcPr>
            <w:tcW w:w="3973" w:type="pct"/>
          </w:tcPr>
          <w:p w14:paraId="6C353C62">
            <w:pPr>
              <w:snapToGrid w:val="0"/>
              <w:spacing w:line="29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综合评分法</w:t>
            </w:r>
          </w:p>
        </w:tc>
      </w:tr>
      <w:tr w14:paraId="7AE7FE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49" w:type="pct"/>
            <w:vMerge w:val="restart"/>
            <w:vAlign w:val="center"/>
          </w:tcPr>
          <w:p w14:paraId="4ADC7CF9">
            <w:pPr>
              <w:snapToGrid w:val="0"/>
              <w:spacing w:line="29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777" w:type="pct"/>
            <w:vMerge w:val="restart"/>
            <w:vAlign w:val="center"/>
          </w:tcPr>
          <w:p w14:paraId="797B3D2B">
            <w:pPr>
              <w:snapToGrid w:val="0"/>
              <w:spacing w:line="290" w:lineRule="exact"/>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重要说明</w:t>
            </w:r>
          </w:p>
        </w:tc>
        <w:tc>
          <w:tcPr>
            <w:tcW w:w="3973" w:type="pct"/>
          </w:tcPr>
          <w:p w14:paraId="1C7AF798">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1.本项目采用全流程不见面电子开评标，投标供应商需要使用CA加密设备，供应商可通过新疆数字证书认证中心官网（https://www.xjca.com.cn/）或下载“新疆政务通”APP自行进行申领。</w:t>
            </w:r>
          </w:p>
          <w:p w14:paraId="107CB8C3">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2.本项目实行网上投标，采用加密电子投标文件(供应商须使用CA加密设备通过政采云电子投标客户端制作投标文件)。若供应商参与投标，自行承担投标一切费用。</w:t>
            </w:r>
          </w:p>
          <w:p w14:paraId="4C391BE7">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3D966025">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仿宋" w:hAnsi="仿宋" w:eastAsia="仿宋" w:cs="仿宋"/>
                <w:b w:val="0"/>
                <w:bCs w:val="0"/>
                <w:sz w:val="24"/>
                <w:szCs w:val="24"/>
                <w:highlight w:val="none"/>
                <w:lang w:eastAsia="zh-CN"/>
              </w:rPr>
              <w:t>95763</w:t>
            </w:r>
            <w:r>
              <w:rPr>
                <w:rFonts w:hint="eastAsia" w:ascii="仿宋" w:hAnsi="仿宋" w:eastAsia="仿宋" w:cs="仿宋"/>
                <w:b w:val="0"/>
                <w:bCs w:val="0"/>
                <w:sz w:val="24"/>
                <w:szCs w:val="24"/>
                <w:highlight w:val="none"/>
              </w:rPr>
              <w:t>进行咨询。</w:t>
            </w:r>
          </w:p>
          <w:p w14:paraId="413F18FA">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5.供应商在开标时须使用制作加密电子投标文件所使用的CA锁及电脑，电脑须提前配置好浏览器（建议使用谷歌浏览器），以便开标时解锁。</w:t>
            </w:r>
          </w:p>
          <w:p w14:paraId="42BFAA9C">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5B35E612">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7.为了保证开评标顺利进行，政采云线上开标功能完全实现，供应商开标所使用的电脑设备须具有视频及语音功能。</w:t>
            </w:r>
          </w:p>
        </w:tc>
      </w:tr>
      <w:tr w14:paraId="5A7EED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249" w:type="pct"/>
            <w:vMerge w:val="continue"/>
            <w:vAlign w:val="center"/>
          </w:tcPr>
          <w:p w14:paraId="42782522">
            <w:pPr>
              <w:snapToGrid w:val="0"/>
              <w:spacing w:line="290" w:lineRule="exact"/>
              <w:rPr>
                <w:rFonts w:hint="eastAsia" w:ascii="仿宋" w:hAnsi="仿宋" w:eastAsia="仿宋" w:cs="仿宋"/>
                <w:b/>
                <w:sz w:val="24"/>
                <w:szCs w:val="24"/>
                <w:highlight w:val="none"/>
              </w:rPr>
            </w:pPr>
          </w:p>
        </w:tc>
        <w:tc>
          <w:tcPr>
            <w:tcW w:w="777" w:type="pct"/>
            <w:vMerge w:val="continue"/>
            <w:vAlign w:val="center"/>
          </w:tcPr>
          <w:p w14:paraId="50BD32CB">
            <w:pPr>
              <w:snapToGrid w:val="0"/>
              <w:spacing w:line="290" w:lineRule="exact"/>
              <w:rPr>
                <w:rFonts w:hint="eastAsia" w:ascii="仿宋" w:hAnsi="仿宋" w:eastAsia="仿宋" w:cs="仿宋"/>
                <w:b w:val="0"/>
                <w:bCs w:val="0"/>
                <w:sz w:val="24"/>
                <w:szCs w:val="24"/>
                <w:highlight w:val="none"/>
              </w:rPr>
            </w:pPr>
          </w:p>
        </w:tc>
        <w:tc>
          <w:tcPr>
            <w:tcW w:w="3973" w:type="pct"/>
          </w:tcPr>
          <w:p w14:paraId="6F43EF65">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1、电子招投标情况说明：</w:t>
            </w:r>
          </w:p>
          <w:p w14:paraId="1E2C9333">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（1）电子招投标：本项目以数据电文形式，依托“政府采购云平台（www.zcygov.cn）”进行招投标活动。</w:t>
            </w:r>
          </w:p>
          <w:p w14:paraId="4D9E545B">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07504516">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（3）采购文件的获取：使用账号登录或者</w:t>
            </w:r>
            <w:r>
              <w:rPr>
                <w:rFonts w:hint="eastAsia" w:ascii="仿宋" w:hAnsi="仿宋" w:eastAsia="仿宋" w:cs="仿宋"/>
                <w:b w:val="0"/>
                <w:bCs w:val="0"/>
                <w:sz w:val="24"/>
                <w:szCs w:val="24"/>
                <w:highlight w:val="none"/>
                <w:lang w:bidi="zh-CN"/>
              </w:rPr>
              <w:t>短信验证码</w:t>
            </w:r>
            <w:r>
              <w:rPr>
                <w:rFonts w:hint="eastAsia" w:ascii="仿宋" w:hAnsi="仿宋" w:eastAsia="仿宋" w:cs="仿宋"/>
                <w:b w:val="0"/>
                <w:bCs w:val="0"/>
                <w:sz w:val="24"/>
                <w:szCs w:val="24"/>
                <w:highlight w:val="none"/>
              </w:rPr>
              <w:t>或者使用CA登录政采云平台；进入“项目采购”应用，在获取采购文件菜单中选择项目，获取采购文件。</w:t>
            </w:r>
          </w:p>
          <w:p w14:paraId="7E8C2E85">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（4）投标文件的制作：在“政采云电子交易客户端”中完成“填写基本信息”、“导入投标文件”、“标书关联”、“标书检查”、“电子签名”、“生成电子标书”等操作。</w:t>
            </w:r>
          </w:p>
          <w:p w14:paraId="4EEF3D05">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（5）投标文件的传输递交：供应商在投标截止时间前将加密的投标文件上传至政府采购云平台，还可以在投标截止时间前以电子邮件方式提供备份投标文件1份（接收人邮箱：</w:t>
            </w:r>
            <w:r>
              <w:rPr>
                <w:rFonts w:hint="eastAsia" w:ascii="仿宋" w:hAnsi="仿宋" w:eastAsia="仿宋" w:cs="仿宋"/>
                <w:b w:val="0"/>
                <w:bCs w:val="0"/>
                <w:sz w:val="24"/>
                <w:szCs w:val="24"/>
                <w:highlight w:val="none"/>
                <w:lang w:eastAsia="zh-CN"/>
              </w:rPr>
              <w:t>19246091</w:t>
            </w:r>
            <w:r>
              <w:rPr>
                <w:rFonts w:hint="eastAsia" w:ascii="仿宋" w:hAnsi="仿宋" w:eastAsia="仿宋" w:cs="仿宋"/>
                <w:b w:val="0"/>
                <w:bCs w:val="0"/>
                <w:sz w:val="24"/>
                <w:szCs w:val="24"/>
                <w:highlight w:val="none"/>
              </w:rPr>
              <w:t>@qq.com，接收人：</w:t>
            </w:r>
            <w:r>
              <w:rPr>
                <w:rFonts w:hint="eastAsia" w:ascii="仿宋" w:hAnsi="仿宋" w:eastAsia="仿宋" w:cs="仿宋"/>
                <w:b w:val="0"/>
                <w:bCs w:val="0"/>
                <w:sz w:val="24"/>
                <w:szCs w:val="24"/>
                <w:highlight w:val="none"/>
                <w:lang w:eastAsia="zh-CN"/>
              </w:rPr>
              <w:t>黄女士</w:t>
            </w:r>
            <w:r>
              <w:rPr>
                <w:rFonts w:hint="eastAsia" w:ascii="仿宋" w:hAnsi="仿宋" w:eastAsia="仿宋" w:cs="仿宋"/>
                <w:b w:val="0"/>
                <w:bCs w:val="0"/>
                <w:sz w:val="24"/>
                <w:szCs w:val="24"/>
                <w:highlight w:val="none"/>
              </w:rPr>
              <w:t xml:space="preserve"> 联系电话：</w:t>
            </w:r>
            <w:r>
              <w:rPr>
                <w:rFonts w:hint="eastAsia" w:ascii="仿宋" w:hAnsi="仿宋" w:eastAsia="仿宋" w:cs="仿宋"/>
                <w:b w:val="0"/>
                <w:bCs w:val="0"/>
                <w:sz w:val="24"/>
                <w:szCs w:val="24"/>
                <w:highlight w:val="none"/>
                <w:lang w:eastAsia="zh-CN"/>
              </w:rPr>
              <w:t>17609081174）</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仿宋" w:hAnsi="仿宋" w:eastAsia="仿宋" w:cs="仿宋"/>
                <w:b w:val="0"/>
                <w:bCs w:val="0"/>
                <w:sz w:val="24"/>
                <w:szCs w:val="24"/>
                <w:highlight w:val="none"/>
              </w:rPr>
              <w:t>。</w:t>
            </w:r>
          </w:p>
          <w:p w14:paraId="5DE4F790">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3A560C60">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（7）具体操作指南：详见政采云平台“服务中心-帮助文档-项目采购-操作流程-电子招投标-政府采购项目电子交易管理操作指南-供应商”。</w:t>
            </w:r>
          </w:p>
          <w:p w14:paraId="06179C91">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（8）供应商在进行上述操作时，如遇技术问题可登录政采云（https://</w:t>
            </w: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"http://www.zcygov.cn/" \h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www.zcygov.cn/</w:t>
            </w:r>
            <w:r>
              <w:rPr>
                <w:rFonts w:hint="eastAsia" w:ascii="仿宋" w:hAnsi="仿宋" w:eastAsia="仿宋" w:cs="仿宋"/>
                <w:b w:val="0"/>
                <w:bCs w:val="0"/>
                <w:sz w:val="24"/>
                <w:szCs w:val="24"/>
                <w:highlight w:val="none"/>
              </w:rPr>
              <w:fldChar w:fldCharType="end"/>
            </w:r>
            <w:r>
              <w:rPr>
                <w:rFonts w:hint="eastAsia" w:ascii="仿宋" w:hAnsi="仿宋" w:eastAsia="仿宋" w:cs="仿宋"/>
                <w:b w:val="0"/>
                <w:bCs w:val="0"/>
                <w:sz w:val="24"/>
                <w:szCs w:val="24"/>
                <w:highlight w:val="none"/>
              </w:rPr>
              <w:t xml:space="preserve">），点击右侧咨询小采，获取采小蜜智能服务管家帮助，或拨打政采云服务热线 </w:t>
            </w:r>
            <w:r>
              <w:rPr>
                <w:rFonts w:hint="eastAsia" w:ascii="仿宋" w:hAnsi="仿宋" w:eastAsia="仿宋" w:cs="仿宋"/>
                <w:b w:val="0"/>
                <w:bCs w:val="0"/>
                <w:sz w:val="24"/>
                <w:szCs w:val="24"/>
                <w:highlight w:val="none"/>
                <w:lang w:eastAsia="zh-CN"/>
              </w:rPr>
              <w:t>95763</w:t>
            </w:r>
            <w:r>
              <w:rPr>
                <w:rFonts w:hint="eastAsia" w:ascii="仿宋" w:hAnsi="仿宋" w:eastAsia="仿宋" w:cs="仿宋"/>
                <w:b w:val="0"/>
                <w:bCs w:val="0"/>
                <w:sz w:val="24"/>
                <w:szCs w:val="24"/>
                <w:highlight w:val="none"/>
              </w:rPr>
              <w:t xml:space="preserve"> 获取热线服务帮助。</w:t>
            </w:r>
          </w:p>
          <w:p w14:paraId="297F9388">
            <w:pPr>
              <w:pStyle w:val="5"/>
              <w:adjustRightInd/>
              <w:snapToGrid w:val="0"/>
              <w:spacing w:line="290" w:lineRule="exact"/>
              <w:ind w:left="0" w:leftChars="0" w:firstLine="0" w:firstLineChars="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温馨提醒：供应商应提前上传，以便在上传时遇到技术问题，有充足的时间请教平台的技术人员。</w:t>
            </w:r>
          </w:p>
          <w:p w14:paraId="0B36100A">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14:paraId="298E09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249" w:type="pct"/>
            <w:vAlign w:val="center"/>
          </w:tcPr>
          <w:p w14:paraId="41053D80">
            <w:pPr>
              <w:snapToGrid w:val="0"/>
              <w:spacing w:line="290" w:lineRule="exact"/>
              <w:rPr>
                <w:rFonts w:hint="eastAsia" w:ascii="仿宋" w:hAnsi="仿宋" w:eastAsia="仿宋" w:cs="仿宋"/>
                <w:b/>
                <w:sz w:val="24"/>
                <w:szCs w:val="24"/>
                <w:highlight w:val="none"/>
                <w:lang w:val="en-US" w:eastAsia="zh-CN"/>
              </w:rPr>
            </w:pPr>
            <w:bookmarkStart w:id="10" w:name="_Toc30705"/>
            <w:r>
              <w:rPr>
                <w:rFonts w:hint="eastAsia" w:ascii="仿宋" w:hAnsi="仿宋" w:eastAsia="仿宋" w:cs="仿宋"/>
                <w:b/>
                <w:sz w:val="24"/>
                <w:szCs w:val="24"/>
                <w:highlight w:val="none"/>
                <w:lang w:val="en-US" w:eastAsia="zh-CN"/>
              </w:rPr>
              <w:t>26</w:t>
            </w:r>
          </w:p>
        </w:tc>
        <w:tc>
          <w:tcPr>
            <w:tcW w:w="777" w:type="pct"/>
            <w:vAlign w:val="center"/>
          </w:tcPr>
          <w:p w14:paraId="6A625B4E">
            <w:pPr>
              <w:snapToGrid w:val="0"/>
              <w:spacing w:line="290" w:lineRule="exact"/>
              <w:ind w:firstLine="460" w:firstLineChars="192"/>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rPr>
              <w:t>备注</w:t>
            </w:r>
          </w:p>
        </w:tc>
        <w:tc>
          <w:tcPr>
            <w:tcW w:w="3973" w:type="pct"/>
          </w:tcPr>
          <w:p w14:paraId="5CF47D4B">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着重提醒各投标人注意，并认真查看</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中的每一个条款及要求，因误读</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而造成的后果，招标人概不负责。</w:t>
            </w:r>
          </w:p>
          <w:p w14:paraId="2836F7C4">
            <w:pPr>
              <w:snapToGrid w:val="0"/>
              <w:spacing w:line="29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2、投标人使用相同IP地址的，一经发现，相关部门将进一步核实，查实后按串通投标处理。</w:t>
            </w:r>
          </w:p>
          <w:p w14:paraId="5AE95EEF">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为保证本项目质量，良好的售后服务，最</w:t>
            </w:r>
            <w:r>
              <w:rPr>
                <w:rFonts w:hint="eastAsia" w:ascii="仿宋" w:hAnsi="仿宋" w:eastAsia="仿宋" w:cs="仿宋"/>
                <w:sz w:val="24"/>
                <w:szCs w:val="24"/>
                <w:highlight w:val="none"/>
                <w:lang w:eastAsia="zh-CN"/>
              </w:rPr>
              <w:t>高</w:t>
            </w:r>
            <w:r>
              <w:rPr>
                <w:rFonts w:hint="eastAsia" w:ascii="仿宋" w:hAnsi="仿宋" w:eastAsia="仿宋" w:cs="仿宋"/>
                <w:sz w:val="24"/>
                <w:szCs w:val="24"/>
                <w:highlight w:val="none"/>
              </w:rPr>
              <w:t>报价不作为中标的唯一依据。</w:t>
            </w:r>
          </w:p>
          <w:p w14:paraId="75989B39">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采购人若发现成交候选供应商在投标过程中提供虚假证明文件，故意隐瞒公司不良信誉和财务状况，以及其他可能对合同圆满履行造成风险的因素等，则按规定取消其成交资格，监管部门依法进行处理。</w:t>
            </w:r>
          </w:p>
          <w:p w14:paraId="4C50370C">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其它：</w:t>
            </w:r>
          </w:p>
          <w:p w14:paraId="0F21840A">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（1）投标企业严格遵守国家的法律法规及招标纪律，无违法违纪及商业贿赂行为。</w:t>
            </w:r>
          </w:p>
          <w:p w14:paraId="742868BE">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（2）不管投标结果如何，供应商均应自行承担投标所需一切费用。</w:t>
            </w:r>
          </w:p>
          <w:p w14:paraId="6FC8D4F3">
            <w:pPr>
              <w:snapToGrid w:val="0"/>
              <w:spacing w:line="29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）磋商响应文件中的报价为一次报价，各投标单位进行二次报价（磋商），采购人也可以根据磋商情况进行多轮报价，投标报价评审以最终报价为准，二次报价不得</w:t>
            </w:r>
            <w:r>
              <w:rPr>
                <w:rFonts w:hint="eastAsia" w:ascii="仿宋" w:hAnsi="仿宋" w:eastAsia="仿宋" w:cs="仿宋"/>
                <w:sz w:val="24"/>
                <w:szCs w:val="24"/>
                <w:highlight w:val="none"/>
                <w:lang w:eastAsia="zh-CN"/>
              </w:rPr>
              <w:t>低</w:t>
            </w:r>
            <w:r>
              <w:rPr>
                <w:rFonts w:hint="eastAsia" w:ascii="仿宋" w:hAnsi="仿宋" w:eastAsia="仿宋" w:cs="仿宋"/>
                <w:sz w:val="24"/>
                <w:szCs w:val="24"/>
                <w:highlight w:val="none"/>
              </w:rPr>
              <w:t>于一次报价</w:t>
            </w:r>
            <w:r>
              <w:rPr>
                <w:rFonts w:hint="eastAsia" w:ascii="仿宋" w:hAnsi="仿宋" w:eastAsia="仿宋" w:cs="仿宋"/>
                <w:sz w:val="24"/>
                <w:szCs w:val="24"/>
                <w:highlight w:val="none"/>
                <w:lang w:eastAsia="zh-CN"/>
              </w:rPr>
              <w:t>，依次类推。</w:t>
            </w:r>
          </w:p>
          <w:p w14:paraId="734BAD2C">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磋商文件中如出现前后不一致情况，均以前附表内容为准。</w:t>
            </w:r>
          </w:p>
        </w:tc>
      </w:tr>
    </w:tbl>
    <w:p w14:paraId="4FEDD3E3">
      <w:pPr>
        <w:pageBreakBefore/>
        <w:spacing w:before="312" w:beforeLines="100" w:after="312" w:afterLines="100" w:line="440" w:lineRule="exact"/>
        <w:jc w:val="center"/>
        <w:outlineLvl w:val="1"/>
        <w:rPr>
          <w:rFonts w:hint="eastAsia" w:ascii="仿宋" w:hAnsi="仿宋" w:eastAsia="仿宋" w:cs="仿宋"/>
          <w:b/>
          <w:sz w:val="24"/>
          <w:szCs w:val="24"/>
          <w:highlight w:val="none"/>
        </w:rPr>
      </w:pPr>
      <w:bookmarkStart w:id="11" w:name="_Toc30211"/>
      <w:bookmarkStart w:id="12" w:name="_Toc29922"/>
      <w:r>
        <w:rPr>
          <w:rFonts w:hint="eastAsia" w:ascii="仿宋" w:hAnsi="仿宋" w:eastAsia="仿宋" w:cs="仿宋"/>
          <w:b/>
          <w:sz w:val="24"/>
          <w:szCs w:val="24"/>
          <w:highlight w:val="none"/>
        </w:rPr>
        <w:t>二、投标人须知</w:t>
      </w:r>
      <w:bookmarkEnd w:id="10"/>
      <w:bookmarkEnd w:id="11"/>
      <w:bookmarkEnd w:id="12"/>
    </w:p>
    <w:p w14:paraId="4EA288C7">
      <w:pPr>
        <w:spacing w:line="440" w:lineRule="exact"/>
        <w:jc w:val="center"/>
        <w:outlineLvl w:val="2"/>
        <w:rPr>
          <w:rFonts w:hint="eastAsia" w:ascii="仿宋" w:hAnsi="仿宋" w:eastAsia="仿宋" w:cs="仿宋"/>
          <w:sz w:val="24"/>
          <w:szCs w:val="24"/>
          <w:highlight w:val="none"/>
        </w:rPr>
      </w:pPr>
      <w:bookmarkStart w:id="13" w:name="_Toc83"/>
      <w:bookmarkStart w:id="14" w:name="_Toc25428"/>
      <w:bookmarkStart w:id="15" w:name="_Toc469495724"/>
      <w:r>
        <w:rPr>
          <w:rFonts w:hint="eastAsia" w:ascii="仿宋" w:hAnsi="仿宋" w:eastAsia="仿宋" w:cs="仿宋"/>
          <w:b/>
          <w:sz w:val="24"/>
          <w:szCs w:val="24"/>
          <w:highlight w:val="none"/>
        </w:rPr>
        <w:t>（一）总  则</w:t>
      </w:r>
      <w:bookmarkEnd w:id="13"/>
      <w:bookmarkEnd w:id="14"/>
      <w:bookmarkEnd w:id="15"/>
    </w:p>
    <w:p w14:paraId="1DE6441E">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1.项目概况</w:t>
      </w:r>
    </w:p>
    <w:p w14:paraId="0BEFB738">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1.1本次招标采购项目名称：见投标人须知前附表。</w:t>
      </w:r>
    </w:p>
    <w:p w14:paraId="294D475D">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项目编号：见投标人须知前附表。</w:t>
      </w:r>
    </w:p>
    <w:p w14:paraId="1B37466E">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招标人：见投标人须知前附表。</w:t>
      </w:r>
    </w:p>
    <w:p w14:paraId="6A0B6CD6">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供货期（服务周期）：见投标人须知前附表。</w:t>
      </w:r>
    </w:p>
    <w:p w14:paraId="4BA92C4F">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地点：见投标人须知前附表。</w:t>
      </w:r>
    </w:p>
    <w:p w14:paraId="1D6BA6D8">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1.2招标人及联系人: 见投标人须知前附表。</w:t>
      </w:r>
    </w:p>
    <w:p w14:paraId="6CF49E61">
      <w:pPr>
        <w:snapToGrid w:val="0"/>
        <w:spacing w:line="440" w:lineRule="exact"/>
        <w:ind w:firstLine="600" w:firstLineChars="2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代理机构及联系人: 见投标人须知前附表。</w:t>
      </w:r>
    </w:p>
    <w:p w14:paraId="2F5E856F">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1.3资金来源：见投标人须知前附表。</w:t>
      </w:r>
    </w:p>
    <w:p w14:paraId="66CB014F">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1.4本项目预算：见投标人须知前附表。</w:t>
      </w:r>
    </w:p>
    <w:p w14:paraId="1A5F0A40">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1.5本项目控制价：见投标人须知前附表。</w:t>
      </w:r>
    </w:p>
    <w:p w14:paraId="0276C9D8">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2.招标范围：</w:t>
      </w:r>
    </w:p>
    <w:p w14:paraId="478156DA">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2.1 采购内容：见投标人须知前附表。</w:t>
      </w:r>
    </w:p>
    <w:p w14:paraId="1A73276C">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 技术要求：详见采购文件第四章采购内容及技术要求。</w:t>
      </w:r>
    </w:p>
    <w:p w14:paraId="35164C08">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3.标包划分：</w:t>
      </w:r>
    </w:p>
    <w:p w14:paraId="0C7AF557">
      <w:pPr>
        <w:snapToGrid w:val="0"/>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本项目划分：</w:t>
      </w:r>
      <w:r>
        <w:rPr>
          <w:rFonts w:hint="eastAsia" w:ascii="仿宋" w:hAnsi="仿宋" w:eastAsia="仿宋" w:cs="仿宋"/>
          <w:sz w:val="24"/>
          <w:szCs w:val="24"/>
          <w:highlight w:val="none"/>
          <w:u w:val="single"/>
        </w:rPr>
        <w:t xml:space="preserve"> 1 </w:t>
      </w:r>
      <w:r>
        <w:rPr>
          <w:rFonts w:hint="eastAsia" w:ascii="仿宋" w:hAnsi="仿宋" w:eastAsia="仿宋" w:cs="仿宋"/>
          <w:sz w:val="24"/>
          <w:szCs w:val="24"/>
          <w:highlight w:val="none"/>
        </w:rPr>
        <w:t xml:space="preserve"> 个标包</w:t>
      </w:r>
      <w:r>
        <w:rPr>
          <w:rFonts w:hint="eastAsia" w:ascii="仿宋" w:hAnsi="仿宋" w:eastAsia="仿宋" w:cs="仿宋"/>
          <w:kern w:val="0"/>
          <w:sz w:val="24"/>
          <w:szCs w:val="24"/>
          <w:highlight w:val="none"/>
        </w:rPr>
        <w:t>。</w:t>
      </w:r>
    </w:p>
    <w:p w14:paraId="1F0AC9EB">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4.招标方式：</w:t>
      </w:r>
    </w:p>
    <w:p w14:paraId="3DB075D4">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本项目招标方式：见投标人须知前附表。</w:t>
      </w:r>
    </w:p>
    <w:p w14:paraId="07B8BA8A">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5.计价方式：</w:t>
      </w:r>
    </w:p>
    <w:p w14:paraId="7E250ACE">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本次招标项目合同采用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具体以实际签订为准</w:t>
      </w:r>
      <w:r>
        <w:rPr>
          <w:rFonts w:hint="eastAsia" w:ascii="仿宋" w:hAnsi="仿宋" w:eastAsia="仿宋" w:cs="仿宋"/>
          <w:sz w:val="24"/>
          <w:szCs w:val="24"/>
          <w:highlight w:val="none"/>
          <w:u w:val="single"/>
        </w:rPr>
        <w:t xml:space="preserve"> 。</w:t>
      </w:r>
    </w:p>
    <w:p w14:paraId="62B9DFEC">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6.评标办法：</w:t>
      </w:r>
    </w:p>
    <w:p w14:paraId="751B63BC">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本次招标评标采用</w:t>
      </w:r>
      <w:r>
        <w:rPr>
          <w:rFonts w:hint="eastAsia" w:ascii="仿宋" w:hAnsi="仿宋" w:eastAsia="仿宋" w:cs="仿宋"/>
          <w:sz w:val="24"/>
          <w:szCs w:val="24"/>
          <w:highlight w:val="none"/>
          <w:u w:val="single"/>
        </w:rPr>
        <w:t xml:space="preserve">  综合评分法 </w:t>
      </w:r>
      <w:r>
        <w:rPr>
          <w:rFonts w:hint="eastAsia" w:ascii="仿宋" w:hAnsi="仿宋" w:eastAsia="仿宋" w:cs="仿宋"/>
          <w:sz w:val="24"/>
          <w:szCs w:val="24"/>
          <w:highlight w:val="none"/>
        </w:rPr>
        <w:t>（详见第三章评标办法）</w:t>
      </w:r>
    </w:p>
    <w:p w14:paraId="22331043">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7.投标人资格：</w:t>
      </w:r>
    </w:p>
    <w:p w14:paraId="5BE8BE46">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7.1参与采购活动的投标人必须是满足《中华人民共和国政府采购法》规定条件的法人、其他组织或者自然人：</w:t>
      </w:r>
    </w:p>
    <w:p w14:paraId="4A5B80EE">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7.2由于政府采购项目的差异性，投标人在参与具体政府采购项目活动时，应仔细阅读该项目的资质要求,具体见投标人须知前附表。</w:t>
      </w:r>
    </w:p>
    <w:p w14:paraId="5B97FE08">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0B6EEAE2">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7.4投标人必须确保自己在信息库中注册的信息真实、准确，并保证投标文件中的有关信息与库中的信息相一致。否则，投标人因此蒙受损失，招标人概不负责。</w:t>
      </w:r>
    </w:p>
    <w:p w14:paraId="5492E2B9">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8. 投标费用</w:t>
      </w:r>
    </w:p>
    <w:p w14:paraId="4A122483">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投标人准备和参加投标活动发生的费用自理。</w:t>
      </w:r>
    </w:p>
    <w:p w14:paraId="1DB3F4B8">
      <w:pPr>
        <w:spacing w:line="440" w:lineRule="exact"/>
        <w:ind w:firstLine="480" w:firstLineChars="200"/>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9</w:t>
      </w:r>
      <w:r>
        <w:rPr>
          <w:rFonts w:hint="eastAsia" w:ascii="仿宋" w:hAnsi="仿宋" w:eastAsia="仿宋" w:cs="仿宋"/>
          <w:b/>
          <w:sz w:val="24"/>
          <w:szCs w:val="24"/>
          <w:highlight w:val="none"/>
        </w:rPr>
        <w:t>. 联合投标</w:t>
      </w:r>
      <w:r>
        <w:rPr>
          <w:rFonts w:hint="eastAsia" w:ascii="仿宋" w:hAnsi="仿宋" w:eastAsia="仿宋" w:cs="仿宋"/>
          <w:b/>
          <w:sz w:val="24"/>
          <w:szCs w:val="24"/>
          <w:highlight w:val="none"/>
          <w:lang w:eastAsia="zh-CN"/>
        </w:rPr>
        <w:t>（本项目不接受</w:t>
      </w:r>
      <w:r>
        <w:rPr>
          <w:rFonts w:hint="eastAsia" w:ascii="仿宋" w:hAnsi="仿宋" w:eastAsia="仿宋" w:cs="仿宋"/>
          <w:b/>
          <w:sz w:val="24"/>
          <w:szCs w:val="24"/>
          <w:highlight w:val="none"/>
          <w:lang w:val="en-US" w:eastAsia="zh-CN"/>
        </w:rPr>
        <w:t>联合体</w:t>
      </w:r>
      <w:r>
        <w:rPr>
          <w:rFonts w:hint="eastAsia" w:ascii="仿宋" w:hAnsi="仿宋" w:eastAsia="仿宋" w:cs="仿宋"/>
          <w:b/>
          <w:sz w:val="24"/>
          <w:szCs w:val="24"/>
          <w:highlight w:val="none"/>
          <w:lang w:eastAsia="zh-CN"/>
        </w:rPr>
        <w:t>）</w:t>
      </w:r>
    </w:p>
    <w:p w14:paraId="4C040471">
      <w:pPr>
        <w:spacing w:line="440" w:lineRule="exact"/>
        <w:ind w:firstLine="470" w:firstLineChars="196"/>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0</w:t>
      </w:r>
      <w:r>
        <w:rPr>
          <w:rFonts w:hint="eastAsia" w:ascii="仿宋" w:hAnsi="仿宋" w:eastAsia="仿宋" w:cs="仿宋"/>
          <w:b/>
          <w:sz w:val="24"/>
          <w:szCs w:val="24"/>
          <w:highlight w:val="none"/>
        </w:rPr>
        <w:t>.招标代理费</w:t>
      </w:r>
    </w:p>
    <w:p w14:paraId="06F77676">
      <w:pPr>
        <w:spacing w:line="440" w:lineRule="exact"/>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以双方协议价为准</w:t>
      </w:r>
    </w:p>
    <w:p w14:paraId="1F533AC6">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.投标人应注意的事项</w:t>
      </w:r>
    </w:p>
    <w:p w14:paraId="12011F5F">
      <w:pPr>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1投标人一旦按规定参加投标，即被认为接受了本采购文件中的所有条件和规定。投标人必须严格按采购文件的要求编制投标文件，投标文件宜编制页码和目录，以便评委审核。否则，由此产生的一切后果由投标人承担。</w:t>
      </w:r>
    </w:p>
    <w:p w14:paraId="1B8ABF91">
      <w:pPr>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.2 投标人对采购内容中规定的技术参数、规格等要求必须完全响应或优于采购文件中的要求。</w:t>
      </w:r>
    </w:p>
    <w:p w14:paraId="3BD53B4B">
      <w:pPr>
        <w:spacing w:line="440" w:lineRule="exact"/>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单位负责人为同一人或者存在直接控股、管理关系的不同供应商，不得参加同一合同项下的政府采购活动。</w:t>
      </w:r>
      <w:r>
        <w:rPr>
          <w:rFonts w:hint="eastAsia" w:ascii="仿宋" w:hAnsi="仿宋" w:eastAsia="仿宋" w:cs="仿宋"/>
          <w:sz w:val="24"/>
          <w:szCs w:val="24"/>
          <w:highlight w:val="none"/>
        </w:rPr>
        <w:t>为采购项目提供整体设计、规范编制或者项目管理、监理、检测等服务的供应商，不得再参加该采购项目的其他采购活动。</w:t>
      </w:r>
    </w:p>
    <w:p w14:paraId="11315FB6">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2.</w:t>
      </w:r>
      <w:r>
        <w:rPr>
          <w:rFonts w:hint="eastAsia" w:ascii="仿宋" w:hAnsi="仿宋" w:eastAsia="仿宋" w:cs="仿宋"/>
          <w:b/>
          <w:bCs w:val="0"/>
          <w:sz w:val="24"/>
          <w:szCs w:val="24"/>
          <w:highlight w:val="none"/>
        </w:rPr>
        <w:t>本项目只接受成为新疆维吾尔自治区政府采购网正式注册入库并完成CA数字证书申领供应商参与投标。因未注册入库、未办理CA数字证书等原因造成无法投标或投标失败等后果由供应商自行承担。</w:t>
      </w:r>
    </w:p>
    <w:p w14:paraId="71A53129">
      <w:pPr>
        <w:wordWrap w:val="0"/>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b/>
          <w:bCs w:val="0"/>
          <w:sz w:val="24"/>
          <w:szCs w:val="24"/>
          <w:highlight w:val="none"/>
          <w:lang w:val="en-US" w:eastAsia="zh-CN"/>
        </w:rPr>
        <w:t>13.</w:t>
      </w:r>
      <w:r>
        <w:rPr>
          <w:rFonts w:hint="eastAsia" w:ascii="仿宋" w:hAnsi="仿宋" w:eastAsia="仿宋" w:cs="仿宋"/>
          <w:b/>
          <w:bCs w:val="0"/>
          <w:sz w:val="24"/>
          <w:szCs w:val="24"/>
          <w:highlight w:val="none"/>
        </w:rPr>
        <w:t>投标人被视为充分熟悉本招标项目所在地的与履行合同有关的各种情况，包括但不限于：</w:t>
      </w:r>
    </w:p>
    <w:p w14:paraId="7F27AE3A">
      <w:pPr>
        <w:spacing w:line="400" w:lineRule="exact"/>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（1）国家对本次投标货物和服务的生产、安装调试、验收、维修等有关法律、法规及行业管理标准；</w:t>
      </w:r>
    </w:p>
    <w:p w14:paraId="1DDB85D1">
      <w:pPr>
        <w:spacing w:line="400" w:lineRule="exact"/>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（2）本地区有关管理部门的相关规定；</w:t>
      </w:r>
    </w:p>
    <w:p w14:paraId="373F0158">
      <w:pPr>
        <w:spacing w:line="400" w:lineRule="exact"/>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（3）招标人的相关场地情况、基础建设、电力供应情况及相关设计标准。</w:t>
      </w:r>
    </w:p>
    <w:p w14:paraId="1CE71538">
      <w:pPr>
        <w:spacing w:line="400" w:lineRule="exact"/>
        <w:ind w:firstLine="360" w:firstLineChars="150"/>
        <w:rPr>
          <w:rFonts w:hint="eastAsia" w:ascii="仿宋" w:hAnsi="仿宋" w:eastAsia="仿宋" w:cs="仿宋"/>
          <w:b/>
          <w:sz w:val="24"/>
          <w:szCs w:val="24"/>
          <w:highlight w:val="none"/>
        </w:rPr>
      </w:pPr>
      <w:r>
        <w:rPr>
          <w:rFonts w:hint="eastAsia" w:ascii="仿宋" w:hAnsi="仿宋" w:eastAsia="仿宋" w:cs="仿宋"/>
          <w:bCs/>
          <w:sz w:val="24"/>
          <w:szCs w:val="24"/>
          <w:highlight w:val="none"/>
        </w:rPr>
        <w:t>本采购文件不再对上述情况进行描述。</w:t>
      </w:r>
      <w:bookmarkStart w:id="16" w:name="_Toc469495725"/>
      <w:bookmarkStart w:id="17" w:name="_Toc32281"/>
      <w:bookmarkStart w:id="18" w:name="_Toc13107"/>
    </w:p>
    <w:p w14:paraId="400F67A2">
      <w:pPr>
        <w:spacing w:before="312" w:beforeLines="100" w:after="312" w:afterLines="100" w:line="440" w:lineRule="exact"/>
        <w:jc w:val="center"/>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bookmarkEnd w:id="16"/>
      <w:r>
        <w:rPr>
          <w:rFonts w:hint="eastAsia" w:ascii="仿宋" w:hAnsi="仿宋" w:eastAsia="仿宋" w:cs="仿宋"/>
          <w:b/>
          <w:sz w:val="24"/>
          <w:szCs w:val="24"/>
          <w:highlight w:val="none"/>
        </w:rPr>
        <w:t>磋商文件</w:t>
      </w:r>
      <w:bookmarkEnd w:id="17"/>
      <w:bookmarkEnd w:id="18"/>
    </w:p>
    <w:p w14:paraId="0FA38703">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4</w:t>
      </w:r>
      <w:r>
        <w:rPr>
          <w:rFonts w:hint="eastAsia" w:ascii="仿宋" w:hAnsi="仿宋" w:eastAsia="仿宋" w:cs="仿宋"/>
          <w:b/>
          <w:sz w:val="24"/>
          <w:szCs w:val="24"/>
          <w:highlight w:val="none"/>
        </w:rPr>
        <w:t>. 采购文件的编制依据</w:t>
      </w:r>
    </w:p>
    <w:p w14:paraId="50A964E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根据《中华人民共和国政府采购法》、《政府采购货物和服务招标投标管理办法》和《中华人民共和国</w:t>
      </w:r>
      <w:r>
        <w:rPr>
          <w:rFonts w:hint="eastAsia" w:ascii="仿宋" w:hAnsi="仿宋" w:eastAsia="仿宋" w:cs="仿宋"/>
          <w:sz w:val="24"/>
          <w:szCs w:val="24"/>
          <w:highlight w:val="none"/>
          <w:lang w:val="en-US" w:eastAsia="zh-CN"/>
        </w:rPr>
        <w:t>民法典</w:t>
      </w:r>
      <w:r>
        <w:rPr>
          <w:rFonts w:hint="eastAsia" w:ascii="仿宋" w:hAnsi="仿宋" w:eastAsia="仿宋" w:cs="仿宋"/>
          <w:sz w:val="24"/>
          <w:szCs w:val="24"/>
          <w:highlight w:val="none"/>
        </w:rPr>
        <w:t>》</w:t>
      </w:r>
      <w:r>
        <w:rPr>
          <w:rFonts w:hint="eastAsia" w:ascii="仿宋" w:hAnsi="仿宋" w:eastAsia="仿宋" w:cs="仿宋"/>
          <w:spacing w:val="-2"/>
          <w:sz w:val="24"/>
          <w:szCs w:val="24"/>
          <w:highlight w:val="none"/>
        </w:rPr>
        <w:t>等相关法律法规和规章及部、省、市级规范性文件的规定，编制本采购文件。</w:t>
      </w:r>
    </w:p>
    <w:p w14:paraId="48AFDFAA">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 磋商文件的组成</w:t>
      </w:r>
    </w:p>
    <w:p w14:paraId="14A3D4B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 磋商文件包括内容：</w:t>
      </w:r>
    </w:p>
    <w:p w14:paraId="335AAC72">
      <w:pPr>
        <w:spacing w:line="440" w:lineRule="exact"/>
        <w:ind w:firstLine="1440" w:firstLineChars="6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第一章  </w:t>
      </w:r>
      <w:r>
        <w:rPr>
          <w:rFonts w:hint="eastAsia" w:ascii="仿宋" w:hAnsi="仿宋" w:eastAsia="仿宋" w:cs="仿宋"/>
          <w:bCs/>
          <w:sz w:val="24"/>
          <w:szCs w:val="24"/>
          <w:highlight w:val="none"/>
        </w:rPr>
        <w:t>磋商</w:t>
      </w:r>
      <w:r>
        <w:rPr>
          <w:rFonts w:hint="eastAsia" w:ascii="仿宋" w:hAnsi="仿宋" w:eastAsia="仿宋" w:cs="仿宋"/>
          <w:sz w:val="24"/>
          <w:szCs w:val="24"/>
          <w:highlight w:val="none"/>
        </w:rPr>
        <w:t>公告</w:t>
      </w:r>
    </w:p>
    <w:p w14:paraId="26F2D1CF">
      <w:pPr>
        <w:spacing w:line="440" w:lineRule="exact"/>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第二章  投标须知</w:t>
      </w:r>
    </w:p>
    <w:p w14:paraId="29E4CEE3">
      <w:pPr>
        <w:spacing w:line="440" w:lineRule="exact"/>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第三章  评标办法</w:t>
      </w:r>
    </w:p>
    <w:p w14:paraId="6DE4F1FE">
      <w:pPr>
        <w:spacing w:line="440" w:lineRule="exact"/>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第四章  采购内容及技术要求</w:t>
      </w:r>
    </w:p>
    <w:p w14:paraId="15D86F12">
      <w:pPr>
        <w:spacing w:line="440" w:lineRule="exact"/>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第五章  合同条款及格式</w:t>
      </w:r>
    </w:p>
    <w:p w14:paraId="1F8D34BA">
      <w:pPr>
        <w:spacing w:line="440" w:lineRule="exact"/>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第六章  投标文件格式文本</w:t>
      </w:r>
    </w:p>
    <w:p w14:paraId="504063B2">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.2 除16.1内容外，招标答疑亦为采购文件的组成部分，对招标人和投标人起约束作用。</w:t>
      </w:r>
    </w:p>
    <w:p w14:paraId="5D6A0244">
      <w:pPr>
        <w:pStyle w:val="12"/>
        <w:wordWrap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.3投标人应仔细阅读和检查采购文件的全部内容。如发现缺页或附件不全，应及时向招标人提出，以便补齐。如有疑问，投标人应在以书面形式一次性向采购人和采购代理机构提出同一环节的质疑。</w:t>
      </w:r>
    </w:p>
    <w:p w14:paraId="797DE547">
      <w:pPr>
        <w:wordWrap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42CAE537">
      <w:pPr>
        <w:spacing w:line="440" w:lineRule="exact"/>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 磋商文件的修改、补充、解释</w:t>
      </w:r>
    </w:p>
    <w:p w14:paraId="045ED892">
      <w:pPr>
        <w:wordWrap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.1磋商文件发出后，招标人在规定的投标截止时间前可对采购文件进行必要的修改和补充，并以更正公告形式在政采云平台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14:paraId="23055F70">
      <w:pPr>
        <w:wordWrap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.2 采购代理机构可视采购具体情况对已发出的采购文件进行必要的澄清、修改或者补充。澄清、修改或者补充的内容可能影响投标文件编制的，应当在投标截止时间至少5日前，在原公告发布媒体上发布澄清公告，澄清或者修改的内容为采购文件的组成部分；不足5日的，应当顺延提交投标文件的截止时间。       </w:t>
      </w:r>
    </w:p>
    <w:p w14:paraId="63545A2A">
      <w:pPr>
        <w:wordWrap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 xml:space="preserve">.3 </w:t>
      </w:r>
      <w:r>
        <w:rPr>
          <w:rFonts w:hint="eastAsia" w:ascii="仿宋" w:hAnsi="仿宋" w:eastAsia="仿宋" w:cs="仿宋"/>
          <w:sz w:val="24"/>
          <w:szCs w:val="24"/>
          <w:highlight w:val="none"/>
        </w:rPr>
        <w:t>供应商在规定的时间内未对采购文件提出疑问、质疑或要求澄清的，将视其为无异议。</w:t>
      </w:r>
    </w:p>
    <w:p w14:paraId="49775C64">
      <w:pPr>
        <w:spacing w:line="400" w:lineRule="exact"/>
        <w:ind w:firstLine="240" w:firstLineChars="1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 xml:space="preserve">.4 磋商文件的解释 </w:t>
      </w:r>
    </w:p>
    <w:p w14:paraId="3705635E">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本磋商文件由招标人（或其委托的招标代理机构）负责解释。</w:t>
      </w:r>
    </w:p>
    <w:p w14:paraId="52BDF399">
      <w:pPr>
        <w:spacing w:line="4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1</w:t>
      </w:r>
      <w:r>
        <w:rPr>
          <w:rFonts w:hint="eastAsia" w:ascii="仿宋" w:hAnsi="仿宋" w:eastAsia="仿宋" w:cs="仿宋"/>
          <w:b/>
          <w:sz w:val="24"/>
          <w:szCs w:val="24"/>
          <w:highlight w:val="none"/>
          <w:lang w:val="en-US" w:eastAsia="zh-CN"/>
        </w:rPr>
        <w:t>7</w:t>
      </w:r>
      <w:r>
        <w:rPr>
          <w:rFonts w:hint="eastAsia" w:ascii="仿宋" w:hAnsi="仿宋" w:eastAsia="仿宋" w:cs="仿宋"/>
          <w:b/>
          <w:sz w:val="24"/>
          <w:szCs w:val="24"/>
          <w:highlight w:val="none"/>
        </w:rPr>
        <w:t>. 磋商文件的发出</w:t>
      </w:r>
    </w:p>
    <w:p w14:paraId="17540519">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磋商文件、磋商文件的澄清、修改、补充及招标答疑等均应报相关部门备案后，方可发出。</w:t>
      </w:r>
    </w:p>
    <w:p w14:paraId="18CF1FAF">
      <w:pPr>
        <w:spacing w:line="440" w:lineRule="exact"/>
        <w:ind w:firstLine="319" w:firstLineChars="133"/>
        <w:rPr>
          <w:rFonts w:hint="eastAsia" w:ascii="仿宋" w:hAnsi="仿宋" w:eastAsia="仿宋" w:cs="仿宋"/>
          <w:sz w:val="24"/>
          <w:szCs w:val="24"/>
          <w:highlight w:val="none"/>
        </w:rPr>
      </w:pPr>
      <w:bookmarkStart w:id="19" w:name="_Toc469495726"/>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 xml:space="preserve">. </w:t>
      </w:r>
      <w:r>
        <w:rPr>
          <w:rFonts w:hint="eastAsia" w:ascii="仿宋" w:hAnsi="仿宋" w:eastAsia="仿宋" w:cs="仿宋"/>
          <w:sz w:val="24"/>
          <w:szCs w:val="24"/>
          <w:highlight w:val="none"/>
        </w:rPr>
        <w:t>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692A410D">
      <w:pPr>
        <w:spacing w:line="40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采购文件中应明确样品送检方式、检测费用支付方法、投标人在规定时间内无法提供第三方权威检测机构检测报告的处理方式。（采购人根据项目需求按上述要求自行描述）</w:t>
      </w:r>
    </w:p>
    <w:p w14:paraId="088AE70F">
      <w:pPr>
        <w:spacing w:before="312" w:beforeLines="100" w:after="312" w:afterLines="100" w:line="440" w:lineRule="exact"/>
        <w:jc w:val="center"/>
        <w:outlineLvl w:val="2"/>
        <w:rPr>
          <w:rFonts w:hint="eastAsia" w:ascii="仿宋" w:hAnsi="仿宋" w:eastAsia="仿宋" w:cs="仿宋"/>
          <w:b/>
          <w:sz w:val="24"/>
          <w:szCs w:val="24"/>
          <w:highlight w:val="none"/>
        </w:rPr>
      </w:pPr>
      <w:bookmarkStart w:id="20" w:name="_Toc31024"/>
      <w:bookmarkStart w:id="21" w:name="_Toc31824"/>
      <w:r>
        <w:rPr>
          <w:rFonts w:hint="eastAsia" w:ascii="仿宋" w:hAnsi="仿宋" w:eastAsia="仿宋" w:cs="仿宋"/>
          <w:b/>
          <w:sz w:val="24"/>
          <w:szCs w:val="24"/>
          <w:highlight w:val="none"/>
        </w:rPr>
        <w:t>（三）响应文件的编制</w:t>
      </w:r>
      <w:bookmarkEnd w:id="19"/>
      <w:bookmarkEnd w:id="20"/>
      <w:bookmarkEnd w:id="21"/>
    </w:p>
    <w:p w14:paraId="4DB4A1F9">
      <w:pPr>
        <w:spacing w:line="440" w:lineRule="exact"/>
        <w:ind w:firstLine="348" w:firstLineChars="145"/>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19</w:t>
      </w:r>
      <w:r>
        <w:rPr>
          <w:rFonts w:hint="eastAsia" w:ascii="仿宋" w:hAnsi="仿宋" w:eastAsia="仿宋" w:cs="仿宋"/>
          <w:b/>
          <w:sz w:val="24"/>
          <w:szCs w:val="24"/>
          <w:highlight w:val="none"/>
        </w:rPr>
        <w:t>. 投标的语言及度量衡单位</w:t>
      </w:r>
    </w:p>
    <w:p w14:paraId="5F944BE3">
      <w:pPr>
        <w:spacing w:line="440" w:lineRule="exact"/>
        <w:ind w:firstLine="324" w:firstLineChars="13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25996A08">
      <w:pPr>
        <w:spacing w:line="440" w:lineRule="exact"/>
        <w:ind w:firstLine="324" w:firstLineChars="13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.2除采购文件中另有规定外，投标书所使用的度量衡均须采用法定计量单位。</w:t>
      </w:r>
    </w:p>
    <w:p w14:paraId="61567D3F">
      <w:pPr>
        <w:spacing w:line="400" w:lineRule="exact"/>
        <w:ind w:firstLine="235" w:firstLineChars="98"/>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r>
        <w:rPr>
          <w:rFonts w:hint="eastAsia" w:ascii="仿宋" w:hAnsi="仿宋" w:eastAsia="仿宋" w:cs="仿宋"/>
          <w:b/>
          <w:sz w:val="24"/>
          <w:szCs w:val="24"/>
          <w:highlight w:val="none"/>
          <w:lang w:val="en-US" w:eastAsia="zh-CN"/>
        </w:rPr>
        <w:t>0</w:t>
      </w:r>
      <w:r>
        <w:rPr>
          <w:rFonts w:hint="eastAsia" w:ascii="仿宋" w:hAnsi="仿宋" w:eastAsia="仿宋" w:cs="仿宋"/>
          <w:b/>
          <w:sz w:val="24"/>
          <w:szCs w:val="24"/>
          <w:highlight w:val="none"/>
        </w:rPr>
        <w:t>. 响应文件的组成</w:t>
      </w:r>
    </w:p>
    <w:p w14:paraId="269332FA">
      <w:pPr>
        <w:spacing w:line="400" w:lineRule="exact"/>
        <w:ind w:firstLine="477" w:firstLineChars="19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2</w:t>
      </w:r>
      <w:r>
        <w:rPr>
          <w:rFonts w:hint="eastAsia" w:ascii="仿宋" w:hAnsi="仿宋" w:eastAsia="仿宋" w:cs="仿宋"/>
          <w:b w:val="0"/>
          <w:bCs w:val="0"/>
          <w:sz w:val="24"/>
          <w:szCs w:val="24"/>
          <w:highlight w:val="none"/>
          <w:lang w:val="en-US" w:eastAsia="zh-CN"/>
        </w:rPr>
        <w:t>0</w:t>
      </w:r>
      <w:r>
        <w:rPr>
          <w:rFonts w:hint="eastAsia" w:ascii="仿宋" w:hAnsi="仿宋" w:eastAsia="仿宋" w:cs="仿宋"/>
          <w:b w:val="0"/>
          <w:bCs w:val="0"/>
          <w:sz w:val="24"/>
          <w:szCs w:val="24"/>
          <w:highlight w:val="none"/>
        </w:rPr>
        <w:t>.1资格证明文件</w:t>
      </w:r>
      <w:r>
        <w:rPr>
          <w:rFonts w:hint="eastAsia" w:ascii="仿宋" w:hAnsi="仿宋" w:eastAsia="仿宋" w:cs="仿宋"/>
          <w:b w:val="0"/>
          <w:bCs w:val="0"/>
          <w:sz w:val="24"/>
          <w:szCs w:val="24"/>
          <w:highlight w:val="none"/>
          <w:lang w:eastAsia="zh-CN"/>
        </w:rPr>
        <w:t>（包括但不限于）</w:t>
      </w:r>
    </w:p>
    <w:p w14:paraId="3EA5D4D4">
      <w:pPr>
        <w:spacing w:line="400" w:lineRule="exact"/>
        <w:ind w:firstLine="477" w:firstLineChars="199"/>
        <w:rPr>
          <w:rFonts w:hint="eastAsia" w:ascii="仿宋" w:hAnsi="仿宋" w:eastAsia="仿宋" w:cs="仿宋"/>
          <w:b w:val="0"/>
          <w:bCs w:val="0"/>
          <w:color w:val="auto"/>
          <w:sz w:val="24"/>
          <w:szCs w:val="24"/>
          <w:highlight w:val="none"/>
        </w:rPr>
      </w:pPr>
      <w:r>
        <w:rPr>
          <w:rFonts w:hint="eastAsia" w:ascii="仿宋" w:hAnsi="仿宋" w:eastAsia="仿宋" w:cs="仿宋"/>
          <w:b w:val="0"/>
          <w:bCs w:val="0"/>
          <w:sz w:val="24"/>
          <w:szCs w:val="24"/>
          <w:highlight w:val="none"/>
        </w:rPr>
        <w:t>资格证明</w:t>
      </w:r>
      <w:r>
        <w:rPr>
          <w:rFonts w:hint="eastAsia" w:ascii="仿宋" w:hAnsi="仿宋" w:eastAsia="仿宋" w:cs="仿宋"/>
          <w:b w:val="0"/>
          <w:bCs w:val="0"/>
          <w:sz w:val="24"/>
          <w:szCs w:val="24"/>
          <w:highlight w:val="none"/>
          <w:lang w:eastAsia="zh-CN"/>
        </w:rPr>
        <w:t>文件</w:t>
      </w:r>
      <w:r>
        <w:rPr>
          <w:rFonts w:hint="eastAsia" w:ascii="仿宋" w:hAnsi="仿宋" w:eastAsia="仿宋" w:cs="仿宋"/>
          <w:b w:val="0"/>
          <w:bCs w:val="0"/>
          <w:sz w:val="24"/>
          <w:szCs w:val="24"/>
          <w:highlight w:val="none"/>
        </w:rPr>
        <w:t>是证明投标人有资格参加投标和中标后有能力履行合同的文件，这些文件应能满足招标的</w:t>
      </w:r>
      <w:r>
        <w:rPr>
          <w:rFonts w:hint="eastAsia" w:ascii="仿宋" w:hAnsi="仿宋" w:eastAsia="仿宋" w:cs="仿宋"/>
          <w:b w:val="0"/>
          <w:bCs w:val="0"/>
          <w:color w:val="auto"/>
          <w:sz w:val="24"/>
          <w:szCs w:val="24"/>
          <w:highlight w:val="none"/>
        </w:rPr>
        <w:t>要求，否则作无效投标处理。</w:t>
      </w:r>
    </w:p>
    <w:p w14:paraId="23F92BB2">
      <w:pPr>
        <w:pStyle w:val="44"/>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1）具备三证合一营业执照；</w:t>
      </w:r>
    </w:p>
    <w:p w14:paraId="5A330E06">
      <w:pPr>
        <w:pStyle w:val="44"/>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2）法定代表人（负责人）参加提供法定代表人（负责人）证明书，委托代理人参加提供法人代表（负责人）授权委托书；投标银行为非法人机构的，提供上一级银行授权委托书。</w:t>
      </w:r>
    </w:p>
    <w:p w14:paraId="0F7A64A5">
      <w:pPr>
        <w:pStyle w:val="44"/>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3）投标企业须提供投标人（被授权人）近6个月任意1个月的社保证明；</w:t>
      </w:r>
    </w:p>
    <w:p w14:paraId="0888C934">
      <w:pPr>
        <w:pStyle w:val="44"/>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4）未被列入信用中国网（</w:t>
      </w:r>
      <w:r>
        <w:rPr>
          <w:rFonts w:hint="eastAsia" w:ascii="仿宋" w:hAnsi="仿宋" w:eastAsia="仿宋" w:cs="仿宋"/>
          <w:b w:val="0"/>
          <w:bCs w:val="0"/>
          <w:color w:val="auto"/>
          <w:kern w:val="2"/>
          <w:sz w:val="24"/>
          <w:szCs w:val="24"/>
          <w:highlight w:val="none"/>
          <w:lang w:val="en-US" w:eastAsia="zh-CN" w:bidi="ar-SA"/>
        </w:rPr>
        <w:fldChar w:fldCharType="begin"/>
      </w:r>
      <w:r>
        <w:rPr>
          <w:rFonts w:hint="eastAsia" w:ascii="仿宋" w:hAnsi="仿宋" w:eastAsia="仿宋" w:cs="仿宋"/>
          <w:b w:val="0"/>
          <w:bCs w:val="0"/>
          <w:color w:val="auto"/>
          <w:kern w:val="2"/>
          <w:sz w:val="24"/>
          <w:szCs w:val="24"/>
          <w:highlight w:val="none"/>
          <w:lang w:val="en-US" w:eastAsia="zh-CN" w:bidi="ar-SA"/>
        </w:rPr>
        <w:instrText xml:space="preserve"> HYPERLINK "http://www.creditchina.gov.cn/" </w:instrText>
      </w:r>
      <w:r>
        <w:rPr>
          <w:rFonts w:hint="eastAsia" w:ascii="仿宋" w:hAnsi="仿宋" w:eastAsia="仿宋" w:cs="仿宋"/>
          <w:b w:val="0"/>
          <w:bCs w:val="0"/>
          <w:color w:val="auto"/>
          <w:kern w:val="2"/>
          <w:sz w:val="24"/>
          <w:szCs w:val="24"/>
          <w:highlight w:val="none"/>
          <w:lang w:val="en-US" w:eastAsia="zh-CN" w:bidi="ar-SA"/>
        </w:rPr>
        <w:fldChar w:fldCharType="separate"/>
      </w:r>
      <w:r>
        <w:rPr>
          <w:rFonts w:hint="eastAsia" w:ascii="仿宋" w:hAnsi="仿宋" w:eastAsia="仿宋" w:cs="仿宋"/>
          <w:b w:val="0"/>
          <w:bCs w:val="0"/>
          <w:color w:val="auto"/>
          <w:kern w:val="2"/>
          <w:sz w:val="24"/>
          <w:szCs w:val="24"/>
          <w:highlight w:val="none"/>
          <w:lang w:val="en-US" w:eastAsia="zh-CN" w:bidi="ar-SA"/>
        </w:rPr>
        <w:t>www.creditchina.gov.cn</w:t>
      </w:r>
      <w:r>
        <w:rPr>
          <w:rFonts w:hint="eastAsia" w:ascii="仿宋" w:hAnsi="仿宋" w:eastAsia="仿宋" w:cs="仿宋"/>
          <w:b w:val="0"/>
          <w:bCs w:val="0"/>
          <w:color w:val="auto"/>
          <w:kern w:val="2"/>
          <w:sz w:val="24"/>
          <w:szCs w:val="24"/>
          <w:highlight w:val="none"/>
          <w:lang w:val="en-US" w:eastAsia="zh-CN" w:bidi="ar-SA"/>
        </w:rPr>
        <w:fldChar w:fldCharType="end"/>
      </w:r>
      <w:r>
        <w:rPr>
          <w:rFonts w:hint="eastAsia" w:ascii="仿宋" w:hAnsi="仿宋" w:eastAsia="仿宋" w:cs="仿宋"/>
          <w:b w:val="0"/>
          <w:bCs w:val="0"/>
          <w:color w:val="auto"/>
          <w:kern w:val="2"/>
          <w:sz w:val="24"/>
          <w:szCs w:val="24"/>
          <w:highlight w:val="none"/>
          <w:lang w:val="en-US" w:eastAsia="zh-CN" w:bidi="ar-SA"/>
        </w:rPr>
        <w:t>）及中国政府采购网 (</w:t>
      </w:r>
      <w:r>
        <w:rPr>
          <w:rFonts w:hint="eastAsia" w:ascii="仿宋" w:hAnsi="仿宋" w:eastAsia="仿宋" w:cs="仿宋"/>
          <w:b w:val="0"/>
          <w:bCs w:val="0"/>
          <w:color w:val="auto"/>
          <w:kern w:val="2"/>
          <w:sz w:val="24"/>
          <w:szCs w:val="24"/>
          <w:highlight w:val="none"/>
          <w:lang w:val="en-US" w:eastAsia="zh-CN" w:bidi="ar-SA"/>
        </w:rPr>
        <w:fldChar w:fldCharType="begin"/>
      </w:r>
      <w:r>
        <w:rPr>
          <w:rFonts w:hint="eastAsia" w:ascii="仿宋" w:hAnsi="仿宋" w:eastAsia="仿宋" w:cs="仿宋"/>
          <w:b w:val="0"/>
          <w:bCs w:val="0"/>
          <w:color w:val="auto"/>
          <w:kern w:val="2"/>
          <w:sz w:val="24"/>
          <w:szCs w:val="24"/>
          <w:highlight w:val="none"/>
          <w:lang w:val="en-US" w:eastAsia="zh-CN" w:bidi="ar-SA"/>
        </w:rPr>
        <w:instrText xml:space="preserve"> HYPERLINK "http://www.ccgp.gov.cn/" </w:instrText>
      </w:r>
      <w:r>
        <w:rPr>
          <w:rFonts w:hint="eastAsia" w:ascii="仿宋" w:hAnsi="仿宋" w:eastAsia="仿宋" w:cs="仿宋"/>
          <w:b w:val="0"/>
          <w:bCs w:val="0"/>
          <w:color w:val="auto"/>
          <w:kern w:val="2"/>
          <w:sz w:val="24"/>
          <w:szCs w:val="24"/>
          <w:highlight w:val="none"/>
          <w:lang w:val="en-US" w:eastAsia="zh-CN" w:bidi="ar-SA"/>
        </w:rPr>
        <w:fldChar w:fldCharType="separate"/>
      </w:r>
      <w:r>
        <w:rPr>
          <w:rFonts w:hint="eastAsia" w:ascii="仿宋" w:hAnsi="仿宋" w:eastAsia="仿宋" w:cs="仿宋"/>
          <w:b w:val="0"/>
          <w:bCs w:val="0"/>
          <w:color w:val="auto"/>
          <w:kern w:val="2"/>
          <w:sz w:val="24"/>
          <w:szCs w:val="24"/>
          <w:highlight w:val="none"/>
          <w:lang w:val="en-US" w:eastAsia="zh-CN" w:bidi="ar-SA"/>
        </w:rPr>
        <w:t>www.ccgp.gov.cn</w:t>
      </w:r>
      <w:r>
        <w:rPr>
          <w:rFonts w:hint="eastAsia" w:ascii="仿宋" w:hAnsi="仿宋" w:eastAsia="仿宋" w:cs="仿宋"/>
          <w:b w:val="0"/>
          <w:bCs w:val="0"/>
          <w:color w:val="auto"/>
          <w:kern w:val="2"/>
          <w:sz w:val="24"/>
          <w:szCs w:val="24"/>
          <w:highlight w:val="none"/>
          <w:lang w:val="en-US" w:eastAsia="zh-CN" w:bidi="ar-SA"/>
        </w:rPr>
        <w:fldChar w:fldCharType="end"/>
      </w:r>
      <w:r>
        <w:rPr>
          <w:rFonts w:hint="eastAsia" w:ascii="仿宋" w:hAnsi="仿宋" w:eastAsia="仿宋" w:cs="仿宋"/>
          <w:b w:val="0"/>
          <w:bCs w:val="0"/>
          <w:color w:val="auto"/>
          <w:kern w:val="2"/>
          <w:sz w:val="24"/>
          <w:szCs w:val="24"/>
          <w:highlight w:val="none"/>
          <w:lang w:val="en-US" w:eastAsia="zh-CN" w:bidi="ar-SA"/>
        </w:rPr>
        <w:t>）失信被执行人名单、重大税收违法失信主体、政府采购严重违法失信行为记录名单（提供查询结果网页截图并加盖供应商公章）；</w:t>
      </w:r>
    </w:p>
    <w:p w14:paraId="05670A2C">
      <w:pPr>
        <w:pStyle w:val="44"/>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5）投标企业需提供中国银行业监督管理委员会有效的《中华人民共和国金融许可证》或《金融机构营业许可证》。</w:t>
      </w:r>
    </w:p>
    <w:p w14:paraId="7F68D822">
      <w:pP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6）投标人须知资料表要求的其他资格证明文件;</w:t>
      </w:r>
    </w:p>
    <w:p w14:paraId="5E1838C3">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20.2 商务及技术文件（包括但不限于）</w:t>
      </w:r>
    </w:p>
    <w:p w14:paraId="3798888C">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1、投标书（附件1）</w:t>
      </w:r>
    </w:p>
    <w:p w14:paraId="09E43A1A">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2、开标一览表（附件2）</w:t>
      </w:r>
    </w:p>
    <w:p w14:paraId="2E494F5C">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3、投标分项报价表（附件3）</w:t>
      </w:r>
    </w:p>
    <w:p w14:paraId="4CED282F">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4、服务说明一览表（附件4）</w:t>
      </w:r>
    </w:p>
    <w:p w14:paraId="68912A7C">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5、技术规格偏离表（附件5）</w:t>
      </w:r>
    </w:p>
    <w:p w14:paraId="16F3C5BD">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6、商务条款偏离表（附件6）</w:t>
      </w:r>
    </w:p>
    <w:p w14:paraId="52AF38D8">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7、评分标准和细则中技术部分证明材料（格式自拟）</w:t>
      </w:r>
    </w:p>
    <w:p w14:paraId="56FB3071">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8、评分标准和细则中商务部分证明材料（格式自拟）</w:t>
      </w:r>
    </w:p>
    <w:p w14:paraId="48E166B1">
      <w:pPr>
        <w:spacing w:line="400" w:lineRule="exact"/>
        <w:ind w:firstLine="477" w:firstLineChars="199"/>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9、投标人认为有必要提供的其他证明材料（格式自拟）</w:t>
      </w:r>
    </w:p>
    <w:p w14:paraId="7A02B8E1">
      <w:pPr>
        <w:shd w:val="clear" w:color="auto" w:fill="auto"/>
        <w:spacing w:line="400" w:lineRule="exact"/>
        <w:ind w:firstLine="477" w:firstLineChars="199"/>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kern w:val="0"/>
          <w:sz w:val="24"/>
          <w:szCs w:val="24"/>
          <w:highlight w:val="none"/>
          <w:u w:val="single"/>
        </w:rPr>
        <w:t>注：以上材料须</w:t>
      </w:r>
      <w:r>
        <w:rPr>
          <w:rFonts w:hint="eastAsia" w:ascii="仿宋" w:hAnsi="仿宋" w:eastAsia="仿宋" w:cs="仿宋"/>
          <w:b/>
          <w:bCs w:val="0"/>
          <w:color w:val="auto"/>
          <w:kern w:val="0"/>
          <w:sz w:val="24"/>
          <w:szCs w:val="24"/>
          <w:highlight w:val="none"/>
          <w:u w:val="single"/>
          <w:lang w:eastAsia="zh-CN"/>
        </w:rPr>
        <w:t>逐页</w:t>
      </w:r>
      <w:r>
        <w:rPr>
          <w:rFonts w:hint="eastAsia" w:ascii="仿宋" w:hAnsi="仿宋" w:eastAsia="仿宋" w:cs="仿宋"/>
          <w:b/>
          <w:bCs w:val="0"/>
          <w:color w:val="auto"/>
          <w:kern w:val="0"/>
          <w:sz w:val="24"/>
          <w:szCs w:val="24"/>
          <w:highlight w:val="none"/>
          <w:u w:val="single"/>
        </w:rPr>
        <w:t>加盖单位公章</w:t>
      </w:r>
      <w:r>
        <w:rPr>
          <w:rFonts w:hint="eastAsia" w:ascii="仿宋" w:hAnsi="仿宋" w:eastAsia="仿宋" w:cs="仿宋"/>
          <w:b/>
          <w:bCs w:val="0"/>
          <w:color w:val="auto"/>
          <w:kern w:val="0"/>
          <w:sz w:val="24"/>
          <w:szCs w:val="24"/>
          <w:highlight w:val="none"/>
          <w:u w:val="single"/>
          <w:lang w:eastAsia="zh-CN"/>
        </w:rPr>
        <w:t>。</w:t>
      </w:r>
    </w:p>
    <w:p w14:paraId="0C3E1CCE">
      <w:pPr>
        <w:spacing w:line="400" w:lineRule="exact"/>
        <w:ind w:firstLine="235" w:firstLineChars="98"/>
        <w:rPr>
          <w:rFonts w:hint="eastAsia" w:ascii="仿宋" w:hAnsi="仿宋" w:eastAsia="仿宋" w:cs="仿宋"/>
          <w:b/>
          <w:sz w:val="24"/>
          <w:szCs w:val="24"/>
          <w:highlight w:val="none"/>
        </w:rPr>
      </w:pPr>
      <w:r>
        <w:rPr>
          <w:rFonts w:hint="eastAsia" w:ascii="仿宋" w:hAnsi="仿宋" w:eastAsia="仿宋" w:cs="仿宋"/>
          <w:b/>
          <w:sz w:val="24"/>
          <w:szCs w:val="24"/>
          <w:highlight w:val="none"/>
        </w:rPr>
        <w:t>21</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rPr>
        <w:t>投标文件的要求</w:t>
      </w:r>
    </w:p>
    <w:p w14:paraId="68749A74">
      <w:pPr>
        <w:spacing w:line="400" w:lineRule="exact"/>
        <w:ind w:firstLine="477" w:firstLineChars="19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21.1</w:t>
      </w:r>
      <w:r>
        <w:rPr>
          <w:rFonts w:hint="eastAsia" w:ascii="仿宋" w:hAnsi="仿宋" w:eastAsia="仿宋" w:cs="仿宋"/>
          <w:sz w:val="24"/>
          <w:szCs w:val="24"/>
          <w:highlight w:val="none"/>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6E3B1C8A">
      <w:pPr>
        <w:spacing w:line="400" w:lineRule="exact"/>
        <w:ind w:firstLine="477" w:firstLineChars="19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21.2</w:t>
      </w:r>
      <w:r>
        <w:rPr>
          <w:rFonts w:hint="eastAsia" w:ascii="仿宋" w:hAnsi="仿宋" w:eastAsia="仿宋" w:cs="仿宋"/>
          <w:sz w:val="24"/>
          <w:szCs w:val="24"/>
          <w:highlight w:val="none"/>
        </w:rPr>
        <w:t>投标文件格式应按本采购文件第六章格式要求编制，不得对采购文件格式进行增删更改，否则按无效标处理。</w:t>
      </w:r>
    </w:p>
    <w:p w14:paraId="20875335">
      <w:pPr>
        <w:spacing w:line="400" w:lineRule="exact"/>
        <w:ind w:firstLine="477" w:firstLineChars="19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21.3</w:t>
      </w:r>
      <w:r>
        <w:rPr>
          <w:rFonts w:hint="eastAsia" w:ascii="仿宋" w:hAnsi="仿宋" w:eastAsia="仿宋" w:cs="仿宋"/>
          <w:sz w:val="24"/>
          <w:szCs w:val="24"/>
          <w:highlight w:val="none"/>
        </w:rPr>
        <w:t xml:space="preserve">对采购文件格式可更改的例外情况：采购文件第六章附件格式要求中明确规定表格中行数不够用时可按相同格式增加行数，其他一切内容和格式不得更改。 </w:t>
      </w:r>
    </w:p>
    <w:p w14:paraId="35F30573">
      <w:pPr>
        <w:spacing w:line="400" w:lineRule="exact"/>
        <w:ind w:firstLine="477" w:firstLineChars="19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21.4</w:t>
      </w:r>
      <w:r>
        <w:rPr>
          <w:rFonts w:hint="eastAsia" w:ascii="仿宋" w:hAnsi="仿宋" w:eastAsia="仿宋" w:cs="仿宋"/>
          <w:sz w:val="24"/>
          <w:szCs w:val="24"/>
          <w:highlight w:val="none"/>
        </w:rPr>
        <w:t>投标文件为电子投标文件，电子投标文件按“政采云供应商项目采购-电子招投标操作指南”及本采购文件要求制作、加密传输。</w:t>
      </w:r>
    </w:p>
    <w:p w14:paraId="0C26FE34">
      <w:pPr>
        <w:spacing w:line="400" w:lineRule="exact"/>
        <w:ind w:firstLine="477" w:firstLineChars="19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21.5</w:t>
      </w:r>
      <w:r>
        <w:rPr>
          <w:rFonts w:hint="eastAsia" w:ascii="仿宋" w:hAnsi="仿宋" w:eastAsia="仿宋" w:cs="仿宋"/>
          <w:sz w:val="24"/>
          <w:szCs w:val="24"/>
          <w:highlight w:val="none"/>
        </w:rPr>
        <w:t>投标文件未在投标截止时间前完成传输的，视为投标文件撤回；投标文件未按时解密也未提供备份投标文件的，亦视为投标文件撤回。</w:t>
      </w:r>
    </w:p>
    <w:p w14:paraId="745EB3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22</w:t>
      </w:r>
      <w:r>
        <w:rPr>
          <w:rFonts w:hint="eastAsia" w:ascii="仿宋" w:hAnsi="仿宋" w:eastAsia="仿宋" w:cs="仿宋"/>
          <w:sz w:val="24"/>
          <w:szCs w:val="24"/>
          <w:highlight w:val="none"/>
        </w:rPr>
        <w:t>.</w:t>
      </w:r>
      <w:r>
        <w:rPr>
          <w:rFonts w:hint="eastAsia" w:ascii="仿宋" w:hAnsi="仿宋" w:eastAsia="仿宋" w:cs="仿宋"/>
          <w:b/>
          <w:sz w:val="24"/>
          <w:szCs w:val="24"/>
          <w:highlight w:val="none"/>
        </w:rPr>
        <w:t>磋商报价</w:t>
      </w:r>
    </w:p>
    <w:p w14:paraId="151506A2">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1本项目报价为分次报价，供应商响应文件中的报价作为第一次报价；以最终竞争性磋商报价作为评审价。</w:t>
      </w:r>
    </w:p>
    <w:p w14:paraId="7B6DECCF">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2凡要求供应商考虑在报价中的内容供应商在响应文件中没有考虑、没有计入的或未单独列出，采购人认为供应商已将此项费用涵盖在其它费用价格中。</w:t>
      </w:r>
    </w:p>
    <w:p w14:paraId="0E89E69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3报价注意事项：</w:t>
      </w:r>
    </w:p>
    <w:p w14:paraId="2A9D207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（1）价格一律以（年）利率计算，以%为单位标准；</w:t>
      </w:r>
    </w:p>
    <w:p w14:paraId="40A4BB2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（2）供应商报价时应充分考虑所有可能影响到报价的报价因素，一旦招标结束最终成交，总价将固定，不予调整。如发生漏、缺、少项，都将被认为是成交人的报价让利行为，损失自负。</w:t>
      </w:r>
    </w:p>
    <w:p w14:paraId="4FA94A3C">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23. 投标有效期</w:t>
      </w:r>
    </w:p>
    <w:p w14:paraId="5368C4F6">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 除投标人须知前附表另有规定外，投标有效期为60天。</w:t>
      </w:r>
    </w:p>
    <w:p w14:paraId="6DEB495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23.2在投标有效期内，投标人撤销或修改其投标文件的，应承担采购文件和法律规定的责任。</w:t>
      </w:r>
    </w:p>
    <w:p w14:paraId="6137848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3253CAB">
      <w:pPr>
        <w:numPr>
          <w:ilvl w:val="0"/>
          <w:numId w:val="6"/>
        </w:numPr>
        <w:spacing w:line="440" w:lineRule="exact"/>
        <w:ind w:firstLine="460" w:firstLineChars="192"/>
        <w:rPr>
          <w:rFonts w:hint="eastAsia" w:ascii="仿宋" w:hAnsi="仿宋" w:eastAsia="仿宋" w:cs="仿宋"/>
          <w:b/>
          <w:sz w:val="24"/>
          <w:szCs w:val="24"/>
          <w:highlight w:val="none"/>
        </w:rPr>
      </w:pPr>
      <w:r>
        <w:rPr>
          <w:rFonts w:hint="eastAsia" w:ascii="仿宋" w:hAnsi="仿宋" w:eastAsia="仿宋" w:cs="仿宋"/>
          <w:b/>
          <w:sz w:val="24"/>
          <w:szCs w:val="24"/>
          <w:highlight w:val="none"/>
        </w:rPr>
        <w:t>投标保证金</w:t>
      </w:r>
    </w:p>
    <w:p w14:paraId="512B35BF">
      <w:pPr>
        <w:numPr>
          <w:ilvl w:val="0"/>
          <w:numId w:val="0"/>
        </w:numPr>
        <w:spacing w:line="44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 xml:space="preserve">        无</w:t>
      </w:r>
      <w:bookmarkStart w:id="22" w:name="_Toc469495727"/>
      <w:bookmarkStart w:id="23" w:name="_Toc29184"/>
      <w:bookmarkStart w:id="24" w:name="_Toc859"/>
    </w:p>
    <w:p w14:paraId="735A054E">
      <w:pPr>
        <w:spacing w:before="312" w:beforeLines="100" w:after="312" w:afterLines="100" w:line="440" w:lineRule="exact"/>
        <w:jc w:val="center"/>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（四）</w:t>
      </w:r>
      <w:bookmarkEnd w:id="22"/>
      <w:r>
        <w:rPr>
          <w:rFonts w:hint="eastAsia" w:ascii="仿宋" w:hAnsi="仿宋" w:eastAsia="仿宋" w:cs="仿宋"/>
          <w:b/>
          <w:sz w:val="24"/>
          <w:szCs w:val="24"/>
          <w:highlight w:val="none"/>
        </w:rPr>
        <w:t>投标文件的制作、上传及递交要求</w:t>
      </w:r>
      <w:bookmarkEnd w:id="23"/>
      <w:bookmarkEnd w:id="24"/>
    </w:p>
    <w:p w14:paraId="5D6670F1">
      <w:pPr>
        <w:snapToGri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bCs/>
          <w:sz w:val="24"/>
          <w:szCs w:val="24"/>
          <w:highlight w:val="none"/>
        </w:rPr>
        <w:t>25.投标文件的制作要求</w:t>
      </w:r>
    </w:p>
    <w:p w14:paraId="4021D9A4">
      <w:pPr>
        <w:pStyle w:val="5"/>
        <w:snapToGrid w:val="0"/>
        <w:spacing w:line="360" w:lineRule="auto"/>
        <w:rPr>
          <w:rFonts w:hint="eastAsia" w:ascii="仿宋" w:hAnsi="仿宋" w:eastAsia="仿宋" w:cs="仿宋"/>
          <w:sz w:val="24"/>
          <w:szCs w:val="24"/>
          <w:highlight w:val="none"/>
        </w:rPr>
      </w:pPr>
      <w:r>
        <w:rPr>
          <w:rFonts w:hint="eastAsia" w:ascii="仿宋" w:hAnsi="仿宋" w:eastAsia="仿宋" w:cs="仿宋"/>
          <w:bCs/>
          <w:sz w:val="24"/>
          <w:szCs w:val="24"/>
          <w:highlight w:val="none"/>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6DF01012">
      <w:pPr>
        <w:pStyle w:val="5"/>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4CD39545">
      <w:pPr>
        <w:pStyle w:val="5"/>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备份电子投标文件：通过“政采云”平台电子投标工具制作投标文件所产生的备份文件。</w:t>
      </w:r>
    </w:p>
    <w:p w14:paraId="65084A23">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（2）供应商应对所提供的全部资料的真实性、有效性承担法律责任，电子投标文件中所须加盖公章部分均采用CA签章。</w:t>
      </w:r>
    </w:p>
    <w:p w14:paraId="2EC1D62A">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14:paraId="2B3EB565">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（4）投标计量单位，采购文件已有明确规定的，使用采购文件规定的计量单位；采购文件没有规定的，应采用中华人民共和国法定计量单位（货币单位：人民币元）。</w:t>
      </w:r>
    </w:p>
    <w:p w14:paraId="4F07CE5D">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（5）若供应商不按采购文件的要求提供资格审查材料，其风险由供应商自行承担。</w:t>
      </w:r>
    </w:p>
    <w:p w14:paraId="60019E3B">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（6）与本次投标无关的内容请不要制作在内，确保投标文件有针对性、简洁明了。</w:t>
      </w:r>
    </w:p>
    <w:p w14:paraId="2D2F7377">
      <w:pPr>
        <w:snapToGrid w:val="0"/>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26.投标文件的上传</w:t>
      </w:r>
    </w:p>
    <w:p w14:paraId="63B6C2C1">
      <w:pPr>
        <w:pStyle w:val="5"/>
        <w:snapToGrid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26.1</w:t>
      </w:r>
      <w:r>
        <w:rPr>
          <w:rFonts w:hint="eastAsia" w:ascii="仿宋" w:hAnsi="仿宋" w:eastAsia="仿宋" w:cs="仿宋"/>
          <w:b w:val="0"/>
          <w:bCs w:val="0"/>
          <w:sz w:val="24"/>
          <w:szCs w:val="24"/>
          <w:highlight w:val="none"/>
          <w:lang w:bidi="zh-CN"/>
        </w:rPr>
        <w:t>电子加密投标文件（“.jmbs”格式）</w:t>
      </w:r>
      <w:r>
        <w:rPr>
          <w:rFonts w:hint="eastAsia" w:ascii="仿宋" w:hAnsi="仿宋" w:eastAsia="仿宋" w:cs="仿宋"/>
          <w:b w:val="0"/>
          <w:bCs w:val="0"/>
          <w:sz w:val="24"/>
          <w:szCs w:val="24"/>
          <w:highlight w:val="none"/>
        </w:rPr>
        <w:t>：</w:t>
      </w:r>
    </w:p>
    <w:p w14:paraId="2DD3F31E">
      <w:pPr>
        <w:pStyle w:val="5"/>
        <w:snapToGrid w:val="0"/>
        <w:spacing w:line="360" w:lineRule="auto"/>
        <w:ind w:firstLine="600" w:firstLineChars="250"/>
        <w:rPr>
          <w:rFonts w:hint="eastAsia" w:ascii="仿宋" w:hAnsi="仿宋" w:eastAsia="仿宋" w:cs="仿宋"/>
          <w:bCs/>
          <w:sz w:val="24"/>
          <w:szCs w:val="24"/>
          <w:highlight w:val="none"/>
          <w:lang w:bidi="zh-CN"/>
        </w:rPr>
      </w:pPr>
      <w:r>
        <w:rPr>
          <w:rFonts w:hint="eastAsia" w:ascii="仿宋" w:hAnsi="仿宋" w:eastAsia="仿宋" w:cs="仿宋"/>
          <w:b w:val="0"/>
          <w:bCs w:val="0"/>
          <w:sz w:val="24"/>
          <w:szCs w:val="24"/>
          <w:highlight w:val="none"/>
        </w:rPr>
        <w:t>（1）</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bidi="zh-CN"/>
        </w:rPr>
        <w:t>供应商应在投标截止时间前将电子加密投标文件成功上传递交至新疆政府采购云平台，否则投标无效；</w:t>
      </w:r>
    </w:p>
    <w:p w14:paraId="0C45C6BE">
      <w:pPr>
        <w:pStyle w:val="5"/>
        <w:snapToGrid w:val="0"/>
        <w:spacing w:line="360" w:lineRule="auto"/>
        <w:ind w:firstLine="600" w:firstLineChars="25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bidi="zh-CN"/>
        </w:rPr>
        <w:t>（</w:t>
      </w:r>
      <w:r>
        <w:rPr>
          <w:rFonts w:hint="eastAsia" w:ascii="仿宋" w:hAnsi="仿宋" w:eastAsia="仿宋" w:cs="仿宋"/>
          <w:b w:val="0"/>
          <w:bCs/>
          <w:sz w:val="24"/>
          <w:szCs w:val="24"/>
          <w:highlight w:val="none"/>
          <w:lang w:val="en-US" w:bidi="zh-CN"/>
        </w:rPr>
        <w:t>2</w:t>
      </w:r>
      <w:r>
        <w:rPr>
          <w:rFonts w:hint="eastAsia" w:ascii="仿宋" w:hAnsi="仿宋" w:eastAsia="仿宋" w:cs="仿宋"/>
          <w:b w:val="0"/>
          <w:bCs/>
          <w:sz w:val="24"/>
          <w:szCs w:val="24"/>
          <w:highlight w:val="none"/>
          <w:lang w:bidi="zh-CN"/>
        </w:rPr>
        <w:t>）供应商成功上传电子加密投标文件后，可自行打印投标文件接收回执。</w:t>
      </w:r>
    </w:p>
    <w:p w14:paraId="211D9F54">
      <w:pPr>
        <w:pStyle w:val="5"/>
        <w:snapToGrid w:val="0"/>
        <w:spacing w:line="360" w:lineRule="auto"/>
        <w:rPr>
          <w:rFonts w:hint="eastAsia" w:ascii="仿宋" w:hAnsi="仿宋" w:eastAsia="仿宋" w:cs="仿宋"/>
          <w:b w:val="0"/>
          <w:bCs/>
          <w:sz w:val="24"/>
          <w:szCs w:val="24"/>
          <w:highlight w:val="none"/>
          <w:lang w:bidi="zh-CN"/>
        </w:rPr>
      </w:pPr>
      <w:r>
        <w:rPr>
          <w:rFonts w:hint="eastAsia" w:ascii="仿宋" w:hAnsi="仿宋" w:eastAsia="仿宋" w:cs="仿宋"/>
          <w:b w:val="0"/>
          <w:bCs/>
          <w:sz w:val="24"/>
          <w:szCs w:val="24"/>
          <w:highlight w:val="none"/>
          <w:lang w:val="en-US" w:bidi="zh-CN"/>
        </w:rPr>
        <w:t>26.2</w:t>
      </w:r>
      <w:r>
        <w:rPr>
          <w:rFonts w:hint="eastAsia" w:ascii="仿宋" w:hAnsi="仿宋" w:eastAsia="仿宋" w:cs="仿宋"/>
          <w:b w:val="0"/>
          <w:bCs/>
          <w:sz w:val="24"/>
          <w:szCs w:val="24"/>
          <w:highlight w:val="none"/>
          <w:lang w:bidi="zh-CN"/>
        </w:rPr>
        <w:t>备份投标文件（“.bfbs”格式）：</w:t>
      </w:r>
    </w:p>
    <w:p w14:paraId="5D7A65F0">
      <w:pPr>
        <w:pStyle w:val="5"/>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bidi="zh-CN"/>
        </w:rPr>
        <w:t>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w:t>
      </w:r>
      <w:r>
        <w:rPr>
          <w:rFonts w:hint="eastAsia" w:ascii="仿宋" w:hAnsi="仿宋" w:eastAsia="仿宋" w:cs="仿宋"/>
          <w:b w:val="0"/>
          <w:bCs/>
          <w:color w:val="auto"/>
          <w:sz w:val="24"/>
          <w:szCs w:val="24"/>
          <w:highlight w:val="none"/>
          <w:lang w:bidi="zh-CN"/>
        </w:rPr>
        <w:t>供事宜（接收人邮箱：</w:t>
      </w:r>
      <w:r>
        <w:rPr>
          <w:rFonts w:hint="eastAsia" w:ascii="仿宋" w:hAnsi="仿宋" w:eastAsia="仿宋" w:cs="仿宋"/>
          <w:b w:val="0"/>
          <w:bCs/>
          <w:color w:val="auto"/>
          <w:sz w:val="24"/>
          <w:szCs w:val="24"/>
          <w:highlight w:val="none"/>
          <w:u w:val="single"/>
        </w:rPr>
        <w:fldChar w:fldCharType="begin"/>
      </w:r>
      <w:r>
        <w:rPr>
          <w:rFonts w:hint="eastAsia" w:ascii="仿宋" w:hAnsi="仿宋" w:eastAsia="仿宋" w:cs="仿宋"/>
          <w:b w:val="0"/>
          <w:bCs/>
          <w:color w:val="auto"/>
          <w:sz w:val="24"/>
          <w:szCs w:val="24"/>
          <w:highlight w:val="none"/>
          <w:u w:val="single"/>
        </w:rPr>
        <w:instrText xml:space="preserve"> HYPERLINK "mailto:1207446769@qq.com，接收人：陈加轲，电话：15157655122" </w:instrText>
      </w:r>
      <w:r>
        <w:rPr>
          <w:rFonts w:hint="eastAsia" w:ascii="仿宋" w:hAnsi="仿宋" w:eastAsia="仿宋" w:cs="仿宋"/>
          <w:b w:val="0"/>
          <w:bCs/>
          <w:color w:val="auto"/>
          <w:sz w:val="24"/>
          <w:szCs w:val="24"/>
          <w:highlight w:val="none"/>
          <w:u w:val="single"/>
        </w:rPr>
        <w:fldChar w:fldCharType="separate"/>
      </w:r>
      <w:r>
        <w:rPr>
          <w:rFonts w:hint="eastAsia" w:ascii="仿宋" w:hAnsi="仿宋" w:eastAsia="仿宋" w:cs="仿宋"/>
          <w:b w:val="0"/>
          <w:bCs/>
          <w:color w:val="auto"/>
          <w:sz w:val="24"/>
          <w:szCs w:val="24"/>
          <w:highlight w:val="none"/>
          <w:u w:val="single"/>
          <w:lang w:val="en-US" w:bidi="zh-CN"/>
        </w:rPr>
        <w:t>19246091</w:t>
      </w:r>
      <w:r>
        <w:rPr>
          <w:rFonts w:hint="eastAsia" w:ascii="仿宋" w:hAnsi="仿宋" w:eastAsia="仿宋" w:cs="仿宋"/>
          <w:b w:val="0"/>
          <w:bCs/>
          <w:color w:val="auto"/>
          <w:sz w:val="24"/>
          <w:szCs w:val="24"/>
          <w:highlight w:val="none"/>
          <w:u w:val="single"/>
          <w:lang w:bidi="zh-CN"/>
        </w:rPr>
        <w:t>@qq.com</w:t>
      </w:r>
      <w:r>
        <w:rPr>
          <w:rStyle w:val="35"/>
          <w:rFonts w:hint="eastAsia" w:ascii="仿宋" w:hAnsi="仿宋" w:eastAsia="仿宋" w:cs="仿宋"/>
          <w:b w:val="0"/>
          <w:bCs/>
          <w:color w:val="auto"/>
          <w:sz w:val="24"/>
          <w:szCs w:val="24"/>
          <w:highlight w:val="none"/>
          <w:u w:val="single"/>
          <w:lang w:bidi="zh-CN"/>
        </w:rPr>
        <w:t>，接收人</w:t>
      </w:r>
      <w:r>
        <w:rPr>
          <w:rStyle w:val="35"/>
          <w:rFonts w:hint="eastAsia" w:ascii="仿宋" w:hAnsi="仿宋" w:eastAsia="仿宋" w:cs="仿宋"/>
          <w:b w:val="0"/>
          <w:bCs/>
          <w:color w:val="auto"/>
          <w:sz w:val="24"/>
          <w:szCs w:val="24"/>
          <w:highlight w:val="none"/>
          <w:u w:val="single"/>
          <w:lang w:val="en-US" w:bidi="zh-CN"/>
        </w:rPr>
        <w:t>黄女士</w:t>
      </w:r>
      <w:r>
        <w:rPr>
          <w:rStyle w:val="35"/>
          <w:rFonts w:hint="eastAsia" w:ascii="仿宋" w:hAnsi="仿宋" w:eastAsia="仿宋" w:cs="仿宋"/>
          <w:b w:val="0"/>
          <w:bCs/>
          <w:color w:val="auto"/>
          <w:sz w:val="24"/>
          <w:szCs w:val="24"/>
          <w:highlight w:val="none"/>
          <w:u w:val="single"/>
          <w:lang w:bidi="zh-CN"/>
        </w:rPr>
        <w:t>，电话：</w:t>
      </w:r>
      <w:r>
        <w:rPr>
          <w:rFonts w:hint="eastAsia" w:ascii="仿宋" w:hAnsi="仿宋" w:eastAsia="仿宋" w:cs="仿宋"/>
          <w:b w:val="0"/>
          <w:bCs/>
          <w:color w:val="auto"/>
          <w:sz w:val="24"/>
          <w:szCs w:val="24"/>
          <w:highlight w:val="none"/>
          <w:u w:val="single"/>
          <w:lang w:val="en-US" w:bidi="zh-CN"/>
        </w:rPr>
        <w:t>1</w:t>
      </w:r>
      <w:r>
        <w:rPr>
          <w:rFonts w:hint="eastAsia" w:ascii="仿宋" w:hAnsi="仿宋" w:eastAsia="仿宋" w:cs="仿宋"/>
          <w:b w:val="0"/>
          <w:bCs/>
          <w:color w:val="auto"/>
          <w:sz w:val="24"/>
          <w:szCs w:val="24"/>
          <w:highlight w:val="none"/>
          <w:u w:val="single"/>
          <w:lang w:bidi="zh-CN"/>
        </w:rPr>
        <w:fldChar w:fldCharType="end"/>
      </w:r>
      <w:r>
        <w:rPr>
          <w:rFonts w:hint="eastAsia" w:ascii="仿宋" w:hAnsi="仿宋" w:eastAsia="仿宋" w:cs="仿宋"/>
          <w:b w:val="0"/>
          <w:bCs/>
          <w:color w:val="auto"/>
          <w:sz w:val="24"/>
          <w:szCs w:val="24"/>
          <w:highlight w:val="none"/>
          <w:u w:val="single"/>
          <w:lang w:val="en-US" w:bidi="zh-CN"/>
        </w:rPr>
        <w:t>7799081359</w:t>
      </w:r>
      <w:r>
        <w:rPr>
          <w:rFonts w:hint="eastAsia" w:ascii="仿宋" w:hAnsi="仿宋" w:eastAsia="仿宋" w:cs="仿宋"/>
          <w:b w:val="0"/>
          <w:bCs/>
          <w:color w:val="auto"/>
          <w:sz w:val="24"/>
          <w:szCs w:val="24"/>
          <w:highlight w:val="none"/>
          <w:lang w:bidi="zh-CN"/>
        </w:rPr>
        <w:t>）；</w:t>
      </w:r>
    </w:p>
    <w:p w14:paraId="2ED807B6">
      <w:pPr>
        <w:pStyle w:val="5"/>
        <w:snapToGrid w:val="0"/>
        <w:spacing w:line="360" w:lineRule="auto"/>
        <w:ind w:firstLine="600" w:firstLineChars="250"/>
        <w:rPr>
          <w:rFonts w:hint="eastAsia" w:ascii="仿宋" w:hAnsi="仿宋" w:eastAsia="仿宋" w:cs="仿宋"/>
          <w:b w:val="0"/>
          <w:bCs/>
          <w:sz w:val="24"/>
          <w:szCs w:val="24"/>
          <w:highlight w:val="none"/>
          <w:lang w:bidi="zh-CN"/>
        </w:rPr>
      </w:pPr>
      <w:r>
        <w:rPr>
          <w:rFonts w:hint="eastAsia" w:ascii="仿宋" w:hAnsi="仿宋" w:eastAsia="仿宋" w:cs="仿宋"/>
          <w:b w:val="0"/>
          <w:bCs/>
          <w:sz w:val="24"/>
          <w:szCs w:val="24"/>
          <w:highlight w:val="none"/>
          <w:lang w:bidi="zh-CN"/>
        </w:rPr>
        <w:t>（</w:t>
      </w:r>
      <w:r>
        <w:rPr>
          <w:rFonts w:hint="eastAsia" w:ascii="仿宋" w:hAnsi="仿宋" w:eastAsia="仿宋" w:cs="仿宋"/>
          <w:b w:val="0"/>
          <w:bCs/>
          <w:sz w:val="24"/>
          <w:szCs w:val="24"/>
          <w:highlight w:val="none"/>
          <w:lang w:val="en-US" w:bidi="zh-CN"/>
        </w:rPr>
        <w:t>2</w:t>
      </w:r>
      <w:r>
        <w:rPr>
          <w:rFonts w:hint="eastAsia" w:ascii="仿宋" w:hAnsi="仿宋" w:eastAsia="仿宋" w:cs="仿宋"/>
          <w:b w:val="0"/>
          <w:bCs/>
          <w:sz w:val="24"/>
          <w:szCs w:val="24"/>
          <w:highlight w:val="none"/>
          <w:lang w:bidi="zh-CN"/>
        </w:rPr>
        <w:t>）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2270479F">
      <w:pPr>
        <w:snapToGrid w:val="0"/>
        <w:spacing w:line="360" w:lineRule="auto"/>
        <w:ind w:firstLine="480"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27.投标文件的递交要求</w:t>
      </w:r>
    </w:p>
    <w:p w14:paraId="5FB7A0C0">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27.1</w:t>
      </w:r>
      <w:r>
        <w:rPr>
          <w:rFonts w:hint="eastAsia" w:ascii="仿宋" w:hAnsi="仿宋" w:eastAsia="仿宋" w:cs="仿宋"/>
          <w:sz w:val="24"/>
          <w:szCs w:val="24"/>
          <w:highlight w:val="none"/>
        </w:rPr>
        <w:t>供应商须按照采购文件和政采云平台的要求编制并加密投标文件。在投标文件递交截止时间以前完成投标文件的传输递交，截止时间后递交的投标文件，将被拒收。</w:t>
      </w:r>
    </w:p>
    <w:p w14:paraId="57642583">
      <w:pPr>
        <w:tabs>
          <w:tab w:val="left" w:pos="1418"/>
        </w:tabs>
        <w:autoSpaceDE w:val="0"/>
        <w:autoSpaceDN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27.2</w:t>
      </w:r>
      <w:r>
        <w:rPr>
          <w:rFonts w:hint="eastAsia" w:ascii="仿宋" w:hAnsi="仿宋" w:eastAsia="仿宋" w:cs="仿宋"/>
          <w:sz w:val="24"/>
          <w:szCs w:val="24"/>
          <w:highlight w:val="none"/>
        </w:rPr>
        <w:t>备份电子投标文件必须在投标截止时间前送达指定的投标地点。备份电子投标文件在截止时间后提交，采购组织机构将拒绝接收。</w:t>
      </w:r>
    </w:p>
    <w:p w14:paraId="4D9C1CF0">
      <w:pPr>
        <w:tabs>
          <w:tab w:val="left" w:pos="1418"/>
        </w:tabs>
        <w:autoSpaceDE w:val="0"/>
        <w:autoSpaceDN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27.3</w:t>
      </w:r>
      <w:r>
        <w:rPr>
          <w:rFonts w:hint="eastAsia" w:ascii="仿宋" w:hAnsi="仿宋" w:eastAsia="仿宋" w:cs="仿宋"/>
          <w:sz w:val="24"/>
          <w:szCs w:val="24"/>
          <w:highlight w:val="none"/>
        </w:rPr>
        <w:t>如有特殊情况，采购组织机构延长截止时间和开标时间，采购组织机构和供应商的权利和义务将受到新的截止时间和开标时间的约束。</w:t>
      </w:r>
    </w:p>
    <w:p w14:paraId="206AA814">
      <w:pPr>
        <w:snapToGrid w:val="0"/>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28．投标文件的补充、修改与撤回</w:t>
      </w:r>
    </w:p>
    <w:p w14:paraId="08BA7876">
      <w:pPr>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128759E9">
      <w:pPr>
        <w:spacing w:before="312" w:beforeLines="100" w:after="312" w:afterLines="100" w:line="440" w:lineRule="exact"/>
        <w:jc w:val="center"/>
        <w:outlineLvl w:val="2"/>
        <w:rPr>
          <w:rFonts w:hint="eastAsia" w:ascii="仿宋" w:hAnsi="仿宋" w:eastAsia="仿宋" w:cs="仿宋"/>
          <w:sz w:val="24"/>
          <w:szCs w:val="24"/>
          <w:highlight w:val="none"/>
        </w:rPr>
      </w:pPr>
      <w:bookmarkStart w:id="25" w:name="_Toc6569"/>
      <w:bookmarkStart w:id="26" w:name="_Toc469495728"/>
      <w:bookmarkStart w:id="27" w:name="_Toc31522"/>
      <w:r>
        <w:rPr>
          <w:rFonts w:hint="eastAsia" w:ascii="仿宋" w:hAnsi="仿宋" w:eastAsia="仿宋" w:cs="仿宋"/>
          <w:sz w:val="24"/>
          <w:szCs w:val="24"/>
          <w:highlight w:val="none"/>
        </w:rPr>
        <w:t>（五）开 标、评标和定标</w:t>
      </w:r>
      <w:bookmarkEnd w:id="25"/>
      <w:bookmarkEnd w:id="26"/>
      <w:bookmarkEnd w:id="27"/>
    </w:p>
    <w:p w14:paraId="15AB72CB">
      <w:pPr>
        <w:snapToGrid w:val="0"/>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29. 开标</w:t>
      </w:r>
    </w:p>
    <w:p w14:paraId="421D46F0">
      <w:pPr>
        <w:snapToGrid w:val="0"/>
        <w:spacing w:line="360" w:lineRule="auto"/>
        <w:ind w:firstLine="480" w:firstLineChars="200"/>
        <w:rPr>
          <w:rFonts w:hint="eastAsia" w:ascii="仿宋" w:hAnsi="仿宋" w:eastAsia="仿宋" w:cs="仿宋"/>
          <w:b/>
          <w:bCs/>
          <w:sz w:val="24"/>
          <w:szCs w:val="24"/>
          <w:highlight w:val="none"/>
        </w:rPr>
      </w:pPr>
      <w:bookmarkStart w:id="28" w:name="_Toc73975822"/>
      <w:r>
        <w:rPr>
          <w:rFonts w:hint="eastAsia" w:ascii="仿宋" w:hAnsi="仿宋" w:eastAsia="仿宋" w:cs="仿宋"/>
          <w:b/>
          <w:bCs/>
          <w:sz w:val="24"/>
          <w:szCs w:val="24"/>
          <w:highlight w:val="none"/>
        </w:rPr>
        <w:t>29.1开标邀请</w:t>
      </w:r>
      <w:bookmarkEnd w:id="28"/>
    </w:p>
    <w:p w14:paraId="49724F8C">
      <w:pPr>
        <w:pStyle w:val="1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（1）开标准备：本项目开标的准备工作由采购组织机构负责落实，开标过程由采购组织机构负责记录；</w:t>
      </w:r>
    </w:p>
    <w:p w14:paraId="5B275B2C">
      <w:pPr>
        <w:pStyle w:val="1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（2）开标主持：本项目开标由采购人或者采购代理机构主持；</w:t>
      </w:r>
    </w:p>
    <w:p w14:paraId="2B45E070">
      <w:pPr>
        <w:pStyle w:val="1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（3）开标邀请：本项目采用电子交易，采购组织机构将按照采购文件规定的时间通过“新疆政府采购云平台，网址：</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"http://www.zcygov.cn" </w:instrText>
      </w:r>
      <w:r>
        <w:rPr>
          <w:rFonts w:hint="eastAsia" w:ascii="仿宋" w:hAnsi="仿宋" w:eastAsia="仿宋" w:cs="仿宋"/>
          <w:sz w:val="24"/>
          <w:szCs w:val="24"/>
          <w:highlight w:val="none"/>
        </w:rPr>
        <w:fldChar w:fldCharType="separate"/>
      </w:r>
      <w:r>
        <w:rPr>
          <w:rStyle w:val="35"/>
          <w:rFonts w:hint="eastAsia" w:ascii="仿宋" w:hAnsi="仿宋" w:eastAsia="仿宋" w:cs="仿宋"/>
          <w:color w:val="auto"/>
          <w:sz w:val="24"/>
          <w:szCs w:val="24"/>
          <w:highlight w:val="none"/>
          <w:u w:val="none"/>
        </w:rPr>
        <w:t>www.zcygov.cn</w:t>
      </w:r>
      <w:r>
        <w:rPr>
          <w:rStyle w:val="35"/>
          <w:rFonts w:hint="eastAsia" w:ascii="仿宋" w:hAnsi="仿宋" w:eastAsia="仿宋" w:cs="仿宋"/>
          <w:color w:val="auto"/>
          <w:sz w:val="24"/>
          <w:szCs w:val="24"/>
          <w:highlight w:val="none"/>
          <w:u w:val="none"/>
        </w:rPr>
        <w:fldChar w:fldCharType="end"/>
      </w:r>
      <w:r>
        <w:rPr>
          <w:rFonts w:hint="eastAsia" w:ascii="仿宋" w:hAnsi="仿宋" w:eastAsia="仿宋" w:cs="仿宋"/>
          <w:color w:val="auto"/>
          <w:sz w:val="24"/>
          <w:szCs w:val="24"/>
          <w:highlight w:val="none"/>
        </w:rPr>
        <w:t>”组织开标、开启投标响应文件，所有供应商均应当准时在线参加。</w:t>
      </w:r>
    </w:p>
    <w:p w14:paraId="46DF3943">
      <w:pPr>
        <w:pStyle w:val="1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C4DB0E2">
      <w:pPr>
        <w:snapToGrid w:val="0"/>
        <w:spacing w:line="360" w:lineRule="auto"/>
        <w:ind w:firstLine="480" w:firstLineChars="200"/>
        <w:outlineLvl w:val="2"/>
        <w:rPr>
          <w:rFonts w:hint="eastAsia" w:ascii="仿宋" w:hAnsi="仿宋" w:eastAsia="仿宋" w:cs="仿宋"/>
          <w:b/>
          <w:sz w:val="24"/>
          <w:szCs w:val="24"/>
          <w:highlight w:val="none"/>
        </w:rPr>
      </w:pPr>
      <w:bookmarkStart w:id="29" w:name="_Toc12186"/>
      <w:bookmarkStart w:id="30" w:name="_Toc73975823"/>
      <w:bookmarkStart w:id="31" w:name="_Toc7364"/>
      <w:r>
        <w:rPr>
          <w:rFonts w:hint="eastAsia" w:ascii="仿宋" w:hAnsi="仿宋" w:eastAsia="仿宋" w:cs="仿宋"/>
          <w:b/>
          <w:sz w:val="24"/>
          <w:szCs w:val="24"/>
          <w:highlight w:val="none"/>
        </w:rPr>
        <w:t>29.2</w:t>
      </w:r>
      <w:r>
        <w:rPr>
          <w:rFonts w:hint="eastAsia" w:ascii="仿宋" w:hAnsi="仿宋" w:eastAsia="仿宋" w:cs="仿宋"/>
          <w:b/>
          <w:bCs/>
          <w:sz w:val="24"/>
          <w:szCs w:val="24"/>
          <w:highlight w:val="none"/>
        </w:rPr>
        <w:t>开标程序</w:t>
      </w:r>
      <w:bookmarkEnd w:id="29"/>
      <w:bookmarkEnd w:id="30"/>
      <w:bookmarkEnd w:id="31"/>
    </w:p>
    <w:p w14:paraId="69E71E6C">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（1）开标时间到后，</w:t>
      </w:r>
      <w:r>
        <w:rPr>
          <w:rFonts w:hint="eastAsia" w:ascii="仿宋" w:hAnsi="仿宋" w:eastAsia="仿宋" w:cs="仿宋"/>
          <w:b w:val="0"/>
          <w:bCs w:val="0"/>
          <w:sz w:val="24"/>
          <w:szCs w:val="24"/>
          <w:highlight w:val="none"/>
        </w:rPr>
        <w:t>主持人宣布开标会议开始。</w:t>
      </w:r>
    </w:p>
    <w:p w14:paraId="1F51AAF2">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w:t>
      </w:r>
      <w:r>
        <w:rPr>
          <w:rFonts w:hint="eastAsia" w:ascii="仿宋" w:hAnsi="仿宋" w:eastAsia="仿宋" w:cs="仿宋"/>
          <w:b w:val="0"/>
          <w:bCs w:val="0"/>
          <w:kern w:val="0"/>
          <w:sz w:val="24"/>
          <w:szCs w:val="24"/>
          <w:highlight w:val="none"/>
        </w:rPr>
        <w:t>投标文件解密（解密规定见《供应商须知前附表》）</w:t>
      </w:r>
      <w:r>
        <w:rPr>
          <w:rFonts w:hint="eastAsia" w:ascii="仿宋" w:hAnsi="仿宋" w:eastAsia="仿宋" w:cs="仿宋"/>
          <w:b w:val="0"/>
          <w:bCs w:val="0"/>
          <w:sz w:val="24"/>
          <w:szCs w:val="24"/>
          <w:highlight w:val="none"/>
        </w:rPr>
        <w:t>。</w:t>
      </w:r>
    </w:p>
    <w:p w14:paraId="0D4C4EAE">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r>
        <w:rPr>
          <w:rFonts w:hint="eastAsia" w:ascii="仿宋" w:hAnsi="仿宋" w:eastAsia="仿宋" w:cs="仿宋"/>
          <w:b w:val="0"/>
          <w:bCs w:val="0"/>
          <w:kern w:val="0"/>
          <w:sz w:val="24"/>
          <w:szCs w:val="24"/>
          <w:highlight w:val="none"/>
        </w:rPr>
        <w:t>投标文件解密异常情况处理（处理办法见《供应商须知前附表》）</w:t>
      </w:r>
      <w:r>
        <w:rPr>
          <w:rFonts w:hint="eastAsia" w:ascii="仿宋" w:hAnsi="仿宋" w:eastAsia="仿宋" w:cs="仿宋"/>
          <w:b w:val="0"/>
          <w:bCs w:val="0"/>
          <w:sz w:val="24"/>
          <w:szCs w:val="24"/>
          <w:highlight w:val="none"/>
        </w:rPr>
        <w:t>。</w:t>
      </w:r>
    </w:p>
    <w:p w14:paraId="7EC0A1F7">
      <w:pPr>
        <w:snapToGrid w:val="0"/>
        <w:spacing w:line="360" w:lineRule="auto"/>
        <w:ind w:firstLine="480" w:firstLineChars="200"/>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4）公布投标文件解密情况（投标文件成功解密的供应商名单等信息），组织签署《政府采购活动现场确认声明书》（将通过电子邮件形式组织签署），供应商应在20分钟内通过邮件形式将经签署的《政府采购活动现场确认声明书》发送至采购代理机构指定邮箱</w:t>
      </w:r>
      <w:r>
        <w:rPr>
          <w:rFonts w:hint="eastAsia" w:ascii="仿宋" w:hAnsi="仿宋" w:eastAsia="仿宋" w:cs="仿宋"/>
          <w:b w:val="0"/>
          <w:bCs w:val="0"/>
          <w:kern w:val="0"/>
          <w:sz w:val="24"/>
          <w:szCs w:val="24"/>
          <w:highlight w:val="none"/>
          <w:lang w:val="en-US" w:eastAsia="zh-CN"/>
        </w:rPr>
        <w:t>19246091</w:t>
      </w:r>
      <w:r>
        <w:rPr>
          <w:rFonts w:hint="eastAsia" w:ascii="仿宋" w:hAnsi="仿宋" w:eastAsia="仿宋" w:cs="仿宋"/>
          <w:b w:val="0"/>
          <w:bCs w:val="0"/>
          <w:kern w:val="0"/>
          <w:sz w:val="24"/>
          <w:szCs w:val="24"/>
          <w:highlight w:val="none"/>
        </w:rPr>
        <w:t>@qq.c</w:t>
      </w:r>
      <w:r>
        <w:rPr>
          <w:rFonts w:hint="eastAsia" w:ascii="仿宋" w:hAnsi="仿宋" w:eastAsia="仿宋" w:cs="仿宋"/>
          <w:b w:val="0"/>
          <w:bCs w:val="0"/>
          <w:kern w:val="0"/>
          <w:sz w:val="24"/>
          <w:szCs w:val="24"/>
          <w:highlight w:val="none"/>
          <w:lang w:val="en-US" w:eastAsia="zh-CN"/>
        </w:rPr>
        <w:t>o</w:t>
      </w:r>
      <w:r>
        <w:rPr>
          <w:rFonts w:hint="eastAsia" w:ascii="仿宋" w:hAnsi="仿宋" w:eastAsia="仿宋" w:cs="仿宋"/>
          <w:b w:val="0"/>
          <w:bCs w:val="0"/>
          <w:kern w:val="0"/>
          <w:sz w:val="24"/>
          <w:szCs w:val="24"/>
          <w:highlight w:val="none"/>
        </w:rPr>
        <w:t>m ，逾期发送或未发送的视为无异议。</w:t>
      </w:r>
    </w:p>
    <w:p w14:paraId="33B79AE7">
      <w:pPr>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（5）开启标书信息。标书信息开启后，首先由采购人或采购代理机构或评审小组依法对投标供应商的资格证明文件进行审查（具体见本章“29.3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5856EF2F">
      <w:pPr>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（6）商务技术评审结束后，主持人公布商务技术评审无效投标供应商名单和商务技术评审有效投标供应商名单及其商务技术得分情况</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商务技术评审无效的供应商，其报价不再进入评审。</w:t>
      </w:r>
    </w:p>
    <w:p w14:paraId="506F1A27">
      <w:pPr>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（7）开启有效投标供应商的报价，公布开标一览表有关内容，</w:t>
      </w:r>
      <w:r>
        <w:rPr>
          <w:rFonts w:hint="eastAsia" w:ascii="仿宋" w:hAnsi="仿宋" w:eastAsia="仿宋" w:cs="仿宋"/>
          <w:sz w:val="24"/>
          <w:szCs w:val="24"/>
          <w:highlight w:val="none"/>
          <w:lang w:bidi="zh-CN"/>
        </w:rPr>
        <w:t>并【开启签字时段】，供应商对开标纪录进行在线签字确认（不予确认的应说明理由，否则视为无异议）</w:t>
      </w:r>
      <w:r>
        <w:rPr>
          <w:rFonts w:hint="eastAsia" w:ascii="仿宋" w:hAnsi="仿宋" w:eastAsia="仿宋" w:cs="仿宋"/>
          <w:kern w:val="0"/>
          <w:sz w:val="24"/>
          <w:szCs w:val="24"/>
          <w:highlight w:val="none"/>
        </w:rPr>
        <w:t>。开标结束后，由评标委员会对报价的合理性、准确性等进行审查核实</w:t>
      </w:r>
      <w:r>
        <w:rPr>
          <w:rFonts w:hint="eastAsia" w:ascii="仿宋" w:hAnsi="仿宋" w:eastAsia="仿宋" w:cs="仿宋"/>
          <w:sz w:val="24"/>
          <w:szCs w:val="24"/>
          <w:highlight w:val="none"/>
        </w:rPr>
        <w:t>。</w:t>
      </w:r>
    </w:p>
    <w:p w14:paraId="728BBD4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kern w:val="0"/>
          <w:sz w:val="24"/>
          <w:szCs w:val="24"/>
          <w:highlight w:val="none"/>
        </w:rPr>
        <w:t>评审结束后，采购代理机构在系统上公布评审结果。</w:t>
      </w:r>
    </w:p>
    <w:p w14:paraId="6BF63A5D">
      <w:pPr>
        <w:snapToGrid w:val="0"/>
        <w:spacing w:line="360" w:lineRule="auto"/>
        <w:ind w:left="480"/>
        <w:rPr>
          <w:rFonts w:hint="eastAsia" w:ascii="仿宋" w:hAnsi="仿宋" w:eastAsia="仿宋" w:cs="仿宋"/>
          <w:b/>
          <w:sz w:val="24"/>
          <w:szCs w:val="24"/>
          <w:highlight w:val="none"/>
        </w:rPr>
      </w:pPr>
      <w:r>
        <w:rPr>
          <w:rFonts w:hint="eastAsia" w:ascii="仿宋" w:hAnsi="仿宋" w:eastAsia="仿宋" w:cs="仿宋"/>
          <w:b/>
          <w:sz w:val="24"/>
          <w:szCs w:val="24"/>
          <w:highlight w:val="none"/>
        </w:rPr>
        <w:t>特别情况说明：</w:t>
      </w:r>
    </w:p>
    <w:p w14:paraId="196BD0EF">
      <w:pPr>
        <w:snapToGrid w:val="0"/>
        <w:spacing w:line="360" w:lineRule="auto"/>
        <w:ind w:firstLine="424" w:firstLineChars="177"/>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（1）本项目采用电子交易，如遇“新疆政府采购云平台”电子化开标或评审程序调整的，按调整后程序执行。</w:t>
      </w:r>
    </w:p>
    <w:p w14:paraId="6086ED17">
      <w:pPr>
        <w:snapToGrid w:val="0"/>
        <w:spacing w:line="360" w:lineRule="auto"/>
        <w:ind w:firstLine="424" w:firstLineChars="177"/>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kern w:val="0"/>
          <w:sz w:val="24"/>
          <w:szCs w:val="24"/>
          <w:highlight w:val="none"/>
        </w:rPr>
        <w:t>。</w:t>
      </w:r>
    </w:p>
    <w:p w14:paraId="42758863">
      <w:pPr>
        <w:snapToGrid w:val="0"/>
        <w:spacing w:line="360" w:lineRule="auto"/>
        <w:ind w:firstLine="480"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29.3 投标供应商资格审查：</w:t>
      </w:r>
    </w:p>
    <w:p w14:paraId="791F8CB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Cs/>
          <w:kern w:val="0"/>
          <w:sz w:val="24"/>
          <w:szCs w:val="24"/>
          <w:highlight w:val="none"/>
        </w:rPr>
        <w:t>开标（标书信息开启）后，采购人或采购代理机构或</w:t>
      </w:r>
      <w:r>
        <w:rPr>
          <w:rFonts w:hint="eastAsia" w:ascii="仿宋" w:hAnsi="仿宋" w:eastAsia="仿宋" w:cs="仿宋"/>
          <w:kern w:val="0"/>
          <w:sz w:val="24"/>
          <w:szCs w:val="24"/>
          <w:highlight w:val="none"/>
        </w:rPr>
        <w:t>评审小组</w:t>
      </w:r>
      <w:r>
        <w:rPr>
          <w:rFonts w:hint="eastAsia" w:ascii="仿宋" w:hAnsi="仿宋" w:eastAsia="仿宋" w:cs="仿宋"/>
          <w:bCs/>
          <w:kern w:val="0"/>
          <w:sz w:val="24"/>
          <w:szCs w:val="24"/>
          <w:highlight w:val="none"/>
        </w:rPr>
        <w:t>首先依法对投标供应商的资格文件进行审查，审查各投标供应商的资格符合情况。</w:t>
      </w:r>
      <w:r>
        <w:rPr>
          <w:rFonts w:hint="eastAsia" w:ascii="仿宋" w:hAnsi="仿宋" w:eastAsia="仿宋" w:cs="仿宋"/>
          <w:sz w:val="24"/>
          <w:szCs w:val="24"/>
          <w:highlight w:val="none"/>
        </w:rPr>
        <w:t>采购人或采购代理机构</w:t>
      </w:r>
      <w:r>
        <w:rPr>
          <w:rFonts w:hint="eastAsia" w:ascii="仿宋" w:hAnsi="仿宋" w:eastAsia="仿宋" w:cs="仿宋"/>
          <w:bCs/>
          <w:kern w:val="0"/>
          <w:sz w:val="24"/>
          <w:szCs w:val="24"/>
          <w:highlight w:val="none"/>
        </w:rPr>
        <w:t>或</w:t>
      </w:r>
      <w:r>
        <w:rPr>
          <w:rFonts w:hint="eastAsia" w:ascii="仿宋" w:hAnsi="仿宋" w:eastAsia="仿宋" w:cs="仿宋"/>
          <w:kern w:val="0"/>
          <w:sz w:val="24"/>
          <w:szCs w:val="24"/>
          <w:highlight w:val="none"/>
        </w:rPr>
        <w:t>评审小组</w:t>
      </w:r>
      <w:r>
        <w:rPr>
          <w:rFonts w:hint="eastAsia" w:ascii="仿宋" w:hAnsi="仿宋" w:eastAsia="仿宋" w:cs="仿宋"/>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14:paraId="6F13CD8C">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6B739AD5">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（3）供应商信用记录查询与使用：见《供应商须知前附表》。</w:t>
      </w:r>
    </w:p>
    <w:p w14:paraId="34AD9BFA">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30.评审工作的组织</w:t>
      </w:r>
    </w:p>
    <w:p w14:paraId="3A602113">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采购人或采购代理机构负责组织本项目的评审工作，并依据《政府采购货物和服务招标投标管理办法（财政部第87号令）》第四十五条的相关规定履行职责。</w:t>
      </w:r>
    </w:p>
    <w:p w14:paraId="4823D33D">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31. 评标委员会的组建</w:t>
      </w:r>
    </w:p>
    <w:p w14:paraId="71C346E9">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31.1评标委员会由采购人或采购代理机构依法组建，成员由采购人代表和评审专家组成，成员人数为</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人或以上单数，其中评审专家不少于成员总数的三分之二。</w:t>
      </w:r>
    </w:p>
    <w:p w14:paraId="171F87A2">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31.2评审专家从新疆政府采购云平台专家库中通过随机方式抽取产生。评标委员会成员名单在采购结果公告前保密。</w:t>
      </w:r>
    </w:p>
    <w:p w14:paraId="505F773A">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32.评标委员会的职责</w:t>
      </w:r>
    </w:p>
    <w:p w14:paraId="16231FE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32.1审查、评价投标文件是否符合采购文件的商务、技术等实质性要求。</w:t>
      </w:r>
    </w:p>
    <w:p w14:paraId="546C447F">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32.2要求供应商对投标文件有关事项作出澄清或者说明。</w:t>
      </w:r>
    </w:p>
    <w:p w14:paraId="42423667">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32.3对投标文件进行比较和评价。</w:t>
      </w:r>
    </w:p>
    <w:p w14:paraId="2EA1E505">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32.4确定中标候选人名单，以及根据采购人委托直接确定中标人。</w:t>
      </w:r>
    </w:p>
    <w:p w14:paraId="2DE1CC1E">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32.5向采购人、采购代理机构或者有关部门报告评审中发现的违法行为。</w:t>
      </w:r>
    </w:p>
    <w:p w14:paraId="59E17467">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33. 评标原则</w:t>
      </w:r>
    </w:p>
    <w:p w14:paraId="404C899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33.1评标委员会将遵循公平、公正、科学的原则，对供应商提交的投标文件进行综合评审，评标委员会按照采购文件规定的评标细则进行评分。</w:t>
      </w:r>
    </w:p>
    <w:p w14:paraId="683DF93F">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33.2客观公正对待所有供应商，对所有投标评价均采用相同的程序和标准。 </w:t>
      </w:r>
    </w:p>
    <w:p w14:paraId="6A02E76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33.3评标委员会成员对需要共同认定的事项存在争议的，按照少数服从多数的原则作出结论。持不同意见的评标委员会成员应当在评审报告上签署不同意见及理由，否则视为同意评审报告。</w:t>
      </w:r>
    </w:p>
    <w:p w14:paraId="1438F4FC">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34. 评委纪律</w:t>
      </w:r>
    </w:p>
    <w:p w14:paraId="3CC69DB3">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成员必须严格遵守保密规定，不得泄露评审的有关情况，任何单位和个人不得干扰、影响评标的正常进行，评标委员会成员不得私下与投标供应商接触，不得出现新疆政府采购活动现场组织管理办法中规定的其他禁止行为。</w:t>
      </w:r>
    </w:p>
    <w:p w14:paraId="5E2365E4">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35.评标程序</w:t>
      </w:r>
    </w:p>
    <w:p w14:paraId="0A4767BA">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35.1 在评审专家中推选评标委员会组长，采购人代表不得担任评标委员会组长。</w:t>
      </w:r>
    </w:p>
    <w:p w14:paraId="680D79F4">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55A91E0C">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35.3 评审人员对符合资格的供应商的投标文件的有效性、符合性、完整性和响应程度进行审查，确定是否对采购文件作出实质性响应。</w:t>
      </w:r>
    </w:p>
    <w:p w14:paraId="33A1452F">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35.4 评审人员按采购文件规定的评审方法和评审标准，依法独立对供应商投标文件进行评估、比较，并给予评价或打分，不受任何单位和个人的干预。</w:t>
      </w:r>
    </w:p>
    <w:p w14:paraId="6DC1519F">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35.5符合性审查。</w:t>
      </w:r>
      <w:r>
        <w:rPr>
          <w:rFonts w:hint="eastAsia" w:ascii="仿宋" w:hAnsi="仿宋" w:eastAsia="仿宋" w:cs="仿宋"/>
          <w:kern w:val="0"/>
          <w:sz w:val="24"/>
          <w:szCs w:val="24"/>
          <w:highlight w:val="none"/>
        </w:rPr>
        <w:t>磋商小组应当对符合资格的磋商供应商的磋商响应文件进行符合性审查，以确定其是否满足采购文件的实质性要求。不满足采购文件的实质性要求的，投标无效。</w:t>
      </w:r>
    </w:p>
    <w:p w14:paraId="3841E8F9">
      <w:pPr>
        <w:adjustRightIn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35.6与各磋商响应方进行磋商。</w:t>
      </w:r>
    </w:p>
    <w:p w14:paraId="37C78928">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小组与符合要求的供应商进行磋商。磋商小组所有成员按照响应文件递交签到次序集中与单一供应商分别进行磋商，并给予所有参加磋商的供应商平等的磋商机会。磋商过程中，磋商小组可以根据磋商情况调整轮次。</w:t>
      </w:r>
    </w:p>
    <w:p w14:paraId="136F1A98">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经磋商确定采购文件的变动情况。对采购文件作出的实质性变动是采购文件的有效组成部分，磋商小组应当及时以书面形式同时通知所有参加磋商的供应商。</w:t>
      </w:r>
    </w:p>
    <w:p w14:paraId="33F0C423">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小组应当按照采购文件中规定的评标方法和标准，对符合性审查合格的响应文件进行商务和技术评估，综合比较与评价。磋商小组各成员应当独立对每个磋商响应方的商务和技术文件进行评价，并汇总商务技术得分情况。</w:t>
      </w:r>
    </w:p>
    <w:p w14:paraId="636D006F">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各磋商响应方在本项目全部磋商结束后在规定时间内进行最后报价（供应商需在30分钟内线上提交最终报价）。</w:t>
      </w:r>
    </w:p>
    <w:p w14:paraId="10E840EA">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35.7汇总商务技术得分。</w:t>
      </w:r>
      <w:r>
        <w:rPr>
          <w:rFonts w:hint="eastAsia" w:ascii="仿宋" w:hAnsi="仿宋" w:eastAsia="仿宋" w:cs="仿宋"/>
          <w:kern w:val="0"/>
          <w:sz w:val="24"/>
          <w:szCs w:val="24"/>
          <w:highlight w:val="none"/>
        </w:rPr>
        <w:t>磋商小组各成员应当独立对每个磋商供应商的商务和技术文件进行评价，并汇总商务技术得分情况。</w:t>
      </w:r>
    </w:p>
    <w:p w14:paraId="5F54C5E3">
      <w:pPr>
        <w:adjustRightIn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35.8报价评审。</w:t>
      </w:r>
    </w:p>
    <w:p w14:paraId="771645F0">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磋商响应文件报价出现前后不一致的，按照下列规定修正：</w:t>
      </w:r>
    </w:p>
    <w:p w14:paraId="223A32C9">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磋商响应文件中开标一览表(报价表)内容与磋商响应文件中相应内容不一致的，以开标一览表(报价表)为准;</w:t>
      </w:r>
    </w:p>
    <w:p w14:paraId="327BBBFD">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大写金额和小写金额不一致的，以大写金额为准;</w:t>
      </w:r>
    </w:p>
    <w:p w14:paraId="054A4BB1">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单价金额小数点或者百分比有明显错位的，以开标一览表的总价为准，并修改单价;</w:t>
      </w:r>
    </w:p>
    <w:p w14:paraId="7B08EE73">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总价金额与按单价汇总金额不一致的，以单价金额计算结果为准。</w:t>
      </w:r>
    </w:p>
    <w:p w14:paraId="45858F40">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同时出现两种以上不一致的，按照规定的顺序修正。</w:t>
      </w:r>
    </w:p>
    <w:p w14:paraId="033425A5">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磋商响应文件出现不是唯一的、有选择性投标报价的，投标无效。</w:t>
      </w:r>
    </w:p>
    <w:p w14:paraId="76522652">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投标报价超过采购文件中规定的预算金额或者最高限价的，投标无效。</w:t>
      </w:r>
    </w:p>
    <w:p w14:paraId="5E7E13B2">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小组认为磋商供应商的报价明显低于其他通过符合性审查磋商供应商的报价，有可能影响产品质量或者不能诚信履约的，应当要求其在合理的时间内提供书面说明，必要时提交相关证明材料;磋商供应商不能证明其报价合理性的，磋商小组应当将其作为无效投标处理。</w:t>
      </w:r>
    </w:p>
    <w:p w14:paraId="1D9CF16A">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35.9排序与推荐。</w:t>
      </w:r>
      <w:r>
        <w:rPr>
          <w:rFonts w:hint="eastAsia" w:ascii="仿宋" w:hAnsi="仿宋" w:eastAsia="仿宋" w:cs="仿宋"/>
          <w:kern w:val="0"/>
          <w:sz w:val="24"/>
          <w:szCs w:val="24"/>
          <w:highlight w:val="none"/>
        </w:rPr>
        <w:t>采用综合评分法的，评标结果按评审后得分由高到低顺序排列。得分相同的，按投标报价由低到高顺序排列。得分且投标报价相同的并列。响应文件满足招标文件全部实质性要求，且按照评审因素的量化指标评审得分最高的</w:t>
      </w:r>
      <w:r>
        <w:rPr>
          <w:rFonts w:hint="eastAsia" w:ascii="仿宋" w:hAnsi="仿宋" w:eastAsia="仿宋" w:cs="仿宋"/>
          <w:kern w:val="0"/>
          <w:sz w:val="24"/>
          <w:szCs w:val="24"/>
          <w:highlight w:val="none"/>
          <w:lang w:eastAsia="zh-CN"/>
        </w:rPr>
        <w:t>前四名</w:t>
      </w:r>
      <w:r>
        <w:rPr>
          <w:rFonts w:hint="eastAsia" w:ascii="仿宋" w:hAnsi="仿宋" w:eastAsia="仿宋" w:cs="仿宋"/>
          <w:kern w:val="0"/>
          <w:sz w:val="24"/>
          <w:szCs w:val="24"/>
          <w:highlight w:val="none"/>
        </w:rPr>
        <w:t>投标人为中标候选人。</w:t>
      </w:r>
    </w:p>
    <w:p w14:paraId="497B6099">
      <w:pPr>
        <w:widowControl/>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95132AE">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综合评分法</w:t>
      </w:r>
      <w:r>
        <w:rPr>
          <w:rFonts w:hint="eastAsia" w:ascii="仿宋" w:hAnsi="仿宋" w:eastAsia="仿宋" w:cs="仿宋"/>
          <w:kern w:val="0"/>
          <w:sz w:val="24"/>
          <w:szCs w:val="24"/>
          <w:highlight w:val="none"/>
          <w:lang w:eastAsia="zh-CN"/>
        </w:rPr>
        <w:t>服务</w:t>
      </w:r>
      <w:r>
        <w:rPr>
          <w:rFonts w:hint="eastAsia" w:ascii="仿宋" w:hAnsi="仿宋" w:eastAsia="仿宋" w:cs="仿宋"/>
          <w:kern w:val="0"/>
          <w:sz w:val="24"/>
          <w:szCs w:val="24"/>
          <w:highlight w:val="none"/>
        </w:rPr>
        <w:t>项目的价格分值占总分值的比重(</w:t>
      </w:r>
      <w:r>
        <w:rPr>
          <w:rFonts w:hint="eastAsia" w:ascii="仿宋" w:hAnsi="仿宋" w:eastAsia="仿宋" w:cs="仿宋"/>
          <w:color w:val="auto"/>
          <w:kern w:val="0"/>
          <w:sz w:val="24"/>
          <w:szCs w:val="24"/>
          <w:highlight w:val="none"/>
        </w:rPr>
        <w:t>即权值)为</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％，采购项目</w:t>
      </w:r>
      <w:r>
        <w:rPr>
          <w:rFonts w:hint="eastAsia" w:ascii="仿宋" w:hAnsi="仿宋" w:eastAsia="仿宋" w:cs="仿宋"/>
          <w:kern w:val="0"/>
          <w:sz w:val="24"/>
          <w:szCs w:val="24"/>
          <w:highlight w:val="none"/>
        </w:rPr>
        <w:t>中含不同采购对象的，以占项目资金比例最高的采购对象确定其项目属性。其价格不列为评分因素，有特殊情况需要在上述规定范围外设定价格分权重的。</w:t>
      </w:r>
    </w:p>
    <w:p w14:paraId="2F5A571F">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综合评分法中的价格分统一采用</w:t>
      </w:r>
      <w:r>
        <w:rPr>
          <w:rFonts w:hint="eastAsia" w:ascii="仿宋" w:hAnsi="仿宋" w:eastAsia="仿宋" w:cs="仿宋"/>
          <w:kern w:val="0"/>
          <w:sz w:val="24"/>
          <w:szCs w:val="24"/>
          <w:highlight w:val="none"/>
          <w:lang w:eastAsia="zh-CN"/>
        </w:rPr>
        <w:t>高</w:t>
      </w:r>
      <w:r>
        <w:rPr>
          <w:rFonts w:hint="eastAsia" w:ascii="仿宋" w:hAnsi="仿宋" w:eastAsia="仿宋" w:cs="仿宋"/>
          <w:kern w:val="0"/>
          <w:sz w:val="24"/>
          <w:szCs w:val="24"/>
          <w:highlight w:val="none"/>
        </w:rPr>
        <w:t>价优先法计算，即满足磋商文件要求且最后报价最</w:t>
      </w:r>
      <w:r>
        <w:rPr>
          <w:rFonts w:hint="eastAsia" w:ascii="仿宋" w:hAnsi="仿宋" w:eastAsia="仿宋" w:cs="仿宋"/>
          <w:kern w:val="0"/>
          <w:sz w:val="24"/>
          <w:szCs w:val="24"/>
          <w:highlight w:val="none"/>
          <w:lang w:eastAsia="zh-CN"/>
        </w:rPr>
        <w:t>高</w:t>
      </w:r>
      <w:r>
        <w:rPr>
          <w:rFonts w:hint="eastAsia" w:ascii="仿宋" w:hAnsi="仿宋" w:eastAsia="仿宋" w:cs="仿宋"/>
          <w:kern w:val="0"/>
          <w:sz w:val="24"/>
          <w:szCs w:val="24"/>
          <w:highlight w:val="none"/>
        </w:rPr>
        <w:t>的供应商的价格为招标基准价，其价格分为满分。其他供应商的价格分统一按照下列公式计算：</w:t>
      </w:r>
    </w:p>
    <w:p w14:paraId="5E1CF6AE">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投标报价得分=（基准价/投标报价）×价格权值×100</w:t>
      </w:r>
    </w:p>
    <w:p w14:paraId="4907ACCA">
      <w:pPr>
        <w:widowControl/>
        <w:spacing w:line="440" w:lineRule="exact"/>
        <w:ind w:firstLine="48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项目评审过程中，不得去掉最后报价中的最高报价和最低报价。</w:t>
      </w:r>
    </w:p>
    <w:p w14:paraId="2D5215EC">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434C9943">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评审人员需对采购方工作人员唱票或统计的评审结果进行确认，现场监督员应对评审结果签署监督意见。如发现分值汇总计算错误、分项评分超出评分标准范围、客观评分不一致以及存在评分畸高、畸低（其总评分偏</w:t>
      </w:r>
      <w:r>
        <w:rPr>
          <w:rFonts w:hint="eastAsia" w:ascii="仿宋" w:hAnsi="仿宋" w:eastAsia="仿宋" w:cs="仿宋"/>
          <w:color w:val="auto"/>
          <w:sz w:val="24"/>
          <w:szCs w:val="24"/>
          <w:highlight w:val="none"/>
        </w:rPr>
        <w:t>离平均分30%以上的）情</w:t>
      </w:r>
      <w:r>
        <w:rPr>
          <w:rFonts w:hint="eastAsia" w:ascii="仿宋" w:hAnsi="仿宋" w:eastAsia="仿宋" w:cs="仿宋"/>
          <w:sz w:val="24"/>
          <w:szCs w:val="24"/>
          <w:highlight w:val="none"/>
        </w:rPr>
        <w:t>形的，应由相关人员当场改正或作出书面说明；拒不改正又不作书面说明的，由现场监督员如实记载后存入项目档案资料。</w:t>
      </w:r>
    </w:p>
    <w:p w14:paraId="43BFBCEF">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评标委员会根据评审汇总情况和采购文件规定确定中标候选供应商排序名单。</w:t>
      </w:r>
    </w:p>
    <w:p w14:paraId="1B45BAF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 xml:space="preserve">起草评审报告，所有评审人员须在评审报告上签字确认，对自己的评审意见承担法律责任。 </w:t>
      </w:r>
    </w:p>
    <w:p w14:paraId="2A33DBB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采购组织机构对评标委员会评审专家进行评价。</w:t>
      </w:r>
    </w:p>
    <w:p w14:paraId="7E6A573D">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修改评审结果</w:t>
      </w:r>
    </w:p>
    <w:p w14:paraId="585C372A">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评标结果汇总完成后，除下列情形外，任何人不得修改评标结果：</w:t>
      </w:r>
    </w:p>
    <w:p w14:paraId="58029E84">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（1）分值汇总计算错误的；</w:t>
      </w:r>
    </w:p>
    <w:p w14:paraId="2CF561FE">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（2）分项评分超出评分标准范围的；</w:t>
      </w:r>
    </w:p>
    <w:p w14:paraId="01AA225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（3）评标委员会成员对客观评审因素评分不一致的；</w:t>
      </w:r>
    </w:p>
    <w:p w14:paraId="1AE99764">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（4）经评标委员会认定评分畸高、畸低的。</w:t>
      </w:r>
    </w:p>
    <w:p w14:paraId="19746632">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注：</w:t>
      </w:r>
      <w:r>
        <w:rPr>
          <w:rFonts w:hint="eastAsia" w:ascii="仿宋" w:hAnsi="仿宋" w:eastAsia="仿宋" w:cs="仿宋"/>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06001D5">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36．澄清、说明或补正的形式</w:t>
      </w:r>
    </w:p>
    <w:p w14:paraId="41C1F3B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sz w:val="24"/>
          <w:szCs w:val="24"/>
          <w:highlight w:val="none"/>
        </w:rPr>
        <w:t>投标供应商澄清、说明或补正时间为20分钟</w:t>
      </w:r>
      <w:r>
        <w:rPr>
          <w:rFonts w:hint="eastAsia" w:ascii="仿宋" w:hAnsi="仿宋" w:eastAsia="仿宋" w:cs="仿宋"/>
          <w:sz w:val="24"/>
          <w:szCs w:val="24"/>
          <w:highlight w:val="none"/>
        </w:rPr>
        <w:t>。</w:t>
      </w:r>
    </w:p>
    <w:p w14:paraId="013046F1">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3BDE5AAF">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1AB2222">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37．错误修正的原则</w:t>
      </w:r>
    </w:p>
    <w:p w14:paraId="5F80748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37.1</w:t>
      </w:r>
      <w:r>
        <w:rPr>
          <w:rFonts w:hint="eastAsia" w:ascii="仿宋" w:hAnsi="仿宋" w:eastAsia="仿宋" w:cs="仿宋"/>
          <w:sz w:val="24"/>
          <w:szCs w:val="24"/>
          <w:highlight w:val="none"/>
        </w:rPr>
        <w:t>电子交易平台客户端里开标一览表录入的投标报价或优惠率与扫描上传的报价文件信息不一致的，以扫描上传的报价文件信息为准进行修正。</w:t>
      </w:r>
    </w:p>
    <w:p w14:paraId="61AA946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37.2</w:t>
      </w:r>
      <w:r>
        <w:rPr>
          <w:rFonts w:hint="eastAsia" w:ascii="仿宋" w:hAnsi="仿宋" w:eastAsia="仿宋" w:cs="仿宋"/>
          <w:sz w:val="24"/>
          <w:szCs w:val="24"/>
          <w:highlight w:val="none"/>
        </w:rPr>
        <w:t>投标文件报价出现前后不一致的，除采购文件另有规定外，按照下列规定修正：</w:t>
      </w:r>
    </w:p>
    <w:p w14:paraId="2F87F7D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投标函中表述的内容与报价表中不一致的，以报价表为准；报价表中的内容与报价明细表不一致的，以报价表为准；</w:t>
      </w:r>
    </w:p>
    <w:p w14:paraId="3AD231C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 投标文件中的大写金额和小写金额不一致的，以大写金额为准；</w:t>
      </w:r>
    </w:p>
    <w:p w14:paraId="4A36723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单价金额小数点或者百分比有明显错位的，以开标一览表的总价为准，并修改单价；</w:t>
      </w:r>
    </w:p>
    <w:p w14:paraId="0E64950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 总价金额与按单价汇总金额不一致的，以单价金额计算结果为准；</w:t>
      </w:r>
    </w:p>
    <w:p w14:paraId="5B37122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若用文字表示的数值与用数字表示的数值不一致，以文字表示的数值为准；</w:t>
      </w:r>
    </w:p>
    <w:p w14:paraId="612AD2E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如有多报（指数量超出采购文件需求）、重报（指同一货物重复报价），其投标总价在评标过程中不予调整，如其中标，其合同价按其投标单价予以调整；</w:t>
      </w:r>
    </w:p>
    <w:p w14:paraId="187E8C3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对不同文字文本投标文件的解释发生异议的，以中文文本为准；</w:t>
      </w:r>
    </w:p>
    <w:p w14:paraId="1A0D52A6">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lang w:eastAsia="zh-CN"/>
        </w:rPr>
        <w:t>注：</w:t>
      </w:r>
      <w:r>
        <w:rPr>
          <w:rFonts w:hint="eastAsia" w:ascii="仿宋" w:hAnsi="仿宋" w:eastAsia="仿宋" w:cs="仿宋"/>
          <w:sz w:val="24"/>
          <w:szCs w:val="24"/>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val="0"/>
          <w:bCs w:val="0"/>
          <w:sz w:val="24"/>
          <w:szCs w:val="24"/>
          <w:highlight w:val="none"/>
        </w:rPr>
        <w:t>修正应当采用电子询标的形式，并加盖公章（电子印章）。</w:t>
      </w:r>
    </w:p>
    <w:p w14:paraId="001575D8">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38．无效投标文件</w:t>
      </w:r>
    </w:p>
    <w:p w14:paraId="6DE4468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有下列情形之一的，投标文件按无效标处理：</w:t>
      </w:r>
    </w:p>
    <w:p w14:paraId="51D4891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 报名的投标人与参加投标的投标人发生实质性变更的且未提供有效证明的；</w:t>
      </w:r>
    </w:p>
    <w:p w14:paraId="1C6BBBD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38.2投标人提交两份或两份以上内容不同的投标文件，未声明哪一份有效的；</w:t>
      </w:r>
    </w:p>
    <w:p w14:paraId="6A562D1E">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38.3 投标文件非投标人法定代表人签署的，未提供或提供无效的法定代表人授权书；</w:t>
      </w:r>
    </w:p>
    <w:p w14:paraId="431CFA3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38.4 未按磋商文件规定装订；</w:t>
      </w:r>
    </w:p>
    <w:p w14:paraId="04B3532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38.5 投标文件内容未按磋商文件规定签字或盖章的；</w:t>
      </w:r>
    </w:p>
    <w:p w14:paraId="7F7989C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38.6 投标文件组成漏项或未按规定的格式编制或投标文件正、副本份数不足或内容不全或内容字迹模糊辨认不清的等而导致评标活动无法正常进行；</w:t>
      </w:r>
    </w:p>
    <w:p w14:paraId="7F51768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38.7 投标人未按磋商文件变更通知更改投标文件的；</w:t>
      </w:r>
    </w:p>
    <w:p w14:paraId="57284BA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38.8 《开标一览表》和《投标分项报价表》内容不完整且不接受修正意见或字迹不能辨认的或未提供；</w:t>
      </w:r>
    </w:p>
    <w:p w14:paraId="49B4C33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38.9 标项投标报价超过磋商文件规定的预算金额或最高限价</w:t>
      </w:r>
    </w:p>
    <w:p w14:paraId="32F01E9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38.10 因投标人原因编制错误造成经评标委员会修正后的报价达到或超过投标报价的0.5%；</w:t>
      </w:r>
    </w:p>
    <w:p w14:paraId="6E09A43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38.11 投标人的报价明显低于其他通过符合性审查投标人的报价，有可能影响产品质量或者不能诚信履约的，且在规定时间内不能合理说明原因并提供证明材料的；</w:t>
      </w:r>
    </w:p>
    <w:p w14:paraId="5089982D">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38.12 未实质性响应磋商文件中条款要求的投标文件；</w:t>
      </w:r>
    </w:p>
    <w:p w14:paraId="7ACE730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38.13 不符合招标范围、技术规格、技术标准的要求无法满足采购人使用要求；</w:t>
      </w:r>
    </w:p>
    <w:p w14:paraId="51E1F13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38.14 投标文件附有采购人不能接受的条款；</w:t>
      </w:r>
    </w:p>
    <w:p w14:paraId="19B30E38">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38.15 投标文件中提供了赠品或者与本项目采购无关的其他商品、服务；</w:t>
      </w:r>
    </w:p>
    <w:p w14:paraId="2986F66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38.16 投标文件中承诺的投标有效期少于磋商文件中载明的投标有效期；</w:t>
      </w:r>
    </w:p>
    <w:p w14:paraId="2B76E34A">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38.17投标人串通投标，妨碍其他投标人的竞争行为，损害采购人或者其他投标人的合法权益；</w:t>
      </w:r>
    </w:p>
    <w:p w14:paraId="0F60FCF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38.18违反国家及政府部门相关法律、法规、文件规定或经评标委员会认定的其他属于重大偏离；</w:t>
      </w:r>
    </w:p>
    <w:p w14:paraId="1017AEA0">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39．废标</w:t>
      </w:r>
    </w:p>
    <w:p w14:paraId="267D9B4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39.1 符合磋商文件规定废标情形的；</w:t>
      </w:r>
    </w:p>
    <w:p w14:paraId="1CF3217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39.2 出现影响采购公正的违法、违规行为的；</w:t>
      </w:r>
    </w:p>
    <w:p w14:paraId="1C96C7B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39.3 供应商的报价均</w:t>
      </w:r>
      <w:r>
        <w:rPr>
          <w:rFonts w:hint="eastAsia" w:ascii="仿宋" w:hAnsi="仿宋" w:eastAsia="仿宋" w:cs="仿宋"/>
          <w:sz w:val="24"/>
          <w:szCs w:val="24"/>
          <w:highlight w:val="none"/>
          <w:lang w:val="en-US" w:eastAsia="zh-CN"/>
        </w:rPr>
        <w:t>不符合磋商文件要求的</w:t>
      </w:r>
      <w:r>
        <w:rPr>
          <w:rFonts w:hint="eastAsia" w:ascii="仿宋" w:hAnsi="仿宋" w:eastAsia="仿宋" w:cs="仿宋"/>
          <w:sz w:val="24"/>
          <w:szCs w:val="24"/>
          <w:highlight w:val="none"/>
        </w:rPr>
        <w:t>;</w:t>
      </w:r>
    </w:p>
    <w:p w14:paraId="65226D46">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39.4 因重大变故，采购任务取消的。</w:t>
      </w:r>
    </w:p>
    <w:p w14:paraId="48E4EA4D">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40．突发情况处理</w:t>
      </w:r>
    </w:p>
    <w:p w14:paraId="17F8DE1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40.1 采购过程中出现以下情形，导致电子交易平台无法正常运行，或者无法保证电子交易的公平、公正和安全时，采购组织机构可中止电子交易活动：</w:t>
      </w:r>
    </w:p>
    <w:p w14:paraId="2D6C07A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（1）电子交易平台发生故障而无法登录访问的； </w:t>
      </w:r>
    </w:p>
    <w:p w14:paraId="57DD2F0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（2）电子交易平台应用或数据库出现错误，不能进行正常操作的；</w:t>
      </w:r>
    </w:p>
    <w:p w14:paraId="3FD625A1">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（3）电子交易平台发现严重安全漏洞，有潜在泄密危险的；</w:t>
      </w:r>
    </w:p>
    <w:p w14:paraId="6820B50A">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（4）病毒发作导致不能进行正常操作的； </w:t>
      </w:r>
    </w:p>
    <w:p w14:paraId="2BAA5B1F">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（5）其他无法保证电子交易的公平、公正和安全的情况。</w:t>
      </w:r>
    </w:p>
    <w:p w14:paraId="75A4F772">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注：</w:t>
      </w:r>
      <w:r>
        <w:rPr>
          <w:rFonts w:hint="eastAsia" w:ascii="仿宋" w:hAnsi="仿宋" w:eastAsia="仿宋" w:cs="仿宋"/>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50CF446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40.2 采购代理机构或评审小组因不可抗力（不可抗力包括但不限于自然灾害、断电、传播疫病等）原因造成电子交易活动无法正常运行的，将采取以下措施：</w:t>
      </w:r>
    </w:p>
    <w:p w14:paraId="4F73B54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（1）短时间内能消除不可抗力因素的，采购代理机构或评审小组在消除不可抗力因素后继续组织电子交易活动； </w:t>
      </w:r>
    </w:p>
    <w:p w14:paraId="00C2AD2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（2）长时间内无法消除不可抗力因素的，采购代理机构或评审小组将中止电子交易活动。中止电子交易活动的，采购人应当重新组织政府采购活动。</w:t>
      </w:r>
    </w:p>
    <w:p w14:paraId="52DBBCAD">
      <w:pPr>
        <w:snapToGrid w:val="0"/>
        <w:spacing w:line="360" w:lineRule="exact"/>
        <w:ind w:firstLine="421"/>
        <w:rPr>
          <w:rFonts w:hint="eastAsia" w:ascii="仿宋" w:hAnsi="仿宋" w:eastAsia="仿宋" w:cs="仿宋"/>
          <w:b/>
          <w:sz w:val="24"/>
          <w:szCs w:val="24"/>
          <w:highlight w:val="none"/>
        </w:rPr>
      </w:pPr>
      <w:r>
        <w:rPr>
          <w:rFonts w:hint="eastAsia" w:ascii="仿宋" w:hAnsi="仿宋" w:eastAsia="仿宋" w:cs="仿宋"/>
          <w:b/>
          <w:sz w:val="24"/>
          <w:szCs w:val="24"/>
          <w:highlight w:val="none"/>
        </w:rPr>
        <w:t>41. 定标</w:t>
      </w:r>
    </w:p>
    <w:p w14:paraId="4B748FB6">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bookmarkStart w:id="32" w:name="_Toc469495729"/>
      <w:r>
        <w:rPr>
          <w:rFonts w:hint="eastAsia" w:ascii="仿宋" w:hAnsi="仿宋" w:eastAsia="仿宋" w:cs="仿宋"/>
          <w:sz w:val="24"/>
          <w:szCs w:val="24"/>
          <w:highlight w:val="none"/>
        </w:rPr>
        <w:t>41.1采购结果确认（确定中标供应商）</w:t>
      </w:r>
    </w:p>
    <w:p w14:paraId="659DB17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采购结果确认（确定中标供应商）：本项目由采购人根据评标委员会提交的《评审报告》，通过“政府采购云平台”依法确认采购结果、确定中标供应商。具体流程如下：</w:t>
      </w:r>
    </w:p>
    <w:p w14:paraId="65A65E5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（1）采购代理机构将在评审结束后2个工作日内将评审报告送采购人。</w:t>
      </w:r>
    </w:p>
    <w:p w14:paraId="08CB3CA1">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（2）采购人将在收到评审报告之日起5个工作日内，在评审报告推荐的中标候选供应商名单中按顺序确定中标供应商，并将确认意见以书面形式回复采购代理机构。 </w:t>
      </w:r>
    </w:p>
    <w:p w14:paraId="33054EE2">
      <w:pPr>
        <w:spacing w:line="440" w:lineRule="exact"/>
        <w:ind w:firstLine="240" w:firstLineChars="100"/>
        <w:jc w:val="left"/>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41.2采购结果经采购人确认后2个工作日内，采购代理机构将在</w:t>
      </w:r>
      <w:r>
        <w:rPr>
          <w:rFonts w:hint="eastAsia" w:ascii="仿宋" w:hAnsi="仿宋" w:eastAsia="仿宋" w:cs="仿宋"/>
          <w:b w:val="0"/>
          <w:bCs w:val="0"/>
          <w:sz w:val="24"/>
          <w:szCs w:val="24"/>
          <w:highlight w:val="none"/>
        </w:rPr>
        <w:t>克州公共资源交易中心网、新疆政府采购网（www.zjzfcg.gov.cn）上公告采购结果，中标公告期限为1个工作日。</w:t>
      </w:r>
    </w:p>
    <w:p w14:paraId="6D76DEBD">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42. 成交通知书</w:t>
      </w:r>
    </w:p>
    <w:p w14:paraId="2EC1B10E">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42.1在成交通知书发出前，招标人将中标侯选人的情况在克州公共资源交易中心网、新疆政府采购网予以公示，</w:t>
      </w:r>
      <w:r>
        <w:rPr>
          <w:rFonts w:hint="eastAsia" w:ascii="仿宋" w:hAnsi="仿宋" w:eastAsia="仿宋" w:cs="仿宋"/>
          <w:b w:val="0"/>
          <w:bCs w:val="0"/>
          <w:sz w:val="24"/>
          <w:szCs w:val="24"/>
          <w:highlight w:val="none"/>
        </w:rPr>
        <w:t>公示期为一个工作日。待公示期结束后，</w:t>
      </w:r>
      <w:r>
        <w:rPr>
          <w:rFonts w:hint="eastAsia" w:ascii="仿宋" w:hAnsi="仿宋" w:eastAsia="仿宋" w:cs="仿宋"/>
          <w:sz w:val="24"/>
          <w:szCs w:val="24"/>
          <w:highlight w:val="none"/>
        </w:rPr>
        <w:t>采购组织机构向中标人发出中标通知书。</w:t>
      </w:r>
    </w:p>
    <w:p w14:paraId="5858D4D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42.2成交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3898B2B4">
      <w:pPr>
        <w:spacing w:before="156" w:beforeLines="50" w:line="440" w:lineRule="exact"/>
        <w:jc w:val="center"/>
        <w:outlineLvl w:val="2"/>
        <w:rPr>
          <w:rFonts w:hint="eastAsia" w:ascii="仿宋" w:hAnsi="仿宋" w:eastAsia="仿宋" w:cs="仿宋"/>
          <w:sz w:val="24"/>
          <w:szCs w:val="24"/>
          <w:highlight w:val="none"/>
        </w:rPr>
      </w:pPr>
      <w:bookmarkStart w:id="33" w:name="_Toc14152"/>
      <w:bookmarkStart w:id="34" w:name="_Toc21524"/>
      <w:r>
        <w:rPr>
          <w:rFonts w:hint="eastAsia" w:ascii="仿宋" w:hAnsi="仿宋" w:eastAsia="仿宋" w:cs="仿宋"/>
          <w:sz w:val="24"/>
          <w:szCs w:val="24"/>
          <w:highlight w:val="none"/>
        </w:rPr>
        <w:t>（六）合同的授予</w:t>
      </w:r>
      <w:bookmarkEnd w:id="32"/>
      <w:bookmarkEnd w:id="33"/>
      <w:bookmarkEnd w:id="34"/>
    </w:p>
    <w:p w14:paraId="4DFE6B53">
      <w:pPr>
        <w:spacing w:line="440" w:lineRule="exact"/>
        <w:ind w:firstLine="240" w:firstLineChars="100"/>
        <w:jc w:val="left"/>
        <w:rPr>
          <w:rFonts w:hint="eastAsia" w:ascii="仿宋" w:hAnsi="仿宋" w:eastAsia="仿宋" w:cs="仿宋"/>
          <w:b/>
          <w:bCs/>
          <w:sz w:val="24"/>
          <w:szCs w:val="24"/>
          <w:highlight w:val="none"/>
        </w:rPr>
      </w:pPr>
      <w:bookmarkStart w:id="35" w:name="_Toc73975842"/>
      <w:bookmarkStart w:id="36" w:name="_Toc469495730"/>
      <w:r>
        <w:rPr>
          <w:rFonts w:hint="eastAsia" w:ascii="仿宋" w:hAnsi="仿宋" w:eastAsia="仿宋" w:cs="仿宋"/>
          <w:b/>
          <w:bCs/>
          <w:sz w:val="24"/>
          <w:szCs w:val="24"/>
          <w:highlight w:val="none"/>
        </w:rPr>
        <w:t>43．履约保证金</w:t>
      </w:r>
      <w:bookmarkEnd w:id="35"/>
    </w:p>
    <w:p w14:paraId="3DFABD14">
      <w:pPr>
        <w:spacing w:line="440" w:lineRule="exact"/>
        <w:ind w:firstLine="240" w:firstLineChars="100"/>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（本项目无）</w:t>
      </w:r>
    </w:p>
    <w:p w14:paraId="460BF85C">
      <w:pPr>
        <w:spacing w:line="440" w:lineRule="exact"/>
        <w:ind w:firstLine="240" w:firstLineChars="100"/>
        <w:jc w:val="left"/>
        <w:rPr>
          <w:rFonts w:hint="eastAsia" w:ascii="仿宋" w:hAnsi="仿宋" w:eastAsia="仿宋" w:cs="仿宋"/>
          <w:b/>
          <w:bCs/>
          <w:sz w:val="24"/>
          <w:szCs w:val="24"/>
          <w:highlight w:val="none"/>
        </w:rPr>
      </w:pPr>
      <w:bookmarkStart w:id="37" w:name="_Toc73975843"/>
      <w:r>
        <w:rPr>
          <w:rFonts w:hint="eastAsia" w:ascii="仿宋" w:hAnsi="仿宋" w:eastAsia="仿宋" w:cs="仿宋"/>
          <w:b/>
          <w:bCs/>
          <w:sz w:val="24"/>
          <w:szCs w:val="24"/>
          <w:highlight w:val="none"/>
        </w:rPr>
        <w:t>44．签订合同及公告</w:t>
      </w:r>
      <w:bookmarkEnd w:id="37"/>
    </w:p>
    <w:p w14:paraId="61DA2BA6">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44.1采购人在中标通知书发出之日起30日内与中标供应商签订合同。</w:t>
      </w:r>
    </w:p>
    <w:p w14:paraId="5C255F88">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44.2中标供应商拖延、拒签合同的,取消中标资格。</w:t>
      </w:r>
    </w:p>
    <w:p w14:paraId="2B9211C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44.3 采购文件、中标供应商的投标文件及评标过程中有关澄清文件等均作为签订合同的依据。所签订的合同不得对采购文件和中标供应商的投标文件的内容作实质性修改。</w:t>
      </w:r>
    </w:p>
    <w:p w14:paraId="4750163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44.4采购人应当自政府采购合同签订之日起2个工作日内，在省级以上财政部门指定的政府采购信息发布媒体及相关网站上公告。</w:t>
      </w:r>
    </w:p>
    <w:p w14:paraId="3EE3357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44.5采购人应当自政府采购合同签订之日起7个工作日内，将政府采购合同副本报同级人民政府财政部门备案以及采购代理机构存档。</w:t>
      </w:r>
    </w:p>
    <w:p w14:paraId="7A6E57DE">
      <w:pPr>
        <w:adjustRightInd w:val="0"/>
        <w:snapToGrid w:val="0"/>
        <w:spacing w:line="440" w:lineRule="exact"/>
        <w:jc w:val="center"/>
        <w:outlineLvl w:val="2"/>
        <w:rPr>
          <w:rFonts w:hint="eastAsia" w:ascii="仿宋" w:hAnsi="仿宋" w:eastAsia="仿宋" w:cs="仿宋"/>
          <w:sz w:val="24"/>
          <w:szCs w:val="24"/>
          <w:highlight w:val="none"/>
        </w:rPr>
      </w:pPr>
      <w:bookmarkStart w:id="38" w:name="_Toc13031"/>
      <w:bookmarkStart w:id="39" w:name="_Toc29743"/>
      <w:r>
        <w:rPr>
          <w:rFonts w:hint="eastAsia" w:ascii="仿宋" w:hAnsi="仿宋" w:eastAsia="仿宋" w:cs="仿宋"/>
          <w:sz w:val="24"/>
          <w:szCs w:val="24"/>
          <w:highlight w:val="none"/>
        </w:rPr>
        <w:t>（七）纪律和监督</w:t>
      </w:r>
      <w:bookmarkEnd w:id="36"/>
      <w:bookmarkEnd w:id="38"/>
      <w:bookmarkEnd w:id="39"/>
    </w:p>
    <w:p w14:paraId="629A5265">
      <w:pPr>
        <w:spacing w:line="440" w:lineRule="exact"/>
        <w:ind w:firstLine="352" w:firstLineChars="147"/>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45. 对招标人的纪律要求 </w:t>
      </w:r>
    </w:p>
    <w:p w14:paraId="19D5464A">
      <w:pPr>
        <w:adjustRightInd w:val="0"/>
        <w:snapToGrid w:val="0"/>
        <w:spacing w:line="440" w:lineRule="exact"/>
        <w:ind w:firstLine="360" w:firstLineChars="150"/>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 xml:space="preserve">45.1招标人不得泄漏招标投标活动中应当保密的情况和资料，不得与投标人串通损害国家利益，社会公共利益或者他人合法权益。 </w:t>
      </w:r>
    </w:p>
    <w:p w14:paraId="58602586">
      <w:pPr>
        <w:spacing w:line="440" w:lineRule="exact"/>
        <w:ind w:firstLine="352" w:firstLineChars="147"/>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46. 对投标人的纪律要求 </w:t>
      </w:r>
    </w:p>
    <w:p w14:paraId="75F11754">
      <w:pPr>
        <w:adjustRightInd w:val="0"/>
        <w:snapToGrid w:val="0"/>
        <w:spacing w:line="440" w:lineRule="exact"/>
        <w:ind w:firstLine="360" w:firstLineChars="150"/>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46.1投标人不得相互串通投标或者与招标人串通投标，不得向招标人或者评标委员会成员行贿谋取中标，不得以他人名义投标或者以其他方式弄虚作假骗取中标；投标人不得以任何方式干扰、影响评标工作。</w:t>
      </w:r>
    </w:p>
    <w:p w14:paraId="4513F5FC">
      <w:pPr>
        <w:spacing w:line="440" w:lineRule="exact"/>
        <w:ind w:firstLine="352" w:firstLineChars="147"/>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47. 对评标委员会成员的纪律要求 </w:t>
      </w:r>
    </w:p>
    <w:p w14:paraId="53DC3977">
      <w:pPr>
        <w:adjustRightInd w:val="0"/>
        <w:snapToGrid w:val="0"/>
        <w:spacing w:line="440" w:lineRule="exact"/>
        <w:ind w:firstLine="360" w:firstLineChars="150"/>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47.1评标委员会成员不得收受他人的财物或者其他好处，不得向他人透漏对投标文件的评审和比较、中标候选人的推荐情况以及评标有关的其他情况。</w:t>
      </w:r>
    </w:p>
    <w:p w14:paraId="3C5E1AC1">
      <w:pPr>
        <w:adjustRightInd w:val="0"/>
        <w:snapToGrid w:val="0"/>
        <w:spacing w:line="440" w:lineRule="exact"/>
        <w:ind w:firstLine="360" w:firstLineChars="150"/>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 xml:space="preserve">47.2在评标活动中，评标委员会成员不得擅离职守，影响评标程序正常进行，不得使用第三章“评标办法”没有规定的评审因素和标准进行评标。 </w:t>
      </w:r>
    </w:p>
    <w:p w14:paraId="43E1B4EA">
      <w:pPr>
        <w:spacing w:line="440" w:lineRule="exact"/>
        <w:ind w:firstLine="352" w:firstLineChars="147"/>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48. 对与评标活动有关的工作人员的纪律要求 </w:t>
      </w:r>
    </w:p>
    <w:p w14:paraId="5E127969">
      <w:pPr>
        <w:adjustRightInd w:val="0"/>
        <w:snapToGrid w:val="0"/>
        <w:spacing w:line="440" w:lineRule="exact"/>
        <w:ind w:firstLine="360" w:firstLineChars="150"/>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D56182B">
      <w:pPr>
        <w:spacing w:before="156" w:beforeLines="50" w:after="156" w:afterLines="50" w:line="500" w:lineRule="exact"/>
        <w:jc w:val="both"/>
        <w:outlineLvl w:val="2"/>
        <w:rPr>
          <w:rFonts w:hint="eastAsia" w:ascii="仿宋" w:hAnsi="仿宋" w:eastAsia="仿宋" w:cs="仿宋"/>
          <w:sz w:val="24"/>
          <w:szCs w:val="24"/>
          <w:highlight w:val="none"/>
        </w:rPr>
      </w:pPr>
      <w:bookmarkStart w:id="40" w:name="_Toc16961"/>
    </w:p>
    <w:p w14:paraId="62853B6C">
      <w:pPr>
        <w:spacing w:before="156" w:beforeLines="50" w:after="156" w:afterLines="50" w:line="500" w:lineRule="exact"/>
        <w:jc w:val="center"/>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（八）质疑与投诉</w:t>
      </w:r>
      <w:bookmarkEnd w:id="40"/>
    </w:p>
    <w:p w14:paraId="3E039D45">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49．质疑和投诉</w:t>
      </w:r>
    </w:p>
    <w:p w14:paraId="5355FDA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6DB15B96">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对可以质疑的采购文件提出质疑的，为收到采购文件之日或者采购文件公告期限届满之日；</w:t>
      </w:r>
    </w:p>
    <w:p w14:paraId="7EEB1CA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对采购过程提出质疑的，为各采购程序环节结束之日；</w:t>
      </w:r>
    </w:p>
    <w:p w14:paraId="0855337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对中标或者成交结果提出质疑的，为中标或者成交结果公告期限届满之日。</w:t>
      </w:r>
    </w:p>
    <w:p w14:paraId="46D4A716">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7C64A33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供应商为自然人的，应当由本人签字；供应商为法人或者其他组织的，应当由法定代表人、主要负责人，或者其授权代表签字或者盖章，并加盖公章。</w:t>
      </w:r>
    </w:p>
    <w:p w14:paraId="077601F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49.3供应商质疑、投诉应当有明确的请求和必要的证明材料。供应商投诉的事项不得超出已质疑事项的范围。采购人及采购代理机构按《政府采购质疑和投诉办法》进行处理供应商质疑事项。</w:t>
      </w:r>
    </w:p>
    <w:p w14:paraId="4923C9A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49.4质疑供应商对采购人、采购代理机构的质疑答复不满意，或者采购人、采购代理机构未在规定期限内作出答复的，供应商可以在答复期满后15个工作日内向同级财政部门提起投诉。</w:t>
      </w:r>
    </w:p>
    <w:p w14:paraId="6A17742D">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49.5供应商有下列情形之一的，将其列入不良行为记录名单：</w:t>
      </w:r>
    </w:p>
    <w:p w14:paraId="0FA38D62">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一年内三次以上质疑均查无实据的；</w:t>
      </w:r>
    </w:p>
    <w:p w14:paraId="738FAA6E">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捏造事实或者提供虚假质疑材料的。</w:t>
      </w:r>
    </w:p>
    <w:p w14:paraId="77A8B2A2">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以非法手段取得证明材料。证据来源的合法性存在明显疑问，质疑人无法证明其取得方式合法的，视为以非法手段取得证明材料。</w:t>
      </w:r>
    </w:p>
    <w:p w14:paraId="69A73639">
      <w:pPr>
        <w:jc w:val="left"/>
        <w:rPr>
          <w:rFonts w:hint="eastAsia" w:ascii="仿宋" w:hAnsi="仿宋" w:eastAsia="仿宋" w:cs="仿宋"/>
          <w:b/>
          <w:bCs/>
          <w:sz w:val="24"/>
          <w:szCs w:val="24"/>
          <w:highlight w:val="none"/>
        </w:rPr>
      </w:pPr>
    </w:p>
    <w:p w14:paraId="4F574CCE">
      <w:pPr>
        <w:rPr>
          <w:rFonts w:hint="eastAsia" w:ascii="仿宋" w:hAnsi="仿宋" w:eastAsia="仿宋" w:cs="仿宋"/>
          <w:b/>
          <w:bCs/>
          <w:sz w:val="24"/>
          <w:szCs w:val="24"/>
          <w:highlight w:val="none"/>
        </w:rPr>
      </w:pPr>
    </w:p>
    <w:p w14:paraId="79A264EC">
      <w:pPr>
        <w:rPr>
          <w:rFonts w:hint="eastAsia" w:ascii="仿宋" w:hAnsi="仿宋" w:eastAsia="仿宋" w:cs="仿宋"/>
          <w:b/>
          <w:bCs/>
          <w:sz w:val="24"/>
          <w:szCs w:val="24"/>
          <w:highlight w:val="none"/>
        </w:rPr>
      </w:pPr>
    </w:p>
    <w:p w14:paraId="07D7DC7D">
      <w:pPr>
        <w:rPr>
          <w:rFonts w:hint="eastAsia" w:ascii="仿宋" w:hAnsi="仿宋" w:eastAsia="仿宋" w:cs="仿宋"/>
          <w:b/>
          <w:bCs/>
          <w:sz w:val="24"/>
          <w:szCs w:val="24"/>
          <w:highlight w:val="none"/>
        </w:rPr>
      </w:pPr>
    </w:p>
    <w:p w14:paraId="5CCB958F">
      <w:pPr>
        <w:rPr>
          <w:rFonts w:hint="eastAsia" w:ascii="仿宋" w:hAnsi="仿宋" w:eastAsia="仿宋" w:cs="仿宋"/>
          <w:b/>
          <w:bCs/>
          <w:sz w:val="24"/>
          <w:szCs w:val="24"/>
          <w:highlight w:val="none"/>
        </w:rPr>
      </w:pPr>
    </w:p>
    <w:p w14:paraId="315C1C44">
      <w:pPr>
        <w:rPr>
          <w:rFonts w:hint="eastAsia" w:ascii="仿宋" w:hAnsi="仿宋" w:eastAsia="仿宋" w:cs="仿宋"/>
          <w:b/>
          <w:bCs/>
          <w:sz w:val="24"/>
          <w:szCs w:val="24"/>
          <w:highlight w:val="none"/>
        </w:rPr>
      </w:pPr>
    </w:p>
    <w:p w14:paraId="41268AC3">
      <w:pPr>
        <w:rPr>
          <w:rFonts w:hint="eastAsia" w:ascii="仿宋" w:hAnsi="仿宋" w:eastAsia="仿宋" w:cs="仿宋"/>
          <w:b/>
          <w:bCs/>
          <w:sz w:val="24"/>
          <w:szCs w:val="24"/>
          <w:highlight w:val="none"/>
        </w:rPr>
      </w:pPr>
    </w:p>
    <w:p w14:paraId="2573C61E">
      <w:pPr>
        <w:rPr>
          <w:rFonts w:hint="eastAsia" w:ascii="仿宋" w:hAnsi="仿宋" w:eastAsia="仿宋" w:cs="仿宋"/>
          <w:b/>
          <w:bCs/>
          <w:sz w:val="24"/>
          <w:szCs w:val="24"/>
          <w:highlight w:val="none"/>
        </w:rPr>
      </w:pPr>
    </w:p>
    <w:p w14:paraId="3A3B7A64">
      <w:pPr>
        <w:rPr>
          <w:rFonts w:hint="eastAsia" w:ascii="仿宋" w:hAnsi="仿宋" w:eastAsia="仿宋" w:cs="仿宋"/>
          <w:b/>
          <w:bCs/>
          <w:sz w:val="24"/>
          <w:szCs w:val="24"/>
          <w:highlight w:val="none"/>
        </w:rPr>
      </w:pPr>
    </w:p>
    <w:p w14:paraId="10B4B5CB">
      <w:pPr>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p w14:paraId="46187DA5">
      <w:pPr>
        <w:jc w:val="center"/>
        <w:rPr>
          <w:rFonts w:hint="eastAsia" w:ascii="仿宋" w:hAnsi="仿宋" w:eastAsia="仿宋" w:cs="仿宋"/>
          <w:b/>
          <w:bCs/>
          <w:sz w:val="24"/>
          <w:szCs w:val="24"/>
          <w:highlight w:val="none"/>
        </w:rPr>
      </w:pPr>
    </w:p>
    <w:p w14:paraId="59107500">
      <w:pPr>
        <w:jc w:val="center"/>
        <w:outlineLvl w:val="2"/>
        <w:rPr>
          <w:rFonts w:hint="eastAsia" w:ascii="仿宋" w:hAnsi="仿宋" w:eastAsia="仿宋" w:cs="仿宋"/>
          <w:b/>
          <w:bCs/>
          <w:sz w:val="24"/>
          <w:szCs w:val="24"/>
          <w:highlight w:val="none"/>
        </w:rPr>
      </w:pPr>
      <w:bookmarkStart w:id="41" w:name="_Toc7938"/>
      <w:r>
        <w:rPr>
          <w:rFonts w:hint="eastAsia" w:ascii="仿宋" w:hAnsi="仿宋" w:eastAsia="仿宋" w:cs="仿宋"/>
          <w:b/>
          <w:bCs/>
          <w:sz w:val="24"/>
          <w:szCs w:val="24"/>
          <w:highlight w:val="none"/>
        </w:rPr>
        <w:t>政府采购投诉书（范本）、质疑函范本</w:t>
      </w:r>
      <w:bookmarkEnd w:id="41"/>
    </w:p>
    <w:p w14:paraId="28671D47">
      <w:pPr>
        <w:spacing w:line="400" w:lineRule="exact"/>
        <w:jc w:val="center"/>
        <w:outlineLvl w:val="2"/>
        <w:rPr>
          <w:rFonts w:hint="eastAsia" w:ascii="仿宋" w:hAnsi="仿宋" w:eastAsia="仿宋" w:cs="仿宋"/>
          <w:sz w:val="24"/>
          <w:szCs w:val="24"/>
          <w:highlight w:val="none"/>
          <w:u w:val="single"/>
        </w:rPr>
      </w:pPr>
      <w:bookmarkStart w:id="42" w:name="_Toc29698"/>
      <w:r>
        <w:rPr>
          <w:rFonts w:hint="eastAsia" w:ascii="仿宋" w:hAnsi="仿宋" w:eastAsia="仿宋" w:cs="仿宋"/>
          <w:b/>
          <w:bCs/>
          <w:sz w:val="24"/>
          <w:szCs w:val="24"/>
          <w:highlight w:val="none"/>
        </w:rPr>
        <w:t>政府采购投诉书（范本）</w:t>
      </w:r>
      <w:bookmarkEnd w:id="42"/>
    </w:p>
    <w:p w14:paraId="31AD9F3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投诉人：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58A94129">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A27DA10">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职务：</w:t>
      </w:r>
      <w:r>
        <w:rPr>
          <w:rFonts w:hint="eastAsia" w:ascii="仿宋" w:hAnsi="仿宋" w:eastAsia="仿宋" w:cs="仿宋"/>
          <w:sz w:val="24"/>
          <w:szCs w:val="24"/>
          <w:highlight w:val="none"/>
          <w:u w:val="single"/>
        </w:rPr>
        <w:t xml:space="preserve">               </w:t>
      </w:r>
    </w:p>
    <w:p w14:paraId="5E72A27F">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住址：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569DE04">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被投诉人：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法定代表人：</w:t>
      </w:r>
      <w:r>
        <w:rPr>
          <w:rFonts w:hint="eastAsia" w:ascii="仿宋" w:hAnsi="仿宋" w:eastAsia="仿宋" w:cs="仿宋"/>
          <w:sz w:val="24"/>
          <w:szCs w:val="24"/>
          <w:highlight w:val="none"/>
          <w:u w:val="single"/>
        </w:rPr>
        <w:t xml:space="preserve">         </w:t>
      </w:r>
    </w:p>
    <w:p w14:paraId="1F0D22FB">
      <w:pPr>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电话：</w:t>
      </w:r>
      <w:r>
        <w:rPr>
          <w:rFonts w:hint="eastAsia" w:ascii="仿宋" w:hAnsi="仿宋" w:eastAsia="仿宋" w:cs="仿宋"/>
          <w:sz w:val="24"/>
          <w:szCs w:val="24"/>
          <w:highlight w:val="none"/>
          <w:u w:val="single"/>
        </w:rPr>
        <w:t xml:space="preserve">               </w:t>
      </w:r>
    </w:p>
    <w:p w14:paraId="1254CE03">
      <w:pPr>
        <w:spacing w:line="400" w:lineRule="exact"/>
        <w:ind w:firstLine="480" w:firstLineChars="200"/>
        <w:rPr>
          <w:rFonts w:hint="eastAsia" w:ascii="仿宋" w:hAnsi="仿宋" w:eastAsia="仿宋" w:cs="仿宋"/>
          <w:sz w:val="24"/>
          <w:szCs w:val="24"/>
          <w:highlight w:val="none"/>
        </w:rPr>
      </w:pPr>
    </w:p>
    <w:p w14:paraId="6D687FF3">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我公司参加了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日被投诉人组织的</w:t>
      </w:r>
      <w:r>
        <w:rPr>
          <w:rFonts w:hint="eastAsia" w:ascii="仿宋" w:hAnsi="仿宋" w:eastAsia="仿宋" w:cs="仿宋"/>
          <w:sz w:val="24"/>
          <w:szCs w:val="24"/>
          <w:highlight w:val="none"/>
          <w:u w:val="single"/>
        </w:rPr>
        <w:t>（采购人）（项目名称）（项目编号）</w:t>
      </w:r>
      <w:r>
        <w:rPr>
          <w:rFonts w:hint="eastAsia" w:ascii="仿宋" w:hAnsi="仿宋" w:eastAsia="仿宋" w:cs="仿宋"/>
          <w:sz w:val="24"/>
          <w:szCs w:val="24"/>
          <w:highlight w:val="none"/>
        </w:rPr>
        <w:t>的采购活动，我公司认为该项目的</w:t>
      </w:r>
      <w:r>
        <w:rPr>
          <w:rFonts w:hint="eastAsia" w:ascii="仿宋" w:hAnsi="仿宋" w:eastAsia="仿宋" w:cs="仿宋"/>
          <w:sz w:val="24"/>
          <w:szCs w:val="24"/>
          <w:highlight w:val="none"/>
          <w:u w:val="single"/>
        </w:rPr>
        <w:t>（采购文件/采购过程/中标（中标）结果）</w:t>
      </w:r>
      <w:r>
        <w:rPr>
          <w:rFonts w:hint="eastAsia" w:ascii="仿宋" w:hAnsi="仿宋" w:eastAsia="仿宋" w:cs="仿宋"/>
          <w:sz w:val="24"/>
          <w:szCs w:val="24"/>
          <w:highlight w:val="none"/>
        </w:rPr>
        <w:t>损害了我公司权益，对此，我公司于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single"/>
        </w:rPr>
        <w:t>（采购人或者政府采购代理机构）</w:t>
      </w:r>
      <w:r>
        <w:rPr>
          <w:rFonts w:hint="eastAsia" w:ascii="仿宋" w:hAnsi="仿宋" w:eastAsia="仿宋" w:cs="仿宋"/>
          <w:sz w:val="24"/>
          <w:szCs w:val="24"/>
          <w:highlight w:val="none"/>
        </w:rPr>
        <w:t>提出了质疑，</w:t>
      </w:r>
      <w:r>
        <w:rPr>
          <w:rFonts w:hint="eastAsia" w:ascii="仿宋" w:hAnsi="仿宋" w:eastAsia="仿宋" w:cs="仿宋"/>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sz w:val="24"/>
          <w:szCs w:val="24"/>
          <w:highlight w:val="none"/>
        </w:rPr>
        <w:t>，现向贵机关提起投诉：</w:t>
      </w:r>
    </w:p>
    <w:p w14:paraId="49876000">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具体的投诉事项及事实依据；</w:t>
      </w:r>
    </w:p>
    <w:p w14:paraId="52D887EB">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质疑和质疑答复情况简要描述；</w:t>
      </w:r>
    </w:p>
    <w:p w14:paraId="7AC643A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投诉请求。</w:t>
      </w:r>
    </w:p>
    <w:p w14:paraId="33F59F25">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p>
    <w:p w14:paraId="1C0185DD">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1.质疑书和质疑答复书；</w:t>
      </w:r>
    </w:p>
    <w:p w14:paraId="1A208BCD">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2.证据材料（需注明证据来源），证人的姓名、住址和联系方式等；</w:t>
      </w:r>
    </w:p>
    <w:p w14:paraId="51E4412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3.营业执照；</w:t>
      </w:r>
    </w:p>
    <w:p w14:paraId="25CFC3D0">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4.法定代表人身份证明函</w:t>
      </w:r>
    </w:p>
    <w:p w14:paraId="48B032CB">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5.法定代表人授权委托书（包含法定代表人和委托代理人的身份证复印件）；</w:t>
      </w:r>
    </w:p>
    <w:p w14:paraId="4331B6D5">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6.政府采购监管部门认为应当提供的其它材料。</w:t>
      </w:r>
    </w:p>
    <w:p w14:paraId="0008EFAA">
      <w:pPr>
        <w:spacing w:line="40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投诉供应商：（盖章）</w:t>
      </w:r>
    </w:p>
    <w:p w14:paraId="0DC7DF0D">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法定代表人（或主要负责人）：（签字）</w:t>
      </w:r>
    </w:p>
    <w:p w14:paraId="7651DAD8">
      <w:pPr>
        <w:spacing w:line="400" w:lineRule="exact"/>
        <w:ind w:firstLine="3840" w:firstLineChars="16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6505C2F">
      <w:pPr>
        <w:spacing w:line="400" w:lineRule="exact"/>
        <w:rPr>
          <w:rFonts w:hint="eastAsia" w:ascii="仿宋" w:hAnsi="仿宋" w:eastAsia="仿宋" w:cs="仿宋"/>
          <w:sz w:val="24"/>
          <w:szCs w:val="24"/>
          <w:highlight w:val="none"/>
        </w:rPr>
      </w:pPr>
    </w:p>
    <w:p w14:paraId="72ADCB55">
      <w:pPr>
        <w:spacing w:line="40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本投诉书正本叁份，副本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份并附电子文档。</w:t>
      </w:r>
    </w:p>
    <w:p w14:paraId="01C7D8F5">
      <w:pPr>
        <w:ind w:left="7951" w:hanging="4320" w:hangingChars="1800"/>
        <w:jc w:val="center"/>
        <w:rPr>
          <w:rFonts w:hint="eastAsia" w:ascii="仿宋" w:hAnsi="仿宋" w:eastAsia="仿宋" w:cs="仿宋"/>
          <w:b/>
          <w:bCs/>
          <w:sz w:val="24"/>
          <w:szCs w:val="24"/>
          <w:highlight w:val="none"/>
        </w:rPr>
      </w:pPr>
    </w:p>
    <w:p w14:paraId="133A8B8C">
      <w:pPr>
        <w:ind w:left="5783" w:hanging="4320" w:hangingChars="1800"/>
        <w:jc w:val="center"/>
        <w:outlineLvl w:val="0"/>
        <w:rPr>
          <w:rFonts w:hint="eastAsia" w:ascii="仿宋" w:hAnsi="仿宋" w:eastAsia="仿宋" w:cs="仿宋"/>
          <w:b/>
          <w:bCs/>
          <w:sz w:val="24"/>
          <w:szCs w:val="24"/>
          <w:highlight w:val="none"/>
        </w:rPr>
      </w:pPr>
      <w:bookmarkStart w:id="43" w:name="_Toc17515"/>
    </w:p>
    <w:p w14:paraId="40DE22DD">
      <w:pPr>
        <w:ind w:left="5783" w:hanging="4320" w:hangingChars="1800"/>
        <w:jc w:val="center"/>
        <w:outlineLvl w:val="0"/>
        <w:rPr>
          <w:rFonts w:hint="eastAsia" w:ascii="仿宋" w:hAnsi="仿宋" w:eastAsia="仿宋" w:cs="仿宋"/>
          <w:b/>
          <w:bCs/>
          <w:sz w:val="24"/>
          <w:szCs w:val="24"/>
          <w:highlight w:val="none"/>
        </w:rPr>
      </w:pPr>
    </w:p>
    <w:p w14:paraId="3A0BAA54">
      <w:pPr>
        <w:jc w:val="center"/>
        <w:outlineLvl w:val="2"/>
        <w:rPr>
          <w:rFonts w:hint="eastAsia" w:ascii="仿宋" w:hAnsi="仿宋" w:eastAsia="仿宋" w:cs="仿宋"/>
          <w:b/>
          <w:bCs/>
          <w:sz w:val="24"/>
          <w:szCs w:val="24"/>
          <w:highlight w:val="none"/>
        </w:rPr>
      </w:pPr>
      <w:bookmarkStart w:id="44" w:name="_Toc20521"/>
      <w:bookmarkStart w:id="45" w:name="_Toc27114"/>
    </w:p>
    <w:p w14:paraId="38339093">
      <w:pPr>
        <w:jc w:val="center"/>
        <w:outlineLvl w:val="2"/>
        <w:rPr>
          <w:rFonts w:hint="eastAsia" w:ascii="仿宋" w:hAnsi="仿宋" w:eastAsia="仿宋" w:cs="仿宋"/>
          <w:b/>
          <w:bCs/>
          <w:sz w:val="24"/>
          <w:szCs w:val="24"/>
          <w:highlight w:val="none"/>
        </w:rPr>
      </w:pPr>
    </w:p>
    <w:p w14:paraId="0A47E6B8">
      <w:pPr>
        <w:jc w:val="center"/>
        <w:outlineLvl w:val="2"/>
        <w:rPr>
          <w:rFonts w:hint="eastAsia" w:ascii="仿宋" w:hAnsi="仿宋" w:eastAsia="仿宋" w:cs="仿宋"/>
          <w:b/>
          <w:bCs/>
          <w:sz w:val="24"/>
          <w:szCs w:val="24"/>
          <w:highlight w:val="none"/>
        </w:rPr>
      </w:pPr>
    </w:p>
    <w:p w14:paraId="6ACBADAF">
      <w:pPr>
        <w:jc w:val="center"/>
        <w:outlineLvl w:val="2"/>
        <w:rPr>
          <w:rFonts w:hint="eastAsia" w:ascii="仿宋" w:hAnsi="仿宋" w:eastAsia="仿宋" w:cs="仿宋"/>
          <w:sz w:val="24"/>
          <w:szCs w:val="24"/>
          <w:highlight w:val="none"/>
        </w:rPr>
      </w:pPr>
      <w:r>
        <w:rPr>
          <w:rFonts w:hint="eastAsia" w:ascii="仿宋" w:hAnsi="仿宋" w:eastAsia="仿宋" w:cs="仿宋"/>
          <w:b/>
          <w:bCs/>
          <w:sz w:val="24"/>
          <w:szCs w:val="24"/>
          <w:highlight w:val="none"/>
        </w:rPr>
        <w:t>投诉相关说明</w:t>
      </w:r>
      <w:bookmarkEnd w:id="43"/>
      <w:bookmarkEnd w:id="44"/>
      <w:bookmarkEnd w:id="45"/>
    </w:p>
    <w:p w14:paraId="0370DC0B">
      <w:pPr>
        <w:widowControl/>
        <w:spacing w:line="400" w:lineRule="exact"/>
        <w:ind w:firstLine="4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投诉人应当满足《政府采购法》、《政府采购法实施条例》和《政府采购供应商投诉处理办法》的相关规定。</w:t>
      </w:r>
    </w:p>
    <w:p w14:paraId="45693C8D">
      <w:pPr>
        <w:numPr>
          <w:ilvl w:val="0"/>
          <w:numId w:val="7"/>
        </w:numPr>
        <w:spacing w:line="400" w:lineRule="exact"/>
        <w:ind w:left="4478" w:leftChars="304" w:hanging="3840" w:hangingChars="1600"/>
        <w:outlineLvl w:val="9"/>
        <w:rPr>
          <w:rFonts w:hint="eastAsia" w:ascii="仿宋" w:hAnsi="仿宋" w:eastAsia="仿宋" w:cs="仿宋"/>
          <w:b/>
          <w:bCs/>
          <w:sz w:val="24"/>
          <w:szCs w:val="24"/>
          <w:highlight w:val="none"/>
        </w:rPr>
      </w:pPr>
      <w:bookmarkStart w:id="46" w:name="_Toc19974"/>
      <w:bookmarkStart w:id="47" w:name="_Toc11499"/>
      <w:r>
        <w:rPr>
          <w:rFonts w:hint="eastAsia" w:ascii="仿宋" w:hAnsi="仿宋" w:eastAsia="仿宋" w:cs="仿宋"/>
          <w:b/>
          <w:bCs/>
          <w:sz w:val="24"/>
          <w:szCs w:val="24"/>
          <w:highlight w:val="none"/>
        </w:rPr>
        <w:t>质疑前置及时间要求</w:t>
      </w:r>
      <w:bookmarkEnd w:id="46"/>
      <w:bookmarkEnd w:id="47"/>
    </w:p>
    <w:p w14:paraId="328678CC">
      <w:pPr>
        <w:widowControl/>
        <w:spacing w:line="400" w:lineRule="exact"/>
        <w:ind w:firstLine="420"/>
        <w:jc w:val="left"/>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rPr>
        <w:t>《中华人民共和国政府采购法》</w:t>
      </w:r>
      <w:r>
        <w:rPr>
          <w:rFonts w:hint="eastAsia" w:ascii="仿宋" w:hAnsi="仿宋" w:eastAsia="仿宋" w:cs="仿宋"/>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14:paraId="6638F289">
      <w:pPr>
        <w:widowControl/>
        <w:spacing w:line="400" w:lineRule="exact"/>
        <w:ind w:firstLine="42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shd w:val="clear" w:color="auto" w:fill="FFFFFF"/>
        </w:rPr>
        <w:t xml:space="preserve"> 第五十二条：供应商认为采购文件、采购过程和中标、中标结果使自己的权益受到损害的，可以在知道或者应知其权益受到损害之日起七个工作日内，以书面形式向采购人提出质疑。</w:t>
      </w:r>
    </w:p>
    <w:p w14:paraId="63C02479">
      <w:pPr>
        <w:widowControl/>
        <w:spacing w:line="400" w:lineRule="exact"/>
        <w:ind w:firstLine="420"/>
        <w:jc w:val="left"/>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7B1B46E7">
      <w:pPr>
        <w:widowControl/>
        <w:spacing w:line="400" w:lineRule="exact"/>
        <w:ind w:firstLine="420"/>
        <w:jc w:val="left"/>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436EF5B">
      <w:pPr>
        <w:widowControl/>
        <w:spacing w:line="400" w:lineRule="exact"/>
        <w:ind w:firstLine="42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14:paraId="0E5C7518">
      <w:pPr>
        <w:spacing w:line="400" w:lineRule="exact"/>
        <w:ind w:left="3780" w:hanging="4320" w:hangingChars="18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bCs/>
          <w:sz w:val="24"/>
          <w:szCs w:val="24"/>
          <w:highlight w:val="none"/>
        </w:rPr>
        <w:t xml:space="preserve">   </w:t>
      </w:r>
      <w:bookmarkStart w:id="48" w:name="_Toc13508"/>
      <w:bookmarkStart w:id="49" w:name="_Toc15224"/>
      <w:r>
        <w:rPr>
          <w:rFonts w:hint="eastAsia" w:ascii="仿宋" w:hAnsi="仿宋" w:eastAsia="仿宋" w:cs="仿宋"/>
          <w:b/>
          <w:bCs/>
          <w:sz w:val="24"/>
          <w:szCs w:val="24"/>
          <w:highlight w:val="none"/>
        </w:rPr>
        <w:t>二、书面方式</w:t>
      </w:r>
      <w:bookmarkEnd w:id="48"/>
      <w:bookmarkEnd w:id="49"/>
    </w:p>
    <w:p w14:paraId="060F84D2">
      <w:pPr>
        <w:spacing w:line="400" w:lineRule="exact"/>
        <w:ind w:left="3780" w:hanging="4320" w:hangingChars="18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《政府采购供应商投诉处理办法》第八条：投诉人投诉</w:t>
      </w:r>
    </w:p>
    <w:p w14:paraId="4EA5C95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时，应当提交投诉书，并按照被投诉人以及与投诉事项有关的供应商数量提供投诉书的副本。</w:t>
      </w:r>
    </w:p>
    <w:p w14:paraId="2953B1AB">
      <w:pPr>
        <w:spacing w:line="400" w:lineRule="exact"/>
        <w:ind w:left="3780" w:hanging="4320" w:hangingChars="18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投诉书应当包括下列主要内容：</w:t>
      </w:r>
    </w:p>
    <w:p w14:paraId="3ADF96D2">
      <w:pPr>
        <w:numPr>
          <w:ilvl w:val="0"/>
          <w:numId w:val="8"/>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投诉人和被投诉人的名称、地址、电话等；</w:t>
      </w:r>
    </w:p>
    <w:p w14:paraId="53891433">
      <w:pPr>
        <w:numPr>
          <w:ilvl w:val="0"/>
          <w:numId w:val="8"/>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具体的投诉事项及事实依据；</w:t>
      </w:r>
    </w:p>
    <w:p w14:paraId="6B468298">
      <w:pPr>
        <w:numPr>
          <w:ilvl w:val="0"/>
          <w:numId w:val="8"/>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质疑和质疑答复情况及相关证明材料；</w:t>
      </w:r>
    </w:p>
    <w:p w14:paraId="65514D87">
      <w:pPr>
        <w:numPr>
          <w:ilvl w:val="0"/>
          <w:numId w:val="8"/>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提起投诉的日期。</w:t>
      </w:r>
    </w:p>
    <w:p w14:paraId="4F8A616D">
      <w:pPr>
        <w:spacing w:line="400" w:lineRule="exact"/>
        <w:ind w:firstLine="645"/>
        <w:rPr>
          <w:rFonts w:hint="eastAsia" w:ascii="仿宋" w:hAnsi="仿宋" w:eastAsia="仿宋" w:cs="仿宋"/>
          <w:sz w:val="24"/>
          <w:szCs w:val="24"/>
          <w:highlight w:val="none"/>
        </w:rPr>
      </w:pPr>
      <w:r>
        <w:rPr>
          <w:rFonts w:hint="eastAsia" w:ascii="仿宋" w:hAnsi="仿宋" w:eastAsia="仿宋" w:cs="仿宋"/>
          <w:sz w:val="24"/>
          <w:szCs w:val="24"/>
          <w:highlight w:val="none"/>
        </w:rPr>
        <w:t>投诉书应当署名。投诉人为自然人，应当由本人签字；投诉人为法人或者其他组织的，应当由法定代表人或者主要负责人签字并加盖公章。</w:t>
      </w:r>
    </w:p>
    <w:p w14:paraId="4EA9679D">
      <w:pPr>
        <w:spacing w:line="400" w:lineRule="exact"/>
        <w:ind w:firstLine="645"/>
        <w:rPr>
          <w:rFonts w:hint="eastAsia" w:ascii="仿宋" w:hAnsi="仿宋" w:eastAsia="仿宋" w:cs="仿宋"/>
          <w:sz w:val="24"/>
          <w:szCs w:val="24"/>
          <w:highlight w:val="none"/>
        </w:rPr>
      </w:pPr>
      <w:r>
        <w:rPr>
          <w:rFonts w:hint="eastAsia" w:ascii="仿宋" w:hAnsi="仿宋" w:eastAsia="仿宋" w:cs="仿宋"/>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567CC3F6">
      <w:pPr>
        <w:spacing w:line="400" w:lineRule="exact"/>
        <w:ind w:firstLine="645"/>
        <w:rPr>
          <w:rFonts w:hint="eastAsia" w:ascii="仿宋" w:hAnsi="仿宋" w:eastAsia="仿宋" w:cs="仿宋"/>
          <w:sz w:val="24"/>
          <w:szCs w:val="24"/>
          <w:highlight w:val="none"/>
        </w:rPr>
      </w:pPr>
      <w:r>
        <w:rPr>
          <w:rFonts w:hint="eastAsia" w:ascii="仿宋" w:hAnsi="仿宋" w:eastAsia="仿宋" w:cs="仿宋"/>
          <w:sz w:val="24"/>
          <w:szCs w:val="24"/>
          <w:highlight w:val="none"/>
        </w:rPr>
        <w:t>《政府采购供应商投诉处理办法》第十条：投诉人提起投诉应当符合下列条件：</w:t>
      </w:r>
    </w:p>
    <w:p w14:paraId="20371CE5">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投诉人是参与所投诉政府采购活动的供应商；</w:t>
      </w:r>
    </w:p>
    <w:p w14:paraId="7AB8FC5E">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提起投诉诉前已依法进行质疑；</w:t>
      </w:r>
    </w:p>
    <w:p w14:paraId="260DC58D">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投诉书内容符合本办法的规定；</w:t>
      </w:r>
    </w:p>
    <w:p w14:paraId="5F243960">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在投诉有效期内提起投诉；</w:t>
      </w:r>
    </w:p>
    <w:p w14:paraId="0DEF6811">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属于本级财政部门管辖；</w:t>
      </w:r>
    </w:p>
    <w:p w14:paraId="1028ADDC">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同一投诉事项未经财政部门投诉处理；</w:t>
      </w:r>
    </w:p>
    <w:p w14:paraId="78B06A78">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国务院财政部门规定的其他条件。</w:t>
      </w:r>
    </w:p>
    <w:p w14:paraId="4511E738">
      <w:pPr>
        <w:spacing w:line="400" w:lineRule="exact"/>
        <w:ind w:left="3780" w:hanging="4320" w:hangingChars="18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4CC60F4">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bCs/>
          <w:sz w:val="24"/>
          <w:szCs w:val="24"/>
          <w:highlight w:val="none"/>
        </w:rPr>
        <w:t xml:space="preserve">   </w:t>
      </w:r>
      <w:bookmarkStart w:id="50" w:name="_Toc10437"/>
      <w:bookmarkStart w:id="51" w:name="_Toc5978"/>
      <w:r>
        <w:rPr>
          <w:rFonts w:hint="eastAsia" w:ascii="仿宋" w:hAnsi="仿宋" w:eastAsia="仿宋" w:cs="仿宋"/>
          <w:b/>
          <w:bCs/>
          <w:sz w:val="24"/>
          <w:szCs w:val="24"/>
          <w:highlight w:val="none"/>
        </w:rPr>
        <w:t>三、虚假、恶意投诉法律责任</w:t>
      </w:r>
      <w:bookmarkEnd w:id="50"/>
      <w:bookmarkEnd w:id="51"/>
    </w:p>
    <w:p w14:paraId="115F03E0">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第七十三条：供应商捏造实施、提供虚假材料或者以非法手段取得证明材料进行投诉的，由财政部门列入不良行为记录名单，禁止其1至3年内参加政府采购活动。</w:t>
      </w:r>
    </w:p>
    <w:p w14:paraId="5D0D30AC">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《政府采购供应商投诉处理办法》第二十六条：投诉人有下列情形之一的，属于虚假、恶意投诉，财政部门应当驳回投诉，将其列入不良行为记录名单，并依法予以处罚：</w:t>
      </w:r>
    </w:p>
    <w:p w14:paraId="029AF88D">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（一）1年内3次以上投诉均查无实据的；</w:t>
      </w:r>
    </w:p>
    <w:p w14:paraId="68EDD59C">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（二）捏造事实或者提供虚假投诉材料的。</w:t>
      </w:r>
    </w:p>
    <w:p w14:paraId="4CB5D0EF">
      <w:pPr>
        <w:spacing w:line="400" w:lineRule="exact"/>
        <w:rPr>
          <w:rFonts w:hint="eastAsia" w:ascii="仿宋" w:hAnsi="仿宋" w:eastAsia="仿宋" w:cs="仿宋"/>
          <w:sz w:val="24"/>
          <w:szCs w:val="24"/>
          <w:highlight w:val="none"/>
        </w:rPr>
      </w:pPr>
    </w:p>
    <w:p w14:paraId="0100D2E7">
      <w:pPr>
        <w:spacing w:line="400" w:lineRule="exact"/>
        <w:rPr>
          <w:rFonts w:hint="eastAsia" w:ascii="仿宋" w:hAnsi="仿宋" w:eastAsia="仿宋" w:cs="仿宋"/>
          <w:sz w:val="24"/>
          <w:szCs w:val="24"/>
          <w:highlight w:val="none"/>
        </w:rPr>
      </w:pPr>
    </w:p>
    <w:p w14:paraId="061D5012">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递交投诉书地址：</w:t>
      </w:r>
      <w:r>
        <w:rPr>
          <w:rFonts w:hint="eastAsia" w:ascii="仿宋" w:hAnsi="仿宋" w:eastAsia="仿宋" w:cs="仿宋"/>
          <w:sz w:val="24"/>
          <w:szCs w:val="24"/>
          <w:highlight w:val="none"/>
          <w:lang w:eastAsia="zh-CN"/>
        </w:rPr>
        <w:t>阿图什市财政局</w:t>
      </w:r>
    </w:p>
    <w:p w14:paraId="3C3545B3">
      <w:pPr>
        <w:jc w:val="right"/>
        <w:rPr>
          <w:rFonts w:hint="eastAsia" w:ascii="仿宋" w:hAnsi="仿宋" w:eastAsia="仿宋" w:cs="仿宋"/>
          <w:sz w:val="24"/>
          <w:szCs w:val="24"/>
          <w:highlight w:val="none"/>
        </w:rPr>
      </w:pPr>
    </w:p>
    <w:p w14:paraId="7C1EA786">
      <w:pPr>
        <w:spacing w:line="540" w:lineRule="exact"/>
        <w:jc w:val="center"/>
        <w:rPr>
          <w:rFonts w:hint="eastAsia" w:ascii="仿宋" w:hAnsi="仿宋" w:eastAsia="仿宋" w:cs="仿宋"/>
          <w:b/>
          <w:bCs/>
          <w:sz w:val="24"/>
          <w:szCs w:val="24"/>
          <w:highlight w:val="none"/>
        </w:rPr>
      </w:pPr>
    </w:p>
    <w:p w14:paraId="2F9C51A2">
      <w:pPr>
        <w:spacing w:line="540" w:lineRule="exact"/>
        <w:jc w:val="center"/>
        <w:rPr>
          <w:rFonts w:hint="eastAsia" w:ascii="仿宋" w:hAnsi="仿宋" w:eastAsia="仿宋" w:cs="仿宋"/>
          <w:b/>
          <w:bCs/>
          <w:sz w:val="24"/>
          <w:szCs w:val="24"/>
          <w:highlight w:val="none"/>
        </w:rPr>
      </w:pPr>
    </w:p>
    <w:p w14:paraId="29F677FD">
      <w:pPr>
        <w:spacing w:line="540" w:lineRule="exact"/>
        <w:jc w:val="center"/>
        <w:rPr>
          <w:rFonts w:hint="eastAsia" w:ascii="仿宋" w:hAnsi="仿宋" w:eastAsia="仿宋" w:cs="仿宋"/>
          <w:b/>
          <w:bCs/>
          <w:sz w:val="24"/>
          <w:szCs w:val="24"/>
          <w:highlight w:val="none"/>
        </w:rPr>
      </w:pPr>
    </w:p>
    <w:p w14:paraId="297B06C7">
      <w:pPr>
        <w:spacing w:line="540" w:lineRule="exact"/>
        <w:jc w:val="center"/>
        <w:rPr>
          <w:rFonts w:hint="eastAsia" w:ascii="仿宋" w:hAnsi="仿宋" w:eastAsia="仿宋" w:cs="仿宋"/>
          <w:b/>
          <w:bCs/>
          <w:sz w:val="24"/>
          <w:szCs w:val="24"/>
          <w:highlight w:val="none"/>
        </w:rPr>
      </w:pPr>
    </w:p>
    <w:p w14:paraId="508BE8A1">
      <w:pPr>
        <w:spacing w:line="540" w:lineRule="exact"/>
        <w:jc w:val="center"/>
        <w:outlineLvl w:val="0"/>
        <w:rPr>
          <w:rFonts w:hint="eastAsia" w:ascii="仿宋" w:hAnsi="仿宋" w:eastAsia="仿宋" w:cs="仿宋"/>
          <w:b/>
          <w:bCs/>
          <w:sz w:val="24"/>
          <w:szCs w:val="24"/>
          <w:highlight w:val="none"/>
        </w:rPr>
      </w:pPr>
      <w:bookmarkStart w:id="52" w:name="_Toc1697"/>
    </w:p>
    <w:p w14:paraId="4323C026">
      <w:pPr>
        <w:spacing w:line="540" w:lineRule="exact"/>
        <w:jc w:val="center"/>
        <w:outlineLvl w:val="0"/>
        <w:rPr>
          <w:rFonts w:hint="eastAsia" w:ascii="仿宋" w:hAnsi="仿宋" w:eastAsia="仿宋" w:cs="仿宋"/>
          <w:b/>
          <w:bCs/>
          <w:sz w:val="24"/>
          <w:szCs w:val="24"/>
          <w:highlight w:val="none"/>
        </w:rPr>
      </w:pPr>
    </w:p>
    <w:p w14:paraId="005A9736">
      <w:pPr>
        <w:spacing w:line="540" w:lineRule="exact"/>
        <w:jc w:val="center"/>
        <w:outlineLvl w:val="0"/>
        <w:rPr>
          <w:rFonts w:hint="eastAsia" w:ascii="仿宋" w:hAnsi="仿宋" w:eastAsia="仿宋" w:cs="仿宋"/>
          <w:b/>
          <w:bCs/>
          <w:sz w:val="24"/>
          <w:szCs w:val="24"/>
          <w:highlight w:val="none"/>
        </w:rPr>
      </w:pPr>
    </w:p>
    <w:p w14:paraId="7F7F067B">
      <w:pPr>
        <w:spacing w:line="540" w:lineRule="exact"/>
        <w:jc w:val="center"/>
        <w:outlineLvl w:val="0"/>
        <w:rPr>
          <w:rFonts w:hint="eastAsia" w:ascii="仿宋" w:hAnsi="仿宋" w:eastAsia="仿宋" w:cs="仿宋"/>
          <w:b/>
          <w:bCs/>
          <w:sz w:val="24"/>
          <w:szCs w:val="24"/>
          <w:highlight w:val="none"/>
        </w:rPr>
      </w:pPr>
    </w:p>
    <w:p w14:paraId="6AD05334">
      <w:pPr>
        <w:rPr>
          <w:rFonts w:hint="eastAsia" w:ascii="仿宋" w:hAnsi="仿宋" w:eastAsia="仿宋" w:cs="仿宋"/>
          <w:b/>
          <w:bCs/>
          <w:sz w:val="24"/>
          <w:szCs w:val="24"/>
          <w:highlight w:val="none"/>
        </w:rPr>
      </w:pPr>
      <w:bookmarkStart w:id="53" w:name="_Toc30496"/>
    </w:p>
    <w:p w14:paraId="51DD031A">
      <w:pPr>
        <w:pStyle w:val="6"/>
        <w:rPr>
          <w:rFonts w:hint="eastAsia" w:ascii="仿宋" w:hAnsi="仿宋" w:eastAsia="仿宋" w:cs="仿宋"/>
          <w:b/>
          <w:bCs/>
          <w:sz w:val="24"/>
          <w:szCs w:val="24"/>
          <w:highlight w:val="none"/>
        </w:rPr>
      </w:pPr>
    </w:p>
    <w:p w14:paraId="1FDDDDFA">
      <w:pPr>
        <w:rPr>
          <w:rFonts w:hint="eastAsia" w:ascii="仿宋" w:hAnsi="仿宋" w:eastAsia="仿宋" w:cs="仿宋"/>
          <w:b/>
          <w:bCs/>
          <w:sz w:val="24"/>
          <w:szCs w:val="24"/>
          <w:highlight w:val="none"/>
        </w:rPr>
      </w:pPr>
    </w:p>
    <w:p w14:paraId="44A2C8F6">
      <w:pPr>
        <w:spacing w:line="540" w:lineRule="exact"/>
        <w:jc w:val="both"/>
        <w:outlineLvl w:val="2"/>
        <w:rPr>
          <w:rFonts w:hint="eastAsia" w:ascii="仿宋" w:hAnsi="仿宋" w:eastAsia="仿宋" w:cs="仿宋"/>
          <w:b/>
          <w:bCs/>
          <w:sz w:val="24"/>
          <w:szCs w:val="24"/>
          <w:highlight w:val="none"/>
        </w:rPr>
      </w:pPr>
      <w:bookmarkStart w:id="54" w:name="_Toc4972"/>
    </w:p>
    <w:p w14:paraId="6EAC8D01">
      <w:pPr>
        <w:pStyle w:val="18"/>
        <w:rPr>
          <w:rFonts w:hint="eastAsia" w:ascii="仿宋" w:hAnsi="仿宋" w:eastAsia="仿宋" w:cs="仿宋"/>
          <w:b/>
          <w:bCs/>
          <w:sz w:val="24"/>
          <w:szCs w:val="24"/>
          <w:highlight w:val="none"/>
        </w:rPr>
      </w:pPr>
    </w:p>
    <w:p w14:paraId="5BBECB93">
      <w:pPr>
        <w:pStyle w:val="18"/>
        <w:rPr>
          <w:rFonts w:hint="eastAsia" w:ascii="仿宋" w:hAnsi="仿宋" w:eastAsia="仿宋" w:cs="仿宋"/>
          <w:b/>
          <w:bCs/>
          <w:sz w:val="24"/>
          <w:szCs w:val="24"/>
          <w:highlight w:val="none"/>
        </w:rPr>
      </w:pPr>
    </w:p>
    <w:p w14:paraId="13C011AF">
      <w:pPr>
        <w:pStyle w:val="18"/>
        <w:rPr>
          <w:rFonts w:hint="eastAsia" w:ascii="仿宋" w:hAnsi="仿宋" w:eastAsia="仿宋" w:cs="仿宋"/>
          <w:b/>
          <w:bCs/>
          <w:sz w:val="24"/>
          <w:szCs w:val="24"/>
          <w:highlight w:val="none"/>
        </w:rPr>
      </w:pPr>
    </w:p>
    <w:p w14:paraId="29BE038E">
      <w:pPr>
        <w:pStyle w:val="18"/>
        <w:rPr>
          <w:rFonts w:hint="eastAsia" w:ascii="仿宋" w:hAnsi="仿宋" w:eastAsia="仿宋" w:cs="仿宋"/>
          <w:b/>
          <w:bCs/>
          <w:sz w:val="24"/>
          <w:szCs w:val="24"/>
          <w:highlight w:val="none"/>
        </w:rPr>
      </w:pPr>
    </w:p>
    <w:p w14:paraId="629B3AC6">
      <w:pPr>
        <w:pStyle w:val="18"/>
        <w:rPr>
          <w:rFonts w:hint="eastAsia" w:ascii="仿宋" w:hAnsi="仿宋" w:eastAsia="仿宋" w:cs="仿宋"/>
          <w:b/>
          <w:bCs/>
          <w:sz w:val="24"/>
          <w:szCs w:val="24"/>
          <w:highlight w:val="none"/>
        </w:rPr>
      </w:pPr>
    </w:p>
    <w:p w14:paraId="2602D069">
      <w:pPr>
        <w:pStyle w:val="18"/>
        <w:rPr>
          <w:rFonts w:hint="eastAsia" w:ascii="仿宋" w:hAnsi="仿宋" w:eastAsia="仿宋" w:cs="仿宋"/>
          <w:b/>
          <w:bCs/>
          <w:sz w:val="24"/>
          <w:szCs w:val="24"/>
          <w:highlight w:val="none"/>
        </w:rPr>
      </w:pPr>
    </w:p>
    <w:p w14:paraId="34FE5A38">
      <w:pPr>
        <w:pStyle w:val="18"/>
        <w:rPr>
          <w:rFonts w:hint="eastAsia" w:ascii="仿宋" w:hAnsi="仿宋" w:eastAsia="仿宋" w:cs="仿宋"/>
          <w:b/>
          <w:bCs/>
          <w:sz w:val="24"/>
          <w:szCs w:val="24"/>
          <w:highlight w:val="none"/>
        </w:rPr>
      </w:pPr>
    </w:p>
    <w:p w14:paraId="5E56D697">
      <w:pPr>
        <w:pStyle w:val="18"/>
        <w:rPr>
          <w:rFonts w:hint="eastAsia" w:ascii="仿宋" w:hAnsi="仿宋" w:eastAsia="仿宋" w:cs="仿宋"/>
          <w:b/>
          <w:bCs/>
          <w:sz w:val="24"/>
          <w:szCs w:val="24"/>
          <w:highlight w:val="none"/>
        </w:rPr>
      </w:pPr>
    </w:p>
    <w:p w14:paraId="1A96D958">
      <w:pPr>
        <w:pStyle w:val="18"/>
        <w:rPr>
          <w:rFonts w:hint="eastAsia" w:ascii="仿宋" w:hAnsi="仿宋" w:eastAsia="仿宋" w:cs="仿宋"/>
          <w:b/>
          <w:bCs/>
          <w:sz w:val="24"/>
          <w:szCs w:val="24"/>
          <w:highlight w:val="none"/>
        </w:rPr>
      </w:pPr>
    </w:p>
    <w:p w14:paraId="466FA75A">
      <w:pPr>
        <w:pStyle w:val="18"/>
        <w:rPr>
          <w:rFonts w:hint="eastAsia" w:ascii="仿宋" w:hAnsi="仿宋" w:eastAsia="仿宋" w:cs="仿宋"/>
          <w:b/>
          <w:bCs/>
          <w:sz w:val="24"/>
          <w:szCs w:val="24"/>
          <w:highlight w:val="none"/>
        </w:rPr>
      </w:pPr>
    </w:p>
    <w:p w14:paraId="3FF268DE">
      <w:pPr>
        <w:spacing w:line="540" w:lineRule="exact"/>
        <w:jc w:val="center"/>
        <w:outlineLvl w:val="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质疑函范本</w:t>
      </w:r>
      <w:bookmarkEnd w:id="52"/>
      <w:bookmarkEnd w:id="53"/>
      <w:bookmarkEnd w:id="54"/>
    </w:p>
    <w:p w14:paraId="7F479DD2">
      <w:pPr>
        <w:adjustRightInd w:val="0"/>
        <w:snapToGrid w:val="0"/>
        <w:spacing w:before="312" w:beforeLines="100" w:line="540" w:lineRule="exact"/>
        <w:ind w:firstLine="480" w:firstLineChars="200"/>
        <w:outlineLvl w:val="9"/>
        <w:rPr>
          <w:rFonts w:hint="eastAsia" w:ascii="仿宋" w:hAnsi="仿宋" w:eastAsia="仿宋" w:cs="仿宋"/>
          <w:bCs/>
          <w:sz w:val="24"/>
          <w:szCs w:val="24"/>
          <w:highlight w:val="none"/>
        </w:rPr>
      </w:pPr>
      <w:bookmarkStart w:id="55" w:name="_Toc9061"/>
      <w:bookmarkStart w:id="56" w:name="_Toc25524"/>
      <w:r>
        <w:rPr>
          <w:rFonts w:hint="eastAsia" w:ascii="仿宋" w:hAnsi="仿宋" w:eastAsia="仿宋" w:cs="仿宋"/>
          <w:bCs/>
          <w:sz w:val="24"/>
          <w:szCs w:val="24"/>
          <w:highlight w:val="none"/>
        </w:rPr>
        <w:t>一、质疑供应商基本信息</w:t>
      </w:r>
      <w:bookmarkEnd w:id="55"/>
      <w:bookmarkEnd w:id="56"/>
    </w:p>
    <w:p w14:paraId="4DBD0B60">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质疑供应商：</w:t>
      </w:r>
      <w:r>
        <w:rPr>
          <w:rFonts w:hint="eastAsia" w:ascii="仿宋" w:hAnsi="仿宋" w:eastAsia="仿宋" w:cs="仿宋"/>
          <w:sz w:val="24"/>
          <w:szCs w:val="24"/>
          <w:highlight w:val="none"/>
          <w:u w:val="dotted"/>
        </w:rPr>
        <w:t xml:space="preserve">                         </w:t>
      </w:r>
    </w:p>
    <w:p w14:paraId="11491285">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186F8D5A">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4627785D">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p>
    <w:p w14:paraId="60901538">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31199FFF">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291FB03F">
      <w:pPr>
        <w:adjustRightInd w:val="0"/>
        <w:snapToGrid w:val="0"/>
        <w:spacing w:line="540" w:lineRule="exact"/>
        <w:ind w:firstLine="480" w:firstLineChars="200"/>
        <w:outlineLvl w:val="9"/>
        <w:rPr>
          <w:rFonts w:hint="eastAsia" w:ascii="仿宋" w:hAnsi="仿宋" w:eastAsia="仿宋" w:cs="仿宋"/>
          <w:bCs/>
          <w:sz w:val="24"/>
          <w:szCs w:val="24"/>
          <w:highlight w:val="none"/>
        </w:rPr>
      </w:pPr>
      <w:bookmarkStart w:id="57" w:name="_Toc15938"/>
      <w:bookmarkStart w:id="58" w:name="_Toc19533"/>
      <w:r>
        <w:rPr>
          <w:rFonts w:hint="eastAsia" w:ascii="仿宋" w:hAnsi="仿宋" w:eastAsia="仿宋" w:cs="仿宋"/>
          <w:bCs/>
          <w:sz w:val="24"/>
          <w:szCs w:val="24"/>
          <w:highlight w:val="none"/>
        </w:rPr>
        <w:t>二、质疑项目基本情况</w:t>
      </w:r>
      <w:bookmarkEnd w:id="57"/>
      <w:bookmarkEnd w:id="58"/>
    </w:p>
    <w:p w14:paraId="42D55066">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u w:val="dotted"/>
        </w:rPr>
        <w:t xml:space="preserve">                                     </w:t>
      </w:r>
    </w:p>
    <w:p w14:paraId="54AF41D1">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包号：</w:t>
      </w:r>
      <w:r>
        <w:rPr>
          <w:rFonts w:hint="eastAsia" w:ascii="仿宋" w:hAnsi="仿宋" w:eastAsia="仿宋" w:cs="仿宋"/>
          <w:sz w:val="24"/>
          <w:szCs w:val="24"/>
          <w:highlight w:val="none"/>
          <w:u w:val="dotted"/>
        </w:rPr>
        <w:t xml:space="preserve">                </w:t>
      </w:r>
    </w:p>
    <w:p w14:paraId="391AB211">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6A2887A6">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sz w:val="24"/>
          <w:szCs w:val="24"/>
          <w:highlight w:val="none"/>
          <w:u w:val="dotted"/>
        </w:rPr>
        <w:t xml:space="preserve">                                   </w:t>
      </w:r>
    </w:p>
    <w:p w14:paraId="02D36BDE">
      <w:pPr>
        <w:adjustRightInd w:val="0"/>
        <w:snapToGrid w:val="0"/>
        <w:spacing w:line="540" w:lineRule="exact"/>
        <w:ind w:firstLine="480" w:firstLineChars="200"/>
        <w:outlineLvl w:val="9"/>
        <w:rPr>
          <w:rFonts w:hint="eastAsia" w:ascii="仿宋" w:hAnsi="仿宋" w:eastAsia="仿宋" w:cs="仿宋"/>
          <w:bCs/>
          <w:sz w:val="24"/>
          <w:szCs w:val="24"/>
          <w:highlight w:val="none"/>
        </w:rPr>
      </w:pPr>
      <w:bookmarkStart w:id="59" w:name="_Toc25298"/>
      <w:bookmarkStart w:id="60" w:name="_Toc18271"/>
      <w:r>
        <w:rPr>
          <w:rFonts w:hint="eastAsia" w:ascii="仿宋" w:hAnsi="仿宋" w:eastAsia="仿宋" w:cs="仿宋"/>
          <w:bCs/>
          <w:sz w:val="24"/>
          <w:szCs w:val="24"/>
          <w:highlight w:val="none"/>
        </w:rPr>
        <w:t>三、质疑事项具体内容</w:t>
      </w:r>
      <w:bookmarkEnd w:id="59"/>
      <w:bookmarkEnd w:id="60"/>
    </w:p>
    <w:p w14:paraId="23D9D964">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质疑事项1：</w:t>
      </w:r>
      <w:r>
        <w:rPr>
          <w:rFonts w:hint="eastAsia" w:ascii="仿宋" w:hAnsi="仿宋" w:eastAsia="仿宋" w:cs="仿宋"/>
          <w:sz w:val="24"/>
          <w:szCs w:val="24"/>
          <w:highlight w:val="none"/>
          <w:u w:val="dotted"/>
        </w:rPr>
        <w:t xml:space="preserve">                                         </w:t>
      </w:r>
    </w:p>
    <w:p w14:paraId="49D41528">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1DFFCBF9">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3D8F08D7">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14:paraId="068FB97E">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512637D8">
      <w:pPr>
        <w:adjustRightInd w:val="0"/>
        <w:snapToGrid w:val="0"/>
        <w:spacing w:line="540" w:lineRule="exact"/>
        <w:ind w:firstLine="480" w:firstLineChars="200"/>
        <w:outlineLvl w:val="9"/>
        <w:rPr>
          <w:rFonts w:hint="eastAsia" w:ascii="仿宋" w:hAnsi="仿宋" w:eastAsia="仿宋" w:cs="仿宋"/>
          <w:bCs/>
          <w:sz w:val="24"/>
          <w:szCs w:val="24"/>
          <w:highlight w:val="none"/>
        </w:rPr>
      </w:pPr>
      <w:bookmarkStart w:id="61" w:name="_Toc20488"/>
      <w:bookmarkStart w:id="62" w:name="_Toc22365"/>
      <w:r>
        <w:rPr>
          <w:rFonts w:hint="eastAsia" w:ascii="仿宋" w:hAnsi="仿宋" w:eastAsia="仿宋" w:cs="仿宋"/>
          <w:bCs/>
          <w:sz w:val="24"/>
          <w:szCs w:val="24"/>
          <w:highlight w:val="none"/>
        </w:rPr>
        <w:t>四、与质疑事项相关的质疑请求</w:t>
      </w:r>
      <w:bookmarkEnd w:id="61"/>
      <w:bookmarkEnd w:id="62"/>
    </w:p>
    <w:p w14:paraId="4BF1E836">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p>
    <w:p w14:paraId="5DE98392">
      <w:pPr>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签字(签章)：                   公章：                      </w:t>
      </w:r>
    </w:p>
    <w:p w14:paraId="45562472">
      <w:pPr>
        <w:spacing w:line="540" w:lineRule="exact"/>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 xml:space="preserve">日期：    </w:t>
      </w:r>
    </w:p>
    <w:p w14:paraId="3F0F67ED">
      <w:pPr>
        <w:pageBreakBefore/>
        <w:spacing w:line="440" w:lineRule="exact"/>
        <w:jc w:val="center"/>
        <w:outlineLvl w:val="0"/>
        <w:rPr>
          <w:rFonts w:hint="eastAsia" w:ascii="仿宋" w:hAnsi="仿宋" w:eastAsia="仿宋" w:cs="仿宋"/>
          <w:sz w:val="24"/>
          <w:szCs w:val="24"/>
          <w:highlight w:val="none"/>
        </w:rPr>
      </w:pPr>
      <w:bookmarkStart w:id="63" w:name="_Toc7619"/>
      <w:bookmarkStart w:id="64" w:name="_Toc18159"/>
      <w:bookmarkStart w:id="65" w:name="_Toc22183"/>
      <w:r>
        <w:rPr>
          <w:rFonts w:hint="eastAsia" w:ascii="仿宋" w:hAnsi="仿宋" w:eastAsia="仿宋" w:cs="仿宋"/>
          <w:sz w:val="24"/>
          <w:szCs w:val="24"/>
          <w:highlight w:val="none"/>
        </w:rPr>
        <w:t>第三章  评标办法</w:t>
      </w:r>
      <w:bookmarkEnd w:id="63"/>
      <w:bookmarkEnd w:id="64"/>
      <w:bookmarkEnd w:id="65"/>
    </w:p>
    <w:p w14:paraId="5E638D77">
      <w:pPr>
        <w:jc w:val="center"/>
        <w:outlineLvl w:val="1"/>
        <w:rPr>
          <w:rFonts w:hint="eastAsia" w:ascii="仿宋" w:hAnsi="仿宋" w:eastAsia="仿宋" w:cs="仿宋"/>
          <w:b/>
          <w:sz w:val="24"/>
          <w:szCs w:val="24"/>
          <w:highlight w:val="none"/>
        </w:rPr>
      </w:pPr>
      <w:bookmarkStart w:id="66" w:name="_Toc18317"/>
      <w:bookmarkStart w:id="67" w:name="_Toc26415"/>
      <w:bookmarkStart w:id="68" w:name="_Toc15723"/>
      <w:bookmarkStart w:id="69" w:name="_Toc362983802"/>
      <w:bookmarkStart w:id="70" w:name="_Toc267320058"/>
      <w:bookmarkStart w:id="71" w:name="_Toc363135205"/>
      <w:r>
        <w:rPr>
          <w:rFonts w:hint="eastAsia" w:ascii="仿宋" w:hAnsi="仿宋" w:eastAsia="仿宋" w:cs="仿宋"/>
          <w:b/>
          <w:sz w:val="24"/>
          <w:szCs w:val="24"/>
          <w:highlight w:val="none"/>
          <w:lang w:eastAsia="zh-CN"/>
        </w:rPr>
        <w:t>（一）</w:t>
      </w:r>
      <w:r>
        <w:rPr>
          <w:rFonts w:hint="eastAsia" w:ascii="仿宋" w:hAnsi="仿宋" w:eastAsia="仿宋" w:cs="仿宋"/>
          <w:b/>
          <w:sz w:val="24"/>
          <w:szCs w:val="24"/>
          <w:highlight w:val="none"/>
        </w:rPr>
        <w:t>总  则</w:t>
      </w:r>
      <w:bookmarkEnd w:id="66"/>
      <w:bookmarkEnd w:id="67"/>
      <w:bookmarkEnd w:id="68"/>
    </w:p>
    <w:p w14:paraId="1F07C1DE">
      <w:pPr>
        <w:tabs>
          <w:tab w:val="left" w:pos="567"/>
          <w:tab w:val="left" w:pos="600"/>
        </w:tabs>
        <w:spacing w:line="440" w:lineRule="exact"/>
        <w:ind w:firstLine="612" w:firstLineChars="255"/>
        <w:outlineLvl w:val="2"/>
        <w:rPr>
          <w:rFonts w:hint="eastAsia" w:ascii="仿宋" w:hAnsi="仿宋" w:eastAsia="仿宋" w:cs="仿宋"/>
          <w:b/>
          <w:bCs/>
          <w:sz w:val="24"/>
          <w:szCs w:val="24"/>
          <w:highlight w:val="none"/>
        </w:rPr>
      </w:pPr>
      <w:bookmarkStart w:id="72" w:name="_Toc32261"/>
      <w:r>
        <w:rPr>
          <w:rFonts w:hint="eastAsia" w:ascii="仿宋" w:hAnsi="仿宋" w:eastAsia="仿宋" w:cs="仿宋"/>
          <w:b/>
          <w:bCs/>
          <w:sz w:val="24"/>
          <w:szCs w:val="24"/>
          <w:highlight w:val="none"/>
        </w:rPr>
        <w:t>1、一般规定</w:t>
      </w:r>
      <w:bookmarkEnd w:id="72"/>
    </w:p>
    <w:p w14:paraId="46B65292">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1.1本项目的招标按照《中华人民共和国政府采购法》、《政府采购服务和服务招标磋商管理办法》、《政府采购竞争性磋商采购方式管理暂行办法》及政府采购的有关规定进行。</w:t>
      </w:r>
    </w:p>
    <w:p w14:paraId="44E97CE6">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1.2评标必须遵循公开、公平、公正、诚实信用的原则。</w:t>
      </w:r>
    </w:p>
    <w:p w14:paraId="437879E1">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1.3招标代理机构组织招标、开标、评标工作，全过程接受政府采购有关部门的监督、管理和指导。</w:t>
      </w:r>
    </w:p>
    <w:p w14:paraId="6465FDD5">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1.4评标按照磋商文件规定的内容进行，采取综合比较和分项打分相结合的评标方法（综合评分法），避免纯技术或纯经济的倾向。</w:t>
      </w:r>
    </w:p>
    <w:p w14:paraId="1BAEB4B2">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1.5本办法的评标对象是指供应商按照磋商文件要求提供的有效响应文件，包括供应商应磋商小组要求对原响应文件作出的正式书面澄清文件。</w:t>
      </w:r>
    </w:p>
    <w:p w14:paraId="4E881715">
      <w:pPr>
        <w:tabs>
          <w:tab w:val="left" w:pos="567"/>
          <w:tab w:val="left" w:pos="600"/>
        </w:tabs>
        <w:spacing w:line="440" w:lineRule="exact"/>
        <w:ind w:firstLine="612" w:firstLineChars="255"/>
        <w:outlineLvl w:val="2"/>
        <w:rPr>
          <w:rFonts w:hint="eastAsia" w:ascii="仿宋" w:hAnsi="仿宋" w:eastAsia="仿宋" w:cs="仿宋"/>
          <w:b/>
          <w:bCs/>
          <w:sz w:val="24"/>
          <w:szCs w:val="24"/>
          <w:highlight w:val="none"/>
        </w:rPr>
      </w:pPr>
      <w:bookmarkStart w:id="73" w:name="_Toc6901"/>
      <w:r>
        <w:rPr>
          <w:rFonts w:hint="eastAsia" w:ascii="仿宋" w:hAnsi="仿宋" w:eastAsia="仿宋" w:cs="仿宋"/>
          <w:b/>
          <w:bCs/>
          <w:sz w:val="24"/>
          <w:szCs w:val="24"/>
          <w:highlight w:val="none"/>
        </w:rPr>
        <w:t>2、磋商组织机构的组成</w:t>
      </w:r>
      <w:bookmarkEnd w:id="73"/>
    </w:p>
    <w:p w14:paraId="34532C98">
      <w:pPr>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2.1磋商小组成</w:t>
      </w:r>
      <w:r>
        <w:rPr>
          <w:rFonts w:hint="eastAsia" w:ascii="仿宋" w:hAnsi="仿宋" w:eastAsia="仿宋" w:cs="仿宋"/>
          <w:color w:val="auto"/>
          <w:sz w:val="24"/>
          <w:szCs w:val="24"/>
          <w:highlight w:val="none"/>
        </w:rPr>
        <w:t>员由招标人的代表</w:t>
      </w:r>
      <w:r>
        <w:rPr>
          <w:rFonts w:hint="eastAsia" w:ascii="仿宋" w:hAnsi="仿宋" w:eastAsia="仿宋" w:cs="仿宋"/>
          <w:color w:val="auto"/>
          <w:sz w:val="24"/>
          <w:szCs w:val="24"/>
          <w:highlight w:val="none"/>
          <w:u w:val="single"/>
          <w:lang w:val="en-US" w:eastAsia="zh-CN"/>
        </w:rPr>
        <w:t>1名</w:t>
      </w:r>
      <w:r>
        <w:rPr>
          <w:rFonts w:hint="eastAsia" w:ascii="仿宋" w:hAnsi="仿宋" w:eastAsia="仿宋" w:cs="仿宋"/>
          <w:color w:val="auto"/>
          <w:sz w:val="24"/>
          <w:szCs w:val="24"/>
          <w:highlight w:val="none"/>
          <w:u w:val="single"/>
        </w:rPr>
        <w:t>和随机抽取的有关方面</w:t>
      </w:r>
      <w:r>
        <w:rPr>
          <w:rFonts w:hint="eastAsia" w:ascii="仿宋" w:hAnsi="仿宋" w:eastAsia="仿宋" w:cs="仿宋"/>
          <w:b w:val="0"/>
          <w:bCs w:val="0"/>
          <w:color w:val="auto"/>
          <w:sz w:val="24"/>
          <w:szCs w:val="24"/>
          <w:highlight w:val="none"/>
          <w:u w:val="single"/>
        </w:rPr>
        <w:t>的专家</w:t>
      </w:r>
      <w:r>
        <w:rPr>
          <w:rFonts w:hint="eastAsia" w:ascii="仿宋" w:hAnsi="仿宋" w:eastAsia="仿宋" w:cs="仿宋"/>
          <w:b w:val="0"/>
          <w:bCs w:val="0"/>
          <w:color w:val="auto"/>
          <w:sz w:val="24"/>
          <w:szCs w:val="24"/>
          <w:highlight w:val="none"/>
          <w:u w:val="single"/>
          <w:lang w:val="en-US" w:eastAsia="zh-CN"/>
        </w:rPr>
        <w:t>2</w:t>
      </w:r>
      <w:r>
        <w:rPr>
          <w:rFonts w:hint="eastAsia" w:ascii="仿宋" w:hAnsi="仿宋" w:eastAsia="仿宋" w:cs="仿宋"/>
          <w:b w:val="0"/>
          <w:bCs w:val="0"/>
          <w:color w:val="auto"/>
          <w:sz w:val="24"/>
          <w:szCs w:val="24"/>
          <w:highlight w:val="none"/>
          <w:u w:val="single"/>
        </w:rPr>
        <w:t>名组成，成员为</w:t>
      </w:r>
      <w:r>
        <w:rPr>
          <w:rFonts w:hint="eastAsia" w:ascii="仿宋" w:hAnsi="仿宋" w:eastAsia="仿宋" w:cs="仿宋"/>
          <w:b w:val="0"/>
          <w:bCs w:val="0"/>
          <w:color w:val="auto"/>
          <w:sz w:val="24"/>
          <w:szCs w:val="24"/>
          <w:highlight w:val="none"/>
          <w:u w:val="single"/>
          <w:lang w:val="en-US" w:eastAsia="zh-CN"/>
        </w:rPr>
        <w:t>3</w:t>
      </w:r>
      <w:r>
        <w:rPr>
          <w:rFonts w:hint="eastAsia" w:ascii="仿宋" w:hAnsi="仿宋" w:eastAsia="仿宋" w:cs="仿宋"/>
          <w:b w:val="0"/>
          <w:bCs w:val="0"/>
          <w:color w:val="auto"/>
          <w:sz w:val="24"/>
          <w:szCs w:val="24"/>
          <w:highlight w:val="none"/>
          <w:u w:val="single"/>
        </w:rPr>
        <w:t>人</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磋商小组的成员在评标过程中</w:t>
      </w:r>
      <w:r>
        <w:rPr>
          <w:rFonts w:hint="eastAsia" w:ascii="仿宋" w:hAnsi="仿宋" w:eastAsia="仿宋" w:cs="仿宋"/>
          <w:color w:val="auto"/>
          <w:sz w:val="24"/>
          <w:szCs w:val="24"/>
          <w:highlight w:val="none"/>
          <w:lang w:val="zh-CN"/>
        </w:rPr>
        <w:t>必须严格遵守政府采购的有关规定</w:t>
      </w:r>
      <w:r>
        <w:rPr>
          <w:rFonts w:hint="eastAsia" w:ascii="仿宋" w:hAnsi="仿宋" w:eastAsia="仿宋" w:cs="仿宋"/>
          <w:color w:val="auto"/>
          <w:sz w:val="24"/>
          <w:szCs w:val="24"/>
          <w:highlight w:val="none"/>
        </w:rPr>
        <w:t>。专家从</w:t>
      </w:r>
      <w:r>
        <w:rPr>
          <w:rFonts w:hint="eastAsia" w:ascii="仿宋" w:hAnsi="仿宋" w:eastAsia="仿宋" w:cs="仿宋"/>
          <w:color w:val="auto"/>
          <w:sz w:val="24"/>
          <w:szCs w:val="24"/>
          <w:highlight w:val="none"/>
          <w:lang w:eastAsia="zh-CN"/>
        </w:rPr>
        <w:t>政采云</w:t>
      </w:r>
      <w:r>
        <w:rPr>
          <w:rFonts w:hint="eastAsia" w:ascii="仿宋" w:hAnsi="仿宋" w:eastAsia="仿宋" w:cs="仿宋"/>
          <w:color w:val="auto"/>
          <w:sz w:val="24"/>
          <w:szCs w:val="24"/>
          <w:highlight w:val="none"/>
        </w:rPr>
        <w:t>专家库中随机抽取产生。</w:t>
      </w:r>
    </w:p>
    <w:p w14:paraId="2FE81B49">
      <w:pPr>
        <w:tabs>
          <w:tab w:val="left" w:pos="567"/>
          <w:tab w:val="left" w:pos="1145"/>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2.2评标工作组由招标人及有关专家组成，由磋商小组确认，并接受其领导。</w:t>
      </w:r>
    </w:p>
    <w:p w14:paraId="1D9C845F">
      <w:pPr>
        <w:tabs>
          <w:tab w:val="left" w:pos="567"/>
          <w:tab w:val="left" w:pos="1145"/>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2.3磋商小组应相对独立工作，负责评标、撰写技术、商务评标报告。采购代理机构负责评标过程中资料的保管、发放、回收，整理、汇总评标资料。</w:t>
      </w:r>
    </w:p>
    <w:p w14:paraId="4BC940AE">
      <w:pPr>
        <w:tabs>
          <w:tab w:val="left" w:pos="567"/>
          <w:tab w:val="left" w:pos="600"/>
        </w:tabs>
        <w:spacing w:line="440" w:lineRule="exact"/>
        <w:ind w:firstLine="612" w:firstLineChars="255"/>
        <w:outlineLvl w:val="2"/>
        <w:rPr>
          <w:rFonts w:hint="eastAsia" w:ascii="仿宋" w:hAnsi="仿宋" w:eastAsia="仿宋" w:cs="仿宋"/>
          <w:b/>
          <w:bCs/>
          <w:sz w:val="24"/>
          <w:szCs w:val="24"/>
          <w:highlight w:val="none"/>
        </w:rPr>
      </w:pPr>
      <w:bookmarkStart w:id="74" w:name="_Toc1850"/>
      <w:r>
        <w:rPr>
          <w:rFonts w:hint="eastAsia" w:ascii="仿宋" w:hAnsi="仿宋" w:eastAsia="仿宋" w:cs="仿宋"/>
          <w:b/>
          <w:bCs/>
          <w:sz w:val="24"/>
          <w:szCs w:val="24"/>
          <w:highlight w:val="none"/>
        </w:rPr>
        <w:t>3、磋商小组职责</w:t>
      </w:r>
      <w:bookmarkEnd w:id="74"/>
    </w:p>
    <w:p w14:paraId="502D04EF">
      <w:pPr>
        <w:pStyle w:val="60"/>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3.1审查磋商文件是否符合磋商文件要求，并作出评价；</w:t>
      </w:r>
    </w:p>
    <w:p w14:paraId="259C7FBD">
      <w:pPr>
        <w:pStyle w:val="60"/>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3.2要求供应商对磋商文件有关事项作出解释或者澄清；</w:t>
      </w:r>
    </w:p>
    <w:p w14:paraId="3B8C4ED0">
      <w:pPr>
        <w:pStyle w:val="60"/>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3.3推荐成交候选人名单；</w:t>
      </w:r>
    </w:p>
    <w:p w14:paraId="3A4D85C2">
      <w:pPr>
        <w:pStyle w:val="60"/>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14:paraId="263DEBC9">
      <w:pPr>
        <w:tabs>
          <w:tab w:val="left" w:pos="567"/>
          <w:tab w:val="left" w:pos="600"/>
        </w:tabs>
        <w:spacing w:line="440" w:lineRule="exact"/>
        <w:ind w:firstLine="612" w:firstLineChars="255"/>
        <w:outlineLvl w:val="2"/>
        <w:rPr>
          <w:rFonts w:hint="eastAsia" w:ascii="仿宋" w:hAnsi="仿宋" w:eastAsia="仿宋" w:cs="仿宋"/>
          <w:b/>
          <w:bCs/>
          <w:sz w:val="24"/>
          <w:szCs w:val="24"/>
          <w:highlight w:val="none"/>
        </w:rPr>
      </w:pPr>
      <w:bookmarkStart w:id="75" w:name="_Toc728"/>
      <w:r>
        <w:rPr>
          <w:rFonts w:hint="eastAsia" w:ascii="仿宋" w:hAnsi="仿宋" w:eastAsia="仿宋" w:cs="仿宋"/>
          <w:b/>
          <w:bCs/>
          <w:sz w:val="24"/>
          <w:szCs w:val="24"/>
          <w:highlight w:val="none"/>
        </w:rPr>
        <w:t>4、磋商小组义务</w:t>
      </w:r>
      <w:bookmarkEnd w:id="75"/>
    </w:p>
    <w:p w14:paraId="23FF0EBC">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4.1遵纪守法，客观、公正、廉洁地履行职责；</w:t>
      </w:r>
    </w:p>
    <w:p w14:paraId="361A1F4C">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4.2按照磋商文件规定的评标方法和评标标准进行评标，对评审意见承担个人责任；</w:t>
      </w:r>
    </w:p>
    <w:p w14:paraId="11723849">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4.3对评标过程和结果，以及供应商的商业秘密保密；</w:t>
      </w:r>
    </w:p>
    <w:p w14:paraId="7832A8D5">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4.4参与评标报告的起草；</w:t>
      </w:r>
    </w:p>
    <w:p w14:paraId="5347F5BE">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4.5配合有关部门的投诉处理工作；</w:t>
      </w:r>
    </w:p>
    <w:p w14:paraId="65F11CBE">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4.6配合招标人、招标代理机构答复磋商供应商提出的质疑。</w:t>
      </w:r>
    </w:p>
    <w:p w14:paraId="6E3EE539">
      <w:pPr>
        <w:tabs>
          <w:tab w:val="left" w:pos="1547"/>
        </w:tabs>
        <w:spacing w:line="440" w:lineRule="exact"/>
        <w:ind w:firstLine="612" w:firstLineChars="255"/>
        <w:outlineLvl w:val="2"/>
        <w:rPr>
          <w:rFonts w:hint="eastAsia" w:ascii="仿宋" w:hAnsi="仿宋" w:eastAsia="仿宋" w:cs="仿宋"/>
          <w:b/>
          <w:bCs/>
          <w:sz w:val="24"/>
          <w:szCs w:val="24"/>
          <w:highlight w:val="none"/>
        </w:rPr>
      </w:pPr>
      <w:bookmarkStart w:id="76" w:name="_Toc29099"/>
      <w:r>
        <w:rPr>
          <w:rFonts w:hint="eastAsia" w:ascii="仿宋" w:hAnsi="仿宋" w:eastAsia="仿宋" w:cs="仿宋"/>
          <w:b/>
          <w:bCs/>
          <w:sz w:val="24"/>
          <w:szCs w:val="24"/>
          <w:highlight w:val="none"/>
        </w:rPr>
        <w:t>5、 评标程序</w:t>
      </w:r>
      <w:bookmarkEnd w:id="76"/>
    </w:p>
    <w:p w14:paraId="18B6464E">
      <w:pPr>
        <w:pStyle w:val="21"/>
        <w:tabs>
          <w:tab w:val="left" w:pos="720"/>
          <w:tab w:val="clear" w:pos="0"/>
        </w:tabs>
        <w:spacing w:line="440" w:lineRule="exact"/>
        <w:ind w:firstLine="612" w:firstLineChars="255"/>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5.1本次评标首先由磋商小组对供应商的响应文件进行初审，对未能通过初审的响应文件作废标处理；</w:t>
      </w:r>
    </w:p>
    <w:p w14:paraId="5CDC1141">
      <w:pPr>
        <w:tabs>
          <w:tab w:val="left" w:pos="72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5.2对通过初审的供应商的响应文件进行详细的比较和评价。如需要，进行必要的澄清工作；</w:t>
      </w:r>
    </w:p>
    <w:p w14:paraId="21F7889E">
      <w:pPr>
        <w:spacing w:line="360" w:lineRule="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 xml:space="preserve">     5.3</w:t>
      </w:r>
      <w:r>
        <w:rPr>
          <w:rFonts w:hint="eastAsia" w:ascii="仿宋" w:hAnsi="仿宋" w:eastAsia="仿宋" w:cs="仿宋"/>
          <w:color w:val="000000"/>
          <w:sz w:val="24"/>
          <w:szCs w:val="24"/>
          <w:highlight w:val="none"/>
        </w:rPr>
        <w:t>评标报告与推荐成交候选人</w:t>
      </w:r>
    </w:p>
    <w:p w14:paraId="0F177399">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5.3</w:t>
      </w:r>
      <w:r>
        <w:rPr>
          <w:rFonts w:hint="eastAsia" w:ascii="仿宋" w:hAnsi="仿宋" w:eastAsia="仿宋" w:cs="仿宋"/>
          <w:kern w:val="0"/>
          <w:sz w:val="24"/>
          <w:szCs w:val="24"/>
          <w:highlight w:val="none"/>
        </w:rPr>
        <w:t>磋商小组各成员应当独立对每个有效响应的文件进行评价、打分，然后汇总每个供应商每项评分因素的得分。</w:t>
      </w:r>
    </w:p>
    <w:p w14:paraId="135621C0">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val="en-US" w:eastAsia="zh-CN"/>
        </w:rPr>
        <w:t>5.5</w:t>
      </w:r>
      <w:r>
        <w:rPr>
          <w:rFonts w:hint="eastAsia" w:ascii="仿宋" w:hAnsi="仿宋" w:eastAsia="仿宋" w:cs="仿宋"/>
          <w:kern w:val="0"/>
          <w:sz w:val="24"/>
          <w:szCs w:val="24"/>
          <w:highlight w:val="none"/>
        </w:rPr>
        <w:t>综合评分法服务项目的价格分值占总分值的比重(即权</w:t>
      </w:r>
      <w:r>
        <w:rPr>
          <w:rFonts w:hint="eastAsia" w:ascii="仿宋" w:hAnsi="仿宋" w:eastAsia="仿宋" w:cs="仿宋"/>
          <w:color w:val="auto"/>
          <w:kern w:val="0"/>
          <w:sz w:val="24"/>
          <w:szCs w:val="24"/>
          <w:highlight w:val="none"/>
        </w:rPr>
        <w:t>值)为</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w:t>
      </w:r>
      <w:r>
        <w:rPr>
          <w:rFonts w:hint="eastAsia" w:ascii="仿宋" w:hAnsi="仿宋" w:eastAsia="仿宋" w:cs="仿宋"/>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14:paraId="283F47E2">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val="en-US" w:eastAsia="zh-CN"/>
        </w:rPr>
        <w:t>5.6</w:t>
      </w:r>
      <w:r>
        <w:rPr>
          <w:rFonts w:hint="eastAsia" w:ascii="仿宋" w:hAnsi="仿宋" w:eastAsia="仿宋" w:cs="仿宋"/>
          <w:kern w:val="0"/>
          <w:sz w:val="24"/>
          <w:szCs w:val="24"/>
          <w:highlight w:val="none"/>
        </w:rPr>
        <w:t>综合评分法中的价格分统一采用</w:t>
      </w:r>
      <w:r>
        <w:rPr>
          <w:rFonts w:hint="eastAsia" w:ascii="仿宋" w:hAnsi="仿宋" w:eastAsia="仿宋" w:cs="仿宋"/>
          <w:kern w:val="0"/>
          <w:sz w:val="24"/>
          <w:szCs w:val="24"/>
          <w:highlight w:val="none"/>
          <w:lang w:val="en-US" w:eastAsia="zh-CN"/>
        </w:rPr>
        <w:t>高利率</w:t>
      </w:r>
      <w:r>
        <w:rPr>
          <w:rFonts w:hint="eastAsia" w:ascii="仿宋" w:hAnsi="仿宋" w:eastAsia="仿宋" w:cs="仿宋"/>
          <w:kern w:val="0"/>
          <w:sz w:val="24"/>
          <w:szCs w:val="24"/>
          <w:highlight w:val="none"/>
        </w:rPr>
        <w:t>优先法计算，即满足磋商文件要求且最后</w:t>
      </w:r>
      <w:r>
        <w:rPr>
          <w:rFonts w:hint="eastAsia" w:ascii="仿宋" w:hAnsi="仿宋" w:eastAsia="仿宋" w:cs="仿宋"/>
          <w:kern w:val="0"/>
          <w:sz w:val="24"/>
          <w:szCs w:val="24"/>
          <w:highlight w:val="none"/>
          <w:lang w:val="en-US" w:eastAsia="zh-CN"/>
        </w:rPr>
        <w:t>利率</w:t>
      </w:r>
      <w:r>
        <w:rPr>
          <w:rFonts w:hint="eastAsia" w:ascii="仿宋" w:hAnsi="仿宋" w:eastAsia="仿宋" w:cs="仿宋"/>
          <w:kern w:val="0"/>
          <w:sz w:val="24"/>
          <w:szCs w:val="24"/>
          <w:highlight w:val="none"/>
        </w:rPr>
        <w:t>最</w:t>
      </w:r>
      <w:r>
        <w:rPr>
          <w:rFonts w:hint="eastAsia" w:ascii="仿宋" w:hAnsi="仿宋" w:eastAsia="仿宋" w:cs="仿宋"/>
          <w:kern w:val="0"/>
          <w:sz w:val="24"/>
          <w:szCs w:val="24"/>
          <w:highlight w:val="none"/>
          <w:lang w:eastAsia="zh-CN"/>
        </w:rPr>
        <w:t>高</w:t>
      </w:r>
      <w:r>
        <w:rPr>
          <w:rFonts w:hint="eastAsia" w:ascii="仿宋" w:hAnsi="仿宋" w:eastAsia="仿宋" w:cs="仿宋"/>
          <w:kern w:val="0"/>
          <w:sz w:val="24"/>
          <w:szCs w:val="24"/>
          <w:highlight w:val="none"/>
        </w:rPr>
        <w:t>的供应商的价格为磋商基准价，其价格分为满分。其他供应商的价格分统一按照下列公式计算：</w:t>
      </w:r>
    </w:p>
    <w:p w14:paraId="54B05BD1">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val="en-US" w:eastAsia="zh-CN"/>
        </w:rPr>
        <w:t>5.7</w:t>
      </w:r>
      <w:r>
        <w:rPr>
          <w:rFonts w:hint="eastAsia" w:ascii="仿宋" w:hAnsi="仿宋" w:eastAsia="仿宋" w:cs="仿宋"/>
          <w:kern w:val="0"/>
          <w:sz w:val="24"/>
          <w:szCs w:val="24"/>
          <w:highlight w:val="none"/>
        </w:rPr>
        <w:t>磋商报价得分=（最后磋商报价/磋商基准价）×价格权值×100</w:t>
      </w:r>
    </w:p>
    <w:p w14:paraId="5581CA35">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val="en-US" w:eastAsia="zh-CN"/>
        </w:rPr>
        <w:t>5.8</w:t>
      </w:r>
      <w:r>
        <w:rPr>
          <w:rFonts w:hint="eastAsia" w:ascii="仿宋" w:hAnsi="仿宋" w:eastAsia="仿宋" w:cs="仿宋"/>
          <w:kern w:val="0"/>
          <w:sz w:val="24"/>
          <w:szCs w:val="24"/>
          <w:highlight w:val="none"/>
        </w:rPr>
        <w:t>项目评审过程中，不得去掉最后报价中的最高报价和最低报价。</w:t>
      </w:r>
    </w:p>
    <w:p w14:paraId="489D8461">
      <w:pPr>
        <w:jc w:val="left"/>
        <w:outlineLvl w:val="9"/>
        <w:rPr>
          <w:rFonts w:hint="eastAsia" w:ascii="仿宋" w:hAnsi="仿宋" w:eastAsia="仿宋" w:cs="仿宋"/>
          <w:b/>
          <w:sz w:val="24"/>
          <w:szCs w:val="24"/>
          <w:highlight w:val="none"/>
        </w:rPr>
      </w:pPr>
      <w:bookmarkStart w:id="77" w:name="_Toc10523"/>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val="en-US" w:eastAsia="zh-CN"/>
        </w:rPr>
        <w:t xml:space="preserve">  5.9</w:t>
      </w:r>
      <w:r>
        <w:rPr>
          <w:rFonts w:hint="eastAsia" w:ascii="仿宋" w:hAnsi="仿宋" w:eastAsia="仿宋" w:cs="仿宋"/>
          <w:kern w:val="0"/>
          <w:sz w:val="24"/>
          <w:szCs w:val="24"/>
          <w:highlight w:val="none"/>
        </w:rPr>
        <w:t>磋商小组应当根据综合评分情况，按照评审得分由高到低顺序推荐</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名成交候选供应商符合《政府采购竞争性磋商采购方式管理暂行办法》法第二十五条磋商小组应当根据综合评分情况，按照评审得分由高到低顺序推荐</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名成交候选供应商。评审得分相同的，按照最后报价由</w:t>
      </w:r>
      <w:r>
        <w:rPr>
          <w:rFonts w:hint="eastAsia" w:ascii="仿宋" w:hAnsi="仿宋" w:eastAsia="仿宋" w:cs="仿宋"/>
          <w:kern w:val="0"/>
          <w:sz w:val="24"/>
          <w:szCs w:val="24"/>
          <w:highlight w:val="none"/>
          <w:lang w:val="en-US" w:eastAsia="zh-CN"/>
        </w:rPr>
        <w:t>高</w:t>
      </w:r>
      <w:r>
        <w:rPr>
          <w:rFonts w:hint="eastAsia" w:ascii="仿宋" w:hAnsi="仿宋" w:eastAsia="仿宋" w:cs="仿宋"/>
          <w:kern w:val="0"/>
          <w:sz w:val="24"/>
          <w:szCs w:val="24"/>
          <w:highlight w:val="none"/>
        </w:rPr>
        <w:t>到</w:t>
      </w:r>
      <w:r>
        <w:rPr>
          <w:rFonts w:hint="eastAsia" w:ascii="仿宋" w:hAnsi="仿宋" w:eastAsia="仿宋" w:cs="仿宋"/>
          <w:kern w:val="0"/>
          <w:sz w:val="24"/>
          <w:szCs w:val="24"/>
          <w:highlight w:val="none"/>
          <w:lang w:val="en-US" w:eastAsia="zh-CN"/>
        </w:rPr>
        <w:t>低</w:t>
      </w:r>
      <w:r>
        <w:rPr>
          <w:rFonts w:hint="eastAsia" w:ascii="仿宋" w:hAnsi="仿宋" w:eastAsia="仿宋" w:cs="仿宋"/>
          <w:kern w:val="0"/>
          <w:sz w:val="24"/>
          <w:szCs w:val="24"/>
          <w:highlight w:val="none"/>
        </w:rPr>
        <w:t>的顺序推荐。</w:t>
      </w:r>
      <w:bookmarkEnd w:id="77"/>
    </w:p>
    <w:p w14:paraId="0CAAD5D6">
      <w:pPr>
        <w:jc w:val="center"/>
        <w:outlineLvl w:val="1"/>
        <w:rPr>
          <w:rFonts w:hint="eastAsia" w:ascii="仿宋" w:hAnsi="仿宋" w:eastAsia="仿宋" w:cs="仿宋"/>
          <w:b/>
          <w:sz w:val="24"/>
          <w:szCs w:val="24"/>
          <w:highlight w:val="none"/>
        </w:rPr>
      </w:pPr>
    </w:p>
    <w:p w14:paraId="2F5DA45E">
      <w:pPr>
        <w:jc w:val="center"/>
        <w:outlineLvl w:val="1"/>
        <w:rPr>
          <w:rFonts w:hint="eastAsia" w:ascii="仿宋" w:hAnsi="仿宋" w:eastAsia="仿宋" w:cs="仿宋"/>
          <w:b/>
          <w:sz w:val="24"/>
          <w:szCs w:val="24"/>
          <w:highlight w:val="none"/>
        </w:rPr>
      </w:pPr>
    </w:p>
    <w:p w14:paraId="0F0A62CA">
      <w:pPr>
        <w:jc w:val="center"/>
        <w:outlineLvl w:val="1"/>
        <w:rPr>
          <w:rFonts w:hint="eastAsia" w:ascii="仿宋" w:hAnsi="仿宋" w:eastAsia="仿宋" w:cs="仿宋"/>
          <w:b/>
          <w:sz w:val="24"/>
          <w:szCs w:val="24"/>
          <w:highlight w:val="none"/>
        </w:rPr>
      </w:pPr>
    </w:p>
    <w:p w14:paraId="7D355B43">
      <w:pPr>
        <w:jc w:val="center"/>
        <w:outlineLvl w:val="1"/>
        <w:rPr>
          <w:rFonts w:hint="eastAsia" w:ascii="仿宋" w:hAnsi="仿宋" w:eastAsia="仿宋" w:cs="仿宋"/>
          <w:b/>
          <w:sz w:val="24"/>
          <w:szCs w:val="24"/>
          <w:highlight w:val="none"/>
        </w:rPr>
      </w:pPr>
    </w:p>
    <w:p w14:paraId="793BE54E">
      <w:pPr>
        <w:jc w:val="center"/>
        <w:outlineLvl w:val="1"/>
        <w:rPr>
          <w:rFonts w:hint="eastAsia" w:ascii="仿宋" w:hAnsi="仿宋" w:eastAsia="仿宋" w:cs="仿宋"/>
          <w:b/>
          <w:sz w:val="24"/>
          <w:szCs w:val="24"/>
          <w:highlight w:val="none"/>
        </w:rPr>
      </w:pPr>
    </w:p>
    <w:p w14:paraId="0C678486">
      <w:pPr>
        <w:jc w:val="center"/>
        <w:outlineLvl w:val="1"/>
        <w:rPr>
          <w:rFonts w:hint="eastAsia" w:ascii="仿宋" w:hAnsi="仿宋" w:eastAsia="仿宋" w:cs="仿宋"/>
          <w:b/>
          <w:sz w:val="24"/>
          <w:szCs w:val="24"/>
          <w:highlight w:val="none"/>
        </w:rPr>
      </w:pPr>
    </w:p>
    <w:p w14:paraId="49F543EE">
      <w:pPr>
        <w:jc w:val="center"/>
        <w:outlineLvl w:val="1"/>
        <w:rPr>
          <w:rFonts w:hint="eastAsia" w:ascii="仿宋" w:hAnsi="仿宋" w:eastAsia="仿宋" w:cs="仿宋"/>
          <w:b/>
          <w:sz w:val="24"/>
          <w:szCs w:val="24"/>
          <w:highlight w:val="none"/>
        </w:rPr>
      </w:pPr>
    </w:p>
    <w:p w14:paraId="5854A5FD">
      <w:pPr>
        <w:jc w:val="center"/>
        <w:outlineLvl w:val="1"/>
        <w:rPr>
          <w:rFonts w:hint="eastAsia" w:ascii="仿宋" w:hAnsi="仿宋" w:eastAsia="仿宋" w:cs="仿宋"/>
          <w:b/>
          <w:sz w:val="24"/>
          <w:szCs w:val="24"/>
          <w:highlight w:val="none"/>
        </w:rPr>
      </w:pPr>
    </w:p>
    <w:p w14:paraId="0A5B6971">
      <w:pPr>
        <w:jc w:val="center"/>
        <w:outlineLvl w:val="1"/>
        <w:rPr>
          <w:rFonts w:hint="eastAsia" w:ascii="仿宋" w:hAnsi="仿宋" w:eastAsia="仿宋" w:cs="仿宋"/>
          <w:b/>
          <w:sz w:val="24"/>
          <w:szCs w:val="24"/>
          <w:highlight w:val="none"/>
        </w:rPr>
      </w:pPr>
    </w:p>
    <w:p w14:paraId="6D4B8D8E">
      <w:pPr>
        <w:jc w:val="center"/>
        <w:outlineLvl w:val="1"/>
        <w:rPr>
          <w:rFonts w:hint="eastAsia" w:ascii="仿宋" w:hAnsi="仿宋" w:eastAsia="仿宋" w:cs="仿宋"/>
          <w:b/>
          <w:sz w:val="24"/>
          <w:szCs w:val="24"/>
          <w:highlight w:val="none"/>
        </w:rPr>
      </w:pPr>
    </w:p>
    <w:p w14:paraId="69BE3613">
      <w:pPr>
        <w:jc w:val="center"/>
        <w:outlineLvl w:val="1"/>
        <w:rPr>
          <w:rFonts w:hint="eastAsia" w:ascii="仿宋" w:hAnsi="仿宋" w:eastAsia="仿宋" w:cs="仿宋"/>
          <w:b/>
          <w:sz w:val="24"/>
          <w:szCs w:val="24"/>
          <w:highlight w:val="none"/>
        </w:rPr>
      </w:pPr>
    </w:p>
    <w:p w14:paraId="214DBB9D">
      <w:pPr>
        <w:jc w:val="center"/>
        <w:outlineLvl w:val="1"/>
        <w:rPr>
          <w:rFonts w:hint="eastAsia" w:ascii="仿宋" w:hAnsi="仿宋" w:eastAsia="仿宋" w:cs="仿宋"/>
          <w:b/>
          <w:sz w:val="24"/>
          <w:szCs w:val="24"/>
          <w:highlight w:val="none"/>
        </w:rPr>
      </w:pPr>
    </w:p>
    <w:p w14:paraId="25D8E48E">
      <w:pPr>
        <w:jc w:val="center"/>
        <w:outlineLvl w:val="1"/>
        <w:rPr>
          <w:rFonts w:hint="eastAsia" w:ascii="仿宋" w:hAnsi="仿宋" w:eastAsia="仿宋" w:cs="仿宋"/>
          <w:b/>
          <w:sz w:val="24"/>
          <w:szCs w:val="24"/>
          <w:highlight w:val="none"/>
        </w:rPr>
      </w:pPr>
    </w:p>
    <w:p w14:paraId="4AB74137">
      <w:pPr>
        <w:jc w:val="center"/>
        <w:outlineLvl w:val="1"/>
        <w:rPr>
          <w:rFonts w:hint="eastAsia" w:ascii="仿宋" w:hAnsi="仿宋" w:eastAsia="仿宋" w:cs="仿宋"/>
          <w:b/>
          <w:sz w:val="24"/>
          <w:szCs w:val="24"/>
          <w:highlight w:val="none"/>
        </w:rPr>
      </w:pPr>
    </w:p>
    <w:p w14:paraId="0A9B3EED">
      <w:pPr>
        <w:pStyle w:val="40"/>
        <w:rPr>
          <w:rFonts w:hint="eastAsia" w:ascii="仿宋" w:hAnsi="仿宋" w:eastAsia="仿宋" w:cs="仿宋"/>
          <w:sz w:val="24"/>
          <w:szCs w:val="24"/>
        </w:rPr>
      </w:pPr>
    </w:p>
    <w:p w14:paraId="44193D63">
      <w:pPr>
        <w:pStyle w:val="40"/>
        <w:rPr>
          <w:rFonts w:hint="eastAsia" w:ascii="仿宋" w:hAnsi="仿宋" w:eastAsia="仿宋" w:cs="仿宋"/>
          <w:sz w:val="24"/>
          <w:szCs w:val="24"/>
        </w:rPr>
      </w:pPr>
    </w:p>
    <w:p w14:paraId="6245F54A">
      <w:pPr>
        <w:pStyle w:val="40"/>
        <w:rPr>
          <w:rFonts w:hint="eastAsia" w:ascii="仿宋" w:hAnsi="仿宋" w:eastAsia="仿宋" w:cs="仿宋"/>
          <w:sz w:val="24"/>
          <w:szCs w:val="24"/>
        </w:rPr>
      </w:pPr>
    </w:p>
    <w:p w14:paraId="6C722711">
      <w:pPr>
        <w:pStyle w:val="40"/>
        <w:rPr>
          <w:rFonts w:hint="eastAsia" w:ascii="仿宋" w:hAnsi="仿宋" w:eastAsia="仿宋" w:cs="仿宋"/>
          <w:sz w:val="24"/>
          <w:szCs w:val="24"/>
        </w:rPr>
      </w:pPr>
    </w:p>
    <w:p w14:paraId="27F46F3E">
      <w:pPr>
        <w:pStyle w:val="40"/>
        <w:rPr>
          <w:rFonts w:hint="eastAsia" w:ascii="仿宋" w:hAnsi="仿宋" w:eastAsia="仿宋" w:cs="仿宋"/>
          <w:sz w:val="24"/>
          <w:szCs w:val="24"/>
        </w:rPr>
      </w:pPr>
    </w:p>
    <w:p w14:paraId="40ECB8E6">
      <w:pPr>
        <w:pStyle w:val="40"/>
        <w:rPr>
          <w:rFonts w:hint="eastAsia" w:ascii="仿宋" w:hAnsi="仿宋" w:eastAsia="仿宋" w:cs="仿宋"/>
          <w:sz w:val="24"/>
          <w:szCs w:val="24"/>
        </w:rPr>
      </w:pPr>
    </w:p>
    <w:p w14:paraId="1EB60A91">
      <w:pPr>
        <w:pStyle w:val="40"/>
        <w:rPr>
          <w:rFonts w:hint="eastAsia" w:ascii="仿宋" w:hAnsi="仿宋" w:eastAsia="仿宋" w:cs="仿宋"/>
          <w:sz w:val="24"/>
          <w:szCs w:val="24"/>
        </w:rPr>
      </w:pPr>
    </w:p>
    <w:p w14:paraId="22BF915F">
      <w:pPr>
        <w:jc w:val="center"/>
        <w:outlineLvl w:val="1"/>
        <w:rPr>
          <w:rFonts w:hint="eastAsia" w:ascii="仿宋" w:hAnsi="仿宋" w:eastAsia="仿宋" w:cs="仿宋"/>
          <w:b/>
          <w:sz w:val="24"/>
          <w:szCs w:val="24"/>
          <w:highlight w:val="none"/>
        </w:rPr>
      </w:pPr>
      <w:bookmarkStart w:id="78" w:name="_Toc5760"/>
      <w:bookmarkStart w:id="79" w:name="_Toc27367"/>
      <w:bookmarkStart w:id="80" w:name="_Toc18997"/>
      <w:r>
        <w:rPr>
          <w:rFonts w:hint="eastAsia" w:ascii="仿宋" w:hAnsi="仿宋" w:eastAsia="仿宋" w:cs="仿宋"/>
          <w:b/>
          <w:sz w:val="24"/>
          <w:szCs w:val="24"/>
          <w:highlight w:val="none"/>
          <w:lang w:eastAsia="zh-CN"/>
        </w:rPr>
        <w:t>（二）</w:t>
      </w:r>
      <w:r>
        <w:rPr>
          <w:rFonts w:hint="eastAsia" w:ascii="仿宋" w:hAnsi="仿宋" w:eastAsia="仿宋" w:cs="仿宋"/>
          <w:b/>
          <w:sz w:val="24"/>
          <w:szCs w:val="24"/>
          <w:highlight w:val="none"/>
        </w:rPr>
        <w:t xml:space="preserve"> 投标文件初审</w:t>
      </w:r>
      <w:bookmarkEnd w:id="69"/>
      <w:bookmarkEnd w:id="78"/>
      <w:bookmarkEnd w:id="79"/>
      <w:bookmarkEnd w:id="80"/>
    </w:p>
    <w:p w14:paraId="3FF705AC">
      <w:pPr>
        <w:spacing w:line="400" w:lineRule="exact"/>
        <w:ind w:firstLine="352" w:firstLineChars="147"/>
        <w:outlineLvl w:val="2"/>
        <w:rPr>
          <w:rFonts w:hint="eastAsia" w:ascii="仿宋" w:hAnsi="仿宋" w:eastAsia="仿宋" w:cs="仿宋"/>
          <w:b/>
          <w:sz w:val="24"/>
          <w:szCs w:val="24"/>
          <w:highlight w:val="none"/>
        </w:rPr>
      </w:pPr>
      <w:bookmarkStart w:id="81" w:name="_Toc5783"/>
      <w:r>
        <w:rPr>
          <w:rFonts w:hint="eastAsia" w:ascii="仿宋" w:hAnsi="仿宋" w:eastAsia="仿宋" w:cs="仿宋"/>
          <w:b/>
          <w:sz w:val="24"/>
          <w:szCs w:val="24"/>
          <w:highlight w:val="none"/>
        </w:rPr>
        <w:t>6.资格性审查:</w:t>
      </w:r>
      <w:bookmarkEnd w:id="81"/>
    </w:p>
    <w:p w14:paraId="67A1ADDE">
      <w:pPr>
        <w:spacing w:line="400" w:lineRule="exact"/>
        <w:ind w:firstLine="352" w:firstLineChars="147"/>
        <w:rPr>
          <w:rFonts w:hint="eastAsia" w:ascii="仿宋" w:hAnsi="仿宋" w:eastAsia="仿宋" w:cs="仿宋"/>
          <w:sz w:val="24"/>
          <w:szCs w:val="24"/>
          <w:highlight w:val="none"/>
        </w:rPr>
      </w:pPr>
      <w:r>
        <w:rPr>
          <w:rFonts w:hint="eastAsia" w:ascii="仿宋" w:hAnsi="仿宋" w:eastAsia="仿宋" w:cs="仿宋"/>
          <w:sz w:val="24"/>
          <w:szCs w:val="24"/>
          <w:highlight w:val="none"/>
        </w:rPr>
        <w:t>6.1评审细则</w:t>
      </w:r>
    </w:p>
    <w:tbl>
      <w:tblPr>
        <w:tblStyle w:val="25"/>
        <w:tblW w:w="9060" w:type="dxa"/>
        <w:jc w:val="center"/>
        <w:tblLayout w:type="fixed"/>
        <w:tblCellMar>
          <w:top w:w="0" w:type="dxa"/>
          <w:left w:w="15" w:type="dxa"/>
          <w:bottom w:w="0" w:type="dxa"/>
          <w:right w:w="15" w:type="dxa"/>
        </w:tblCellMar>
      </w:tblPr>
      <w:tblGrid>
        <w:gridCol w:w="885"/>
        <w:gridCol w:w="8175"/>
      </w:tblGrid>
      <w:tr w14:paraId="455540E8">
        <w:trPr>
          <w:trHeight w:val="429" w:hRule="atLeast"/>
          <w:jc w:val="center"/>
        </w:trPr>
        <w:tc>
          <w:tcPr>
            <w:tcW w:w="885" w:type="dxa"/>
            <w:tcBorders>
              <w:top w:val="single" w:color="000000" w:sz="4" w:space="0"/>
              <w:left w:val="single" w:color="000000" w:sz="4" w:space="0"/>
              <w:bottom w:val="single" w:color="auto" w:sz="4" w:space="0"/>
              <w:right w:val="single" w:color="000000" w:sz="4" w:space="0"/>
            </w:tcBorders>
            <w:vAlign w:val="center"/>
          </w:tcPr>
          <w:p w14:paraId="5C17FCAC">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175" w:type="dxa"/>
            <w:tcBorders>
              <w:top w:val="single" w:color="000000" w:sz="4" w:space="0"/>
              <w:left w:val="single" w:color="000000" w:sz="4" w:space="0"/>
              <w:bottom w:val="single" w:color="000000" w:sz="4" w:space="0"/>
              <w:right w:val="single" w:color="000000" w:sz="4" w:space="0"/>
            </w:tcBorders>
            <w:vAlign w:val="center"/>
          </w:tcPr>
          <w:p w14:paraId="40DB9D7A">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资质审查</w:t>
            </w:r>
          </w:p>
        </w:tc>
      </w:tr>
      <w:tr w14:paraId="3BCA2904">
        <w:tblPrEx>
          <w:tblCellMar>
            <w:top w:w="0" w:type="dxa"/>
            <w:left w:w="15" w:type="dxa"/>
            <w:bottom w:w="0" w:type="dxa"/>
            <w:right w:w="15" w:type="dxa"/>
          </w:tblCellMar>
        </w:tblPrEx>
        <w:trPr>
          <w:trHeight w:val="387"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13CB0E4E">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175" w:type="dxa"/>
            <w:tcBorders>
              <w:top w:val="single" w:color="000000" w:sz="4" w:space="0"/>
              <w:left w:val="single" w:color="auto" w:sz="4" w:space="0"/>
              <w:bottom w:val="single" w:color="000000" w:sz="4" w:space="0"/>
              <w:right w:val="single" w:color="000000" w:sz="4" w:space="0"/>
            </w:tcBorders>
            <w:vAlign w:val="center"/>
          </w:tcPr>
          <w:p w14:paraId="41128231">
            <w:pPr>
              <w:autoSpaceDN w:val="0"/>
              <w:spacing w:line="440" w:lineRule="exac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具备三证合一营业执照；</w:t>
            </w:r>
          </w:p>
        </w:tc>
      </w:tr>
      <w:tr w14:paraId="51316237">
        <w:tblPrEx>
          <w:tblCellMar>
            <w:top w:w="0" w:type="dxa"/>
            <w:left w:w="15" w:type="dxa"/>
            <w:bottom w:w="0" w:type="dxa"/>
            <w:right w:w="15" w:type="dxa"/>
          </w:tblCellMar>
        </w:tblPrEx>
        <w:trPr>
          <w:trHeight w:val="1136"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48B62455">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175" w:type="dxa"/>
            <w:tcBorders>
              <w:top w:val="single" w:color="000000" w:sz="4" w:space="0"/>
              <w:left w:val="single" w:color="auto" w:sz="4" w:space="0"/>
              <w:bottom w:val="single" w:color="000000" w:sz="4" w:space="0"/>
              <w:right w:val="single" w:color="000000" w:sz="4" w:space="0"/>
            </w:tcBorders>
            <w:vAlign w:val="center"/>
          </w:tcPr>
          <w:p w14:paraId="0F85159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法定代表人（负责人）参加提供法定代表人（负责人）证明书，委托代理人参加提供法人代表（负责人）授权委托书；投标银行为非法人机构的，提供上一级银行授权委托书</w:t>
            </w:r>
            <w:r>
              <w:rPr>
                <w:rFonts w:hint="eastAsia" w:ascii="仿宋" w:hAnsi="仿宋" w:eastAsia="仿宋" w:cs="仿宋"/>
                <w:color w:val="auto"/>
                <w:sz w:val="24"/>
                <w:szCs w:val="24"/>
                <w:highlight w:val="none"/>
              </w:rPr>
              <w:t>；</w:t>
            </w:r>
          </w:p>
        </w:tc>
      </w:tr>
      <w:tr w14:paraId="53810839">
        <w:tblPrEx>
          <w:tblCellMar>
            <w:top w:w="0" w:type="dxa"/>
            <w:left w:w="15" w:type="dxa"/>
            <w:bottom w:w="0" w:type="dxa"/>
            <w:right w:w="15" w:type="dxa"/>
          </w:tblCellMar>
        </w:tblPrEx>
        <w:trPr>
          <w:trHeight w:val="657"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64CECE87">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175" w:type="dxa"/>
            <w:tcBorders>
              <w:top w:val="single" w:color="000000" w:sz="4" w:space="0"/>
              <w:left w:val="single" w:color="auto" w:sz="4" w:space="0"/>
              <w:bottom w:val="single" w:color="000000" w:sz="4" w:space="0"/>
              <w:right w:val="single" w:color="000000" w:sz="4" w:space="0"/>
            </w:tcBorders>
            <w:vAlign w:val="center"/>
          </w:tcPr>
          <w:p w14:paraId="6C54A04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投标企业须提供投标人（被授权人）近6个月任意1个月的社保证明；</w:t>
            </w:r>
          </w:p>
        </w:tc>
      </w:tr>
      <w:tr w14:paraId="49EF25C5">
        <w:tblPrEx>
          <w:tblCellMar>
            <w:top w:w="0" w:type="dxa"/>
            <w:left w:w="15" w:type="dxa"/>
            <w:bottom w:w="0" w:type="dxa"/>
            <w:right w:w="15" w:type="dxa"/>
          </w:tblCellMar>
        </w:tblPrEx>
        <w:trPr>
          <w:trHeight w:val="365"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15593957">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175" w:type="dxa"/>
            <w:tcBorders>
              <w:top w:val="single" w:color="000000" w:sz="4" w:space="0"/>
              <w:left w:val="single" w:color="auto" w:sz="4" w:space="0"/>
              <w:bottom w:val="single" w:color="000000" w:sz="4" w:space="0"/>
              <w:right w:val="single" w:color="000000" w:sz="4" w:space="0"/>
            </w:tcBorders>
            <w:vAlign w:val="center"/>
          </w:tcPr>
          <w:p w14:paraId="6A535F37">
            <w:pPr>
              <w:autoSpaceDN w:val="0"/>
              <w:spacing w:line="440" w:lineRule="exac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投标企业需提供</w:t>
            </w:r>
            <w:r>
              <w:rPr>
                <w:rFonts w:hint="eastAsia" w:ascii="仿宋" w:hAnsi="仿宋" w:eastAsia="仿宋" w:cs="仿宋"/>
                <w:color w:val="auto"/>
                <w:sz w:val="24"/>
                <w:szCs w:val="24"/>
                <w:highlight w:val="none"/>
                <w:lang w:eastAsia="zh-CN"/>
              </w:rPr>
              <w:t>中国银行业监督管理委员会有效的《中华人民共和国金融许可证》或《金融机构营业许可证》；</w:t>
            </w:r>
          </w:p>
        </w:tc>
      </w:tr>
      <w:tr w14:paraId="3A4B78BE">
        <w:tblPrEx>
          <w:tblCellMar>
            <w:top w:w="0" w:type="dxa"/>
            <w:left w:w="15" w:type="dxa"/>
            <w:bottom w:w="0" w:type="dxa"/>
            <w:right w:w="15" w:type="dxa"/>
          </w:tblCellMar>
        </w:tblPrEx>
        <w:trPr>
          <w:trHeight w:val="371"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00900DEC">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175" w:type="dxa"/>
            <w:tcBorders>
              <w:top w:val="single" w:color="000000" w:sz="4" w:space="0"/>
              <w:left w:val="single" w:color="auto" w:sz="4" w:space="0"/>
              <w:bottom w:val="single" w:color="000000" w:sz="4" w:space="0"/>
              <w:right w:val="single" w:color="000000" w:sz="4" w:space="0"/>
            </w:tcBorders>
            <w:vAlign w:val="center"/>
          </w:tcPr>
          <w:p w14:paraId="2AC026A1">
            <w:pPr>
              <w:autoSpaceDN w:val="0"/>
              <w:spacing w:line="440" w:lineRule="exac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投标企业未被列入信用中国网（www.creditchina.gov.cn）及中国政府采购网 (www.ccgp.gov.cn）失信被执行人名单、重大税收违法失信主体、政府采购严重违法失信行为记录名单。</w:t>
            </w:r>
          </w:p>
        </w:tc>
      </w:tr>
      <w:tr w14:paraId="2329165F">
        <w:tblPrEx>
          <w:tblCellMar>
            <w:top w:w="0" w:type="dxa"/>
            <w:left w:w="15" w:type="dxa"/>
            <w:bottom w:w="0" w:type="dxa"/>
            <w:right w:w="15" w:type="dxa"/>
          </w:tblCellMar>
        </w:tblPrEx>
        <w:trPr>
          <w:trHeight w:val="123"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vAlign w:val="center"/>
          </w:tcPr>
          <w:p w14:paraId="5FF49E9E">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符合通过打“√”，不通过打“×”审查不通过的为投标无效。</w:t>
            </w:r>
          </w:p>
        </w:tc>
      </w:tr>
    </w:tbl>
    <w:p w14:paraId="51BEDACA">
      <w:pPr>
        <w:spacing w:line="400" w:lineRule="exact"/>
        <w:ind w:firstLine="578" w:firstLineChars="241"/>
        <w:rPr>
          <w:rFonts w:hint="eastAsia" w:ascii="仿宋" w:hAnsi="仿宋" w:eastAsia="仿宋" w:cs="仿宋"/>
          <w:b/>
          <w:sz w:val="24"/>
          <w:szCs w:val="24"/>
          <w:highlight w:val="none"/>
        </w:rPr>
      </w:pPr>
      <w:r>
        <w:rPr>
          <w:rFonts w:hint="eastAsia" w:ascii="仿宋" w:hAnsi="仿宋" w:eastAsia="仿宋" w:cs="仿宋"/>
          <w:b/>
          <w:sz w:val="24"/>
          <w:szCs w:val="24"/>
          <w:highlight w:val="none"/>
        </w:rPr>
        <w:t>6.2如评标专家在检验电子标书过程中，如果由于投标人自身原因导致评标专家无法查看并检验电子标书中以上相关资料的，否决其投标。即使投标单位将原件携带至现场的，同样按无效投标处理。</w:t>
      </w:r>
    </w:p>
    <w:p w14:paraId="0BB1885B">
      <w:pPr>
        <w:spacing w:before="156" w:beforeLines="50" w:line="440" w:lineRule="exact"/>
        <w:ind w:firstLine="352" w:firstLineChars="147"/>
        <w:outlineLvl w:val="2"/>
        <w:rPr>
          <w:rFonts w:hint="eastAsia" w:ascii="仿宋" w:hAnsi="仿宋" w:eastAsia="仿宋" w:cs="仿宋"/>
          <w:b/>
          <w:sz w:val="24"/>
          <w:szCs w:val="24"/>
          <w:highlight w:val="none"/>
        </w:rPr>
      </w:pPr>
      <w:bookmarkStart w:id="82" w:name="_Toc20642"/>
      <w:r>
        <w:rPr>
          <w:rFonts w:hint="eastAsia" w:ascii="仿宋" w:hAnsi="仿宋" w:eastAsia="仿宋" w:cs="仿宋"/>
          <w:b/>
          <w:sz w:val="24"/>
          <w:szCs w:val="24"/>
          <w:highlight w:val="none"/>
        </w:rPr>
        <w:t>7.符合性审查</w:t>
      </w:r>
      <w:bookmarkEnd w:id="82"/>
    </w:p>
    <w:p w14:paraId="44830DB7">
      <w:pPr>
        <w:spacing w:line="44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7．1评审细则</w:t>
      </w:r>
    </w:p>
    <w:tbl>
      <w:tblPr>
        <w:tblStyle w:val="2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8322"/>
      </w:tblGrid>
      <w:tr w14:paraId="43FE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8" w:type="dxa"/>
            <w:vAlign w:val="center"/>
          </w:tcPr>
          <w:p w14:paraId="7AC95FBF">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8322" w:type="dxa"/>
            <w:vAlign w:val="center"/>
          </w:tcPr>
          <w:p w14:paraId="5430527A">
            <w:pPr>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符合性审查要求</w:t>
            </w:r>
          </w:p>
        </w:tc>
      </w:tr>
      <w:tr w14:paraId="20D4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8" w:type="dxa"/>
            <w:vAlign w:val="center"/>
          </w:tcPr>
          <w:p w14:paraId="794E8D6E">
            <w:pPr>
              <w:spacing w:line="440" w:lineRule="exact"/>
              <w:ind w:firstLine="240" w:firstLineChars="1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8322" w:type="dxa"/>
            <w:vAlign w:val="center"/>
          </w:tcPr>
          <w:p w14:paraId="090F2ADD">
            <w:pPr>
              <w:spacing w:line="440" w:lineRule="exact"/>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报价符合磋商文件要求</w:t>
            </w:r>
          </w:p>
        </w:tc>
      </w:tr>
      <w:tr w14:paraId="04A6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18" w:type="dxa"/>
            <w:vAlign w:val="center"/>
          </w:tcPr>
          <w:p w14:paraId="5DC0CE7A">
            <w:pPr>
              <w:spacing w:line="44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8322" w:type="dxa"/>
            <w:vAlign w:val="center"/>
          </w:tcPr>
          <w:p w14:paraId="02F1B6EB">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w:t>
            </w:r>
            <w:r>
              <w:rPr>
                <w:rFonts w:hint="eastAsia" w:ascii="仿宋" w:hAnsi="仿宋" w:eastAsia="仿宋" w:cs="仿宋"/>
                <w:bCs/>
                <w:color w:val="auto"/>
                <w:sz w:val="24"/>
                <w:szCs w:val="24"/>
                <w:highlight w:val="none"/>
                <w:lang w:eastAsia="zh-CN"/>
              </w:rPr>
              <w:t>企业</w:t>
            </w:r>
            <w:r>
              <w:rPr>
                <w:rFonts w:hint="eastAsia" w:ascii="仿宋" w:hAnsi="仿宋" w:eastAsia="仿宋" w:cs="仿宋"/>
                <w:bCs/>
                <w:color w:val="auto"/>
                <w:sz w:val="24"/>
                <w:szCs w:val="24"/>
                <w:highlight w:val="none"/>
              </w:rPr>
              <w:t>名称与营业执照一致</w:t>
            </w:r>
            <w:r>
              <w:rPr>
                <w:rFonts w:hint="eastAsia" w:ascii="仿宋" w:hAnsi="仿宋" w:eastAsia="仿宋" w:cs="仿宋"/>
                <w:bCs/>
                <w:color w:val="auto"/>
                <w:sz w:val="24"/>
                <w:szCs w:val="24"/>
                <w:highlight w:val="none"/>
                <w:lang w:eastAsia="zh-CN"/>
              </w:rPr>
              <w:t>。</w:t>
            </w:r>
          </w:p>
        </w:tc>
      </w:tr>
      <w:tr w14:paraId="1378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18" w:type="dxa"/>
            <w:vAlign w:val="center"/>
          </w:tcPr>
          <w:p w14:paraId="0D7C3660">
            <w:pPr>
              <w:spacing w:line="4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w:t>
            </w:r>
          </w:p>
        </w:tc>
        <w:tc>
          <w:tcPr>
            <w:tcW w:w="8322" w:type="dxa"/>
            <w:vAlign w:val="center"/>
          </w:tcPr>
          <w:p w14:paraId="18E6E9CE">
            <w:pPr>
              <w:spacing w:line="44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按</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sz w:val="24"/>
                <w:szCs w:val="24"/>
                <w:highlight w:val="none"/>
              </w:rPr>
              <w:t>的格式提供或按规定签章的</w:t>
            </w:r>
            <w:r>
              <w:rPr>
                <w:rFonts w:hint="eastAsia" w:ascii="仿宋" w:hAnsi="仿宋" w:eastAsia="仿宋" w:cs="仿宋"/>
                <w:bCs/>
                <w:color w:val="auto"/>
                <w:sz w:val="24"/>
                <w:szCs w:val="24"/>
                <w:highlight w:val="none"/>
                <w:lang w:eastAsia="zh-CN"/>
              </w:rPr>
              <w:t>。</w:t>
            </w:r>
          </w:p>
        </w:tc>
      </w:tr>
      <w:tr w14:paraId="07CD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14:paraId="147EF510">
            <w:pPr>
              <w:spacing w:line="4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4</w:t>
            </w:r>
          </w:p>
        </w:tc>
        <w:tc>
          <w:tcPr>
            <w:tcW w:w="8322" w:type="dxa"/>
            <w:vAlign w:val="center"/>
          </w:tcPr>
          <w:p w14:paraId="41CDF7DD">
            <w:pPr>
              <w:spacing w:line="44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服务期限符合</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sz w:val="24"/>
                <w:szCs w:val="24"/>
                <w:highlight w:val="none"/>
              </w:rPr>
              <w:t>要求。</w:t>
            </w:r>
          </w:p>
        </w:tc>
      </w:tr>
      <w:tr w14:paraId="2A55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18" w:type="dxa"/>
            <w:vAlign w:val="center"/>
          </w:tcPr>
          <w:p w14:paraId="08E5E7A7">
            <w:pPr>
              <w:spacing w:line="4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5</w:t>
            </w:r>
          </w:p>
        </w:tc>
        <w:tc>
          <w:tcPr>
            <w:tcW w:w="8322" w:type="dxa"/>
            <w:vAlign w:val="center"/>
          </w:tcPr>
          <w:p w14:paraId="25784DEA">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内容齐全、无遗漏。</w:t>
            </w:r>
          </w:p>
        </w:tc>
      </w:tr>
      <w:tr w14:paraId="7652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18" w:type="dxa"/>
            <w:vAlign w:val="center"/>
          </w:tcPr>
          <w:p w14:paraId="5C1ED5FE">
            <w:pPr>
              <w:spacing w:line="4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p>
        </w:tc>
        <w:tc>
          <w:tcPr>
            <w:tcW w:w="8322" w:type="dxa"/>
            <w:vAlign w:val="center"/>
          </w:tcPr>
          <w:p w14:paraId="31F8C106">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未附有</w:t>
            </w:r>
            <w:r>
              <w:rPr>
                <w:rFonts w:hint="eastAsia" w:ascii="仿宋" w:hAnsi="仿宋" w:eastAsia="仿宋" w:cs="仿宋"/>
                <w:bCs/>
                <w:color w:val="auto"/>
                <w:sz w:val="24"/>
                <w:szCs w:val="24"/>
                <w:highlight w:val="none"/>
                <w:lang w:eastAsia="zh-CN"/>
              </w:rPr>
              <w:t>采购</w:t>
            </w:r>
            <w:r>
              <w:rPr>
                <w:rFonts w:hint="eastAsia" w:ascii="仿宋" w:hAnsi="仿宋" w:eastAsia="仿宋" w:cs="仿宋"/>
                <w:bCs/>
                <w:color w:val="auto"/>
                <w:sz w:val="24"/>
                <w:szCs w:val="24"/>
                <w:highlight w:val="none"/>
              </w:rPr>
              <w:t>人不能接受的附加条件及法律、法规和</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sz w:val="24"/>
                <w:szCs w:val="24"/>
                <w:highlight w:val="none"/>
              </w:rPr>
              <w:t>规定的其他无效情形。</w:t>
            </w:r>
          </w:p>
        </w:tc>
      </w:tr>
      <w:tr w14:paraId="2372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040" w:type="dxa"/>
            <w:gridSpan w:val="2"/>
            <w:vAlign w:val="center"/>
          </w:tcPr>
          <w:p w14:paraId="2C45964B">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（符合通过打“√”，不通过打“×”；</w:t>
            </w:r>
            <w:r>
              <w:rPr>
                <w:rFonts w:hint="eastAsia" w:ascii="仿宋" w:hAnsi="仿宋" w:eastAsia="仿宋" w:cs="仿宋"/>
                <w:color w:val="auto"/>
                <w:sz w:val="24"/>
                <w:szCs w:val="24"/>
                <w:highlight w:val="none"/>
              </w:rPr>
              <w:t>评审专家对响应文件进行审查，审查不通过的将投标无效。</w:t>
            </w:r>
            <w:r>
              <w:rPr>
                <w:rFonts w:hint="eastAsia" w:ascii="仿宋" w:hAnsi="仿宋" w:eastAsia="仿宋" w:cs="仿宋"/>
                <w:bCs/>
                <w:color w:val="auto"/>
                <w:sz w:val="24"/>
                <w:szCs w:val="24"/>
                <w:highlight w:val="none"/>
              </w:rPr>
              <w:t>）</w:t>
            </w:r>
          </w:p>
        </w:tc>
      </w:tr>
    </w:tbl>
    <w:p w14:paraId="361B7CF5">
      <w:pPr>
        <w:rPr>
          <w:rFonts w:hint="eastAsia" w:ascii="仿宋" w:hAnsi="仿宋" w:eastAsia="仿宋" w:cs="仿宋"/>
          <w:sz w:val="24"/>
          <w:szCs w:val="24"/>
          <w:highlight w:val="none"/>
        </w:rPr>
      </w:pPr>
    </w:p>
    <w:p w14:paraId="204BB9FC">
      <w:pPr>
        <w:spacing w:line="400" w:lineRule="exact"/>
        <w:ind w:firstLine="578" w:firstLineChars="241"/>
        <w:rPr>
          <w:rFonts w:hint="eastAsia" w:ascii="仿宋" w:hAnsi="仿宋" w:eastAsia="仿宋" w:cs="仿宋"/>
          <w:sz w:val="24"/>
          <w:szCs w:val="24"/>
          <w:highlight w:val="none"/>
        </w:rPr>
      </w:pPr>
      <w:r>
        <w:rPr>
          <w:rFonts w:hint="eastAsia" w:ascii="仿宋" w:hAnsi="仿宋" w:eastAsia="仿宋" w:cs="仿宋"/>
          <w:sz w:val="24"/>
          <w:szCs w:val="24"/>
          <w:highlight w:val="none"/>
        </w:rPr>
        <w:t>7.2评委会判定投标文件的响应性只根据投标文件本身的内容，而不寻求外部的证据，但投标有不真实不正确的内容时除外。</w:t>
      </w:r>
    </w:p>
    <w:p w14:paraId="39EAC45D">
      <w:pPr>
        <w:spacing w:line="400" w:lineRule="exact"/>
        <w:ind w:firstLine="578" w:firstLineChars="241"/>
        <w:rPr>
          <w:rFonts w:hint="eastAsia" w:ascii="仿宋" w:hAnsi="仿宋" w:eastAsia="仿宋" w:cs="仿宋"/>
          <w:sz w:val="24"/>
          <w:szCs w:val="24"/>
          <w:highlight w:val="none"/>
        </w:rPr>
      </w:pPr>
      <w:r>
        <w:rPr>
          <w:rFonts w:hint="eastAsia" w:ascii="仿宋" w:hAnsi="仿宋" w:eastAsia="仿宋" w:cs="仿宋"/>
          <w:sz w:val="24"/>
          <w:szCs w:val="24"/>
          <w:highlight w:val="none"/>
        </w:rPr>
        <w:t>7.3如果投标文件实质上没有响应采购文件的要求，评委会将予以拒绝，投标人不得通过修正或撤销不符合要求的偏离或保留，而使其投标成为实质上响应的投标。</w:t>
      </w:r>
    </w:p>
    <w:p w14:paraId="645DB176">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7.4投标人可在现场20分钟内对评标委员会的评审结论提出异议，评标委员会根据采购文件及有关规定对投标人的异议进行复议</w:t>
      </w:r>
    </w:p>
    <w:p w14:paraId="53DFBEF8">
      <w:pPr>
        <w:spacing w:line="400" w:lineRule="exact"/>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7.5只有通过初审的投标人才能进入下一步评标程序。</w:t>
      </w:r>
    </w:p>
    <w:p w14:paraId="698CF31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4CCC4B9B">
      <w:pPr>
        <w:spacing w:before="156" w:beforeLines="50" w:line="400" w:lineRule="exact"/>
        <w:jc w:val="center"/>
        <w:outlineLvl w:val="1"/>
        <w:rPr>
          <w:rFonts w:hint="eastAsia" w:ascii="仿宋" w:hAnsi="仿宋" w:eastAsia="仿宋" w:cs="仿宋"/>
          <w:b/>
          <w:sz w:val="24"/>
          <w:szCs w:val="24"/>
          <w:highlight w:val="none"/>
        </w:rPr>
      </w:pPr>
      <w:bookmarkStart w:id="83" w:name="_Toc13475"/>
      <w:bookmarkStart w:id="84" w:name="_Toc362983803"/>
      <w:bookmarkStart w:id="85" w:name="_Toc23329"/>
      <w:bookmarkStart w:id="86" w:name="_Toc19366"/>
      <w:r>
        <w:rPr>
          <w:rFonts w:hint="eastAsia" w:ascii="仿宋" w:hAnsi="仿宋" w:eastAsia="仿宋" w:cs="仿宋"/>
          <w:b/>
          <w:sz w:val="24"/>
          <w:szCs w:val="24"/>
          <w:highlight w:val="none"/>
          <w:lang w:eastAsia="zh-CN"/>
        </w:rPr>
        <w:t>（三）</w:t>
      </w:r>
      <w:r>
        <w:rPr>
          <w:rFonts w:hint="eastAsia" w:ascii="仿宋" w:hAnsi="仿宋" w:eastAsia="仿宋" w:cs="仿宋"/>
          <w:b/>
          <w:sz w:val="24"/>
          <w:szCs w:val="24"/>
          <w:highlight w:val="none"/>
        </w:rPr>
        <w:t xml:space="preserve">  投标文件的澄清和补正</w:t>
      </w:r>
      <w:bookmarkEnd w:id="83"/>
      <w:bookmarkEnd w:id="84"/>
      <w:bookmarkEnd w:id="85"/>
      <w:bookmarkEnd w:id="86"/>
    </w:p>
    <w:p w14:paraId="2F10EADD">
      <w:pPr>
        <w:spacing w:line="440" w:lineRule="exact"/>
        <w:ind w:firstLine="240" w:firstLineChars="100"/>
        <w:jc w:val="left"/>
        <w:outlineLvl w:val="2"/>
        <w:rPr>
          <w:rFonts w:hint="eastAsia" w:ascii="仿宋" w:hAnsi="仿宋" w:eastAsia="仿宋" w:cs="仿宋"/>
          <w:b/>
          <w:bCs/>
          <w:sz w:val="24"/>
          <w:szCs w:val="24"/>
          <w:highlight w:val="none"/>
        </w:rPr>
      </w:pPr>
      <w:bookmarkStart w:id="87" w:name="_Toc3889"/>
      <w:r>
        <w:rPr>
          <w:rFonts w:hint="eastAsia" w:ascii="仿宋" w:hAnsi="仿宋" w:eastAsia="仿宋" w:cs="仿宋"/>
          <w:b/>
          <w:bCs/>
          <w:sz w:val="24"/>
          <w:szCs w:val="24"/>
          <w:highlight w:val="none"/>
        </w:rPr>
        <w:t>8．澄清、说明或补正的形式</w:t>
      </w:r>
      <w:bookmarkEnd w:id="87"/>
    </w:p>
    <w:p w14:paraId="1496204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0F40670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29BF7CE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85DFADE">
      <w:pPr>
        <w:spacing w:line="440" w:lineRule="exact"/>
        <w:ind w:firstLine="240" w:firstLineChars="100"/>
        <w:jc w:val="left"/>
        <w:outlineLvl w:val="2"/>
        <w:rPr>
          <w:rFonts w:hint="eastAsia" w:ascii="仿宋" w:hAnsi="仿宋" w:eastAsia="仿宋" w:cs="仿宋"/>
          <w:b/>
          <w:bCs/>
          <w:sz w:val="24"/>
          <w:szCs w:val="24"/>
          <w:highlight w:val="none"/>
        </w:rPr>
      </w:pPr>
      <w:bookmarkStart w:id="88" w:name="_Toc16390"/>
      <w:r>
        <w:rPr>
          <w:rFonts w:hint="eastAsia" w:ascii="仿宋" w:hAnsi="仿宋" w:eastAsia="仿宋" w:cs="仿宋"/>
          <w:b/>
          <w:bCs/>
          <w:sz w:val="24"/>
          <w:szCs w:val="24"/>
          <w:highlight w:val="none"/>
        </w:rPr>
        <w:t>9．错误修正的原则</w:t>
      </w:r>
      <w:bookmarkEnd w:id="88"/>
    </w:p>
    <w:p w14:paraId="2AAE3E8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9.1</w:t>
      </w:r>
      <w:r>
        <w:rPr>
          <w:rFonts w:hint="eastAsia" w:ascii="仿宋" w:hAnsi="仿宋" w:eastAsia="仿宋" w:cs="仿宋"/>
          <w:sz w:val="24"/>
          <w:szCs w:val="24"/>
          <w:highlight w:val="none"/>
        </w:rPr>
        <w:t>电子交易平台客户端里开标一览表录入的投标报价或优惠率与扫描上传的报价文件信息不一致的，以扫描上传的报价文件信息为准进行修正。</w:t>
      </w:r>
    </w:p>
    <w:p w14:paraId="30DAFC4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9.2</w:t>
      </w:r>
      <w:r>
        <w:rPr>
          <w:rFonts w:hint="eastAsia" w:ascii="仿宋" w:hAnsi="仿宋" w:eastAsia="仿宋" w:cs="仿宋"/>
          <w:sz w:val="24"/>
          <w:szCs w:val="24"/>
          <w:highlight w:val="none"/>
        </w:rPr>
        <w:t>投标文件报价出现前后不一致的，除采购文件另有规定外，按照下列规定修正：</w:t>
      </w:r>
    </w:p>
    <w:p w14:paraId="38ED274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投标函中表述的内容与报价表中不一致的，以报价表为准；报价表中的内容与报价明细表不一致的，以报价表为准；</w:t>
      </w:r>
    </w:p>
    <w:p w14:paraId="6CFEC9E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 投标文件中的大写金额和小写金额不一致的，以大写金额为准；</w:t>
      </w:r>
    </w:p>
    <w:p w14:paraId="04EE81C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单价金额小数点或者百分比有明显错位的，以开标一览表的总价为准，并修改单价；</w:t>
      </w:r>
    </w:p>
    <w:p w14:paraId="021F28E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总价金额与按单价汇总金额不一致的，以单价金额计算结果为准；</w:t>
      </w:r>
    </w:p>
    <w:p w14:paraId="0656287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若用文字表示的数值与用数字表示的数值不一致，以文字表示的数值为准；</w:t>
      </w:r>
    </w:p>
    <w:p w14:paraId="3AD352D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 如有多报（指数量超出采购文件需求）、重报（指同一货物重复报价），其投标总价在评标过程中不予调整，如其中标，其合同价按其投标单价予以调整；</w:t>
      </w:r>
    </w:p>
    <w:p w14:paraId="14A1961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 xml:space="preserve"> 对不同文字文本投标文件的解释发生异议的，以中文文本为准；</w:t>
      </w:r>
    </w:p>
    <w:p w14:paraId="0E39174D">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注：</w:t>
      </w:r>
      <w:r>
        <w:rPr>
          <w:rFonts w:hint="eastAsia" w:ascii="仿宋" w:hAnsi="仿宋" w:eastAsia="仿宋" w:cs="仿宋"/>
          <w:sz w:val="24"/>
          <w:szCs w:val="24"/>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5F45CB90">
      <w:pPr>
        <w:spacing w:line="400" w:lineRule="exact"/>
        <w:jc w:val="center"/>
        <w:outlineLvl w:val="1"/>
        <w:rPr>
          <w:rFonts w:hint="eastAsia" w:ascii="仿宋" w:hAnsi="仿宋" w:eastAsia="仿宋" w:cs="仿宋"/>
          <w:b/>
          <w:sz w:val="24"/>
          <w:szCs w:val="24"/>
          <w:highlight w:val="none"/>
        </w:rPr>
      </w:pPr>
      <w:bookmarkStart w:id="89" w:name="_Toc14914"/>
      <w:bookmarkStart w:id="90" w:name="_Toc18469"/>
      <w:bookmarkStart w:id="91" w:name="_Toc12135"/>
      <w:r>
        <w:rPr>
          <w:rFonts w:hint="eastAsia" w:ascii="仿宋" w:hAnsi="仿宋" w:eastAsia="仿宋" w:cs="仿宋"/>
          <w:b/>
          <w:sz w:val="24"/>
          <w:szCs w:val="24"/>
          <w:highlight w:val="none"/>
          <w:lang w:eastAsia="zh-CN"/>
        </w:rPr>
        <w:t>（四）</w:t>
      </w:r>
      <w:r>
        <w:rPr>
          <w:rFonts w:hint="eastAsia" w:ascii="仿宋" w:hAnsi="仿宋" w:eastAsia="仿宋" w:cs="仿宋"/>
          <w:b/>
          <w:sz w:val="24"/>
          <w:szCs w:val="24"/>
          <w:highlight w:val="none"/>
        </w:rPr>
        <w:t xml:space="preserve"> 比较与评价</w:t>
      </w:r>
      <w:bookmarkEnd w:id="89"/>
      <w:bookmarkEnd w:id="90"/>
      <w:bookmarkEnd w:id="91"/>
    </w:p>
    <w:p w14:paraId="7B5EB62F">
      <w:pPr>
        <w:spacing w:line="440" w:lineRule="exact"/>
        <w:ind w:firstLine="240" w:firstLineChars="100"/>
        <w:jc w:val="left"/>
        <w:outlineLvl w:val="2"/>
        <w:rPr>
          <w:rFonts w:hint="eastAsia" w:ascii="仿宋" w:hAnsi="仿宋" w:eastAsia="仿宋" w:cs="仿宋"/>
          <w:b/>
          <w:bCs/>
          <w:sz w:val="24"/>
          <w:szCs w:val="24"/>
          <w:highlight w:val="none"/>
          <w:lang w:val="en-US" w:eastAsia="zh-CN"/>
        </w:rPr>
      </w:pPr>
      <w:bookmarkStart w:id="92" w:name="_Toc24790"/>
      <w:r>
        <w:rPr>
          <w:rFonts w:hint="eastAsia" w:ascii="仿宋" w:hAnsi="仿宋" w:eastAsia="仿宋" w:cs="仿宋"/>
          <w:b/>
          <w:bCs/>
          <w:sz w:val="24"/>
          <w:szCs w:val="24"/>
          <w:highlight w:val="none"/>
          <w:lang w:val="en-US" w:eastAsia="zh-CN"/>
        </w:rPr>
        <w:t>10.</w:t>
      </w:r>
      <w:r>
        <w:rPr>
          <w:rFonts w:hint="eastAsia" w:ascii="仿宋" w:hAnsi="仿宋" w:eastAsia="仿宋" w:cs="仿宋"/>
          <w:b/>
          <w:bCs/>
          <w:sz w:val="24"/>
          <w:szCs w:val="24"/>
          <w:highlight w:val="none"/>
        </w:rPr>
        <w:t>评标方法和标准</w:t>
      </w:r>
      <w:bookmarkEnd w:id="92"/>
    </w:p>
    <w:p w14:paraId="5D1D24B7">
      <w:pPr>
        <w:tabs>
          <w:tab w:val="left" w:pos="720"/>
        </w:tabs>
        <w:spacing w:line="440" w:lineRule="exact"/>
        <w:ind w:firstLine="612" w:firstLineChars="255"/>
        <w:rPr>
          <w:rFonts w:hint="eastAsia" w:ascii="仿宋" w:hAnsi="仿宋" w:eastAsia="仿宋" w:cs="仿宋"/>
          <w:sz w:val="24"/>
          <w:szCs w:val="24"/>
          <w:highlight w:val="none"/>
        </w:rPr>
      </w:pPr>
      <w:bookmarkStart w:id="93" w:name="_Toc362983805"/>
      <w:r>
        <w:rPr>
          <w:rFonts w:hint="eastAsia" w:ascii="仿宋" w:hAnsi="仿宋" w:eastAsia="仿宋" w:cs="仿宋"/>
          <w:sz w:val="24"/>
          <w:szCs w:val="24"/>
          <w:highlight w:val="none"/>
        </w:rPr>
        <w:t>10.1评标委员会按磋商文件中规定的评标方法和标准，对资格性检查和符合性检查合格的投标文件进行商务和技术评估、综合比较与评价。</w:t>
      </w:r>
    </w:p>
    <w:p w14:paraId="48FC2F60">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10.2评标委员会根据商务和技术评估的结果，采用综合评分法，分别对投标文件的商务、技术、价格等内容进行打分。其中，商务评估、技术评估、价格评估的评分权值（详见附件1）。</w:t>
      </w:r>
    </w:p>
    <w:p w14:paraId="0BC85419">
      <w:pPr>
        <w:spacing w:line="440" w:lineRule="exact"/>
        <w:ind w:firstLine="616" w:firstLineChars="257"/>
        <w:rPr>
          <w:rFonts w:hint="eastAsia" w:ascii="仿宋" w:hAnsi="仿宋" w:eastAsia="仿宋" w:cs="仿宋"/>
          <w:bCs/>
          <w:sz w:val="24"/>
          <w:szCs w:val="24"/>
          <w:highlight w:val="none"/>
        </w:rPr>
      </w:pPr>
      <w:r>
        <w:rPr>
          <w:rFonts w:hint="eastAsia" w:ascii="仿宋" w:hAnsi="仿宋" w:eastAsia="仿宋" w:cs="仿宋"/>
          <w:sz w:val="24"/>
          <w:szCs w:val="24"/>
          <w:highlight w:val="none"/>
          <w:lang w:val="en-US" w:eastAsia="zh-CN"/>
        </w:rPr>
        <w:t>10.2.1</w:t>
      </w:r>
      <w:r>
        <w:rPr>
          <w:rFonts w:hint="eastAsia" w:ascii="仿宋" w:hAnsi="仿宋" w:eastAsia="仿宋" w:cs="仿宋"/>
          <w:bCs/>
          <w:sz w:val="24"/>
          <w:szCs w:val="24"/>
          <w:highlight w:val="none"/>
        </w:rPr>
        <w:t>评委打分办法</w:t>
      </w:r>
    </w:p>
    <w:p w14:paraId="6876D130">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sz w:val="24"/>
          <w:szCs w:val="24"/>
          <w:highlight w:val="none"/>
        </w:rPr>
        <w:t>参加评分的评委应尽力体现客观、实事求是，避免学派偏见和个人偏好。</w:t>
      </w:r>
    </w:p>
    <w:p w14:paraId="27F0BFBF">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（2）衡量、对比的依据，应以磋商文件、投标文件、提供的正式试验数据、质询澄清中的文字为准，口头回答和收集的资料只作为参考。</w:t>
      </w:r>
    </w:p>
    <w:p w14:paraId="739B702C">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（3）评分主要是为比较各投标人的价格、商务和技术综合排序。</w:t>
      </w:r>
    </w:p>
    <w:p w14:paraId="43CF9523">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（4）评委打分采取记名形式。</w:t>
      </w:r>
    </w:p>
    <w:p w14:paraId="7DFE04D8">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（5）各评委根据提供的技术打分表独立自主打分，任何人不得要求评委统一打分或统一确定等次顺序。</w:t>
      </w:r>
    </w:p>
    <w:p w14:paraId="06C421BF">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（6）对打分表中的每项条款，各评委应根据投标文件、澄清材料、磋商文件要求，按满足的程度给投标人打分。</w:t>
      </w:r>
    </w:p>
    <w:p w14:paraId="6325DEC4">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（7）评分程序</w:t>
      </w:r>
    </w:p>
    <w:p w14:paraId="655CB866">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1)就投标人的投标文件对照整理出商务、技术评标因素对比表、偏差表，并在经过校核的基础上逐项打分。</w:t>
      </w:r>
    </w:p>
    <w:p w14:paraId="7E127054">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2)各评委独立完成打分后，</w:t>
      </w:r>
      <w:r>
        <w:rPr>
          <w:rFonts w:hint="eastAsia" w:ascii="仿宋" w:hAnsi="仿宋" w:eastAsia="仿宋" w:cs="仿宋"/>
          <w:sz w:val="24"/>
          <w:szCs w:val="24"/>
          <w:highlight w:val="none"/>
          <w:lang w:val="en-US" w:eastAsia="zh-CN"/>
        </w:rPr>
        <w:t>评标系统</w:t>
      </w:r>
      <w:r>
        <w:rPr>
          <w:rFonts w:hint="eastAsia" w:ascii="仿宋" w:hAnsi="仿宋" w:eastAsia="仿宋" w:cs="仿宋"/>
          <w:sz w:val="24"/>
          <w:szCs w:val="24"/>
          <w:highlight w:val="none"/>
        </w:rPr>
        <w:t>进行分数统计。</w:t>
      </w:r>
    </w:p>
    <w:p w14:paraId="5C106A15">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3)最终汇总表中各投标人得分应为评委打分的算术平均值。</w:t>
      </w:r>
    </w:p>
    <w:p w14:paraId="24FBC0E8">
      <w:pPr>
        <w:rPr>
          <w:rFonts w:hint="eastAsia" w:ascii="仿宋" w:hAnsi="仿宋" w:eastAsia="仿宋" w:cs="仿宋"/>
          <w:sz w:val="24"/>
          <w:szCs w:val="24"/>
          <w:highlight w:val="none"/>
        </w:rPr>
      </w:pPr>
    </w:p>
    <w:p w14:paraId="2B01891F">
      <w:pPr>
        <w:rPr>
          <w:rFonts w:hint="eastAsia" w:ascii="仿宋" w:hAnsi="仿宋" w:eastAsia="仿宋" w:cs="仿宋"/>
          <w:sz w:val="24"/>
          <w:szCs w:val="24"/>
          <w:highlight w:val="none"/>
        </w:rPr>
      </w:pPr>
    </w:p>
    <w:p w14:paraId="74BDE365">
      <w:pPr>
        <w:rPr>
          <w:rFonts w:hint="eastAsia" w:ascii="仿宋" w:hAnsi="仿宋" w:eastAsia="仿宋" w:cs="仿宋"/>
          <w:sz w:val="24"/>
          <w:szCs w:val="24"/>
          <w:highlight w:val="none"/>
        </w:rPr>
      </w:pPr>
    </w:p>
    <w:p w14:paraId="79961711">
      <w:pPr>
        <w:rPr>
          <w:rFonts w:hint="eastAsia" w:ascii="仿宋" w:hAnsi="仿宋" w:eastAsia="仿宋" w:cs="仿宋"/>
          <w:sz w:val="24"/>
          <w:szCs w:val="24"/>
          <w:highlight w:val="none"/>
        </w:rPr>
      </w:pPr>
    </w:p>
    <w:p w14:paraId="27C87E4C">
      <w:pPr>
        <w:rPr>
          <w:rFonts w:hint="eastAsia" w:ascii="仿宋" w:hAnsi="仿宋" w:eastAsia="仿宋" w:cs="仿宋"/>
          <w:sz w:val="24"/>
          <w:szCs w:val="24"/>
          <w:highlight w:val="none"/>
        </w:rPr>
      </w:pPr>
    </w:p>
    <w:p w14:paraId="5A43BC0D">
      <w:pPr>
        <w:rPr>
          <w:rFonts w:hint="eastAsia" w:ascii="仿宋" w:hAnsi="仿宋" w:eastAsia="仿宋" w:cs="仿宋"/>
          <w:sz w:val="24"/>
          <w:szCs w:val="24"/>
          <w:highlight w:val="none"/>
        </w:rPr>
      </w:pPr>
    </w:p>
    <w:p w14:paraId="0B97BA7A">
      <w:pPr>
        <w:rPr>
          <w:rFonts w:hint="eastAsia" w:ascii="仿宋" w:hAnsi="仿宋" w:eastAsia="仿宋" w:cs="仿宋"/>
          <w:sz w:val="24"/>
          <w:szCs w:val="24"/>
          <w:highlight w:val="none"/>
        </w:rPr>
      </w:pPr>
    </w:p>
    <w:p w14:paraId="6C0962B4">
      <w:pPr>
        <w:rPr>
          <w:rFonts w:hint="eastAsia" w:ascii="仿宋" w:hAnsi="仿宋" w:eastAsia="仿宋" w:cs="仿宋"/>
          <w:sz w:val="24"/>
          <w:szCs w:val="24"/>
          <w:highlight w:val="none"/>
        </w:rPr>
      </w:pPr>
    </w:p>
    <w:p w14:paraId="01F9CE05">
      <w:pPr>
        <w:rPr>
          <w:rFonts w:hint="eastAsia" w:ascii="仿宋" w:hAnsi="仿宋" w:eastAsia="仿宋" w:cs="仿宋"/>
          <w:sz w:val="24"/>
          <w:szCs w:val="24"/>
          <w:highlight w:val="none"/>
        </w:rPr>
      </w:pPr>
    </w:p>
    <w:p w14:paraId="576A12EB">
      <w:pPr>
        <w:rPr>
          <w:rFonts w:hint="eastAsia" w:ascii="仿宋" w:hAnsi="仿宋" w:eastAsia="仿宋" w:cs="仿宋"/>
          <w:sz w:val="24"/>
          <w:szCs w:val="24"/>
          <w:highlight w:val="none"/>
        </w:rPr>
      </w:pPr>
    </w:p>
    <w:p w14:paraId="5B224FE3">
      <w:pPr>
        <w:numPr>
          <w:ilvl w:val="0"/>
          <w:numId w:val="10"/>
        </w:numPr>
        <w:rPr>
          <w:rFonts w:hint="eastAsia" w:ascii="仿宋" w:hAnsi="仿宋" w:eastAsia="仿宋" w:cs="仿宋"/>
          <w:sz w:val="24"/>
          <w:szCs w:val="24"/>
        </w:rPr>
      </w:pPr>
      <w:r>
        <w:rPr>
          <w:rFonts w:hint="eastAsia" w:ascii="仿宋" w:hAnsi="仿宋" w:eastAsia="仿宋" w:cs="仿宋"/>
          <w:sz w:val="24"/>
          <w:szCs w:val="24"/>
          <w:highlight w:val="none"/>
        </w:rPr>
        <w:t>评分标准和细则（综合评分法评分标准）</w:t>
      </w:r>
    </w:p>
    <w:p w14:paraId="32581BB3">
      <w:pPr>
        <w:spacing w:line="440" w:lineRule="exact"/>
        <w:ind w:firstLine="480" w:firstLineChars="200"/>
        <w:rPr>
          <w:rFonts w:hint="eastAsia" w:ascii="仿宋" w:hAnsi="仿宋" w:eastAsia="仿宋" w:cs="仿宋"/>
          <w:sz w:val="24"/>
          <w:szCs w:val="24"/>
          <w:highlight w:val="none"/>
        </w:rPr>
      </w:pPr>
    </w:p>
    <w:tbl>
      <w:tblPr>
        <w:tblStyle w:val="25"/>
        <w:tblpPr w:leftFromText="180" w:rightFromText="180" w:vertAnchor="text" w:horzAnchor="page" w:tblpX="1482" w:tblpY="25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1514"/>
        <w:gridCol w:w="7319"/>
        <w:gridCol w:w="607"/>
      </w:tblGrid>
      <w:tr w14:paraId="5672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4DFA3518">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序号</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46BF2D3">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主要评价指标</w:t>
            </w: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2414CE7D">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评分标准</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475D4D7F">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标准分</w:t>
            </w:r>
          </w:p>
        </w:tc>
      </w:tr>
      <w:tr w14:paraId="52CC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77B4ADD3">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0951D0A">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利率水平</w:t>
            </w:r>
          </w:p>
          <w:p w14:paraId="1B7797BC">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（权重20%）</w:t>
            </w: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279069F5">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指参与银行提供的执行年利率（完全满足磋商文件要求的投标报价中最高价为评标基准价，按照下列公式计算每个投标的投标价格得分）投标报价得分=（投标报价/基准价）×20%×100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644B3D5">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20</w:t>
            </w:r>
          </w:p>
        </w:tc>
      </w:tr>
      <w:tr w14:paraId="029A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35A4A768">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731D632">
            <w:pPr>
              <w:widowControl/>
              <w:numPr>
                <w:ilvl w:val="0"/>
                <w:numId w:val="0"/>
              </w:numPr>
              <w:shd w:val="clear" w:color="auto" w:fill="auto"/>
              <w:ind w:leftChars="0" w:right="0"/>
              <w:jc w:val="left"/>
              <w:textAlignment w:val="center"/>
              <w:rPr>
                <w:rFonts w:hint="eastAsia" w:ascii="仿宋" w:hAnsi="仿宋" w:eastAsia="仿宋" w:cs="仿宋"/>
                <w:i w:val="0"/>
                <w:iCs w:val="0"/>
                <w:color w:val="auto"/>
                <w:spacing w:val="0"/>
                <w:w w:val="100"/>
                <w:kern w:val="0"/>
                <w:position w:val="0"/>
                <w:sz w:val="24"/>
                <w:szCs w:val="24"/>
                <w:u w:val="none"/>
                <w:shd w:val="clear" w:color="auto" w:fill="auto"/>
                <w:lang w:val="en-US" w:eastAsia="zh-CN"/>
              </w:rPr>
            </w:pPr>
            <w:r>
              <w:rPr>
                <w:rFonts w:hint="eastAsia" w:ascii="仿宋" w:hAnsi="仿宋" w:eastAsia="仿宋" w:cs="仿宋"/>
                <w:i w:val="0"/>
                <w:iCs w:val="0"/>
                <w:color w:val="auto"/>
                <w:spacing w:val="0"/>
                <w:w w:val="100"/>
                <w:kern w:val="0"/>
                <w:position w:val="0"/>
                <w:sz w:val="24"/>
                <w:szCs w:val="24"/>
                <w:u w:val="none"/>
                <w:shd w:val="clear" w:color="auto" w:fill="auto"/>
                <w:lang w:val="en-US" w:eastAsia="zh-CN"/>
              </w:rPr>
              <w:t>经营状况指标（权重10%）</w:t>
            </w: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236A8402">
            <w:pPr>
              <w:widowControl/>
              <w:numPr>
                <w:ilvl w:val="0"/>
                <w:numId w:val="0"/>
              </w:numPr>
              <w:shd w:val="clear" w:color="auto" w:fill="auto"/>
              <w:ind w:leftChars="0" w:right="0"/>
              <w:jc w:val="left"/>
              <w:textAlignment w:val="center"/>
              <w:rPr>
                <w:rFonts w:hint="eastAsia" w:ascii="仿宋" w:hAnsi="仿宋" w:eastAsia="仿宋" w:cs="仿宋"/>
                <w:i w:val="0"/>
                <w:iCs w:val="0"/>
                <w:color w:val="auto"/>
                <w:spacing w:val="0"/>
                <w:w w:val="100"/>
                <w:kern w:val="0"/>
                <w:position w:val="0"/>
                <w:sz w:val="24"/>
                <w:szCs w:val="24"/>
                <w:u w:val="none"/>
                <w:shd w:val="clear" w:color="auto" w:fill="auto"/>
                <w:lang w:val="en-US" w:eastAsia="zh-CN"/>
              </w:rPr>
            </w:pPr>
            <w:r>
              <w:rPr>
                <w:rFonts w:hint="eastAsia" w:ascii="仿宋" w:hAnsi="仿宋" w:eastAsia="仿宋" w:cs="仿宋"/>
                <w:i w:val="0"/>
                <w:iCs w:val="0"/>
                <w:color w:val="auto"/>
                <w:spacing w:val="0"/>
                <w:w w:val="100"/>
                <w:kern w:val="0"/>
                <w:position w:val="0"/>
                <w:sz w:val="24"/>
                <w:szCs w:val="24"/>
                <w:u w:val="none"/>
                <w:shd w:val="clear" w:color="auto" w:fill="auto"/>
                <w:lang w:val="en-US" w:eastAsia="zh-CN"/>
              </w:rPr>
              <w:t>主要根据不良贷款率、逾期贷款比率、</w:t>
            </w:r>
            <w:r>
              <w:rPr>
                <w:rFonts w:hint="eastAsia" w:ascii="仿宋" w:hAnsi="仿宋" w:eastAsia="仿宋" w:cs="仿宋"/>
                <w:i w:val="0"/>
                <w:iCs w:val="0"/>
                <w:color w:val="auto"/>
                <w:kern w:val="0"/>
                <w:sz w:val="24"/>
                <w:szCs w:val="24"/>
                <w:u w:val="none"/>
                <w:lang w:val="en-US" w:eastAsia="zh-CN"/>
              </w:rPr>
              <w:t>资本充足率、资本利润率、流动性比率等方面比较打分。优的得10分，良好的得8分，好的得6分，一般得4分，差的得2分。</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7AC2A76">
            <w:pPr>
              <w:widowControl/>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rPr>
              <w:t>10</w:t>
            </w:r>
          </w:p>
        </w:tc>
      </w:tr>
      <w:tr w14:paraId="0B16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312B6237">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BD1F8C3">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服务水平（权重10%）</w:t>
            </w: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4B81977F">
            <w:pPr>
              <w:widowControl/>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rPr>
              <w:t>对反映资金存放银行提供支付结算、金融服务、对账、分账核算等服务的能力和水平方面比较打分。优的得10分，良好的得8分，好的得6分，一般得4分，差的得2分。</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7587AAA">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10</w:t>
            </w:r>
          </w:p>
        </w:tc>
      </w:tr>
      <w:tr w14:paraId="22CB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4" w:type="dxa"/>
            <w:vMerge w:val="restart"/>
            <w:tcBorders>
              <w:top w:val="single" w:color="000000" w:sz="4" w:space="0"/>
              <w:left w:val="single" w:color="000000" w:sz="4" w:space="0"/>
              <w:right w:val="single" w:color="000000" w:sz="4" w:space="0"/>
            </w:tcBorders>
            <w:noWrap w:val="0"/>
            <w:vAlign w:val="center"/>
          </w:tcPr>
          <w:p w14:paraId="047CB4A7">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4</w:t>
            </w:r>
          </w:p>
        </w:tc>
        <w:tc>
          <w:tcPr>
            <w:tcW w:w="1514" w:type="dxa"/>
            <w:vMerge w:val="restart"/>
            <w:tcBorders>
              <w:top w:val="single" w:color="000000" w:sz="4" w:space="0"/>
              <w:left w:val="single" w:color="000000" w:sz="4" w:space="0"/>
              <w:right w:val="single" w:color="000000" w:sz="4" w:space="0"/>
            </w:tcBorders>
            <w:noWrap w:val="0"/>
            <w:vAlign w:val="center"/>
          </w:tcPr>
          <w:p w14:paraId="6ACCEDFA">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贡献度指标</w:t>
            </w:r>
          </w:p>
          <w:p w14:paraId="34103491">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（权重60%）</w:t>
            </w: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322AC2D5">
            <w:pPr>
              <w:widowControl/>
              <w:jc w:val="left"/>
              <w:textAlignment w:val="center"/>
              <w:rPr>
                <w:rFonts w:hint="eastAsia" w:ascii="仿宋" w:hAnsi="仿宋" w:eastAsia="仿宋" w:cs="仿宋"/>
                <w:i w:val="0"/>
                <w:iCs w:val="0"/>
                <w:color w:val="auto"/>
                <w:sz w:val="24"/>
                <w:szCs w:val="24"/>
                <w:u w:val="none"/>
                <w:lang w:val="en-US"/>
              </w:rPr>
            </w:pPr>
            <w:r>
              <w:rPr>
                <w:rStyle w:val="66"/>
                <w:rFonts w:hint="eastAsia" w:ascii="仿宋" w:hAnsi="仿宋" w:eastAsia="仿宋" w:cs="仿宋"/>
                <w:color w:val="auto"/>
                <w:sz w:val="24"/>
                <w:szCs w:val="24"/>
                <w:lang w:val="en-US" w:eastAsia="zh-CN"/>
              </w:rPr>
              <w:t>1、以克州</w:t>
            </w:r>
            <w:r>
              <w:rPr>
                <w:rStyle w:val="66"/>
                <w:rFonts w:hint="eastAsia" w:ascii="仿宋" w:hAnsi="仿宋" w:eastAsia="仿宋" w:cs="仿宋"/>
                <w:b w:val="0"/>
                <w:bCs w:val="0"/>
                <w:color w:val="auto"/>
                <w:sz w:val="24"/>
                <w:szCs w:val="24"/>
                <w:lang w:val="en-US" w:eastAsia="zh-CN"/>
              </w:rPr>
              <w:t>《2025年下半年度克州银行业金融机构支持经济社会高质量发展评价结果的通报</w:t>
            </w:r>
            <w:r>
              <w:rPr>
                <w:rStyle w:val="66"/>
                <w:rFonts w:hint="eastAsia" w:ascii="仿宋" w:hAnsi="仿宋" w:eastAsia="仿宋" w:cs="仿宋"/>
                <w:color w:val="auto"/>
                <w:sz w:val="24"/>
                <w:szCs w:val="24"/>
                <w:lang w:val="en-US" w:eastAsia="zh-CN"/>
              </w:rPr>
              <w:t>》排名得分为打分依据，排名第一得50分，从第二名开始依次递减2分，</w:t>
            </w:r>
            <w:r>
              <w:rPr>
                <w:rFonts w:hint="eastAsia" w:ascii="仿宋" w:hAnsi="仿宋" w:eastAsia="仿宋" w:cs="仿宋"/>
                <w:i w:val="0"/>
                <w:iCs w:val="0"/>
                <w:color w:val="auto"/>
                <w:kern w:val="0"/>
                <w:sz w:val="24"/>
                <w:szCs w:val="24"/>
                <w:u w:val="none"/>
                <w:lang w:val="en-US" w:eastAsia="zh-CN"/>
              </w:rPr>
              <w:t>排名相同，按同档计分</w:t>
            </w:r>
            <w:r>
              <w:rPr>
                <w:rStyle w:val="66"/>
                <w:rFonts w:hint="eastAsia" w:ascii="仿宋" w:hAnsi="仿宋" w:eastAsia="仿宋" w:cs="仿宋"/>
                <w:color w:val="auto"/>
                <w:sz w:val="24"/>
                <w:szCs w:val="24"/>
                <w:lang w:val="en-US" w:eastAsia="zh-CN"/>
              </w:rPr>
              <w:t>。</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4B0A9AEE">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50</w:t>
            </w:r>
          </w:p>
        </w:tc>
      </w:tr>
      <w:tr w14:paraId="7DDB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4" w:type="dxa"/>
            <w:vMerge w:val="continue"/>
            <w:tcBorders>
              <w:left w:val="single" w:color="000000" w:sz="4" w:space="0"/>
              <w:bottom w:val="single" w:color="000000" w:sz="4" w:space="0"/>
              <w:right w:val="single" w:color="000000" w:sz="4" w:space="0"/>
            </w:tcBorders>
            <w:noWrap w:val="0"/>
            <w:vAlign w:val="center"/>
          </w:tcPr>
          <w:p w14:paraId="2261FFF6">
            <w:pPr>
              <w:widowControl/>
              <w:jc w:val="center"/>
              <w:textAlignment w:val="center"/>
              <w:rPr>
                <w:rFonts w:hint="eastAsia" w:ascii="仿宋" w:hAnsi="仿宋" w:eastAsia="仿宋" w:cs="仿宋"/>
                <w:i w:val="0"/>
                <w:iCs w:val="0"/>
                <w:color w:val="auto"/>
                <w:kern w:val="0"/>
                <w:sz w:val="24"/>
                <w:szCs w:val="24"/>
                <w:u w:val="none"/>
                <w:lang w:val="en-US" w:eastAsia="zh-CN"/>
              </w:rPr>
            </w:pPr>
          </w:p>
        </w:tc>
        <w:tc>
          <w:tcPr>
            <w:tcW w:w="1514" w:type="dxa"/>
            <w:vMerge w:val="continue"/>
            <w:tcBorders>
              <w:left w:val="single" w:color="000000" w:sz="4" w:space="0"/>
              <w:bottom w:val="single" w:color="000000" w:sz="4" w:space="0"/>
              <w:right w:val="single" w:color="000000" w:sz="4" w:space="0"/>
            </w:tcBorders>
            <w:noWrap w:val="0"/>
            <w:vAlign w:val="center"/>
          </w:tcPr>
          <w:p w14:paraId="7E9905CF">
            <w:pPr>
              <w:widowControl/>
              <w:jc w:val="center"/>
              <w:textAlignment w:val="center"/>
              <w:rPr>
                <w:rFonts w:hint="eastAsia" w:ascii="仿宋" w:hAnsi="仿宋" w:eastAsia="仿宋" w:cs="仿宋"/>
                <w:i w:val="0"/>
                <w:iCs w:val="0"/>
                <w:color w:val="auto"/>
                <w:kern w:val="0"/>
                <w:sz w:val="24"/>
                <w:szCs w:val="24"/>
                <w:u w:val="none"/>
                <w:lang w:val="en-US" w:eastAsia="zh-CN"/>
              </w:rPr>
            </w:pP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291E1ADE">
            <w:pPr>
              <w:widowControl/>
              <w:jc w:val="left"/>
              <w:textAlignment w:val="center"/>
              <w:rPr>
                <w:rStyle w:val="66"/>
                <w:rFonts w:hint="eastAsia" w:ascii="仿宋" w:hAnsi="仿宋" w:eastAsia="仿宋" w:cs="仿宋"/>
                <w:color w:val="auto"/>
                <w:sz w:val="24"/>
                <w:szCs w:val="24"/>
                <w:lang w:val="en-US" w:eastAsia="zh-CN"/>
              </w:rPr>
            </w:pPr>
            <w:r>
              <w:rPr>
                <w:rStyle w:val="66"/>
                <w:rFonts w:hint="eastAsia" w:ascii="仿宋" w:hAnsi="仿宋" w:eastAsia="仿宋" w:cs="仿宋"/>
                <w:color w:val="auto"/>
                <w:sz w:val="24"/>
                <w:szCs w:val="24"/>
                <w:lang w:val="en-US" w:eastAsia="zh-CN"/>
              </w:rPr>
              <w:t>2、提供</w:t>
            </w:r>
            <w:r>
              <w:rPr>
                <w:rStyle w:val="66"/>
                <w:rFonts w:hint="eastAsia" w:ascii="仿宋" w:hAnsi="仿宋" w:eastAsia="仿宋" w:cs="仿宋"/>
                <w:b w:val="0"/>
                <w:bCs w:val="0"/>
                <w:color w:val="auto"/>
                <w:sz w:val="24"/>
                <w:szCs w:val="24"/>
                <w:lang w:val="en-US" w:eastAsia="zh-CN"/>
              </w:rPr>
              <w:t>2025年度以</w:t>
            </w:r>
            <w:r>
              <w:rPr>
                <w:rStyle w:val="66"/>
                <w:rFonts w:hint="eastAsia" w:ascii="仿宋" w:hAnsi="仿宋" w:eastAsia="仿宋" w:cs="仿宋"/>
                <w:color w:val="auto"/>
                <w:sz w:val="24"/>
                <w:szCs w:val="24"/>
                <w:lang w:val="en-US" w:eastAsia="zh-CN"/>
              </w:rPr>
              <w:t>来金融机构支持克州重大决策和重点项目贡献度指标相关证明材料横向比较打分，</w:t>
            </w:r>
            <w:r>
              <w:rPr>
                <w:rFonts w:hint="eastAsia" w:ascii="仿宋" w:hAnsi="仿宋" w:eastAsia="仿宋" w:cs="仿宋"/>
                <w:i w:val="0"/>
                <w:iCs w:val="0"/>
                <w:color w:val="auto"/>
                <w:kern w:val="0"/>
                <w:sz w:val="24"/>
                <w:szCs w:val="24"/>
                <w:u w:val="none"/>
                <w:lang w:val="en-US" w:eastAsia="zh-CN"/>
              </w:rPr>
              <w:t>优的得10分，良好的得8分，好的得6分，一般得4分，差的得2分。</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92B01FD">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10</w:t>
            </w:r>
          </w:p>
        </w:tc>
      </w:tr>
    </w:tbl>
    <w:p w14:paraId="439735B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根据《政府采购服务和服务招投标管理办法》第87号令第六十条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FE53D6">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供应商在评标过程中，所进行的力图影响评标结果的不符合招标规则的活动，可能导致其被取消中标资格。</w:t>
      </w:r>
    </w:p>
    <w:p w14:paraId="46BD9233">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与磋商文件有重大偏离的投标文件将被拒绝。</w:t>
      </w:r>
    </w:p>
    <w:p w14:paraId="4600D95D">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附：对于商务部分（投标报价）的评分，按以下方法进行：价格分统一采用</w:t>
      </w:r>
      <w:r>
        <w:rPr>
          <w:rFonts w:hint="eastAsia" w:ascii="仿宋" w:hAnsi="仿宋" w:eastAsia="仿宋" w:cs="仿宋"/>
          <w:sz w:val="24"/>
          <w:szCs w:val="24"/>
          <w:highlight w:val="none"/>
          <w:lang w:eastAsia="zh-CN"/>
        </w:rPr>
        <w:t>高</w:t>
      </w:r>
      <w:r>
        <w:rPr>
          <w:rFonts w:hint="eastAsia" w:ascii="仿宋" w:hAnsi="仿宋" w:eastAsia="仿宋" w:cs="仿宋"/>
          <w:sz w:val="24"/>
          <w:szCs w:val="24"/>
          <w:highlight w:val="none"/>
        </w:rPr>
        <w:t>价优先法计算，即满足磋商文件要求且评标价格最</w:t>
      </w:r>
      <w:r>
        <w:rPr>
          <w:rFonts w:hint="eastAsia" w:ascii="仿宋" w:hAnsi="仿宋" w:eastAsia="仿宋" w:cs="仿宋"/>
          <w:sz w:val="24"/>
          <w:szCs w:val="24"/>
          <w:highlight w:val="none"/>
          <w:lang w:eastAsia="zh-CN"/>
        </w:rPr>
        <w:t>高</w:t>
      </w:r>
      <w:r>
        <w:rPr>
          <w:rFonts w:hint="eastAsia" w:ascii="仿宋" w:hAnsi="仿宋" w:eastAsia="仿宋" w:cs="仿宋"/>
          <w:sz w:val="24"/>
          <w:szCs w:val="24"/>
          <w:highlight w:val="none"/>
        </w:rPr>
        <w:t>的报价为评标基准价，其价格分为满分。其他投标人的价格分统一按照下列公式计算：报价得分=(</w:t>
      </w:r>
      <w:r>
        <w:rPr>
          <w:rFonts w:hint="eastAsia" w:ascii="仿宋" w:hAnsi="仿宋" w:eastAsia="仿宋" w:cs="仿宋"/>
          <w:sz w:val="24"/>
          <w:szCs w:val="24"/>
          <w:highlight w:val="none"/>
          <w:lang w:val="en-US" w:eastAsia="zh-CN"/>
        </w:rPr>
        <w:t>投标报价/基准价</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价格权重</w:t>
      </w:r>
      <w:r>
        <w:rPr>
          <w:rFonts w:hint="eastAsia" w:ascii="仿宋" w:hAnsi="仿宋" w:eastAsia="仿宋" w:cs="仿宋"/>
          <w:sz w:val="24"/>
          <w:szCs w:val="24"/>
          <w:highlight w:val="none"/>
        </w:rPr>
        <w:t>×100</w:t>
      </w:r>
    </w:p>
    <w:bookmarkEnd w:id="93"/>
    <w:p w14:paraId="1AF90898">
      <w:pPr>
        <w:numPr>
          <w:ilvl w:val="0"/>
          <w:numId w:val="0"/>
        </w:numPr>
        <w:spacing w:line="440" w:lineRule="exact"/>
        <w:ind w:left="630" w:left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评标委员会成员对每个投标人的上述指标的打分（除报价外）的算术平均分，加上经计算的报价得分，即为该投标人的最终综合评估分。评标委员会将按投标人得分顺序由高到低依次排名，得分相同的，按投标报价由</w:t>
      </w:r>
      <w:r>
        <w:rPr>
          <w:rFonts w:hint="eastAsia" w:ascii="仿宋" w:hAnsi="仿宋" w:eastAsia="仿宋" w:cs="仿宋"/>
          <w:sz w:val="24"/>
          <w:szCs w:val="24"/>
          <w:highlight w:val="none"/>
          <w:lang w:val="en-US" w:eastAsia="zh-CN"/>
        </w:rPr>
        <w:t>执行利率高的优先推荐</w:t>
      </w:r>
      <w:r>
        <w:rPr>
          <w:rFonts w:hint="eastAsia" w:ascii="仿宋" w:hAnsi="仿宋" w:eastAsia="仿宋" w:cs="仿宋"/>
          <w:sz w:val="24"/>
          <w:szCs w:val="24"/>
          <w:highlight w:val="none"/>
        </w:rPr>
        <w:t>排列。</w:t>
      </w:r>
    </w:p>
    <w:p w14:paraId="080CDA50">
      <w:pPr>
        <w:numPr>
          <w:ilvl w:val="0"/>
          <w:numId w:val="0"/>
        </w:num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报价不作为评标的唯一依据。</w:t>
      </w:r>
    </w:p>
    <w:bookmarkEnd w:id="70"/>
    <w:p w14:paraId="09047467">
      <w:pPr>
        <w:snapToGrid w:val="0"/>
        <w:spacing w:line="400" w:lineRule="exact"/>
        <w:ind w:firstLine="480" w:firstLineChars="200"/>
        <w:outlineLvl w:val="2"/>
        <w:rPr>
          <w:rFonts w:hint="eastAsia" w:ascii="仿宋" w:hAnsi="仿宋" w:eastAsia="仿宋" w:cs="仿宋"/>
          <w:b/>
          <w:sz w:val="24"/>
          <w:szCs w:val="24"/>
          <w:highlight w:val="none"/>
        </w:rPr>
      </w:pPr>
      <w:bookmarkStart w:id="94" w:name="_Toc32324"/>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.无效投标条款</w:t>
      </w:r>
      <w:bookmarkEnd w:id="94"/>
    </w:p>
    <w:p w14:paraId="3F3E57FD">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.1投标文件有下列情形之一的,其投标文件拒收:</w:t>
      </w:r>
    </w:p>
    <w:p w14:paraId="197B4BC4">
      <w:pPr>
        <w:snapToGrid w:val="0"/>
        <w:spacing w:line="400" w:lineRule="exact"/>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val="0"/>
          <w:bCs w:val="0"/>
          <w:sz w:val="24"/>
          <w:szCs w:val="24"/>
          <w:highlight w:val="none"/>
        </w:rPr>
        <w:t>(1) 未在开标截止时间前通过网上招标投标系统递交有效电子投标文件的，开标系统不予接收。</w:t>
      </w:r>
    </w:p>
    <w:p w14:paraId="5F6A37A1">
      <w:pPr>
        <w:snapToGrid w:val="0"/>
        <w:spacing w:line="400" w:lineRule="exact"/>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所有投标人应在规定时间里完成投标文件的解密工作【投标人使用其有效加密锁（CA锁）进行解密（因投标人原因未能提供有效CA锁对其投标文件进行解密的，其投标文件按无效标处理），以网上招投标系统解密倒计时为准】，因系统原因未能成功解密的投标文件，可导入备份投标文件。备份投标文件也无法导入的，则投标文件被否决。</w:t>
      </w:r>
    </w:p>
    <w:p w14:paraId="7969E035">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.2投标人有下列情形之一的,资格审查后其投标作无效投标处理：</w:t>
      </w:r>
    </w:p>
    <w:p w14:paraId="329D9C32">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)投标人为本项目提供招标代理服务的；</w:t>
      </w:r>
    </w:p>
    <w:p w14:paraId="191F9AF3">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)投标人与在本项目代理机构存在相互任职或工作的；</w:t>
      </w:r>
    </w:p>
    <w:p w14:paraId="04551CF4">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b w:val="0"/>
          <w:bCs w:val="0"/>
          <w:sz w:val="24"/>
          <w:szCs w:val="24"/>
          <w:highlight w:val="none"/>
        </w:rPr>
        <w:t>)评标专家无法查看并检验电子标书中相关资料的</w:t>
      </w:r>
      <w:r>
        <w:rPr>
          <w:rFonts w:hint="eastAsia" w:ascii="仿宋" w:hAnsi="仿宋" w:eastAsia="仿宋" w:cs="仿宋"/>
          <w:b/>
          <w:bCs/>
          <w:sz w:val="24"/>
          <w:szCs w:val="24"/>
          <w:highlight w:val="none"/>
        </w:rPr>
        <w:t>；</w:t>
      </w:r>
    </w:p>
    <w:p w14:paraId="6592192F">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)被暂停营业的；</w:t>
      </w:r>
    </w:p>
    <w:p w14:paraId="0A90B6D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)被暂停或取消投标资格的；</w:t>
      </w:r>
    </w:p>
    <w:p w14:paraId="1BD2A72A">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)财产被接管或冻结的；</w:t>
      </w:r>
    </w:p>
    <w:p w14:paraId="47EE4E13">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)投标人单位负责人为同一人或者存在控股、管理关系的不同单位的；</w:t>
      </w:r>
    </w:p>
    <w:p w14:paraId="59A9568A">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）投标人基本资格条件和特定资格条件中有一项及以上不符合要求的；</w:t>
      </w:r>
    </w:p>
    <w:p w14:paraId="4941409B">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）投标人使用相同的MAC地址进行报名的；</w:t>
      </w:r>
    </w:p>
    <w:p w14:paraId="0209CC77">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）其它情形，经评标委员会委提出按无效投标处理，并经公共资源交易监督部门核准的；</w:t>
      </w:r>
    </w:p>
    <w:p w14:paraId="5406ABC7">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）投标人使用相同IP地址报名的，一经发现，监管部门将进一步核实，查实后按串通投标处理；</w:t>
      </w:r>
    </w:p>
    <w:p w14:paraId="2E2FE958">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）采购文件规定的其它无效投标情形。</w:t>
      </w:r>
    </w:p>
    <w:p w14:paraId="5594F19F">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.3 投标人有下列情形之一的,符合性审查后其投标按无效投标处理：</w:t>
      </w:r>
    </w:p>
    <w:p w14:paraId="4F367564">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投标文件签字、盖章不全，经评标委员会一致认定对开评标内容有实质性影响并经监督部门核准的；</w:t>
      </w:r>
    </w:p>
    <w:p w14:paraId="5AC359F5">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(2)未按规定的格式填写，实质性内容不全或关键字迹模糊、无法辨认; 经监督部门核准的；</w:t>
      </w:r>
    </w:p>
    <w:p w14:paraId="7AC42567">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)同一投标人提交两个以上不同的投标文件或者投标报价，但采购文件规定提交备选方案的除外；</w:t>
      </w:r>
    </w:p>
    <w:p w14:paraId="4602162D">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)投标文件没有对采购文件的实质性要求和条件作出响应;</w:t>
      </w:r>
    </w:p>
    <w:p w14:paraId="0553212B">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)投标报价超出规定的投标限价或公布的采购预算的；注：投标人的投标报价各项单价均不得高于磋商文件给定的单价最高限价，否则，其投标文件将按无效投标处理。</w:t>
      </w:r>
    </w:p>
    <w:p w14:paraId="224E863E">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)不按评标委员会要求澄清、说明或补正的，或者评标委员会根据采购文件的规定对采购文件的计算错误进行修正后，投标人不接受修正的投标报价的。</w:t>
      </w:r>
    </w:p>
    <w:p w14:paraId="4E90AD7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）其它情形，经评标委员会委提出按无效投标处理，并经公共资源交易监督部门核准的；</w:t>
      </w:r>
    </w:p>
    <w:p w14:paraId="0B2E2D40">
      <w:pPr>
        <w:widowControl/>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shd w:val="clear" w:color="auto" w:fill="FFFFFF"/>
          <w:lang w:bidi="ar"/>
        </w:rPr>
        <w:t>投标文件含有采购人不能接受的附加条件的;</w:t>
      </w:r>
    </w:p>
    <w:p w14:paraId="2D8998A7">
      <w:pPr>
        <w:tabs>
          <w:tab w:val="left" w:pos="1123"/>
        </w:tabs>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）采购文件规定的其它无效投标情形。</w:t>
      </w:r>
    </w:p>
    <w:p w14:paraId="465783EA">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.4 投标人有下列情形之一的, 详细评审后其投标按无效投标处理：</w:t>
      </w:r>
    </w:p>
    <w:p w14:paraId="58B0D340">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(1)投标产品不符合必须强制执行的国家标准的；</w:t>
      </w:r>
    </w:p>
    <w:p w14:paraId="11A73EB7">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(2)投标人有串通投标、弄虚作假、行贿等违法行为；</w:t>
      </w:r>
    </w:p>
    <w:p w14:paraId="6AEE60E0">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(3)投标文件含有违反国家法律、法规的内容，或附有招标人不能接受的条件的；</w:t>
      </w:r>
    </w:p>
    <w:p w14:paraId="48C07408">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（4）在同一项目（或同一标段）中有多个投标人有效投标报价接近最高限价，且评标委员会认为报价出现异常的，可以宣布其投标无效；</w:t>
      </w:r>
    </w:p>
    <w:p w14:paraId="704BD8F0">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）拒不确认评标委员会评审修正的投标无效；</w:t>
      </w:r>
    </w:p>
    <w:p w14:paraId="12E855AD">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）其它情形，经评标委员会委提出按无效投标处理，并经公共资源交易监督部门核准的；</w:t>
      </w:r>
    </w:p>
    <w:p w14:paraId="1CE8F36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）采购文件规定的其它无效投标情形。</w:t>
      </w:r>
    </w:p>
    <w:p w14:paraId="263D4132">
      <w:pPr>
        <w:pageBreakBefore/>
        <w:spacing w:line="360" w:lineRule="auto"/>
        <w:jc w:val="center"/>
        <w:outlineLvl w:val="0"/>
        <w:rPr>
          <w:rFonts w:hint="eastAsia" w:ascii="仿宋" w:hAnsi="仿宋" w:eastAsia="仿宋" w:cs="仿宋"/>
          <w:b/>
          <w:sz w:val="24"/>
          <w:szCs w:val="24"/>
          <w:highlight w:val="none"/>
        </w:rPr>
        <w:sectPr>
          <w:footerReference r:id="rId5" w:type="default"/>
          <w:pgSz w:w="11906" w:h="16838"/>
          <w:pgMar w:top="1157" w:right="969" w:bottom="1157" w:left="969" w:header="851" w:footer="992" w:gutter="0"/>
          <w:pgNumType w:fmt="decimal" w:start="1"/>
          <w:cols w:space="720" w:num="1"/>
          <w:docGrid w:type="linesAndChars" w:linePitch="312" w:charSpace="0"/>
        </w:sectPr>
      </w:pPr>
      <w:bookmarkStart w:id="95" w:name="OLE_LINK4"/>
    </w:p>
    <w:p w14:paraId="5334C2D3">
      <w:pPr>
        <w:pageBreakBefore/>
        <w:numPr>
          <w:ilvl w:val="0"/>
          <w:numId w:val="11"/>
        </w:numPr>
        <w:spacing w:line="360"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bookmarkEnd w:id="71"/>
      <w:bookmarkStart w:id="96" w:name="_Toc16248"/>
      <w:bookmarkStart w:id="97" w:name="_Toc18014"/>
      <w:r>
        <w:rPr>
          <w:rFonts w:hint="eastAsia" w:ascii="仿宋" w:hAnsi="仿宋" w:eastAsia="仿宋" w:cs="仿宋"/>
          <w:b/>
          <w:color w:val="auto"/>
          <w:sz w:val="24"/>
          <w:szCs w:val="24"/>
          <w:highlight w:val="none"/>
        </w:rPr>
        <w:t>招标项目技术要求及服务内容</w:t>
      </w:r>
      <w:bookmarkEnd w:id="96"/>
      <w:bookmarkEnd w:id="97"/>
    </w:p>
    <w:p w14:paraId="41A97C10">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本项目为</w:t>
      </w:r>
      <w:r>
        <w:rPr>
          <w:rFonts w:hint="eastAsia" w:ascii="仿宋" w:hAnsi="仿宋" w:eastAsia="仿宋" w:cs="仿宋"/>
          <w:color w:val="FF0000"/>
          <w:sz w:val="24"/>
          <w:szCs w:val="24"/>
          <w:highlight w:val="none"/>
          <w:lang w:eastAsia="zh-CN"/>
        </w:rPr>
        <w:t>2026年阿图什市机关事业单位基本养老保险保值增值定期存款项目（第二期）</w:t>
      </w:r>
      <w:r>
        <w:rPr>
          <w:rFonts w:hint="eastAsia" w:ascii="仿宋" w:hAnsi="仿宋" w:eastAsia="仿宋" w:cs="仿宋"/>
          <w:color w:val="FF0000"/>
          <w:sz w:val="24"/>
          <w:szCs w:val="24"/>
          <w:highlight w:val="none"/>
        </w:rPr>
        <w:t>，本次招标遵循公开、公平、公正的原则，相关参数及要求由采购人提供的清单为准，具体要求详见清单，如下：</w:t>
      </w:r>
    </w:p>
    <w:p w14:paraId="59F49ADE">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一、服务内容</w:t>
      </w:r>
    </w:p>
    <w:p w14:paraId="710289E7">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1.为进一步规范社会保险基金存放管理机制，推动财政资源优化配置，防范资金存放安全风险和廉政风险，提高社会保险基金存放综合效益，根据财政厅《关于转发&lt;财政部关于进一步加强财政部门和预算单位资金存放管理的指导意见&gt;的通知》（新财库〔2017〕61号）规定，结合《克州本级社会保险基金转为定期存款操作办法（试行）》及相关政策规定，参加本次竞争性磋商的供应商应严格遵照执行。</w:t>
      </w:r>
    </w:p>
    <w:p w14:paraId="088C92F6">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2.成交供应商对吸纳的定期存款的存放不得要求开立银行结算账户，成交供应商应加强对吸纳的定期存款的监督管理，确保定期存款资金安全。</w:t>
      </w:r>
    </w:p>
    <w:p w14:paraId="210F18D8">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 xml:space="preserve">3.成交供应商接受阿图什市财政局和上级财政部门对财政专户资金和社保基金存放管理的监督和检查，遇有重大情况及时向财政部门报告，并保证信息的真实性和准确性。 </w:t>
      </w:r>
    </w:p>
    <w:p w14:paraId="6762A21A">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4.定期存款（含大额定期存单）利率以各供应商成交时承诺的存款利率计算。</w:t>
      </w:r>
    </w:p>
    <w:p w14:paraId="381DC3DF">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5.存放资金的成交供应商应依法依规开展财政专户资金和社保基金存放业务，确保资金安全。未按规定办理资金存放业务，造成相关资金风险或损失的，要承担相应法律责任，并全额赔偿造成的损失。</w:t>
      </w:r>
    </w:p>
    <w:p w14:paraId="7FABE09A">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6.磋商活动结束后，阿图什市财政局将组织对成交供应商的数据真实性检查和比对，如经查实数据为虚假数据的，将停止该行参与资格2年，并收回已经存放的资金，收回的额度在其他成交候选供应商顺延分配。</w:t>
      </w:r>
    </w:p>
    <w:p w14:paraId="30B10218">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7.成交供应商出现以下行为或者情形之一的，应主动向财政局报告。财政局视情节轻重，将采取暂停资金存放业务、取消分配额度、收回已经存放资金等措施进行处理，同时成交供应商要承担违约责任。</w:t>
      </w:r>
    </w:p>
    <w:p w14:paraId="4647580A">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（1）未按规定及时足额汇划到期本息的；</w:t>
      </w:r>
    </w:p>
    <w:p w14:paraId="5B7967DE">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（2）出现重大违法违规，导致财务恶化或引起信用危机的；</w:t>
      </w:r>
    </w:p>
    <w:p w14:paraId="6C31E57F">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（3）出现重大安全风险事件或者经营状况影响资金存放安全的；</w:t>
      </w:r>
    </w:p>
    <w:p w14:paraId="272A7F9F">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（4）存在弄虚作假等严重不正当竞争行为的（包括提供文件资料和证明材料不真实，数据弄虚作假）；</w:t>
      </w:r>
    </w:p>
    <w:p w14:paraId="44CD0B5F">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（5）经核实未遵守廉政承诺或者在资金存放中存在其他利益输送行为的；</w:t>
      </w:r>
    </w:p>
    <w:p w14:paraId="1DC29481">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（6）可能危及财政专户资金和社保基金安全的其他情况。</w:t>
      </w:r>
    </w:p>
    <w:p w14:paraId="01C66C98">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8. 成交供应商指定的承办银行网点与定期存款最终存放银行网点一致，并承诺在中标后不得改变和转移。</w:t>
      </w:r>
    </w:p>
    <w:p w14:paraId="56C95EF2">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9.采购人根据工作需求，有权提前支取定期大额存款。</w:t>
      </w:r>
    </w:p>
    <w:p w14:paraId="0DEF0794">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10.严禁成交供应商将财政性资金存款购买理财产品。</w:t>
      </w:r>
    </w:p>
    <w:p w14:paraId="00CD7D22">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11.提供存款证明一式两份。</w:t>
      </w:r>
    </w:p>
    <w:p w14:paraId="3FC4C170">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12.本次竞争性磋商成交供应商1名。</w:t>
      </w:r>
    </w:p>
    <w:p w14:paraId="6B2239C2">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13.根据磋商小组综合打分情况，综合得分排名第一名的供应商为本采购项目资金存放的成交供应商，如出现并列名次，以支持国有企业和中小微企业发展得分较高的供应商作为优先排名。</w:t>
      </w:r>
    </w:p>
    <w:p w14:paraId="3FE485F0">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二、服务期限及地点：</w:t>
      </w:r>
    </w:p>
    <w:p w14:paraId="3491A3B2">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服务期限：本期存款期限一年。（在服务期限内，甲方可自行调整资金定期存款分配，如定期一年、定期六个月、定期三个月</w:t>
      </w:r>
      <w:r>
        <w:rPr>
          <w:rFonts w:hint="eastAsia" w:ascii="仿宋" w:hAnsi="仿宋" w:eastAsia="仿宋" w:cs="仿宋"/>
          <w:color w:val="FF0000"/>
          <w:sz w:val="24"/>
          <w:szCs w:val="24"/>
          <w:highlight w:val="none"/>
          <w:lang w:eastAsia="zh-CN"/>
        </w:rPr>
        <w:t>等</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存款银行应于存款到期日足额汇划本息至社会保险基金财政专户。</w:t>
      </w:r>
    </w:p>
    <w:p w14:paraId="3EE5F7BA">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服务地点：阿图什市。</w:t>
      </w:r>
    </w:p>
    <w:p w14:paraId="1EDFC0E6">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三、项目类型：本项目属于其他未列明行业项目。</w:t>
      </w:r>
    </w:p>
    <w:p w14:paraId="4AE0307F">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四 、合同签订时间及地点：</w:t>
      </w:r>
    </w:p>
    <w:p w14:paraId="5170B835">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时间：采购人应当自成交通知书发出之日起30日内，按照招标文件和成交供应商投标文件的规定，与成交供应商签订书面合同。所签订的合同不得对招标文件确定的事项和成交供应商投标文件作实质性修改。</w:t>
      </w:r>
    </w:p>
    <w:p w14:paraId="7D5ACBD3">
      <w:pPr>
        <w:pStyle w:val="4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地点：阿图什市财政局办公室</w:t>
      </w:r>
    </w:p>
    <w:p w14:paraId="5A73EEBF">
      <w:pPr>
        <w:pStyle w:val="40"/>
        <w:rPr>
          <w:rFonts w:hint="eastAsia" w:ascii="仿宋" w:hAnsi="仿宋" w:eastAsia="仿宋" w:cs="仿宋"/>
          <w:color w:val="auto"/>
          <w:sz w:val="24"/>
          <w:szCs w:val="24"/>
          <w:highlight w:val="none"/>
        </w:rPr>
      </w:pPr>
    </w:p>
    <w:bookmarkEnd w:id="95"/>
    <w:p w14:paraId="2C7A557E">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2EE648AB">
      <w:pPr>
        <w:numPr>
          <w:ilvl w:val="0"/>
          <w:numId w:val="11"/>
        </w:numPr>
        <w:spacing w:line="480" w:lineRule="exact"/>
        <w:ind w:left="0" w:leftChars="0" w:firstLine="0" w:firstLineChars="0"/>
        <w:jc w:val="center"/>
        <w:outlineLvl w:val="0"/>
        <w:rPr>
          <w:rFonts w:hint="eastAsia" w:ascii="仿宋" w:hAnsi="仿宋" w:eastAsia="仿宋" w:cs="仿宋"/>
          <w:b/>
          <w:sz w:val="24"/>
          <w:szCs w:val="24"/>
          <w:highlight w:val="none"/>
          <w:lang w:eastAsia="zh-CN"/>
        </w:rPr>
      </w:pPr>
      <w:bookmarkStart w:id="98" w:name="_Toc29918"/>
      <w:bookmarkStart w:id="99" w:name="_Toc8627"/>
      <w:bookmarkStart w:id="100" w:name="_Toc26953"/>
      <w:r>
        <w:rPr>
          <w:rFonts w:hint="eastAsia" w:ascii="仿宋" w:hAnsi="仿宋" w:eastAsia="仿宋" w:cs="仿宋"/>
          <w:b/>
          <w:sz w:val="24"/>
          <w:szCs w:val="24"/>
          <w:highlight w:val="none"/>
        </w:rPr>
        <w:t>合同</w:t>
      </w:r>
      <w:bookmarkEnd w:id="98"/>
      <w:bookmarkStart w:id="101" w:name="_Toc20669"/>
      <w:r>
        <w:rPr>
          <w:rFonts w:hint="eastAsia" w:ascii="仿宋" w:hAnsi="仿宋" w:eastAsia="仿宋" w:cs="仿宋"/>
          <w:b/>
          <w:sz w:val="24"/>
          <w:szCs w:val="24"/>
          <w:highlight w:val="none"/>
          <w:lang w:eastAsia="zh-CN"/>
        </w:rPr>
        <w:t>部分</w:t>
      </w:r>
      <w:bookmarkEnd w:id="99"/>
      <w:bookmarkEnd w:id="100"/>
    </w:p>
    <w:p w14:paraId="4BC142A6">
      <w:pPr>
        <w:spacing w:line="360" w:lineRule="auto"/>
        <w:ind w:left="-575" w:leftChars="-270" w:firstLine="486" w:firstLineChars="200"/>
        <w:jc w:val="center"/>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lang w:eastAsia="zh-CN"/>
        </w:rPr>
        <w:t>（合同样稿）</w:t>
      </w:r>
    </w:p>
    <w:p w14:paraId="79575BA4">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甲方：</w:t>
      </w:r>
    </w:p>
    <w:p w14:paraId="068D2D9D">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乙方：</w:t>
      </w:r>
    </w:p>
    <w:p w14:paraId="3479BE37">
      <w:pPr>
        <w:widowControl w:val="0"/>
        <w:wordWrap/>
        <w:adjustRightInd/>
        <w:snapToGrid/>
        <w:spacing w:line="440" w:lineRule="exact"/>
        <w:jc w:val="center"/>
        <w:textAlignment w:val="auto"/>
        <w:outlineLvl w:val="1"/>
        <w:rPr>
          <w:rFonts w:hint="eastAsia" w:ascii="仿宋" w:hAnsi="仿宋" w:eastAsia="仿宋" w:cs="仿宋"/>
          <w:b w:val="0"/>
          <w:bCs w:val="0"/>
          <w:color w:val="auto"/>
          <w:sz w:val="24"/>
          <w:szCs w:val="24"/>
          <w:highlight w:val="none"/>
        </w:rPr>
      </w:pPr>
      <w:bookmarkStart w:id="102" w:name="_Toc1255"/>
      <w:bookmarkStart w:id="103" w:name="_Toc31612"/>
      <w:bookmarkStart w:id="104" w:name="_Toc20772"/>
      <w:bookmarkStart w:id="105" w:name="_Toc21783"/>
      <w:r>
        <w:rPr>
          <w:rFonts w:hint="eastAsia" w:ascii="仿宋" w:hAnsi="仿宋" w:eastAsia="仿宋" w:cs="仿宋"/>
          <w:b w:val="0"/>
          <w:bCs w:val="0"/>
          <w:color w:val="auto"/>
          <w:sz w:val="24"/>
          <w:szCs w:val="24"/>
          <w:highlight w:val="none"/>
        </w:rPr>
        <w:t>第一条  总则</w:t>
      </w:r>
      <w:bookmarkEnd w:id="102"/>
      <w:bookmarkEnd w:id="103"/>
      <w:bookmarkEnd w:id="104"/>
      <w:bookmarkEnd w:id="105"/>
    </w:p>
    <w:p w14:paraId="61F9A57B">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根据《中华人民共和国</w:t>
      </w:r>
      <w:r>
        <w:rPr>
          <w:rFonts w:hint="eastAsia" w:ascii="仿宋" w:hAnsi="仿宋" w:eastAsia="仿宋" w:cs="仿宋"/>
          <w:b w:val="0"/>
          <w:bCs w:val="0"/>
          <w:color w:val="auto"/>
          <w:sz w:val="24"/>
          <w:szCs w:val="24"/>
          <w:highlight w:val="none"/>
          <w:lang w:val="en-US" w:eastAsia="zh-CN"/>
        </w:rPr>
        <w:t>民法典</w:t>
      </w:r>
      <w:r>
        <w:rPr>
          <w:rFonts w:hint="eastAsia" w:ascii="仿宋" w:hAnsi="仿宋" w:eastAsia="仿宋" w:cs="仿宋"/>
          <w:b w:val="0"/>
          <w:bCs w:val="0"/>
          <w:color w:val="auto"/>
          <w:sz w:val="24"/>
          <w:szCs w:val="24"/>
          <w:highlight w:val="none"/>
        </w:rPr>
        <w:t>》有关规定，甲方就</w:t>
      </w:r>
      <w:r>
        <w:rPr>
          <w:rFonts w:hint="eastAsia" w:ascii="仿宋" w:hAnsi="仿宋" w:eastAsia="仿宋" w:cs="仿宋"/>
          <w:b w:val="0"/>
          <w:bCs w:val="0"/>
          <w:color w:val="auto"/>
          <w:sz w:val="24"/>
          <w:szCs w:val="24"/>
          <w:highlight w:val="none"/>
          <w:lang w:eastAsia="zh-CN"/>
        </w:rPr>
        <w:t>2026年阿图什市机关事业单位基本养老保险保值增值定期存款项目（第二期）</w:t>
      </w:r>
      <w:r>
        <w:rPr>
          <w:rFonts w:hint="eastAsia" w:ascii="仿宋" w:hAnsi="仿宋" w:eastAsia="仿宋" w:cs="仿宋"/>
          <w:b w:val="0"/>
          <w:bCs w:val="0"/>
          <w:color w:val="auto"/>
          <w:sz w:val="24"/>
          <w:szCs w:val="24"/>
          <w:highlight w:val="none"/>
        </w:rPr>
        <w:t>，在乙方开展定期存款操作事宜，经甲乙双方平等协商，签订本协议。</w:t>
      </w:r>
    </w:p>
    <w:p w14:paraId="153DE086">
      <w:pPr>
        <w:widowControl w:val="0"/>
        <w:numPr>
          <w:ilvl w:val="0"/>
          <w:numId w:val="12"/>
        </w:numPr>
        <w:wordWrap/>
        <w:adjustRightInd/>
        <w:snapToGrid/>
        <w:spacing w:line="440" w:lineRule="exact"/>
        <w:jc w:val="center"/>
        <w:textAlignment w:val="auto"/>
        <w:outlineLvl w:val="1"/>
        <w:rPr>
          <w:rFonts w:hint="eastAsia" w:ascii="仿宋" w:hAnsi="仿宋" w:eastAsia="仿宋" w:cs="仿宋"/>
          <w:b w:val="0"/>
          <w:bCs w:val="0"/>
          <w:color w:val="auto"/>
          <w:sz w:val="24"/>
          <w:szCs w:val="24"/>
          <w:highlight w:val="none"/>
        </w:rPr>
      </w:pPr>
      <w:bookmarkStart w:id="106" w:name="_Toc27849"/>
      <w:bookmarkStart w:id="107" w:name="_Toc26688"/>
      <w:bookmarkStart w:id="108" w:name="_Toc11214"/>
      <w:bookmarkStart w:id="109" w:name="_Toc26580"/>
      <w:r>
        <w:rPr>
          <w:rFonts w:hint="eastAsia" w:ascii="仿宋" w:hAnsi="仿宋" w:eastAsia="仿宋" w:cs="仿宋"/>
          <w:b w:val="0"/>
          <w:bCs w:val="0"/>
          <w:color w:val="auto"/>
          <w:sz w:val="24"/>
          <w:szCs w:val="24"/>
          <w:highlight w:val="none"/>
        </w:rPr>
        <w:t>甲方权利和义务</w:t>
      </w:r>
      <w:bookmarkEnd w:id="106"/>
      <w:bookmarkEnd w:id="107"/>
      <w:bookmarkEnd w:id="108"/>
      <w:bookmarkEnd w:id="109"/>
      <w:bookmarkStart w:id="110" w:name="_Toc22131"/>
    </w:p>
    <w:p w14:paraId="426E3411">
      <w:pPr>
        <w:widowControl w:val="0"/>
        <w:numPr>
          <w:ilvl w:val="0"/>
          <w:numId w:val="0"/>
        </w:numPr>
        <w:wordWrap/>
        <w:adjustRightInd/>
        <w:snapToGrid/>
        <w:spacing w:line="440" w:lineRule="exact"/>
        <w:ind w:leftChars="0" w:right="0"/>
        <w:textAlignment w:val="auto"/>
        <w:outlineLvl w:val="2"/>
        <w:rPr>
          <w:rFonts w:hint="eastAsia" w:ascii="仿宋" w:hAnsi="仿宋" w:eastAsia="仿宋" w:cs="仿宋"/>
          <w:b w:val="0"/>
          <w:bCs w:val="0"/>
          <w:color w:val="auto"/>
          <w:sz w:val="24"/>
          <w:szCs w:val="24"/>
          <w:highlight w:val="none"/>
        </w:rPr>
      </w:pPr>
      <w:bookmarkStart w:id="111" w:name="_Toc736"/>
      <w:bookmarkStart w:id="112" w:name="_Toc15616"/>
      <w:r>
        <w:rPr>
          <w:rFonts w:hint="eastAsia" w:ascii="仿宋" w:hAnsi="仿宋" w:eastAsia="仿宋" w:cs="仿宋"/>
          <w:b w:val="0"/>
          <w:bCs w:val="0"/>
          <w:color w:val="auto"/>
          <w:sz w:val="24"/>
          <w:szCs w:val="24"/>
          <w:highlight w:val="none"/>
        </w:rPr>
        <w:t>（一）权利</w:t>
      </w:r>
      <w:bookmarkEnd w:id="110"/>
      <w:bookmarkEnd w:id="111"/>
      <w:bookmarkEnd w:id="112"/>
    </w:p>
    <w:p w14:paraId="0018AE4E">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1.组织实施</w:t>
      </w:r>
      <w:r>
        <w:rPr>
          <w:rFonts w:hint="eastAsia" w:ascii="仿宋" w:hAnsi="仿宋" w:eastAsia="仿宋" w:cs="仿宋"/>
          <w:b w:val="0"/>
          <w:bCs w:val="0"/>
          <w:color w:val="auto"/>
          <w:sz w:val="24"/>
          <w:szCs w:val="24"/>
          <w:highlight w:val="none"/>
          <w:lang w:eastAsia="zh-CN"/>
        </w:rPr>
        <w:t>阿图什市财政局2026年阿图什市机关事业单位基本养老保险保值增值定期存款项目（第二期）</w:t>
      </w:r>
      <w:r>
        <w:rPr>
          <w:rFonts w:hint="eastAsia" w:ascii="仿宋" w:hAnsi="仿宋" w:eastAsia="仿宋" w:cs="仿宋"/>
          <w:b w:val="0"/>
          <w:bCs w:val="0"/>
          <w:color w:val="auto"/>
          <w:sz w:val="24"/>
          <w:szCs w:val="24"/>
          <w:highlight w:val="none"/>
        </w:rPr>
        <w:t>管理工作；</w:t>
      </w:r>
    </w:p>
    <w:p w14:paraId="455DF28A">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2.依据中标结果，组织分配资金，确定资金存放开展时间和资金存放期限；</w:t>
      </w:r>
    </w:p>
    <w:p w14:paraId="48259955">
      <w:pPr>
        <w:widowControl w:val="0"/>
        <w:wordWrap/>
        <w:adjustRightInd/>
        <w:snapToGrid/>
        <w:spacing w:line="440" w:lineRule="exact"/>
        <w:ind w:left="213" w:leftChars="100" w:firstLine="243" w:firstLineChars="1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3.乙方未及时、足额划转到期的定期大额存款本息时，甲方有权向乙方催缴资金；到期日后的第2个工作日，乙方仍未足额划转存款本息，甲方按有关规定对乙方总行追索；</w:t>
      </w:r>
    </w:p>
    <w:p w14:paraId="5FDB7579">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4.对乙方参与财政专户资金的管理活动实施监督检查；</w:t>
      </w:r>
    </w:p>
    <w:p w14:paraId="71CBF282">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5.根据管理需要提前收回存放在乙方的全部或部分定期存款，存款利率按照已经存放的期限取整月执行中标利率执行；</w:t>
      </w:r>
    </w:p>
    <w:p w14:paraId="4C365183">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6.负责解释本协议的有关条款。</w:t>
      </w:r>
    </w:p>
    <w:p w14:paraId="449CB866">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7.对乙方有关违约行为进行认定和追责处理；</w:t>
      </w:r>
    </w:p>
    <w:p w14:paraId="27FB51A0">
      <w:pPr>
        <w:widowControl w:val="0"/>
        <w:wordWrap/>
        <w:adjustRightInd/>
        <w:snapToGrid/>
        <w:spacing w:line="440" w:lineRule="exact"/>
        <w:ind w:firstLine="243" w:firstLineChars="100"/>
        <w:jc w:val="both"/>
        <w:textAlignment w:val="auto"/>
        <w:outlineLvl w:val="2"/>
        <w:rPr>
          <w:rFonts w:hint="eastAsia" w:ascii="仿宋" w:hAnsi="仿宋" w:eastAsia="仿宋" w:cs="仿宋"/>
          <w:b w:val="0"/>
          <w:bCs w:val="0"/>
          <w:color w:val="auto"/>
          <w:sz w:val="24"/>
          <w:szCs w:val="24"/>
          <w:highlight w:val="none"/>
        </w:rPr>
      </w:pPr>
      <w:bookmarkStart w:id="113" w:name="_Toc24103"/>
      <w:bookmarkStart w:id="114" w:name="_Toc3762"/>
      <w:bookmarkStart w:id="115" w:name="_Toc26947"/>
      <w:r>
        <w:rPr>
          <w:rFonts w:hint="eastAsia" w:ascii="仿宋" w:hAnsi="仿宋" w:eastAsia="仿宋" w:cs="仿宋"/>
          <w:b w:val="0"/>
          <w:bCs w:val="0"/>
          <w:color w:val="auto"/>
          <w:sz w:val="24"/>
          <w:szCs w:val="24"/>
          <w:highlight w:val="none"/>
        </w:rPr>
        <w:t>（二）义务</w:t>
      </w:r>
      <w:bookmarkEnd w:id="113"/>
      <w:bookmarkEnd w:id="114"/>
      <w:bookmarkEnd w:id="115"/>
    </w:p>
    <w:p w14:paraId="5ADB51E9">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1.根据乙方中标结果，依据分配的额度，将定期存大额款拨付到乙方备案的定期大额存款收款账户；</w:t>
      </w:r>
    </w:p>
    <w:p w14:paraId="523DD5AB">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2.配合乙方开展定期大额存款资金存放手续履行，作好财政专户资金定期存款账务核算对账工作。</w:t>
      </w:r>
    </w:p>
    <w:p w14:paraId="4D6EE25E">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3.提前收回存款时，提前2个工作日通知乙方。</w:t>
      </w:r>
    </w:p>
    <w:p w14:paraId="0750DD7C">
      <w:pPr>
        <w:widowControl w:val="0"/>
        <w:wordWrap/>
        <w:adjustRightInd/>
        <w:snapToGrid/>
        <w:spacing w:line="440" w:lineRule="exact"/>
        <w:jc w:val="center"/>
        <w:textAlignment w:val="auto"/>
        <w:outlineLvl w:val="1"/>
        <w:rPr>
          <w:rFonts w:hint="eastAsia" w:ascii="仿宋" w:hAnsi="仿宋" w:eastAsia="仿宋" w:cs="仿宋"/>
          <w:b w:val="0"/>
          <w:bCs w:val="0"/>
          <w:color w:val="auto"/>
          <w:sz w:val="24"/>
          <w:szCs w:val="24"/>
          <w:highlight w:val="none"/>
        </w:rPr>
      </w:pPr>
      <w:bookmarkStart w:id="116" w:name="_Toc17699"/>
      <w:bookmarkStart w:id="117" w:name="_Toc24760"/>
      <w:bookmarkStart w:id="118" w:name="_Toc2350"/>
      <w:bookmarkStart w:id="119" w:name="_Toc19464"/>
      <w:r>
        <w:rPr>
          <w:rFonts w:hint="eastAsia" w:ascii="仿宋" w:hAnsi="仿宋" w:eastAsia="仿宋" w:cs="仿宋"/>
          <w:b w:val="0"/>
          <w:bCs w:val="0"/>
          <w:color w:val="auto"/>
          <w:sz w:val="24"/>
          <w:szCs w:val="24"/>
          <w:highlight w:val="none"/>
        </w:rPr>
        <w:t>第三条  乙方权利和义务</w:t>
      </w:r>
      <w:bookmarkEnd w:id="116"/>
      <w:bookmarkEnd w:id="117"/>
      <w:bookmarkEnd w:id="118"/>
      <w:bookmarkEnd w:id="119"/>
    </w:p>
    <w:p w14:paraId="449EA731">
      <w:pPr>
        <w:widowControl w:val="0"/>
        <w:wordWrap/>
        <w:adjustRightInd/>
        <w:snapToGrid/>
        <w:spacing w:line="440" w:lineRule="exact"/>
        <w:ind w:firstLine="486" w:firstLineChars="200"/>
        <w:textAlignment w:val="auto"/>
        <w:outlineLvl w:val="2"/>
        <w:rPr>
          <w:rFonts w:hint="eastAsia" w:ascii="仿宋" w:hAnsi="仿宋" w:eastAsia="仿宋" w:cs="仿宋"/>
          <w:b w:val="0"/>
          <w:bCs w:val="0"/>
          <w:color w:val="auto"/>
          <w:sz w:val="24"/>
          <w:szCs w:val="24"/>
          <w:highlight w:val="none"/>
        </w:rPr>
      </w:pPr>
      <w:bookmarkStart w:id="120" w:name="_Toc30353"/>
      <w:bookmarkStart w:id="121" w:name="_Toc31526"/>
      <w:bookmarkStart w:id="122" w:name="_Toc3382"/>
      <w:r>
        <w:rPr>
          <w:rFonts w:hint="eastAsia" w:ascii="仿宋" w:hAnsi="仿宋" w:eastAsia="仿宋" w:cs="仿宋"/>
          <w:b w:val="0"/>
          <w:bCs w:val="0"/>
          <w:color w:val="auto"/>
          <w:sz w:val="24"/>
          <w:szCs w:val="24"/>
          <w:highlight w:val="none"/>
        </w:rPr>
        <w:t>（一）权利</w:t>
      </w:r>
      <w:bookmarkEnd w:id="120"/>
      <w:bookmarkEnd w:id="121"/>
      <w:bookmarkEnd w:id="122"/>
    </w:p>
    <w:p w14:paraId="1CEC61E3">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1.中标后按照规定获得定期大额存款资金；</w:t>
      </w:r>
    </w:p>
    <w:p w14:paraId="1E43633E">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2.向甲方提出改进财政专户资金管理工作的政策建议；</w:t>
      </w:r>
    </w:p>
    <w:p w14:paraId="14EF36AD">
      <w:pPr>
        <w:widowControl w:val="0"/>
        <w:wordWrap/>
        <w:adjustRightInd/>
        <w:snapToGrid/>
        <w:spacing w:line="440" w:lineRule="exact"/>
        <w:ind w:firstLine="486" w:firstLineChars="200"/>
        <w:textAlignment w:val="auto"/>
        <w:outlineLvl w:val="2"/>
        <w:rPr>
          <w:rFonts w:hint="eastAsia" w:ascii="仿宋" w:hAnsi="仿宋" w:eastAsia="仿宋" w:cs="仿宋"/>
          <w:b w:val="0"/>
          <w:bCs w:val="0"/>
          <w:color w:val="auto"/>
          <w:sz w:val="24"/>
          <w:szCs w:val="24"/>
          <w:highlight w:val="none"/>
        </w:rPr>
      </w:pPr>
      <w:bookmarkStart w:id="123" w:name="_Toc6136"/>
      <w:bookmarkStart w:id="124" w:name="_Toc27208"/>
      <w:bookmarkStart w:id="125" w:name="_Toc21812"/>
      <w:r>
        <w:rPr>
          <w:rFonts w:hint="eastAsia" w:ascii="仿宋" w:hAnsi="仿宋" w:eastAsia="仿宋" w:cs="仿宋"/>
          <w:b w:val="0"/>
          <w:bCs w:val="0"/>
          <w:color w:val="auto"/>
          <w:sz w:val="24"/>
          <w:szCs w:val="24"/>
          <w:highlight w:val="none"/>
        </w:rPr>
        <w:t>（二）义务</w:t>
      </w:r>
      <w:bookmarkEnd w:id="123"/>
      <w:bookmarkEnd w:id="124"/>
      <w:bookmarkEnd w:id="125"/>
    </w:p>
    <w:p w14:paraId="6C672308">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1.服从甲方在财政专户资金开展定期大额存款操作中的管理和政策解读；</w:t>
      </w:r>
    </w:p>
    <w:p w14:paraId="09F4F4AF">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2.依据投标承诺的大额存款利率和服务要求，准确办理定期大额存款有关手续。</w:t>
      </w:r>
    </w:p>
    <w:p w14:paraId="6CC63368">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3.收到甲方划拨定期大额存款当天向甲方开具定期大额存款证明，当天起息；</w:t>
      </w:r>
    </w:p>
    <w:p w14:paraId="24CDD225">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3.按法律法规要求规范办理定期大额存款，确保资金安全；</w:t>
      </w:r>
    </w:p>
    <w:p w14:paraId="2B19C53C">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4.定期大额存款到期，及时将存款本金和利息足额分开划回至</w:t>
      </w:r>
      <w:r>
        <w:rPr>
          <w:rFonts w:hint="eastAsia" w:ascii="仿宋" w:hAnsi="仿宋" w:eastAsia="仿宋" w:cs="仿宋"/>
          <w:b w:val="0"/>
          <w:bCs w:val="0"/>
          <w:color w:val="auto"/>
          <w:sz w:val="24"/>
          <w:szCs w:val="24"/>
          <w:highlight w:val="none"/>
          <w:lang w:eastAsia="zh-CN"/>
        </w:rPr>
        <w:t>阿图什市财政局</w:t>
      </w:r>
      <w:r>
        <w:rPr>
          <w:rFonts w:hint="eastAsia" w:ascii="仿宋" w:hAnsi="仿宋" w:eastAsia="仿宋" w:cs="仿宋"/>
          <w:b w:val="0"/>
          <w:bCs w:val="0"/>
          <w:color w:val="auto"/>
          <w:sz w:val="24"/>
          <w:szCs w:val="24"/>
          <w:highlight w:val="none"/>
        </w:rPr>
        <w:t>指定账户；若</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提前支取，及时配合甲方办理；</w:t>
      </w:r>
    </w:p>
    <w:p w14:paraId="759465AD">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5.协议生效期间，接受甲方有关定期大额存款的监督与检查；</w:t>
      </w:r>
    </w:p>
    <w:p w14:paraId="10CE6EBE">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6.出现可能影响定期大额存款资金安全的特殊重大事项等情况时，及时报告甲方。</w:t>
      </w:r>
    </w:p>
    <w:p w14:paraId="4C3001E3">
      <w:pPr>
        <w:widowControl w:val="0"/>
        <w:wordWrap/>
        <w:adjustRightInd/>
        <w:snapToGrid/>
        <w:spacing w:line="440" w:lineRule="exact"/>
        <w:jc w:val="center"/>
        <w:textAlignment w:val="auto"/>
        <w:outlineLvl w:val="1"/>
        <w:rPr>
          <w:rFonts w:hint="eastAsia" w:ascii="仿宋" w:hAnsi="仿宋" w:eastAsia="仿宋" w:cs="仿宋"/>
          <w:b w:val="0"/>
          <w:bCs w:val="0"/>
          <w:color w:val="auto"/>
          <w:sz w:val="24"/>
          <w:szCs w:val="24"/>
          <w:highlight w:val="none"/>
        </w:rPr>
      </w:pPr>
      <w:bookmarkStart w:id="126" w:name="_Toc11863"/>
      <w:bookmarkStart w:id="127" w:name="_Toc18299"/>
      <w:bookmarkStart w:id="128" w:name="_Toc7989"/>
      <w:bookmarkStart w:id="129" w:name="_Toc1652"/>
      <w:r>
        <w:rPr>
          <w:rFonts w:hint="eastAsia" w:ascii="仿宋" w:hAnsi="仿宋" w:eastAsia="仿宋" w:cs="仿宋"/>
          <w:b w:val="0"/>
          <w:bCs w:val="0"/>
          <w:color w:val="auto"/>
          <w:sz w:val="24"/>
          <w:szCs w:val="24"/>
          <w:highlight w:val="none"/>
        </w:rPr>
        <w:t>第四条   违约责任</w:t>
      </w:r>
      <w:bookmarkEnd w:id="126"/>
      <w:bookmarkEnd w:id="127"/>
      <w:bookmarkEnd w:id="128"/>
      <w:bookmarkEnd w:id="129"/>
    </w:p>
    <w:p w14:paraId="4F2742CB">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1.乙方未及时按规定划回到期定期大额存款本金和利息的，按照逾期金额和时间，按日息0.05%向甲方支付违约金，直至全部资金收回。</w:t>
      </w:r>
    </w:p>
    <w:p w14:paraId="649E46C8">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2.乙方在办理定期大额存款过程中存在不遵守法律法规和有关制度办法规定造成甲方资金损失的，乙方赔偿甲方损失，甲方取消其有关财政业务代理资格。</w:t>
      </w:r>
    </w:p>
    <w:p w14:paraId="4C05B873">
      <w:pPr>
        <w:widowControl w:val="0"/>
        <w:wordWrap/>
        <w:adjustRightInd/>
        <w:snapToGrid/>
        <w:spacing w:line="440" w:lineRule="exact"/>
        <w:jc w:val="center"/>
        <w:textAlignment w:val="auto"/>
        <w:outlineLvl w:val="1"/>
        <w:rPr>
          <w:rFonts w:hint="eastAsia" w:ascii="仿宋" w:hAnsi="仿宋" w:eastAsia="仿宋" w:cs="仿宋"/>
          <w:b w:val="0"/>
          <w:bCs w:val="0"/>
          <w:color w:val="auto"/>
          <w:sz w:val="24"/>
          <w:szCs w:val="24"/>
          <w:highlight w:val="none"/>
        </w:rPr>
      </w:pPr>
      <w:bookmarkStart w:id="130" w:name="_Toc24994"/>
      <w:bookmarkStart w:id="131" w:name="_Toc9473"/>
      <w:bookmarkStart w:id="132" w:name="_Toc18296"/>
      <w:bookmarkStart w:id="133" w:name="_Toc17779"/>
      <w:r>
        <w:rPr>
          <w:rFonts w:hint="eastAsia" w:ascii="仿宋" w:hAnsi="仿宋" w:eastAsia="仿宋" w:cs="仿宋"/>
          <w:b w:val="0"/>
          <w:bCs w:val="0"/>
          <w:color w:val="auto"/>
          <w:sz w:val="24"/>
          <w:szCs w:val="24"/>
          <w:highlight w:val="none"/>
        </w:rPr>
        <w:t>第五条   附则</w:t>
      </w:r>
      <w:bookmarkEnd w:id="130"/>
      <w:bookmarkEnd w:id="131"/>
      <w:bookmarkEnd w:id="132"/>
      <w:bookmarkEnd w:id="133"/>
    </w:p>
    <w:p w14:paraId="2697F5AB">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1.本协议未定事宜及对本协议的修改和解释，由甲方以书面形式作出；如乙方对本协议产生异议，由双方根据相关规定协商解决。</w:t>
      </w:r>
    </w:p>
    <w:p w14:paraId="2BC0E9D7">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2.本协议签订后，如无重大政策变更，一年内开展的定期大额存款业务，延用本协议规定，不再逐次签订。</w:t>
      </w:r>
    </w:p>
    <w:p w14:paraId="6C13ABD1">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3.本协议经甲、乙双方法定代表人或授权代表</w:t>
      </w:r>
      <w:r>
        <w:rPr>
          <w:rFonts w:hint="eastAsia" w:ascii="仿宋" w:hAnsi="仿宋" w:eastAsia="仿宋" w:cs="仿宋"/>
          <w:b w:val="0"/>
          <w:bCs w:val="0"/>
          <w:color w:val="auto"/>
          <w:sz w:val="24"/>
          <w:szCs w:val="24"/>
          <w:highlight w:val="none"/>
          <w:lang w:eastAsia="zh-CN"/>
        </w:rPr>
        <w:t>签章</w:t>
      </w:r>
      <w:r>
        <w:rPr>
          <w:rFonts w:hint="eastAsia" w:ascii="仿宋" w:hAnsi="仿宋" w:eastAsia="仿宋" w:cs="仿宋"/>
          <w:b w:val="0"/>
          <w:bCs w:val="0"/>
          <w:color w:val="auto"/>
          <w:sz w:val="24"/>
          <w:szCs w:val="24"/>
          <w:highlight w:val="none"/>
        </w:rPr>
        <w:t>盖章后生效，定期存款到期后，甲方收回到期本息全部资金后失效。</w:t>
      </w:r>
    </w:p>
    <w:p w14:paraId="57307AE7">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4.本协议一式肆份，甲、乙双方各执贰份，具有同等法律效力。</w:t>
      </w:r>
    </w:p>
    <w:p w14:paraId="2AD31ECA">
      <w:pPr>
        <w:widowControl w:val="0"/>
        <w:wordWrap/>
        <w:adjustRightInd/>
        <w:snapToGrid/>
        <w:spacing w:line="44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甲方代表签章:                      乙方代表签章:</w:t>
      </w:r>
    </w:p>
    <w:p w14:paraId="6DDEC2F3">
      <w:pPr>
        <w:widowControl w:val="0"/>
        <w:wordWrap/>
        <w:adjustRightInd/>
        <w:snapToGrid/>
        <w:spacing w:line="44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(公章)                             (公章)</w:t>
      </w:r>
    </w:p>
    <w:p w14:paraId="126CD361">
      <w:pPr>
        <w:pStyle w:val="40"/>
        <w:numPr>
          <w:ilvl w:val="0"/>
          <w:numId w:val="0"/>
        </w:numPr>
        <w:ind w:leftChars="0"/>
        <w:rPr>
          <w:rFonts w:hint="eastAsia" w:ascii="仿宋" w:hAnsi="仿宋" w:eastAsia="仿宋" w:cs="仿宋"/>
          <w:sz w:val="24"/>
          <w:szCs w:val="24"/>
          <w:highlight w:val="none"/>
          <w:lang w:eastAsia="zh-CN"/>
        </w:rPr>
      </w:pPr>
      <w:r>
        <w:rPr>
          <w:rFonts w:hint="eastAsia" w:ascii="仿宋" w:hAnsi="仿宋" w:eastAsia="仿宋" w:cs="仿宋"/>
          <w:b w:val="0"/>
          <w:bCs w:val="0"/>
          <w:color w:val="auto"/>
          <w:sz w:val="24"/>
          <w:szCs w:val="24"/>
          <w:highlight w:val="none"/>
        </w:rPr>
        <w:t>年    月    日                     年    月    日</w:t>
      </w:r>
    </w:p>
    <w:bookmarkEnd w:id="101"/>
    <w:p w14:paraId="1C927A90">
      <w:pPr>
        <w:pageBreakBefore/>
        <w:numPr>
          <w:ilvl w:val="0"/>
          <w:numId w:val="11"/>
        </w:numPr>
        <w:ind w:left="0" w:leftChars="0" w:firstLine="0" w:firstLineChars="0"/>
        <w:jc w:val="center"/>
        <w:outlineLvl w:val="0"/>
        <w:rPr>
          <w:rFonts w:hint="eastAsia" w:ascii="仿宋" w:hAnsi="仿宋" w:eastAsia="仿宋" w:cs="仿宋"/>
          <w:b/>
          <w:bCs/>
          <w:color w:val="auto"/>
          <w:sz w:val="24"/>
          <w:szCs w:val="24"/>
        </w:rPr>
      </w:pPr>
      <w:bookmarkStart w:id="134" w:name="_Toc7538"/>
      <w:r>
        <w:rPr>
          <w:rFonts w:hint="eastAsia" w:ascii="仿宋" w:hAnsi="仿宋" w:eastAsia="仿宋" w:cs="仿宋"/>
          <w:b/>
          <w:sz w:val="24"/>
          <w:szCs w:val="24"/>
          <w:highlight w:val="none"/>
        </w:rPr>
        <w:t xml:space="preserve"> </w:t>
      </w:r>
      <w:bookmarkEnd w:id="134"/>
      <w:bookmarkStart w:id="135" w:name="_Toc17257"/>
      <w:bookmarkStart w:id="136" w:name="_Toc2688"/>
      <w:r>
        <w:rPr>
          <w:rFonts w:hint="eastAsia" w:ascii="仿宋" w:hAnsi="仿宋" w:eastAsia="仿宋" w:cs="仿宋"/>
          <w:b/>
          <w:bCs/>
          <w:color w:val="auto"/>
          <w:spacing w:val="0"/>
          <w:w w:val="100"/>
          <w:position w:val="0"/>
          <w:sz w:val="24"/>
          <w:szCs w:val="24"/>
          <w:lang w:eastAsia="zh-CN"/>
        </w:rPr>
        <w:t>响应文件</w:t>
      </w:r>
      <w:r>
        <w:rPr>
          <w:rFonts w:hint="eastAsia" w:ascii="仿宋" w:hAnsi="仿宋" w:eastAsia="仿宋" w:cs="仿宋"/>
          <w:b/>
          <w:bCs/>
          <w:color w:val="auto"/>
          <w:spacing w:val="0"/>
          <w:w w:val="100"/>
          <w:position w:val="0"/>
          <w:sz w:val="24"/>
          <w:szCs w:val="24"/>
        </w:rPr>
        <w:t>格式</w:t>
      </w:r>
      <w:bookmarkEnd w:id="135"/>
      <w:bookmarkEnd w:id="136"/>
    </w:p>
    <w:p w14:paraId="79F14CC9">
      <w:pPr>
        <w:adjustRightInd w:val="0"/>
        <w:snapToGrid w:val="0"/>
        <w:spacing w:line="360" w:lineRule="auto"/>
        <w:jc w:val="center"/>
        <w:rPr>
          <w:rFonts w:hint="eastAsia" w:ascii="仿宋" w:hAnsi="仿宋" w:eastAsia="仿宋" w:cs="仿宋"/>
          <w:b/>
          <w:caps/>
          <w:color w:val="auto"/>
          <w:sz w:val="24"/>
          <w:szCs w:val="24"/>
        </w:rPr>
      </w:pPr>
    </w:p>
    <w:p w14:paraId="12F56935">
      <w:pPr>
        <w:adjustRightInd w:val="0"/>
        <w:snapToGrid w:val="0"/>
        <w:spacing w:line="360" w:lineRule="auto"/>
        <w:jc w:val="center"/>
        <w:outlineLvl w:val="9"/>
        <w:rPr>
          <w:rFonts w:hint="eastAsia" w:ascii="仿宋" w:hAnsi="仿宋" w:eastAsia="仿宋" w:cs="仿宋"/>
          <w:bCs/>
          <w:color w:val="auto"/>
          <w:sz w:val="24"/>
          <w:szCs w:val="24"/>
        </w:rPr>
      </w:pPr>
      <w:bookmarkStart w:id="137" w:name="_Toc4286"/>
      <w:r>
        <w:rPr>
          <w:rFonts w:hint="eastAsia" w:ascii="仿宋" w:hAnsi="仿宋" w:eastAsia="仿宋" w:cs="仿宋"/>
          <w:b/>
          <w:caps/>
          <w:color w:val="auto"/>
          <w:sz w:val="24"/>
          <w:szCs w:val="24"/>
        </w:rPr>
        <w:t>（项目名称）</w:t>
      </w:r>
      <w:bookmarkEnd w:id="137"/>
    </w:p>
    <w:p w14:paraId="3561751D">
      <w:pPr>
        <w:adjustRightInd w:val="0"/>
        <w:snapToGrid w:val="0"/>
        <w:spacing w:line="360" w:lineRule="auto"/>
        <w:jc w:val="both"/>
        <w:rPr>
          <w:rFonts w:hint="eastAsia" w:ascii="仿宋" w:hAnsi="仿宋" w:eastAsia="仿宋" w:cs="仿宋"/>
          <w:bCs/>
          <w:color w:val="auto"/>
          <w:sz w:val="24"/>
          <w:szCs w:val="24"/>
        </w:rPr>
      </w:pPr>
    </w:p>
    <w:p w14:paraId="42C91288">
      <w:pPr>
        <w:adjustRightInd w:val="0"/>
        <w:snapToGrid w:val="0"/>
        <w:spacing w:line="360" w:lineRule="auto"/>
        <w:jc w:val="center"/>
        <w:rPr>
          <w:rFonts w:hint="eastAsia" w:ascii="仿宋" w:hAnsi="仿宋" w:eastAsia="仿宋" w:cs="仿宋"/>
          <w:bCs/>
          <w:color w:val="auto"/>
          <w:sz w:val="24"/>
          <w:szCs w:val="24"/>
        </w:rPr>
      </w:pPr>
    </w:p>
    <w:p w14:paraId="3389FE18">
      <w:pPr>
        <w:adjustRightInd w:val="0"/>
        <w:snapToGrid w:val="0"/>
        <w:spacing w:line="360" w:lineRule="auto"/>
        <w:jc w:val="center"/>
        <w:rPr>
          <w:rFonts w:hint="eastAsia" w:ascii="仿宋" w:hAnsi="仿宋" w:eastAsia="仿宋" w:cs="仿宋"/>
          <w:bCs/>
          <w:color w:val="auto"/>
          <w:sz w:val="24"/>
          <w:szCs w:val="24"/>
        </w:rPr>
      </w:pPr>
      <w:r>
        <w:rPr>
          <w:rFonts w:hint="eastAsia" w:ascii="仿宋" w:hAnsi="仿宋" w:eastAsia="仿宋" w:cs="仿宋"/>
          <w:b/>
          <w:bCs/>
          <w:color w:val="auto"/>
          <w:sz w:val="24"/>
          <w:szCs w:val="24"/>
        </w:rPr>
        <w:t>响应文件</w:t>
      </w:r>
    </w:p>
    <w:p w14:paraId="3C84AEEF">
      <w:pPr>
        <w:adjustRightInd w:val="0"/>
        <w:snapToGrid w:val="0"/>
        <w:spacing w:line="360" w:lineRule="auto"/>
        <w:jc w:val="center"/>
        <w:rPr>
          <w:rFonts w:hint="eastAsia" w:ascii="仿宋" w:hAnsi="仿宋" w:eastAsia="仿宋" w:cs="仿宋"/>
          <w:bCs/>
          <w:color w:val="auto"/>
          <w:sz w:val="24"/>
          <w:szCs w:val="24"/>
        </w:rPr>
      </w:pPr>
    </w:p>
    <w:p w14:paraId="11D9793B">
      <w:pPr>
        <w:adjustRightInd w:val="0"/>
        <w:snapToGrid w:val="0"/>
        <w:spacing w:line="360" w:lineRule="auto"/>
        <w:jc w:val="both"/>
        <w:rPr>
          <w:rFonts w:hint="eastAsia" w:ascii="仿宋" w:hAnsi="仿宋" w:eastAsia="仿宋" w:cs="仿宋"/>
          <w:bCs/>
          <w:color w:val="auto"/>
          <w:sz w:val="24"/>
          <w:szCs w:val="24"/>
        </w:rPr>
      </w:pPr>
    </w:p>
    <w:p w14:paraId="0FE0D65D">
      <w:pPr>
        <w:adjustRightInd w:val="0"/>
        <w:snapToGrid w:val="0"/>
        <w:spacing w:line="360" w:lineRule="auto"/>
        <w:ind w:right="-136" w:rightChars="-64"/>
        <w:rPr>
          <w:rFonts w:hint="eastAsia" w:ascii="仿宋" w:hAnsi="仿宋" w:eastAsia="仿宋" w:cs="仿宋"/>
          <w:b/>
          <w:caps/>
          <w:color w:val="auto"/>
          <w:sz w:val="24"/>
          <w:szCs w:val="24"/>
        </w:rPr>
      </w:pPr>
      <w:r>
        <w:rPr>
          <w:rFonts w:hint="eastAsia" w:ascii="仿宋" w:hAnsi="仿宋" w:eastAsia="仿宋" w:cs="仿宋"/>
          <w:b/>
          <w:caps/>
          <w:color w:val="auto"/>
          <w:spacing w:val="22"/>
          <w:kern w:val="0"/>
          <w:sz w:val="24"/>
          <w:szCs w:val="24"/>
          <w:fitText w:val="2810" w:id="267797527"/>
        </w:rPr>
        <w:t>供应商名称（公章）</w:t>
      </w:r>
      <w:r>
        <w:rPr>
          <w:rFonts w:hint="eastAsia" w:ascii="仿宋" w:hAnsi="仿宋" w:eastAsia="仿宋" w:cs="仿宋"/>
          <w:b/>
          <w:caps/>
          <w:color w:val="auto"/>
          <w:spacing w:val="7"/>
          <w:kern w:val="0"/>
          <w:sz w:val="24"/>
          <w:szCs w:val="24"/>
          <w:fitText w:val="2810" w:id="267797527"/>
        </w:rPr>
        <w:t>：</w:t>
      </w:r>
    </w:p>
    <w:p w14:paraId="7A5B53CE">
      <w:pPr>
        <w:adjustRightInd w:val="0"/>
        <w:snapToGrid w:val="0"/>
        <w:spacing w:line="360" w:lineRule="auto"/>
        <w:ind w:right="-136" w:rightChars="-64"/>
        <w:rPr>
          <w:rFonts w:hint="eastAsia" w:ascii="仿宋" w:hAnsi="仿宋" w:eastAsia="仿宋" w:cs="仿宋"/>
          <w:b/>
          <w:caps/>
          <w:color w:val="auto"/>
          <w:sz w:val="24"/>
          <w:szCs w:val="24"/>
        </w:rPr>
      </w:pPr>
    </w:p>
    <w:p w14:paraId="17061768">
      <w:pPr>
        <w:adjustRightInd w:val="0"/>
        <w:snapToGrid w:val="0"/>
        <w:spacing w:line="360" w:lineRule="auto"/>
        <w:ind w:right="-136" w:rightChars="-64"/>
        <w:rPr>
          <w:rFonts w:hint="eastAsia" w:ascii="仿宋" w:hAnsi="仿宋" w:eastAsia="仿宋" w:cs="仿宋"/>
          <w:b/>
          <w:caps/>
          <w:color w:val="auto"/>
          <w:sz w:val="24"/>
          <w:szCs w:val="24"/>
        </w:rPr>
      </w:pPr>
      <w:r>
        <w:rPr>
          <w:rFonts w:hint="eastAsia" w:ascii="仿宋" w:hAnsi="仿宋" w:eastAsia="仿宋" w:cs="仿宋"/>
          <w:b/>
          <w:caps/>
          <w:color w:val="auto"/>
          <w:spacing w:val="0"/>
          <w:w w:val="90"/>
          <w:kern w:val="0"/>
          <w:sz w:val="24"/>
          <w:szCs w:val="24"/>
          <w:fitText w:val="2810" w:id="816806805"/>
        </w:rPr>
        <w:t>法定代表人（</w:t>
      </w:r>
      <w:r>
        <w:rPr>
          <w:rFonts w:hint="eastAsia" w:ascii="仿宋" w:hAnsi="仿宋" w:eastAsia="仿宋" w:cs="仿宋"/>
          <w:b/>
          <w:caps/>
          <w:color w:val="auto"/>
          <w:spacing w:val="0"/>
          <w:w w:val="90"/>
          <w:kern w:val="0"/>
          <w:sz w:val="24"/>
          <w:szCs w:val="24"/>
          <w:fitText w:val="2810" w:id="816806805"/>
          <w:lang w:eastAsia="zh-CN"/>
        </w:rPr>
        <w:t>签章</w:t>
      </w:r>
      <w:r>
        <w:rPr>
          <w:rFonts w:hint="eastAsia" w:ascii="仿宋" w:hAnsi="仿宋" w:eastAsia="仿宋" w:cs="仿宋"/>
          <w:b/>
          <w:caps/>
          <w:color w:val="auto"/>
          <w:spacing w:val="0"/>
          <w:w w:val="90"/>
          <w:kern w:val="0"/>
          <w:sz w:val="24"/>
          <w:szCs w:val="24"/>
          <w:fitText w:val="2810" w:id="816806805"/>
        </w:rPr>
        <w:t>或盖章）</w:t>
      </w:r>
      <w:r>
        <w:rPr>
          <w:rFonts w:hint="eastAsia" w:ascii="仿宋" w:hAnsi="仿宋" w:eastAsia="仿宋" w:cs="仿宋"/>
          <w:b/>
          <w:caps/>
          <w:color w:val="auto"/>
          <w:spacing w:val="-10"/>
          <w:w w:val="90"/>
          <w:kern w:val="0"/>
          <w:sz w:val="24"/>
          <w:szCs w:val="24"/>
          <w:fitText w:val="2810" w:id="816806805"/>
        </w:rPr>
        <w:t>：</w:t>
      </w:r>
    </w:p>
    <w:p w14:paraId="08B0C342">
      <w:pPr>
        <w:adjustRightInd w:val="0"/>
        <w:snapToGrid w:val="0"/>
        <w:spacing w:line="360" w:lineRule="auto"/>
        <w:ind w:right="-136" w:rightChars="-64"/>
        <w:rPr>
          <w:rFonts w:hint="eastAsia" w:ascii="仿宋" w:hAnsi="仿宋" w:eastAsia="仿宋" w:cs="仿宋"/>
          <w:b/>
          <w:caps/>
          <w:color w:val="auto"/>
          <w:sz w:val="24"/>
          <w:szCs w:val="24"/>
        </w:rPr>
      </w:pPr>
    </w:p>
    <w:p w14:paraId="7218C4FE">
      <w:pPr>
        <w:adjustRightInd w:val="0"/>
        <w:snapToGrid w:val="0"/>
        <w:spacing w:line="360" w:lineRule="auto"/>
        <w:ind w:right="-136" w:rightChars="-64"/>
        <w:rPr>
          <w:rFonts w:hint="eastAsia" w:ascii="仿宋" w:hAnsi="仿宋" w:eastAsia="仿宋" w:cs="仿宋"/>
          <w:b/>
          <w:caps/>
          <w:color w:val="auto"/>
          <w:sz w:val="24"/>
          <w:szCs w:val="24"/>
        </w:rPr>
      </w:pPr>
      <w:r>
        <w:rPr>
          <w:rFonts w:hint="eastAsia" w:ascii="仿宋" w:hAnsi="仿宋" w:eastAsia="仿宋" w:cs="仿宋"/>
          <w:b/>
          <w:caps/>
          <w:color w:val="auto"/>
          <w:spacing w:val="137"/>
          <w:kern w:val="0"/>
          <w:sz w:val="24"/>
          <w:szCs w:val="24"/>
          <w:fitText w:val="2810" w:id="1061107822"/>
        </w:rPr>
        <w:t>供应商地址</w:t>
      </w:r>
      <w:r>
        <w:rPr>
          <w:rFonts w:hint="eastAsia" w:ascii="仿宋" w:hAnsi="仿宋" w:eastAsia="仿宋" w:cs="仿宋"/>
          <w:b/>
          <w:caps/>
          <w:color w:val="auto"/>
          <w:spacing w:val="0"/>
          <w:kern w:val="0"/>
          <w:sz w:val="24"/>
          <w:szCs w:val="24"/>
          <w:fitText w:val="2810" w:id="1061107822"/>
        </w:rPr>
        <w:t>：</w:t>
      </w:r>
    </w:p>
    <w:p w14:paraId="01D926FE">
      <w:pPr>
        <w:adjustRightInd w:val="0"/>
        <w:snapToGrid w:val="0"/>
        <w:spacing w:line="360" w:lineRule="auto"/>
        <w:ind w:right="-136" w:rightChars="-64"/>
        <w:rPr>
          <w:rFonts w:hint="eastAsia" w:ascii="仿宋" w:hAnsi="仿宋" w:eastAsia="仿宋" w:cs="仿宋"/>
          <w:b/>
          <w:caps/>
          <w:color w:val="auto"/>
          <w:sz w:val="24"/>
          <w:szCs w:val="24"/>
        </w:rPr>
      </w:pPr>
    </w:p>
    <w:p w14:paraId="0833C2AF">
      <w:pPr>
        <w:adjustRightInd w:val="0"/>
        <w:snapToGrid w:val="0"/>
        <w:spacing w:line="360" w:lineRule="auto"/>
        <w:ind w:right="-136" w:rightChars="-64"/>
        <w:rPr>
          <w:rFonts w:hint="eastAsia" w:ascii="仿宋" w:hAnsi="仿宋" w:eastAsia="仿宋" w:cs="仿宋"/>
          <w:b/>
          <w:caps/>
          <w:color w:val="auto"/>
          <w:sz w:val="24"/>
          <w:szCs w:val="24"/>
        </w:rPr>
      </w:pPr>
      <w:r>
        <w:rPr>
          <w:rFonts w:hint="eastAsia" w:ascii="仿宋" w:hAnsi="仿宋" w:eastAsia="仿宋" w:cs="仿宋"/>
          <w:b/>
          <w:caps/>
          <w:color w:val="auto"/>
          <w:spacing w:val="308"/>
          <w:kern w:val="0"/>
          <w:sz w:val="24"/>
          <w:szCs w:val="24"/>
          <w:fitText w:val="2810" w:id="931616526"/>
        </w:rPr>
        <w:t>联系人</w:t>
      </w:r>
      <w:r>
        <w:rPr>
          <w:rFonts w:hint="eastAsia" w:ascii="仿宋" w:hAnsi="仿宋" w:eastAsia="仿宋" w:cs="仿宋"/>
          <w:b/>
          <w:caps/>
          <w:color w:val="auto"/>
          <w:spacing w:val="1"/>
          <w:kern w:val="0"/>
          <w:sz w:val="24"/>
          <w:szCs w:val="24"/>
          <w:fitText w:val="2810" w:id="931616526"/>
        </w:rPr>
        <w:t>：</w:t>
      </w:r>
    </w:p>
    <w:p w14:paraId="64E94F6F">
      <w:pPr>
        <w:adjustRightInd w:val="0"/>
        <w:snapToGrid w:val="0"/>
        <w:spacing w:line="360" w:lineRule="auto"/>
        <w:ind w:right="-136" w:rightChars="-64"/>
        <w:rPr>
          <w:rFonts w:hint="eastAsia" w:ascii="仿宋" w:hAnsi="仿宋" w:eastAsia="仿宋" w:cs="仿宋"/>
          <w:b/>
          <w:caps/>
          <w:color w:val="auto"/>
          <w:sz w:val="24"/>
          <w:szCs w:val="24"/>
        </w:rPr>
      </w:pPr>
    </w:p>
    <w:p w14:paraId="0EB90C1C">
      <w:pPr>
        <w:adjustRightInd w:val="0"/>
        <w:snapToGrid w:val="0"/>
        <w:spacing w:line="360" w:lineRule="auto"/>
        <w:ind w:right="-136" w:rightChars="-64"/>
        <w:rPr>
          <w:rFonts w:hint="eastAsia" w:ascii="仿宋" w:hAnsi="仿宋" w:eastAsia="仿宋" w:cs="仿宋"/>
          <w:b/>
          <w:caps/>
          <w:color w:val="auto"/>
          <w:sz w:val="24"/>
          <w:szCs w:val="24"/>
        </w:rPr>
      </w:pPr>
      <w:r>
        <w:rPr>
          <w:rFonts w:hint="eastAsia" w:ascii="仿宋" w:hAnsi="仿宋" w:eastAsia="仿宋" w:cs="仿宋"/>
          <w:b/>
          <w:caps/>
          <w:color w:val="auto"/>
          <w:spacing w:val="201"/>
          <w:kern w:val="0"/>
          <w:sz w:val="24"/>
          <w:szCs w:val="24"/>
          <w:fitText w:val="2810" w:id="1096046683"/>
        </w:rPr>
        <w:t>联系电话</w:t>
      </w:r>
      <w:r>
        <w:rPr>
          <w:rFonts w:hint="eastAsia" w:ascii="仿宋" w:hAnsi="仿宋" w:eastAsia="仿宋" w:cs="仿宋"/>
          <w:b/>
          <w:caps/>
          <w:color w:val="auto"/>
          <w:spacing w:val="1"/>
          <w:kern w:val="0"/>
          <w:sz w:val="24"/>
          <w:szCs w:val="24"/>
          <w:fitText w:val="2810" w:id="1096046683"/>
        </w:rPr>
        <w:t>：</w:t>
      </w:r>
    </w:p>
    <w:p w14:paraId="03FCB6F6">
      <w:pPr>
        <w:adjustRightInd w:val="0"/>
        <w:snapToGrid w:val="0"/>
        <w:spacing w:line="360" w:lineRule="auto"/>
        <w:jc w:val="center"/>
        <w:rPr>
          <w:rFonts w:hint="eastAsia" w:ascii="仿宋" w:hAnsi="仿宋" w:eastAsia="仿宋" w:cs="仿宋"/>
          <w:b/>
          <w:caps/>
          <w:color w:val="auto"/>
          <w:sz w:val="24"/>
          <w:szCs w:val="24"/>
          <w:u w:val="none"/>
        </w:rPr>
      </w:pPr>
    </w:p>
    <w:p w14:paraId="42C4E921">
      <w:pPr>
        <w:adjustRightInd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u w:val="single"/>
          <w:lang w:val="en-US" w:eastAsia="zh-CN"/>
        </w:rPr>
        <w:t>2026</w:t>
      </w:r>
      <w:r>
        <w:rPr>
          <w:rFonts w:hint="eastAsia" w:ascii="仿宋" w:hAnsi="仿宋" w:eastAsia="仿宋" w:cs="仿宋"/>
          <w:b/>
          <w:color w:val="auto"/>
          <w:sz w:val="24"/>
          <w:szCs w:val="24"/>
        </w:rPr>
        <w:t>年</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rPr>
        <w:t>月</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rPr>
        <w:t>日</w:t>
      </w:r>
    </w:p>
    <w:p w14:paraId="555B39A1">
      <w:pPr>
        <w:pStyle w:val="40"/>
        <w:numPr>
          <w:ilvl w:val="0"/>
          <w:numId w:val="0"/>
        </w:numPr>
        <w:ind w:leftChars="0"/>
        <w:rPr>
          <w:rFonts w:hint="eastAsia" w:ascii="仿宋" w:hAnsi="仿宋" w:eastAsia="仿宋" w:cs="仿宋"/>
          <w:sz w:val="24"/>
          <w:szCs w:val="24"/>
        </w:rPr>
      </w:pPr>
    </w:p>
    <w:p w14:paraId="59853BE0">
      <w:pPr>
        <w:pStyle w:val="40"/>
        <w:numPr>
          <w:ilvl w:val="0"/>
          <w:numId w:val="0"/>
        </w:numPr>
        <w:ind w:leftChars="0"/>
        <w:rPr>
          <w:rFonts w:hint="eastAsia" w:ascii="仿宋" w:hAnsi="仿宋" w:eastAsia="仿宋" w:cs="仿宋"/>
          <w:sz w:val="24"/>
          <w:szCs w:val="24"/>
        </w:rPr>
      </w:pPr>
    </w:p>
    <w:p w14:paraId="7651940F">
      <w:pPr>
        <w:pStyle w:val="40"/>
        <w:numPr>
          <w:ilvl w:val="0"/>
          <w:numId w:val="0"/>
        </w:numPr>
        <w:ind w:leftChars="0"/>
        <w:rPr>
          <w:rFonts w:hint="eastAsia" w:ascii="仿宋" w:hAnsi="仿宋" w:eastAsia="仿宋" w:cs="仿宋"/>
          <w:sz w:val="24"/>
          <w:szCs w:val="24"/>
        </w:rPr>
      </w:pPr>
    </w:p>
    <w:p w14:paraId="0BC6361A">
      <w:pPr>
        <w:pStyle w:val="40"/>
        <w:numPr>
          <w:ilvl w:val="0"/>
          <w:numId w:val="0"/>
        </w:numPr>
        <w:ind w:leftChars="0"/>
        <w:rPr>
          <w:rFonts w:hint="eastAsia" w:ascii="仿宋" w:hAnsi="仿宋" w:eastAsia="仿宋" w:cs="仿宋"/>
          <w:sz w:val="24"/>
          <w:szCs w:val="24"/>
        </w:rPr>
      </w:pPr>
    </w:p>
    <w:p w14:paraId="4952E73B">
      <w:pPr>
        <w:pStyle w:val="40"/>
        <w:numPr>
          <w:ilvl w:val="0"/>
          <w:numId w:val="0"/>
        </w:numPr>
        <w:ind w:leftChars="0"/>
        <w:rPr>
          <w:rFonts w:hint="eastAsia" w:ascii="仿宋" w:hAnsi="仿宋" w:eastAsia="仿宋" w:cs="仿宋"/>
          <w:sz w:val="24"/>
          <w:szCs w:val="24"/>
        </w:rPr>
      </w:pPr>
    </w:p>
    <w:p w14:paraId="08A9BDFA">
      <w:pPr>
        <w:pStyle w:val="40"/>
        <w:numPr>
          <w:ilvl w:val="0"/>
          <w:numId w:val="0"/>
        </w:numPr>
        <w:ind w:leftChars="0"/>
        <w:rPr>
          <w:rFonts w:hint="eastAsia" w:ascii="仿宋" w:hAnsi="仿宋" w:eastAsia="仿宋" w:cs="仿宋"/>
          <w:sz w:val="24"/>
          <w:szCs w:val="24"/>
        </w:rPr>
      </w:pPr>
    </w:p>
    <w:p w14:paraId="6EDAB570">
      <w:pPr>
        <w:pStyle w:val="40"/>
        <w:numPr>
          <w:ilvl w:val="0"/>
          <w:numId w:val="0"/>
        </w:numPr>
        <w:ind w:leftChars="0"/>
        <w:rPr>
          <w:rFonts w:hint="eastAsia" w:ascii="仿宋" w:hAnsi="仿宋" w:eastAsia="仿宋" w:cs="仿宋"/>
          <w:sz w:val="24"/>
          <w:szCs w:val="24"/>
        </w:rPr>
      </w:pPr>
    </w:p>
    <w:p w14:paraId="4D5BC335">
      <w:pPr>
        <w:pStyle w:val="40"/>
        <w:numPr>
          <w:ilvl w:val="0"/>
          <w:numId w:val="0"/>
        </w:numPr>
        <w:ind w:leftChars="0"/>
        <w:rPr>
          <w:rFonts w:hint="eastAsia" w:ascii="仿宋" w:hAnsi="仿宋" w:eastAsia="仿宋" w:cs="仿宋"/>
          <w:sz w:val="24"/>
          <w:szCs w:val="24"/>
        </w:rPr>
      </w:pPr>
    </w:p>
    <w:p w14:paraId="5AD54AA0">
      <w:pPr>
        <w:pStyle w:val="40"/>
        <w:numPr>
          <w:ilvl w:val="0"/>
          <w:numId w:val="0"/>
        </w:numPr>
        <w:ind w:leftChars="0"/>
        <w:rPr>
          <w:rFonts w:hint="eastAsia" w:ascii="仿宋" w:hAnsi="仿宋" w:eastAsia="仿宋" w:cs="仿宋"/>
          <w:sz w:val="24"/>
          <w:szCs w:val="24"/>
        </w:rPr>
      </w:pPr>
    </w:p>
    <w:p w14:paraId="1E2F6C1E">
      <w:pPr>
        <w:pStyle w:val="40"/>
        <w:numPr>
          <w:ilvl w:val="0"/>
          <w:numId w:val="0"/>
        </w:numPr>
        <w:ind w:leftChars="0"/>
        <w:rPr>
          <w:rFonts w:hint="eastAsia" w:ascii="仿宋" w:hAnsi="仿宋" w:eastAsia="仿宋" w:cs="仿宋"/>
          <w:sz w:val="24"/>
          <w:szCs w:val="24"/>
        </w:rPr>
      </w:pPr>
    </w:p>
    <w:p w14:paraId="5D89ACBD">
      <w:pPr>
        <w:pStyle w:val="40"/>
        <w:numPr>
          <w:ilvl w:val="0"/>
          <w:numId w:val="0"/>
        </w:numPr>
        <w:ind w:leftChars="0"/>
        <w:rPr>
          <w:rFonts w:hint="eastAsia" w:ascii="仿宋" w:hAnsi="仿宋" w:eastAsia="仿宋" w:cs="仿宋"/>
          <w:sz w:val="24"/>
          <w:szCs w:val="24"/>
        </w:rPr>
      </w:pPr>
    </w:p>
    <w:p w14:paraId="2BAC5369">
      <w:pPr>
        <w:pStyle w:val="40"/>
        <w:numPr>
          <w:ilvl w:val="0"/>
          <w:numId w:val="0"/>
        </w:numPr>
        <w:ind w:leftChars="0"/>
        <w:rPr>
          <w:rFonts w:hint="eastAsia" w:ascii="仿宋" w:hAnsi="仿宋" w:eastAsia="仿宋" w:cs="仿宋"/>
          <w:sz w:val="24"/>
          <w:szCs w:val="24"/>
        </w:rPr>
      </w:pPr>
    </w:p>
    <w:p w14:paraId="3B7EDB91">
      <w:pPr>
        <w:spacing w:line="240" w:lineRule="atLeast"/>
        <w:ind w:left="745" w:leftChars="350" w:firstLine="121" w:firstLineChars="50"/>
        <w:rPr>
          <w:rFonts w:hint="eastAsia" w:ascii="仿宋" w:hAnsi="仿宋" w:eastAsia="仿宋" w:cs="仿宋"/>
          <w:sz w:val="24"/>
          <w:szCs w:val="24"/>
          <w:highlight w:val="none"/>
        </w:rPr>
      </w:pPr>
    </w:p>
    <w:p w14:paraId="55189E8D">
      <w:pPr>
        <w:pStyle w:val="4"/>
        <w:numPr>
          <w:ilvl w:val="0"/>
          <w:numId w:val="0"/>
        </w:numPr>
        <w:shd w:val="clear" w:color="auto" w:fill="auto"/>
        <w:tabs>
          <w:tab w:val="left" w:pos="540"/>
        </w:tabs>
        <w:spacing w:before="0" w:line="240" w:lineRule="atLeast"/>
        <w:jc w:val="center"/>
        <w:rPr>
          <w:rFonts w:hint="eastAsia" w:ascii="仿宋" w:hAnsi="仿宋" w:eastAsia="仿宋" w:cs="仿宋"/>
          <w:color w:val="auto"/>
          <w:sz w:val="24"/>
          <w:szCs w:val="24"/>
          <w:highlight w:val="none"/>
        </w:rPr>
      </w:pPr>
      <w:bookmarkStart w:id="138" w:name="_Toc22208"/>
      <w:bookmarkStart w:id="139" w:name="_Toc6851"/>
      <w:r>
        <w:rPr>
          <w:rFonts w:hint="eastAsia" w:ascii="仿宋" w:hAnsi="仿宋" w:eastAsia="仿宋" w:cs="仿宋"/>
          <w:b/>
          <w:bCs/>
          <w:color w:val="auto"/>
          <w:sz w:val="24"/>
          <w:szCs w:val="24"/>
          <w:highlight w:val="none"/>
        </w:rPr>
        <w:t>第一</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 xml:space="preserve"> 资格证明文件</w:t>
      </w:r>
      <w:bookmarkEnd w:id="138"/>
      <w:bookmarkEnd w:id="139"/>
    </w:p>
    <w:p w14:paraId="5E521498">
      <w:pPr>
        <w:pStyle w:val="44"/>
        <w:rPr>
          <w:rFonts w:hint="eastAsia" w:ascii="仿宋" w:hAnsi="仿宋" w:eastAsia="仿宋" w:cs="仿宋"/>
          <w:kern w:val="2"/>
          <w:sz w:val="24"/>
          <w:szCs w:val="24"/>
          <w:highlight w:val="none"/>
          <w:u w:color="000000"/>
          <w:lang w:val="en-US" w:eastAsia="zh-CN"/>
        </w:rPr>
      </w:pPr>
    </w:p>
    <w:p w14:paraId="64A0E862">
      <w:pPr>
        <w:pStyle w:val="44"/>
        <w:rPr>
          <w:rFonts w:hint="eastAsia" w:ascii="仿宋" w:hAnsi="仿宋" w:eastAsia="仿宋" w:cs="仿宋"/>
          <w:kern w:val="2"/>
          <w:sz w:val="24"/>
          <w:szCs w:val="24"/>
          <w:highlight w:val="none"/>
          <w:u w:color="000000"/>
          <w:lang w:val="en-US" w:eastAsia="zh-CN"/>
        </w:rPr>
      </w:pPr>
    </w:p>
    <w:p w14:paraId="4D84C363">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1）具备三证合一营业执照；</w:t>
      </w:r>
    </w:p>
    <w:p w14:paraId="3D628DA7">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2）法定代表人（负责人）参加提供法定代表人（负责人）证明书，委托代理人参加提供法人代表（负责人）授权委托书；投标银行为非法人机构的，提供上一级银行授权委托书。</w:t>
      </w:r>
    </w:p>
    <w:p w14:paraId="3CE8B5C5">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3）投标企业须提供投标人（被授权人）近6个月任意1个月的社保证明；</w:t>
      </w:r>
    </w:p>
    <w:p w14:paraId="19C364DE">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4）未被列入信用中国网（</w:t>
      </w:r>
      <w:r>
        <w:rPr>
          <w:rFonts w:hint="eastAsia" w:ascii="仿宋" w:hAnsi="仿宋" w:eastAsia="仿宋" w:cs="仿宋"/>
          <w:kern w:val="2"/>
          <w:sz w:val="24"/>
          <w:szCs w:val="24"/>
          <w:highlight w:val="none"/>
          <w:u w:color="000000"/>
          <w:lang w:val="en-US" w:eastAsia="zh-CN"/>
        </w:rPr>
        <w:fldChar w:fldCharType="begin"/>
      </w:r>
      <w:r>
        <w:rPr>
          <w:rFonts w:hint="eastAsia" w:ascii="仿宋" w:hAnsi="仿宋" w:eastAsia="仿宋" w:cs="仿宋"/>
          <w:kern w:val="2"/>
          <w:sz w:val="24"/>
          <w:szCs w:val="24"/>
          <w:highlight w:val="none"/>
          <w:u w:color="000000"/>
          <w:lang w:val="en-US" w:eastAsia="zh-CN"/>
        </w:rPr>
        <w:instrText xml:space="preserve"> HYPERLINK "http://www.creditchina.gov.cn/" </w:instrText>
      </w:r>
      <w:r>
        <w:rPr>
          <w:rFonts w:hint="eastAsia" w:ascii="仿宋" w:hAnsi="仿宋" w:eastAsia="仿宋" w:cs="仿宋"/>
          <w:kern w:val="2"/>
          <w:sz w:val="24"/>
          <w:szCs w:val="24"/>
          <w:highlight w:val="none"/>
          <w:u w:color="000000"/>
          <w:lang w:val="en-US" w:eastAsia="zh-CN"/>
        </w:rPr>
        <w:fldChar w:fldCharType="separate"/>
      </w:r>
      <w:r>
        <w:rPr>
          <w:rFonts w:hint="eastAsia" w:ascii="仿宋" w:hAnsi="仿宋" w:eastAsia="仿宋" w:cs="仿宋"/>
          <w:kern w:val="2"/>
          <w:sz w:val="24"/>
          <w:szCs w:val="24"/>
          <w:highlight w:val="none"/>
          <w:u w:color="000000"/>
          <w:lang w:val="en-US" w:eastAsia="zh-CN"/>
        </w:rPr>
        <w:t>www.creditchina.gov.cn</w:t>
      </w:r>
      <w:r>
        <w:rPr>
          <w:rFonts w:hint="eastAsia" w:ascii="仿宋" w:hAnsi="仿宋" w:eastAsia="仿宋" w:cs="仿宋"/>
          <w:kern w:val="2"/>
          <w:sz w:val="24"/>
          <w:szCs w:val="24"/>
          <w:highlight w:val="none"/>
          <w:u w:color="000000"/>
          <w:lang w:val="en-US" w:eastAsia="zh-CN"/>
        </w:rPr>
        <w:fldChar w:fldCharType="end"/>
      </w:r>
      <w:r>
        <w:rPr>
          <w:rFonts w:hint="eastAsia" w:ascii="仿宋" w:hAnsi="仿宋" w:eastAsia="仿宋" w:cs="仿宋"/>
          <w:kern w:val="2"/>
          <w:sz w:val="24"/>
          <w:szCs w:val="24"/>
          <w:highlight w:val="none"/>
          <w:u w:color="000000"/>
          <w:lang w:val="en-US" w:eastAsia="zh-CN"/>
        </w:rPr>
        <w:t>）及中国政府采购网 (</w:t>
      </w:r>
      <w:r>
        <w:rPr>
          <w:rFonts w:hint="eastAsia" w:ascii="仿宋" w:hAnsi="仿宋" w:eastAsia="仿宋" w:cs="仿宋"/>
          <w:kern w:val="2"/>
          <w:sz w:val="24"/>
          <w:szCs w:val="24"/>
          <w:highlight w:val="none"/>
          <w:u w:color="000000"/>
          <w:lang w:val="en-US" w:eastAsia="zh-CN"/>
        </w:rPr>
        <w:fldChar w:fldCharType="begin"/>
      </w:r>
      <w:r>
        <w:rPr>
          <w:rFonts w:hint="eastAsia" w:ascii="仿宋" w:hAnsi="仿宋" w:eastAsia="仿宋" w:cs="仿宋"/>
          <w:kern w:val="2"/>
          <w:sz w:val="24"/>
          <w:szCs w:val="24"/>
          <w:highlight w:val="none"/>
          <w:u w:color="000000"/>
          <w:lang w:val="en-US" w:eastAsia="zh-CN"/>
        </w:rPr>
        <w:instrText xml:space="preserve"> HYPERLINK "http://www.ccgp.gov.cn/" </w:instrText>
      </w:r>
      <w:r>
        <w:rPr>
          <w:rFonts w:hint="eastAsia" w:ascii="仿宋" w:hAnsi="仿宋" w:eastAsia="仿宋" w:cs="仿宋"/>
          <w:kern w:val="2"/>
          <w:sz w:val="24"/>
          <w:szCs w:val="24"/>
          <w:highlight w:val="none"/>
          <w:u w:color="000000"/>
          <w:lang w:val="en-US" w:eastAsia="zh-CN"/>
        </w:rPr>
        <w:fldChar w:fldCharType="separate"/>
      </w:r>
      <w:r>
        <w:rPr>
          <w:rFonts w:hint="eastAsia" w:ascii="仿宋" w:hAnsi="仿宋" w:eastAsia="仿宋" w:cs="仿宋"/>
          <w:kern w:val="2"/>
          <w:sz w:val="24"/>
          <w:szCs w:val="24"/>
          <w:highlight w:val="none"/>
          <w:u w:color="000000"/>
          <w:lang w:val="en-US" w:eastAsia="zh-CN"/>
        </w:rPr>
        <w:t>www.ccgp.gov.cn</w:t>
      </w:r>
      <w:r>
        <w:rPr>
          <w:rFonts w:hint="eastAsia" w:ascii="仿宋" w:hAnsi="仿宋" w:eastAsia="仿宋" w:cs="仿宋"/>
          <w:kern w:val="2"/>
          <w:sz w:val="24"/>
          <w:szCs w:val="24"/>
          <w:highlight w:val="none"/>
          <w:u w:color="000000"/>
          <w:lang w:val="en-US" w:eastAsia="zh-CN"/>
        </w:rPr>
        <w:fldChar w:fldCharType="end"/>
      </w:r>
      <w:r>
        <w:rPr>
          <w:rFonts w:hint="eastAsia" w:ascii="仿宋" w:hAnsi="仿宋" w:eastAsia="仿宋" w:cs="仿宋"/>
          <w:kern w:val="2"/>
          <w:sz w:val="24"/>
          <w:szCs w:val="24"/>
          <w:highlight w:val="none"/>
          <w:u w:color="000000"/>
          <w:lang w:val="en-US" w:eastAsia="zh-CN"/>
        </w:rPr>
        <w:t>）失信被执行人名单、重大税收违法失信主体、政府采购严重违法失信行为记录名单（提供查询结果网页截图并加盖供应商公章）</w:t>
      </w:r>
    </w:p>
    <w:p w14:paraId="4C4918A7">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5）投标企业需提供中国银行业监督管理委员会有效的《中华人民共和国金融许可证》或《金融机构营业许可证》</w:t>
      </w:r>
    </w:p>
    <w:p w14:paraId="2EDF51B9">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6）供应商须知资料表要求的其他资格证明文件</w:t>
      </w:r>
    </w:p>
    <w:p w14:paraId="24C712F7">
      <w:pPr>
        <w:pStyle w:val="44"/>
        <w:rPr>
          <w:rFonts w:hint="eastAsia" w:ascii="仿宋" w:hAnsi="仿宋" w:eastAsia="仿宋" w:cs="仿宋"/>
          <w:kern w:val="2"/>
          <w:sz w:val="24"/>
          <w:szCs w:val="24"/>
          <w:highlight w:val="none"/>
          <w:u w:color="000000"/>
          <w:lang w:val="en-US" w:eastAsia="zh-CN"/>
        </w:rPr>
      </w:pPr>
    </w:p>
    <w:p w14:paraId="523DCA6F">
      <w:pPr>
        <w:tabs>
          <w:tab w:val="left" w:pos="5580"/>
        </w:tabs>
        <w:spacing w:line="240" w:lineRule="atLeast"/>
        <w:ind w:left="1" w:firstLine="571" w:firstLineChars="235"/>
        <w:rPr>
          <w:rFonts w:hint="eastAsia" w:ascii="仿宋" w:hAnsi="仿宋" w:eastAsia="仿宋" w:cs="仿宋"/>
          <w:sz w:val="24"/>
          <w:szCs w:val="24"/>
          <w:highlight w:val="none"/>
        </w:rPr>
      </w:pPr>
    </w:p>
    <w:p w14:paraId="4854481A">
      <w:pPr>
        <w:tabs>
          <w:tab w:val="left" w:pos="5580"/>
        </w:tabs>
        <w:spacing w:line="240" w:lineRule="atLeast"/>
        <w:ind w:left="1" w:firstLine="571" w:firstLineChars="235"/>
        <w:rPr>
          <w:rFonts w:hint="eastAsia" w:ascii="仿宋" w:hAnsi="仿宋" w:eastAsia="仿宋" w:cs="仿宋"/>
          <w:sz w:val="24"/>
          <w:szCs w:val="24"/>
          <w:highlight w:val="none"/>
        </w:rPr>
      </w:pPr>
    </w:p>
    <w:p w14:paraId="1EABEE65">
      <w:pPr>
        <w:tabs>
          <w:tab w:val="left" w:pos="5580"/>
        </w:tabs>
        <w:spacing w:line="240" w:lineRule="atLeast"/>
        <w:ind w:left="1" w:firstLine="571" w:firstLineChars="235"/>
        <w:rPr>
          <w:rFonts w:hint="eastAsia" w:ascii="仿宋" w:hAnsi="仿宋" w:eastAsia="仿宋" w:cs="仿宋"/>
          <w:sz w:val="24"/>
          <w:szCs w:val="24"/>
          <w:highlight w:val="none"/>
        </w:rPr>
      </w:pPr>
    </w:p>
    <w:p w14:paraId="763DDD71">
      <w:pPr>
        <w:tabs>
          <w:tab w:val="left" w:pos="5580"/>
        </w:tabs>
        <w:spacing w:line="240" w:lineRule="atLeast"/>
        <w:ind w:left="1" w:firstLine="571" w:firstLineChars="235"/>
        <w:rPr>
          <w:rFonts w:hint="eastAsia" w:ascii="仿宋" w:hAnsi="仿宋" w:eastAsia="仿宋" w:cs="仿宋"/>
          <w:sz w:val="24"/>
          <w:szCs w:val="24"/>
          <w:highlight w:val="none"/>
        </w:rPr>
      </w:pPr>
    </w:p>
    <w:p w14:paraId="42C0B7FE">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7A9AAEF2">
      <w:pPr>
        <w:pStyle w:val="9"/>
        <w:numPr>
          <w:ilvl w:val="0"/>
          <w:numId w:val="0"/>
        </w:numPr>
        <w:kinsoku w:val="0"/>
        <w:overflowPunct w:val="0"/>
        <w:spacing w:before="34" w:line="440" w:lineRule="exact"/>
        <w:ind w:left="480" w:right="126"/>
        <w:jc w:val="center"/>
        <w:outlineLvl w:val="2"/>
        <w:rPr>
          <w:rFonts w:hint="eastAsia" w:ascii="仿宋" w:hAnsi="仿宋" w:eastAsia="仿宋" w:cs="仿宋"/>
          <w:b/>
          <w:bCs/>
          <w:color w:val="auto"/>
          <w:sz w:val="24"/>
          <w:szCs w:val="24"/>
          <w:highlight w:val="none"/>
        </w:rPr>
      </w:pPr>
      <w:bookmarkStart w:id="140" w:name="_Toc4000"/>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具备三证合一营业执照</w:t>
      </w:r>
      <w:bookmarkEnd w:id="140"/>
    </w:p>
    <w:p w14:paraId="2DA3DF05">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说明：1.提供有效的营业执照等证明文件复印件，复印件上应加盖本单位章。</w:t>
      </w:r>
    </w:p>
    <w:p w14:paraId="542D2BD3">
      <w:pPr>
        <w:pStyle w:val="12"/>
        <w:pageBreakBefore w:val="0"/>
        <w:widowControl w:val="0"/>
        <w:numPr>
          <w:ilvl w:val="0"/>
          <w:numId w:val="13"/>
        </w:numPr>
        <w:shd w:val="clear" w:color="auto" w:fill="auto"/>
        <w:tabs>
          <w:tab w:val="left" w:pos="5580"/>
        </w:tabs>
        <w:kinsoku/>
        <w:wordWrap/>
        <w:overflowPunct/>
        <w:topLinePunct w:val="0"/>
        <w:autoSpaceDE/>
        <w:autoSpaceDN/>
        <w:bidi w:val="0"/>
        <w:snapToGrid/>
        <w:spacing w:line="400" w:lineRule="exact"/>
        <w:ind w:left="1354"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投标人为自然人的，应提供身份证明的复印件。</w:t>
      </w:r>
    </w:p>
    <w:p w14:paraId="6B48176E">
      <w:pPr>
        <w:pStyle w:val="19"/>
        <w:numPr>
          <w:ilvl w:val="0"/>
          <w:numId w:val="0"/>
        </w:numPr>
        <w:ind w:left="1354" w:leftChars="0" w:right="0" w:rightChars="0"/>
        <w:jc w:val="center"/>
        <w:rPr>
          <w:rFonts w:hint="eastAsia" w:ascii="仿宋" w:hAnsi="仿宋" w:eastAsia="仿宋" w:cs="仿宋"/>
          <w:color w:val="auto"/>
          <w:sz w:val="24"/>
          <w:szCs w:val="24"/>
        </w:rPr>
      </w:pPr>
    </w:p>
    <w:p w14:paraId="52F5AF47">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（格式自拟）</w:t>
      </w:r>
    </w:p>
    <w:p w14:paraId="56A8AC6D">
      <w:pPr>
        <w:pStyle w:val="9"/>
        <w:numPr>
          <w:ilvl w:val="0"/>
          <w:numId w:val="0"/>
        </w:numPr>
        <w:kinsoku w:val="0"/>
        <w:overflowPunct w:val="0"/>
        <w:spacing w:before="34" w:line="440" w:lineRule="exact"/>
        <w:ind w:left="480" w:right="126"/>
        <w:jc w:val="center"/>
        <w:rPr>
          <w:rFonts w:hint="eastAsia" w:ascii="仿宋" w:hAnsi="仿宋" w:eastAsia="仿宋" w:cs="仿宋"/>
          <w:b/>
          <w:bCs/>
          <w:color w:val="auto"/>
          <w:sz w:val="24"/>
          <w:szCs w:val="24"/>
          <w:highlight w:val="none"/>
        </w:rPr>
      </w:pPr>
    </w:p>
    <w:p w14:paraId="18902A09">
      <w:pPr>
        <w:pStyle w:val="9"/>
        <w:numPr>
          <w:ilvl w:val="0"/>
          <w:numId w:val="0"/>
        </w:numPr>
        <w:kinsoku w:val="0"/>
        <w:overflowPunct w:val="0"/>
        <w:spacing w:before="34" w:line="440" w:lineRule="exact"/>
        <w:ind w:left="480" w:right="126"/>
        <w:jc w:val="center"/>
        <w:rPr>
          <w:rFonts w:hint="eastAsia" w:ascii="仿宋" w:hAnsi="仿宋" w:eastAsia="仿宋" w:cs="仿宋"/>
          <w:b/>
          <w:bCs/>
          <w:color w:val="auto"/>
          <w:sz w:val="24"/>
          <w:szCs w:val="24"/>
          <w:highlight w:val="none"/>
        </w:rPr>
      </w:pPr>
    </w:p>
    <w:p w14:paraId="7EA598D8">
      <w:pPr>
        <w:pStyle w:val="23"/>
        <w:rPr>
          <w:rFonts w:hint="eastAsia" w:ascii="仿宋" w:hAnsi="仿宋" w:eastAsia="仿宋" w:cs="仿宋"/>
          <w:b/>
          <w:bCs/>
          <w:color w:val="auto"/>
          <w:sz w:val="24"/>
          <w:szCs w:val="24"/>
          <w:highlight w:val="none"/>
        </w:rPr>
      </w:pPr>
    </w:p>
    <w:p w14:paraId="4CF2F563">
      <w:pPr>
        <w:pStyle w:val="23"/>
        <w:rPr>
          <w:rFonts w:hint="eastAsia" w:ascii="仿宋" w:hAnsi="仿宋" w:eastAsia="仿宋" w:cs="仿宋"/>
          <w:b/>
          <w:bCs/>
          <w:color w:val="auto"/>
          <w:sz w:val="24"/>
          <w:szCs w:val="24"/>
          <w:highlight w:val="none"/>
        </w:rPr>
      </w:pPr>
    </w:p>
    <w:p w14:paraId="40612770">
      <w:pPr>
        <w:pStyle w:val="23"/>
        <w:rPr>
          <w:rFonts w:hint="eastAsia" w:ascii="仿宋" w:hAnsi="仿宋" w:eastAsia="仿宋" w:cs="仿宋"/>
          <w:b/>
          <w:bCs/>
          <w:color w:val="auto"/>
          <w:sz w:val="24"/>
          <w:szCs w:val="24"/>
          <w:highlight w:val="none"/>
        </w:rPr>
      </w:pPr>
    </w:p>
    <w:p w14:paraId="4031CBE0">
      <w:pPr>
        <w:pStyle w:val="23"/>
        <w:rPr>
          <w:rFonts w:hint="eastAsia" w:ascii="仿宋" w:hAnsi="仿宋" w:eastAsia="仿宋" w:cs="仿宋"/>
          <w:b/>
          <w:bCs/>
          <w:color w:val="auto"/>
          <w:sz w:val="24"/>
          <w:szCs w:val="24"/>
          <w:highlight w:val="none"/>
        </w:rPr>
      </w:pPr>
    </w:p>
    <w:p w14:paraId="5552B1F1">
      <w:pPr>
        <w:pStyle w:val="23"/>
        <w:rPr>
          <w:rFonts w:hint="eastAsia" w:ascii="仿宋" w:hAnsi="仿宋" w:eastAsia="仿宋" w:cs="仿宋"/>
          <w:b/>
          <w:bCs/>
          <w:color w:val="auto"/>
          <w:sz w:val="24"/>
          <w:szCs w:val="24"/>
          <w:highlight w:val="none"/>
        </w:rPr>
      </w:pPr>
    </w:p>
    <w:p w14:paraId="446470A2">
      <w:pPr>
        <w:pStyle w:val="23"/>
        <w:rPr>
          <w:rFonts w:hint="eastAsia" w:ascii="仿宋" w:hAnsi="仿宋" w:eastAsia="仿宋" w:cs="仿宋"/>
          <w:b/>
          <w:bCs/>
          <w:color w:val="auto"/>
          <w:sz w:val="24"/>
          <w:szCs w:val="24"/>
          <w:highlight w:val="none"/>
        </w:rPr>
      </w:pPr>
    </w:p>
    <w:p w14:paraId="3B73C24A">
      <w:pPr>
        <w:pStyle w:val="23"/>
        <w:rPr>
          <w:rFonts w:hint="eastAsia" w:ascii="仿宋" w:hAnsi="仿宋" w:eastAsia="仿宋" w:cs="仿宋"/>
          <w:b/>
          <w:bCs/>
          <w:color w:val="auto"/>
          <w:sz w:val="24"/>
          <w:szCs w:val="24"/>
          <w:highlight w:val="none"/>
        </w:rPr>
      </w:pPr>
    </w:p>
    <w:p w14:paraId="36B87FD5">
      <w:pPr>
        <w:pStyle w:val="23"/>
        <w:rPr>
          <w:rFonts w:hint="eastAsia" w:ascii="仿宋" w:hAnsi="仿宋" w:eastAsia="仿宋" w:cs="仿宋"/>
          <w:b/>
          <w:bCs/>
          <w:color w:val="auto"/>
          <w:sz w:val="24"/>
          <w:szCs w:val="24"/>
          <w:highlight w:val="none"/>
        </w:rPr>
      </w:pPr>
    </w:p>
    <w:p w14:paraId="68211279">
      <w:pPr>
        <w:pStyle w:val="23"/>
        <w:rPr>
          <w:rFonts w:hint="eastAsia" w:ascii="仿宋" w:hAnsi="仿宋" w:eastAsia="仿宋" w:cs="仿宋"/>
          <w:b/>
          <w:bCs/>
          <w:color w:val="auto"/>
          <w:sz w:val="24"/>
          <w:szCs w:val="24"/>
          <w:highlight w:val="none"/>
        </w:rPr>
      </w:pPr>
    </w:p>
    <w:p w14:paraId="2BD2A153">
      <w:pPr>
        <w:pStyle w:val="23"/>
        <w:rPr>
          <w:rFonts w:hint="eastAsia" w:ascii="仿宋" w:hAnsi="仿宋" w:eastAsia="仿宋" w:cs="仿宋"/>
          <w:b/>
          <w:bCs/>
          <w:color w:val="auto"/>
          <w:sz w:val="24"/>
          <w:szCs w:val="24"/>
          <w:highlight w:val="none"/>
        </w:rPr>
      </w:pPr>
    </w:p>
    <w:p w14:paraId="253683EF">
      <w:pPr>
        <w:pStyle w:val="23"/>
        <w:rPr>
          <w:rFonts w:hint="eastAsia" w:ascii="仿宋" w:hAnsi="仿宋" w:eastAsia="仿宋" w:cs="仿宋"/>
          <w:b/>
          <w:bCs/>
          <w:color w:val="auto"/>
          <w:sz w:val="24"/>
          <w:szCs w:val="24"/>
          <w:highlight w:val="none"/>
        </w:rPr>
      </w:pPr>
    </w:p>
    <w:p w14:paraId="464AAC09">
      <w:pPr>
        <w:pStyle w:val="23"/>
        <w:rPr>
          <w:rFonts w:hint="eastAsia" w:ascii="仿宋" w:hAnsi="仿宋" w:eastAsia="仿宋" w:cs="仿宋"/>
          <w:b/>
          <w:bCs/>
          <w:color w:val="auto"/>
          <w:sz w:val="24"/>
          <w:szCs w:val="24"/>
          <w:highlight w:val="none"/>
        </w:rPr>
      </w:pPr>
    </w:p>
    <w:p w14:paraId="4432C2AC">
      <w:pPr>
        <w:pStyle w:val="23"/>
        <w:rPr>
          <w:rFonts w:hint="eastAsia" w:ascii="仿宋" w:hAnsi="仿宋" w:eastAsia="仿宋" w:cs="仿宋"/>
          <w:b/>
          <w:bCs/>
          <w:color w:val="auto"/>
          <w:sz w:val="24"/>
          <w:szCs w:val="24"/>
          <w:highlight w:val="none"/>
        </w:rPr>
      </w:pPr>
    </w:p>
    <w:p w14:paraId="5E9B13AC">
      <w:pPr>
        <w:pStyle w:val="23"/>
        <w:rPr>
          <w:rFonts w:hint="eastAsia" w:ascii="仿宋" w:hAnsi="仿宋" w:eastAsia="仿宋" w:cs="仿宋"/>
          <w:b/>
          <w:bCs/>
          <w:color w:val="auto"/>
          <w:sz w:val="24"/>
          <w:szCs w:val="24"/>
          <w:highlight w:val="none"/>
        </w:rPr>
      </w:pPr>
    </w:p>
    <w:p w14:paraId="738A9867">
      <w:pPr>
        <w:pStyle w:val="23"/>
        <w:rPr>
          <w:rFonts w:hint="eastAsia" w:ascii="仿宋" w:hAnsi="仿宋" w:eastAsia="仿宋" w:cs="仿宋"/>
          <w:b/>
          <w:bCs/>
          <w:color w:val="auto"/>
          <w:sz w:val="24"/>
          <w:szCs w:val="24"/>
          <w:highlight w:val="none"/>
        </w:rPr>
      </w:pPr>
    </w:p>
    <w:p w14:paraId="6F7583EE">
      <w:pPr>
        <w:pStyle w:val="23"/>
        <w:rPr>
          <w:rFonts w:hint="eastAsia" w:ascii="仿宋" w:hAnsi="仿宋" w:eastAsia="仿宋" w:cs="仿宋"/>
          <w:b/>
          <w:bCs/>
          <w:color w:val="auto"/>
          <w:sz w:val="24"/>
          <w:szCs w:val="24"/>
          <w:highlight w:val="none"/>
        </w:rPr>
      </w:pPr>
    </w:p>
    <w:p w14:paraId="1145F460">
      <w:pPr>
        <w:pStyle w:val="23"/>
        <w:rPr>
          <w:rFonts w:hint="eastAsia" w:ascii="仿宋" w:hAnsi="仿宋" w:eastAsia="仿宋" w:cs="仿宋"/>
          <w:b/>
          <w:bCs/>
          <w:color w:val="auto"/>
          <w:sz w:val="24"/>
          <w:szCs w:val="24"/>
          <w:highlight w:val="none"/>
        </w:rPr>
      </w:pPr>
    </w:p>
    <w:p w14:paraId="44065F37">
      <w:pPr>
        <w:pStyle w:val="23"/>
        <w:rPr>
          <w:rFonts w:hint="eastAsia" w:ascii="仿宋" w:hAnsi="仿宋" w:eastAsia="仿宋" w:cs="仿宋"/>
          <w:b/>
          <w:bCs/>
          <w:color w:val="auto"/>
          <w:sz w:val="24"/>
          <w:szCs w:val="24"/>
          <w:highlight w:val="none"/>
        </w:rPr>
      </w:pPr>
    </w:p>
    <w:p w14:paraId="6CDD4307">
      <w:pPr>
        <w:pStyle w:val="23"/>
        <w:rPr>
          <w:rFonts w:hint="eastAsia" w:ascii="仿宋" w:hAnsi="仿宋" w:eastAsia="仿宋" w:cs="仿宋"/>
          <w:b/>
          <w:bCs/>
          <w:color w:val="auto"/>
          <w:sz w:val="24"/>
          <w:szCs w:val="24"/>
          <w:highlight w:val="none"/>
        </w:rPr>
      </w:pPr>
    </w:p>
    <w:p w14:paraId="3838D400">
      <w:pPr>
        <w:pStyle w:val="23"/>
        <w:rPr>
          <w:rFonts w:hint="eastAsia" w:ascii="仿宋" w:hAnsi="仿宋" w:eastAsia="仿宋" w:cs="仿宋"/>
          <w:b/>
          <w:bCs/>
          <w:color w:val="auto"/>
          <w:sz w:val="24"/>
          <w:szCs w:val="24"/>
          <w:highlight w:val="none"/>
        </w:rPr>
      </w:pPr>
    </w:p>
    <w:p w14:paraId="5EFF0380">
      <w:pPr>
        <w:pStyle w:val="23"/>
        <w:rPr>
          <w:rFonts w:hint="eastAsia" w:ascii="仿宋" w:hAnsi="仿宋" w:eastAsia="仿宋" w:cs="仿宋"/>
          <w:b/>
          <w:bCs/>
          <w:color w:val="auto"/>
          <w:sz w:val="24"/>
          <w:szCs w:val="24"/>
          <w:highlight w:val="none"/>
        </w:rPr>
      </w:pPr>
    </w:p>
    <w:p w14:paraId="092BB390">
      <w:pPr>
        <w:pStyle w:val="23"/>
        <w:rPr>
          <w:rFonts w:hint="eastAsia" w:ascii="仿宋" w:hAnsi="仿宋" w:eastAsia="仿宋" w:cs="仿宋"/>
          <w:b/>
          <w:bCs/>
          <w:color w:val="auto"/>
          <w:sz w:val="24"/>
          <w:szCs w:val="24"/>
          <w:highlight w:val="none"/>
        </w:rPr>
      </w:pPr>
    </w:p>
    <w:p w14:paraId="54DFA68B">
      <w:pPr>
        <w:pStyle w:val="9"/>
        <w:numPr>
          <w:ilvl w:val="0"/>
          <w:numId w:val="0"/>
        </w:numPr>
        <w:kinsoku w:val="0"/>
        <w:overflowPunct w:val="0"/>
        <w:spacing w:before="34" w:line="440" w:lineRule="exact"/>
        <w:ind w:left="480" w:right="126"/>
        <w:jc w:val="center"/>
        <w:outlineLvl w:val="2"/>
        <w:rPr>
          <w:rFonts w:hint="eastAsia" w:ascii="仿宋" w:hAnsi="仿宋" w:eastAsia="仿宋" w:cs="仿宋"/>
          <w:color w:val="auto"/>
          <w:sz w:val="24"/>
          <w:szCs w:val="24"/>
          <w:highlight w:val="none"/>
        </w:rPr>
      </w:pPr>
      <w:bookmarkStart w:id="141" w:name="_Toc27385"/>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rPr>
        <w:t>法定代表人身份证明</w:t>
      </w:r>
      <w:bookmarkEnd w:id="141"/>
    </w:p>
    <w:p w14:paraId="349BD490">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投标单位名称：</w:t>
      </w:r>
      <w:r>
        <w:rPr>
          <w:rFonts w:hint="eastAsia" w:ascii="仿宋" w:hAnsi="仿宋" w:eastAsia="仿宋" w:cs="仿宋"/>
          <w:color w:val="auto"/>
          <w:sz w:val="24"/>
          <w:szCs w:val="24"/>
          <w:highlight w:val="none"/>
          <w:u w:val="single"/>
        </w:rPr>
        <w:t xml:space="preserve">                       </w:t>
      </w:r>
    </w:p>
    <w:p w14:paraId="71F43548">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p>
    <w:p w14:paraId="10605B18">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3F1A16CF">
      <w:pPr>
        <w:spacing w:line="42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0E76064">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6AE44472">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p>
    <w:p w14:paraId="30CB4FF3">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22B8291C">
      <w:pPr>
        <w:spacing w:line="42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（投标单位名称）的法定代表人。</w:t>
      </w:r>
    </w:p>
    <w:p w14:paraId="6385B914">
      <w:pPr>
        <w:spacing w:line="420" w:lineRule="exact"/>
        <w:ind w:firstLine="972"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7D3DFD35">
      <w:pPr>
        <w:pStyle w:val="9"/>
        <w:numPr>
          <w:ilvl w:val="0"/>
          <w:numId w:val="0"/>
        </w:numPr>
        <w:kinsoku w:val="0"/>
        <w:overflowPunct w:val="0"/>
        <w:rPr>
          <w:rFonts w:hint="eastAsia" w:ascii="仿宋" w:hAnsi="仿宋" w:eastAsia="仿宋" w:cs="仿宋"/>
          <w:color w:val="auto"/>
          <w:sz w:val="24"/>
          <w:szCs w:val="24"/>
          <w:highlight w:val="none"/>
        </w:rPr>
      </w:pPr>
    </w:p>
    <w:p w14:paraId="497CC264">
      <w:pPr>
        <w:pStyle w:val="9"/>
        <w:numPr>
          <w:ilvl w:val="0"/>
          <w:numId w:val="0"/>
        </w:numPr>
        <w:kinsoku w:val="0"/>
        <w:overflowPunct w:val="0"/>
        <w:spacing w:before="7"/>
        <w:ind w:leftChars="0" w:right="0"/>
        <w:rPr>
          <w:rFonts w:hint="eastAsia" w:ascii="仿宋" w:hAnsi="仿宋" w:eastAsia="仿宋" w:cs="仿宋"/>
          <w:color w:val="auto"/>
          <w:sz w:val="24"/>
          <w:szCs w:val="24"/>
          <w:highlight w:val="none"/>
        </w:rPr>
      </w:pPr>
    </w:p>
    <w:p w14:paraId="11440264">
      <w:pPr>
        <w:pStyle w:val="9"/>
        <w:numPr>
          <w:ilvl w:val="0"/>
          <w:numId w:val="0"/>
        </w:numPr>
        <w:kinsoku w:val="0"/>
        <w:overflowPunct w:val="0"/>
        <w:spacing w:before="7"/>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shd w:val="clear" w:color="auto" w:fill="auto"/>
          <w:lang w:val="en-US" w:eastAsia="en-US" w:bidi="en-US"/>
        </w:rPr>
        <mc:AlternateContent>
          <mc:Choice Requires="wpg">
            <w:drawing>
              <wp:inline distT="0" distB="0" distL="114300" distR="114300">
                <wp:extent cx="5136515" cy="1458595"/>
                <wp:effectExtent l="1905" t="1905" r="5080" b="6350"/>
                <wp:docPr id="36" name="组合 36"/>
                <wp:cNvGraphicFramePr/>
                <a:graphic xmlns:a="http://schemas.openxmlformats.org/drawingml/2006/main">
                  <a:graphicData uri="http://schemas.microsoft.com/office/word/2010/wordprocessingGroup">
                    <wpg:wgp>
                      <wpg:cNvGrpSpPr/>
                      <wpg:grpSpPr>
                        <a:xfrm>
                          <a:off x="0" y="0"/>
                          <a:ext cx="5136515" cy="1458595"/>
                          <a:chOff x="4" y="4"/>
                          <a:chExt cx="8094" cy="2302"/>
                        </a:xfrm>
                      </wpg:grpSpPr>
                      <wps:wsp>
                        <wps:cNvPr id="24" name="任意多边形 2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5" name="任意多边形 2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6" name="任意多边形 2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7" name="任意多边形 2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8" name="任意多边形 28"/>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9" name="任意多边形 29"/>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30" name="任意多边形 30"/>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1" name="任意多边形 31"/>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2" name="任意多边形 32"/>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3" name="任意多边形 33"/>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34" name="矩形 34"/>
                        <wps:cNvSpPr/>
                        <wps:spPr>
                          <a:xfrm>
                            <a:off x="19" y="19"/>
                            <a:ext cx="4025" cy="2258"/>
                          </a:xfrm>
                          <a:prstGeom prst="rect">
                            <a:avLst/>
                          </a:prstGeom>
                          <a:noFill/>
                          <a:ln>
                            <a:noFill/>
                          </a:ln>
                        </wps:spPr>
                        <wps:txbx>
                          <w:txbxContent>
                            <w:p w14:paraId="5B960F11">
                              <w:pPr>
                                <w:pStyle w:val="9"/>
                                <w:numPr>
                                  <w:ilvl w:val="0"/>
                                  <w:numId w:val="0"/>
                                </w:numPr>
                                <w:kinsoku w:val="0"/>
                                <w:overflowPunct w:val="0"/>
                                <w:spacing w:before="13"/>
                                <w:ind w:leftChars="0" w:right="0"/>
                                <w:rPr>
                                  <w:rFonts w:hint="eastAsia"/>
                                  <w:sz w:val="28"/>
                                  <w:szCs w:val="28"/>
                                </w:rPr>
                              </w:pPr>
                            </w:p>
                            <w:p w14:paraId="5ADF70A7">
                              <w:pPr>
                                <w:pStyle w:val="9"/>
                                <w:numPr>
                                  <w:ilvl w:val="0"/>
                                  <w:numId w:val="0"/>
                                </w:numPr>
                                <w:kinsoku w:val="0"/>
                                <w:overflowPunct w:val="0"/>
                                <w:ind w:right="0"/>
                                <w:jc w:val="center"/>
                              </w:pPr>
                              <w:r>
                                <w:rPr>
                                  <w:rFonts w:hint="eastAsia"/>
                                </w:rPr>
                                <w:t>法定代表人身份证复印件（正面）</w:t>
                              </w:r>
                            </w:p>
                          </w:txbxContent>
                        </wps:txbx>
                        <wps:bodyPr lIns="0" tIns="0" rIns="0" bIns="0" upright="1"/>
                      </wps:wsp>
                      <wps:wsp>
                        <wps:cNvPr id="35" name="矩形 35"/>
                        <wps:cNvSpPr/>
                        <wps:spPr>
                          <a:xfrm>
                            <a:off x="4044" y="19"/>
                            <a:ext cx="4025" cy="2258"/>
                          </a:xfrm>
                          <a:prstGeom prst="rect">
                            <a:avLst/>
                          </a:prstGeom>
                          <a:noFill/>
                          <a:ln>
                            <a:noFill/>
                          </a:ln>
                        </wps:spPr>
                        <wps:txbx>
                          <w:txbxContent>
                            <w:p w14:paraId="0BE44372">
                              <w:pPr>
                                <w:pStyle w:val="9"/>
                                <w:numPr>
                                  <w:ilvl w:val="0"/>
                                  <w:numId w:val="0"/>
                                </w:numPr>
                                <w:kinsoku w:val="0"/>
                                <w:overflowPunct w:val="0"/>
                                <w:spacing w:before="13"/>
                                <w:ind w:leftChars="0" w:right="0"/>
                                <w:rPr>
                                  <w:rFonts w:hint="eastAsia"/>
                                  <w:sz w:val="28"/>
                                  <w:szCs w:val="28"/>
                                </w:rPr>
                              </w:pPr>
                            </w:p>
                            <w:p w14:paraId="35B206BD">
                              <w:pPr>
                                <w:pStyle w:val="9"/>
                                <w:numPr>
                                  <w:ilvl w:val="0"/>
                                  <w:numId w:val="0"/>
                                </w:numPr>
                                <w:kinsoku w:val="0"/>
                                <w:overflowPunct w:val="0"/>
                                <w:ind w:right="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origin="4,4" coordsize="8094,230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AAAAAGRycy9QSwECFAAUAAAACACHTuJAl/l9z9YAAAAFAQAADwAAAAAAAAABACAA&#10;AAAiAAAAZHJzL2Rvd25yZXYueG1sUEsBAhQAFAAAAAgAh07iQCYHAcyCBAAA4iAAAA4AAAAAAAAA&#10;AQAgAAAAJQEAAGRycy9lMm9Eb2MueG1sUEsFBgAAAAAGAAYAWQEAABkIAAAAAA==&#10;">
                <o:lock v:ext="edit" aspectratio="f"/>
                <v:shape id="_x0000_s1026" o:spid="_x0000_s1026" o:spt="100" style="position:absolute;left:4;top:9;height:20;width:8079;" filled="f" stroked="t" coordsize="8079,20" o:gfxdata="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y7ni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TYA+87wAAADb&#10;AAAADwAAAGRycy9kb3ducmV2LnhtbEWPQYvCMBSE7wv+h/AEb2tSQXGr0YMiiIsH6/6AR/NsS5uX&#10;kkSt++s3Cwt7HGbmG2a9HWwnHuRD41hDNlUgiEtnGq40fF0P70sQISIb7ByThhcF2G5Gb2vMjXvy&#10;hR5FrESCcMhRQx1jn0sZyposhqnriZN3c95iTNJX0nh8Jrjt5EyphbTYcFqosaddTWVb3K2GvffX&#10;s+xvxffpc++ySrXzj6HVejLO1ApEpCH+h//aR6NhNoffL+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APv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vVKghLwAAADb&#10;AAAADwAAAGRycy9kb3ducmV2LnhtbEWPQYvCMBSE7wv+h/CEva1JBUWr0YMiLMoerP6AR/NsS5uX&#10;kkTt7q83Cwt7HGbmG2a9HWwnHuRD41hDNlEgiEtnGq40XC+HjwWIEJENdo5JwzcF2G5Gb2vMjXvy&#10;mR5FrESCcMhRQx1jn0sZyposhonriZN3c95iTNJX0nh8Jrjt5FSpubTYcFqosaddTWVb3K2GvfeX&#10;L9nfip/jae+ySrWz5dBq/T7O1ApEpCH+h//an0bDdA6/X9IPkJ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SoIS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tCBwD70AAADb&#10;AAAADwAAAGRycy9kb3ducmV2LnhtbEWPT2sCMRTE74V+h/AK3mrigq1sjR6k/qE9VT14fGzebhY3&#10;L0sSdf32plDocZiZ3zDz5eA6caUQW88aJmMFgrjypuVGw/Gwfp2BiAnZYOeZNNwpwnLx/DTH0vgb&#10;/9B1nxqRIRxL1GBT6kspY2XJYRz7njh7tQ8OU5ahkSbgLcNdJwul3qTDlvOCxZ5Wlqrz/uI0fNd1&#10;cQ6q+Jputp+Iw7RtTnal9ehloj5AJBrSf/ivvTMainf4/Z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HAP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szEw77gAAADb&#10;AAAADwAAAGRycy9kb3ducmV2LnhtbEVPy2oCMRTdF/yHcIVuiiYKyjgaXYgFoSvHdn+ZXCeDk5sx&#10;ic+vbxaFLg/nvdo8XCduFGLrWcNkrEAQ19603Gj4Pn6OChAxIRvsPJOGJ0XYrAdvKyyNv/OBblVq&#10;RA7hWKIGm1JfShlrSw7j2PfEmTv54DBlGBppAt5zuOvkVKm5dNhybrDY09ZSfa6uTsPr9LGf7Szu&#10;qrr4UV/FYnvBUGn9PpyoJYhEj/Qv/nPvjYZpHpu/5B8g1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zEw77gAAADbAAAA&#10;DwAAAAAAAAABACAAAAAiAAAAZHJzL2Rvd25yZXYueG1sUEsBAhQAFAAAAAgAh07iQDMvBZ47AAAA&#10;OQAAABAAAAAAAAAAAQAgAAAABwEAAGRycy9zaGFwZXhtbC54bWxQSwUGAAAAAAYABgBbAQAAsQMA&#10;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Sw69rr4AAADb&#10;AAAADwAAAGRycy9kb3ducmV2LnhtbEWPT4vCMBTE74LfIbwFL7JNFRGtjSK7CB6E9d9hvT2aZ1u3&#10;eSlNtPrtN4LgcZiZ3zDp4m4qcaPGlZYVDKIYBHFmdcm5guNh9TkB4TyyxsoyKXiQg8W820kx0bbl&#10;Hd32PhcBwi5BBYX3dSKlywoy6CJbEwfvbBuDPsgml7rBNsBNJYdxPJYGSw4LBdb0VVD2t78aBe36&#10;W5ZH/5P1893mMJr+LuvLaatU72MQz0B4uvt3+NVeawXDKTy/hB8g5/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69rr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3lvR67cAAADb&#10;AAAADwAAAGRycy9kb3ducmV2LnhtbEVPy4rCMBTdC/MP4Q6407QWRTrGIoUBV8L42F+aO02xuWmT&#10;jI+/N4sBl4fz3lQP24sb+dA5VpDPMxDEjdMdtwrOp+/ZGkSIyBp7x6TgSQGq7cdkg6V2d/6h2zG2&#10;IoVwKFGBiXEopQyNIYth7gbixP06bzEm6FupPd5TuO3lIstW0mLHqcHgQLWh5nr8swp8E2o9FqO5&#10;1OPhwjsc3KpYKjX9zLMvEJEe8S3+d++1giKtT1/SD5Db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eW9HrtwAAANsAAAAP&#10;AAAAAAAAAAEAIAAAACIAAABkcnMvZG93bnJldi54bWxQSwECFAAUAAAACACHTuJAMy8FnjsAAAA5&#10;AAAAEAAAAAAAAAABACAAAAAGAQAAZHJzL3NoYXBleG1sLnhtbFBLBQYAAAAABgAGAFsBAACwAwAA&#10;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sRd0cLsAAADb&#10;AAAADwAAAGRycy9kb3ducmV2LnhtbEWPwWrDMBBE74X+g9hCb43smpjgRgnFUOipUCe5L9bGMrVW&#10;tqTG7t9XgUCOw8y8Ybb7xQ7iQj70jhXkqwwEcet0z52C4+HjZQMiRGSNg2NS8EcB9rvHhy1W2s38&#10;TZcmdiJBOFSowMQ4VlKG1pDFsHIjcfLOzluMSfpOao9zgttBvmZZKS32nBYMjlQban+aX6vAt6HW&#10;UzGZUz19nfgdR1cWa6Wen/LsDUSkJd7Dt/anVlDkcP2SfoD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d0cL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cXqB7kAAADb&#10;AAAADwAAAGRycy9kb3ducmV2LnhtbEWPW4vCMBSE3wX/QziCb5pqUaQaZSkI+yR4ez80x6Zsc9Im&#10;8bL/3iws+DjMzDfMZveyrXiQD41jBbNpBoK4crrhWsHlvJ+sQISIrLF1TAp+KcBuOxxssNDuyUd6&#10;nGItEoRDgQpMjF0hZagMWQxT1xEn7+a8xZikr6X2+Exw28p5li2lxYbTgsGOSkPVz+luFfgqlLrP&#10;e3Mt+8OVv7Bzy3yh1Hg0y9YgIr3iJ/zf/tYK8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F6ge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uzfikr0AAADb&#10;AAAADwAAAGRycy9kb3ducmV2LnhtbEWPQWvCQBSE74L/YXkFb7qxKUVTV8Gi1ksRY6HXZ/aZDWbf&#10;huwa7b/vCoLHYWa+YWaLm61FR62vHCsYjxIQxIXTFZcKfg7r4QSED8gaa8ek4I88LOb93gwz7a68&#10;py4PpYgQ9hkqMCE0mZS+MGTRj1xDHL2Tay2GKNtS6havEW5r+Zok79JixXHBYEOfhopzfrEKzr4z&#10;y+Pb5muX8vR7kh9Xze9ppdTgZZx8gAh0C8/wo73VCtIU7l/iD5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N+KS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rect id="_x0000_s1026" o:spid="_x0000_s1026" o:spt="1" style="position:absolute;left:19;top:19;height:2258;width:4025;"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B960F11">
                        <w:pPr>
                          <w:pStyle w:val="9"/>
                          <w:numPr>
                            <w:ilvl w:val="0"/>
                            <w:numId w:val="0"/>
                          </w:numPr>
                          <w:kinsoku w:val="0"/>
                          <w:overflowPunct w:val="0"/>
                          <w:spacing w:before="13"/>
                          <w:ind w:leftChars="0" w:right="0"/>
                          <w:rPr>
                            <w:rFonts w:hint="eastAsia"/>
                            <w:sz w:val="28"/>
                            <w:szCs w:val="28"/>
                          </w:rPr>
                        </w:pPr>
                      </w:p>
                      <w:p w14:paraId="5ADF70A7">
                        <w:pPr>
                          <w:pStyle w:val="9"/>
                          <w:numPr>
                            <w:ilvl w:val="0"/>
                            <w:numId w:val="0"/>
                          </w:numPr>
                          <w:kinsoku w:val="0"/>
                          <w:overflowPunct w:val="0"/>
                          <w:ind w:right="0"/>
                          <w:jc w:val="center"/>
                        </w:pPr>
                        <w:r>
                          <w:rPr>
                            <w:rFonts w:hint="eastAsia"/>
                          </w:rPr>
                          <w:t>法定代表人身份证复印件（正面）</w:t>
                        </w:r>
                      </w:p>
                    </w:txbxContent>
                  </v:textbox>
                </v:rect>
                <v:rect id="_x0000_s1026" o:spid="_x0000_s1026" o:spt="1" style="position:absolute;left:4044;top:19;height:2258;width:4025;" filled="f" stroked="f" coordsize="21600,21600" o:gfxdata="UEsDBAoAAAAAAIdO4kAAAAAAAAAAAAAAAAAEAAAAZHJzL1BLAwQUAAAACACHTuJAdg1e974AAADb&#10;AAAADwAAAGRycy9kb3ducmV2LnhtbEWPT4vCMBTE74LfITzBm6Yq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1e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BE44372">
                        <w:pPr>
                          <w:pStyle w:val="9"/>
                          <w:numPr>
                            <w:ilvl w:val="0"/>
                            <w:numId w:val="0"/>
                          </w:numPr>
                          <w:kinsoku w:val="0"/>
                          <w:overflowPunct w:val="0"/>
                          <w:spacing w:before="13"/>
                          <w:ind w:leftChars="0" w:right="0"/>
                          <w:rPr>
                            <w:rFonts w:hint="eastAsia"/>
                            <w:sz w:val="28"/>
                            <w:szCs w:val="28"/>
                          </w:rPr>
                        </w:pPr>
                      </w:p>
                      <w:p w14:paraId="35B206BD">
                        <w:pPr>
                          <w:pStyle w:val="9"/>
                          <w:numPr>
                            <w:ilvl w:val="0"/>
                            <w:numId w:val="0"/>
                          </w:numPr>
                          <w:kinsoku w:val="0"/>
                          <w:overflowPunct w:val="0"/>
                          <w:ind w:right="0"/>
                        </w:pPr>
                        <w:r>
                          <w:rPr>
                            <w:rFonts w:hint="eastAsia"/>
                          </w:rPr>
                          <w:t>法定代表人身份证复印件（反面）</w:t>
                        </w:r>
                      </w:p>
                    </w:txbxContent>
                  </v:textbox>
                </v:rect>
                <w10:wrap type="none"/>
                <w10:anchorlock/>
              </v:group>
            </w:pict>
          </mc:Fallback>
        </mc:AlternateContent>
      </w:r>
    </w:p>
    <w:p w14:paraId="7AA2E1FF">
      <w:pPr>
        <w:wordWrap w:val="0"/>
        <w:spacing w:line="420" w:lineRule="exact"/>
        <w:ind w:firstLine="486" w:firstLineChars="200"/>
        <w:jc w:val="right"/>
        <w:rPr>
          <w:rFonts w:hint="eastAsia" w:ascii="仿宋" w:hAnsi="仿宋" w:eastAsia="仿宋" w:cs="仿宋"/>
          <w:color w:val="auto"/>
          <w:sz w:val="24"/>
          <w:szCs w:val="24"/>
          <w:highlight w:val="none"/>
        </w:rPr>
      </w:pPr>
    </w:p>
    <w:p w14:paraId="6808C9C7">
      <w:pPr>
        <w:pStyle w:val="40"/>
        <w:wordWrap/>
        <w:rPr>
          <w:rFonts w:hint="eastAsia" w:ascii="仿宋" w:hAnsi="仿宋" w:eastAsia="仿宋" w:cs="仿宋"/>
          <w:color w:val="auto"/>
          <w:sz w:val="24"/>
          <w:szCs w:val="24"/>
          <w:highlight w:val="none"/>
        </w:rPr>
      </w:pPr>
    </w:p>
    <w:p w14:paraId="0A7ED0B9">
      <w:pPr>
        <w:pStyle w:val="40"/>
        <w:wordWrap/>
        <w:rPr>
          <w:rFonts w:hint="eastAsia" w:ascii="仿宋" w:hAnsi="仿宋" w:eastAsia="仿宋" w:cs="仿宋"/>
          <w:color w:val="auto"/>
          <w:sz w:val="24"/>
          <w:szCs w:val="24"/>
          <w:highlight w:val="none"/>
        </w:rPr>
      </w:pPr>
    </w:p>
    <w:p w14:paraId="1F790648">
      <w:pPr>
        <w:pStyle w:val="40"/>
        <w:wordWrap/>
        <w:rPr>
          <w:rFonts w:hint="eastAsia" w:ascii="仿宋" w:hAnsi="仿宋" w:eastAsia="仿宋" w:cs="仿宋"/>
          <w:color w:val="auto"/>
          <w:sz w:val="24"/>
          <w:szCs w:val="24"/>
          <w:highlight w:val="none"/>
        </w:rPr>
      </w:pPr>
    </w:p>
    <w:p w14:paraId="37FD889A">
      <w:pPr>
        <w:pStyle w:val="40"/>
        <w:wordWrap/>
        <w:rPr>
          <w:rFonts w:hint="eastAsia" w:ascii="仿宋" w:hAnsi="仿宋" w:eastAsia="仿宋" w:cs="仿宋"/>
          <w:color w:val="auto"/>
          <w:sz w:val="24"/>
          <w:szCs w:val="24"/>
          <w:highlight w:val="none"/>
        </w:rPr>
      </w:pPr>
    </w:p>
    <w:p w14:paraId="28FAB3C8">
      <w:pPr>
        <w:spacing w:line="420" w:lineRule="exact"/>
        <w:ind w:firstLine="486" w:firstLineChars="200"/>
        <w:jc w:val="right"/>
        <w:rPr>
          <w:rFonts w:hint="eastAsia" w:ascii="仿宋" w:hAnsi="仿宋" w:eastAsia="仿宋" w:cs="仿宋"/>
          <w:color w:val="auto"/>
          <w:sz w:val="24"/>
          <w:szCs w:val="24"/>
          <w:highlight w:val="none"/>
        </w:rPr>
      </w:pPr>
    </w:p>
    <w:p w14:paraId="274B63BC">
      <w:pPr>
        <w:spacing w:line="420" w:lineRule="exact"/>
        <w:ind w:firstLine="486"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w:t>
      </w:r>
    </w:p>
    <w:p w14:paraId="1104AD51">
      <w:pPr>
        <w:pStyle w:val="6"/>
        <w:ind w:firstLine="5103" w:firstLineChars="2100"/>
        <w:rPr>
          <w:rFonts w:hint="eastAsia" w:ascii="仿宋" w:hAnsi="仿宋" w:eastAsia="仿宋" w:cs="仿宋"/>
          <w:b w:val="0"/>
          <w:bCs w:val="0"/>
          <w:color w:val="auto"/>
          <w:sz w:val="24"/>
          <w:szCs w:val="24"/>
          <w:highlight w:val="none"/>
          <w:u w:val="single"/>
          <w:lang w:eastAsia="zh-CN"/>
        </w:rPr>
      </w:pPr>
      <w:bookmarkStart w:id="142" w:name="_Toc27409"/>
      <w:r>
        <w:rPr>
          <w:rFonts w:hint="eastAsia" w:ascii="仿宋" w:hAnsi="仿宋" w:eastAsia="仿宋" w:cs="仿宋"/>
          <w:b w:val="0"/>
          <w:bCs w:val="0"/>
          <w:color w:val="auto"/>
          <w:sz w:val="24"/>
          <w:szCs w:val="24"/>
          <w:highlight w:val="none"/>
        </w:rPr>
        <w:t>法定代表人（</w:t>
      </w:r>
      <w:r>
        <w:rPr>
          <w:rFonts w:hint="eastAsia" w:ascii="仿宋" w:hAnsi="仿宋" w:eastAsia="仿宋" w:cs="仿宋"/>
          <w:b w:val="0"/>
          <w:bCs w:val="0"/>
          <w:color w:val="auto"/>
          <w:sz w:val="24"/>
          <w:szCs w:val="24"/>
          <w:highlight w:val="none"/>
          <w:lang w:eastAsia="zh-CN"/>
        </w:rPr>
        <w:t>签章</w:t>
      </w:r>
      <w:r>
        <w:rPr>
          <w:rFonts w:hint="eastAsia" w:ascii="仿宋" w:hAnsi="仿宋" w:eastAsia="仿宋" w:cs="仿宋"/>
          <w:b w:val="0"/>
          <w:bCs w:val="0"/>
          <w:color w:val="auto"/>
          <w:sz w:val="24"/>
          <w:szCs w:val="24"/>
          <w:highlight w:val="none"/>
        </w:rPr>
        <w:t>）：</w:t>
      </w:r>
      <w:bookmarkEnd w:id="142"/>
      <w:r>
        <w:rPr>
          <w:rFonts w:hint="eastAsia" w:ascii="仿宋" w:hAnsi="仿宋" w:eastAsia="仿宋" w:cs="仿宋"/>
          <w:b w:val="0"/>
          <w:bCs w:val="0"/>
          <w:color w:val="auto"/>
          <w:sz w:val="24"/>
          <w:szCs w:val="24"/>
          <w:highlight w:val="none"/>
          <w:lang w:eastAsia="zh-CN"/>
        </w:rPr>
        <w:t xml:space="preserve"> </w:t>
      </w:r>
      <w:r>
        <w:rPr>
          <w:rFonts w:hint="eastAsia" w:ascii="仿宋" w:hAnsi="仿宋" w:eastAsia="仿宋" w:cs="仿宋"/>
          <w:b w:val="0"/>
          <w:bCs w:val="0"/>
          <w:color w:val="auto"/>
          <w:sz w:val="24"/>
          <w:szCs w:val="24"/>
          <w:highlight w:val="none"/>
          <w:u w:val="single"/>
          <w:lang w:eastAsia="zh-CN"/>
        </w:rPr>
        <w:t xml:space="preserve">         </w:t>
      </w:r>
    </w:p>
    <w:p w14:paraId="4BA0D266">
      <w:pPr>
        <w:wordWrap w:val="0"/>
        <w:spacing w:line="420" w:lineRule="exact"/>
        <w:ind w:right="480" w:firstLine="486"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69D29503">
      <w:pPr>
        <w:pStyle w:val="9"/>
        <w:numPr>
          <w:ilvl w:val="0"/>
          <w:numId w:val="0"/>
        </w:numPr>
        <w:kinsoku w:val="0"/>
        <w:overflowPunct w:val="0"/>
        <w:spacing w:before="34" w:line="357" w:lineRule="auto"/>
        <w:ind w:left="480" w:right="126"/>
        <w:jc w:val="center"/>
        <w:outlineLvl w:val="2"/>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bookmarkStart w:id="143" w:name="_Toc13457"/>
      <w:r>
        <w:rPr>
          <w:rFonts w:hint="eastAsia" w:ascii="仿宋" w:hAnsi="仿宋" w:eastAsia="仿宋" w:cs="仿宋"/>
          <w:b/>
          <w:bCs/>
          <w:color w:val="auto"/>
          <w:sz w:val="24"/>
          <w:szCs w:val="24"/>
          <w:highlight w:val="none"/>
          <w:lang w:val="en-US" w:eastAsia="zh-CN"/>
        </w:rPr>
        <w:t>2-2、</w:t>
      </w:r>
      <w:r>
        <w:rPr>
          <w:rFonts w:hint="eastAsia" w:ascii="仿宋" w:hAnsi="仿宋" w:eastAsia="仿宋" w:cs="仿宋"/>
          <w:b/>
          <w:bCs/>
          <w:color w:val="auto"/>
          <w:sz w:val="24"/>
          <w:szCs w:val="24"/>
          <w:highlight w:val="none"/>
        </w:rPr>
        <w:t>授权委托书</w:t>
      </w:r>
      <w:bookmarkEnd w:id="143"/>
    </w:p>
    <w:p w14:paraId="36827FF6">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致：采购人名称 </w:t>
      </w:r>
    </w:p>
    <w:p w14:paraId="1EBC2418">
      <w:pPr>
        <w:spacing w:line="42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w:t>
      </w:r>
      <w:r>
        <w:rPr>
          <w:rFonts w:hint="eastAsia" w:ascii="仿宋" w:hAnsi="仿宋" w:eastAsia="仿宋" w:cs="仿宋"/>
          <w:color w:val="auto"/>
          <w:sz w:val="24"/>
          <w:szCs w:val="24"/>
          <w:highlight w:val="none"/>
          <w:u w:val="single"/>
        </w:rPr>
        <w:t>（投标人地址）</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u w:val="single"/>
        </w:rPr>
        <w:t>姓名、职务或职称）</w:t>
      </w:r>
      <w:r>
        <w:rPr>
          <w:rFonts w:hint="eastAsia" w:ascii="仿宋" w:hAnsi="仿宋" w:eastAsia="仿宋" w:cs="仿宋"/>
          <w:color w:val="auto"/>
          <w:sz w:val="24"/>
          <w:szCs w:val="24"/>
          <w:highlight w:val="none"/>
        </w:rPr>
        <w:t>代表本公司授权</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为本单位的合法代理人，参与贵方组织的</w:t>
      </w:r>
      <w:r>
        <w:rPr>
          <w:rFonts w:hint="eastAsia" w:ascii="仿宋" w:hAnsi="仿宋" w:eastAsia="仿宋" w:cs="仿宋"/>
          <w:color w:val="auto"/>
          <w:sz w:val="24"/>
          <w:szCs w:val="24"/>
          <w:highlight w:val="none"/>
          <w:u w:val="single"/>
        </w:rPr>
        <w:t>（项目名称及项目编号）</w:t>
      </w:r>
      <w:r>
        <w:rPr>
          <w:rFonts w:hint="eastAsia" w:ascii="仿宋" w:hAnsi="仿宋" w:eastAsia="仿宋" w:cs="仿宋"/>
          <w:color w:val="auto"/>
          <w:sz w:val="24"/>
          <w:szCs w:val="24"/>
          <w:highlight w:val="none"/>
        </w:rPr>
        <w:t xml:space="preserve"> 的投标、谈判、签约等具体工作，并签署全部有关文件、协议及合同。</w:t>
      </w:r>
    </w:p>
    <w:p w14:paraId="24853F5A">
      <w:pPr>
        <w:adjustRightInd w:val="0"/>
        <w:snapToGrid w:val="0"/>
        <w:spacing w:line="420" w:lineRule="exac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我单位对被授权人的上述经济活动负全部责任。在撤销授权的书面通知前，本授权书一直有效。被授权人在授权书有效期内签署的所有文件不因授权的撤消而失效。</w:t>
      </w:r>
    </w:p>
    <w:p w14:paraId="791DF96F">
      <w:pPr>
        <w:pStyle w:val="9"/>
        <w:numPr>
          <w:ilvl w:val="0"/>
          <w:numId w:val="0"/>
        </w:numPr>
        <w:kinsoku w:val="0"/>
        <w:overflowPunct w:val="0"/>
        <w:adjustRightInd w:val="0"/>
        <w:snapToGrid w:val="0"/>
        <w:spacing w:line="200" w:lineRule="atLeast"/>
        <w:ind w:right="1693" w:rightChars="795"/>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shd w:val="clear" w:color="auto" w:fill="auto"/>
          <w:lang w:val="en-US" w:eastAsia="en-US" w:bidi="en-US"/>
        </w:rPr>
        <mc:AlternateContent>
          <mc:Choice Requires="wpg">
            <w:drawing>
              <wp:inline distT="0" distB="0" distL="114300" distR="114300">
                <wp:extent cx="5136515" cy="1458595"/>
                <wp:effectExtent l="1905" t="1905" r="5080" b="6350"/>
                <wp:docPr id="23" name="组合 23"/>
                <wp:cNvGraphicFramePr/>
                <a:graphic xmlns:a="http://schemas.openxmlformats.org/drawingml/2006/main">
                  <a:graphicData uri="http://schemas.microsoft.com/office/word/2010/wordprocessingGroup">
                    <wpg:wgp>
                      <wpg:cNvGrpSpPr/>
                      <wpg:grpSpPr>
                        <a:xfrm>
                          <a:off x="0" y="0"/>
                          <a:ext cx="5136515" cy="1458595"/>
                          <a:chOff x="4" y="4"/>
                          <a:chExt cx="8094" cy="2302"/>
                        </a:xfrm>
                      </wpg:grpSpPr>
                      <wps:wsp>
                        <wps:cNvPr id="11" name="任意多边形 1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2" name="任意多边形 1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3" name="任意多边形 1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4" name="任意多边形 1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8" name="任意多边形 1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1" name="矩形 21"/>
                        <wps:cNvSpPr/>
                        <wps:spPr>
                          <a:xfrm>
                            <a:off x="19" y="19"/>
                            <a:ext cx="4025" cy="2258"/>
                          </a:xfrm>
                          <a:prstGeom prst="rect">
                            <a:avLst/>
                          </a:prstGeom>
                          <a:noFill/>
                          <a:ln>
                            <a:noFill/>
                          </a:ln>
                        </wps:spPr>
                        <wps:txbx>
                          <w:txbxContent>
                            <w:p w14:paraId="31088A25">
                              <w:pPr>
                                <w:pStyle w:val="9"/>
                                <w:numPr>
                                  <w:ilvl w:val="0"/>
                                  <w:numId w:val="0"/>
                                </w:numPr>
                                <w:kinsoku w:val="0"/>
                                <w:overflowPunct w:val="0"/>
                                <w:spacing w:before="12"/>
                                <w:ind w:leftChars="0" w:right="0"/>
                                <w:rPr>
                                  <w:rFonts w:hint="eastAsia"/>
                                  <w:sz w:val="28"/>
                                  <w:szCs w:val="28"/>
                                </w:rPr>
                              </w:pPr>
                            </w:p>
                            <w:p w14:paraId="1D18D3F6">
                              <w:pPr>
                                <w:pStyle w:val="9"/>
                                <w:numPr>
                                  <w:ilvl w:val="0"/>
                                  <w:numId w:val="0"/>
                                </w:numPr>
                                <w:kinsoku w:val="0"/>
                                <w:overflowPunct w:val="0"/>
                                <w:ind w:right="0"/>
                                <w:jc w:val="center"/>
                                <w:rPr>
                                  <w:rFonts w:hint="eastAsia"/>
                                </w:rPr>
                              </w:pPr>
                            </w:p>
                            <w:p w14:paraId="02B3C437">
                              <w:pPr>
                                <w:pStyle w:val="9"/>
                                <w:numPr>
                                  <w:ilvl w:val="0"/>
                                  <w:numId w:val="0"/>
                                </w:numPr>
                                <w:kinsoku w:val="0"/>
                                <w:overflowPunct w:val="0"/>
                                <w:ind w:right="0"/>
                                <w:jc w:val="center"/>
                              </w:pPr>
                              <w:r>
                                <w:rPr>
                                  <w:rFonts w:hint="eastAsia"/>
                                </w:rPr>
                                <w:t>授权人身份证复印件（正面）</w:t>
                              </w:r>
                            </w:p>
                          </w:txbxContent>
                        </wps:txbx>
                        <wps:bodyPr lIns="0" tIns="0" rIns="0" bIns="0" upright="1"/>
                      </wps:wsp>
                      <wps:wsp>
                        <wps:cNvPr id="22" name="矩形 22"/>
                        <wps:cNvSpPr/>
                        <wps:spPr>
                          <a:xfrm>
                            <a:off x="4044" y="19"/>
                            <a:ext cx="4025" cy="2258"/>
                          </a:xfrm>
                          <a:prstGeom prst="rect">
                            <a:avLst/>
                          </a:prstGeom>
                          <a:noFill/>
                          <a:ln>
                            <a:noFill/>
                          </a:ln>
                        </wps:spPr>
                        <wps:txbx>
                          <w:txbxContent>
                            <w:p w14:paraId="26219932">
                              <w:pPr>
                                <w:pStyle w:val="9"/>
                                <w:numPr>
                                  <w:ilvl w:val="0"/>
                                  <w:numId w:val="0"/>
                                </w:numPr>
                                <w:kinsoku w:val="0"/>
                                <w:overflowPunct w:val="0"/>
                                <w:ind w:right="0"/>
                                <w:rPr>
                                  <w:rFonts w:hint="eastAsia"/>
                                </w:rPr>
                              </w:pPr>
                            </w:p>
                            <w:p w14:paraId="58221CF5">
                              <w:pPr>
                                <w:pStyle w:val="9"/>
                                <w:numPr>
                                  <w:ilvl w:val="0"/>
                                  <w:numId w:val="0"/>
                                </w:numPr>
                                <w:kinsoku w:val="0"/>
                                <w:overflowPunct w:val="0"/>
                                <w:ind w:right="0"/>
                                <w:rPr>
                                  <w:rFonts w:hint="eastAsia"/>
                                </w:rPr>
                              </w:pPr>
                            </w:p>
                            <w:p w14:paraId="14BE1C97">
                              <w:pPr>
                                <w:pStyle w:val="9"/>
                                <w:numPr>
                                  <w:ilvl w:val="0"/>
                                  <w:numId w:val="0"/>
                                </w:numPr>
                                <w:kinsoku w:val="0"/>
                                <w:overflowPunct w:val="0"/>
                                <w:ind w:right="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origin="4,4" coordsize="8094,230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">
                <o:lock v:ext="edit" aspectratio="f"/>
                <v:shape id="_x0000_s1026" o:spid="_x0000_s1026" o:spt="100" style="position:absolute;left:4;top:9;height:20;width:8079;" filled="f" stroked="t" coordsize="8079,20" o:gfxdata="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6Ydd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DAVsOroAAADb&#10;AAAADwAAAGRycy9kb3ducmV2LnhtbEVPzYrCMBC+L/gOYQRva1LBZa1GD4ogLnvY6gMMzdiWNpOS&#10;RK0+vVlY2Nt8fL+z2gy2EzfyoXGsIZsqEMSlMw1XGs6n/fsniBCRDXaOScODAmzWo7cV5sbd+Ydu&#10;RaxECuGQo4Y6xj6XMpQ1WQxT1xMn7uK8xZigr6TxeE/htpMzpT6kxYZTQ409bWsq2+JqNey8P33L&#10;/lI8j187l1WqnS+GVuvJOFNLEJGG+C/+cx9Mmj+D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BWw6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Y0nJoboAAADb&#10;AAAADwAAAGRycy9kb3ducmV2LnhtbEVPzWoCMRC+C75DmEJvmmyLxW6NHhRBFA9d+wDDZtxddjNZ&#10;klRXn94UCt7m4/udxWqwnbiQD41jDdlUgSAunWm40vBz2k7mIEJENtg5Jg03CrBajkcLzI278jdd&#10;iliJFMIhRw11jH0uZShrshimridO3Nl5izFBX0nj8ZrCbSfflPqQFhtODTX2tK6pbItfq2Hj/eko&#10;+3Nx3x82LqtUO/scWq1fXzL1BSLSEJ/if/fOpPnv8PdLO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Scmh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k1xVzLkAAADb&#10;AAAADwAAAGRycy9kb3ducmV2LnhtbEVPTWsCMRC9C/6HMAUvUhMFy7o1ehALgie3eh8242bpZrIm&#10;qdr+eiMUepvH+5zl+u46caUQW88aphMFgrj2puVGw/Hz47UAEROywc4zafihCOvVcLDE0vgbH+ha&#10;pUbkEI4larAp9aWUsbbkME58T5y5sw8OU4ahkSbgLYe7Ts6UepMOW84NFnvaWKq/qm+n4fc83s23&#10;FrdVXZzUvlhsLhgqrUcvU/UOItE9/Yv/3DuT58/h+Us+QK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NcVcy5AAAA2wAA&#10;AA8AAAAAAAAAAQAgAAAAIgAAAGRycy9kb3ducmV2LnhtbFBLAQIUABQAAAAIAIdO4kAzLwWeOwAA&#10;ADkAAAAQAAAAAAAAAAEAIAAAAAgBAABkcnMvc2hhcGV4bWwueG1sUEsFBgAAAAAGAAYAWwEAALID&#10;A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9P3jYbwAAADb&#10;AAAADwAAAGRycy9kb3ducmV2LnhtbEVPS4vCMBC+L/gfwgheFk2VRbQ2iuwi9LDg+jjobWjGttpM&#10;ShOt/nsjLHibj+85yeJuKnGjxpWWFQwHEQjizOqScwX73ao/AeE8ssbKMil4kIPFvPORYKxtyxu6&#10;bX0uQgi7GBUU3texlC4ryKAb2Jo4cCfbGPQBNrnUDbYh3FRyFEVjabDk0FBgTd8FZZft1Sho0x9Z&#10;7v06+8w3v7uv6WFZn49/SvW6w2gGwtPdv8X/7lSH+WN4/RIO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942G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GgcV/7gAAADb&#10;AAAADwAAAGRycy9kb3ducmV2LnhtbEVPS4vCMBC+C/sfwgh701RFd6lGWQoLexJ89D40Y1NsJm0S&#10;H/vvjSB4m4/vOavN3bbiSj40jhVMxhkI4srphmsFx8Pv6BtEiMgaW8ek4J8CbNYfgxXm2t14R9d9&#10;rEUK4ZCjAhNjl0sZKkMWw9h1xIk7OW8xJuhrqT3eUrht5TTLFtJiw6nBYEeFoeq8v1gFvgqF7me9&#10;KYt+W/IPdm4xmyv1OZxkSxCR7vEtfrn/dJr/Bc9f0gF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gcV/7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5iBjbsAAADb&#10;AAAADwAAAGRycy9kb3ducmV2LnhtbEWPT2vDMAzF74N+B6PCbqvTlZaS1QkjUNhpsG65i1iLw2I5&#10;sd0/+/bTYdCbxHt676dDffOjulBMQ2AD61UBirgLduDewNfn8WkPKmVki2NgMvBLCepq8XDA0oYr&#10;f9DllHslIZxKNOBynkqtU+fIY1qFiVi07xA9Zlljr23Eq4T7UT8XxU57HFgaHE7UOOp+TmdvIHap&#10;sfNmdm0zv7f8ilPYbbbGPC7XxQuoTLd8N/9fv1nBF1j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iBj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BNQkFrgAAADb&#10;AAAADwAAAGRycy9kb3ducmV2LnhtbEVPS4vCMBC+C/sfwgh701RF2a1GWQoLexJ89D40Y1NsJm0S&#10;H/vvjSB4m4/vOavN3bbiSj40jhVMxhkI4srphmsFx8Pv6AtEiMgaW8ek4J8CbNYfgxXm2t14R9d9&#10;rEUK4ZCjAhNjl0sZKkMWw9h1xIk7OW8xJuhrqT3eUrht5TTLFtJiw6nBYEeFoeq8v1gFvgqF7me9&#10;KYt+W/IPdm4xmyv1OZxkSxCR7vEtfrn/dJr/Dc9f0gF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NQkFr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zjzqOLoAAADb&#10;AAAADwAAAGRycy9kb3ducmV2LnhtbEVPy4rCMBTdD/gP4QruxlQdBq1GQfG1GcQquL0216bY3JQm&#10;VufvzWJglofzni1ethItNb50rGDQT0AQ506XXCg4nzafYxA+IGusHJOCX/KwmHc+Zphq9+QjtVko&#10;RAxhn6ICE0KdSulzQxZ939XEkbu5xmKIsCmkbvAZw20lh0nyLS2WHBsM1rQylN+zh1Vw961ZXr+2&#10;u8OIJz/j7LquL7e1Ur3uIJmCCPQK/+I/914rGMb18Uv8AXL+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POo4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rect id="_x0000_s1026" o:spid="_x0000_s1026" o:spt="1" style="position:absolute;left:19;top:19;height:2258;width:4025;" filled="f" stroked="f" coordsize="21600,21600" o:gfxdata="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OK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088A25">
                        <w:pPr>
                          <w:pStyle w:val="9"/>
                          <w:numPr>
                            <w:ilvl w:val="0"/>
                            <w:numId w:val="0"/>
                          </w:numPr>
                          <w:kinsoku w:val="0"/>
                          <w:overflowPunct w:val="0"/>
                          <w:spacing w:before="12"/>
                          <w:ind w:leftChars="0" w:right="0"/>
                          <w:rPr>
                            <w:rFonts w:hint="eastAsia"/>
                            <w:sz w:val="28"/>
                            <w:szCs w:val="28"/>
                          </w:rPr>
                        </w:pPr>
                      </w:p>
                      <w:p w14:paraId="1D18D3F6">
                        <w:pPr>
                          <w:pStyle w:val="9"/>
                          <w:numPr>
                            <w:ilvl w:val="0"/>
                            <w:numId w:val="0"/>
                          </w:numPr>
                          <w:kinsoku w:val="0"/>
                          <w:overflowPunct w:val="0"/>
                          <w:ind w:right="0"/>
                          <w:jc w:val="center"/>
                          <w:rPr>
                            <w:rFonts w:hint="eastAsia"/>
                          </w:rPr>
                        </w:pPr>
                      </w:p>
                      <w:p w14:paraId="02B3C437">
                        <w:pPr>
                          <w:pStyle w:val="9"/>
                          <w:numPr>
                            <w:ilvl w:val="0"/>
                            <w:numId w:val="0"/>
                          </w:numPr>
                          <w:kinsoku w:val="0"/>
                          <w:overflowPunct w:val="0"/>
                          <w:ind w:right="0"/>
                          <w:jc w:val="center"/>
                        </w:pPr>
                        <w:r>
                          <w:rPr>
                            <w:rFonts w:hint="eastAsia"/>
                          </w:rPr>
                          <w:t>授权人身份证复印件（正面）</w:t>
                        </w:r>
                      </w:p>
                    </w:txbxContent>
                  </v:textbox>
                </v:rect>
                <v:rect id="_x0000_s1026" o:spid="_x0000_s1026" o:spt="1" style="position:absolute;left:4044;top:19;height:2258;width:4025;" filled="f" stroked="f" coordsize="21600,21600" o:gfxdata="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1Q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6219932">
                        <w:pPr>
                          <w:pStyle w:val="9"/>
                          <w:numPr>
                            <w:ilvl w:val="0"/>
                            <w:numId w:val="0"/>
                          </w:numPr>
                          <w:kinsoku w:val="0"/>
                          <w:overflowPunct w:val="0"/>
                          <w:ind w:right="0"/>
                          <w:rPr>
                            <w:rFonts w:hint="eastAsia"/>
                          </w:rPr>
                        </w:pPr>
                      </w:p>
                      <w:p w14:paraId="58221CF5">
                        <w:pPr>
                          <w:pStyle w:val="9"/>
                          <w:numPr>
                            <w:ilvl w:val="0"/>
                            <w:numId w:val="0"/>
                          </w:numPr>
                          <w:kinsoku w:val="0"/>
                          <w:overflowPunct w:val="0"/>
                          <w:ind w:right="0"/>
                          <w:rPr>
                            <w:rFonts w:hint="eastAsia"/>
                          </w:rPr>
                        </w:pPr>
                      </w:p>
                      <w:p w14:paraId="14BE1C97">
                        <w:pPr>
                          <w:pStyle w:val="9"/>
                          <w:numPr>
                            <w:ilvl w:val="0"/>
                            <w:numId w:val="0"/>
                          </w:numPr>
                          <w:kinsoku w:val="0"/>
                          <w:overflowPunct w:val="0"/>
                          <w:ind w:right="0"/>
                        </w:pPr>
                        <w:r>
                          <w:rPr>
                            <w:rFonts w:hint="eastAsia"/>
                          </w:rPr>
                          <w:t>授权人身份证复印件（反面）</w:t>
                        </w:r>
                      </w:p>
                    </w:txbxContent>
                  </v:textbox>
                </v:rect>
                <w10:wrap type="none"/>
                <w10:anchorlock/>
              </v:group>
            </w:pict>
          </mc:Fallback>
        </mc:AlternateContent>
      </w:r>
    </w:p>
    <w:p w14:paraId="4065EE1A">
      <w:pPr>
        <w:pStyle w:val="9"/>
        <w:numPr>
          <w:ilvl w:val="0"/>
          <w:numId w:val="0"/>
        </w:numPr>
        <w:kinsoku w:val="0"/>
        <w:overflowPunct w:val="0"/>
        <w:adjustRightInd w:val="0"/>
        <w:snapToGrid w:val="0"/>
        <w:spacing w:line="200" w:lineRule="atLeas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shd w:val="clear" w:color="auto" w:fill="auto"/>
          <w:lang w:val="en-US" w:eastAsia="en-US" w:bidi="en-US"/>
        </w:rPr>
        <mc:AlternateContent>
          <mc:Choice Requires="wpg">
            <w:drawing>
              <wp:inline distT="0" distB="0" distL="114300" distR="114300">
                <wp:extent cx="5136515" cy="1384935"/>
                <wp:effectExtent l="1905" t="1905" r="5080" b="3810"/>
                <wp:docPr id="49" name="组合 49"/>
                <wp:cNvGraphicFramePr/>
                <a:graphic xmlns:a="http://schemas.openxmlformats.org/drawingml/2006/main">
                  <a:graphicData uri="http://schemas.microsoft.com/office/word/2010/wordprocessingGroup">
                    <wpg:wgp>
                      <wpg:cNvGrpSpPr/>
                      <wpg:grpSpPr>
                        <a:xfrm>
                          <a:off x="0" y="0"/>
                          <a:ext cx="5136515" cy="1384935"/>
                          <a:chOff x="4" y="4"/>
                          <a:chExt cx="8094" cy="2186"/>
                        </a:xfrm>
                      </wpg:grpSpPr>
                      <wps:wsp>
                        <wps:cNvPr id="37" name="任意多边形 37"/>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8"/>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9"/>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40"/>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41"/>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42"/>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3"/>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4"/>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5"/>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6"/>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矩形 47"/>
                        <wps:cNvSpPr/>
                        <wps:spPr>
                          <a:xfrm>
                            <a:off x="19" y="19"/>
                            <a:ext cx="4025" cy="2142"/>
                          </a:xfrm>
                          <a:prstGeom prst="rect">
                            <a:avLst/>
                          </a:prstGeom>
                          <a:noFill/>
                          <a:ln>
                            <a:noFill/>
                          </a:ln>
                        </wps:spPr>
                        <wps:txbx>
                          <w:txbxContent>
                            <w:p w14:paraId="259688B9">
                              <w:pPr>
                                <w:pStyle w:val="9"/>
                                <w:numPr>
                                  <w:ilvl w:val="0"/>
                                  <w:numId w:val="0"/>
                                </w:numPr>
                                <w:kinsoku w:val="0"/>
                                <w:overflowPunct w:val="0"/>
                                <w:ind w:right="0"/>
                                <w:rPr>
                                  <w:rFonts w:hint="eastAsia"/>
                                </w:rPr>
                              </w:pPr>
                            </w:p>
                            <w:p w14:paraId="4C091DF6">
                              <w:pPr>
                                <w:pStyle w:val="9"/>
                                <w:numPr>
                                  <w:ilvl w:val="0"/>
                                  <w:numId w:val="0"/>
                                </w:numPr>
                                <w:kinsoku w:val="0"/>
                                <w:overflowPunct w:val="0"/>
                                <w:ind w:right="0"/>
                                <w:rPr>
                                  <w:rFonts w:hint="eastAsia"/>
                                </w:rPr>
                              </w:pPr>
                            </w:p>
                            <w:p w14:paraId="40A259FF">
                              <w:pPr>
                                <w:pStyle w:val="9"/>
                                <w:numPr>
                                  <w:ilvl w:val="0"/>
                                  <w:numId w:val="0"/>
                                </w:numPr>
                                <w:kinsoku w:val="0"/>
                                <w:overflowPunct w:val="0"/>
                                <w:ind w:right="0"/>
                                <w:jc w:val="center"/>
                              </w:pPr>
                              <w:r>
                                <w:rPr>
                                  <w:rFonts w:hint="eastAsia"/>
                                </w:rPr>
                                <w:t>被授权代表身份证复印件（正面）</w:t>
                              </w:r>
                            </w:p>
                          </w:txbxContent>
                        </wps:txbx>
                        <wps:bodyPr lIns="0" tIns="0" rIns="0" bIns="0" upright="1"/>
                      </wps:wsp>
                      <wps:wsp>
                        <wps:cNvPr id="48" name="矩形 48"/>
                        <wps:cNvSpPr/>
                        <wps:spPr>
                          <a:xfrm>
                            <a:off x="4044" y="19"/>
                            <a:ext cx="4025" cy="2142"/>
                          </a:xfrm>
                          <a:prstGeom prst="rect">
                            <a:avLst/>
                          </a:prstGeom>
                          <a:noFill/>
                          <a:ln>
                            <a:noFill/>
                          </a:ln>
                        </wps:spPr>
                        <wps:txbx>
                          <w:txbxContent>
                            <w:p w14:paraId="76176B61">
                              <w:pPr>
                                <w:pStyle w:val="9"/>
                                <w:numPr>
                                  <w:ilvl w:val="0"/>
                                  <w:numId w:val="0"/>
                                </w:numPr>
                                <w:kinsoku w:val="0"/>
                                <w:overflowPunct w:val="0"/>
                                <w:ind w:right="0"/>
                                <w:rPr>
                                  <w:rFonts w:hint="eastAsia"/>
                                </w:rPr>
                              </w:pPr>
                            </w:p>
                            <w:p w14:paraId="789729B0">
                              <w:pPr>
                                <w:pStyle w:val="9"/>
                                <w:numPr>
                                  <w:ilvl w:val="0"/>
                                  <w:numId w:val="0"/>
                                </w:numPr>
                                <w:kinsoku w:val="0"/>
                                <w:overflowPunct w:val="0"/>
                                <w:ind w:right="0"/>
                                <w:rPr>
                                  <w:rFonts w:hint="eastAsia"/>
                                </w:rPr>
                              </w:pPr>
                            </w:p>
                            <w:p w14:paraId="3E74F5E3">
                              <w:pPr>
                                <w:pStyle w:val="9"/>
                                <w:numPr>
                                  <w:ilvl w:val="0"/>
                                  <w:numId w:val="0"/>
                                </w:numPr>
                                <w:kinsoku w:val="0"/>
                                <w:overflowPunct w:val="0"/>
                                <w:ind w:right="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origin="4,4" coordsize="8094,2186"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">
                <o:lock v:ext="edit" aspectratio="f"/>
                <v:shape id="_x0000_s1026"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rect id="_x0000_s1026" o:spid="_x0000_s1026" o:spt="1" style="position:absolute;left:19;top:19;height:2142;width:4025;" filled="f" stroked="f" coordsize="21600,21600" o:gfxdata="UEsDBAoAAAAAAIdO4kAAAAAAAAAAAAAAAAAEAAAAZHJzL1BLAwQUAAAACACHTuJAsZUWZr4AAADb&#10;AAAADwAAAGRycy9kb3ducmV2LnhtbEWPT4vCMBTE74LfITzBm6aK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UWZ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59688B9">
                        <w:pPr>
                          <w:pStyle w:val="9"/>
                          <w:numPr>
                            <w:ilvl w:val="0"/>
                            <w:numId w:val="0"/>
                          </w:numPr>
                          <w:kinsoku w:val="0"/>
                          <w:overflowPunct w:val="0"/>
                          <w:ind w:right="0"/>
                          <w:rPr>
                            <w:rFonts w:hint="eastAsia"/>
                          </w:rPr>
                        </w:pPr>
                      </w:p>
                      <w:p w14:paraId="4C091DF6">
                        <w:pPr>
                          <w:pStyle w:val="9"/>
                          <w:numPr>
                            <w:ilvl w:val="0"/>
                            <w:numId w:val="0"/>
                          </w:numPr>
                          <w:kinsoku w:val="0"/>
                          <w:overflowPunct w:val="0"/>
                          <w:ind w:right="0"/>
                          <w:rPr>
                            <w:rFonts w:hint="eastAsia"/>
                          </w:rPr>
                        </w:pPr>
                      </w:p>
                      <w:p w14:paraId="40A259FF">
                        <w:pPr>
                          <w:pStyle w:val="9"/>
                          <w:numPr>
                            <w:ilvl w:val="0"/>
                            <w:numId w:val="0"/>
                          </w:numPr>
                          <w:kinsoku w:val="0"/>
                          <w:overflowPunct w:val="0"/>
                          <w:ind w:right="0"/>
                          <w:jc w:val="center"/>
                        </w:pPr>
                        <w:r>
                          <w:rPr>
                            <w:rFonts w:hint="eastAsia"/>
                          </w:rPr>
                          <w:t>被授权代表身份证复印件（正面）</w:t>
                        </w:r>
                      </w:p>
                    </w:txbxContent>
                  </v:textbox>
                </v:rect>
                <v:rect id="_x0000_s1026" o:spid="_x0000_s1026" o:spt="1" style="position:absolute;left:4044;top:19;height:2142;width:4025;" filled="f" stroked="f" coordsize="21600,21600" o:gfxdata="UEsDBAoAAAAAAIdO4kAAAAAAAAAAAAAAAAAEAAAAZHJzL1BLAwQUAAAACACHTuJAwAqCFLoAAADb&#10;AAAADwAAAGRycy9kb3ducmV2LnhtbEVPTYvCMBC9C/sfwix401QR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CoIU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6176B61">
                        <w:pPr>
                          <w:pStyle w:val="9"/>
                          <w:numPr>
                            <w:ilvl w:val="0"/>
                            <w:numId w:val="0"/>
                          </w:numPr>
                          <w:kinsoku w:val="0"/>
                          <w:overflowPunct w:val="0"/>
                          <w:ind w:right="0"/>
                          <w:rPr>
                            <w:rFonts w:hint="eastAsia"/>
                          </w:rPr>
                        </w:pPr>
                      </w:p>
                      <w:p w14:paraId="789729B0">
                        <w:pPr>
                          <w:pStyle w:val="9"/>
                          <w:numPr>
                            <w:ilvl w:val="0"/>
                            <w:numId w:val="0"/>
                          </w:numPr>
                          <w:kinsoku w:val="0"/>
                          <w:overflowPunct w:val="0"/>
                          <w:ind w:right="0"/>
                          <w:rPr>
                            <w:rFonts w:hint="eastAsia"/>
                          </w:rPr>
                        </w:pPr>
                      </w:p>
                      <w:p w14:paraId="3E74F5E3">
                        <w:pPr>
                          <w:pStyle w:val="9"/>
                          <w:numPr>
                            <w:ilvl w:val="0"/>
                            <w:numId w:val="0"/>
                          </w:numPr>
                          <w:kinsoku w:val="0"/>
                          <w:overflowPunct w:val="0"/>
                          <w:ind w:right="0"/>
                        </w:pPr>
                        <w:r>
                          <w:rPr>
                            <w:rFonts w:hint="eastAsia"/>
                          </w:rPr>
                          <w:t>被授权代表身份证复印件（反面）</w:t>
                        </w:r>
                      </w:p>
                    </w:txbxContent>
                  </v:textbox>
                </v:rect>
                <w10:wrap type="none"/>
                <w10:anchorlock/>
              </v:group>
            </w:pict>
          </mc:Fallback>
        </mc:AlternateContent>
      </w:r>
    </w:p>
    <w:p w14:paraId="0BD1AC30">
      <w:pPr>
        <w:rPr>
          <w:rFonts w:hint="eastAsia" w:ascii="仿宋" w:hAnsi="仿宋" w:eastAsia="仿宋" w:cs="仿宋"/>
          <w:color w:val="auto"/>
          <w:sz w:val="24"/>
          <w:szCs w:val="24"/>
          <w:highlight w:val="none"/>
        </w:rPr>
      </w:pPr>
    </w:p>
    <w:p w14:paraId="6E688124">
      <w:pPr>
        <w:pStyle w:val="40"/>
        <w:rPr>
          <w:rFonts w:hint="eastAsia" w:ascii="仿宋" w:hAnsi="仿宋" w:eastAsia="仿宋" w:cs="仿宋"/>
          <w:color w:val="auto"/>
          <w:sz w:val="24"/>
          <w:szCs w:val="24"/>
          <w:highlight w:val="none"/>
        </w:rPr>
      </w:pPr>
    </w:p>
    <w:p w14:paraId="55D13F85">
      <w:pPr>
        <w:pStyle w:val="9"/>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hint="eastAsia" w:ascii="仿宋" w:hAnsi="仿宋" w:eastAsia="仿宋" w:cs="仿宋"/>
          <w:color w:val="auto"/>
          <w:sz w:val="24"/>
          <w:szCs w:val="24"/>
          <w:highlight w:val="none"/>
        </w:rPr>
      </w:pPr>
    </w:p>
    <w:p w14:paraId="3E3DA9F2">
      <w:pPr>
        <w:pStyle w:val="9"/>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（盖章）</w:t>
      </w:r>
    </w:p>
    <w:p w14:paraId="1968C024">
      <w:pPr>
        <w:pStyle w:val="9"/>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被授权代表（</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投标人法定代表人（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w:t>
      </w:r>
    </w:p>
    <w:p w14:paraId="2A8C1159">
      <w:pPr>
        <w:pStyle w:val="9"/>
        <w:numPr>
          <w:ilvl w:val="0"/>
          <w:numId w:val="0"/>
        </w:numPr>
        <w:tabs>
          <w:tab w:val="left" w:pos="1098"/>
          <w:tab w:val="left" w:pos="5298"/>
          <w:tab w:val="left" w:pos="5778"/>
        </w:tabs>
        <w:kinsoku w:val="0"/>
        <w:overflowPunct w:val="0"/>
        <w:adjustRightInd w:val="0"/>
        <w:snapToGrid w:val="0"/>
        <w:spacing w:line="360" w:lineRule="auto"/>
        <w:ind w:left="70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务：</w:t>
      </w:r>
    </w:p>
    <w:p w14:paraId="19FB9551">
      <w:pPr>
        <w:pStyle w:val="9"/>
        <w:numPr>
          <w:ilvl w:val="0"/>
          <w:numId w:val="0"/>
        </w:numPr>
        <w:tabs>
          <w:tab w:val="left" w:pos="1098"/>
          <w:tab w:val="left" w:pos="5298"/>
          <w:tab w:val="left" w:pos="5778"/>
        </w:tabs>
        <w:kinsoku w:val="0"/>
        <w:overflowPunct w:val="0"/>
        <w:adjustRightInd w:val="0"/>
        <w:snapToGrid w:val="0"/>
        <w:spacing w:line="360" w:lineRule="auto"/>
        <w:ind w:left="70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话：</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话：</w:t>
      </w:r>
    </w:p>
    <w:p w14:paraId="5F194B9D">
      <w:pPr>
        <w:rPr>
          <w:rFonts w:hint="eastAsia" w:ascii="仿宋" w:hAnsi="仿宋" w:eastAsia="仿宋" w:cs="仿宋"/>
          <w:color w:val="auto"/>
          <w:sz w:val="24"/>
          <w:szCs w:val="24"/>
          <w:highlight w:val="none"/>
        </w:rPr>
      </w:pPr>
    </w:p>
    <w:p w14:paraId="552E6CE1">
      <w:pPr>
        <w:pStyle w:val="9"/>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06" w:leftChars="50" w:right="238" w:firstLine="2916" w:firstLineChars="1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13A7D1A7">
      <w:pPr>
        <w:rPr>
          <w:rFonts w:hint="eastAsia" w:ascii="仿宋" w:hAnsi="仿宋" w:eastAsia="仿宋" w:cs="仿宋"/>
          <w:color w:val="auto"/>
          <w:sz w:val="24"/>
          <w:szCs w:val="24"/>
          <w:highlight w:val="none"/>
        </w:rPr>
      </w:pPr>
    </w:p>
    <w:p w14:paraId="1D01085D">
      <w:pPr>
        <w:pStyle w:val="9"/>
        <w:numPr>
          <w:ilvl w:val="0"/>
          <w:numId w:val="0"/>
        </w:numPr>
        <w:kinsoku w:val="0"/>
        <w:overflowPunct w:val="0"/>
        <w:spacing w:before="34" w:line="357" w:lineRule="auto"/>
        <w:ind w:right="126"/>
        <w:jc w:val="center"/>
        <w:outlineLvl w:val="2"/>
        <w:rPr>
          <w:rFonts w:hint="eastAsia" w:ascii="仿宋" w:hAnsi="仿宋" w:eastAsia="仿宋" w:cs="仿宋"/>
          <w:b/>
          <w:bCs/>
          <w:color w:val="auto"/>
          <w:sz w:val="24"/>
          <w:szCs w:val="24"/>
          <w:highlight w:val="none"/>
        </w:rPr>
      </w:pPr>
      <w:bookmarkStart w:id="144" w:name="_Toc14885"/>
      <w:r>
        <w:rPr>
          <w:rFonts w:hint="eastAsia" w:ascii="仿宋" w:hAnsi="仿宋" w:eastAsia="仿宋" w:cs="仿宋"/>
          <w:b/>
          <w:bCs/>
          <w:color w:val="auto"/>
          <w:sz w:val="24"/>
          <w:szCs w:val="24"/>
          <w:highlight w:val="none"/>
          <w:lang w:val="en-US" w:eastAsia="zh-CN"/>
        </w:rPr>
        <w:t>2-3</w:t>
      </w:r>
      <w:r>
        <w:rPr>
          <w:rFonts w:hint="eastAsia" w:ascii="仿宋" w:hAnsi="仿宋" w:eastAsia="仿宋" w:cs="仿宋"/>
          <w:b/>
          <w:bCs/>
          <w:color w:val="auto"/>
          <w:sz w:val="24"/>
          <w:szCs w:val="24"/>
          <w:highlight w:val="none"/>
        </w:rPr>
        <w:t>上级银行授权委托书</w:t>
      </w:r>
      <w:bookmarkEnd w:id="144"/>
    </w:p>
    <w:p w14:paraId="224B5202">
      <w:pPr>
        <w:snapToGrid w:val="0"/>
        <w:spacing w:line="440" w:lineRule="exact"/>
        <w:ind w:right="-222"/>
        <w:rPr>
          <w:rFonts w:hint="eastAsia" w:ascii="仿宋" w:hAnsi="仿宋" w:eastAsia="仿宋" w:cs="仿宋"/>
          <w:b/>
          <w:color w:val="auto"/>
          <w:sz w:val="24"/>
          <w:szCs w:val="24"/>
          <w:highlight w:val="none"/>
        </w:rPr>
      </w:pPr>
    </w:p>
    <w:p w14:paraId="727EAE49">
      <w:pPr>
        <w:autoSpaceDE w:val="0"/>
        <w:autoSpaceDN w:val="0"/>
        <w:adjustRightInd w:val="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rPr>
        <w:t xml:space="preserve">    </w:t>
      </w:r>
    </w:p>
    <w:p w14:paraId="7A40F4CA">
      <w:pPr>
        <w:widowControl/>
        <w:snapToGrid w:val="0"/>
        <w:spacing w:line="540" w:lineRule="exact"/>
        <w:ind w:firstLine="48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p>
    <w:p w14:paraId="636BF588">
      <w:pPr>
        <w:spacing w:line="56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根据贵局关于</w:t>
      </w:r>
      <w:r>
        <w:rPr>
          <w:rFonts w:hint="eastAsia" w:ascii="仿宋" w:hAnsi="仿宋" w:eastAsia="仿宋" w:cs="仿宋"/>
          <w:color w:val="auto"/>
          <w:sz w:val="24"/>
          <w:szCs w:val="24"/>
          <w:highlight w:val="none"/>
          <w:lang w:eastAsia="zh-CN"/>
        </w:rPr>
        <w:t>阿图什市财政局</w:t>
      </w:r>
      <w:r>
        <w:rPr>
          <w:rFonts w:hint="eastAsia" w:ascii="仿宋" w:hAnsi="仿宋" w:eastAsia="仿宋" w:cs="仿宋"/>
          <w:b/>
          <w:bCs/>
          <w:color w:val="auto"/>
          <w:sz w:val="24"/>
          <w:szCs w:val="24"/>
          <w:highlight w:val="none"/>
          <w:u w:val="single"/>
          <w:lang w:eastAsia="zh-CN"/>
        </w:rPr>
        <w:t>2026年阿图什市机关事业单位基本养老保险保值增值定期存款项目（第二期）</w:t>
      </w:r>
      <w:r>
        <w:rPr>
          <w:rFonts w:hint="eastAsia" w:ascii="仿宋" w:hAnsi="仿宋" w:eastAsia="仿宋" w:cs="仿宋"/>
          <w:color w:val="auto"/>
          <w:sz w:val="24"/>
          <w:szCs w:val="24"/>
          <w:highlight w:val="none"/>
        </w:rPr>
        <w:t>招标的要求，兹指派和授权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作为授权人唯一代表行参加该项目竞标中的相关工作。</w:t>
      </w:r>
    </w:p>
    <w:p w14:paraId="4B6F4703">
      <w:pPr>
        <w:spacing w:line="56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授权权限：参加投标、开标，负责合同的签订、执行，以本行名义处理一切与之有关的事务。</w:t>
      </w:r>
    </w:p>
    <w:p w14:paraId="16674270">
      <w:pPr>
        <w:spacing w:line="56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授权期限：本授权自   年  月  日至  年  月  日有效。</w:t>
      </w:r>
    </w:p>
    <w:p w14:paraId="68349234">
      <w:pPr>
        <w:ind w:firstLine="486" w:firstLineChars="200"/>
        <w:rPr>
          <w:rFonts w:hint="eastAsia" w:ascii="仿宋" w:hAnsi="仿宋" w:eastAsia="仿宋" w:cs="仿宋"/>
          <w:color w:val="auto"/>
          <w:sz w:val="24"/>
          <w:szCs w:val="24"/>
          <w:highlight w:val="none"/>
        </w:rPr>
      </w:pPr>
    </w:p>
    <w:p w14:paraId="6F2D8FD4">
      <w:pPr>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3CD7F37A">
      <w:pPr>
        <w:ind w:left="4678" w:leftChars="200" w:hanging="4252" w:hanging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授权人（盖章）：</w:t>
      </w:r>
    </w:p>
    <w:p w14:paraId="6275DCED">
      <w:pPr>
        <w:snapToGrid w:val="0"/>
        <w:spacing w:line="540" w:lineRule="exact"/>
        <w:ind w:right="138"/>
        <w:rPr>
          <w:rFonts w:hint="eastAsia" w:ascii="仿宋" w:hAnsi="仿宋" w:eastAsia="仿宋" w:cs="仿宋"/>
          <w:color w:val="auto"/>
          <w:sz w:val="24"/>
          <w:szCs w:val="24"/>
          <w:highlight w:val="none"/>
        </w:rPr>
      </w:pPr>
    </w:p>
    <w:p w14:paraId="2F357B50">
      <w:pPr>
        <w:ind w:left="4153" w:leftChars="19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8400967">
      <w:pPr>
        <w:pStyle w:val="69"/>
        <w:rPr>
          <w:rFonts w:hint="eastAsia" w:ascii="仿宋" w:hAnsi="仿宋" w:eastAsia="仿宋" w:cs="仿宋"/>
          <w:color w:val="auto"/>
          <w:sz w:val="24"/>
          <w:szCs w:val="24"/>
          <w:highlight w:val="none"/>
        </w:rPr>
      </w:pPr>
    </w:p>
    <w:p w14:paraId="7B18C1D3">
      <w:pPr>
        <w:rPr>
          <w:rFonts w:hint="eastAsia" w:ascii="仿宋" w:hAnsi="仿宋" w:eastAsia="仿宋" w:cs="仿宋"/>
          <w:color w:val="auto"/>
          <w:sz w:val="24"/>
          <w:szCs w:val="24"/>
          <w:highlight w:val="none"/>
        </w:rPr>
      </w:pPr>
    </w:p>
    <w:p w14:paraId="6909251B">
      <w:pPr>
        <w:rPr>
          <w:rFonts w:hint="eastAsia" w:ascii="仿宋" w:hAnsi="仿宋" w:eastAsia="仿宋" w:cs="仿宋"/>
          <w:color w:val="auto"/>
          <w:sz w:val="24"/>
          <w:szCs w:val="24"/>
          <w:highlight w:val="none"/>
        </w:rPr>
      </w:pPr>
    </w:p>
    <w:p w14:paraId="1E1FDE2C">
      <w:pPr>
        <w:rPr>
          <w:rFonts w:hint="eastAsia" w:ascii="仿宋" w:hAnsi="仿宋" w:eastAsia="仿宋" w:cs="仿宋"/>
          <w:color w:val="auto"/>
          <w:sz w:val="24"/>
          <w:szCs w:val="24"/>
          <w:highlight w:val="none"/>
        </w:rPr>
      </w:pPr>
    </w:p>
    <w:p w14:paraId="79BF8685">
      <w:pPr>
        <w:rPr>
          <w:rFonts w:hint="eastAsia" w:ascii="仿宋" w:hAnsi="仿宋" w:eastAsia="仿宋" w:cs="仿宋"/>
          <w:color w:val="auto"/>
          <w:sz w:val="24"/>
          <w:szCs w:val="24"/>
          <w:highlight w:val="none"/>
        </w:rPr>
      </w:pPr>
    </w:p>
    <w:p w14:paraId="58119AE7">
      <w:pPr>
        <w:rPr>
          <w:rFonts w:hint="eastAsia" w:ascii="仿宋" w:hAnsi="仿宋" w:eastAsia="仿宋" w:cs="仿宋"/>
          <w:color w:val="auto"/>
          <w:sz w:val="24"/>
          <w:szCs w:val="24"/>
          <w:highlight w:val="none"/>
        </w:rPr>
      </w:pPr>
    </w:p>
    <w:p w14:paraId="43BAA045">
      <w:pPr>
        <w:rPr>
          <w:rFonts w:hint="eastAsia" w:ascii="仿宋" w:hAnsi="仿宋" w:eastAsia="仿宋" w:cs="仿宋"/>
          <w:color w:val="auto"/>
          <w:sz w:val="24"/>
          <w:szCs w:val="24"/>
          <w:highlight w:val="none"/>
        </w:rPr>
      </w:pPr>
    </w:p>
    <w:p w14:paraId="72D21FB5">
      <w:pPr>
        <w:rPr>
          <w:rFonts w:hint="eastAsia" w:ascii="仿宋" w:hAnsi="仿宋" w:eastAsia="仿宋" w:cs="仿宋"/>
          <w:color w:val="auto"/>
          <w:sz w:val="24"/>
          <w:szCs w:val="24"/>
          <w:highlight w:val="none"/>
        </w:rPr>
      </w:pPr>
    </w:p>
    <w:p w14:paraId="48E8427F">
      <w:pPr>
        <w:rPr>
          <w:rFonts w:hint="eastAsia" w:ascii="仿宋" w:hAnsi="仿宋" w:eastAsia="仿宋" w:cs="仿宋"/>
          <w:color w:val="auto"/>
          <w:sz w:val="24"/>
          <w:szCs w:val="24"/>
          <w:highlight w:val="none"/>
        </w:rPr>
      </w:pPr>
    </w:p>
    <w:p w14:paraId="2978ADED">
      <w:pPr>
        <w:rPr>
          <w:rFonts w:hint="eastAsia" w:ascii="仿宋" w:hAnsi="仿宋" w:eastAsia="仿宋" w:cs="仿宋"/>
          <w:color w:val="auto"/>
          <w:sz w:val="24"/>
          <w:szCs w:val="24"/>
          <w:highlight w:val="none"/>
        </w:rPr>
      </w:pPr>
    </w:p>
    <w:p w14:paraId="0F3ECDCF">
      <w:pPr>
        <w:rPr>
          <w:rFonts w:hint="eastAsia" w:ascii="仿宋" w:hAnsi="仿宋" w:eastAsia="仿宋" w:cs="仿宋"/>
          <w:color w:val="auto"/>
          <w:sz w:val="24"/>
          <w:szCs w:val="24"/>
          <w:highlight w:val="none"/>
        </w:rPr>
      </w:pPr>
    </w:p>
    <w:p w14:paraId="0A8A8F4C">
      <w:pPr>
        <w:rPr>
          <w:rFonts w:hint="eastAsia" w:ascii="仿宋" w:hAnsi="仿宋" w:eastAsia="仿宋" w:cs="仿宋"/>
          <w:color w:val="auto"/>
          <w:sz w:val="24"/>
          <w:szCs w:val="24"/>
          <w:highlight w:val="none"/>
        </w:rPr>
      </w:pPr>
    </w:p>
    <w:p w14:paraId="6EC605E3">
      <w:pPr>
        <w:rPr>
          <w:rFonts w:hint="eastAsia" w:ascii="仿宋" w:hAnsi="仿宋" w:eastAsia="仿宋" w:cs="仿宋"/>
          <w:color w:val="auto"/>
          <w:sz w:val="24"/>
          <w:szCs w:val="24"/>
          <w:highlight w:val="none"/>
        </w:rPr>
      </w:pPr>
    </w:p>
    <w:p w14:paraId="204F2DB9">
      <w:pPr>
        <w:rPr>
          <w:rFonts w:hint="eastAsia" w:ascii="仿宋" w:hAnsi="仿宋" w:eastAsia="仿宋" w:cs="仿宋"/>
          <w:color w:val="auto"/>
          <w:sz w:val="24"/>
          <w:szCs w:val="24"/>
          <w:highlight w:val="none"/>
        </w:rPr>
      </w:pPr>
    </w:p>
    <w:p w14:paraId="20F452D0">
      <w:pPr>
        <w:pStyle w:val="6"/>
        <w:rPr>
          <w:rFonts w:hint="eastAsia"/>
        </w:rPr>
      </w:pPr>
    </w:p>
    <w:p w14:paraId="08818DE1">
      <w:pPr>
        <w:rPr>
          <w:rFonts w:hint="eastAsia" w:ascii="仿宋" w:hAnsi="仿宋" w:eastAsia="仿宋" w:cs="仿宋"/>
          <w:color w:val="auto"/>
          <w:sz w:val="24"/>
          <w:szCs w:val="24"/>
          <w:highlight w:val="none"/>
        </w:rPr>
      </w:pPr>
    </w:p>
    <w:p w14:paraId="07986598">
      <w:pPr>
        <w:rPr>
          <w:rFonts w:hint="eastAsia" w:ascii="仿宋" w:hAnsi="仿宋" w:eastAsia="仿宋" w:cs="仿宋"/>
          <w:color w:val="auto"/>
          <w:sz w:val="24"/>
          <w:szCs w:val="24"/>
          <w:highlight w:val="none"/>
        </w:rPr>
      </w:pPr>
    </w:p>
    <w:p w14:paraId="15035688">
      <w:pPr>
        <w:rPr>
          <w:rFonts w:hint="eastAsia" w:ascii="仿宋" w:hAnsi="仿宋" w:eastAsia="仿宋" w:cs="仿宋"/>
          <w:color w:val="auto"/>
          <w:sz w:val="24"/>
          <w:szCs w:val="24"/>
          <w:highlight w:val="none"/>
        </w:rPr>
      </w:pPr>
    </w:p>
    <w:p w14:paraId="7DBC5506">
      <w:pPr>
        <w:pStyle w:val="9"/>
        <w:numPr>
          <w:ilvl w:val="0"/>
          <w:numId w:val="0"/>
        </w:numPr>
        <w:kinsoku w:val="0"/>
        <w:overflowPunct w:val="0"/>
        <w:spacing w:before="34" w:line="357" w:lineRule="auto"/>
        <w:ind w:right="126"/>
        <w:jc w:val="left"/>
        <w:outlineLvl w:val="2"/>
        <w:rPr>
          <w:rFonts w:hint="eastAsia" w:ascii="仿宋" w:hAnsi="仿宋" w:eastAsia="仿宋" w:cs="仿宋"/>
          <w:b/>
          <w:bCs/>
          <w:color w:val="auto"/>
          <w:sz w:val="24"/>
          <w:szCs w:val="24"/>
          <w:highlight w:val="none"/>
          <w:lang w:val="en-US" w:eastAsia="zh-CN"/>
        </w:rPr>
      </w:pPr>
      <w:bookmarkStart w:id="145" w:name="_Toc1244"/>
      <w:r>
        <w:rPr>
          <w:rFonts w:hint="eastAsia" w:ascii="仿宋" w:hAnsi="仿宋" w:eastAsia="仿宋" w:cs="仿宋"/>
          <w:b/>
          <w:bCs/>
          <w:color w:val="auto"/>
          <w:kern w:val="2"/>
          <w:sz w:val="24"/>
          <w:szCs w:val="24"/>
          <w:highlight w:val="none"/>
          <w:lang w:val="en-US" w:eastAsia="zh-CN" w:bidi="ar-SA"/>
        </w:rPr>
        <w:t>3、投标企业须提供投标人（被授权人）近6个月任意1个月的社保证明；</w:t>
      </w:r>
      <w:bookmarkEnd w:id="145"/>
    </w:p>
    <w:p w14:paraId="7E0F6BAA">
      <w:pPr>
        <w:pStyle w:val="9"/>
        <w:numPr>
          <w:ilvl w:val="0"/>
          <w:numId w:val="0"/>
        </w:numPr>
        <w:kinsoku w:val="0"/>
        <w:overflowPunct w:val="0"/>
        <w:spacing w:before="34" w:line="357" w:lineRule="auto"/>
        <w:ind w:right="126"/>
        <w:jc w:val="center"/>
        <w:rPr>
          <w:rFonts w:hint="eastAsia" w:ascii="仿宋" w:hAnsi="仿宋" w:eastAsia="仿宋" w:cs="仿宋"/>
          <w:b/>
          <w:bCs/>
          <w:color w:val="auto"/>
          <w:sz w:val="24"/>
          <w:szCs w:val="24"/>
          <w:highlight w:val="none"/>
          <w:lang w:val="en-US" w:eastAsia="zh-CN"/>
        </w:rPr>
      </w:pPr>
    </w:p>
    <w:p w14:paraId="1D0D71C5">
      <w:pPr>
        <w:pStyle w:val="9"/>
        <w:numPr>
          <w:ilvl w:val="0"/>
          <w:numId w:val="0"/>
        </w:numPr>
        <w:kinsoku w:val="0"/>
        <w:overflowPunct w:val="0"/>
        <w:spacing w:before="34" w:line="357" w:lineRule="auto"/>
        <w:ind w:right="126"/>
        <w:jc w:val="center"/>
        <w:rPr>
          <w:rFonts w:hint="eastAsia" w:ascii="仿宋" w:hAnsi="仿宋" w:eastAsia="仿宋" w:cs="仿宋"/>
          <w:b/>
          <w:bCs/>
          <w:color w:val="auto"/>
          <w:sz w:val="24"/>
          <w:szCs w:val="24"/>
          <w:highlight w:val="none"/>
          <w:lang w:val="en-US" w:eastAsia="zh-CN"/>
        </w:rPr>
      </w:pPr>
    </w:p>
    <w:p w14:paraId="51E978A5">
      <w:pPr>
        <w:pStyle w:val="9"/>
        <w:numPr>
          <w:ilvl w:val="0"/>
          <w:numId w:val="0"/>
        </w:numPr>
        <w:kinsoku w:val="0"/>
        <w:overflowPunct w:val="0"/>
        <w:spacing w:before="34" w:line="357" w:lineRule="auto"/>
        <w:ind w:right="126"/>
        <w:jc w:val="both"/>
        <w:rPr>
          <w:rFonts w:hint="eastAsia" w:ascii="仿宋" w:hAnsi="仿宋" w:eastAsia="仿宋" w:cs="仿宋"/>
          <w:b/>
          <w:bCs/>
          <w:color w:val="auto"/>
          <w:sz w:val="24"/>
          <w:szCs w:val="24"/>
          <w:highlight w:val="none"/>
          <w:lang w:val="en-US" w:eastAsia="zh-CN"/>
        </w:rPr>
      </w:pPr>
    </w:p>
    <w:p w14:paraId="74667C79">
      <w:pPr>
        <w:pStyle w:val="9"/>
        <w:numPr>
          <w:ilvl w:val="0"/>
          <w:numId w:val="0"/>
        </w:numPr>
        <w:kinsoku w:val="0"/>
        <w:overflowPunct w:val="0"/>
        <w:spacing w:before="34" w:line="357" w:lineRule="auto"/>
        <w:ind w:right="126"/>
        <w:jc w:val="left"/>
        <w:outlineLvl w:val="2"/>
        <w:rPr>
          <w:rFonts w:hint="eastAsia" w:ascii="仿宋" w:hAnsi="仿宋" w:eastAsia="仿宋" w:cs="仿宋"/>
          <w:b/>
          <w:bCs/>
          <w:color w:val="auto"/>
          <w:sz w:val="24"/>
          <w:szCs w:val="24"/>
          <w:highlight w:val="none"/>
          <w:lang w:val="en-US" w:eastAsia="zh-CN"/>
        </w:rPr>
      </w:pPr>
      <w:bookmarkStart w:id="146" w:name="_Toc19794"/>
      <w:r>
        <w:rPr>
          <w:rFonts w:hint="eastAsia" w:ascii="仿宋" w:hAnsi="仿宋" w:eastAsia="仿宋" w:cs="仿宋"/>
          <w:b/>
          <w:bCs/>
          <w:color w:val="auto"/>
          <w:sz w:val="24"/>
          <w:szCs w:val="24"/>
          <w:highlight w:val="none"/>
          <w:lang w:val="en-US" w:eastAsia="zh-CN"/>
        </w:rPr>
        <w:t>4、未被列入信用中国网（</w:t>
      </w:r>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"http://www.creditchina.gov.cn/" </w:instrText>
      </w:r>
      <w:r>
        <w:rPr>
          <w:rFonts w:hint="eastAsia" w:ascii="仿宋" w:hAnsi="仿宋" w:eastAsia="仿宋" w:cs="仿宋"/>
          <w:b/>
          <w:bCs/>
          <w:color w:val="auto"/>
          <w:sz w:val="24"/>
          <w:szCs w:val="24"/>
          <w:highlight w:val="none"/>
          <w:lang w:val="en-US" w:eastAsia="zh-CN"/>
        </w:rPr>
        <w:fldChar w:fldCharType="separate"/>
      </w:r>
      <w:r>
        <w:rPr>
          <w:rFonts w:hint="eastAsia" w:ascii="仿宋" w:hAnsi="仿宋" w:eastAsia="仿宋" w:cs="仿宋"/>
          <w:b/>
          <w:bCs/>
          <w:color w:val="auto"/>
          <w:sz w:val="24"/>
          <w:szCs w:val="24"/>
          <w:highlight w:val="none"/>
          <w:lang w:val="en-US" w:eastAsia="zh-CN"/>
        </w:rPr>
        <w:t>www.creditchina.gov.cn</w:t>
      </w:r>
      <w:r>
        <w:rPr>
          <w:rFonts w:hint="eastAsia" w:ascii="仿宋" w:hAnsi="仿宋" w:eastAsia="仿宋" w:cs="仿宋"/>
          <w:b/>
          <w:bCs/>
          <w:color w:val="auto"/>
          <w:sz w:val="24"/>
          <w:szCs w:val="24"/>
          <w:highlight w:val="none"/>
          <w:lang w:val="en-US" w:eastAsia="zh-CN"/>
        </w:rPr>
        <w:fldChar w:fldCharType="end"/>
      </w:r>
      <w:r>
        <w:rPr>
          <w:rFonts w:hint="eastAsia" w:ascii="仿宋" w:hAnsi="仿宋" w:eastAsia="仿宋" w:cs="仿宋"/>
          <w:b/>
          <w:bCs/>
          <w:color w:val="auto"/>
          <w:sz w:val="24"/>
          <w:szCs w:val="24"/>
          <w:highlight w:val="none"/>
          <w:lang w:val="en-US" w:eastAsia="zh-CN"/>
        </w:rPr>
        <w:t>）及中国政府采购网 (</w:t>
      </w:r>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"http://www.ccgp.gov.cn/" </w:instrText>
      </w:r>
      <w:r>
        <w:rPr>
          <w:rFonts w:hint="eastAsia" w:ascii="仿宋" w:hAnsi="仿宋" w:eastAsia="仿宋" w:cs="仿宋"/>
          <w:b/>
          <w:bCs/>
          <w:color w:val="auto"/>
          <w:sz w:val="24"/>
          <w:szCs w:val="24"/>
          <w:highlight w:val="none"/>
          <w:lang w:val="en-US" w:eastAsia="zh-CN"/>
        </w:rPr>
        <w:fldChar w:fldCharType="separate"/>
      </w:r>
      <w:r>
        <w:rPr>
          <w:rFonts w:hint="eastAsia" w:ascii="仿宋" w:hAnsi="仿宋" w:eastAsia="仿宋" w:cs="仿宋"/>
          <w:b/>
          <w:bCs/>
          <w:color w:val="auto"/>
          <w:sz w:val="24"/>
          <w:szCs w:val="24"/>
          <w:highlight w:val="none"/>
          <w:lang w:val="en-US" w:eastAsia="zh-CN"/>
        </w:rPr>
        <w:t>www.ccgp.gov.cn</w:t>
      </w:r>
      <w:r>
        <w:rPr>
          <w:rFonts w:hint="eastAsia" w:ascii="仿宋" w:hAnsi="仿宋" w:eastAsia="仿宋" w:cs="仿宋"/>
          <w:b/>
          <w:bCs/>
          <w:color w:val="auto"/>
          <w:sz w:val="24"/>
          <w:szCs w:val="24"/>
          <w:highlight w:val="none"/>
          <w:lang w:val="en-US" w:eastAsia="zh-CN"/>
        </w:rPr>
        <w:fldChar w:fldCharType="end"/>
      </w:r>
      <w:r>
        <w:rPr>
          <w:rFonts w:hint="eastAsia" w:ascii="仿宋" w:hAnsi="仿宋" w:eastAsia="仿宋" w:cs="仿宋"/>
          <w:b/>
          <w:bCs/>
          <w:color w:val="auto"/>
          <w:sz w:val="24"/>
          <w:szCs w:val="24"/>
          <w:highlight w:val="none"/>
          <w:lang w:val="en-US" w:eastAsia="zh-CN"/>
        </w:rPr>
        <w:t>）失信被执行人名单、重大税收违法失信主体、政府采购严重违法失信行为记录名单（提供查询结果网页截图并加盖供应商公章）；</w:t>
      </w:r>
      <w:bookmarkEnd w:id="146"/>
    </w:p>
    <w:p w14:paraId="5D088B63">
      <w:pPr>
        <w:pStyle w:val="9"/>
        <w:numPr>
          <w:ilvl w:val="0"/>
          <w:numId w:val="0"/>
        </w:numPr>
        <w:kinsoku w:val="0"/>
        <w:overflowPunct w:val="0"/>
        <w:spacing w:before="34" w:line="357" w:lineRule="auto"/>
        <w:ind w:right="126"/>
        <w:jc w:val="center"/>
        <w:rPr>
          <w:rFonts w:hint="eastAsia" w:ascii="仿宋" w:hAnsi="仿宋" w:eastAsia="仿宋" w:cs="仿宋"/>
          <w:b/>
          <w:bCs/>
          <w:color w:val="auto"/>
          <w:sz w:val="24"/>
          <w:szCs w:val="24"/>
          <w:highlight w:val="none"/>
          <w:lang w:val="en-US" w:eastAsia="zh-CN"/>
        </w:rPr>
      </w:pPr>
    </w:p>
    <w:p w14:paraId="23CCE45C">
      <w:pPr>
        <w:pStyle w:val="9"/>
        <w:numPr>
          <w:ilvl w:val="0"/>
          <w:numId w:val="0"/>
        </w:numPr>
        <w:kinsoku w:val="0"/>
        <w:overflowPunct w:val="0"/>
        <w:spacing w:before="34" w:line="357" w:lineRule="auto"/>
        <w:ind w:right="126"/>
        <w:jc w:val="center"/>
        <w:rPr>
          <w:rFonts w:hint="eastAsia" w:ascii="仿宋" w:hAnsi="仿宋" w:eastAsia="仿宋" w:cs="仿宋"/>
          <w:b/>
          <w:bCs/>
          <w:color w:val="auto"/>
          <w:sz w:val="24"/>
          <w:szCs w:val="24"/>
          <w:highlight w:val="none"/>
          <w:lang w:val="en-US" w:eastAsia="zh-CN"/>
        </w:rPr>
      </w:pPr>
    </w:p>
    <w:p w14:paraId="5A5C1170">
      <w:pPr>
        <w:pStyle w:val="9"/>
        <w:numPr>
          <w:ilvl w:val="0"/>
          <w:numId w:val="0"/>
        </w:numPr>
        <w:kinsoku w:val="0"/>
        <w:overflowPunct w:val="0"/>
        <w:spacing w:before="34" w:line="357" w:lineRule="auto"/>
        <w:ind w:right="126"/>
        <w:jc w:val="center"/>
        <w:rPr>
          <w:rFonts w:hint="eastAsia" w:ascii="仿宋" w:hAnsi="仿宋" w:eastAsia="仿宋" w:cs="仿宋"/>
          <w:b/>
          <w:bCs/>
          <w:color w:val="auto"/>
          <w:sz w:val="24"/>
          <w:szCs w:val="24"/>
          <w:highlight w:val="none"/>
          <w:lang w:val="en-US" w:eastAsia="zh-CN"/>
        </w:rPr>
      </w:pPr>
    </w:p>
    <w:p w14:paraId="146AEC38">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bookmarkStart w:id="147" w:name="_Toc10146"/>
      <w:bookmarkStart w:id="148" w:name="bookmark225"/>
      <w:bookmarkStart w:id="149" w:name="bookmark226"/>
      <w:bookmarkStart w:id="150" w:name="bookmark228"/>
      <w:bookmarkStart w:id="151" w:name="bookmark233"/>
      <w:bookmarkStart w:id="152" w:name="bookmark235"/>
      <w:bookmarkStart w:id="153" w:name="bookmark234"/>
      <w:bookmarkStart w:id="154" w:name="bookmark236"/>
      <w:r>
        <w:rPr>
          <w:rFonts w:hint="eastAsia" w:ascii="仿宋" w:hAnsi="仿宋" w:eastAsia="仿宋" w:cs="仿宋"/>
          <w:b/>
          <w:bCs/>
          <w:color w:val="auto"/>
          <w:kern w:val="2"/>
          <w:sz w:val="24"/>
          <w:szCs w:val="24"/>
          <w:highlight w:val="none"/>
          <w:lang w:val="en-US" w:eastAsia="zh-CN" w:bidi="ar-SA"/>
        </w:rPr>
        <w:t>5、投标企业需提供中国银行业监督管理委员会有效的《中华人民共和国金融许可证》或《金融机构营业许可证》</w:t>
      </w:r>
    </w:p>
    <w:p w14:paraId="4B54F083">
      <w:pPr>
        <w:numPr>
          <w:ilvl w:val="1"/>
          <w:numId w:val="0"/>
        </w:numPr>
        <w:tabs>
          <w:tab w:val="left" w:pos="540"/>
        </w:tabs>
        <w:spacing w:line="240" w:lineRule="atLeast"/>
        <w:ind w:left="431" w:leftChars="0"/>
        <w:outlineLvl w:val="2"/>
        <w:rPr>
          <w:rFonts w:hint="eastAsia" w:ascii="仿宋" w:hAnsi="仿宋" w:eastAsia="仿宋" w:cs="仿宋"/>
          <w:b/>
          <w:bCs/>
          <w:color w:val="auto"/>
          <w:kern w:val="2"/>
          <w:sz w:val="24"/>
          <w:szCs w:val="24"/>
          <w:highlight w:val="none"/>
          <w:lang w:val="en-US" w:eastAsia="zh-CN" w:bidi="ar-SA"/>
        </w:rPr>
      </w:pPr>
    </w:p>
    <w:p w14:paraId="6F78FB66">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469171B0">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1804402D">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5154BFBD">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05FFF5C9">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55E41403">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15C6DF0F">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4ACD9ECC">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6、供应商须知资料表要求的其他资格证明文件</w:t>
      </w:r>
      <w:bookmarkEnd w:id="147"/>
    </w:p>
    <w:p w14:paraId="2B469235">
      <w:pPr>
        <w:pStyle w:val="70"/>
        <w:keepNext/>
        <w:keepLines/>
        <w:spacing w:before="0" w:after="660"/>
        <w:ind w:firstLine="420"/>
        <w:outlineLvl w:val="2"/>
        <w:rPr>
          <w:rFonts w:hint="eastAsia" w:ascii="仿宋" w:hAnsi="仿宋" w:eastAsia="仿宋" w:cs="仿宋"/>
          <w:color w:val="auto"/>
          <w:sz w:val="24"/>
          <w:szCs w:val="24"/>
          <w:highlight w:val="none"/>
          <w:lang w:eastAsia="zh-CN"/>
        </w:rPr>
      </w:pPr>
    </w:p>
    <w:p w14:paraId="05F6550F">
      <w:pPr>
        <w:pStyle w:val="70"/>
        <w:keepNext/>
        <w:keepLines/>
        <w:spacing w:before="0" w:after="660"/>
        <w:jc w:val="both"/>
        <w:rPr>
          <w:rFonts w:hint="eastAsia" w:ascii="仿宋" w:hAnsi="仿宋" w:eastAsia="仿宋" w:cs="仿宋"/>
          <w:color w:val="auto"/>
          <w:sz w:val="24"/>
          <w:szCs w:val="24"/>
          <w:highlight w:val="none"/>
          <w:lang w:eastAsia="zh-CN"/>
        </w:rPr>
      </w:pPr>
    </w:p>
    <w:p w14:paraId="2E4AEE5D">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1C099F83">
      <w:pPr>
        <w:pStyle w:val="4"/>
        <w:numPr>
          <w:ilvl w:val="0"/>
          <w:numId w:val="0"/>
        </w:numPr>
        <w:shd w:val="clear" w:color="auto" w:fill="auto"/>
        <w:tabs>
          <w:tab w:val="left" w:pos="540"/>
        </w:tabs>
        <w:spacing w:before="0" w:line="240" w:lineRule="atLeast"/>
        <w:jc w:val="center"/>
        <w:rPr>
          <w:rFonts w:hint="eastAsia" w:ascii="仿宋" w:hAnsi="仿宋" w:eastAsia="仿宋" w:cs="仿宋"/>
          <w:b/>
          <w:bCs/>
          <w:color w:val="auto"/>
          <w:sz w:val="24"/>
          <w:szCs w:val="24"/>
          <w:highlight w:val="none"/>
        </w:rPr>
      </w:pPr>
      <w:bookmarkStart w:id="155" w:name="_Toc22265"/>
      <w:bookmarkStart w:id="156" w:name="_Toc24188"/>
      <w:r>
        <w:rPr>
          <w:rFonts w:hint="eastAsia" w:ascii="仿宋" w:hAnsi="仿宋" w:eastAsia="仿宋" w:cs="仿宋"/>
          <w:b/>
          <w:bCs/>
          <w:color w:val="auto"/>
          <w:sz w:val="24"/>
          <w:szCs w:val="24"/>
          <w:highlight w:val="none"/>
          <w:lang w:val="en-US" w:eastAsia="zh-CN"/>
        </w:rPr>
        <w:t>第二部分</w:t>
      </w:r>
      <w:r>
        <w:rPr>
          <w:rFonts w:hint="eastAsia" w:ascii="仿宋" w:hAnsi="仿宋" w:eastAsia="仿宋" w:cs="仿宋"/>
          <w:b/>
          <w:bCs/>
          <w:color w:val="auto"/>
          <w:sz w:val="24"/>
          <w:szCs w:val="24"/>
          <w:highlight w:val="none"/>
        </w:rPr>
        <w:t>商务及技术文件</w:t>
      </w:r>
      <w:bookmarkEnd w:id="155"/>
      <w:bookmarkEnd w:id="156"/>
    </w:p>
    <w:p w14:paraId="505F059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w:t>
      </w:r>
      <w:r>
        <w:rPr>
          <w:rFonts w:hint="eastAsia" w:ascii="仿宋" w:hAnsi="仿宋" w:eastAsia="仿宋" w:cs="仿宋"/>
          <w:color w:val="auto"/>
          <w:sz w:val="24"/>
          <w:szCs w:val="24"/>
          <w:highlight w:val="none"/>
          <w:lang w:eastAsia="zh-CN"/>
        </w:rPr>
        <w:t>函</w:t>
      </w:r>
    </w:p>
    <w:p w14:paraId="172D491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pacing w:val="0"/>
          <w:w w:val="100"/>
          <w:kern w:val="0"/>
          <w:position w:val="0"/>
          <w:sz w:val="24"/>
          <w:szCs w:val="24"/>
          <w:u w:val="none" w:color="000000"/>
          <w:shd w:val="clear" w:color="auto" w:fill="auto"/>
          <w:lang w:val="en-US" w:eastAsia="zh-CN" w:bidi="en-US"/>
        </w:rPr>
      </w:pPr>
      <w:r>
        <w:rPr>
          <w:rFonts w:hint="eastAsia" w:ascii="仿宋" w:hAnsi="仿宋" w:eastAsia="仿宋" w:cs="仿宋"/>
          <w:color w:val="auto"/>
          <w:spacing w:val="0"/>
          <w:w w:val="100"/>
          <w:kern w:val="0"/>
          <w:position w:val="0"/>
          <w:sz w:val="24"/>
          <w:szCs w:val="24"/>
          <w:u w:val="none" w:color="000000"/>
          <w:shd w:val="clear" w:color="auto" w:fill="auto"/>
          <w:lang w:val="en-US" w:eastAsia="zh-CN" w:bidi="en-US"/>
        </w:rPr>
        <w:t>2、开标一览表</w:t>
      </w:r>
    </w:p>
    <w:p w14:paraId="315837ED">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pacing w:val="0"/>
          <w:w w:val="100"/>
          <w:kern w:val="0"/>
          <w:position w:val="0"/>
          <w:sz w:val="24"/>
          <w:szCs w:val="24"/>
          <w:u w:val="none" w:color="000000"/>
          <w:shd w:val="clear" w:color="auto" w:fill="auto"/>
          <w:lang w:val="en-US" w:eastAsia="zh-CN" w:bidi="en-US"/>
        </w:rPr>
      </w:pPr>
      <w:r>
        <w:rPr>
          <w:rFonts w:hint="eastAsia" w:ascii="仿宋" w:hAnsi="仿宋" w:eastAsia="仿宋" w:cs="仿宋"/>
          <w:color w:val="auto"/>
          <w:spacing w:val="0"/>
          <w:w w:val="100"/>
          <w:kern w:val="0"/>
          <w:position w:val="0"/>
          <w:sz w:val="24"/>
          <w:szCs w:val="24"/>
          <w:u w:val="none" w:color="000000"/>
          <w:shd w:val="clear" w:color="auto" w:fill="auto"/>
          <w:lang w:val="en-US" w:eastAsia="zh-CN" w:bidi="en-US"/>
        </w:rPr>
        <w:t>3、投标人基本情况</w:t>
      </w:r>
    </w:p>
    <w:p w14:paraId="4550864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商务条款偏离表</w:t>
      </w:r>
    </w:p>
    <w:p w14:paraId="4FE4F0CD">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5、技术部分</w:t>
      </w:r>
    </w:p>
    <w:p w14:paraId="31E3DE1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6、投标人认为需要提交的技术资料</w:t>
      </w:r>
      <w:r>
        <w:rPr>
          <w:rFonts w:hint="eastAsia" w:ascii="仿宋" w:hAnsi="仿宋" w:eastAsia="仿宋" w:cs="仿宋"/>
          <w:color w:val="auto"/>
          <w:spacing w:val="0"/>
          <w:w w:val="100"/>
          <w:position w:val="0"/>
          <w:sz w:val="24"/>
          <w:szCs w:val="24"/>
          <w:highlight w:val="none"/>
          <w:shd w:val="clear" w:color="auto" w:fill="auto"/>
          <w:lang w:val="en-US" w:eastAsia="zh-CN" w:bidi="ar-SA"/>
        </w:rPr>
        <w:t xml:space="preserve"> </w:t>
      </w:r>
      <w:r>
        <w:rPr>
          <w:rFonts w:hint="eastAsia" w:ascii="仿宋" w:hAnsi="仿宋" w:eastAsia="仿宋" w:cs="仿宋"/>
          <w:color w:val="auto"/>
          <w:sz w:val="24"/>
          <w:szCs w:val="24"/>
          <w:highlight w:val="none"/>
          <w:lang w:eastAsia="zh-CN"/>
        </w:rPr>
        <w:t>（格式自拟）</w:t>
      </w:r>
    </w:p>
    <w:p w14:paraId="1681FA26">
      <w:pPr>
        <w:pStyle w:val="70"/>
        <w:keepNext/>
        <w:keepLines/>
        <w:spacing w:before="0" w:after="660"/>
        <w:ind w:firstLine="420"/>
        <w:rPr>
          <w:rFonts w:hint="eastAsia" w:ascii="仿宋" w:hAnsi="仿宋" w:eastAsia="仿宋" w:cs="仿宋"/>
          <w:color w:val="auto"/>
          <w:sz w:val="24"/>
          <w:szCs w:val="24"/>
          <w:highlight w:val="none"/>
          <w:lang w:eastAsia="zh-CN"/>
        </w:rPr>
      </w:pPr>
    </w:p>
    <w:p w14:paraId="349C23BD">
      <w:pPr>
        <w:pStyle w:val="70"/>
        <w:keepNext/>
        <w:keepLines/>
        <w:spacing w:before="0" w:after="660"/>
        <w:jc w:val="both"/>
        <w:rPr>
          <w:rFonts w:hint="eastAsia" w:ascii="仿宋" w:hAnsi="仿宋" w:eastAsia="仿宋" w:cs="仿宋"/>
          <w:color w:val="auto"/>
          <w:sz w:val="24"/>
          <w:szCs w:val="24"/>
          <w:highlight w:val="none"/>
          <w:lang w:eastAsia="zh-CN"/>
        </w:rPr>
      </w:pPr>
    </w:p>
    <w:p w14:paraId="0B1EB784">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3539854">
      <w:pPr>
        <w:pStyle w:val="9"/>
        <w:numPr>
          <w:ilvl w:val="0"/>
          <w:numId w:val="0"/>
        </w:numPr>
        <w:kinsoku w:val="0"/>
        <w:overflowPunct w:val="0"/>
        <w:spacing w:before="130" w:line="355" w:lineRule="auto"/>
        <w:ind w:left="480" w:leftChars="0" w:right="7" w:rightChars="0"/>
        <w:jc w:val="center"/>
        <w:outlineLvl w:val="2"/>
        <w:rPr>
          <w:rFonts w:hint="eastAsia" w:ascii="仿宋" w:hAnsi="仿宋" w:eastAsia="仿宋" w:cs="仿宋"/>
          <w:b/>
          <w:bCs/>
          <w:color w:val="auto"/>
          <w:sz w:val="24"/>
          <w:szCs w:val="24"/>
        </w:rPr>
      </w:pPr>
      <w:bookmarkStart w:id="157" w:name="_Toc10861"/>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、投标函</w:t>
      </w:r>
      <w:bookmarkEnd w:id="157"/>
    </w:p>
    <w:p w14:paraId="1A45E8D0">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致：</w:t>
      </w:r>
      <w:r>
        <w:rPr>
          <w:rFonts w:hint="eastAsia" w:ascii="仿宋" w:hAnsi="仿宋" w:eastAsia="仿宋" w:cs="仿宋"/>
          <w:color w:val="auto"/>
          <w:kern w:val="0"/>
          <w:sz w:val="24"/>
          <w:szCs w:val="24"/>
          <w:u w:val="single"/>
        </w:rPr>
        <w:t xml:space="preserve">                     </w:t>
      </w:r>
    </w:p>
    <w:p w14:paraId="2C051EE7">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为响应你方组织的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项目的招标[项目编号为：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]，我方愿参与投标。</w:t>
      </w:r>
    </w:p>
    <w:p w14:paraId="0B224280">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我方确认收到贵方提供的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none"/>
        </w:rPr>
        <w:t>招标</w:t>
      </w:r>
      <w:r>
        <w:rPr>
          <w:rFonts w:hint="eastAsia" w:ascii="仿宋" w:hAnsi="仿宋" w:eastAsia="仿宋" w:cs="仿宋"/>
          <w:color w:val="auto"/>
          <w:kern w:val="0"/>
          <w:sz w:val="24"/>
          <w:szCs w:val="24"/>
        </w:rPr>
        <w:t>文件的全部内容。</w:t>
      </w:r>
    </w:p>
    <w:p w14:paraId="38E3DB1B">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0E9848E5">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(投标人名称)      </w:t>
      </w:r>
      <w:r>
        <w:rPr>
          <w:rFonts w:hint="eastAsia" w:ascii="仿宋" w:hAnsi="仿宋" w:eastAsia="仿宋" w:cs="仿宋"/>
          <w:color w:val="auto"/>
          <w:kern w:val="0"/>
          <w:sz w:val="24"/>
          <w:szCs w:val="24"/>
        </w:rPr>
        <w:t>作为投标人正式授权</w:t>
      </w:r>
      <w:r>
        <w:rPr>
          <w:rFonts w:hint="eastAsia" w:ascii="仿宋" w:hAnsi="仿宋" w:eastAsia="仿宋" w:cs="仿宋"/>
          <w:color w:val="auto"/>
          <w:kern w:val="0"/>
          <w:sz w:val="24"/>
          <w:szCs w:val="24"/>
          <w:u w:val="single"/>
        </w:rPr>
        <w:t xml:space="preserve">  (授权代表全名, 职务)  </w:t>
      </w:r>
      <w:r>
        <w:rPr>
          <w:rFonts w:hint="eastAsia" w:ascii="仿宋" w:hAnsi="仿宋" w:eastAsia="仿宋" w:cs="仿宋"/>
          <w:color w:val="auto"/>
          <w:kern w:val="0"/>
          <w:sz w:val="24"/>
          <w:szCs w:val="24"/>
        </w:rPr>
        <w:t>代表我方全权处理有关本报价的一切事宜。</w:t>
      </w:r>
    </w:p>
    <w:p w14:paraId="43BA29DF">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我方已完全明白招标文件的所有条款要求，并申明如下：</w:t>
      </w:r>
    </w:p>
    <w:p w14:paraId="5A72720B">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（一）按招标文件提供的全部相关服务的投标总价详见《报价一览表》。</w:t>
      </w:r>
    </w:p>
    <w:p w14:paraId="4995A784">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（二）本投标文件的有效期为投标截止时间起</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3DBDB39E">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（三）我方同意按照贵方可能提出的要求而提供与投标有关的任何其它数据、信息或资料。</w:t>
      </w:r>
    </w:p>
    <w:p w14:paraId="07D3748F">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四</w:t>
      </w:r>
      <w:r>
        <w:rPr>
          <w:rFonts w:hint="eastAsia" w:ascii="仿宋" w:hAnsi="仿宋" w:eastAsia="仿宋" w:cs="仿宋"/>
          <w:color w:val="auto"/>
          <w:kern w:val="0"/>
          <w:sz w:val="24"/>
          <w:szCs w:val="24"/>
        </w:rPr>
        <w:t>）我方理解贵方不一定接受最低投标价或任何贵方可能收到的投标。</w:t>
      </w:r>
    </w:p>
    <w:p w14:paraId="3B938B35">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五</w:t>
      </w:r>
      <w:r>
        <w:rPr>
          <w:rFonts w:hint="eastAsia" w:ascii="仿宋" w:hAnsi="仿宋" w:eastAsia="仿宋" w:cs="仿宋"/>
          <w:color w:val="auto"/>
          <w:kern w:val="0"/>
          <w:sz w:val="24"/>
          <w:szCs w:val="24"/>
        </w:rPr>
        <w:t>）我方如果中标，将保证履行招标文件及其澄清、修改文件（如果有）中的全部责任和义务，按质、按量、按期完成《招标内容》及《合同书》中的全部任务。</w:t>
      </w:r>
    </w:p>
    <w:p w14:paraId="001F0D16">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六</w:t>
      </w:r>
      <w:r>
        <w:rPr>
          <w:rFonts w:hint="eastAsia" w:ascii="仿宋" w:hAnsi="仿宋" w:eastAsia="仿宋" w:cs="仿宋"/>
          <w:color w:val="auto"/>
          <w:kern w:val="0"/>
          <w:sz w:val="24"/>
          <w:szCs w:val="24"/>
        </w:rPr>
        <w:t>）如我方被授予合同，我方承诺支付就本次招标应支付或将支付的中标服务费（详见按招标文件要求格式填写的《中标服务费支付承诺书》）。</w:t>
      </w:r>
    </w:p>
    <w:p w14:paraId="46585138">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七</w:t>
      </w:r>
      <w:r>
        <w:rPr>
          <w:rFonts w:hint="eastAsia" w:ascii="仿宋" w:hAnsi="仿宋" w:eastAsia="仿宋" w:cs="仿宋"/>
          <w:color w:val="auto"/>
          <w:kern w:val="0"/>
          <w:sz w:val="24"/>
          <w:szCs w:val="24"/>
        </w:rPr>
        <w:t>）我方作为在法律、财务和运作上独立于采购人、招标代理机构的投标人，在此保证所提交的所有文件和全部说明是真实的和正确的。</w:t>
      </w:r>
    </w:p>
    <w:p w14:paraId="5D0EFA1D">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八</w:t>
      </w:r>
      <w:r>
        <w:rPr>
          <w:rFonts w:hint="eastAsia" w:ascii="仿宋" w:hAnsi="仿宋" w:eastAsia="仿宋" w:cs="仿宋"/>
          <w:color w:val="auto"/>
          <w:kern w:val="0"/>
          <w:sz w:val="24"/>
          <w:szCs w:val="24"/>
        </w:rPr>
        <w:t>）我方投标报价已包含应向知识产权所有权人支付的所有相关税费，并保证采购人在中国使用我方提供的货物时</w:t>
      </w:r>
      <w:r>
        <w:rPr>
          <w:rFonts w:hint="eastAsia" w:ascii="仿宋" w:hAnsi="仿宋" w:eastAsia="仿宋" w:cs="仿宋"/>
          <w:color w:val="auto"/>
          <w:kern w:val="0"/>
          <w:sz w:val="24"/>
          <w:szCs w:val="24"/>
          <w:lang w:eastAsia="zh-CN"/>
        </w:rPr>
        <w:t>或服务时</w:t>
      </w:r>
      <w:r>
        <w:rPr>
          <w:rFonts w:hint="eastAsia" w:ascii="仿宋" w:hAnsi="仿宋" w:eastAsia="仿宋" w:cs="仿宋"/>
          <w:color w:val="auto"/>
          <w:kern w:val="0"/>
          <w:sz w:val="24"/>
          <w:szCs w:val="24"/>
        </w:rPr>
        <w:t>，如有第三方提出侵犯其知识产权主张的，责任由我方承担。</w:t>
      </w:r>
    </w:p>
    <w:p w14:paraId="5C9BFA32">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九</w:t>
      </w:r>
      <w:r>
        <w:rPr>
          <w:rFonts w:hint="eastAsia" w:ascii="仿宋" w:hAnsi="仿宋" w:eastAsia="仿宋" w:cs="仿宋"/>
          <w:color w:val="auto"/>
          <w:kern w:val="0"/>
          <w:sz w:val="24"/>
          <w:szCs w:val="24"/>
        </w:rPr>
        <w:t>）我方与其他投标人不存在单位负责人为同一人或者存在直接控股、管理关系。</w:t>
      </w:r>
    </w:p>
    <w:p w14:paraId="053DDC84">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（十）我方承诺未为本项目提供整体设计、规范编制或者项目管理、监理、检测等服务。</w:t>
      </w:r>
    </w:p>
    <w:p w14:paraId="18A2B60D">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（十</w:t>
      </w:r>
      <w:r>
        <w:rPr>
          <w:rFonts w:hint="eastAsia" w:ascii="仿宋" w:hAnsi="仿宋" w:eastAsia="仿宋" w:cs="仿宋"/>
          <w:color w:val="auto"/>
          <w:kern w:val="0"/>
          <w:sz w:val="24"/>
          <w:szCs w:val="24"/>
          <w:lang w:eastAsia="zh-CN"/>
        </w:rPr>
        <w:t>一</w:t>
      </w:r>
      <w:r>
        <w:rPr>
          <w:rFonts w:hint="eastAsia" w:ascii="仿宋" w:hAnsi="仿宋" w:eastAsia="仿宋" w:cs="仿宋"/>
          <w:color w:val="auto"/>
          <w:kern w:val="0"/>
          <w:sz w:val="24"/>
          <w:szCs w:val="24"/>
        </w:rPr>
        <w:t>）我方具备《政府采购法》第二十二条规定的条件，承诺如下：</w:t>
      </w:r>
    </w:p>
    <w:p w14:paraId="061D9F40">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（1）我方已依法缴纳了各项税费及社会保险费用，如有需要，可随时向采购人提供近三个月内的相关缴费证明，以便核查。</w:t>
      </w:r>
    </w:p>
    <w:p w14:paraId="3EBD4021">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（2）我方已依法建立健全的财务会计制度，如有需要，可随时向采购人提供相关的证明材料，以便核查。</w:t>
      </w:r>
    </w:p>
    <w:p w14:paraId="25F3BEA7">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（3）我方参加本项目政府采购活动前3年内在经营活动中没有重大违法记录。</w:t>
      </w:r>
    </w:p>
    <w:p w14:paraId="520B51CB">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（4）我方具备履行合同所必需的设备和专业技术能力。</w:t>
      </w:r>
    </w:p>
    <w:p w14:paraId="04F07B68">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（5）我方符合法律、行政法规规定的其他条件。</w:t>
      </w:r>
    </w:p>
    <w:p w14:paraId="21C0B0E5">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以上内容如有虚假或与事实不符的，评审委员会可将我方做无效投标处理，我方愿意承担相应的法律责任。</w:t>
      </w:r>
    </w:p>
    <w:p w14:paraId="68994F7B">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（十三）我方对在本函及投标文件中所作的所有承诺承担法律责任。</w:t>
      </w:r>
    </w:p>
    <w:p w14:paraId="3CB21A04">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（十四）所有与本招标有关的函件请发往下列地址：</w:t>
      </w:r>
    </w:p>
    <w:p w14:paraId="7495FDCC">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    址：</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.邮政编码：</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41681F2E">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    话：</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4E7C7FE0">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传    真：</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0007F21E">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代表姓名：</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.职    务：</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35DD7F03">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szCs w:val="24"/>
        </w:rPr>
      </w:pPr>
    </w:p>
    <w:p w14:paraId="5E574DD7">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szCs w:val="24"/>
        </w:rPr>
      </w:pPr>
    </w:p>
    <w:p w14:paraId="520F21F5">
      <w:pPr>
        <w:keepNext w:val="0"/>
        <w:keepLines w:val="0"/>
        <w:pageBreakBefore w:val="0"/>
        <w:widowControl w:val="0"/>
        <w:topLinePunct w:val="0"/>
        <w:autoSpaceDE/>
        <w:autoSpaceDN/>
        <w:bidi w:val="0"/>
        <w:adjustRightInd/>
        <w:snapToGrid/>
        <w:spacing w:line="360" w:lineRule="auto"/>
        <w:ind w:right="48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投标人：</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（公章） </w:t>
      </w:r>
    </w:p>
    <w:p w14:paraId="03DC2327">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rPr>
        <w:t>法定代表人：</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rPr>
        <w:t>（</w:t>
      </w:r>
      <w:r>
        <w:rPr>
          <w:rFonts w:hint="eastAsia" w:ascii="仿宋" w:hAnsi="仿宋" w:eastAsia="仿宋" w:cs="仿宋"/>
          <w:color w:val="auto"/>
          <w:kern w:val="0"/>
          <w:sz w:val="24"/>
          <w:szCs w:val="24"/>
          <w:u w:val="none"/>
          <w:lang w:eastAsia="zh-CN"/>
        </w:rPr>
        <w:t>签章</w:t>
      </w:r>
      <w:r>
        <w:rPr>
          <w:rFonts w:hint="eastAsia" w:ascii="仿宋" w:hAnsi="仿宋" w:eastAsia="仿宋" w:cs="仿宋"/>
          <w:color w:val="auto"/>
          <w:kern w:val="0"/>
          <w:sz w:val="24"/>
          <w:szCs w:val="24"/>
          <w:u w:val="none"/>
        </w:rPr>
        <w:t>）</w:t>
      </w:r>
    </w:p>
    <w:p w14:paraId="4491D47D">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lang w:val="zh-CN"/>
        </w:rPr>
        <w:t>授权代理人：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lang w:val="zh-CN"/>
        </w:rPr>
        <w:t>（签字）</w:t>
      </w:r>
    </w:p>
    <w:p w14:paraId="1DA7E299">
      <w:pPr>
        <w:keepNext w:val="0"/>
        <w:keepLines w:val="0"/>
        <w:pageBreakBefore w:val="0"/>
        <w:widowControl w:val="0"/>
        <w:wordWrap w:val="0"/>
        <w:topLinePunct w:val="0"/>
        <w:autoSpaceDE/>
        <w:autoSpaceDN/>
        <w:bidi w:val="0"/>
        <w:adjustRightInd/>
        <w:snapToGrid/>
        <w:spacing w:line="360" w:lineRule="auto"/>
        <w:ind w:firstLine="486"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non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日</w:t>
      </w:r>
    </w:p>
    <w:p w14:paraId="50B18A92">
      <w:pPr>
        <w:pStyle w:val="9"/>
        <w:numPr>
          <w:ilvl w:val="0"/>
          <w:numId w:val="0"/>
        </w:numPr>
        <w:kinsoku w:val="0"/>
        <w:overflowPunct w:val="0"/>
        <w:spacing w:before="130" w:line="355" w:lineRule="auto"/>
        <w:ind w:right="7" w:rightChars="0" w:firstLine="1701" w:firstLineChars="700"/>
        <w:jc w:val="both"/>
        <w:outlineLvl w:val="2"/>
        <w:rPr>
          <w:rFonts w:hint="eastAsia" w:ascii="仿宋" w:hAnsi="仿宋" w:eastAsia="仿宋" w:cs="仿宋"/>
          <w:b/>
          <w:bCs/>
          <w:color w:val="auto"/>
          <w:sz w:val="24"/>
          <w:szCs w:val="24"/>
          <w:lang w:val="en-US" w:eastAsia="zh-CN"/>
        </w:rPr>
      </w:pPr>
      <w:bookmarkStart w:id="158" w:name="_Toc17232"/>
    </w:p>
    <w:p w14:paraId="51541BA3">
      <w:pPr>
        <w:pStyle w:val="9"/>
        <w:numPr>
          <w:ilvl w:val="0"/>
          <w:numId w:val="0"/>
        </w:numPr>
        <w:kinsoku w:val="0"/>
        <w:overflowPunct w:val="0"/>
        <w:spacing w:before="130" w:line="355" w:lineRule="auto"/>
        <w:ind w:right="7" w:rightChars="0" w:firstLine="1701" w:firstLineChars="700"/>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w:t>
      </w:r>
      <w:bookmarkEnd w:id="148"/>
      <w:bookmarkEnd w:id="149"/>
      <w:bookmarkEnd w:id="150"/>
      <w:r>
        <w:rPr>
          <w:rFonts w:hint="eastAsia" w:ascii="仿宋" w:hAnsi="仿宋" w:eastAsia="仿宋" w:cs="仿宋"/>
          <w:b/>
          <w:bCs/>
          <w:color w:val="auto"/>
          <w:sz w:val="24"/>
          <w:szCs w:val="24"/>
          <w:lang w:val="en-US" w:eastAsia="zh-CN"/>
        </w:rPr>
        <w:t>开标一览表</w:t>
      </w:r>
      <w:bookmarkEnd w:id="158"/>
    </w:p>
    <w:p w14:paraId="3CD42645">
      <w:pPr>
        <w:pStyle w:val="71"/>
        <w:tabs>
          <w:tab w:val="left" w:leader="underscore" w:pos="4122"/>
        </w:tabs>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价格单位：</w:t>
      </w:r>
      <w:r>
        <w:rPr>
          <w:rFonts w:hint="eastAsia" w:ascii="仿宋" w:hAnsi="仿宋" w:eastAsia="仿宋" w:cs="仿宋"/>
          <w:color w:val="auto"/>
          <w:sz w:val="24"/>
          <w:szCs w:val="24"/>
          <w:highlight w:val="none"/>
          <w:lang w:val="en-US" w:eastAsia="zh-CN"/>
        </w:rPr>
        <w:t>%</w:t>
      </w:r>
    </w:p>
    <w:p w14:paraId="28373D45">
      <w:pPr>
        <w:pStyle w:val="71"/>
        <w:tabs>
          <w:tab w:val="left" w:leader="underscore" w:pos="4122"/>
        </w:tabs>
        <w:ind w:left="421"/>
        <w:rPr>
          <w:rFonts w:hint="eastAsia" w:ascii="仿宋" w:hAnsi="仿宋" w:eastAsia="仿宋" w:cs="仿宋"/>
          <w:color w:val="auto"/>
          <w:sz w:val="24"/>
          <w:szCs w:val="24"/>
          <w:highlight w:val="none"/>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412"/>
        <w:gridCol w:w="6768"/>
      </w:tblGrid>
      <w:tr w14:paraId="6072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42" w:hRule="exact"/>
          <w:jc w:val="center"/>
        </w:trPr>
        <w:tc>
          <w:tcPr>
            <w:tcW w:w="2412" w:type="dxa"/>
            <w:tcBorders>
              <w:top w:val="single" w:color="auto" w:sz="4" w:space="0"/>
              <w:left w:val="single" w:color="auto" w:sz="4" w:space="0"/>
            </w:tcBorders>
            <w:shd w:val="clear" w:color="auto" w:fill="FFFFFF"/>
            <w:noWrap w:val="0"/>
            <w:vAlign w:val="center"/>
          </w:tcPr>
          <w:p w14:paraId="62824C3F">
            <w:pPr>
              <w:pStyle w:val="72"/>
              <w:widowControl w:val="0"/>
              <w:shd w:val="clear" w:color="auto" w:fill="auto"/>
              <w:spacing w:before="0" w:after="0" w:line="24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项目名称</w:t>
            </w:r>
          </w:p>
        </w:tc>
        <w:tc>
          <w:tcPr>
            <w:tcW w:w="6768" w:type="dxa"/>
            <w:tcBorders>
              <w:top w:val="single" w:color="auto" w:sz="4" w:space="0"/>
              <w:left w:val="single" w:color="auto" w:sz="4" w:space="0"/>
              <w:right w:val="single" w:color="auto" w:sz="4" w:space="0"/>
            </w:tcBorders>
            <w:shd w:val="clear" w:color="auto" w:fill="FFFFFF"/>
            <w:noWrap w:val="0"/>
            <w:vAlign w:val="bottom"/>
          </w:tcPr>
          <w:p w14:paraId="181ABFAC">
            <w:pPr>
              <w:pStyle w:val="72"/>
              <w:widowControl w:val="0"/>
              <w:shd w:val="clear" w:color="auto" w:fill="auto"/>
              <w:spacing w:before="0" w:after="0" w:line="240" w:lineRule="auto"/>
              <w:ind w:left="0" w:right="0" w:firstLine="0"/>
              <w:jc w:val="left"/>
              <w:rPr>
                <w:rFonts w:hint="eastAsia" w:ascii="仿宋" w:hAnsi="仿宋" w:eastAsia="仿宋" w:cs="仿宋"/>
                <w:color w:val="auto"/>
                <w:sz w:val="24"/>
                <w:szCs w:val="24"/>
                <w:highlight w:val="none"/>
              </w:rPr>
            </w:pPr>
          </w:p>
        </w:tc>
      </w:tr>
      <w:tr w14:paraId="7763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55" w:hRule="exact"/>
          <w:jc w:val="center"/>
        </w:trPr>
        <w:tc>
          <w:tcPr>
            <w:tcW w:w="2412" w:type="dxa"/>
            <w:tcBorders>
              <w:top w:val="single" w:color="auto" w:sz="4" w:space="0"/>
              <w:left w:val="single" w:color="auto" w:sz="4" w:space="0"/>
            </w:tcBorders>
            <w:shd w:val="clear" w:color="auto" w:fill="FFFFFF"/>
            <w:noWrap w:val="0"/>
            <w:vAlign w:val="center"/>
          </w:tcPr>
          <w:p w14:paraId="42F8023C">
            <w:pPr>
              <w:pStyle w:val="72"/>
              <w:widowControl w:val="0"/>
              <w:shd w:val="clear" w:color="auto" w:fill="auto"/>
              <w:spacing w:before="0" w:after="0" w:line="24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投标总价</w:t>
            </w:r>
          </w:p>
        </w:tc>
        <w:tc>
          <w:tcPr>
            <w:tcW w:w="6768" w:type="dxa"/>
            <w:tcBorders>
              <w:top w:val="single" w:color="auto" w:sz="4" w:space="0"/>
              <w:left w:val="single" w:color="auto" w:sz="4" w:space="0"/>
              <w:right w:val="single" w:color="auto" w:sz="4" w:space="0"/>
            </w:tcBorders>
            <w:shd w:val="clear" w:color="auto" w:fill="FFFFFF"/>
            <w:noWrap w:val="0"/>
            <w:vAlign w:val="center"/>
          </w:tcPr>
          <w:p w14:paraId="688CF584">
            <w:pPr>
              <w:pStyle w:val="72"/>
              <w:widowControl w:val="0"/>
              <w:shd w:val="clear" w:color="auto" w:fill="auto"/>
              <w:tabs>
                <w:tab w:val="left" w:leader="underscore" w:pos="4331"/>
              </w:tabs>
              <w:spacing w:before="0" w:after="0" w:line="240" w:lineRule="auto"/>
              <w:ind w:left="0" w:right="0" w:firstLine="0"/>
              <w:jc w:val="lef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val="en-US" w:eastAsia="zh-CN"/>
              </w:rPr>
              <w:t>执行利率（年）</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val="en-US" w:eastAsia="zh-CN"/>
              </w:rPr>
              <w:t>%</w:t>
            </w:r>
          </w:p>
        </w:tc>
      </w:tr>
      <w:tr w14:paraId="45E3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24" w:hRule="exact"/>
          <w:jc w:val="center"/>
        </w:trPr>
        <w:tc>
          <w:tcPr>
            <w:tcW w:w="2412" w:type="dxa"/>
            <w:tcBorders>
              <w:top w:val="single" w:color="auto" w:sz="4" w:space="0"/>
              <w:left w:val="single" w:color="auto" w:sz="4" w:space="0"/>
            </w:tcBorders>
            <w:shd w:val="clear" w:color="auto" w:fill="FFFFFF"/>
            <w:noWrap w:val="0"/>
            <w:vAlign w:val="center"/>
          </w:tcPr>
          <w:p w14:paraId="1C6FBCC1">
            <w:pPr>
              <w:pStyle w:val="72"/>
              <w:widowControl w:val="0"/>
              <w:shd w:val="clear" w:color="auto" w:fill="auto"/>
              <w:spacing w:before="0" w:after="0" w:line="24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服务期</w:t>
            </w:r>
          </w:p>
        </w:tc>
        <w:tc>
          <w:tcPr>
            <w:tcW w:w="6768" w:type="dxa"/>
            <w:tcBorders>
              <w:top w:val="single" w:color="auto" w:sz="4" w:space="0"/>
              <w:left w:val="single" w:color="auto" w:sz="4" w:space="0"/>
              <w:right w:val="single" w:color="auto" w:sz="4" w:space="0"/>
            </w:tcBorders>
            <w:shd w:val="clear" w:color="auto" w:fill="FFFFFF"/>
            <w:noWrap w:val="0"/>
            <w:vAlign w:val="center"/>
          </w:tcPr>
          <w:p w14:paraId="39CB924C">
            <w:pPr>
              <w:pStyle w:val="72"/>
              <w:widowControl w:val="0"/>
              <w:shd w:val="clear" w:color="auto" w:fill="auto"/>
              <w:spacing w:before="0" w:after="0" w:line="240" w:lineRule="auto"/>
              <w:ind w:left="0" w:right="0" w:firstLine="0"/>
              <w:jc w:val="left"/>
              <w:rPr>
                <w:rFonts w:hint="eastAsia" w:ascii="仿宋" w:hAnsi="仿宋" w:eastAsia="仿宋" w:cs="仿宋"/>
                <w:color w:val="auto"/>
                <w:sz w:val="24"/>
                <w:szCs w:val="24"/>
                <w:highlight w:val="none"/>
              </w:rPr>
            </w:pPr>
          </w:p>
        </w:tc>
      </w:tr>
      <w:tr w14:paraId="13F6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88" w:hRule="exact"/>
          <w:jc w:val="center"/>
        </w:trPr>
        <w:tc>
          <w:tcPr>
            <w:tcW w:w="9180"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14:paraId="462DEBE2">
            <w:pPr>
              <w:pStyle w:val="72"/>
              <w:widowControl w:val="0"/>
              <w:shd w:val="clear" w:color="auto" w:fill="auto"/>
              <w:spacing w:before="140" w:after="0" w:line="240" w:lineRule="auto"/>
              <w:ind w:left="0" w:right="0" w:firstLine="0"/>
              <w:jc w:val="lef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备注：</w:t>
            </w:r>
          </w:p>
        </w:tc>
      </w:tr>
    </w:tbl>
    <w:p w14:paraId="6C8040B6">
      <w:pPr>
        <w:pStyle w:val="71"/>
        <w:spacing w:line="470" w:lineRule="exact"/>
        <w:rPr>
          <w:rFonts w:hint="eastAsia" w:ascii="仿宋" w:hAnsi="仿宋" w:eastAsia="仿宋" w:cs="仿宋"/>
          <w:color w:val="auto"/>
          <w:sz w:val="24"/>
          <w:szCs w:val="24"/>
          <w:highlight w:val="none"/>
        </w:rPr>
      </w:pPr>
    </w:p>
    <w:p w14:paraId="27687494">
      <w:pPr>
        <w:pStyle w:val="71"/>
        <w:spacing w:line="470" w:lineRule="exact"/>
        <w:ind w:left="446"/>
        <w:rPr>
          <w:rFonts w:hint="eastAsia" w:ascii="仿宋" w:hAnsi="仿宋" w:eastAsia="仿宋" w:cs="仿宋"/>
          <w:color w:val="auto"/>
          <w:sz w:val="24"/>
          <w:szCs w:val="24"/>
          <w:highlight w:val="none"/>
        </w:rPr>
      </w:pPr>
    </w:p>
    <w:p w14:paraId="0C149754">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95"/>
          <w:sz w:val="24"/>
          <w:szCs w:val="24"/>
          <w:highlight w:val="none"/>
        </w:rPr>
        <w:t>（盖章）</w:t>
      </w:r>
      <w:r>
        <w:rPr>
          <w:rFonts w:hint="eastAsia" w:ascii="仿宋" w:hAnsi="仿宋" w:eastAsia="仿宋" w:cs="仿宋"/>
          <w:color w:val="auto"/>
          <w:sz w:val="24"/>
          <w:szCs w:val="24"/>
          <w:highlight w:val="none"/>
        </w:rPr>
        <w:t xml:space="preserve"> </w:t>
      </w:r>
    </w:p>
    <w:p w14:paraId="30F84C6B">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w w:val="95"/>
          <w:sz w:val="24"/>
          <w:szCs w:val="24"/>
          <w:highlight w:val="none"/>
        </w:rPr>
      </w:pPr>
      <w:r>
        <w:rPr>
          <w:rFonts w:hint="eastAsia" w:ascii="仿宋" w:hAnsi="仿宋" w:eastAsia="仿宋" w:cs="仿宋"/>
          <w:color w:val="auto"/>
          <w:sz w:val="24"/>
          <w:szCs w:val="24"/>
          <w:highlight w:val="none"/>
        </w:rPr>
        <w:t>法定代表人或被授权人：</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95"/>
          <w:sz w:val="24"/>
          <w:szCs w:val="24"/>
          <w:highlight w:val="none"/>
        </w:rPr>
        <w:t>（</w:t>
      </w:r>
      <w:r>
        <w:rPr>
          <w:rFonts w:hint="eastAsia" w:ascii="仿宋" w:hAnsi="仿宋" w:eastAsia="仿宋" w:cs="仿宋"/>
          <w:color w:val="auto"/>
          <w:w w:val="95"/>
          <w:sz w:val="24"/>
          <w:szCs w:val="24"/>
          <w:highlight w:val="none"/>
          <w:lang w:eastAsia="zh-CN"/>
        </w:rPr>
        <w:t>签章</w:t>
      </w:r>
      <w:r>
        <w:rPr>
          <w:rFonts w:hint="eastAsia" w:ascii="仿宋" w:hAnsi="仿宋" w:eastAsia="仿宋" w:cs="仿宋"/>
          <w:color w:val="auto"/>
          <w:w w:val="95"/>
          <w:sz w:val="24"/>
          <w:szCs w:val="24"/>
          <w:highlight w:val="none"/>
        </w:rPr>
        <w:t>）</w:t>
      </w:r>
    </w:p>
    <w:p w14:paraId="66861F94">
      <w:pPr>
        <w:ind w:firstLine="6318" w:firstLineChars="2600"/>
        <w:rPr>
          <w:rFonts w:hint="eastAsia" w:ascii="仿宋" w:hAnsi="仿宋" w:eastAsia="仿宋" w:cs="仿宋"/>
          <w:color w:val="auto"/>
          <w:sz w:val="24"/>
          <w:szCs w:val="24"/>
          <w:highlight w:val="none"/>
        </w:rPr>
      </w:pPr>
    </w:p>
    <w:p w14:paraId="77A33A9C">
      <w:pPr>
        <w:ind w:firstLine="6318" w:firstLineChars="2600"/>
        <w:rPr>
          <w:rFonts w:hint="eastAsia" w:ascii="仿宋" w:hAnsi="仿宋" w:eastAsia="仿宋" w:cs="仿宋"/>
          <w:color w:val="auto"/>
          <w:sz w:val="24"/>
          <w:szCs w:val="24"/>
          <w:highlight w:val="none"/>
        </w:rPr>
      </w:pPr>
    </w:p>
    <w:p w14:paraId="36A54584">
      <w:pPr>
        <w:ind w:firstLine="6318"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p w14:paraId="4CD9712E">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14:paraId="27D8850F">
      <w:pPr>
        <w:pStyle w:val="9"/>
        <w:numPr>
          <w:ilvl w:val="0"/>
          <w:numId w:val="0"/>
        </w:numPr>
        <w:kinsoku w:val="0"/>
        <w:overflowPunct w:val="0"/>
        <w:spacing w:before="34" w:line="357" w:lineRule="auto"/>
        <w:ind w:right="126"/>
        <w:jc w:val="center"/>
        <w:outlineLvl w:val="2"/>
        <w:rPr>
          <w:rFonts w:hint="eastAsia" w:ascii="仿宋" w:hAnsi="仿宋" w:eastAsia="仿宋" w:cs="仿宋"/>
          <w:b/>
          <w:bCs/>
          <w:color w:val="auto"/>
          <w:sz w:val="24"/>
          <w:szCs w:val="24"/>
          <w:highlight w:val="none"/>
        </w:rPr>
      </w:pPr>
      <w:bookmarkStart w:id="159" w:name="_Toc22515"/>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投标人基本情况</w:t>
      </w:r>
      <w:bookmarkEnd w:id="159"/>
    </w:p>
    <w:p w14:paraId="17FF36AD">
      <w:pPr>
        <w:pStyle w:val="9"/>
        <w:numPr>
          <w:ilvl w:val="0"/>
          <w:numId w:val="0"/>
        </w:numPr>
        <w:kinsoku w:val="0"/>
        <w:overflowPunct w:val="0"/>
        <w:spacing w:before="34" w:line="357" w:lineRule="auto"/>
        <w:ind w:left="480" w:right="126"/>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）投标人基本情况表</w:t>
      </w:r>
    </w:p>
    <w:p w14:paraId="303A9F17">
      <w:pPr>
        <w:pStyle w:val="9"/>
        <w:numPr>
          <w:ilvl w:val="0"/>
          <w:numId w:val="0"/>
        </w:numPr>
        <w:kinsoku w:val="0"/>
        <w:overflowPunct w:val="0"/>
        <w:spacing w:before="5"/>
        <w:rPr>
          <w:rFonts w:hint="eastAsia" w:ascii="仿宋" w:hAnsi="仿宋" w:eastAsia="仿宋" w:cs="仿宋"/>
          <w:b/>
          <w:bCs/>
          <w:color w:val="auto"/>
          <w:sz w:val="24"/>
          <w:szCs w:val="24"/>
          <w:highlight w:val="none"/>
        </w:rPr>
      </w:pPr>
    </w:p>
    <w:tbl>
      <w:tblPr>
        <w:tblStyle w:val="25"/>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4171461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452FAC9">
            <w:pPr>
              <w:pStyle w:val="63"/>
              <w:kinsoku w:val="0"/>
              <w:overflowPunct w:val="0"/>
              <w:spacing w:before="145"/>
              <w:ind w:left="1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46F4373D">
            <w:pPr>
              <w:rPr>
                <w:rFonts w:hint="eastAsia" w:ascii="仿宋" w:hAnsi="仿宋" w:eastAsia="仿宋" w:cs="仿宋"/>
                <w:color w:val="auto"/>
                <w:sz w:val="24"/>
                <w:szCs w:val="24"/>
                <w:highlight w:val="none"/>
              </w:rPr>
            </w:pPr>
          </w:p>
        </w:tc>
      </w:tr>
      <w:tr w14:paraId="589B680E">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971685B">
            <w:pPr>
              <w:pStyle w:val="63"/>
              <w:kinsoku w:val="0"/>
              <w:overflowPunct w:val="0"/>
              <w:spacing w:before="145"/>
              <w:ind w:left="1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260FD13F">
            <w:pPr>
              <w:rPr>
                <w:rFonts w:hint="eastAsia" w:ascii="仿宋" w:hAnsi="仿宋" w:eastAsia="仿宋" w:cs="仿宋"/>
                <w:color w:val="auto"/>
                <w:sz w:val="24"/>
                <w:szCs w:val="24"/>
                <w:highlight w:val="none"/>
              </w:rPr>
            </w:pPr>
          </w:p>
        </w:tc>
      </w:tr>
      <w:tr w14:paraId="2FD91BF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EF6F59E">
            <w:pPr>
              <w:pStyle w:val="63"/>
              <w:kinsoku w:val="0"/>
              <w:overflowPunct w:val="0"/>
              <w:spacing w:before="145"/>
              <w:ind w:left="1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58C71067">
            <w:pPr>
              <w:rPr>
                <w:rFonts w:hint="eastAsia" w:ascii="仿宋" w:hAnsi="仿宋" w:eastAsia="仿宋" w:cs="仿宋"/>
                <w:color w:val="auto"/>
                <w:sz w:val="24"/>
                <w:szCs w:val="24"/>
                <w:highlight w:val="none"/>
              </w:rPr>
            </w:pPr>
          </w:p>
        </w:tc>
      </w:tr>
      <w:tr w14:paraId="519F5D5C">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E529812">
            <w:pPr>
              <w:pStyle w:val="63"/>
              <w:kinsoku w:val="0"/>
              <w:overflowPunct w:val="0"/>
              <w:spacing w:before="145"/>
              <w:ind w:left="1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2E571046">
            <w:pPr>
              <w:rPr>
                <w:rFonts w:hint="eastAsia" w:ascii="仿宋" w:hAnsi="仿宋" w:eastAsia="仿宋" w:cs="仿宋"/>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14:paraId="18EBF149">
            <w:pPr>
              <w:pStyle w:val="63"/>
              <w:kinsoku w:val="0"/>
              <w:overflowPunct w:val="0"/>
              <w:spacing w:before="145"/>
              <w:ind w:left="1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21C505E6">
            <w:pPr>
              <w:rPr>
                <w:rFonts w:hint="eastAsia" w:ascii="仿宋" w:hAnsi="仿宋" w:eastAsia="仿宋" w:cs="仿宋"/>
                <w:color w:val="auto"/>
                <w:sz w:val="24"/>
                <w:szCs w:val="24"/>
                <w:highlight w:val="none"/>
              </w:rPr>
            </w:pPr>
          </w:p>
        </w:tc>
      </w:tr>
      <w:tr w14:paraId="17E92892">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B1A3FA2">
            <w:pPr>
              <w:pStyle w:val="63"/>
              <w:kinsoku w:val="0"/>
              <w:overflowPunct w:val="0"/>
              <w:spacing w:before="146"/>
              <w:ind w:left="1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1094479E">
            <w:pPr>
              <w:rPr>
                <w:rFonts w:hint="eastAsia" w:ascii="仿宋" w:hAnsi="仿宋" w:eastAsia="仿宋" w:cs="仿宋"/>
                <w:color w:val="auto"/>
                <w:sz w:val="24"/>
                <w:szCs w:val="24"/>
                <w:highlight w:val="none"/>
              </w:rPr>
            </w:pPr>
          </w:p>
        </w:tc>
      </w:tr>
      <w:tr w14:paraId="2D3EE1B1">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8995244">
            <w:pPr>
              <w:pStyle w:val="63"/>
              <w:kinsoku w:val="0"/>
              <w:overflowPunct w:val="0"/>
              <w:spacing w:before="141" w:line="312" w:lineRule="exact"/>
              <w:ind w:left="257" w:right="133" w:hanging="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513A4BC0">
            <w:pPr>
              <w:rPr>
                <w:rFonts w:hint="eastAsia" w:ascii="仿宋" w:hAnsi="仿宋" w:eastAsia="仿宋" w:cs="仿宋"/>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14:paraId="001345BB">
            <w:pPr>
              <w:pStyle w:val="63"/>
              <w:kinsoku w:val="0"/>
              <w:overflowPunct w:val="0"/>
              <w:ind w:left="366"/>
              <w:rPr>
                <w:rFonts w:hint="eastAsia" w:ascii="仿宋" w:hAnsi="仿宋" w:eastAsia="仿宋" w:cs="仿宋"/>
                <w:color w:val="auto"/>
                <w:sz w:val="24"/>
                <w:szCs w:val="24"/>
                <w:highlight w:val="none"/>
              </w:rPr>
            </w:pPr>
          </w:p>
          <w:p w14:paraId="756E48F3">
            <w:pPr>
              <w:pStyle w:val="63"/>
              <w:kinsoku w:val="0"/>
              <w:overflowPunct w:val="0"/>
              <w:ind w:left="3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44599F3A">
            <w:pPr>
              <w:rPr>
                <w:rFonts w:hint="eastAsia" w:ascii="仿宋" w:hAnsi="仿宋" w:eastAsia="仿宋" w:cs="仿宋"/>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14:paraId="31A54D0B">
            <w:pPr>
              <w:pStyle w:val="63"/>
              <w:kinsoku w:val="0"/>
              <w:overflowPunct w:val="0"/>
              <w:ind w:left="383"/>
              <w:rPr>
                <w:rFonts w:hint="eastAsia" w:ascii="仿宋" w:hAnsi="仿宋" w:eastAsia="仿宋" w:cs="仿宋"/>
                <w:color w:val="auto"/>
                <w:sz w:val="24"/>
                <w:szCs w:val="24"/>
                <w:highlight w:val="none"/>
              </w:rPr>
            </w:pPr>
          </w:p>
          <w:p w14:paraId="6AECFBEC">
            <w:pPr>
              <w:pStyle w:val="63"/>
              <w:kinsoku w:val="0"/>
              <w:overflowPunct w:val="0"/>
              <w:ind w:left="3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1965" w:type="dxa"/>
            <w:tcBorders>
              <w:top w:val="single" w:color="000000" w:sz="4" w:space="0"/>
              <w:left w:val="single" w:color="000000" w:sz="4" w:space="0"/>
              <w:bottom w:val="single" w:color="000000" w:sz="4" w:space="0"/>
              <w:right w:val="single" w:color="000000" w:sz="4" w:space="0"/>
            </w:tcBorders>
          </w:tcPr>
          <w:p w14:paraId="2D32952E">
            <w:pPr>
              <w:rPr>
                <w:rFonts w:hint="eastAsia" w:ascii="仿宋" w:hAnsi="仿宋" w:eastAsia="仿宋" w:cs="仿宋"/>
                <w:color w:val="auto"/>
                <w:sz w:val="24"/>
                <w:szCs w:val="24"/>
                <w:highlight w:val="none"/>
              </w:rPr>
            </w:pPr>
          </w:p>
        </w:tc>
      </w:tr>
      <w:tr w14:paraId="31007B56">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130C301D">
            <w:pPr>
              <w:pStyle w:val="63"/>
              <w:kinsoku w:val="0"/>
              <w:overflowPunct w:val="0"/>
              <w:rPr>
                <w:rFonts w:hint="eastAsia" w:ascii="仿宋" w:hAnsi="仿宋" w:eastAsia="仿宋" w:cs="仿宋"/>
                <w:b/>
                <w:bCs/>
                <w:color w:val="auto"/>
                <w:sz w:val="24"/>
                <w:szCs w:val="24"/>
                <w:highlight w:val="none"/>
              </w:rPr>
            </w:pPr>
          </w:p>
          <w:p w14:paraId="0136AF4C">
            <w:pPr>
              <w:pStyle w:val="63"/>
              <w:kinsoku w:val="0"/>
              <w:overflowPunct w:val="0"/>
              <w:rPr>
                <w:rFonts w:hint="eastAsia" w:ascii="仿宋" w:hAnsi="仿宋" w:eastAsia="仿宋" w:cs="仿宋"/>
                <w:b/>
                <w:bCs/>
                <w:color w:val="auto"/>
                <w:sz w:val="24"/>
                <w:szCs w:val="24"/>
                <w:highlight w:val="none"/>
              </w:rPr>
            </w:pPr>
          </w:p>
          <w:p w14:paraId="65C2ADCE">
            <w:pPr>
              <w:pStyle w:val="63"/>
              <w:kinsoku w:val="0"/>
              <w:overflowPunct w:val="0"/>
              <w:rPr>
                <w:rFonts w:hint="eastAsia" w:ascii="仿宋" w:hAnsi="仿宋" w:eastAsia="仿宋" w:cs="仿宋"/>
                <w:b/>
                <w:bCs/>
                <w:color w:val="auto"/>
                <w:sz w:val="24"/>
                <w:szCs w:val="24"/>
                <w:highlight w:val="none"/>
              </w:rPr>
            </w:pPr>
          </w:p>
          <w:p w14:paraId="66C40D30">
            <w:pPr>
              <w:pStyle w:val="63"/>
              <w:kinsoku w:val="0"/>
              <w:overflowPunct w:val="0"/>
              <w:spacing w:line="475" w:lineRule="auto"/>
              <w:ind w:left="497" w:right="493"/>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4773B1B9">
            <w:pPr>
              <w:pStyle w:val="63"/>
              <w:kinsoku w:val="0"/>
              <w:overflowPunct w:val="0"/>
              <w:spacing w:before="144"/>
              <w:ind w:left="23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18C155D1">
            <w:pPr>
              <w:rPr>
                <w:rFonts w:hint="eastAsia" w:ascii="仿宋" w:hAnsi="仿宋" w:eastAsia="仿宋" w:cs="仿宋"/>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14:paraId="6E11E612">
            <w:pPr>
              <w:pStyle w:val="63"/>
              <w:kinsoku w:val="0"/>
              <w:overflowPunct w:val="0"/>
              <w:spacing w:before="144"/>
              <w:ind w:left="1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396B8008">
            <w:pPr>
              <w:rPr>
                <w:rFonts w:hint="eastAsia" w:ascii="仿宋" w:hAnsi="仿宋" w:eastAsia="仿宋" w:cs="仿宋"/>
                <w:color w:val="auto"/>
                <w:sz w:val="24"/>
                <w:szCs w:val="24"/>
                <w:highlight w:val="none"/>
              </w:rPr>
            </w:pPr>
          </w:p>
        </w:tc>
      </w:tr>
      <w:tr w14:paraId="255127FC">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E22FF46">
            <w:pPr>
              <w:rPr>
                <w:rFonts w:hint="eastAsia" w:ascii="仿宋" w:hAnsi="仿宋" w:eastAsia="仿宋" w:cs="仿宋"/>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14:paraId="37656438">
            <w:pPr>
              <w:pStyle w:val="63"/>
              <w:kinsoku w:val="0"/>
              <w:overflowPunct w:val="0"/>
              <w:spacing w:before="1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单位行政和技术负责人</w:t>
            </w:r>
          </w:p>
        </w:tc>
      </w:tr>
      <w:tr w14:paraId="3E3337F7">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07359646">
            <w:pPr>
              <w:pStyle w:val="63"/>
              <w:kinsoku w:val="0"/>
              <w:overflowPunct w:val="0"/>
              <w:spacing w:before="145"/>
              <w:jc w:val="center"/>
              <w:rPr>
                <w:rFonts w:hint="eastAsia" w:ascii="仿宋" w:hAnsi="仿宋" w:eastAsia="仿宋" w:cs="仿宋"/>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54B049EF">
            <w:pPr>
              <w:pStyle w:val="63"/>
              <w:kinsoku w:val="0"/>
              <w:overflowPunct w:val="0"/>
              <w:spacing w:before="145"/>
              <w:ind w:left="4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755B4403">
            <w:pPr>
              <w:pStyle w:val="63"/>
              <w:kinsoku w:val="0"/>
              <w:overflowPunct w:val="0"/>
              <w:spacing w:before="145"/>
              <w:ind w:left="4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12D5921F">
            <w:pPr>
              <w:pStyle w:val="63"/>
              <w:kinsoku w:val="0"/>
              <w:overflowPunct w:val="0"/>
              <w:spacing w:before="145"/>
              <w:ind w:left="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017ECEC0">
            <w:pPr>
              <w:pStyle w:val="63"/>
              <w:tabs>
                <w:tab w:val="left" w:pos="479"/>
              </w:tabs>
              <w:kinsoku w:val="0"/>
              <w:overflowPunct w:val="0"/>
              <w:spacing w:before="145"/>
              <w:ind w:right="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业</w:t>
            </w:r>
          </w:p>
        </w:tc>
      </w:tr>
      <w:tr w14:paraId="642391F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332C59D1">
            <w:pPr>
              <w:pStyle w:val="63"/>
              <w:tabs>
                <w:tab w:val="left" w:pos="479"/>
              </w:tabs>
              <w:kinsoku w:val="0"/>
              <w:overflowPunct w:val="0"/>
              <w:spacing w:before="145"/>
              <w:ind w:right="1"/>
              <w:jc w:val="center"/>
              <w:rPr>
                <w:rFonts w:hint="eastAsia" w:ascii="仿宋" w:hAnsi="仿宋" w:eastAsia="仿宋" w:cs="仿宋"/>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2EAEA24F">
            <w:pPr>
              <w:rPr>
                <w:rFonts w:hint="eastAsia" w:ascii="仿宋" w:hAnsi="仿宋" w:eastAsia="仿宋" w:cs="仿宋"/>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6AF636A0">
            <w:pPr>
              <w:rPr>
                <w:rFonts w:hint="eastAsia" w:ascii="仿宋" w:hAnsi="仿宋" w:eastAsia="仿宋" w:cs="仿宋"/>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FF75903">
            <w:pPr>
              <w:rPr>
                <w:rFonts w:hint="eastAsia" w:ascii="仿宋" w:hAnsi="仿宋" w:eastAsia="仿宋" w:cs="仿宋"/>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43C61061">
            <w:pPr>
              <w:rPr>
                <w:rFonts w:hint="eastAsia" w:ascii="仿宋" w:hAnsi="仿宋" w:eastAsia="仿宋" w:cs="仿宋"/>
                <w:color w:val="auto"/>
                <w:sz w:val="24"/>
                <w:szCs w:val="24"/>
                <w:highlight w:val="none"/>
              </w:rPr>
            </w:pPr>
          </w:p>
        </w:tc>
      </w:tr>
      <w:tr w14:paraId="7354B131">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0648B1AD">
            <w:pPr>
              <w:rPr>
                <w:rFonts w:hint="eastAsia" w:ascii="仿宋" w:hAnsi="仿宋" w:eastAsia="仿宋" w:cs="仿宋"/>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43391496">
            <w:pPr>
              <w:rPr>
                <w:rFonts w:hint="eastAsia" w:ascii="仿宋" w:hAnsi="仿宋" w:eastAsia="仿宋" w:cs="仿宋"/>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4B6CD0D8">
            <w:pPr>
              <w:rPr>
                <w:rFonts w:hint="eastAsia" w:ascii="仿宋" w:hAnsi="仿宋" w:eastAsia="仿宋" w:cs="仿宋"/>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5F1043B9">
            <w:pPr>
              <w:rPr>
                <w:rFonts w:hint="eastAsia" w:ascii="仿宋" w:hAnsi="仿宋" w:eastAsia="仿宋" w:cs="仿宋"/>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103D0833">
            <w:pPr>
              <w:rPr>
                <w:rFonts w:hint="eastAsia" w:ascii="仿宋" w:hAnsi="仿宋" w:eastAsia="仿宋" w:cs="仿宋"/>
                <w:color w:val="auto"/>
                <w:sz w:val="24"/>
                <w:szCs w:val="24"/>
                <w:highlight w:val="none"/>
              </w:rPr>
            </w:pPr>
          </w:p>
        </w:tc>
      </w:tr>
      <w:tr w14:paraId="12180916">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41EA518">
            <w:pPr>
              <w:rPr>
                <w:rFonts w:hint="eastAsia" w:ascii="仿宋" w:hAnsi="仿宋" w:eastAsia="仿宋" w:cs="仿宋"/>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29B3C26E">
            <w:pPr>
              <w:rPr>
                <w:rFonts w:hint="eastAsia" w:ascii="仿宋" w:hAnsi="仿宋" w:eastAsia="仿宋" w:cs="仿宋"/>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BECC2F3">
            <w:pPr>
              <w:rPr>
                <w:rFonts w:hint="eastAsia" w:ascii="仿宋" w:hAnsi="仿宋" w:eastAsia="仿宋" w:cs="仿宋"/>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2F08E63E">
            <w:pPr>
              <w:rPr>
                <w:rFonts w:hint="eastAsia" w:ascii="仿宋" w:hAnsi="仿宋" w:eastAsia="仿宋" w:cs="仿宋"/>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95A48E5">
            <w:pPr>
              <w:rPr>
                <w:rFonts w:hint="eastAsia" w:ascii="仿宋" w:hAnsi="仿宋" w:eastAsia="仿宋" w:cs="仿宋"/>
                <w:color w:val="auto"/>
                <w:sz w:val="24"/>
                <w:szCs w:val="24"/>
                <w:highlight w:val="none"/>
              </w:rPr>
            </w:pPr>
          </w:p>
        </w:tc>
      </w:tr>
      <w:tr w14:paraId="4D5185BF">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DE9BD6A">
            <w:pPr>
              <w:pStyle w:val="63"/>
              <w:kinsoku w:val="0"/>
              <w:overflowPunct w:val="0"/>
              <w:rPr>
                <w:rFonts w:hint="eastAsia" w:ascii="仿宋" w:hAnsi="仿宋" w:eastAsia="仿宋" w:cs="仿宋"/>
                <w:b/>
                <w:bCs/>
                <w:color w:val="auto"/>
                <w:sz w:val="24"/>
                <w:szCs w:val="24"/>
                <w:highlight w:val="none"/>
              </w:rPr>
            </w:pPr>
          </w:p>
          <w:p w14:paraId="3466A0F5">
            <w:pPr>
              <w:pStyle w:val="63"/>
              <w:kinsoku w:val="0"/>
              <w:overflowPunct w:val="0"/>
              <w:spacing w:before="1"/>
              <w:rPr>
                <w:rFonts w:hint="eastAsia" w:ascii="仿宋" w:hAnsi="仿宋" w:eastAsia="仿宋" w:cs="仿宋"/>
                <w:b/>
                <w:bCs/>
                <w:color w:val="auto"/>
                <w:sz w:val="24"/>
                <w:szCs w:val="24"/>
                <w:highlight w:val="none"/>
              </w:rPr>
            </w:pPr>
          </w:p>
          <w:p w14:paraId="56FC9389">
            <w:pPr>
              <w:pStyle w:val="63"/>
              <w:kinsoku w:val="0"/>
              <w:overflowPunct w:val="0"/>
              <w:spacing w:line="237" w:lineRule="auto"/>
              <w:ind w:left="497" w:right="493"/>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3ED5F20A">
            <w:pPr>
              <w:rPr>
                <w:rFonts w:hint="eastAsia" w:ascii="仿宋" w:hAnsi="仿宋" w:eastAsia="仿宋" w:cs="仿宋"/>
                <w:color w:val="auto"/>
                <w:sz w:val="24"/>
                <w:szCs w:val="24"/>
                <w:highlight w:val="none"/>
              </w:rPr>
            </w:pPr>
          </w:p>
        </w:tc>
      </w:tr>
    </w:tbl>
    <w:p w14:paraId="57E4A3CC">
      <w:pPr>
        <w:pStyle w:val="9"/>
        <w:numPr>
          <w:ilvl w:val="0"/>
          <w:numId w:val="0"/>
        </w:numPr>
        <w:kinsoku w:val="0"/>
        <w:overflowPunct w:val="0"/>
        <w:spacing w:before="26" w:line="320" w:lineRule="auto"/>
        <w:ind w:left="1680"/>
        <w:rPr>
          <w:rFonts w:hint="eastAsia" w:ascii="仿宋" w:hAnsi="仿宋" w:eastAsia="仿宋" w:cs="仿宋"/>
          <w:b/>
          <w:bCs/>
          <w:color w:val="auto"/>
          <w:w w:val="95"/>
          <w:sz w:val="24"/>
          <w:szCs w:val="24"/>
          <w:highlight w:val="none"/>
        </w:rPr>
      </w:pPr>
    </w:p>
    <w:p w14:paraId="1E519015">
      <w:pPr>
        <w:pStyle w:val="73"/>
        <w:spacing w:line="440" w:lineRule="exact"/>
        <w:ind w:firstLine="0"/>
        <w:jc w:val="both"/>
        <w:rPr>
          <w:rFonts w:hint="eastAsia" w:ascii="仿宋" w:hAnsi="仿宋" w:eastAsia="仿宋" w:cs="仿宋"/>
          <w:color w:val="auto"/>
          <w:sz w:val="24"/>
          <w:szCs w:val="24"/>
          <w:highlight w:val="none"/>
        </w:rPr>
      </w:pPr>
      <w:r>
        <w:rPr>
          <w:rFonts w:hint="eastAsia" w:ascii="仿宋" w:hAnsi="仿宋" w:eastAsia="仿宋" w:cs="仿宋"/>
          <w:b/>
          <w:bCs/>
          <w:color w:val="auto"/>
          <w:w w:val="95"/>
          <w:sz w:val="24"/>
          <w:szCs w:val="24"/>
          <w:highlight w:val="none"/>
        </w:rPr>
        <w:br w:type="page"/>
      </w:r>
      <w:bookmarkEnd w:id="151"/>
      <w:bookmarkEnd w:id="152"/>
      <w:bookmarkEnd w:id="153"/>
      <w:bookmarkEnd w:id="154"/>
    </w:p>
    <w:p w14:paraId="185301BC">
      <w:pPr>
        <w:pStyle w:val="74"/>
        <w:spacing w:after="0"/>
        <w:ind w:left="0" w:leftChars="0" w:firstLine="0" w:firstLineChars="0"/>
        <w:jc w:val="center"/>
        <w:outlineLvl w:val="2"/>
        <w:rPr>
          <w:rFonts w:hint="eastAsia" w:ascii="仿宋" w:hAnsi="仿宋" w:eastAsia="仿宋" w:cs="仿宋"/>
          <w:b/>
          <w:bCs/>
          <w:color w:val="auto"/>
          <w:kern w:val="2"/>
          <w:sz w:val="24"/>
          <w:szCs w:val="24"/>
          <w:highlight w:val="none"/>
          <w:lang w:val="en-US" w:eastAsia="zh-CN" w:bidi="ar-SA"/>
        </w:rPr>
      </w:pPr>
      <w:bookmarkStart w:id="160" w:name="_Toc15318"/>
      <w:r>
        <w:rPr>
          <w:rFonts w:hint="eastAsia" w:ascii="仿宋" w:hAnsi="仿宋" w:eastAsia="仿宋" w:cs="仿宋"/>
          <w:b/>
          <w:bCs/>
          <w:color w:val="auto"/>
          <w:kern w:val="2"/>
          <w:sz w:val="24"/>
          <w:szCs w:val="24"/>
          <w:highlight w:val="none"/>
          <w:lang w:val="en-US" w:eastAsia="zh-CN" w:bidi="ar-SA"/>
        </w:rPr>
        <w:t>4、商务条款偏离表</w:t>
      </w:r>
      <w:bookmarkEnd w:id="160"/>
    </w:p>
    <w:tbl>
      <w:tblPr>
        <w:tblStyle w:val="2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134"/>
        <w:gridCol w:w="2658"/>
      </w:tblGrid>
      <w:tr w14:paraId="2C71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DFA2C33">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序号</w:t>
            </w:r>
          </w:p>
        </w:tc>
        <w:tc>
          <w:tcPr>
            <w:tcW w:w="2154" w:type="dxa"/>
            <w:vAlign w:val="center"/>
          </w:tcPr>
          <w:p w14:paraId="3AF8465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一般商务条款序号</w:t>
            </w:r>
          </w:p>
        </w:tc>
        <w:tc>
          <w:tcPr>
            <w:tcW w:w="2269" w:type="dxa"/>
            <w:vAlign w:val="center"/>
          </w:tcPr>
          <w:p w14:paraId="2F994455">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条款内容</w:t>
            </w:r>
          </w:p>
        </w:tc>
        <w:tc>
          <w:tcPr>
            <w:tcW w:w="1134" w:type="dxa"/>
            <w:vAlign w:val="center"/>
          </w:tcPr>
          <w:p w14:paraId="4A5D57D8">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是否响应</w:t>
            </w:r>
          </w:p>
        </w:tc>
        <w:tc>
          <w:tcPr>
            <w:tcW w:w="2658" w:type="dxa"/>
            <w:vAlign w:val="center"/>
          </w:tcPr>
          <w:p w14:paraId="7BAACF55">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偏离说明</w:t>
            </w:r>
          </w:p>
        </w:tc>
      </w:tr>
      <w:tr w14:paraId="57F5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B3C6481">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w:t>
            </w:r>
          </w:p>
        </w:tc>
        <w:tc>
          <w:tcPr>
            <w:tcW w:w="2154" w:type="dxa"/>
            <w:vAlign w:val="center"/>
          </w:tcPr>
          <w:p w14:paraId="54A75D73">
            <w:pPr>
              <w:rPr>
                <w:rFonts w:hint="eastAsia" w:ascii="仿宋" w:hAnsi="仿宋" w:eastAsia="仿宋" w:cs="仿宋"/>
                <w:color w:val="auto"/>
                <w:spacing w:val="-1"/>
                <w:sz w:val="24"/>
                <w:szCs w:val="24"/>
                <w:highlight w:val="none"/>
              </w:rPr>
            </w:pPr>
          </w:p>
        </w:tc>
        <w:tc>
          <w:tcPr>
            <w:tcW w:w="2269" w:type="dxa"/>
            <w:vAlign w:val="center"/>
          </w:tcPr>
          <w:p w14:paraId="77256F3F">
            <w:pPr>
              <w:rPr>
                <w:rFonts w:hint="eastAsia" w:ascii="仿宋" w:hAnsi="仿宋" w:eastAsia="仿宋" w:cs="仿宋"/>
                <w:color w:val="auto"/>
                <w:spacing w:val="-1"/>
                <w:sz w:val="24"/>
                <w:szCs w:val="24"/>
                <w:highlight w:val="none"/>
              </w:rPr>
            </w:pPr>
          </w:p>
        </w:tc>
        <w:tc>
          <w:tcPr>
            <w:tcW w:w="1134" w:type="dxa"/>
            <w:vAlign w:val="center"/>
          </w:tcPr>
          <w:p w14:paraId="6F9EA80B">
            <w:pPr>
              <w:rPr>
                <w:rFonts w:hint="eastAsia" w:ascii="仿宋" w:hAnsi="仿宋" w:eastAsia="仿宋" w:cs="仿宋"/>
                <w:color w:val="auto"/>
                <w:spacing w:val="-1"/>
                <w:sz w:val="24"/>
                <w:szCs w:val="24"/>
                <w:highlight w:val="none"/>
              </w:rPr>
            </w:pPr>
          </w:p>
        </w:tc>
        <w:tc>
          <w:tcPr>
            <w:tcW w:w="2658" w:type="dxa"/>
            <w:vAlign w:val="center"/>
          </w:tcPr>
          <w:p w14:paraId="732EF4BB">
            <w:pPr>
              <w:rPr>
                <w:rFonts w:hint="eastAsia" w:ascii="仿宋" w:hAnsi="仿宋" w:eastAsia="仿宋" w:cs="仿宋"/>
                <w:color w:val="auto"/>
                <w:spacing w:val="-1"/>
                <w:sz w:val="24"/>
                <w:szCs w:val="24"/>
                <w:highlight w:val="none"/>
              </w:rPr>
            </w:pPr>
          </w:p>
        </w:tc>
      </w:tr>
      <w:tr w14:paraId="4251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287D4A3">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2</w:t>
            </w:r>
          </w:p>
        </w:tc>
        <w:tc>
          <w:tcPr>
            <w:tcW w:w="2154" w:type="dxa"/>
            <w:vAlign w:val="center"/>
          </w:tcPr>
          <w:p w14:paraId="3EC4538D">
            <w:pPr>
              <w:rPr>
                <w:rFonts w:hint="eastAsia" w:ascii="仿宋" w:hAnsi="仿宋" w:eastAsia="仿宋" w:cs="仿宋"/>
                <w:color w:val="auto"/>
                <w:spacing w:val="-1"/>
                <w:sz w:val="24"/>
                <w:szCs w:val="24"/>
                <w:highlight w:val="none"/>
              </w:rPr>
            </w:pPr>
          </w:p>
        </w:tc>
        <w:tc>
          <w:tcPr>
            <w:tcW w:w="2269" w:type="dxa"/>
            <w:vAlign w:val="center"/>
          </w:tcPr>
          <w:p w14:paraId="00A5AD57">
            <w:pPr>
              <w:rPr>
                <w:rFonts w:hint="eastAsia" w:ascii="仿宋" w:hAnsi="仿宋" w:eastAsia="仿宋" w:cs="仿宋"/>
                <w:color w:val="auto"/>
                <w:spacing w:val="-1"/>
                <w:sz w:val="24"/>
                <w:szCs w:val="24"/>
                <w:highlight w:val="none"/>
              </w:rPr>
            </w:pPr>
          </w:p>
        </w:tc>
        <w:tc>
          <w:tcPr>
            <w:tcW w:w="1134" w:type="dxa"/>
            <w:vAlign w:val="center"/>
          </w:tcPr>
          <w:p w14:paraId="3995B745">
            <w:pPr>
              <w:rPr>
                <w:rFonts w:hint="eastAsia" w:ascii="仿宋" w:hAnsi="仿宋" w:eastAsia="仿宋" w:cs="仿宋"/>
                <w:color w:val="auto"/>
                <w:spacing w:val="-1"/>
                <w:sz w:val="24"/>
                <w:szCs w:val="24"/>
                <w:highlight w:val="none"/>
              </w:rPr>
            </w:pPr>
          </w:p>
        </w:tc>
        <w:tc>
          <w:tcPr>
            <w:tcW w:w="2658" w:type="dxa"/>
            <w:vAlign w:val="center"/>
          </w:tcPr>
          <w:p w14:paraId="55B26DBB">
            <w:pPr>
              <w:rPr>
                <w:rFonts w:hint="eastAsia" w:ascii="仿宋" w:hAnsi="仿宋" w:eastAsia="仿宋" w:cs="仿宋"/>
                <w:color w:val="auto"/>
                <w:spacing w:val="-1"/>
                <w:sz w:val="24"/>
                <w:szCs w:val="24"/>
                <w:highlight w:val="none"/>
              </w:rPr>
            </w:pPr>
          </w:p>
        </w:tc>
      </w:tr>
      <w:tr w14:paraId="625A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01D5C83">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3</w:t>
            </w:r>
          </w:p>
        </w:tc>
        <w:tc>
          <w:tcPr>
            <w:tcW w:w="2154" w:type="dxa"/>
            <w:vAlign w:val="center"/>
          </w:tcPr>
          <w:p w14:paraId="31DE31B9">
            <w:pPr>
              <w:rPr>
                <w:rFonts w:hint="eastAsia" w:ascii="仿宋" w:hAnsi="仿宋" w:eastAsia="仿宋" w:cs="仿宋"/>
                <w:color w:val="auto"/>
                <w:spacing w:val="-1"/>
                <w:sz w:val="24"/>
                <w:szCs w:val="24"/>
                <w:highlight w:val="none"/>
              </w:rPr>
            </w:pPr>
          </w:p>
        </w:tc>
        <w:tc>
          <w:tcPr>
            <w:tcW w:w="2269" w:type="dxa"/>
            <w:vAlign w:val="center"/>
          </w:tcPr>
          <w:p w14:paraId="04CCAD51">
            <w:pPr>
              <w:rPr>
                <w:rFonts w:hint="eastAsia" w:ascii="仿宋" w:hAnsi="仿宋" w:eastAsia="仿宋" w:cs="仿宋"/>
                <w:color w:val="auto"/>
                <w:spacing w:val="-1"/>
                <w:sz w:val="24"/>
                <w:szCs w:val="24"/>
                <w:highlight w:val="none"/>
              </w:rPr>
            </w:pPr>
          </w:p>
        </w:tc>
        <w:tc>
          <w:tcPr>
            <w:tcW w:w="1134" w:type="dxa"/>
            <w:vAlign w:val="center"/>
          </w:tcPr>
          <w:p w14:paraId="0ACE373E">
            <w:pPr>
              <w:rPr>
                <w:rFonts w:hint="eastAsia" w:ascii="仿宋" w:hAnsi="仿宋" w:eastAsia="仿宋" w:cs="仿宋"/>
                <w:color w:val="auto"/>
                <w:spacing w:val="-1"/>
                <w:sz w:val="24"/>
                <w:szCs w:val="24"/>
                <w:highlight w:val="none"/>
              </w:rPr>
            </w:pPr>
          </w:p>
        </w:tc>
        <w:tc>
          <w:tcPr>
            <w:tcW w:w="2658" w:type="dxa"/>
            <w:vAlign w:val="center"/>
          </w:tcPr>
          <w:p w14:paraId="56160486">
            <w:pPr>
              <w:rPr>
                <w:rFonts w:hint="eastAsia" w:ascii="仿宋" w:hAnsi="仿宋" w:eastAsia="仿宋" w:cs="仿宋"/>
                <w:color w:val="auto"/>
                <w:spacing w:val="-1"/>
                <w:sz w:val="24"/>
                <w:szCs w:val="24"/>
                <w:highlight w:val="none"/>
              </w:rPr>
            </w:pPr>
          </w:p>
        </w:tc>
      </w:tr>
      <w:tr w14:paraId="5C5B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E2AA899">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w:t>
            </w:r>
          </w:p>
        </w:tc>
        <w:tc>
          <w:tcPr>
            <w:tcW w:w="2154" w:type="dxa"/>
            <w:vAlign w:val="center"/>
          </w:tcPr>
          <w:p w14:paraId="43D985B7">
            <w:pPr>
              <w:rPr>
                <w:rFonts w:hint="eastAsia" w:ascii="仿宋" w:hAnsi="仿宋" w:eastAsia="仿宋" w:cs="仿宋"/>
                <w:color w:val="auto"/>
                <w:spacing w:val="-1"/>
                <w:sz w:val="24"/>
                <w:szCs w:val="24"/>
                <w:highlight w:val="none"/>
              </w:rPr>
            </w:pPr>
          </w:p>
        </w:tc>
        <w:tc>
          <w:tcPr>
            <w:tcW w:w="2269" w:type="dxa"/>
            <w:vAlign w:val="center"/>
          </w:tcPr>
          <w:p w14:paraId="07B9E79F">
            <w:pPr>
              <w:rPr>
                <w:rFonts w:hint="eastAsia" w:ascii="仿宋" w:hAnsi="仿宋" w:eastAsia="仿宋" w:cs="仿宋"/>
                <w:color w:val="auto"/>
                <w:spacing w:val="-1"/>
                <w:sz w:val="24"/>
                <w:szCs w:val="24"/>
                <w:highlight w:val="none"/>
              </w:rPr>
            </w:pPr>
          </w:p>
        </w:tc>
        <w:tc>
          <w:tcPr>
            <w:tcW w:w="1134" w:type="dxa"/>
            <w:vAlign w:val="center"/>
          </w:tcPr>
          <w:p w14:paraId="5688CF4A">
            <w:pPr>
              <w:rPr>
                <w:rFonts w:hint="eastAsia" w:ascii="仿宋" w:hAnsi="仿宋" w:eastAsia="仿宋" w:cs="仿宋"/>
                <w:color w:val="auto"/>
                <w:spacing w:val="-1"/>
                <w:sz w:val="24"/>
                <w:szCs w:val="24"/>
                <w:highlight w:val="none"/>
              </w:rPr>
            </w:pPr>
          </w:p>
        </w:tc>
        <w:tc>
          <w:tcPr>
            <w:tcW w:w="2658" w:type="dxa"/>
            <w:vAlign w:val="center"/>
          </w:tcPr>
          <w:p w14:paraId="527FA8BC">
            <w:pPr>
              <w:rPr>
                <w:rFonts w:hint="eastAsia" w:ascii="仿宋" w:hAnsi="仿宋" w:eastAsia="仿宋" w:cs="仿宋"/>
                <w:color w:val="auto"/>
                <w:spacing w:val="-1"/>
                <w:sz w:val="24"/>
                <w:szCs w:val="24"/>
                <w:highlight w:val="none"/>
              </w:rPr>
            </w:pPr>
          </w:p>
        </w:tc>
      </w:tr>
      <w:tr w14:paraId="3CE7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5D80C44">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5</w:t>
            </w:r>
          </w:p>
        </w:tc>
        <w:tc>
          <w:tcPr>
            <w:tcW w:w="2154" w:type="dxa"/>
            <w:vAlign w:val="center"/>
          </w:tcPr>
          <w:p w14:paraId="4D84FCE5">
            <w:pPr>
              <w:rPr>
                <w:rFonts w:hint="eastAsia" w:ascii="仿宋" w:hAnsi="仿宋" w:eastAsia="仿宋" w:cs="仿宋"/>
                <w:color w:val="auto"/>
                <w:spacing w:val="-1"/>
                <w:sz w:val="24"/>
                <w:szCs w:val="24"/>
                <w:highlight w:val="none"/>
              </w:rPr>
            </w:pPr>
          </w:p>
        </w:tc>
        <w:tc>
          <w:tcPr>
            <w:tcW w:w="2269" w:type="dxa"/>
            <w:vAlign w:val="center"/>
          </w:tcPr>
          <w:p w14:paraId="33491C2D">
            <w:pPr>
              <w:rPr>
                <w:rFonts w:hint="eastAsia" w:ascii="仿宋" w:hAnsi="仿宋" w:eastAsia="仿宋" w:cs="仿宋"/>
                <w:color w:val="auto"/>
                <w:spacing w:val="-1"/>
                <w:sz w:val="24"/>
                <w:szCs w:val="24"/>
                <w:highlight w:val="none"/>
              </w:rPr>
            </w:pPr>
          </w:p>
        </w:tc>
        <w:tc>
          <w:tcPr>
            <w:tcW w:w="1134" w:type="dxa"/>
            <w:vAlign w:val="center"/>
          </w:tcPr>
          <w:p w14:paraId="6F567A70">
            <w:pPr>
              <w:rPr>
                <w:rFonts w:hint="eastAsia" w:ascii="仿宋" w:hAnsi="仿宋" w:eastAsia="仿宋" w:cs="仿宋"/>
                <w:color w:val="auto"/>
                <w:spacing w:val="-1"/>
                <w:sz w:val="24"/>
                <w:szCs w:val="24"/>
                <w:highlight w:val="none"/>
              </w:rPr>
            </w:pPr>
          </w:p>
        </w:tc>
        <w:tc>
          <w:tcPr>
            <w:tcW w:w="2658" w:type="dxa"/>
            <w:vAlign w:val="center"/>
          </w:tcPr>
          <w:p w14:paraId="0E9B5ADF">
            <w:pPr>
              <w:rPr>
                <w:rFonts w:hint="eastAsia" w:ascii="仿宋" w:hAnsi="仿宋" w:eastAsia="仿宋" w:cs="仿宋"/>
                <w:color w:val="auto"/>
                <w:spacing w:val="-1"/>
                <w:sz w:val="24"/>
                <w:szCs w:val="24"/>
                <w:highlight w:val="none"/>
              </w:rPr>
            </w:pPr>
          </w:p>
        </w:tc>
      </w:tr>
      <w:tr w14:paraId="41A6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203AC6B">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6</w:t>
            </w:r>
          </w:p>
        </w:tc>
        <w:tc>
          <w:tcPr>
            <w:tcW w:w="2154" w:type="dxa"/>
            <w:vAlign w:val="center"/>
          </w:tcPr>
          <w:p w14:paraId="33563E2F">
            <w:pPr>
              <w:rPr>
                <w:rFonts w:hint="eastAsia" w:ascii="仿宋" w:hAnsi="仿宋" w:eastAsia="仿宋" w:cs="仿宋"/>
                <w:color w:val="auto"/>
                <w:spacing w:val="-1"/>
                <w:sz w:val="24"/>
                <w:szCs w:val="24"/>
                <w:highlight w:val="none"/>
              </w:rPr>
            </w:pPr>
          </w:p>
        </w:tc>
        <w:tc>
          <w:tcPr>
            <w:tcW w:w="2269" w:type="dxa"/>
            <w:vAlign w:val="center"/>
          </w:tcPr>
          <w:p w14:paraId="05F30886">
            <w:pPr>
              <w:rPr>
                <w:rFonts w:hint="eastAsia" w:ascii="仿宋" w:hAnsi="仿宋" w:eastAsia="仿宋" w:cs="仿宋"/>
                <w:color w:val="auto"/>
                <w:spacing w:val="-1"/>
                <w:sz w:val="24"/>
                <w:szCs w:val="24"/>
                <w:highlight w:val="none"/>
              </w:rPr>
            </w:pPr>
          </w:p>
        </w:tc>
        <w:tc>
          <w:tcPr>
            <w:tcW w:w="1134" w:type="dxa"/>
            <w:vAlign w:val="center"/>
          </w:tcPr>
          <w:p w14:paraId="47B8A75E">
            <w:pPr>
              <w:rPr>
                <w:rFonts w:hint="eastAsia" w:ascii="仿宋" w:hAnsi="仿宋" w:eastAsia="仿宋" w:cs="仿宋"/>
                <w:color w:val="auto"/>
                <w:spacing w:val="-1"/>
                <w:sz w:val="24"/>
                <w:szCs w:val="24"/>
                <w:highlight w:val="none"/>
              </w:rPr>
            </w:pPr>
          </w:p>
        </w:tc>
        <w:tc>
          <w:tcPr>
            <w:tcW w:w="2658" w:type="dxa"/>
            <w:vAlign w:val="center"/>
          </w:tcPr>
          <w:p w14:paraId="07B918E0">
            <w:pPr>
              <w:rPr>
                <w:rFonts w:hint="eastAsia" w:ascii="仿宋" w:hAnsi="仿宋" w:eastAsia="仿宋" w:cs="仿宋"/>
                <w:color w:val="auto"/>
                <w:spacing w:val="-1"/>
                <w:sz w:val="24"/>
                <w:szCs w:val="24"/>
                <w:highlight w:val="none"/>
              </w:rPr>
            </w:pPr>
          </w:p>
        </w:tc>
      </w:tr>
      <w:tr w14:paraId="1029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132EC9E">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7</w:t>
            </w:r>
          </w:p>
        </w:tc>
        <w:tc>
          <w:tcPr>
            <w:tcW w:w="2154" w:type="dxa"/>
            <w:vAlign w:val="center"/>
          </w:tcPr>
          <w:p w14:paraId="48DB45A0">
            <w:pPr>
              <w:rPr>
                <w:rFonts w:hint="eastAsia" w:ascii="仿宋" w:hAnsi="仿宋" w:eastAsia="仿宋" w:cs="仿宋"/>
                <w:color w:val="auto"/>
                <w:spacing w:val="-1"/>
                <w:sz w:val="24"/>
                <w:szCs w:val="24"/>
                <w:highlight w:val="none"/>
              </w:rPr>
            </w:pPr>
          </w:p>
        </w:tc>
        <w:tc>
          <w:tcPr>
            <w:tcW w:w="2269" w:type="dxa"/>
            <w:vAlign w:val="center"/>
          </w:tcPr>
          <w:p w14:paraId="64DC246A">
            <w:pPr>
              <w:rPr>
                <w:rFonts w:hint="eastAsia" w:ascii="仿宋" w:hAnsi="仿宋" w:eastAsia="仿宋" w:cs="仿宋"/>
                <w:color w:val="auto"/>
                <w:spacing w:val="-1"/>
                <w:sz w:val="24"/>
                <w:szCs w:val="24"/>
                <w:highlight w:val="none"/>
              </w:rPr>
            </w:pPr>
          </w:p>
        </w:tc>
        <w:tc>
          <w:tcPr>
            <w:tcW w:w="1134" w:type="dxa"/>
            <w:vAlign w:val="center"/>
          </w:tcPr>
          <w:p w14:paraId="201131D1">
            <w:pPr>
              <w:rPr>
                <w:rFonts w:hint="eastAsia" w:ascii="仿宋" w:hAnsi="仿宋" w:eastAsia="仿宋" w:cs="仿宋"/>
                <w:color w:val="auto"/>
                <w:spacing w:val="-1"/>
                <w:sz w:val="24"/>
                <w:szCs w:val="24"/>
                <w:highlight w:val="none"/>
              </w:rPr>
            </w:pPr>
          </w:p>
        </w:tc>
        <w:tc>
          <w:tcPr>
            <w:tcW w:w="2658" w:type="dxa"/>
            <w:vAlign w:val="center"/>
          </w:tcPr>
          <w:p w14:paraId="6FACD2B4">
            <w:pPr>
              <w:rPr>
                <w:rFonts w:hint="eastAsia" w:ascii="仿宋" w:hAnsi="仿宋" w:eastAsia="仿宋" w:cs="仿宋"/>
                <w:color w:val="auto"/>
                <w:spacing w:val="-1"/>
                <w:sz w:val="24"/>
                <w:szCs w:val="24"/>
                <w:highlight w:val="none"/>
              </w:rPr>
            </w:pPr>
          </w:p>
        </w:tc>
      </w:tr>
      <w:tr w14:paraId="5E16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49901D2">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8</w:t>
            </w:r>
          </w:p>
        </w:tc>
        <w:tc>
          <w:tcPr>
            <w:tcW w:w="2154" w:type="dxa"/>
            <w:vAlign w:val="center"/>
          </w:tcPr>
          <w:p w14:paraId="5379C625">
            <w:pPr>
              <w:rPr>
                <w:rFonts w:hint="eastAsia" w:ascii="仿宋" w:hAnsi="仿宋" w:eastAsia="仿宋" w:cs="仿宋"/>
                <w:color w:val="auto"/>
                <w:spacing w:val="-1"/>
                <w:sz w:val="24"/>
                <w:szCs w:val="24"/>
                <w:highlight w:val="none"/>
              </w:rPr>
            </w:pPr>
          </w:p>
        </w:tc>
        <w:tc>
          <w:tcPr>
            <w:tcW w:w="2269" w:type="dxa"/>
            <w:vAlign w:val="center"/>
          </w:tcPr>
          <w:p w14:paraId="380BAF16">
            <w:pPr>
              <w:rPr>
                <w:rFonts w:hint="eastAsia" w:ascii="仿宋" w:hAnsi="仿宋" w:eastAsia="仿宋" w:cs="仿宋"/>
                <w:color w:val="auto"/>
                <w:spacing w:val="-1"/>
                <w:sz w:val="24"/>
                <w:szCs w:val="24"/>
                <w:highlight w:val="none"/>
              </w:rPr>
            </w:pPr>
          </w:p>
        </w:tc>
        <w:tc>
          <w:tcPr>
            <w:tcW w:w="1134" w:type="dxa"/>
            <w:vAlign w:val="center"/>
          </w:tcPr>
          <w:p w14:paraId="417D3BEC">
            <w:pPr>
              <w:rPr>
                <w:rFonts w:hint="eastAsia" w:ascii="仿宋" w:hAnsi="仿宋" w:eastAsia="仿宋" w:cs="仿宋"/>
                <w:color w:val="auto"/>
                <w:spacing w:val="-1"/>
                <w:sz w:val="24"/>
                <w:szCs w:val="24"/>
                <w:highlight w:val="none"/>
              </w:rPr>
            </w:pPr>
          </w:p>
        </w:tc>
        <w:tc>
          <w:tcPr>
            <w:tcW w:w="2658" w:type="dxa"/>
            <w:vAlign w:val="center"/>
          </w:tcPr>
          <w:p w14:paraId="169903A0">
            <w:pPr>
              <w:rPr>
                <w:rFonts w:hint="eastAsia" w:ascii="仿宋" w:hAnsi="仿宋" w:eastAsia="仿宋" w:cs="仿宋"/>
                <w:color w:val="auto"/>
                <w:spacing w:val="-1"/>
                <w:sz w:val="24"/>
                <w:szCs w:val="24"/>
                <w:highlight w:val="none"/>
              </w:rPr>
            </w:pPr>
          </w:p>
        </w:tc>
      </w:tr>
      <w:tr w14:paraId="2083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3FB383A">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9</w:t>
            </w:r>
          </w:p>
        </w:tc>
        <w:tc>
          <w:tcPr>
            <w:tcW w:w="2154" w:type="dxa"/>
            <w:vAlign w:val="center"/>
          </w:tcPr>
          <w:p w14:paraId="4AAE2C10">
            <w:pPr>
              <w:rPr>
                <w:rFonts w:hint="eastAsia" w:ascii="仿宋" w:hAnsi="仿宋" w:eastAsia="仿宋" w:cs="仿宋"/>
                <w:color w:val="auto"/>
                <w:spacing w:val="-1"/>
                <w:sz w:val="24"/>
                <w:szCs w:val="24"/>
                <w:highlight w:val="none"/>
              </w:rPr>
            </w:pPr>
          </w:p>
        </w:tc>
        <w:tc>
          <w:tcPr>
            <w:tcW w:w="2269" w:type="dxa"/>
            <w:vAlign w:val="center"/>
          </w:tcPr>
          <w:p w14:paraId="2470D891">
            <w:pPr>
              <w:rPr>
                <w:rFonts w:hint="eastAsia" w:ascii="仿宋" w:hAnsi="仿宋" w:eastAsia="仿宋" w:cs="仿宋"/>
                <w:color w:val="auto"/>
                <w:spacing w:val="-1"/>
                <w:sz w:val="24"/>
                <w:szCs w:val="24"/>
                <w:highlight w:val="none"/>
              </w:rPr>
            </w:pPr>
          </w:p>
        </w:tc>
        <w:tc>
          <w:tcPr>
            <w:tcW w:w="1134" w:type="dxa"/>
            <w:vAlign w:val="center"/>
          </w:tcPr>
          <w:p w14:paraId="258BC1DF">
            <w:pPr>
              <w:rPr>
                <w:rFonts w:hint="eastAsia" w:ascii="仿宋" w:hAnsi="仿宋" w:eastAsia="仿宋" w:cs="仿宋"/>
                <w:color w:val="auto"/>
                <w:spacing w:val="-1"/>
                <w:sz w:val="24"/>
                <w:szCs w:val="24"/>
                <w:highlight w:val="none"/>
              </w:rPr>
            </w:pPr>
          </w:p>
        </w:tc>
        <w:tc>
          <w:tcPr>
            <w:tcW w:w="2658" w:type="dxa"/>
            <w:vAlign w:val="center"/>
          </w:tcPr>
          <w:p w14:paraId="78EF2C65">
            <w:pPr>
              <w:rPr>
                <w:rFonts w:hint="eastAsia" w:ascii="仿宋" w:hAnsi="仿宋" w:eastAsia="仿宋" w:cs="仿宋"/>
                <w:color w:val="auto"/>
                <w:spacing w:val="-1"/>
                <w:sz w:val="24"/>
                <w:szCs w:val="24"/>
                <w:highlight w:val="none"/>
              </w:rPr>
            </w:pPr>
          </w:p>
        </w:tc>
      </w:tr>
      <w:tr w14:paraId="39F7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9C7B26B">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10</w:t>
            </w:r>
          </w:p>
        </w:tc>
        <w:tc>
          <w:tcPr>
            <w:tcW w:w="2154" w:type="dxa"/>
            <w:vAlign w:val="center"/>
          </w:tcPr>
          <w:p w14:paraId="58955AE1">
            <w:pPr>
              <w:rPr>
                <w:rFonts w:hint="eastAsia" w:ascii="仿宋" w:hAnsi="仿宋" w:eastAsia="仿宋" w:cs="仿宋"/>
                <w:color w:val="auto"/>
                <w:spacing w:val="-1"/>
                <w:sz w:val="24"/>
                <w:szCs w:val="24"/>
                <w:highlight w:val="none"/>
              </w:rPr>
            </w:pPr>
          </w:p>
        </w:tc>
        <w:tc>
          <w:tcPr>
            <w:tcW w:w="2269" w:type="dxa"/>
            <w:vAlign w:val="center"/>
          </w:tcPr>
          <w:p w14:paraId="097CB138">
            <w:pPr>
              <w:rPr>
                <w:rFonts w:hint="eastAsia" w:ascii="仿宋" w:hAnsi="仿宋" w:eastAsia="仿宋" w:cs="仿宋"/>
                <w:color w:val="auto"/>
                <w:spacing w:val="-1"/>
                <w:sz w:val="24"/>
                <w:szCs w:val="24"/>
                <w:highlight w:val="none"/>
              </w:rPr>
            </w:pPr>
          </w:p>
        </w:tc>
        <w:tc>
          <w:tcPr>
            <w:tcW w:w="1134" w:type="dxa"/>
            <w:vAlign w:val="center"/>
          </w:tcPr>
          <w:p w14:paraId="7DBD598C">
            <w:pPr>
              <w:rPr>
                <w:rFonts w:hint="eastAsia" w:ascii="仿宋" w:hAnsi="仿宋" w:eastAsia="仿宋" w:cs="仿宋"/>
                <w:color w:val="auto"/>
                <w:spacing w:val="-1"/>
                <w:sz w:val="24"/>
                <w:szCs w:val="24"/>
                <w:highlight w:val="none"/>
              </w:rPr>
            </w:pPr>
          </w:p>
        </w:tc>
        <w:tc>
          <w:tcPr>
            <w:tcW w:w="2658" w:type="dxa"/>
            <w:vAlign w:val="center"/>
          </w:tcPr>
          <w:p w14:paraId="05341ABF">
            <w:pPr>
              <w:rPr>
                <w:rFonts w:hint="eastAsia" w:ascii="仿宋" w:hAnsi="仿宋" w:eastAsia="仿宋" w:cs="仿宋"/>
                <w:color w:val="auto"/>
                <w:spacing w:val="-1"/>
                <w:sz w:val="24"/>
                <w:szCs w:val="24"/>
                <w:highlight w:val="none"/>
              </w:rPr>
            </w:pPr>
          </w:p>
        </w:tc>
      </w:tr>
      <w:tr w14:paraId="04D7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DBCAAD5">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11</w:t>
            </w:r>
          </w:p>
        </w:tc>
        <w:tc>
          <w:tcPr>
            <w:tcW w:w="2154" w:type="dxa"/>
            <w:vAlign w:val="center"/>
          </w:tcPr>
          <w:p w14:paraId="2C03AA3A">
            <w:pPr>
              <w:rPr>
                <w:rFonts w:hint="eastAsia" w:ascii="仿宋" w:hAnsi="仿宋" w:eastAsia="仿宋" w:cs="仿宋"/>
                <w:color w:val="auto"/>
                <w:spacing w:val="-1"/>
                <w:sz w:val="24"/>
                <w:szCs w:val="24"/>
                <w:highlight w:val="none"/>
              </w:rPr>
            </w:pPr>
          </w:p>
        </w:tc>
        <w:tc>
          <w:tcPr>
            <w:tcW w:w="2269" w:type="dxa"/>
            <w:vAlign w:val="center"/>
          </w:tcPr>
          <w:p w14:paraId="70093DDB">
            <w:pPr>
              <w:rPr>
                <w:rFonts w:hint="eastAsia" w:ascii="仿宋" w:hAnsi="仿宋" w:eastAsia="仿宋" w:cs="仿宋"/>
                <w:color w:val="auto"/>
                <w:spacing w:val="-1"/>
                <w:sz w:val="24"/>
                <w:szCs w:val="24"/>
                <w:highlight w:val="none"/>
              </w:rPr>
            </w:pPr>
          </w:p>
        </w:tc>
        <w:tc>
          <w:tcPr>
            <w:tcW w:w="1134" w:type="dxa"/>
            <w:vAlign w:val="center"/>
          </w:tcPr>
          <w:p w14:paraId="27C87886">
            <w:pPr>
              <w:rPr>
                <w:rFonts w:hint="eastAsia" w:ascii="仿宋" w:hAnsi="仿宋" w:eastAsia="仿宋" w:cs="仿宋"/>
                <w:color w:val="auto"/>
                <w:spacing w:val="-1"/>
                <w:sz w:val="24"/>
                <w:szCs w:val="24"/>
                <w:highlight w:val="none"/>
              </w:rPr>
            </w:pPr>
          </w:p>
        </w:tc>
        <w:tc>
          <w:tcPr>
            <w:tcW w:w="2658" w:type="dxa"/>
            <w:vAlign w:val="center"/>
          </w:tcPr>
          <w:p w14:paraId="46C6E6FA">
            <w:pPr>
              <w:rPr>
                <w:rFonts w:hint="eastAsia" w:ascii="仿宋" w:hAnsi="仿宋" w:eastAsia="仿宋" w:cs="仿宋"/>
                <w:color w:val="auto"/>
                <w:spacing w:val="-1"/>
                <w:sz w:val="24"/>
                <w:szCs w:val="24"/>
                <w:highlight w:val="none"/>
              </w:rPr>
            </w:pPr>
          </w:p>
        </w:tc>
      </w:tr>
      <w:tr w14:paraId="762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AC0FA7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12</w:t>
            </w:r>
          </w:p>
        </w:tc>
        <w:tc>
          <w:tcPr>
            <w:tcW w:w="2154" w:type="dxa"/>
            <w:vAlign w:val="center"/>
          </w:tcPr>
          <w:p w14:paraId="165B582F">
            <w:pPr>
              <w:rPr>
                <w:rFonts w:hint="eastAsia" w:ascii="仿宋" w:hAnsi="仿宋" w:eastAsia="仿宋" w:cs="仿宋"/>
                <w:color w:val="auto"/>
                <w:spacing w:val="-1"/>
                <w:sz w:val="24"/>
                <w:szCs w:val="24"/>
                <w:highlight w:val="none"/>
              </w:rPr>
            </w:pPr>
          </w:p>
        </w:tc>
        <w:tc>
          <w:tcPr>
            <w:tcW w:w="2269" w:type="dxa"/>
            <w:vAlign w:val="center"/>
          </w:tcPr>
          <w:p w14:paraId="2392A8C1">
            <w:pPr>
              <w:rPr>
                <w:rFonts w:hint="eastAsia" w:ascii="仿宋" w:hAnsi="仿宋" w:eastAsia="仿宋" w:cs="仿宋"/>
                <w:color w:val="auto"/>
                <w:spacing w:val="-1"/>
                <w:sz w:val="24"/>
                <w:szCs w:val="24"/>
                <w:highlight w:val="none"/>
              </w:rPr>
            </w:pPr>
          </w:p>
        </w:tc>
        <w:tc>
          <w:tcPr>
            <w:tcW w:w="1134" w:type="dxa"/>
            <w:vAlign w:val="center"/>
          </w:tcPr>
          <w:p w14:paraId="377EBCA5">
            <w:pPr>
              <w:rPr>
                <w:rFonts w:hint="eastAsia" w:ascii="仿宋" w:hAnsi="仿宋" w:eastAsia="仿宋" w:cs="仿宋"/>
                <w:color w:val="auto"/>
                <w:spacing w:val="-1"/>
                <w:sz w:val="24"/>
                <w:szCs w:val="24"/>
                <w:highlight w:val="none"/>
              </w:rPr>
            </w:pPr>
          </w:p>
        </w:tc>
        <w:tc>
          <w:tcPr>
            <w:tcW w:w="2658" w:type="dxa"/>
            <w:vAlign w:val="center"/>
          </w:tcPr>
          <w:p w14:paraId="656D5AD5">
            <w:pPr>
              <w:rPr>
                <w:rFonts w:hint="eastAsia" w:ascii="仿宋" w:hAnsi="仿宋" w:eastAsia="仿宋" w:cs="仿宋"/>
                <w:color w:val="auto"/>
                <w:spacing w:val="-1"/>
                <w:sz w:val="24"/>
                <w:szCs w:val="24"/>
                <w:highlight w:val="none"/>
              </w:rPr>
            </w:pPr>
          </w:p>
        </w:tc>
      </w:tr>
      <w:tr w14:paraId="58FF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ACD794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13</w:t>
            </w:r>
          </w:p>
        </w:tc>
        <w:tc>
          <w:tcPr>
            <w:tcW w:w="2154" w:type="dxa"/>
            <w:vAlign w:val="center"/>
          </w:tcPr>
          <w:p w14:paraId="7D0D299B">
            <w:pPr>
              <w:rPr>
                <w:rFonts w:hint="eastAsia" w:ascii="仿宋" w:hAnsi="仿宋" w:eastAsia="仿宋" w:cs="仿宋"/>
                <w:color w:val="auto"/>
                <w:spacing w:val="-1"/>
                <w:sz w:val="24"/>
                <w:szCs w:val="24"/>
                <w:highlight w:val="none"/>
              </w:rPr>
            </w:pPr>
          </w:p>
        </w:tc>
        <w:tc>
          <w:tcPr>
            <w:tcW w:w="2269" w:type="dxa"/>
            <w:vAlign w:val="center"/>
          </w:tcPr>
          <w:p w14:paraId="2A39DDB2">
            <w:pPr>
              <w:rPr>
                <w:rFonts w:hint="eastAsia" w:ascii="仿宋" w:hAnsi="仿宋" w:eastAsia="仿宋" w:cs="仿宋"/>
                <w:color w:val="auto"/>
                <w:spacing w:val="-1"/>
                <w:sz w:val="24"/>
                <w:szCs w:val="24"/>
                <w:highlight w:val="none"/>
              </w:rPr>
            </w:pPr>
          </w:p>
        </w:tc>
        <w:tc>
          <w:tcPr>
            <w:tcW w:w="1134" w:type="dxa"/>
            <w:vAlign w:val="center"/>
          </w:tcPr>
          <w:p w14:paraId="42254595">
            <w:pPr>
              <w:rPr>
                <w:rFonts w:hint="eastAsia" w:ascii="仿宋" w:hAnsi="仿宋" w:eastAsia="仿宋" w:cs="仿宋"/>
                <w:color w:val="auto"/>
                <w:spacing w:val="-1"/>
                <w:sz w:val="24"/>
                <w:szCs w:val="24"/>
                <w:highlight w:val="none"/>
              </w:rPr>
            </w:pPr>
          </w:p>
        </w:tc>
        <w:tc>
          <w:tcPr>
            <w:tcW w:w="2658" w:type="dxa"/>
            <w:vAlign w:val="center"/>
          </w:tcPr>
          <w:p w14:paraId="195E8DD6">
            <w:pPr>
              <w:rPr>
                <w:rFonts w:hint="eastAsia" w:ascii="仿宋" w:hAnsi="仿宋" w:eastAsia="仿宋" w:cs="仿宋"/>
                <w:color w:val="auto"/>
                <w:spacing w:val="-1"/>
                <w:sz w:val="24"/>
                <w:szCs w:val="24"/>
                <w:highlight w:val="none"/>
              </w:rPr>
            </w:pPr>
          </w:p>
        </w:tc>
      </w:tr>
      <w:tr w14:paraId="32C4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427492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14</w:t>
            </w:r>
          </w:p>
        </w:tc>
        <w:tc>
          <w:tcPr>
            <w:tcW w:w="2154" w:type="dxa"/>
            <w:vAlign w:val="center"/>
          </w:tcPr>
          <w:p w14:paraId="456F9CC8">
            <w:pPr>
              <w:rPr>
                <w:rFonts w:hint="eastAsia" w:ascii="仿宋" w:hAnsi="仿宋" w:eastAsia="仿宋" w:cs="仿宋"/>
                <w:color w:val="auto"/>
                <w:spacing w:val="-1"/>
                <w:sz w:val="24"/>
                <w:szCs w:val="24"/>
                <w:highlight w:val="none"/>
              </w:rPr>
            </w:pPr>
          </w:p>
        </w:tc>
        <w:tc>
          <w:tcPr>
            <w:tcW w:w="2269" w:type="dxa"/>
            <w:vAlign w:val="center"/>
          </w:tcPr>
          <w:p w14:paraId="1E39643F">
            <w:pPr>
              <w:rPr>
                <w:rFonts w:hint="eastAsia" w:ascii="仿宋" w:hAnsi="仿宋" w:eastAsia="仿宋" w:cs="仿宋"/>
                <w:color w:val="auto"/>
                <w:spacing w:val="-1"/>
                <w:sz w:val="24"/>
                <w:szCs w:val="24"/>
                <w:highlight w:val="none"/>
              </w:rPr>
            </w:pPr>
          </w:p>
        </w:tc>
        <w:tc>
          <w:tcPr>
            <w:tcW w:w="1134" w:type="dxa"/>
            <w:vAlign w:val="center"/>
          </w:tcPr>
          <w:p w14:paraId="5BC0DB19">
            <w:pPr>
              <w:rPr>
                <w:rFonts w:hint="eastAsia" w:ascii="仿宋" w:hAnsi="仿宋" w:eastAsia="仿宋" w:cs="仿宋"/>
                <w:color w:val="auto"/>
                <w:spacing w:val="-1"/>
                <w:sz w:val="24"/>
                <w:szCs w:val="24"/>
                <w:highlight w:val="none"/>
              </w:rPr>
            </w:pPr>
          </w:p>
        </w:tc>
        <w:tc>
          <w:tcPr>
            <w:tcW w:w="2658" w:type="dxa"/>
            <w:vAlign w:val="center"/>
          </w:tcPr>
          <w:p w14:paraId="1008AA15">
            <w:pPr>
              <w:rPr>
                <w:rFonts w:hint="eastAsia" w:ascii="仿宋" w:hAnsi="仿宋" w:eastAsia="仿宋" w:cs="仿宋"/>
                <w:color w:val="auto"/>
                <w:spacing w:val="-1"/>
                <w:sz w:val="24"/>
                <w:szCs w:val="24"/>
                <w:highlight w:val="none"/>
              </w:rPr>
            </w:pPr>
          </w:p>
        </w:tc>
      </w:tr>
      <w:tr w14:paraId="13C7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31D9D2B">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15</w:t>
            </w:r>
          </w:p>
        </w:tc>
        <w:tc>
          <w:tcPr>
            <w:tcW w:w="2154" w:type="dxa"/>
            <w:vAlign w:val="center"/>
          </w:tcPr>
          <w:p w14:paraId="18C8B6A5">
            <w:pPr>
              <w:rPr>
                <w:rFonts w:hint="eastAsia" w:ascii="仿宋" w:hAnsi="仿宋" w:eastAsia="仿宋" w:cs="仿宋"/>
                <w:color w:val="auto"/>
                <w:spacing w:val="-1"/>
                <w:sz w:val="24"/>
                <w:szCs w:val="24"/>
                <w:highlight w:val="none"/>
              </w:rPr>
            </w:pPr>
          </w:p>
        </w:tc>
        <w:tc>
          <w:tcPr>
            <w:tcW w:w="2269" w:type="dxa"/>
            <w:vAlign w:val="center"/>
          </w:tcPr>
          <w:p w14:paraId="50CB0BF6">
            <w:pPr>
              <w:rPr>
                <w:rFonts w:hint="eastAsia" w:ascii="仿宋" w:hAnsi="仿宋" w:eastAsia="仿宋" w:cs="仿宋"/>
                <w:color w:val="auto"/>
                <w:spacing w:val="-1"/>
                <w:sz w:val="24"/>
                <w:szCs w:val="24"/>
                <w:highlight w:val="none"/>
              </w:rPr>
            </w:pPr>
          </w:p>
        </w:tc>
        <w:tc>
          <w:tcPr>
            <w:tcW w:w="1134" w:type="dxa"/>
            <w:vAlign w:val="center"/>
          </w:tcPr>
          <w:p w14:paraId="262705AF">
            <w:pPr>
              <w:rPr>
                <w:rFonts w:hint="eastAsia" w:ascii="仿宋" w:hAnsi="仿宋" w:eastAsia="仿宋" w:cs="仿宋"/>
                <w:color w:val="auto"/>
                <w:spacing w:val="-1"/>
                <w:sz w:val="24"/>
                <w:szCs w:val="24"/>
                <w:highlight w:val="none"/>
              </w:rPr>
            </w:pPr>
          </w:p>
        </w:tc>
        <w:tc>
          <w:tcPr>
            <w:tcW w:w="2658" w:type="dxa"/>
            <w:vAlign w:val="center"/>
          </w:tcPr>
          <w:p w14:paraId="53BAD2FD">
            <w:pPr>
              <w:rPr>
                <w:rFonts w:hint="eastAsia" w:ascii="仿宋" w:hAnsi="仿宋" w:eastAsia="仿宋" w:cs="仿宋"/>
                <w:color w:val="auto"/>
                <w:spacing w:val="-1"/>
                <w:sz w:val="24"/>
                <w:szCs w:val="24"/>
                <w:highlight w:val="none"/>
              </w:rPr>
            </w:pPr>
          </w:p>
        </w:tc>
      </w:tr>
    </w:tbl>
    <w:p w14:paraId="08BDCDAE">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注：请在“偏离说明”栏内扼要说明偏离情况，如无偏离则不需列明。</w:t>
      </w:r>
    </w:p>
    <w:p w14:paraId="0EA608B1">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sz w:val="24"/>
          <w:szCs w:val="24"/>
          <w:highlight w:val="none"/>
        </w:rPr>
      </w:pPr>
    </w:p>
    <w:p w14:paraId="58D737E4">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sz w:val="24"/>
          <w:szCs w:val="24"/>
          <w:highlight w:val="none"/>
        </w:rPr>
      </w:pPr>
    </w:p>
    <w:p w14:paraId="1EF6135D">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sz w:val="24"/>
          <w:szCs w:val="24"/>
          <w:highlight w:val="none"/>
        </w:rPr>
      </w:pPr>
    </w:p>
    <w:p w14:paraId="6A6ED843">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95"/>
          <w:sz w:val="24"/>
          <w:szCs w:val="24"/>
          <w:highlight w:val="none"/>
        </w:rPr>
        <w:t>（盖章）</w:t>
      </w:r>
      <w:r>
        <w:rPr>
          <w:rFonts w:hint="eastAsia" w:ascii="仿宋" w:hAnsi="仿宋" w:eastAsia="仿宋" w:cs="仿宋"/>
          <w:color w:val="auto"/>
          <w:sz w:val="24"/>
          <w:szCs w:val="24"/>
          <w:highlight w:val="none"/>
        </w:rPr>
        <w:t xml:space="preserve"> </w:t>
      </w:r>
    </w:p>
    <w:p w14:paraId="28D3A638">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w w:val="95"/>
          <w:sz w:val="24"/>
          <w:szCs w:val="24"/>
          <w:highlight w:val="none"/>
        </w:rPr>
      </w:pPr>
      <w:r>
        <w:rPr>
          <w:rFonts w:hint="eastAsia" w:ascii="仿宋" w:hAnsi="仿宋" w:eastAsia="仿宋" w:cs="仿宋"/>
          <w:color w:val="auto"/>
          <w:sz w:val="24"/>
          <w:szCs w:val="24"/>
          <w:highlight w:val="none"/>
        </w:rPr>
        <w:t>法定代表人或被授权人：</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95"/>
          <w:sz w:val="24"/>
          <w:szCs w:val="24"/>
          <w:highlight w:val="none"/>
        </w:rPr>
        <w:t>（</w:t>
      </w:r>
      <w:r>
        <w:rPr>
          <w:rFonts w:hint="eastAsia" w:ascii="仿宋" w:hAnsi="仿宋" w:eastAsia="仿宋" w:cs="仿宋"/>
          <w:color w:val="auto"/>
          <w:w w:val="95"/>
          <w:sz w:val="24"/>
          <w:szCs w:val="24"/>
          <w:highlight w:val="none"/>
          <w:lang w:eastAsia="zh-CN"/>
        </w:rPr>
        <w:t>签章</w:t>
      </w:r>
      <w:r>
        <w:rPr>
          <w:rFonts w:hint="eastAsia" w:ascii="仿宋" w:hAnsi="仿宋" w:eastAsia="仿宋" w:cs="仿宋"/>
          <w:color w:val="auto"/>
          <w:w w:val="95"/>
          <w:sz w:val="24"/>
          <w:szCs w:val="24"/>
          <w:highlight w:val="none"/>
        </w:rPr>
        <w:t>）</w:t>
      </w:r>
    </w:p>
    <w:p w14:paraId="468683D4">
      <w:pPr>
        <w:pStyle w:val="74"/>
        <w:spacing w:after="0"/>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295855E">
      <w:pPr>
        <w:pStyle w:val="74"/>
        <w:spacing w:after="0"/>
        <w:ind w:firstLine="420"/>
        <w:jc w:val="center"/>
        <w:rPr>
          <w:rFonts w:hint="eastAsia" w:ascii="仿宋" w:hAnsi="仿宋" w:eastAsia="仿宋" w:cs="仿宋"/>
          <w:color w:val="auto"/>
          <w:sz w:val="24"/>
          <w:szCs w:val="24"/>
          <w:highlight w:val="none"/>
        </w:rPr>
      </w:pPr>
    </w:p>
    <w:p w14:paraId="20022D89">
      <w:pPr>
        <w:pStyle w:val="74"/>
        <w:spacing w:after="0"/>
        <w:ind w:firstLine="420"/>
        <w:jc w:val="center"/>
        <w:rPr>
          <w:rFonts w:hint="eastAsia" w:ascii="仿宋" w:hAnsi="仿宋" w:eastAsia="仿宋" w:cs="仿宋"/>
          <w:color w:val="auto"/>
          <w:sz w:val="24"/>
          <w:szCs w:val="24"/>
          <w:highlight w:val="none"/>
        </w:rPr>
      </w:pPr>
    </w:p>
    <w:p w14:paraId="1CA50543">
      <w:pPr>
        <w:pStyle w:val="74"/>
        <w:spacing w:after="0"/>
        <w:ind w:firstLine="420"/>
        <w:jc w:val="center"/>
        <w:rPr>
          <w:rFonts w:hint="eastAsia" w:ascii="仿宋" w:hAnsi="仿宋" w:eastAsia="仿宋" w:cs="仿宋"/>
          <w:color w:val="auto"/>
          <w:sz w:val="24"/>
          <w:szCs w:val="24"/>
          <w:highlight w:val="none"/>
        </w:rPr>
      </w:pPr>
    </w:p>
    <w:p w14:paraId="72B5D233">
      <w:pPr>
        <w:pStyle w:val="9"/>
        <w:numPr>
          <w:ilvl w:val="0"/>
          <w:numId w:val="0"/>
        </w:numPr>
        <w:kinsoku w:val="0"/>
        <w:overflowPunct w:val="0"/>
        <w:spacing w:before="34" w:line="357" w:lineRule="auto"/>
        <w:ind w:right="126"/>
        <w:jc w:val="both"/>
        <w:rPr>
          <w:rFonts w:hint="eastAsia" w:ascii="仿宋" w:hAnsi="仿宋" w:eastAsia="仿宋" w:cs="仿宋"/>
          <w:b/>
          <w:bCs/>
          <w:color w:val="auto"/>
          <w:sz w:val="24"/>
          <w:szCs w:val="24"/>
          <w:highlight w:val="none"/>
        </w:rPr>
      </w:pPr>
    </w:p>
    <w:p w14:paraId="1D2356A6">
      <w:pPr>
        <w:rPr>
          <w:rFonts w:hint="eastAsia" w:ascii="仿宋" w:hAnsi="仿宋" w:eastAsia="仿宋" w:cs="仿宋"/>
          <w:b/>
          <w:bCs/>
          <w:color w:val="auto"/>
          <w:sz w:val="24"/>
          <w:szCs w:val="24"/>
          <w:highlight w:val="none"/>
        </w:rPr>
      </w:pPr>
    </w:p>
    <w:p w14:paraId="7DB8F482">
      <w:pPr>
        <w:pStyle w:val="9"/>
        <w:numPr>
          <w:ilvl w:val="0"/>
          <w:numId w:val="0"/>
        </w:numPr>
        <w:kinsoku w:val="0"/>
        <w:overflowPunct w:val="0"/>
        <w:spacing w:before="34" w:line="357" w:lineRule="auto"/>
        <w:ind w:right="126"/>
        <w:jc w:val="center"/>
        <w:outlineLvl w:val="2"/>
        <w:rPr>
          <w:rFonts w:hint="eastAsia" w:ascii="仿宋" w:hAnsi="仿宋" w:eastAsia="仿宋" w:cs="仿宋"/>
          <w:b/>
          <w:bCs/>
          <w:color w:val="auto"/>
          <w:sz w:val="24"/>
          <w:szCs w:val="24"/>
          <w:highlight w:val="none"/>
          <w:lang w:val="en-US" w:eastAsia="zh-CN"/>
        </w:rPr>
      </w:pPr>
      <w:bookmarkStart w:id="161" w:name="_Toc11193"/>
    </w:p>
    <w:p w14:paraId="47CFF39F">
      <w:pPr>
        <w:pStyle w:val="9"/>
        <w:numPr>
          <w:ilvl w:val="0"/>
          <w:numId w:val="0"/>
        </w:numPr>
        <w:kinsoku w:val="0"/>
        <w:overflowPunct w:val="0"/>
        <w:spacing w:before="34" w:line="357" w:lineRule="auto"/>
        <w:ind w:right="126"/>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技术部分</w:t>
      </w:r>
      <w:bookmarkEnd w:id="161"/>
    </w:p>
    <w:p w14:paraId="3A65CB6B">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、技术参数响应表</w:t>
      </w:r>
    </w:p>
    <w:p w14:paraId="461F3CA0">
      <w:pPr>
        <w:pStyle w:val="74"/>
        <w:spacing w:after="0"/>
        <w:ind w:firstLine="420"/>
        <w:jc w:val="center"/>
        <w:rPr>
          <w:rFonts w:hint="eastAsia" w:ascii="仿宋" w:hAnsi="仿宋" w:eastAsia="仿宋" w:cs="仿宋"/>
          <w:color w:val="auto"/>
          <w:sz w:val="24"/>
          <w:szCs w:val="24"/>
          <w:highlight w:val="none"/>
          <w:lang w:eastAsia="zh-CN"/>
        </w:rPr>
      </w:pPr>
    </w:p>
    <w:tbl>
      <w:tblPr>
        <w:tblStyle w:val="2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04"/>
        <w:gridCol w:w="1299"/>
        <w:gridCol w:w="2658"/>
      </w:tblGrid>
      <w:tr w14:paraId="5773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F55856D">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序号</w:t>
            </w:r>
          </w:p>
        </w:tc>
        <w:tc>
          <w:tcPr>
            <w:tcW w:w="2154" w:type="dxa"/>
            <w:vAlign w:val="center"/>
          </w:tcPr>
          <w:p w14:paraId="747DFCC7">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一般</w:t>
            </w:r>
            <w:r>
              <w:rPr>
                <w:rFonts w:hint="eastAsia" w:ascii="仿宋" w:hAnsi="仿宋" w:eastAsia="仿宋" w:cs="仿宋"/>
                <w:color w:val="auto"/>
                <w:spacing w:val="-1"/>
                <w:sz w:val="24"/>
                <w:szCs w:val="24"/>
                <w:highlight w:val="none"/>
                <w:lang w:eastAsia="zh-CN"/>
              </w:rPr>
              <w:t>技术</w:t>
            </w:r>
            <w:r>
              <w:rPr>
                <w:rFonts w:hint="eastAsia" w:ascii="仿宋" w:hAnsi="仿宋" w:eastAsia="仿宋" w:cs="仿宋"/>
                <w:color w:val="auto"/>
                <w:spacing w:val="-1"/>
                <w:sz w:val="24"/>
                <w:szCs w:val="24"/>
                <w:highlight w:val="none"/>
              </w:rPr>
              <w:t>条款序号</w:t>
            </w:r>
          </w:p>
        </w:tc>
        <w:tc>
          <w:tcPr>
            <w:tcW w:w="2104" w:type="dxa"/>
            <w:vAlign w:val="center"/>
          </w:tcPr>
          <w:p w14:paraId="67AEC1B6">
            <w:pPr>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条款内容</w:t>
            </w:r>
          </w:p>
        </w:tc>
        <w:tc>
          <w:tcPr>
            <w:tcW w:w="1299" w:type="dxa"/>
            <w:vAlign w:val="center"/>
          </w:tcPr>
          <w:p w14:paraId="4B7DED5D">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是否响应</w:t>
            </w:r>
          </w:p>
        </w:tc>
        <w:tc>
          <w:tcPr>
            <w:tcW w:w="2658" w:type="dxa"/>
            <w:vAlign w:val="center"/>
          </w:tcPr>
          <w:p w14:paraId="3B3AB1E6">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偏离说明</w:t>
            </w:r>
          </w:p>
        </w:tc>
      </w:tr>
      <w:tr w14:paraId="7D30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ECFDE80">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w:t>
            </w:r>
          </w:p>
        </w:tc>
        <w:tc>
          <w:tcPr>
            <w:tcW w:w="2154" w:type="dxa"/>
            <w:vAlign w:val="center"/>
          </w:tcPr>
          <w:p w14:paraId="476D57B7">
            <w:pPr>
              <w:rPr>
                <w:rFonts w:hint="eastAsia" w:ascii="仿宋" w:hAnsi="仿宋" w:eastAsia="仿宋" w:cs="仿宋"/>
                <w:color w:val="auto"/>
                <w:spacing w:val="-1"/>
                <w:sz w:val="24"/>
                <w:szCs w:val="24"/>
                <w:highlight w:val="none"/>
              </w:rPr>
            </w:pPr>
          </w:p>
        </w:tc>
        <w:tc>
          <w:tcPr>
            <w:tcW w:w="2104" w:type="dxa"/>
            <w:vAlign w:val="center"/>
          </w:tcPr>
          <w:p w14:paraId="57BE9F8E">
            <w:pPr>
              <w:rPr>
                <w:rFonts w:hint="eastAsia" w:ascii="仿宋" w:hAnsi="仿宋" w:eastAsia="仿宋" w:cs="仿宋"/>
                <w:color w:val="auto"/>
                <w:spacing w:val="-1"/>
                <w:sz w:val="24"/>
                <w:szCs w:val="24"/>
                <w:highlight w:val="none"/>
              </w:rPr>
            </w:pPr>
          </w:p>
        </w:tc>
        <w:tc>
          <w:tcPr>
            <w:tcW w:w="1299" w:type="dxa"/>
            <w:vAlign w:val="center"/>
          </w:tcPr>
          <w:p w14:paraId="4A3CEBE6">
            <w:pPr>
              <w:rPr>
                <w:rFonts w:hint="eastAsia" w:ascii="仿宋" w:hAnsi="仿宋" w:eastAsia="仿宋" w:cs="仿宋"/>
                <w:color w:val="auto"/>
                <w:spacing w:val="-1"/>
                <w:sz w:val="24"/>
                <w:szCs w:val="24"/>
                <w:highlight w:val="none"/>
              </w:rPr>
            </w:pPr>
          </w:p>
        </w:tc>
        <w:tc>
          <w:tcPr>
            <w:tcW w:w="2658" w:type="dxa"/>
            <w:vAlign w:val="center"/>
          </w:tcPr>
          <w:p w14:paraId="005E45E1">
            <w:pPr>
              <w:rPr>
                <w:rFonts w:hint="eastAsia" w:ascii="仿宋" w:hAnsi="仿宋" w:eastAsia="仿宋" w:cs="仿宋"/>
                <w:color w:val="auto"/>
                <w:spacing w:val="-1"/>
                <w:sz w:val="24"/>
                <w:szCs w:val="24"/>
                <w:highlight w:val="none"/>
              </w:rPr>
            </w:pPr>
          </w:p>
        </w:tc>
      </w:tr>
      <w:tr w14:paraId="1340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B198F3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2</w:t>
            </w:r>
          </w:p>
        </w:tc>
        <w:tc>
          <w:tcPr>
            <w:tcW w:w="2154" w:type="dxa"/>
            <w:vAlign w:val="center"/>
          </w:tcPr>
          <w:p w14:paraId="26A15BE9">
            <w:pPr>
              <w:rPr>
                <w:rFonts w:hint="eastAsia" w:ascii="仿宋" w:hAnsi="仿宋" w:eastAsia="仿宋" w:cs="仿宋"/>
                <w:color w:val="auto"/>
                <w:spacing w:val="-1"/>
                <w:sz w:val="24"/>
                <w:szCs w:val="24"/>
                <w:highlight w:val="none"/>
              </w:rPr>
            </w:pPr>
          </w:p>
        </w:tc>
        <w:tc>
          <w:tcPr>
            <w:tcW w:w="2104" w:type="dxa"/>
            <w:vAlign w:val="center"/>
          </w:tcPr>
          <w:p w14:paraId="749037CA">
            <w:pPr>
              <w:rPr>
                <w:rFonts w:hint="eastAsia" w:ascii="仿宋" w:hAnsi="仿宋" w:eastAsia="仿宋" w:cs="仿宋"/>
                <w:color w:val="auto"/>
                <w:spacing w:val="-1"/>
                <w:sz w:val="24"/>
                <w:szCs w:val="24"/>
                <w:highlight w:val="none"/>
              </w:rPr>
            </w:pPr>
          </w:p>
        </w:tc>
        <w:tc>
          <w:tcPr>
            <w:tcW w:w="1299" w:type="dxa"/>
            <w:vAlign w:val="center"/>
          </w:tcPr>
          <w:p w14:paraId="640A5F54">
            <w:pPr>
              <w:rPr>
                <w:rFonts w:hint="eastAsia" w:ascii="仿宋" w:hAnsi="仿宋" w:eastAsia="仿宋" w:cs="仿宋"/>
                <w:color w:val="auto"/>
                <w:spacing w:val="-1"/>
                <w:sz w:val="24"/>
                <w:szCs w:val="24"/>
                <w:highlight w:val="none"/>
              </w:rPr>
            </w:pPr>
          </w:p>
        </w:tc>
        <w:tc>
          <w:tcPr>
            <w:tcW w:w="2658" w:type="dxa"/>
            <w:vAlign w:val="center"/>
          </w:tcPr>
          <w:p w14:paraId="483C688D">
            <w:pPr>
              <w:rPr>
                <w:rFonts w:hint="eastAsia" w:ascii="仿宋" w:hAnsi="仿宋" w:eastAsia="仿宋" w:cs="仿宋"/>
                <w:color w:val="auto"/>
                <w:spacing w:val="-1"/>
                <w:sz w:val="24"/>
                <w:szCs w:val="24"/>
                <w:highlight w:val="none"/>
              </w:rPr>
            </w:pPr>
          </w:p>
        </w:tc>
      </w:tr>
      <w:tr w14:paraId="1CC2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E720DF7">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3</w:t>
            </w:r>
          </w:p>
        </w:tc>
        <w:tc>
          <w:tcPr>
            <w:tcW w:w="2154" w:type="dxa"/>
            <w:vAlign w:val="center"/>
          </w:tcPr>
          <w:p w14:paraId="597883E0">
            <w:pPr>
              <w:rPr>
                <w:rFonts w:hint="eastAsia" w:ascii="仿宋" w:hAnsi="仿宋" w:eastAsia="仿宋" w:cs="仿宋"/>
                <w:color w:val="auto"/>
                <w:spacing w:val="-1"/>
                <w:sz w:val="24"/>
                <w:szCs w:val="24"/>
                <w:highlight w:val="none"/>
              </w:rPr>
            </w:pPr>
          </w:p>
        </w:tc>
        <w:tc>
          <w:tcPr>
            <w:tcW w:w="2104" w:type="dxa"/>
            <w:vAlign w:val="center"/>
          </w:tcPr>
          <w:p w14:paraId="4841BC3D">
            <w:pPr>
              <w:rPr>
                <w:rFonts w:hint="eastAsia" w:ascii="仿宋" w:hAnsi="仿宋" w:eastAsia="仿宋" w:cs="仿宋"/>
                <w:color w:val="auto"/>
                <w:spacing w:val="-1"/>
                <w:sz w:val="24"/>
                <w:szCs w:val="24"/>
                <w:highlight w:val="none"/>
              </w:rPr>
            </w:pPr>
          </w:p>
        </w:tc>
        <w:tc>
          <w:tcPr>
            <w:tcW w:w="1299" w:type="dxa"/>
            <w:vAlign w:val="center"/>
          </w:tcPr>
          <w:p w14:paraId="71E65507">
            <w:pPr>
              <w:rPr>
                <w:rFonts w:hint="eastAsia" w:ascii="仿宋" w:hAnsi="仿宋" w:eastAsia="仿宋" w:cs="仿宋"/>
                <w:color w:val="auto"/>
                <w:spacing w:val="-1"/>
                <w:sz w:val="24"/>
                <w:szCs w:val="24"/>
                <w:highlight w:val="none"/>
              </w:rPr>
            </w:pPr>
          </w:p>
        </w:tc>
        <w:tc>
          <w:tcPr>
            <w:tcW w:w="2658" w:type="dxa"/>
            <w:vAlign w:val="center"/>
          </w:tcPr>
          <w:p w14:paraId="38C4D06D">
            <w:pPr>
              <w:rPr>
                <w:rFonts w:hint="eastAsia" w:ascii="仿宋" w:hAnsi="仿宋" w:eastAsia="仿宋" w:cs="仿宋"/>
                <w:color w:val="auto"/>
                <w:spacing w:val="-1"/>
                <w:sz w:val="24"/>
                <w:szCs w:val="24"/>
                <w:highlight w:val="none"/>
              </w:rPr>
            </w:pPr>
          </w:p>
        </w:tc>
      </w:tr>
      <w:tr w14:paraId="668E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0765C53">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w:t>
            </w:r>
          </w:p>
        </w:tc>
        <w:tc>
          <w:tcPr>
            <w:tcW w:w="2154" w:type="dxa"/>
            <w:vAlign w:val="center"/>
          </w:tcPr>
          <w:p w14:paraId="28645D66">
            <w:pPr>
              <w:rPr>
                <w:rFonts w:hint="eastAsia" w:ascii="仿宋" w:hAnsi="仿宋" w:eastAsia="仿宋" w:cs="仿宋"/>
                <w:color w:val="auto"/>
                <w:spacing w:val="-1"/>
                <w:sz w:val="24"/>
                <w:szCs w:val="24"/>
                <w:highlight w:val="none"/>
              </w:rPr>
            </w:pPr>
          </w:p>
        </w:tc>
        <w:tc>
          <w:tcPr>
            <w:tcW w:w="2104" w:type="dxa"/>
            <w:vAlign w:val="center"/>
          </w:tcPr>
          <w:p w14:paraId="5CFC1AB4">
            <w:pPr>
              <w:rPr>
                <w:rFonts w:hint="eastAsia" w:ascii="仿宋" w:hAnsi="仿宋" w:eastAsia="仿宋" w:cs="仿宋"/>
                <w:color w:val="auto"/>
                <w:spacing w:val="-1"/>
                <w:sz w:val="24"/>
                <w:szCs w:val="24"/>
                <w:highlight w:val="none"/>
              </w:rPr>
            </w:pPr>
          </w:p>
        </w:tc>
        <w:tc>
          <w:tcPr>
            <w:tcW w:w="1299" w:type="dxa"/>
            <w:vAlign w:val="center"/>
          </w:tcPr>
          <w:p w14:paraId="7BBD1E0D">
            <w:pPr>
              <w:rPr>
                <w:rFonts w:hint="eastAsia" w:ascii="仿宋" w:hAnsi="仿宋" w:eastAsia="仿宋" w:cs="仿宋"/>
                <w:color w:val="auto"/>
                <w:spacing w:val="-1"/>
                <w:sz w:val="24"/>
                <w:szCs w:val="24"/>
                <w:highlight w:val="none"/>
              </w:rPr>
            </w:pPr>
          </w:p>
        </w:tc>
        <w:tc>
          <w:tcPr>
            <w:tcW w:w="2658" w:type="dxa"/>
            <w:vAlign w:val="center"/>
          </w:tcPr>
          <w:p w14:paraId="15EFAE18">
            <w:pPr>
              <w:rPr>
                <w:rFonts w:hint="eastAsia" w:ascii="仿宋" w:hAnsi="仿宋" w:eastAsia="仿宋" w:cs="仿宋"/>
                <w:color w:val="auto"/>
                <w:spacing w:val="-1"/>
                <w:sz w:val="24"/>
                <w:szCs w:val="24"/>
                <w:highlight w:val="none"/>
              </w:rPr>
            </w:pPr>
          </w:p>
        </w:tc>
      </w:tr>
      <w:tr w14:paraId="728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F75C5F9">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5</w:t>
            </w:r>
          </w:p>
        </w:tc>
        <w:tc>
          <w:tcPr>
            <w:tcW w:w="2154" w:type="dxa"/>
            <w:vAlign w:val="center"/>
          </w:tcPr>
          <w:p w14:paraId="5B3AAA63">
            <w:pPr>
              <w:rPr>
                <w:rFonts w:hint="eastAsia" w:ascii="仿宋" w:hAnsi="仿宋" w:eastAsia="仿宋" w:cs="仿宋"/>
                <w:color w:val="auto"/>
                <w:spacing w:val="-1"/>
                <w:sz w:val="24"/>
                <w:szCs w:val="24"/>
                <w:highlight w:val="none"/>
              </w:rPr>
            </w:pPr>
          </w:p>
        </w:tc>
        <w:tc>
          <w:tcPr>
            <w:tcW w:w="2104" w:type="dxa"/>
            <w:vAlign w:val="center"/>
          </w:tcPr>
          <w:p w14:paraId="6CDF90BC">
            <w:pPr>
              <w:rPr>
                <w:rFonts w:hint="eastAsia" w:ascii="仿宋" w:hAnsi="仿宋" w:eastAsia="仿宋" w:cs="仿宋"/>
                <w:color w:val="auto"/>
                <w:spacing w:val="-1"/>
                <w:sz w:val="24"/>
                <w:szCs w:val="24"/>
                <w:highlight w:val="none"/>
              </w:rPr>
            </w:pPr>
          </w:p>
        </w:tc>
        <w:tc>
          <w:tcPr>
            <w:tcW w:w="1299" w:type="dxa"/>
            <w:vAlign w:val="center"/>
          </w:tcPr>
          <w:p w14:paraId="2B5747AC">
            <w:pPr>
              <w:rPr>
                <w:rFonts w:hint="eastAsia" w:ascii="仿宋" w:hAnsi="仿宋" w:eastAsia="仿宋" w:cs="仿宋"/>
                <w:color w:val="auto"/>
                <w:spacing w:val="-1"/>
                <w:sz w:val="24"/>
                <w:szCs w:val="24"/>
                <w:highlight w:val="none"/>
              </w:rPr>
            </w:pPr>
          </w:p>
        </w:tc>
        <w:tc>
          <w:tcPr>
            <w:tcW w:w="2658" w:type="dxa"/>
            <w:vAlign w:val="center"/>
          </w:tcPr>
          <w:p w14:paraId="2BB593BC">
            <w:pPr>
              <w:rPr>
                <w:rFonts w:hint="eastAsia" w:ascii="仿宋" w:hAnsi="仿宋" w:eastAsia="仿宋" w:cs="仿宋"/>
                <w:color w:val="auto"/>
                <w:spacing w:val="-1"/>
                <w:sz w:val="24"/>
                <w:szCs w:val="24"/>
                <w:highlight w:val="none"/>
              </w:rPr>
            </w:pPr>
          </w:p>
        </w:tc>
      </w:tr>
      <w:tr w14:paraId="03C0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75635F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6</w:t>
            </w:r>
          </w:p>
        </w:tc>
        <w:tc>
          <w:tcPr>
            <w:tcW w:w="2154" w:type="dxa"/>
            <w:vAlign w:val="center"/>
          </w:tcPr>
          <w:p w14:paraId="0FC48410">
            <w:pPr>
              <w:rPr>
                <w:rFonts w:hint="eastAsia" w:ascii="仿宋" w:hAnsi="仿宋" w:eastAsia="仿宋" w:cs="仿宋"/>
                <w:color w:val="auto"/>
                <w:spacing w:val="-1"/>
                <w:sz w:val="24"/>
                <w:szCs w:val="24"/>
                <w:highlight w:val="none"/>
              </w:rPr>
            </w:pPr>
          </w:p>
        </w:tc>
        <w:tc>
          <w:tcPr>
            <w:tcW w:w="2104" w:type="dxa"/>
            <w:vAlign w:val="center"/>
          </w:tcPr>
          <w:p w14:paraId="53E01E55">
            <w:pPr>
              <w:rPr>
                <w:rFonts w:hint="eastAsia" w:ascii="仿宋" w:hAnsi="仿宋" w:eastAsia="仿宋" w:cs="仿宋"/>
                <w:color w:val="auto"/>
                <w:spacing w:val="-1"/>
                <w:sz w:val="24"/>
                <w:szCs w:val="24"/>
                <w:highlight w:val="none"/>
              </w:rPr>
            </w:pPr>
          </w:p>
        </w:tc>
        <w:tc>
          <w:tcPr>
            <w:tcW w:w="1299" w:type="dxa"/>
            <w:vAlign w:val="center"/>
          </w:tcPr>
          <w:p w14:paraId="0005326D">
            <w:pPr>
              <w:rPr>
                <w:rFonts w:hint="eastAsia" w:ascii="仿宋" w:hAnsi="仿宋" w:eastAsia="仿宋" w:cs="仿宋"/>
                <w:color w:val="auto"/>
                <w:spacing w:val="-1"/>
                <w:sz w:val="24"/>
                <w:szCs w:val="24"/>
                <w:highlight w:val="none"/>
              </w:rPr>
            </w:pPr>
          </w:p>
        </w:tc>
        <w:tc>
          <w:tcPr>
            <w:tcW w:w="2658" w:type="dxa"/>
            <w:vAlign w:val="center"/>
          </w:tcPr>
          <w:p w14:paraId="5FF60E46">
            <w:pPr>
              <w:rPr>
                <w:rFonts w:hint="eastAsia" w:ascii="仿宋" w:hAnsi="仿宋" w:eastAsia="仿宋" w:cs="仿宋"/>
                <w:color w:val="auto"/>
                <w:spacing w:val="-1"/>
                <w:sz w:val="24"/>
                <w:szCs w:val="24"/>
                <w:highlight w:val="none"/>
              </w:rPr>
            </w:pPr>
          </w:p>
        </w:tc>
      </w:tr>
      <w:tr w14:paraId="19E2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CD70322">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7</w:t>
            </w:r>
          </w:p>
        </w:tc>
        <w:tc>
          <w:tcPr>
            <w:tcW w:w="2154" w:type="dxa"/>
            <w:vAlign w:val="center"/>
          </w:tcPr>
          <w:p w14:paraId="0660C9E1">
            <w:pPr>
              <w:rPr>
                <w:rFonts w:hint="eastAsia" w:ascii="仿宋" w:hAnsi="仿宋" w:eastAsia="仿宋" w:cs="仿宋"/>
                <w:color w:val="auto"/>
                <w:spacing w:val="-1"/>
                <w:sz w:val="24"/>
                <w:szCs w:val="24"/>
                <w:highlight w:val="none"/>
              </w:rPr>
            </w:pPr>
          </w:p>
        </w:tc>
        <w:tc>
          <w:tcPr>
            <w:tcW w:w="2104" w:type="dxa"/>
            <w:vAlign w:val="center"/>
          </w:tcPr>
          <w:p w14:paraId="30F293EC">
            <w:pPr>
              <w:rPr>
                <w:rFonts w:hint="eastAsia" w:ascii="仿宋" w:hAnsi="仿宋" w:eastAsia="仿宋" w:cs="仿宋"/>
                <w:color w:val="auto"/>
                <w:spacing w:val="-1"/>
                <w:sz w:val="24"/>
                <w:szCs w:val="24"/>
                <w:highlight w:val="none"/>
              </w:rPr>
            </w:pPr>
          </w:p>
        </w:tc>
        <w:tc>
          <w:tcPr>
            <w:tcW w:w="1299" w:type="dxa"/>
            <w:vAlign w:val="center"/>
          </w:tcPr>
          <w:p w14:paraId="68B8031E">
            <w:pPr>
              <w:rPr>
                <w:rFonts w:hint="eastAsia" w:ascii="仿宋" w:hAnsi="仿宋" w:eastAsia="仿宋" w:cs="仿宋"/>
                <w:color w:val="auto"/>
                <w:spacing w:val="-1"/>
                <w:sz w:val="24"/>
                <w:szCs w:val="24"/>
                <w:highlight w:val="none"/>
              </w:rPr>
            </w:pPr>
          </w:p>
        </w:tc>
        <w:tc>
          <w:tcPr>
            <w:tcW w:w="2658" w:type="dxa"/>
            <w:vAlign w:val="center"/>
          </w:tcPr>
          <w:p w14:paraId="35261957">
            <w:pPr>
              <w:rPr>
                <w:rFonts w:hint="eastAsia" w:ascii="仿宋" w:hAnsi="仿宋" w:eastAsia="仿宋" w:cs="仿宋"/>
                <w:color w:val="auto"/>
                <w:spacing w:val="-1"/>
                <w:sz w:val="24"/>
                <w:szCs w:val="24"/>
                <w:highlight w:val="none"/>
              </w:rPr>
            </w:pPr>
          </w:p>
        </w:tc>
      </w:tr>
      <w:tr w14:paraId="4FA5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65F45D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8</w:t>
            </w:r>
          </w:p>
        </w:tc>
        <w:tc>
          <w:tcPr>
            <w:tcW w:w="2154" w:type="dxa"/>
            <w:vAlign w:val="center"/>
          </w:tcPr>
          <w:p w14:paraId="4A5D8640">
            <w:pPr>
              <w:rPr>
                <w:rFonts w:hint="eastAsia" w:ascii="仿宋" w:hAnsi="仿宋" w:eastAsia="仿宋" w:cs="仿宋"/>
                <w:color w:val="auto"/>
                <w:spacing w:val="-1"/>
                <w:sz w:val="24"/>
                <w:szCs w:val="24"/>
                <w:highlight w:val="none"/>
              </w:rPr>
            </w:pPr>
          </w:p>
        </w:tc>
        <w:tc>
          <w:tcPr>
            <w:tcW w:w="2104" w:type="dxa"/>
            <w:vAlign w:val="center"/>
          </w:tcPr>
          <w:p w14:paraId="6EBFCC3F">
            <w:pPr>
              <w:rPr>
                <w:rFonts w:hint="eastAsia" w:ascii="仿宋" w:hAnsi="仿宋" w:eastAsia="仿宋" w:cs="仿宋"/>
                <w:color w:val="auto"/>
                <w:spacing w:val="-1"/>
                <w:sz w:val="24"/>
                <w:szCs w:val="24"/>
                <w:highlight w:val="none"/>
              </w:rPr>
            </w:pPr>
          </w:p>
        </w:tc>
        <w:tc>
          <w:tcPr>
            <w:tcW w:w="1299" w:type="dxa"/>
            <w:vAlign w:val="center"/>
          </w:tcPr>
          <w:p w14:paraId="05216A3E">
            <w:pPr>
              <w:rPr>
                <w:rFonts w:hint="eastAsia" w:ascii="仿宋" w:hAnsi="仿宋" w:eastAsia="仿宋" w:cs="仿宋"/>
                <w:color w:val="auto"/>
                <w:spacing w:val="-1"/>
                <w:sz w:val="24"/>
                <w:szCs w:val="24"/>
                <w:highlight w:val="none"/>
              </w:rPr>
            </w:pPr>
          </w:p>
        </w:tc>
        <w:tc>
          <w:tcPr>
            <w:tcW w:w="2658" w:type="dxa"/>
            <w:vAlign w:val="center"/>
          </w:tcPr>
          <w:p w14:paraId="548DA789">
            <w:pPr>
              <w:rPr>
                <w:rFonts w:hint="eastAsia" w:ascii="仿宋" w:hAnsi="仿宋" w:eastAsia="仿宋" w:cs="仿宋"/>
                <w:color w:val="auto"/>
                <w:spacing w:val="-1"/>
                <w:sz w:val="24"/>
                <w:szCs w:val="24"/>
                <w:highlight w:val="none"/>
              </w:rPr>
            </w:pPr>
          </w:p>
        </w:tc>
      </w:tr>
      <w:tr w14:paraId="1DA6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52262D9">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9</w:t>
            </w:r>
          </w:p>
        </w:tc>
        <w:tc>
          <w:tcPr>
            <w:tcW w:w="2154" w:type="dxa"/>
            <w:vAlign w:val="center"/>
          </w:tcPr>
          <w:p w14:paraId="1487A843">
            <w:pPr>
              <w:rPr>
                <w:rFonts w:hint="eastAsia" w:ascii="仿宋" w:hAnsi="仿宋" w:eastAsia="仿宋" w:cs="仿宋"/>
                <w:color w:val="auto"/>
                <w:spacing w:val="-1"/>
                <w:sz w:val="24"/>
                <w:szCs w:val="24"/>
                <w:highlight w:val="none"/>
              </w:rPr>
            </w:pPr>
          </w:p>
        </w:tc>
        <w:tc>
          <w:tcPr>
            <w:tcW w:w="2104" w:type="dxa"/>
            <w:vAlign w:val="center"/>
          </w:tcPr>
          <w:p w14:paraId="23352AA3">
            <w:pPr>
              <w:rPr>
                <w:rFonts w:hint="eastAsia" w:ascii="仿宋" w:hAnsi="仿宋" w:eastAsia="仿宋" w:cs="仿宋"/>
                <w:color w:val="auto"/>
                <w:spacing w:val="-1"/>
                <w:sz w:val="24"/>
                <w:szCs w:val="24"/>
                <w:highlight w:val="none"/>
              </w:rPr>
            </w:pPr>
          </w:p>
        </w:tc>
        <w:tc>
          <w:tcPr>
            <w:tcW w:w="1299" w:type="dxa"/>
            <w:vAlign w:val="center"/>
          </w:tcPr>
          <w:p w14:paraId="4D37A245">
            <w:pPr>
              <w:rPr>
                <w:rFonts w:hint="eastAsia" w:ascii="仿宋" w:hAnsi="仿宋" w:eastAsia="仿宋" w:cs="仿宋"/>
                <w:color w:val="auto"/>
                <w:spacing w:val="-1"/>
                <w:sz w:val="24"/>
                <w:szCs w:val="24"/>
                <w:highlight w:val="none"/>
              </w:rPr>
            </w:pPr>
          </w:p>
        </w:tc>
        <w:tc>
          <w:tcPr>
            <w:tcW w:w="2658" w:type="dxa"/>
            <w:vAlign w:val="center"/>
          </w:tcPr>
          <w:p w14:paraId="1CEAF38A">
            <w:pPr>
              <w:rPr>
                <w:rFonts w:hint="eastAsia" w:ascii="仿宋" w:hAnsi="仿宋" w:eastAsia="仿宋" w:cs="仿宋"/>
                <w:color w:val="auto"/>
                <w:spacing w:val="-1"/>
                <w:sz w:val="24"/>
                <w:szCs w:val="24"/>
                <w:highlight w:val="none"/>
              </w:rPr>
            </w:pPr>
          </w:p>
        </w:tc>
      </w:tr>
      <w:tr w14:paraId="3746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995357B">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10</w:t>
            </w:r>
          </w:p>
        </w:tc>
        <w:tc>
          <w:tcPr>
            <w:tcW w:w="2154" w:type="dxa"/>
            <w:vAlign w:val="center"/>
          </w:tcPr>
          <w:p w14:paraId="64A3BBBF">
            <w:pPr>
              <w:rPr>
                <w:rFonts w:hint="eastAsia" w:ascii="仿宋" w:hAnsi="仿宋" w:eastAsia="仿宋" w:cs="仿宋"/>
                <w:color w:val="auto"/>
                <w:spacing w:val="-1"/>
                <w:sz w:val="24"/>
                <w:szCs w:val="24"/>
                <w:highlight w:val="none"/>
              </w:rPr>
            </w:pPr>
          </w:p>
        </w:tc>
        <w:tc>
          <w:tcPr>
            <w:tcW w:w="2104" w:type="dxa"/>
            <w:vAlign w:val="center"/>
          </w:tcPr>
          <w:p w14:paraId="7CAB836E">
            <w:pPr>
              <w:rPr>
                <w:rFonts w:hint="eastAsia" w:ascii="仿宋" w:hAnsi="仿宋" w:eastAsia="仿宋" w:cs="仿宋"/>
                <w:color w:val="auto"/>
                <w:spacing w:val="-1"/>
                <w:sz w:val="24"/>
                <w:szCs w:val="24"/>
                <w:highlight w:val="none"/>
              </w:rPr>
            </w:pPr>
          </w:p>
        </w:tc>
        <w:tc>
          <w:tcPr>
            <w:tcW w:w="1299" w:type="dxa"/>
            <w:vAlign w:val="center"/>
          </w:tcPr>
          <w:p w14:paraId="5D08216E">
            <w:pPr>
              <w:rPr>
                <w:rFonts w:hint="eastAsia" w:ascii="仿宋" w:hAnsi="仿宋" w:eastAsia="仿宋" w:cs="仿宋"/>
                <w:color w:val="auto"/>
                <w:spacing w:val="-1"/>
                <w:sz w:val="24"/>
                <w:szCs w:val="24"/>
                <w:highlight w:val="none"/>
              </w:rPr>
            </w:pPr>
          </w:p>
        </w:tc>
        <w:tc>
          <w:tcPr>
            <w:tcW w:w="2658" w:type="dxa"/>
            <w:vAlign w:val="center"/>
          </w:tcPr>
          <w:p w14:paraId="432EB300">
            <w:pPr>
              <w:rPr>
                <w:rFonts w:hint="eastAsia" w:ascii="仿宋" w:hAnsi="仿宋" w:eastAsia="仿宋" w:cs="仿宋"/>
                <w:color w:val="auto"/>
                <w:spacing w:val="-1"/>
                <w:sz w:val="24"/>
                <w:szCs w:val="24"/>
                <w:highlight w:val="none"/>
              </w:rPr>
            </w:pPr>
          </w:p>
        </w:tc>
      </w:tr>
      <w:tr w14:paraId="07A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ED0FD4E">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11</w:t>
            </w:r>
          </w:p>
        </w:tc>
        <w:tc>
          <w:tcPr>
            <w:tcW w:w="2154" w:type="dxa"/>
            <w:vAlign w:val="center"/>
          </w:tcPr>
          <w:p w14:paraId="400ABF06">
            <w:pPr>
              <w:rPr>
                <w:rFonts w:hint="eastAsia" w:ascii="仿宋" w:hAnsi="仿宋" w:eastAsia="仿宋" w:cs="仿宋"/>
                <w:color w:val="auto"/>
                <w:spacing w:val="-1"/>
                <w:sz w:val="24"/>
                <w:szCs w:val="24"/>
                <w:highlight w:val="none"/>
              </w:rPr>
            </w:pPr>
          </w:p>
        </w:tc>
        <w:tc>
          <w:tcPr>
            <w:tcW w:w="2104" w:type="dxa"/>
            <w:vAlign w:val="center"/>
          </w:tcPr>
          <w:p w14:paraId="177C5004">
            <w:pPr>
              <w:rPr>
                <w:rFonts w:hint="eastAsia" w:ascii="仿宋" w:hAnsi="仿宋" w:eastAsia="仿宋" w:cs="仿宋"/>
                <w:color w:val="auto"/>
                <w:spacing w:val="-1"/>
                <w:sz w:val="24"/>
                <w:szCs w:val="24"/>
                <w:highlight w:val="none"/>
              </w:rPr>
            </w:pPr>
          </w:p>
        </w:tc>
        <w:tc>
          <w:tcPr>
            <w:tcW w:w="1299" w:type="dxa"/>
            <w:vAlign w:val="center"/>
          </w:tcPr>
          <w:p w14:paraId="43E26DF2">
            <w:pPr>
              <w:rPr>
                <w:rFonts w:hint="eastAsia" w:ascii="仿宋" w:hAnsi="仿宋" w:eastAsia="仿宋" w:cs="仿宋"/>
                <w:color w:val="auto"/>
                <w:spacing w:val="-1"/>
                <w:sz w:val="24"/>
                <w:szCs w:val="24"/>
                <w:highlight w:val="none"/>
              </w:rPr>
            </w:pPr>
          </w:p>
        </w:tc>
        <w:tc>
          <w:tcPr>
            <w:tcW w:w="2658" w:type="dxa"/>
            <w:vAlign w:val="center"/>
          </w:tcPr>
          <w:p w14:paraId="056797A2">
            <w:pPr>
              <w:rPr>
                <w:rFonts w:hint="eastAsia" w:ascii="仿宋" w:hAnsi="仿宋" w:eastAsia="仿宋" w:cs="仿宋"/>
                <w:color w:val="auto"/>
                <w:spacing w:val="-1"/>
                <w:sz w:val="24"/>
                <w:szCs w:val="24"/>
                <w:highlight w:val="none"/>
              </w:rPr>
            </w:pPr>
          </w:p>
        </w:tc>
      </w:tr>
      <w:tr w14:paraId="5615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D680534">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12</w:t>
            </w:r>
          </w:p>
        </w:tc>
        <w:tc>
          <w:tcPr>
            <w:tcW w:w="2154" w:type="dxa"/>
            <w:vAlign w:val="center"/>
          </w:tcPr>
          <w:p w14:paraId="64D241D1">
            <w:pPr>
              <w:rPr>
                <w:rFonts w:hint="eastAsia" w:ascii="仿宋" w:hAnsi="仿宋" w:eastAsia="仿宋" w:cs="仿宋"/>
                <w:color w:val="auto"/>
                <w:spacing w:val="-1"/>
                <w:sz w:val="24"/>
                <w:szCs w:val="24"/>
                <w:highlight w:val="none"/>
              </w:rPr>
            </w:pPr>
          </w:p>
        </w:tc>
        <w:tc>
          <w:tcPr>
            <w:tcW w:w="2104" w:type="dxa"/>
            <w:vAlign w:val="center"/>
          </w:tcPr>
          <w:p w14:paraId="6CDF504D">
            <w:pPr>
              <w:rPr>
                <w:rFonts w:hint="eastAsia" w:ascii="仿宋" w:hAnsi="仿宋" w:eastAsia="仿宋" w:cs="仿宋"/>
                <w:color w:val="auto"/>
                <w:spacing w:val="-1"/>
                <w:sz w:val="24"/>
                <w:szCs w:val="24"/>
                <w:highlight w:val="none"/>
              </w:rPr>
            </w:pPr>
          </w:p>
        </w:tc>
        <w:tc>
          <w:tcPr>
            <w:tcW w:w="1299" w:type="dxa"/>
            <w:vAlign w:val="center"/>
          </w:tcPr>
          <w:p w14:paraId="43F00E29">
            <w:pPr>
              <w:rPr>
                <w:rFonts w:hint="eastAsia" w:ascii="仿宋" w:hAnsi="仿宋" w:eastAsia="仿宋" w:cs="仿宋"/>
                <w:color w:val="auto"/>
                <w:spacing w:val="-1"/>
                <w:sz w:val="24"/>
                <w:szCs w:val="24"/>
                <w:highlight w:val="none"/>
              </w:rPr>
            </w:pPr>
          </w:p>
        </w:tc>
        <w:tc>
          <w:tcPr>
            <w:tcW w:w="2658" w:type="dxa"/>
            <w:vAlign w:val="center"/>
          </w:tcPr>
          <w:p w14:paraId="45BF64BF">
            <w:pPr>
              <w:rPr>
                <w:rFonts w:hint="eastAsia" w:ascii="仿宋" w:hAnsi="仿宋" w:eastAsia="仿宋" w:cs="仿宋"/>
                <w:color w:val="auto"/>
                <w:spacing w:val="-1"/>
                <w:sz w:val="24"/>
                <w:szCs w:val="24"/>
                <w:highlight w:val="none"/>
              </w:rPr>
            </w:pPr>
          </w:p>
        </w:tc>
      </w:tr>
      <w:tr w14:paraId="258E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E42FACF">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13</w:t>
            </w:r>
          </w:p>
        </w:tc>
        <w:tc>
          <w:tcPr>
            <w:tcW w:w="2154" w:type="dxa"/>
            <w:vAlign w:val="center"/>
          </w:tcPr>
          <w:p w14:paraId="14121AF5">
            <w:pPr>
              <w:rPr>
                <w:rFonts w:hint="eastAsia" w:ascii="仿宋" w:hAnsi="仿宋" w:eastAsia="仿宋" w:cs="仿宋"/>
                <w:color w:val="auto"/>
                <w:spacing w:val="-1"/>
                <w:sz w:val="24"/>
                <w:szCs w:val="24"/>
                <w:highlight w:val="none"/>
              </w:rPr>
            </w:pPr>
          </w:p>
        </w:tc>
        <w:tc>
          <w:tcPr>
            <w:tcW w:w="2104" w:type="dxa"/>
            <w:vAlign w:val="center"/>
          </w:tcPr>
          <w:p w14:paraId="11E3DFF2">
            <w:pPr>
              <w:rPr>
                <w:rFonts w:hint="eastAsia" w:ascii="仿宋" w:hAnsi="仿宋" w:eastAsia="仿宋" w:cs="仿宋"/>
                <w:color w:val="auto"/>
                <w:spacing w:val="-1"/>
                <w:sz w:val="24"/>
                <w:szCs w:val="24"/>
                <w:highlight w:val="none"/>
              </w:rPr>
            </w:pPr>
          </w:p>
        </w:tc>
        <w:tc>
          <w:tcPr>
            <w:tcW w:w="1299" w:type="dxa"/>
            <w:vAlign w:val="center"/>
          </w:tcPr>
          <w:p w14:paraId="61C9DE10">
            <w:pPr>
              <w:rPr>
                <w:rFonts w:hint="eastAsia" w:ascii="仿宋" w:hAnsi="仿宋" w:eastAsia="仿宋" w:cs="仿宋"/>
                <w:color w:val="auto"/>
                <w:spacing w:val="-1"/>
                <w:sz w:val="24"/>
                <w:szCs w:val="24"/>
                <w:highlight w:val="none"/>
              </w:rPr>
            </w:pPr>
          </w:p>
        </w:tc>
        <w:tc>
          <w:tcPr>
            <w:tcW w:w="2658" w:type="dxa"/>
            <w:vAlign w:val="center"/>
          </w:tcPr>
          <w:p w14:paraId="7652A1BB">
            <w:pPr>
              <w:rPr>
                <w:rFonts w:hint="eastAsia" w:ascii="仿宋" w:hAnsi="仿宋" w:eastAsia="仿宋" w:cs="仿宋"/>
                <w:color w:val="auto"/>
                <w:spacing w:val="-1"/>
                <w:sz w:val="24"/>
                <w:szCs w:val="24"/>
                <w:highlight w:val="none"/>
              </w:rPr>
            </w:pPr>
          </w:p>
        </w:tc>
      </w:tr>
      <w:tr w14:paraId="0243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4ECBE21">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14</w:t>
            </w:r>
          </w:p>
        </w:tc>
        <w:tc>
          <w:tcPr>
            <w:tcW w:w="2154" w:type="dxa"/>
            <w:vAlign w:val="center"/>
          </w:tcPr>
          <w:p w14:paraId="5A346416">
            <w:pPr>
              <w:rPr>
                <w:rFonts w:hint="eastAsia" w:ascii="仿宋" w:hAnsi="仿宋" w:eastAsia="仿宋" w:cs="仿宋"/>
                <w:color w:val="auto"/>
                <w:spacing w:val="-1"/>
                <w:sz w:val="24"/>
                <w:szCs w:val="24"/>
                <w:highlight w:val="none"/>
              </w:rPr>
            </w:pPr>
          </w:p>
        </w:tc>
        <w:tc>
          <w:tcPr>
            <w:tcW w:w="2104" w:type="dxa"/>
            <w:vAlign w:val="center"/>
          </w:tcPr>
          <w:p w14:paraId="636CFCA4">
            <w:pPr>
              <w:rPr>
                <w:rFonts w:hint="eastAsia" w:ascii="仿宋" w:hAnsi="仿宋" w:eastAsia="仿宋" w:cs="仿宋"/>
                <w:color w:val="auto"/>
                <w:spacing w:val="-1"/>
                <w:sz w:val="24"/>
                <w:szCs w:val="24"/>
                <w:highlight w:val="none"/>
              </w:rPr>
            </w:pPr>
          </w:p>
        </w:tc>
        <w:tc>
          <w:tcPr>
            <w:tcW w:w="1299" w:type="dxa"/>
            <w:vAlign w:val="center"/>
          </w:tcPr>
          <w:p w14:paraId="37492D13">
            <w:pPr>
              <w:rPr>
                <w:rFonts w:hint="eastAsia" w:ascii="仿宋" w:hAnsi="仿宋" w:eastAsia="仿宋" w:cs="仿宋"/>
                <w:color w:val="auto"/>
                <w:spacing w:val="-1"/>
                <w:sz w:val="24"/>
                <w:szCs w:val="24"/>
                <w:highlight w:val="none"/>
              </w:rPr>
            </w:pPr>
          </w:p>
        </w:tc>
        <w:tc>
          <w:tcPr>
            <w:tcW w:w="2658" w:type="dxa"/>
            <w:vAlign w:val="center"/>
          </w:tcPr>
          <w:p w14:paraId="18107CA4">
            <w:pPr>
              <w:rPr>
                <w:rFonts w:hint="eastAsia" w:ascii="仿宋" w:hAnsi="仿宋" w:eastAsia="仿宋" w:cs="仿宋"/>
                <w:color w:val="auto"/>
                <w:spacing w:val="-1"/>
                <w:sz w:val="24"/>
                <w:szCs w:val="24"/>
                <w:highlight w:val="none"/>
              </w:rPr>
            </w:pPr>
          </w:p>
        </w:tc>
      </w:tr>
      <w:tr w14:paraId="592F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13A236D">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15</w:t>
            </w:r>
          </w:p>
        </w:tc>
        <w:tc>
          <w:tcPr>
            <w:tcW w:w="2154" w:type="dxa"/>
            <w:vAlign w:val="center"/>
          </w:tcPr>
          <w:p w14:paraId="7F430496">
            <w:pPr>
              <w:rPr>
                <w:rFonts w:hint="eastAsia" w:ascii="仿宋" w:hAnsi="仿宋" w:eastAsia="仿宋" w:cs="仿宋"/>
                <w:color w:val="auto"/>
                <w:spacing w:val="-1"/>
                <w:sz w:val="24"/>
                <w:szCs w:val="24"/>
                <w:highlight w:val="none"/>
              </w:rPr>
            </w:pPr>
          </w:p>
        </w:tc>
        <w:tc>
          <w:tcPr>
            <w:tcW w:w="2104" w:type="dxa"/>
            <w:vAlign w:val="center"/>
          </w:tcPr>
          <w:p w14:paraId="2F545C5B">
            <w:pPr>
              <w:rPr>
                <w:rFonts w:hint="eastAsia" w:ascii="仿宋" w:hAnsi="仿宋" w:eastAsia="仿宋" w:cs="仿宋"/>
                <w:color w:val="auto"/>
                <w:spacing w:val="-1"/>
                <w:sz w:val="24"/>
                <w:szCs w:val="24"/>
                <w:highlight w:val="none"/>
              </w:rPr>
            </w:pPr>
          </w:p>
        </w:tc>
        <w:tc>
          <w:tcPr>
            <w:tcW w:w="1299" w:type="dxa"/>
            <w:vAlign w:val="center"/>
          </w:tcPr>
          <w:p w14:paraId="2B684899">
            <w:pPr>
              <w:rPr>
                <w:rFonts w:hint="eastAsia" w:ascii="仿宋" w:hAnsi="仿宋" w:eastAsia="仿宋" w:cs="仿宋"/>
                <w:color w:val="auto"/>
                <w:spacing w:val="-1"/>
                <w:sz w:val="24"/>
                <w:szCs w:val="24"/>
                <w:highlight w:val="none"/>
              </w:rPr>
            </w:pPr>
          </w:p>
        </w:tc>
        <w:tc>
          <w:tcPr>
            <w:tcW w:w="2658" w:type="dxa"/>
            <w:vAlign w:val="center"/>
          </w:tcPr>
          <w:p w14:paraId="50A828DF">
            <w:pPr>
              <w:rPr>
                <w:rFonts w:hint="eastAsia" w:ascii="仿宋" w:hAnsi="仿宋" w:eastAsia="仿宋" w:cs="仿宋"/>
                <w:color w:val="auto"/>
                <w:spacing w:val="-1"/>
                <w:sz w:val="24"/>
                <w:szCs w:val="24"/>
                <w:highlight w:val="none"/>
              </w:rPr>
            </w:pPr>
          </w:p>
        </w:tc>
      </w:tr>
    </w:tbl>
    <w:p w14:paraId="4149C72D">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注：请在“偏离说明”栏内扼要说明偏离情况，如无偏离则不需列明。</w:t>
      </w:r>
    </w:p>
    <w:p w14:paraId="0B90F1ED">
      <w:pPr>
        <w:rPr>
          <w:rFonts w:hint="eastAsia" w:ascii="仿宋" w:hAnsi="仿宋" w:eastAsia="仿宋" w:cs="仿宋"/>
          <w:color w:val="auto"/>
          <w:sz w:val="24"/>
          <w:szCs w:val="24"/>
          <w:highlight w:val="none"/>
        </w:rPr>
      </w:pPr>
    </w:p>
    <w:p w14:paraId="4A7BED69">
      <w:pPr>
        <w:rPr>
          <w:rFonts w:hint="eastAsia" w:ascii="仿宋" w:hAnsi="仿宋" w:eastAsia="仿宋" w:cs="仿宋"/>
          <w:color w:val="auto"/>
          <w:sz w:val="24"/>
          <w:szCs w:val="24"/>
          <w:highlight w:val="none"/>
        </w:rPr>
      </w:pPr>
    </w:p>
    <w:p w14:paraId="27BDB535">
      <w:pPr>
        <w:rPr>
          <w:rFonts w:hint="eastAsia" w:ascii="仿宋" w:hAnsi="仿宋" w:eastAsia="仿宋" w:cs="仿宋"/>
          <w:color w:val="auto"/>
          <w:sz w:val="24"/>
          <w:szCs w:val="24"/>
          <w:highlight w:val="none"/>
        </w:rPr>
      </w:pPr>
    </w:p>
    <w:p w14:paraId="54980E72">
      <w:pPr>
        <w:rPr>
          <w:rFonts w:hint="eastAsia" w:ascii="仿宋" w:hAnsi="仿宋" w:eastAsia="仿宋" w:cs="仿宋"/>
          <w:color w:val="auto"/>
          <w:sz w:val="24"/>
          <w:szCs w:val="24"/>
          <w:highlight w:val="none"/>
        </w:rPr>
      </w:pPr>
    </w:p>
    <w:p w14:paraId="6F6A615C">
      <w:pPr>
        <w:rPr>
          <w:rFonts w:hint="eastAsia" w:ascii="仿宋" w:hAnsi="仿宋" w:eastAsia="仿宋" w:cs="仿宋"/>
          <w:color w:val="auto"/>
          <w:sz w:val="24"/>
          <w:szCs w:val="24"/>
          <w:highlight w:val="none"/>
        </w:rPr>
      </w:pPr>
    </w:p>
    <w:p w14:paraId="6AA831B4">
      <w:pPr>
        <w:rPr>
          <w:rFonts w:hint="eastAsia" w:ascii="仿宋" w:hAnsi="仿宋" w:eastAsia="仿宋" w:cs="仿宋"/>
          <w:color w:val="auto"/>
          <w:sz w:val="24"/>
          <w:szCs w:val="24"/>
          <w:highlight w:val="none"/>
        </w:rPr>
      </w:pPr>
    </w:p>
    <w:p w14:paraId="46805BC5">
      <w:pPr>
        <w:rPr>
          <w:rFonts w:hint="eastAsia" w:ascii="仿宋" w:hAnsi="仿宋" w:eastAsia="仿宋" w:cs="仿宋"/>
          <w:color w:val="auto"/>
          <w:sz w:val="24"/>
          <w:szCs w:val="24"/>
          <w:highlight w:val="none"/>
        </w:rPr>
      </w:pPr>
    </w:p>
    <w:p w14:paraId="3C4142EE">
      <w:pPr>
        <w:rPr>
          <w:rFonts w:hint="eastAsia" w:ascii="仿宋" w:hAnsi="仿宋" w:eastAsia="仿宋" w:cs="仿宋"/>
          <w:color w:val="auto"/>
          <w:sz w:val="24"/>
          <w:szCs w:val="24"/>
          <w:highlight w:val="none"/>
        </w:rPr>
      </w:pPr>
    </w:p>
    <w:p w14:paraId="0486D68E">
      <w:pPr>
        <w:rPr>
          <w:rFonts w:hint="eastAsia" w:ascii="仿宋" w:hAnsi="仿宋" w:eastAsia="仿宋" w:cs="仿宋"/>
          <w:color w:val="auto"/>
          <w:sz w:val="24"/>
          <w:szCs w:val="24"/>
          <w:highlight w:val="none"/>
        </w:rPr>
      </w:pPr>
    </w:p>
    <w:p w14:paraId="54ADD4FA">
      <w:pPr>
        <w:rPr>
          <w:rFonts w:hint="eastAsia" w:ascii="仿宋" w:hAnsi="仿宋" w:eastAsia="仿宋" w:cs="仿宋"/>
          <w:color w:val="auto"/>
          <w:sz w:val="24"/>
          <w:szCs w:val="24"/>
          <w:highlight w:val="none"/>
        </w:rPr>
      </w:pPr>
    </w:p>
    <w:p w14:paraId="57B7E847">
      <w:pPr>
        <w:pStyle w:val="40"/>
        <w:rPr>
          <w:rFonts w:hint="eastAsia" w:ascii="仿宋" w:hAnsi="仿宋" w:eastAsia="仿宋" w:cs="仿宋"/>
          <w:color w:val="auto"/>
          <w:sz w:val="24"/>
          <w:szCs w:val="24"/>
          <w:highlight w:val="none"/>
        </w:rPr>
      </w:pPr>
    </w:p>
    <w:p w14:paraId="06DC9D9B">
      <w:pPr>
        <w:rPr>
          <w:rFonts w:hint="eastAsia" w:ascii="仿宋" w:hAnsi="仿宋" w:eastAsia="仿宋" w:cs="仿宋"/>
          <w:color w:val="auto"/>
          <w:sz w:val="24"/>
          <w:szCs w:val="24"/>
          <w:highlight w:val="none"/>
        </w:rPr>
      </w:pPr>
    </w:p>
    <w:p w14:paraId="629C5F0F">
      <w:pPr>
        <w:rPr>
          <w:rFonts w:hint="eastAsia" w:ascii="仿宋" w:hAnsi="仿宋" w:eastAsia="仿宋" w:cs="仿宋"/>
          <w:color w:val="auto"/>
          <w:sz w:val="24"/>
          <w:szCs w:val="24"/>
          <w:highlight w:val="none"/>
        </w:rPr>
      </w:pPr>
    </w:p>
    <w:p w14:paraId="1A609CC1">
      <w:pPr>
        <w:rPr>
          <w:rFonts w:hint="eastAsia" w:ascii="仿宋" w:hAnsi="仿宋" w:eastAsia="仿宋" w:cs="仿宋"/>
          <w:color w:val="auto"/>
          <w:sz w:val="24"/>
          <w:szCs w:val="24"/>
          <w:highlight w:val="none"/>
        </w:rPr>
      </w:pPr>
    </w:p>
    <w:p w14:paraId="146A4FCC">
      <w:pPr>
        <w:rPr>
          <w:rFonts w:hint="eastAsia" w:ascii="仿宋" w:hAnsi="仿宋" w:eastAsia="仿宋" w:cs="仿宋"/>
          <w:color w:val="auto"/>
          <w:sz w:val="24"/>
          <w:szCs w:val="24"/>
          <w:highlight w:val="none"/>
        </w:rPr>
      </w:pPr>
    </w:p>
    <w:p w14:paraId="1FFC11EC">
      <w:pPr>
        <w:pStyle w:val="10"/>
        <w:ind w:left="0" w:leftChars="0" w:firstLine="243" w:firstLineChars="100"/>
        <w:outlineLvl w:val="2"/>
        <w:rPr>
          <w:rFonts w:hint="eastAsia" w:ascii="仿宋" w:hAnsi="仿宋" w:eastAsia="仿宋" w:cs="仿宋"/>
          <w:sz w:val="24"/>
          <w:szCs w:val="24"/>
          <w:highlight w:val="none"/>
        </w:rPr>
      </w:pPr>
      <w:bookmarkStart w:id="162" w:name="_Toc18072"/>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、投标人认为需要提交的技术资料</w:t>
      </w:r>
      <w:r>
        <w:rPr>
          <w:rFonts w:hint="eastAsia" w:ascii="仿宋" w:hAnsi="仿宋" w:eastAsia="仿宋" w:cs="仿宋"/>
          <w:b/>
          <w:color w:val="auto"/>
          <w:sz w:val="24"/>
          <w:szCs w:val="24"/>
          <w:highlight w:val="none"/>
          <w:lang w:eastAsia="zh-CN"/>
        </w:rPr>
        <w:t>（根据评审标准自行添加）</w:t>
      </w:r>
      <w:bookmarkEnd w:id="162"/>
    </w:p>
    <w:sectPr>
      <w:headerReference r:id="rId6" w:type="default"/>
      <w:footerReference r:id="rId7" w:type="default"/>
      <w:pgSz w:w="11905" w:h="16838"/>
      <w:pgMar w:top="1440" w:right="1797" w:bottom="1440" w:left="1797" w:header="850" w:footer="992" w:gutter="0"/>
      <w:pgNumType w:fmt="decimal"/>
      <w:cols w:space="720" w:num="1"/>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Meiryo">
    <w:altName w:val="Yu Gothic UI"/>
    <w:panose1 w:val="020B0604030504040204"/>
    <w:charset w:val="80"/>
    <w:family w:val="auto"/>
    <w:pitch w:val="default"/>
    <w:sig w:usb0="00000000" w:usb1="00000000" w:usb2="00010012" w:usb3="00000000" w:csb0="6002009F" w:csb1="DFD70000"/>
  </w:font>
  <w:font w:name="_x000B__x000C_">
    <w:altName w:val="Courier New"/>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EF94">
    <w:pPr>
      <w:pStyle w:val="15"/>
      <w:ind w:right="360"/>
      <w:jc w:val="both"/>
      <w:rPr>
        <w:color w:val="800000"/>
        <w:sz w:val="20"/>
        <w:szCs w:val="20"/>
      </w:rPr>
    </w:pPr>
    <w:r>
      <w:rPr>
        <w:rFonts w:hint="eastAsia"/>
        <w:color w:val="800000"/>
        <w:sz w:val="16"/>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594E">
    <w:pPr>
      <w:pStyle w:val="15"/>
      <w:ind w:right="360"/>
      <w:jc w:val="both"/>
      <w:rPr>
        <w:color w:val="800000"/>
        <w:sz w:val="20"/>
        <w:szCs w:val="20"/>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7BED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F7BED1">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800000"/>
        <w:sz w:val="16"/>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F249">
    <w:pPr>
      <w:pStyle w:val="15"/>
      <w:ind w:right="360"/>
      <w:jc w:val="both"/>
      <w:rPr>
        <w:rFonts w:hint="eastAsia" w:eastAsia="宋体"/>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58839">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958839">
                    <w:pPr>
                      <w:pStyle w:val="15"/>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sz w:val="24"/>
        <w:szCs w:val="24"/>
      </w:rPr>
      <w:t xml:space="preserve">  </w:t>
    </w:r>
  </w:p>
  <w:p w14:paraId="74D513FD">
    <w:pPr>
      <w:pStyle w:val="15"/>
      <w:autoSpaceDE w:val="0"/>
      <w:autoSpaceDN w:val="0"/>
      <w:adjustRightInd w:val="0"/>
      <w:ind w:left="7200" w:hanging="7200" w:hangingChars="4000"/>
      <w:jc w:val="both"/>
    </w:pPr>
  </w:p>
  <w:p w14:paraId="521C491D">
    <w:pPr>
      <w:pStyle w:val="1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AFCB">
    <w:pPr>
      <w:pStyle w:val="16"/>
      <w:pBdr>
        <w:bottom w:val="none" w:color="auto" w:sz="0" w:space="0"/>
      </w:pBdr>
      <w:tabs>
        <w:tab w:val="left" w:pos="2599"/>
        <w:tab w:val="clear" w:pos="4153"/>
        <w:tab w:val="clear" w:pos="8306"/>
      </w:tabs>
      <w:jc w:val="both"/>
      <w:rPr>
        <w:rFonts w:hint="eastAsia" w:eastAsia="宋体"/>
        <w:lang w:eastAsia="zh-CN"/>
      </w:rPr>
    </w:pPr>
    <w:r>
      <w:rPr>
        <w:rFonts w:hint="eastAsia"/>
      </w:rPr>
      <w:t xml:space="preserve">         </w:t>
    </w:r>
    <w:r>
      <w:rPr>
        <w:rFonts w:hint="eastAsia"/>
        <w:lang w:val="en-US" w:eastAsia="zh-CN"/>
      </w:rPr>
      <w:t xml:space="preserve"> </w:t>
    </w:r>
    <w:r>
      <w:rPr>
        <w:rFonts w:hint="eastAsia"/>
      </w:rPr>
      <w:t xml:space="preserve">  </w:t>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95B53">
    <w:pPr>
      <w:pStyle w:val="16"/>
      <w:pBdr>
        <w:bottom w:val="none" w:color="auto" w:sz="0" w:space="1"/>
      </w:pBdr>
      <w:jc w:val="both"/>
      <w:rPr>
        <w:rFonts w:ascii="宋体" w:hAnsi="宋体" w:cs="宋体"/>
        <w:sz w:val="21"/>
        <w:szCs w:val="21"/>
      </w:rPr>
    </w:pPr>
    <w:r>
      <w:rPr>
        <w:rFonts w:hint="eastAsia"/>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9BD77"/>
    <w:multiLevelType w:val="singleLevel"/>
    <w:tmpl w:val="9FD9BD77"/>
    <w:lvl w:ilvl="0" w:tentative="0">
      <w:start w:val="24"/>
      <w:numFmt w:val="decimal"/>
      <w:suff w:val="space"/>
      <w:lvlText w:val="%1."/>
      <w:lvlJc w:val="left"/>
    </w:lvl>
  </w:abstractNum>
  <w:abstractNum w:abstractNumId="1">
    <w:nsid w:val="B0ABFF80"/>
    <w:multiLevelType w:val="singleLevel"/>
    <w:tmpl w:val="B0ABFF80"/>
    <w:lvl w:ilvl="0" w:tentative="0">
      <w:start w:val="4"/>
      <w:numFmt w:val="chineseCounting"/>
      <w:suff w:val="space"/>
      <w:lvlText w:val="第%1章"/>
      <w:lvlJc w:val="left"/>
      <w:rPr>
        <w:rFonts w:hint="eastAsia"/>
      </w:rPr>
    </w:lvl>
  </w:abstractNum>
  <w:abstractNum w:abstractNumId="2">
    <w:nsid w:val="C0C73EC4"/>
    <w:multiLevelType w:val="singleLevel"/>
    <w:tmpl w:val="C0C73EC4"/>
    <w:lvl w:ilvl="0" w:tentative="0">
      <w:start w:val="2"/>
      <w:numFmt w:val="decimal"/>
      <w:suff w:val="space"/>
      <w:lvlText w:val="%1."/>
      <w:lvlJc w:val="left"/>
      <w:pPr>
        <w:ind w:left="1354" w:leftChars="0" w:firstLine="0" w:firstLineChars="0"/>
      </w:pPr>
    </w:lvl>
  </w:abstractNum>
  <w:abstractNum w:abstractNumId="3">
    <w:nsid w:val="C2BA2EDD"/>
    <w:multiLevelType w:val="singleLevel"/>
    <w:tmpl w:val="C2BA2EDD"/>
    <w:lvl w:ilvl="0" w:tentative="0">
      <w:start w:val="8"/>
      <w:numFmt w:val="decimal"/>
      <w:suff w:val="nothing"/>
      <w:lvlText w:val="（%1）"/>
      <w:lvlJc w:val="left"/>
    </w:lvl>
  </w:abstractNum>
  <w:abstractNum w:abstractNumId="4">
    <w:nsid w:val="E1626957"/>
    <w:multiLevelType w:val="singleLevel"/>
    <w:tmpl w:val="E1626957"/>
    <w:lvl w:ilvl="0" w:tentative="0">
      <w:start w:val="1"/>
      <w:numFmt w:val="decimal"/>
      <w:pStyle w:val="13"/>
      <w:lvlText w:val="%1."/>
      <w:lvlJc w:val="left"/>
      <w:pPr>
        <w:tabs>
          <w:tab w:val="left" w:pos="2040"/>
        </w:tabs>
        <w:ind w:left="2040" w:hanging="360"/>
      </w:pPr>
    </w:lvl>
  </w:abstractNum>
  <w:abstractNum w:abstractNumId="5">
    <w:nsid w:val="E3D4857E"/>
    <w:multiLevelType w:val="singleLevel"/>
    <w:tmpl w:val="E3D4857E"/>
    <w:lvl w:ilvl="0" w:tentative="0">
      <w:start w:val="1"/>
      <w:numFmt w:val="chineseCounting"/>
      <w:suff w:val="nothing"/>
      <w:lvlText w:val="%1、"/>
      <w:lvlJc w:val="left"/>
      <w:rPr>
        <w:rFonts w:hint="eastAsia"/>
      </w:rPr>
    </w:lvl>
  </w:abstractNum>
  <w:abstractNum w:abstractNumId="6">
    <w:nsid w:val="11715540"/>
    <w:multiLevelType w:val="multilevel"/>
    <w:tmpl w:val="11715540"/>
    <w:lvl w:ilvl="0" w:tentative="0">
      <w:start w:val="1"/>
      <w:numFmt w:val="japaneseCounting"/>
      <w:lvlText w:val="（%1）"/>
      <w:lvlJc w:val="left"/>
      <w:pPr>
        <w:tabs>
          <w:tab w:val="left" w:pos="1725"/>
        </w:tabs>
        <w:ind w:left="1932"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A90A629"/>
    <w:multiLevelType w:val="singleLevel"/>
    <w:tmpl w:val="4A90A629"/>
    <w:lvl w:ilvl="0" w:tentative="0">
      <w:start w:val="2"/>
      <w:numFmt w:val="chineseCounting"/>
      <w:suff w:val="space"/>
      <w:lvlText w:val="第%1条"/>
      <w:lvlJc w:val="left"/>
      <w:rPr>
        <w:rFonts w:hint="eastAsia"/>
      </w:rPr>
    </w:lvl>
  </w:abstractNum>
  <w:abstractNum w:abstractNumId="10">
    <w:nsid w:val="55CD4C99"/>
    <w:multiLevelType w:val="singleLevel"/>
    <w:tmpl w:val="55CD4C99"/>
    <w:lvl w:ilvl="0" w:tentative="0">
      <w:start w:val="1"/>
      <w:numFmt w:val="chineseCounting"/>
      <w:suff w:val="nothing"/>
      <w:lvlText w:val="%1、"/>
      <w:lvlJc w:val="left"/>
    </w:lvl>
  </w:abstractNum>
  <w:abstractNum w:abstractNumId="11">
    <w:nsid w:val="64AFBD95"/>
    <w:multiLevelType w:val="singleLevel"/>
    <w:tmpl w:val="64AFBD95"/>
    <w:lvl w:ilvl="0" w:tentative="0">
      <w:start w:val="7"/>
      <w:numFmt w:val="chineseCounting"/>
      <w:suff w:val="nothing"/>
      <w:lvlText w:val="%1、"/>
      <w:lvlJc w:val="left"/>
    </w:lvl>
  </w:abstractNum>
  <w:abstractNum w:abstractNumId="12">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7"/>
  </w:num>
  <w:num w:numId="2">
    <w:abstractNumId w:val="4"/>
  </w:num>
  <w:num w:numId="3">
    <w:abstractNumId w:val="8"/>
  </w:num>
  <w:num w:numId="4">
    <w:abstractNumId w:val="5"/>
  </w:num>
  <w:num w:numId="5">
    <w:abstractNumId w:val="11"/>
  </w:num>
  <w:num w:numId="6">
    <w:abstractNumId w:val="0"/>
  </w:num>
  <w:num w:numId="7">
    <w:abstractNumId w:val="10"/>
  </w:num>
  <w:num w:numId="8">
    <w:abstractNumId w:val="6"/>
  </w:num>
  <w:num w:numId="9">
    <w:abstractNumId w:val="12"/>
  </w:num>
  <w:num w:numId="10">
    <w:abstractNumId w:val="3"/>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OGY0MDllNjE1YmU5MjExZjUyNzAyMTMzZmUyN2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5BF6"/>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260"/>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667"/>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4E69"/>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55D1"/>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2EDA"/>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3251"/>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1D81"/>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C2A"/>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302"/>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15D"/>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0924"/>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137C69"/>
    <w:rsid w:val="01470D4C"/>
    <w:rsid w:val="014E290D"/>
    <w:rsid w:val="014F04E5"/>
    <w:rsid w:val="015969F3"/>
    <w:rsid w:val="01920401"/>
    <w:rsid w:val="0195644C"/>
    <w:rsid w:val="019E4202"/>
    <w:rsid w:val="01B16E65"/>
    <w:rsid w:val="01B87B26"/>
    <w:rsid w:val="01DA0AE8"/>
    <w:rsid w:val="01EA1125"/>
    <w:rsid w:val="02505505"/>
    <w:rsid w:val="0255198A"/>
    <w:rsid w:val="026844A3"/>
    <w:rsid w:val="027423B3"/>
    <w:rsid w:val="028E7BDF"/>
    <w:rsid w:val="02AF4FC1"/>
    <w:rsid w:val="02D34744"/>
    <w:rsid w:val="02E62FD5"/>
    <w:rsid w:val="0308778C"/>
    <w:rsid w:val="03634626"/>
    <w:rsid w:val="037800D1"/>
    <w:rsid w:val="03BE5F89"/>
    <w:rsid w:val="03EA6FAA"/>
    <w:rsid w:val="03EE2A56"/>
    <w:rsid w:val="04016320"/>
    <w:rsid w:val="045E2623"/>
    <w:rsid w:val="04B05277"/>
    <w:rsid w:val="04CD6F51"/>
    <w:rsid w:val="050D4295"/>
    <w:rsid w:val="052B510A"/>
    <w:rsid w:val="0530678A"/>
    <w:rsid w:val="05371AF0"/>
    <w:rsid w:val="054116CB"/>
    <w:rsid w:val="0548574A"/>
    <w:rsid w:val="055038BC"/>
    <w:rsid w:val="05544350"/>
    <w:rsid w:val="055D1B12"/>
    <w:rsid w:val="05791EDF"/>
    <w:rsid w:val="060519C4"/>
    <w:rsid w:val="06436049"/>
    <w:rsid w:val="064F03AA"/>
    <w:rsid w:val="066B77BF"/>
    <w:rsid w:val="06787432"/>
    <w:rsid w:val="068A4F64"/>
    <w:rsid w:val="06BE7B0C"/>
    <w:rsid w:val="06C23618"/>
    <w:rsid w:val="06C427AE"/>
    <w:rsid w:val="06DF5D71"/>
    <w:rsid w:val="07040A65"/>
    <w:rsid w:val="074C0952"/>
    <w:rsid w:val="074E6108"/>
    <w:rsid w:val="0765096C"/>
    <w:rsid w:val="07854B6B"/>
    <w:rsid w:val="07E76B46"/>
    <w:rsid w:val="07EF451C"/>
    <w:rsid w:val="0830547E"/>
    <w:rsid w:val="08305869"/>
    <w:rsid w:val="08597DA5"/>
    <w:rsid w:val="08AA4251"/>
    <w:rsid w:val="08E421C5"/>
    <w:rsid w:val="08F4718E"/>
    <w:rsid w:val="0977292C"/>
    <w:rsid w:val="097D7EDC"/>
    <w:rsid w:val="09982D4A"/>
    <w:rsid w:val="09F6762F"/>
    <w:rsid w:val="0A003984"/>
    <w:rsid w:val="0A0A57FB"/>
    <w:rsid w:val="0A425D09"/>
    <w:rsid w:val="0A4D73F8"/>
    <w:rsid w:val="0A615213"/>
    <w:rsid w:val="0A761D42"/>
    <w:rsid w:val="0A962227"/>
    <w:rsid w:val="0ACB590F"/>
    <w:rsid w:val="0AD361DF"/>
    <w:rsid w:val="0AD55E09"/>
    <w:rsid w:val="0B0F1DBE"/>
    <w:rsid w:val="0BA42CCF"/>
    <w:rsid w:val="0BB0345C"/>
    <w:rsid w:val="0BCE4606"/>
    <w:rsid w:val="0C1771EC"/>
    <w:rsid w:val="0C1E5D62"/>
    <w:rsid w:val="0C2030B4"/>
    <w:rsid w:val="0C62191E"/>
    <w:rsid w:val="0C96326B"/>
    <w:rsid w:val="0C9B41E0"/>
    <w:rsid w:val="0CB8726D"/>
    <w:rsid w:val="0CBB3996"/>
    <w:rsid w:val="0CC50588"/>
    <w:rsid w:val="0CCE5B94"/>
    <w:rsid w:val="0D307AB4"/>
    <w:rsid w:val="0D3B47C9"/>
    <w:rsid w:val="0D3D1A44"/>
    <w:rsid w:val="0D3F1B32"/>
    <w:rsid w:val="0D5F6C43"/>
    <w:rsid w:val="0D6101F9"/>
    <w:rsid w:val="0D873BD3"/>
    <w:rsid w:val="0D9B7F82"/>
    <w:rsid w:val="0DC009E4"/>
    <w:rsid w:val="0DE43140"/>
    <w:rsid w:val="0DE52622"/>
    <w:rsid w:val="0DF72D4B"/>
    <w:rsid w:val="0E6514CE"/>
    <w:rsid w:val="0E6C7DC7"/>
    <w:rsid w:val="0EBB3568"/>
    <w:rsid w:val="0EC850B8"/>
    <w:rsid w:val="0F2C78B5"/>
    <w:rsid w:val="0F4A0448"/>
    <w:rsid w:val="0F8001C0"/>
    <w:rsid w:val="0FB2671F"/>
    <w:rsid w:val="0FBF4B97"/>
    <w:rsid w:val="10130368"/>
    <w:rsid w:val="10216F0F"/>
    <w:rsid w:val="1061783B"/>
    <w:rsid w:val="1063613D"/>
    <w:rsid w:val="109B34F5"/>
    <w:rsid w:val="10BF71E9"/>
    <w:rsid w:val="11105DEF"/>
    <w:rsid w:val="1132247A"/>
    <w:rsid w:val="11624E28"/>
    <w:rsid w:val="1185656A"/>
    <w:rsid w:val="1204469C"/>
    <w:rsid w:val="121E04E8"/>
    <w:rsid w:val="12200177"/>
    <w:rsid w:val="123F499D"/>
    <w:rsid w:val="124047DA"/>
    <w:rsid w:val="126E04C4"/>
    <w:rsid w:val="12F61C03"/>
    <w:rsid w:val="134A0A16"/>
    <w:rsid w:val="135F18E9"/>
    <w:rsid w:val="1405689D"/>
    <w:rsid w:val="1418482B"/>
    <w:rsid w:val="149C3D10"/>
    <w:rsid w:val="14AD4DB8"/>
    <w:rsid w:val="14AE2E3A"/>
    <w:rsid w:val="150017B7"/>
    <w:rsid w:val="15157722"/>
    <w:rsid w:val="154C271C"/>
    <w:rsid w:val="156264EB"/>
    <w:rsid w:val="15775A8C"/>
    <w:rsid w:val="15EC220C"/>
    <w:rsid w:val="161D17C8"/>
    <w:rsid w:val="170C218F"/>
    <w:rsid w:val="17351EB0"/>
    <w:rsid w:val="1740319E"/>
    <w:rsid w:val="177D1D83"/>
    <w:rsid w:val="17884203"/>
    <w:rsid w:val="17BA0860"/>
    <w:rsid w:val="17FF035F"/>
    <w:rsid w:val="18151AED"/>
    <w:rsid w:val="184A290D"/>
    <w:rsid w:val="186576DB"/>
    <w:rsid w:val="1870581D"/>
    <w:rsid w:val="18AE7A18"/>
    <w:rsid w:val="18B03A11"/>
    <w:rsid w:val="18FE121D"/>
    <w:rsid w:val="1920143C"/>
    <w:rsid w:val="19491AD7"/>
    <w:rsid w:val="198B16F3"/>
    <w:rsid w:val="19940024"/>
    <w:rsid w:val="19A8476A"/>
    <w:rsid w:val="19C66C22"/>
    <w:rsid w:val="1A496F22"/>
    <w:rsid w:val="1A555846"/>
    <w:rsid w:val="1A5A7FB2"/>
    <w:rsid w:val="1ACB068F"/>
    <w:rsid w:val="1ADC3C25"/>
    <w:rsid w:val="1AE8631D"/>
    <w:rsid w:val="1B1A7868"/>
    <w:rsid w:val="1B3E3C04"/>
    <w:rsid w:val="1BD179B9"/>
    <w:rsid w:val="1C3B7159"/>
    <w:rsid w:val="1C8C41A9"/>
    <w:rsid w:val="1C982E58"/>
    <w:rsid w:val="1CB338B2"/>
    <w:rsid w:val="1CD7789E"/>
    <w:rsid w:val="1CF852BE"/>
    <w:rsid w:val="1D2A5E93"/>
    <w:rsid w:val="1D2F3EC2"/>
    <w:rsid w:val="1D644556"/>
    <w:rsid w:val="1DC96A0D"/>
    <w:rsid w:val="1DE25432"/>
    <w:rsid w:val="1DFE291F"/>
    <w:rsid w:val="1DFE66BE"/>
    <w:rsid w:val="1E2F53D8"/>
    <w:rsid w:val="1E385966"/>
    <w:rsid w:val="1E706559"/>
    <w:rsid w:val="1FA73631"/>
    <w:rsid w:val="1FA83492"/>
    <w:rsid w:val="1FAD44AE"/>
    <w:rsid w:val="201448F3"/>
    <w:rsid w:val="205F5715"/>
    <w:rsid w:val="206B2007"/>
    <w:rsid w:val="20BD7D18"/>
    <w:rsid w:val="20C20C31"/>
    <w:rsid w:val="20C84D12"/>
    <w:rsid w:val="20EA0B6C"/>
    <w:rsid w:val="21543824"/>
    <w:rsid w:val="21C43CC6"/>
    <w:rsid w:val="21E06B06"/>
    <w:rsid w:val="22505310"/>
    <w:rsid w:val="226B2757"/>
    <w:rsid w:val="227F3C44"/>
    <w:rsid w:val="22D14F53"/>
    <w:rsid w:val="230F7587"/>
    <w:rsid w:val="23563868"/>
    <w:rsid w:val="23821ACC"/>
    <w:rsid w:val="23B4085A"/>
    <w:rsid w:val="23C93BD9"/>
    <w:rsid w:val="23F1320A"/>
    <w:rsid w:val="24015C07"/>
    <w:rsid w:val="240E27FB"/>
    <w:rsid w:val="24311F11"/>
    <w:rsid w:val="249D7C8B"/>
    <w:rsid w:val="24DD7F37"/>
    <w:rsid w:val="24E764A1"/>
    <w:rsid w:val="25011339"/>
    <w:rsid w:val="2527150A"/>
    <w:rsid w:val="2529314D"/>
    <w:rsid w:val="25611901"/>
    <w:rsid w:val="257B06FF"/>
    <w:rsid w:val="258064C3"/>
    <w:rsid w:val="2594352C"/>
    <w:rsid w:val="260C44CD"/>
    <w:rsid w:val="26163EB5"/>
    <w:rsid w:val="26460BB6"/>
    <w:rsid w:val="264B42F1"/>
    <w:rsid w:val="26A17794"/>
    <w:rsid w:val="26D657B7"/>
    <w:rsid w:val="276B6060"/>
    <w:rsid w:val="27B2145C"/>
    <w:rsid w:val="27C748D4"/>
    <w:rsid w:val="27E403E2"/>
    <w:rsid w:val="27E461E8"/>
    <w:rsid w:val="27EB295A"/>
    <w:rsid w:val="27EB411E"/>
    <w:rsid w:val="27FA7131"/>
    <w:rsid w:val="284035F2"/>
    <w:rsid w:val="28836A4D"/>
    <w:rsid w:val="28962D82"/>
    <w:rsid w:val="28C22024"/>
    <w:rsid w:val="28CB7B00"/>
    <w:rsid w:val="290129D3"/>
    <w:rsid w:val="2905171F"/>
    <w:rsid w:val="292A4047"/>
    <w:rsid w:val="2951316E"/>
    <w:rsid w:val="297468CD"/>
    <w:rsid w:val="29BE6A96"/>
    <w:rsid w:val="29EB5041"/>
    <w:rsid w:val="2A1B2201"/>
    <w:rsid w:val="2A1D2EF1"/>
    <w:rsid w:val="2A3F0864"/>
    <w:rsid w:val="2A784B03"/>
    <w:rsid w:val="2A7F1496"/>
    <w:rsid w:val="2A8267E2"/>
    <w:rsid w:val="2A9071FF"/>
    <w:rsid w:val="2A9C2D33"/>
    <w:rsid w:val="2AB22388"/>
    <w:rsid w:val="2AC8240E"/>
    <w:rsid w:val="2AE91610"/>
    <w:rsid w:val="2AFE19D8"/>
    <w:rsid w:val="2B2471D4"/>
    <w:rsid w:val="2B4E7BAF"/>
    <w:rsid w:val="2B8D1001"/>
    <w:rsid w:val="2B936FA7"/>
    <w:rsid w:val="2BA21234"/>
    <w:rsid w:val="2BAE7D76"/>
    <w:rsid w:val="2BB46FAD"/>
    <w:rsid w:val="2BCD7395"/>
    <w:rsid w:val="2BCF6AFB"/>
    <w:rsid w:val="2BF032B7"/>
    <w:rsid w:val="2C2253F3"/>
    <w:rsid w:val="2C471B3F"/>
    <w:rsid w:val="2CFE750E"/>
    <w:rsid w:val="2D05394C"/>
    <w:rsid w:val="2D05508F"/>
    <w:rsid w:val="2D0F7889"/>
    <w:rsid w:val="2D40315E"/>
    <w:rsid w:val="2D5B636E"/>
    <w:rsid w:val="2D796670"/>
    <w:rsid w:val="2D8F0C49"/>
    <w:rsid w:val="2DA566E7"/>
    <w:rsid w:val="2DB476A8"/>
    <w:rsid w:val="2DEF1375"/>
    <w:rsid w:val="2E11396D"/>
    <w:rsid w:val="2E4C1B74"/>
    <w:rsid w:val="2EE46E89"/>
    <w:rsid w:val="2EE95C88"/>
    <w:rsid w:val="2EED4FEF"/>
    <w:rsid w:val="2F3B5F63"/>
    <w:rsid w:val="2F3C2100"/>
    <w:rsid w:val="2F74526F"/>
    <w:rsid w:val="2F971030"/>
    <w:rsid w:val="2FC607EE"/>
    <w:rsid w:val="2FF63802"/>
    <w:rsid w:val="30392D61"/>
    <w:rsid w:val="30724A0E"/>
    <w:rsid w:val="307325D9"/>
    <w:rsid w:val="308001C0"/>
    <w:rsid w:val="30A335EA"/>
    <w:rsid w:val="30C51EF2"/>
    <w:rsid w:val="30DC1948"/>
    <w:rsid w:val="30E060E4"/>
    <w:rsid w:val="30E67B79"/>
    <w:rsid w:val="30F7069D"/>
    <w:rsid w:val="310A12DF"/>
    <w:rsid w:val="311116F3"/>
    <w:rsid w:val="31F2015C"/>
    <w:rsid w:val="3204159C"/>
    <w:rsid w:val="321F1705"/>
    <w:rsid w:val="327B7FD7"/>
    <w:rsid w:val="329B0E37"/>
    <w:rsid w:val="32DD50BF"/>
    <w:rsid w:val="32E12A2C"/>
    <w:rsid w:val="33054D46"/>
    <w:rsid w:val="331704BD"/>
    <w:rsid w:val="33171D0F"/>
    <w:rsid w:val="335631BA"/>
    <w:rsid w:val="338F34FE"/>
    <w:rsid w:val="33C8566C"/>
    <w:rsid w:val="33D755DC"/>
    <w:rsid w:val="345F6B83"/>
    <w:rsid w:val="346B14B1"/>
    <w:rsid w:val="34CA749D"/>
    <w:rsid w:val="34DB703E"/>
    <w:rsid w:val="355D1BDD"/>
    <w:rsid w:val="356E26F7"/>
    <w:rsid w:val="35E86141"/>
    <w:rsid w:val="35F37656"/>
    <w:rsid w:val="35FF1075"/>
    <w:rsid w:val="36312BA6"/>
    <w:rsid w:val="367C6D9B"/>
    <w:rsid w:val="3681660E"/>
    <w:rsid w:val="36A96E1E"/>
    <w:rsid w:val="36AB0D07"/>
    <w:rsid w:val="36C3270A"/>
    <w:rsid w:val="36D84407"/>
    <w:rsid w:val="36D87F64"/>
    <w:rsid w:val="36DE6870"/>
    <w:rsid w:val="371562DB"/>
    <w:rsid w:val="37432253"/>
    <w:rsid w:val="377A60E3"/>
    <w:rsid w:val="37825166"/>
    <w:rsid w:val="37B26BC7"/>
    <w:rsid w:val="37C371B9"/>
    <w:rsid w:val="37D33BB4"/>
    <w:rsid w:val="37D843A8"/>
    <w:rsid w:val="37DF7667"/>
    <w:rsid w:val="383270EA"/>
    <w:rsid w:val="385555E4"/>
    <w:rsid w:val="386E24EE"/>
    <w:rsid w:val="38A81BB8"/>
    <w:rsid w:val="38B32C64"/>
    <w:rsid w:val="39247742"/>
    <w:rsid w:val="3927078A"/>
    <w:rsid w:val="3950329E"/>
    <w:rsid w:val="396948F7"/>
    <w:rsid w:val="39AE6A6D"/>
    <w:rsid w:val="39C0030D"/>
    <w:rsid w:val="3A1D3E64"/>
    <w:rsid w:val="3A32322C"/>
    <w:rsid w:val="3ABA3D4F"/>
    <w:rsid w:val="3B0A0908"/>
    <w:rsid w:val="3B1C5C24"/>
    <w:rsid w:val="3B3578FD"/>
    <w:rsid w:val="3B4E1274"/>
    <w:rsid w:val="3BA20BFD"/>
    <w:rsid w:val="3BB07220"/>
    <w:rsid w:val="3BC85AEF"/>
    <w:rsid w:val="3C6A6EC9"/>
    <w:rsid w:val="3CB5559F"/>
    <w:rsid w:val="3CB709DF"/>
    <w:rsid w:val="3D3C3D20"/>
    <w:rsid w:val="3D405675"/>
    <w:rsid w:val="3D436353"/>
    <w:rsid w:val="3D534CEE"/>
    <w:rsid w:val="3D6A7724"/>
    <w:rsid w:val="3DAB4624"/>
    <w:rsid w:val="3DCB25D0"/>
    <w:rsid w:val="3DD13F45"/>
    <w:rsid w:val="3E11315C"/>
    <w:rsid w:val="3E3D04D9"/>
    <w:rsid w:val="3E421533"/>
    <w:rsid w:val="3E4E44C1"/>
    <w:rsid w:val="3E612161"/>
    <w:rsid w:val="3E8D5E6B"/>
    <w:rsid w:val="3E975D9B"/>
    <w:rsid w:val="3EFC1DC2"/>
    <w:rsid w:val="3F057D64"/>
    <w:rsid w:val="3F796D91"/>
    <w:rsid w:val="3F985066"/>
    <w:rsid w:val="3FA30497"/>
    <w:rsid w:val="3FBA61CD"/>
    <w:rsid w:val="3FC91903"/>
    <w:rsid w:val="3FD247CD"/>
    <w:rsid w:val="40916570"/>
    <w:rsid w:val="40E81C84"/>
    <w:rsid w:val="40F94293"/>
    <w:rsid w:val="41250EA4"/>
    <w:rsid w:val="41A47E1B"/>
    <w:rsid w:val="41AC4DB1"/>
    <w:rsid w:val="421A1D78"/>
    <w:rsid w:val="42621693"/>
    <w:rsid w:val="427D0EBF"/>
    <w:rsid w:val="429A6A15"/>
    <w:rsid w:val="42AA6865"/>
    <w:rsid w:val="42BC352D"/>
    <w:rsid w:val="42DF08CC"/>
    <w:rsid w:val="432B7EEF"/>
    <w:rsid w:val="434A46EC"/>
    <w:rsid w:val="436E5BE5"/>
    <w:rsid w:val="436F1C50"/>
    <w:rsid w:val="437C5D9F"/>
    <w:rsid w:val="4386267B"/>
    <w:rsid w:val="43C301D8"/>
    <w:rsid w:val="43CB2F74"/>
    <w:rsid w:val="43D46D69"/>
    <w:rsid w:val="442B7132"/>
    <w:rsid w:val="44971B57"/>
    <w:rsid w:val="44B93D3A"/>
    <w:rsid w:val="450F3328"/>
    <w:rsid w:val="453252CE"/>
    <w:rsid w:val="453A4CCF"/>
    <w:rsid w:val="455117A9"/>
    <w:rsid w:val="456F4189"/>
    <w:rsid w:val="45763405"/>
    <w:rsid w:val="458C1D56"/>
    <w:rsid w:val="45D049C6"/>
    <w:rsid w:val="45E85D49"/>
    <w:rsid w:val="46002DD3"/>
    <w:rsid w:val="46293689"/>
    <w:rsid w:val="465A35BD"/>
    <w:rsid w:val="465A6BE7"/>
    <w:rsid w:val="465F0134"/>
    <w:rsid w:val="466A4950"/>
    <w:rsid w:val="469D3256"/>
    <w:rsid w:val="47113641"/>
    <w:rsid w:val="4733431C"/>
    <w:rsid w:val="47842674"/>
    <w:rsid w:val="4795427E"/>
    <w:rsid w:val="47A17BED"/>
    <w:rsid w:val="47AC1DC2"/>
    <w:rsid w:val="47B9126E"/>
    <w:rsid w:val="48315726"/>
    <w:rsid w:val="4866371A"/>
    <w:rsid w:val="48A67C34"/>
    <w:rsid w:val="48CE652C"/>
    <w:rsid w:val="492275A4"/>
    <w:rsid w:val="493354CD"/>
    <w:rsid w:val="4961028C"/>
    <w:rsid w:val="49610F4C"/>
    <w:rsid w:val="49C9699B"/>
    <w:rsid w:val="49FC0ED2"/>
    <w:rsid w:val="4A6632DA"/>
    <w:rsid w:val="4A745D9D"/>
    <w:rsid w:val="4A80046B"/>
    <w:rsid w:val="4AA76A01"/>
    <w:rsid w:val="4AC11C68"/>
    <w:rsid w:val="4AF018C8"/>
    <w:rsid w:val="4AF60B8B"/>
    <w:rsid w:val="4B036369"/>
    <w:rsid w:val="4B4D47FF"/>
    <w:rsid w:val="4B506EDA"/>
    <w:rsid w:val="4B6649E4"/>
    <w:rsid w:val="4B756271"/>
    <w:rsid w:val="4B7A0F54"/>
    <w:rsid w:val="4BEB0DB8"/>
    <w:rsid w:val="4BEB39EC"/>
    <w:rsid w:val="4C3D5727"/>
    <w:rsid w:val="4C8A219B"/>
    <w:rsid w:val="4C9B6FE7"/>
    <w:rsid w:val="4CBA35FB"/>
    <w:rsid w:val="4CD60A27"/>
    <w:rsid w:val="4CE15187"/>
    <w:rsid w:val="4CEB0465"/>
    <w:rsid w:val="4D0E714B"/>
    <w:rsid w:val="4D141FE0"/>
    <w:rsid w:val="4DAC05E6"/>
    <w:rsid w:val="4E0524B6"/>
    <w:rsid w:val="4E084FD4"/>
    <w:rsid w:val="4E1C4782"/>
    <w:rsid w:val="4E4E16AF"/>
    <w:rsid w:val="4E5F5F0E"/>
    <w:rsid w:val="4E677615"/>
    <w:rsid w:val="4E9F1EC2"/>
    <w:rsid w:val="4E9F2FAC"/>
    <w:rsid w:val="4ED84B4D"/>
    <w:rsid w:val="4ED96A7E"/>
    <w:rsid w:val="4F361873"/>
    <w:rsid w:val="4F6A5725"/>
    <w:rsid w:val="4F6C1A77"/>
    <w:rsid w:val="4FB22195"/>
    <w:rsid w:val="4FBB0B69"/>
    <w:rsid w:val="500372D1"/>
    <w:rsid w:val="500A094A"/>
    <w:rsid w:val="50105D9E"/>
    <w:rsid w:val="504313FF"/>
    <w:rsid w:val="50533F76"/>
    <w:rsid w:val="507B35EB"/>
    <w:rsid w:val="507E2095"/>
    <w:rsid w:val="50955F2A"/>
    <w:rsid w:val="50E028B4"/>
    <w:rsid w:val="50F11F70"/>
    <w:rsid w:val="511F30D9"/>
    <w:rsid w:val="51205BE3"/>
    <w:rsid w:val="51247002"/>
    <w:rsid w:val="51303461"/>
    <w:rsid w:val="513D33E2"/>
    <w:rsid w:val="51A0758E"/>
    <w:rsid w:val="51A74CAA"/>
    <w:rsid w:val="51B11960"/>
    <w:rsid w:val="51D73D9E"/>
    <w:rsid w:val="51E517A3"/>
    <w:rsid w:val="51FD602C"/>
    <w:rsid w:val="520B596A"/>
    <w:rsid w:val="52A871D4"/>
    <w:rsid w:val="52AE3E89"/>
    <w:rsid w:val="52BD3BF0"/>
    <w:rsid w:val="52ED5A1D"/>
    <w:rsid w:val="53660F97"/>
    <w:rsid w:val="53AC1EF9"/>
    <w:rsid w:val="53DE35D5"/>
    <w:rsid w:val="54056FB1"/>
    <w:rsid w:val="541920D0"/>
    <w:rsid w:val="542310A2"/>
    <w:rsid w:val="543E122D"/>
    <w:rsid w:val="54442706"/>
    <w:rsid w:val="546E385E"/>
    <w:rsid w:val="546E6143"/>
    <w:rsid w:val="54866DF9"/>
    <w:rsid w:val="54C44B46"/>
    <w:rsid w:val="54C7328A"/>
    <w:rsid w:val="54DB4D54"/>
    <w:rsid w:val="54DF0BEB"/>
    <w:rsid w:val="54ED35AA"/>
    <w:rsid w:val="54FF6D7A"/>
    <w:rsid w:val="551D40DC"/>
    <w:rsid w:val="55482300"/>
    <w:rsid w:val="555C5838"/>
    <w:rsid w:val="55637EE4"/>
    <w:rsid w:val="557B26D6"/>
    <w:rsid w:val="55A04CAF"/>
    <w:rsid w:val="55A91966"/>
    <w:rsid w:val="55C217A6"/>
    <w:rsid w:val="564F25FE"/>
    <w:rsid w:val="565A665B"/>
    <w:rsid w:val="56752120"/>
    <w:rsid w:val="569F4299"/>
    <w:rsid w:val="56CE1E48"/>
    <w:rsid w:val="57003E35"/>
    <w:rsid w:val="570B10AD"/>
    <w:rsid w:val="570F670F"/>
    <w:rsid w:val="5752573D"/>
    <w:rsid w:val="575628A5"/>
    <w:rsid w:val="579B5FEE"/>
    <w:rsid w:val="57D27E9C"/>
    <w:rsid w:val="57D45CF1"/>
    <w:rsid w:val="57DD4F82"/>
    <w:rsid w:val="580D7F01"/>
    <w:rsid w:val="580E03AC"/>
    <w:rsid w:val="583F7328"/>
    <w:rsid w:val="584E6149"/>
    <w:rsid w:val="58580246"/>
    <w:rsid w:val="587D598D"/>
    <w:rsid w:val="58BC090E"/>
    <w:rsid w:val="59154646"/>
    <w:rsid w:val="592E6609"/>
    <w:rsid w:val="597D4C6F"/>
    <w:rsid w:val="59D06384"/>
    <w:rsid w:val="5A8065E2"/>
    <w:rsid w:val="5AA93841"/>
    <w:rsid w:val="5B1043AE"/>
    <w:rsid w:val="5B1E125F"/>
    <w:rsid w:val="5B2B19EA"/>
    <w:rsid w:val="5B314FB8"/>
    <w:rsid w:val="5B5136E8"/>
    <w:rsid w:val="5B764510"/>
    <w:rsid w:val="5C36729C"/>
    <w:rsid w:val="5C520E7C"/>
    <w:rsid w:val="5C5611D3"/>
    <w:rsid w:val="5C5B4901"/>
    <w:rsid w:val="5CA35E8B"/>
    <w:rsid w:val="5CC055C4"/>
    <w:rsid w:val="5CC07DD9"/>
    <w:rsid w:val="5CD050B5"/>
    <w:rsid w:val="5CD57B38"/>
    <w:rsid w:val="5CF24ABB"/>
    <w:rsid w:val="5D2017FC"/>
    <w:rsid w:val="5D325D70"/>
    <w:rsid w:val="5D7B1E4D"/>
    <w:rsid w:val="5DC23869"/>
    <w:rsid w:val="5E6D4E5F"/>
    <w:rsid w:val="5EC4310E"/>
    <w:rsid w:val="5ED46F3B"/>
    <w:rsid w:val="5EFA2F5D"/>
    <w:rsid w:val="5F0E45BB"/>
    <w:rsid w:val="5F1405A9"/>
    <w:rsid w:val="5F41673E"/>
    <w:rsid w:val="5F692CB3"/>
    <w:rsid w:val="5F697A43"/>
    <w:rsid w:val="5F8968E7"/>
    <w:rsid w:val="5FA8056B"/>
    <w:rsid w:val="5FDC07C6"/>
    <w:rsid w:val="6061107E"/>
    <w:rsid w:val="60736014"/>
    <w:rsid w:val="609B23A0"/>
    <w:rsid w:val="609C3F0D"/>
    <w:rsid w:val="609E54CA"/>
    <w:rsid w:val="60A2320D"/>
    <w:rsid w:val="60C5005E"/>
    <w:rsid w:val="60D206A1"/>
    <w:rsid w:val="60E51981"/>
    <w:rsid w:val="61152866"/>
    <w:rsid w:val="617A1A94"/>
    <w:rsid w:val="61F71336"/>
    <w:rsid w:val="6222226E"/>
    <w:rsid w:val="62352A8D"/>
    <w:rsid w:val="627A1826"/>
    <w:rsid w:val="62A36DC8"/>
    <w:rsid w:val="62D63E3C"/>
    <w:rsid w:val="630336EF"/>
    <w:rsid w:val="63154001"/>
    <w:rsid w:val="63475D27"/>
    <w:rsid w:val="63AB43E3"/>
    <w:rsid w:val="63F35B2D"/>
    <w:rsid w:val="64837769"/>
    <w:rsid w:val="64BD1D66"/>
    <w:rsid w:val="64E341A7"/>
    <w:rsid w:val="64EC3D37"/>
    <w:rsid w:val="64F61D79"/>
    <w:rsid w:val="65580870"/>
    <w:rsid w:val="65D8641E"/>
    <w:rsid w:val="6612135A"/>
    <w:rsid w:val="66364FB0"/>
    <w:rsid w:val="663B7F4E"/>
    <w:rsid w:val="66484EC3"/>
    <w:rsid w:val="66B3546E"/>
    <w:rsid w:val="66B52FA4"/>
    <w:rsid w:val="66CE0D2E"/>
    <w:rsid w:val="674A64E0"/>
    <w:rsid w:val="674D4335"/>
    <w:rsid w:val="67BA210E"/>
    <w:rsid w:val="67CF7349"/>
    <w:rsid w:val="680F4066"/>
    <w:rsid w:val="68120612"/>
    <w:rsid w:val="68246BFD"/>
    <w:rsid w:val="683C5CF5"/>
    <w:rsid w:val="687A05CB"/>
    <w:rsid w:val="688A35DC"/>
    <w:rsid w:val="68E929F2"/>
    <w:rsid w:val="68F41093"/>
    <w:rsid w:val="68FD194E"/>
    <w:rsid w:val="69015277"/>
    <w:rsid w:val="69553709"/>
    <w:rsid w:val="695E2B47"/>
    <w:rsid w:val="69721525"/>
    <w:rsid w:val="699E6EDB"/>
    <w:rsid w:val="6A0C175E"/>
    <w:rsid w:val="6A0C5CC5"/>
    <w:rsid w:val="6A2151A2"/>
    <w:rsid w:val="6A576E16"/>
    <w:rsid w:val="6A580B27"/>
    <w:rsid w:val="6A62486A"/>
    <w:rsid w:val="6A8A482B"/>
    <w:rsid w:val="6A9C5931"/>
    <w:rsid w:val="6B293D9A"/>
    <w:rsid w:val="6B4231FD"/>
    <w:rsid w:val="6B5D6F6C"/>
    <w:rsid w:val="6B6F63E1"/>
    <w:rsid w:val="6BC3064C"/>
    <w:rsid w:val="6BD20370"/>
    <w:rsid w:val="6BDC2A11"/>
    <w:rsid w:val="6BDD7D8E"/>
    <w:rsid w:val="6C4179F9"/>
    <w:rsid w:val="6C4C59CB"/>
    <w:rsid w:val="6C5C22AE"/>
    <w:rsid w:val="6D924ED4"/>
    <w:rsid w:val="6DCD76C6"/>
    <w:rsid w:val="6E0A61CA"/>
    <w:rsid w:val="6E112BCB"/>
    <w:rsid w:val="6E5C1B13"/>
    <w:rsid w:val="6F3D6CAA"/>
    <w:rsid w:val="6F7E2977"/>
    <w:rsid w:val="6F944336"/>
    <w:rsid w:val="6F97449F"/>
    <w:rsid w:val="6F9E54E7"/>
    <w:rsid w:val="6FA6078D"/>
    <w:rsid w:val="6FAD4F96"/>
    <w:rsid w:val="6FF5292A"/>
    <w:rsid w:val="702A28D7"/>
    <w:rsid w:val="70894D06"/>
    <w:rsid w:val="716A0369"/>
    <w:rsid w:val="71791A07"/>
    <w:rsid w:val="71EA4A14"/>
    <w:rsid w:val="727C01B1"/>
    <w:rsid w:val="72BB5F8B"/>
    <w:rsid w:val="72BB6655"/>
    <w:rsid w:val="72DF5BFA"/>
    <w:rsid w:val="72FA1A10"/>
    <w:rsid w:val="731E5E67"/>
    <w:rsid w:val="73290307"/>
    <w:rsid w:val="733D0B73"/>
    <w:rsid w:val="73662167"/>
    <w:rsid w:val="737F2B52"/>
    <w:rsid w:val="738D4096"/>
    <w:rsid w:val="73952CB3"/>
    <w:rsid w:val="73BB3031"/>
    <w:rsid w:val="73DE5E35"/>
    <w:rsid w:val="73E3255B"/>
    <w:rsid w:val="74B4133C"/>
    <w:rsid w:val="74D10E1E"/>
    <w:rsid w:val="74D80B53"/>
    <w:rsid w:val="74DB0643"/>
    <w:rsid w:val="75976C60"/>
    <w:rsid w:val="75BF7803"/>
    <w:rsid w:val="75ED4C66"/>
    <w:rsid w:val="75F537A2"/>
    <w:rsid w:val="761A4816"/>
    <w:rsid w:val="766E376C"/>
    <w:rsid w:val="769D3F76"/>
    <w:rsid w:val="770143E1"/>
    <w:rsid w:val="7707379D"/>
    <w:rsid w:val="774769D9"/>
    <w:rsid w:val="77802750"/>
    <w:rsid w:val="77B70EF4"/>
    <w:rsid w:val="77C60C9B"/>
    <w:rsid w:val="77D84690"/>
    <w:rsid w:val="77E51F05"/>
    <w:rsid w:val="781B4C1A"/>
    <w:rsid w:val="78343564"/>
    <w:rsid w:val="786960F5"/>
    <w:rsid w:val="78A53442"/>
    <w:rsid w:val="78B402A3"/>
    <w:rsid w:val="78B877E9"/>
    <w:rsid w:val="78D26A7E"/>
    <w:rsid w:val="790463BB"/>
    <w:rsid w:val="79115F2B"/>
    <w:rsid w:val="797D2FE0"/>
    <w:rsid w:val="79940026"/>
    <w:rsid w:val="79A13787"/>
    <w:rsid w:val="79C97604"/>
    <w:rsid w:val="7A162C99"/>
    <w:rsid w:val="7A1D1ABC"/>
    <w:rsid w:val="7A550D56"/>
    <w:rsid w:val="7B18439F"/>
    <w:rsid w:val="7B406A51"/>
    <w:rsid w:val="7B564EC8"/>
    <w:rsid w:val="7B582291"/>
    <w:rsid w:val="7B6B26E9"/>
    <w:rsid w:val="7B776F27"/>
    <w:rsid w:val="7B951B50"/>
    <w:rsid w:val="7BAF10A7"/>
    <w:rsid w:val="7BD303AD"/>
    <w:rsid w:val="7BDC361F"/>
    <w:rsid w:val="7BE81FC4"/>
    <w:rsid w:val="7C184A57"/>
    <w:rsid w:val="7C264CF4"/>
    <w:rsid w:val="7C28078E"/>
    <w:rsid w:val="7C334196"/>
    <w:rsid w:val="7C675C0A"/>
    <w:rsid w:val="7C6B587F"/>
    <w:rsid w:val="7C7C3179"/>
    <w:rsid w:val="7C88490B"/>
    <w:rsid w:val="7CB2089F"/>
    <w:rsid w:val="7CF02627"/>
    <w:rsid w:val="7CFF4E1C"/>
    <w:rsid w:val="7D690930"/>
    <w:rsid w:val="7DEE7D58"/>
    <w:rsid w:val="7E23216E"/>
    <w:rsid w:val="7E636592"/>
    <w:rsid w:val="7E8E57B1"/>
    <w:rsid w:val="7EAC1347"/>
    <w:rsid w:val="7F0D5859"/>
    <w:rsid w:val="7F3C676E"/>
    <w:rsid w:val="7F7A77FF"/>
    <w:rsid w:val="7FA22F78"/>
    <w:rsid w:val="7FA27CF2"/>
    <w:rsid w:val="7FA637C6"/>
    <w:rsid w:val="7FB201B2"/>
    <w:rsid w:val="7FB3011B"/>
    <w:rsid w:val="7FBA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5"/>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autoRedefine/>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2"/>
    <w:basedOn w:val="1"/>
    <w:autoRedefine/>
    <w:qFormat/>
    <w:uiPriority w:val="0"/>
    <w:pPr>
      <w:ind w:firstLine="200" w:firstLineChars="200"/>
    </w:pPr>
    <w:rPr>
      <w:rFonts w:ascii="Calibri" w:hAnsi="Calibri"/>
      <w:sz w:val="28"/>
      <w:szCs w:val="22"/>
    </w:rPr>
  </w:style>
  <w:style w:type="paragraph" w:styleId="5">
    <w:name w:val="Normal Indent"/>
    <w:basedOn w:val="1"/>
    <w:next w:val="1"/>
    <w:autoRedefine/>
    <w:qFormat/>
    <w:uiPriority w:val="0"/>
    <w:pPr>
      <w:adjustRightInd w:val="0"/>
      <w:spacing w:line="360" w:lineRule="atLeast"/>
      <w:ind w:firstLine="482"/>
      <w:textAlignment w:val="baseline"/>
    </w:pPr>
    <w:rPr>
      <w:kern w:val="0"/>
      <w:sz w:val="24"/>
      <w:szCs w:val="20"/>
    </w:rPr>
  </w:style>
  <w:style w:type="paragraph" w:styleId="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autoRedefine/>
    <w:qFormat/>
    <w:uiPriority w:val="0"/>
    <w:pPr>
      <w:jc w:val="left"/>
    </w:pPr>
  </w:style>
  <w:style w:type="paragraph" w:styleId="9">
    <w:name w:val="Body Text"/>
    <w:basedOn w:val="1"/>
    <w:next w:val="1"/>
    <w:link w:val="45"/>
    <w:autoRedefine/>
    <w:qFormat/>
    <w:uiPriority w:val="0"/>
    <w:pPr>
      <w:spacing w:after="120"/>
    </w:pPr>
  </w:style>
  <w:style w:type="paragraph" w:styleId="10">
    <w:name w:val="Body Text Indent"/>
    <w:basedOn w:val="1"/>
    <w:next w:val="1"/>
    <w:autoRedefine/>
    <w:qFormat/>
    <w:uiPriority w:val="0"/>
    <w:pPr>
      <w:spacing w:after="120"/>
      <w:ind w:left="200" w:leftChars="200"/>
    </w:pPr>
  </w:style>
  <w:style w:type="paragraph" w:styleId="11">
    <w:name w:val="toc 3"/>
    <w:basedOn w:val="1"/>
    <w:next w:val="1"/>
    <w:autoRedefine/>
    <w:qFormat/>
    <w:uiPriority w:val="39"/>
    <w:pPr>
      <w:tabs>
        <w:tab w:val="right" w:leader="dot" w:pos="9288"/>
      </w:tabs>
      <w:ind w:left="400" w:leftChars="400"/>
    </w:pPr>
    <w:rPr>
      <w:rFonts w:ascii="宋体"/>
    </w:rPr>
  </w:style>
  <w:style w:type="paragraph" w:styleId="12">
    <w:name w:val="Plain Text"/>
    <w:basedOn w:val="1"/>
    <w:next w:val="13"/>
    <w:link w:val="46"/>
    <w:autoRedefine/>
    <w:qFormat/>
    <w:uiPriority w:val="0"/>
    <w:rPr>
      <w:rFonts w:ascii="宋体"/>
      <w:color w:val="000000"/>
      <w:szCs w:val="20"/>
      <w:u w:color="000000"/>
    </w:rPr>
  </w:style>
  <w:style w:type="paragraph" w:styleId="13">
    <w:name w:val="List Number 5"/>
    <w:basedOn w:val="1"/>
    <w:qFormat/>
    <w:uiPriority w:val="0"/>
    <w:pPr>
      <w:numPr>
        <w:ilvl w:val="0"/>
        <w:numId w:val="2"/>
      </w:numPr>
    </w:pPr>
  </w:style>
  <w:style w:type="paragraph" w:styleId="14">
    <w:name w:val="Date"/>
    <w:basedOn w:val="1"/>
    <w:next w:val="1"/>
    <w:link w:val="47"/>
    <w:autoRedefine/>
    <w:qFormat/>
    <w:uiPriority w:val="0"/>
    <w:rPr>
      <w:rFonts w:ascii="Arial" w:hAnsi="Arial" w:eastAsia="仿宋_GB2312"/>
      <w:color w:val="000000"/>
      <w:sz w:val="32"/>
      <w:szCs w:val="20"/>
      <w:u w:color="000000"/>
    </w:rPr>
  </w:style>
  <w:style w:type="paragraph" w:styleId="15">
    <w:name w:val="footer"/>
    <w:basedOn w:val="1"/>
    <w:link w:val="48"/>
    <w:autoRedefine/>
    <w:qFormat/>
    <w:uiPriority w:val="0"/>
    <w:pPr>
      <w:tabs>
        <w:tab w:val="center" w:pos="4153"/>
        <w:tab w:val="right" w:pos="8306"/>
      </w:tabs>
      <w:snapToGrid w:val="0"/>
      <w:jc w:val="left"/>
    </w:pPr>
    <w:rPr>
      <w:sz w:val="18"/>
      <w:szCs w:val="18"/>
    </w:rPr>
  </w:style>
  <w:style w:type="paragraph" w:styleId="16">
    <w:name w:val="header"/>
    <w:basedOn w:val="1"/>
    <w:link w:val="49"/>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footnote text"/>
    <w:basedOn w:val="1"/>
    <w:autoRedefine/>
    <w:qFormat/>
    <w:uiPriority w:val="0"/>
    <w:pPr>
      <w:adjustRightInd w:val="0"/>
      <w:spacing w:line="312" w:lineRule="atLeast"/>
      <w:jc w:val="left"/>
      <w:textAlignment w:val="baseline"/>
    </w:pPr>
    <w:rPr>
      <w:kern w:val="0"/>
      <w:sz w:val="18"/>
      <w:szCs w:val="20"/>
    </w:rPr>
  </w:style>
  <w:style w:type="paragraph" w:styleId="19">
    <w:name w:val="index 7"/>
    <w:basedOn w:val="1"/>
    <w:next w:val="1"/>
    <w:autoRedefine/>
    <w:qFormat/>
    <w:uiPriority w:val="0"/>
    <w:pPr>
      <w:ind w:left="1200" w:leftChars="1200"/>
    </w:pPr>
  </w:style>
  <w:style w:type="paragraph" w:styleId="20">
    <w:name w:val="toc 2"/>
    <w:basedOn w:val="1"/>
    <w:next w:val="1"/>
    <w:autoRedefine/>
    <w:qFormat/>
    <w:uiPriority w:val="39"/>
    <w:pPr>
      <w:ind w:left="200" w:leftChars="200"/>
    </w:pPr>
  </w:style>
  <w:style w:type="paragraph" w:styleId="21">
    <w:name w:val="Body Text 2"/>
    <w:basedOn w:val="1"/>
    <w:autoRedefine/>
    <w:qFormat/>
    <w:uiPriority w:val="0"/>
    <w:pPr>
      <w:tabs>
        <w:tab w:val="left" w:pos="0"/>
      </w:tabs>
      <w:spacing w:line="400" w:lineRule="atLeast"/>
    </w:pPr>
    <w:rPr>
      <w:rFonts w:ascii="Arial" w:hAnsi="Arial"/>
      <w:color w:val="000000"/>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9"/>
    <w:autoRedefine/>
    <w:unhideWhenUsed/>
    <w:qFormat/>
    <w:uiPriority w:val="0"/>
    <w:pPr>
      <w:ind w:firstLine="420" w:firstLineChars="100"/>
    </w:pPr>
  </w:style>
  <w:style w:type="paragraph" w:styleId="24">
    <w:name w:val="Body Text First Indent 2"/>
    <w:basedOn w:val="10"/>
    <w:autoRedefine/>
    <w:unhideWhenUsed/>
    <w:qFormat/>
    <w:uiPriority w:val="99"/>
    <w:pPr>
      <w:ind w:left="420" w:firstLine="420"/>
    </w:pPr>
    <w:rPr>
      <w:rFonts w:cs="宋体"/>
      <w:szCs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basedOn w:val="27"/>
    <w:autoRedefine/>
    <w:qFormat/>
    <w:uiPriority w:val="0"/>
  </w:style>
  <w:style w:type="character" w:styleId="30">
    <w:name w:val="FollowedHyperlink"/>
    <w:autoRedefine/>
    <w:qFormat/>
    <w:uiPriority w:val="0"/>
    <w:rPr>
      <w:color w:val="333333"/>
      <w:u w:val="none"/>
    </w:rPr>
  </w:style>
  <w:style w:type="character" w:styleId="31">
    <w:name w:val="HTML Definition"/>
    <w:basedOn w:val="27"/>
    <w:autoRedefine/>
    <w:qFormat/>
    <w:uiPriority w:val="0"/>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basedOn w:val="27"/>
    <w:autoRedefine/>
    <w:qFormat/>
    <w:uiPriority w:val="99"/>
    <w:rPr>
      <w:color w:val="0000FF"/>
      <w:u w:val="single"/>
    </w:rPr>
  </w:style>
  <w:style w:type="character" w:styleId="36">
    <w:name w:val="HTML Code"/>
    <w:basedOn w:val="27"/>
    <w:autoRedefine/>
    <w:qFormat/>
    <w:uiPriority w:val="0"/>
    <w:rPr>
      <w:rFonts w:ascii="monospace" w:hAnsi="monospace" w:eastAsia="monospace" w:cs="monospace"/>
      <w:sz w:val="20"/>
    </w:rPr>
  </w:style>
  <w:style w:type="character" w:styleId="37">
    <w:name w:val="HTML Cite"/>
    <w:basedOn w:val="27"/>
    <w:autoRedefine/>
    <w:qFormat/>
    <w:uiPriority w:val="0"/>
  </w:style>
  <w:style w:type="character" w:styleId="38">
    <w:name w:val="HTML Keyboard"/>
    <w:basedOn w:val="27"/>
    <w:autoRedefine/>
    <w:qFormat/>
    <w:uiPriority w:val="0"/>
    <w:rPr>
      <w:rFonts w:hint="default" w:ascii="monospace" w:hAnsi="monospace" w:eastAsia="monospace" w:cs="monospace"/>
      <w:sz w:val="20"/>
    </w:rPr>
  </w:style>
  <w:style w:type="character" w:styleId="39">
    <w:name w:val="HTML Sample"/>
    <w:basedOn w:val="27"/>
    <w:autoRedefine/>
    <w:qFormat/>
    <w:uiPriority w:val="0"/>
    <w:rPr>
      <w:rFonts w:hint="default" w:ascii="monospace" w:hAnsi="monospace" w:eastAsia="monospace" w:cs="monospace"/>
    </w:rPr>
  </w:style>
  <w:style w:type="paragraph" w:customStyle="1" w:styleId="40">
    <w:name w:val="正文格式"/>
    <w:basedOn w:val="1"/>
    <w:autoRedefine/>
    <w:qFormat/>
    <w:uiPriority w:val="99"/>
    <w:pPr>
      <w:widowControl/>
      <w:adjustRightInd w:val="0"/>
      <w:snapToGrid w:val="0"/>
      <w:spacing w:line="400" w:lineRule="atLeast"/>
      <w:ind w:firstLine="482"/>
      <w:textAlignment w:val="baseline"/>
    </w:pPr>
    <w:rPr>
      <w:kern w:val="0"/>
      <w:sz w:val="24"/>
    </w:rPr>
  </w:style>
  <w:style w:type="paragraph" w:customStyle="1" w:styleId="41">
    <w:name w:val="标题 5（有编号）（绿盟科技）"/>
    <w:basedOn w:val="1"/>
    <w:next w:val="42"/>
    <w:autoRedefine/>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4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Normal]"/>
    <w:autoRedefine/>
    <w:qFormat/>
    <w:uiPriority w:val="0"/>
    <w:rPr>
      <w:rFonts w:ascii="宋体" w:hAnsi="宋体" w:eastAsia="宋体" w:cs="Times New Roman"/>
      <w:sz w:val="24"/>
      <w:szCs w:val="22"/>
      <w:lang w:val="zh-CN" w:eastAsia="zh-CN" w:bidi="ar-SA"/>
    </w:rPr>
  </w:style>
  <w:style w:type="character" w:customStyle="1" w:styleId="45">
    <w:name w:val="正文文本 Char"/>
    <w:link w:val="9"/>
    <w:autoRedefine/>
    <w:semiHidden/>
    <w:qFormat/>
    <w:locked/>
    <w:uiPriority w:val="0"/>
    <w:rPr>
      <w:rFonts w:eastAsia="宋体"/>
      <w:kern w:val="2"/>
      <w:sz w:val="21"/>
      <w:szCs w:val="24"/>
      <w:lang w:val="en-US" w:eastAsia="zh-CN" w:bidi="ar-SA"/>
    </w:rPr>
  </w:style>
  <w:style w:type="character" w:customStyle="1" w:styleId="46">
    <w:name w:val="纯文本 Char"/>
    <w:link w:val="12"/>
    <w:autoRedefine/>
    <w:qFormat/>
    <w:uiPriority w:val="0"/>
    <w:rPr>
      <w:rFonts w:ascii="宋体"/>
      <w:color w:val="000000"/>
      <w:kern w:val="2"/>
      <w:sz w:val="21"/>
      <w:u w:val="none" w:color="000000"/>
    </w:rPr>
  </w:style>
  <w:style w:type="character" w:customStyle="1" w:styleId="47">
    <w:name w:val="日期 Char"/>
    <w:link w:val="14"/>
    <w:autoRedefine/>
    <w:qFormat/>
    <w:uiPriority w:val="0"/>
    <w:rPr>
      <w:rFonts w:ascii="Arial" w:hAnsi="Arial" w:eastAsia="仿宋_GB2312"/>
      <w:color w:val="000000"/>
      <w:kern w:val="2"/>
      <w:sz w:val="32"/>
      <w:u w:val="none" w:color="000000"/>
      <w:lang w:val="en-US" w:eastAsia="zh-CN" w:bidi="ar-SA"/>
    </w:rPr>
  </w:style>
  <w:style w:type="character" w:customStyle="1" w:styleId="48">
    <w:name w:val="页脚 Char"/>
    <w:link w:val="15"/>
    <w:autoRedefine/>
    <w:qFormat/>
    <w:locked/>
    <w:uiPriority w:val="0"/>
    <w:rPr>
      <w:rFonts w:eastAsia="宋体"/>
      <w:kern w:val="2"/>
      <w:sz w:val="18"/>
      <w:szCs w:val="18"/>
      <w:lang w:val="en-US" w:eastAsia="zh-CN" w:bidi="ar-SA"/>
    </w:rPr>
  </w:style>
  <w:style w:type="character" w:customStyle="1" w:styleId="49">
    <w:name w:val="页眉 Char"/>
    <w:link w:val="16"/>
    <w:autoRedefine/>
    <w:qFormat/>
    <w:locked/>
    <w:uiPriority w:val="0"/>
    <w:rPr>
      <w:rFonts w:eastAsia="宋体"/>
      <w:kern w:val="2"/>
      <w:sz w:val="18"/>
      <w:szCs w:val="18"/>
      <w:lang w:val="en-US" w:eastAsia="zh-CN" w:bidi="ar-SA"/>
    </w:rPr>
  </w:style>
  <w:style w:type="character" w:customStyle="1" w:styleId="50">
    <w:name w:val="Body Text Char"/>
    <w:autoRedefine/>
    <w:qFormat/>
    <w:locked/>
    <w:uiPriority w:val="0"/>
    <w:rPr>
      <w:rFonts w:ascii="宋体" w:hAnsi="Arial"/>
      <w:sz w:val="28"/>
    </w:rPr>
  </w:style>
  <w:style w:type="paragraph" w:customStyle="1" w:styleId="51">
    <w:name w:val="p0"/>
    <w:basedOn w:val="1"/>
    <w:autoRedefine/>
    <w:qFormat/>
    <w:uiPriority w:val="0"/>
    <w:pPr>
      <w:widowControl/>
      <w:jc w:val="left"/>
    </w:pPr>
    <w:rPr>
      <w:rFonts w:ascii="宋体" w:hAnsi="宋体" w:cs="宋体"/>
      <w:kern w:val="0"/>
      <w:sz w:val="18"/>
      <w:szCs w:val="18"/>
    </w:rPr>
  </w:style>
  <w:style w:type="paragraph" w:customStyle="1" w:styleId="52">
    <w:name w:val="Body 1"/>
    <w:autoRedefine/>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3">
    <w:name w:val="WPS Plain"/>
    <w:autoRedefine/>
    <w:qFormat/>
    <w:uiPriority w:val="0"/>
    <w:rPr>
      <w:rFonts w:ascii="Times New Roman" w:hAnsi="Times New Roman" w:eastAsia="宋体" w:cs="Times New Roman"/>
      <w:lang w:val="en-US" w:eastAsia="zh-CN" w:bidi="ar-SA"/>
    </w:rPr>
  </w:style>
  <w:style w:type="paragraph" w:styleId="54">
    <w:name w:val="List Paragraph"/>
    <w:basedOn w:val="1"/>
    <w:autoRedefine/>
    <w:qFormat/>
    <w:uiPriority w:val="0"/>
    <w:pPr>
      <w:spacing w:line="360" w:lineRule="auto"/>
      <w:ind w:firstLine="420" w:firstLineChars="200"/>
    </w:pPr>
    <w:rPr>
      <w:rFonts w:ascii="宋体" w:hAnsi="宋体" w:cs="宋体"/>
      <w:sz w:val="24"/>
    </w:rPr>
  </w:style>
  <w:style w:type="paragraph" w:customStyle="1" w:styleId="55">
    <w:name w:val="Char"/>
    <w:basedOn w:val="1"/>
    <w:next w:val="1"/>
    <w:autoRedefine/>
    <w:qFormat/>
    <w:uiPriority w:val="0"/>
    <w:pPr>
      <w:widowControl/>
      <w:spacing w:line="360" w:lineRule="auto"/>
      <w:jc w:val="left"/>
    </w:pPr>
    <w:rPr>
      <w:kern w:val="0"/>
      <w:szCs w:val="20"/>
      <w:lang w:eastAsia="en-US"/>
    </w:rPr>
  </w:style>
  <w:style w:type="paragraph" w:customStyle="1" w:styleId="56">
    <w:name w:val="正文1"/>
    <w:autoRedefine/>
    <w:qFormat/>
    <w:uiPriority w:val="0"/>
    <w:rPr>
      <w:rFonts w:ascii="Calibri" w:hAnsi="Calibri" w:eastAsia="Times New Roman" w:cs="Times New Roman"/>
      <w:sz w:val="24"/>
      <w:szCs w:val="24"/>
      <w:lang w:val="en-US" w:eastAsia="zh-CN" w:bidi="ar-SA"/>
    </w:rPr>
  </w:style>
  <w:style w:type="paragraph" w:customStyle="1" w:styleId="57">
    <w:name w:val="样式 左侧:  0 厘米 悬挂缩进: 2.5 字符"/>
    <w:basedOn w:val="1"/>
    <w:autoRedefine/>
    <w:qFormat/>
    <w:uiPriority w:val="0"/>
    <w:pPr>
      <w:ind w:left="525" w:hanging="525" w:hangingChars="250"/>
    </w:pPr>
    <w:rPr>
      <w:szCs w:val="20"/>
    </w:rPr>
  </w:style>
  <w:style w:type="paragraph" w:customStyle="1" w:styleId="58">
    <w:name w:val="图例"/>
    <w:basedOn w:val="1"/>
    <w:autoRedefine/>
    <w:qFormat/>
    <w:uiPriority w:val="0"/>
    <w:pPr>
      <w:spacing w:before="120" w:after="120" w:line="360" w:lineRule="auto"/>
      <w:jc w:val="center"/>
    </w:pPr>
    <w:rPr>
      <w:rFonts w:eastAsia="仿宋_GB2312"/>
      <w:b/>
      <w:sz w:val="24"/>
    </w:rPr>
  </w:style>
  <w:style w:type="paragraph" w:customStyle="1" w:styleId="59">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60">
    <w:name w:val="black1"/>
    <w:basedOn w:val="1"/>
    <w:autoRedefine/>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61">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62">
    <w:name w:val="列出段落1"/>
    <w:basedOn w:val="1"/>
    <w:autoRedefine/>
    <w:qFormat/>
    <w:uiPriority w:val="0"/>
    <w:pPr>
      <w:ind w:firstLine="420" w:firstLineChars="200"/>
    </w:pPr>
    <w:rPr>
      <w:rFonts w:ascii="Calibri" w:hAnsi="Calibri"/>
      <w:szCs w:val="22"/>
    </w:rPr>
  </w:style>
  <w:style w:type="paragraph" w:customStyle="1" w:styleId="63">
    <w:name w:val="Table Paragraph"/>
    <w:basedOn w:val="1"/>
    <w:autoRedefine/>
    <w:qFormat/>
    <w:uiPriority w:val="1"/>
  </w:style>
  <w:style w:type="character" w:customStyle="1" w:styleId="64">
    <w:name w:val="font21"/>
    <w:basedOn w:val="27"/>
    <w:autoRedefine/>
    <w:qFormat/>
    <w:uiPriority w:val="0"/>
    <w:rPr>
      <w:rFonts w:hint="eastAsia" w:ascii="宋体" w:hAnsi="宋体" w:eastAsia="宋体" w:cs="宋体"/>
      <w:color w:val="000000"/>
      <w:sz w:val="20"/>
      <w:szCs w:val="20"/>
      <w:u w:val="none"/>
    </w:rPr>
  </w:style>
  <w:style w:type="character" w:customStyle="1" w:styleId="65">
    <w:name w:val="font31"/>
    <w:basedOn w:val="27"/>
    <w:autoRedefine/>
    <w:qFormat/>
    <w:uiPriority w:val="0"/>
    <w:rPr>
      <w:rFonts w:hint="eastAsia" w:ascii="宋体" w:hAnsi="宋体" w:eastAsia="宋体" w:cs="宋体"/>
      <w:color w:val="FF0000"/>
      <w:sz w:val="20"/>
      <w:szCs w:val="20"/>
      <w:u w:val="none"/>
    </w:rPr>
  </w:style>
  <w:style w:type="character" w:customStyle="1" w:styleId="66">
    <w:name w:val="font01"/>
    <w:basedOn w:val="27"/>
    <w:autoRedefine/>
    <w:qFormat/>
    <w:uiPriority w:val="0"/>
    <w:rPr>
      <w:rFonts w:ascii="宋体" w:hAnsi="宋体" w:eastAsia="宋体" w:cs="宋体"/>
      <w:color w:val="000000"/>
      <w:sz w:val="20"/>
      <w:szCs w:val="20"/>
      <w:u w:val="none"/>
    </w:rPr>
  </w:style>
  <w:style w:type="character" w:customStyle="1" w:styleId="67">
    <w:name w:val="标题 1 Char"/>
    <w:basedOn w:val="27"/>
    <w:link w:val="3"/>
    <w:autoRedefine/>
    <w:qFormat/>
    <w:uiPriority w:val="0"/>
    <w:rPr>
      <w:b/>
      <w:bCs/>
      <w:kern w:val="44"/>
      <w:sz w:val="44"/>
      <w:szCs w:val="44"/>
    </w:rPr>
  </w:style>
  <w:style w:type="paragraph" w:customStyle="1" w:styleId="68">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lang w:val="en-US" w:eastAsia="zh-CN" w:bidi="ar-SA"/>
    </w:rPr>
  </w:style>
  <w:style w:type="paragraph" w:customStyle="1" w:styleId="69">
    <w:name w:val="BodyText"/>
    <w:basedOn w:val="1"/>
    <w:next w:val="1"/>
    <w:autoRedefine/>
    <w:qFormat/>
    <w:uiPriority w:val="0"/>
    <w:pPr>
      <w:tabs>
        <w:tab w:val="left" w:pos="780"/>
      </w:tabs>
    </w:pPr>
    <w:rPr>
      <w:rFonts w:ascii="黑体" w:eastAsia="黑体"/>
      <w:sz w:val="22"/>
    </w:rPr>
  </w:style>
  <w:style w:type="paragraph" w:customStyle="1" w:styleId="70">
    <w:name w:val="Heading #2|1"/>
    <w:basedOn w:val="1"/>
    <w:autoRedefine/>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71">
    <w:name w:val="Table caption|1"/>
    <w:basedOn w:val="1"/>
    <w:autoRedefine/>
    <w:qFormat/>
    <w:uiPriority w:val="0"/>
    <w:rPr>
      <w:rFonts w:ascii="宋体" w:hAnsi="宋体" w:eastAsia="宋体" w:cs="宋体"/>
      <w:sz w:val="22"/>
      <w:szCs w:val="22"/>
      <w:lang w:val="zh-TW" w:eastAsia="zh-TW" w:bidi="zh-TW"/>
    </w:rPr>
  </w:style>
  <w:style w:type="paragraph" w:customStyle="1" w:styleId="72">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73">
    <w:name w:val="Body text|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74">
    <w:name w:val="Body text|2"/>
    <w:basedOn w:val="1"/>
    <w:autoRedefine/>
    <w:qFormat/>
    <w:uiPriority w:val="0"/>
    <w:pPr>
      <w:spacing w:after="260"/>
      <w:ind w:firstLine="140"/>
    </w:pPr>
    <w:rPr>
      <w:rFonts w:ascii="宋体" w:hAnsi="宋体" w:eastAsia="宋体" w:cs="宋体"/>
      <w:sz w:val="30"/>
      <w:szCs w:val="30"/>
      <w:lang w:val="zh-TW" w:eastAsia="zh-TW" w:bidi="zh-TW"/>
    </w:rPr>
  </w:style>
  <w:style w:type="character" w:customStyle="1" w:styleId="75">
    <w:name w:val="layui-layer-tabnow"/>
    <w:basedOn w:val="27"/>
    <w:autoRedefine/>
    <w:qFormat/>
    <w:uiPriority w:val="0"/>
    <w:rPr>
      <w:bdr w:val="single" w:color="CCCCCC" w:sz="6" w:space="0"/>
      <w:shd w:val="clear" w:fill="FFFFFF"/>
    </w:rPr>
  </w:style>
  <w:style w:type="character" w:customStyle="1" w:styleId="76">
    <w:name w:val="first-child"/>
    <w:basedOn w:val="27"/>
    <w:autoRedefine/>
    <w:qFormat/>
    <w:uiPriority w:val="0"/>
  </w:style>
  <w:style w:type="paragraph" w:customStyle="1" w:styleId="7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7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57</Pages>
  <Words>2880</Words>
  <Characters>3292</Characters>
  <Lines>418</Lines>
  <Paragraphs>117</Paragraphs>
  <TotalTime>46</TotalTime>
  <ScaleCrop>false</ScaleCrop>
  <LinksUpToDate>false</LinksUpToDate>
  <CharactersWithSpaces>3486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张鑫</cp:lastModifiedBy>
  <cp:lastPrinted>2025-11-04T05:42:00Z</cp:lastPrinted>
  <dcterms:modified xsi:type="dcterms:W3CDTF">2026-04-27T02:43:39Z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63BF5A2236404AF882894C2165F19389_13</vt:lpwstr>
  </property>
  <property fmtid="{D5CDD505-2E9C-101B-9397-08002B2CF9AE}" pid="4" name="KSOTemplateDocerSaveRecord">
    <vt:lpwstr>eyJoZGlkIjoiZjJjZDBiYzdhZTdiYThlNDE5M2U4YjQyZjllMTcyMjciLCJ1c2VySWQiOiI0NTM5Mzc3OTAifQ==</vt:lpwstr>
  </property>
</Properties>
</file>