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keepNext/>
        <w:keepLines/>
        <w:adjustRightInd w:val="0"/>
        <w:snapToGrid w:val="0"/>
        <w:spacing w:line="360" w:lineRule="auto"/>
        <w:jc w:val="both"/>
        <w:outlineLvl w:val="9"/>
        <w:rPr>
          <w:rFonts w:hint="eastAsia" w:ascii="宋体" w:hAnsi="宋体" w:eastAsia="宋体" w:cs="宋体"/>
          <w:color w:val="auto"/>
          <w:highlight w:val="none"/>
        </w:rPr>
      </w:pPr>
      <w:r>
        <w:rPr>
          <w:rFonts w:hint="eastAsia" w:ascii="宋体" w:hAnsi="宋体" w:eastAsia="宋体" w:cs="宋体"/>
          <w:b/>
          <w:bCs/>
          <w:caps w:val="0"/>
          <w:spacing w:val="0"/>
          <w:sz w:val="32"/>
          <w:szCs w:val="32"/>
          <w:highlight w:val="none"/>
          <w:u w:val="single"/>
          <w:lang w:eastAsia="zh-CN"/>
        </w:rPr>
        <w:drawing>
          <wp:anchor distT="0" distB="0" distL="114300" distR="114300" simplePos="0" relativeHeight="251666432" behindDoc="1" locked="0" layoutInCell="1" allowOverlap="1">
            <wp:simplePos x="0" y="0"/>
            <wp:positionH relativeFrom="column">
              <wp:posOffset>3874135</wp:posOffset>
            </wp:positionH>
            <wp:positionV relativeFrom="paragraph">
              <wp:posOffset>-748030</wp:posOffset>
            </wp:positionV>
            <wp:extent cx="2382520" cy="2382520"/>
            <wp:effectExtent l="0" t="0" r="0" b="0"/>
            <wp:wrapTight wrapText="bothSides">
              <wp:wrapPolygon>
                <wp:start x="9672" y="5872"/>
                <wp:lineTo x="8463" y="6390"/>
                <wp:lineTo x="6908" y="8117"/>
                <wp:lineTo x="7081" y="11399"/>
                <wp:lineTo x="1727" y="14162"/>
                <wp:lineTo x="1209" y="14680"/>
                <wp:lineTo x="1382" y="15716"/>
                <wp:lineTo x="2418" y="16062"/>
                <wp:lineTo x="19861" y="16062"/>
                <wp:lineTo x="20380" y="14680"/>
                <wp:lineTo x="19861" y="14162"/>
                <wp:lineTo x="18307" y="14162"/>
                <wp:lineTo x="14507" y="11399"/>
                <wp:lineTo x="15026" y="8290"/>
                <wp:lineTo x="12953" y="6217"/>
                <wp:lineTo x="12090" y="5872"/>
                <wp:lineTo x="9672" y="5872"/>
              </wp:wrapPolygon>
            </wp:wrapTight>
            <wp:docPr id="10" name="图片 5" descr="d521453555676d270bf8635d6793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521453555676d270bf8635d6793c79"/>
                    <pic:cNvPicPr>
                      <a:picLocks noChangeAspect="1"/>
                    </pic:cNvPicPr>
                  </pic:nvPicPr>
                  <pic:blipFill>
                    <a:blip r:embed="rId14"/>
                    <a:stretch>
                      <a:fillRect/>
                    </a:stretch>
                  </pic:blipFill>
                  <pic:spPr>
                    <a:xfrm>
                      <a:off x="0" y="0"/>
                      <a:ext cx="2382520" cy="2382520"/>
                    </a:xfrm>
                    <a:prstGeom prst="rect">
                      <a:avLst/>
                    </a:prstGeom>
                    <a:noFill/>
                    <a:ln>
                      <a:noFill/>
                    </a:ln>
                  </pic:spPr>
                </pic:pic>
              </a:graphicData>
            </a:graphic>
          </wp:anchor>
        </w:drawing>
      </w:r>
    </w:p>
    <w:p>
      <w:pPr>
        <w:pStyle w:val="117"/>
        <w:keepNext/>
        <w:keepLines/>
        <w:adjustRightInd w:val="0"/>
        <w:snapToGrid w:val="0"/>
        <w:spacing w:line="360" w:lineRule="auto"/>
        <w:jc w:val="both"/>
        <w:outlineLvl w:val="9"/>
        <w:rPr>
          <w:rFonts w:hint="eastAsia" w:ascii="宋体" w:hAnsi="宋体" w:eastAsia="宋体" w:cs="宋体"/>
          <w:color w:val="auto"/>
          <w:highlight w:val="none"/>
        </w:rPr>
      </w:pPr>
    </w:p>
    <w:p>
      <w:pPr>
        <w:pStyle w:val="117"/>
        <w:keepNext/>
        <w:keepLines/>
        <w:adjustRightInd w:val="0"/>
        <w:snapToGrid w:val="0"/>
        <w:spacing w:line="360" w:lineRule="auto"/>
        <w:jc w:val="both"/>
        <w:outlineLvl w:val="9"/>
        <w:rPr>
          <w:rFonts w:hint="eastAsia" w:ascii="宋体" w:hAnsi="宋体" w:eastAsia="宋体" w:cs="宋体"/>
          <w:color w:val="auto"/>
          <w:highlight w:val="none"/>
        </w:rPr>
      </w:pPr>
    </w:p>
    <w:p>
      <w:pPr>
        <w:pStyle w:val="117"/>
        <w:keepNext/>
        <w:keepLines/>
        <w:adjustRightInd w:val="0"/>
        <w:snapToGrid w:val="0"/>
        <w:spacing w:line="360" w:lineRule="auto"/>
        <w:jc w:val="both"/>
        <w:outlineLvl w:val="9"/>
        <w:rPr>
          <w:rFonts w:hint="eastAsia" w:ascii="宋体" w:hAnsi="宋体" w:eastAsia="宋体" w:cs="宋体"/>
          <w:color w:val="auto"/>
          <w:highlight w:val="none"/>
        </w:rPr>
      </w:pPr>
    </w:p>
    <w:p>
      <w:pPr>
        <w:adjustRightInd w:val="0"/>
        <w:spacing w:line="360" w:lineRule="auto"/>
        <w:jc w:val="both"/>
        <w:outlineLvl w:val="9"/>
        <w:rPr>
          <w:rFonts w:hint="eastAsia" w:ascii="宋体" w:hAnsi="宋体" w:eastAsia="宋体" w:cs="宋体"/>
          <w:b/>
          <w:bCs/>
          <w:color w:val="auto"/>
          <w:sz w:val="52"/>
          <w:szCs w:val="52"/>
          <w:highlight w:val="none"/>
          <w:lang w:val="en-US" w:eastAsia="zh-CN"/>
        </w:rPr>
      </w:pPr>
    </w:p>
    <w:p>
      <w:pPr>
        <w:adjustRightInd w:val="0"/>
        <w:spacing w:line="360" w:lineRule="auto"/>
        <w:jc w:val="center"/>
        <w:outlineLvl w:val="9"/>
        <w:rPr>
          <w:rFonts w:hint="eastAsia" w:ascii="宋体" w:hAnsi="宋体" w:eastAsia="宋体" w:cs="宋体"/>
          <w:b/>
          <w:bCs w:val="0"/>
          <w:caps/>
          <w:color w:val="auto"/>
          <w:sz w:val="56"/>
          <w:szCs w:val="20"/>
          <w:highlight w:val="none"/>
        </w:rPr>
      </w:pPr>
    </w:p>
    <w:p>
      <w:pPr>
        <w:adjustRightInd w:val="0"/>
        <w:spacing w:line="360" w:lineRule="auto"/>
        <w:jc w:val="center"/>
        <w:outlineLvl w:val="9"/>
        <w:rPr>
          <w:rFonts w:hint="eastAsia" w:ascii="宋体" w:hAnsi="宋体" w:eastAsia="宋体" w:cs="宋体"/>
          <w:b/>
          <w:bCs/>
          <w:color w:val="auto"/>
          <w:sz w:val="96"/>
          <w:szCs w:val="96"/>
          <w:highlight w:val="none"/>
          <w:lang w:val="en-US" w:eastAsia="zh-CN"/>
        </w:rPr>
      </w:pPr>
      <w:r>
        <w:rPr>
          <w:rFonts w:hint="eastAsia" w:ascii="宋体" w:hAnsi="宋体" w:eastAsia="宋体" w:cs="宋体"/>
          <w:b/>
          <w:bCs w:val="0"/>
          <w:caps w:val="0"/>
          <w:color w:val="auto"/>
          <w:spacing w:val="57"/>
          <w:sz w:val="84"/>
          <w:highlight w:val="none"/>
          <w:lang w:val="en-US" w:eastAsia="zh-CN"/>
        </w:rPr>
        <w:t>招标</w:t>
      </w:r>
      <w:r>
        <w:rPr>
          <w:rFonts w:hint="eastAsia" w:ascii="宋体" w:hAnsi="宋体" w:eastAsia="宋体" w:cs="宋体"/>
          <w:b/>
          <w:bCs w:val="0"/>
          <w:caps w:val="0"/>
          <w:color w:val="auto"/>
          <w:spacing w:val="57"/>
          <w:sz w:val="84"/>
          <w:highlight w:val="none"/>
        </w:rPr>
        <w:t>文件</w:t>
      </w:r>
      <w:r>
        <w:rPr>
          <w:rFonts w:hint="eastAsia" w:ascii="宋体" w:hAnsi="宋体" w:eastAsia="宋体" w:cs="宋体"/>
          <w:b/>
          <w:bCs/>
          <w:caps w:val="0"/>
          <w:color w:val="auto"/>
          <w:spacing w:val="57"/>
          <w:kern w:val="4"/>
          <w:sz w:val="96"/>
          <w:szCs w:val="96"/>
          <w:highlight w:val="none"/>
          <w:lang w:val="en-US" w:eastAsia="zh-CN"/>
        </w:rPr>
        <w:t xml:space="preserve"> </w:t>
      </w:r>
      <w:r>
        <w:rPr>
          <w:rFonts w:hint="eastAsia" w:ascii="宋体" w:hAnsi="宋体" w:eastAsia="宋体" w:cs="宋体"/>
          <w:b/>
          <w:bCs/>
          <w:color w:val="auto"/>
          <w:spacing w:val="23"/>
          <w:kern w:val="4"/>
          <w:sz w:val="96"/>
          <w:szCs w:val="96"/>
          <w:highlight w:val="none"/>
          <w:lang w:val="en-US" w:eastAsia="zh-CN"/>
        </w:rPr>
        <w:t xml:space="preserve">                           </w:t>
      </w:r>
    </w:p>
    <w:p>
      <w:pPr>
        <w:outlineLvl w:val="9"/>
        <w:rPr>
          <w:rFonts w:hint="eastAsia" w:ascii="宋体" w:hAnsi="宋体" w:eastAsia="宋体" w:cs="宋体"/>
          <w:color w:val="auto"/>
          <w:sz w:val="24"/>
          <w:szCs w:val="24"/>
          <w:highlight w:val="none"/>
        </w:rPr>
      </w:pPr>
    </w:p>
    <w:p>
      <w:pPr>
        <w:pStyle w:val="48"/>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adjustRightInd w:val="0"/>
        <w:snapToGrid w:val="0"/>
        <w:spacing w:line="360" w:lineRule="auto"/>
        <w:ind w:firstLine="1205" w:firstLineChars="400"/>
        <w:outlineLvl w:val="0"/>
        <w:rPr>
          <w:rFonts w:hint="eastAsia" w:ascii="宋体" w:hAnsi="宋体" w:eastAsia="宋体" w:cs="宋体"/>
          <w:b/>
          <w:bCs/>
          <w:color w:val="auto"/>
          <w:sz w:val="30"/>
          <w:szCs w:val="30"/>
          <w:highlight w:val="none"/>
          <w:lang w:eastAsia="zh-CN"/>
        </w:rPr>
      </w:pPr>
      <w:bookmarkStart w:id="0" w:name="_Toc4650"/>
      <w:bookmarkStart w:id="1" w:name="_Toc26616"/>
      <w:bookmarkStart w:id="2" w:name="_Toc9475"/>
      <w:r>
        <w:rPr>
          <w:rFonts w:hint="eastAsia" w:ascii="宋体" w:hAnsi="宋体" w:eastAsia="宋体" w:cs="宋体"/>
          <w:b/>
          <w:bCs/>
          <w:color w:val="auto"/>
          <w:sz w:val="30"/>
          <w:szCs w:val="30"/>
          <w:highlight w:val="none"/>
        </w:rPr>
        <w:t>项目名称：</w:t>
      </w:r>
      <w:bookmarkEnd w:id="0"/>
      <w:bookmarkEnd w:id="1"/>
      <w:bookmarkEnd w:id="2"/>
      <w:r>
        <w:rPr>
          <w:rFonts w:hint="eastAsia" w:ascii="宋体" w:hAnsi="宋体" w:eastAsia="宋体" w:cs="宋体"/>
          <w:b/>
          <w:bCs/>
          <w:color w:val="auto"/>
          <w:sz w:val="30"/>
          <w:szCs w:val="30"/>
          <w:highlight w:val="none"/>
          <w:lang w:eastAsia="zh-CN"/>
        </w:rPr>
        <w:t>盂县202</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lang w:eastAsia="zh-CN"/>
        </w:rPr>
        <w:t>年农村供水消毒净化设备</w:t>
      </w:r>
    </w:p>
    <w:p>
      <w:pPr>
        <w:adjustRightInd w:val="0"/>
        <w:snapToGrid w:val="0"/>
        <w:spacing w:line="360" w:lineRule="auto"/>
        <w:ind w:firstLine="2711" w:firstLineChars="900"/>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采购及安装项目</w:t>
      </w:r>
    </w:p>
    <w:p>
      <w:pPr>
        <w:adjustRightInd w:val="0"/>
        <w:snapToGrid w:val="0"/>
        <w:spacing w:line="360" w:lineRule="auto"/>
        <w:ind w:firstLine="1205" w:firstLineChars="400"/>
        <w:outlineLvl w:val="0"/>
        <w:rPr>
          <w:rFonts w:hint="eastAsia" w:ascii="宋体" w:hAnsi="宋体" w:eastAsia="宋体" w:cs="宋体"/>
          <w:color w:val="auto"/>
          <w:sz w:val="30"/>
          <w:szCs w:val="30"/>
          <w:highlight w:val="none"/>
          <w:lang w:val="en-US" w:eastAsia="zh-CN"/>
        </w:rPr>
      </w:pPr>
      <w:bookmarkStart w:id="3" w:name="_Toc22381"/>
      <w:bookmarkStart w:id="4" w:name="_Toc26934"/>
      <w:bookmarkStart w:id="5" w:name="_Toc7309"/>
      <w:r>
        <w:rPr>
          <w:rFonts w:hint="eastAsia" w:ascii="宋体" w:hAnsi="宋体" w:eastAsia="宋体" w:cs="宋体"/>
          <w:b/>
          <w:bCs/>
          <w:color w:val="auto"/>
          <w:sz w:val="30"/>
          <w:szCs w:val="30"/>
          <w:highlight w:val="none"/>
        </w:rPr>
        <w:t>项目编号：</w:t>
      </w:r>
      <w:bookmarkEnd w:id="3"/>
      <w:bookmarkEnd w:id="4"/>
      <w:bookmarkEnd w:id="5"/>
      <w:r>
        <w:rPr>
          <w:rFonts w:hint="eastAsia" w:ascii="宋体" w:hAnsi="宋体" w:eastAsia="宋体" w:cs="宋体"/>
          <w:b/>
          <w:bCs/>
          <w:color w:val="auto"/>
          <w:sz w:val="30"/>
          <w:szCs w:val="30"/>
          <w:highlight w:val="none"/>
        </w:rPr>
        <w:t>1403222026AGK00024</w:t>
      </w:r>
    </w:p>
    <w:p>
      <w:pPr>
        <w:pStyle w:val="48"/>
        <w:outlineLvl w:val="9"/>
        <w:rPr>
          <w:rFonts w:hint="eastAsia" w:ascii="宋体" w:hAnsi="宋体" w:eastAsia="宋体" w:cs="宋体"/>
          <w:color w:val="auto"/>
          <w:sz w:val="30"/>
          <w:szCs w:val="30"/>
          <w:highlight w:val="none"/>
        </w:rPr>
      </w:pPr>
    </w:p>
    <w:p>
      <w:pPr>
        <w:pStyle w:val="48"/>
        <w:outlineLvl w:val="9"/>
        <w:rPr>
          <w:rFonts w:hint="eastAsia" w:ascii="宋体" w:hAnsi="宋体" w:eastAsia="宋体" w:cs="宋体"/>
          <w:color w:val="auto"/>
          <w:sz w:val="30"/>
          <w:szCs w:val="30"/>
          <w:highlight w:val="none"/>
        </w:rPr>
      </w:pPr>
    </w:p>
    <w:p>
      <w:pPr>
        <w:pStyle w:val="48"/>
        <w:outlineLvl w:val="9"/>
        <w:rPr>
          <w:rFonts w:hint="eastAsia" w:ascii="宋体" w:hAnsi="宋体" w:eastAsia="宋体" w:cs="宋体"/>
          <w:color w:val="auto"/>
          <w:sz w:val="30"/>
          <w:szCs w:val="30"/>
          <w:highlight w:val="none"/>
        </w:rPr>
      </w:pPr>
    </w:p>
    <w:p>
      <w:pPr>
        <w:pStyle w:val="48"/>
        <w:outlineLvl w:val="9"/>
        <w:rPr>
          <w:rFonts w:hint="eastAsia" w:ascii="宋体" w:hAnsi="宋体" w:eastAsia="宋体" w:cs="宋体"/>
          <w:color w:val="auto"/>
          <w:sz w:val="30"/>
          <w:szCs w:val="30"/>
          <w:highlight w:val="none"/>
        </w:rPr>
      </w:pPr>
    </w:p>
    <w:p>
      <w:pPr>
        <w:pStyle w:val="48"/>
        <w:outlineLvl w:val="9"/>
        <w:rPr>
          <w:rFonts w:hint="eastAsia" w:ascii="宋体" w:hAnsi="宋体" w:eastAsia="宋体" w:cs="宋体"/>
          <w:color w:val="auto"/>
          <w:sz w:val="30"/>
          <w:szCs w:val="30"/>
          <w:highlight w:val="none"/>
        </w:rPr>
      </w:pPr>
    </w:p>
    <w:p>
      <w:pPr>
        <w:adjustRightInd w:val="0"/>
        <w:snapToGrid w:val="0"/>
        <w:spacing w:line="360" w:lineRule="auto"/>
        <w:outlineLvl w:val="9"/>
        <w:rPr>
          <w:rFonts w:hint="eastAsia" w:ascii="宋体" w:hAnsi="宋体" w:eastAsia="宋体" w:cs="宋体"/>
          <w:color w:val="auto"/>
          <w:sz w:val="30"/>
          <w:szCs w:val="30"/>
          <w:highlight w:val="none"/>
        </w:rPr>
      </w:pPr>
    </w:p>
    <w:p>
      <w:pPr>
        <w:tabs>
          <w:tab w:val="left" w:pos="7976"/>
        </w:tabs>
        <w:adjustRightInd w:val="0"/>
        <w:snapToGrid w:val="0"/>
        <w:spacing w:line="480" w:lineRule="auto"/>
        <w:ind w:firstLine="1506" w:firstLineChars="500"/>
        <w:jc w:val="both"/>
        <w:outlineLvl w:val="9"/>
        <w:rPr>
          <w:rFonts w:hint="eastAsia" w:ascii="宋体" w:hAnsi="宋体" w:eastAsia="宋体" w:cs="宋体"/>
          <w:b/>
          <w:bCs/>
          <w:color w:val="auto"/>
          <w:sz w:val="30"/>
          <w:szCs w:val="30"/>
          <w:highlight w:val="none"/>
          <w:lang w:val="en-US" w:eastAsia="zh-CN"/>
        </w:rPr>
      </w:pPr>
      <w:bookmarkStart w:id="6" w:name="_Toc5434"/>
      <w:bookmarkStart w:id="7" w:name="_Toc24154"/>
      <w:r>
        <w:rPr>
          <w:rFonts w:hint="eastAsia" w:ascii="宋体" w:hAnsi="宋体" w:eastAsia="宋体" w:cs="宋体"/>
          <w:b/>
          <w:bCs/>
          <w:color w:val="auto"/>
          <w:sz w:val="30"/>
          <w:szCs w:val="30"/>
          <w:highlight w:val="none"/>
          <w:lang w:val="en-US" w:eastAsia="zh-CN"/>
        </w:rPr>
        <w:t>采</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购</w:t>
      </w:r>
      <w:r>
        <w:rPr>
          <w:rFonts w:hint="eastAsia" w:ascii="宋体" w:hAnsi="宋体" w:eastAsia="宋体" w:cs="宋体"/>
          <w:b/>
          <w:bCs/>
          <w:color w:val="auto"/>
          <w:sz w:val="30"/>
          <w:szCs w:val="30"/>
          <w:highlight w:val="none"/>
        </w:rPr>
        <w:t xml:space="preserve">   人：</w:t>
      </w:r>
      <w:bookmarkEnd w:id="6"/>
      <w:bookmarkEnd w:id="7"/>
      <w:r>
        <w:rPr>
          <w:rFonts w:hint="eastAsia" w:ascii="宋体" w:hAnsi="宋体" w:cs="宋体"/>
          <w:b/>
          <w:bCs/>
          <w:color w:val="auto"/>
          <w:sz w:val="30"/>
          <w:szCs w:val="30"/>
          <w:highlight w:val="none"/>
          <w:lang w:val="en-US" w:eastAsia="zh-CN"/>
        </w:rPr>
        <w:t>盂县水利局</w:t>
      </w:r>
    </w:p>
    <w:p>
      <w:pPr>
        <w:tabs>
          <w:tab w:val="left" w:pos="7976"/>
        </w:tabs>
        <w:adjustRightInd w:val="0"/>
        <w:snapToGrid w:val="0"/>
        <w:spacing w:line="480" w:lineRule="auto"/>
        <w:ind w:firstLine="1506" w:firstLineChars="500"/>
        <w:jc w:val="both"/>
        <w:outlineLvl w:val="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采购代理机构</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山西君铎工程咨询有限公司</w:t>
      </w:r>
    </w:p>
    <w:p>
      <w:pPr>
        <w:pStyle w:val="117"/>
        <w:keepNext/>
        <w:keepLines/>
        <w:adjustRightInd w:val="0"/>
        <w:snapToGrid w:val="0"/>
        <w:spacing w:before="120" w:line="360" w:lineRule="auto"/>
        <w:ind w:firstLine="3614" w:firstLineChars="1200"/>
        <w:jc w:val="both"/>
        <w:outlineLvl w:val="9"/>
        <w:rPr>
          <w:rFonts w:hint="eastAsia" w:ascii="宋体" w:hAnsi="宋体" w:eastAsia="宋体" w:cs="宋体"/>
          <w:b/>
          <w:bCs/>
          <w:color w:val="auto"/>
          <w:kern w:val="0"/>
          <w:sz w:val="30"/>
          <w:szCs w:val="30"/>
          <w:highlight w:val="none"/>
        </w:rPr>
      </w:pPr>
    </w:p>
    <w:p>
      <w:pPr>
        <w:pStyle w:val="117"/>
        <w:keepNext/>
        <w:keepLines/>
        <w:adjustRightInd w:val="0"/>
        <w:snapToGrid w:val="0"/>
        <w:spacing w:before="120" w:line="360" w:lineRule="auto"/>
        <w:jc w:val="center"/>
        <w:outlineLvl w:val="9"/>
        <w:rPr>
          <w:rFonts w:hint="eastAsia" w:ascii="宋体" w:hAnsi="宋体" w:eastAsia="宋体" w:cs="宋体"/>
          <w:color w:val="auto"/>
          <w:highlight w:val="none"/>
        </w:rPr>
        <w:sectPr>
          <w:headerReference r:id="rId5" w:type="first"/>
          <w:headerReference r:id="rId3" w:type="default"/>
          <w:headerReference r:id="rId4" w:type="even"/>
          <w:footerReference r:id="rId6" w:type="even"/>
          <w:pgSz w:w="11907" w:h="16840"/>
          <w:pgMar w:top="1418" w:right="1418" w:bottom="1134" w:left="1418" w:header="1134" w:footer="964" w:gutter="0"/>
          <w:pgNumType w:start="0"/>
          <w:cols w:space="720" w:num="1"/>
          <w:docGrid w:linePitch="286" w:charSpace="0"/>
        </w:sectPr>
      </w:pPr>
      <w:r>
        <w:rPr>
          <w:rFonts w:hint="eastAsia" w:ascii="宋体" w:hAnsi="宋体" w:cs="宋体"/>
          <w:b/>
          <w:bCs/>
          <w:color w:val="auto"/>
          <w:kern w:val="0"/>
          <w:sz w:val="30"/>
          <w:szCs w:val="30"/>
          <w:highlight w:val="none"/>
          <w:lang w:val="en-US" w:eastAsia="zh-CN"/>
        </w:rPr>
        <w:t>二</w:t>
      </w:r>
      <w:r>
        <w:rPr>
          <w:rFonts w:hint="eastAsia" w:ascii="宋体" w:hAnsi="宋体" w:eastAsia="宋体" w:cs="宋体"/>
          <w:b/>
          <w:sz w:val="32"/>
          <w:szCs w:val="32"/>
          <w:highlight w:val="none"/>
        </w:rPr>
        <w:t>〇</w:t>
      </w:r>
      <w:r>
        <w:rPr>
          <w:rFonts w:hint="eastAsia" w:ascii="宋体" w:hAnsi="宋体" w:cs="宋体"/>
          <w:b/>
          <w:bCs/>
          <w:color w:val="auto"/>
          <w:kern w:val="0"/>
          <w:sz w:val="30"/>
          <w:szCs w:val="30"/>
          <w:highlight w:val="none"/>
          <w:lang w:val="en-US" w:eastAsia="zh-CN"/>
        </w:rPr>
        <w:t>二六</w:t>
      </w:r>
      <w:r>
        <w:rPr>
          <w:rFonts w:hint="eastAsia" w:ascii="宋体" w:hAnsi="宋体" w:eastAsia="宋体" w:cs="宋体"/>
          <w:b/>
          <w:bCs/>
          <w:color w:val="auto"/>
          <w:kern w:val="0"/>
          <w:sz w:val="30"/>
          <w:szCs w:val="30"/>
          <w:highlight w:val="none"/>
        </w:rPr>
        <w:t>年</w:t>
      </w:r>
      <w:r>
        <w:rPr>
          <w:rFonts w:hint="eastAsia" w:ascii="宋体" w:hAnsi="宋体" w:cs="宋体"/>
          <w:b/>
          <w:bCs/>
          <w:color w:val="auto"/>
          <w:kern w:val="0"/>
          <w:sz w:val="30"/>
          <w:szCs w:val="30"/>
          <w:highlight w:val="none"/>
          <w:lang w:val="en-US" w:eastAsia="zh-CN"/>
        </w:rPr>
        <w:t>四</w:t>
      </w:r>
      <w:r>
        <w:rPr>
          <w:rFonts w:hint="eastAsia" w:ascii="宋体" w:hAnsi="宋体" w:eastAsia="宋体" w:cs="宋体"/>
          <w:b/>
          <w:bCs/>
          <w:color w:val="auto"/>
          <w:kern w:val="0"/>
          <w:sz w:val="30"/>
          <w:szCs w:val="30"/>
          <w:highlight w:val="none"/>
        </w:rPr>
        <w:t>月</w:t>
      </w:r>
    </w:p>
    <w:p>
      <w:pPr>
        <w:widowControl/>
        <w:snapToGrid w:val="0"/>
        <w:spacing w:afterLines="150"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目    录</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第一部分  招标公告</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投标人须知前附表</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第三部分  投标人须知</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一、总则</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二、招标文件</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三、投标文件</w:t>
      </w:r>
      <w:bookmarkStart w:id="81" w:name="_GoBack"/>
      <w:bookmarkEnd w:id="81"/>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四、投标文件的递交</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五、开标</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六、评标程序和要求</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七、签订合同</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八、保密和披露</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九、询问和质疑</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十、违约处罚</w:t>
      </w:r>
    </w:p>
    <w:p>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十一、相关政策要求</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评标标准和评标方法</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第六部分 拟签订的合同文本</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第七部分 投标文件格式</w:t>
      </w:r>
    </w:p>
    <w:p>
      <w:pPr>
        <w:pStyle w:val="48"/>
        <w:rPr>
          <w:rFonts w:hint="eastAsia" w:ascii="宋体" w:hAnsi="宋体" w:eastAsia="宋体" w:cs="宋体"/>
          <w:sz w:val="28"/>
          <w:szCs w:val="30"/>
          <w:highlight w:val="none"/>
        </w:rPr>
      </w:pPr>
    </w:p>
    <w:p>
      <w:pPr>
        <w:rPr>
          <w:rFonts w:hint="eastAsia" w:ascii="宋体" w:hAnsi="宋体" w:eastAsia="宋体" w:cs="宋体"/>
          <w:sz w:val="28"/>
          <w:szCs w:val="30"/>
          <w:highlight w:val="none"/>
        </w:rPr>
      </w:pPr>
    </w:p>
    <w:p>
      <w:pPr>
        <w:pStyle w:val="48"/>
        <w:rPr>
          <w:rFonts w:hint="eastAsia" w:ascii="宋体" w:hAnsi="宋体" w:eastAsia="宋体" w:cs="宋体"/>
          <w:sz w:val="28"/>
          <w:szCs w:val="30"/>
          <w:highlight w:val="none"/>
        </w:rPr>
      </w:pPr>
    </w:p>
    <w:p>
      <w:pPr>
        <w:pStyle w:val="48"/>
        <w:rPr>
          <w:rFonts w:hint="eastAsia" w:ascii="宋体" w:hAnsi="宋体" w:eastAsia="宋体" w:cs="宋体"/>
          <w:sz w:val="28"/>
          <w:szCs w:val="30"/>
          <w:highlight w:val="none"/>
        </w:rPr>
      </w:pPr>
    </w:p>
    <w:p>
      <w:pPr>
        <w:widowControl/>
        <w:tabs>
          <w:tab w:val="left" w:pos="2070"/>
          <w:tab w:val="center" w:pos="4365"/>
        </w:tabs>
        <w:snapToGrid w:val="0"/>
        <w:spacing w:line="360" w:lineRule="auto"/>
        <w:rPr>
          <w:rFonts w:hint="eastAsia" w:ascii="宋体" w:hAnsi="宋体" w:eastAsia="宋体" w:cs="宋体"/>
          <w:b/>
          <w:kern w:val="0"/>
          <w:sz w:val="36"/>
          <w:szCs w:val="36"/>
          <w:highlight w:val="none"/>
        </w:rPr>
        <w:sectPr>
          <w:headerReference r:id="rId7" w:type="first"/>
          <w:footerReference r:id="rId8" w:type="first"/>
          <w:pgSz w:w="11906" w:h="16838"/>
          <w:pgMar w:top="1440" w:right="1474" w:bottom="1440" w:left="1474" w:header="851" w:footer="992" w:gutter="0"/>
          <w:pgNumType w:start="1"/>
          <w:cols w:space="720" w:num="1"/>
          <w:titlePg/>
          <w:docGrid w:linePitch="312" w:charSpace="0"/>
        </w:sectPr>
      </w:pPr>
    </w:p>
    <w:p>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第一部分 招标公告</w:t>
      </w:r>
    </w:p>
    <w:p>
      <w:pPr>
        <w:spacing w:line="360" w:lineRule="auto"/>
        <w:rPr>
          <w:rFonts w:hint="eastAsia" w:ascii="宋体" w:hAnsi="宋体" w:eastAsia="宋体" w:cs="宋体"/>
          <w:sz w:val="24"/>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盂县2026年农村供水消毒净化设备采购及安装项目</w:t>
      </w:r>
      <w:r>
        <w:rPr>
          <w:rFonts w:hint="eastAsia" w:ascii="宋体" w:hAnsi="宋体" w:eastAsia="宋体" w:cs="宋体"/>
          <w:sz w:val="24"/>
          <w:highlight w:val="none"/>
        </w:rPr>
        <w:t>的潜在投标人应登录山西省政府采购信息平台（http://www.ccgp-shanxi.gov.cn/home.html）获取电子招标文件，使用投标文件编制工具编制电子投标文件，</w:t>
      </w:r>
      <w:r>
        <w:rPr>
          <w:rFonts w:hint="eastAsia" w:ascii="宋体" w:hAnsi="宋体" w:eastAsia="宋体" w:cs="宋体"/>
          <w:sz w:val="24"/>
          <w:highlight w:val="none"/>
        </w:rPr>
        <w:t>并于2026</w:t>
      </w:r>
      <w:r>
        <w:rPr>
          <w:rFonts w:hint="eastAsia" w:ascii="宋体" w:hAnsi="宋体" w:eastAsia="宋体" w:cs="宋体"/>
          <w:bCs/>
          <w:sz w:val="24"/>
          <w:highlight w:val="none"/>
        </w:rPr>
        <w:t>年0</w:t>
      </w:r>
      <w:r>
        <w:rPr>
          <w:rFonts w:hint="eastAsia" w:ascii="宋体" w:hAnsi="宋体" w:cs="宋体"/>
          <w:bCs/>
          <w:sz w:val="24"/>
          <w:highlight w:val="none"/>
          <w:lang w:val="en-US" w:eastAsia="zh-CN"/>
        </w:rPr>
        <w:t>5</w:t>
      </w:r>
      <w:r>
        <w:rPr>
          <w:rFonts w:hint="eastAsia" w:ascii="宋体" w:hAnsi="宋体" w:eastAsia="宋体" w:cs="宋体"/>
          <w:bCs/>
          <w:sz w:val="24"/>
          <w:highlight w:val="none"/>
        </w:rPr>
        <w:t>月</w:t>
      </w:r>
      <w:r>
        <w:rPr>
          <w:rFonts w:hint="eastAsia" w:ascii="宋体" w:hAnsi="宋体" w:cs="宋体"/>
          <w:bCs/>
          <w:sz w:val="24"/>
          <w:highlight w:val="none"/>
          <w:lang w:val="en-US" w:eastAsia="zh-CN"/>
        </w:rPr>
        <w:t>2</w:t>
      </w:r>
      <w:r>
        <w:rPr>
          <w:rFonts w:hint="eastAsia" w:ascii="宋体" w:hAnsi="宋体" w:eastAsia="宋体" w:cs="宋体"/>
          <w:bCs/>
          <w:sz w:val="24"/>
          <w:highlight w:val="none"/>
        </w:rPr>
        <w:t>0日14点</w:t>
      </w:r>
      <w:r>
        <w:rPr>
          <w:rFonts w:hint="eastAsia" w:ascii="宋体" w:hAnsi="宋体" w:cs="宋体"/>
          <w:bCs/>
          <w:sz w:val="24"/>
          <w:highlight w:val="none"/>
          <w:lang w:val="en-US" w:eastAsia="zh-CN"/>
        </w:rPr>
        <w:t>0</w:t>
      </w:r>
      <w:r>
        <w:rPr>
          <w:rFonts w:hint="eastAsia" w:ascii="宋体" w:hAnsi="宋体" w:eastAsia="宋体" w:cs="宋体"/>
          <w:bCs/>
          <w:sz w:val="24"/>
          <w:highlight w:val="none"/>
        </w:rPr>
        <w:t>0分（北京时间）前提交投标文件</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p>
    <w:p>
      <w:pPr>
        <w:spacing w:line="360" w:lineRule="auto"/>
        <w:rPr>
          <w:rFonts w:hint="eastAsia" w:ascii="宋体" w:hAnsi="宋体" w:eastAsia="宋体" w:cs="宋体"/>
          <w:b/>
          <w:bCs/>
          <w:sz w:val="24"/>
          <w:highlight w:val="none"/>
        </w:rPr>
      </w:pPr>
      <w:bookmarkStart w:id="8" w:name="_Toc35393790"/>
      <w:bookmarkStart w:id="9" w:name="_Toc28359002"/>
      <w:bookmarkStart w:id="10" w:name="_Toc28359079"/>
      <w:bookmarkStart w:id="11" w:name="_Toc35393621"/>
      <w:bookmarkStart w:id="12" w:name="_Hlk24379207"/>
      <w:r>
        <w:rPr>
          <w:rFonts w:hint="eastAsia" w:ascii="宋体" w:hAnsi="宋体" w:eastAsia="宋体" w:cs="宋体"/>
          <w:b/>
          <w:bCs/>
          <w:sz w:val="24"/>
          <w:highlight w:val="none"/>
        </w:rPr>
        <w:t>一、项目基本情况</w:t>
      </w:r>
      <w:bookmarkEnd w:id="8"/>
      <w:bookmarkEnd w:id="9"/>
      <w:bookmarkEnd w:id="10"/>
      <w:bookmarkEnd w:id="11"/>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项目编号：</w:t>
      </w:r>
      <w:r>
        <w:rPr>
          <w:rFonts w:hint="eastAsia" w:ascii="宋体" w:hAnsi="宋体" w:cs="宋体"/>
          <w:sz w:val="24"/>
          <w:szCs w:val="28"/>
          <w:highlight w:val="none"/>
          <w:lang w:eastAsia="zh-CN"/>
        </w:rPr>
        <w:t>1403222026AGK00024</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bookmarkEnd w:id="12"/>
      <w:r>
        <w:rPr>
          <w:rFonts w:hint="eastAsia" w:ascii="宋体" w:hAnsi="宋体" w:cs="宋体"/>
          <w:sz w:val="24"/>
          <w:highlight w:val="none"/>
          <w:lang w:eastAsia="zh-CN"/>
        </w:rPr>
        <w:t>盂县2026年农村供水消毒净化设备采购及安装项目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采购方式：公开招标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预算金额：</w:t>
      </w:r>
      <w:r>
        <w:rPr>
          <w:rFonts w:hint="eastAsia" w:ascii="宋体" w:hAnsi="宋体" w:cs="宋体"/>
          <w:sz w:val="24"/>
          <w:highlight w:val="none"/>
          <w:lang w:eastAsia="zh-CN"/>
        </w:rPr>
        <w:t>1600000</w:t>
      </w:r>
      <w:r>
        <w:rPr>
          <w:rFonts w:hint="eastAsia" w:ascii="宋体" w:hAnsi="宋体" w:eastAsia="宋体" w:cs="宋体"/>
          <w:sz w:val="24"/>
          <w:highlight w:val="none"/>
        </w:rPr>
        <w:t>.00元，其中一包：</w:t>
      </w:r>
      <w:r>
        <w:rPr>
          <w:rFonts w:hint="eastAsia" w:ascii="宋体" w:hAnsi="宋体" w:cs="宋体"/>
          <w:sz w:val="24"/>
          <w:highlight w:val="none"/>
          <w:lang w:val="en-US" w:eastAsia="zh-CN"/>
        </w:rPr>
        <w:t>500000</w:t>
      </w:r>
      <w:r>
        <w:rPr>
          <w:rFonts w:hint="eastAsia" w:ascii="宋体" w:hAnsi="宋体" w:eastAsia="宋体" w:cs="宋体"/>
          <w:sz w:val="24"/>
          <w:highlight w:val="none"/>
        </w:rPr>
        <w:t>.00元；二包：</w:t>
      </w:r>
      <w:r>
        <w:rPr>
          <w:rFonts w:hint="eastAsia" w:ascii="宋体" w:hAnsi="宋体" w:cs="宋体"/>
          <w:sz w:val="24"/>
          <w:highlight w:val="none"/>
          <w:lang w:val="en-US" w:eastAsia="zh-CN"/>
        </w:rPr>
        <w:t>1100000</w:t>
      </w:r>
      <w:r>
        <w:rPr>
          <w:rFonts w:hint="eastAsia" w:ascii="宋体" w:hAnsi="宋体" w:eastAsia="宋体" w:cs="宋体"/>
          <w:sz w:val="24"/>
          <w:highlight w:val="none"/>
        </w:rPr>
        <w:t>.00元。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eastAsia="zh-CN"/>
        </w:rPr>
        <w:t>1600000</w:t>
      </w:r>
      <w:r>
        <w:rPr>
          <w:rFonts w:hint="eastAsia" w:ascii="宋体" w:hAnsi="宋体" w:eastAsia="宋体" w:cs="宋体"/>
          <w:sz w:val="24"/>
          <w:highlight w:val="none"/>
        </w:rPr>
        <w:t>.00元，其中一包：</w:t>
      </w:r>
      <w:r>
        <w:rPr>
          <w:rFonts w:hint="eastAsia" w:ascii="宋体" w:hAnsi="宋体" w:cs="宋体"/>
          <w:sz w:val="24"/>
          <w:highlight w:val="none"/>
          <w:lang w:val="en-US" w:eastAsia="zh-CN"/>
        </w:rPr>
        <w:t>500000</w:t>
      </w:r>
      <w:r>
        <w:rPr>
          <w:rFonts w:hint="eastAsia" w:ascii="宋体" w:hAnsi="宋体" w:eastAsia="宋体" w:cs="宋体"/>
          <w:sz w:val="24"/>
          <w:highlight w:val="none"/>
        </w:rPr>
        <w:t>.00元；二包：</w:t>
      </w:r>
      <w:r>
        <w:rPr>
          <w:rFonts w:hint="eastAsia" w:ascii="宋体" w:hAnsi="宋体" w:cs="宋体"/>
          <w:sz w:val="24"/>
          <w:highlight w:val="none"/>
          <w:lang w:val="en-US" w:eastAsia="zh-CN"/>
        </w:rPr>
        <w:t>1100000</w:t>
      </w:r>
      <w:r>
        <w:rPr>
          <w:rFonts w:hint="eastAsia" w:ascii="宋体" w:hAnsi="宋体" w:eastAsia="宋体" w:cs="宋体"/>
          <w:sz w:val="24"/>
          <w:highlight w:val="none"/>
        </w:rPr>
        <w:t>.00元。</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采购需求：本次招标共2包，</w:t>
      </w:r>
      <w:r>
        <w:rPr>
          <w:rFonts w:hint="eastAsia" w:ascii="宋体" w:hAnsi="宋体" w:eastAsia="宋体" w:cs="宋体"/>
          <w:bCs/>
          <w:kern w:val="0"/>
          <w:sz w:val="24"/>
          <w:highlight w:val="none"/>
        </w:rPr>
        <w:t>投标人所投包内项目必须完全响应本招标文件所列示内容。</w:t>
      </w:r>
    </w:p>
    <w:tbl>
      <w:tblPr>
        <w:tblStyle w:val="55"/>
        <w:tblW w:w="8696" w:type="dxa"/>
        <w:jc w:val="center"/>
        <w:tblLayout w:type="fixed"/>
        <w:tblCellMar>
          <w:top w:w="0" w:type="dxa"/>
          <w:left w:w="108" w:type="dxa"/>
          <w:bottom w:w="0" w:type="dxa"/>
          <w:right w:w="108" w:type="dxa"/>
        </w:tblCellMar>
      </w:tblPr>
      <w:tblGrid>
        <w:gridCol w:w="864"/>
        <w:gridCol w:w="4663"/>
        <w:gridCol w:w="1020"/>
        <w:gridCol w:w="1095"/>
        <w:gridCol w:w="1054"/>
      </w:tblGrid>
      <w:tr>
        <w:tblPrEx>
          <w:tblCellMar>
            <w:top w:w="0" w:type="dxa"/>
            <w:left w:w="108" w:type="dxa"/>
            <w:bottom w:w="0" w:type="dxa"/>
            <w:right w:w="108" w:type="dxa"/>
          </w:tblCellMar>
        </w:tblPrEx>
        <w:trPr>
          <w:trHeight w:val="445"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包号</w:t>
            </w:r>
          </w:p>
        </w:tc>
        <w:tc>
          <w:tcPr>
            <w:tcW w:w="46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cs="宋体"/>
                <w:bCs/>
                <w:kern w:val="0"/>
                <w:sz w:val="22"/>
                <w:szCs w:val="22"/>
                <w:highlight w:val="none"/>
                <w:lang w:val="en-US" w:eastAsia="zh-CN"/>
              </w:rPr>
              <w:t>采购</w:t>
            </w:r>
            <w:r>
              <w:rPr>
                <w:rFonts w:hint="eastAsia" w:ascii="宋体" w:hAnsi="宋体" w:eastAsia="宋体" w:cs="宋体"/>
                <w:bCs/>
                <w:kern w:val="0"/>
                <w:sz w:val="22"/>
                <w:szCs w:val="22"/>
                <w:highlight w:val="none"/>
              </w:rPr>
              <w:t>内容</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单位</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数量</w:t>
            </w:r>
          </w:p>
        </w:tc>
        <w:tc>
          <w:tcPr>
            <w:tcW w:w="1054" w:type="dxa"/>
            <w:tcBorders>
              <w:top w:val="single" w:color="000000" w:sz="4" w:space="0"/>
              <w:left w:val="single" w:color="000000" w:sz="4" w:space="0"/>
              <w:bottom w:val="single" w:color="000000" w:sz="4" w:space="0"/>
              <w:right w:val="single" w:color="auto" w:sz="4" w:space="0"/>
            </w:tcBorders>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备注</w:t>
            </w:r>
          </w:p>
        </w:tc>
      </w:tr>
      <w:tr>
        <w:tblPrEx>
          <w:tblCellMar>
            <w:top w:w="0" w:type="dxa"/>
            <w:left w:w="108" w:type="dxa"/>
            <w:bottom w:w="0" w:type="dxa"/>
            <w:right w:w="108" w:type="dxa"/>
          </w:tblCellMar>
        </w:tblPrEx>
        <w:trPr>
          <w:trHeight w:val="466" w:hRule="atLeast"/>
          <w:jc w:val="center"/>
        </w:trPr>
        <w:tc>
          <w:tcPr>
            <w:tcW w:w="864" w:type="dxa"/>
            <w:tcBorders>
              <w:top w:val="single" w:color="000000" w:sz="4" w:space="0"/>
              <w:left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w:t>
            </w:r>
          </w:p>
        </w:tc>
        <w:tc>
          <w:tcPr>
            <w:tcW w:w="46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cs="宋体"/>
                <w:bCs/>
                <w:kern w:val="0"/>
                <w:sz w:val="22"/>
                <w:szCs w:val="22"/>
                <w:highlight w:val="none"/>
                <w:lang w:val="en-US" w:eastAsia="zh-CN"/>
              </w:rPr>
              <w:t>0.5t/h单极反渗透净水设备</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color w:val="ED7D31"/>
                <w:kern w:val="0"/>
                <w:sz w:val="22"/>
                <w:szCs w:val="22"/>
                <w:highlight w:val="none"/>
                <w:lang w:val="en-US" w:eastAsia="zh-CN"/>
              </w:rPr>
            </w:pPr>
            <w:r>
              <w:rPr>
                <w:rFonts w:hint="eastAsia" w:ascii="宋体" w:hAnsi="宋体" w:eastAsia="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10</w:t>
            </w:r>
          </w:p>
        </w:tc>
        <w:tc>
          <w:tcPr>
            <w:tcW w:w="1054"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2"/>
                <w:szCs w:val="22"/>
                <w:highlight w:val="none"/>
              </w:rPr>
            </w:pPr>
          </w:p>
        </w:tc>
      </w:tr>
      <w:tr>
        <w:tblPrEx>
          <w:tblCellMar>
            <w:top w:w="0" w:type="dxa"/>
            <w:left w:w="108" w:type="dxa"/>
            <w:bottom w:w="0" w:type="dxa"/>
            <w:right w:w="108" w:type="dxa"/>
          </w:tblCellMar>
        </w:tblPrEx>
        <w:trPr>
          <w:trHeight w:val="466" w:hRule="atLeast"/>
          <w:jc w:val="center"/>
        </w:trPr>
        <w:tc>
          <w:tcPr>
            <w:tcW w:w="864" w:type="dxa"/>
            <w:vMerge w:val="restart"/>
            <w:tcBorders>
              <w:top w:val="single" w:color="000000" w:sz="4" w:space="0"/>
              <w:left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w:t>
            </w:r>
          </w:p>
        </w:tc>
        <w:tc>
          <w:tcPr>
            <w:tcW w:w="46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太阳能发电系统+智能型水质消毒投加装置</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44</w:t>
            </w:r>
          </w:p>
        </w:tc>
        <w:tc>
          <w:tcPr>
            <w:tcW w:w="1054"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2"/>
                <w:szCs w:val="22"/>
                <w:highlight w:val="none"/>
              </w:rPr>
            </w:pPr>
          </w:p>
        </w:tc>
      </w:tr>
      <w:tr>
        <w:tblPrEx>
          <w:tblCellMar>
            <w:top w:w="0" w:type="dxa"/>
            <w:left w:w="108" w:type="dxa"/>
            <w:bottom w:w="0" w:type="dxa"/>
            <w:right w:w="108" w:type="dxa"/>
          </w:tblCellMar>
        </w:tblPrEx>
        <w:trPr>
          <w:trHeight w:val="466" w:hRule="atLeast"/>
          <w:jc w:val="center"/>
        </w:trPr>
        <w:tc>
          <w:tcPr>
            <w:tcW w:w="864" w:type="dxa"/>
            <w:vMerge w:val="continue"/>
            <w:tcBorders>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p>
        </w:tc>
        <w:tc>
          <w:tcPr>
            <w:tcW w:w="46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全自动智能型水质消毒投加装置</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台</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11</w:t>
            </w:r>
          </w:p>
        </w:tc>
        <w:tc>
          <w:tcPr>
            <w:tcW w:w="1054"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2"/>
                <w:szCs w:val="22"/>
                <w:highlight w:val="none"/>
              </w:rPr>
            </w:pPr>
          </w:p>
        </w:tc>
      </w:tr>
    </w:tbl>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范围包括：所采购的货物必须符合国家的强制性标准；具体报价范围、采购范围及所应达到的具体要求，以本招标文件中商务、技术和服务的相应规定为准。</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合同履约期限（交货期）：自合同签订之日起</w:t>
      </w:r>
      <w:r>
        <w:rPr>
          <w:rFonts w:hint="eastAsia" w:ascii="宋体" w:hAnsi="宋体" w:cs="宋体"/>
          <w:sz w:val="24"/>
          <w:highlight w:val="none"/>
          <w:lang w:val="en-US" w:eastAsia="zh-CN"/>
        </w:rPr>
        <w:t>45日内</w:t>
      </w:r>
      <w:r>
        <w:rPr>
          <w:rFonts w:hint="eastAsia" w:ascii="宋体" w:hAnsi="宋体" w:eastAsia="宋体" w:cs="宋体"/>
          <w:sz w:val="24"/>
          <w:highlight w:val="none"/>
        </w:rPr>
        <w:t>完成</w:t>
      </w:r>
      <w:r>
        <w:rPr>
          <w:rFonts w:hint="eastAsia" w:ascii="宋体" w:hAnsi="宋体" w:cs="宋体"/>
          <w:sz w:val="24"/>
          <w:highlight w:val="none"/>
          <w:lang w:val="en-US" w:eastAsia="zh-CN"/>
        </w:rPr>
        <w:t>供货并安装。</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交货地点：</w:t>
      </w:r>
      <w:r>
        <w:rPr>
          <w:rFonts w:hint="eastAsia" w:ascii="宋体" w:hAnsi="宋体" w:cs="宋体"/>
          <w:sz w:val="24"/>
          <w:highlight w:val="none"/>
          <w:lang w:val="en-US" w:eastAsia="zh-CN"/>
        </w:rPr>
        <w:t>阳泉市盂县县</w:t>
      </w:r>
      <w:r>
        <w:rPr>
          <w:rFonts w:hint="eastAsia" w:ascii="宋体" w:hAnsi="宋体" w:eastAsia="宋体" w:cs="宋体"/>
          <w:sz w:val="24"/>
          <w:highlight w:val="none"/>
        </w:rPr>
        <w:t>域内各乡镇</w:t>
      </w:r>
      <w:r>
        <w:rPr>
          <w:rFonts w:hint="eastAsia" w:ascii="宋体" w:hAnsi="宋体" w:cs="宋体"/>
          <w:sz w:val="24"/>
          <w:highlight w:val="none"/>
          <w:lang w:eastAsia="zh-CN"/>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p>
      <w:pPr>
        <w:spacing w:line="360" w:lineRule="auto"/>
        <w:rPr>
          <w:rFonts w:hint="eastAsia" w:ascii="宋体" w:hAnsi="宋体" w:eastAsia="宋体" w:cs="宋体"/>
          <w:b/>
          <w:bCs/>
          <w:sz w:val="24"/>
          <w:highlight w:val="none"/>
        </w:rPr>
      </w:pPr>
      <w:bookmarkStart w:id="13" w:name="_Toc35393791"/>
      <w:bookmarkStart w:id="14" w:name="_Toc35393622"/>
      <w:bookmarkStart w:id="15" w:name="_Toc28359003"/>
      <w:bookmarkStart w:id="16" w:name="_Toc28359080"/>
      <w:r>
        <w:rPr>
          <w:rFonts w:hint="eastAsia" w:ascii="宋体" w:hAnsi="宋体" w:eastAsia="宋体" w:cs="宋体"/>
          <w:b/>
          <w:bCs/>
          <w:sz w:val="24"/>
          <w:highlight w:val="none"/>
        </w:rPr>
        <w:t>二、申请人的资格要求：</w:t>
      </w:r>
      <w:bookmarkEnd w:id="13"/>
      <w:bookmarkEnd w:id="14"/>
      <w:bookmarkEnd w:id="15"/>
      <w:bookmarkEnd w:id="16"/>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pPr>
        <w:spacing w:line="360" w:lineRule="auto"/>
        <w:ind w:firstLine="480" w:firstLineChars="200"/>
        <w:rPr>
          <w:rFonts w:hint="eastAsia" w:ascii="宋体" w:hAnsi="宋体" w:eastAsia="宋体" w:cs="宋体"/>
          <w:sz w:val="24"/>
          <w:highlight w:val="none"/>
          <w:lang w:eastAsia="zh-CN"/>
        </w:rPr>
      </w:pPr>
      <w:bookmarkStart w:id="17" w:name="_Toc28359004"/>
      <w:bookmarkStart w:id="18" w:name="_Toc28359081"/>
      <w:r>
        <w:rPr>
          <w:rFonts w:hint="eastAsia" w:ascii="宋体" w:hAnsi="宋体" w:eastAsia="宋体" w:cs="宋体"/>
          <w:sz w:val="24"/>
          <w:highlight w:val="none"/>
        </w:rPr>
        <w:t>2.落实政府采购政策需满足的资格要求：本项目专门面向中小企业采购</w:t>
      </w:r>
      <w:r>
        <w:rPr>
          <w:rFonts w:hint="eastAsia" w:ascii="宋体" w:hAnsi="宋体" w:cs="宋体"/>
          <w:sz w:val="24"/>
          <w:highlight w:val="none"/>
          <w:lang w:eastAsia="zh-CN"/>
        </w:rPr>
        <w:t>；</w:t>
      </w:r>
    </w:p>
    <w:p>
      <w:pPr>
        <w:spacing w:line="360" w:lineRule="auto"/>
        <w:ind w:firstLine="480" w:firstLineChars="200"/>
        <w:rPr>
          <w:rFonts w:hint="eastAsia" w:ascii="宋体" w:hAnsi="宋体" w:eastAsia="宋体" w:cs="宋体"/>
          <w:i/>
          <w:iCs/>
          <w:sz w:val="24"/>
          <w:highlight w:val="none"/>
          <w:u w:val="single"/>
          <w:lang w:eastAsia="zh-CN"/>
        </w:rPr>
      </w:pPr>
      <w:r>
        <w:rPr>
          <w:rFonts w:hint="eastAsia" w:ascii="宋体" w:hAnsi="宋体" w:eastAsia="宋体" w:cs="宋体"/>
          <w:sz w:val="24"/>
          <w:highlight w:val="none"/>
        </w:rPr>
        <w:t>3.本项目的特定资格要求：无</w:t>
      </w:r>
      <w:r>
        <w:rPr>
          <w:rFonts w:hint="eastAsia" w:ascii="宋体" w:hAnsi="宋体" w:cs="宋体"/>
          <w:sz w:val="24"/>
          <w:highlight w:val="none"/>
          <w:lang w:eastAsia="zh-CN"/>
        </w:rPr>
        <w:t>。</w:t>
      </w:r>
    </w:p>
    <w:p>
      <w:pPr>
        <w:spacing w:line="360" w:lineRule="auto"/>
        <w:rPr>
          <w:rFonts w:hint="eastAsia" w:ascii="宋体" w:hAnsi="宋体" w:eastAsia="宋体" w:cs="宋体"/>
          <w:b/>
          <w:bCs/>
          <w:sz w:val="24"/>
          <w:highlight w:val="none"/>
        </w:rPr>
      </w:pPr>
      <w:bookmarkStart w:id="19" w:name="_Toc35393623"/>
      <w:bookmarkStart w:id="20" w:name="_Toc35393792"/>
      <w:r>
        <w:rPr>
          <w:rFonts w:hint="eastAsia" w:ascii="宋体" w:hAnsi="宋体" w:eastAsia="宋体" w:cs="宋体"/>
          <w:b/>
          <w:bCs/>
          <w:sz w:val="24"/>
          <w:highlight w:val="none"/>
        </w:rPr>
        <w:t>三、获取招标文件</w:t>
      </w:r>
      <w:bookmarkEnd w:id="17"/>
      <w:bookmarkEnd w:id="18"/>
      <w:bookmarkEnd w:id="19"/>
      <w:bookmarkEnd w:id="20"/>
    </w:p>
    <w:p>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1.获取时间：2026年0</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30</w:t>
      </w:r>
      <w:r>
        <w:rPr>
          <w:rFonts w:hint="eastAsia" w:ascii="宋体" w:hAnsi="宋体" w:eastAsia="宋体" w:cs="宋体"/>
          <w:sz w:val="24"/>
          <w:highlight w:val="none"/>
        </w:rPr>
        <w:t>日00时00分00秒至2026年0</w:t>
      </w:r>
      <w:r>
        <w:rPr>
          <w:rFonts w:hint="eastAsia" w:ascii="宋体" w:hAnsi="宋体" w:cs="宋体"/>
          <w:sz w:val="24"/>
          <w:highlight w:val="none"/>
          <w:lang w:val="en-US" w:eastAsia="zh-CN"/>
        </w:rPr>
        <w:t>5</w:t>
      </w:r>
      <w:r>
        <w:rPr>
          <w:rFonts w:hint="eastAsia" w:ascii="宋体" w:hAnsi="宋体" w:eastAsia="宋体" w:cs="宋体"/>
          <w:sz w:val="24"/>
          <w:highlight w:val="none"/>
        </w:rPr>
        <w:t>月</w:t>
      </w:r>
      <w:r>
        <w:rPr>
          <w:rFonts w:hint="eastAsia" w:ascii="宋体" w:hAnsi="宋体" w:cs="宋体"/>
          <w:sz w:val="24"/>
          <w:highlight w:val="none"/>
          <w:lang w:val="en-US" w:eastAsia="zh-CN"/>
        </w:rPr>
        <w:t>9</w:t>
      </w:r>
      <w:r>
        <w:rPr>
          <w:rFonts w:hint="eastAsia" w:ascii="宋体" w:hAnsi="宋体" w:eastAsia="宋体" w:cs="宋体"/>
          <w:sz w:val="24"/>
          <w:highlight w:val="none"/>
        </w:rPr>
        <w:t>日23</w:t>
      </w:r>
      <w:r>
        <w:rPr>
          <w:rFonts w:hint="eastAsia" w:ascii="宋体" w:hAnsi="宋体" w:eastAsia="宋体" w:cs="宋体"/>
          <w:sz w:val="24"/>
          <w:highlight w:val="none"/>
        </w:rPr>
        <w:t>时59分59秒（北京时间,下同）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2.地点：通过山西省政府采购网-山西政府采购平台（https://login.sxzfcg.zcygov.cn/user-login/#/login）线上获取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3.获取方式：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凡有意参加投标的投标人，请按照以下步骤获取招标文件：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（1）在中国政府采购网山西分网完成注册，已完成注册的请跳过此步骤；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（2）请于招标文件获取截止时间前，进入山西政府采购平台（https://login.sxzfcg.zcygov.cn/user-login/#/login）使用企业数字证书（CA）在网上获取招标文件。</w:t>
      </w:r>
    </w:p>
    <w:p>
      <w:pPr>
        <w:spacing w:line="360" w:lineRule="auto"/>
        <w:rPr>
          <w:rFonts w:hint="eastAsia" w:ascii="宋体" w:hAnsi="宋体" w:eastAsia="宋体" w:cs="宋体"/>
          <w:b/>
          <w:bCs/>
          <w:sz w:val="24"/>
          <w:highlight w:val="none"/>
        </w:rPr>
      </w:pPr>
      <w:bookmarkStart w:id="21" w:name="_Toc28359005"/>
      <w:bookmarkStart w:id="22" w:name="_Toc28359082"/>
      <w:bookmarkStart w:id="23" w:name="_Toc35393793"/>
      <w:bookmarkStart w:id="24" w:name="_Toc35393624"/>
      <w:r>
        <w:rPr>
          <w:rFonts w:hint="eastAsia" w:ascii="宋体" w:hAnsi="宋体" w:eastAsia="宋体" w:cs="宋体"/>
          <w:b/>
          <w:bCs/>
          <w:sz w:val="24"/>
          <w:highlight w:val="none"/>
        </w:rPr>
        <w:t>四、提交投标文件</w:t>
      </w:r>
      <w:bookmarkEnd w:id="21"/>
      <w:bookmarkEnd w:id="22"/>
      <w:r>
        <w:rPr>
          <w:rFonts w:hint="eastAsia" w:ascii="宋体" w:hAnsi="宋体" w:eastAsia="宋体" w:cs="宋体"/>
          <w:b/>
          <w:bCs/>
          <w:sz w:val="24"/>
          <w:highlight w:val="none"/>
        </w:rPr>
        <w:t>截止时间、开标时间和地点</w:t>
      </w:r>
      <w:bookmarkEnd w:id="23"/>
      <w:bookmarkEnd w:id="24"/>
    </w:p>
    <w:p>
      <w:pPr>
        <w:spacing w:line="360" w:lineRule="auto"/>
        <w:ind w:firstLine="480" w:firstLineChars="200"/>
        <w:rPr>
          <w:rFonts w:hint="eastAsia" w:ascii="宋体" w:hAnsi="宋体" w:eastAsia="宋体" w:cs="宋体"/>
          <w:bCs/>
          <w:sz w:val="24"/>
          <w:highlight w:val="none"/>
          <w:u w:val="none"/>
        </w:rPr>
      </w:pPr>
      <w:r>
        <w:rPr>
          <w:rFonts w:hint="eastAsia" w:ascii="宋体" w:hAnsi="宋体" w:eastAsia="宋体" w:cs="宋体"/>
          <w:sz w:val="24"/>
          <w:highlight w:val="none"/>
        </w:rPr>
        <w:t>1.提交</w:t>
      </w:r>
      <w:r>
        <w:rPr>
          <w:rFonts w:hint="eastAsia" w:ascii="宋体" w:hAnsi="宋体" w:eastAsia="宋体" w:cs="宋体"/>
          <w:sz w:val="24"/>
          <w:highlight w:val="none"/>
          <w:u w:val="none"/>
        </w:rPr>
        <w:t>投标文件截止时间：2026年0</w:t>
      </w:r>
      <w:r>
        <w:rPr>
          <w:rFonts w:hint="eastAsia" w:ascii="宋体" w:hAnsi="宋体" w:cs="宋体"/>
          <w:sz w:val="24"/>
          <w:highlight w:val="none"/>
          <w:u w:val="none"/>
          <w:lang w:val="en-US" w:eastAsia="zh-CN"/>
        </w:rPr>
        <w:t>5</w:t>
      </w:r>
      <w:r>
        <w:rPr>
          <w:rFonts w:hint="eastAsia" w:ascii="宋体" w:hAnsi="宋体" w:eastAsia="宋体" w:cs="宋体"/>
          <w:sz w:val="24"/>
          <w:highlight w:val="none"/>
          <w:u w:val="none"/>
        </w:rPr>
        <w:t>月</w:t>
      </w:r>
      <w:r>
        <w:rPr>
          <w:rFonts w:hint="eastAsia" w:ascii="宋体" w:hAnsi="宋体" w:cs="宋体"/>
          <w:sz w:val="24"/>
          <w:highlight w:val="none"/>
          <w:u w:val="none"/>
          <w:lang w:val="en-US" w:eastAsia="zh-CN"/>
        </w:rPr>
        <w:t>20</w:t>
      </w:r>
      <w:r>
        <w:rPr>
          <w:rFonts w:hint="eastAsia" w:ascii="宋体" w:hAnsi="宋体" w:eastAsia="宋体" w:cs="宋体"/>
          <w:sz w:val="24"/>
          <w:highlight w:val="none"/>
          <w:u w:val="none"/>
        </w:rPr>
        <w:t>日14点</w:t>
      </w:r>
      <w:r>
        <w:rPr>
          <w:rFonts w:hint="eastAsia" w:ascii="宋体" w:hAnsi="宋体" w:cs="宋体"/>
          <w:sz w:val="24"/>
          <w:highlight w:val="none"/>
          <w:u w:val="none"/>
          <w:lang w:val="en-US" w:eastAsia="zh-CN"/>
        </w:rPr>
        <w:t>0</w:t>
      </w:r>
      <w:r>
        <w:rPr>
          <w:rFonts w:hint="eastAsia" w:ascii="宋体" w:hAnsi="宋体" w:eastAsia="宋体" w:cs="宋体"/>
          <w:sz w:val="24"/>
          <w:highlight w:val="none"/>
          <w:u w:val="none"/>
        </w:rPr>
        <w:t>0分</w:t>
      </w:r>
      <w:r>
        <w:rPr>
          <w:rFonts w:hint="eastAsia" w:ascii="宋体" w:hAnsi="宋体" w:eastAsia="宋体" w:cs="宋体"/>
          <w:bCs/>
          <w:sz w:val="24"/>
          <w:highlight w:val="none"/>
          <w:u w:val="none"/>
        </w:rPr>
        <w:t>（北京时间）</w:t>
      </w:r>
    </w:p>
    <w:p>
      <w:pPr>
        <w:spacing w:line="360" w:lineRule="auto"/>
        <w:ind w:firstLine="480" w:firstLineChars="200"/>
        <w:rPr>
          <w:rFonts w:hint="eastAsia" w:ascii="宋体" w:hAnsi="宋体" w:eastAsia="宋体" w:cs="宋体"/>
          <w:bCs/>
          <w:sz w:val="24"/>
          <w:highlight w:val="none"/>
          <w:u w:val="none"/>
        </w:rPr>
      </w:pPr>
      <w:r>
        <w:rPr>
          <w:rFonts w:hint="eastAsia" w:ascii="宋体" w:hAnsi="宋体" w:eastAsia="宋体" w:cs="宋体"/>
          <w:sz w:val="24"/>
          <w:highlight w:val="none"/>
          <w:u w:val="none"/>
        </w:rPr>
        <w:t>2.开标时间：2026年0</w:t>
      </w:r>
      <w:r>
        <w:rPr>
          <w:rFonts w:hint="eastAsia" w:ascii="宋体" w:hAnsi="宋体" w:cs="宋体"/>
          <w:sz w:val="24"/>
          <w:highlight w:val="none"/>
          <w:u w:val="none"/>
          <w:lang w:val="en-US" w:eastAsia="zh-CN"/>
        </w:rPr>
        <w:t>5</w:t>
      </w:r>
      <w:r>
        <w:rPr>
          <w:rFonts w:hint="eastAsia" w:ascii="宋体" w:hAnsi="宋体" w:eastAsia="宋体" w:cs="宋体"/>
          <w:sz w:val="24"/>
          <w:highlight w:val="none"/>
          <w:u w:val="none"/>
        </w:rPr>
        <w:t>月</w:t>
      </w:r>
      <w:r>
        <w:rPr>
          <w:rFonts w:hint="eastAsia" w:ascii="宋体" w:hAnsi="宋体" w:cs="宋体"/>
          <w:sz w:val="24"/>
          <w:highlight w:val="none"/>
          <w:u w:val="none"/>
          <w:lang w:val="en-US" w:eastAsia="zh-CN"/>
        </w:rPr>
        <w:t>2</w:t>
      </w:r>
      <w:r>
        <w:rPr>
          <w:rFonts w:hint="eastAsia" w:ascii="宋体" w:hAnsi="宋体" w:eastAsia="宋体" w:cs="宋体"/>
          <w:sz w:val="24"/>
          <w:highlight w:val="none"/>
          <w:u w:val="none"/>
        </w:rPr>
        <w:t>0日14点</w:t>
      </w:r>
      <w:r>
        <w:rPr>
          <w:rFonts w:hint="eastAsia" w:ascii="宋体" w:hAnsi="宋体" w:cs="宋体"/>
          <w:sz w:val="24"/>
          <w:highlight w:val="none"/>
          <w:u w:val="none"/>
          <w:lang w:val="en-US" w:eastAsia="zh-CN"/>
        </w:rPr>
        <w:t>0</w:t>
      </w:r>
      <w:r>
        <w:rPr>
          <w:rFonts w:hint="eastAsia" w:ascii="宋体" w:hAnsi="宋体" w:eastAsia="宋体" w:cs="宋体"/>
          <w:sz w:val="24"/>
          <w:highlight w:val="none"/>
          <w:u w:val="none"/>
        </w:rPr>
        <w:t>0分</w:t>
      </w:r>
      <w:r>
        <w:rPr>
          <w:rFonts w:hint="eastAsia" w:ascii="宋体" w:hAnsi="宋体" w:eastAsia="宋体" w:cs="宋体"/>
          <w:bCs/>
          <w:sz w:val="24"/>
          <w:highlight w:val="none"/>
          <w:u w:val="none"/>
        </w:rPr>
        <w:t>（北京时间）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3.开标地点：山西政府采购平台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4.投标文件的递交：电子投标文件上传截止时间</w:t>
      </w:r>
      <w:r>
        <w:rPr>
          <w:rFonts w:hint="eastAsia" w:ascii="宋体" w:hAnsi="宋体" w:eastAsia="宋体" w:cs="宋体"/>
          <w:sz w:val="24"/>
          <w:highlight w:val="none"/>
        </w:rPr>
        <w:t>2026年0</w:t>
      </w:r>
      <w:r>
        <w:rPr>
          <w:rFonts w:hint="eastAsia" w:ascii="宋体" w:hAnsi="宋体" w:cs="宋体"/>
          <w:sz w:val="24"/>
          <w:highlight w:val="none"/>
          <w:lang w:val="en-US" w:eastAsia="zh-CN"/>
        </w:rPr>
        <w:t>5</w:t>
      </w:r>
      <w:r>
        <w:rPr>
          <w:rFonts w:hint="eastAsia" w:ascii="宋体" w:hAnsi="宋体" w:eastAsia="宋体" w:cs="宋体"/>
          <w:sz w:val="24"/>
          <w:highlight w:val="none"/>
        </w:rPr>
        <w:t>月</w:t>
      </w:r>
      <w:r>
        <w:rPr>
          <w:rFonts w:hint="eastAsia" w:ascii="宋体" w:hAnsi="宋体" w:cs="宋体"/>
          <w:sz w:val="24"/>
          <w:highlight w:val="none"/>
          <w:lang w:val="en-US" w:eastAsia="zh-CN"/>
        </w:rPr>
        <w:t>2</w:t>
      </w:r>
      <w:r>
        <w:rPr>
          <w:rFonts w:hint="eastAsia" w:ascii="宋体" w:hAnsi="宋体" w:eastAsia="宋体" w:cs="宋体"/>
          <w:sz w:val="24"/>
          <w:highlight w:val="none"/>
        </w:rPr>
        <w:t>0日14点</w:t>
      </w:r>
      <w:r>
        <w:rPr>
          <w:rFonts w:hint="eastAsia" w:ascii="宋体" w:hAnsi="宋体" w:cs="宋体"/>
          <w:sz w:val="24"/>
          <w:highlight w:val="none"/>
          <w:lang w:val="en-US" w:eastAsia="zh-CN"/>
        </w:rPr>
        <w:t>0</w:t>
      </w:r>
      <w:r>
        <w:rPr>
          <w:rFonts w:hint="eastAsia" w:ascii="宋体" w:hAnsi="宋体" w:eastAsia="宋体" w:cs="宋体"/>
          <w:sz w:val="24"/>
          <w:highlight w:val="none"/>
        </w:rPr>
        <w:t>0分</w:t>
      </w:r>
      <w:r>
        <w:rPr>
          <w:rFonts w:hint="eastAsia" w:ascii="宋体" w:hAnsi="宋体" w:eastAsia="宋体" w:cs="宋体"/>
          <w:sz w:val="24"/>
          <w:highlight w:val="none"/>
        </w:rPr>
        <w:t>前在政采云平台投标客户端（http://www.ccgp-shanxi.gov.cn/sxCategory15/sxCategory202/sxCategory20201/327.html）完成上传，上传截止时间前未完成投标文件上传的，投标人自行承担责任。</w:t>
      </w:r>
    </w:p>
    <w:p>
      <w:pPr>
        <w:spacing w:line="360" w:lineRule="auto"/>
        <w:rPr>
          <w:rFonts w:hint="eastAsia" w:ascii="宋体" w:hAnsi="宋体" w:eastAsia="宋体" w:cs="宋体"/>
          <w:b/>
          <w:bCs/>
          <w:sz w:val="24"/>
          <w:highlight w:val="none"/>
        </w:rPr>
      </w:pPr>
      <w:bookmarkStart w:id="25" w:name="_Toc35393794"/>
      <w:bookmarkStart w:id="26" w:name="_Toc35393625"/>
      <w:bookmarkStart w:id="27" w:name="_Toc28359084"/>
      <w:bookmarkStart w:id="28" w:name="_Toc28359007"/>
      <w:r>
        <w:rPr>
          <w:rFonts w:hint="eastAsia" w:ascii="宋体" w:hAnsi="宋体" w:eastAsia="宋体" w:cs="宋体"/>
          <w:b/>
          <w:bCs/>
          <w:sz w:val="24"/>
          <w:highlight w:val="none"/>
        </w:rPr>
        <w:t>五、公告期限</w:t>
      </w:r>
      <w:bookmarkEnd w:id="25"/>
      <w:bookmarkEnd w:id="26"/>
      <w:bookmarkEnd w:id="27"/>
      <w:bookmarkEnd w:id="28"/>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pPr>
        <w:spacing w:line="360" w:lineRule="auto"/>
        <w:rPr>
          <w:rFonts w:hint="eastAsia" w:ascii="宋体" w:hAnsi="宋体" w:eastAsia="宋体" w:cs="宋体"/>
          <w:b/>
          <w:bCs/>
          <w:sz w:val="24"/>
          <w:highlight w:val="none"/>
        </w:rPr>
      </w:pPr>
      <w:bookmarkStart w:id="29" w:name="_Toc35393626"/>
      <w:bookmarkStart w:id="30" w:name="_Toc35393795"/>
      <w:r>
        <w:rPr>
          <w:rFonts w:hint="eastAsia" w:ascii="宋体" w:hAnsi="宋体" w:eastAsia="宋体" w:cs="宋体"/>
          <w:b/>
          <w:bCs/>
          <w:sz w:val="24"/>
          <w:highlight w:val="none"/>
        </w:rPr>
        <w:t>六、其他补充事宜</w:t>
      </w:r>
      <w:bookmarkEnd w:id="29"/>
      <w:bookmarkEnd w:id="30"/>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有关本项目招标文件的补遗、澄清及变更信息以上述网站公告与下载为准，招标代理机构不再另行通知，招标文件与更正公告的内容相互矛盾时，以最后发出的更正公告内容为准。</w:t>
      </w:r>
    </w:p>
    <w:p>
      <w:pPr>
        <w:pStyle w:val="111"/>
        <w:spacing w:line="360" w:lineRule="auto"/>
        <w:ind w:firstLine="0" w:firstLineChars="0"/>
        <w:rPr>
          <w:rFonts w:hint="eastAsia" w:ascii="宋体" w:hAnsi="宋体" w:eastAsia="宋体" w:cs="宋体"/>
          <w:b/>
          <w:bCs/>
          <w:sz w:val="24"/>
          <w:szCs w:val="24"/>
          <w:highlight w:val="none"/>
        </w:rPr>
      </w:pPr>
      <w:bookmarkStart w:id="31" w:name="_Toc35393627"/>
      <w:bookmarkStart w:id="32" w:name="_Toc35393796"/>
      <w:bookmarkStart w:id="33" w:name="_Toc28359008"/>
      <w:bookmarkStart w:id="34" w:name="_Toc28359085"/>
      <w:r>
        <w:rPr>
          <w:rFonts w:hint="eastAsia" w:ascii="宋体" w:hAnsi="宋体" w:eastAsia="宋体" w:cs="宋体"/>
          <w:b/>
          <w:bCs/>
          <w:sz w:val="24"/>
          <w:szCs w:val="24"/>
          <w:highlight w:val="none"/>
        </w:rPr>
        <w:t>七、对本次招标提出询问，请按以下方式联系。</w:t>
      </w:r>
      <w:bookmarkEnd w:id="31"/>
      <w:bookmarkEnd w:id="32"/>
      <w:bookmarkEnd w:id="33"/>
      <w:bookmarkEnd w:id="34"/>
    </w:p>
    <w:p>
      <w:pPr>
        <w:spacing w:line="360" w:lineRule="auto"/>
        <w:ind w:firstLine="480" w:firstLineChars="200"/>
        <w:rPr>
          <w:rFonts w:hint="eastAsia" w:ascii="宋体" w:hAnsi="宋体" w:eastAsia="宋体" w:cs="宋体"/>
          <w:sz w:val="24"/>
          <w:highlight w:val="none"/>
        </w:rPr>
      </w:pPr>
      <w:bookmarkStart w:id="35" w:name="_Toc35393637"/>
      <w:bookmarkStart w:id="36" w:name="_Toc35393806"/>
      <w:bookmarkStart w:id="37" w:name="_Toc28359019"/>
      <w:bookmarkStart w:id="38" w:name="_Toc28359096"/>
      <w:r>
        <w:rPr>
          <w:rFonts w:hint="eastAsia" w:ascii="宋体" w:hAnsi="宋体" w:eastAsia="宋体" w:cs="宋体"/>
          <w:sz w:val="24"/>
          <w:highlight w:val="none"/>
        </w:rPr>
        <w:t>1.采购人信息</w:t>
      </w:r>
      <w:bookmarkEnd w:id="35"/>
      <w:bookmarkEnd w:id="36"/>
      <w:bookmarkEnd w:id="37"/>
      <w:bookmarkEnd w:id="38"/>
    </w:p>
    <w:p>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cs="宋体"/>
          <w:sz w:val="24"/>
          <w:highlight w:val="none"/>
          <w:lang w:val="en-US" w:eastAsia="zh-CN"/>
        </w:rPr>
        <w:t>盂县</w:t>
      </w:r>
      <w:r>
        <w:rPr>
          <w:rFonts w:hint="eastAsia" w:ascii="宋体" w:hAnsi="宋体" w:eastAsia="宋体" w:cs="宋体"/>
          <w:sz w:val="24"/>
          <w:highlight w:val="none"/>
        </w:rPr>
        <w:t>水利局</w:t>
      </w:r>
    </w:p>
    <w:p>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址：盂县城隍庙巷10号</w:t>
      </w:r>
    </w:p>
    <w:p>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 系 人：韩先生</w:t>
      </w:r>
    </w:p>
    <w:p>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联系方式：0353-4355323</w:t>
      </w:r>
    </w:p>
    <w:p>
      <w:pPr>
        <w:spacing w:line="360" w:lineRule="auto"/>
        <w:ind w:left="630" w:leftChars="300"/>
        <w:rPr>
          <w:rFonts w:hint="eastAsia" w:ascii="宋体" w:hAnsi="宋体" w:eastAsia="宋体" w:cs="宋体"/>
          <w:sz w:val="24"/>
          <w:highlight w:val="none"/>
        </w:rPr>
      </w:pPr>
      <w:bookmarkStart w:id="39" w:name="_Toc28359097"/>
      <w:bookmarkStart w:id="40" w:name="_Toc35393638"/>
      <w:bookmarkStart w:id="41" w:name="_Toc35393807"/>
      <w:bookmarkStart w:id="42" w:name="_Toc28359020"/>
      <w:r>
        <w:rPr>
          <w:rFonts w:hint="eastAsia" w:ascii="宋体" w:hAnsi="宋体" w:eastAsia="宋体" w:cs="宋体"/>
          <w:sz w:val="24"/>
          <w:highlight w:val="none"/>
        </w:rPr>
        <w:t>2.采购代理机构信息</w:t>
      </w:r>
      <w:bookmarkEnd w:id="39"/>
      <w:bookmarkEnd w:id="40"/>
      <w:bookmarkEnd w:id="41"/>
      <w:bookmarkEnd w:id="42"/>
    </w:p>
    <w:p>
      <w:pPr>
        <w:spacing w:line="360" w:lineRule="auto"/>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rPr>
        <w:t>名    称：</w:t>
      </w:r>
      <w:r>
        <w:rPr>
          <w:rFonts w:hint="eastAsia" w:ascii="宋体" w:hAnsi="宋体" w:cs="宋体"/>
          <w:sz w:val="24"/>
          <w:highlight w:val="none"/>
          <w:lang w:eastAsia="zh-CN"/>
        </w:rPr>
        <w:t>山西君铎工程咨询有限公司</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山西省太原市小店区平阳路14号26幢20层2001、2002、2003号</w:t>
      </w:r>
    </w:p>
    <w:p>
      <w:pPr>
        <w:spacing w:line="360" w:lineRule="auto"/>
        <w:ind w:firstLine="720" w:firstLineChars="300"/>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15235399901</w:t>
      </w:r>
    </w:p>
    <w:p>
      <w:pPr>
        <w:spacing w:line="360" w:lineRule="auto"/>
        <w:ind w:left="630" w:leftChars="300"/>
        <w:rPr>
          <w:rFonts w:hint="eastAsia" w:ascii="宋体" w:hAnsi="宋体" w:eastAsia="宋体" w:cs="宋体"/>
          <w:sz w:val="24"/>
          <w:highlight w:val="none"/>
        </w:rPr>
      </w:pPr>
      <w:bookmarkStart w:id="43" w:name="_Toc28359021"/>
      <w:bookmarkStart w:id="44" w:name="_Toc28359098"/>
      <w:bookmarkStart w:id="45" w:name="_Toc35393639"/>
      <w:bookmarkStart w:id="46" w:name="_Toc35393808"/>
      <w:r>
        <w:rPr>
          <w:rFonts w:hint="eastAsia" w:ascii="宋体" w:hAnsi="宋体" w:eastAsia="宋体" w:cs="宋体"/>
          <w:sz w:val="24"/>
          <w:highlight w:val="none"/>
        </w:rPr>
        <w:t>3.项目联系方式</w:t>
      </w:r>
      <w:bookmarkEnd w:id="43"/>
      <w:bookmarkEnd w:id="44"/>
      <w:bookmarkEnd w:id="45"/>
      <w:bookmarkEnd w:id="46"/>
    </w:p>
    <w:p>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rPr>
        <w:t>项目联系人：</w:t>
      </w:r>
      <w:r>
        <w:rPr>
          <w:rFonts w:hint="eastAsia" w:ascii="宋体" w:hAnsi="宋体" w:cs="宋体"/>
          <w:sz w:val="24"/>
          <w:highlight w:val="none"/>
          <w:lang w:val="en-US" w:eastAsia="zh-CN"/>
        </w:rPr>
        <w:t>胡女士</w:t>
      </w:r>
    </w:p>
    <w:p>
      <w:pPr>
        <w:spacing w:line="360" w:lineRule="auto"/>
        <w:ind w:firstLine="720" w:firstLineChars="300"/>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15235399901</w:t>
      </w:r>
    </w:p>
    <w:p>
      <w:pPr>
        <w:widowControl/>
        <w:snapToGrid w:val="0"/>
        <w:spacing w:line="360" w:lineRule="auto"/>
        <w:ind w:firstLine="720" w:firstLineChars="300"/>
        <w:rPr>
          <w:rFonts w:hint="eastAsia" w:ascii="宋体" w:hAnsi="宋体" w:eastAsia="宋体" w:cs="宋体"/>
          <w:sz w:val="24"/>
          <w:highlight w:val="none"/>
          <w:u w:val="single"/>
        </w:rPr>
      </w:pPr>
    </w:p>
    <w:p>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第二部分  投标人须知前附表</w:t>
      </w:r>
    </w:p>
    <w:p>
      <w:pPr>
        <w:pStyle w:val="48"/>
        <w:rPr>
          <w:rFonts w:hint="eastAsia" w:ascii="宋体" w:hAnsi="宋体" w:eastAsia="宋体" w:cs="宋体"/>
          <w:highlight w:val="none"/>
        </w:rPr>
      </w:pP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ind w:left="-105" w:leftChars="-50" w:right="-105" w:rightChars="-50"/>
              <w:jc w:val="center"/>
              <w:rPr>
                <w:rFonts w:hint="eastAsia" w:ascii="宋体" w:hAnsi="宋体" w:eastAsia="宋体" w:cs="宋体"/>
                <w:b/>
                <w:bCs/>
                <w:sz w:val="22"/>
                <w:szCs w:val="22"/>
                <w:highlight w:val="none"/>
              </w:rPr>
            </w:pPr>
            <w:bookmarkStart w:id="47" w:name="_Toc175644016"/>
            <w:bookmarkStart w:id="48" w:name="_Toc86202581"/>
            <w:r>
              <w:rPr>
                <w:rFonts w:hint="eastAsia" w:ascii="宋体" w:hAnsi="宋体" w:eastAsia="宋体" w:cs="宋体"/>
                <w:sz w:val="22"/>
                <w:szCs w:val="22"/>
                <w:highlight w:val="none"/>
              </w:rPr>
              <w:t>序号</w:t>
            </w:r>
          </w:p>
        </w:tc>
        <w:tc>
          <w:tcPr>
            <w:tcW w:w="1727"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内容</w:t>
            </w:r>
          </w:p>
        </w:tc>
        <w:tc>
          <w:tcPr>
            <w:tcW w:w="6946"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p>
        </w:tc>
        <w:tc>
          <w:tcPr>
            <w:tcW w:w="1727" w:type="dxa"/>
            <w:vAlign w:val="center"/>
          </w:tcPr>
          <w:p>
            <w:pPr>
              <w:pStyle w:val="107"/>
              <w:keepNext w:val="0"/>
              <w:keepLines w:val="0"/>
              <w:spacing w:before="0" w:after="0" w:line="360" w:lineRule="auto"/>
              <w:jc w:val="center"/>
              <w:rPr>
                <w:rFonts w:hint="eastAsia" w:ascii="宋体" w:hAnsi="宋体" w:eastAsia="宋体" w:cs="宋体"/>
                <w:b w:val="0"/>
                <w:bCs w:val="0"/>
                <w:sz w:val="22"/>
                <w:szCs w:val="22"/>
                <w:highlight w:val="none"/>
              </w:rPr>
            </w:pPr>
            <w:bookmarkStart w:id="49" w:name="_Toc466533574"/>
            <w:r>
              <w:rPr>
                <w:rFonts w:hint="eastAsia" w:ascii="宋体" w:hAnsi="宋体" w:eastAsia="宋体" w:cs="宋体"/>
                <w:b w:val="0"/>
                <w:bCs w:val="0"/>
                <w:sz w:val="22"/>
                <w:szCs w:val="22"/>
                <w:highlight w:val="none"/>
              </w:rPr>
              <w:t>本项目</w:t>
            </w:r>
            <w:bookmarkEnd w:id="49"/>
          </w:p>
          <w:p>
            <w:pPr>
              <w:pStyle w:val="107"/>
              <w:keepNext w:val="0"/>
              <w:keepLines w:val="0"/>
              <w:spacing w:before="0" w:after="0" w:line="360" w:lineRule="auto"/>
              <w:jc w:val="center"/>
              <w:rPr>
                <w:rFonts w:hint="eastAsia" w:ascii="宋体" w:hAnsi="宋体" w:eastAsia="宋体" w:cs="宋体"/>
                <w:b w:val="0"/>
                <w:bCs w:val="0"/>
                <w:sz w:val="22"/>
                <w:szCs w:val="22"/>
                <w:highlight w:val="none"/>
              </w:rPr>
            </w:pPr>
            <w:bookmarkStart w:id="50" w:name="_Toc466533575"/>
            <w:r>
              <w:rPr>
                <w:rFonts w:hint="eastAsia" w:ascii="宋体" w:hAnsi="宋体" w:eastAsia="宋体" w:cs="宋体"/>
                <w:b w:val="0"/>
                <w:bCs w:val="0"/>
                <w:sz w:val="22"/>
                <w:szCs w:val="22"/>
                <w:highlight w:val="none"/>
              </w:rPr>
              <w:t>预算金额</w:t>
            </w:r>
            <w:bookmarkEnd w:id="50"/>
            <w:r>
              <w:rPr>
                <w:rFonts w:hint="eastAsia" w:ascii="宋体" w:hAnsi="宋体" w:eastAsia="宋体" w:cs="宋体"/>
                <w:b w:val="0"/>
                <w:bCs w:val="0"/>
                <w:sz w:val="22"/>
                <w:szCs w:val="22"/>
                <w:highlight w:val="none"/>
              </w:rPr>
              <w:t>及最高限价</w:t>
            </w:r>
          </w:p>
        </w:tc>
        <w:tc>
          <w:tcPr>
            <w:tcW w:w="6946" w:type="dxa"/>
            <w:vAlign w:val="center"/>
          </w:tcPr>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预算金额：</w:t>
            </w:r>
            <w:r>
              <w:rPr>
                <w:rFonts w:hint="eastAsia" w:ascii="宋体" w:hAnsi="宋体" w:cs="宋体"/>
                <w:b/>
                <w:sz w:val="22"/>
                <w:szCs w:val="22"/>
                <w:highlight w:val="none"/>
                <w:lang w:eastAsia="zh-CN"/>
              </w:rPr>
              <w:t>1600000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其中：1包：</w:t>
            </w:r>
            <w:r>
              <w:rPr>
                <w:rFonts w:hint="eastAsia" w:ascii="宋体" w:hAnsi="宋体" w:cs="宋体"/>
                <w:b/>
                <w:sz w:val="22"/>
                <w:szCs w:val="22"/>
                <w:highlight w:val="none"/>
                <w:lang w:val="en-US" w:eastAsia="zh-CN"/>
              </w:rPr>
              <w:t>500000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      2包：</w:t>
            </w:r>
            <w:r>
              <w:rPr>
                <w:rFonts w:hint="eastAsia" w:ascii="宋体" w:hAnsi="宋体" w:cs="宋体"/>
                <w:b/>
                <w:sz w:val="22"/>
                <w:szCs w:val="22"/>
                <w:highlight w:val="none"/>
                <w:lang w:val="en-US" w:eastAsia="zh-CN"/>
              </w:rPr>
              <w:t>1100000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最高限价：</w:t>
            </w:r>
            <w:r>
              <w:rPr>
                <w:rFonts w:hint="eastAsia" w:ascii="宋体" w:hAnsi="宋体" w:cs="宋体"/>
                <w:b/>
                <w:sz w:val="22"/>
                <w:szCs w:val="22"/>
                <w:highlight w:val="none"/>
                <w:lang w:eastAsia="zh-CN"/>
              </w:rPr>
              <w:t>1600000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其中：1包：</w:t>
            </w:r>
            <w:r>
              <w:rPr>
                <w:rFonts w:hint="eastAsia" w:ascii="宋体" w:hAnsi="宋体" w:cs="宋体"/>
                <w:b/>
                <w:sz w:val="22"/>
                <w:szCs w:val="22"/>
                <w:highlight w:val="none"/>
                <w:lang w:val="en-US" w:eastAsia="zh-CN"/>
              </w:rPr>
              <w:t>500000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      2包：</w:t>
            </w:r>
            <w:r>
              <w:rPr>
                <w:rFonts w:hint="eastAsia" w:ascii="宋体" w:hAnsi="宋体" w:cs="宋体"/>
                <w:b/>
                <w:sz w:val="22"/>
                <w:szCs w:val="22"/>
                <w:highlight w:val="none"/>
                <w:lang w:val="en-US" w:eastAsia="zh-CN"/>
              </w:rPr>
              <w:t>1100000</w:t>
            </w:r>
            <w:r>
              <w:rPr>
                <w:rFonts w:hint="eastAsia" w:ascii="宋体" w:hAnsi="宋体" w:eastAsia="宋体" w:cs="宋体"/>
                <w:b/>
                <w:sz w:val="22"/>
                <w:szCs w:val="22"/>
                <w:highlight w:val="none"/>
              </w:rPr>
              <w:t>.00元</w:t>
            </w:r>
          </w:p>
          <w:p>
            <w:pPr>
              <w:spacing w:line="360" w:lineRule="auto"/>
              <w:rPr>
                <w:rFonts w:hint="eastAsia" w:ascii="宋体" w:hAnsi="宋体" w:eastAsia="宋体" w:cs="宋体"/>
                <w:sz w:val="22"/>
                <w:szCs w:val="22"/>
                <w:highlight w:val="none"/>
              </w:rPr>
            </w:pPr>
            <w:r>
              <w:rPr>
                <w:rFonts w:hint="eastAsia" w:ascii="宋体" w:hAnsi="宋体" w:eastAsia="宋体" w:cs="宋体"/>
                <w:b/>
                <w:sz w:val="22"/>
                <w:szCs w:val="22"/>
                <w:highlight w:val="none"/>
              </w:rPr>
              <w:t>注：投标人的投标报价不得超过预算金额及最高限价，否则投标无效。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p>
        </w:tc>
        <w:tc>
          <w:tcPr>
            <w:tcW w:w="1727"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招标方式</w:t>
            </w:r>
          </w:p>
        </w:tc>
        <w:tc>
          <w:tcPr>
            <w:tcW w:w="6946" w:type="dxa"/>
            <w:vAlign w:val="center"/>
          </w:tcPr>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3</w:t>
            </w:r>
          </w:p>
        </w:tc>
        <w:tc>
          <w:tcPr>
            <w:tcW w:w="1727"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是否允许代理商投标</w:t>
            </w:r>
          </w:p>
        </w:tc>
        <w:tc>
          <w:tcPr>
            <w:tcW w:w="6946" w:type="dxa"/>
            <w:vAlign w:val="center"/>
          </w:tcPr>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4</w:t>
            </w:r>
          </w:p>
        </w:tc>
        <w:tc>
          <w:tcPr>
            <w:tcW w:w="1727" w:type="dxa"/>
            <w:vAlign w:val="center"/>
          </w:tcPr>
          <w:p>
            <w:pPr>
              <w:snapToGrid w:val="0"/>
              <w:spacing w:line="39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是否允许联合体投标</w:t>
            </w:r>
          </w:p>
        </w:tc>
        <w:tc>
          <w:tcPr>
            <w:tcW w:w="6946" w:type="dxa"/>
            <w:vAlign w:val="center"/>
          </w:tcPr>
          <w:p>
            <w:pPr>
              <w:pStyle w:val="30"/>
              <w:snapToGrid w:val="0"/>
              <w:spacing w:line="390" w:lineRule="exact"/>
              <w:rPr>
                <w:rFonts w:hint="eastAsia" w:ascii="宋体" w:hAnsi="宋体" w:eastAsia="宋体" w:cs="宋体"/>
                <w:bCs/>
                <w:sz w:val="22"/>
                <w:szCs w:val="22"/>
                <w:highlight w:val="none"/>
              </w:rPr>
            </w:pPr>
            <w:r>
              <w:rPr>
                <w:rFonts w:hint="eastAsia" w:ascii="宋体" w:hAnsi="宋体" w:eastAsia="宋体" w:cs="宋体"/>
                <w:bCs/>
                <w:sz w:val="22"/>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p>
        </w:tc>
        <w:tc>
          <w:tcPr>
            <w:tcW w:w="1727" w:type="dxa"/>
            <w:vAlign w:val="center"/>
          </w:tcPr>
          <w:p>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投标人应提交的资格证明文件</w:t>
            </w:r>
          </w:p>
        </w:tc>
        <w:tc>
          <w:tcPr>
            <w:tcW w:w="6946" w:type="dxa"/>
            <w:vAlign w:val="center"/>
          </w:tcPr>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1.具有独立承担民事责任的能力的承诺函（见‘投标文件格式’）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2．具有良好的商业信誉和健全的财务会计制度的承诺函（见‘投标文件格式’）；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 具有依法缴纳税收和社会保障资金的承诺函（见‘投标文件格式’）；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 具有履行合同所必需的设备和专业技术能力的承诺函（见‘投标文件格式’）；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5．投标人近三年无重大违法记录声明（见‘投标文件格式’）；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w:t>
            </w:r>
            <w:r>
              <w:rPr>
                <w:rFonts w:hint="eastAsia" w:ascii="宋体" w:hAnsi="宋体" w:eastAsia="宋体" w:cs="宋体"/>
                <w:color w:val="000000"/>
                <w:sz w:val="22"/>
                <w:szCs w:val="22"/>
                <w:highlight w:val="none"/>
              </w:rPr>
              <w:t>投标人廉洁自律承诺书（见‘投标文件格式’）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7.</w:t>
            </w:r>
            <w:r>
              <w:rPr>
                <w:rFonts w:hint="eastAsia" w:ascii="宋体" w:hAnsi="宋体" w:eastAsia="宋体" w:cs="宋体"/>
                <w:color w:val="000000"/>
                <w:sz w:val="22"/>
                <w:szCs w:val="22"/>
                <w:highlight w:val="none"/>
              </w:rPr>
              <w:t xml:space="preserve"> 采购项目要求的特殊资质要求证明材料：无</w:t>
            </w:r>
          </w:p>
          <w:p>
            <w:pPr>
              <w:snapToGrid w:val="0"/>
              <w:spacing w:line="360" w:lineRule="auto"/>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val="en-US" w:eastAsia="zh-CN"/>
              </w:rPr>
              <w:t>8</w:t>
            </w:r>
            <w:r>
              <w:rPr>
                <w:rFonts w:hint="eastAsia" w:ascii="宋体" w:hAnsi="宋体" w:eastAsia="宋体" w:cs="宋体"/>
                <w:kern w:val="0"/>
                <w:sz w:val="22"/>
                <w:szCs w:val="22"/>
                <w:highlight w:val="none"/>
              </w:rPr>
              <w:t>. 落实政府采购政策需满足的资格要求：本项目专门面向中小企业采购</w:t>
            </w:r>
            <w:r>
              <w:rPr>
                <w:rFonts w:hint="eastAsia" w:ascii="宋体" w:hAnsi="宋体" w:cs="宋体"/>
                <w:kern w:val="0"/>
                <w:sz w:val="22"/>
                <w:szCs w:val="22"/>
                <w:highlight w:val="none"/>
                <w:lang w:eastAsia="zh-CN"/>
              </w:rPr>
              <w:t>。</w:t>
            </w:r>
          </w:p>
          <w:p>
            <w:pPr>
              <w:snapToGrid w:val="0"/>
              <w:spacing w:line="360" w:lineRule="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以上资格证明文件，若有一项未提供或无效，或因模糊不清无法确定是否符合招标文件要求，将导致其不具备投标资格，且不允许在开标后补正。</w:t>
            </w:r>
          </w:p>
          <w:p>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9</w:t>
            </w:r>
            <w:r>
              <w:rPr>
                <w:rFonts w:hint="eastAsia" w:ascii="宋体" w:hAnsi="宋体" w:eastAsia="宋体" w:cs="宋体"/>
                <w:kern w:val="0"/>
                <w:sz w:val="22"/>
                <w:szCs w:val="22"/>
                <w:highlight w:val="none"/>
              </w:rPr>
              <w:t>. 采购代理机构于开标后对投标人的信用信息进行查询，通过“信用中国”网站（http://www.creditchina.gov.cn）、中国政府采购网（http://www.ccgp.gov.cn）查询相关主体信用记录，截止时间为开标当日；查询内容为“信用中国”网的</w:t>
            </w:r>
            <w:r>
              <w:rPr>
                <w:rFonts w:hint="eastAsia" w:ascii="宋体" w:hAnsi="宋体" w:eastAsia="宋体" w:cs="宋体"/>
                <w:bCs/>
                <w:kern w:val="0"/>
                <w:sz w:val="22"/>
                <w:szCs w:val="22"/>
                <w:highlight w:val="none"/>
              </w:rPr>
              <w:t>失信被执行人、重大税收违法失信主体</w:t>
            </w:r>
            <w:r>
              <w:rPr>
                <w:rFonts w:hint="eastAsia" w:ascii="宋体" w:hAnsi="宋体" w:eastAsia="宋体" w:cs="宋体"/>
                <w:kern w:val="0"/>
                <w:sz w:val="22"/>
                <w:szCs w:val="22"/>
                <w:highlight w:val="none"/>
              </w:rPr>
              <w:t>情况和中国政府采购网上的政府采购严重违法失信行为信息记录情况或其他信用信息记录；查询记录与其他评标资料一并保存。投标人存在失信记录的，其投标文件将作无效处理。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w:t>
            </w:r>
          </w:p>
        </w:tc>
        <w:tc>
          <w:tcPr>
            <w:tcW w:w="1727" w:type="dxa"/>
            <w:vAlign w:val="center"/>
          </w:tcPr>
          <w:p>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投标人应提交的商务、技术文件</w:t>
            </w:r>
          </w:p>
        </w:tc>
        <w:tc>
          <w:tcPr>
            <w:tcW w:w="6946" w:type="dxa"/>
            <w:vAlign w:val="center"/>
          </w:tcPr>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★1．法定代表人（负责人）身份证明书（见‘投标文件格式’）； </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★2．法定代表人（负责人）授权委托书（见‘投标文件格式’），若投标人代表为法定代表人的可不提供；</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★3．投标函（见‘投标文件格式’）；</w:t>
            </w:r>
          </w:p>
          <w:p>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4</w:t>
            </w:r>
            <w:r>
              <w:rPr>
                <w:rFonts w:hint="eastAsia" w:ascii="宋体" w:hAnsi="宋体" w:eastAsia="宋体" w:cs="宋体"/>
                <w:kern w:val="0"/>
                <w:sz w:val="22"/>
                <w:szCs w:val="22"/>
                <w:highlight w:val="none"/>
              </w:rPr>
              <w:t>．投标保证金缴纳凭证（复印件或影印件须加盖投标人公章）</w:t>
            </w:r>
            <w:r>
              <w:rPr>
                <w:rFonts w:hint="eastAsia" w:ascii="宋体" w:hAnsi="宋体" w:cs="宋体"/>
                <w:kern w:val="0"/>
                <w:sz w:val="22"/>
                <w:szCs w:val="22"/>
                <w:highlight w:val="none"/>
                <w:lang w:eastAsia="zh-CN"/>
              </w:rPr>
              <w:t>；</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5</w:t>
            </w:r>
            <w:r>
              <w:rPr>
                <w:rFonts w:hint="eastAsia" w:ascii="宋体" w:hAnsi="宋体" w:eastAsia="宋体" w:cs="宋体"/>
                <w:kern w:val="0"/>
                <w:sz w:val="22"/>
                <w:szCs w:val="22"/>
                <w:highlight w:val="none"/>
              </w:rPr>
              <w:t>．开标一览表 (见‘投标文件格式’)；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6</w:t>
            </w:r>
            <w:r>
              <w:rPr>
                <w:rFonts w:hint="eastAsia" w:ascii="宋体" w:hAnsi="宋体" w:eastAsia="宋体" w:cs="宋体"/>
                <w:kern w:val="0"/>
                <w:sz w:val="22"/>
                <w:szCs w:val="22"/>
                <w:highlight w:val="none"/>
              </w:rPr>
              <w:t>．商务条款响应表（见‘投标文件格式’）；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7</w:t>
            </w:r>
            <w:r>
              <w:rPr>
                <w:rFonts w:hint="eastAsia" w:ascii="宋体" w:hAnsi="宋体" w:eastAsia="宋体" w:cs="宋体"/>
                <w:kern w:val="0"/>
                <w:sz w:val="22"/>
                <w:szCs w:val="22"/>
                <w:highlight w:val="none"/>
              </w:rPr>
              <w:t>．投标货物技术</w:t>
            </w:r>
            <w:r>
              <w:rPr>
                <w:rFonts w:hint="eastAsia" w:ascii="宋体" w:hAnsi="宋体" w:cs="宋体"/>
                <w:kern w:val="0"/>
                <w:sz w:val="22"/>
                <w:szCs w:val="22"/>
                <w:highlight w:val="none"/>
                <w:lang w:val="en-US" w:eastAsia="zh-CN"/>
              </w:rPr>
              <w:t>服务</w:t>
            </w:r>
            <w:r>
              <w:rPr>
                <w:rFonts w:hint="eastAsia" w:ascii="宋体" w:hAnsi="宋体" w:eastAsia="宋体" w:cs="宋体"/>
                <w:kern w:val="0"/>
                <w:sz w:val="22"/>
                <w:szCs w:val="22"/>
                <w:highlight w:val="none"/>
              </w:rPr>
              <w:t>规范响应及偏离表(见‘投标文件格式’)；</w:t>
            </w:r>
          </w:p>
          <w:p>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8</w:t>
            </w:r>
            <w:r>
              <w:rPr>
                <w:rFonts w:hint="eastAsia" w:ascii="宋体" w:hAnsi="宋体" w:eastAsia="宋体" w:cs="宋体"/>
                <w:kern w:val="0"/>
                <w:sz w:val="22"/>
                <w:szCs w:val="22"/>
                <w:highlight w:val="none"/>
              </w:rPr>
              <w:t>．投标货物主要技术指标详细描述或同投标货物型号一致的产品彩页；</w:t>
            </w:r>
          </w:p>
          <w:p>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9</w:t>
            </w:r>
            <w:r>
              <w:rPr>
                <w:rFonts w:hint="eastAsia" w:ascii="宋体" w:hAnsi="宋体" w:eastAsia="宋体" w:cs="宋体"/>
                <w:kern w:val="0"/>
                <w:sz w:val="22"/>
                <w:szCs w:val="22"/>
                <w:highlight w:val="none"/>
              </w:rPr>
              <w:t>．投标文件递交截止日前三年内同类项目合同案例相关证明资料；</w:t>
            </w:r>
          </w:p>
          <w:p>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10</w:t>
            </w:r>
            <w:r>
              <w:rPr>
                <w:rFonts w:hint="eastAsia" w:ascii="宋体" w:hAnsi="宋体" w:eastAsia="宋体" w:cs="宋体"/>
                <w:kern w:val="0"/>
                <w:sz w:val="22"/>
                <w:szCs w:val="22"/>
                <w:highlight w:val="none"/>
              </w:rPr>
              <w:t>．服务方案及相关承诺；</w:t>
            </w:r>
          </w:p>
          <w:p>
            <w:pPr>
              <w:snapToGrid w:val="0"/>
              <w:spacing w:line="360" w:lineRule="auto"/>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val="en-US" w:eastAsia="zh-CN"/>
              </w:rPr>
              <w:t>11</w:t>
            </w:r>
            <w:r>
              <w:rPr>
                <w:rFonts w:hint="eastAsia" w:ascii="宋体" w:hAnsi="宋体" w:eastAsia="宋体" w:cs="宋体"/>
                <w:kern w:val="0"/>
                <w:sz w:val="22"/>
                <w:szCs w:val="22"/>
                <w:highlight w:val="none"/>
              </w:rPr>
              <w:t>．售后服务方案及相关承诺</w:t>
            </w:r>
            <w:r>
              <w:rPr>
                <w:rFonts w:hint="eastAsia" w:ascii="宋体" w:hAnsi="宋体" w:cs="宋体"/>
                <w:kern w:val="0"/>
                <w:sz w:val="22"/>
                <w:szCs w:val="22"/>
                <w:highlight w:val="none"/>
                <w:lang w:eastAsia="zh-CN"/>
              </w:rPr>
              <w:t>；</w:t>
            </w:r>
          </w:p>
          <w:p>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1</w:t>
            </w:r>
            <w:r>
              <w:rPr>
                <w:rFonts w:hint="eastAsia" w:ascii="宋体" w:hAnsi="宋体" w:cs="宋体"/>
                <w:kern w:val="0"/>
                <w:sz w:val="22"/>
                <w:szCs w:val="22"/>
                <w:highlight w:val="none"/>
                <w:lang w:val="en-US" w:eastAsia="zh-CN"/>
              </w:rPr>
              <w:t>2</w:t>
            </w:r>
            <w:r>
              <w:rPr>
                <w:rFonts w:hint="eastAsia" w:ascii="宋体" w:hAnsi="宋体" w:eastAsia="宋体" w:cs="宋体"/>
                <w:kern w:val="0"/>
                <w:sz w:val="22"/>
                <w:szCs w:val="22"/>
                <w:highlight w:val="none"/>
              </w:rPr>
              <w:t>．投标人认为需要提供的其他商务、技术材料。（包括采用综合评估法需要提交的其他商务、技术材料）</w:t>
            </w:r>
            <w:r>
              <w:rPr>
                <w:rFonts w:hint="eastAsia" w:ascii="宋体" w:hAnsi="宋体" w:cs="宋体"/>
                <w:kern w:val="0"/>
                <w:sz w:val="22"/>
                <w:szCs w:val="22"/>
                <w:highlight w:val="none"/>
                <w:lang w:eastAsia="zh-CN"/>
              </w:rPr>
              <w:t>；</w:t>
            </w:r>
          </w:p>
          <w:p>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13．政策性要求</w:t>
            </w:r>
            <w:r>
              <w:rPr>
                <w:rFonts w:hint="eastAsia" w:ascii="宋体" w:hAnsi="宋体" w:cs="宋体"/>
                <w:kern w:val="0"/>
                <w:sz w:val="22"/>
                <w:szCs w:val="22"/>
                <w:highlight w:val="none"/>
                <w:lang w:eastAsia="zh-CN"/>
              </w:rPr>
              <w:t>。</w:t>
            </w:r>
          </w:p>
          <w:p>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加★的商务、技术文件若有一项未提供或无效，将导致其不具备投标资格，且不允许在开标后补正。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p>
        </w:tc>
        <w:tc>
          <w:tcPr>
            <w:tcW w:w="1727" w:type="dxa"/>
            <w:vAlign w:val="center"/>
          </w:tcPr>
          <w:p>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政府采购相关政策要求</w:t>
            </w:r>
          </w:p>
        </w:tc>
        <w:tc>
          <w:tcPr>
            <w:tcW w:w="6946" w:type="dxa"/>
            <w:vAlign w:val="center"/>
          </w:tcPr>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1.本项目涉及进口产品的要求：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（1）本项目采购标的物未特别注明“进口产品”（通过中国海关报关验放进入中国境内且产自境外的产品）字样的，均必须采购国产产品。</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项目采购标的物特别注明“进口产品”字样的，如不能够满足采购需求的国产产品，优先采购向我国企业转让技术、与我国企业签订消化吸收再创新方案的投标人的进口产品。如果有能够满足采购需求的国产产品参与，应当按照公平竞争的原则进行评审。</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项目涉及“节能产品、环境标志产品品目清单”政府强制采购产品的要求：（1）本文件列出政府强制采购产品的，投标人必须投报“节能产品政府采购品目清单”“环境标志产品政府采购品目清单”范围内的（★项）产品，需将政府强制采购产品如实填写到《政府强制采购产品明细表》（格式见第六章），并提供处于有效期之内的节能产品认证证书扫描件。</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（2）本文件未列出政府强制采购产品的，投标人可投报“节能产品政府采购品目清单、环境标志产品政府采购品目清单”中非政府强制采购产品或其范围以外的产品。</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3.本项目涉及非政府强制采购产品的要求：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（1）投报产品有“节能产品政府采购品目清单、环境标志产品政府采购品目清单”中非政府强制采购产品的将给予适当加分。</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（2）投标人须如实填写《非政府强制采购产品明细表》（格式见第六章），并提供处于有效期之内的节能产品、环境标志产品认证证书扫描件。</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4.本项目涉及“节能产品、环境标志产品品目清单”政策优先采购产品的要求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（1）投标货物中有政府优先采购（非★项）产品的将给予适当加分。</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（2）投标人须如实填写《政府优先采购产品明细表》。并提供处于有效期之内的节能产品、环境标志产品认证证书扫描件。</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5.本项目涉及正版软件的要求：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本项目采购标的物涉及计算机产品或硬件产品内预装软件的，投标人需承诺投报的计算机产品预装正版操作系统，投报的硬件产品内的预装软件为正版软件。</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6.涉及网络安全产品的要求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报价产品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（3）具备资格的机构是指列入最新一批《承担网络关键设备和网络安全专用产品安全认证和安全检测任务机构名录》的机构。</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（4）所投报的网络安全产品如涉及《网络关键设备和网络安全专用产品目录》中列入的38类产品，应如实填写《网络安全专用产品表》（格式见第六章）。</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7.中小企业参加本项目投标要求：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六章）。</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（2）中小企业只有提供本企业制造的货物，或者提供其他中小企业制造的货物，享受投标货物的价格折扣。若有的话，如实填写《中小企业声明函》（格式见第六章）。</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（3）中小企业提供的货物有中小企业制造货物，或有大型企业制造货物的，不享受价格折扣。</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（5）大中型企业向中小企业分包的价格折扣：大中型企业向一家或者多家中小企业分包的，分包意向协议约定中小企业的合同份额占到合同总金额30%以上的，对大中型企业的报价给予一定的折扣扣除。</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（6）通过享受扶持政策、价格折扣并获得政府采购合同的：中小企业不得将合同分包给大中型企业；中型企业不得将合同分包给大型企业。</w:t>
            </w:r>
          </w:p>
          <w:p>
            <w:pPr>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本次采购标的对应的中小企业划型标准所属行业：工业</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8.残疾人福利性单位参加本项目投标的要求：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（1）须根据《关于促进残疾人就业政府采购政策的通知》（财库〔2017〕141号）的要求，如实填写《残疾人福利性单位声明函》（格式见第六章）。</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（2）投标人提供的《残疾人福利性单位声明函》与事实不符的，依照《政府采购法》第七十七条第一款的规定追究法律责任。</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（3）残疾人福利性单位提供本企业制造的货物或者服务，或者提供其他残疾人福利性单位制造的货物，享受投标货物的价格折扣。若有的话，如实填写《残疾人福利性单位声明函》（格式见第六章）；</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9.本项目</w:t>
            </w:r>
            <w:r>
              <w:rPr>
                <w:rFonts w:hint="eastAsia" w:ascii="宋体" w:hAnsi="宋体" w:cs="宋体"/>
                <w:bCs/>
                <w:sz w:val="22"/>
                <w:szCs w:val="22"/>
                <w:highlight w:val="none"/>
                <w:lang w:val="en-US" w:eastAsia="zh-CN"/>
              </w:rPr>
              <w:t>如</w:t>
            </w:r>
            <w:r>
              <w:rPr>
                <w:rFonts w:hint="eastAsia" w:ascii="宋体" w:hAnsi="宋体" w:eastAsia="宋体" w:cs="宋体"/>
                <w:bCs/>
                <w:sz w:val="22"/>
                <w:szCs w:val="22"/>
                <w:highlight w:val="none"/>
              </w:rPr>
              <w:t>涉及创新产品、创新服务的要求：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（1）投标人投标产品或服务属于《山西省创新产品和服务推荐清单》中创新产品或创新服务的，在评审时，享受投标产品价格折扣。</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（2）投标人投标创新产品或创新服务的，应在投标文件中提供《山西省创新产品和服务推荐清单》，并填写《创新产品或创新服务明细表》（格式见第六章）</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（3）创新产品或创新服务的价格折扣政策可与其他政府采购政策叠加。</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10.监狱企业参加本项目投标的要求：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依据《财政部司法部关于政府采购支持监狱企业发展有关问题的通知》（财库〔2014〕68号）规定，监狱企业参加投标视同小微企业，需提供由省级以上监狱管理局或戒毒管理局出具的属于监狱企业的证明文件。</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监狱企业只有提供本企业制造的货物或服务，或者提供其他中小企业制造的货物，享受预留份额、评审中价格扣除等政府采购促进中小企业发展的政府采购政策，享受投标货物的价格折扣。若有的话，如实填写《监狱企业声明函》（格式见第六章）；</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（3）监狱企业与中型企业组成联合体参加投标的，或者向监狱企业分包，且联合体协议或分包意向协议约定监狱企业的协议金额占到合同金额30%以上的，享受投标标的价格折扣。</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11.本项目涉及商品包装和快递包装的要求：</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（1）本文件列出商品包装和快递包装要求的，投标人需</w:t>
            </w:r>
            <w:r>
              <w:rPr>
                <w:rFonts w:hint="eastAsia" w:ascii="宋体" w:hAnsi="宋体" w:cs="宋体"/>
                <w:bCs/>
                <w:sz w:val="22"/>
                <w:szCs w:val="22"/>
                <w:highlight w:val="none"/>
                <w:lang w:val="en-US" w:eastAsia="zh-CN"/>
              </w:rPr>
              <w:t>提供</w:t>
            </w:r>
            <w:r>
              <w:rPr>
                <w:rFonts w:hint="eastAsia" w:ascii="宋体" w:hAnsi="宋体" w:eastAsia="宋体" w:cs="宋体"/>
                <w:bCs/>
                <w:sz w:val="22"/>
                <w:szCs w:val="22"/>
                <w:highlight w:val="none"/>
              </w:rPr>
              <w:t>《商品包装和快递包装承诺》，承诺商品包装符合《商品包装政府采购需求标准（试行）》，快递包装符合《快递包装政府采购需求标准（试行）》。</w:t>
            </w:r>
          </w:p>
          <w:p>
            <w:pPr>
              <w:spacing w:line="360" w:lineRule="auto"/>
              <w:rPr>
                <w:rFonts w:hint="eastAsia" w:ascii="宋体" w:hAnsi="宋体" w:eastAsia="宋体" w:cs="宋体"/>
                <w:bCs/>
                <w:sz w:val="22"/>
                <w:szCs w:val="22"/>
                <w:highlight w:val="none"/>
              </w:rPr>
            </w:pP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12.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rPr>
                <w:rFonts w:hint="eastAsia" w:ascii="宋体" w:hAnsi="宋体" w:eastAsia="宋体" w:cs="宋体"/>
                <w:b/>
                <w:bCs/>
                <w:color w:val="000000"/>
                <w:sz w:val="22"/>
                <w:szCs w:val="22"/>
                <w:highlight w:val="none"/>
              </w:rPr>
            </w:pPr>
            <w:r>
              <w:rPr>
                <w:rFonts w:hint="eastAsia" w:ascii="宋体" w:hAnsi="宋体" w:cs="宋体"/>
                <w:b/>
                <w:bCs/>
                <w:color w:val="000000"/>
                <w:sz w:val="22"/>
                <w:szCs w:val="22"/>
                <w:highlight w:val="none"/>
                <w:lang w:val="en-US" w:eastAsia="zh-CN"/>
              </w:rPr>
              <w:t>备</w:t>
            </w:r>
            <w:r>
              <w:rPr>
                <w:rFonts w:hint="eastAsia" w:ascii="宋体" w:hAnsi="宋体" w:eastAsia="宋体" w:cs="宋体"/>
                <w:b/>
                <w:bCs/>
                <w:color w:val="000000"/>
                <w:sz w:val="22"/>
                <w:szCs w:val="22"/>
                <w:highlight w:val="none"/>
              </w:rPr>
              <w:t>注：</w:t>
            </w:r>
          </w:p>
          <w:p>
            <w:pPr>
              <w:spacing w:line="360" w:lineRule="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1.如本项目属于专门面向中小企业采购项目，不再执行价格评审优惠的扶持政策。</w:t>
            </w:r>
          </w:p>
          <w:p>
            <w:pPr>
              <w:spacing w:line="360" w:lineRule="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项目或者采购包中采购内容为单一产品的，既有本国产品又有非本国产品参与竞争的，对本国产品给予价格扣除20%。项目或者采购包中含有多种产品的，符合本国产品标准的产品成本之和占该投标人提供的全部产品成本之和的比例≥80%，所有产品价格扣除20%。（适用于既有本国产品又有非本国产品参与竞争的货物项目）</w:t>
            </w:r>
          </w:p>
          <w:p>
            <w:pPr>
              <w:spacing w:line="360" w:lineRule="auto"/>
              <w:rPr>
                <w:rFonts w:hint="default" w:ascii="宋体" w:hAnsi="宋体" w:eastAsia="宋体" w:cs="宋体"/>
                <w:b/>
                <w:kern w:val="0"/>
                <w:sz w:val="22"/>
                <w:szCs w:val="22"/>
                <w:highlight w:val="none"/>
                <w:lang w:val="en-US" w:eastAsia="zh-CN"/>
              </w:rPr>
            </w:pPr>
            <w:r>
              <w:rPr>
                <w:rFonts w:hint="eastAsia" w:ascii="宋体" w:hAnsi="宋体" w:eastAsia="宋体" w:cs="宋体"/>
                <w:b/>
                <w:bCs/>
                <w:color w:val="000000"/>
                <w:sz w:val="22"/>
                <w:szCs w:val="22"/>
                <w:highlight w:val="none"/>
              </w:rPr>
              <w:t>3.格式见第七部分</w:t>
            </w:r>
            <w:r>
              <w:rPr>
                <w:rFonts w:hint="eastAsia" w:ascii="宋体" w:hAnsi="宋体" w:cs="宋体"/>
                <w:b/>
                <w:bCs/>
                <w:color w:val="000000"/>
                <w:sz w:val="22"/>
                <w:szCs w:val="22"/>
                <w:highlight w:val="none"/>
                <w:lang w:eastAsia="zh-CN"/>
              </w:rPr>
              <w:t>，</w:t>
            </w:r>
            <w:r>
              <w:rPr>
                <w:rFonts w:hint="eastAsia" w:ascii="宋体" w:hAnsi="宋体" w:cs="宋体"/>
                <w:b/>
                <w:bCs/>
                <w:color w:val="000000"/>
                <w:sz w:val="22"/>
                <w:szCs w:val="22"/>
                <w:highlight w:val="none"/>
                <w:lang w:val="en-US" w:eastAsia="zh-CN"/>
              </w:rPr>
              <w:t>招标文件未给出固定格式的需投标人自行拟定。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7" w:hRule="atLeast"/>
          <w:jc w:val="center"/>
        </w:trPr>
        <w:tc>
          <w:tcPr>
            <w:tcW w:w="683" w:type="dxa"/>
            <w:vAlign w:val="center"/>
          </w:tcPr>
          <w:p>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w:t>
            </w:r>
          </w:p>
        </w:tc>
        <w:tc>
          <w:tcPr>
            <w:tcW w:w="1727"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投标保证金金额及交纳要求</w:t>
            </w:r>
          </w:p>
        </w:tc>
        <w:tc>
          <w:tcPr>
            <w:tcW w:w="6946" w:type="dxa"/>
            <w:vAlign w:val="center"/>
          </w:tcPr>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投标保证金的形式：保证金须从本单位银行基本帐户以电汇、支票、汇票、本票等非现金形式提交，或提交银行保函、或担保机构出具的保函。</w:t>
            </w:r>
          </w:p>
          <w:p>
            <w:pPr>
              <w:snapToGrid w:val="0"/>
              <w:spacing w:line="360" w:lineRule="auto"/>
              <w:rPr>
                <w:rFonts w:hint="eastAsia" w:ascii="宋体" w:hAnsi="宋体" w:eastAsia="宋体" w:cs="宋体"/>
                <w:b/>
                <w:sz w:val="22"/>
                <w:szCs w:val="22"/>
                <w:highlight w:val="none"/>
              </w:rPr>
            </w:pPr>
            <w:r>
              <w:rPr>
                <w:rFonts w:hint="eastAsia" w:ascii="宋体" w:hAnsi="宋体" w:eastAsia="宋体" w:cs="宋体"/>
                <w:sz w:val="22"/>
                <w:szCs w:val="22"/>
                <w:highlight w:val="none"/>
              </w:rPr>
              <w:t>投标保证金的金额：</w:t>
            </w:r>
            <w:r>
              <w:rPr>
                <w:rFonts w:hint="eastAsia" w:ascii="宋体" w:hAnsi="宋体" w:eastAsia="宋体" w:cs="宋体"/>
                <w:b/>
                <w:sz w:val="22"/>
                <w:szCs w:val="22"/>
                <w:highlight w:val="none"/>
              </w:rPr>
              <w:t>一包：</w:t>
            </w:r>
            <w:r>
              <w:rPr>
                <w:rFonts w:hint="eastAsia" w:ascii="宋体" w:hAnsi="宋体" w:cs="宋体"/>
                <w:b/>
                <w:sz w:val="22"/>
                <w:szCs w:val="22"/>
                <w:highlight w:val="none"/>
                <w:lang w:val="en-US" w:eastAsia="zh-CN"/>
              </w:rPr>
              <w:t>4500</w:t>
            </w:r>
            <w:r>
              <w:rPr>
                <w:rFonts w:hint="eastAsia" w:ascii="宋体" w:hAnsi="宋体" w:eastAsia="宋体" w:cs="宋体"/>
                <w:b/>
                <w:sz w:val="22"/>
                <w:szCs w:val="22"/>
                <w:highlight w:val="none"/>
              </w:rPr>
              <w:t>.00元</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b/>
                <w:sz w:val="22"/>
                <w:szCs w:val="22"/>
                <w:highlight w:val="none"/>
              </w:rPr>
              <w:t xml:space="preserve">                  二包：</w:t>
            </w:r>
            <w:r>
              <w:rPr>
                <w:rFonts w:hint="eastAsia" w:ascii="宋体" w:hAnsi="宋体" w:cs="宋体"/>
                <w:b/>
                <w:sz w:val="22"/>
                <w:szCs w:val="22"/>
                <w:highlight w:val="none"/>
                <w:lang w:val="en-US" w:eastAsia="zh-CN"/>
              </w:rPr>
              <w:t>10000</w:t>
            </w:r>
            <w:r>
              <w:rPr>
                <w:rFonts w:hint="eastAsia" w:ascii="宋体" w:hAnsi="宋体" w:eastAsia="宋体" w:cs="宋体"/>
                <w:b/>
                <w:sz w:val="22"/>
                <w:szCs w:val="22"/>
                <w:highlight w:val="none"/>
              </w:rPr>
              <w:t>.00元</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交纳方式：通过本单位银行基本账户交纳；</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退还方式：通过本单位银行基本账户退还；</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采购代理机构接收投标保证金账户：</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未按要求交纳的视为未提交，投标文件将被拒绝接收。</w:t>
            </w:r>
          </w:p>
          <w:p>
            <w:pPr>
              <w:spacing w:line="360" w:lineRule="auto"/>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rPr>
              <w:t>开 户 名 称 ：</w:t>
            </w:r>
            <w:r>
              <w:rPr>
                <w:rFonts w:hint="eastAsia" w:ascii="宋体" w:hAnsi="宋体" w:cs="宋体"/>
                <w:b/>
                <w:bCs/>
                <w:sz w:val="22"/>
                <w:szCs w:val="22"/>
                <w:highlight w:val="none"/>
                <w:lang w:eastAsia="zh-CN"/>
              </w:rPr>
              <w:t>山西君铎工程咨询有限公司</w:t>
            </w:r>
          </w:p>
          <w:p>
            <w:pPr>
              <w:spacing w:line="360" w:lineRule="auto"/>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rPr>
              <w:t>开   户   行：</w:t>
            </w:r>
            <w:r>
              <w:rPr>
                <w:rFonts w:hint="eastAsia" w:ascii="宋体" w:hAnsi="宋体" w:eastAsia="宋体" w:cs="宋体"/>
                <w:b/>
                <w:bCs/>
                <w:sz w:val="22"/>
                <w:szCs w:val="22"/>
                <w:highlight w:val="none"/>
                <w:lang w:eastAsia="zh-CN"/>
              </w:rPr>
              <w:t>太原农村商业银行股份有限公司</w:t>
            </w:r>
            <w:r>
              <w:rPr>
                <w:rFonts w:hint="eastAsia" w:ascii="宋体" w:hAnsi="宋体" w:eastAsia="宋体" w:cs="宋体"/>
                <w:b/>
                <w:bCs/>
                <w:sz w:val="22"/>
                <w:szCs w:val="22"/>
                <w:highlight w:val="none"/>
                <w:lang w:val="en-US" w:eastAsia="zh-CN"/>
              </w:rPr>
              <w:t>西铭支行</w:t>
            </w:r>
          </w:p>
          <w:p>
            <w:pPr>
              <w:spacing w:line="360" w:lineRule="auto"/>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rPr>
              <w:t>帐        号：</w:t>
            </w:r>
            <w:r>
              <w:rPr>
                <w:rFonts w:hint="eastAsia" w:ascii="宋体" w:hAnsi="宋体" w:eastAsia="宋体" w:cs="宋体"/>
                <w:b/>
                <w:bCs/>
                <w:sz w:val="22"/>
                <w:szCs w:val="22"/>
                <w:highlight w:val="none"/>
                <w:lang w:val="en-US" w:eastAsia="zh-CN"/>
              </w:rPr>
              <w:t>101221250007567142</w:t>
            </w:r>
          </w:p>
          <w:p>
            <w:pPr>
              <w:snapToGrid w:val="0"/>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行        号：402161002221</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注：1、投标人的保证金交纳后，须在汇款/转账凭单用途栏中写明“项目名称、编号、包号”（可简写）。</w:t>
            </w:r>
          </w:p>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2、未按前述各款要求提交保证金，或所提交保证金不完全符合各项要求，将被视为无效报价。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p>
        </w:tc>
        <w:tc>
          <w:tcPr>
            <w:tcW w:w="1727" w:type="dxa"/>
            <w:vAlign w:val="center"/>
          </w:tcPr>
          <w:p>
            <w:pPr>
              <w:spacing w:line="42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946" w:type="dxa"/>
            <w:vAlign w:val="center"/>
          </w:tcPr>
          <w:p>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90日历天（从提交投标文件截止之日起计算）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w:t>
            </w:r>
          </w:p>
        </w:tc>
        <w:tc>
          <w:tcPr>
            <w:tcW w:w="1727" w:type="dxa"/>
            <w:vAlign w:val="center"/>
          </w:tcPr>
          <w:p>
            <w:pPr>
              <w:spacing w:line="420" w:lineRule="exact"/>
              <w:ind w:left="-105" w:leftChars="-50" w:right="-105" w:right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评标委员会构成</w:t>
            </w:r>
          </w:p>
        </w:tc>
        <w:tc>
          <w:tcPr>
            <w:tcW w:w="6946" w:type="dxa"/>
            <w:vAlign w:val="center"/>
          </w:tcPr>
          <w:p>
            <w:pPr>
              <w:pStyle w:val="119"/>
              <w:keepNext w:val="0"/>
              <w:keepLines w:val="0"/>
              <w:snapToGrid w:val="0"/>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本采购项目的评标委员会成员由</w:t>
            </w:r>
            <w:r>
              <w:rPr>
                <w:rFonts w:hint="eastAsia" w:ascii="宋体" w:hAnsi="宋体" w:eastAsia="宋体" w:cs="宋体"/>
                <w:bCs/>
                <w:color w:val="auto"/>
                <w:sz w:val="22"/>
                <w:szCs w:val="22"/>
                <w:highlight w:val="none"/>
                <w:u w:val="single"/>
              </w:rPr>
              <w:t xml:space="preserve"> 5 </w:t>
            </w:r>
            <w:r>
              <w:rPr>
                <w:rFonts w:hint="eastAsia" w:ascii="宋体" w:hAnsi="宋体" w:eastAsia="宋体" w:cs="宋体"/>
                <w:bCs/>
                <w:color w:val="auto"/>
                <w:sz w:val="22"/>
                <w:szCs w:val="22"/>
                <w:highlight w:val="none"/>
              </w:rPr>
              <w:t>人组成，其中评审专家</w:t>
            </w:r>
            <w:r>
              <w:rPr>
                <w:rFonts w:hint="eastAsia" w:ascii="宋体" w:hAnsi="宋体" w:eastAsia="宋体" w:cs="宋体"/>
                <w:bCs/>
                <w:color w:val="auto"/>
                <w:sz w:val="22"/>
                <w:szCs w:val="22"/>
                <w:highlight w:val="none"/>
                <w:u w:val="single"/>
              </w:rPr>
              <w:t xml:space="preserve"> 4 </w:t>
            </w:r>
            <w:r>
              <w:rPr>
                <w:rFonts w:hint="eastAsia" w:ascii="宋体" w:hAnsi="宋体" w:eastAsia="宋体" w:cs="宋体"/>
                <w:bCs/>
                <w:color w:val="auto"/>
                <w:sz w:val="22"/>
                <w:szCs w:val="22"/>
                <w:highlight w:val="none"/>
              </w:rPr>
              <w:t>人，采购人代表</w:t>
            </w:r>
            <w:r>
              <w:rPr>
                <w:rFonts w:hint="eastAsia" w:ascii="宋体" w:hAnsi="宋体" w:eastAsia="宋体" w:cs="宋体"/>
                <w:bCs/>
                <w:color w:val="auto"/>
                <w:sz w:val="22"/>
                <w:szCs w:val="22"/>
                <w:highlight w:val="none"/>
                <w:u w:val="single"/>
              </w:rPr>
              <w:t xml:space="preserve"> 1 </w:t>
            </w:r>
            <w:r>
              <w:rPr>
                <w:rFonts w:hint="eastAsia" w:ascii="宋体" w:hAnsi="宋体" w:eastAsia="宋体" w:cs="宋体"/>
                <w:bCs/>
                <w:color w:val="auto"/>
                <w:sz w:val="22"/>
                <w:szCs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w:t>
            </w:r>
          </w:p>
        </w:tc>
        <w:tc>
          <w:tcPr>
            <w:tcW w:w="1727" w:type="dxa"/>
            <w:vAlign w:val="center"/>
          </w:tcPr>
          <w:p>
            <w:pPr>
              <w:pStyle w:val="119"/>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现场勘查</w:t>
            </w:r>
          </w:p>
        </w:tc>
        <w:tc>
          <w:tcPr>
            <w:tcW w:w="6946" w:type="dxa"/>
            <w:vAlign w:val="center"/>
          </w:tcPr>
          <w:p>
            <w:pPr>
              <w:pStyle w:val="119"/>
              <w:keepNext w:val="0"/>
              <w:keepLines w:val="0"/>
              <w:snapToGrid w:val="0"/>
              <w:spacing w:before="0" w:after="0" w:line="360" w:lineRule="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8"/>
                <w:highlight w:val="none"/>
              </w:rPr>
              <w:t>招标文件提供期限截止后，如需要，将在政采云系统中上传通知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w:t>
            </w:r>
          </w:p>
        </w:tc>
        <w:tc>
          <w:tcPr>
            <w:tcW w:w="1727" w:type="dxa"/>
            <w:vAlign w:val="center"/>
          </w:tcPr>
          <w:p>
            <w:pPr>
              <w:pStyle w:val="119"/>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标前答疑</w:t>
            </w:r>
          </w:p>
        </w:tc>
        <w:tc>
          <w:tcPr>
            <w:tcW w:w="6946" w:type="dxa"/>
            <w:vAlign w:val="center"/>
          </w:tcPr>
          <w:p>
            <w:pPr>
              <w:pStyle w:val="119"/>
              <w:keepNext w:val="0"/>
              <w:keepLines w:val="0"/>
              <w:snapToGrid w:val="0"/>
              <w:spacing w:before="0" w:after="0" w:line="360" w:lineRule="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8"/>
                <w:highlight w:val="none"/>
              </w:rPr>
              <w:t>招标文件提供期限截止后，如需要，将在政采云系统中上传通知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13</w:t>
            </w:r>
          </w:p>
        </w:tc>
        <w:tc>
          <w:tcPr>
            <w:tcW w:w="1727" w:type="dxa"/>
            <w:vAlign w:val="center"/>
          </w:tcPr>
          <w:p>
            <w:pPr>
              <w:pStyle w:val="119"/>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招标文件</w:t>
            </w:r>
          </w:p>
          <w:p>
            <w:pPr>
              <w:pStyle w:val="119"/>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发出的方式</w:t>
            </w:r>
          </w:p>
        </w:tc>
        <w:tc>
          <w:tcPr>
            <w:tcW w:w="6946" w:type="dxa"/>
            <w:vAlign w:val="center"/>
          </w:tcPr>
          <w:p>
            <w:pPr>
              <w:pStyle w:val="124"/>
              <w:widowControl/>
              <w:wordWrap w:val="0"/>
              <w:snapToGrid w:val="0"/>
              <w:spacing w:before="0" w:after="0"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招标文件在山西政府采购平台（https://login.sxzfcg.zcygov.cn/user-login/#/login）发布，投标人应及时获取。因投标人自身原因未及时获取招标文件导致的任何后果，由投标人自行承担。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14</w:t>
            </w:r>
          </w:p>
        </w:tc>
        <w:tc>
          <w:tcPr>
            <w:tcW w:w="1727" w:type="dxa"/>
            <w:vAlign w:val="center"/>
          </w:tcPr>
          <w:p>
            <w:pPr>
              <w:widowControl/>
              <w:spacing w:line="400" w:lineRule="atLeast"/>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递交投标文件的时间和地点</w:t>
            </w:r>
          </w:p>
        </w:tc>
        <w:tc>
          <w:tcPr>
            <w:tcW w:w="6946" w:type="dxa"/>
            <w:vAlign w:val="center"/>
          </w:tcPr>
          <w:p>
            <w:pPr>
              <w:widowControl/>
              <w:spacing w:line="360" w:lineRule="auto"/>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投标人应在投标截止时间 2026年0</w:t>
            </w:r>
            <w:r>
              <w:rPr>
                <w:rFonts w:hint="eastAsia" w:ascii="宋体" w:hAnsi="宋体" w:cs="宋体"/>
                <w:b/>
                <w:bCs/>
                <w:kern w:val="0"/>
                <w:sz w:val="22"/>
                <w:szCs w:val="22"/>
                <w:highlight w:val="none"/>
                <w:lang w:val="en-US" w:eastAsia="zh-CN"/>
              </w:rPr>
              <w:t>5</w:t>
            </w:r>
            <w:r>
              <w:rPr>
                <w:rFonts w:hint="eastAsia" w:ascii="宋体" w:hAnsi="宋体" w:eastAsia="宋体" w:cs="宋体"/>
                <w:b/>
                <w:bCs/>
                <w:kern w:val="0"/>
                <w:sz w:val="22"/>
                <w:szCs w:val="22"/>
                <w:highlight w:val="none"/>
              </w:rPr>
              <w:t>月</w:t>
            </w:r>
            <w:r>
              <w:rPr>
                <w:rFonts w:hint="eastAsia" w:ascii="宋体" w:hAnsi="宋体" w:cs="宋体"/>
                <w:b/>
                <w:bCs/>
                <w:kern w:val="0"/>
                <w:sz w:val="22"/>
                <w:szCs w:val="22"/>
                <w:highlight w:val="none"/>
                <w:lang w:val="en-US" w:eastAsia="zh-CN"/>
              </w:rPr>
              <w:t>2</w:t>
            </w:r>
            <w:r>
              <w:rPr>
                <w:rFonts w:hint="eastAsia" w:ascii="宋体" w:hAnsi="宋体" w:eastAsia="宋体" w:cs="宋体"/>
                <w:b/>
                <w:bCs/>
                <w:kern w:val="0"/>
                <w:sz w:val="22"/>
                <w:szCs w:val="22"/>
                <w:highlight w:val="none"/>
              </w:rPr>
              <w:t>0日14时</w:t>
            </w:r>
            <w:r>
              <w:rPr>
                <w:rFonts w:hint="eastAsia" w:ascii="宋体" w:hAnsi="宋体" w:cs="宋体"/>
                <w:b/>
                <w:bCs/>
                <w:kern w:val="0"/>
                <w:sz w:val="22"/>
                <w:szCs w:val="22"/>
                <w:highlight w:val="none"/>
                <w:lang w:val="en-US" w:eastAsia="zh-CN"/>
              </w:rPr>
              <w:t>0</w:t>
            </w:r>
            <w:r>
              <w:rPr>
                <w:rFonts w:hint="eastAsia" w:ascii="宋体" w:hAnsi="宋体" w:eastAsia="宋体" w:cs="宋体"/>
                <w:b/>
                <w:bCs/>
                <w:kern w:val="0"/>
                <w:sz w:val="22"/>
                <w:szCs w:val="22"/>
                <w:highlight w:val="none"/>
              </w:rPr>
              <w:t>0分 00 秒前通过山西政府采购平台完成递交（上传）。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16</w:t>
            </w:r>
          </w:p>
        </w:tc>
        <w:tc>
          <w:tcPr>
            <w:tcW w:w="1727" w:type="dxa"/>
            <w:vAlign w:val="center"/>
          </w:tcPr>
          <w:p>
            <w:pPr>
              <w:widowControl/>
              <w:spacing w:line="400" w:lineRule="atLeast"/>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开标时间和地点</w:t>
            </w:r>
          </w:p>
        </w:tc>
        <w:tc>
          <w:tcPr>
            <w:tcW w:w="6946" w:type="dxa"/>
            <w:vAlign w:val="center"/>
          </w:tcPr>
          <w:p>
            <w:pPr>
              <w:widowControl/>
              <w:spacing w:line="360" w:lineRule="auto"/>
              <w:jc w:val="left"/>
              <w:rPr>
                <w:rFonts w:hint="eastAsia" w:ascii="宋体" w:hAnsi="宋体" w:eastAsia="宋体" w:cs="宋体"/>
                <w:b/>
                <w:bCs/>
                <w:kern w:val="0"/>
                <w:sz w:val="22"/>
                <w:szCs w:val="22"/>
                <w:highlight w:val="none"/>
              </w:rPr>
            </w:pPr>
            <w:r>
              <w:rPr>
                <w:rFonts w:hint="eastAsia" w:ascii="宋体" w:hAnsi="宋体" w:eastAsia="宋体" w:cs="宋体"/>
                <w:b/>
                <w:kern w:val="0"/>
                <w:sz w:val="22"/>
                <w:szCs w:val="22"/>
                <w:highlight w:val="none"/>
              </w:rPr>
              <w:t>开</w:t>
            </w:r>
            <w:r>
              <w:rPr>
                <w:rFonts w:hint="eastAsia" w:ascii="宋体" w:hAnsi="宋体" w:eastAsia="宋体" w:cs="宋体"/>
                <w:b/>
                <w:bCs/>
                <w:kern w:val="0"/>
                <w:sz w:val="22"/>
                <w:szCs w:val="22"/>
                <w:highlight w:val="none"/>
              </w:rPr>
              <w:t>标时间： 2026年0</w:t>
            </w:r>
            <w:r>
              <w:rPr>
                <w:rFonts w:hint="eastAsia" w:ascii="宋体" w:hAnsi="宋体" w:cs="宋体"/>
                <w:b/>
                <w:bCs/>
                <w:kern w:val="0"/>
                <w:sz w:val="22"/>
                <w:szCs w:val="22"/>
                <w:highlight w:val="none"/>
                <w:lang w:val="en-US" w:eastAsia="zh-CN"/>
              </w:rPr>
              <w:t>5</w:t>
            </w:r>
            <w:r>
              <w:rPr>
                <w:rFonts w:hint="eastAsia" w:ascii="宋体" w:hAnsi="宋体" w:eastAsia="宋体" w:cs="宋体"/>
                <w:b/>
                <w:bCs/>
                <w:kern w:val="0"/>
                <w:sz w:val="22"/>
                <w:szCs w:val="22"/>
                <w:highlight w:val="none"/>
              </w:rPr>
              <w:t>月</w:t>
            </w:r>
            <w:r>
              <w:rPr>
                <w:rFonts w:hint="eastAsia" w:ascii="宋体" w:hAnsi="宋体" w:cs="宋体"/>
                <w:b/>
                <w:bCs/>
                <w:kern w:val="0"/>
                <w:sz w:val="22"/>
                <w:szCs w:val="22"/>
                <w:highlight w:val="none"/>
                <w:lang w:val="en-US" w:eastAsia="zh-CN"/>
              </w:rPr>
              <w:t>2</w:t>
            </w:r>
            <w:r>
              <w:rPr>
                <w:rFonts w:hint="eastAsia" w:ascii="宋体" w:hAnsi="宋体" w:eastAsia="宋体" w:cs="宋体"/>
                <w:b/>
                <w:bCs/>
                <w:kern w:val="0"/>
                <w:sz w:val="22"/>
                <w:szCs w:val="22"/>
                <w:highlight w:val="none"/>
              </w:rPr>
              <w:t>0日14时</w:t>
            </w:r>
            <w:r>
              <w:rPr>
                <w:rFonts w:hint="eastAsia" w:ascii="宋体" w:hAnsi="宋体" w:cs="宋体"/>
                <w:b/>
                <w:bCs/>
                <w:kern w:val="0"/>
                <w:sz w:val="22"/>
                <w:szCs w:val="22"/>
                <w:highlight w:val="none"/>
                <w:lang w:val="en-US" w:eastAsia="zh-CN"/>
              </w:rPr>
              <w:t>0</w:t>
            </w:r>
            <w:r>
              <w:rPr>
                <w:rFonts w:hint="eastAsia" w:ascii="宋体" w:hAnsi="宋体" w:eastAsia="宋体" w:cs="宋体"/>
                <w:b/>
                <w:bCs/>
                <w:kern w:val="0"/>
                <w:sz w:val="22"/>
                <w:szCs w:val="22"/>
                <w:highlight w:val="none"/>
              </w:rPr>
              <w:t>0分 00 秒；</w:t>
            </w:r>
          </w:p>
          <w:p>
            <w:pPr>
              <w:widowControl/>
              <w:spacing w:line="360" w:lineRule="auto"/>
              <w:jc w:val="left"/>
              <w:rPr>
                <w:rFonts w:hint="eastAsia" w:ascii="宋体" w:hAnsi="宋体" w:eastAsia="宋体" w:cs="宋体"/>
                <w:kern w:val="0"/>
                <w:sz w:val="22"/>
                <w:szCs w:val="22"/>
                <w:highlight w:val="none"/>
              </w:rPr>
            </w:pPr>
            <w:r>
              <w:rPr>
                <w:rFonts w:hint="eastAsia" w:ascii="宋体" w:hAnsi="宋体" w:eastAsia="宋体" w:cs="宋体"/>
                <w:b/>
                <w:bCs/>
                <w:kern w:val="0"/>
                <w:sz w:val="22"/>
                <w:szCs w:val="22"/>
                <w:highlight w:val="none"/>
              </w:rPr>
              <w:t>开标地点：山西政府采购平台在线公开开标，投标人应在线参加开标（无需到现场）。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Style w:val="141"/>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17</w:t>
            </w:r>
          </w:p>
        </w:tc>
        <w:tc>
          <w:tcPr>
            <w:tcW w:w="1727" w:type="dxa"/>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中标人的纸质版投标文件</w:t>
            </w:r>
          </w:p>
        </w:tc>
        <w:tc>
          <w:tcPr>
            <w:tcW w:w="6946" w:type="dxa"/>
            <w:vAlign w:val="center"/>
          </w:tcPr>
          <w:p>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中标人应在收到中标通知书后3个工作日内向招标人提供加盖有单位公章的投标文件纸质版</w:t>
            </w:r>
            <w:r>
              <w:rPr>
                <w:rFonts w:hint="eastAsia" w:ascii="宋体" w:hAnsi="宋体" w:cs="宋体"/>
                <w:sz w:val="22"/>
                <w:szCs w:val="22"/>
                <w:highlight w:val="none"/>
                <w:u w:val="single"/>
                <w:lang w:val="en-US" w:eastAsia="zh-CN"/>
              </w:rPr>
              <w:t>2</w:t>
            </w:r>
            <w:r>
              <w:rPr>
                <w:rFonts w:hint="eastAsia" w:ascii="宋体" w:hAnsi="宋体" w:eastAsia="宋体" w:cs="宋体"/>
                <w:sz w:val="22"/>
                <w:szCs w:val="22"/>
                <w:highlight w:val="none"/>
              </w:rPr>
              <w:t>份，当纸质版</w:t>
            </w:r>
            <w:r>
              <w:rPr>
                <w:rFonts w:hint="eastAsia" w:ascii="宋体" w:hAnsi="宋体" w:cs="宋体"/>
                <w:sz w:val="22"/>
                <w:szCs w:val="22"/>
                <w:highlight w:val="none"/>
                <w:lang w:val="en-US" w:eastAsia="zh-CN"/>
              </w:rPr>
              <w:t>文件应当以电子平台直接导出。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Style w:val="141"/>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18</w:t>
            </w:r>
          </w:p>
        </w:tc>
        <w:tc>
          <w:tcPr>
            <w:tcW w:w="1727" w:type="dxa"/>
            <w:vAlign w:val="center"/>
          </w:tcPr>
          <w:p>
            <w:pPr>
              <w:spacing w:line="42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开标程序</w:t>
            </w:r>
          </w:p>
        </w:tc>
        <w:tc>
          <w:tcPr>
            <w:tcW w:w="6946" w:type="dxa"/>
            <w:vAlign w:val="center"/>
          </w:tcPr>
          <w:p>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1、在招标文件规定的投标文件开启时间后，采购代理机构会在政采云系统发出解密指令，投标人在收到解密指令后，须使用加密投标文件时所使用的数字证书（CA）对已递交（上传）的电子投标文件进行解密。</w:t>
            </w:r>
          </w:p>
          <w:p>
            <w:pPr>
              <w:spacing w:line="360" w:lineRule="auto"/>
              <w:jc w:val="lef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2、电子投标文件解密时间：30分钟，投标人在规定的时间未进行解密，视为未递交投标文件，投标无效。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pPr>
              <w:spacing w:line="420" w:lineRule="exact"/>
              <w:ind w:left="-105" w:leftChars="-50" w:right="-105" w:rightChars="-50"/>
              <w:jc w:val="center"/>
              <w:textAlignment w:val="baseline"/>
              <w:rPr>
                <w:rStyle w:val="141"/>
                <w:rFonts w:hint="eastAsia" w:ascii="宋体" w:hAnsi="宋体" w:eastAsia="宋体" w:cs="宋体"/>
                <w:b/>
                <w:bCs/>
                <w:sz w:val="22"/>
                <w:szCs w:val="22"/>
                <w:highlight w:val="none"/>
              </w:rPr>
            </w:pPr>
            <w:r>
              <w:rPr>
                <w:rStyle w:val="141"/>
                <w:rFonts w:hint="eastAsia" w:ascii="宋体" w:hAnsi="宋体" w:eastAsia="宋体" w:cs="宋体"/>
                <w:b/>
                <w:bCs/>
                <w:sz w:val="22"/>
                <w:szCs w:val="22"/>
                <w:highlight w:val="none"/>
              </w:rPr>
              <w:t>19</w:t>
            </w:r>
          </w:p>
        </w:tc>
        <w:tc>
          <w:tcPr>
            <w:tcW w:w="1727" w:type="dxa"/>
            <w:vAlign w:val="center"/>
          </w:tcPr>
          <w:p>
            <w:pPr>
              <w:spacing w:line="42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代理服务费及支付</w:t>
            </w:r>
          </w:p>
        </w:tc>
        <w:tc>
          <w:tcPr>
            <w:tcW w:w="6946" w:type="dxa"/>
            <w:vAlign w:val="center"/>
          </w:tcPr>
          <w:p>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1、支付时间：领取成交通知书前。</w:t>
            </w:r>
          </w:p>
          <w:p>
            <w:pPr>
              <w:spacing w:line="360" w:lineRule="auto"/>
              <w:jc w:val="left"/>
              <w:rPr>
                <w:rFonts w:hint="eastAsia" w:ascii="宋体" w:hAnsi="宋体" w:eastAsia="宋体" w:cs="宋体"/>
                <w:b/>
                <w:bCs/>
                <w:sz w:val="22"/>
                <w:szCs w:val="22"/>
                <w:highlight w:val="none"/>
              </w:rPr>
            </w:pPr>
            <w:r>
              <w:rPr>
                <w:rFonts w:hint="eastAsia" w:ascii="宋体" w:hAnsi="宋体" w:eastAsia="宋体" w:cs="宋体"/>
                <w:sz w:val="22"/>
                <w:szCs w:val="22"/>
                <w:highlight w:val="none"/>
              </w:rPr>
              <w:t>2、支付方式：参照原国家发改委计价格【2002】1980号文和发改办价格【2003】857号文件货物类取费标准计取，由中标人向采购代理机构一次性支付。</w:t>
            </w:r>
          </w:p>
        </w:tc>
      </w:tr>
    </w:tbl>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注：本表内容与投标人须知内容不一致的，以本表内容为准。</w:t>
      </w:r>
      <w:r>
        <w:rPr>
          <w:rFonts w:hint="eastAsia" w:ascii="宋体" w:hAnsi="宋体" w:eastAsia="宋体" w:cs="宋体"/>
          <w:highlight w:val="none"/>
        </w:rPr>
        <w:br w:type="page"/>
      </w:r>
    </w:p>
    <w:p>
      <w:pPr>
        <w:pStyle w:val="100"/>
        <w:rPr>
          <w:rFonts w:hint="eastAsia" w:ascii="宋体" w:hAnsi="宋体" w:eastAsia="宋体" w:cs="宋体"/>
          <w:highlight w:val="none"/>
          <w:lang w:eastAsia="zh-CN"/>
        </w:rPr>
      </w:pPr>
    </w:p>
    <w:p>
      <w:pPr>
        <w:widowControl/>
        <w:snapToGrid w:val="0"/>
        <w:spacing w:line="360" w:lineRule="auto"/>
        <w:ind w:firstLine="301" w:firstLineChars="100"/>
        <w:jc w:val="center"/>
        <w:outlineLvl w:val="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第三部分  投标人须知</w:t>
      </w:r>
    </w:p>
    <w:p>
      <w:pPr>
        <w:snapToGrid w:val="0"/>
        <w:spacing w:line="360" w:lineRule="auto"/>
        <w:ind w:firstLine="301" w:firstLineChars="100"/>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一、总则</w:t>
      </w:r>
      <w:bookmarkEnd w:id="47"/>
    </w:p>
    <w:p>
      <w:pPr>
        <w:tabs>
          <w:tab w:val="left" w:pos="73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 适用范围</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本招标文件适用于本次招标活动的全过程。</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 定义</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2.1采购人：指依法进行本次招标活动的采购单位。</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2.2 采购</w:t>
      </w:r>
      <w:r>
        <w:rPr>
          <w:rFonts w:hint="eastAsia" w:ascii="宋体" w:hAnsi="宋体" w:eastAsia="宋体" w:cs="宋体"/>
          <w:kern w:val="0"/>
          <w:sz w:val="24"/>
          <w:highlight w:val="none"/>
        </w:rPr>
        <w:t>代理机构：指在采购人委托的范围内依法开展采购活动，组织本次招标活动的执行机构。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2.3投标人：指参加本次招投标活动的法人、其他组织或者自然人。</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 潜在投标人：指符合本招标文件各项规定的</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w:t>
      </w:r>
    </w:p>
    <w:p>
      <w:pPr>
        <w:tabs>
          <w:tab w:val="left" w:pos="567"/>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kern w:val="0"/>
          <w:sz w:val="24"/>
          <w:highlight w:val="none"/>
        </w:rPr>
        <w:t>2.5投标人：指响应本招标文件规定并提供投标文件参加投标竞争的</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 货物：指投标人按招标文件商务技术要求，向采购人提供的各种物品及其他有关技术资料和材料。</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2.7服务：指招标文件所表述的投标人须向采购人提供的服务和应当履行的承诺和义务。指如货物的运输、保险、安装、调试、技术援助、培训等以及本招标文件和合同中规定由投标人承担的其他义务。</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 投标文件：是指投标人应招标文件的条件和要求，按规定编制并按时递交的响应性文件。</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 合格投标人的条件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3.1参加本次采购活动的投标人应当具备投标人须知前附表要求的条件，并提供相应的资格证明文件。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w:t>
      </w:r>
      <w:r>
        <w:rPr>
          <w:rFonts w:hint="eastAsia" w:ascii="宋体" w:hAnsi="宋体" w:eastAsia="宋体" w:cs="宋体"/>
          <w:sz w:val="24"/>
          <w:highlight w:val="none"/>
        </w:rPr>
        <w:t>单位负责人为同一人或者存在直接控股、管理关系的不同投标人，不得参加同一合同项下的政府采购活动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3.3为本项目提供整体设计、规范编制或者项目管理、监理、检测等服务的投标人，不得再参加本项目的投标。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3.4本项目是否允许代理商参加投标（见前附表）。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3.5本项目是否允许由两个以上投标人组成一个联合体以一个投标人身份共同参加投标（见前附表）。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 联合体各方均应当符合投标人须知前附表中规定的条件，联合体各方均应按照本部分3.1条的要求提供相关材料。</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3.6信用记录查询：投标人参与政府采购时，评标委员会将通过“信用中国”网站（www.creditchina.gov.cn）或 “中国政府采购网”（www.ccgp.gov.cn）进行信用记录查询，查询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4. 投标费用</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4.1投标人应承担准备和参加投标有关的所有费用，采购代理机构和采购人在任何情况下均无义务和责任承担这些费用。</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5. 招标要求</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5.1投标人所提供的货物、所需服务与技术方案被采购人采用时，中标投标人认真履行合同规定的相关条款的约定。</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 通知</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6.1对与本项目有关的通知，采购代理机构将在</w:t>
      </w:r>
      <w:r>
        <w:rPr>
          <w:rFonts w:hint="eastAsia" w:ascii="宋体" w:hAnsi="宋体" w:eastAsia="宋体" w:cs="宋体"/>
          <w:b/>
          <w:bCs/>
          <w:kern w:val="0"/>
          <w:sz w:val="24"/>
          <w:highlight w:val="none"/>
          <w:u w:val="single"/>
        </w:rPr>
        <w:t>山西政府采购平台政采云系统中</w:t>
      </w:r>
      <w:r>
        <w:rPr>
          <w:rFonts w:hint="eastAsia" w:ascii="宋体" w:hAnsi="宋体" w:eastAsia="宋体" w:cs="宋体"/>
          <w:kern w:val="0"/>
          <w:sz w:val="24"/>
          <w:highlight w:val="none"/>
        </w:rPr>
        <w:t xml:space="preserve"> 上传通知，因线路故障导致通知延迟送达或无法查看，采购人或代理机构将不承担任何责任，有关的谈判活动可以继续有效地进行。</w:t>
      </w:r>
    </w:p>
    <w:p>
      <w:pPr>
        <w:snapToGrid w:val="0"/>
        <w:spacing w:line="360" w:lineRule="auto"/>
        <w:ind w:firstLine="482" w:firstLineChars="200"/>
        <w:outlineLvl w:val="1"/>
        <w:rPr>
          <w:rFonts w:hint="eastAsia" w:ascii="宋体" w:hAnsi="宋体" w:eastAsia="宋体" w:cs="宋体"/>
          <w:b/>
          <w:kern w:val="0"/>
          <w:sz w:val="24"/>
          <w:highlight w:val="none"/>
        </w:rPr>
      </w:pPr>
      <w:bookmarkStart w:id="51" w:name="_Toc175644017"/>
      <w:r>
        <w:rPr>
          <w:rFonts w:hint="eastAsia" w:ascii="宋体" w:hAnsi="宋体" w:eastAsia="宋体" w:cs="宋体"/>
          <w:b/>
          <w:kern w:val="0"/>
          <w:sz w:val="24"/>
          <w:highlight w:val="none"/>
        </w:rPr>
        <w:t>二、招标文件</w:t>
      </w:r>
      <w:bookmarkEnd w:id="51"/>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 招标文件的构成</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7.1 招标文件由下列七部分内容组成：</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第一部分 招标公告；</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投标人须知前附表；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第三部分 投标须知</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评标标准和评标方法；</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第六部分 拟签订的合同文本；</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第七部分 投标文件格式。</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7.2 投标人应详细阅读招标文件的全部内容，如果没有按照招标文件要求提交全部资料或者没有对招标文件在各方面都做出实质性响应，有可能被确定为无效投标。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7.3 除非特殊要求，招标文件不单独提供招标项目使用地的自然环境、气候条件、公用设施等情况，投标人被视为熟悉上述与履行合同有关的一切情况。</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7.4招标文件的解释权归采购代理机构。当对一个问题有多种解释时以采购代理机构的解释为准。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7.5 招标文件未作须知明示，而又有法律、法规规定的，采购代理机构将依据相关法律法规的规定进行解释。</w:t>
      </w:r>
    </w:p>
    <w:p>
      <w:pPr>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8．招标文件的澄清和修改</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8.1澄清、修改时间：</w:t>
      </w:r>
      <w:r>
        <w:rPr>
          <w:rFonts w:hint="eastAsia" w:ascii="宋体" w:hAnsi="宋体" w:eastAsia="宋体" w:cs="宋体"/>
          <w:sz w:val="24"/>
          <w:highlight w:val="none"/>
        </w:rPr>
        <w:t>提交投标文件截止日之前，</w:t>
      </w:r>
      <w:r>
        <w:rPr>
          <w:rFonts w:hint="eastAsia" w:ascii="宋体" w:hAnsi="宋体" w:eastAsia="宋体" w:cs="宋体"/>
          <w:kern w:val="0"/>
          <w:sz w:val="24"/>
          <w:highlight w:val="none"/>
        </w:rPr>
        <w:t>采购代理机构或者采购人可以对已发出的招标文件进行必要的澄清或者修改，</w:t>
      </w:r>
      <w:r>
        <w:rPr>
          <w:rFonts w:hint="eastAsia" w:ascii="宋体" w:hAnsi="宋体" w:eastAsia="宋体" w:cs="宋体"/>
          <w:sz w:val="24"/>
          <w:highlight w:val="none"/>
        </w:rPr>
        <w:t>其内容作为招标文件的组成部分</w:t>
      </w:r>
      <w:r>
        <w:rPr>
          <w:rFonts w:hint="eastAsia" w:ascii="宋体" w:hAnsi="宋体" w:eastAsia="宋体" w:cs="宋体"/>
          <w:kern w:val="0"/>
          <w:sz w:val="24"/>
          <w:highlight w:val="none"/>
        </w:rPr>
        <w:t>。澄清或者修改的内容可能影响投标文件编制的，</w:t>
      </w:r>
      <w:r>
        <w:rPr>
          <w:rFonts w:hint="eastAsia" w:ascii="宋体" w:hAnsi="宋体" w:eastAsia="宋体" w:cs="宋体"/>
          <w:sz w:val="24"/>
          <w:highlight w:val="none"/>
        </w:rPr>
        <w:t>采购代理机构或采购人</w:t>
      </w:r>
      <w:r>
        <w:rPr>
          <w:rFonts w:hint="eastAsia" w:ascii="宋体" w:hAnsi="宋体" w:eastAsia="宋体" w:cs="宋体"/>
          <w:kern w:val="0"/>
          <w:sz w:val="24"/>
          <w:highlight w:val="none"/>
        </w:rPr>
        <w:t>应当在投标截止时间至少15日前，以书面形式通知所有获取招标文件的潜在投标人；不足15日的，</w:t>
      </w:r>
      <w:r>
        <w:rPr>
          <w:rFonts w:hint="eastAsia" w:ascii="宋体" w:hAnsi="宋体" w:eastAsia="宋体" w:cs="宋体"/>
          <w:sz w:val="24"/>
          <w:highlight w:val="none"/>
        </w:rPr>
        <w:t>采购代理机构或采购人</w:t>
      </w:r>
      <w:r>
        <w:rPr>
          <w:rFonts w:hint="eastAsia" w:ascii="宋体" w:hAnsi="宋体" w:eastAsia="宋体" w:cs="宋体"/>
          <w:kern w:val="0"/>
          <w:sz w:val="24"/>
          <w:highlight w:val="none"/>
        </w:rPr>
        <w:t>应当顺延提交投标文件的截止时间</w:t>
      </w:r>
      <w:r>
        <w:rPr>
          <w:rFonts w:hint="eastAsia" w:ascii="宋体" w:hAnsi="宋体" w:eastAsia="宋体" w:cs="宋体"/>
          <w:sz w:val="24"/>
          <w:highlight w:val="none"/>
        </w:rPr>
        <w:t>，并且在</w:t>
      </w:r>
      <w:r>
        <w:rPr>
          <w:rFonts w:hint="eastAsia" w:ascii="宋体" w:hAnsi="宋体" w:eastAsia="宋体" w:cs="宋体"/>
          <w:sz w:val="24"/>
          <w:highlight w:val="none"/>
          <w:u w:val="single"/>
        </w:rPr>
        <w:t>山西省政府采购网</w:t>
      </w:r>
      <w:r>
        <w:rPr>
          <w:rFonts w:hint="eastAsia" w:ascii="宋体" w:hAnsi="宋体" w:eastAsia="宋体" w:cs="宋体"/>
          <w:sz w:val="24"/>
          <w:highlight w:val="none"/>
        </w:rPr>
        <w:t>发布变更公告。</w:t>
      </w:r>
    </w:p>
    <w:p>
      <w:pPr>
        <w:pStyle w:val="109"/>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8.2澄清修改的补充文件中包括原提出的问题及问题的说明意见，但不包括问题的来源。</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8.3投标人澄清要求的提交：投标人认为招标文件使自己的权益受到损害的，可以在知道或应当知其权益受到损害之日起7个工作日内，以电子形式向采购代理机构提出质疑和询问。投标人提出的询问，采购代理机构应当在3个工作日内对投标人依法提出的询问做出答复。投标人提出的质疑，采购代理机构应当在收到投标人的电子质疑后7个工作日内，做出答复，但答复的内容不涉及商业秘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8.4澄清、修改及其它答复的效力：采购代理机构或者采购人一旦对招标文件做出澄清、修改或进行其它答复，即刻发生效力，有关的补充文件，应当作为招标文件的组成部分，对所有潜在投标人均具有约束力。</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8.5采购代理机构或者采购人可以在招标文件提供期限截止后，组织已获取招标文件的潜在投标人</w:t>
      </w:r>
      <w:r>
        <w:rPr>
          <w:rFonts w:hint="eastAsia" w:ascii="宋体" w:hAnsi="宋体" w:eastAsia="宋体" w:cs="宋体"/>
          <w:sz w:val="24"/>
          <w:highlight w:val="none"/>
        </w:rPr>
        <w:t>现场勘查</w:t>
      </w:r>
      <w:r>
        <w:rPr>
          <w:rFonts w:hint="eastAsia" w:ascii="宋体" w:hAnsi="宋体" w:eastAsia="宋体" w:cs="宋体"/>
          <w:kern w:val="0"/>
          <w:sz w:val="24"/>
          <w:highlight w:val="none"/>
        </w:rPr>
        <w:t>或者召开标前答疑会。是否组织</w:t>
      </w:r>
      <w:r>
        <w:rPr>
          <w:rFonts w:hint="eastAsia" w:ascii="宋体" w:hAnsi="宋体" w:eastAsia="宋体" w:cs="宋体"/>
          <w:sz w:val="24"/>
          <w:highlight w:val="none"/>
        </w:rPr>
        <w:t>现场勘查</w:t>
      </w:r>
      <w:r>
        <w:rPr>
          <w:rFonts w:hint="eastAsia" w:ascii="宋体" w:hAnsi="宋体" w:eastAsia="宋体" w:cs="宋体"/>
          <w:kern w:val="0"/>
          <w:sz w:val="24"/>
          <w:highlight w:val="none"/>
        </w:rPr>
        <w:t>或者召开答疑会的，详见投标人前附表。而无论采购代理机构是否安排踏勘现场，潜在投标人均应当将相关的因素作为投标所应当考虑或依据的因素。</w:t>
      </w:r>
    </w:p>
    <w:p>
      <w:pPr>
        <w:snapToGrid w:val="0"/>
        <w:spacing w:line="360" w:lineRule="auto"/>
        <w:ind w:firstLine="482" w:firstLineChars="200"/>
        <w:outlineLvl w:val="1"/>
        <w:rPr>
          <w:rFonts w:hint="eastAsia" w:ascii="宋体" w:hAnsi="宋体" w:eastAsia="宋体" w:cs="宋体"/>
          <w:b/>
          <w:kern w:val="0"/>
          <w:sz w:val="24"/>
          <w:highlight w:val="none"/>
        </w:rPr>
      </w:pPr>
      <w:bookmarkStart w:id="52" w:name="_Toc175644018"/>
      <w:r>
        <w:rPr>
          <w:rFonts w:hint="eastAsia" w:ascii="宋体" w:hAnsi="宋体" w:eastAsia="宋体" w:cs="宋体"/>
          <w:b/>
          <w:kern w:val="0"/>
          <w:sz w:val="24"/>
          <w:highlight w:val="none"/>
        </w:rPr>
        <w:t>三、投标文件</w:t>
      </w:r>
      <w:bookmarkEnd w:id="52"/>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9. 投标文件的语言和计量单位</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9.1投标人提交的投标文件（包括技术文件、图纸中的说明等）以及投标人与采购代理机构就有关投标的所有往来函电均应使用中文简体字。</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9.2 投标文件所使用的计量单位，应使用国家法定计量单位。</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原版为外文的证书类、证明类文件，与投标人名称或其它实际情况不符的，投标人应当提供相关证明文件。</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10.投标文件的组成及相关要求</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10.1投标文件分为资格证明文件和商务技术文件两部分。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本次招标，投标人应按投标人须知前附表要求，提交资格证明文件和商务技术文件及投标人自行编写的其他文件。</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资格证明文件部分指投标人提交的证明其有资格参加投标的文件。</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商务技术文件部分指投标人提交的能够证明其提供的服务满足招标文件规定的文件；其中加*项目若有缺失或无效，将导致投标被拒绝。</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10.2投标文件其他要求</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10.2.1编排要求</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规格幅面（A4）；按照招标文件第七部分格式要求和编排顺序，统一编目、正序编排页码（投标文件中扫描件、复印件、影印件及彩色宣传资料等均须与投标文件正文一起逐页编排页码）。由于编排混乱导致投标文件被误读或查找不到，其责任应当由投标人承担。</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10.2.2格式要求</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本招标文件第七部分已提供“投标文件格式”的，必须严格按照格式要求编制（投标人可以对所提供的格式进行扩展，但不得更改格式内容），没有提供格式的，投标人自拟。</w:t>
      </w:r>
    </w:p>
    <w:p>
      <w:pPr>
        <w:tabs>
          <w:tab w:val="left" w:pos="0"/>
        </w:tabs>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10.2.3电子投标文件</w:t>
      </w:r>
    </w:p>
    <w:p>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(1)投标人需在“中国政府采购网山西分网下载专区（http://www.ccgp-shanxi.gov.cn/sxCategory15/sxCategory202/sxCategory20201/327.html）”下载“电子投标客户端”使用CA数字证书对投标文件经行加密。</w:t>
      </w:r>
    </w:p>
    <w:p>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(2)投标文件递交截止时间前在政采云平台投标客户端完成加密投标文件的递交（上传），递交截止时间前未完成投标文件上传的，视为撤回投标文件，投标人自行承担责任。</w:t>
      </w:r>
    </w:p>
    <w:p>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(3)电子投标文件所附各类证件、证书、证明，均要求采用原件扫描件。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10.3投标保证金</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10.3.1投标人应提交的投标保证金金额和提交方式详见前附表。</w:t>
      </w:r>
      <w:r>
        <w:rPr>
          <w:rFonts w:hint="eastAsia" w:ascii="宋体" w:hAnsi="宋体" w:eastAsia="宋体" w:cs="宋体"/>
          <w:b/>
          <w:kern w:val="0"/>
          <w:sz w:val="24"/>
          <w:highlight w:val="none"/>
        </w:rPr>
        <w:t>未按要求提交投标保证金的，投标无效。</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10.3.2投标人在投标截止时间前撤回已提交的投标文件的，采购代理机构应当自收到投标人书面撤回通知之日起5个工作日内，退还已收取的投标保证金，但因投标人自身原因导致无法及时退还的除外。</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10.3.3采购</w:t>
      </w:r>
      <w:r>
        <w:rPr>
          <w:rFonts w:hint="eastAsia" w:ascii="宋体" w:hAnsi="宋体" w:eastAsia="宋体" w:cs="宋体"/>
          <w:bCs/>
          <w:kern w:val="0"/>
          <w:sz w:val="24"/>
          <w:highlight w:val="none"/>
        </w:rPr>
        <w:t>代理机构</w:t>
      </w:r>
      <w:r>
        <w:rPr>
          <w:rFonts w:hint="eastAsia" w:ascii="宋体" w:hAnsi="宋体" w:eastAsia="宋体" w:cs="宋体"/>
          <w:kern w:val="0"/>
          <w:sz w:val="24"/>
          <w:highlight w:val="none"/>
        </w:rPr>
        <w:t>应当自中标通知书发出</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5个工作日内退还未中标人的投标保证金，自采购合同签订</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5个工作日内退还中标人的投标保证金</w:t>
      </w:r>
      <w:r>
        <w:rPr>
          <w:rFonts w:hint="eastAsia" w:ascii="宋体" w:hAnsi="宋体" w:eastAsia="宋体" w:cs="宋体"/>
          <w:bCs/>
          <w:kern w:val="0"/>
          <w:sz w:val="24"/>
          <w:highlight w:val="none"/>
        </w:rPr>
        <w:t>，但因投标人自身原因导致无法及时退还的除外。</w:t>
      </w:r>
    </w:p>
    <w:p>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10.3.4</w:t>
      </w:r>
      <w:r>
        <w:rPr>
          <w:rFonts w:hint="eastAsia" w:ascii="宋体" w:hAnsi="宋体" w:eastAsia="宋体" w:cs="宋体"/>
          <w:bCs/>
          <w:kern w:val="0"/>
          <w:sz w:val="24"/>
          <w:highlight w:val="none"/>
        </w:rPr>
        <w:t>有下列情形之一的，投标保证金不予退还：</w:t>
      </w:r>
    </w:p>
    <w:p>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10.3.4.1投标人在提交投标文件截止时间后撤回投标文件的；</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10.3.4.2投标人在投标文件中提供虚假材料的；</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10.3.4.3除因不可抗力或招标文件认可的情形外，中标投标人不与采购人签订合同的；</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10.3.4.4投标人与采购人、其他投标人或者采购代理机构恶意串通的；</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10.3.4.5招标文件规定的其他情形。</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10.4投标报价</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10.4.1所有投标报价均以“</w:t>
      </w:r>
      <w:r>
        <w:rPr>
          <w:rFonts w:hint="eastAsia" w:ascii="宋体" w:hAnsi="宋体" w:eastAsia="宋体" w:cs="宋体"/>
          <w:b/>
          <w:kern w:val="0"/>
          <w:sz w:val="24"/>
          <w:highlight w:val="none"/>
        </w:rPr>
        <w:t>人民币</w:t>
      </w:r>
      <w:r>
        <w:rPr>
          <w:rFonts w:hint="eastAsia" w:ascii="宋体" w:hAnsi="宋体" w:eastAsia="宋体" w:cs="宋体"/>
          <w:kern w:val="0"/>
          <w:sz w:val="24"/>
          <w:highlight w:val="none"/>
        </w:rPr>
        <w:t>元”为计算单位。只要投报了一个确定数额的总价，无论分项价格是否全部填报了相应的金额，报价应被视为已经包含了但并不限于各项购买货物及其包装、运送、安装调试、验收、技术培训、保险和服务等所有相关费用。在其它情况下，由于分项报价填报不完整、不清楚或存在其它任何失误，所导致的任何不利后果均应当由投标人自行承担。</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10.4.2投标人应按投标货物数量、单价（包括货物报价、装箱、包装、包装物料、送货、保险、安装调试、验收、技术培训、售后服务等所有相关费用）、总价及其他事项认真填报开标一览表。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10.4.3投标人应对整包内容分别填报，不得拆包分项投标。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10.4.4本次招标不接受可选择或可调整的投标和报价。</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10.4.5投标人对投标报价若有说明应在开标一览表显著处注明，只有开标时唱出的报价优惠承诺才会在评标时予以考虑。</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10.4.6投标的报价优惠承诺应对应开标一览表、投标货物数量价格表等提供相应的明细清单。除报价优惠承诺外，任何超出招标文件要求而额外赠送的软硬件设备等其他形式的优惠，在评标时将不作为价格折算的必备条件。</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10.4.7对于有配件、耗材、选件、备件和特殊工具的货物，还应填报投标货物配件、耗材、选件、备件及特殊工具清单，注明品牌、型号、产地、功能、单价、批量折扣等内容，格式由投标人自行设计。</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10.4.8本项目采用综合评分法，最低报价不能作为中标的保证。</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10.4.9中小微企业（含监狱企业）、残疾人福利单位参加本项目投标时：</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依据财库【2020】46号关于印发《政府采购促进中小企业发展管理办法》的通知、《工业和信息化部、国家统计局、国家发展和改革委员会、财政部关于印发中小企业划型标准规定的通知》（工信部联企业[2011]300号规定的划分标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对属于小型和微型企业报价给予15％（工程项目为5%）的扣除，用扣除后的价格参与评审；对于联合体报价的，联合协议中约定，小型、微型企业的协议合同份额占到联合体协议合同总金额30%以上的，可给予联合体5%的价格扣除；用扣除后的价格参与评审。</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（本项内容以投标人提供的《中小企业声明函》为准，否则不予认可）</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注：1、货物不包括使用大型企业注册商标的货物；小型、微型企业提供中小企业制造的货物的，视同为中型企业。</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参加政府采购活动的中小企业应当提供按照《关于印发《政府采购促进中小企业发展管理办法》》（财库【2020】46号）规定的《中小企业声明函》。若提供虚假材料谋取中标、成交的，按照《政府采购法》有关条款处理，并记入投标人诚信档案。</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3、事业单位、团体组织等非企业性质的政府采购投标人，不属于中小企业划型标准确定的中小企业，不得按《关于印发中小企业划型标准规定的通知》规定声明为中小微企业 ，也不适用《政府采购促进中小企业发展管理办法》。</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注：1、监狱企业又属于小型、微型企业的，不重复享受政策。</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应当对标的总价给予5%的价格扣除，用扣除后的价格参与评审。］</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注：残疾人福利性单位属于小型、微型企业的，不重复享受政策。</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11.投标内容填写说明</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11.1 投标人应详细阅读招标文件的全部内容，投标文件应对本招标文件中的内容做出实质性和完整性的响应。</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11.2招标文件有固定格式要求的，须按招标文件第七部分提供的统一格式逐项填写；无相应内容可填的项，须填写“无”、“未测试”、“没有相应指标”明确的回答。投标文件未按规定提交或留有空项，将被视为不完整响应的投标文件，其投标文件将被拒绝。</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11.3投标人必须保证投标文件所提供的全部资料真实有效，并接受评标委员会对其中任何资料进一步审查的要求，且承担相应的法律责任。</w:t>
      </w:r>
    </w:p>
    <w:p>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11.4投标人应保证投标文件正本与副本内容严格一致，如果正本与副本不一致，以正本为准。</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11.5因投标文件字迹潦草、提交资料不清晰或表达不清楚所引起的不利后果由投标人承担。</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11.6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12.投标文件的有效期</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12.1本项目投标文件的有效期见投标人须知前附表。有效期短于该规定期限的投标文件投标无效。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12.2投标有效期从提交投标文件的截止之日起算。投标文件中承诺的投标有效期应当不少于招标文件中载明的投标有效期。投标有效期内投标人撤销投标文件的，采购代理机构可以不退还投标保证金。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13. 投标文件的签署及规定</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13.1组成投标文件的各项文件均应遵守本条。</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13.2投标人在投标文件及相关文件的签订、履行、通知等事项的书面文件中的“单位盖章”、“印章”、“公章”等处均仅指与投标人名称全称相一致的标准公章，不得使用其它（如带有“专用章”等字样）的印章，否则作为无效投标处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13.3投标人应在投标文件中按照招标文件要求，在指定的位置签字（盖章）、加盖公章，否则作为无效投标处理。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13.4投标文件应字迹清楚、内容齐全、不得涂改或增删。如有修改和增删，必须有投标人公章及法定代表人或其授权的投标人代表签字或盖章。</w:t>
      </w:r>
    </w:p>
    <w:p>
      <w:pPr>
        <w:snapToGrid w:val="0"/>
        <w:spacing w:line="360" w:lineRule="auto"/>
        <w:ind w:firstLine="482" w:firstLineChars="200"/>
        <w:outlineLvl w:val="1"/>
        <w:rPr>
          <w:rFonts w:hint="eastAsia" w:ascii="宋体" w:hAnsi="宋体" w:eastAsia="宋体" w:cs="宋体"/>
          <w:b/>
          <w:kern w:val="0"/>
          <w:sz w:val="24"/>
          <w:highlight w:val="none"/>
        </w:rPr>
      </w:pPr>
      <w:bookmarkStart w:id="53" w:name="_Toc175644019"/>
      <w:r>
        <w:rPr>
          <w:rFonts w:hint="eastAsia" w:ascii="宋体" w:hAnsi="宋体" w:eastAsia="宋体" w:cs="宋体"/>
          <w:b/>
          <w:kern w:val="0"/>
          <w:sz w:val="24"/>
          <w:highlight w:val="none"/>
        </w:rPr>
        <w:t>四、</w:t>
      </w:r>
      <w:bookmarkEnd w:id="53"/>
      <w:r>
        <w:rPr>
          <w:rFonts w:hint="eastAsia" w:ascii="宋体" w:hAnsi="宋体" w:eastAsia="宋体" w:cs="宋体"/>
          <w:b/>
          <w:kern w:val="0"/>
          <w:sz w:val="24"/>
          <w:highlight w:val="none"/>
        </w:rPr>
        <w:t>投标文件的递交、签收与退回</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14.1投标文件的加密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投标人应根据招标文件及山西政府采购平台的要求对投标文件进行电子签章并加密。投标人未按规定加密的投标文件，电子交易平台拒收并提示。</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14.2投标文件的递交</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在投标截止时间截止前通过山西政府采购平台在线递交投标文件（无需到现场），上传时必须得到电脑“上传成功”之类的确认。请投标人在上传时认真检查上传投标文件是否完整、正确。在投标截止时间前，除投标人补充、修改或者撤回投标文件外，任何单位和个人不得解密、提取投标文件</w:t>
      </w:r>
      <w:r>
        <w:rPr>
          <w:rFonts w:hint="eastAsia" w:ascii="宋体" w:hAnsi="宋体" w:eastAsia="宋体" w:cs="宋体"/>
          <w:b/>
          <w:kern w:val="0"/>
          <w:sz w:val="24"/>
          <w:highlight w:val="none"/>
        </w:rPr>
        <w:t>。</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15.开标时间</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15.1投标文件递交截止时间即为开标时间。</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16. 投标文件的补充、修改和撤回</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当在投标截止时间前完成投标文件的传输递交，并可以补充、修改或者撤回投标文件。投标截止时间前未完成投标文件传输的，视为撤回投标文件。投标截止时间后送达的投标文件，山西政府采购平台应当拒收。在投标截止时间前，投标人可以补充、修改或撤回已递交的投标文件，但应重新对投标文件进行电子签章并加密，在线递交。</w:t>
      </w:r>
    </w:p>
    <w:p>
      <w:pPr>
        <w:snapToGrid w:val="0"/>
        <w:spacing w:line="360" w:lineRule="auto"/>
        <w:ind w:firstLine="482" w:firstLineChars="200"/>
        <w:outlineLvl w:val="1"/>
        <w:rPr>
          <w:rFonts w:hint="eastAsia" w:ascii="宋体" w:hAnsi="宋体" w:eastAsia="宋体" w:cs="宋体"/>
          <w:b/>
          <w:kern w:val="0"/>
          <w:sz w:val="24"/>
          <w:highlight w:val="none"/>
        </w:rPr>
      </w:pPr>
      <w:bookmarkStart w:id="54" w:name="_Toc175644020"/>
      <w:r>
        <w:rPr>
          <w:rFonts w:hint="eastAsia" w:ascii="宋体" w:hAnsi="宋体" w:eastAsia="宋体" w:cs="宋体"/>
          <w:b/>
          <w:kern w:val="0"/>
          <w:sz w:val="24"/>
          <w:highlight w:val="none"/>
        </w:rPr>
        <w:t>五、开标</w:t>
      </w:r>
      <w:bookmarkEnd w:id="54"/>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17.开标及其有关事项</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17.1采购代理机构在招标文件确定的提交投标文件截止时间的同一时间与招标文件预先确定的地点</w:t>
      </w:r>
      <w:r>
        <w:rPr>
          <w:rFonts w:hint="eastAsia" w:ascii="宋体" w:hAnsi="宋体" w:eastAsia="宋体" w:cs="宋体"/>
          <w:bCs/>
          <w:kern w:val="0"/>
          <w:sz w:val="24"/>
          <w:highlight w:val="none"/>
        </w:rPr>
        <w:t>组织</w:t>
      </w:r>
      <w:r>
        <w:rPr>
          <w:rFonts w:hint="eastAsia" w:ascii="宋体" w:hAnsi="宋体" w:eastAsia="宋体" w:cs="宋体"/>
          <w:kern w:val="0"/>
          <w:sz w:val="24"/>
          <w:highlight w:val="none"/>
        </w:rPr>
        <w:t>公开开标活动，</w:t>
      </w:r>
      <w:r>
        <w:rPr>
          <w:rFonts w:hint="eastAsia" w:ascii="宋体" w:hAnsi="宋体" w:eastAsia="宋体" w:cs="宋体"/>
          <w:bCs/>
          <w:kern w:val="0"/>
          <w:sz w:val="24"/>
          <w:highlight w:val="none"/>
        </w:rPr>
        <w:t>并且对开标、评标现场活动进行全程录音录像。录音录像应当清晰可辨，音像资料作为采购文件一并存档。</w:t>
      </w:r>
    </w:p>
    <w:p>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17.5</w:t>
      </w:r>
      <w:r>
        <w:rPr>
          <w:rFonts w:hint="eastAsia" w:ascii="宋体" w:hAnsi="宋体" w:eastAsia="宋体" w:cs="宋体"/>
          <w:b/>
          <w:bCs/>
          <w:kern w:val="0"/>
          <w:sz w:val="24"/>
          <w:highlight w:val="none"/>
        </w:rPr>
        <w:t>投标截止后投标人不足3家不得开标；采购人或采购代理机构进行资格审查后投标人不足3家不得评标。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17.2政府采购电子交易系统按以下程序进行开标：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（1）开标前投标人应登录山西政府采购平台。</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（2）电子投标文件解密。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开标时间截止开始进入解密环节，投标人应在开始解密时间起半个小时内在线进行电子投标文件的解密操作，未在规定时间内解密（解密时间：30分钟），其投标视为无效；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（3）开标。解密全部完成后或解密时间截止时，政采云平台自动显示投标人名称、标段名称、投标报价、合同履行期限等招标文件所确定的唱标内容；投标人对各自投标报价进行签字确认。</w:t>
      </w:r>
    </w:p>
    <w:p>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（4）开标结束。</w:t>
      </w:r>
    </w:p>
    <w:p>
      <w:pPr>
        <w:snapToGrid w:val="0"/>
        <w:spacing w:line="360" w:lineRule="auto"/>
        <w:ind w:firstLine="482" w:firstLineChars="200"/>
        <w:outlineLvl w:val="1"/>
        <w:rPr>
          <w:rFonts w:hint="eastAsia" w:ascii="宋体" w:hAnsi="宋体" w:eastAsia="宋体" w:cs="宋体"/>
          <w:b/>
          <w:kern w:val="0"/>
          <w:sz w:val="24"/>
          <w:highlight w:val="none"/>
        </w:rPr>
      </w:pPr>
      <w:bookmarkStart w:id="55" w:name="_Toc175644021"/>
      <w:r>
        <w:rPr>
          <w:rFonts w:hint="eastAsia" w:ascii="宋体" w:hAnsi="宋体" w:eastAsia="宋体" w:cs="宋体"/>
          <w:b/>
          <w:kern w:val="0"/>
          <w:sz w:val="24"/>
          <w:highlight w:val="none"/>
        </w:rPr>
        <w:t>六、评标程序和要求</w:t>
      </w:r>
      <w:bookmarkEnd w:id="55"/>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w:t>
      </w:r>
      <w:r>
        <w:rPr>
          <w:rFonts w:hint="eastAsia" w:ascii="宋体" w:hAnsi="宋体" w:eastAsia="宋体" w:cs="宋体"/>
          <w:bCs/>
          <w:kern w:val="0"/>
          <w:sz w:val="24"/>
          <w:highlight w:val="none"/>
        </w:rPr>
        <w:t>组建资格证明文件审查小组和商务技术</w:t>
      </w:r>
      <w:r>
        <w:rPr>
          <w:rFonts w:hint="eastAsia" w:ascii="宋体" w:hAnsi="宋体" w:eastAsia="宋体" w:cs="宋体"/>
          <w:kern w:val="0"/>
          <w:sz w:val="24"/>
          <w:highlight w:val="none"/>
        </w:rPr>
        <w:t>评标委员会</w:t>
      </w:r>
    </w:p>
    <w:p>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18.1组建资格证明文件审查小组</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资格审查小组对投标人的资格证明文件的有效性、符合性进行审核。</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18.2组建评标委员会</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18.2.1采购代理机构根据有关法律法规和本招标文件的规定，结合本招标项目的特点组建评标委员会，评标委员会由采购人代表和评审专家共五人以上单数组成，其中评审专家不得少于成员总数的三分之二。</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18.2.2评标委员会对3家及以上资格性审查合格投标人的商务技术文件进行符合性审查，并对符合性审查合格的3家及以上投标人的商务技术文件，按照招标文件中规定的评标标准和评标办法进行评估和比较。</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18.2.3评审专家对本单位的采购项目只能作为采购人代表参与评标，法律规定的情形除外。</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18.2.4采购代理机构工作人员不得参加由本机构代理的政府采购项目的评标。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 2.5评标委员会成员名单在评标结果公告前应当保密。</w:t>
      </w:r>
    </w:p>
    <w:p>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18.2.6评审专家由采购代理机构从山西省政府采购评审专家库中，通过随机方式抽取。对技术复杂、专业性强的采购项目，通过随机方式难以确定合适评审专家的，</w:t>
      </w:r>
      <w:r>
        <w:rPr>
          <w:rFonts w:hint="eastAsia" w:ascii="宋体" w:hAnsi="宋体" w:eastAsia="宋体" w:cs="宋体"/>
          <w:bCs/>
          <w:kern w:val="0"/>
          <w:sz w:val="24"/>
          <w:highlight w:val="none"/>
        </w:rPr>
        <w:t>经主管预算单位同意，采购人可以自行选定相应专业领域的评审专家。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18.2.7评标中因评标委员会成员缺席、回避或者健康等特殊原因导致评标委员会组成不符合相关法律规定的，代理机构应当依法补足后继续评标。被更换的评标委员会成员所作出的评标意见无效。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18.2.8无法及时补足评标委员会成员的，代理机构应当停止评标活动，封存所有投标文件和开标、评标资料，依法重新组建评标委员会进行评标。原评标委员会所作出的评标意见无效。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18.2.9代理机构应当将变更、重新组建评标委员会的情况予以记录，并随采购文件一并存档。</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19．评审</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投标文件的评审分资格证明文件的评审和商务技术文件的评审。</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19.1资格证明文件的审核</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19.1.1公开招标采购项目开标结束后，采购代理机构或采购人依法按照招标文件中规定的评审办法对投标人的资格证明文件的有效性、符合性进行审查，以确定各投标人是否是符合招标文件要求的合格投标人。合格投标人不足3家的，不得进行商务技术评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19.1.2采购代理机构或采购人对投标文件的判定，只依据投标人的资格性证明文件内容本身（需要进行网上查询核实的证明材料除外）。</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19.1.3对前附表中有资格、资信不合格的或未对其要求做出明确响应的，</w:t>
      </w:r>
      <w:r>
        <w:rPr>
          <w:rFonts w:hint="eastAsia" w:ascii="宋体" w:hAnsi="宋体" w:eastAsia="宋体" w:cs="宋体"/>
          <w:b/>
          <w:kern w:val="0"/>
          <w:sz w:val="24"/>
          <w:highlight w:val="none"/>
        </w:rPr>
        <w:t>将作无效投标处理。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19.1.4为保证投标的公开、公正、公平，投标人资格证明文件若有缺失或不符，开标后不允许补正或修正，且投标无效。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19.1.5采购代理机构或采购人对模糊不清的或存在疑问的资格性证明文件，在不影响投标是否有效的前提下，须经投标人进行电子澄清或说明。</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19.1.6采购代理机构或采购人对投标人的资格审查进行记录、编写资格证明文件审查报告，并签字确认，与招标文件一并存档。</w:t>
      </w:r>
    </w:p>
    <w:p>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 2 商务技术文件符合性审查</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19.2.1审查、评价投标人商务技术文件是否符合招标文件的商务技术文件等实质性要求。</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19.2.1.2评标委员会应当对3家及以上资格性审查合格的投标人的商务技术文件进行符合性审查，以确定其是否满足招标文件的实质性要求。</w:t>
      </w:r>
    </w:p>
    <w:p>
      <w:pPr>
        <w:tabs>
          <w:tab w:val="left" w:pos="567"/>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19.2.1.3满足招标文件实质性要求的商务技术文件是指投标人的商务技术文件中的签署、商务与技术响应是否与招标文件的要求相符，并经评标委员会认定没有重大偏离或保留的商务技术文件。</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19.2.1.4重大偏离系指商务技术文件中的签署、盖章及投标货物/服务名称、数量执行标准、交货时间、交货地点、款项付款方式、履约保证金、质保期、服务要求及验收标准等与招标文件要求不一致或产品质量、技术指标等明显不能满足招标文件要求，而且限制了采购人的权利或投标人的义务，纠正这些偏离将对其他实质上响应招标要求的投标人的竞争地位产生不公正的影响。包括但不限于：</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A．本文件对“投标人须知前附表”第6条中带★号的商务、技术文件未实质上响应；</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B．未按招标文件的规定签署、盖章的；</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C．未按照招标文件规定报价的；报价超过招标文件中规定的预算金额或者最高限价的；</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D．“开标一览表”中投标货物名称、数量、单位、质保期、交货时间等与招标文件要求不符的；投标货物执行标准、交货时间、交货地点、款项付款方式、履约保证金、服务要求及验收标准等不满足招标文件中的相关要求或超出采购人可接受的偏差范围的；</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E．“开标一览表”中内容与投标文件商务技术文件中相应内容不一致的（包括“商务条款响应表”），以“开标一览表”内容为准；</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F．不符合招标文件中有关分包、转包规定的；</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G．投标文件含有采购人不能接受的附加条件的；</w:t>
      </w:r>
    </w:p>
    <w:p>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H．不符合招标文件中规定的其他实质性要求。</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19.2.1.5重大偏离不允许在开标后修正。</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19.2.1.6如果投标人的商务技术文件没有实质上响应招标文件的要求，评标委员会将作无效投标处理，投标人不得再对其进行任何修正从而使其投标成为实质上响应的投标。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19.2.1.8投标报价出现前后不一致的，按照下列规定修正：</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（1）开标一览表内容与投标人商务技术文件中相应内容不一致的，以开标一览表为准；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（3）单价金额小数点或者百分比有明显错位的，以开标一览表的总价为准，并修改单价；</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同时出现两种以上不一致的，按照前款规定的顺序修正。修正后的报价经投标人确认后产生约束力，投标人不确认的，其投标无效。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19.2.1.9采用最低评标价法评标时，除了算术修正和落实政府采购政策需进行的价格扣除外，不能对投标人的投标价格进行任何调整。</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19.2.2要求投标人对商务技术文件有关事项作出澄清或者说明。</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19.2.2.1评标委员会有权要求投标人对投标文件中含义不明确、对同类问题表述不一致或者有明显文字和计算错误等内容作必要的澄清、说明或者补正。该要求应当采用电子形式,并由评标委员会专家共同签字。</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19.2.2.2投标人必须按照评标委员会通知的内容和时间做出电子答复，该澄清、说明或者补正应当采用PDF格式加盖单位电子公章形式，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19.2.2.3评标委员会将允许投标人澄清、说明或者补正商务技术文件中不构成重大偏离、微小的、非正规、不一致或不规则的地方，但这些修改不能影响其他投标人的名次排列。</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19.2.2.4评标委员会认为投标人的报价明显低于其他通过符合性审查投标人的报价，有可能影响产品质量或者不能诚信履约的，评标委员会有权要求投标人要求其在合理的时间内在系统中采用PDF加盖法人电子签章形式提供说明，必要时提交相关证明材料；若已要求，而该投标人在规定期限内未做出解释、做出的解释不合理或不能提供证明材料的，评标委员会有权拒绝该投标。</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w:t>
      </w:r>
      <w:r>
        <w:rPr>
          <w:rFonts w:hint="eastAsia" w:ascii="宋体" w:hAnsi="宋体" w:eastAsia="宋体" w:cs="宋体"/>
          <w:b/>
          <w:bCs/>
          <w:kern w:val="0"/>
          <w:sz w:val="24"/>
          <w:highlight w:val="none"/>
        </w:rPr>
        <w:t>对投标人的商务技术文件进行比较和评价</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19.2.3.1评标委员会对投标文件的比较和评判，只依据投标人的商务技术文件内容本身，不依据任何外来证明（招标文件中需要提交样品的情形除外）。</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19.2.3.2评标委员会应当按照招标文件中规定的评标标准和评标方法，对3家及以上符合性审查合格投标人的投标文件进行商务和技术评估，综合比较与评价。</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20. 评审复核</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评标结果汇总完成后，除下列情形外，任何人不得修改评标结果：</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（一）分值汇总计算错误的；</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（二）分项评分超出评分标准范围的；</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（三）评标委员会成员对客观评审因素评分不一致的；</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（四）经评标委员会认定评分畸高、畸低的。</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投标人对本条第一款情形提出质疑的，采购代理机构可以组织原评标委员会进行重新评审，重新评审改变评标结果的，应当书面报告本级财政部门。</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21. 确定中标候选人名单和中标人</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21.1确定中标候选人顺序</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21.1.1采用综合评分法的，采用下列原则</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21.1.1.1按评审后投标人的综合得分由高到低顺序排列。</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21.1.1.2综合得分相同的，按投标报价由低到高顺序排列。</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21.1.1.3综合得分且投标报价相同的并列，投标人的商务技术文件满足招标文件全部实质性要求，第一中标候选人按照技术、服务等因素得分较高顺序排列。</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21.1.1.4投标人提供相同品牌产品且通过资格审查、符合性审查的不同投标人参加同一合同项下投标的，</w:t>
      </w:r>
      <w:r>
        <w:rPr>
          <w:rFonts w:hint="eastAsia" w:ascii="宋体" w:hAnsi="宋体" w:eastAsia="宋体" w:cs="宋体"/>
          <w:bCs/>
          <w:kern w:val="0"/>
          <w:sz w:val="24"/>
          <w:highlight w:val="none"/>
        </w:rPr>
        <w:t>按一家投标人计算</w:t>
      </w:r>
      <w:r>
        <w:rPr>
          <w:rFonts w:hint="eastAsia" w:ascii="宋体" w:hAnsi="宋体" w:eastAsia="宋体" w:cs="宋体"/>
          <w:kern w:val="0"/>
          <w:sz w:val="24"/>
          <w:highlight w:val="none"/>
        </w:rPr>
        <w:t>，评审后</w:t>
      </w:r>
      <w:r>
        <w:rPr>
          <w:rFonts w:hint="eastAsia" w:ascii="宋体" w:hAnsi="宋体" w:eastAsia="宋体" w:cs="宋体"/>
          <w:bCs/>
          <w:kern w:val="0"/>
          <w:sz w:val="24"/>
          <w:highlight w:val="none"/>
        </w:rPr>
        <w:t>得分最高的同品牌投标人获得中标候选人推荐资格</w:t>
      </w:r>
      <w:r>
        <w:rPr>
          <w:rFonts w:hint="eastAsia" w:ascii="宋体" w:hAnsi="宋体" w:eastAsia="宋体" w:cs="宋体"/>
          <w:kern w:val="0"/>
          <w:sz w:val="24"/>
          <w:highlight w:val="none"/>
        </w:rPr>
        <w:t>；评审得分相同的，由评标委员会主任当众采取随机抽取方式确定一个投标人获得中标人推荐资格，其他同品牌投标人不作为中标候选人。</w:t>
      </w:r>
      <w:r>
        <w:rPr>
          <w:rFonts w:hint="eastAsia" w:ascii="宋体" w:hAnsi="宋体" w:eastAsia="宋体" w:cs="宋体"/>
          <w:bCs/>
          <w:kern w:val="0"/>
          <w:sz w:val="24"/>
          <w:highlight w:val="none"/>
        </w:rPr>
        <w:t>非单一产品采购项目的核心产品，多家投标人提供的核心产品品牌相同的，按前款规定处理。</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21.1.2采用最低评标价法的，采用下列原则确定中标候选人顺序。</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21.1.2.1按投标报价由低到高顺序排列。</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21.1.2.2投标报价相同的并列。投标人的商务技术文件满足招标文件全部实质性要求，按照技术、服务等因素的优劣进行排列。</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21.1.2.3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21.3确定中标人</w:t>
      </w:r>
    </w:p>
    <w:p>
      <w:pPr>
        <w:tabs>
          <w:tab w:val="left" w:pos="0"/>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本次招标，采购人授权评标委员会确定中标人。评标委员会按照21.1、21.2原则确定中标人。</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22. 编写评标报告</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22.1评标委员会根据全体成员签字的原始评标记录和评标结果编写商务技术文件评标报告。评标报告应当包括以下内容：</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（一）招标公告刊登的媒体名称、开标日期和地点；</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w:t>
      </w:r>
      <w:r>
        <w:rPr>
          <w:rFonts w:hint="eastAsia" w:ascii="宋体" w:hAnsi="宋体" w:eastAsia="宋体" w:cs="宋体"/>
          <w:bCs/>
          <w:kern w:val="0"/>
          <w:sz w:val="24"/>
          <w:highlight w:val="none"/>
        </w:rPr>
        <w:t>投标人名单</w:t>
      </w:r>
      <w:r>
        <w:rPr>
          <w:rFonts w:hint="eastAsia" w:ascii="宋体" w:hAnsi="宋体" w:eastAsia="宋体" w:cs="宋体"/>
          <w:kern w:val="0"/>
          <w:sz w:val="24"/>
          <w:highlight w:val="none"/>
        </w:rPr>
        <w:t>和评标委员会成员名单；</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（三）评标方法和标准；</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（四）开标记录和评标情况及说明，包括无效投标人名单及原因；</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（五）评标结果，</w:t>
      </w:r>
      <w:r>
        <w:rPr>
          <w:rFonts w:hint="eastAsia" w:ascii="宋体" w:hAnsi="宋体" w:eastAsia="宋体" w:cs="宋体"/>
          <w:bCs/>
          <w:kern w:val="0"/>
          <w:sz w:val="24"/>
          <w:highlight w:val="none"/>
        </w:rPr>
        <w:t>确定的中标候选人名单、经采购人委托直接确定的中标人；</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 xml:space="preserve">（六）其他需要说明的情况，包括评标过程中投标人根据评标委员会要求进行的澄清、说明或者补正，评标委员会成员的更换等。 </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22.2评标委员会成员对需要共同认定的事项存在争议的，应当按照少数服从多数的原则作出结论。持不同意见的评标委员会成员应当在评标报告上签署不同意见及理由，否则视为同意评标报告。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22.3评标报告由全体评标成员共同签字确认。</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23. 评标过程保密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 采购人、采购代理机构应当采取必要措施，保证评标在严格保密的情况下进行。除采购人代表、评标现场组织人员，采购人的其他工作人员以及与评标工作无关的人员不得进入评标现场。</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23.2开标之后，直到授予中标人合同止，凡是属于审查、澄清、评价和比较投标的有关资料以及授标意向等，均不得向投标人或其他与评标无关的人员透露。</w:t>
      </w:r>
      <w:r>
        <w:rPr>
          <w:rFonts w:hint="eastAsia" w:ascii="宋体" w:hAnsi="宋体" w:eastAsia="宋体" w:cs="宋体"/>
          <w:bCs/>
          <w:kern w:val="0"/>
          <w:sz w:val="24"/>
          <w:highlight w:val="none"/>
        </w:rPr>
        <w:t>有关人员对评标情况以及在评标过程中获悉的国家秘密、商业秘密负有保密责任。</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24. 关于投标人非实质性响应滞后发现的处理规则</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25. 无效投标与无效评标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25.1投标人存在下列情况之一的，投标无效: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（一）未按照招标文件的规定提交投标保证金的；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（二）投标文件未按招标文件要求签署、盖章的；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（三）不具备招标文件中规定的资格要求的；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（四）报价超过招标文件中规定的预算金额或者最高限价的；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（五）投标文件含有采购人不能接受的附加条件的;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（六）法律、法规和招标文件规定的其他无效情形。</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25.2有下列情形之一的，视为投标人串通投标，其投标无效：</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（一）不同投标人的投标文件由同一单位或者个人编制；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（二）不同投标人委托同一单位或者个人办理投标事宜；</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（三）不同投标人的投标文件载明的项目管理成员或者联系人员为同一人；</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（四）不同投标人的投标文件异常一致或者投标报价呈规律性差异；</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（五）不同投标人的投标文件相互混装；</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（六）不同投标人的投标保证金从同一单位或者个人的账户转出。</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25.3评标委员会或者其成员存在下列情形导致评标结果无效的，采购人、采购代理机构可以重新组建评标委员会进行评标，并书面报告本级财政部门，但采购合同已经履行的除外：</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（一）评标委员会组成不符合《政府采购货物和服务招标投标管理办法》规定的；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（二）有《政府采购货物和服务招标投标管理办法》第六十二条第一至五项情形的；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（三）评标委员会及其成员独立评标受到非法干预的；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（四）有《中华人民共和国政府采购法实施条例》第七十五条规定的违法行为的。</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有违法违规行为的原评标委员会成员不得参加重新组建的评标委员会。</w:t>
      </w:r>
    </w:p>
    <w:p>
      <w:pPr>
        <w:tabs>
          <w:tab w:val="left" w:pos="567"/>
        </w:tabs>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26．采购项目终止与处理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26.1采购人、采购代理机构在发布招标公告、资格预审公告或者发出投标邀请书后，除因重大变故采购任务取消情况外，不得擅自终止招标活动。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26.2公开招标数额标准以上的采购项目（如分包按包计），投标截止后投标人不足3家或者通过资格审查或符合性审查的投标人不足3家的，除采购任务取消情形外，按照以下方式处理：</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（一）招标文件存在不合理条款或者招标程序不符合规定的，采购人、采购代理机构改正后依法重新招标；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（二）招标文件没有不合理条款、招标程序符合规定，需要采用其他采购方式采购的，采购人应当依法报财政部门批准。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采购项目（按包计）终止后，评标委员会应做出书面报告；代理机构应当将废标原因通知所有投标人，并依法重新组织采购活动。</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27. 中标结果公告</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27.1代理机构应当自中标人确定之日起2个工作日内，在省级以上财政部门指定的媒体上公告中标结果，招标文件应当随中标结果同时公告。</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27.2中标结果公告内容应当包括采购人及其委托的代理机构的名称、地址、联系方式，项目名称和招标编号、项目编号，中标人名称、地址和中标金额，主要中标标的的名称、规格型号、数量、单价、服务要求，中标公告期限以及评审专家名单。</w:t>
      </w:r>
    </w:p>
    <w:p>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27.3中标公告期限为1个工作日。</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28．中标通知</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28.1在公告中标结果的同时，采购代理机构应当向中标人发出中标通知书；对未通过资格审查的投标人，应当告知其未通过的原因；采用综合评分法评审的，还应当告知未中标人本人的评审得分与排序。</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28.2中标通知书发出后，采购人不得违法改变中标结果，中标人无正当理由不得放弃中标。</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28.3中标通知书是合同的组成部分。</w:t>
      </w:r>
    </w:p>
    <w:p>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29.中标服务费</w:t>
      </w:r>
    </w:p>
    <w:p>
      <w:pPr>
        <w:pStyle w:val="102"/>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29.1 采购项目中标服务费由中标人缴纳，</w:t>
      </w:r>
      <w:r>
        <w:rPr>
          <w:rFonts w:hint="eastAsia" w:ascii="宋体" w:hAnsi="宋体" w:eastAsia="宋体" w:cs="宋体"/>
          <w:sz w:val="24"/>
          <w:highlight w:val="none"/>
        </w:rPr>
        <w:t>中标服务费参照《采购代理服务收费管理暂行办法》（计价格[2002]1980号）</w:t>
      </w:r>
      <w:r>
        <w:rPr>
          <w:rFonts w:hint="eastAsia" w:ascii="宋体" w:hAnsi="宋体" w:eastAsia="宋体" w:cs="宋体"/>
          <w:kern w:val="0"/>
          <w:sz w:val="24"/>
          <w:highlight w:val="none"/>
        </w:rPr>
        <w:t>及国家发改办价格[2003]857号文件规定收费标准收取。</w:t>
      </w:r>
    </w:p>
    <w:p>
      <w:pPr>
        <w:pStyle w:val="102"/>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29.2 中标人在签订合同后，向代理机构一次性付清中标服务费或从投标保证金中扣除中标服务费，剩余投标保证金原账户退回。</w:t>
      </w:r>
    </w:p>
    <w:p>
      <w:pPr>
        <w:snapToGrid w:val="0"/>
        <w:spacing w:line="360" w:lineRule="auto"/>
        <w:ind w:firstLine="482" w:firstLineChars="200"/>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rPr>
        <w:t>七. 签订合同</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30.签订合同</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30.2采购人不得向中标人提出任何不合理的要求作为签订合同的条件。</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30.3在合同履行中，采购人如需追加与合同标的相同的货物，在不改变合同其他条款的前提下，采购人可与中标人协商签订补充合同，但所有补充合同的采购金额不得超过原合同金额的百分之十。 </w:t>
      </w:r>
    </w:p>
    <w:p>
      <w:pPr>
        <w:pStyle w:val="122"/>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30.4投标人根据招标文件的规定和采购项目的实际情况，拟在中标后将中标项目的非主体、非关键性工作分包的，应当在投标文件中载明分包承担主体，分包承担主体应当具备相应资质条件且不得再次分包。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122"/>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30.5中标人一旦中标，未经采购人事先给予书面同意不得转包、分包，亦不得将合同全部及任何权利、义务向第三方转让，除符合《政府采购促进中小企业发展管理办法》相关规定外，其他情形将被视为严重违约。</w:t>
      </w:r>
      <w:r>
        <w:rPr>
          <w:rFonts w:hint="eastAsia" w:ascii="宋体" w:hAnsi="宋体" w:eastAsia="宋体" w:cs="宋体"/>
          <w:kern w:val="0"/>
          <w:sz w:val="24"/>
          <w:highlight w:val="none"/>
        </w:rPr>
        <w:t xml:space="preserve">或采购人有权决定按照中标人中标后毁标、终止或解除合同等依约处理。 </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30.6采购人与中标人应当根据合同的约定依法履行合同义务。</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30.7中标人应当自合同或补充合同签订之日起五个工作日内，将合同副本一份报代理机构存档，采购人同时在</w:t>
      </w:r>
      <w:r>
        <w:rPr>
          <w:rFonts w:hint="eastAsia" w:ascii="宋体" w:hAnsi="宋体" w:eastAsia="宋体" w:cs="宋体"/>
          <w:b/>
          <w:kern w:val="0"/>
          <w:sz w:val="24"/>
          <w:highlight w:val="none"/>
        </w:rPr>
        <w:t>山西省政府采购网</w:t>
      </w:r>
      <w:r>
        <w:rPr>
          <w:rFonts w:hint="eastAsia" w:ascii="宋体" w:hAnsi="宋体" w:eastAsia="宋体" w:cs="宋体"/>
          <w:kern w:val="0"/>
          <w:sz w:val="24"/>
          <w:highlight w:val="none"/>
        </w:rPr>
        <w:t>进行公示。</w:t>
      </w:r>
    </w:p>
    <w:p>
      <w:pPr>
        <w:snapToGrid w:val="0"/>
        <w:spacing w:line="360" w:lineRule="auto"/>
        <w:ind w:firstLine="482" w:firstLineChars="200"/>
        <w:outlineLvl w:val="1"/>
        <w:rPr>
          <w:rFonts w:hint="eastAsia" w:ascii="宋体" w:hAnsi="宋体" w:eastAsia="宋体" w:cs="宋体"/>
          <w:b/>
          <w:kern w:val="0"/>
          <w:sz w:val="24"/>
          <w:highlight w:val="none"/>
        </w:rPr>
      </w:pPr>
      <w:bookmarkStart w:id="56" w:name="_Toc175644024"/>
      <w:r>
        <w:rPr>
          <w:rFonts w:hint="eastAsia" w:ascii="宋体" w:hAnsi="宋体" w:eastAsia="宋体" w:cs="宋体"/>
          <w:b/>
          <w:kern w:val="0"/>
          <w:sz w:val="24"/>
          <w:highlight w:val="none"/>
        </w:rPr>
        <w:t>八、保密和披露</w:t>
      </w:r>
      <w:bookmarkEnd w:id="56"/>
    </w:p>
    <w:p>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31.保密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31.1潜在投标人自领取招标文件之日起，须承诺承担本招标项目项下保密义务，不得将因本次招标获得的信息向第三人外传。</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31.2有关人员对评标情况以及在评标过程中获悉的国家秘密、商业秘密负有保密责任。</w:t>
      </w:r>
    </w:p>
    <w:p>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32.披露</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32.1采购人或代理机构有权将投标人提供的所有资料向政府有关部门或评审标书的有关人员披露。</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pPr>
        <w:snapToGrid w:val="0"/>
        <w:spacing w:line="444" w:lineRule="exact"/>
        <w:ind w:firstLine="482" w:firstLineChars="200"/>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rPr>
        <w:t>九、询问和质疑</w:t>
      </w:r>
    </w:p>
    <w:p>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33.投标人有权就招标事宜提出询问和质疑。</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 招标程序受《中华人民共和国政府采购法》、《中华人民共和国政府采购法实施条例》、《政府采购货物和服务招标投标管理办法》和相关法律法规的约束，并受到严格的内部监督，以确保授予合同过程的公平公正。</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33.2 投标人对招标文件条款或商务、技术参数有异议的，应当在开标前通过澄清或修改程序提出。</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33.3 投标人对采购文件在法定质疑期内一次性提出针对同一采购程序环节的质疑。</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33.4 投标人认为招标文件、采购过程、中标或者中标成交结果使自己的合法权益受到损害的，可以在知道或者应知其权益受到损害之日起7个工作日内，在山西政府采购平台内向采购人、采购代理机构一次性提出质疑。</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33.5 潜在投标人已依法获取其可质疑的采购文件的，可以对该文件提出质疑。对招标文件提出质疑的，在获取招标文件或者招标公告期限届满之日起7个工作日内提出。</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33.6质疑应当从山西政府采购平台以书面形式向采购代理机构提出，经法定代表人签字并加盖公章。</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 投标人提出质疑应当提交质疑函和必要的证明材料。质疑函应当包括以下主要内容：</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33.7.1投标人的姓名或者名称、地址、邮编、联系人及联系电话；</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33.7.2质疑项目名称、编号、包号（若分包）；</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33.7.3具体、明确的质疑事项和与质疑事项相关的请求；</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33.7.4事实依据；</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33.7.5必要的法律依据；</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33.7.6提出质疑的日期。</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投标人为自然人的，应当由本人签字；投标人为法人或者其他组织的，应当由法定代表人、主要负责人或者其授权代表签字或者盖章，并加盖公章。</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33.8 质疑应按照“谁主张、谁举证”的原则，质疑书应当附相关证明材料。质疑材料应为简体中文，一式二份。</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33.9有下列情形之一的，属于无效质疑，代理机构可不予受理：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33.9.1未在有效期限内提出质疑的；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33.9.2质疑未从山西政府采购平台提出的；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33.9.3所提交材料未明示属于质疑材料的；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33.9.4质疑书没有法定代表人签章并加盖单位公章的；质疑书由参加采购项目的授权代表签署本人姓名或印盖本人姓名章，但没有法定代表人特别授权的；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33.9.5质疑书未提供有效联系人或联系方式的；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33.8.6质疑事项已经进入投诉或者行政复议或者诉讼程序的；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33.9.7质疑书未附相关证明材料，被视为无有效证据支持的；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33.9.8投标人对招标文件条款或技术参数有异议，未在开标前通过澄清或修改程序提出，并且投标人已经参与投标，而于开标后对招标文件提出质疑的；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33.9.9在提出本次质疑前半年内连续三次质疑而无事实依据的；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33.9.10其它不符合受理条件的情形。</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33.10采购人、采购代理机构不得拒收质疑投标人在法定质疑期内发出的质疑函，应当在收到质疑函后7个工作日内做出答复，并以书面形式通知质疑投标人和其他有关投标人。</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33.11投标人对评审过程、中标结果提出质疑的，采购人、采购代理机构可以组织原评标委员会协助答复质疑。</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33.12质疑答复应当包含以下内容：</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33.13采购人、采购代理机构认为投标人质疑不成立，或者成立但未对中标结果构成影响的，继续开展采购活动；认为投标人质疑成立且影响或者可能影响中标结果的，按照下列情况处理：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33.13.1对招标文件提出的质疑，依法通过澄清或者修改可以继续开展招标活动；否则应当修改招标文件后重新开展活动。</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33.13.2对招标过程、中标结果提出的质疑，合格投标人符合法定数量时，可以从合格的中标候选人中另行确定中标人的，应当依法另行确定中标人；否则应当重新开展招标活动。</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质疑答复导致中标结果改变的，采购或者采购代理机构应当将有关情况书面报告本机财政部门。</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33.14质疑投标人对采购人、代理机构的答复不满意，或者代理机构未在规定的时间内做出答复的，可以在答复期满后15个工作日内向政府采购监管部门投诉。</w:t>
      </w:r>
    </w:p>
    <w:p>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十、</w:t>
      </w:r>
      <w:bookmarkEnd w:id="48"/>
      <w:r>
        <w:rPr>
          <w:rFonts w:hint="eastAsia" w:ascii="宋体" w:hAnsi="宋体" w:eastAsia="宋体" w:cs="宋体"/>
          <w:b/>
          <w:kern w:val="0"/>
          <w:sz w:val="24"/>
          <w:highlight w:val="none"/>
        </w:rPr>
        <w:t>相关政策要求</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 进口货物及政府采购政策要求</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34.1涉及进口产品的评审标准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（1）本项目采购标的物未特别注明“进口产品”（通过中国海关报关验放进入中国境内且产自关境外的产品）字样的，均必须采购国产产品，否则投标无效；</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本项目特别注明“进口产品”字样的，不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pPr>
        <w:snapToGrid w:val="0"/>
        <w:spacing w:line="444"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34.2涉及“节能产品、环境标志产品品目清单”政府强制采购产品的评审标准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文件列出政府强制采购产品的，投标人必须投报“节能产品政府采购品目清单”“环境标志产品政府采购品目清单”范围内的（★项）产品，需将政府强制采购产品如实填写到《政府强制采购产品明细表》（格式见第七部分），并提供处于有效期之内的节能产品认证证书扫描件，认证机构须为《市场监管总局关于发布参与实施政府采购节能产品、环境标志产品认证机构名录的公告》2019年第16号文件中列明的目录单位；否则，投标文件将被拒绝。</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（2）本文件未列出政府强制采购产品的，投标人可投报“节能产品政府采购品目清单、环境标志产品政府采购品目清单”中非政府强制采购产品或其范围以外的产品。</w:t>
      </w:r>
    </w:p>
    <w:p>
      <w:pPr>
        <w:snapToGrid w:val="0"/>
        <w:spacing w:line="444"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34.3涉及非政府强制采购产品的评审标准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（1）投标人投报“节能产品政府采购品目清单、环境标志产品政府采购品目清单”中非政府强制采购产品的将给予适当加分。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（2）投标人需将非政府强制采购产品如实填写到《非政府强制采购产品明细表》（格式见第七部分），并提供处于有效期之内的节能产品、环境标志产品认证证书扫描件。</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34.4涉及“节能产品、环境标志产品品目清单”政策优先采购产品的评审标准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（1）投标货物中有政府优先采购（非★项）产品的将给予适当加分。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（2）投标人须如实填写《政府优先采购产品明细表》。并提供处于有效期之内的节能产品、环境标志产品认证证书扫描件。</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34.5涉及正版软件的评审标准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本项目采购标的物涉及计算机产品或硬件产品内预装软件的，投标人需承诺所投报的计算机预装正版操作系统，投报的硬件产品内的预装软件为正版软件。投标人须填写《正版软件承诺》（格式见第七部分）。</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34.6涉及网络安全专用产品的评审标准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（3）具备资格的机构是指列入最新一批《承担网络关键设备和网络安全专用产品安全认证和安全检测任务机构名录》的机构。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（4）所投报的网络安全产品如涉及《网络关键设备和网络安全专用产品目录》中列入的38类产品，应如实填写《网络安全专用产品表》（格式见第七部分）。</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34.7中小企业参加本项目的评审标准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七部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（2）中小企业只有提供本企业制造的货物，或者提供其他中小企业制造的货物，享受投标货物的价格扣除优惠为15%（工程项目为5%）。若有的话，如实填写《中小企业声明函》（格式见第六章）。</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（3）中小企业提供的货物有中小企业制造货物，或有大型企业制造货物的，不享受价格折扣。</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联合体价格折扣：非专门面向中小企业采购的项目或特定采购包，本项目若允许联合体参加，联合体各方均为小微企业的，联合体视同小微企业，享受价格折扣优惠政策；大中型企业与小型、微型企业组成联合体的，联合协议约定小型、微型企业的合同份额占到合同总金额30%以上的，对联合体的报价给予5%的价格扣除，用扣除后价格参加评审。</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组成联合体的小微企业与联合体内其他企业存在直接控股、管理关系的，不享受价格折扣优惠政策。</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联合体中小微企业需按投标文件格式要求，如实填写《中小企业声明函》（格式见第七部分）。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大中型企业向中小企业分包的价格折扣：大中型企业向一家或者多家中小企业分包的，分包意向协议约定中小企业的合同份额占到合同总金额30%以上的，对大中型企业的报价给予5%的扣除，用扣除后价格参加评审。本次采购确定的优惠幅度详见投标人须知前附表。</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（6）通过享受扶持政策、价格折扣并获得政府采购合同的：中小企业不得将合同分包给大中型企业；中型企业不得将合同分包给大型企业。</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若评审委员会在评审过程中发现有投标人提供的《中小企业声明函》内容不实的，可将有关上报同级财政部门，经财政部门核实后，按照有关法律法规予以处罚；若投标人发现成交投标人所提供的《中小企业声明函》内容不实，可按照招标文件中规定流程提出相关质疑材料，若质疑成立，采购代理机构将上报同级财政部门，经财政部门核实后，按照有关法律法规予以处罚。</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34.8残疾人福利性单位参加本项目的评审标准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须根据《关于促进残疾人就业政府采购政策的通知》（财库〔2017〕141号）的要求，如实填写《残疾人福利性单位声明函》（格式见第七部分），残疾人福利性单位参加本项目投标时，享受中小企业的价格折扣，用扣除后的价格参与评审。</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（2）享受政府采购支持政策的残疾人福利性单位应当同时满足以下条件：</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A.安置的残疾人占本单位在职职工人数的比例不低于25%（含25%），并且安置的残疾人人数不少于10人（含10人）；</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B.依法与安置的每位残疾人签订了一年以上（含一年）的劳动合同或服务协议；</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C.为安置的每位残疾人按月足额缴纳了基本养老保险、基本医疗保险、失业保险、工伤保险和生育保险等社会保险费；</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D.通过银行等金融机构向安置的每位残疾人，按月支付了不低于单位所在区县适用的经省级人民政府批准的月最低工资标准的工资；</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E.提供本单位制造的货物、承担的工程或者服务（以下简称产品），或者提供其他残疾人福利性单位制造的货物（不包括使用非残疾人福利性单位注册商标的货物）。</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（3）投标人提供的《残疾人福利性单位声明函》与事实不符的，依照《政府采购法》第七十七条第一款的规定追究法律责任。</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残疾人福利性单位视同中小企业，享受预留份额、评审中价格扣除等促进中小企业发展的政府采购政策。向残疾人福利性单位采购的金额，计入面向中小企业采购的统计数据。残疾人福利性单位属于中小企业的，不重复享受政策。</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34.9涉及创新产品、创新服务的评审标准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（1）投标人投标产品或服务属于《山西省创新产品和服务推荐清单》中创新产品或创新服务的，在评审时，享受投标产品10%的价格折扣，以折扣后的价格参与评审。</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（2）投标人投标创新产品或创新服务的，应在投标文件中填写《创新产品或创新服务明细表》（格式见第七部分），并提供《山西省创新产品和服务推荐清单》。</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（3）创新产品或创新服务的价格折扣政策可与其他政府采购政策叠加。</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34.10监狱企业参加本项目投标的评审标准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依据《财政部司法部关于政府采购支持监狱企业发展有关问题的通知》（财库〔2014〕68号）规定，监狱企业参加投标视同小微企业，需提供由省级以上监狱管理局或戒毒管理局出具的属于监狱企业的证明文件。</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声明函：（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监狱企业只有提供本企业制造的货物或服务，或者提供其他中小企业制造的货物，享受预留份额、评审中价格扣除等政府采购促进中小企业发展的政府采购政策，享受投标货物中小企业的价格折扣，用扣除后的价格参与评审。若有的话，如实填写《监狱企业声明函》（格式见第七部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（3）监狱企业与中型企业组成联合体参加投标的，或者向监狱企业分包，且联合体协议或分包意向协议约定监狱企业的协议金额占到合同金额30%以上的，享受投标标的5%的价格扣除，用扣除后的价格参与评审。</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（4）监狱企业又属于中小企业的，不重复享受政策。</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34.11涉及商品包装和快递包装的评审标准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文件列出商品包装和快递包装要求的，投标人需填写《商品包装和快递包装承诺函》，承诺商品包装符合《商品包装政府采购需求标准（试行）》，快递包装符合《快递包装政府采购需求标准（试行）》。</w:t>
      </w:r>
    </w:p>
    <w:p>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34.12涉及本国产品的评审标准</w:t>
      </w:r>
    </w:p>
    <w:p>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snapToGrid w:val="0"/>
        <w:spacing w:line="444"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评标委员会应当对投标人所出具的《关于符合本国产品标准的声明函》（以下简称《声明函》）（格式见第七部分）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pPr>
        <w:snapToGrid w:val="0"/>
        <w:spacing w:line="444"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napToGrid w:val="0"/>
        <w:spacing w:line="444" w:lineRule="exact"/>
        <w:ind w:firstLine="482" w:firstLineChars="200"/>
        <w:rPr>
          <w:rFonts w:hint="eastAsia" w:ascii="宋体" w:hAnsi="宋体" w:eastAsia="宋体" w:cs="宋体"/>
          <w:sz w:val="24"/>
          <w:highlight w:val="none"/>
        </w:rPr>
      </w:pPr>
      <w:r>
        <w:rPr>
          <w:rFonts w:hint="eastAsia" w:ascii="宋体" w:hAnsi="宋体" w:eastAsia="宋体" w:cs="宋体"/>
          <w:b/>
          <w:bCs/>
          <w:kern w:val="0"/>
          <w:sz w:val="24"/>
          <w:highlight w:val="none"/>
        </w:rPr>
        <w:t>34.13</w:t>
      </w:r>
      <w:r>
        <w:rPr>
          <w:rFonts w:hint="eastAsia" w:ascii="宋体" w:hAnsi="宋体" w:eastAsia="宋体" w:cs="宋体"/>
          <w:sz w:val="24"/>
          <w:highlight w:val="none"/>
        </w:rPr>
        <w:t>同时符合34.7和34.12的价格评审优惠时，评标价为投标报价分别扣除促进中小企业发展政策的价格评审优惠和本国产品支持政策的价格评审优惠后的价格。</w:t>
      </w:r>
    </w:p>
    <w:p>
      <w:pPr>
        <w:widowControl/>
        <w:snapToGrid w:val="0"/>
        <w:spacing w:line="360" w:lineRule="auto"/>
        <w:jc w:val="center"/>
        <w:rPr>
          <w:rFonts w:hint="eastAsia" w:ascii="宋体" w:hAnsi="宋体" w:eastAsia="宋体" w:cs="宋体"/>
          <w:b/>
          <w:kern w:val="0"/>
          <w:sz w:val="30"/>
          <w:szCs w:val="30"/>
          <w:highlight w:val="none"/>
        </w:rPr>
      </w:pPr>
      <w:bookmarkStart w:id="57" w:name="_Toc175644026"/>
    </w:p>
    <w:p>
      <w:pP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pPr>
        <w:pStyle w:val="17"/>
        <w:rPr>
          <w:rFonts w:hint="eastAsia" w:ascii="宋体" w:hAnsi="宋体" w:eastAsia="宋体" w:cs="宋体"/>
          <w:highlight w:val="none"/>
        </w:rPr>
      </w:pPr>
    </w:p>
    <w:p>
      <w:pPr>
        <w:widowControl/>
        <w:snapToGrid w:val="0"/>
        <w:spacing w:line="360" w:lineRule="auto"/>
        <w:jc w:val="center"/>
        <w:outlineLvl w:val="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第四部分  </w:t>
      </w:r>
      <w:bookmarkEnd w:id="57"/>
      <w:r>
        <w:rPr>
          <w:rFonts w:hint="eastAsia" w:ascii="宋体" w:hAnsi="宋体" w:eastAsia="宋体" w:cs="宋体"/>
          <w:b/>
          <w:kern w:val="0"/>
          <w:sz w:val="30"/>
          <w:szCs w:val="30"/>
          <w:highlight w:val="none"/>
        </w:rPr>
        <w:t>评标标准和评标方法</w:t>
      </w:r>
    </w:p>
    <w:p>
      <w:pPr>
        <w:widowControl/>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一、资格审查内容及标准</w:t>
      </w:r>
    </w:p>
    <w:tbl>
      <w:tblPr>
        <w:tblStyle w:val="5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04"/>
        <w:gridCol w:w="1955"/>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3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类型</w:t>
            </w:r>
          </w:p>
        </w:tc>
        <w:tc>
          <w:tcPr>
            <w:tcW w:w="1955"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审查要求</w:t>
            </w:r>
          </w:p>
        </w:tc>
        <w:tc>
          <w:tcPr>
            <w:tcW w:w="4532"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3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营业执照</w:t>
            </w:r>
          </w:p>
        </w:tc>
        <w:tc>
          <w:tcPr>
            <w:tcW w:w="1955"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具有独立承担</w:t>
            </w:r>
          </w:p>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民事责任的能力</w:t>
            </w:r>
          </w:p>
        </w:tc>
        <w:tc>
          <w:tcPr>
            <w:tcW w:w="4532" w:type="dxa"/>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34" w:type="dxa"/>
            <w:vAlign w:val="center"/>
          </w:tcPr>
          <w:p>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财务报告</w:t>
            </w:r>
          </w:p>
        </w:tc>
        <w:tc>
          <w:tcPr>
            <w:tcW w:w="1955"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具有良好的商业信誉和健全的财务会计制度</w:t>
            </w:r>
          </w:p>
        </w:tc>
        <w:tc>
          <w:tcPr>
            <w:tcW w:w="4532" w:type="dxa"/>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34" w:type="dxa"/>
            <w:vAlign w:val="center"/>
          </w:tcPr>
          <w:p>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pPr>
              <w:spacing w:line="40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有</w:t>
            </w:r>
            <w:r>
              <w:rPr>
                <w:rFonts w:hint="eastAsia" w:ascii="宋体" w:hAnsi="宋体" w:eastAsia="宋体" w:cs="宋体"/>
                <w:sz w:val="22"/>
                <w:szCs w:val="22"/>
                <w:highlight w:val="none"/>
              </w:rPr>
              <w:t>依法缴纳税收和社会保障资金</w:t>
            </w:r>
            <w:r>
              <w:rPr>
                <w:rFonts w:hint="eastAsia" w:ascii="宋体" w:hAnsi="宋体" w:cs="宋体"/>
                <w:sz w:val="22"/>
                <w:szCs w:val="22"/>
                <w:highlight w:val="none"/>
                <w:lang w:val="en-US" w:eastAsia="zh-CN"/>
              </w:rPr>
              <w:t>的良好记录</w:t>
            </w:r>
          </w:p>
        </w:tc>
        <w:tc>
          <w:tcPr>
            <w:tcW w:w="4532" w:type="dxa"/>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834" w:type="dxa"/>
            <w:vAlign w:val="center"/>
          </w:tcPr>
          <w:p>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 </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具有</w:t>
            </w:r>
            <w:r>
              <w:rPr>
                <w:rFonts w:hint="eastAsia" w:ascii="宋体" w:hAnsi="宋体" w:eastAsia="宋体" w:cs="宋体"/>
                <w:sz w:val="22"/>
                <w:szCs w:val="22"/>
                <w:highlight w:val="none"/>
              </w:rPr>
              <w:t>履行合同所必需的设备和专业技术能力</w:t>
            </w:r>
          </w:p>
        </w:tc>
        <w:tc>
          <w:tcPr>
            <w:tcW w:w="4532" w:type="dxa"/>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3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60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投标人近三年无重大违法记录声明</w:t>
            </w:r>
          </w:p>
        </w:tc>
        <w:tc>
          <w:tcPr>
            <w:tcW w:w="4532" w:type="dxa"/>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34" w:type="dxa"/>
            <w:vAlign w:val="center"/>
          </w:tcPr>
          <w:p>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604" w:type="dxa"/>
            <w:vAlign w:val="center"/>
          </w:tcPr>
          <w:p>
            <w:pPr>
              <w:adjustRightInd w:val="0"/>
              <w:snapToGrid w:val="0"/>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pPr>
              <w:adjustRightInd w:val="0"/>
              <w:snapToGrid w:val="0"/>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投标人廉洁自律承诺书</w:t>
            </w:r>
          </w:p>
        </w:tc>
        <w:tc>
          <w:tcPr>
            <w:tcW w:w="4532" w:type="dxa"/>
            <w:vAlign w:val="center"/>
          </w:tcPr>
          <w:p>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廉洁自律承诺书。</w:t>
            </w:r>
          </w:p>
          <w:p>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pPr>
              <w:spacing w:line="360" w:lineRule="auto"/>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7</w:t>
            </w:r>
          </w:p>
        </w:tc>
        <w:tc>
          <w:tcPr>
            <w:tcW w:w="1604" w:type="dxa"/>
            <w:vAlign w:val="center"/>
          </w:tcPr>
          <w:p>
            <w:pP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采购政策</w:t>
            </w:r>
          </w:p>
        </w:tc>
        <w:tc>
          <w:tcPr>
            <w:tcW w:w="1955" w:type="dxa"/>
          </w:tcPr>
          <w:p>
            <w:pPr>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落实政府采购政策需满足的资格要求</w:t>
            </w:r>
          </w:p>
        </w:tc>
        <w:tc>
          <w:tcPr>
            <w:tcW w:w="4532" w:type="dxa"/>
            <w:vAlign w:val="center"/>
          </w:tcPr>
          <w:p>
            <w:pPr>
              <w:rPr>
                <w:rFonts w:hint="eastAsia" w:ascii="宋体" w:hAnsi="宋体" w:eastAsia="宋体" w:cs="宋体"/>
                <w:sz w:val="22"/>
                <w:szCs w:val="22"/>
                <w:highlight w:val="none"/>
                <w:lang w:eastAsia="zh-CN"/>
              </w:rPr>
            </w:pPr>
            <w:r>
              <w:rPr>
                <w:rFonts w:hint="eastAsia" w:ascii="宋体" w:hAnsi="宋体" w:cs="宋体"/>
                <w:kern w:val="0"/>
                <w:sz w:val="22"/>
                <w:szCs w:val="22"/>
                <w:highlight w:val="none"/>
                <w:lang w:val="en-US" w:eastAsia="zh-CN"/>
              </w:rPr>
              <w:t>本项目专门面向中小企业采购，</w:t>
            </w:r>
            <w:r>
              <w:rPr>
                <w:rFonts w:hint="eastAsia" w:ascii="宋体" w:hAnsi="宋体" w:eastAsia="宋体" w:cs="宋体"/>
                <w:kern w:val="0"/>
                <w:sz w:val="22"/>
                <w:szCs w:val="22"/>
                <w:highlight w:val="none"/>
              </w:rPr>
              <w:t>中小企业声明函符合招标文件要求</w:t>
            </w:r>
            <w:r>
              <w:rPr>
                <w:rFonts w:hint="eastAsia" w:ascii="宋体" w:hAnsi="宋体" w:cs="宋体"/>
                <w:kern w:val="0"/>
                <w:sz w:val="22"/>
                <w:szCs w:val="22"/>
                <w:highlight w:val="none"/>
                <w:lang w:eastAsia="zh-CN"/>
              </w:rPr>
              <w:t>。</w:t>
            </w:r>
          </w:p>
        </w:tc>
      </w:tr>
    </w:tbl>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除上述内容外，投标人提供的其他材料，不作为资格审查的内容。</w:t>
      </w:r>
    </w:p>
    <w:p>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pPr>
        <w:pStyle w:val="122"/>
        <w:snapToGrid w:val="0"/>
        <w:spacing w:line="360" w:lineRule="auto"/>
        <w:ind w:firstLine="241" w:firstLineChars="1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二、符合性审查的内容及标准</w:t>
      </w:r>
    </w:p>
    <w:tbl>
      <w:tblPr>
        <w:tblStyle w:val="5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92"/>
        <w:gridCol w:w="2189"/>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0"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992" w:type="dxa"/>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内容</w:t>
            </w:r>
          </w:p>
        </w:tc>
        <w:tc>
          <w:tcPr>
            <w:tcW w:w="4905"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30"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法定代表人（负责人）身份证明书、法定代表人（负责人）授权委托书、投标函的审核</w:t>
            </w:r>
          </w:p>
        </w:tc>
        <w:tc>
          <w:tcPr>
            <w:tcW w:w="4905" w:type="dxa"/>
            <w:vAlign w:val="center"/>
          </w:tcPr>
          <w:p>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审核</w:t>
            </w:r>
            <w:r>
              <w:rPr>
                <w:rFonts w:hint="eastAsia" w:ascii="宋体" w:hAnsi="宋体" w:eastAsia="宋体" w:cs="宋体"/>
                <w:sz w:val="24"/>
                <w:highlight w:val="none"/>
              </w:rPr>
              <w:t>法定代表人（负责人）身份证明文件、法定代表人（负责人）授权委托书及投标函是否按招标文件第七部分要求格式提供；内容是否完整、有效；投标有效期</w:t>
            </w:r>
            <w:r>
              <w:rPr>
                <w:rFonts w:hint="eastAsia" w:ascii="宋体" w:hAnsi="宋体" w:eastAsia="宋体" w:cs="宋体"/>
                <w:kern w:val="0"/>
                <w:sz w:val="24"/>
                <w:highlight w:val="none"/>
              </w:rPr>
              <w:t>是否符合招标文件要求；授权人签署是否在授权书有效期内；</w:t>
            </w:r>
            <w:r>
              <w:rPr>
                <w:rFonts w:hint="eastAsia" w:ascii="宋体" w:hAnsi="宋体" w:eastAsia="宋体" w:cs="宋体"/>
                <w:sz w:val="24"/>
                <w:highlight w:val="none"/>
              </w:rPr>
              <w:t>是否按招标文件要求对其进行了签署、盖章等。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投标文件的签署、盖章</w:t>
            </w:r>
          </w:p>
        </w:tc>
        <w:tc>
          <w:tcPr>
            <w:tcW w:w="4905" w:type="dxa"/>
            <w:vAlign w:val="center"/>
          </w:tcPr>
          <w:p>
            <w:pPr>
              <w:widowControl/>
              <w:snapToGrid w:val="0"/>
              <w:spacing w:line="440" w:lineRule="exac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审查</w:t>
            </w:r>
            <w:r>
              <w:rPr>
                <w:rStyle w:val="141"/>
                <w:rFonts w:hint="eastAsia" w:ascii="宋体" w:hAnsi="宋体" w:eastAsia="宋体" w:cs="宋体"/>
                <w:kern w:val="0"/>
                <w:sz w:val="24"/>
                <w:highlight w:val="none"/>
              </w:rPr>
              <w:t>投标文件是否按招标文件的规定签署、盖章。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投标保证金</w:t>
            </w:r>
          </w:p>
        </w:tc>
        <w:tc>
          <w:tcPr>
            <w:tcW w:w="4905" w:type="dxa"/>
            <w:vAlign w:val="center"/>
          </w:tcPr>
          <w:p>
            <w:pPr>
              <w:spacing w:line="36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投标保证金按照投标人须知前附表要求缴纳。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pPr>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报价</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投标文件报价审核</w:t>
            </w:r>
          </w:p>
        </w:tc>
        <w:tc>
          <w:tcPr>
            <w:tcW w:w="4905" w:type="dxa"/>
            <w:vAlign w:val="center"/>
          </w:tcPr>
          <w:p>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1.审查开标一览表是否按招标文件提供格式的内容进行填写；内容是否完整；是否按招标文件要求对其进行了签署、盖章，授权代表的签署时间是否在授权签署时间内。</w:t>
            </w:r>
          </w:p>
          <w:p>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2.开标一览表若存在漏项、缺项、错项；存在有超出本项目预算金额或最高限价的报价的，投标无效；</w:t>
            </w:r>
          </w:p>
          <w:p>
            <w:pPr>
              <w:tabs>
                <w:tab w:val="left" w:pos="567"/>
              </w:tabs>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3.报价有可选择或可调整的投标和报价的，投标无效。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0" w:type="dxa"/>
            <w:vAlign w:val="center"/>
          </w:tcPr>
          <w:p>
            <w:pPr>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商务要求相应内容的审核</w:t>
            </w:r>
          </w:p>
        </w:tc>
        <w:tc>
          <w:tcPr>
            <w:tcW w:w="4905" w:type="dxa"/>
            <w:vAlign w:val="center"/>
          </w:tcPr>
          <w:p>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对照本文件第五部分的执行标准、交货时间、交货地点、款项付款方式、履约保证金、服务要求及质量标准等和投标文件的响应情况进行审查，没有做出实质性响应的做无效投标处理。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30" w:type="dxa"/>
            <w:vAlign w:val="center"/>
          </w:tcPr>
          <w:p>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技术要求相应内容的审核</w:t>
            </w:r>
          </w:p>
        </w:tc>
        <w:tc>
          <w:tcPr>
            <w:tcW w:w="4905" w:type="dxa"/>
            <w:vAlign w:val="center"/>
          </w:tcPr>
          <w:p>
            <w:pPr>
              <w:adjustRightInd w:val="0"/>
              <w:snapToGrid w:val="0"/>
              <w:spacing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对照本文件第五部分“技术要求”中的内容和投标文件的响应情况进行审查；或评标委员会共同认定属于投标文件存在重大偏离的情况进行审查，没有做出实质性、符合性响应的做无效投标处理。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 w:type="dxa"/>
            <w:vAlign w:val="center"/>
          </w:tcPr>
          <w:p>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w:t>
            </w:r>
          </w:p>
        </w:tc>
        <w:tc>
          <w:tcPr>
            <w:tcW w:w="992"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其他</w:t>
            </w:r>
          </w:p>
        </w:tc>
        <w:tc>
          <w:tcPr>
            <w:tcW w:w="4905" w:type="dxa"/>
            <w:vAlign w:val="center"/>
          </w:tcPr>
          <w:p>
            <w:pPr>
              <w:adjustRightInd w:val="0"/>
              <w:snapToGrid w:val="0"/>
              <w:spacing w:line="48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满足招标文件中规定的其他实质性要求，或投标文件无采购人不能接受的条件的</w:t>
            </w:r>
            <w:r>
              <w:rPr>
                <w:rFonts w:hint="eastAsia" w:ascii="宋体" w:hAnsi="宋体" w:cs="宋体"/>
                <w:sz w:val="24"/>
                <w:highlight w:val="none"/>
                <w:lang w:eastAsia="zh-CN"/>
              </w:rPr>
              <w:t>。</w:t>
            </w:r>
          </w:p>
        </w:tc>
      </w:tr>
    </w:tbl>
    <w:p>
      <w:pPr>
        <w:pStyle w:val="122"/>
        <w:snapToGrid w:val="0"/>
        <w:spacing w:line="360" w:lineRule="auto"/>
        <w:ind w:left="1080" w:hanging="1080" w:hangingChars="4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122"/>
        <w:snapToGrid w:val="0"/>
        <w:spacing w:line="360" w:lineRule="auto"/>
        <w:ind w:left="2"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1.符合性审查的内容，经评标委员会共同认定没有做出实质性、符合性响应的，将导致投标无效。</w:t>
      </w:r>
    </w:p>
    <w:p>
      <w:pPr>
        <w:pStyle w:val="122"/>
        <w:snapToGrid w:val="0"/>
        <w:spacing w:line="360" w:lineRule="auto"/>
        <w:ind w:left="2"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2．审查时，对特殊情况的处理评标委员会要遵循招标文件第三部分投标人须知第25条规定的原则。</w:t>
      </w:r>
    </w:p>
    <w:p>
      <w:pPr>
        <w:pStyle w:val="122"/>
        <w:snapToGrid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bCs/>
          <w:sz w:val="24"/>
          <w:szCs w:val="24"/>
          <w:highlight w:val="none"/>
        </w:rPr>
        <w:t>异常低价投标审</w:t>
      </w:r>
    </w:p>
    <w:tbl>
      <w:tblPr>
        <w:tblStyle w:val="55"/>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60"/>
        <w:gridCol w:w="446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8" w:type="dxa"/>
            <w:gridSpan w:val="4"/>
            <w:tcBorders>
              <w:bottom w:val="single" w:color="auto" w:sz="4" w:space="0"/>
            </w:tcBorders>
            <w:vAlign w:val="center"/>
          </w:tcPr>
          <w:p>
            <w:pPr>
              <w:adjustRightInd w:val="0"/>
              <w:snapToGrid w:val="0"/>
              <w:ind w:right="-1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异常低价投标审查表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561" w:type="dxa"/>
            <w:tcBorders>
              <w:bottom w:val="single" w:color="auto" w:sz="4" w:space="0"/>
            </w:tcBorders>
            <w:vAlign w:val="center"/>
          </w:tcPr>
          <w:p>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评审指标</w:t>
            </w:r>
          </w:p>
        </w:tc>
        <w:tc>
          <w:tcPr>
            <w:tcW w:w="4845" w:type="dxa"/>
            <w:tcBorders>
              <w:bottom w:val="single" w:color="auto" w:sz="4" w:space="0"/>
            </w:tcBorders>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评审标准</w:t>
            </w:r>
          </w:p>
        </w:tc>
        <w:tc>
          <w:tcPr>
            <w:tcW w:w="1834" w:type="dxa"/>
            <w:tcBorders>
              <w:bottom w:val="single" w:color="auto" w:sz="4" w:space="0"/>
            </w:tcBorders>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561" w:type="dxa"/>
            <w:tcBorders>
              <w:bottom w:val="single" w:color="auto" w:sz="4" w:space="0"/>
            </w:tcBorders>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异常低价投标审查</w:t>
            </w:r>
          </w:p>
        </w:tc>
        <w:tc>
          <w:tcPr>
            <w:tcW w:w="4845" w:type="dxa"/>
            <w:tcBorders>
              <w:bottom w:val="single" w:color="auto" w:sz="4" w:space="0"/>
            </w:tcBorders>
            <w:vAlign w:val="center"/>
          </w:tcPr>
          <w:p>
            <w:pPr>
              <w:rPr>
                <w:rFonts w:hint="eastAsia" w:ascii="宋体" w:hAnsi="宋体" w:eastAsia="宋体" w:cs="宋体"/>
                <w:kern w:val="0"/>
                <w:sz w:val="24"/>
                <w:highlight w:val="none"/>
              </w:rPr>
            </w:pPr>
            <w:r>
              <w:rPr>
                <w:rFonts w:hint="eastAsia" w:ascii="宋体" w:hAnsi="宋体" w:eastAsia="宋体" w:cs="宋体"/>
                <w:kern w:val="0"/>
                <w:sz w:val="24"/>
                <w:highlight w:val="none"/>
              </w:rPr>
              <w:t>（1）投标报价＜全部通过符合性审查投标人投标报价平均值×50%；</w:t>
            </w:r>
          </w:p>
          <w:p>
            <w:pPr>
              <w:rPr>
                <w:rFonts w:hint="eastAsia" w:ascii="宋体" w:hAnsi="宋体" w:eastAsia="宋体" w:cs="宋体"/>
                <w:kern w:val="0"/>
                <w:sz w:val="24"/>
                <w:highlight w:val="none"/>
              </w:rPr>
            </w:pPr>
            <w:r>
              <w:rPr>
                <w:rFonts w:hint="eastAsia" w:ascii="宋体" w:hAnsi="宋体" w:eastAsia="宋体" w:cs="宋体"/>
                <w:kern w:val="0"/>
                <w:sz w:val="24"/>
                <w:highlight w:val="none"/>
              </w:rPr>
              <w:t>（2）投标报价＜通过符合性审查的次低报价投标人投标报价×50%；</w:t>
            </w:r>
          </w:p>
          <w:p>
            <w:pPr>
              <w:rPr>
                <w:rFonts w:hint="eastAsia" w:ascii="宋体" w:hAnsi="宋体" w:eastAsia="宋体" w:cs="宋体"/>
                <w:kern w:val="0"/>
                <w:sz w:val="24"/>
                <w:highlight w:val="none"/>
              </w:rPr>
            </w:pPr>
            <w:r>
              <w:rPr>
                <w:rFonts w:hint="eastAsia" w:ascii="宋体" w:hAnsi="宋体" w:eastAsia="宋体" w:cs="宋体"/>
                <w:kern w:val="0"/>
                <w:sz w:val="24"/>
                <w:highlight w:val="none"/>
              </w:rPr>
              <w:t>（3）投标报价＜采购项目最高限价（如采购项目未设定最高限价的，以采购项目预算金额作为最高限价）×45%；</w:t>
            </w:r>
          </w:p>
          <w:p>
            <w:pPr>
              <w:pStyle w:val="18"/>
              <w:rPr>
                <w:rFonts w:hint="eastAsia" w:ascii="宋体" w:hAnsi="宋体" w:eastAsia="宋体" w:cs="宋体"/>
                <w:kern w:val="0"/>
                <w:sz w:val="24"/>
                <w:highlight w:val="none"/>
              </w:rPr>
            </w:pPr>
            <w:r>
              <w:rPr>
                <w:rFonts w:hint="eastAsia" w:ascii="宋体" w:hAnsi="宋体" w:eastAsia="宋体" w:cs="宋体"/>
                <w:kern w:val="0"/>
                <w:sz w:val="24"/>
                <w:highlight w:val="none"/>
              </w:rPr>
              <w:t>（4）评标委员会基于专业判断，认为投标人报价过低，有可能影响产品质量或者不能诚信履约的其他情形。</w:t>
            </w:r>
          </w:p>
          <w:p>
            <w:pPr>
              <w:pStyle w:val="18"/>
              <w:rPr>
                <w:rFonts w:hint="eastAsia" w:ascii="宋体" w:hAnsi="宋体" w:eastAsia="宋体" w:cs="宋体"/>
                <w:kern w:val="0"/>
                <w:sz w:val="24"/>
                <w:highlight w:val="none"/>
              </w:rPr>
            </w:pPr>
            <w:r>
              <w:rPr>
                <w:rFonts w:hint="eastAsia" w:ascii="宋体" w:hAnsi="宋体" w:eastAsia="宋体" w:cs="宋体"/>
                <w:kern w:val="0"/>
                <w:sz w:val="24"/>
                <w:highlight w:val="none"/>
              </w:rPr>
              <w:t>提醒：</w:t>
            </w:r>
          </w:p>
          <w:p>
            <w:pPr>
              <w:pStyle w:val="18"/>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上述第（1）项数值计算：涉及总价、单价的精确到“分”并四舍五入，涉及费率的精确到小数点后两位，第三位四舍五入（例：如平均值为123.456元，即为123.46元；如平均值为80.126%，即为80.13%）。</w:t>
            </w:r>
          </w:p>
        </w:tc>
        <w:tc>
          <w:tcPr>
            <w:tcW w:w="1834" w:type="dxa"/>
            <w:vAlign w:val="center"/>
          </w:tcPr>
          <w:p>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说明：</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pPr>
        <w:pStyle w:val="18"/>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pPr>
        <w:pStyle w:val="12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四、无效投标的情形</w:t>
      </w:r>
    </w:p>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1.未通过资格性、符合性审查的投标文件；</w:t>
      </w:r>
    </w:p>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2.评标委员会启动异常低价投标审查后，投标人不能提供书面说明、证明材料，或者提供的书面说明、证明材料不能证明其报价合理性的。</w:t>
      </w:r>
    </w:p>
    <w:p>
      <w:pPr>
        <w:widowControl/>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sz w:val="24"/>
          <w:highlight w:val="none"/>
        </w:rPr>
        <w:t>五、</w:t>
      </w:r>
      <w:r>
        <w:rPr>
          <w:rFonts w:hint="eastAsia" w:ascii="宋体" w:hAnsi="宋体" w:eastAsia="宋体" w:cs="宋体"/>
          <w:b/>
          <w:bCs/>
          <w:kern w:val="0"/>
          <w:sz w:val="24"/>
          <w:highlight w:val="none"/>
        </w:rPr>
        <w:t>评分细则</w:t>
      </w:r>
    </w:p>
    <w:p>
      <w:pPr>
        <w:widowControl/>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本次评标采用综合评分法，投标文件满足招标文件全部实质性要求，且按照评分细则的量化指标进行评审（具体评分见综合评分法评分细则），得分最高的投标人为中标人或中标第一候选人。</w:t>
      </w:r>
    </w:p>
    <w:p>
      <w:pPr>
        <w:widowControl/>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1.综合评分法评分细则</w:t>
      </w:r>
    </w:p>
    <w:tbl>
      <w:tblPr>
        <w:tblStyle w:val="55"/>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780" w:type="dxa"/>
            <w:shd w:val="clear" w:color="auto" w:fill="auto"/>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评定内容及标准</w:t>
            </w:r>
          </w:p>
        </w:tc>
        <w:tc>
          <w:tcPr>
            <w:tcW w:w="1269" w:type="dxa"/>
            <w:shd w:val="clear" w:color="auto" w:fill="auto"/>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80" w:type="dxa"/>
            <w:vAlign w:val="center"/>
          </w:tcPr>
          <w:p>
            <w:pPr>
              <w:jc w:val="both"/>
              <w:rPr>
                <w:rFonts w:hint="eastAsia" w:ascii="宋体" w:hAnsi="宋体" w:eastAsia="宋体" w:cs="宋体"/>
                <w:sz w:val="24"/>
                <w:highlight w:val="none"/>
              </w:rPr>
            </w:pPr>
            <w:r>
              <w:rPr>
                <w:rFonts w:hint="eastAsia" w:ascii="宋体" w:hAnsi="宋体" w:eastAsia="宋体" w:cs="宋体"/>
                <w:b/>
                <w:bCs/>
                <w:sz w:val="24"/>
                <w:highlight w:val="none"/>
              </w:rPr>
              <w:t>一、商务部分</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b/>
                <w:bCs/>
                <w:sz w:val="24"/>
                <w:highlight w:val="none"/>
              </w:rPr>
              <w:t>1</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pPr>
              <w:spacing w:line="360" w:lineRule="auto"/>
              <w:ind w:firstLine="360" w:firstLineChars="150"/>
              <w:rPr>
                <w:rFonts w:hint="eastAsia" w:ascii="宋体" w:hAnsi="宋体" w:eastAsia="宋体" w:cs="宋体"/>
                <w:sz w:val="24"/>
                <w:highlight w:val="none"/>
              </w:rPr>
            </w:pPr>
            <w:r>
              <w:rPr>
                <w:rFonts w:hint="eastAsia" w:ascii="宋体" w:hAnsi="宋体" w:cs="宋体"/>
                <w:sz w:val="24"/>
                <w:highlight w:val="none"/>
                <w:lang w:eastAsia="zh-CN"/>
              </w:rPr>
              <w:t>投标人</w:t>
            </w:r>
            <w:r>
              <w:rPr>
                <w:rFonts w:hint="eastAsia" w:ascii="宋体" w:hAnsi="宋体" w:eastAsia="宋体" w:cs="宋体"/>
                <w:sz w:val="24"/>
                <w:highlight w:val="none"/>
              </w:rPr>
              <w:t>提供近三年</w:t>
            </w:r>
            <w:r>
              <w:rPr>
                <w:rFonts w:hint="eastAsia" w:ascii="宋体" w:hAnsi="宋体" w:eastAsia="宋体" w:cs="宋体"/>
                <w:sz w:val="24"/>
                <w:highlight w:val="none"/>
                <w:lang w:val="en-US" w:eastAsia="zh-CN"/>
              </w:rPr>
              <w:t>（响应文件递交截止时间前三年）</w:t>
            </w:r>
            <w:r>
              <w:rPr>
                <w:rFonts w:hint="eastAsia" w:ascii="宋体" w:hAnsi="宋体" w:eastAsia="宋体" w:cs="宋体"/>
                <w:sz w:val="24"/>
                <w:highlight w:val="none"/>
              </w:rPr>
              <w:t>所承担的</w:t>
            </w:r>
            <w:r>
              <w:rPr>
                <w:rFonts w:hint="eastAsia" w:ascii="宋体" w:hAnsi="宋体" w:cs="宋体"/>
                <w:sz w:val="24"/>
                <w:highlight w:val="none"/>
                <w:lang w:val="en-US" w:eastAsia="zh-CN"/>
              </w:rPr>
              <w:t>同类</w:t>
            </w:r>
            <w:r>
              <w:rPr>
                <w:rFonts w:hint="eastAsia" w:ascii="宋体" w:hAnsi="宋体" w:eastAsia="宋体" w:cs="宋体"/>
                <w:sz w:val="24"/>
                <w:highlight w:val="none"/>
              </w:rPr>
              <w:t>业绩，每具有一项得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分，最高1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pPr>
              <w:spacing w:line="360" w:lineRule="auto"/>
              <w:ind w:firstLine="360" w:firstLineChars="150"/>
              <w:rPr>
                <w:rFonts w:hint="eastAsia" w:ascii="宋体" w:hAnsi="宋体" w:eastAsia="宋体" w:cs="宋体"/>
                <w:sz w:val="24"/>
                <w:highlight w:val="none"/>
                <w:lang w:eastAsia="zh-CN"/>
              </w:rPr>
            </w:pPr>
            <w:r>
              <w:rPr>
                <w:rFonts w:hint="eastAsia" w:ascii="宋体" w:hAnsi="宋体" w:eastAsia="宋体" w:cs="宋体"/>
                <w:sz w:val="24"/>
                <w:highlight w:val="none"/>
              </w:rPr>
              <w:t>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所有业绩要求</w:t>
            </w:r>
            <w:r>
              <w:rPr>
                <w:rFonts w:hint="eastAsia" w:ascii="宋体" w:hAnsi="宋体" w:cs="宋体"/>
                <w:sz w:val="24"/>
                <w:highlight w:val="none"/>
                <w:lang w:eastAsia="zh-CN"/>
              </w:rPr>
              <w:t>投标人</w:t>
            </w:r>
            <w:r>
              <w:rPr>
                <w:rFonts w:hint="eastAsia" w:ascii="宋体" w:hAnsi="宋体" w:eastAsia="宋体" w:cs="宋体"/>
                <w:sz w:val="24"/>
                <w:highlight w:val="none"/>
              </w:rPr>
              <w:t>提</w:t>
            </w:r>
            <w:r>
              <w:rPr>
                <w:rFonts w:hint="eastAsia" w:ascii="宋体" w:hAnsi="宋体" w:eastAsia="宋体" w:cs="宋体"/>
                <w:sz w:val="24"/>
                <w:highlight w:val="none"/>
                <w:lang w:val="en-US" w:eastAsia="zh-CN"/>
              </w:rPr>
              <w:t>需提供合同（</w:t>
            </w:r>
            <w:r>
              <w:rPr>
                <w:rFonts w:hint="eastAsia" w:ascii="宋体" w:hAnsi="宋体" w:eastAsia="宋体" w:cs="宋体"/>
                <w:sz w:val="24"/>
                <w:highlight w:val="none"/>
              </w:rPr>
              <w:t>合同首页、合同完整金额所在页、签字盖章页</w:t>
            </w:r>
            <w:r>
              <w:rPr>
                <w:rFonts w:hint="eastAsia" w:ascii="宋体" w:hAnsi="宋体" w:eastAsia="宋体" w:cs="宋体"/>
                <w:sz w:val="24"/>
                <w:highlight w:val="none"/>
                <w:lang w:eastAsia="zh-CN"/>
              </w:rPr>
              <w:t>、</w:t>
            </w:r>
            <w:r>
              <w:rPr>
                <w:rFonts w:hint="eastAsia" w:ascii="宋体" w:hAnsi="宋体" w:eastAsia="宋体" w:cs="宋体"/>
                <w:sz w:val="24"/>
                <w:highlight w:val="none"/>
              </w:rPr>
              <w:t>供货明细</w:t>
            </w:r>
            <w:r>
              <w:rPr>
                <w:rFonts w:hint="eastAsia" w:ascii="宋体" w:hAnsi="宋体" w:eastAsia="宋体" w:cs="宋体"/>
                <w:sz w:val="24"/>
                <w:highlight w:val="none"/>
                <w:lang w:val="en-US" w:eastAsia="zh-CN"/>
              </w:rPr>
              <w:t>页</w:t>
            </w:r>
            <w:r>
              <w:rPr>
                <w:rFonts w:hint="eastAsia" w:ascii="宋体" w:hAnsi="宋体" w:cs="宋体"/>
                <w:sz w:val="24"/>
                <w:highlight w:val="none"/>
                <w:lang w:val="en-US" w:eastAsia="zh-CN"/>
              </w:rPr>
              <w:t>、结算发票</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作为证明。</w:t>
            </w:r>
            <w:r>
              <w:rPr>
                <w:rFonts w:hint="eastAsia" w:ascii="宋体" w:hAnsi="宋体" w:cs="宋体"/>
                <w:sz w:val="24"/>
                <w:highlight w:val="none"/>
                <w:lang w:eastAsia="zh-CN"/>
              </w:rPr>
              <w:t>（</w:t>
            </w:r>
            <w:r>
              <w:rPr>
                <w:rFonts w:hint="eastAsia" w:ascii="宋体" w:hAnsi="宋体" w:cs="宋体"/>
                <w:sz w:val="24"/>
                <w:highlight w:val="none"/>
                <w:lang w:val="en-US" w:eastAsia="zh-CN"/>
              </w:rPr>
              <w:t>结算方式为分期付款可提供任意一次发票作为凭证</w:t>
            </w:r>
            <w:r>
              <w:rPr>
                <w:rFonts w:hint="eastAsia" w:ascii="宋体" w:hAnsi="宋体" w:cs="宋体"/>
                <w:sz w:val="24"/>
                <w:highlight w:val="none"/>
                <w:lang w:eastAsia="zh-CN"/>
              </w:rPr>
              <w:t>）。</w:t>
            </w:r>
          </w:p>
          <w:p>
            <w:pPr>
              <w:numPr>
                <w:ilvl w:val="0"/>
                <w:numId w:val="6"/>
              </w:num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本款可作为得分的合同案例仅指投标人自身的合同案例。即合同案例中的乙方必须与投标人的名称完全一致，如公司名称发生变更，必须提供工商部门的证明文件。</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3）证明材料不完整或不符合以上内容要求或</w:t>
            </w:r>
            <w:r>
              <w:rPr>
                <w:rFonts w:hint="eastAsia" w:ascii="宋体" w:hAnsi="宋体" w:eastAsia="宋体" w:cs="宋体"/>
                <w:sz w:val="24"/>
                <w:highlight w:val="none"/>
                <w:lang w:val="en-US" w:eastAsia="zh-CN"/>
              </w:rPr>
              <w:t>图片</w:t>
            </w:r>
            <w:r>
              <w:rPr>
                <w:rFonts w:hint="eastAsia" w:ascii="宋体" w:hAnsi="宋体" w:eastAsia="宋体" w:cs="宋体"/>
                <w:sz w:val="24"/>
                <w:highlight w:val="none"/>
              </w:rPr>
              <w:t>不清晰，导致无法判断是否符合以上要求的，不得分。</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80" w:type="dxa"/>
            <w:vAlign w:val="center"/>
          </w:tcPr>
          <w:p>
            <w:pPr>
              <w:jc w:val="both"/>
              <w:rPr>
                <w:rFonts w:hint="eastAsia" w:ascii="宋体" w:hAnsi="宋体" w:eastAsia="宋体" w:cs="宋体"/>
                <w:b/>
                <w:bCs/>
                <w:sz w:val="24"/>
                <w:highlight w:val="none"/>
              </w:rPr>
            </w:pPr>
            <w:r>
              <w:rPr>
                <w:rFonts w:hint="eastAsia" w:ascii="宋体" w:hAnsi="宋体" w:eastAsia="宋体" w:cs="宋体"/>
                <w:b/>
                <w:bCs/>
                <w:sz w:val="24"/>
                <w:highlight w:val="none"/>
              </w:rPr>
              <w:t>二、技术部分</w:t>
            </w:r>
          </w:p>
        </w:tc>
        <w:tc>
          <w:tcPr>
            <w:tcW w:w="1269"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55</w:t>
            </w:r>
            <w:r>
              <w:rPr>
                <w:rFonts w:hint="eastAsia" w:ascii="宋体" w:hAnsi="宋体" w:eastAsia="宋体" w:cs="宋体"/>
                <w:b/>
                <w:bCs/>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1、技术要求的符合性：技术要求的符合性，即对提供货物的技术参数、配置、性能是否符合或优于采购文件要求进行评价。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所投产品完全满足招标文件技术要求的，得</w:t>
            </w:r>
            <w:r>
              <w:rPr>
                <w:rFonts w:hint="eastAsia" w:ascii="宋体" w:hAnsi="宋体" w:cs="宋体"/>
                <w:sz w:val="24"/>
                <w:highlight w:val="none"/>
                <w:lang w:val="en-US" w:eastAsia="zh-CN"/>
              </w:rPr>
              <w:t>20</w:t>
            </w:r>
            <w:r>
              <w:rPr>
                <w:rFonts w:hint="eastAsia" w:ascii="宋体" w:hAnsi="宋体" w:eastAsia="宋体" w:cs="宋体"/>
                <w:sz w:val="24"/>
                <w:highlight w:val="none"/>
              </w:rPr>
              <w:t>分；参数不满足技术参数要求的每有一项扣2分，</w:t>
            </w:r>
            <w:r>
              <w:rPr>
                <w:rFonts w:hint="eastAsia" w:ascii="宋体" w:hAnsi="宋体" w:cs="宋体"/>
                <w:sz w:val="24"/>
                <w:highlight w:val="none"/>
                <w:lang w:val="en-US" w:eastAsia="zh-CN"/>
              </w:rPr>
              <w:t>超过5项本项不得分</w:t>
            </w:r>
            <w:r>
              <w:rPr>
                <w:rFonts w:hint="eastAsia" w:ascii="宋体" w:hAnsi="宋体" w:eastAsia="宋体" w:cs="宋体"/>
                <w:sz w:val="24"/>
                <w:highlight w:val="none"/>
              </w:rPr>
              <w:t>。（由评标委员会共同认定）</w:t>
            </w:r>
          </w:p>
        </w:tc>
        <w:tc>
          <w:tcPr>
            <w:tcW w:w="1269" w:type="dxa"/>
            <w:vAlign w:val="center"/>
          </w:tcPr>
          <w:p>
            <w:pPr>
              <w:jc w:val="center"/>
              <w:rPr>
                <w:rFonts w:hint="eastAsia" w:ascii="宋体" w:hAnsi="宋体" w:eastAsia="宋体" w:cs="宋体"/>
                <w:sz w:val="24"/>
                <w:highlight w:val="none"/>
              </w:rPr>
            </w:pPr>
            <w:r>
              <w:rPr>
                <w:rFonts w:hint="eastAsia" w:ascii="宋体" w:hAnsi="宋体" w:cs="宋体"/>
                <w:sz w:val="24"/>
                <w:highlight w:val="none"/>
                <w:lang w:val="en-US" w:eastAsia="zh-CN"/>
              </w:rPr>
              <w:t>20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7780"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2、供货方案</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（1）供货计划与周期：供货计划详细、合理，明确分批次供货、到货节点，完全满足招标文件供货期要求，得4分；计划不清晰、节点不明确扣2分，无法满足供货期本项不得分。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（2）包装、运输与防护：针对消毒设备（净水设备）、精密部件制定专业包装、防潮、防震、防碰撞运输方案，明确运输路线、运输车辆及安全保障措施，得4分；缺1项扣2分，扣完为止。</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（3）到货验收与仓储：制定到货清点、外观检验、数量核对、临时仓储保管方案，得2分；缺1项扣0.5分，扣完为止。</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7780"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3、实施方案</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（1）总体部署：完全契合水质提升项目分散性、季节性特点，含点位踏勘、施工总平面、工期倒排计划（≤招标文件要求），得4分；缺1项扣1分，扣完为止。</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（2）安装调试方案（3分）：含通电前检查，空载调试、负载调试，连续运行调试等细节，得3分；缺1项扣1分，扣完为止。</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（3）质量保证方案（3分）：含进场检验、过程抽检、出厂验收、第三方水质检测（符合GB 5749-2022）全流程，明确关键工序质控点，得3分；缺1项扣1分，扣完为止。</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4、组织实施保障</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项目团队配置（4分）：有且准确提供本项目总负责人的姓名、联系方式，详细地址的，得2分，不提供不得分。主要人员每提供一名得1分，最高2分。人员信息包括但不限于：身份证正反面扫描件、职务、详细地址、联系方式。信息不全的，每人每少一项内容扣0.5分，扣完为止。</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（2）进度与风险管控（</w:t>
            </w:r>
            <w:r>
              <w:rPr>
                <w:rFonts w:hint="eastAsia" w:ascii="宋体" w:hAnsi="宋体" w:cs="宋体"/>
                <w:sz w:val="24"/>
                <w:highlight w:val="none"/>
                <w:lang w:val="en-US" w:eastAsia="zh-CN"/>
              </w:rPr>
              <w:t>1</w:t>
            </w:r>
            <w:r>
              <w:rPr>
                <w:rFonts w:hint="eastAsia" w:ascii="宋体" w:hAnsi="宋体" w:eastAsia="宋体" w:cs="宋体"/>
                <w:sz w:val="24"/>
                <w:highlight w:val="none"/>
              </w:rPr>
              <w:t>分）：含供货期延误、设备故障、极端天气等风险的应对预案，明确责任分工及处置时限，得</w:t>
            </w:r>
            <w:r>
              <w:rPr>
                <w:rFonts w:hint="eastAsia" w:ascii="宋体" w:hAnsi="宋体" w:cs="宋体"/>
                <w:sz w:val="24"/>
                <w:highlight w:val="none"/>
                <w:lang w:val="en-US" w:eastAsia="zh-CN"/>
              </w:rPr>
              <w:t>1</w:t>
            </w:r>
            <w:r>
              <w:rPr>
                <w:rFonts w:hint="eastAsia" w:ascii="宋体" w:hAnsi="宋体" w:eastAsia="宋体" w:cs="宋体"/>
                <w:sz w:val="24"/>
                <w:highlight w:val="none"/>
              </w:rPr>
              <w:t>分；缺</w:t>
            </w:r>
            <w:r>
              <w:rPr>
                <w:rFonts w:hint="eastAsia" w:ascii="宋体" w:hAnsi="宋体" w:cs="宋体"/>
                <w:sz w:val="24"/>
                <w:highlight w:val="none"/>
                <w:lang w:val="en-US" w:eastAsia="zh-CN"/>
              </w:rPr>
              <w:t>不得分</w:t>
            </w:r>
            <w:r>
              <w:rPr>
                <w:rFonts w:hint="eastAsia" w:ascii="宋体" w:hAnsi="宋体" w:eastAsia="宋体" w:cs="宋体"/>
                <w:sz w:val="24"/>
                <w:highlight w:val="none"/>
              </w:rPr>
              <w:t>。</w:t>
            </w:r>
          </w:p>
        </w:tc>
        <w:tc>
          <w:tcPr>
            <w:tcW w:w="1269" w:type="dxa"/>
            <w:vAlign w:val="center"/>
          </w:tcPr>
          <w:p>
            <w:pPr>
              <w:jc w:val="center"/>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jc w:val="center"/>
        </w:trPr>
        <w:tc>
          <w:tcPr>
            <w:tcW w:w="7780"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5、售后服务方案</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（1）响应与处置：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电话响应：≤1小时，得1分。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故障解决：一般故障≤24小时，重大故障≤72小时，得1分；超时扣0.5分。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（2）售后服务承诺：提供售后服务网点、维护方案、售后服务人员、机构及配置等内容，得2分；缺1项扣0.5分，扣完为止。</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（3）备品备件与应急保障：免费提供质保期内易损件，承诺质保期外以不高于投标报价清单价供应，得2分；缺1项扣1分，扣完为止。</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7780" w:type="dxa"/>
            <w:vAlign w:val="center"/>
          </w:tcPr>
          <w:p>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6、培训方案</w:t>
            </w:r>
          </w:p>
          <w:p>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（1）培训计划：提供现场实操+线上视频双模式培训、覆盖设备操作、日常巡检、简单故障排除，得2分；缺1项扣0.5分，扣完为止。</w:t>
            </w:r>
          </w:p>
          <w:p>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（2）培训效果保障：培训后组织考核确保用户人员100%通过、提供培训手册、操作视频、考核记录，得2分；缺1项扣0.5分，扣完为止。</w:t>
            </w:r>
          </w:p>
        </w:tc>
        <w:tc>
          <w:tcPr>
            <w:tcW w:w="126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0" w:type="dxa"/>
            <w:shd w:val="clear" w:color="auto" w:fill="auto"/>
            <w:vAlign w:val="center"/>
          </w:tcPr>
          <w:p>
            <w:pPr>
              <w:spacing w:line="360" w:lineRule="auto"/>
              <w:jc w:val="both"/>
              <w:rPr>
                <w:rFonts w:hint="eastAsia" w:ascii="宋体" w:hAnsi="宋体" w:eastAsia="宋体" w:cs="宋体"/>
                <w:b/>
                <w:sz w:val="24"/>
                <w:highlight w:val="none"/>
              </w:rPr>
            </w:pPr>
            <w:r>
              <w:rPr>
                <w:rFonts w:hint="eastAsia" w:ascii="宋体" w:hAnsi="宋体" w:eastAsia="宋体" w:cs="宋体"/>
                <w:b/>
                <w:sz w:val="24"/>
                <w:highlight w:val="none"/>
              </w:rPr>
              <w:t>三、报价部分</w:t>
            </w:r>
          </w:p>
        </w:tc>
        <w:tc>
          <w:tcPr>
            <w:tcW w:w="1269" w:type="dxa"/>
            <w:shd w:val="clear" w:color="auto" w:fill="auto"/>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jc w:val="center"/>
        </w:trPr>
        <w:tc>
          <w:tcPr>
            <w:tcW w:w="7780" w:type="dxa"/>
            <w:shd w:val="clear" w:color="auto" w:fill="auto"/>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满足招标文件要求且投标最低价格的投标报价为评标基准价，其价格分为满分30分。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其他投标人的价格分统一按照下列公式计算：</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报价得分=(</w:t>
            </w:r>
            <w:r>
              <w:rPr>
                <w:rFonts w:hint="eastAsia" w:ascii="宋体" w:hAnsi="宋体" w:cs="宋体"/>
                <w:sz w:val="24"/>
                <w:highlight w:val="none"/>
                <w:lang w:val="en-US" w:eastAsia="zh-CN"/>
              </w:rPr>
              <w:t>评标</w:t>
            </w:r>
            <w:r>
              <w:rPr>
                <w:rFonts w:hint="eastAsia" w:ascii="宋体" w:hAnsi="宋体" w:eastAsia="宋体" w:cs="宋体"/>
                <w:sz w:val="24"/>
                <w:highlight w:val="none"/>
              </w:rPr>
              <w:t>基准价／</w:t>
            </w:r>
            <w:r>
              <w:rPr>
                <w:rFonts w:hint="eastAsia" w:ascii="宋体" w:hAnsi="宋体" w:cs="宋体"/>
                <w:sz w:val="24"/>
                <w:highlight w:val="none"/>
                <w:lang w:eastAsia="zh-CN"/>
              </w:rPr>
              <w:t>投标人</w:t>
            </w:r>
            <w:r>
              <w:rPr>
                <w:rFonts w:hint="eastAsia" w:ascii="宋体" w:hAnsi="宋体" w:eastAsia="宋体" w:cs="宋体"/>
                <w:sz w:val="24"/>
                <w:highlight w:val="none"/>
              </w:rPr>
              <w:t>投标报价)×30%×100</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1.未实质性响应招标文件的投标人投标报价不参与报价得分的计算。</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2.若本包专门面向小微企业或中小企业采购，价格打分时不考虑价格评审优惠政策。</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3.若本包不专门面向小微企业或中小企业采购，价格打分时考虑价格评审优惠政策。</w:t>
            </w:r>
          </w:p>
        </w:tc>
        <w:tc>
          <w:tcPr>
            <w:tcW w:w="1269" w:type="dxa"/>
            <w:shd w:val="clear" w:color="auto" w:fill="auto"/>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30分</w:t>
            </w:r>
          </w:p>
        </w:tc>
      </w:tr>
    </w:tbl>
    <w:p>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注:（1）招标文件内没有规定的评标标准不得作为评审的依据；</w:t>
      </w:r>
    </w:p>
    <w:p>
      <w:pPr>
        <w:widowControl/>
        <w:snapToGrid w:val="0"/>
        <w:spacing w:line="360" w:lineRule="auto"/>
        <w:ind w:firstLine="360" w:firstLineChars="150"/>
        <w:rPr>
          <w:rFonts w:hint="eastAsia" w:ascii="宋体" w:hAnsi="宋体" w:eastAsia="宋体" w:cs="宋体"/>
          <w:kern w:val="0"/>
          <w:sz w:val="24"/>
          <w:highlight w:val="none"/>
        </w:rPr>
      </w:pPr>
      <w:r>
        <w:rPr>
          <w:rFonts w:hint="eastAsia" w:ascii="宋体" w:hAnsi="宋体" w:eastAsia="宋体" w:cs="宋体"/>
          <w:kern w:val="0"/>
          <w:sz w:val="24"/>
          <w:highlight w:val="none"/>
        </w:rPr>
        <w:t>（2）扣分采取“累计扣减”，每项最低得0分，不出现负分；</w:t>
      </w:r>
    </w:p>
    <w:p>
      <w:pPr>
        <w:widowControl/>
        <w:snapToGrid w:val="0"/>
        <w:spacing w:line="360" w:lineRule="auto"/>
        <w:ind w:firstLine="360" w:firstLineChars="150"/>
        <w:rPr>
          <w:rFonts w:hint="eastAsia" w:ascii="宋体" w:hAnsi="宋体" w:eastAsia="宋体" w:cs="宋体"/>
          <w:kern w:val="0"/>
          <w:sz w:val="24"/>
          <w:highlight w:val="none"/>
        </w:rPr>
      </w:pPr>
      <w:r>
        <w:rPr>
          <w:rFonts w:hint="eastAsia" w:ascii="宋体" w:hAnsi="宋体" w:eastAsia="宋体" w:cs="宋体"/>
          <w:kern w:val="0"/>
          <w:sz w:val="24"/>
          <w:highlight w:val="none"/>
        </w:rPr>
        <w:t>（3）评标委员会成员独立评分，得分取算术平均值（保留2位小数）。</w:t>
      </w:r>
    </w:p>
    <w:p>
      <w:pPr>
        <w:rPr>
          <w:rStyle w:val="141"/>
          <w:rFonts w:hint="eastAsia" w:ascii="宋体" w:hAnsi="宋体" w:eastAsia="宋体" w:cs="宋体"/>
          <w:b/>
          <w:bCs/>
          <w:color w:val="000000"/>
          <w:kern w:val="0"/>
          <w:sz w:val="32"/>
          <w:szCs w:val="32"/>
          <w:highlight w:val="none"/>
        </w:rPr>
      </w:pPr>
      <w:r>
        <w:rPr>
          <w:rStyle w:val="141"/>
          <w:rFonts w:hint="eastAsia" w:ascii="宋体" w:hAnsi="宋体" w:eastAsia="宋体" w:cs="宋体"/>
          <w:b/>
          <w:bCs/>
          <w:color w:val="000000"/>
          <w:kern w:val="0"/>
          <w:sz w:val="32"/>
          <w:szCs w:val="32"/>
          <w:highlight w:val="none"/>
        </w:rPr>
        <w:br w:type="page"/>
      </w:r>
    </w:p>
    <w:p>
      <w:pPr>
        <w:widowControl/>
        <w:spacing w:line="360" w:lineRule="auto"/>
        <w:jc w:val="center"/>
        <w:textAlignment w:val="center"/>
        <w:outlineLvl w:val="0"/>
        <w:rPr>
          <w:rStyle w:val="141"/>
          <w:rFonts w:hint="eastAsia" w:ascii="宋体" w:hAnsi="宋体" w:eastAsia="宋体" w:cs="宋体"/>
          <w:color w:val="000000"/>
          <w:kern w:val="0"/>
          <w:sz w:val="24"/>
          <w:highlight w:val="none"/>
        </w:rPr>
      </w:pPr>
      <w:r>
        <w:rPr>
          <w:rStyle w:val="141"/>
          <w:rFonts w:hint="eastAsia" w:ascii="宋体" w:hAnsi="宋体" w:eastAsia="宋体" w:cs="宋体"/>
          <w:b/>
          <w:bCs/>
          <w:color w:val="000000"/>
          <w:kern w:val="0"/>
          <w:sz w:val="32"/>
          <w:szCs w:val="32"/>
          <w:highlight w:val="none"/>
        </w:rPr>
        <w:t>第五部分  商务、技术要求</w:t>
      </w:r>
    </w:p>
    <w:p>
      <w:pPr>
        <w:tabs>
          <w:tab w:val="left" w:pos="810"/>
        </w:tabs>
        <w:snapToGrid w:val="0"/>
        <w:spacing w:line="360" w:lineRule="auto"/>
        <w:textAlignment w:val="baseline"/>
        <w:rPr>
          <w:rStyle w:val="157"/>
          <w:rFonts w:hint="eastAsia" w:ascii="宋体" w:hAnsi="宋体" w:eastAsia="宋体" w:cs="宋体"/>
          <w:b/>
          <w:bCs/>
          <w:highlight w:val="none"/>
        </w:rPr>
      </w:pPr>
      <w:r>
        <w:rPr>
          <w:rStyle w:val="157"/>
          <w:rFonts w:hint="eastAsia" w:ascii="宋体" w:hAnsi="宋体" w:eastAsia="宋体" w:cs="宋体"/>
          <w:b/>
          <w:bCs/>
          <w:highlight w:val="none"/>
        </w:rPr>
        <w:t>一、项目基本情况</w:t>
      </w:r>
    </w:p>
    <w:p>
      <w:pPr>
        <w:tabs>
          <w:tab w:val="left" w:pos="810"/>
        </w:tabs>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1403222026AGK00024</w:t>
      </w:r>
    </w:p>
    <w:p>
      <w:pPr>
        <w:tabs>
          <w:tab w:val="left" w:pos="810"/>
        </w:tabs>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cs="宋体"/>
          <w:sz w:val="24"/>
          <w:highlight w:val="none"/>
          <w:lang w:eastAsia="zh-CN"/>
        </w:rPr>
        <w:t>盂县2026年农村供水消毒净化设备采购及安装项目</w:t>
      </w:r>
    </w:p>
    <w:p>
      <w:pPr>
        <w:tabs>
          <w:tab w:val="left" w:pos="810"/>
        </w:tabs>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采购方式：公开招标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预算金额：</w:t>
      </w:r>
      <w:r>
        <w:rPr>
          <w:rFonts w:hint="eastAsia" w:ascii="宋体" w:hAnsi="宋体" w:cs="宋体"/>
          <w:sz w:val="24"/>
          <w:highlight w:val="none"/>
          <w:lang w:eastAsia="zh-CN"/>
        </w:rPr>
        <w:t>1600000</w:t>
      </w:r>
      <w:r>
        <w:rPr>
          <w:rFonts w:hint="eastAsia" w:ascii="宋体" w:hAnsi="宋体" w:eastAsia="宋体" w:cs="宋体"/>
          <w:sz w:val="24"/>
          <w:highlight w:val="none"/>
        </w:rPr>
        <w:t>.00元，其中一包：</w:t>
      </w:r>
      <w:r>
        <w:rPr>
          <w:rFonts w:hint="eastAsia" w:ascii="宋体" w:hAnsi="宋体" w:cs="宋体"/>
          <w:sz w:val="24"/>
          <w:highlight w:val="none"/>
          <w:lang w:val="en-US" w:eastAsia="zh-CN"/>
        </w:rPr>
        <w:t>500000</w:t>
      </w:r>
      <w:r>
        <w:rPr>
          <w:rFonts w:hint="eastAsia" w:ascii="宋体" w:hAnsi="宋体" w:eastAsia="宋体" w:cs="宋体"/>
          <w:sz w:val="24"/>
          <w:highlight w:val="none"/>
        </w:rPr>
        <w:t>.00元；二包：</w:t>
      </w:r>
      <w:r>
        <w:rPr>
          <w:rFonts w:hint="eastAsia" w:ascii="宋体" w:hAnsi="宋体" w:cs="宋体"/>
          <w:sz w:val="24"/>
          <w:highlight w:val="none"/>
          <w:lang w:val="en-US" w:eastAsia="zh-CN"/>
        </w:rPr>
        <w:t>1100000</w:t>
      </w:r>
      <w:r>
        <w:rPr>
          <w:rFonts w:hint="eastAsia" w:ascii="宋体" w:hAnsi="宋体" w:eastAsia="宋体" w:cs="宋体"/>
          <w:sz w:val="24"/>
          <w:highlight w:val="none"/>
        </w:rPr>
        <w:t>.00元。</w:t>
      </w:r>
    </w:p>
    <w:p>
      <w:pPr>
        <w:tabs>
          <w:tab w:val="left" w:pos="810"/>
        </w:tabs>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eastAsia="zh-CN"/>
        </w:rPr>
        <w:t>1600000</w:t>
      </w:r>
      <w:r>
        <w:rPr>
          <w:rFonts w:hint="eastAsia" w:ascii="宋体" w:hAnsi="宋体" w:eastAsia="宋体" w:cs="宋体"/>
          <w:sz w:val="24"/>
          <w:highlight w:val="none"/>
        </w:rPr>
        <w:t>.00元，其中一包：</w:t>
      </w:r>
      <w:r>
        <w:rPr>
          <w:rFonts w:hint="eastAsia" w:ascii="宋体" w:hAnsi="宋体" w:cs="宋体"/>
          <w:sz w:val="24"/>
          <w:highlight w:val="none"/>
          <w:lang w:val="en-US" w:eastAsia="zh-CN"/>
        </w:rPr>
        <w:t>500000</w:t>
      </w:r>
      <w:r>
        <w:rPr>
          <w:rFonts w:hint="eastAsia" w:ascii="宋体" w:hAnsi="宋体" w:eastAsia="宋体" w:cs="宋体"/>
          <w:sz w:val="24"/>
          <w:highlight w:val="none"/>
        </w:rPr>
        <w:t>.00元；二包：</w:t>
      </w:r>
      <w:r>
        <w:rPr>
          <w:rFonts w:hint="eastAsia" w:ascii="宋体" w:hAnsi="宋体" w:cs="宋体"/>
          <w:sz w:val="24"/>
          <w:highlight w:val="none"/>
          <w:lang w:val="en-US" w:eastAsia="zh-CN"/>
        </w:rPr>
        <w:t>1100000</w:t>
      </w:r>
      <w:r>
        <w:rPr>
          <w:rFonts w:hint="eastAsia" w:ascii="宋体" w:hAnsi="宋体" w:eastAsia="宋体" w:cs="宋体"/>
          <w:sz w:val="24"/>
          <w:highlight w:val="none"/>
        </w:rPr>
        <w:t>.00元。</w:t>
      </w:r>
    </w:p>
    <w:p>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采购需求：本次招标共2包，</w:t>
      </w:r>
      <w:r>
        <w:rPr>
          <w:rFonts w:hint="eastAsia" w:ascii="宋体" w:hAnsi="宋体" w:eastAsia="宋体" w:cs="宋体"/>
          <w:bCs/>
          <w:kern w:val="0"/>
          <w:sz w:val="24"/>
          <w:highlight w:val="none"/>
        </w:rPr>
        <w:t>投标人所投包内项目必须完全响应本招标文件所列示内容。</w:t>
      </w:r>
    </w:p>
    <w:tbl>
      <w:tblPr>
        <w:tblStyle w:val="55"/>
        <w:tblW w:w="8696" w:type="dxa"/>
        <w:jc w:val="center"/>
        <w:tblLayout w:type="fixed"/>
        <w:tblCellMar>
          <w:top w:w="0" w:type="dxa"/>
          <w:left w:w="108" w:type="dxa"/>
          <w:bottom w:w="0" w:type="dxa"/>
          <w:right w:w="108" w:type="dxa"/>
        </w:tblCellMar>
      </w:tblPr>
      <w:tblGrid>
        <w:gridCol w:w="864"/>
        <w:gridCol w:w="4465"/>
        <w:gridCol w:w="1267"/>
        <w:gridCol w:w="893"/>
        <w:gridCol w:w="1207"/>
      </w:tblGrid>
      <w:tr>
        <w:tblPrEx>
          <w:tblCellMar>
            <w:top w:w="0" w:type="dxa"/>
            <w:left w:w="108" w:type="dxa"/>
            <w:bottom w:w="0" w:type="dxa"/>
            <w:right w:w="108" w:type="dxa"/>
          </w:tblCellMar>
        </w:tblPrEx>
        <w:trPr>
          <w:trHeight w:val="445" w:hRule="atLeast"/>
          <w:jc w:val="center"/>
        </w:trPr>
        <w:tc>
          <w:tcPr>
            <w:tcW w:w="864" w:type="dxa"/>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包号</w:t>
            </w:r>
          </w:p>
        </w:tc>
        <w:tc>
          <w:tcPr>
            <w:tcW w:w="44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采购</w:t>
            </w:r>
            <w:r>
              <w:rPr>
                <w:rFonts w:hint="eastAsia" w:ascii="宋体" w:hAnsi="宋体" w:eastAsia="宋体" w:cs="宋体"/>
                <w:bCs/>
                <w:kern w:val="0"/>
                <w:sz w:val="22"/>
                <w:szCs w:val="22"/>
                <w:highlight w:val="none"/>
              </w:rPr>
              <w:t>内容</w:t>
            </w:r>
          </w:p>
        </w:tc>
        <w:tc>
          <w:tcPr>
            <w:tcW w:w="12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单位</w:t>
            </w:r>
          </w:p>
        </w:tc>
        <w:tc>
          <w:tcPr>
            <w:tcW w:w="893"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数量</w:t>
            </w:r>
          </w:p>
        </w:tc>
        <w:tc>
          <w:tcPr>
            <w:tcW w:w="1207" w:type="dxa"/>
            <w:tcBorders>
              <w:top w:val="single" w:color="000000" w:sz="4" w:space="0"/>
              <w:left w:val="single" w:color="000000" w:sz="4" w:space="0"/>
              <w:bottom w:val="single" w:color="000000"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备注</w:t>
            </w:r>
          </w:p>
        </w:tc>
      </w:tr>
      <w:tr>
        <w:tblPrEx>
          <w:tblCellMar>
            <w:top w:w="0" w:type="dxa"/>
            <w:left w:w="108" w:type="dxa"/>
            <w:bottom w:w="0" w:type="dxa"/>
            <w:right w:w="108" w:type="dxa"/>
          </w:tblCellMar>
        </w:tblPrEx>
        <w:trPr>
          <w:trHeight w:val="466" w:hRule="atLeast"/>
          <w:jc w:val="center"/>
        </w:trPr>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1</w:t>
            </w:r>
          </w:p>
        </w:tc>
        <w:tc>
          <w:tcPr>
            <w:tcW w:w="4465"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lang w:val="en-US" w:eastAsia="zh-CN"/>
              </w:rPr>
              <w:t>0.5t/h单极反渗透净水设备</w:t>
            </w:r>
          </w:p>
        </w:tc>
        <w:tc>
          <w:tcPr>
            <w:tcW w:w="12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color w:val="ED7D31"/>
                <w:kern w:val="0"/>
                <w:sz w:val="24"/>
                <w:highlight w:val="none"/>
              </w:rPr>
            </w:pPr>
            <w:r>
              <w:rPr>
                <w:rFonts w:hint="eastAsia" w:ascii="宋体" w:hAnsi="宋体" w:eastAsia="宋体" w:cs="宋体"/>
                <w:bCs/>
                <w:kern w:val="0"/>
                <w:sz w:val="22"/>
                <w:szCs w:val="22"/>
                <w:highlight w:val="none"/>
                <w:lang w:val="en-US" w:eastAsia="zh-CN"/>
              </w:rPr>
              <w:t>套</w:t>
            </w:r>
          </w:p>
        </w:tc>
        <w:tc>
          <w:tcPr>
            <w:tcW w:w="893"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10</w:t>
            </w:r>
          </w:p>
        </w:tc>
        <w:tc>
          <w:tcPr>
            <w:tcW w:w="1207"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4"/>
                <w:highlight w:val="none"/>
              </w:rPr>
            </w:pPr>
          </w:p>
        </w:tc>
      </w:tr>
      <w:tr>
        <w:tblPrEx>
          <w:tblCellMar>
            <w:top w:w="0" w:type="dxa"/>
            <w:left w:w="108" w:type="dxa"/>
            <w:bottom w:w="0" w:type="dxa"/>
            <w:right w:w="108" w:type="dxa"/>
          </w:tblCellMar>
        </w:tblPrEx>
        <w:trPr>
          <w:trHeight w:val="466" w:hRule="atLeast"/>
          <w:jc w:val="center"/>
        </w:trPr>
        <w:tc>
          <w:tcPr>
            <w:tcW w:w="864"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rPr>
              <w:t>2</w:t>
            </w:r>
          </w:p>
        </w:tc>
        <w:tc>
          <w:tcPr>
            <w:tcW w:w="4465"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lang w:val="en-US" w:eastAsia="zh-CN"/>
              </w:rPr>
              <w:t>太阳能发电系统+智能型水质消毒投加装置</w:t>
            </w:r>
          </w:p>
        </w:tc>
        <w:tc>
          <w:tcPr>
            <w:tcW w:w="12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套</w:t>
            </w:r>
          </w:p>
        </w:tc>
        <w:tc>
          <w:tcPr>
            <w:tcW w:w="893"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44</w:t>
            </w:r>
          </w:p>
        </w:tc>
        <w:tc>
          <w:tcPr>
            <w:tcW w:w="1207"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4"/>
                <w:highlight w:val="none"/>
              </w:rPr>
            </w:pPr>
          </w:p>
        </w:tc>
      </w:tr>
      <w:tr>
        <w:tblPrEx>
          <w:tblCellMar>
            <w:top w:w="0" w:type="dxa"/>
            <w:left w:w="108" w:type="dxa"/>
            <w:bottom w:w="0" w:type="dxa"/>
            <w:right w:w="108" w:type="dxa"/>
          </w:tblCellMar>
        </w:tblPrEx>
        <w:trPr>
          <w:trHeight w:val="466" w:hRule="atLeast"/>
          <w:jc w:val="center"/>
        </w:trPr>
        <w:tc>
          <w:tcPr>
            <w:tcW w:w="86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p>
        </w:tc>
        <w:tc>
          <w:tcPr>
            <w:tcW w:w="4465"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lang w:val="en-US" w:eastAsia="zh-CN"/>
              </w:rPr>
              <w:t>全自动智能型水质消毒投加装置</w:t>
            </w:r>
          </w:p>
        </w:tc>
        <w:tc>
          <w:tcPr>
            <w:tcW w:w="12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台</w:t>
            </w:r>
          </w:p>
        </w:tc>
        <w:tc>
          <w:tcPr>
            <w:tcW w:w="893"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11</w:t>
            </w:r>
          </w:p>
        </w:tc>
        <w:tc>
          <w:tcPr>
            <w:tcW w:w="1207" w:type="dxa"/>
            <w:tcBorders>
              <w:top w:val="single" w:color="000000" w:sz="4" w:space="0"/>
              <w:left w:val="single" w:color="000000" w:sz="4" w:space="0"/>
              <w:bottom w:val="single" w:color="000000" w:sz="4" w:space="0"/>
              <w:right w:val="single" w:color="auto" w:sz="4" w:space="0"/>
            </w:tcBorders>
            <w:vAlign w:val="center"/>
          </w:tcPr>
          <w:p>
            <w:pPr>
              <w:widowControl/>
              <w:snapToGrid w:val="0"/>
              <w:rPr>
                <w:rFonts w:hint="eastAsia" w:ascii="宋体" w:hAnsi="宋体" w:eastAsia="宋体" w:cs="宋体"/>
                <w:bCs/>
                <w:kern w:val="0"/>
                <w:sz w:val="24"/>
                <w:highlight w:val="none"/>
              </w:rPr>
            </w:pPr>
          </w:p>
        </w:tc>
      </w:tr>
    </w:tbl>
    <w:p>
      <w:pPr>
        <w:tabs>
          <w:tab w:val="left" w:pos="810"/>
        </w:tabs>
        <w:snapToGrid w:val="0"/>
        <w:spacing w:line="360" w:lineRule="auto"/>
        <w:ind w:firstLine="480" w:firstLineChars="200"/>
        <w:textAlignment w:val="baseline"/>
        <w:rPr>
          <w:rFonts w:hint="eastAsia" w:ascii="宋体" w:hAnsi="宋体" w:eastAsia="宋体" w:cs="宋体"/>
          <w:sz w:val="24"/>
          <w:highlight w:val="none"/>
        </w:rPr>
      </w:pPr>
    </w:p>
    <w:p>
      <w:pPr>
        <w:tabs>
          <w:tab w:val="left" w:pos="810"/>
        </w:tabs>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范围包括：所采购的货物必须符合国家的强制性标准；具体报价范围、采购范围及所应达到的具体要求，以本招标文件中商务、技术和服务的相应规定为准。</w:t>
      </w:r>
    </w:p>
    <w:p>
      <w:pPr>
        <w:tabs>
          <w:tab w:val="left" w:pos="810"/>
        </w:tabs>
        <w:snapToGrid w:val="0"/>
        <w:spacing w:line="360" w:lineRule="auto"/>
        <w:textAlignment w:val="baseline"/>
        <w:rPr>
          <w:rStyle w:val="157"/>
          <w:rFonts w:hint="eastAsia" w:ascii="宋体" w:hAnsi="宋体" w:eastAsia="宋体" w:cs="宋体"/>
          <w:b/>
          <w:bCs/>
          <w:highlight w:val="none"/>
        </w:rPr>
      </w:pPr>
    </w:p>
    <w:p>
      <w:pPr>
        <w:tabs>
          <w:tab w:val="left" w:pos="810"/>
        </w:tabs>
        <w:snapToGrid w:val="0"/>
        <w:spacing w:line="360" w:lineRule="auto"/>
        <w:textAlignment w:val="baseline"/>
        <w:rPr>
          <w:rStyle w:val="157"/>
          <w:rFonts w:hint="eastAsia" w:ascii="宋体" w:hAnsi="宋体" w:eastAsia="宋体" w:cs="宋体"/>
          <w:b/>
          <w:bCs/>
          <w:highlight w:val="none"/>
        </w:rPr>
      </w:pPr>
      <w:r>
        <w:rPr>
          <w:rStyle w:val="157"/>
          <w:rFonts w:hint="eastAsia" w:ascii="宋体" w:hAnsi="宋体" w:eastAsia="宋体" w:cs="宋体"/>
          <w:b/>
          <w:bCs/>
          <w:highlight w:val="none"/>
        </w:rPr>
        <w:t>二、商务要求</w:t>
      </w:r>
    </w:p>
    <w:p>
      <w:pPr>
        <w:tabs>
          <w:tab w:val="left" w:pos="7512"/>
        </w:tabs>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1、合同履行期限(交货安装期)：自合同签订之日起</w:t>
      </w:r>
      <w:r>
        <w:rPr>
          <w:rFonts w:hint="eastAsia" w:ascii="宋体" w:hAnsi="宋体" w:cs="宋体"/>
          <w:sz w:val="24"/>
          <w:highlight w:val="none"/>
          <w:lang w:val="en-US" w:eastAsia="zh-CN"/>
        </w:rPr>
        <w:t>45日内</w:t>
      </w:r>
      <w:r>
        <w:rPr>
          <w:rFonts w:hint="eastAsia" w:ascii="宋体" w:hAnsi="宋体" w:eastAsia="宋体" w:cs="宋体"/>
          <w:sz w:val="24"/>
          <w:highlight w:val="none"/>
        </w:rPr>
        <w:t>完成</w:t>
      </w:r>
      <w:r>
        <w:rPr>
          <w:rFonts w:hint="eastAsia" w:ascii="宋体" w:hAnsi="宋体" w:cs="宋体"/>
          <w:sz w:val="24"/>
          <w:highlight w:val="none"/>
          <w:lang w:val="en-US" w:eastAsia="zh-CN"/>
        </w:rPr>
        <w:t>供货并安装</w:t>
      </w:r>
    </w:p>
    <w:p>
      <w:pPr>
        <w:tabs>
          <w:tab w:val="left" w:pos="7512"/>
        </w:tabs>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8"/>
          <w:highlight w:val="none"/>
        </w:rPr>
        <w:t>交货地点：</w:t>
      </w:r>
      <w:r>
        <w:rPr>
          <w:rFonts w:hint="eastAsia" w:ascii="宋体" w:hAnsi="宋体" w:cs="宋体"/>
          <w:sz w:val="24"/>
          <w:highlight w:val="none"/>
          <w:lang w:val="en-US" w:eastAsia="zh-CN"/>
        </w:rPr>
        <w:t>阳泉市盂县</w:t>
      </w:r>
      <w:r>
        <w:rPr>
          <w:rFonts w:hint="eastAsia" w:ascii="宋体" w:hAnsi="宋体" w:eastAsia="宋体" w:cs="宋体"/>
          <w:sz w:val="24"/>
          <w:highlight w:val="none"/>
        </w:rPr>
        <w:t>县域内各乡镇。</w:t>
      </w:r>
    </w:p>
    <w:p>
      <w:pPr>
        <w:tabs>
          <w:tab w:val="left" w:pos="7512"/>
        </w:tabs>
        <w:spacing w:line="4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highlight w:val="none"/>
        </w:rPr>
        <w:t>3、执行标准：执行国家和行业的最新标准执行</w:t>
      </w:r>
    </w:p>
    <w:p>
      <w:pPr>
        <w:tabs>
          <w:tab w:val="left" w:pos="7512"/>
        </w:tabs>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4、质保期：质保期一年，质保期内货物严格按照国家三包标准执行，出现质量问题必要时进行更换。</w:t>
      </w:r>
    </w:p>
    <w:p>
      <w:pPr>
        <w:tabs>
          <w:tab w:val="left" w:pos="7512"/>
        </w:tabs>
        <w:spacing w:line="400" w:lineRule="exact"/>
        <w:ind w:firstLine="600" w:firstLineChars="250"/>
        <w:rPr>
          <w:rFonts w:hint="eastAsia" w:ascii="宋体" w:hAnsi="宋体" w:eastAsia="宋体" w:cs="宋体"/>
          <w:bCs/>
          <w:sz w:val="24"/>
          <w:highlight w:val="none"/>
        </w:rPr>
      </w:pPr>
      <w:r>
        <w:rPr>
          <w:rFonts w:hint="eastAsia" w:ascii="宋体" w:hAnsi="宋体" w:eastAsia="宋体" w:cs="宋体"/>
          <w:sz w:val="24"/>
          <w:highlight w:val="none"/>
        </w:rPr>
        <w:t>5、质量标准：合格。设备安装完成后，</w:t>
      </w:r>
      <w:r>
        <w:rPr>
          <w:rFonts w:hint="eastAsia" w:ascii="宋体" w:hAnsi="宋体" w:eastAsia="宋体" w:cs="宋体"/>
          <w:bCs/>
          <w:sz w:val="24"/>
          <w:highlight w:val="none"/>
        </w:rPr>
        <w:t>进行系统联动试运行</w:t>
      </w:r>
      <w:r>
        <w:rPr>
          <w:rFonts w:hint="eastAsia" w:ascii="宋体" w:hAnsi="宋体" w:cs="宋体"/>
          <w:bCs/>
          <w:sz w:val="24"/>
          <w:highlight w:val="none"/>
          <w:lang w:eastAsia="zh-CN"/>
        </w:rPr>
        <w:t>，</w:t>
      </w:r>
      <w:r>
        <w:rPr>
          <w:rFonts w:hint="eastAsia" w:ascii="宋体" w:hAnsi="宋体" w:eastAsia="宋体" w:cs="宋体"/>
          <w:bCs/>
          <w:sz w:val="24"/>
          <w:highlight w:val="none"/>
        </w:rPr>
        <w:t>确保出水达标。</w:t>
      </w:r>
    </w:p>
    <w:p>
      <w:pPr>
        <w:tabs>
          <w:tab w:val="left" w:pos="7512"/>
        </w:tabs>
        <w:spacing w:line="400" w:lineRule="exact"/>
        <w:ind w:firstLine="600" w:firstLineChars="250"/>
        <w:rPr>
          <w:rFonts w:hint="eastAsia" w:ascii="宋体" w:hAnsi="宋体" w:cs="宋体"/>
          <w:bCs/>
          <w:sz w:val="24"/>
          <w:highlight w:val="none"/>
          <w:lang w:val="en-US" w:eastAsia="zh-CN"/>
        </w:rPr>
      </w:pPr>
      <w:r>
        <w:rPr>
          <w:rFonts w:hint="eastAsia" w:ascii="宋体" w:hAnsi="宋体" w:cs="宋体"/>
          <w:bCs/>
          <w:sz w:val="24"/>
          <w:highlight w:val="none"/>
          <w:lang w:val="en-US" w:eastAsia="zh-CN"/>
        </w:rPr>
        <w:t>6、一包净水设备需具有并提供涉及饮用水卫生安全产品卫生许可批件。</w:t>
      </w:r>
    </w:p>
    <w:p>
      <w:pPr>
        <w:tabs>
          <w:tab w:val="left" w:pos="7512"/>
        </w:tabs>
        <w:spacing w:line="400" w:lineRule="exact"/>
        <w:ind w:firstLine="600" w:firstLineChars="25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7、承诺所供商品包装符合《商品包装政府采购需求标准（试行）》，快递包装符合《快递包装政府采购需求标准（试行）》。 </w:t>
      </w:r>
    </w:p>
    <w:p>
      <w:pPr>
        <w:tabs>
          <w:tab w:val="left" w:pos="7512"/>
        </w:tabs>
        <w:spacing w:line="400" w:lineRule="exact"/>
        <w:ind w:firstLine="600" w:firstLineChars="250"/>
        <w:rPr>
          <w:rFonts w:hint="default" w:ascii="宋体" w:hAnsi="宋体" w:eastAsia="宋体" w:cs="宋体"/>
          <w:sz w:val="24"/>
          <w:highlight w:val="none"/>
          <w:lang w:val="en-US"/>
        </w:rPr>
      </w:pPr>
      <w:r>
        <w:rPr>
          <w:rFonts w:hint="eastAsia" w:ascii="宋体" w:hAnsi="宋体" w:cs="宋体"/>
          <w:sz w:val="24"/>
          <w:highlight w:val="none"/>
          <w:lang w:val="en-US" w:eastAsia="zh-CN"/>
        </w:rPr>
        <w:t>8</w:t>
      </w:r>
      <w:r>
        <w:rPr>
          <w:rFonts w:hint="eastAsia" w:ascii="宋体" w:hAnsi="宋体" w:eastAsia="宋体" w:cs="宋体"/>
          <w:sz w:val="24"/>
          <w:highlight w:val="none"/>
        </w:rPr>
        <w:t>、款项支付意见：</w:t>
      </w:r>
      <w:r>
        <w:rPr>
          <w:rFonts w:hint="eastAsia" w:ascii="宋体" w:hAnsi="宋体" w:eastAsia="宋体" w:cs="宋体"/>
          <w:sz w:val="24"/>
          <w:highlight w:val="none"/>
          <w:lang w:val="en-US" w:eastAsia="zh-CN"/>
        </w:rPr>
        <w:t>设备到货后，需方支付供方合同总价的50%，设备安装调试完成移交后，并经过甲方及相关部门验收合格后一次性支付至合同金额</w:t>
      </w:r>
      <w:r>
        <w:rPr>
          <w:rFonts w:hint="eastAsia" w:ascii="宋体" w:hAnsi="宋体" w:cs="宋体"/>
          <w:sz w:val="24"/>
          <w:highlight w:val="none"/>
          <w:lang w:val="en-US" w:eastAsia="zh-CN"/>
        </w:rPr>
        <w:t>100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 xml:space="preserve"> 。</w:t>
      </w:r>
    </w:p>
    <w:p>
      <w:pPr>
        <w:tabs>
          <w:tab w:val="left" w:pos="7512"/>
        </w:tabs>
        <w:spacing w:line="400" w:lineRule="exact"/>
        <w:rPr>
          <w:rFonts w:hint="eastAsia" w:ascii="宋体" w:hAnsi="宋体" w:eastAsia="宋体" w:cs="宋体"/>
          <w:sz w:val="24"/>
          <w:highlight w:val="none"/>
        </w:rPr>
      </w:pPr>
    </w:p>
    <w:p>
      <w:pPr>
        <w:tabs>
          <w:tab w:val="left" w:pos="7512"/>
        </w:tabs>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三、技术要求</w:t>
      </w:r>
    </w:p>
    <w:p>
      <w:pPr>
        <w:tabs>
          <w:tab w:val="left" w:pos="7512"/>
        </w:tabs>
        <w:spacing w:line="400" w:lineRule="exact"/>
        <w:ind w:firstLine="602" w:firstLineChars="25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（1）一包技术要求</w:t>
      </w:r>
      <w:r>
        <w:rPr>
          <w:rFonts w:hint="eastAsia" w:ascii="宋体" w:hAnsi="宋体" w:eastAsia="宋体" w:cs="宋体"/>
          <w:b/>
          <w:bCs/>
          <w:sz w:val="24"/>
          <w:highlight w:val="none"/>
          <w:lang w:val="en-US" w:eastAsia="zh-CN"/>
        </w:rPr>
        <w:t>配置清单</w:t>
      </w:r>
    </w:p>
    <w:tbl>
      <w:tblPr>
        <w:tblStyle w:val="55"/>
        <w:tblW w:w="8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2215"/>
        <w:gridCol w:w="2440"/>
        <w:gridCol w:w="1332"/>
        <w:gridCol w:w="848"/>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8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highlight w:val="none"/>
              </w:rPr>
              <w:t>※</w:t>
            </w:r>
            <w:r>
              <w:rPr>
                <w:rFonts w:hint="default" w:ascii="宋体" w:hAnsi="宋体" w:cs="宋体"/>
                <w:b/>
                <w:bCs/>
                <w:i w:val="0"/>
                <w:iCs w:val="0"/>
                <w:color w:val="000000"/>
                <w:kern w:val="0"/>
                <w:sz w:val="24"/>
                <w:szCs w:val="24"/>
                <w:highlight w:val="none"/>
                <w:u w:val="none"/>
                <w:lang w:val="en-US" w:eastAsia="zh-CN" w:bidi="ar"/>
              </w:rPr>
              <w:t>0.5</w:t>
            </w:r>
            <w:r>
              <w:rPr>
                <w:rFonts w:hint="eastAsia" w:ascii="宋体" w:hAnsi="宋体" w:cs="宋体"/>
                <w:b/>
                <w:bCs/>
                <w:i w:val="0"/>
                <w:iCs w:val="0"/>
                <w:color w:val="000000"/>
                <w:kern w:val="0"/>
                <w:sz w:val="24"/>
                <w:szCs w:val="24"/>
                <w:highlight w:val="none"/>
                <w:u w:val="none"/>
                <w:lang w:val="en-US" w:eastAsia="zh-CN" w:bidi="ar"/>
              </w:rPr>
              <w:t>t</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h</w:t>
            </w:r>
            <w:r>
              <w:rPr>
                <w:rFonts w:hint="eastAsia" w:ascii="宋体" w:hAnsi="宋体" w:eastAsia="宋体" w:cs="宋体"/>
                <w:b/>
                <w:bCs/>
                <w:i w:val="0"/>
                <w:iCs w:val="0"/>
                <w:color w:val="000000"/>
                <w:kern w:val="0"/>
                <w:sz w:val="24"/>
                <w:szCs w:val="24"/>
                <w:highlight w:val="none"/>
                <w:u w:val="none"/>
                <w:lang w:val="en-US" w:eastAsia="zh-CN" w:bidi="ar"/>
              </w:rPr>
              <w:t>单级反渗透净水设备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设备名称</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规格参数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A</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水处理部分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预处理系统</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原水泵</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Q=2m³/h ，H=28m；N=0.55KW</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过流SUS304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多介质过滤器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过滤器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w:t>
            </w:r>
            <w:r>
              <w:rPr>
                <w:rFonts w:hint="default" w:ascii="宋体" w:hAnsi="宋体" w:cs="宋体"/>
                <w:i w:val="0"/>
                <w:iCs w:val="0"/>
                <w:color w:val="000000"/>
                <w:kern w:val="0"/>
                <w:sz w:val="18"/>
                <w:szCs w:val="18"/>
                <w:highlight w:val="none"/>
                <w:u w:val="none"/>
                <w:lang w:val="en-US" w:eastAsia="zh-CN" w:bidi="ar"/>
              </w:rPr>
              <w:t>25</w:t>
            </w:r>
            <w:r>
              <w:rPr>
                <w:rFonts w:hint="eastAsia" w:ascii="宋体" w:hAnsi="宋体" w:eastAsia="宋体" w:cs="宋体"/>
                <w:i w:val="0"/>
                <w:iCs w:val="0"/>
                <w:color w:val="000000"/>
                <w:kern w:val="0"/>
                <w:sz w:val="18"/>
                <w:szCs w:val="18"/>
                <w:highlight w:val="none"/>
                <w:u w:val="none"/>
                <w:lang w:val="en-US" w:eastAsia="zh-CN" w:bidi="ar"/>
              </w:rPr>
              <w:t>0*1400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不锈</w:t>
            </w:r>
            <w:r>
              <w:rPr>
                <w:rFonts w:hint="eastAsia" w:ascii="宋体" w:hAnsi="宋体" w:eastAsia="宋体" w:cs="宋体"/>
                <w:i w:val="0"/>
                <w:iCs w:val="0"/>
                <w:color w:val="000000"/>
                <w:kern w:val="0"/>
                <w:sz w:val="18"/>
                <w:szCs w:val="18"/>
                <w:highlight w:val="none"/>
                <w:u w:val="none"/>
                <w:lang w:val="en-US" w:eastAsia="zh-CN" w:bidi="ar"/>
              </w:rPr>
              <w:t>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自动过滤阀</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处理水不小于</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t/h</w:t>
            </w:r>
            <w:r>
              <w:rPr>
                <w:rFonts w:hint="eastAsia" w:ascii="宋体" w:hAnsi="宋体" w:cs="宋体"/>
                <w:i w:val="0"/>
                <w:iCs w:val="0"/>
                <w:color w:val="000000"/>
                <w:kern w:val="0"/>
                <w:sz w:val="18"/>
                <w:szCs w:val="18"/>
                <w:highlight w:val="none"/>
                <w:u w:val="none"/>
                <w:lang w:val="en-US" w:eastAsia="zh-CN" w:bidi="ar"/>
              </w:rPr>
              <w:t>,71Q1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ABS</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石英砂</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混合目（100kg）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散颗粒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活性炭过滤器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过滤器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w:t>
            </w:r>
            <w:r>
              <w:rPr>
                <w:rFonts w:hint="eastAsia" w:ascii="宋体" w:hAnsi="宋体" w:cs="宋体"/>
                <w:i w:val="0"/>
                <w:iCs w:val="0"/>
                <w:color w:val="000000"/>
                <w:kern w:val="0"/>
                <w:sz w:val="18"/>
                <w:szCs w:val="18"/>
                <w:highlight w:val="none"/>
                <w:u w:val="none"/>
                <w:lang w:val="en-US" w:eastAsia="zh-CN" w:bidi="ar"/>
              </w:rPr>
              <w:t>250</w:t>
            </w:r>
            <w:r>
              <w:rPr>
                <w:rFonts w:hint="eastAsia" w:ascii="宋体" w:hAnsi="宋体" w:eastAsia="宋体" w:cs="宋体"/>
                <w:i w:val="0"/>
                <w:iCs w:val="0"/>
                <w:color w:val="000000"/>
                <w:kern w:val="0"/>
                <w:sz w:val="18"/>
                <w:szCs w:val="18"/>
                <w:highlight w:val="none"/>
                <w:u w:val="none"/>
                <w:lang w:val="en-US" w:eastAsia="zh-CN" w:bidi="ar"/>
              </w:rPr>
              <w:t>*1400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不锈</w:t>
            </w:r>
            <w:r>
              <w:rPr>
                <w:rFonts w:hint="eastAsia" w:ascii="宋体" w:hAnsi="宋体" w:eastAsia="宋体" w:cs="宋体"/>
                <w:i w:val="0"/>
                <w:iCs w:val="0"/>
                <w:color w:val="000000"/>
                <w:kern w:val="0"/>
                <w:sz w:val="18"/>
                <w:szCs w:val="18"/>
                <w:highlight w:val="none"/>
                <w:u w:val="none"/>
                <w:lang w:val="en-US" w:eastAsia="zh-CN" w:bidi="ar"/>
              </w:rPr>
              <w:t>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自动过滤阀</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处理水不小于</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t/h</w:t>
            </w:r>
            <w:r>
              <w:rPr>
                <w:rFonts w:hint="eastAsia" w:ascii="宋体" w:hAnsi="宋体" w:cs="宋体"/>
                <w:i w:val="0"/>
                <w:iCs w:val="0"/>
                <w:color w:val="000000"/>
                <w:kern w:val="0"/>
                <w:sz w:val="18"/>
                <w:szCs w:val="18"/>
                <w:highlight w:val="none"/>
                <w:u w:val="none"/>
                <w:lang w:val="en-US" w:eastAsia="zh-CN" w:bidi="ar"/>
              </w:rPr>
              <w:t>,71Q1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ABS</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石英砂</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混合目（</w:t>
            </w:r>
            <w:r>
              <w:rPr>
                <w:rFonts w:hint="eastAsia" w:ascii="宋体" w:hAnsi="宋体" w:cs="宋体"/>
                <w:i w:val="0"/>
                <w:iCs w:val="0"/>
                <w:color w:val="000000"/>
                <w:kern w:val="0"/>
                <w:sz w:val="18"/>
                <w:szCs w:val="18"/>
                <w:highlight w:val="none"/>
                <w:u w:val="none"/>
                <w:lang w:val="en-US" w:eastAsia="zh-CN" w:bidi="ar"/>
              </w:rPr>
              <w:t>25</w:t>
            </w:r>
            <w:r>
              <w:rPr>
                <w:rFonts w:hint="eastAsia" w:ascii="宋体" w:hAnsi="宋体" w:eastAsia="宋体" w:cs="宋体"/>
                <w:i w:val="0"/>
                <w:iCs w:val="0"/>
                <w:color w:val="000000"/>
                <w:kern w:val="0"/>
                <w:sz w:val="18"/>
                <w:szCs w:val="18"/>
                <w:highlight w:val="none"/>
                <w:u w:val="none"/>
                <w:lang w:val="en-US" w:eastAsia="zh-CN" w:bidi="ar"/>
              </w:rPr>
              <w:t>kg）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散颗粒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活性炭</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果壳炭（50kg）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散颗粒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阻垢剂加药装置</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药剂泵</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Q=3L/h</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PVDF</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阻垢剂</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25kg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液体</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桶</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药箱</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40L</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PE</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kern w:val="0"/>
                <w:sz w:val="22"/>
                <w:szCs w:val="22"/>
                <w:highlight w:val="none"/>
              </w:rPr>
              <w:t>★</w:t>
            </w:r>
            <w:r>
              <w:rPr>
                <w:rFonts w:hint="eastAsia" w:ascii="宋体" w:hAnsi="宋体" w:eastAsia="宋体" w:cs="宋体"/>
                <w:i w:val="0"/>
                <w:iCs w:val="0"/>
                <w:color w:val="000000"/>
                <w:kern w:val="0"/>
                <w:sz w:val="18"/>
                <w:szCs w:val="18"/>
                <w:highlight w:val="none"/>
                <w:u w:val="none"/>
                <w:lang w:val="en-US" w:eastAsia="zh-CN" w:bidi="ar"/>
              </w:rPr>
              <w:t>RO系统装置</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w:t>
            </w:r>
            <w:r>
              <w:rPr>
                <w:rFonts w:hint="eastAsia" w:ascii="宋体" w:hAnsi="宋体" w:cs="宋体"/>
                <w:i w:val="0"/>
                <w:iCs w:val="0"/>
                <w:color w:val="000000"/>
                <w:kern w:val="0"/>
                <w:sz w:val="18"/>
                <w:szCs w:val="18"/>
                <w:highlight w:val="none"/>
                <w:u w:val="none"/>
                <w:lang w:val="en-US" w:eastAsia="zh-CN" w:bidi="ar"/>
              </w:rPr>
              <w:t>0.5</w:t>
            </w:r>
            <w:r>
              <w:rPr>
                <w:rFonts w:hint="eastAsia" w:ascii="宋体" w:hAnsi="宋体" w:eastAsia="宋体" w:cs="宋体"/>
                <w:i w:val="0"/>
                <w:iCs w:val="0"/>
                <w:color w:val="000000"/>
                <w:kern w:val="0"/>
                <w:sz w:val="18"/>
                <w:szCs w:val="18"/>
                <w:highlight w:val="none"/>
                <w:u w:val="none"/>
                <w:lang w:val="en-US" w:eastAsia="zh-CN" w:bidi="ar"/>
              </w:rPr>
              <w:t>t/h ，Y=</w:t>
            </w:r>
            <w:r>
              <w:rPr>
                <w:rFonts w:hint="eastAsia" w:ascii="宋体" w:hAnsi="宋体" w:cs="宋体"/>
                <w:i w:val="0"/>
                <w:iCs w:val="0"/>
                <w:color w:val="000000"/>
                <w:kern w:val="0"/>
                <w:sz w:val="18"/>
                <w:szCs w:val="18"/>
                <w:highlight w:val="none"/>
                <w:u w:val="none"/>
                <w:lang w:val="en-US" w:eastAsia="zh-CN" w:bidi="ar"/>
              </w:rPr>
              <w:t>75</w:t>
            </w:r>
            <w:r>
              <w:rPr>
                <w:rFonts w:hint="eastAsia" w:ascii="宋体" w:hAnsi="宋体" w:eastAsia="宋体" w:cs="宋体"/>
                <w:i w:val="0"/>
                <w:iCs w:val="0"/>
                <w:color w:val="000000"/>
                <w:kern w:val="0"/>
                <w:sz w:val="18"/>
                <w:szCs w:val="18"/>
                <w:highlight w:val="none"/>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滤芯</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 xml:space="preserve">10寸 </w:t>
            </w:r>
            <w:r>
              <w:rPr>
                <w:rFonts w:hint="eastAsia" w:ascii="宋体" w:hAnsi="宋体" w:eastAsia="宋体" w:cs="宋体"/>
                <w:i w:val="0"/>
                <w:iCs w:val="0"/>
                <w:color w:val="000000"/>
                <w:kern w:val="0"/>
                <w:sz w:val="18"/>
                <w:szCs w:val="18"/>
                <w:highlight w:val="none"/>
                <w:u w:val="none"/>
                <w:lang w:val="en-US" w:eastAsia="zh-CN" w:bidi="ar"/>
              </w:rPr>
              <w:t>PP棉滤芯</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精密过滤器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10寸，法兰式</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不锈</w:t>
            </w:r>
            <w:r>
              <w:rPr>
                <w:rFonts w:hint="eastAsia" w:ascii="宋体" w:hAnsi="宋体" w:eastAsia="宋体" w:cs="宋体"/>
                <w:i w:val="0"/>
                <w:iCs w:val="0"/>
                <w:color w:val="000000"/>
                <w:kern w:val="0"/>
                <w:sz w:val="18"/>
                <w:szCs w:val="18"/>
                <w:highlight w:val="none"/>
                <w:u w:val="none"/>
                <w:lang w:val="en-US" w:eastAsia="zh-CN" w:bidi="ar"/>
              </w:rPr>
              <w:t>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高压泵</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Q=2m³/h ，H=98m；N= 1.5KW</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过流SUS304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低压力开关</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BD-A3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BD-A30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反渗透装置</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反渗透膜壳</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4040*1芯</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RO膜</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芳香聚酰胺</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进水电磁阀</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冲洗电磁阀</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设备本体连接管路</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不锈钢卡压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电气自控装置</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电器元件</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智能控制屏（</w:t>
            </w:r>
            <w:r>
              <w:rPr>
                <w:rFonts w:hint="eastAsia" w:ascii="宋体" w:hAnsi="宋体" w:cs="宋体"/>
                <w:i w:val="0"/>
                <w:iCs w:val="0"/>
                <w:color w:val="000000"/>
                <w:kern w:val="0"/>
                <w:sz w:val="18"/>
                <w:szCs w:val="18"/>
                <w:highlight w:val="none"/>
                <w:u w:val="none"/>
                <w:lang w:val="en-US" w:eastAsia="zh-CN" w:bidi="ar"/>
              </w:rPr>
              <w:t>互联网版）    7寸，触摸屏</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ABS</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B</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水箱部分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进水电动阀</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原水水箱</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 1000L</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不锈钢瓦楞</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储水水箱</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w:t>
            </w:r>
            <w:r>
              <w:rPr>
                <w:rFonts w:hint="eastAsia" w:ascii="宋体" w:hAnsi="宋体" w:cs="宋体"/>
                <w:i w:val="0"/>
                <w:iCs w:val="0"/>
                <w:color w:val="000000"/>
                <w:kern w:val="0"/>
                <w:sz w:val="18"/>
                <w:szCs w:val="18"/>
                <w:highlight w:val="none"/>
                <w:u w:val="none"/>
                <w:lang w:val="en-US" w:eastAsia="zh-CN" w:bidi="ar"/>
              </w:rPr>
              <w:t>1000</w:t>
            </w:r>
            <w:r>
              <w:rPr>
                <w:rFonts w:hint="eastAsia" w:ascii="宋体" w:hAnsi="宋体" w:eastAsia="宋体" w:cs="宋体"/>
                <w:i w:val="0"/>
                <w:iCs w:val="0"/>
                <w:color w:val="000000"/>
                <w:kern w:val="0"/>
                <w:sz w:val="18"/>
                <w:szCs w:val="18"/>
                <w:highlight w:val="none"/>
                <w:u w:val="none"/>
                <w:lang w:val="en-US" w:eastAsia="zh-CN" w:bidi="ar"/>
              </w:rPr>
              <w:t>L</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不锈钢瓦楞</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液位浮球开关（浮球）</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0-3m,4-20mA</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C</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消毒杀菌部分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出水紫外线杀菌器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w:t>
            </w:r>
            <w:r>
              <w:rPr>
                <w:rFonts w:hint="eastAsia" w:ascii="宋体" w:hAnsi="宋体" w:eastAsia="宋体" w:cs="宋体"/>
                <w:i w:val="0"/>
                <w:iCs w:val="0"/>
                <w:color w:val="000000"/>
                <w:kern w:val="0"/>
                <w:sz w:val="18"/>
                <w:szCs w:val="18"/>
                <w:highlight w:val="none"/>
                <w:u w:val="none"/>
                <w:lang w:val="en-US" w:eastAsia="zh-CN" w:bidi="ar"/>
              </w:rPr>
              <w:t>W/220V/50HZ  2T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臭氧杀菌</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3mg/min</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sz w:val="18"/>
                <w:szCs w:val="18"/>
                <w:highlight w:val="none"/>
                <w:u w:val="none"/>
                <w:lang w:val="en-US" w:eastAsia="zh-CN"/>
              </w:rPr>
              <w:t>ABS</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D</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变频供水部分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供水泵</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68" w:leftChars="85" w:hanging="90" w:hangingChars="5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Q=4m³/h ，H=48m；N= 1. 1KW</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过流SUS304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变频器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ACS510-01-025A-4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远传压力表</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0-0.6MPa</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电控箱</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电器元件</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highlight w:val="none"/>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泵组本体管路</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E</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刷卡系统</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宋体" w:hAnsi="宋体" w:eastAsia="宋体" w:cs="宋体"/>
                <w:b w:val="0"/>
                <w:bCs w:val="0"/>
                <w:i w:val="0"/>
                <w:iCs w:val="0"/>
                <w:color w:val="000000"/>
                <w:sz w:val="18"/>
                <w:szCs w:val="18"/>
                <w:highlight w:val="none"/>
                <w:u w:val="none"/>
                <w:lang w:val="en-US" w:eastAsia="zh-CN"/>
              </w:rPr>
            </w:pPr>
            <w:r>
              <w:rPr>
                <w:rFonts w:hint="eastAsia" w:ascii="宋体" w:hAnsi="宋体" w:cs="宋体"/>
                <w:b w:val="0"/>
                <w:bCs w:val="0"/>
                <w:i w:val="0"/>
                <w:iCs w:val="0"/>
                <w:color w:val="000000"/>
                <w:sz w:val="18"/>
                <w:szCs w:val="18"/>
                <w:highlight w:val="none"/>
                <w:u w:val="none"/>
                <w:lang w:eastAsia="zh-CN"/>
              </w:rPr>
              <w:t>与平台配套智能</w:t>
            </w:r>
            <w:r>
              <w:rPr>
                <w:rFonts w:hint="eastAsia" w:ascii="宋体" w:hAnsi="宋体" w:cs="宋体"/>
                <w:b w:val="0"/>
                <w:bCs w:val="0"/>
                <w:i w:val="0"/>
                <w:iCs w:val="0"/>
                <w:color w:val="000000"/>
                <w:sz w:val="18"/>
                <w:szCs w:val="18"/>
                <w:highlight w:val="none"/>
                <w:u w:val="none"/>
                <w:lang w:val="en-US" w:eastAsia="zh-CN"/>
              </w:rPr>
              <w:t>IC卡     远程控制系统</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default" w:ascii="宋体" w:hAnsi="宋体" w:eastAsia="宋体" w:cs="宋体"/>
                <w:b w:val="0"/>
                <w:bCs w:val="0"/>
                <w:i w:val="0"/>
                <w:iCs w:val="0"/>
                <w:color w:val="000000"/>
                <w:sz w:val="18"/>
                <w:szCs w:val="18"/>
                <w:highlight w:val="none"/>
                <w:u w:val="none"/>
                <w:lang w:val="en-US" w:eastAsia="zh-CN"/>
              </w:rPr>
            </w:pPr>
            <w:r>
              <w:rPr>
                <w:rFonts w:hint="eastAsia" w:ascii="宋体" w:hAnsi="宋体" w:cs="宋体"/>
                <w:b w:val="0"/>
                <w:bCs w:val="0"/>
                <w:i w:val="0"/>
                <w:iCs w:val="0"/>
                <w:color w:val="000000"/>
                <w:sz w:val="18"/>
                <w:szCs w:val="18"/>
                <w:highlight w:val="none"/>
                <w:u w:val="none"/>
                <w:lang w:val="en-US" w:eastAsia="zh-CN"/>
              </w:rPr>
              <w:t>PETG</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F</w:t>
            </w:r>
          </w:p>
        </w:tc>
        <w:tc>
          <w:tcPr>
            <w:tcW w:w="2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饮水平台</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宋体" w:hAnsi="宋体" w:eastAsia="宋体" w:cs="宋体"/>
                <w:b/>
                <w:bCs/>
                <w:i w:val="0"/>
                <w:iCs w:val="0"/>
                <w:color w:val="000000"/>
                <w:sz w:val="18"/>
                <w:szCs w:val="18"/>
                <w:highlight w:val="none"/>
                <w:u w:val="none"/>
                <w:lang w:val="en-US" w:eastAsia="zh-CN"/>
              </w:rPr>
            </w:pPr>
            <w:r>
              <w:rPr>
                <w:rFonts w:hint="default" w:ascii="宋体" w:hAnsi="宋体" w:cs="宋体"/>
                <w:b w:val="0"/>
                <w:bCs w:val="0"/>
                <w:i w:val="0"/>
                <w:iCs w:val="0"/>
                <w:color w:val="000000"/>
                <w:sz w:val="18"/>
                <w:szCs w:val="18"/>
                <w:highlight w:val="none"/>
                <w:u w:val="none"/>
                <w:lang w:val="en-US" w:eastAsia="zh-CN"/>
              </w:rPr>
              <w:t>1200mm*500mm*1200mm</w:t>
            </w:r>
            <w:r>
              <w:rPr>
                <w:rFonts w:hint="eastAsia" w:ascii="宋体" w:hAnsi="宋体" w:cs="宋体"/>
                <w:b w:val="0"/>
                <w:bCs w:val="0"/>
                <w:i w:val="0"/>
                <w:iCs w:val="0"/>
                <w:color w:val="000000"/>
                <w:sz w:val="18"/>
                <w:szCs w:val="18"/>
                <w:highlight w:val="none"/>
                <w:u w:val="none"/>
                <w:lang w:val="en-US" w:eastAsia="zh-CN"/>
              </w:rPr>
              <w:t xml:space="preserve">±100   </w:t>
            </w:r>
            <w:r>
              <w:rPr>
                <w:rFonts w:hint="default" w:ascii="宋体" w:hAnsi="宋体" w:cs="宋体"/>
                <w:b w:val="0"/>
                <w:bCs w:val="0"/>
                <w:i w:val="0"/>
                <w:iCs w:val="0"/>
                <w:color w:val="000000"/>
                <w:sz w:val="18"/>
                <w:szCs w:val="18"/>
                <w:highlight w:val="none"/>
                <w:u w:val="none"/>
                <w:lang w:val="en-US" w:eastAsia="zh-CN"/>
              </w:rPr>
              <w:t>(</w:t>
            </w:r>
            <w:r>
              <w:rPr>
                <w:rFonts w:hint="eastAsia" w:ascii="宋体" w:hAnsi="宋体" w:cs="宋体"/>
                <w:b w:val="0"/>
                <w:bCs w:val="0"/>
                <w:i w:val="0"/>
                <w:iCs w:val="0"/>
                <w:color w:val="000000"/>
                <w:sz w:val="18"/>
                <w:szCs w:val="18"/>
                <w:highlight w:val="none"/>
                <w:u w:val="none"/>
                <w:lang w:val="en-US" w:eastAsia="zh-CN"/>
              </w:rPr>
              <w:t>长*宽*高）</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eastAsia" w:ascii="宋体" w:hAnsi="宋体" w:cs="宋体"/>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p>
        </w:tc>
        <w:tc>
          <w:tcPr>
            <w:tcW w:w="22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18"/>
                <w:szCs w:val="18"/>
                <w:highlight w:val="none"/>
                <w:u w:val="none"/>
                <w:lang w:val="en-US" w:eastAsia="zh-CN" w:bidi="ar"/>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宋体" w:hAnsi="宋体" w:cs="宋体"/>
                <w:b w:val="0"/>
                <w:bCs w:val="0"/>
                <w:i w:val="0"/>
                <w:iCs w:val="0"/>
                <w:color w:val="000000"/>
                <w:sz w:val="18"/>
                <w:szCs w:val="18"/>
                <w:highlight w:val="none"/>
                <w:u w:val="none"/>
                <w:lang w:val="en-US" w:eastAsia="zh-CN"/>
              </w:rPr>
            </w:pPr>
            <w:r>
              <w:rPr>
                <w:rFonts w:hint="eastAsia" w:ascii="宋体" w:hAnsi="宋体" w:cs="宋体"/>
                <w:b w:val="0"/>
                <w:bCs w:val="0"/>
                <w:i w:val="0"/>
                <w:iCs w:val="0"/>
                <w:color w:val="000000"/>
                <w:kern w:val="0"/>
                <w:sz w:val="18"/>
                <w:szCs w:val="18"/>
                <w:highlight w:val="none"/>
                <w:u w:val="none"/>
                <w:lang w:val="en-US" w:eastAsia="zh-CN" w:bidi="ar"/>
              </w:rPr>
              <w:t>取水口：不锈钢水龙头</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eastAsia" w:ascii="宋体" w:hAnsi="宋体" w:cs="宋体"/>
                <w:b w:val="0"/>
                <w:bCs w:val="0"/>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SUS304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G</w:t>
            </w:r>
          </w:p>
        </w:tc>
        <w:tc>
          <w:tcPr>
            <w:tcW w:w="2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滤芯耗材</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cs="宋体"/>
                <w:b w:val="0"/>
                <w:bCs w:val="0"/>
                <w:i w:val="0"/>
                <w:iCs w:val="0"/>
                <w:color w:val="000000"/>
                <w:sz w:val="18"/>
                <w:szCs w:val="18"/>
                <w:highlight w:val="none"/>
                <w:u w:val="none"/>
                <w:lang w:eastAsia="zh-CN"/>
              </w:rPr>
            </w:pPr>
            <w:r>
              <w:rPr>
                <w:rFonts w:hint="eastAsia" w:ascii="宋体" w:hAnsi="宋体" w:cs="宋体"/>
                <w:b w:val="0"/>
                <w:bCs w:val="0"/>
                <w:i w:val="0"/>
                <w:iCs w:val="0"/>
                <w:color w:val="000000"/>
                <w:sz w:val="18"/>
                <w:szCs w:val="18"/>
                <w:highlight w:val="none"/>
                <w:u w:val="none"/>
                <w:lang w:eastAsia="zh-CN"/>
              </w:rPr>
              <w:t>阻垢剂</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eastAsia" w:ascii="宋体" w:hAnsi="宋体" w:cs="宋体"/>
                <w:b w:val="0"/>
                <w:bCs w:val="0"/>
                <w:i w:val="0"/>
                <w:iCs w:val="0"/>
                <w:color w:val="000000"/>
                <w:sz w:val="18"/>
                <w:szCs w:val="18"/>
                <w:highlight w:val="none"/>
                <w:u w:val="none"/>
                <w:lang w:val="en-US" w:eastAsia="zh-CN"/>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桶</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p>
        </w:tc>
        <w:tc>
          <w:tcPr>
            <w:tcW w:w="22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宋体" w:hAnsi="宋体" w:cs="宋体"/>
                <w:b w:val="0"/>
                <w:bCs w:val="0"/>
                <w:i w:val="0"/>
                <w:iCs w:val="0"/>
                <w:color w:val="000000"/>
                <w:sz w:val="18"/>
                <w:szCs w:val="18"/>
                <w:highlight w:val="none"/>
                <w:u w:val="none"/>
                <w:lang w:val="en-US" w:eastAsia="zh-CN"/>
              </w:rPr>
            </w:pPr>
            <w:r>
              <w:rPr>
                <w:rFonts w:hint="eastAsia" w:ascii="宋体" w:hAnsi="宋体" w:cs="宋体"/>
                <w:b w:val="0"/>
                <w:bCs w:val="0"/>
                <w:i w:val="0"/>
                <w:iCs w:val="0"/>
                <w:color w:val="000000"/>
                <w:sz w:val="18"/>
                <w:szCs w:val="18"/>
                <w:highlight w:val="none"/>
                <w:u w:val="none"/>
                <w:lang w:val="en-US" w:eastAsia="zh-CN"/>
              </w:rPr>
              <w:t>10寸PP棉</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eastAsia" w:ascii="宋体" w:hAnsi="宋体" w:cs="宋体"/>
                <w:b w:val="0"/>
                <w:bCs w:val="0"/>
                <w:i w:val="0"/>
                <w:iCs w:val="0"/>
                <w:color w:val="000000"/>
                <w:sz w:val="18"/>
                <w:szCs w:val="18"/>
                <w:highlight w:val="none"/>
                <w:u w:val="none"/>
                <w:lang w:val="en-US" w:eastAsia="zh-CN"/>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支</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5</w:t>
            </w:r>
          </w:p>
        </w:tc>
      </w:tr>
    </w:tbl>
    <w:p>
      <w:pPr>
        <w:rPr>
          <w:rFonts w:ascii="华文中宋" w:hAnsi="华文中宋" w:eastAsia="华文中宋"/>
          <w:bCs/>
          <w:sz w:val="21"/>
          <w:szCs w:val="21"/>
          <w:highlight w:val="none"/>
        </w:rPr>
      </w:pPr>
    </w:p>
    <w:p>
      <w:pPr>
        <w:rPr>
          <w:rFonts w:hint="eastAsia" w:ascii="宋体" w:hAnsi="宋体" w:eastAsia="宋体" w:cs="宋体"/>
          <w:b/>
          <w:highlight w:val="none"/>
        </w:rPr>
      </w:pPr>
    </w:p>
    <w:p>
      <w:pPr>
        <w:rPr>
          <w:rFonts w:hint="default" w:ascii="宋体" w:hAnsi="宋体" w:eastAsia="宋体" w:cs="宋体"/>
          <w:b/>
          <w:highlight w:val="none"/>
          <w:lang w:val="en-US" w:eastAsia="zh-CN"/>
        </w:rPr>
      </w:pPr>
      <w:r>
        <w:rPr>
          <w:rFonts w:hint="eastAsia" w:ascii="宋体" w:hAnsi="宋体" w:eastAsia="宋体" w:cs="宋体"/>
          <w:b/>
          <w:highlight w:val="none"/>
        </w:rPr>
        <w:t>（2）二包技术要求</w:t>
      </w:r>
      <w:r>
        <w:rPr>
          <w:rFonts w:hint="eastAsia" w:ascii="宋体" w:hAnsi="宋体" w:cs="宋体"/>
          <w:b/>
          <w:highlight w:val="none"/>
          <w:lang w:val="en-US" w:eastAsia="zh-CN"/>
        </w:rPr>
        <w:t>配置清单</w:t>
      </w:r>
    </w:p>
    <w:p>
      <w:pPr>
        <w:jc w:val="center"/>
        <w:rPr>
          <w:rFonts w:hint="default" w:ascii="宋体" w:hAnsi="宋体" w:eastAsia="宋体" w:cs="宋体"/>
          <w:b/>
          <w:bCs/>
          <w:spacing w:val="-2"/>
          <w:sz w:val="24"/>
          <w:szCs w:val="24"/>
          <w:highlight w:val="none"/>
          <w:lang w:val="en-US" w:eastAsia="zh-CN"/>
        </w:rPr>
      </w:pPr>
      <w:r>
        <w:rPr>
          <w:rFonts w:hint="eastAsia" w:ascii="宋体" w:hAnsi="宋体" w:eastAsia="宋体" w:cs="宋体"/>
          <w:b/>
          <w:highlight w:val="none"/>
        </w:rPr>
        <w:t>※</w:t>
      </w:r>
      <w:r>
        <w:rPr>
          <w:rFonts w:hint="eastAsia" w:ascii="宋体" w:hAnsi="宋体" w:eastAsia="宋体" w:cs="宋体"/>
          <w:b/>
          <w:bCs/>
          <w:spacing w:val="-2"/>
          <w:sz w:val="24"/>
          <w:szCs w:val="24"/>
          <w:highlight w:val="none"/>
          <w:lang w:val="en-US" w:eastAsia="zh-CN"/>
        </w:rPr>
        <w:t>太阳能发电系统+智能型水质消毒投加装置</w:t>
      </w:r>
    </w:p>
    <w:tbl>
      <w:tblPr>
        <w:tblStyle w:val="171"/>
        <w:tblpPr w:leftFromText="180" w:rightFromText="180" w:vertAnchor="text" w:horzAnchor="page" w:tblpX="1348" w:tblpY="113"/>
        <w:tblOverlap w:val="never"/>
        <w:tblW w:w="92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19"/>
        <w:gridCol w:w="1884"/>
        <w:gridCol w:w="4248"/>
        <w:gridCol w:w="797"/>
        <w:gridCol w:w="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620" w:type="dxa"/>
            <w:noWrap w:val="0"/>
            <w:vAlign w:val="top"/>
          </w:tcPr>
          <w:p>
            <w:pPr>
              <w:pStyle w:val="170"/>
              <w:autoSpaceDE w:val="0"/>
              <w:autoSpaceDN w:val="0"/>
              <w:spacing w:before="177" w:line="222" w:lineRule="auto"/>
              <w:jc w:val="center"/>
              <w:rPr>
                <w:rFonts w:hint="eastAsia" w:ascii="宋体" w:hAnsi="宋体" w:eastAsia="宋体" w:cs="宋体"/>
                <w:b/>
                <w:bCs/>
                <w:sz w:val="18"/>
                <w:szCs w:val="18"/>
                <w:highlight w:val="none"/>
              </w:rPr>
            </w:pPr>
            <w:r>
              <w:rPr>
                <w:rFonts w:hint="eastAsia" w:ascii="宋体" w:hAnsi="宋体" w:eastAsia="宋体" w:cs="宋体"/>
                <w:b/>
                <w:bCs/>
                <w:spacing w:val="-3"/>
                <w:sz w:val="18"/>
                <w:szCs w:val="18"/>
                <w:highlight w:val="none"/>
              </w:rPr>
              <w:t>序号</w:t>
            </w:r>
          </w:p>
        </w:tc>
        <w:tc>
          <w:tcPr>
            <w:tcW w:w="819" w:type="dxa"/>
            <w:vMerge w:val="restart"/>
            <w:noWrap w:val="0"/>
            <w:vAlign w:val="top"/>
          </w:tcPr>
          <w:p>
            <w:pPr>
              <w:pStyle w:val="170"/>
              <w:autoSpaceDE w:val="0"/>
              <w:autoSpaceDN w:val="0"/>
              <w:spacing w:before="72" w:line="720" w:lineRule="auto"/>
              <w:jc w:val="center"/>
              <w:rPr>
                <w:rFonts w:hint="eastAsia" w:ascii="宋体" w:hAnsi="宋体" w:eastAsia="宋体" w:cs="宋体"/>
                <w:b/>
                <w:bCs/>
                <w:spacing w:val="-2"/>
                <w:sz w:val="18"/>
                <w:szCs w:val="18"/>
                <w:highlight w:val="none"/>
                <w:lang w:val="en-US" w:eastAsia="zh-CN"/>
              </w:rPr>
            </w:pPr>
          </w:p>
          <w:p>
            <w:pPr>
              <w:pStyle w:val="170"/>
              <w:autoSpaceDE w:val="0"/>
              <w:autoSpaceDN w:val="0"/>
              <w:spacing w:before="72" w:line="240" w:lineRule="auto"/>
              <w:jc w:val="center"/>
              <w:rPr>
                <w:rFonts w:hint="eastAsia" w:ascii="宋体" w:hAnsi="宋体" w:eastAsia="宋体" w:cs="宋体"/>
                <w:b/>
                <w:bCs/>
                <w:spacing w:val="-2"/>
                <w:sz w:val="18"/>
                <w:szCs w:val="18"/>
                <w:highlight w:val="none"/>
                <w:lang w:val="en-US" w:eastAsia="zh-CN"/>
              </w:rPr>
            </w:pPr>
          </w:p>
          <w:p>
            <w:pPr>
              <w:pStyle w:val="170"/>
              <w:autoSpaceDE w:val="0"/>
              <w:autoSpaceDN w:val="0"/>
              <w:spacing w:before="72" w:line="240" w:lineRule="auto"/>
              <w:jc w:val="center"/>
              <w:rPr>
                <w:rFonts w:hint="eastAsia" w:ascii="宋体" w:hAnsi="宋体" w:eastAsia="宋体" w:cs="宋体"/>
                <w:b/>
                <w:bCs/>
                <w:spacing w:val="-2"/>
                <w:sz w:val="18"/>
                <w:szCs w:val="18"/>
                <w:highlight w:val="none"/>
                <w:lang w:val="en-US" w:eastAsia="zh-CN"/>
              </w:rPr>
            </w:pPr>
            <w:r>
              <w:rPr>
                <w:rFonts w:hint="eastAsia" w:ascii="宋体" w:hAnsi="宋体" w:eastAsia="宋体" w:cs="宋体"/>
                <w:b/>
                <w:bCs/>
                <w:spacing w:val="-2"/>
                <w:sz w:val="18"/>
                <w:szCs w:val="18"/>
                <w:highlight w:val="none"/>
                <w:lang w:val="en-US" w:eastAsia="zh-CN"/>
              </w:rPr>
              <w:t>太阳能发电系统</w:t>
            </w:r>
          </w:p>
        </w:tc>
        <w:tc>
          <w:tcPr>
            <w:tcW w:w="1884" w:type="dxa"/>
            <w:noWrap w:val="0"/>
            <w:vAlign w:val="top"/>
          </w:tcPr>
          <w:p>
            <w:pPr>
              <w:pStyle w:val="170"/>
              <w:autoSpaceDE w:val="0"/>
              <w:autoSpaceDN w:val="0"/>
              <w:spacing w:before="178" w:line="222" w:lineRule="auto"/>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名称</w:t>
            </w:r>
          </w:p>
        </w:tc>
        <w:tc>
          <w:tcPr>
            <w:tcW w:w="4248" w:type="dxa"/>
            <w:noWrap w:val="0"/>
            <w:vAlign w:val="top"/>
          </w:tcPr>
          <w:p>
            <w:pPr>
              <w:pStyle w:val="170"/>
              <w:autoSpaceDE w:val="0"/>
              <w:autoSpaceDN w:val="0"/>
              <w:spacing w:before="177" w:line="220" w:lineRule="auto"/>
              <w:ind w:left="2375"/>
              <w:jc w:val="left"/>
              <w:rPr>
                <w:rFonts w:hint="eastAsia" w:ascii="宋体" w:hAnsi="宋体" w:eastAsia="宋体" w:cs="宋体"/>
                <w:b/>
                <w:bCs/>
                <w:sz w:val="18"/>
                <w:szCs w:val="18"/>
                <w:highlight w:val="none"/>
              </w:rPr>
            </w:pPr>
            <w:r>
              <w:rPr>
                <w:rFonts w:hint="eastAsia" w:ascii="宋体" w:hAnsi="宋体" w:eastAsia="宋体" w:cs="宋体"/>
                <w:b/>
                <w:bCs/>
                <w:spacing w:val="-3"/>
                <w:sz w:val="18"/>
                <w:szCs w:val="18"/>
                <w:highlight w:val="none"/>
              </w:rPr>
              <w:t>规格型号</w:t>
            </w:r>
          </w:p>
        </w:tc>
        <w:tc>
          <w:tcPr>
            <w:tcW w:w="797" w:type="dxa"/>
            <w:noWrap w:val="0"/>
            <w:vAlign w:val="top"/>
          </w:tcPr>
          <w:p>
            <w:pPr>
              <w:pStyle w:val="170"/>
              <w:autoSpaceDE w:val="0"/>
              <w:autoSpaceDN w:val="0"/>
              <w:spacing w:before="177" w:line="220" w:lineRule="auto"/>
              <w:ind w:left="118"/>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数量</w:t>
            </w:r>
          </w:p>
        </w:tc>
        <w:tc>
          <w:tcPr>
            <w:tcW w:w="893" w:type="dxa"/>
            <w:noWrap w:val="0"/>
            <w:vAlign w:val="top"/>
          </w:tcPr>
          <w:p>
            <w:pPr>
              <w:pStyle w:val="170"/>
              <w:autoSpaceDE w:val="0"/>
              <w:autoSpaceDN w:val="0"/>
              <w:spacing w:before="177" w:line="221" w:lineRule="auto"/>
              <w:ind w:left="117"/>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19" w:type="dxa"/>
            <w:vMerge w:val="continue"/>
            <w:noWrap w:val="0"/>
            <w:vAlign w:val="top"/>
          </w:tcPr>
          <w:p>
            <w:pPr>
              <w:pStyle w:val="170"/>
              <w:autoSpaceDE w:val="0"/>
              <w:autoSpaceDN w:val="0"/>
              <w:spacing w:before="72" w:line="240" w:lineRule="auto"/>
              <w:jc w:val="center"/>
              <w:rPr>
                <w:rFonts w:hint="eastAsia" w:ascii="宋体" w:hAnsi="宋体" w:eastAsia="宋体" w:cs="宋体"/>
                <w:spacing w:val="-2"/>
                <w:sz w:val="18"/>
                <w:szCs w:val="18"/>
                <w:highlight w:val="none"/>
                <w:lang w:val="en-US" w:eastAsia="zh-CN"/>
              </w:rPr>
            </w:pP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kern w:val="0"/>
                <w:sz w:val="22"/>
                <w:szCs w:val="22"/>
                <w:highlight w:val="none"/>
              </w:rPr>
              <w:t>★</w:t>
            </w:r>
            <w:r>
              <w:rPr>
                <w:rFonts w:hint="eastAsia" w:ascii="宋体" w:hAnsi="宋体" w:eastAsia="宋体" w:cs="宋体"/>
                <w:spacing w:val="-2"/>
                <w:sz w:val="18"/>
                <w:szCs w:val="18"/>
                <w:highlight w:val="none"/>
                <w:lang w:val="en-US" w:eastAsia="zh-CN"/>
              </w:rPr>
              <w:t>光伏发电板</w:t>
            </w:r>
          </w:p>
        </w:tc>
        <w:tc>
          <w:tcPr>
            <w:tcW w:w="4248" w:type="dxa"/>
            <w:tcBorders>
              <w:right w:val="single" w:color="000000" w:sz="2" w:space="0"/>
            </w:tcBorders>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尺寸：1010*460*30±100mm</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功率：100W  电压：18V</w:t>
            </w:r>
          </w:p>
        </w:tc>
        <w:tc>
          <w:tcPr>
            <w:tcW w:w="797" w:type="dxa"/>
            <w:tcBorders>
              <w:top w:val="single" w:color="000000" w:sz="2" w:space="0"/>
              <w:left w:val="single" w:color="000000" w:sz="2" w:space="0"/>
              <w:bottom w:val="single" w:color="000000" w:sz="2" w:space="0"/>
              <w:right w:val="single" w:color="000000" w:sz="2" w:space="0"/>
            </w:tcBorders>
            <w:noWrap w:val="0"/>
            <w:vAlign w:val="top"/>
          </w:tcPr>
          <w:p>
            <w:pPr>
              <w:pStyle w:val="170"/>
              <w:autoSpaceDE w:val="0"/>
              <w:autoSpaceDN w:val="0"/>
              <w:spacing w:before="71" w:line="600" w:lineRule="auto"/>
              <w:jc w:val="distribut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tcBorders>
              <w:left w:val="single" w:color="000000" w:sz="2" w:space="0"/>
            </w:tcBorders>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19" w:type="dxa"/>
            <w:vMerge w:val="continue"/>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val="en-US" w:eastAsia="zh-CN"/>
              </w:rPr>
            </w:pP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kern w:val="0"/>
                <w:sz w:val="22"/>
                <w:szCs w:val="22"/>
                <w:highlight w:val="none"/>
              </w:rPr>
              <w:t>★</w:t>
            </w:r>
            <w:r>
              <w:rPr>
                <w:rFonts w:hint="eastAsia" w:ascii="宋体" w:hAnsi="宋体" w:eastAsia="宋体" w:cs="宋体"/>
                <w:spacing w:val="-2"/>
                <w:sz w:val="18"/>
                <w:szCs w:val="18"/>
                <w:highlight w:val="none"/>
                <w:lang w:val="en-US" w:eastAsia="zh-CN"/>
              </w:rPr>
              <w:t>蓄电池</w:t>
            </w:r>
          </w:p>
        </w:tc>
        <w:tc>
          <w:tcPr>
            <w:tcW w:w="4248" w:type="dxa"/>
            <w:tcBorders>
              <w:right w:val="single" w:color="000000" w:sz="2" w:space="0"/>
            </w:tcBorders>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材质：胶体电池</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电压：12V   容量：38Ah</w:t>
            </w:r>
          </w:p>
        </w:tc>
        <w:tc>
          <w:tcPr>
            <w:tcW w:w="797" w:type="dxa"/>
            <w:tcBorders>
              <w:top w:val="single" w:color="000000" w:sz="2" w:space="0"/>
              <w:left w:val="single" w:color="000000" w:sz="2" w:space="0"/>
              <w:bottom w:val="single" w:color="000000" w:sz="2" w:space="0"/>
              <w:right w:val="single" w:color="000000" w:sz="2" w:space="0"/>
            </w:tcBorders>
            <w:noWrap w:val="0"/>
            <w:vAlign w:val="top"/>
          </w:tcPr>
          <w:p>
            <w:pPr>
              <w:pStyle w:val="170"/>
              <w:autoSpaceDE w:val="0"/>
              <w:autoSpaceDN w:val="0"/>
              <w:spacing w:before="71" w:line="600" w:lineRule="auto"/>
              <w:jc w:val="distribut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tcBorders>
              <w:left w:val="single" w:color="000000" w:sz="2" w:space="0"/>
            </w:tcBorders>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0" w:type="dxa"/>
            <w:noWrap w:val="0"/>
            <w:vAlign w:val="top"/>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819" w:type="dxa"/>
            <w:vMerge w:val="continue"/>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val="en-US" w:eastAsia="zh-CN"/>
              </w:rPr>
            </w:pP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PWM</w:t>
            </w:r>
          </w:p>
        </w:tc>
        <w:tc>
          <w:tcPr>
            <w:tcW w:w="4248" w:type="dxa"/>
            <w:tcBorders>
              <w:right w:val="single" w:color="000000" w:sz="2" w:space="0"/>
            </w:tcBorders>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输入电压：12-24V</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电流：30A  功能：电量显示、欠压提示、过充过放保护、电瓶防回流功能、防雷、过热保护</w:t>
            </w:r>
          </w:p>
        </w:tc>
        <w:tc>
          <w:tcPr>
            <w:tcW w:w="797" w:type="dxa"/>
            <w:tcBorders>
              <w:top w:val="single" w:color="000000" w:sz="2" w:space="0"/>
              <w:left w:val="single" w:color="000000" w:sz="2" w:space="0"/>
              <w:bottom w:val="single" w:color="000000" w:sz="2" w:space="0"/>
              <w:right w:val="single" w:color="000000" w:sz="2" w:space="0"/>
            </w:tcBorders>
            <w:noWrap w:val="0"/>
            <w:vAlign w:val="top"/>
          </w:tcPr>
          <w:p>
            <w:pPr>
              <w:pStyle w:val="170"/>
              <w:autoSpaceDE w:val="0"/>
              <w:autoSpaceDN w:val="0"/>
              <w:spacing w:before="71" w:line="184" w:lineRule="auto"/>
              <w:jc w:val="distribute"/>
              <w:rPr>
                <w:rFonts w:hint="eastAsia" w:ascii="宋体" w:hAnsi="宋体" w:eastAsia="宋体" w:cs="宋体"/>
                <w:sz w:val="18"/>
                <w:szCs w:val="18"/>
                <w:highlight w:val="none"/>
                <w:lang w:val="en-US" w:eastAsia="zh-CN"/>
              </w:rPr>
            </w:pPr>
          </w:p>
          <w:p>
            <w:pPr>
              <w:pStyle w:val="170"/>
              <w:autoSpaceDE w:val="0"/>
              <w:autoSpaceDN w:val="0"/>
              <w:spacing w:before="71" w:line="184" w:lineRule="auto"/>
              <w:jc w:val="distribut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tcBorders>
              <w:left w:val="single" w:color="000000" w:sz="2" w:space="0"/>
            </w:tcBorders>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0"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819" w:type="dxa"/>
            <w:vMerge w:val="restart"/>
            <w:noWrap w:val="0"/>
            <w:vAlign w:val="top"/>
          </w:tcPr>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18"/>
                <w:szCs w:val="18"/>
                <w:highlight w:val="none"/>
                <w:lang w:eastAsia="zh-CN"/>
              </w:rPr>
            </w:pPr>
          </w:p>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18"/>
                <w:szCs w:val="18"/>
                <w:highlight w:val="none"/>
                <w:lang w:eastAsia="zh-CN"/>
              </w:rPr>
            </w:pPr>
          </w:p>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18"/>
                <w:szCs w:val="18"/>
                <w:highlight w:val="none"/>
                <w:lang w:eastAsia="zh-CN"/>
              </w:rPr>
            </w:pPr>
          </w:p>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18"/>
                <w:szCs w:val="18"/>
                <w:highlight w:val="none"/>
                <w:lang w:eastAsia="zh-CN"/>
              </w:rPr>
            </w:pPr>
          </w:p>
          <w:p>
            <w:pPr>
              <w:pStyle w:val="17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pacing w:val="-5"/>
                <w:sz w:val="18"/>
                <w:szCs w:val="18"/>
                <w:highlight w:val="none"/>
                <w:lang w:eastAsia="zh-CN"/>
              </w:rPr>
            </w:pPr>
            <w:r>
              <w:rPr>
                <w:rFonts w:hint="eastAsia" w:ascii="宋体" w:hAnsi="宋体" w:eastAsia="宋体" w:cs="宋体"/>
                <w:b/>
                <w:bCs/>
                <w:spacing w:val="-5"/>
                <w:sz w:val="18"/>
                <w:szCs w:val="18"/>
                <w:highlight w:val="none"/>
                <w:lang w:eastAsia="zh-CN"/>
              </w:rPr>
              <w:t>消毒投加系统</w:t>
            </w: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720" w:lineRule="auto"/>
              <w:jc w:val="center"/>
              <w:rPr>
                <w:rFonts w:hint="eastAsia" w:ascii="宋体" w:hAnsi="宋体" w:eastAsia="宋体" w:cs="宋体"/>
                <w:b/>
                <w:bCs/>
                <w:spacing w:val="-2"/>
                <w:sz w:val="18"/>
                <w:szCs w:val="18"/>
                <w:highlight w:val="none"/>
                <w:lang w:eastAsia="zh-CN"/>
              </w:rPr>
            </w:pPr>
          </w:p>
          <w:p>
            <w:pPr>
              <w:pStyle w:val="170"/>
              <w:autoSpaceDE w:val="0"/>
              <w:autoSpaceDN w:val="0"/>
              <w:spacing w:before="72" w:line="24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b/>
                <w:bCs/>
                <w:spacing w:val="-2"/>
                <w:sz w:val="18"/>
                <w:szCs w:val="18"/>
                <w:highlight w:val="none"/>
                <w:lang w:eastAsia="zh-CN"/>
              </w:rPr>
              <w:t>消毒投加系统</w:t>
            </w:r>
          </w:p>
        </w:tc>
        <w:tc>
          <w:tcPr>
            <w:tcW w:w="1884" w:type="dxa"/>
            <w:noWrap w:val="0"/>
            <w:vAlign w:val="top"/>
          </w:tcPr>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kern w:val="0"/>
                <w:sz w:val="22"/>
                <w:szCs w:val="22"/>
                <w:highlight w:val="none"/>
              </w:rPr>
              <w:t>★</w:t>
            </w:r>
            <w:r>
              <w:rPr>
                <w:rFonts w:hint="eastAsia" w:ascii="宋体" w:hAnsi="宋体" w:eastAsia="宋体" w:cs="宋体"/>
                <w:color w:val="auto"/>
                <w:spacing w:val="-5"/>
                <w:sz w:val="18"/>
                <w:szCs w:val="18"/>
                <w:highlight w:val="none"/>
                <w:lang w:eastAsia="zh-CN"/>
              </w:rPr>
              <w:t>投加器</w:t>
            </w:r>
            <w:r>
              <w:rPr>
                <w:rFonts w:hint="eastAsia" w:ascii="宋体" w:hAnsi="宋体" w:eastAsia="宋体" w:cs="宋体"/>
                <w:color w:val="auto"/>
                <w:spacing w:val="-5"/>
                <w:sz w:val="18"/>
                <w:szCs w:val="18"/>
                <w:highlight w:val="none"/>
              </w:rPr>
              <w:t>主机</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外形尺寸：1000*600*1800Hmm±120mm</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材质：碳钢喷塑 （室外防雨型）</w:t>
            </w:r>
          </w:p>
        </w:tc>
        <w:tc>
          <w:tcPr>
            <w:tcW w:w="797" w:type="dxa"/>
            <w:noWrap w:val="0"/>
            <w:vAlign w:val="top"/>
          </w:tcPr>
          <w:p>
            <w:pPr>
              <w:pStyle w:val="170"/>
              <w:autoSpaceDE w:val="0"/>
              <w:autoSpaceDN w:val="0"/>
              <w:spacing w:before="71" w:line="48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893" w:type="dxa"/>
            <w:noWrap w:val="0"/>
            <w:vAlign w:val="top"/>
          </w:tcPr>
          <w:p>
            <w:pPr>
              <w:pStyle w:val="170"/>
              <w:autoSpaceDE w:val="0"/>
              <w:autoSpaceDN w:val="0"/>
              <w:spacing w:before="72" w:line="48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0" w:type="dxa"/>
            <w:noWrap w:val="0"/>
            <w:vAlign w:val="top"/>
          </w:tcPr>
          <w:p>
            <w:pPr>
              <w:pStyle w:val="170"/>
              <w:autoSpaceDE w:val="0"/>
              <w:autoSpaceDN w:val="0"/>
              <w:spacing w:before="72" w:line="182" w:lineRule="auto"/>
              <w:jc w:val="both"/>
              <w:rPr>
                <w:rFonts w:hint="eastAsia" w:ascii="宋体" w:hAnsi="宋体" w:eastAsia="宋体" w:cs="宋体"/>
                <w:sz w:val="18"/>
                <w:szCs w:val="18"/>
                <w:highlight w:val="none"/>
                <w:lang w:val="en-US" w:eastAsia="zh-CN"/>
              </w:rPr>
            </w:pPr>
          </w:p>
          <w:p>
            <w:pPr>
              <w:pStyle w:val="170"/>
              <w:autoSpaceDE w:val="0"/>
              <w:autoSpaceDN w:val="0"/>
              <w:spacing w:before="72" w:line="182" w:lineRule="auto"/>
              <w:ind w:firstLine="180" w:firstLineChars="100"/>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819" w:type="dxa"/>
            <w:vMerge w:val="continue"/>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spacing w:val="-2"/>
                <w:sz w:val="18"/>
                <w:szCs w:val="18"/>
                <w:highlight w:val="none"/>
                <w:lang w:eastAsia="zh-CN"/>
              </w:rPr>
              <w:t>控制操作</w:t>
            </w:r>
            <w:r>
              <w:rPr>
                <w:rFonts w:hint="eastAsia" w:ascii="宋体" w:hAnsi="宋体" w:eastAsia="宋体" w:cs="宋体"/>
                <w:spacing w:val="-2"/>
                <w:sz w:val="18"/>
                <w:szCs w:val="18"/>
                <w:highlight w:val="none"/>
              </w:rPr>
              <w:t>系统</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型号：TPC7012cf</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电压：24V DC/300mA</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名称：7寸昆仑通态触摸屏</w:t>
            </w:r>
          </w:p>
        </w:tc>
        <w:tc>
          <w:tcPr>
            <w:tcW w:w="797"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rPr>
            </w:pPr>
          </w:p>
          <w:p>
            <w:pPr>
              <w:pStyle w:val="170"/>
              <w:autoSpaceDE w:val="0"/>
              <w:autoSpaceDN w:val="0"/>
              <w:spacing w:before="71" w:line="184"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893"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620" w:type="dxa"/>
            <w:noWrap w:val="0"/>
            <w:vAlign w:val="top"/>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19" w:type="dxa"/>
            <w:vMerge w:val="continue"/>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kern w:val="0"/>
                <w:sz w:val="22"/>
                <w:szCs w:val="22"/>
                <w:highlight w:val="none"/>
              </w:rPr>
              <w:t>★</w:t>
            </w:r>
            <w:r>
              <w:rPr>
                <w:rFonts w:hint="eastAsia" w:ascii="宋体" w:hAnsi="宋体" w:eastAsia="宋体" w:cs="宋体"/>
                <w:spacing w:val="-2"/>
                <w:sz w:val="18"/>
                <w:szCs w:val="18"/>
                <w:highlight w:val="none"/>
                <w:lang w:eastAsia="zh-CN"/>
              </w:rPr>
              <w:t>执行电气系统</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型号：224XP  CN</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电压：21-28VDC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PLC全自动可编程智能控制系统人机界面操作系统智能控制</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系统自动运行，无需专人看守</w:t>
            </w:r>
          </w:p>
        </w:tc>
        <w:tc>
          <w:tcPr>
            <w:tcW w:w="797"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p>
          <w:p>
            <w:pPr>
              <w:pStyle w:val="170"/>
              <w:autoSpaceDE w:val="0"/>
              <w:autoSpaceDN w:val="0"/>
              <w:spacing w:before="72" w:line="221" w:lineRule="auto"/>
              <w:jc w:val="center"/>
              <w:rPr>
                <w:rFonts w:hint="eastAsia" w:ascii="宋体" w:hAnsi="宋体" w:eastAsia="宋体" w:cs="宋体"/>
                <w:sz w:val="18"/>
                <w:szCs w:val="18"/>
                <w:highlight w:val="none"/>
                <w:lang w:eastAsia="zh-CN"/>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620"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819" w:type="dxa"/>
            <w:vMerge w:val="continue"/>
            <w:noWrap w:val="0"/>
            <w:vAlign w:val="top"/>
          </w:tcPr>
          <w:p>
            <w:pPr>
              <w:pStyle w:val="170"/>
              <w:autoSpaceDE w:val="0"/>
              <w:autoSpaceDN w:val="0"/>
              <w:spacing w:before="72" w:line="600" w:lineRule="auto"/>
              <w:ind w:firstLine="352" w:firstLineChars="200"/>
              <w:jc w:val="both"/>
              <w:rPr>
                <w:rFonts w:hint="eastAsia" w:ascii="宋体" w:hAnsi="宋体" w:eastAsia="宋体" w:cs="宋体"/>
                <w:spacing w:val="-2"/>
                <w:sz w:val="18"/>
                <w:szCs w:val="18"/>
                <w:highlight w:val="none"/>
                <w:lang w:eastAsia="zh-CN"/>
              </w:rPr>
            </w:pP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lang w:eastAsia="zh-CN"/>
              </w:rPr>
              <w:t>电气系统</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名称：中间继电器  型号：JQX-13F-2ZL</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含电压转换器</w:t>
            </w:r>
          </w:p>
        </w:tc>
        <w:tc>
          <w:tcPr>
            <w:tcW w:w="797" w:type="dxa"/>
            <w:noWrap w:val="0"/>
            <w:vAlign w:val="top"/>
          </w:tcPr>
          <w:p>
            <w:pPr>
              <w:pStyle w:val="170"/>
              <w:autoSpaceDE w:val="0"/>
              <w:autoSpaceDN w:val="0"/>
              <w:spacing w:before="71" w:line="72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620"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819" w:type="dxa"/>
            <w:vMerge w:val="continue"/>
            <w:noWrap w:val="0"/>
            <w:vAlign w:val="top"/>
          </w:tcPr>
          <w:p>
            <w:pPr>
              <w:pStyle w:val="170"/>
              <w:autoSpaceDE w:val="0"/>
              <w:autoSpaceDN w:val="0"/>
              <w:spacing w:before="72" w:line="720" w:lineRule="auto"/>
              <w:jc w:val="center"/>
              <w:rPr>
                <w:rFonts w:hint="eastAsia" w:ascii="宋体" w:hAnsi="宋体" w:eastAsia="宋体" w:cs="宋体"/>
                <w:spacing w:val="-2"/>
                <w:sz w:val="18"/>
                <w:szCs w:val="18"/>
                <w:highlight w:val="none"/>
                <w:lang w:eastAsia="zh-CN"/>
              </w:rPr>
            </w:pPr>
          </w:p>
        </w:tc>
        <w:tc>
          <w:tcPr>
            <w:tcW w:w="1884" w:type="dxa"/>
            <w:noWrap w:val="0"/>
            <w:vAlign w:val="top"/>
          </w:tcPr>
          <w:p>
            <w:pPr>
              <w:pStyle w:val="170"/>
              <w:autoSpaceDE w:val="0"/>
              <w:autoSpaceDN w:val="0"/>
              <w:spacing w:before="72" w:line="72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lang w:eastAsia="zh-CN"/>
              </w:rPr>
              <w:t>总控开关</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名称：2P空气开关</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型号：CDBKC32</w:t>
            </w:r>
          </w:p>
        </w:tc>
        <w:tc>
          <w:tcPr>
            <w:tcW w:w="797" w:type="dxa"/>
            <w:noWrap w:val="0"/>
            <w:vAlign w:val="top"/>
          </w:tcPr>
          <w:p>
            <w:pPr>
              <w:pStyle w:val="170"/>
              <w:autoSpaceDE w:val="0"/>
              <w:autoSpaceDN w:val="0"/>
              <w:spacing w:before="71"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819" w:type="dxa"/>
            <w:vMerge w:val="continue"/>
            <w:noWrap w:val="0"/>
            <w:vAlign w:val="top"/>
          </w:tcPr>
          <w:p>
            <w:pPr>
              <w:pStyle w:val="170"/>
              <w:autoSpaceDE w:val="0"/>
              <w:autoSpaceDN w:val="0"/>
              <w:spacing w:before="72" w:line="600" w:lineRule="auto"/>
              <w:ind w:firstLine="528" w:firstLineChars="300"/>
              <w:jc w:val="both"/>
              <w:rPr>
                <w:rFonts w:hint="eastAsia" w:ascii="宋体" w:hAnsi="宋体" w:eastAsia="宋体" w:cs="宋体"/>
                <w:spacing w:val="-2"/>
                <w:sz w:val="18"/>
                <w:szCs w:val="18"/>
                <w:highlight w:val="none"/>
              </w:rPr>
            </w:pPr>
          </w:p>
        </w:tc>
        <w:tc>
          <w:tcPr>
            <w:tcW w:w="1884" w:type="dxa"/>
            <w:noWrap w:val="0"/>
            <w:vAlign w:val="top"/>
          </w:tcPr>
          <w:p>
            <w:pPr>
              <w:pStyle w:val="170"/>
              <w:autoSpaceDE w:val="0"/>
              <w:autoSpaceDN w:val="0"/>
              <w:spacing w:before="72" w:line="600" w:lineRule="auto"/>
              <w:jc w:val="center"/>
              <w:rPr>
                <w:rFonts w:hint="eastAsia" w:ascii="宋体" w:hAnsi="宋体" w:eastAsia="宋体" w:cs="宋体"/>
                <w:color w:val="000000"/>
                <w:spacing w:val="-2"/>
                <w:sz w:val="18"/>
                <w:szCs w:val="18"/>
                <w:highlight w:val="none"/>
                <w:lang w:eastAsia="zh-CN"/>
              </w:rPr>
            </w:pPr>
            <w:r>
              <w:rPr>
                <w:rFonts w:hint="eastAsia" w:ascii="宋体" w:hAnsi="宋体" w:eastAsia="宋体" w:cs="宋体"/>
                <w:color w:val="000000"/>
                <w:spacing w:val="-2"/>
                <w:sz w:val="18"/>
                <w:szCs w:val="18"/>
                <w:highlight w:val="none"/>
              </w:rPr>
              <w:t>储药罐</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p>
            <w:pPr>
              <w:pStyle w:val="170"/>
              <w:autoSpaceDE w:val="0"/>
              <w:autoSpaceDN w:val="0"/>
              <w:spacing w:line="36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容积：300L±20L</w:t>
            </w:r>
          </w:p>
        </w:tc>
        <w:tc>
          <w:tcPr>
            <w:tcW w:w="797" w:type="dxa"/>
            <w:noWrap w:val="0"/>
            <w:vAlign w:val="top"/>
          </w:tcPr>
          <w:p>
            <w:pPr>
              <w:pStyle w:val="170"/>
              <w:autoSpaceDE w:val="0"/>
              <w:autoSpaceDN w:val="0"/>
              <w:spacing w:before="71"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620" w:type="dxa"/>
            <w:noWrap w:val="0"/>
            <w:vAlign w:val="top"/>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819" w:type="dxa"/>
            <w:vMerge w:val="continue"/>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rPr>
            </w:pP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rPr>
            </w:pPr>
          </w:p>
          <w:p>
            <w:pPr>
              <w:pStyle w:val="170"/>
              <w:autoSpaceDE w:val="0"/>
              <w:autoSpaceDN w:val="0"/>
              <w:spacing w:before="72" w:line="221" w:lineRule="auto"/>
              <w:jc w:val="center"/>
              <w:rPr>
                <w:rFonts w:hint="eastAsia" w:ascii="宋体" w:hAnsi="宋体" w:eastAsia="宋体" w:cs="宋体"/>
                <w:spacing w:val="-2"/>
                <w:sz w:val="18"/>
                <w:szCs w:val="18"/>
                <w:highlight w:val="none"/>
              </w:rPr>
            </w:pPr>
          </w:p>
          <w:p>
            <w:pPr>
              <w:pStyle w:val="170"/>
              <w:autoSpaceDE w:val="0"/>
              <w:autoSpaceDN w:val="0"/>
              <w:spacing w:before="72" w:line="221" w:lineRule="auto"/>
              <w:jc w:val="center"/>
              <w:rPr>
                <w:rFonts w:hint="eastAsia" w:ascii="宋体" w:hAnsi="宋体" w:eastAsia="宋体" w:cs="宋体"/>
                <w:spacing w:val="-2"/>
                <w:sz w:val="18"/>
                <w:szCs w:val="18"/>
                <w:highlight w:val="none"/>
              </w:rPr>
            </w:pPr>
          </w:p>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rPr>
              <w:t>加药计量泵</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定量将次氯酸钠溶液输送至加药点，手动调节泵频</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最大流量：9L/h，</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泵头材质：PVDF；</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隔膜材质：PTFE；</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供电电压：220VAC；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功率：12W</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型号：EFD-09-03</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投加点压力≤0.5Mpa使用</w:t>
            </w:r>
          </w:p>
        </w:tc>
        <w:tc>
          <w:tcPr>
            <w:tcW w:w="797"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20"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819" w:type="dxa"/>
            <w:vMerge w:val="continue"/>
            <w:noWrap w:val="0"/>
            <w:vAlign w:val="top"/>
          </w:tcPr>
          <w:p>
            <w:pPr>
              <w:pStyle w:val="170"/>
              <w:autoSpaceDE w:val="0"/>
              <w:autoSpaceDN w:val="0"/>
              <w:spacing w:before="72" w:line="480" w:lineRule="auto"/>
              <w:ind w:firstLine="352" w:firstLineChars="200"/>
              <w:jc w:val="both"/>
              <w:rPr>
                <w:rFonts w:hint="eastAsia" w:ascii="宋体" w:hAnsi="宋体" w:eastAsia="宋体" w:cs="宋体"/>
                <w:spacing w:val="-2"/>
                <w:sz w:val="18"/>
                <w:szCs w:val="18"/>
                <w:highlight w:val="none"/>
                <w:lang w:eastAsia="zh-CN"/>
              </w:rPr>
            </w:pPr>
          </w:p>
        </w:tc>
        <w:tc>
          <w:tcPr>
            <w:tcW w:w="1884" w:type="dxa"/>
            <w:noWrap w:val="0"/>
            <w:vAlign w:val="top"/>
          </w:tcPr>
          <w:p>
            <w:pPr>
              <w:pStyle w:val="170"/>
              <w:autoSpaceDE w:val="0"/>
              <w:autoSpaceDN w:val="0"/>
              <w:spacing w:before="72" w:line="480" w:lineRule="auto"/>
              <w:ind w:firstLine="176" w:firstLineChars="100"/>
              <w:jc w:val="both"/>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加药安全阀</w:t>
            </w:r>
          </w:p>
        </w:tc>
        <w:tc>
          <w:tcPr>
            <w:tcW w:w="4248"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加药背压阀/安全阀 DN15</w:t>
            </w:r>
          </w:p>
        </w:tc>
        <w:tc>
          <w:tcPr>
            <w:tcW w:w="797" w:type="dxa"/>
            <w:noWrap w:val="0"/>
            <w:vAlign w:val="center"/>
          </w:tcPr>
          <w:p>
            <w:pPr>
              <w:pStyle w:val="170"/>
              <w:autoSpaceDE w:val="0"/>
              <w:autoSpaceDN w:val="0"/>
              <w:spacing w:before="71"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93" w:type="dxa"/>
            <w:noWrap w:val="0"/>
            <w:vAlign w:val="center"/>
          </w:tcPr>
          <w:p>
            <w:pPr>
              <w:pStyle w:val="170"/>
              <w:autoSpaceDE w:val="0"/>
              <w:autoSpaceDN w:val="0"/>
              <w:spacing w:before="72"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20"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819" w:type="dxa"/>
            <w:vMerge w:val="continue"/>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eastAsia="zh-CN"/>
              </w:rPr>
            </w:pP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z w:val="18"/>
                <w:szCs w:val="18"/>
                <w:highlight w:val="none"/>
                <w:lang w:eastAsia="zh-CN"/>
              </w:rPr>
              <w:t>注水器</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名称：药箱加水阀 </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型号：DN15</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tc>
        <w:tc>
          <w:tcPr>
            <w:tcW w:w="797" w:type="dxa"/>
            <w:noWrap w:val="0"/>
            <w:vAlign w:val="top"/>
          </w:tcPr>
          <w:p>
            <w:pPr>
              <w:pStyle w:val="170"/>
              <w:autoSpaceDE w:val="0"/>
              <w:autoSpaceDN w:val="0"/>
              <w:spacing w:before="71"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20"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w:t>
            </w:r>
          </w:p>
        </w:tc>
        <w:tc>
          <w:tcPr>
            <w:tcW w:w="819" w:type="dxa"/>
            <w:vMerge w:val="continue"/>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eastAsia="zh-CN"/>
              </w:rPr>
            </w:pPr>
          </w:p>
        </w:tc>
        <w:tc>
          <w:tcPr>
            <w:tcW w:w="1884" w:type="dxa"/>
            <w:noWrap w:val="0"/>
            <w:vAlign w:val="top"/>
          </w:tcPr>
          <w:p>
            <w:pPr>
              <w:pStyle w:val="170"/>
              <w:autoSpaceDE w:val="0"/>
              <w:autoSpaceDN w:val="0"/>
              <w:spacing w:before="72" w:line="36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z w:val="18"/>
                <w:szCs w:val="18"/>
                <w:highlight w:val="none"/>
                <w:lang w:eastAsia="zh-CN"/>
              </w:rPr>
              <w:t>药箱安全装置</w:t>
            </w:r>
          </w:p>
        </w:tc>
        <w:tc>
          <w:tcPr>
            <w:tcW w:w="4248"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tc>
        <w:tc>
          <w:tcPr>
            <w:tcW w:w="797"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20" w:type="dxa"/>
            <w:noWrap w:val="0"/>
            <w:vAlign w:val="center"/>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819" w:type="dxa"/>
            <w:vMerge w:val="continue"/>
            <w:noWrap w:val="0"/>
            <w:vAlign w:val="center"/>
          </w:tcPr>
          <w:p>
            <w:pPr>
              <w:pStyle w:val="170"/>
              <w:autoSpaceDE w:val="0"/>
              <w:autoSpaceDN w:val="0"/>
              <w:spacing w:before="72" w:line="240" w:lineRule="auto"/>
              <w:jc w:val="center"/>
              <w:rPr>
                <w:rFonts w:hint="eastAsia" w:ascii="宋体" w:hAnsi="宋体" w:eastAsia="宋体" w:cs="宋体"/>
                <w:sz w:val="18"/>
                <w:szCs w:val="18"/>
                <w:highlight w:val="none"/>
                <w:lang w:eastAsia="zh-CN"/>
              </w:rPr>
            </w:pPr>
          </w:p>
        </w:tc>
        <w:tc>
          <w:tcPr>
            <w:tcW w:w="1884" w:type="dxa"/>
            <w:noWrap w:val="0"/>
            <w:vAlign w:val="center"/>
          </w:tcPr>
          <w:p>
            <w:pPr>
              <w:pStyle w:val="170"/>
              <w:autoSpaceDE w:val="0"/>
              <w:autoSpaceDN w:val="0"/>
              <w:spacing w:before="72" w:line="480"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液位显示器</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透明可视窗</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配套排空阀：DN15</w:t>
            </w:r>
          </w:p>
        </w:tc>
        <w:tc>
          <w:tcPr>
            <w:tcW w:w="797"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620" w:type="dxa"/>
            <w:noWrap w:val="0"/>
            <w:vAlign w:val="center"/>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819" w:type="dxa"/>
            <w:vMerge w:val="continue"/>
            <w:noWrap w:val="0"/>
            <w:vAlign w:val="center"/>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p>
        </w:tc>
        <w:tc>
          <w:tcPr>
            <w:tcW w:w="1884" w:type="dxa"/>
            <w:noWrap w:val="0"/>
            <w:vAlign w:val="center"/>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液位传感器</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鸭舌液位传感器 </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材质：pp</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工作温度：-20-60℃</w:t>
            </w:r>
          </w:p>
        </w:tc>
        <w:tc>
          <w:tcPr>
            <w:tcW w:w="797"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20" w:type="dxa"/>
            <w:noWrap w:val="0"/>
            <w:vAlign w:val="top"/>
          </w:tcPr>
          <w:p>
            <w:pPr>
              <w:pStyle w:val="170"/>
              <w:autoSpaceDE w:val="0"/>
              <w:autoSpaceDN w:val="0"/>
              <w:spacing w:before="72"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w:t>
            </w:r>
          </w:p>
        </w:tc>
        <w:tc>
          <w:tcPr>
            <w:tcW w:w="819" w:type="dxa"/>
            <w:vMerge w:val="continue"/>
            <w:noWrap w:val="0"/>
            <w:vAlign w:val="top"/>
          </w:tcPr>
          <w:p>
            <w:pPr>
              <w:pStyle w:val="170"/>
              <w:autoSpaceDE w:val="0"/>
              <w:autoSpaceDN w:val="0"/>
              <w:spacing w:before="72" w:line="480" w:lineRule="auto"/>
              <w:jc w:val="center"/>
              <w:rPr>
                <w:rFonts w:hint="eastAsia" w:ascii="宋体" w:hAnsi="宋体" w:eastAsia="宋体" w:cs="宋体"/>
                <w:spacing w:val="-2"/>
                <w:sz w:val="18"/>
                <w:szCs w:val="18"/>
                <w:highlight w:val="none"/>
              </w:rPr>
            </w:pPr>
          </w:p>
        </w:tc>
        <w:tc>
          <w:tcPr>
            <w:tcW w:w="1884"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eastAsia="zh-CN"/>
              </w:rPr>
            </w:pPr>
            <w:r>
              <w:rPr>
                <w:rFonts w:hint="eastAsia" w:ascii="宋体" w:hAnsi="宋体" w:eastAsia="宋体" w:cs="宋体"/>
                <w:spacing w:val="-2"/>
                <w:sz w:val="18"/>
                <w:szCs w:val="18"/>
                <w:highlight w:val="none"/>
              </w:rPr>
              <w:t>管件、线缆</w:t>
            </w:r>
          </w:p>
        </w:tc>
        <w:tc>
          <w:tcPr>
            <w:tcW w:w="4248"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标配管件，三通。阀门，管件线缆，进出设备20米范围内</w:t>
            </w:r>
          </w:p>
        </w:tc>
        <w:tc>
          <w:tcPr>
            <w:tcW w:w="797"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20" w:type="dxa"/>
            <w:noWrap w:val="0"/>
            <w:vAlign w:val="top"/>
          </w:tcPr>
          <w:p>
            <w:pPr>
              <w:pStyle w:val="170"/>
              <w:autoSpaceDE w:val="0"/>
              <w:autoSpaceDN w:val="0"/>
              <w:spacing w:before="72"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w:t>
            </w:r>
          </w:p>
        </w:tc>
        <w:tc>
          <w:tcPr>
            <w:tcW w:w="819" w:type="dxa"/>
            <w:vMerge w:val="continue"/>
            <w:noWrap w:val="0"/>
            <w:vAlign w:val="top"/>
          </w:tcPr>
          <w:p>
            <w:pPr>
              <w:pStyle w:val="170"/>
              <w:autoSpaceDE w:val="0"/>
              <w:autoSpaceDN w:val="0"/>
              <w:spacing w:before="72" w:line="480" w:lineRule="auto"/>
              <w:jc w:val="center"/>
              <w:rPr>
                <w:rFonts w:hint="eastAsia" w:ascii="宋体" w:hAnsi="宋体" w:eastAsia="宋体" w:cs="宋体"/>
                <w:spacing w:val="-2"/>
                <w:sz w:val="18"/>
                <w:szCs w:val="18"/>
                <w:highlight w:val="none"/>
              </w:rPr>
            </w:pPr>
          </w:p>
        </w:tc>
        <w:tc>
          <w:tcPr>
            <w:tcW w:w="1884" w:type="dxa"/>
            <w:noWrap w:val="0"/>
            <w:vAlign w:val="top"/>
          </w:tcPr>
          <w:p>
            <w:pPr>
              <w:pStyle w:val="170"/>
              <w:autoSpaceDE w:val="0"/>
              <w:autoSpaceDN w:val="0"/>
              <w:spacing w:before="72" w:line="480" w:lineRule="auto"/>
              <w:jc w:val="center"/>
              <w:rPr>
                <w:rFonts w:hint="default"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远传模块</w:t>
            </w:r>
          </w:p>
        </w:tc>
        <w:tc>
          <w:tcPr>
            <w:tcW w:w="4248" w:type="dxa"/>
            <w:noWrap w:val="0"/>
            <w:vAlign w:val="top"/>
          </w:tcPr>
          <w:p>
            <w:pPr>
              <w:pStyle w:val="170"/>
              <w:autoSpaceDE w:val="0"/>
              <w:autoSpaceDN w:val="0"/>
              <w:spacing w:line="600" w:lineRule="auto"/>
              <w:jc w:val="left"/>
              <w:rPr>
                <w:rFonts w:hint="default"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DTU-4G/485通讯</w:t>
            </w:r>
          </w:p>
        </w:tc>
        <w:tc>
          <w:tcPr>
            <w:tcW w:w="797" w:type="dxa"/>
            <w:noWrap w:val="0"/>
            <w:vAlign w:val="top"/>
          </w:tcPr>
          <w:p>
            <w:pPr>
              <w:pStyle w:val="170"/>
              <w:autoSpaceDE w:val="0"/>
              <w:autoSpaceDN w:val="0"/>
              <w:spacing w:before="71"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3" w:type="dxa"/>
            <w:noWrap w:val="0"/>
            <w:vAlign w:val="top"/>
          </w:tcPr>
          <w:p>
            <w:pPr>
              <w:pStyle w:val="170"/>
              <w:autoSpaceDE w:val="0"/>
              <w:autoSpaceDN w:val="0"/>
              <w:spacing w:before="72"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bl>
    <w:p>
      <w:pPr>
        <w:rPr>
          <w:rFonts w:hint="eastAsia" w:ascii="宋体" w:hAnsi="宋体" w:eastAsia="宋体" w:cs="宋体"/>
          <w:b/>
          <w:bCs/>
          <w:spacing w:val="-2"/>
          <w:sz w:val="24"/>
          <w:szCs w:val="24"/>
          <w:highlight w:val="none"/>
          <w:lang w:val="en-US" w:eastAsia="zh-CN"/>
        </w:rPr>
      </w:pPr>
    </w:p>
    <w:p>
      <w:pPr>
        <w:jc w:val="center"/>
        <w:rPr>
          <w:rFonts w:hint="default" w:ascii="宋体" w:hAnsi="宋体" w:eastAsia="宋体" w:cs="宋体"/>
          <w:b/>
          <w:bCs/>
          <w:sz w:val="28"/>
          <w:szCs w:val="28"/>
          <w:highlight w:val="none"/>
          <w:lang w:val="en-US" w:eastAsia="zh-CN"/>
        </w:rPr>
      </w:pPr>
      <w:r>
        <w:rPr>
          <w:rFonts w:hint="eastAsia" w:ascii="宋体" w:hAnsi="宋体" w:eastAsia="宋体" w:cs="宋体"/>
          <w:b/>
          <w:highlight w:val="none"/>
        </w:rPr>
        <w:t>※</w:t>
      </w:r>
      <w:r>
        <w:rPr>
          <w:rFonts w:hint="eastAsia" w:ascii="宋体" w:hAnsi="宋体" w:eastAsia="宋体" w:cs="宋体"/>
          <w:b/>
          <w:bCs/>
          <w:spacing w:val="-2"/>
          <w:sz w:val="24"/>
          <w:szCs w:val="24"/>
          <w:highlight w:val="none"/>
          <w:lang w:val="en-US" w:eastAsia="zh-CN"/>
        </w:rPr>
        <w:t>全自动智能型水质消毒投加装置</w:t>
      </w:r>
    </w:p>
    <w:tbl>
      <w:tblPr>
        <w:tblStyle w:val="171"/>
        <w:tblpPr w:leftFromText="180" w:rightFromText="180" w:vertAnchor="text" w:horzAnchor="page" w:tblpX="1336" w:tblpY="113"/>
        <w:tblOverlap w:val="never"/>
        <w:tblW w:w="92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1884"/>
        <w:gridCol w:w="4265"/>
        <w:gridCol w:w="806"/>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38" w:type="dxa"/>
            <w:noWrap w:val="0"/>
            <w:vAlign w:val="top"/>
          </w:tcPr>
          <w:p>
            <w:pPr>
              <w:pStyle w:val="170"/>
              <w:autoSpaceDE w:val="0"/>
              <w:autoSpaceDN w:val="0"/>
              <w:spacing w:before="177" w:line="222" w:lineRule="auto"/>
              <w:jc w:val="center"/>
              <w:rPr>
                <w:rFonts w:hint="eastAsia" w:ascii="宋体" w:hAnsi="宋体" w:eastAsia="宋体" w:cs="宋体"/>
                <w:b/>
                <w:bCs/>
                <w:sz w:val="18"/>
                <w:szCs w:val="18"/>
                <w:highlight w:val="none"/>
              </w:rPr>
            </w:pPr>
            <w:r>
              <w:rPr>
                <w:rFonts w:hint="eastAsia" w:ascii="宋体" w:hAnsi="宋体" w:eastAsia="宋体" w:cs="宋体"/>
                <w:b/>
                <w:bCs/>
                <w:spacing w:val="-3"/>
                <w:sz w:val="18"/>
                <w:szCs w:val="18"/>
                <w:highlight w:val="none"/>
              </w:rPr>
              <w:t>序号</w:t>
            </w:r>
          </w:p>
        </w:tc>
        <w:tc>
          <w:tcPr>
            <w:tcW w:w="1884" w:type="dxa"/>
            <w:noWrap w:val="0"/>
            <w:vAlign w:val="top"/>
          </w:tcPr>
          <w:p>
            <w:pPr>
              <w:pStyle w:val="170"/>
              <w:autoSpaceDE w:val="0"/>
              <w:autoSpaceDN w:val="0"/>
              <w:spacing w:before="178" w:line="222" w:lineRule="auto"/>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名称</w:t>
            </w:r>
          </w:p>
        </w:tc>
        <w:tc>
          <w:tcPr>
            <w:tcW w:w="4265" w:type="dxa"/>
            <w:noWrap w:val="0"/>
            <w:vAlign w:val="top"/>
          </w:tcPr>
          <w:p>
            <w:pPr>
              <w:pStyle w:val="170"/>
              <w:autoSpaceDE w:val="0"/>
              <w:autoSpaceDN w:val="0"/>
              <w:spacing w:before="177" w:line="220" w:lineRule="auto"/>
              <w:ind w:left="2375"/>
              <w:jc w:val="left"/>
              <w:rPr>
                <w:rFonts w:hint="eastAsia" w:ascii="宋体" w:hAnsi="宋体" w:eastAsia="宋体" w:cs="宋体"/>
                <w:b/>
                <w:bCs/>
                <w:sz w:val="18"/>
                <w:szCs w:val="18"/>
                <w:highlight w:val="none"/>
              </w:rPr>
            </w:pPr>
            <w:r>
              <w:rPr>
                <w:rFonts w:hint="eastAsia" w:ascii="宋体" w:hAnsi="宋体" w:eastAsia="宋体" w:cs="宋体"/>
                <w:b/>
                <w:bCs/>
                <w:spacing w:val="-3"/>
                <w:sz w:val="18"/>
                <w:szCs w:val="18"/>
                <w:highlight w:val="none"/>
              </w:rPr>
              <w:t>规格型号</w:t>
            </w:r>
          </w:p>
        </w:tc>
        <w:tc>
          <w:tcPr>
            <w:tcW w:w="806" w:type="dxa"/>
            <w:noWrap w:val="0"/>
            <w:vAlign w:val="top"/>
          </w:tcPr>
          <w:p>
            <w:pPr>
              <w:pStyle w:val="170"/>
              <w:autoSpaceDE w:val="0"/>
              <w:autoSpaceDN w:val="0"/>
              <w:spacing w:before="177" w:line="220" w:lineRule="auto"/>
              <w:ind w:left="118"/>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数量</w:t>
            </w:r>
          </w:p>
        </w:tc>
        <w:tc>
          <w:tcPr>
            <w:tcW w:w="892" w:type="dxa"/>
            <w:noWrap w:val="0"/>
            <w:vAlign w:val="top"/>
          </w:tcPr>
          <w:p>
            <w:pPr>
              <w:pStyle w:val="170"/>
              <w:autoSpaceDE w:val="0"/>
              <w:autoSpaceDN w:val="0"/>
              <w:spacing w:before="177" w:line="221" w:lineRule="auto"/>
              <w:ind w:left="117"/>
              <w:jc w:val="center"/>
              <w:rPr>
                <w:rFonts w:hint="eastAsia" w:ascii="宋体" w:hAnsi="宋体" w:eastAsia="宋体" w:cs="宋体"/>
                <w:b/>
                <w:bCs/>
                <w:sz w:val="18"/>
                <w:szCs w:val="18"/>
                <w:highlight w:val="none"/>
              </w:rPr>
            </w:pPr>
            <w:r>
              <w:rPr>
                <w:rFonts w:hint="eastAsia" w:ascii="宋体" w:hAnsi="宋体" w:eastAsia="宋体" w:cs="宋体"/>
                <w:b/>
                <w:bCs/>
                <w:spacing w:val="-5"/>
                <w:sz w:val="18"/>
                <w:szCs w:val="18"/>
                <w:highlight w:val="none"/>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438"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884" w:type="dxa"/>
            <w:noWrap w:val="0"/>
            <w:vAlign w:val="top"/>
          </w:tcPr>
          <w:p>
            <w:pPr>
              <w:pStyle w:val="170"/>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sz w:val="18"/>
                <w:szCs w:val="18"/>
                <w:highlight w:val="none"/>
              </w:rPr>
            </w:pPr>
            <w:r>
              <w:rPr>
                <w:rFonts w:hint="eastAsia" w:ascii="宋体" w:hAnsi="宋体" w:eastAsia="宋体" w:cs="宋体"/>
                <w:spacing w:val="-5"/>
                <w:sz w:val="18"/>
                <w:szCs w:val="18"/>
                <w:highlight w:val="none"/>
                <w:lang w:eastAsia="zh-CN"/>
              </w:rPr>
              <w:t>投加器</w:t>
            </w:r>
            <w:r>
              <w:rPr>
                <w:rFonts w:hint="eastAsia" w:ascii="宋体" w:hAnsi="宋体" w:eastAsia="宋体" w:cs="宋体"/>
                <w:spacing w:val="-5"/>
                <w:sz w:val="18"/>
                <w:szCs w:val="18"/>
                <w:highlight w:val="none"/>
              </w:rPr>
              <w:t>主机</w:t>
            </w:r>
          </w:p>
        </w:tc>
        <w:tc>
          <w:tcPr>
            <w:tcW w:w="4265" w:type="dxa"/>
            <w:noWrap w:val="0"/>
            <w:vAlign w:val="top"/>
          </w:tcPr>
          <w:p>
            <w:pPr>
              <w:pStyle w:val="170"/>
              <w:autoSpaceDE w:val="0"/>
              <w:autoSpaceDN w:val="0"/>
              <w:spacing w:before="30" w:line="219" w:lineRule="auto"/>
              <w:jc w:val="left"/>
              <w:rPr>
                <w:rFonts w:hint="eastAsia" w:ascii="宋体" w:hAnsi="宋体" w:eastAsia="宋体" w:cs="宋体"/>
                <w:sz w:val="18"/>
                <w:szCs w:val="18"/>
                <w:highlight w:val="none"/>
                <w:lang w:val="en-US" w:eastAsia="zh-CN"/>
              </w:rPr>
            </w:pPr>
            <w:r>
              <w:rPr>
                <w:rFonts w:hint="eastAsia" w:ascii="宋体" w:hAnsi="宋体" w:eastAsia="宋体" w:cs="宋体"/>
                <w:spacing w:val="-1"/>
                <w:sz w:val="18"/>
                <w:szCs w:val="18"/>
                <w:highlight w:val="none"/>
              </w:rPr>
              <w:t>外形尺寸：</w:t>
            </w:r>
            <w:r>
              <w:rPr>
                <w:rFonts w:hint="eastAsia" w:ascii="宋体" w:hAnsi="宋体" w:eastAsia="宋体" w:cs="宋体"/>
                <w:spacing w:val="-1"/>
                <w:sz w:val="18"/>
                <w:szCs w:val="18"/>
                <w:highlight w:val="none"/>
                <w:lang w:val="en-US" w:eastAsia="zh-CN"/>
              </w:rPr>
              <w:t>500*600*1300Hmm</w:t>
            </w:r>
            <w:r>
              <w:rPr>
                <w:rFonts w:hint="eastAsia" w:ascii="宋体" w:hAnsi="宋体" w:eastAsia="宋体" w:cs="宋体"/>
                <w:sz w:val="18"/>
                <w:szCs w:val="18"/>
                <w:highlight w:val="none"/>
                <w:lang w:val="en-US" w:eastAsia="zh-CN"/>
              </w:rPr>
              <w:t>±100mm</w:t>
            </w:r>
          </w:p>
          <w:p>
            <w:pPr>
              <w:pStyle w:val="170"/>
              <w:autoSpaceDE w:val="0"/>
              <w:autoSpaceDN w:val="0"/>
              <w:spacing w:before="24" w:line="219"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材质：</w:t>
            </w:r>
            <w:r>
              <w:rPr>
                <w:rFonts w:hint="eastAsia" w:ascii="宋体" w:hAnsi="宋体" w:eastAsia="宋体" w:cs="宋体"/>
                <w:sz w:val="18"/>
                <w:szCs w:val="18"/>
                <w:highlight w:val="none"/>
                <w:lang w:val="en-US" w:eastAsia="zh-CN"/>
              </w:rPr>
              <w:t>PVC</w:t>
            </w:r>
          </w:p>
        </w:tc>
        <w:tc>
          <w:tcPr>
            <w:tcW w:w="806"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892"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438" w:type="dxa"/>
            <w:noWrap w:val="0"/>
            <w:vAlign w:val="center"/>
          </w:tcPr>
          <w:p>
            <w:pPr>
              <w:pStyle w:val="170"/>
              <w:autoSpaceDE w:val="0"/>
              <w:autoSpaceDN w:val="0"/>
              <w:spacing w:before="72" w:line="182" w:lineRule="auto"/>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2</w:t>
            </w: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kern w:val="0"/>
                <w:sz w:val="22"/>
                <w:szCs w:val="22"/>
                <w:highlight w:val="none"/>
              </w:rPr>
              <w:t>★</w:t>
            </w:r>
            <w:r>
              <w:rPr>
                <w:rFonts w:hint="eastAsia" w:ascii="宋体" w:hAnsi="宋体" w:eastAsia="宋体" w:cs="宋体"/>
                <w:spacing w:val="-2"/>
                <w:sz w:val="18"/>
                <w:szCs w:val="18"/>
                <w:highlight w:val="none"/>
                <w:lang w:eastAsia="zh-CN"/>
              </w:rPr>
              <w:t>控制操作</w:t>
            </w:r>
            <w:r>
              <w:rPr>
                <w:rFonts w:hint="eastAsia" w:ascii="宋体" w:hAnsi="宋体" w:eastAsia="宋体" w:cs="宋体"/>
                <w:spacing w:val="-2"/>
                <w:sz w:val="18"/>
                <w:szCs w:val="18"/>
                <w:highlight w:val="none"/>
              </w:rPr>
              <w:t>系统</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电压：24V DC/300mA</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名称：7寸触摸屏</w:t>
            </w:r>
          </w:p>
        </w:tc>
        <w:tc>
          <w:tcPr>
            <w:tcW w:w="806"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rPr>
            </w:pPr>
          </w:p>
          <w:p>
            <w:pPr>
              <w:pStyle w:val="170"/>
              <w:autoSpaceDE w:val="0"/>
              <w:autoSpaceDN w:val="0"/>
              <w:spacing w:before="71" w:line="184"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892"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1438" w:type="dxa"/>
            <w:noWrap w:val="0"/>
            <w:vAlign w:val="top"/>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884" w:type="dxa"/>
            <w:noWrap w:val="0"/>
            <w:vAlign w:val="top"/>
          </w:tcPr>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p>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kern w:val="0"/>
                <w:sz w:val="22"/>
                <w:szCs w:val="22"/>
                <w:highlight w:val="none"/>
              </w:rPr>
              <w:t>★</w:t>
            </w:r>
            <w:r>
              <w:rPr>
                <w:rFonts w:hint="eastAsia" w:ascii="宋体" w:hAnsi="宋体" w:eastAsia="宋体" w:cs="宋体"/>
                <w:spacing w:val="-2"/>
                <w:sz w:val="18"/>
                <w:szCs w:val="18"/>
                <w:highlight w:val="none"/>
                <w:lang w:eastAsia="zh-CN"/>
              </w:rPr>
              <w:t>执行电气系统</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电压：21-28VDC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PLC全自动可编程智能控制系统人机界面操作系统智能控制</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系统自动运行，无需专人看守。</w:t>
            </w:r>
          </w:p>
        </w:tc>
        <w:tc>
          <w:tcPr>
            <w:tcW w:w="806"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p>
          <w:p>
            <w:pPr>
              <w:pStyle w:val="170"/>
              <w:autoSpaceDE w:val="0"/>
              <w:autoSpaceDN w:val="0"/>
              <w:spacing w:before="72" w:line="221" w:lineRule="auto"/>
              <w:jc w:val="center"/>
              <w:rPr>
                <w:rFonts w:hint="eastAsia" w:ascii="宋体" w:hAnsi="宋体" w:eastAsia="宋体" w:cs="宋体"/>
                <w:sz w:val="18"/>
                <w:szCs w:val="18"/>
                <w:highlight w:val="none"/>
                <w:lang w:eastAsia="zh-CN"/>
              </w:rPr>
            </w:pPr>
          </w:p>
          <w:p>
            <w:pPr>
              <w:pStyle w:val="170"/>
              <w:autoSpaceDE w:val="0"/>
              <w:autoSpaceDN w:val="0"/>
              <w:spacing w:before="72" w:line="221"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lang w:eastAsia="zh-CN"/>
              </w:rPr>
              <w:t>电气系统</w:t>
            </w:r>
          </w:p>
        </w:tc>
        <w:tc>
          <w:tcPr>
            <w:tcW w:w="4265"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名称：中间继电器</w:t>
            </w:r>
          </w:p>
        </w:tc>
        <w:tc>
          <w:tcPr>
            <w:tcW w:w="806" w:type="dxa"/>
            <w:noWrap w:val="0"/>
            <w:vAlign w:val="top"/>
          </w:tcPr>
          <w:p>
            <w:pPr>
              <w:pStyle w:val="170"/>
              <w:autoSpaceDE w:val="0"/>
              <w:autoSpaceDN w:val="0"/>
              <w:spacing w:before="71"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92"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1884" w:type="dxa"/>
            <w:noWrap w:val="0"/>
            <w:vAlign w:val="top"/>
          </w:tcPr>
          <w:p>
            <w:pPr>
              <w:pStyle w:val="170"/>
              <w:autoSpaceDE w:val="0"/>
              <w:autoSpaceDN w:val="0"/>
              <w:spacing w:before="72" w:line="72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lang w:eastAsia="zh-CN"/>
              </w:rPr>
              <w:t>总控开关</w:t>
            </w:r>
          </w:p>
        </w:tc>
        <w:tc>
          <w:tcPr>
            <w:tcW w:w="4265"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名称：2P空气开关</w:t>
            </w:r>
          </w:p>
        </w:tc>
        <w:tc>
          <w:tcPr>
            <w:tcW w:w="806" w:type="dxa"/>
            <w:noWrap w:val="0"/>
            <w:vAlign w:val="top"/>
          </w:tcPr>
          <w:p>
            <w:pPr>
              <w:pStyle w:val="170"/>
              <w:autoSpaceDE w:val="0"/>
              <w:autoSpaceDN w:val="0"/>
              <w:spacing w:before="71"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1884" w:type="dxa"/>
            <w:noWrap w:val="0"/>
            <w:vAlign w:val="top"/>
          </w:tcPr>
          <w:p>
            <w:pPr>
              <w:pStyle w:val="170"/>
              <w:autoSpaceDE w:val="0"/>
              <w:autoSpaceDN w:val="0"/>
              <w:spacing w:before="72" w:line="72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lang w:eastAsia="zh-CN"/>
              </w:rPr>
              <w:t>供电系统</w:t>
            </w:r>
          </w:p>
        </w:tc>
        <w:tc>
          <w:tcPr>
            <w:tcW w:w="4265"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电压：AC220-DC24V</w:t>
            </w:r>
          </w:p>
        </w:tc>
        <w:tc>
          <w:tcPr>
            <w:tcW w:w="806" w:type="dxa"/>
            <w:noWrap w:val="0"/>
            <w:vAlign w:val="top"/>
          </w:tcPr>
          <w:p>
            <w:pPr>
              <w:pStyle w:val="170"/>
              <w:autoSpaceDE w:val="0"/>
              <w:autoSpaceDN w:val="0"/>
              <w:spacing w:before="71"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72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38"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rPr>
              <w:t>储药罐</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容积：300L</w:t>
            </w:r>
          </w:p>
        </w:tc>
        <w:tc>
          <w:tcPr>
            <w:tcW w:w="806" w:type="dxa"/>
            <w:noWrap w:val="0"/>
            <w:vAlign w:val="top"/>
          </w:tcPr>
          <w:p>
            <w:pPr>
              <w:pStyle w:val="170"/>
              <w:autoSpaceDE w:val="0"/>
              <w:autoSpaceDN w:val="0"/>
              <w:spacing w:before="71"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438" w:type="dxa"/>
            <w:noWrap w:val="0"/>
            <w:vAlign w:val="center"/>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1884" w:type="dxa"/>
            <w:noWrap w:val="0"/>
            <w:vAlign w:val="center"/>
          </w:tcPr>
          <w:p>
            <w:pPr>
              <w:pStyle w:val="170"/>
              <w:autoSpaceDE w:val="0"/>
              <w:autoSpaceDN w:val="0"/>
              <w:spacing w:before="72" w:line="221"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pacing w:val="-2"/>
                <w:sz w:val="18"/>
                <w:szCs w:val="18"/>
                <w:highlight w:val="none"/>
              </w:rPr>
              <w:t>加药计量泵</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定量将次氯酸钠溶液输送至加药点</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手动调节泵频</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最大流量：9L/h，</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泵头材质：PVDF；</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隔膜材质：PTFE；</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供电电压：220VAC；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功率：12W</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投加点压力≤0.5Mpa使用</w:t>
            </w:r>
          </w:p>
        </w:tc>
        <w:tc>
          <w:tcPr>
            <w:tcW w:w="806"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38"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1884" w:type="dxa"/>
            <w:noWrap w:val="0"/>
            <w:vAlign w:val="top"/>
          </w:tcPr>
          <w:p>
            <w:pPr>
              <w:pStyle w:val="170"/>
              <w:autoSpaceDE w:val="0"/>
              <w:autoSpaceDN w:val="0"/>
              <w:spacing w:before="72" w:line="480" w:lineRule="auto"/>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加药安全阀</w:t>
            </w:r>
          </w:p>
        </w:tc>
        <w:tc>
          <w:tcPr>
            <w:tcW w:w="4265"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加药背压阀/安全阀DN15</w:t>
            </w:r>
          </w:p>
        </w:tc>
        <w:tc>
          <w:tcPr>
            <w:tcW w:w="806" w:type="dxa"/>
            <w:noWrap w:val="0"/>
            <w:vAlign w:val="top"/>
          </w:tcPr>
          <w:p>
            <w:pPr>
              <w:pStyle w:val="170"/>
              <w:autoSpaceDE w:val="0"/>
              <w:autoSpaceDN w:val="0"/>
              <w:spacing w:before="71"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92" w:type="dxa"/>
            <w:noWrap w:val="0"/>
            <w:vAlign w:val="top"/>
          </w:tcPr>
          <w:p>
            <w:pPr>
              <w:pStyle w:val="170"/>
              <w:autoSpaceDE w:val="0"/>
              <w:autoSpaceDN w:val="0"/>
              <w:spacing w:before="72"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38"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z w:val="18"/>
                <w:szCs w:val="18"/>
                <w:highlight w:val="none"/>
                <w:lang w:eastAsia="zh-CN"/>
              </w:rPr>
              <w:t>搅拌系统</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电压 ：220v 功率：10w</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流量：10L/m 扬程:2.4m</w:t>
            </w:r>
          </w:p>
        </w:tc>
        <w:tc>
          <w:tcPr>
            <w:tcW w:w="806" w:type="dxa"/>
            <w:noWrap w:val="0"/>
            <w:vAlign w:val="top"/>
          </w:tcPr>
          <w:p>
            <w:pPr>
              <w:pStyle w:val="170"/>
              <w:autoSpaceDE w:val="0"/>
              <w:autoSpaceDN w:val="0"/>
              <w:spacing w:before="71"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438"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1884" w:type="dxa"/>
            <w:noWrap w:val="0"/>
            <w:vAlign w:val="top"/>
          </w:tcPr>
          <w:p>
            <w:pPr>
              <w:pStyle w:val="170"/>
              <w:autoSpaceDE w:val="0"/>
              <w:autoSpaceDN w:val="0"/>
              <w:spacing w:before="72" w:line="600" w:lineRule="auto"/>
              <w:jc w:val="center"/>
              <w:rPr>
                <w:rFonts w:hint="eastAsia" w:ascii="宋体" w:hAnsi="宋体" w:eastAsia="宋体" w:cs="宋体"/>
                <w:spacing w:val="-2"/>
                <w:sz w:val="18"/>
                <w:szCs w:val="18"/>
                <w:highlight w:val="none"/>
                <w:lang w:eastAsia="zh-CN"/>
              </w:rPr>
            </w:pPr>
            <w:r>
              <w:rPr>
                <w:rFonts w:hint="eastAsia" w:ascii="宋体" w:hAnsi="宋体" w:eastAsia="宋体" w:cs="宋体"/>
                <w:sz w:val="18"/>
                <w:szCs w:val="18"/>
                <w:highlight w:val="none"/>
                <w:lang w:eastAsia="zh-CN"/>
              </w:rPr>
              <w:t>注水器</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名称：药箱加水阀 </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型号：DN15</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tc>
        <w:tc>
          <w:tcPr>
            <w:tcW w:w="806" w:type="dxa"/>
            <w:noWrap w:val="0"/>
            <w:vAlign w:val="top"/>
          </w:tcPr>
          <w:p>
            <w:pPr>
              <w:pStyle w:val="170"/>
              <w:autoSpaceDE w:val="0"/>
              <w:autoSpaceDN w:val="0"/>
              <w:spacing w:before="71"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6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38" w:type="dxa"/>
            <w:noWrap w:val="0"/>
            <w:vAlign w:val="top"/>
          </w:tcPr>
          <w:p>
            <w:pPr>
              <w:pStyle w:val="170"/>
              <w:autoSpaceDE w:val="0"/>
              <w:autoSpaceDN w:val="0"/>
              <w:spacing w:before="72"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1884" w:type="dxa"/>
            <w:noWrap w:val="0"/>
            <w:vAlign w:val="top"/>
          </w:tcPr>
          <w:p>
            <w:pPr>
              <w:pStyle w:val="170"/>
              <w:autoSpaceDE w:val="0"/>
              <w:autoSpaceDN w:val="0"/>
              <w:spacing w:before="72" w:line="480" w:lineRule="auto"/>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z w:val="18"/>
                <w:szCs w:val="18"/>
                <w:highlight w:val="none"/>
                <w:lang w:eastAsia="zh-CN"/>
              </w:rPr>
              <w:t>药箱安全装置</w:t>
            </w:r>
          </w:p>
        </w:tc>
        <w:tc>
          <w:tcPr>
            <w:tcW w:w="4265" w:type="dxa"/>
            <w:noWrap w:val="0"/>
            <w:vAlign w:val="center"/>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tc>
        <w:tc>
          <w:tcPr>
            <w:tcW w:w="806" w:type="dxa"/>
            <w:noWrap w:val="0"/>
            <w:vAlign w:val="top"/>
          </w:tcPr>
          <w:p>
            <w:pPr>
              <w:pStyle w:val="170"/>
              <w:autoSpaceDE w:val="0"/>
              <w:autoSpaceDN w:val="0"/>
              <w:spacing w:before="71"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92" w:type="dxa"/>
            <w:noWrap w:val="0"/>
            <w:vAlign w:val="top"/>
          </w:tcPr>
          <w:p>
            <w:pPr>
              <w:pStyle w:val="170"/>
              <w:autoSpaceDE w:val="0"/>
              <w:autoSpaceDN w:val="0"/>
              <w:spacing w:before="72" w:line="48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1438" w:type="dxa"/>
            <w:noWrap w:val="0"/>
            <w:vAlign w:val="center"/>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w:t>
            </w:r>
          </w:p>
        </w:tc>
        <w:tc>
          <w:tcPr>
            <w:tcW w:w="1884" w:type="dxa"/>
            <w:noWrap w:val="0"/>
            <w:vAlign w:val="center"/>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液位显示器</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透明管</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材质：pvc</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型号：DN15</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带排空阀 型号：DN15</w:t>
            </w:r>
          </w:p>
        </w:tc>
        <w:tc>
          <w:tcPr>
            <w:tcW w:w="806"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438" w:type="dxa"/>
            <w:noWrap w:val="0"/>
            <w:vAlign w:val="center"/>
          </w:tcPr>
          <w:p>
            <w:pPr>
              <w:pStyle w:val="170"/>
              <w:autoSpaceDE w:val="0"/>
              <w:autoSpaceDN w:val="0"/>
              <w:spacing w:before="72" w:line="182"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1884" w:type="dxa"/>
            <w:noWrap w:val="0"/>
            <w:vAlign w:val="center"/>
          </w:tcPr>
          <w:p>
            <w:pPr>
              <w:pStyle w:val="170"/>
              <w:autoSpaceDE w:val="0"/>
              <w:autoSpaceDN w:val="0"/>
              <w:spacing w:before="72" w:line="221"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液位传感器</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鸭舌液位传感器 </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材质：pp</w:t>
            </w:r>
          </w:p>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工作温度：-20-60℃</w:t>
            </w:r>
          </w:p>
        </w:tc>
        <w:tc>
          <w:tcPr>
            <w:tcW w:w="806" w:type="dxa"/>
            <w:noWrap w:val="0"/>
            <w:vAlign w:val="top"/>
          </w:tcPr>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p>
          <w:p>
            <w:pPr>
              <w:pStyle w:val="170"/>
              <w:autoSpaceDE w:val="0"/>
              <w:autoSpaceDN w:val="0"/>
              <w:spacing w:before="71" w:line="184"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p>
          <w:p>
            <w:pPr>
              <w:pStyle w:val="170"/>
              <w:autoSpaceDE w:val="0"/>
              <w:autoSpaceDN w:val="0"/>
              <w:spacing w:before="72" w:line="221"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438" w:type="dxa"/>
            <w:noWrap w:val="0"/>
            <w:vAlign w:val="center"/>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1884" w:type="dxa"/>
            <w:noWrap w:val="0"/>
            <w:vAlign w:val="center"/>
          </w:tcPr>
          <w:p>
            <w:pPr>
              <w:pStyle w:val="170"/>
              <w:autoSpaceDE w:val="0"/>
              <w:autoSpaceDN w:val="0"/>
              <w:spacing w:before="72" w:line="480" w:lineRule="auto"/>
              <w:jc w:val="center"/>
              <w:rPr>
                <w:rFonts w:hint="eastAsia" w:ascii="宋体" w:hAnsi="宋体" w:eastAsia="宋体" w:cs="宋体"/>
                <w:sz w:val="18"/>
                <w:szCs w:val="18"/>
                <w:highlight w:val="none"/>
                <w:lang w:eastAsia="zh-CN"/>
              </w:rPr>
            </w:pPr>
            <w:r>
              <w:rPr>
                <w:rFonts w:hint="eastAsia" w:ascii="宋体" w:hAnsi="宋体" w:eastAsia="宋体" w:cs="宋体"/>
                <w:spacing w:val="-2"/>
                <w:sz w:val="18"/>
                <w:szCs w:val="18"/>
                <w:highlight w:val="none"/>
              </w:rPr>
              <w:t>管件、线缆</w:t>
            </w:r>
          </w:p>
        </w:tc>
        <w:tc>
          <w:tcPr>
            <w:tcW w:w="4265" w:type="dxa"/>
            <w:noWrap w:val="0"/>
            <w:vAlign w:val="top"/>
          </w:tcPr>
          <w:p>
            <w:pPr>
              <w:pStyle w:val="170"/>
              <w:autoSpaceDE w:val="0"/>
              <w:autoSpaceDN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标配管件，三通，阀门，管件线缆，进出设备20米范围内</w:t>
            </w:r>
          </w:p>
        </w:tc>
        <w:tc>
          <w:tcPr>
            <w:tcW w:w="806" w:type="dxa"/>
            <w:noWrap w:val="0"/>
            <w:vAlign w:val="top"/>
          </w:tcPr>
          <w:p>
            <w:pPr>
              <w:pStyle w:val="170"/>
              <w:autoSpaceDE w:val="0"/>
              <w:autoSpaceDN w:val="0"/>
              <w:spacing w:before="71"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48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438" w:type="dxa"/>
            <w:noWrap w:val="0"/>
            <w:vAlign w:val="top"/>
          </w:tcPr>
          <w:p>
            <w:pPr>
              <w:pStyle w:val="170"/>
              <w:autoSpaceDE w:val="0"/>
              <w:autoSpaceDN w:val="0"/>
              <w:spacing w:before="72"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w:t>
            </w:r>
          </w:p>
        </w:tc>
        <w:tc>
          <w:tcPr>
            <w:tcW w:w="1884" w:type="dxa"/>
            <w:noWrap w:val="0"/>
            <w:vAlign w:val="top"/>
          </w:tcPr>
          <w:p>
            <w:pPr>
              <w:pStyle w:val="170"/>
              <w:autoSpaceDE w:val="0"/>
              <w:autoSpaceDN w:val="0"/>
              <w:spacing w:before="72" w:line="480" w:lineRule="auto"/>
              <w:jc w:val="center"/>
              <w:rPr>
                <w:rFonts w:hint="default"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远传模块</w:t>
            </w:r>
          </w:p>
        </w:tc>
        <w:tc>
          <w:tcPr>
            <w:tcW w:w="4265" w:type="dxa"/>
            <w:noWrap w:val="0"/>
            <w:vAlign w:val="top"/>
          </w:tcPr>
          <w:p>
            <w:pPr>
              <w:pStyle w:val="170"/>
              <w:autoSpaceDE w:val="0"/>
              <w:autoSpaceDN w:val="0"/>
              <w:spacing w:line="600" w:lineRule="auto"/>
              <w:jc w:val="left"/>
              <w:rPr>
                <w:rFonts w:hint="default"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DTU-4G/485通讯</w:t>
            </w:r>
          </w:p>
        </w:tc>
        <w:tc>
          <w:tcPr>
            <w:tcW w:w="806" w:type="dxa"/>
            <w:noWrap w:val="0"/>
            <w:vAlign w:val="top"/>
          </w:tcPr>
          <w:p>
            <w:pPr>
              <w:pStyle w:val="170"/>
              <w:autoSpaceDE w:val="0"/>
              <w:autoSpaceDN w:val="0"/>
              <w:spacing w:before="71"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92" w:type="dxa"/>
            <w:noWrap w:val="0"/>
            <w:vAlign w:val="top"/>
          </w:tcPr>
          <w:p>
            <w:pPr>
              <w:pStyle w:val="170"/>
              <w:autoSpaceDE w:val="0"/>
              <w:autoSpaceDN w:val="0"/>
              <w:spacing w:before="72" w:line="48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r>
    </w:tbl>
    <w:p>
      <w:pPr>
        <w:rPr>
          <w:rFonts w:hint="eastAsia" w:ascii="宋体" w:hAnsi="宋体" w:eastAsia="宋体" w:cs="宋体"/>
          <w:b/>
          <w:highlight w:val="none"/>
        </w:rPr>
      </w:pPr>
      <w:r>
        <w:rPr>
          <w:rFonts w:hint="eastAsia" w:ascii="宋体" w:hAnsi="宋体" w:eastAsia="宋体" w:cs="宋体"/>
          <w:b/>
          <w:highlight w:val="none"/>
        </w:rPr>
        <w:t>注：1）标注“※”的产品为核心产品，</w:t>
      </w:r>
      <w:r>
        <w:rPr>
          <w:rFonts w:hint="eastAsia" w:ascii="宋体" w:hAnsi="宋体" w:cs="宋体"/>
          <w:b/>
          <w:highlight w:val="none"/>
          <w:lang w:eastAsia="zh-CN"/>
        </w:rPr>
        <w:t>投标人</w:t>
      </w:r>
      <w:r>
        <w:rPr>
          <w:rFonts w:hint="eastAsia" w:ascii="宋体" w:hAnsi="宋体" w:eastAsia="宋体" w:cs="宋体"/>
          <w:b/>
          <w:highlight w:val="none"/>
        </w:rPr>
        <w:t>所投核心产品的品牌完全相同的，按一家</w:t>
      </w:r>
      <w:r>
        <w:rPr>
          <w:rFonts w:hint="eastAsia" w:ascii="宋体" w:hAnsi="宋体" w:cs="宋体"/>
          <w:b/>
          <w:highlight w:val="none"/>
          <w:lang w:eastAsia="zh-CN"/>
        </w:rPr>
        <w:t>投标人</w:t>
      </w:r>
      <w:r>
        <w:rPr>
          <w:rFonts w:hint="eastAsia" w:ascii="宋体" w:hAnsi="宋体" w:eastAsia="宋体" w:cs="宋体"/>
          <w:b/>
          <w:highlight w:val="none"/>
        </w:rPr>
        <w:t>计算。</w:t>
      </w:r>
    </w:p>
    <w:p>
      <w:pPr>
        <w:rPr>
          <w:rStyle w:val="157"/>
          <w:rFonts w:hint="eastAsia" w:ascii="宋体" w:hAnsi="宋体" w:eastAsia="宋体" w:cs="宋体"/>
          <w:b/>
          <w:bCs/>
          <w:highlight w:val="none"/>
        </w:rPr>
      </w:pPr>
      <w:r>
        <w:rPr>
          <w:rStyle w:val="157"/>
          <w:rFonts w:hint="eastAsia" w:ascii="宋体" w:hAnsi="宋体" w:eastAsia="宋体" w:cs="宋体"/>
          <w:b/>
          <w:bCs/>
          <w:highlight w:val="none"/>
          <w:lang w:val="en-US"/>
        </w:rPr>
        <w:t>四</w:t>
      </w:r>
      <w:r>
        <w:rPr>
          <w:rStyle w:val="157"/>
          <w:rFonts w:hint="eastAsia" w:ascii="宋体" w:hAnsi="宋体" w:eastAsia="宋体" w:cs="宋体"/>
          <w:b/>
          <w:bCs/>
          <w:highlight w:val="none"/>
        </w:rPr>
        <w:t>、</w:t>
      </w:r>
      <w:r>
        <w:rPr>
          <w:rStyle w:val="157"/>
          <w:rFonts w:hint="eastAsia" w:ascii="宋体" w:hAnsi="宋体" w:eastAsia="宋体" w:cs="宋体"/>
          <w:b/>
          <w:bCs/>
          <w:highlight w:val="none"/>
          <w:lang w:val="en-US"/>
        </w:rPr>
        <w:t>服务</w:t>
      </w:r>
      <w:r>
        <w:rPr>
          <w:rStyle w:val="157"/>
          <w:rFonts w:hint="eastAsia" w:ascii="宋体" w:hAnsi="宋体" w:eastAsia="宋体" w:cs="宋体"/>
          <w:b/>
          <w:bCs/>
          <w:highlight w:val="none"/>
        </w:rPr>
        <w:t>要求</w:t>
      </w:r>
    </w:p>
    <w:p>
      <w:pPr>
        <w:tabs>
          <w:tab w:val="left" w:pos="7512"/>
        </w:tabs>
        <w:spacing w:line="400" w:lineRule="exact"/>
        <w:rPr>
          <w:rFonts w:hint="eastAsia" w:ascii="宋体" w:hAnsi="宋体" w:eastAsia="宋体" w:cs="宋体"/>
          <w:sz w:val="24"/>
          <w:highlight w:val="none"/>
        </w:rPr>
      </w:pPr>
    </w:p>
    <w:p>
      <w:pPr>
        <w:keepNext w:val="0"/>
        <w:keepLines w:val="0"/>
        <w:pageBreakBefore w:val="0"/>
        <w:widowControl w:val="0"/>
        <w:tabs>
          <w:tab w:val="left" w:pos="7512"/>
        </w:tabs>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highlight w:val="none"/>
        </w:rPr>
      </w:pPr>
      <w:r>
        <w:rPr>
          <w:rFonts w:hint="eastAsia" w:ascii="宋体" w:hAnsi="宋体" w:eastAsia="宋体" w:cs="宋体"/>
          <w:sz w:val="24"/>
          <w:highlight w:val="none"/>
        </w:rPr>
        <w:t>（1）售后服务：要求中标（成交）</w:t>
      </w:r>
      <w:r>
        <w:rPr>
          <w:rFonts w:hint="eastAsia" w:ascii="宋体" w:hAnsi="宋体" w:cs="宋体"/>
          <w:sz w:val="24"/>
          <w:highlight w:val="none"/>
          <w:lang w:eastAsia="zh-CN"/>
        </w:rPr>
        <w:t>投标人</w:t>
      </w:r>
      <w:r>
        <w:rPr>
          <w:rFonts w:hint="eastAsia" w:ascii="宋体" w:hAnsi="宋体" w:eastAsia="宋体" w:cs="宋体"/>
          <w:sz w:val="24"/>
          <w:highlight w:val="none"/>
        </w:rPr>
        <w:t>针对本项目配备专业的售后人员，在采购人发生使用方法不清楚或遇到使用问题时能及时提供回复。中标</w:t>
      </w:r>
      <w:r>
        <w:rPr>
          <w:rFonts w:hint="eastAsia" w:ascii="宋体" w:hAnsi="宋体" w:cs="宋体"/>
          <w:sz w:val="24"/>
          <w:highlight w:val="none"/>
          <w:lang w:eastAsia="zh-CN"/>
        </w:rPr>
        <w:t>投标人</w:t>
      </w:r>
      <w:r>
        <w:rPr>
          <w:rFonts w:hint="eastAsia" w:ascii="宋体" w:hAnsi="宋体" w:eastAsia="宋体" w:cs="宋体"/>
          <w:sz w:val="24"/>
          <w:highlight w:val="none"/>
        </w:rPr>
        <w:t>所供货物质保期内除人为因素损坏外，全部由供货方免费维修或更换。负担在质保期内属产品质量问题所产生的一切费用。负责包修（指出现一般问题情况下）、包换或者包退(指重要零部件或单元出现质量问题的情况下)。所售产品符合国家相关法律法规要求，如因违犯国家法律法规，全部承担由此引起的任何责任和损失。</w:t>
      </w:r>
    </w:p>
    <w:p>
      <w:pPr>
        <w:keepNext w:val="0"/>
        <w:keepLines w:val="0"/>
        <w:pageBreakBefore w:val="0"/>
        <w:widowControl w:val="0"/>
        <w:tabs>
          <w:tab w:val="left" w:pos="7512"/>
        </w:tabs>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highlight w:val="none"/>
        </w:rPr>
      </w:pPr>
      <w:r>
        <w:rPr>
          <w:rFonts w:hint="eastAsia" w:ascii="宋体" w:hAnsi="宋体" w:eastAsia="宋体" w:cs="宋体"/>
          <w:sz w:val="24"/>
          <w:highlight w:val="none"/>
        </w:rPr>
        <w:t>（2）货物的供应、运输、安装、调试、培训等于本项目相关的一切费用均由中标</w:t>
      </w:r>
      <w:r>
        <w:rPr>
          <w:rFonts w:hint="eastAsia" w:ascii="宋体" w:hAnsi="宋体" w:cs="宋体"/>
          <w:sz w:val="24"/>
          <w:highlight w:val="none"/>
          <w:lang w:eastAsia="zh-CN"/>
        </w:rPr>
        <w:t>投标人</w:t>
      </w:r>
      <w:r>
        <w:rPr>
          <w:rFonts w:hint="eastAsia" w:ascii="宋体" w:hAnsi="宋体" w:eastAsia="宋体" w:cs="宋体"/>
          <w:sz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p>
    <w:p>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 xml:space="preserve">第六部分  </w:t>
      </w:r>
      <w:bookmarkStart w:id="58" w:name="_Toc175644061"/>
      <w:r>
        <w:rPr>
          <w:rFonts w:hint="eastAsia" w:ascii="宋体" w:hAnsi="宋体" w:eastAsia="宋体" w:cs="宋体"/>
          <w:b/>
          <w:kern w:val="0"/>
          <w:sz w:val="36"/>
          <w:szCs w:val="36"/>
          <w:highlight w:val="none"/>
        </w:rPr>
        <w:t>拟签订的合同文本</w:t>
      </w:r>
    </w:p>
    <w:p>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color w:val="000000"/>
          <w:szCs w:val="21"/>
          <w:highlight w:val="none"/>
        </w:rPr>
        <w:t>（注：本合同为参考文本，具体内容由合同双方签订合同时可进一步协商确定。）</w:t>
      </w:r>
    </w:p>
    <w:p>
      <w:pPr>
        <w:pStyle w:val="22"/>
        <w:spacing w:after="0"/>
        <w:jc w:val="center"/>
        <w:rPr>
          <w:rFonts w:hint="eastAsia" w:ascii="宋体" w:hAnsi="宋体" w:eastAsia="宋体" w:cs="宋体"/>
          <w:b/>
          <w:bCs/>
          <w:spacing w:val="-20"/>
          <w:kern w:val="44"/>
          <w:sz w:val="48"/>
          <w:szCs w:val="48"/>
          <w:highlight w:val="none"/>
        </w:rPr>
      </w:pPr>
      <w:bookmarkStart w:id="59" w:name="_Toc3995"/>
    </w:p>
    <w:p>
      <w:pPr>
        <w:pStyle w:val="22"/>
        <w:spacing w:after="0"/>
        <w:jc w:val="center"/>
        <w:rPr>
          <w:rFonts w:hint="eastAsia" w:ascii="宋体" w:hAnsi="宋体" w:eastAsia="宋体" w:cs="宋体"/>
          <w:b/>
          <w:bCs/>
          <w:spacing w:val="-20"/>
          <w:kern w:val="44"/>
          <w:sz w:val="48"/>
          <w:szCs w:val="48"/>
          <w:highlight w:val="none"/>
        </w:rPr>
      </w:pPr>
    </w:p>
    <w:p>
      <w:pPr>
        <w:pStyle w:val="22"/>
        <w:spacing w:after="0"/>
        <w:jc w:val="center"/>
        <w:rPr>
          <w:rFonts w:hint="eastAsia" w:ascii="宋体" w:hAnsi="宋体" w:eastAsia="宋体" w:cs="宋体"/>
          <w:b/>
          <w:bCs/>
          <w:spacing w:val="-20"/>
          <w:kern w:val="44"/>
          <w:sz w:val="48"/>
          <w:szCs w:val="48"/>
          <w:highlight w:val="none"/>
        </w:rPr>
      </w:pPr>
    </w:p>
    <w:p>
      <w:pPr>
        <w:pStyle w:val="22"/>
        <w:spacing w:after="0"/>
        <w:jc w:val="center"/>
        <w:rPr>
          <w:rFonts w:hint="eastAsia" w:ascii="宋体" w:hAnsi="宋体" w:eastAsia="宋体" w:cs="宋体"/>
          <w:b/>
          <w:bCs/>
          <w:spacing w:val="-20"/>
          <w:kern w:val="44"/>
          <w:sz w:val="24"/>
          <w:highlight w:val="none"/>
        </w:rPr>
      </w:pPr>
    </w:p>
    <w:p>
      <w:pPr>
        <w:pStyle w:val="22"/>
        <w:spacing w:after="0"/>
        <w:jc w:val="center"/>
        <w:rPr>
          <w:rFonts w:hint="eastAsia" w:ascii="宋体" w:hAnsi="宋体" w:eastAsia="宋体" w:cs="宋体"/>
          <w:b/>
          <w:bCs/>
          <w:spacing w:val="-20"/>
          <w:kern w:val="44"/>
          <w:sz w:val="28"/>
          <w:szCs w:val="28"/>
          <w:highlight w:val="none"/>
        </w:rPr>
      </w:pPr>
    </w:p>
    <w:p>
      <w:pPr>
        <w:pStyle w:val="22"/>
        <w:spacing w:after="0"/>
        <w:jc w:val="center"/>
        <w:rPr>
          <w:rFonts w:hint="eastAsia" w:ascii="宋体" w:hAnsi="宋体" w:eastAsia="宋体" w:cs="宋体"/>
          <w:b/>
          <w:bCs/>
          <w:spacing w:val="-20"/>
          <w:kern w:val="44"/>
          <w:sz w:val="28"/>
          <w:szCs w:val="28"/>
          <w:highlight w:val="none"/>
        </w:rPr>
      </w:pPr>
      <w:r>
        <w:rPr>
          <w:rFonts w:hint="eastAsia" w:ascii="宋体" w:hAnsi="宋体" w:eastAsia="宋体" w:cs="宋体"/>
          <w:b/>
          <w:bCs/>
          <w:spacing w:val="-20"/>
          <w:kern w:val="44"/>
          <w:sz w:val="28"/>
          <w:szCs w:val="28"/>
          <w:highlight w:val="none"/>
        </w:rPr>
        <w:t>政府采购货物买卖合同</w:t>
      </w:r>
    </w:p>
    <w:p>
      <w:pPr>
        <w:pStyle w:val="22"/>
        <w:spacing w:after="0"/>
        <w:jc w:val="center"/>
        <w:rPr>
          <w:rFonts w:hint="eastAsia" w:ascii="宋体" w:hAnsi="宋体" w:eastAsia="宋体" w:cs="宋体"/>
          <w:b/>
          <w:bCs/>
          <w:spacing w:val="-20"/>
          <w:kern w:val="44"/>
          <w:sz w:val="28"/>
          <w:szCs w:val="28"/>
          <w:highlight w:val="none"/>
        </w:rPr>
      </w:pPr>
      <w:r>
        <w:rPr>
          <w:rFonts w:hint="eastAsia" w:ascii="宋体" w:hAnsi="宋体" w:eastAsia="宋体" w:cs="宋体"/>
          <w:b/>
          <w:bCs/>
          <w:spacing w:val="-20"/>
          <w:kern w:val="44"/>
          <w:sz w:val="28"/>
          <w:szCs w:val="28"/>
          <w:highlight w:val="none"/>
        </w:rPr>
        <w:t>（试行）</w:t>
      </w:r>
    </w:p>
    <w:p>
      <w:pPr>
        <w:rPr>
          <w:rFonts w:hint="eastAsia" w:ascii="宋体" w:hAnsi="宋体" w:eastAsia="宋体" w:cs="宋体"/>
          <w:b/>
          <w:bCs/>
          <w:spacing w:val="-20"/>
          <w:kern w:val="44"/>
          <w:sz w:val="28"/>
          <w:szCs w:val="28"/>
          <w:highlight w:val="none"/>
        </w:rPr>
      </w:pPr>
    </w:p>
    <w:p>
      <w:pPr>
        <w:rPr>
          <w:rFonts w:hint="eastAsia" w:ascii="宋体" w:hAnsi="宋体" w:eastAsia="宋体" w:cs="宋体"/>
          <w:b/>
          <w:bCs/>
          <w:spacing w:val="-20"/>
          <w:kern w:val="44"/>
          <w:sz w:val="28"/>
          <w:szCs w:val="28"/>
          <w:highlight w:val="none"/>
        </w:rPr>
      </w:pPr>
    </w:p>
    <w:p>
      <w:pPr>
        <w:rPr>
          <w:rFonts w:hint="eastAsia" w:ascii="宋体" w:hAnsi="宋体" w:eastAsia="宋体" w:cs="宋体"/>
          <w:b/>
          <w:bCs/>
          <w:spacing w:val="-20"/>
          <w:kern w:val="44"/>
          <w:sz w:val="28"/>
          <w:szCs w:val="28"/>
          <w:highlight w:val="none"/>
        </w:rPr>
      </w:pPr>
    </w:p>
    <w:p>
      <w:pPr>
        <w:rPr>
          <w:rFonts w:hint="eastAsia" w:ascii="宋体" w:hAnsi="宋体" w:eastAsia="宋体" w:cs="宋体"/>
          <w:b/>
          <w:bCs/>
          <w:spacing w:val="-20"/>
          <w:kern w:val="44"/>
          <w:sz w:val="28"/>
          <w:szCs w:val="28"/>
          <w:highlight w:val="none"/>
        </w:rPr>
      </w:pPr>
    </w:p>
    <w:p>
      <w:pPr>
        <w:rPr>
          <w:rFonts w:hint="eastAsia" w:ascii="宋体" w:hAnsi="宋体" w:eastAsia="宋体" w:cs="宋体"/>
          <w:b/>
          <w:bCs/>
          <w:spacing w:val="-20"/>
          <w:kern w:val="44"/>
          <w:sz w:val="28"/>
          <w:szCs w:val="28"/>
          <w:highlight w:val="none"/>
        </w:rPr>
      </w:pPr>
    </w:p>
    <w:p>
      <w:pPr>
        <w:rPr>
          <w:rFonts w:hint="eastAsia" w:ascii="宋体" w:hAnsi="宋体" w:eastAsia="宋体" w:cs="宋体"/>
          <w:b/>
          <w:bCs/>
          <w:spacing w:val="-20"/>
          <w:kern w:val="44"/>
          <w:sz w:val="28"/>
          <w:szCs w:val="28"/>
          <w:highlight w:val="none"/>
        </w:rPr>
      </w:pPr>
    </w:p>
    <w:p>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项目名称：</w:t>
      </w:r>
      <w:r>
        <w:rPr>
          <w:rFonts w:hint="eastAsia" w:ascii="宋体" w:hAnsi="宋体" w:eastAsia="宋体" w:cs="宋体"/>
          <w:sz w:val="28"/>
          <w:szCs w:val="28"/>
          <w:highlight w:val="none"/>
          <w:u w:val="single"/>
        </w:rPr>
        <w:t xml:space="preserve">                                </w:t>
      </w:r>
    </w:p>
    <w:p>
      <w:pPr>
        <w:spacing w:line="360" w:lineRule="auto"/>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合同编号：</w:t>
      </w:r>
      <w:r>
        <w:rPr>
          <w:rFonts w:hint="eastAsia" w:ascii="宋体" w:hAnsi="宋体" w:eastAsia="宋体" w:cs="宋体"/>
          <w:sz w:val="28"/>
          <w:szCs w:val="28"/>
          <w:highlight w:val="none"/>
          <w:u w:val="single"/>
        </w:rPr>
        <w:t xml:space="preserve">                                </w:t>
      </w:r>
    </w:p>
    <w:p>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甲    方：</w:t>
      </w:r>
      <w:r>
        <w:rPr>
          <w:rFonts w:hint="eastAsia" w:ascii="宋体" w:hAnsi="宋体" w:eastAsia="宋体" w:cs="宋体"/>
          <w:sz w:val="28"/>
          <w:szCs w:val="28"/>
          <w:highlight w:val="none"/>
          <w:u w:val="single"/>
        </w:rPr>
        <w:t xml:space="preserve">                                </w:t>
      </w:r>
    </w:p>
    <w:p>
      <w:pPr>
        <w:spacing w:line="360" w:lineRule="auto"/>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乙    方：</w:t>
      </w:r>
      <w:r>
        <w:rPr>
          <w:rFonts w:hint="eastAsia" w:ascii="宋体" w:hAnsi="宋体" w:eastAsia="宋体" w:cs="宋体"/>
          <w:sz w:val="28"/>
          <w:szCs w:val="28"/>
          <w:highlight w:val="none"/>
          <w:u w:val="single"/>
        </w:rPr>
        <w:t xml:space="preserve">                                </w:t>
      </w:r>
    </w:p>
    <w:p>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签订时间：</w:t>
      </w:r>
      <w:r>
        <w:rPr>
          <w:rFonts w:hint="eastAsia" w:ascii="宋体" w:hAnsi="宋体" w:eastAsia="宋体" w:cs="宋体"/>
          <w:sz w:val="28"/>
          <w:szCs w:val="28"/>
          <w:highlight w:val="none"/>
          <w:u w:val="single"/>
        </w:rPr>
        <w:t xml:space="preserve">                                </w:t>
      </w:r>
    </w:p>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jc w:val="center"/>
        <w:rPr>
          <w:rFonts w:hint="eastAsia" w:ascii="宋体" w:hAnsi="宋体" w:eastAsia="宋体" w:cs="宋体"/>
          <w:sz w:val="24"/>
          <w:highlight w:val="none"/>
        </w:rPr>
      </w:pPr>
      <w:r>
        <w:rPr>
          <w:rFonts w:hint="eastAsia" w:ascii="宋体" w:hAnsi="宋体" w:eastAsia="宋体" w:cs="宋体"/>
          <w:sz w:val="24"/>
          <w:highlight w:val="none"/>
        </w:rPr>
        <w:t>使 用 说 明</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1.本合同标准文本适用于购买现成货物的采购项目，不包括需要</w:t>
      </w:r>
      <w:r>
        <w:rPr>
          <w:rFonts w:hint="eastAsia" w:ascii="宋体" w:hAnsi="宋体" w:cs="宋体"/>
          <w:sz w:val="24"/>
          <w:highlight w:val="none"/>
          <w:lang w:eastAsia="zh-CN"/>
        </w:rPr>
        <w:t>投标人</w:t>
      </w:r>
      <w:r>
        <w:rPr>
          <w:rFonts w:hint="eastAsia" w:ascii="宋体" w:hAnsi="宋体" w:eastAsia="宋体" w:cs="宋体"/>
          <w:sz w:val="24"/>
          <w:highlight w:val="none"/>
        </w:rPr>
        <w:t>定制开发、创新研发的货物采购项目。</w:t>
      </w:r>
    </w:p>
    <w:p>
      <w:pPr>
        <w:rPr>
          <w:rFonts w:hint="eastAsia" w:ascii="宋体" w:hAnsi="宋体" w:eastAsia="宋体" w:cs="宋体"/>
          <w:sz w:val="24"/>
          <w:highlight w:val="none"/>
        </w:rPr>
      </w:pPr>
      <w:r>
        <w:rPr>
          <w:rFonts w:hint="eastAsia" w:ascii="宋体" w:hAnsi="宋体" w:eastAsia="宋体" w:cs="宋体"/>
          <w:sz w:val="24"/>
          <w:highlight w:val="none"/>
        </w:rPr>
        <w:t xml:space="preserve">   2.本合同标准文本为政府采购货物买卖合同编制提供参考，可以结合采购项目具体情况，对文本作必要的调整修订后使用。</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3.本合同标准文本各条款中，如涉及填写多家</w:t>
      </w:r>
      <w:r>
        <w:rPr>
          <w:rFonts w:hint="eastAsia" w:ascii="宋体" w:hAnsi="宋体" w:cs="宋体"/>
          <w:sz w:val="24"/>
          <w:highlight w:val="none"/>
          <w:lang w:eastAsia="zh-CN"/>
        </w:rPr>
        <w:t>投标人</w:t>
      </w:r>
      <w:r>
        <w:rPr>
          <w:rFonts w:hint="eastAsia" w:ascii="宋体" w:hAnsi="宋体" w:eastAsia="宋体" w:cs="宋体"/>
          <w:sz w:val="24"/>
          <w:highlight w:val="none"/>
        </w:rPr>
        <w:t>、制造商，多种采购标的、分包主要内容等信息的，可根据采购项目具体情况添加信息项。</w:t>
      </w:r>
    </w:p>
    <w:p>
      <w:pPr>
        <w:ind w:firstLine="480" w:firstLineChars="200"/>
        <w:rPr>
          <w:rFonts w:hint="eastAsia" w:ascii="宋体" w:hAnsi="宋体" w:eastAsia="宋体" w:cs="宋体"/>
          <w:sz w:val="24"/>
          <w:highlight w:val="none"/>
        </w:rPr>
        <w:sectPr>
          <w:footerReference r:id="rId9" w:type="default"/>
          <w:pgSz w:w="11906" w:h="16838"/>
          <w:pgMar w:top="1440" w:right="1800" w:bottom="1440" w:left="1800" w:header="851" w:footer="992" w:gutter="0"/>
          <w:cols w:space="720" w:num="1"/>
          <w:docGrid w:type="lines" w:linePitch="312" w:charSpace="0"/>
        </w:sectPr>
      </w:pPr>
    </w:p>
    <w:bookmarkEnd w:id="59"/>
    <w:p>
      <w:pPr>
        <w:pStyle w:val="3"/>
        <w:adjustRightInd w:val="0"/>
        <w:snapToGrid w:val="0"/>
        <w:spacing w:before="0" w:after="0" w:line="360" w:lineRule="auto"/>
        <w:ind w:firstLine="480" w:firstLineChars="200"/>
        <w:jc w:val="center"/>
        <w:rPr>
          <w:rFonts w:hint="eastAsia" w:ascii="宋体" w:hAnsi="宋体" w:eastAsia="宋体" w:cs="宋体"/>
          <w:b w:val="0"/>
          <w:bCs w:val="0"/>
          <w:sz w:val="24"/>
          <w:szCs w:val="24"/>
          <w:highlight w:val="none"/>
        </w:rPr>
      </w:pPr>
      <w:bookmarkStart w:id="60" w:name="_Toc22209"/>
      <w:r>
        <w:rPr>
          <w:rFonts w:hint="eastAsia" w:ascii="宋体" w:hAnsi="宋体" w:eastAsia="宋体" w:cs="宋体"/>
          <w:b w:val="0"/>
          <w:bCs w:val="0"/>
          <w:sz w:val="24"/>
          <w:szCs w:val="24"/>
          <w:highlight w:val="none"/>
        </w:rPr>
        <w:t>第一节 政府采购合同协议书</w:t>
      </w:r>
      <w:bookmarkEnd w:id="60"/>
    </w:p>
    <w:p>
      <w:pPr>
        <w:pStyle w:val="3"/>
        <w:adjustRightInd w:val="0"/>
        <w:snapToGrid w:val="0"/>
        <w:spacing w:before="0" w:after="0" w:line="360" w:lineRule="auto"/>
        <w:ind w:firstLine="480" w:firstLineChars="200"/>
        <w:jc w:val="center"/>
        <w:rPr>
          <w:rFonts w:hint="eastAsia" w:ascii="宋体" w:hAnsi="宋体" w:eastAsia="宋体" w:cs="宋体"/>
          <w:b w:val="0"/>
          <w:bCs w:val="0"/>
          <w:sz w:val="24"/>
          <w:szCs w:val="24"/>
          <w:highlight w:val="none"/>
        </w:rPr>
      </w:pP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甲方（全称）：</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（采购人、受采购人委托签订合同的单位或采购文件约定的合同甲方）</w:t>
      </w:r>
    </w:p>
    <w:p>
      <w:pPr>
        <w:adjustRightInd w:val="0"/>
        <w:snapToGrid w:val="0"/>
        <w:spacing w:line="360" w:lineRule="auto"/>
        <w:ind w:firstLine="480" w:firstLineChars="200"/>
        <w:rPr>
          <w:rFonts w:hint="eastAsia" w:ascii="宋体" w:hAnsi="宋体" w:eastAsia="宋体" w:cs="宋体"/>
          <w:sz w:val="24"/>
          <w:highlight w:val="none"/>
        </w:rPr>
      </w:pP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乙方（全称）：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eastAsia="zh-CN"/>
        </w:rPr>
        <w:t>投标人</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p>
    <w:p>
      <w:pPr>
        <w:pStyle w:val="23"/>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项目信息</w:t>
      </w:r>
    </w:p>
    <w:p>
      <w:pPr>
        <w:pStyle w:val="23"/>
        <w:numPr>
          <w:ilvl w:val="0"/>
          <w:numId w:val="8"/>
        </w:numPr>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采购项目名称：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23"/>
        <w:tabs>
          <w:tab w:val="left" w:pos="999"/>
        </w:tabs>
        <w:adjustRightInd w:val="0"/>
        <w:snapToGrid w:val="0"/>
        <w:spacing w:line="360" w:lineRule="auto"/>
        <w:ind w:firstLine="480"/>
        <w:rPr>
          <w:rFonts w:hint="eastAsia" w:ascii="宋体" w:hAnsi="宋体" w:eastAsia="宋体" w:cs="宋体"/>
          <w:highlight w:val="none"/>
          <w:u w:val="single"/>
        </w:rPr>
      </w:pPr>
      <w:r>
        <w:rPr>
          <w:rFonts w:hint="eastAsia" w:ascii="宋体" w:hAnsi="宋体" w:eastAsia="宋体" w:cs="宋体"/>
          <w:highlight w:val="none"/>
        </w:rPr>
        <w:t xml:space="preserve">     采购项目编号</w:t>
      </w:r>
      <w:r>
        <w:rPr>
          <w:rFonts w:hint="eastAsia" w:ascii="宋体" w:hAnsi="宋体" w:eastAsia="宋体" w:cs="宋体"/>
          <w:color w:val="000000"/>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23"/>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（2）采购计划编号：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（3）项目内容：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采购标的及数量（台/套/个/架/组等）：</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品牌：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规格型号：</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采购标的的技术要求、商务要求具体见附件。</w:t>
      </w:r>
    </w:p>
    <w:p>
      <w:pPr>
        <w:pStyle w:val="99"/>
        <w:snapToGrid w:val="0"/>
        <w:spacing w:line="360" w:lineRule="auto"/>
        <w:ind w:left="636" w:leftChars="303"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（4）政府采购组织形式：分散采购</w:t>
      </w:r>
    </w:p>
    <w:p>
      <w:pPr>
        <w:pStyle w:val="99"/>
        <w:snapToGrid w:val="0"/>
        <w:spacing w:line="360" w:lineRule="auto"/>
        <w:ind w:left="636" w:leftChars="303"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（5）政府采购方式：</w:t>
      </w:r>
    </w:p>
    <w:p>
      <w:pPr>
        <w:pStyle w:val="99"/>
        <w:snapToGrid w:val="0"/>
        <w:spacing w:line="360" w:lineRule="auto"/>
        <w:ind w:left="636" w:leftChars="303" w:firstLine="0" w:firstLineChars="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（6）</w:t>
      </w:r>
      <w:r>
        <w:rPr>
          <w:rFonts w:hint="eastAsia" w:ascii="宋体" w:hAnsi="宋体" w:eastAsia="宋体" w:cs="宋体"/>
          <w:kern w:val="2"/>
          <w:sz w:val="24"/>
          <w:szCs w:val="24"/>
          <w:highlight w:val="none"/>
        </w:rPr>
        <w:t xml:space="preserve">中标采购标的制造商是否为中小企业：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Style w:val="99"/>
        <w:snapToGrid w:val="0"/>
        <w:spacing w:line="360" w:lineRule="auto"/>
        <w:ind w:left="636" w:leftChars="303"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adjustRightInd w:val="0"/>
        <w:snapToGrid w:val="0"/>
        <w:spacing w:line="360" w:lineRule="auto"/>
        <w:ind w:left="636" w:leftChars="303"/>
        <w:rPr>
          <w:rFonts w:hint="eastAsia" w:ascii="宋体" w:hAnsi="宋体" w:eastAsia="宋体" w:cs="宋体"/>
          <w:iCs/>
          <w:sz w:val="24"/>
          <w:highlight w:val="none"/>
        </w:rPr>
      </w:pPr>
      <w:r>
        <w:rPr>
          <w:rFonts w:hint="eastAsia" w:ascii="宋体" w:hAnsi="宋体" w:eastAsia="宋体" w:cs="宋体"/>
          <w:sz w:val="24"/>
          <w:highlight w:val="none"/>
        </w:rPr>
        <w:t>中标（成交）采购标的制造商是否为残疾人福利性单位：</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snapToGrid w:val="0"/>
        <w:spacing w:line="360" w:lineRule="auto"/>
        <w:ind w:left="636" w:leftChars="303"/>
        <w:rPr>
          <w:rFonts w:hint="eastAsia" w:ascii="宋体" w:hAnsi="宋体" w:eastAsia="宋体" w:cs="宋体"/>
          <w:sz w:val="24"/>
          <w:highlight w:val="none"/>
        </w:rPr>
      </w:pPr>
      <w:r>
        <w:rPr>
          <w:rFonts w:hint="eastAsia" w:ascii="宋体" w:hAnsi="宋体" w:eastAsia="宋体" w:cs="宋体"/>
          <w:sz w:val="24"/>
          <w:highlight w:val="none"/>
        </w:rPr>
        <w:t>中标（成交）采购标的制造商是否为监狱企业：</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adjustRightInd w:val="0"/>
        <w:snapToGrid w:val="0"/>
        <w:spacing w:line="360" w:lineRule="auto"/>
        <w:ind w:left="636" w:leftChars="303"/>
        <w:rPr>
          <w:rFonts w:hint="eastAsia" w:ascii="宋体" w:hAnsi="宋体" w:eastAsia="宋体" w:cs="宋体"/>
          <w:sz w:val="24"/>
          <w:highlight w:val="none"/>
        </w:rPr>
      </w:pPr>
      <w:r>
        <w:rPr>
          <w:rFonts w:hint="eastAsia" w:ascii="宋体" w:hAnsi="宋体" w:eastAsia="宋体" w:cs="宋体"/>
          <w:sz w:val="24"/>
          <w:highlight w:val="none"/>
        </w:rPr>
        <w:t>（7）合同是否分包：</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adjustRightInd w:val="0"/>
        <w:snapToGrid w:val="0"/>
        <w:spacing w:line="360" w:lineRule="auto"/>
        <w:ind w:left="636" w:leftChars="303"/>
        <w:rPr>
          <w:rFonts w:hint="eastAsia" w:ascii="宋体" w:hAnsi="宋体" w:eastAsia="宋体" w:cs="宋体"/>
          <w:iCs/>
          <w:sz w:val="24"/>
          <w:highlight w:val="none"/>
        </w:rPr>
      </w:pPr>
      <w:r>
        <w:rPr>
          <w:rFonts w:hint="eastAsia" w:ascii="宋体" w:hAnsi="宋体" w:eastAsia="宋体" w:cs="宋体"/>
          <w:sz w:val="24"/>
          <w:highlight w:val="none"/>
        </w:rPr>
        <w:t>（8）中标</w:t>
      </w:r>
      <w:r>
        <w:rPr>
          <w:rFonts w:hint="eastAsia" w:ascii="宋体" w:hAnsi="宋体" w:cs="宋体"/>
          <w:sz w:val="24"/>
          <w:highlight w:val="none"/>
          <w:lang w:eastAsia="zh-CN"/>
        </w:rPr>
        <w:t>投标人</w:t>
      </w:r>
      <w:r>
        <w:rPr>
          <w:rFonts w:hint="eastAsia" w:ascii="宋体" w:hAnsi="宋体" w:eastAsia="宋体" w:cs="宋体"/>
          <w:sz w:val="24"/>
          <w:highlight w:val="none"/>
        </w:rPr>
        <w:t>是否为外商投资企业：</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pStyle w:val="99"/>
        <w:tabs>
          <w:tab w:val="left" w:pos="1340"/>
        </w:tabs>
        <w:spacing w:line="360" w:lineRule="auto"/>
        <w:ind w:firstLine="480"/>
        <w:rPr>
          <w:rFonts w:hint="eastAsia" w:ascii="宋体" w:hAnsi="宋体" w:eastAsia="宋体" w:cs="宋体"/>
          <w:iCs/>
          <w:sz w:val="24"/>
          <w:szCs w:val="24"/>
          <w:highlight w:val="none"/>
        </w:rPr>
      </w:pPr>
      <w:r>
        <w:rPr>
          <w:rFonts w:hint="eastAsia" w:ascii="宋体" w:hAnsi="宋体" w:eastAsia="宋体" w:cs="宋体"/>
          <w:sz w:val="24"/>
          <w:szCs w:val="24"/>
          <w:highlight w:val="none"/>
        </w:rPr>
        <w:t>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pPr>
        <w:pStyle w:val="99"/>
        <w:tabs>
          <w:tab w:val="left" w:pos="1340"/>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（9）是否涉及进口产品：</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（10）是否涉及节能产品：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是否涉及环境标志产品：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是否涉及绿色产品：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（11）涉及商品包装和快递包装的，是否参考《商品包装政府采购需求标准（试行）》、《快递包装政府采购需求标准（试行）》明确产品及相关快递服务的具体包装要求：</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否      </w:t>
      </w:r>
      <w:r>
        <w:rPr>
          <w:rFonts w:hint="eastAsia" w:ascii="宋体" w:hAnsi="宋体" w:eastAsia="宋体" w:cs="宋体"/>
          <w:sz w:val="24"/>
          <w:highlight w:val="none"/>
        </w:rPr>
        <w:sym w:font="Wingdings" w:char="00A8"/>
      </w:r>
      <w:r>
        <w:rPr>
          <w:rFonts w:hint="eastAsia" w:ascii="宋体" w:hAnsi="宋体" w:eastAsia="宋体" w:cs="宋体"/>
          <w:sz w:val="24"/>
          <w:highlight w:val="none"/>
        </w:rPr>
        <w:t>不涉及</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合同金额</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（1）合同金额小写：</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大写：</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（2）合同定价方式：</w:t>
      </w:r>
      <w:r>
        <w:rPr>
          <w:rFonts w:hint="eastAsia" w:ascii="宋体" w:hAnsi="宋体" w:eastAsia="宋体" w:cs="宋体"/>
          <w:iCs/>
          <w:sz w:val="24"/>
          <w:highlight w:val="none"/>
        </w:rPr>
        <w:t>固定总价</w:t>
      </w:r>
    </w:p>
    <w:p>
      <w:pPr>
        <w:pStyle w:val="106"/>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全额付款：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分期付款：</w:t>
      </w:r>
      <w:r>
        <w:rPr>
          <w:rFonts w:hint="eastAsia" w:ascii="宋体" w:hAnsi="宋体" w:eastAsia="宋体" w:cs="宋体"/>
          <w:sz w:val="24"/>
          <w:highlight w:val="none"/>
          <w:u w:val="single"/>
        </w:rPr>
        <w:t xml:space="preserve"> / </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成本补偿：</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绩效激励：</w:t>
      </w:r>
      <w:r>
        <w:rPr>
          <w:rFonts w:hint="eastAsia" w:ascii="宋体" w:hAnsi="宋体" w:eastAsia="宋体" w:cs="宋体"/>
          <w:sz w:val="24"/>
          <w:highlight w:val="none"/>
          <w:u w:val="single"/>
        </w:rPr>
        <w:t xml:space="preserve"> / </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rPr>
        <w:t>合同履行</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（1）起始日期：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日，完成日期：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（2）履约地点</w:t>
      </w:r>
      <w:r>
        <w:rPr>
          <w:rFonts w:hint="eastAsia" w:ascii="宋体" w:hAnsi="宋体" w:eastAsia="宋体" w:cs="宋体"/>
          <w:bCs/>
          <w:sz w:val="24"/>
          <w:highlight w:val="non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（3）履约担保：</w:t>
      </w:r>
      <w:r>
        <w:rPr>
          <w:rFonts w:hint="eastAsia" w:ascii="宋体" w:hAnsi="宋体" w:eastAsia="宋体" w:cs="宋体"/>
          <w:sz w:val="24"/>
          <w:highlight w:val="none"/>
        </w:rPr>
        <w:t>是否收取履约保证金：</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pPr>
        <w:adjustRightInd w:val="0"/>
        <w:snapToGrid w:val="0"/>
        <w:spacing w:line="360" w:lineRule="auto"/>
        <w:ind w:left="1279" w:leftChars="266" w:hanging="720" w:hangingChars="300"/>
        <w:rPr>
          <w:rFonts w:hint="eastAsia" w:ascii="宋体" w:hAnsi="宋体" w:eastAsia="宋体" w:cs="宋体"/>
          <w:bCs/>
          <w:sz w:val="24"/>
          <w:highlight w:val="none"/>
        </w:rPr>
      </w:pPr>
      <w:r>
        <w:rPr>
          <w:rFonts w:hint="eastAsia" w:ascii="宋体" w:hAnsi="宋体" w:eastAsia="宋体" w:cs="宋体"/>
          <w:bCs/>
          <w:sz w:val="24"/>
          <w:highlight w:val="none"/>
        </w:rPr>
        <w:t>（4）分期履行要求：</w:t>
      </w:r>
      <w:r>
        <w:rPr>
          <w:rFonts w:hint="eastAsia" w:ascii="宋体" w:hAnsi="宋体" w:eastAsia="宋体" w:cs="宋体"/>
          <w:bCs/>
          <w:sz w:val="24"/>
          <w:highlight w:val="none"/>
          <w:u w:val="single"/>
        </w:rPr>
        <w:t xml:space="preserve">                                                        </w:t>
      </w:r>
    </w:p>
    <w:p>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（5）风险处置措施和替代方案：</w:t>
      </w:r>
      <w:r>
        <w:rPr>
          <w:rFonts w:hint="eastAsia" w:ascii="宋体" w:hAnsi="宋体" w:eastAsia="宋体" w:cs="宋体"/>
          <w:bCs/>
          <w:sz w:val="24"/>
          <w:highlight w:val="none"/>
          <w:u w:val="single"/>
        </w:rPr>
        <w:t xml:space="preserve">                                </w:t>
      </w:r>
    </w:p>
    <w:p>
      <w:pPr>
        <w:adjustRightInd w:val="0"/>
        <w:snapToGrid w:val="0"/>
        <w:spacing w:line="360" w:lineRule="auto"/>
        <w:ind w:firstLine="480" w:firstLineChars="200"/>
        <w:rPr>
          <w:rFonts w:hint="eastAsia" w:ascii="宋体" w:hAnsi="宋体" w:eastAsia="宋体" w:cs="宋体"/>
          <w:bCs/>
          <w:sz w:val="24"/>
          <w:highlight w:val="none"/>
        </w:rPr>
      </w:pP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4、合同验收</w:t>
      </w:r>
    </w:p>
    <w:p>
      <w:pPr>
        <w:numPr>
          <w:ilvl w:val="0"/>
          <w:numId w:val="9"/>
        </w:num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验收组织方式：自行组织</w:t>
      </w:r>
    </w:p>
    <w:p>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 xml:space="preserve">     验收主体：</w:t>
      </w:r>
      <w:r>
        <w:rPr>
          <w:rFonts w:hint="eastAsia" w:ascii="宋体" w:hAnsi="宋体" w:eastAsia="宋体" w:cs="宋体"/>
          <w:bCs/>
          <w:sz w:val="24"/>
          <w:highlight w:val="none"/>
          <w:u w:val="single"/>
        </w:rPr>
        <w:t xml:space="preserve">               </w:t>
      </w:r>
    </w:p>
    <w:p>
      <w:pPr>
        <w:adjustRightInd w:val="0"/>
        <w:snapToGrid w:val="0"/>
        <w:spacing w:line="360" w:lineRule="auto"/>
        <w:ind w:firstLine="1080" w:firstLineChars="450"/>
        <w:rPr>
          <w:rFonts w:hint="eastAsia" w:ascii="宋体" w:hAnsi="宋体" w:eastAsia="宋体" w:cs="宋体"/>
          <w:bCs/>
          <w:sz w:val="24"/>
          <w:highlight w:val="none"/>
          <w:u w:val="single"/>
        </w:rPr>
      </w:pPr>
      <w:r>
        <w:rPr>
          <w:rFonts w:hint="eastAsia" w:ascii="宋体" w:hAnsi="宋体" w:eastAsia="宋体" w:cs="宋体"/>
          <w:bCs/>
          <w:sz w:val="24"/>
          <w:highlight w:val="none"/>
        </w:rPr>
        <w:t>验收组织的其他事项：</w:t>
      </w:r>
      <w:r>
        <w:rPr>
          <w:rFonts w:hint="eastAsia" w:ascii="宋体" w:hAnsi="宋体" w:eastAsia="宋体" w:cs="宋体"/>
          <w:bCs/>
          <w:sz w:val="24"/>
          <w:highlight w:val="none"/>
          <w:u w:val="single"/>
        </w:rPr>
        <w:t xml:space="preserve">                </w:t>
      </w:r>
    </w:p>
    <w:p>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（2）履约验收时间：</w:t>
      </w:r>
      <w:r>
        <w:rPr>
          <w:rFonts w:hint="eastAsia" w:ascii="宋体" w:hAnsi="宋体" w:eastAsia="宋体" w:cs="宋体"/>
          <w:bCs/>
          <w:sz w:val="24"/>
          <w:highlight w:val="none"/>
          <w:u w:val="single"/>
        </w:rPr>
        <w:t>（计划于何时验收/</w:t>
      </w:r>
      <w:r>
        <w:rPr>
          <w:rFonts w:hint="eastAsia" w:ascii="宋体" w:hAnsi="宋体" w:cs="宋体"/>
          <w:bCs/>
          <w:sz w:val="24"/>
          <w:highlight w:val="none"/>
          <w:u w:val="single"/>
          <w:lang w:eastAsia="zh-CN"/>
        </w:rPr>
        <w:t>投标人</w:t>
      </w:r>
      <w:r>
        <w:rPr>
          <w:rFonts w:hint="eastAsia" w:ascii="宋体" w:hAnsi="宋体" w:eastAsia="宋体" w:cs="宋体"/>
          <w:bCs/>
          <w:sz w:val="24"/>
          <w:highlight w:val="none"/>
          <w:u w:val="single"/>
        </w:rPr>
        <w:t xml:space="preserve">提出验收申请之日起   日内组织验收） </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（3）履约验收方式：</w:t>
      </w:r>
      <w:r>
        <w:rPr>
          <w:rFonts w:hint="eastAsia" w:ascii="宋体" w:hAnsi="宋体" w:eastAsia="宋体" w:cs="宋体"/>
          <w:sz w:val="24"/>
          <w:highlight w:val="none"/>
        </w:rPr>
        <w:sym w:font="Wingdings" w:char="00A8"/>
      </w:r>
      <w:r>
        <w:rPr>
          <w:rFonts w:hint="eastAsia" w:ascii="宋体" w:hAnsi="宋体" w:eastAsia="宋体" w:cs="宋体"/>
          <w:bCs/>
          <w:sz w:val="24"/>
          <w:highlight w:val="none"/>
        </w:rPr>
        <w:t xml:space="preserve">一次性验收         </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w:t>
      </w:r>
      <w:r>
        <w:rPr>
          <w:rFonts w:hint="eastAsia" w:ascii="宋体" w:hAnsi="宋体" w:eastAsia="宋体" w:cs="宋体"/>
          <w:sz w:val="24"/>
          <w:highlight w:val="none"/>
        </w:rPr>
        <w:sym w:font="Wingdings" w:char="00A8"/>
      </w:r>
      <w:r>
        <w:rPr>
          <w:rFonts w:hint="eastAsia" w:ascii="宋体" w:hAnsi="宋体" w:eastAsia="宋体" w:cs="宋体"/>
          <w:bCs/>
          <w:sz w:val="24"/>
          <w:highlight w:val="none"/>
        </w:rPr>
        <w:t>分期/分项验收：</w:t>
      </w:r>
      <w:r>
        <w:rPr>
          <w:rFonts w:hint="eastAsia" w:ascii="宋体" w:hAnsi="宋体" w:eastAsia="宋体" w:cs="宋体"/>
          <w:bCs/>
          <w:sz w:val="24"/>
          <w:highlight w:val="none"/>
          <w:u w:val="single"/>
        </w:rPr>
        <w:t xml:space="preserve"> （应明确分期/分项验收的工作安排）  </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（4）履约验收程序：项目竣工、试运行（不少于1个月）、工程建设完成情况及系统功能及技术性能验收、验收资料整理。</w:t>
      </w:r>
      <w:r>
        <w:rPr>
          <w:rFonts w:hint="eastAsia" w:ascii="宋体" w:hAnsi="宋体" w:eastAsia="宋体" w:cs="宋体"/>
          <w:bCs/>
          <w:sz w:val="24"/>
          <w:highlight w:val="none"/>
          <w:u w:val="single"/>
        </w:rPr>
        <w:t xml:space="preserve">                                         </w:t>
      </w:r>
    </w:p>
    <w:p>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（5）履约验收的内容：</w:t>
      </w:r>
      <w:r>
        <w:rPr>
          <w:rFonts w:hint="eastAsia" w:ascii="宋体" w:hAnsi="宋体" w:eastAsia="宋体" w:cs="宋体"/>
          <w:bCs/>
          <w:sz w:val="24"/>
          <w:highlight w:val="none"/>
          <w:u w:val="single"/>
        </w:rPr>
        <w:t xml:space="preserve">                                        </w:t>
      </w:r>
    </w:p>
    <w:p>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（6）履约验收标准：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w:t>
      </w:r>
    </w:p>
    <w:p>
      <w:pPr>
        <w:pStyle w:val="99"/>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（8）履约验收其他事项：</w:t>
      </w:r>
      <w:r>
        <w:rPr>
          <w:rFonts w:hint="eastAsia" w:ascii="宋体" w:hAnsi="宋体" w:eastAsia="宋体" w:cs="宋体"/>
          <w:bCs/>
          <w:sz w:val="24"/>
          <w:highlight w:val="none"/>
          <w:u w:val="single"/>
        </w:rPr>
        <w:t xml:space="preserve">（产权过户登记等）          </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组成合同的文件</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本协议书与下列文件一起构成合同文件，如下述文件之间有任何抵触、矛盾或歧义，应按以下顺序解释：</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（1）政府采购合同协议书及其变更、补充协议</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（2）政府采购合同专用条款</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（3）政府采购合同通用条款</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（4）中标通知书</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（5）投标文件</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（6）招标文件</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（7）有关技术文件，图纸</w:t>
      </w:r>
    </w:p>
    <w:p>
      <w:pPr>
        <w:pStyle w:val="99"/>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kern w:val="2"/>
          <w:sz w:val="24"/>
          <w:szCs w:val="24"/>
          <w:highlight w:val="none"/>
        </w:rPr>
        <w:t>国家法律、行政法规和规章制度规定或合同约定的作为合同组成部分的其他文件</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合同生效</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生效。</w:t>
      </w:r>
    </w:p>
    <w:p>
      <w:pPr>
        <w:numPr>
          <w:ilvl w:val="0"/>
          <w:numId w:val="7"/>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合同份数</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份，甲方执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份，乙方执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份，均具有同等法律效力。</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合同订立时间：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合同订立地点：</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附件：具体标的及其技术要求和商务要求等。</w:t>
      </w:r>
    </w:p>
    <w:p>
      <w:pPr>
        <w:pStyle w:val="106"/>
        <w:ind w:firstLine="480"/>
        <w:rPr>
          <w:rFonts w:hint="eastAsia" w:ascii="宋体" w:hAnsi="宋体" w:eastAsia="宋体" w:cs="宋体"/>
          <w:sz w:val="24"/>
          <w:highlight w:val="none"/>
        </w:rPr>
      </w:pPr>
    </w:p>
    <w:p>
      <w:pPr>
        <w:pStyle w:val="106"/>
        <w:ind w:firstLine="480"/>
        <w:rPr>
          <w:rFonts w:hint="eastAsia" w:ascii="宋体" w:hAnsi="宋体" w:eastAsia="宋体" w:cs="宋体"/>
          <w:sz w:val="24"/>
          <w:highlight w:val="none"/>
        </w:rPr>
      </w:pPr>
    </w:p>
    <w:tbl>
      <w:tblPr>
        <w:tblStyle w:val="5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4"/>
        <w:gridCol w:w="2597"/>
        <w:gridCol w:w="2130"/>
        <w:gridCol w:w="227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乙方（</w:t>
            </w:r>
            <w:r>
              <w:rPr>
                <w:rFonts w:hint="eastAsia" w:ascii="宋体" w:hAnsi="宋体" w:cs="宋体"/>
                <w:sz w:val="24"/>
                <w:highlight w:val="none"/>
                <w:lang w:eastAsia="zh-CN"/>
              </w:rPr>
              <w:t>投标人</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住  所</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jc w:val="center"/>
              <w:rPr>
                <w:rFonts w:hint="eastAsia" w:ascii="宋体" w:hAnsi="宋体" w:eastAsia="宋体" w:cs="宋体"/>
                <w:spacing w:val="20"/>
                <w:sz w:val="24"/>
                <w:highlight w:val="none"/>
              </w:rPr>
            </w:pPr>
          </w:p>
        </w:tc>
      </w:tr>
    </w:tbl>
    <w:p>
      <w:pPr>
        <w:pStyle w:val="3"/>
        <w:adjustRightInd w:val="0"/>
        <w:snapToGrid w:val="0"/>
        <w:spacing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1" w:name="_Toc27624"/>
      <w:r>
        <w:rPr>
          <w:rFonts w:hint="eastAsia" w:ascii="宋体" w:hAnsi="宋体" w:eastAsia="宋体" w:cs="宋体"/>
          <w:b w:val="0"/>
          <w:bCs w:val="0"/>
          <w:sz w:val="24"/>
          <w:szCs w:val="24"/>
          <w:highlight w:val="none"/>
        </w:rPr>
        <w:t>第二节 政府采购合同通用条款</w:t>
      </w:r>
      <w:bookmarkEnd w:id="61"/>
    </w:p>
    <w:p>
      <w:pPr>
        <w:tabs>
          <w:tab w:val="left" w:pos="8820"/>
          <w:tab w:val="left" w:pos="9345"/>
          <w:tab w:val="left" w:pos="9765"/>
        </w:tabs>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sz w:val="24"/>
          <w:highlight w:val="none"/>
        </w:rPr>
        <w:t xml:space="preserve">1. </w:t>
      </w:r>
      <w:r>
        <w:rPr>
          <w:rFonts w:hint="eastAsia" w:ascii="宋体" w:hAnsi="宋体" w:eastAsia="宋体" w:cs="宋体"/>
          <w:b/>
          <w:bCs/>
          <w:sz w:val="24"/>
          <w:highlight w:val="none"/>
        </w:rPr>
        <w:t>定义</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1.1合同当事人</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（1）采购人（以下称甲方）是指使用财政性资金，通过政府采购方式向</w:t>
      </w:r>
      <w:r>
        <w:rPr>
          <w:rFonts w:hint="eastAsia" w:ascii="宋体" w:hAnsi="宋体" w:cs="宋体"/>
          <w:sz w:val="24"/>
          <w:highlight w:val="none"/>
          <w:lang w:eastAsia="zh-CN"/>
        </w:rPr>
        <w:t>投标人</w:t>
      </w:r>
      <w:r>
        <w:rPr>
          <w:rFonts w:hint="eastAsia" w:ascii="宋体" w:hAnsi="宋体" w:eastAsia="宋体" w:cs="宋体"/>
          <w:sz w:val="24"/>
          <w:highlight w:val="none"/>
        </w:rPr>
        <w:t>购买货物及其相关服务的国家机关、事业单位、团体组织。</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eastAsia="zh-CN"/>
        </w:rPr>
        <w:t>投标人</w:t>
      </w:r>
      <w:r>
        <w:rPr>
          <w:rFonts w:hint="eastAsia" w:ascii="宋体" w:hAnsi="宋体" w:eastAsia="宋体" w:cs="宋体"/>
          <w:sz w:val="24"/>
          <w:highlight w:val="none"/>
        </w:rPr>
        <w:t>（以下称乙方）是指参加政府采购活动并且中标（成交），向采购人提供合同约定的货物及其相关服务的法人、非法人组织或者自然人。</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（3）其他合同主体是指除采购人和</w:t>
      </w:r>
      <w:r>
        <w:rPr>
          <w:rFonts w:hint="eastAsia" w:ascii="宋体" w:hAnsi="宋体" w:cs="宋体"/>
          <w:sz w:val="24"/>
          <w:highlight w:val="none"/>
          <w:lang w:eastAsia="zh-CN"/>
        </w:rPr>
        <w:t>投标人</w:t>
      </w:r>
      <w:r>
        <w:rPr>
          <w:rFonts w:hint="eastAsia" w:ascii="宋体" w:hAnsi="宋体" w:eastAsia="宋体" w:cs="宋体"/>
          <w:sz w:val="24"/>
          <w:highlight w:val="none"/>
        </w:rPr>
        <w:t>以外，</w:t>
      </w:r>
      <w:r>
        <w:rPr>
          <w:rFonts w:hint="eastAsia" w:ascii="宋体" w:hAnsi="宋体" w:eastAsia="宋体" w:cs="宋体"/>
          <w:bCs/>
          <w:color w:val="000000"/>
          <w:sz w:val="24"/>
          <w:highlight w:val="none"/>
        </w:rPr>
        <w:t>依法参与合同缔结或履行，享有权利、承担义务的合同当事人</w:t>
      </w:r>
      <w:r>
        <w:rPr>
          <w:rFonts w:hint="eastAsia" w:ascii="宋体" w:hAnsi="宋体" w:eastAsia="宋体" w:cs="宋体"/>
          <w:sz w:val="24"/>
          <w:highlight w:val="none"/>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1.2本合同下列术语应解释为：</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（1）“合同”系指</w:t>
      </w:r>
      <w:r>
        <w:rPr>
          <w:rFonts w:hint="eastAsia" w:ascii="宋体" w:hAnsi="宋体" w:eastAsia="宋体" w:cs="宋体"/>
          <w:bCs/>
          <w:color w:val="000000"/>
          <w:sz w:val="24"/>
          <w:highlight w:val="none"/>
        </w:rPr>
        <w:t>合同当事人意思表示达成一致的任何协议，包括签署的</w:t>
      </w:r>
      <w:r>
        <w:rPr>
          <w:rFonts w:hint="eastAsia" w:ascii="宋体" w:hAnsi="宋体" w:eastAsia="宋体" w:cs="宋体"/>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highlight w:val="none"/>
        </w:rPr>
        <w:t>国家法律、行政法规和规章制度规定或合同约定的作为合同组成部分的其他文件</w:t>
      </w:r>
      <w:r>
        <w:rPr>
          <w:rFonts w:hint="eastAsia" w:ascii="宋体" w:hAnsi="宋体" w:eastAsia="宋体" w:cs="宋体"/>
          <w:sz w:val="24"/>
          <w:highlight w:val="none"/>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sz w:val="24"/>
          <w:highlight w:val="none"/>
        </w:rPr>
        <w:t>（3）“货物”系指乙方根据本合同规定须向甲方提供的各种形态和种类的物品，包括原材料、设备、产品（</w:t>
      </w:r>
      <w:r>
        <w:rPr>
          <w:rFonts w:hint="eastAsia" w:ascii="宋体" w:hAnsi="宋体" w:eastAsia="宋体" w:cs="宋体"/>
          <w:color w:val="000000"/>
          <w:sz w:val="24"/>
          <w:highlight w:val="none"/>
        </w:rPr>
        <w:t>包括软件）及相关的其备品备件、工具、手册及其他技术资料和材料等。</w:t>
      </w:r>
    </w:p>
    <w:p>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sz w:val="24"/>
          <w:highlight w:val="none"/>
        </w:rPr>
        <w:t>相关</w:t>
      </w:r>
      <w:r>
        <w:rPr>
          <w:rFonts w:hint="eastAsia" w:ascii="宋体" w:hAnsi="宋体" w:eastAsia="宋体" w:cs="宋体"/>
          <w:color w:val="000000"/>
          <w:sz w:val="24"/>
          <w:highlight w:val="none"/>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（5）“分包”系指中标（成交）</w:t>
      </w:r>
      <w:r>
        <w:rPr>
          <w:rFonts w:hint="eastAsia" w:ascii="宋体" w:hAnsi="宋体" w:cs="宋体"/>
          <w:color w:val="000000"/>
          <w:sz w:val="24"/>
          <w:highlight w:val="none"/>
          <w:lang w:eastAsia="zh-CN"/>
        </w:rPr>
        <w:t>投标人</w:t>
      </w:r>
      <w:r>
        <w:rPr>
          <w:rFonts w:hint="eastAsia" w:ascii="宋体" w:hAnsi="宋体" w:eastAsia="宋体" w:cs="宋体"/>
          <w:color w:val="000000"/>
          <w:sz w:val="24"/>
          <w:highlight w:val="none"/>
        </w:rPr>
        <w:t>按采购文件、投标（响应）文件的规定，根据分包意向协议，将中标（成交）项目中的部分履约内容，分给具有相应资质条件的</w:t>
      </w:r>
      <w:r>
        <w:rPr>
          <w:rFonts w:hint="eastAsia" w:ascii="宋体" w:hAnsi="宋体" w:cs="宋体"/>
          <w:color w:val="000000"/>
          <w:sz w:val="24"/>
          <w:highlight w:val="none"/>
          <w:lang w:eastAsia="zh-CN"/>
        </w:rPr>
        <w:t>投标人</w:t>
      </w:r>
      <w:r>
        <w:rPr>
          <w:rFonts w:hint="eastAsia" w:ascii="宋体" w:hAnsi="宋体" w:eastAsia="宋体" w:cs="宋体"/>
          <w:color w:val="000000"/>
          <w:sz w:val="24"/>
          <w:highlight w:val="none"/>
        </w:rPr>
        <w:t>履行合同的行为。</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sz w:val="24"/>
          <w:highlight w:val="none"/>
        </w:rPr>
        <w:t>“联合体”系指由两个以上的自然人、法人或者非法人组织组成，以一个</w:t>
      </w:r>
      <w:r>
        <w:rPr>
          <w:rFonts w:hint="eastAsia" w:ascii="宋体" w:hAnsi="宋体" w:cs="宋体"/>
          <w:sz w:val="24"/>
          <w:highlight w:val="none"/>
          <w:lang w:eastAsia="zh-CN"/>
        </w:rPr>
        <w:t>投标人</w:t>
      </w:r>
      <w:r>
        <w:rPr>
          <w:rFonts w:hint="eastAsia" w:ascii="宋体" w:hAnsi="宋体" w:eastAsia="宋体" w:cs="宋体"/>
          <w:sz w:val="24"/>
          <w:highlight w:val="none"/>
        </w:rPr>
        <w:t>的身份共同参加政府采购的主体</w:t>
      </w:r>
      <w:r>
        <w:rPr>
          <w:rFonts w:hint="eastAsia" w:ascii="宋体" w:hAnsi="宋体" w:eastAsia="宋体" w:cs="宋体"/>
          <w:color w:val="000000"/>
          <w:sz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highlight w:val="none"/>
        </w:rPr>
        <w:t>政府采购合同专用条款</w:t>
      </w:r>
      <w:r>
        <w:rPr>
          <w:rFonts w:hint="eastAsia" w:ascii="宋体" w:hAnsi="宋体" w:eastAsia="宋体" w:cs="宋体"/>
          <w:color w:val="000000"/>
          <w:sz w:val="24"/>
          <w:highlight w:val="none"/>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（7）其他术语解释，见【</w:t>
      </w:r>
      <w:r>
        <w:rPr>
          <w:rFonts w:hint="eastAsia" w:ascii="宋体" w:hAnsi="宋体" w:eastAsia="宋体" w:cs="宋体"/>
          <w:b/>
          <w:bCs/>
          <w:color w:val="000000"/>
          <w:sz w:val="24"/>
          <w:highlight w:val="none"/>
        </w:rPr>
        <w:t>政府采购合同专用条款</w:t>
      </w:r>
      <w:r>
        <w:rPr>
          <w:rFonts w:hint="eastAsia" w:ascii="宋体" w:hAnsi="宋体" w:eastAsia="宋体" w:cs="宋体"/>
          <w:color w:val="000000"/>
          <w:sz w:val="24"/>
          <w:highlight w:val="none"/>
        </w:rPr>
        <w:t>】。</w:t>
      </w:r>
    </w:p>
    <w:p>
      <w:pPr>
        <w:numPr>
          <w:ilvl w:val="0"/>
          <w:numId w:val="10"/>
        </w:num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highlight w:val="none"/>
        </w:rPr>
      </w:pPr>
      <w:r>
        <w:rPr>
          <w:rFonts w:hint="eastAsia" w:ascii="宋体" w:hAnsi="宋体" w:eastAsia="宋体" w:cs="宋体"/>
          <w:color w:val="000000"/>
          <w:sz w:val="24"/>
          <w:highlight w:val="none"/>
        </w:rPr>
        <w:t>2.1 合同标的及金额应与中标（成交）结果一致。乙方为履行本合同而发生的所有费用均应包含在合同价款中，甲方不再另行支付其他任何费用。</w:t>
      </w:r>
    </w:p>
    <w:p>
      <w:pPr>
        <w:adjustRightInd w:val="0"/>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 履行合同的时间、地点和方式</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3.1 </w:t>
      </w:r>
      <w:r>
        <w:rPr>
          <w:rFonts w:hint="eastAsia" w:ascii="宋体" w:hAnsi="宋体" w:eastAsia="宋体" w:cs="宋体"/>
          <w:sz w:val="24"/>
          <w:highlight w:val="none"/>
        </w:rPr>
        <w:t>乙方应当在约定的时间、地点，按照约定方式履行合同。</w:t>
      </w:r>
    </w:p>
    <w:p>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 甲方的权利和义务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4.3 甲方有权要求乙方对缺陷部分予以修复，并按合同约定享有货物保修及其他合同约定的权利。</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4.4 甲方应当按照合同约定及时对交付的货物进行验收，</w:t>
      </w:r>
      <w:r>
        <w:rPr>
          <w:rFonts w:hint="eastAsia" w:ascii="宋体" w:hAnsi="宋体" w:eastAsia="宋体" w:cs="宋体"/>
          <w:sz w:val="24"/>
          <w:highlight w:val="none"/>
        </w:rPr>
        <w:t>未</w:t>
      </w:r>
      <w:r>
        <w:rPr>
          <w:rFonts w:hint="eastAsia" w:ascii="宋体" w:hAnsi="宋体" w:eastAsia="宋体" w:cs="宋体"/>
          <w:color w:val="000000"/>
          <w:sz w:val="24"/>
          <w:highlight w:val="none"/>
        </w:rPr>
        <w:t>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约定的期限内对乙方履约提出任何异议或者向乙方作出任何说明的，</w:t>
      </w:r>
      <w:r>
        <w:rPr>
          <w:rFonts w:hint="eastAsia" w:ascii="宋体" w:hAnsi="宋体" w:eastAsia="宋体" w:cs="宋体"/>
          <w:color w:val="000000"/>
          <w:sz w:val="24"/>
          <w:highlight w:val="none"/>
        </w:rPr>
        <w:t>视为验收通过。</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4.6 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color w:val="000000"/>
          <w:sz w:val="24"/>
          <w:highlight w:val="none"/>
        </w:rPr>
        <w:t>约定应由甲方承担的其他义务和责任。</w:t>
      </w:r>
    </w:p>
    <w:p>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 乙方的权利和义务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5.1 签署合同后，乙方应确定项目负责人（或项目联系人），负责与本合同有关的事务。</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2"/>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5.3乙方有权根据合同约定向甲方收取合同价款。</w:t>
      </w:r>
    </w:p>
    <w:p>
      <w:pPr>
        <w:pStyle w:val="22"/>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约定应</w:t>
      </w:r>
      <w:r>
        <w:rPr>
          <w:rFonts w:hint="eastAsia" w:ascii="宋体" w:hAnsi="宋体" w:eastAsia="宋体" w:cs="宋体"/>
          <w:color w:val="000000"/>
          <w:sz w:val="24"/>
          <w:highlight w:val="none"/>
        </w:rPr>
        <w:t>由乙方承担的其他义务和责任。</w:t>
      </w:r>
    </w:p>
    <w:p>
      <w:pPr>
        <w:numPr>
          <w:ilvl w:val="0"/>
          <w:numId w:val="11"/>
        </w:num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6.1 甲乙双方应当按照</w:t>
      </w:r>
      <w:r>
        <w:rPr>
          <w:rFonts w:hint="eastAsia" w:ascii="宋体" w:hAnsi="宋体" w:eastAsia="宋体" w:cs="宋体"/>
          <w:b/>
          <w:bCs/>
          <w:sz w:val="24"/>
          <w:highlight w:val="none"/>
        </w:rPr>
        <w:t>【政府采购合同专用条款】</w:t>
      </w:r>
      <w:r>
        <w:rPr>
          <w:rFonts w:hint="eastAsia" w:ascii="宋体" w:hAnsi="宋体" w:eastAsia="宋体" w:cs="宋体"/>
          <w:color w:val="000000"/>
          <w:sz w:val="24"/>
          <w:highlight w:val="none"/>
        </w:rPr>
        <w:t>约定顺序履行合同义务；如果没有先后顺序的，应当同时履行。</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 货物包装、运输、保险和交付要求</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本合同</w:t>
      </w:r>
      <w:r>
        <w:rPr>
          <w:rFonts w:hint="eastAsia" w:ascii="宋体" w:hAnsi="宋体" w:eastAsia="宋体" w:cs="宋体"/>
          <w:bCs/>
          <w:color w:val="000000"/>
          <w:sz w:val="24"/>
          <w:highlight w:val="none"/>
        </w:rPr>
        <w:t>涉及商品包装、快递包装的，</w:t>
      </w:r>
      <w:r>
        <w:rPr>
          <w:rFonts w:hint="eastAsia" w:ascii="宋体" w:hAnsi="宋体" w:eastAsia="宋体" w:cs="宋体"/>
          <w:color w:val="000000"/>
          <w:sz w:val="24"/>
          <w:highlight w:val="none"/>
        </w:rPr>
        <w:t>除</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另有约定外，</w:t>
      </w:r>
      <w:r>
        <w:rPr>
          <w:rFonts w:hint="eastAsia" w:ascii="宋体" w:hAnsi="宋体" w:eastAsia="宋体" w:cs="宋体"/>
          <w:color w:val="000000"/>
          <w:sz w:val="24"/>
          <w:highlight w:val="none"/>
        </w:rPr>
        <w:t>包装应适应远距离运输、防潮、防震、防锈和防野蛮装卸等要求，确保货物安全无损地运抵</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约定的</w:t>
      </w:r>
      <w:r>
        <w:rPr>
          <w:rFonts w:hint="eastAsia" w:ascii="宋体" w:hAnsi="宋体" w:eastAsia="宋体" w:cs="宋体"/>
          <w:color w:val="000000"/>
          <w:sz w:val="24"/>
          <w:highlight w:val="none"/>
        </w:rPr>
        <w:t>指定现场。</w:t>
      </w:r>
    </w:p>
    <w:p>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7.2 除</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另有约定外，</w:t>
      </w:r>
      <w:r>
        <w:rPr>
          <w:rFonts w:hint="eastAsia" w:ascii="宋体" w:hAnsi="宋体" w:eastAsia="宋体" w:cs="宋体"/>
          <w:color w:val="000000"/>
          <w:sz w:val="24"/>
          <w:highlight w:val="none"/>
        </w:rPr>
        <w:t>乙方负责办理将货物运抵本合同规定的交货地点，并装卸、交付至甲方的一切运输事项，相关费用应包含在合同价款中。</w:t>
      </w:r>
    </w:p>
    <w:p>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货物保险要求按</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规定执行</w:t>
      </w:r>
      <w:r>
        <w:rPr>
          <w:rFonts w:hint="eastAsia" w:ascii="宋体" w:hAnsi="宋体" w:eastAsia="宋体" w:cs="宋体"/>
          <w:color w:val="000000"/>
          <w:sz w:val="24"/>
          <w:highlight w:val="none"/>
        </w:rPr>
        <w:t>。</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7.5 乙方在运输到达之前应提前通知甲方，并提示货物运输装卸的注意事项，甲方配合乙方做好货物的接收工作。</w:t>
      </w:r>
    </w:p>
    <w:p>
      <w:pPr>
        <w:pStyle w:val="99"/>
        <w:spacing w:line="360" w:lineRule="auto"/>
        <w:ind w:firstLine="480"/>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7.6 如因包装、运输问题导致货物损毁、丢失或者品质下降，甲方有权要求降价、换货、拒收部分或整批货物，由此产生的费用和损失，均由乙方承担。</w:t>
      </w:r>
    </w:p>
    <w:p>
      <w:pPr>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color w:val="000000"/>
          <w:sz w:val="24"/>
          <w:highlight w:val="none"/>
        </w:rPr>
        <w:t xml:space="preserve">8. </w:t>
      </w:r>
      <w:r>
        <w:rPr>
          <w:rFonts w:hint="eastAsia" w:ascii="宋体" w:hAnsi="宋体" w:eastAsia="宋体" w:cs="宋体"/>
          <w:b/>
          <w:sz w:val="24"/>
          <w:highlight w:val="none"/>
        </w:rPr>
        <w:t>质量标准和保证</w:t>
      </w:r>
    </w:p>
    <w:p>
      <w:pPr>
        <w:pStyle w:val="30"/>
        <w:adjustRightInd w:val="0"/>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8.1 质量标准</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（1）本合同下提供的货物应符合合同</w:t>
      </w:r>
      <w:r>
        <w:rPr>
          <w:rFonts w:hint="eastAsia" w:ascii="宋体" w:hAnsi="宋体" w:eastAsia="宋体" w:cs="宋体"/>
          <w:color w:val="000000"/>
          <w:sz w:val="24"/>
          <w:highlight w:val="none"/>
        </w:rPr>
        <w:t>约定的</w:t>
      </w:r>
      <w:r>
        <w:rPr>
          <w:rFonts w:hint="eastAsia" w:ascii="宋体" w:hAnsi="宋体" w:eastAsia="宋体" w:cs="宋体"/>
          <w:sz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（2）采用中华人民共和国法定计量单位。</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（3）乙方所提供的货物应符合国家有关安全、环保、卫生的规定。</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8.2 保证</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规定或乙方书面承诺（两者以较长的为准）的质量保证期内，本保证保持有效。</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（2）在质量保证期内所发现的缺陷，甲方应尽快以书面形式通知乙方。</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（3）乙方收到通知后，应在</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规定的响应时间内以合理的速度免费维修或更换有缺陷的货物或部件。</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highlight w:val="none"/>
        </w:rPr>
        <w:t>5</w:t>
      </w:r>
      <w:r>
        <w:rPr>
          <w:rFonts w:hint="eastAsia" w:ascii="宋体" w:hAnsi="宋体" w:eastAsia="宋体" w:cs="宋体"/>
          <w:sz w:val="24"/>
          <w:highlight w:val="none"/>
        </w:rPr>
        <w:t>.1条规定以书面形式</w:t>
      </w:r>
      <w:r>
        <w:rPr>
          <w:rFonts w:hint="eastAsia" w:ascii="宋体" w:hAnsi="宋体" w:eastAsia="宋体" w:cs="宋体"/>
          <w:color w:val="000000"/>
          <w:sz w:val="24"/>
          <w:highlight w:val="none"/>
        </w:rPr>
        <w:t>追究</w:t>
      </w:r>
      <w:r>
        <w:rPr>
          <w:rFonts w:hint="eastAsia" w:ascii="宋体" w:hAnsi="宋体" w:eastAsia="宋体" w:cs="宋体"/>
          <w:sz w:val="24"/>
          <w:highlight w:val="none"/>
        </w:rPr>
        <w:t>乙方</w:t>
      </w:r>
      <w:r>
        <w:rPr>
          <w:rFonts w:hint="eastAsia" w:ascii="宋体" w:hAnsi="宋体" w:eastAsia="宋体" w:cs="宋体"/>
          <w:color w:val="000000"/>
          <w:sz w:val="24"/>
          <w:highlight w:val="none"/>
        </w:rPr>
        <w:t>的违约责任</w:t>
      </w:r>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color w:val="000000"/>
          <w:sz w:val="24"/>
          <w:highlight w:val="none"/>
        </w:rPr>
        <w:t>9</w:t>
      </w:r>
      <w:r>
        <w:rPr>
          <w:rFonts w:hint="eastAsia" w:ascii="宋体" w:hAnsi="宋体" w:eastAsia="宋体" w:cs="宋体"/>
          <w:b/>
          <w:bCs/>
          <w:sz w:val="24"/>
          <w:highlight w:val="none"/>
        </w:rPr>
        <w:t>.</w:t>
      </w:r>
      <w:r>
        <w:rPr>
          <w:rFonts w:hint="eastAsia" w:ascii="宋体" w:hAnsi="宋体" w:eastAsia="宋体" w:cs="宋体"/>
          <w:b/>
          <w:bCs/>
          <w:color w:val="000000"/>
          <w:sz w:val="24"/>
          <w:highlight w:val="none"/>
        </w:rPr>
        <w:t xml:space="preserve"> </w:t>
      </w:r>
      <w:r>
        <w:rPr>
          <w:rFonts w:hint="eastAsia" w:ascii="宋体" w:hAnsi="宋体" w:eastAsia="宋体" w:cs="宋体"/>
          <w:b/>
          <w:bCs/>
          <w:sz w:val="24"/>
          <w:highlight w:val="none"/>
        </w:rPr>
        <w:t>权利瑕疵担保</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9.1 乙方保证对其出售的货物享有合法的权利。</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9.2 </w:t>
      </w:r>
      <w:r>
        <w:rPr>
          <w:rFonts w:hint="eastAsia" w:ascii="宋体" w:hAnsi="宋体" w:eastAsia="宋体" w:cs="宋体"/>
          <w:sz w:val="24"/>
          <w:highlight w:val="none"/>
        </w:rPr>
        <w:t>乙方保证在交付的货物上不存在抵押权等担保物权。</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9.3 如甲方使用上述货物构成对第三人侵权的，则由乙方承担全部责任。</w:t>
      </w:r>
    </w:p>
    <w:p>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 知识产权保护</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sz w:val="24"/>
          <w:highlight w:val="none"/>
        </w:rPr>
        <w:t>10.1 乙方对其所销售的货物应当享有知识产权或经权利人合法授权，保证没有侵犯任</w:t>
      </w:r>
      <w:r>
        <w:rPr>
          <w:rFonts w:hint="eastAsia" w:ascii="宋体" w:hAnsi="宋体" w:eastAsia="宋体" w:cs="宋体"/>
          <w:sz w:val="24"/>
          <w:highlight w:val="none"/>
        </w:rPr>
        <w:t>何第三人的知识产权等权利。</w:t>
      </w:r>
      <w:bookmarkStart w:id="62" w:name="_Hlk163047038"/>
      <w:r>
        <w:rPr>
          <w:rFonts w:hint="eastAsia" w:ascii="宋体" w:hAnsi="宋体" w:eastAsia="宋体" w:cs="宋体"/>
          <w:sz w:val="24"/>
          <w:highlight w:val="none"/>
        </w:rPr>
        <w:t>因违反前述约定对第三人构成侵权的，应当由乙方向第三人承担法律责任；甲方依法向第三人赔偿后，有权向乙方追偿。甲方有其他损失的，乙方应当赔偿</w:t>
      </w:r>
      <w:bookmarkEnd w:id="62"/>
      <w:r>
        <w:rPr>
          <w:rFonts w:hint="eastAsia" w:ascii="宋体" w:hAnsi="宋体" w:eastAsia="宋体" w:cs="宋体"/>
          <w:sz w:val="24"/>
          <w:highlight w:val="none"/>
        </w:rPr>
        <w:t>。</w:t>
      </w:r>
    </w:p>
    <w:p>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11. 保密义务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中约定。</w:t>
      </w:r>
    </w:p>
    <w:p>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12. 合同价款支付</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12.1 合同价款支付按照国库集中支付制度及财政管理相关规定执行。</w:t>
      </w:r>
    </w:p>
    <w:p>
      <w:pPr>
        <w:pStyle w:val="3"/>
        <w:spacing w:before="0"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p>
    <w:p>
      <w:pPr>
        <w:pStyle w:val="22"/>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13. 履约保证金</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13.1 </w:t>
      </w:r>
      <w:bookmarkStart w:id="63" w:name="OLE_LINK8"/>
      <w:r>
        <w:rPr>
          <w:rFonts w:hint="eastAsia" w:ascii="宋体" w:hAnsi="宋体" w:eastAsia="宋体" w:cs="宋体"/>
          <w:sz w:val="24"/>
          <w:highlight w:val="none"/>
        </w:rPr>
        <w:t>乙方应当以支票、汇票、本票或者金融机构、担保机构出具的保函等非现金形式提交</w:t>
      </w:r>
      <w:bookmarkEnd w:id="63"/>
      <w:r>
        <w:rPr>
          <w:rFonts w:hint="eastAsia" w:ascii="宋体" w:hAnsi="宋体" w:eastAsia="宋体" w:cs="宋体"/>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13.2 如果乙方出现</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13.3 甲方在项目通过验收后按照</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规定的时间内将履约保证金退还乙方；逾期退还的，乙方可要求甲方支付违约金，违约金按照</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规定支付。</w:t>
      </w:r>
    </w:p>
    <w:p>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bCs/>
          <w:sz w:val="24"/>
          <w:highlight w:val="none"/>
        </w:rPr>
        <w:t xml:space="preserve">14. </w:t>
      </w:r>
      <w:r>
        <w:rPr>
          <w:rFonts w:hint="eastAsia" w:ascii="宋体" w:hAnsi="宋体" w:eastAsia="宋体" w:cs="宋体"/>
          <w:b/>
          <w:sz w:val="24"/>
          <w:highlight w:val="none"/>
        </w:rPr>
        <w:t>售后服务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14.1 除项目不涉及或采购活动中明确约定无须承担外，乙方还应提供下列服务：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（1）货物的现场移动、安装、调试、启动监督及技术支持；</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（2）提供货物组装和维修所需的专用工具和辅助材料；</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（4）在制造商所在地或指定现场就货物的安装、启动、运营、维护、废弃处置等对甲方操作人员进行培训；</w:t>
      </w:r>
    </w:p>
    <w:p>
      <w:pPr>
        <w:pStyle w:val="9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规定由乙方提供的其他服务。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14.2 乙方提供的售后服务的费用已包含在合同价款中，甲方不再另行支付。</w:t>
      </w:r>
    </w:p>
    <w:p>
      <w:p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15. 违约责任</w:t>
      </w:r>
    </w:p>
    <w:p>
      <w:pPr>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15.1质量瑕疵的违约责任</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乙方提供的产品不符合合同约定的质量标准或存在产品质量缺陷，甲方有权要求乙方根据</w:t>
      </w:r>
      <w:r>
        <w:rPr>
          <w:rFonts w:hint="eastAsia" w:ascii="宋体" w:hAnsi="宋体" w:eastAsia="宋体" w:cs="宋体"/>
          <w:b/>
          <w:sz w:val="24"/>
          <w:highlight w:val="none"/>
        </w:rPr>
        <w:t>【政府采购合同专用条款】</w:t>
      </w:r>
      <w:r>
        <w:rPr>
          <w:rFonts w:hint="eastAsia" w:ascii="宋体" w:hAnsi="宋体" w:eastAsia="宋体" w:cs="宋体"/>
          <w:bCs/>
          <w:sz w:val="24"/>
          <w:highlight w:val="none"/>
        </w:rPr>
        <w:t>要求</w:t>
      </w:r>
      <w:r>
        <w:rPr>
          <w:rFonts w:hint="eastAsia" w:ascii="宋体" w:hAnsi="宋体" w:eastAsia="宋体" w:cs="宋体"/>
          <w:sz w:val="24"/>
          <w:highlight w:val="none"/>
        </w:rPr>
        <w:t>及时修理、重作、更换，并承担由此给甲方造成的损失。</w:t>
      </w:r>
    </w:p>
    <w:p>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15.2 迟延交货的违约责任</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规定执行。如果涉及公共利益，且赔偿金额无法弥补公共利益损失，甲方可要求继续履行或者采取其他补救措施。</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15.3 迟延支付的违约责任</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甲方存在迟延支付乙方合同款项的，应当承担</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规定的逾期付款利息。</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15.4其他违约责任根据项目实际需要按</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规定执行。</w:t>
      </w:r>
    </w:p>
    <w:p>
      <w:pPr>
        <w:numPr>
          <w:ilvl w:val="0"/>
          <w:numId w:val="12"/>
        </w:num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合同变更、中止与终止</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    16.1合同的变更</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16.2合同的中止</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（1）合同履行过程中因</w:t>
      </w:r>
      <w:r>
        <w:rPr>
          <w:rFonts w:hint="eastAsia" w:ascii="宋体" w:hAnsi="宋体" w:cs="宋体"/>
          <w:sz w:val="24"/>
          <w:highlight w:val="none"/>
          <w:lang w:eastAsia="zh-CN"/>
        </w:rPr>
        <w:t>投标人</w:t>
      </w:r>
      <w:r>
        <w:rPr>
          <w:rFonts w:hint="eastAsia" w:ascii="宋体" w:hAnsi="宋体" w:eastAsia="宋体" w:cs="宋体"/>
          <w:sz w:val="24"/>
          <w:highlight w:val="none"/>
        </w:rPr>
        <w:t>就采购文件、采购过程或结果提起投诉的，甲方认为有必要的，可以中止合同的履行。</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（4）甲方不得以行政区划调整、政府换届、机构或者职能调整以及相关责任人更替为由中止合同。</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16.3合同的终止</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（1）合同因有效期限届满而终止；</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（2）乙方未按合同约定履行，构成根本性违约的，甲方有权终止合同，并追究乙方的违约责任。</w:t>
      </w:r>
    </w:p>
    <w:p>
      <w:pPr>
        <w:pStyle w:val="9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17. 合同分包</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17.1 乙方不得将合同转包给其他</w:t>
      </w:r>
      <w:r>
        <w:rPr>
          <w:rFonts w:hint="eastAsia" w:ascii="宋体" w:hAnsi="宋体" w:cs="宋体"/>
          <w:sz w:val="24"/>
          <w:highlight w:val="none"/>
          <w:lang w:eastAsia="zh-CN"/>
        </w:rPr>
        <w:t>投标人</w:t>
      </w:r>
      <w:r>
        <w:rPr>
          <w:rFonts w:hint="eastAsia" w:ascii="宋体" w:hAnsi="宋体" w:eastAsia="宋体" w:cs="宋体"/>
          <w:sz w:val="24"/>
          <w:highlight w:val="none"/>
        </w:rPr>
        <w:t>。涉及合同分包的，乙方应根据采购文件和投标（响应）文件规定进行合同分包。</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18. 不可抗力</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18.1 不可抗力是指合同双方不能预见、不能避免且不能克服的客观情况。</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19. 解决争议的方法</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pPr>
        <w:autoSpaceDE w:val="0"/>
        <w:autoSpaceDN w:val="0"/>
        <w:adjustRightInd w:val="0"/>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rPr>
        <w:t>20. 政府采购政策</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20.1 </w:t>
      </w:r>
      <w:r>
        <w:rPr>
          <w:rFonts w:hint="eastAsia" w:ascii="宋体" w:hAnsi="宋体" w:eastAsia="宋体" w:cs="宋体"/>
          <w:sz w:val="24"/>
          <w:highlight w:val="none"/>
          <w:lang w:val="en-GB"/>
        </w:rPr>
        <w:t>本合同应当按照规定执行政府采购政策。</w:t>
      </w:r>
    </w:p>
    <w:p>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20.2 本合同依法执行政府采购政策的方式和内容，属于合同履约验收的范围。甲乙双方</w:t>
      </w:r>
      <w:r>
        <w:rPr>
          <w:rFonts w:hint="eastAsia" w:ascii="宋体" w:hAnsi="宋体" w:eastAsia="宋体" w:cs="宋体"/>
          <w:sz w:val="24"/>
          <w:highlight w:val="none"/>
          <w:lang w:val="en-GB"/>
        </w:rPr>
        <w:t>未按规定要求执行政府采购政策造成损失的</w:t>
      </w:r>
      <w:r>
        <w:rPr>
          <w:rFonts w:hint="eastAsia" w:ascii="宋体" w:hAnsi="宋体" w:eastAsia="宋体" w:cs="宋体"/>
          <w:sz w:val="24"/>
          <w:highlight w:val="none"/>
        </w:rPr>
        <w:t>，有过错的一方应当承担赔偿责任，双方都有过错的，各自承担相应的责任。</w:t>
      </w:r>
    </w:p>
    <w:p>
      <w:pPr>
        <w:pStyle w:val="22"/>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21. 法律适用</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22. 通知</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pPr>
        <w:pStyle w:val="99"/>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22.3本合同一方给另一方的通知均应采用书面形式，传真或快递送到本合同中规定的对方的地址和办理签收手续。</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22.4通知以送达之日或通知书中规定的生效之日起生效，两者中以较迟之日为准。</w:t>
      </w:r>
    </w:p>
    <w:p>
      <w:pPr>
        <w:numPr>
          <w:ilvl w:val="0"/>
          <w:numId w:val="13"/>
        </w:num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合同未尽事项</w:t>
      </w:r>
    </w:p>
    <w:p>
      <w:pPr>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23.1合同未尽事项见</w:t>
      </w:r>
      <w:r>
        <w:rPr>
          <w:rFonts w:hint="eastAsia" w:ascii="宋体" w:hAnsi="宋体" w:eastAsia="宋体" w:cs="宋体"/>
          <w:b/>
          <w:sz w:val="24"/>
          <w:highlight w:val="none"/>
        </w:rPr>
        <w:t>【政府采购合同专用条款】</w:t>
      </w:r>
      <w:r>
        <w:rPr>
          <w:rFonts w:hint="eastAsia" w:ascii="宋体" w:hAnsi="宋体" w:eastAsia="宋体" w:cs="宋体"/>
          <w:bCs/>
          <w:sz w:val="24"/>
          <w:highlight w:val="none"/>
        </w:rPr>
        <w:t>。</w:t>
      </w:r>
    </w:p>
    <w:p>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 xml:space="preserve">    23.2 合同附件与合同正文具有同等的法律效力。</w:t>
      </w:r>
      <w:bookmarkStart w:id="64" w:name="_Toc20313"/>
    </w:p>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第三节 政府采购合同专用条款</w:t>
      </w:r>
      <w:bookmarkEnd w:id="64"/>
    </w:p>
    <w:tbl>
      <w:tblPr>
        <w:tblStyle w:val="5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第1.2（6）项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联合体具体要求</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第1.2（7）项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其他术语解释</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第4.4款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履约验收中甲方提出异议或作出说明的期限</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乙方提出书面申请之日起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第4.6款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约定甲方承担的其他义务和责任</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snapToGrid w:val="0"/>
              <w:jc w:val="center"/>
              <w:rPr>
                <w:rFonts w:hint="eastAsia" w:ascii="宋体" w:hAnsi="宋体" w:eastAsia="宋体" w:cs="宋体"/>
                <w:highlight w:val="none"/>
              </w:rPr>
            </w:pPr>
            <w:r>
              <w:rPr>
                <w:rFonts w:hint="eastAsia" w:ascii="宋体" w:hAnsi="宋体" w:eastAsia="宋体" w:cs="宋体"/>
                <w:szCs w:val="21"/>
                <w:highlight w:val="none"/>
              </w:rPr>
              <w:t>第5.4款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约定乙方承担的其他义务和责任</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除通用部分外，合同协议书中风险处置措施和替代方案规定的乙方应承担的义务和责任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第6.1款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履行合同义务的顺序</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第7.1款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包装特殊要求</w:t>
            </w:r>
          </w:p>
        </w:tc>
        <w:tc>
          <w:tcPr>
            <w:tcW w:w="5170" w:type="dxa"/>
            <w:vAlign w:val="center"/>
          </w:tcPr>
          <w:p>
            <w:pPr>
              <w:rPr>
                <w:rFonts w:hint="eastAsia" w:ascii="宋体" w:hAnsi="宋体" w:eastAsia="宋体" w:cs="宋体"/>
                <w:highlight w:val="none"/>
              </w:rPr>
            </w:pPr>
            <w:r>
              <w:rPr>
                <w:rFonts w:hint="eastAsia" w:ascii="宋体" w:hAnsi="宋体" w:eastAsia="宋体" w:cs="宋体"/>
                <w:highlight w:val="none"/>
              </w:rPr>
              <w:t>货物包装应符合财办库〔2020〕123号《财政部办公厅生态环境部办公厅国家邮政局办公室关于印发〈商品包装政府采购需求标准（试行）〉、〈快递包装政府采购需求标准（试行）〉的通知》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pPr>
              <w:adjustRightInd w:val="0"/>
              <w:snapToGrid w:val="0"/>
              <w:jc w:val="center"/>
              <w:rPr>
                <w:rFonts w:hint="eastAsia" w:ascii="宋体" w:hAnsi="宋体" w:eastAsia="宋体" w:cs="宋体"/>
                <w:szCs w:val="21"/>
                <w:highlight w:val="none"/>
              </w:rPr>
            </w:pP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指定现场</w:t>
            </w:r>
          </w:p>
        </w:tc>
        <w:tc>
          <w:tcPr>
            <w:tcW w:w="5170" w:type="dxa"/>
            <w:vAlign w:val="center"/>
          </w:tcPr>
          <w:p>
            <w:pPr>
              <w:rPr>
                <w:rFonts w:hint="eastAsia" w:ascii="宋体" w:hAnsi="宋体" w:eastAsia="宋体" w:cs="宋体"/>
                <w:highlight w:val="none"/>
              </w:rPr>
            </w:pPr>
            <w:r>
              <w:rPr>
                <w:rFonts w:hint="eastAsia" w:ascii="宋体" w:hAnsi="宋体" w:eastAsia="宋体" w:cs="宋体"/>
                <w:highlight w:val="none"/>
              </w:rPr>
              <w:t>每批次货物发出前，采购人根据货物批次和安装地点指定货物交货地点。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第7.2款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运输特殊要求</w:t>
            </w:r>
          </w:p>
        </w:tc>
        <w:tc>
          <w:tcPr>
            <w:tcW w:w="5170" w:type="dxa"/>
            <w:vAlign w:val="center"/>
          </w:tcPr>
          <w:p>
            <w:pPr>
              <w:rPr>
                <w:rFonts w:hint="eastAsia" w:ascii="宋体" w:hAnsi="宋体" w:eastAsia="宋体" w:cs="宋体"/>
                <w:highlight w:val="none"/>
              </w:rPr>
            </w:pPr>
            <w:r>
              <w:rPr>
                <w:rFonts w:hint="eastAsia" w:ascii="宋体" w:hAnsi="宋体" w:eastAsia="宋体" w:cs="宋体"/>
                <w:highlight w:val="none"/>
              </w:rPr>
              <w:t xml:space="preserve">非供方原因造成设备损坏或丢失，应由供方负责尽 </w:t>
            </w:r>
          </w:p>
          <w:p>
            <w:pPr>
              <w:rPr>
                <w:rFonts w:hint="eastAsia" w:ascii="宋体" w:hAnsi="宋体" w:eastAsia="宋体" w:cs="宋体"/>
                <w:highlight w:val="none"/>
              </w:rPr>
            </w:pPr>
            <w:r>
              <w:rPr>
                <w:rFonts w:hint="eastAsia" w:ascii="宋体" w:hAnsi="宋体" w:eastAsia="宋体" w:cs="宋体"/>
                <w:highlight w:val="none"/>
              </w:rPr>
              <w:t>快修理、更换或补供货物，以满足工期需要，所发生的费用（损失），由供方向承运部门及保险公司交涉索赔，需方积极协助。乙方负责办理将货物运抵本合同规定的交货地点，并装卸、交付至甲方的一切运输事项，相关费用应包含在合同价款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第7.3款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保险要求</w:t>
            </w:r>
          </w:p>
        </w:tc>
        <w:tc>
          <w:tcPr>
            <w:tcW w:w="5170" w:type="dxa"/>
            <w:vAlign w:val="center"/>
          </w:tcPr>
          <w:p>
            <w:pPr>
              <w:rPr>
                <w:rFonts w:hint="eastAsia" w:ascii="宋体" w:hAnsi="宋体" w:eastAsia="宋体" w:cs="宋体"/>
                <w:highlight w:val="none"/>
              </w:rPr>
            </w:pPr>
            <w:r>
              <w:rPr>
                <w:rFonts w:hint="eastAsia" w:ascii="宋体" w:hAnsi="宋体" w:eastAsia="宋体" w:cs="宋体"/>
                <w:highlight w:val="none"/>
              </w:rPr>
              <w:t>乙方承担货物运输至现场，并装卸、交付至甲方的一切运输事项，乙方自行决定是否办理某一批次货物运输险，货物在运输途中因意外事故造成的损失，乙方在索赔期间，应另行协调调运合格的货物至项目现场。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第8.2（1）项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vAlign w:val="center"/>
          </w:tcPr>
          <w:p>
            <w:pPr>
              <w:autoSpaceDE w:val="0"/>
              <w:autoSpaceDN w:val="0"/>
              <w:adjustRightInd w:val="0"/>
              <w:snapToGrid w:val="0"/>
              <w:jc w:val="left"/>
              <w:rPr>
                <w:rFonts w:hint="eastAsia" w:ascii="宋体" w:hAnsi="宋体" w:eastAsia="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第8.2（3）项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货物质量缺陷</w:t>
            </w:r>
          </w:p>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vAlign w:val="center"/>
          </w:tcPr>
          <w:p>
            <w:pPr>
              <w:adjustRightInd w:val="0"/>
              <w:snapToGrid w:val="0"/>
              <w:jc w:val="left"/>
              <w:rPr>
                <w:rFonts w:hint="eastAsia" w:ascii="宋体" w:hAnsi="宋体" w:eastAsia="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pStyle w:val="99"/>
              <w:spacing w:line="240"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第11.1款</w:t>
            </w:r>
          </w:p>
        </w:tc>
        <w:tc>
          <w:tcPr>
            <w:tcW w:w="1742" w:type="dxa"/>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其他应当保密的信息</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第12.2款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合同价款支付时间</w:t>
            </w:r>
          </w:p>
        </w:tc>
        <w:tc>
          <w:tcPr>
            <w:tcW w:w="5170" w:type="dxa"/>
            <w:vAlign w:val="center"/>
          </w:tcPr>
          <w:p>
            <w:pPr>
              <w:adjustRightInd w:val="0"/>
              <w:snapToGrid w:val="0"/>
              <w:jc w:val="left"/>
              <w:rPr>
                <w:rFonts w:hint="eastAsia" w:ascii="宋体" w:hAnsi="宋体" w:eastAsia="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第13.2款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履约保证金不予退还的情形</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第13.3款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履约保证金退还时间及逾期退还的违约金</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第14.1（3）项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运行监督、维修期限</w:t>
            </w:r>
          </w:p>
        </w:tc>
        <w:tc>
          <w:tcPr>
            <w:tcW w:w="5170" w:type="dxa"/>
            <w:vAlign w:val="center"/>
          </w:tcPr>
          <w:p>
            <w:pPr>
              <w:adjustRightInd w:val="0"/>
              <w:snapToGrid w:val="0"/>
              <w:jc w:val="left"/>
              <w:rPr>
                <w:rFonts w:hint="eastAsia" w:ascii="宋体" w:hAnsi="宋体" w:eastAsia="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第14.1（5）项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货物回收的约定</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第14.1（6）项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第15.1款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修理、重作、更换相关具体规定</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乙方须7日内自费负责整改，直至完全符合要求，并承担由此给甲方造成的全部损失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第15.2（2）项</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vAlign w:val="center"/>
          </w:tcPr>
          <w:p>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最高为合同价格</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第15.3款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vAlign w:val="center"/>
          </w:tcPr>
          <w:p>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同期人民银行公布的贷款利息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jc w:val="left"/>
              <w:rPr>
                <w:rFonts w:hint="eastAsia" w:ascii="宋体" w:hAnsi="宋体" w:eastAsia="宋体" w:cs="宋体"/>
                <w:iCs/>
                <w:szCs w:val="21"/>
                <w:highlight w:val="none"/>
              </w:rPr>
            </w:pPr>
            <w:r>
              <w:rPr>
                <w:rFonts w:hint="eastAsia" w:ascii="宋体" w:hAnsi="宋体" w:eastAsia="宋体" w:cs="宋体"/>
                <w:iCs/>
                <w:szCs w:val="21"/>
                <w:highlight w:val="none"/>
              </w:rPr>
              <w:t>因本合同及合同有关事项发生的争议，按下列第</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种方式解决：</w:t>
            </w:r>
          </w:p>
          <w:p>
            <w:pPr>
              <w:autoSpaceDE w:val="0"/>
              <w:autoSpaceDN w:val="0"/>
              <w:adjustRightInd w:val="0"/>
              <w:snapToGrid w:val="0"/>
              <w:jc w:val="left"/>
              <w:rPr>
                <w:rFonts w:hint="eastAsia" w:ascii="宋体" w:hAnsi="宋体" w:eastAsia="宋体" w:cs="宋体"/>
                <w:iCs/>
                <w:szCs w:val="21"/>
                <w:highlight w:val="none"/>
              </w:rPr>
            </w:pPr>
            <w:r>
              <w:rPr>
                <w:rFonts w:hint="eastAsia" w:ascii="宋体" w:hAnsi="宋体" w:eastAsia="宋体" w:cs="宋体"/>
                <w:iCs/>
                <w:szCs w:val="21"/>
                <w:highlight w:val="none"/>
              </w:rPr>
              <w:t>（1）向</w:t>
            </w:r>
            <w:r>
              <w:rPr>
                <w:rFonts w:hint="eastAsia" w:ascii="宋体" w:hAnsi="宋体" w:eastAsia="宋体" w:cs="宋体"/>
                <w:iCs/>
                <w:szCs w:val="21"/>
                <w:highlight w:val="none"/>
                <w:u w:val="single"/>
              </w:rPr>
              <w:t xml:space="preserve"> 项目所在地  </w:t>
            </w:r>
            <w:r>
              <w:rPr>
                <w:rFonts w:hint="eastAsia" w:ascii="宋体" w:hAnsi="宋体" w:eastAsia="宋体" w:cs="宋体"/>
                <w:iCs/>
                <w:szCs w:val="21"/>
                <w:highlight w:val="none"/>
              </w:rPr>
              <w:t>仲裁委员会申请仲裁，仲裁地点为</w:t>
            </w:r>
            <w:r>
              <w:rPr>
                <w:rFonts w:hint="eastAsia" w:ascii="宋体" w:hAnsi="宋体" w:eastAsia="宋体" w:cs="宋体"/>
                <w:iCs/>
                <w:szCs w:val="21"/>
                <w:highlight w:val="none"/>
                <w:u w:val="single"/>
              </w:rPr>
              <w:t xml:space="preserve"> 项目所在地  </w:t>
            </w:r>
            <w:r>
              <w:rPr>
                <w:rFonts w:hint="eastAsia" w:ascii="宋体" w:hAnsi="宋体" w:eastAsia="宋体" w:cs="宋体"/>
                <w:iCs/>
                <w:szCs w:val="21"/>
                <w:highlight w:val="none"/>
              </w:rPr>
              <w:t>；</w:t>
            </w:r>
          </w:p>
          <w:p>
            <w:pPr>
              <w:adjustRightInd w:val="0"/>
              <w:snapToGrid w:val="0"/>
              <w:jc w:val="left"/>
              <w:rPr>
                <w:rFonts w:hint="eastAsia" w:ascii="宋体" w:hAnsi="宋体" w:eastAsia="宋体" w:cs="宋体"/>
                <w:szCs w:val="21"/>
                <w:highlight w:val="none"/>
                <w:u w:val="single"/>
              </w:rPr>
            </w:pPr>
            <w:r>
              <w:rPr>
                <w:rFonts w:hint="eastAsia" w:ascii="宋体" w:hAnsi="宋体" w:eastAsia="宋体" w:cs="宋体"/>
                <w:iCs/>
                <w:szCs w:val="21"/>
                <w:highlight w:val="none"/>
              </w:rPr>
              <w:t>（2）向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第23.1款</w:t>
            </w:r>
          </w:p>
        </w:tc>
        <w:tc>
          <w:tcPr>
            <w:tcW w:w="1742"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bCs/>
                <w:szCs w:val="21"/>
                <w:highlight w:val="none"/>
              </w:rPr>
              <w:t>其他专用条款</w:t>
            </w:r>
          </w:p>
        </w:tc>
        <w:tc>
          <w:tcPr>
            <w:tcW w:w="5170" w:type="dxa"/>
            <w:vAlign w:val="center"/>
          </w:tcPr>
          <w:p>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bl>
    <w:p>
      <w:pPr>
        <w:adjustRightInd w:val="0"/>
        <w:snapToGrid w:val="0"/>
        <w:spacing w:line="360" w:lineRule="auto"/>
        <w:rPr>
          <w:rFonts w:hint="eastAsia" w:ascii="宋体" w:hAnsi="宋体" w:eastAsia="宋体" w:cs="宋体"/>
          <w:color w:val="000000"/>
          <w:szCs w:val="21"/>
          <w:highlight w:val="none"/>
        </w:rPr>
      </w:pPr>
    </w:p>
    <w:p>
      <w:pPr>
        <w:spacing w:line="360" w:lineRule="auto"/>
        <w:jc w:val="left"/>
        <w:rPr>
          <w:rFonts w:hint="eastAsia" w:ascii="宋体" w:hAnsi="宋体" w:eastAsia="宋体" w:cs="宋体"/>
          <w:bCs/>
          <w:sz w:val="24"/>
          <w:highlight w:val="none"/>
        </w:rPr>
      </w:pPr>
    </w:p>
    <w:p>
      <w:pPr>
        <w:rPr>
          <w:rFonts w:hint="eastAsia" w:ascii="宋体" w:hAnsi="宋体" w:eastAsia="宋体" w:cs="宋体"/>
          <w:sz w:val="44"/>
          <w:szCs w:val="44"/>
          <w:highlight w:val="none"/>
        </w:rPr>
      </w:pPr>
    </w:p>
    <w:p>
      <w:pPr>
        <w:spacing w:line="360" w:lineRule="auto"/>
        <w:rPr>
          <w:rFonts w:hint="eastAsia" w:ascii="宋体" w:hAnsi="宋体" w:eastAsia="宋体" w:cs="宋体"/>
          <w:sz w:val="24"/>
          <w:highlight w:val="none"/>
        </w:rPr>
      </w:pPr>
    </w:p>
    <w:p>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 xml:space="preserve">第七部分  </w:t>
      </w:r>
      <w:bookmarkStart w:id="65" w:name="_Toc86202632"/>
      <w:r>
        <w:rPr>
          <w:rFonts w:hint="eastAsia" w:ascii="宋体" w:hAnsi="宋体" w:eastAsia="宋体" w:cs="宋体"/>
          <w:b/>
          <w:kern w:val="0"/>
          <w:sz w:val="36"/>
          <w:szCs w:val="36"/>
          <w:highlight w:val="none"/>
        </w:rPr>
        <w:t>投标文件格式</w:t>
      </w:r>
      <w:bookmarkEnd w:id="58"/>
      <w:bookmarkEnd w:id="65"/>
    </w:p>
    <w:p>
      <w:pPr>
        <w:widowControl/>
        <w:snapToGrid w:val="0"/>
        <w:spacing w:line="360" w:lineRule="auto"/>
        <w:jc w:val="left"/>
        <w:rPr>
          <w:rFonts w:hint="eastAsia" w:ascii="宋体" w:hAnsi="宋体" w:eastAsia="宋体" w:cs="宋体"/>
          <w:kern w:val="0"/>
          <w:sz w:val="28"/>
          <w:highlight w:val="none"/>
        </w:rPr>
      </w:pPr>
    </w:p>
    <w:p>
      <w:pPr>
        <w:widowControl/>
        <w:tabs>
          <w:tab w:val="left" w:pos="-737"/>
        </w:tabs>
        <w:snapToGrid w:val="0"/>
        <w:spacing w:line="360" w:lineRule="auto"/>
        <w:ind w:firstLine="180"/>
        <w:jc w:val="left"/>
        <w:rPr>
          <w:rFonts w:hint="eastAsia" w:ascii="宋体" w:hAnsi="宋体" w:eastAsia="宋体" w:cs="宋体"/>
          <w:kern w:val="0"/>
          <w:sz w:val="28"/>
          <w:szCs w:val="36"/>
          <w:highlight w:val="none"/>
        </w:rPr>
      </w:pPr>
      <w:bookmarkStart w:id="66" w:name="_Toc175644062"/>
      <w:bookmarkStart w:id="67" w:name="_Toc86202633"/>
      <w:r>
        <w:rPr>
          <w:rFonts w:hint="eastAsia" w:ascii="宋体" w:hAnsi="宋体" w:eastAsia="宋体" w:cs="宋体"/>
          <w:b/>
          <w:kern w:val="0"/>
          <w:sz w:val="28"/>
          <w:szCs w:val="36"/>
          <w:highlight w:val="none"/>
        </w:rPr>
        <w:t>一、</w:t>
      </w:r>
      <w:r>
        <w:rPr>
          <w:rFonts w:hint="eastAsia" w:ascii="宋体" w:hAnsi="宋体" w:eastAsia="宋体" w:cs="宋体"/>
          <w:b/>
          <w:kern w:val="0"/>
          <w:sz w:val="28"/>
          <w:szCs w:val="14"/>
          <w:highlight w:val="none"/>
        </w:rPr>
        <w:t> </w:t>
      </w:r>
      <w:r>
        <w:rPr>
          <w:rFonts w:hint="eastAsia" w:ascii="宋体" w:hAnsi="宋体" w:eastAsia="宋体" w:cs="宋体"/>
          <w:b/>
          <w:kern w:val="0"/>
          <w:sz w:val="28"/>
          <w:szCs w:val="28"/>
          <w:highlight w:val="none"/>
        </w:rPr>
        <w:t>投标人提交投标文件须知</w:t>
      </w:r>
      <w:bookmarkEnd w:id="66"/>
      <w:bookmarkEnd w:id="67"/>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1. 投标人应严格按照以下顺序填写和提交下述规定的全部格式文件以及其他有关资料，混乱的编排导致投标文件被误读或查找不到，后果由投标人承担。</w:t>
      </w:r>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2. 所附表格中要求回答的全部问题和信息都必须正面回答。</w:t>
      </w:r>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3. 资格声明的签字人应保证全部声明和问题的回答是真实的和准确的。</w:t>
      </w:r>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4. 评标委员会将应用投标人提交的资料并根据自己的判断，决定投标人履行合同的合格性及能力。</w:t>
      </w:r>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5. 投标人提交的材料将被妥善保存，但不退还。</w:t>
      </w:r>
    </w:p>
    <w:p>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6. 全部文件应按投标人须知中规定的语言和份数提交。</w:t>
      </w:r>
    </w:p>
    <w:p>
      <w:pPr>
        <w:widowControl/>
        <w:tabs>
          <w:tab w:val="left" w:pos="4000"/>
        </w:tabs>
        <w:snapToGrid w:val="0"/>
        <w:spacing w:line="360" w:lineRule="auto"/>
        <w:jc w:val="left"/>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r>
        <w:rPr>
          <w:rFonts w:hint="eastAsia" w:ascii="宋体" w:hAnsi="宋体" w:eastAsia="宋体" w:cs="宋体"/>
          <w:kern w:val="0"/>
          <w:sz w:val="28"/>
          <w:highlight w:val="none"/>
        </w:rPr>
        <w:t>投标文件封面格式</w:t>
      </w:r>
    </w:p>
    <w:p>
      <w:pPr>
        <w:widowControl/>
        <w:snapToGrid w:val="0"/>
        <w:spacing w:line="360" w:lineRule="auto"/>
        <w:jc w:val="right"/>
        <w:rPr>
          <w:rFonts w:hint="eastAsia" w:ascii="宋体" w:hAnsi="宋体" w:eastAsia="宋体" w:cs="宋体"/>
          <w:kern w:val="0"/>
          <w:sz w:val="28"/>
          <w:szCs w:val="32"/>
          <w:highlight w:val="none"/>
        </w:rPr>
      </w:pPr>
    </w:p>
    <w:p>
      <w:pPr>
        <w:widowControl/>
        <w:snapToGrid w:val="0"/>
        <w:spacing w:line="360" w:lineRule="auto"/>
        <w:jc w:val="right"/>
        <w:rPr>
          <w:rFonts w:hint="eastAsia" w:ascii="宋体" w:hAnsi="宋体" w:eastAsia="宋体" w:cs="宋体"/>
          <w:kern w:val="0"/>
          <w:sz w:val="28"/>
          <w:szCs w:val="32"/>
          <w:highlight w:val="none"/>
        </w:rPr>
      </w:pPr>
      <w:r>
        <w:rPr>
          <w:rFonts w:hint="eastAsia" w:ascii="宋体" w:hAnsi="宋体" w:eastAsia="宋体" w:cs="宋体"/>
          <w:kern w:val="0"/>
          <w:sz w:val="28"/>
          <w:szCs w:val="32"/>
          <w:highlight w:val="none"/>
        </w:rPr>
        <w:t>（正</w:t>
      </w:r>
      <w:r>
        <w:rPr>
          <w:rFonts w:hint="eastAsia" w:ascii="宋体" w:hAnsi="宋体" w:eastAsia="宋体" w:cs="宋体"/>
          <w:kern w:val="0"/>
          <w:sz w:val="28"/>
          <w:szCs w:val="36"/>
          <w:highlight w:val="none"/>
        </w:rPr>
        <w:t>/</w:t>
      </w:r>
      <w:r>
        <w:rPr>
          <w:rFonts w:hint="eastAsia" w:ascii="宋体" w:hAnsi="宋体" w:eastAsia="宋体" w:cs="宋体"/>
          <w:kern w:val="0"/>
          <w:sz w:val="28"/>
          <w:szCs w:val="32"/>
          <w:highlight w:val="none"/>
        </w:rPr>
        <w:t>副）本</w:t>
      </w:r>
    </w:p>
    <w:p>
      <w:pPr>
        <w:widowControl/>
        <w:snapToGrid w:val="0"/>
        <w:spacing w:line="360" w:lineRule="auto"/>
        <w:jc w:val="right"/>
        <w:rPr>
          <w:rFonts w:hint="eastAsia" w:ascii="宋体" w:hAnsi="宋体" w:eastAsia="宋体" w:cs="宋体"/>
          <w:kern w:val="0"/>
          <w:sz w:val="28"/>
          <w:szCs w:val="32"/>
          <w:highlight w:val="none"/>
        </w:rPr>
      </w:pPr>
    </w:p>
    <w:p>
      <w:pPr>
        <w:widowControl/>
        <w:snapToGrid w:val="0"/>
        <w:spacing w:line="360" w:lineRule="auto"/>
        <w:jc w:val="center"/>
        <w:rPr>
          <w:rFonts w:hint="eastAsia" w:ascii="宋体" w:hAnsi="宋体" w:eastAsia="宋体" w:cs="宋体"/>
          <w:b/>
          <w:kern w:val="0"/>
          <w:sz w:val="72"/>
          <w:szCs w:val="72"/>
          <w:highlight w:val="none"/>
        </w:rPr>
      </w:pPr>
      <w:r>
        <w:rPr>
          <w:rFonts w:hint="eastAsia" w:ascii="宋体" w:hAnsi="宋体" w:eastAsia="宋体" w:cs="宋体"/>
          <w:b/>
          <w:kern w:val="0"/>
          <w:sz w:val="72"/>
          <w:szCs w:val="72"/>
          <w:highlight w:val="none"/>
        </w:rPr>
        <w:t>投  标  文  件</w:t>
      </w:r>
    </w:p>
    <w:p>
      <w:pPr>
        <w:widowControl/>
        <w:snapToGrid w:val="0"/>
        <w:spacing w:line="360" w:lineRule="auto"/>
        <w:jc w:val="center"/>
        <w:rPr>
          <w:rFonts w:hint="eastAsia" w:ascii="宋体" w:hAnsi="宋体" w:eastAsia="宋体" w:cs="宋体"/>
          <w:b/>
          <w:kern w:val="0"/>
          <w:sz w:val="44"/>
          <w:szCs w:val="44"/>
          <w:highlight w:val="none"/>
        </w:rPr>
      </w:pPr>
    </w:p>
    <w:p>
      <w:pPr>
        <w:widowControl/>
        <w:snapToGrid w:val="0"/>
        <w:spacing w:line="360" w:lineRule="auto"/>
        <w:jc w:val="left"/>
        <w:rPr>
          <w:rFonts w:hint="eastAsia" w:ascii="宋体" w:hAnsi="宋体" w:eastAsia="宋体" w:cs="宋体"/>
          <w:kern w:val="0"/>
          <w:sz w:val="28"/>
          <w:szCs w:val="30"/>
          <w:highlight w:val="none"/>
        </w:rPr>
      </w:pPr>
    </w:p>
    <w:p>
      <w:pPr>
        <w:widowControl/>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项目名称：</w:t>
      </w:r>
    </w:p>
    <w:p>
      <w:pPr>
        <w:widowControl/>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项目编号：</w:t>
      </w:r>
    </w:p>
    <w:p>
      <w:pPr>
        <w:widowControl/>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包    号：</w:t>
      </w: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widowControl/>
        <w:snapToGrid w:val="0"/>
        <w:spacing w:line="360" w:lineRule="auto"/>
        <w:jc w:val="left"/>
        <w:rPr>
          <w:rFonts w:hint="eastAsia" w:ascii="宋体" w:hAnsi="宋体" w:eastAsia="宋体" w:cs="宋体"/>
          <w:b/>
          <w:kern w:val="0"/>
          <w:sz w:val="44"/>
          <w:szCs w:val="44"/>
          <w:highlight w:val="none"/>
        </w:rPr>
      </w:pPr>
    </w:p>
    <w:p>
      <w:pPr>
        <w:widowControl/>
        <w:snapToGrid w:val="0"/>
        <w:spacing w:line="360" w:lineRule="auto"/>
        <w:jc w:val="left"/>
        <w:rPr>
          <w:rFonts w:hint="eastAsia" w:ascii="宋体" w:hAnsi="宋体" w:eastAsia="宋体" w:cs="宋体"/>
          <w:kern w:val="0"/>
          <w:sz w:val="28"/>
          <w:highlight w:val="none"/>
        </w:rPr>
      </w:pPr>
    </w:p>
    <w:p>
      <w:pPr>
        <w:widowControl/>
        <w:snapToGrid w:val="0"/>
        <w:spacing w:line="360" w:lineRule="auto"/>
        <w:jc w:val="left"/>
        <w:rPr>
          <w:rFonts w:hint="eastAsia" w:ascii="宋体" w:hAnsi="宋体" w:eastAsia="宋体" w:cs="宋体"/>
          <w:kern w:val="0"/>
          <w:sz w:val="28"/>
          <w:highlight w:val="none"/>
        </w:rPr>
      </w:pPr>
    </w:p>
    <w:p>
      <w:pPr>
        <w:widowControl/>
        <w:snapToGrid w:val="0"/>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rPr>
        <w:t>投标人全称： （盖章）</w:t>
      </w:r>
    </w:p>
    <w:p>
      <w:pPr>
        <w:widowControl/>
        <w:snapToGrid w:val="0"/>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rPr>
        <w:t>法定代表人或授权代表：（签字或盖章）</w:t>
      </w:r>
    </w:p>
    <w:p>
      <w:pPr>
        <w:widowControl/>
        <w:snapToGrid w:val="0"/>
        <w:spacing w:line="360" w:lineRule="auto"/>
        <w:rPr>
          <w:rFonts w:hint="eastAsia" w:ascii="宋体" w:hAnsi="宋体" w:eastAsia="宋体" w:cs="宋体"/>
          <w:kern w:val="0"/>
          <w:sz w:val="30"/>
          <w:szCs w:val="30"/>
          <w:highlight w:val="none"/>
          <w:u w:val="single"/>
        </w:rPr>
      </w:pPr>
    </w:p>
    <w:p>
      <w:pPr>
        <w:widowControl/>
        <w:snapToGrid w:val="0"/>
        <w:spacing w:line="360" w:lineRule="auto"/>
        <w:rPr>
          <w:rFonts w:hint="eastAsia" w:ascii="宋体" w:hAnsi="宋体" w:eastAsia="宋体" w:cs="宋体"/>
          <w:kern w:val="0"/>
          <w:sz w:val="30"/>
          <w:szCs w:val="30"/>
          <w:highlight w:val="none"/>
          <w:u w:val="single"/>
        </w:rPr>
      </w:pPr>
    </w:p>
    <w:p>
      <w:pPr>
        <w:widowControl/>
        <w:snapToGrid w:val="0"/>
        <w:spacing w:line="360" w:lineRule="auto"/>
        <w:rPr>
          <w:rFonts w:hint="eastAsia" w:ascii="宋体" w:hAnsi="宋体" w:eastAsia="宋体" w:cs="宋体"/>
          <w:kern w:val="0"/>
          <w:sz w:val="30"/>
          <w:szCs w:val="30"/>
          <w:highlight w:val="none"/>
          <w:u w:val="single"/>
        </w:rPr>
      </w:pPr>
    </w:p>
    <w:p>
      <w:pPr>
        <w:widowControl/>
        <w:snapToGrid w:val="0"/>
        <w:spacing w:line="360" w:lineRule="auto"/>
        <w:jc w:val="cente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二〇二   年   月   日</w:t>
      </w:r>
    </w:p>
    <w:p>
      <w:pPr>
        <w:pStyle w:val="14"/>
        <w:rPr>
          <w:rFonts w:hint="eastAsia" w:ascii="宋体" w:hAnsi="宋体" w:eastAsia="宋体" w:cs="宋体"/>
          <w:highlight w:val="none"/>
        </w:rPr>
      </w:pPr>
    </w:p>
    <w:p>
      <w:pPr>
        <w:rPr>
          <w:rFonts w:hint="eastAsia" w:ascii="宋体" w:hAnsi="宋体" w:eastAsia="宋体" w:cs="宋体"/>
          <w:bCs/>
          <w:sz w:val="24"/>
          <w:highlight w:val="none"/>
        </w:rPr>
      </w:pPr>
      <w:bookmarkStart w:id="68" w:name="_Toc340851733"/>
      <w:bookmarkStart w:id="69" w:name="_Toc344989209"/>
      <w:r>
        <w:rPr>
          <w:rFonts w:hint="eastAsia" w:ascii="宋体" w:hAnsi="宋体" w:eastAsia="宋体" w:cs="宋体"/>
          <w:bCs/>
          <w:sz w:val="24"/>
          <w:highlight w:val="none"/>
        </w:rPr>
        <w:br w:type="page"/>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目录格式</w:t>
      </w:r>
      <w:bookmarkEnd w:id="68"/>
      <w:bookmarkEnd w:id="69"/>
    </w:p>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p>
    <w:p>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资格证明文件部分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 具有独立承担民事责任的能力的承诺函…………………………………………</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（1）营业执照…………………………………………………………………………</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（2）投标人基本户开户许可证或基本存款账户信息………………………………</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2．具有良好的商业信誉和健全的财务会计制度的承诺函…………………………</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3．具有依法缴纳税收和社会保障资金的承诺函……………………………………</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4．具有履行合同所必需的设备和专业技术能力的承诺函…………………………</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5．投标人近三年无重大违法记录声明………………………………………………</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6．投标人廉洁自律承诺书……………………………………………………………</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cs="宋体"/>
          <w:kern w:val="0"/>
          <w:sz w:val="24"/>
          <w:highlight w:val="none"/>
          <w:lang w:val="en-US" w:eastAsia="zh-CN"/>
        </w:rPr>
        <w:t>落实政府采购政策的证明材料</w:t>
      </w:r>
      <w:r>
        <w:rPr>
          <w:rFonts w:hint="eastAsia" w:ascii="宋体" w:hAnsi="宋体" w:eastAsia="宋体" w:cs="宋体"/>
          <w:kern w:val="0"/>
          <w:sz w:val="24"/>
          <w:highlight w:val="none"/>
        </w:rPr>
        <w:t>……………………………………………………</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 中小企业声明函……………………………………………………………………</w:t>
      </w:r>
    </w:p>
    <w:p>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商务、技术文件部分</w:t>
      </w:r>
    </w:p>
    <w:p>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1．法定代表人（负责人）身份证明书………………………………………………</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2．法定代表人（负责人）授权委托书………………………………………………</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3．投标函……………………………………………………………………………</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w:t>
      </w:r>
      <w:r>
        <w:rPr>
          <w:rFonts w:hint="eastAsia" w:ascii="宋体" w:hAnsi="宋体" w:eastAsia="宋体" w:cs="宋体"/>
          <w:kern w:val="0"/>
          <w:sz w:val="24"/>
          <w:highlight w:val="none"/>
        </w:rPr>
        <w:t>投标保证金缴纳凭证………………………………………………………………</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．开标一览表………………………………………………………………………</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rPr>
        <w:t>．商务条款响应表…………………………………………………………………</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．投标货物技术规范响应及偏离表………………………………………………</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．投标货物主要技术指标详细描述或同投标货物型号一致的产品彩页………</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．投标文件递交截止日前三年内同类项目合同案例相关证明资料……………</w:t>
      </w:r>
    </w:p>
    <w:p>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．服务方案及相关承诺……………………………………………………………</w:t>
      </w:r>
    </w:p>
    <w:p>
      <w:pPr>
        <w:pStyle w:val="3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hAnsi="宋体" w:cs="宋体"/>
          <w:kern w:val="0"/>
          <w:sz w:val="24"/>
          <w:szCs w:val="24"/>
          <w:highlight w:val="none"/>
          <w:lang w:val="en-US" w:eastAsia="zh-CN"/>
        </w:rPr>
        <w:t>1</w:t>
      </w:r>
      <w:r>
        <w:rPr>
          <w:rFonts w:hint="eastAsia" w:ascii="宋体" w:hAnsi="宋体" w:eastAsia="宋体" w:cs="宋体"/>
          <w:kern w:val="0"/>
          <w:sz w:val="24"/>
          <w:szCs w:val="24"/>
          <w:highlight w:val="none"/>
        </w:rPr>
        <w:t>．售后服务方案及相关承诺………………………………………………………</w:t>
      </w:r>
    </w:p>
    <w:p>
      <w:pPr>
        <w:pStyle w:val="3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hAnsi="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highlight w:val="none"/>
        </w:rPr>
        <w:t>投标人认为需要提供的其他商务、技术材料</w:t>
      </w:r>
      <w:r>
        <w:rPr>
          <w:rFonts w:hint="eastAsia" w:ascii="宋体" w:hAnsi="宋体" w:eastAsia="宋体" w:cs="宋体"/>
          <w:kern w:val="0"/>
          <w:sz w:val="24"/>
          <w:szCs w:val="24"/>
          <w:highlight w:val="none"/>
        </w:rPr>
        <w:t>…………………………………</w:t>
      </w:r>
    </w:p>
    <w:p>
      <w:pPr>
        <w:pStyle w:val="3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hAnsi="宋体" w:cs="宋体"/>
          <w:kern w:val="0"/>
          <w:sz w:val="24"/>
          <w:szCs w:val="24"/>
          <w:highlight w:val="none"/>
          <w:lang w:val="en-US" w:eastAsia="zh-CN"/>
        </w:rPr>
        <w:t>3</w:t>
      </w:r>
      <w:r>
        <w:rPr>
          <w:rFonts w:hint="eastAsia" w:ascii="宋体" w:hAnsi="宋体" w:eastAsia="宋体" w:cs="宋体"/>
          <w:kern w:val="0"/>
          <w:sz w:val="24"/>
          <w:szCs w:val="24"/>
          <w:highlight w:val="none"/>
        </w:rPr>
        <w:t>．政策性要求………………………………………………………………………</w:t>
      </w:r>
    </w:p>
    <w:p>
      <w:pPr>
        <w:pStyle w:val="30"/>
        <w:snapToGrid w:val="0"/>
        <w:spacing w:line="360" w:lineRule="auto"/>
        <w:ind w:firstLine="723" w:firstLineChars="200"/>
        <w:rPr>
          <w:rFonts w:hint="eastAsia" w:ascii="宋体" w:hAnsi="宋体" w:eastAsia="宋体" w:cs="宋体"/>
          <w:b/>
          <w:bCs/>
          <w:kern w:val="44"/>
          <w:sz w:val="24"/>
          <w:highlight w:val="none"/>
        </w:rPr>
      </w:pPr>
      <w:r>
        <w:rPr>
          <w:rFonts w:hint="eastAsia" w:ascii="宋体" w:hAnsi="宋体" w:eastAsia="宋体" w:cs="宋体"/>
          <w:b/>
          <w:kern w:val="0"/>
          <w:sz w:val="36"/>
          <w:szCs w:val="36"/>
          <w:highlight w:val="none"/>
        </w:rPr>
        <w:br w:type="page"/>
      </w:r>
    </w:p>
    <w:p>
      <w:pPr>
        <w:widowControl/>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w:t>
      </w:r>
    </w:p>
    <w:p>
      <w:pPr>
        <w:widowControl/>
        <w:snapToGrid w:val="0"/>
        <w:spacing w:line="360" w:lineRule="auto"/>
        <w:rPr>
          <w:rFonts w:hint="eastAsia" w:ascii="宋体" w:hAnsi="宋体" w:eastAsia="宋体" w:cs="宋体"/>
          <w:b/>
          <w:sz w:val="24"/>
          <w:highlight w:val="none"/>
        </w:rPr>
      </w:pPr>
      <w:r>
        <w:rPr>
          <w:rFonts w:hint="eastAsia" w:ascii="宋体" w:hAnsi="宋体" w:eastAsia="宋体" w:cs="宋体"/>
          <w:b/>
          <w:kern w:val="0"/>
          <w:sz w:val="24"/>
          <w:highlight w:val="none"/>
        </w:rPr>
        <w:t>1．</w:t>
      </w:r>
      <w:r>
        <w:rPr>
          <w:rFonts w:hint="eastAsia" w:ascii="宋体" w:hAnsi="宋体" w:eastAsia="宋体" w:cs="宋体"/>
          <w:b/>
          <w:sz w:val="24"/>
          <w:highlight w:val="none"/>
        </w:rPr>
        <w:t>具有独立承担民事责任的能力的承诺函</w:t>
      </w:r>
    </w:p>
    <w:p>
      <w:pPr>
        <w:widowControl/>
        <w:snapToGrid w:val="0"/>
        <w:spacing w:line="360" w:lineRule="auto"/>
        <w:ind w:firstLine="240" w:firstLineChars="100"/>
        <w:rPr>
          <w:rFonts w:hint="eastAsia" w:ascii="宋体" w:hAnsi="宋体" w:eastAsia="宋体" w:cs="宋体"/>
          <w:sz w:val="24"/>
          <w:highlight w:val="none"/>
        </w:rPr>
      </w:pPr>
    </w:p>
    <w:p>
      <w:pPr>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）的政府采购活动，郑重承诺：我公司具有有效的营业执照或事业单位法人证书或自然人身份证明或其他非企业组织证明，证件号为：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，基本开户行为：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（账户号码为：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），具有独立承担民事责任的能力，符合本项目采购文件规定的投标人资格要求。</w:t>
      </w:r>
    </w:p>
    <w:p>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autoSpaceDE w:val="0"/>
        <w:autoSpaceDN w:val="0"/>
        <w:spacing w:line="360" w:lineRule="auto"/>
        <w:textAlignment w:val="bottom"/>
        <w:rPr>
          <w:rFonts w:hint="eastAsia" w:ascii="宋体" w:hAnsi="宋体" w:eastAsia="宋体" w:cs="宋体"/>
          <w:b/>
          <w:kern w:val="0"/>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pStyle w:val="14"/>
        <w:rPr>
          <w:rFonts w:hint="eastAsia" w:ascii="宋体" w:hAnsi="宋体" w:eastAsia="宋体" w:cs="宋体"/>
          <w:b/>
          <w:kern w:val="0"/>
          <w:highlight w:val="none"/>
        </w:rPr>
      </w:pPr>
    </w:p>
    <w:p>
      <w:pPr>
        <w:pStyle w:val="14"/>
        <w:rPr>
          <w:rFonts w:hint="eastAsia" w:ascii="宋体" w:hAnsi="宋体" w:eastAsia="宋体" w:cs="宋体"/>
          <w:b/>
          <w:kern w:val="0"/>
          <w:highlight w:val="none"/>
        </w:rPr>
      </w:pPr>
    </w:p>
    <w:p>
      <w:pPr>
        <w:widowControl/>
        <w:snapToGrid w:val="0"/>
        <w:spacing w:line="360" w:lineRule="auto"/>
        <w:rPr>
          <w:rFonts w:hint="eastAsia" w:ascii="宋体" w:hAnsi="宋体" w:eastAsia="宋体" w:cs="宋体"/>
          <w:sz w:val="24"/>
          <w:highlight w:val="none"/>
        </w:rPr>
      </w:pPr>
      <w:r>
        <w:rPr>
          <w:rFonts w:hint="eastAsia" w:ascii="宋体" w:hAnsi="宋体" w:eastAsia="宋体" w:cs="宋体"/>
          <w:b/>
          <w:kern w:val="0"/>
          <w:sz w:val="24"/>
          <w:highlight w:val="none"/>
        </w:rPr>
        <w:t>注:后附营业执照及基本户开户许可证或基本存款账户信息原件扫描件</w:t>
      </w:r>
    </w:p>
    <w:p>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pPr>
        <w:widowControl/>
        <w:snapToGrid w:val="0"/>
        <w:spacing w:line="360" w:lineRule="auto"/>
        <w:rPr>
          <w:rFonts w:hint="eastAsia" w:ascii="宋体" w:hAnsi="宋体" w:eastAsia="宋体" w:cs="宋体"/>
          <w:kern w:val="0"/>
          <w:sz w:val="24"/>
          <w:highlight w:val="none"/>
        </w:rPr>
      </w:pPr>
    </w:p>
    <w:p>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2．具有良好的商业信誉和健全的财务会计制度的承诺函</w:t>
      </w:r>
    </w:p>
    <w:p>
      <w:pPr>
        <w:wordWrap w:val="0"/>
        <w:snapToGrid w:val="0"/>
        <w:spacing w:line="480" w:lineRule="exact"/>
        <w:ind w:firstLine="480" w:firstLineChars="200"/>
        <w:rPr>
          <w:rFonts w:hint="eastAsia" w:ascii="宋体" w:hAnsi="宋体" w:eastAsia="宋体" w:cs="宋体"/>
          <w:sz w:val="24"/>
          <w:highlight w:val="none"/>
        </w:rPr>
      </w:pPr>
    </w:p>
    <w:p>
      <w:pPr>
        <w:wordWrap w:val="0"/>
        <w:snapToGrid w:val="0"/>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wordWrap w:val="0"/>
        <w:snapToGrid w:val="0"/>
        <w:spacing w:line="480" w:lineRule="exact"/>
        <w:ind w:firstLine="480" w:firstLineChars="200"/>
        <w:rPr>
          <w:rFonts w:hint="eastAsia" w:ascii="宋体" w:hAnsi="宋体" w:eastAsia="宋体" w:cs="宋体"/>
          <w:sz w:val="24"/>
          <w:highlight w:val="none"/>
        </w:rPr>
      </w:pPr>
    </w:p>
    <w:p>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依据招标文件相关规定，郑重承诺：我方具有良好的商业信誉和健全的财务会计制度，符合本项目招标文件规定的投标人资格要求，如成交，我方将按投标文件及相关承诺，保证合同顺利履行。如有虚假或隐瞒，招标人可取消我方任何资格（投标/中标/签订合同），我方对此无任何异议，并愿意承担一切后果和责任。</w:t>
      </w:r>
    </w:p>
    <w:p>
      <w:pPr>
        <w:wordWrap w:val="0"/>
        <w:snapToGrid w:val="0"/>
        <w:spacing w:line="480" w:lineRule="exact"/>
        <w:ind w:firstLine="480" w:firstLineChars="200"/>
        <w:rPr>
          <w:rFonts w:hint="eastAsia" w:ascii="宋体" w:hAnsi="宋体" w:eastAsia="宋体" w:cs="宋体"/>
          <w:sz w:val="24"/>
          <w:highlight w:val="none"/>
        </w:rPr>
      </w:pPr>
    </w:p>
    <w:p>
      <w:pPr>
        <w:ind w:firstLine="480"/>
        <w:rPr>
          <w:rFonts w:hint="eastAsia" w:ascii="宋体" w:hAnsi="宋体" w:eastAsia="宋体" w:cs="宋体"/>
          <w:sz w:val="24"/>
          <w:highlight w:val="none"/>
        </w:rPr>
      </w:pPr>
      <w:r>
        <w:rPr>
          <w:rFonts w:hint="eastAsia" w:ascii="宋体" w:hAnsi="宋体" w:eastAsia="宋体" w:cs="宋体"/>
          <w:sz w:val="24"/>
          <w:highlight w:val="none"/>
        </w:rPr>
        <w:t>特此承诺</w:t>
      </w:r>
    </w:p>
    <w:p>
      <w:pPr>
        <w:ind w:firstLine="480"/>
        <w:rPr>
          <w:rFonts w:hint="eastAsia" w:ascii="宋体" w:hAnsi="宋体" w:eastAsia="宋体" w:cs="宋体"/>
          <w:sz w:val="24"/>
          <w:highlight w:val="none"/>
        </w:rPr>
      </w:pPr>
    </w:p>
    <w:p>
      <w:pPr>
        <w:ind w:firstLine="480"/>
        <w:rPr>
          <w:rFonts w:hint="eastAsia" w:ascii="宋体" w:hAnsi="宋体" w:eastAsia="宋体" w:cs="宋体"/>
          <w:sz w:val="24"/>
          <w:highlight w:val="none"/>
        </w:rPr>
      </w:pPr>
    </w:p>
    <w:p>
      <w:pPr>
        <w:ind w:firstLine="480"/>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widowControl/>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pPr>
        <w:widowControl/>
        <w:snapToGrid w:val="0"/>
        <w:spacing w:line="360" w:lineRule="auto"/>
        <w:rPr>
          <w:rFonts w:hint="eastAsia" w:ascii="宋体" w:hAnsi="宋体" w:eastAsia="宋体" w:cs="宋体"/>
          <w:b/>
          <w:kern w:val="0"/>
          <w:sz w:val="24"/>
          <w:highlight w:val="none"/>
        </w:rPr>
      </w:pPr>
    </w:p>
    <w:p>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3. 具有依法缴纳税收和社会保障金的承诺函</w:t>
      </w:r>
    </w:p>
    <w:p>
      <w:pPr>
        <w:snapToGrid w:val="0"/>
        <w:spacing w:line="360" w:lineRule="auto"/>
        <w:ind w:firstLine="240" w:firstLineChars="100"/>
        <w:rPr>
          <w:rFonts w:hint="eastAsia" w:ascii="宋体" w:hAnsi="宋体" w:eastAsia="宋体" w:cs="宋体"/>
          <w:sz w:val="24"/>
          <w:highlight w:val="none"/>
        </w:rPr>
      </w:pPr>
    </w:p>
    <w:p>
      <w:pPr>
        <w:ind w:firstLine="480"/>
        <w:rPr>
          <w:rFonts w:hint="eastAsia" w:ascii="宋体" w:hAnsi="宋体" w:eastAsia="宋体" w:cs="宋体"/>
          <w:bCs/>
          <w:kern w:val="0"/>
          <w:sz w:val="24"/>
          <w:highlight w:val="none"/>
          <w:u w:val="single"/>
        </w:rPr>
      </w:pPr>
      <w:r>
        <w:rPr>
          <w:rFonts w:hint="eastAsia" w:ascii="宋体" w:hAnsi="宋体" w:eastAsia="宋体" w:cs="宋体"/>
          <w:bCs/>
          <w:kern w:val="0"/>
          <w:sz w:val="24"/>
          <w:highlight w:val="none"/>
          <w:u w:val="single"/>
        </w:rPr>
        <w:t>（招标人）：</w:t>
      </w:r>
    </w:p>
    <w:p>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我公司郑重声明，我公司严格依法缴纳税收和社会保障金。如有虚假或隐瞒，招标人可取消我方任何资格（投标/中标/签订合同），我方对此无任何异议，并愿意承担一切后果和责任。</w:t>
      </w:r>
    </w:p>
    <w:p>
      <w:pPr>
        <w:wordWrap w:val="0"/>
        <w:snapToGrid w:val="0"/>
        <w:spacing w:line="480" w:lineRule="exact"/>
        <w:ind w:firstLine="480" w:firstLineChars="200"/>
        <w:rPr>
          <w:rFonts w:hint="eastAsia" w:ascii="宋体" w:hAnsi="宋体" w:eastAsia="宋体" w:cs="宋体"/>
          <w:sz w:val="24"/>
          <w:highlight w:val="none"/>
        </w:rPr>
      </w:pPr>
    </w:p>
    <w:p>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ind w:firstLine="480"/>
        <w:rPr>
          <w:rFonts w:hint="eastAsia" w:ascii="宋体" w:hAnsi="宋体" w:eastAsia="宋体" w:cs="宋体"/>
          <w:sz w:val="24"/>
          <w:highlight w:val="none"/>
        </w:rPr>
      </w:pPr>
    </w:p>
    <w:p>
      <w:pPr>
        <w:ind w:firstLine="480"/>
        <w:rPr>
          <w:rFonts w:hint="eastAsia" w:ascii="宋体" w:hAnsi="宋体" w:eastAsia="宋体" w:cs="宋体"/>
          <w:sz w:val="24"/>
          <w:highlight w:val="none"/>
        </w:rPr>
      </w:pPr>
    </w:p>
    <w:p>
      <w:pPr>
        <w:ind w:firstLine="480"/>
        <w:rPr>
          <w:rFonts w:hint="eastAsia" w:ascii="宋体" w:hAnsi="宋体" w:eastAsia="宋体" w:cs="宋体"/>
          <w:sz w:val="24"/>
          <w:highlight w:val="none"/>
        </w:rPr>
      </w:pPr>
    </w:p>
    <w:p>
      <w:pPr>
        <w:ind w:firstLine="480"/>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snapToGrid w:val="0"/>
        <w:spacing w:line="360" w:lineRule="auto"/>
        <w:ind w:firstLine="240" w:firstLineChars="100"/>
        <w:rPr>
          <w:rFonts w:hint="eastAsia" w:ascii="宋体" w:hAnsi="宋体" w:eastAsia="宋体" w:cs="宋体"/>
          <w:sz w:val="24"/>
          <w:highlight w:val="none"/>
        </w:rPr>
      </w:pPr>
    </w:p>
    <w:p>
      <w:pPr>
        <w:snapToGrid w:val="0"/>
        <w:spacing w:line="360" w:lineRule="auto"/>
        <w:ind w:firstLine="240" w:firstLineChars="100"/>
        <w:rPr>
          <w:rFonts w:hint="eastAsia" w:ascii="宋体" w:hAnsi="宋体" w:eastAsia="宋体" w:cs="宋体"/>
          <w:sz w:val="24"/>
          <w:highlight w:val="none"/>
        </w:rPr>
      </w:pPr>
    </w:p>
    <w:p>
      <w:pPr>
        <w:snapToGrid w:val="0"/>
        <w:spacing w:line="360" w:lineRule="auto"/>
        <w:ind w:firstLine="240" w:firstLineChars="100"/>
        <w:rPr>
          <w:rFonts w:hint="eastAsia" w:ascii="宋体" w:hAnsi="宋体" w:eastAsia="宋体" w:cs="宋体"/>
          <w:sz w:val="24"/>
          <w:highlight w:val="none"/>
        </w:rPr>
      </w:pPr>
    </w:p>
    <w:p>
      <w:pPr>
        <w:snapToGrid w:val="0"/>
        <w:spacing w:line="360" w:lineRule="auto"/>
        <w:ind w:firstLine="240" w:firstLineChars="100"/>
        <w:rPr>
          <w:rFonts w:hint="eastAsia" w:ascii="宋体" w:hAnsi="宋体" w:eastAsia="宋体" w:cs="宋体"/>
          <w:sz w:val="24"/>
          <w:highlight w:val="none"/>
        </w:rPr>
      </w:pPr>
    </w:p>
    <w:p>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4. 具有履行合同所必需的设备和专业技术能力的承诺函</w:t>
      </w:r>
    </w:p>
    <w:p>
      <w:pPr>
        <w:jc w:val="center"/>
        <w:rPr>
          <w:rFonts w:hint="eastAsia" w:ascii="宋体" w:hAnsi="宋体" w:eastAsia="宋体" w:cs="宋体"/>
          <w:sz w:val="24"/>
          <w:highlight w:val="none"/>
        </w:rPr>
      </w:pPr>
    </w:p>
    <w:p>
      <w:pPr>
        <w:jc w:val="center"/>
        <w:rPr>
          <w:rFonts w:hint="eastAsia" w:ascii="宋体" w:hAnsi="宋体" w:eastAsia="宋体" w:cs="宋体"/>
          <w:b/>
          <w:spacing w:val="20"/>
          <w:sz w:val="24"/>
          <w:highlight w:val="none"/>
        </w:rPr>
      </w:pPr>
    </w:p>
    <w:p>
      <w:pPr>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）的采购活动，现承诺具备履行合同所必需的设备及专业服务能力。</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如上述承诺不真实，愿意按照有关法律法规的规定接受处罚。</w:t>
      </w:r>
    </w:p>
    <w:p>
      <w:pPr>
        <w:spacing w:line="480" w:lineRule="exact"/>
        <w:ind w:firstLine="480" w:firstLineChars="200"/>
        <w:rPr>
          <w:rFonts w:hint="eastAsia" w:ascii="宋体" w:hAnsi="宋体" w:eastAsia="宋体" w:cs="宋体"/>
          <w:sz w:val="24"/>
          <w:highlight w:val="none"/>
        </w:rPr>
      </w:pP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pPr>
        <w:spacing w:line="480" w:lineRule="exact"/>
        <w:rPr>
          <w:rFonts w:hint="eastAsia" w:ascii="宋体" w:hAnsi="宋体" w:eastAsia="宋体" w:cs="宋体"/>
          <w:sz w:val="24"/>
          <w:highlight w:val="none"/>
        </w:rPr>
      </w:pPr>
    </w:p>
    <w:p>
      <w:pPr>
        <w:spacing w:line="480" w:lineRule="exact"/>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pStyle w:val="122"/>
        <w:snapToGrid w:val="0"/>
        <w:spacing w:line="480" w:lineRule="exact"/>
        <w:jc w:val="both"/>
        <w:rPr>
          <w:rFonts w:hint="eastAsia" w:ascii="宋体" w:hAnsi="宋体" w:eastAsia="宋体" w:cs="宋体"/>
          <w:sz w:val="24"/>
          <w:szCs w:val="24"/>
          <w:highlight w:val="none"/>
        </w:rPr>
      </w:pPr>
    </w:p>
    <w:p>
      <w:pPr>
        <w:spacing w:line="360" w:lineRule="auto"/>
        <w:rPr>
          <w:rFonts w:hint="eastAsia" w:ascii="宋体" w:hAnsi="宋体" w:eastAsia="宋体" w:cs="宋体"/>
          <w:sz w:val="24"/>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pStyle w:val="48"/>
        <w:rPr>
          <w:rFonts w:hint="eastAsia" w:ascii="宋体" w:hAnsi="宋体" w:eastAsia="宋体" w:cs="宋体"/>
          <w:highlight w:val="none"/>
        </w:rPr>
      </w:pPr>
    </w:p>
    <w:p>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5．投标人近三年无重大违法记录声明</w:t>
      </w:r>
    </w:p>
    <w:p>
      <w:pPr>
        <w:spacing w:line="360" w:lineRule="auto"/>
        <w:jc w:val="center"/>
        <w:rPr>
          <w:rFonts w:hint="eastAsia" w:ascii="宋体" w:hAnsi="宋体" w:eastAsia="宋体" w:cs="宋体"/>
          <w:b/>
          <w:sz w:val="28"/>
          <w:szCs w:val="28"/>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投标人近三年无重大违法记录声明</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z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szCs w:val="24"/>
          <w:highlight w:val="none"/>
        </w:rPr>
        <w:t>的采购活动，在参加本次政府采购活动前三年内，在经营活动中没有重大违法记录（因违法经营受到刑事处罚或者责令停产停业、吊销许可证或者执照、较大数额罚款等行政处罚。）；在投标前查询了本公司在信用中国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Style w:val="66"/>
          <w:rFonts w:hint="eastAsia" w:ascii="宋体" w:hAnsi="宋体" w:eastAsia="宋体" w:cs="宋体"/>
          <w:kern w:val="2"/>
          <w:sz w:val="24"/>
          <w:szCs w:val="24"/>
          <w:highlight w:val="none"/>
        </w:rPr>
        <w:t>http://www.creditchina.gov.cn</w:t>
      </w:r>
      <w:r>
        <w:rPr>
          <w:rStyle w:val="66"/>
          <w:rFonts w:hint="eastAsia" w:ascii="宋体" w:hAnsi="宋体" w:eastAsia="宋体" w:cs="宋体"/>
          <w:kern w:val="2"/>
          <w:sz w:val="24"/>
          <w:szCs w:val="24"/>
          <w:highlight w:val="none"/>
        </w:rPr>
        <w:fldChar w:fldCharType="end"/>
      </w:r>
      <w:r>
        <w:rPr>
          <w:rFonts w:hint="eastAsia" w:ascii="宋体" w:hAnsi="宋体" w:eastAsia="宋体" w:cs="宋体"/>
          <w:sz w:val="24"/>
          <w:szCs w:val="24"/>
          <w:highlight w:val="none"/>
        </w:rPr>
        <w:t>）中的信用信息，</w:t>
      </w:r>
      <w:r>
        <w:rPr>
          <w:rFonts w:hint="eastAsia" w:ascii="宋体" w:hAnsi="宋体" w:eastAsia="宋体" w:cs="宋体"/>
          <w:bCs/>
          <w:sz w:val="24"/>
          <w:szCs w:val="24"/>
          <w:highlight w:val="none"/>
        </w:rPr>
        <w:t>其中失信被执行人、重大税收违法失信主体名单均为0记录</w:t>
      </w:r>
      <w:r>
        <w:rPr>
          <w:rFonts w:hint="eastAsia" w:ascii="宋体" w:hAnsi="宋体" w:eastAsia="宋体" w:cs="宋体"/>
          <w:sz w:val="24"/>
          <w:szCs w:val="24"/>
          <w:highlight w:val="none"/>
        </w:rPr>
        <w:t>；查询了本公司在中国政府采购网（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66"/>
          <w:rFonts w:hint="eastAsia" w:ascii="宋体" w:hAnsi="宋体" w:eastAsia="宋体" w:cs="宋体"/>
          <w:kern w:val="2"/>
          <w:sz w:val="24"/>
          <w:szCs w:val="24"/>
          <w:highlight w:val="none"/>
        </w:rPr>
        <w:t>http://www.ccgp.gov.cn</w:t>
      </w:r>
      <w:r>
        <w:rPr>
          <w:rStyle w:val="66"/>
          <w:rFonts w:hint="eastAsia" w:ascii="宋体" w:hAnsi="宋体" w:eastAsia="宋体" w:cs="宋体"/>
          <w:kern w:val="2"/>
          <w:sz w:val="24"/>
          <w:szCs w:val="24"/>
          <w:highlight w:val="none"/>
        </w:rPr>
        <w:fldChar w:fldCharType="end"/>
      </w:r>
      <w:r>
        <w:rPr>
          <w:rFonts w:hint="eastAsia" w:ascii="宋体" w:hAnsi="宋体" w:eastAsia="宋体" w:cs="宋体"/>
          <w:sz w:val="24"/>
          <w:szCs w:val="24"/>
          <w:highlight w:val="none"/>
        </w:rPr>
        <w:t>）中的政府采购严重违法失信行为信息记录为0记录。</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snapToGrid w:val="0"/>
        <w:spacing w:line="480" w:lineRule="exact"/>
        <w:rPr>
          <w:rFonts w:hint="eastAsia" w:ascii="宋体" w:hAnsi="宋体" w:eastAsia="宋体" w:cs="宋体"/>
          <w:sz w:val="24"/>
          <w:highlight w:val="none"/>
        </w:rPr>
      </w:pPr>
    </w:p>
    <w:p>
      <w:pPr>
        <w:pStyle w:val="48"/>
        <w:rPr>
          <w:rFonts w:hint="eastAsia" w:ascii="宋体" w:hAnsi="宋体" w:eastAsia="宋体" w:cs="宋体"/>
          <w:b/>
          <w:sz w:val="24"/>
          <w:szCs w:val="24"/>
          <w:highlight w:val="none"/>
        </w:rPr>
      </w:pPr>
      <w:r>
        <w:rPr>
          <w:rFonts w:hint="eastAsia" w:ascii="宋体" w:hAnsi="宋体" w:eastAsia="宋体" w:cs="宋体"/>
          <w:b/>
          <w:sz w:val="24"/>
          <w:szCs w:val="24"/>
          <w:highlight w:val="none"/>
        </w:rPr>
        <w:t>注：后附信用中国网及中国政府采购网信用查询结果截图</w:t>
      </w:r>
    </w:p>
    <w:p>
      <w:pPr>
        <w:snapToGrid w:val="0"/>
        <w:spacing w:line="480" w:lineRule="exact"/>
        <w:ind w:firstLine="4440" w:firstLineChars="1850"/>
        <w:rPr>
          <w:rFonts w:hint="eastAsia" w:ascii="宋体" w:hAnsi="宋体" w:eastAsia="宋体" w:cs="宋体"/>
          <w:sz w:val="24"/>
          <w:highlight w:val="none"/>
        </w:rPr>
      </w:pPr>
    </w:p>
    <w:p>
      <w:pPr>
        <w:snapToGrid w:val="0"/>
        <w:spacing w:line="480" w:lineRule="exact"/>
        <w:ind w:firstLine="4440" w:firstLineChars="1850"/>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snapToGrid w:val="0"/>
        <w:spacing w:line="360" w:lineRule="auto"/>
        <w:rPr>
          <w:rFonts w:hint="eastAsia" w:ascii="宋体" w:hAnsi="宋体" w:eastAsia="宋体" w:cs="宋体"/>
          <w:sz w:val="24"/>
          <w:highlight w:val="none"/>
        </w:rPr>
      </w:pPr>
    </w:p>
    <w:p>
      <w:pPr>
        <w:snapToGrid w:val="0"/>
        <w:spacing w:line="360" w:lineRule="auto"/>
        <w:ind w:firstLine="480" w:firstLineChars="200"/>
        <w:rPr>
          <w:rFonts w:hint="eastAsia" w:ascii="宋体" w:hAnsi="宋体" w:eastAsia="宋体" w:cs="宋体"/>
          <w:sz w:val="24"/>
          <w:highlight w:val="none"/>
        </w:rPr>
      </w:pPr>
    </w:p>
    <w:p>
      <w:pPr>
        <w:pStyle w:val="106"/>
        <w:spacing w:line="360" w:lineRule="auto"/>
        <w:ind w:firstLine="0" w:firstLineChars="0"/>
        <w:rPr>
          <w:rFonts w:hint="eastAsia" w:ascii="宋体" w:hAnsi="宋体" w:eastAsia="宋体" w:cs="宋体"/>
          <w:b/>
          <w:kern w:val="0"/>
          <w:sz w:val="24"/>
          <w:highlight w:val="none"/>
        </w:rPr>
      </w:pPr>
    </w:p>
    <w:p>
      <w:pPr>
        <w:pStyle w:val="106"/>
        <w:spacing w:line="360" w:lineRule="auto"/>
        <w:ind w:firstLine="0" w:firstLineChars="0"/>
        <w:rPr>
          <w:rFonts w:hint="eastAsia" w:ascii="宋体" w:hAnsi="宋体" w:eastAsia="宋体" w:cs="宋体"/>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6．投标人廉洁自律承诺书</w:t>
      </w:r>
    </w:p>
    <w:p>
      <w:pPr>
        <w:widowControl/>
        <w:snapToGrid w:val="0"/>
        <w:spacing w:line="360" w:lineRule="auto"/>
        <w:rPr>
          <w:rFonts w:hint="eastAsia" w:ascii="宋体" w:hAnsi="宋体" w:eastAsia="宋体" w:cs="宋体"/>
          <w:kern w:val="0"/>
          <w:sz w:val="24"/>
          <w:highlight w:val="none"/>
        </w:rPr>
      </w:pPr>
    </w:p>
    <w:p>
      <w:pPr>
        <w:pStyle w:val="122"/>
        <w:snapToGrid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（招标人） </w:t>
      </w:r>
      <w:r>
        <w:rPr>
          <w:rFonts w:hint="eastAsia" w:ascii="宋体" w:hAnsi="宋体" w:eastAsia="宋体" w:cs="宋体"/>
          <w:sz w:val="24"/>
          <w:szCs w:val="24"/>
          <w:highlight w:val="none"/>
        </w:rPr>
        <w:t>：</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为维护本次招标采购工作的正常秩序，本公司特郑重承诺如下： </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一、严格按照相关有关法律法规、政策及《招标文件》的规定，规范本公司的投标行为，保证做到合法投标、正当竞争、廉洁经营。</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二、本公司保证在本次投标工作中做到： </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1．不与其他投标人相互串通投标、陪标，损害贵单位的合法权益； </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2．不与用户串通投标，损害甲方利益或他人的合法权益；</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不以向用户、采购人或者评标委员会成员行贿的手段谋取中标；（包括送礼金礼品、有价证券、购物券、回扣、佣金、咨询费、劳务费、赞助费、宣传费、支付旅游费用、报销各种消费凭证、宴请、娱乐等）；</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4．不利用他人名义投标或者以其他方式弄虚作假，谋取中标；</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5．保证不以其他任何方式扰乱本次招标采购工作；</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6．保证严格遵守招标会议纪律。</w:t>
      </w:r>
    </w:p>
    <w:p>
      <w:pPr>
        <w:pStyle w:val="12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我公司承诺在本次招标采购活动中，如有违反以上第二条中的行为，同意贵方按《中华人民共和国政府采购法》、《中华人民共和国政府采购法实施条例》等有关法律法规文件之规定上报省级主管部门给予进入不良信誉记录、扣除保证金等惩罚，我公司及项目参与人员完全接受。</w:t>
      </w:r>
    </w:p>
    <w:p>
      <w:pPr>
        <w:widowControl/>
        <w:snapToGrid w:val="0"/>
        <w:spacing w:line="360" w:lineRule="auto"/>
        <w:rPr>
          <w:rFonts w:hint="eastAsia" w:ascii="宋体" w:hAnsi="宋体" w:eastAsia="宋体" w:cs="宋体"/>
          <w:kern w:val="0"/>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widowControl/>
        <w:spacing w:line="520" w:lineRule="atLeast"/>
        <w:rPr>
          <w:rFonts w:hint="eastAsia" w:ascii="宋体" w:hAnsi="宋体" w:eastAsia="宋体" w:cs="宋体"/>
          <w:b/>
          <w:kern w:val="0"/>
          <w:sz w:val="24"/>
          <w:highlight w:val="none"/>
        </w:rPr>
      </w:pPr>
      <w:r>
        <w:rPr>
          <w:rFonts w:hint="eastAsia" w:ascii="宋体" w:hAnsi="宋体" w:eastAsia="宋体" w:cs="宋体"/>
          <w:kern w:val="0"/>
          <w:sz w:val="28"/>
          <w:highlight w:val="none"/>
        </w:rPr>
        <w:br w:type="page"/>
      </w:r>
      <w:r>
        <w:rPr>
          <w:rFonts w:hint="eastAsia" w:ascii="宋体" w:hAnsi="宋体" w:eastAsia="宋体" w:cs="宋体"/>
          <w:b/>
          <w:kern w:val="0"/>
          <w:sz w:val="24"/>
          <w:highlight w:val="none"/>
        </w:rPr>
        <w:t>7.</w:t>
      </w:r>
      <w:r>
        <w:rPr>
          <w:rFonts w:hint="eastAsia" w:ascii="宋体" w:hAnsi="宋体" w:eastAsia="宋体" w:cs="宋体"/>
          <w:b/>
          <w:kern w:val="0"/>
          <w:sz w:val="24"/>
          <w:highlight w:val="none"/>
          <w:lang w:val="en-US" w:eastAsia="zh-CN"/>
        </w:rPr>
        <w:t>落实政府采购政策的证明材料</w:t>
      </w:r>
      <w:r>
        <w:rPr>
          <w:rFonts w:hint="eastAsia" w:ascii="宋体" w:hAnsi="宋体" w:eastAsia="宋体" w:cs="宋体"/>
          <w:b/>
          <w:kern w:val="0"/>
          <w:sz w:val="24"/>
          <w:highlight w:val="none"/>
        </w:rPr>
        <w:t>（如有）</w:t>
      </w:r>
      <w:r>
        <w:rPr>
          <w:rFonts w:hint="eastAsia" w:ascii="宋体" w:hAnsi="宋体" w:eastAsia="宋体" w:cs="宋体"/>
          <w:sz w:val="24"/>
          <w:highlight w:val="none"/>
        </w:rPr>
        <w:t>（原件扫描件须加盖投标人公章）</w:t>
      </w:r>
    </w:p>
    <w:p>
      <w:pPr>
        <w:widowControl/>
        <w:spacing w:line="520" w:lineRule="atLeast"/>
        <w:rPr>
          <w:rFonts w:hint="eastAsia" w:ascii="宋体" w:hAnsi="宋体" w:eastAsia="宋体" w:cs="宋体"/>
          <w:b/>
          <w:kern w:val="0"/>
          <w:sz w:val="24"/>
          <w:highlight w:val="none"/>
        </w:rPr>
      </w:pPr>
    </w:p>
    <w:p>
      <w:pPr>
        <w:widowControl/>
        <w:jc w:val="left"/>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p>
    <w:p>
      <w:pPr>
        <w:widowControl/>
        <w:spacing w:line="520" w:lineRule="atLeas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8</w:t>
      </w:r>
      <w:r>
        <w:rPr>
          <w:rFonts w:hint="eastAsia" w:ascii="宋体" w:hAnsi="宋体" w:eastAsia="宋体" w:cs="宋体"/>
          <w:b/>
          <w:kern w:val="0"/>
          <w:sz w:val="24"/>
          <w:highlight w:val="none"/>
        </w:rPr>
        <w:t>．中小企业声明函</w:t>
      </w:r>
    </w:p>
    <w:p>
      <w:pPr>
        <w:widowControl/>
        <w:spacing w:line="520" w:lineRule="atLeast"/>
        <w:rPr>
          <w:rFonts w:hint="eastAsia" w:ascii="宋体" w:hAnsi="宋体" w:eastAsia="宋体" w:cs="宋体"/>
          <w:kern w:val="0"/>
          <w:sz w:val="28"/>
          <w:highlight w:val="none"/>
        </w:rPr>
      </w:pPr>
    </w:p>
    <w:p>
      <w:pPr>
        <w:jc w:val="center"/>
        <w:rPr>
          <w:rFonts w:hint="eastAsia" w:ascii="宋体" w:hAnsi="宋体" w:eastAsia="宋体" w:cs="宋体"/>
          <w:b/>
          <w:bCs/>
          <w:color w:val="333333"/>
          <w:spacing w:val="-8"/>
          <w:sz w:val="24"/>
          <w:szCs w:val="30"/>
          <w:highlight w:val="none"/>
          <w:shd w:val="clear" w:color="auto" w:fill="FFFFFF"/>
        </w:rPr>
      </w:pPr>
      <w:r>
        <w:rPr>
          <w:rFonts w:hint="eastAsia" w:ascii="宋体" w:hAnsi="宋体" w:eastAsia="宋体" w:cs="宋体"/>
          <w:b/>
          <w:bCs/>
          <w:color w:val="333333"/>
          <w:spacing w:val="-8"/>
          <w:sz w:val="24"/>
          <w:szCs w:val="30"/>
          <w:highlight w:val="none"/>
          <w:shd w:val="clear" w:color="auto" w:fill="FFFFFF"/>
        </w:rPr>
        <w:t>中小企业声明函（货物）</w:t>
      </w:r>
    </w:p>
    <w:p>
      <w:pPr>
        <w:pStyle w:val="48"/>
        <w:rPr>
          <w:rFonts w:hint="eastAsia" w:ascii="宋体" w:hAnsi="宋体" w:eastAsia="宋体" w:cs="宋体"/>
          <w:highlight w:val="none"/>
        </w:rPr>
      </w:pPr>
    </w:p>
    <w:p>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rPr>
        <w:t>本公司（联合体）郑重</w:t>
      </w:r>
      <w:r>
        <w:rPr>
          <w:rFonts w:hint="eastAsia" w:ascii="宋体" w:hAnsi="宋体" w:eastAsia="宋体" w:cs="宋体"/>
          <w:color w:val="333333"/>
          <w:spacing w:val="-8"/>
          <w:sz w:val="24"/>
          <w:highlight w:val="none"/>
          <w:shd w:val="clear" w:color="auto" w:fill="FFFFFF"/>
        </w:rPr>
        <w:t>声明，根据《政府采购促进中小企业发展管理办法》（财库﹝2020﹞46 号）的规定，本公司（联合体）参加</w:t>
      </w:r>
      <w:r>
        <w:rPr>
          <w:rFonts w:hint="eastAsia" w:ascii="宋体" w:hAnsi="宋体" w:eastAsia="宋体" w:cs="宋体"/>
          <w:color w:val="333333"/>
          <w:spacing w:val="-8"/>
          <w:sz w:val="24"/>
          <w:highlight w:val="none"/>
          <w:u w:val="single"/>
          <w:shd w:val="clear" w:color="auto" w:fill="FFFFFF"/>
        </w:rPr>
        <w:t>（单位名称）</w:t>
      </w:r>
      <w:r>
        <w:rPr>
          <w:rFonts w:hint="eastAsia" w:ascii="宋体" w:hAnsi="宋体" w:eastAsia="宋体" w:cs="宋体"/>
          <w:color w:val="333333"/>
          <w:spacing w:val="-8"/>
          <w:sz w:val="24"/>
          <w:highlight w:val="none"/>
          <w:shd w:val="clear" w:color="auto" w:fill="FFFFFF"/>
        </w:rPr>
        <w:t>的</w:t>
      </w:r>
      <w:r>
        <w:rPr>
          <w:rFonts w:hint="eastAsia" w:ascii="宋体" w:hAnsi="宋体" w:eastAsia="宋体" w:cs="宋体"/>
          <w:color w:val="333333"/>
          <w:spacing w:val="-8"/>
          <w:sz w:val="24"/>
          <w:highlight w:val="none"/>
          <w:u w:val="single"/>
          <w:shd w:val="clear" w:color="auto" w:fill="FFFFFF"/>
        </w:rPr>
        <w:t>（项目名称）</w:t>
      </w:r>
      <w:r>
        <w:rPr>
          <w:rFonts w:hint="eastAsia" w:ascii="宋体" w:hAnsi="宋体" w:eastAsia="宋体" w:cs="宋体"/>
          <w:color w:val="333333"/>
          <w:spacing w:val="-8"/>
          <w:sz w:val="24"/>
          <w:highlight w:val="none"/>
          <w:shd w:val="clear" w:color="auto" w:fill="FFFFFF"/>
        </w:rPr>
        <w:t>采购活动，提供的货物全部由符合政策要求的中小企业制造。相关企业（含联合体中的中小企业、签订分包意向协议的中小企业）的具体情况如下：</w:t>
      </w:r>
    </w:p>
    <w:p>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 xml:space="preserve">1. </w:t>
      </w:r>
      <w:r>
        <w:rPr>
          <w:rFonts w:hint="eastAsia" w:ascii="宋体" w:hAnsi="宋体" w:eastAsia="宋体" w:cs="宋体"/>
          <w:color w:val="333333"/>
          <w:spacing w:val="-8"/>
          <w:sz w:val="24"/>
          <w:highlight w:val="none"/>
          <w:u w:val="single"/>
          <w:shd w:val="clear" w:color="auto" w:fill="FFFFFF"/>
        </w:rPr>
        <w:t xml:space="preserve">（标的名称） </w:t>
      </w:r>
      <w:r>
        <w:rPr>
          <w:rFonts w:hint="eastAsia" w:ascii="宋体" w:hAnsi="宋体" w:eastAsia="宋体" w:cs="宋体"/>
          <w:color w:val="333333"/>
          <w:spacing w:val="-8"/>
          <w:sz w:val="24"/>
          <w:highlight w:val="none"/>
          <w:shd w:val="clear" w:color="auto" w:fill="FFFFFF"/>
        </w:rPr>
        <w:t>，属于</w:t>
      </w:r>
      <w:r>
        <w:rPr>
          <w:rFonts w:hint="eastAsia" w:ascii="宋体" w:hAnsi="宋体" w:eastAsia="宋体" w:cs="宋体"/>
          <w:color w:val="333333"/>
          <w:spacing w:val="-8"/>
          <w:sz w:val="24"/>
          <w:highlight w:val="none"/>
          <w:u w:val="single"/>
          <w:shd w:val="clear" w:color="auto" w:fill="FFFFFF"/>
        </w:rPr>
        <w:t>（所属行业）</w:t>
      </w:r>
      <w:r>
        <w:rPr>
          <w:rFonts w:hint="eastAsia" w:ascii="宋体" w:hAnsi="宋体" w:eastAsia="宋体" w:cs="宋体"/>
          <w:color w:val="333333"/>
          <w:spacing w:val="-8"/>
          <w:sz w:val="24"/>
          <w:highlight w:val="none"/>
          <w:shd w:val="clear" w:color="auto" w:fill="FFFFFF"/>
        </w:rPr>
        <w:t>行业；制造商为</w:t>
      </w:r>
      <w:r>
        <w:rPr>
          <w:rFonts w:hint="eastAsia" w:ascii="宋体" w:hAnsi="宋体" w:eastAsia="宋体" w:cs="宋体"/>
          <w:color w:val="333333"/>
          <w:spacing w:val="-8"/>
          <w:sz w:val="24"/>
          <w:highlight w:val="none"/>
          <w:u w:val="single"/>
          <w:shd w:val="clear" w:color="auto" w:fill="FFFFFF"/>
        </w:rPr>
        <w:t>（企业名称）</w:t>
      </w:r>
      <w:r>
        <w:rPr>
          <w:rFonts w:hint="eastAsia" w:ascii="宋体" w:hAnsi="宋体" w:eastAsia="宋体" w:cs="宋体"/>
          <w:color w:val="333333"/>
          <w:spacing w:val="-8"/>
          <w:sz w:val="24"/>
          <w:highlight w:val="none"/>
          <w:shd w:val="clear" w:color="auto" w:fill="FFFFFF"/>
        </w:rPr>
        <w:t>，从业人员</w:t>
      </w:r>
      <w:r>
        <w:rPr>
          <w:rFonts w:hint="eastAsia" w:ascii="宋体" w:hAnsi="宋体" w:eastAsia="宋体" w:cs="宋体"/>
          <w:color w:val="333333"/>
          <w:spacing w:val="-8"/>
          <w:sz w:val="24"/>
          <w:highlight w:val="none"/>
          <w:u w:val="single"/>
          <w:shd w:val="clear" w:color="auto" w:fill="FFFFFF"/>
        </w:rPr>
        <w:t xml:space="preserve">          人</w:t>
      </w:r>
      <w:r>
        <w:rPr>
          <w:rFonts w:hint="eastAsia" w:ascii="宋体" w:hAnsi="宋体" w:eastAsia="宋体" w:cs="宋体"/>
          <w:color w:val="333333"/>
          <w:spacing w:val="-8"/>
          <w:sz w:val="24"/>
          <w:highlight w:val="none"/>
          <w:shd w:val="clear" w:color="auto" w:fill="FFFFFF"/>
        </w:rPr>
        <w:t>，营业收入为万元，资产总额为万元 ，属于</w:t>
      </w:r>
      <w:r>
        <w:rPr>
          <w:rFonts w:hint="eastAsia" w:ascii="宋体" w:hAnsi="宋体" w:eastAsia="宋体" w:cs="宋体"/>
          <w:color w:val="333333"/>
          <w:spacing w:val="-8"/>
          <w:sz w:val="24"/>
          <w:highlight w:val="none"/>
          <w:u w:val="single"/>
          <w:shd w:val="clear" w:color="auto" w:fill="FFFFFF"/>
        </w:rPr>
        <w:t>（中型企业、小型企业、微型企业）</w:t>
      </w:r>
      <w:r>
        <w:rPr>
          <w:rFonts w:hint="eastAsia" w:ascii="宋体" w:hAnsi="宋体" w:eastAsia="宋体" w:cs="宋体"/>
          <w:color w:val="333333"/>
          <w:spacing w:val="-8"/>
          <w:sz w:val="24"/>
          <w:highlight w:val="none"/>
          <w:shd w:val="clear" w:color="auto" w:fill="FFFFFF"/>
        </w:rPr>
        <w:t>；</w:t>
      </w:r>
    </w:p>
    <w:p>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 xml:space="preserve">2. </w:t>
      </w:r>
      <w:r>
        <w:rPr>
          <w:rFonts w:hint="eastAsia" w:ascii="宋体" w:hAnsi="宋体" w:eastAsia="宋体" w:cs="宋体"/>
          <w:color w:val="333333"/>
          <w:spacing w:val="-8"/>
          <w:sz w:val="24"/>
          <w:highlight w:val="none"/>
          <w:u w:val="single"/>
          <w:shd w:val="clear" w:color="auto" w:fill="FFFFFF"/>
        </w:rPr>
        <w:t>（标的名称）</w:t>
      </w:r>
      <w:r>
        <w:rPr>
          <w:rFonts w:hint="eastAsia" w:ascii="宋体" w:hAnsi="宋体" w:eastAsia="宋体" w:cs="宋体"/>
          <w:color w:val="333333"/>
          <w:spacing w:val="-8"/>
          <w:sz w:val="24"/>
          <w:highlight w:val="none"/>
          <w:shd w:val="clear" w:color="auto" w:fill="FFFFFF"/>
        </w:rPr>
        <w:t xml:space="preserve"> ，属于</w:t>
      </w:r>
      <w:r>
        <w:rPr>
          <w:rFonts w:hint="eastAsia" w:ascii="宋体" w:hAnsi="宋体" w:eastAsia="宋体" w:cs="宋体"/>
          <w:color w:val="333333"/>
          <w:spacing w:val="-8"/>
          <w:sz w:val="24"/>
          <w:highlight w:val="none"/>
          <w:u w:val="single"/>
          <w:shd w:val="clear" w:color="auto" w:fill="FFFFFF"/>
        </w:rPr>
        <w:t>（所属行业）</w:t>
      </w:r>
      <w:r>
        <w:rPr>
          <w:rFonts w:hint="eastAsia" w:ascii="宋体" w:hAnsi="宋体" w:eastAsia="宋体" w:cs="宋体"/>
          <w:color w:val="333333"/>
          <w:spacing w:val="-8"/>
          <w:sz w:val="24"/>
          <w:highlight w:val="none"/>
          <w:shd w:val="clear" w:color="auto" w:fill="FFFFFF"/>
        </w:rPr>
        <w:t>行业；制造商为</w:t>
      </w:r>
      <w:r>
        <w:rPr>
          <w:rFonts w:hint="eastAsia" w:ascii="宋体" w:hAnsi="宋体" w:eastAsia="宋体" w:cs="宋体"/>
          <w:color w:val="333333"/>
          <w:spacing w:val="-8"/>
          <w:sz w:val="24"/>
          <w:highlight w:val="none"/>
          <w:u w:val="single"/>
          <w:shd w:val="clear" w:color="auto" w:fill="FFFFFF"/>
        </w:rPr>
        <w:t>（企业名称）</w:t>
      </w:r>
      <w:r>
        <w:rPr>
          <w:rFonts w:hint="eastAsia" w:ascii="宋体" w:hAnsi="宋体" w:eastAsia="宋体" w:cs="宋体"/>
          <w:color w:val="333333"/>
          <w:spacing w:val="-8"/>
          <w:sz w:val="24"/>
          <w:highlight w:val="none"/>
          <w:shd w:val="clear" w:color="auto" w:fill="FFFFFF"/>
        </w:rPr>
        <w:t>，从业人员人，营业收入为万元，资产总额为万元，属于</w:t>
      </w:r>
      <w:r>
        <w:rPr>
          <w:rFonts w:hint="eastAsia" w:ascii="宋体" w:hAnsi="宋体" w:eastAsia="宋体" w:cs="宋体"/>
          <w:color w:val="333333"/>
          <w:spacing w:val="-8"/>
          <w:sz w:val="24"/>
          <w:highlight w:val="none"/>
          <w:u w:val="single"/>
          <w:shd w:val="clear" w:color="auto" w:fill="FFFFFF"/>
        </w:rPr>
        <w:t>（中型企业、小型企业、微型企业）</w:t>
      </w:r>
      <w:r>
        <w:rPr>
          <w:rFonts w:hint="eastAsia" w:ascii="宋体" w:hAnsi="宋体" w:eastAsia="宋体" w:cs="宋体"/>
          <w:color w:val="333333"/>
          <w:spacing w:val="-8"/>
          <w:sz w:val="24"/>
          <w:highlight w:val="none"/>
          <w:shd w:val="clear" w:color="auto" w:fill="FFFFFF"/>
        </w:rPr>
        <w:t>；</w:t>
      </w:r>
    </w:p>
    <w:p>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w:t>
      </w:r>
    </w:p>
    <w:p>
      <w:pPr>
        <w:wordWrap w:val="0"/>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以上企业，不属于大企业的分支机构，不存在控股股东为大企业的情形，也不存在与大企业的负责人为同一人的情形。</w:t>
      </w:r>
    </w:p>
    <w:p>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本企业对上述声明内容的真实性负责。如有虚假，将依法承担相应责任。</w:t>
      </w:r>
    </w:p>
    <w:p>
      <w:pPr>
        <w:pStyle w:val="48"/>
        <w:rPr>
          <w:rFonts w:hint="eastAsia" w:ascii="宋体" w:hAnsi="宋体" w:eastAsia="宋体" w:cs="宋体"/>
          <w:color w:val="333333"/>
          <w:spacing w:val="-8"/>
          <w:highlight w:val="none"/>
          <w:shd w:val="clear" w:color="auto" w:fill="FFFFFF"/>
        </w:rPr>
      </w:pPr>
    </w:p>
    <w:p>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pPr>
        <w:widowControl/>
        <w:jc w:val="left"/>
        <w:rPr>
          <w:rFonts w:hint="eastAsia" w:ascii="宋体" w:hAnsi="宋体" w:eastAsia="宋体" w:cs="宋体"/>
          <w:kern w:val="0"/>
          <w:sz w:val="28"/>
          <w:highlight w:val="none"/>
        </w:rPr>
      </w:pPr>
      <w:r>
        <w:rPr>
          <w:rFonts w:hint="eastAsia" w:ascii="宋体" w:hAnsi="宋体" w:eastAsia="宋体" w:cs="宋体"/>
          <w:b/>
          <w:sz w:val="24"/>
          <w:highlight w:val="none"/>
          <w:lang w:val="zh-CN"/>
        </w:rPr>
        <w:t>注：</w:t>
      </w:r>
      <w:r>
        <w:rPr>
          <w:rFonts w:hint="eastAsia" w:ascii="宋体" w:hAnsi="宋体" w:eastAsia="宋体" w:cs="宋体"/>
          <w:b/>
          <w:sz w:val="22"/>
          <w:highlight w:val="none"/>
        </w:rPr>
        <w:t>从业人员、营业收入、资产总额填报上一年度数据，无上一年度数据的新成立企业可不填报。</w:t>
      </w:r>
    </w:p>
    <w:p>
      <w:pPr>
        <w:widowControl/>
        <w:jc w:val="left"/>
        <w:rPr>
          <w:rFonts w:hint="eastAsia" w:ascii="宋体" w:hAnsi="宋体" w:eastAsia="宋体" w:cs="宋体"/>
          <w:kern w:val="0"/>
          <w:sz w:val="28"/>
          <w:highlight w:val="none"/>
        </w:rPr>
      </w:pPr>
    </w:p>
    <w:p>
      <w:pPr>
        <w:widowControl/>
        <w:jc w:val="left"/>
        <w:rPr>
          <w:rFonts w:hint="eastAsia" w:ascii="宋体" w:hAnsi="宋体" w:eastAsia="宋体" w:cs="宋体"/>
          <w:kern w:val="0"/>
          <w:sz w:val="28"/>
          <w:highlight w:val="none"/>
        </w:rPr>
      </w:pPr>
    </w:p>
    <w:p>
      <w:pPr>
        <w:widowControl/>
        <w:jc w:val="left"/>
        <w:rPr>
          <w:rFonts w:hint="eastAsia" w:ascii="宋体" w:hAnsi="宋体" w:eastAsia="宋体" w:cs="宋体"/>
          <w:kern w:val="0"/>
          <w:sz w:val="28"/>
          <w:highlight w:val="none"/>
        </w:rPr>
      </w:pPr>
    </w:p>
    <w:p>
      <w:pPr>
        <w:pStyle w:val="122"/>
        <w:snapToGrid w:val="0"/>
        <w:spacing w:line="360" w:lineRule="auto"/>
        <w:jc w:val="both"/>
        <w:rPr>
          <w:rFonts w:hint="eastAsia" w:ascii="宋体" w:hAnsi="宋体" w:eastAsia="宋体" w:cs="宋体"/>
          <w:b/>
          <w:sz w:val="24"/>
          <w:highlight w:val="none"/>
          <w:lang w:val="zh-CN"/>
        </w:rPr>
      </w:pPr>
      <w:r>
        <w:rPr>
          <w:rFonts w:hint="eastAsia" w:ascii="宋体" w:hAnsi="宋体" w:eastAsia="宋体" w:cs="宋体"/>
          <w:kern w:val="0"/>
          <w:sz w:val="28"/>
          <w:highlight w:val="none"/>
        </w:rPr>
        <w:br w:type="page"/>
      </w:r>
    </w:p>
    <w:p>
      <w:pPr>
        <w:widowControl/>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商务、技术部分</w:t>
      </w:r>
    </w:p>
    <w:p>
      <w:pPr>
        <w:pStyle w:val="164"/>
        <w:widowControl/>
        <w:tabs>
          <w:tab w:val="left" w:pos="567"/>
        </w:tabs>
        <w:snapToGrid w:val="0"/>
        <w:spacing w:line="360" w:lineRule="auto"/>
        <w:ind w:left="390" w:firstLine="0" w:firstLineChars="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1．法定代表人（负责人）身份证明书格式</w:t>
      </w:r>
    </w:p>
    <w:p>
      <w:pPr>
        <w:widowControl/>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法定代表人（负责人）身份证明书 </w:t>
      </w:r>
    </w:p>
    <w:p>
      <w:pPr>
        <w:widowControl/>
        <w:snapToGrid w:val="0"/>
        <w:spacing w:line="360" w:lineRule="auto"/>
        <w:ind w:firstLine="562" w:firstLineChars="200"/>
        <w:jc w:val="left"/>
        <w:rPr>
          <w:rFonts w:hint="eastAsia" w:ascii="宋体" w:hAnsi="宋体" w:eastAsia="宋体" w:cs="宋体"/>
          <w:b/>
          <w:kern w:val="0"/>
          <w:sz w:val="28"/>
          <w:highlight w:val="none"/>
        </w:rPr>
      </w:pP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单位名称：</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单位性质：</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地    址：</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成立时间：               年    月    日</w:t>
      </w:r>
    </w:p>
    <w:p>
      <w:pPr>
        <w:widowControl/>
        <w:snapToGrid w:val="0"/>
        <w:spacing w:line="360" w:lineRule="auto"/>
        <w:ind w:firstLine="465"/>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经营期限：</w:t>
      </w:r>
    </w:p>
    <w:p>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姓    名：  </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性  别：</w:t>
      </w:r>
      <w:r>
        <w:rPr>
          <w:rFonts w:hint="eastAsia" w:ascii="宋体" w:hAnsi="宋体" w:eastAsia="宋体" w:cs="宋体"/>
          <w:sz w:val="24"/>
          <w:highlight w:val="none"/>
          <w:u w:val="single"/>
        </w:rPr>
        <w:t xml:space="preserve">       </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 xml:space="preserve">年    龄：              职  务： </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系       （投标人名称）          的法定代表人。</w:t>
      </w:r>
    </w:p>
    <w:p>
      <w:pPr>
        <w:widowControl/>
        <w:snapToGrid w:val="0"/>
        <w:spacing w:line="360" w:lineRule="auto"/>
        <w:jc w:val="left"/>
        <w:rPr>
          <w:rFonts w:hint="eastAsia" w:ascii="宋体" w:hAnsi="宋体" w:eastAsia="宋体" w:cs="宋体"/>
          <w:kern w:val="0"/>
          <w:sz w:val="24"/>
          <w:highlight w:val="none"/>
        </w:rPr>
      </w:pPr>
    </w:p>
    <w:p>
      <w:pPr>
        <w:widowControl/>
        <w:snapToGrid w:val="0"/>
        <w:spacing w:line="360" w:lineRule="auto"/>
        <w:ind w:firstLine="960" w:firstLine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特此证明。</w:t>
      </w:r>
    </w:p>
    <w:p>
      <w:pPr>
        <w:widowControl/>
        <w:snapToGrid w:val="0"/>
        <w:spacing w:line="360" w:lineRule="auto"/>
        <w:jc w:val="left"/>
        <w:rPr>
          <w:rFonts w:hint="eastAsia" w:ascii="宋体" w:hAnsi="宋体" w:eastAsia="宋体" w:cs="宋体"/>
          <w:kern w:val="0"/>
          <w:sz w:val="24"/>
          <w:highlight w:val="none"/>
        </w:rPr>
      </w:pPr>
    </w:p>
    <w:p>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（盖章）</w:t>
      </w:r>
    </w:p>
    <w:p>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 xml:space="preserve"> (签字或盖章)</w:t>
      </w:r>
    </w:p>
    <w:p>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日　期：</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kern w:val="0"/>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附法定代表人第二代身份证正反面扫描件。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pPr>
              <w:spacing w:line="360" w:lineRule="auto"/>
              <w:rPr>
                <w:rFonts w:hint="eastAsia" w:ascii="宋体" w:hAnsi="宋体" w:eastAsia="宋体" w:cs="宋体"/>
                <w:sz w:val="24"/>
                <w:highlight w:val="none"/>
              </w:rPr>
            </w:pPr>
          </w:p>
        </w:tc>
        <w:tc>
          <w:tcPr>
            <w:tcW w:w="4615" w:type="dxa"/>
          </w:tcPr>
          <w:p>
            <w:pPr>
              <w:spacing w:line="360" w:lineRule="auto"/>
              <w:rPr>
                <w:rFonts w:hint="eastAsia" w:ascii="宋体" w:hAnsi="宋体" w:eastAsia="宋体" w:cs="宋体"/>
                <w:sz w:val="24"/>
                <w:highlight w:val="none"/>
              </w:rPr>
            </w:pPr>
          </w:p>
        </w:tc>
      </w:tr>
    </w:tbl>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2．法定代表人（负责人）授权委托书格式</w:t>
      </w:r>
    </w:p>
    <w:p>
      <w:pPr>
        <w:widowControl/>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pPr>
        <w:widowControl/>
        <w:snapToGrid w:val="0"/>
        <w:spacing w:line="360" w:lineRule="auto"/>
        <w:jc w:val="left"/>
        <w:rPr>
          <w:rFonts w:hint="eastAsia" w:ascii="宋体" w:hAnsi="宋体" w:eastAsia="宋体" w:cs="宋体"/>
          <w:kern w:val="0"/>
          <w:sz w:val="28"/>
          <w:szCs w:val="21"/>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本授权书声明：注册于</w:t>
      </w:r>
      <w:r>
        <w:rPr>
          <w:rFonts w:hint="eastAsia" w:ascii="宋体" w:hAnsi="宋体" w:eastAsia="宋体" w:cs="宋体"/>
          <w:kern w:val="0"/>
          <w:sz w:val="24"/>
          <w:highlight w:val="none"/>
          <w:u w:val="single"/>
        </w:rPr>
        <w:t xml:space="preserve">             （投标人住址）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 xml:space="preserve">               （投标人名称）</w:t>
      </w: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u w:val="single"/>
        </w:rPr>
        <w:t xml:space="preserve">        （法定代表人姓名、职务）</w:t>
      </w:r>
      <w:r>
        <w:rPr>
          <w:rFonts w:hint="eastAsia" w:ascii="宋体" w:hAnsi="宋体" w:eastAsia="宋体" w:cs="宋体"/>
          <w:kern w:val="0"/>
          <w:sz w:val="24"/>
          <w:highlight w:val="none"/>
        </w:rPr>
        <w:t>代表本公司授权在下面签字的</w:t>
      </w:r>
      <w:r>
        <w:rPr>
          <w:rFonts w:hint="eastAsia" w:ascii="宋体" w:hAnsi="宋体" w:eastAsia="宋体" w:cs="宋体"/>
          <w:kern w:val="0"/>
          <w:sz w:val="24"/>
          <w:highlight w:val="none"/>
          <w:u w:val="single"/>
        </w:rPr>
        <w:t xml:space="preserve">     （被授权人姓名、职务）</w:t>
      </w:r>
      <w:r>
        <w:rPr>
          <w:rFonts w:hint="eastAsia" w:ascii="宋体" w:hAnsi="宋体" w:eastAsia="宋体" w:cs="宋体"/>
          <w:kern w:val="0"/>
          <w:sz w:val="24"/>
          <w:highlight w:val="none"/>
        </w:rPr>
        <w:t>为本公司的合法代理人，就贵方组织的项目，项目编号：，以本公司名义处理一切与之有关的事务。</w:t>
      </w:r>
    </w:p>
    <w:p>
      <w:pPr>
        <w:widowControl/>
        <w:snapToGrid w:val="0"/>
        <w:spacing w:line="360" w:lineRule="auto"/>
        <w:ind w:firstLine="480"/>
        <w:jc w:val="left"/>
        <w:rPr>
          <w:rFonts w:hint="eastAsia" w:ascii="宋体" w:hAnsi="宋体" w:eastAsia="宋体" w:cs="宋体"/>
          <w:kern w:val="0"/>
          <w:sz w:val="24"/>
          <w:highlight w:val="none"/>
        </w:rPr>
      </w:pPr>
    </w:p>
    <w:p>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    年   月  日起生效。</w:t>
      </w:r>
    </w:p>
    <w:p>
      <w:pPr>
        <w:widowControl/>
        <w:snapToGrid w:val="0"/>
        <w:spacing w:line="360" w:lineRule="auto"/>
        <w:ind w:firstLine="480"/>
        <w:jc w:val="left"/>
        <w:rPr>
          <w:rFonts w:hint="eastAsia" w:ascii="宋体" w:hAnsi="宋体" w:eastAsia="宋体" w:cs="宋体"/>
          <w:kern w:val="0"/>
          <w:sz w:val="24"/>
          <w:highlight w:val="none"/>
        </w:rPr>
      </w:pPr>
    </w:p>
    <w:p>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pPr>
        <w:widowControl/>
        <w:snapToGrid w:val="0"/>
        <w:spacing w:line="360" w:lineRule="auto"/>
        <w:jc w:val="center"/>
        <w:rPr>
          <w:rFonts w:hint="eastAsia" w:ascii="宋体" w:hAnsi="宋体" w:eastAsia="宋体" w:cs="宋体"/>
          <w:kern w:val="0"/>
          <w:sz w:val="24"/>
          <w:highlight w:val="none"/>
        </w:rPr>
      </w:pPr>
    </w:p>
    <w:p>
      <w:pPr>
        <w:widowControl/>
        <w:snapToGrid w:val="0"/>
        <w:spacing w:line="360" w:lineRule="auto"/>
        <w:jc w:val="center"/>
        <w:rPr>
          <w:rFonts w:hint="eastAsia" w:ascii="宋体" w:hAnsi="宋体" w:eastAsia="宋体" w:cs="宋体"/>
          <w:kern w:val="0"/>
          <w:sz w:val="24"/>
          <w:highlight w:val="none"/>
        </w:rPr>
      </w:pPr>
    </w:p>
    <w:p>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（盖章）</w:t>
      </w:r>
    </w:p>
    <w:p>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（签字或盖章）</w:t>
      </w:r>
    </w:p>
    <w:p>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被授权人代表：</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 xml:space="preserve">（签字或盖章）                                                  </w:t>
      </w:r>
    </w:p>
    <w:p>
      <w:pPr>
        <w:widowControl/>
        <w:tabs>
          <w:tab w:val="left" w:pos="730"/>
        </w:tabs>
        <w:snapToGrid w:val="0"/>
        <w:spacing w:line="360" w:lineRule="auto"/>
        <w:rPr>
          <w:rFonts w:hint="eastAsia" w:ascii="宋体" w:hAnsi="宋体" w:eastAsia="宋体" w:cs="宋体"/>
          <w:kern w:val="0"/>
          <w:sz w:val="24"/>
          <w:highlight w:val="none"/>
        </w:rPr>
      </w:pPr>
    </w:p>
    <w:p>
      <w:pPr>
        <w:widowControl/>
        <w:tabs>
          <w:tab w:val="left" w:pos="730"/>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附被授权人第二代身份证正反面扫描件。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pPr>
              <w:spacing w:line="360" w:lineRule="auto"/>
              <w:rPr>
                <w:rFonts w:hint="eastAsia" w:ascii="宋体" w:hAnsi="宋体" w:eastAsia="宋体" w:cs="宋体"/>
                <w:sz w:val="24"/>
                <w:highlight w:val="none"/>
              </w:rPr>
            </w:pPr>
          </w:p>
        </w:tc>
        <w:tc>
          <w:tcPr>
            <w:tcW w:w="4615" w:type="dxa"/>
          </w:tcPr>
          <w:p>
            <w:pPr>
              <w:spacing w:line="360" w:lineRule="auto"/>
              <w:rPr>
                <w:rFonts w:hint="eastAsia" w:ascii="宋体" w:hAnsi="宋体" w:eastAsia="宋体" w:cs="宋体"/>
                <w:sz w:val="24"/>
                <w:highlight w:val="none"/>
              </w:rPr>
            </w:pPr>
          </w:p>
        </w:tc>
      </w:tr>
    </w:tbl>
    <w:p>
      <w:pPr>
        <w:widowControl/>
        <w:snapToGrid w:val="0"/>
        <w:spacing w:line="360" w:lineRule="auto"/>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pPr>
        <w:widowControl/>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1. 除可填报项目外，对本法定代表人授权委托书的任何修改将被视为未实质性响应投标，从而导致该投标被拒绝； </w:t>
      </w:r>
    </w:p>
    <w:p>
      <w:pPr>
        <w:widowControl/>
        <w:tabs>
          <w:tab w:val="left" w:pos="567"/>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 若投标人代表为法定代表人（负责人）的可不提供。</w:t>
      </w: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3．投标函格式</w:t>
      </w:r>
    </w:p>
    <w:p>
      <w:pPr>
        <w:spacing w:line="480" w:lineRule="exact"/>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投  标  函</w:t>
      </w:r>
    </w:p>
    <w:p>
      <w:pPr>
        <w:widowControl/>
        <w:tabs>
          <w:tab w:val="left" w:pos="4860"/>
        </w:tabs>
        <w:snapToGrid w:val="0"/>
        <w:spacing w:line="360" w:lineRule="auto"/>
        <w:rPr>
          <w:rFonts w:hint="eastAsia" w:ascii="宋体" w:hAnsi="宋体" w:eastAsia="宋体" w:cs="宋体"/>
          <w:kern w:val="0"/>
          <w:sz w:val="24"/>
          <w:highlight w:val="none"/>
          <w:u w:val="singl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（投标人全称）</w:t>
      </w:r>
      <w:r>
        <w:rPr>
          <w:rFonts w:hint="eastAsia" w:ascii="宋体" w:hAnsi="宋体" w:eastAsia="宋体" w:cs="宋体"/>
          <w:kern w:val="0"/>
          <w:sz w:val="24"/>
          <w:highlight w:val="none"/>
        </w:rPr>
        <w:t>授权</w:t>
      </w:r>
      <w:r>
        <w:rPr>
          <w:rFonts w:hint="eastAsia" w:ascii="宋体" w:hAnsi="宋体" w:eastAsia="宋体" w:cs="宋体"/>
          <w:kern w:val="0"/>
          <w:sz w:val="24"/>
          <w:highlight w:val="none"/>
          <w:u w:val="single"/>
        </w:rPr>
        <w:t xml:space="preserve">             （投标人代表姓名、职务）</w:t>
      </w:r>
      <w:r>
        <w:rPr>
          <w:rFonts w:hint="eastAsia" w:ascii="宋体" w:hAnsi="宋体" w:eastAsia="宋体" w:cs="宋体"/>
          <w:kern w:val="0"/>
          <w:sz w:val="24"/>
          <w:highlight w:val="none"/>
        </w:rPr>
        <w:t>为我方代表，参加贵方组织的</w:t>
      </w:r>
      <w:r>
        <w:rPr>
          <w:rFonts w:hint="eastAsia" w:ascii="宋体" w:hAnsi="宋体" w:eastAsia="宋体" w:cs="宋体"/>
          <w:kern w:val="0"/>
          <w:sz w:val="24"/>
          <w:highlight w:val="none"/>
          <w:u w:val="single"/>
        </w:rPr>
        <w:t xml:space="preserve">              （项目名称）</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（项目编号</w:t>
      </w:r>
      <w:r>
        <w:rPr>
          <w:rFonts w:hint="eastAsia" w:ascii="宋体" w:hAnsi="宋体" w:cs="宋体"/>
          <w:kern w:val="0"/>
          <w:sz w:val="24"/>
          <w:highlight w:val="none"/>
          <w:u w:val="single"/>
          <w:lang w:eastAsia="zh-CN"/>
        </w:rPr>
        <w:t>、</w:t>
      </w:r>
      <w:r>
        <w:rPr>
          <w:rFonts w:hint="eastAsia" w:ascii="宋体" w:hAnsi="宋体" w:cs="宋体"/>
          <w:kern w:val="0"/>
          <w:sz w:val="24"/>
          <w:highlight w:val="none"/>
          <w:u w:val="single"/>
          <w:lang w:val="en-US" w:eastAsia="zh-CN"/>
        </w:rPr>
        <w:t>包号</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招标的有关活动，并对此项目进行投标。为此：</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1．我方同意在本项目招标文件中规定的投标文件递交截止之日起</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个日历天内遵守本投标文件中的承诺且在此期限期满之前均具有约束力。</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2．我方承诺已经具备《中华人民共和国政府采购法》中规定的参加政府采购活动的投标人应当具备的全部条件。</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3．提供投标须知规定的全部投标文件，包括投标文件正本、副本。</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4．按招标文件要求提供和交付的货物和服务的投标报价详见开标一览表。</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5．我方承诺：完全理解并接受投标报价超过预算金额时，投标将被拒绝。</w:t>
      </w:r>
    </w:p>
    <w:p>
      <w:pPr>
        <w:widowControl/>
        <w:tabs>
          <w:tab w:val="left" w:pos="1680"/>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6．保证忠实地执行双方所签订的合同，并承担合同规定的责任和义务。</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7．承诺完全满足和响应招标文件中的各项商务和技术要求，若有偏差，已在投标文件商务和技术条款偏离表中予以明确特别说明。</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8．保证遵守招标文件的规定。</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9．如果在开标后规定的投标有效期内撤回投标，我方的投标保证金可被贵方没收。</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10．我方完全理解贵方不接受可选择性投标。</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11．我方愿意向贵方提供任何与本项投标有关的数据、情况和技术资料。若贵方需要，我方愿意提供我方做出的一切承诺的证明材料。</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12．我方已详细审核全部投标文件，包括投标文件修改书（如有的话）、参考资料及有关附件，确认无误。</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13．我方承诺：采购人若需追加采购本项目招标文件所列货物及相关服务的，在不改变合同其他实质性条款的前提下，按相同或更优惠的折扣率保证供货。</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14．我方承诺接受招标文件中《合同条款》的全部条款且无任何异议。</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（1）提供虚假材料谋取中标、成交的；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（2）采取不正当手段诋毁、排挤其他投标人的；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（3）与采购人、其它投标人或者代理机构工作人员恶意串通的；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（4）向采购人、代理机构工作人员行贿或者提供其他不正当利益的；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（5）开标后撤回投标的；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（6）在评标期间，影响代理机构或评标委员会正常履行职责的；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（7）未经代理机构同意，在采购过程中与采购人进行协商投标的；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（8）中标后未按招标文件、投标文件及相关承诺规定签约或与采购人订立背离合同实质性内容的其它协议的；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（9）未按招标文件规定和合同约定履行义务的；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（10）拒绝有关部门监督检查或提供虚假情况的；</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（11）违犯法律法规规定的其他行为。</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所有有关本投标的一切往来联系方式为：</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                            邮编：</w:t>
      </w:r>
      <w:r>
        <w:rPr>
          <w:rFonts w:hint="eastAsia" w:ascii="宋体" w:hAnsi="宋体" w:eastAsia="宋体" w:cs="宋体"/>
          <w:kern w:val="0"/>
          <w:sz w:val="24"/>
          <w:highlight w:val="none"/>
        </w:rPr>
        <w:tab/>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电话：</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                            传真：</w:t>
      </w:r>
    </w:p>
    <w:p>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投标人代表联系电话：                （办公）         （移动）</w:t>
      </w:r>
    </w:p>
    <w:p>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E-mail:</w:t>
      </w:r>
    </w:p>
    <w:p>
      <w:pPr>
        <w:widowControl/>
        <w:tabs>
          <w:tab w:val="left" w:pos="480"/>
        </w:tabs>
        <w:snapToGrid w:val="0"/>
        <w:spacing w:line="360" w:lineRule="auto"/>
        <w:jc w:val="left"/>
        <w:rPr>
          <w:rFonts w:hint="eastAsia" w:ascii="宋体" w:hAnsi="宋体" w:eastAsia="宋体" w:cs="宋体"/>
          <w:kern w:val="0"/>
          <w:sz w:val="24"/>
          <w:highlight w:val="none"/>
        </w:rPr>
      </w:pPr>
    </w:p>
    <w:p>
      <w:pPr>
        <w:pStyle w:val="48"/>
        <w:rPr>
          <w:rFonts w:hint="eastAsia" w:ascii="宋体" w:hAnsi="宋体" w:eastAsia="宋体" w:cs="宋体"/>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widowControl/>
        <w:snapToGrid w:val="0"/>
        <w:spacing w:line="360" w:lineRule="auto"/>
        <w:jc w:val="left"/>
        <w:rPr>
          <w:rFonts w:hint="eastAsia" w:ascii="宋体" w:hAnsi="宋体" w:eastAsia="宋体" w:cs="宋体"/>
          <w:kern w:val="0"/>
          <w:sz w:val="24"/>
          <w:highlight w:val="none"/>
        </w:rPr>
      </w:pPr>
    </w:p>
    <w:p>
      <w:pPr>
        <w:widowControl/>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注：除可填报项目外，对本投标函内容的修改将被视为非实质性响应投标，从而导致该投标被拒绝。</w:t>
      </w:r>
    </w:p>
    <w:p>
      <w:pPr>
        <w:widowControl/>
        <w:snapToGrid w:val="0"/>
        <w:spacing w:line="360" w:lineRule="auto"/>
        <w:jc w:val="left"/>
        <w:rPr>
          <w:rFonts w:hint="eastAsia" w:ascii="宋体" w:hAnsi="宋体" w:eastAsia="宋体" w:cs="宋体"/>
          <w:kern w:val="0"/>
          <w:sz w:val="24"/>
          <w:highlight w:val="none"/>
        </w:rPr>
      </w:pPr>
    </w:p>
    <w:p>
      <w:pPr>
        <w:widowControl/>
        <w:snapToGrid w:val="0"/>
        <w:spacing w:line="360" w:lineRule="auto"/>
        <w:jc w:val="left"/>
        <w:rPr>
          <w:rFonts w:hint="eastAsia" w:ascii="宋体" w:hAnsi="宋体" w:eastAsia="宋体" w:cs="宋体"/>
          <w:kern w:val="0"/>
          <w:sz w:val="24"/>
          <w:highlight w:val="none"/>
        </w:rPr>
      </w:pPr>
    </w:p>
    <w:p>
      <w:pPr>
        <w:widowControl/>
        <w:spacing w:line="520" w:lineRule="atLeas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4</w:t>
      </w:r>
      <w:r>
        <w:rPr>
          <w:rFonts w:hint="eastAsia" w:ascii="宋体" w:hAnsi="宋体" w:eastAsia="宋体" w:cs="宋体"/>
          <w:b/>
          <w:kern w:val="0"/>
          <w:sz w:val="24"/>
          <w:highlight w:val="none"/>
        </w:rPr>
        <w:t>. 投标保证金缴纳凭证</w:t>
      </w:r>
      <w:r>
        <w:rPr>
          <w:rFonts w:hint="eastAsia" w:ascii="宋体" w:hAnsi="宋体" w:eastAsia="宋体" w:cs="宋体"/>
          <w:kern w:val="0"/>
          <w:sz w:val="24"/>
          <w:highlight w:val="none"/>
        </w:rPr>
        <w:t>（复印件或影印件须加盖投标人公章）</w:t>
      </w:r>
    </w:p>
    <w:p>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5</w:t>
      </w:r>
      <w:r>
        <w:rPr>
          <w:rFonts w:hint="eastAsia" w:ascii="宋体" w:hAnsi="宋体" w:eastAsia="宋体" w:cs="宋体"/>
          <w:b/>
          <w:kern w:val="0"/>
          <w:sz w:val="24"/>
          <w:highlight w:val="none"/>
        </w:rPr>
        <w:t>．开标一览表格式</w:t>
      </w: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（1）一包开标一览表格式：</w:t>
      </w:r>
    </w:p>
    <w:p>
      <w:pPr>
        <w:widowControl/>
        <w:snapToGrid w:val="0"/>
        <w:spacing w:line="360" w:lineRule="auto"/>
        <w:ind w:firstLine="562" w:firstLine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开标一览表  </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项目名称： </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包号：</w:t>
      </w:r>
    </w:p>
    <w:p>
      <w:pPr>
        <w:widowControl/>
        <w:snapToGrid w:val="0"/>
        <w:spacing w:line="360" w:lineRule="auto"/>
        <w:jc w:val="left"/>
        <w:rPr>
          <w:rFonts w:hint="eastAsia" w:ascii="宋体" w:hAnsi="宋体" w:eastAsia="宋体" w:cs="宋体"/>
          <w:kern w:val="0"/>
          <w:sz w:val="28"/>
          <w:highlight w:val="none"/>
        </w:rPr>
      </w:pPr>
      <w:r>
        <w:rPr>
          <w:rFonts w:hint="eastAsia" w:ascii="宋体" w:hAnsi="宋体" w:eastAsia="宋体" w:cs="宋体"/>
          <w:kern w:val="0"/>
          <w:sz w:val="24"/>
          <w:highlight w:val="none"/>
        </w:rPr>
        <w:t xml:space="preserve">                                                        货币：人民币/元 </w:t>
      </w:r>
    </w:p>
    <w:tbl>
      <w:tblPr>
        <w:tblStyle w:val="5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45"/>
        <w:gridCol w:w="709"/>
        <w:gridCol w:w="709"/>
        <w:gridCol w:w="708"/>
        <w:gridCol w:w="709"/>
        <w:gridCol w:w="851"/>
        <w:gridCol w:w="1608"/>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数量</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单价</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品牌</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规格型号</w:t>
            </w: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1</w:t>
            </w:r>
          </w:p>
        </w:tc>
        <w:tc>
          <w:tcPr>
            <w:tcW w:w="2245" w:type="dxa"/>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r>
              <w:rPr>
                <w:rFonts w:hint="eastAsia" w:ascii="宋体" w:hAnsi="宋体" w:cs="宋体"/>
                <w:bCs/>
                <w:kern w:val="0"/>
                <w:sz w:val="22"/>
                <w:szCs w:val="22"/>
                <w:highlight w:val="none"/>
                <w:lang w:val="en-US" w:eastAsia="zh-CN"/>
              </w:rPr>
              <w:t>0.5t/h单极反渗透净水设备</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ED7D31"/>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2</w:t>
            </w:r>
          </w:p>
        </w:tc>
        <w:tc>
          <w:tcPr>
            <w:tcW w:w="2245" w:type="dxa"/>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ED7D31"/>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3</w:t>
            </w:r>
          </w:p>
        </w:tc>
        <w:tc>
          <w:tcPr>
            <w:tcW w:w="2245" w:type="dxa"/>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4</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5</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总报价：（大写）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合同履约期限（交货期）：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其他承诺（如有）：</w:t>
            </w:r>
          </w:p>
        </w:tc>
      </w:tr>
    </w:tbl>
    <w:p>
      <w:pPr>
        <w:widowControl/>
        <w:tabs>
          <w:tab w:val="left" w:pos="4000"/>
        </w:tabs>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注：总报价包含货物的供应、运输、安装、调试、培训、售后服务、质保期服务、税金等于本项目相关的一切费用。</w:t>
      </w:r>
    </w:p>
    <w:p>
      <w:pPr>
        <w:spacing w:line="480" w:lineRule="auto"/>
        <w:ind w:left="1470" w:leftChars="700" w:firstLine="2520" w:firstLineChars="1050"/>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br w:type="page"/>
      </w: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（2）二包开标一览表格式：</w:t>
      </w:r>
    </w:p>
    <w:p>
      <w:pPr>
        <w:widowControl/>
        <w:snapToGrid w:val="0"/>
        <w:spacing w:line="360" w:lineRule="auto"/>
        <w:ind w:firstLine="562" w:firstLine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开标一览表  </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项目名称： </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p>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包号：</w:t>
      </w:r>
    </w:p>
    <w:p>
      <w:pPr>
        <w:widowControl/>
        <w:snapToGrid w:val="0"/>
        <w:spacing w:line="360" w:lineRule="auto"/>
        <w:jc w:val="left"/>
        <w:rPr>
          <w:rFonts w:hint="eastAsia" w:ascii="宋体" w:hAnsi="宋体" w:eastAsia="宋体" w:cs="宋体"/>
          <w:kern w:val="0"/>
          <w:sz w:val="28"/>
          <w:highlight w:val="none"/>
        </w:rPr>
      </w:pPr>
      <w:r>
        <w:rPr>
          <w:rFonts w:hint="eastAsia" w:ascii="宋体" w:hAnsi="宋体" w:eastAsia="宋体" w:cs="宋体"/>
          <w:kern w:val="0"/>
          <w:sz w:val="24"/>
          <w:highlight w:val="none"/>
        </w:rPr>
        <w:t xml:space="preserve">                                                        货币：人民币/元 </w:t>
      </w:r>
    </w:p>
    <w:tbl>
      <w:tblPr>
        <w:tblStyle w:val="5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45"/>
        <w:gridCol w:w="709"/>
        <w:gridCol w:w="709"/>
        <w:gridCol w:w="708"/>
        <w:gridCol w:w="709"/>
        <w:gridCol w:w="851"/>
        <w:gridCol w:w="1608"/>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22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数量</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单价</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品牌</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规格型号</w:t>
            </w: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1</w:t>
            </w:r>
          </w:p>
        </w:tc>
        <w:tc>
          <w:tcPr>
            <w:tcW w:w="2245" w:type="dxa"/>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lang w:val="en-US" w:eastAsia="zh-CN"/>
              </w:rPr>
              <w:t>太阳能发电系统+智能型水质消毒投加装置</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2</w:t>
            </w:r>
          </w:p>
        </w:tc>
        <w:tc>
          <w:tcPr>
            <w:tcW w:w="2245" w:type="dxa"/>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r>
              <w:rPr>
                <w:rFonts w:hint="eastAsia" w:ascii="宋体" w:hAnsi="宋体" w:eastAsia="宋体" w:cs="宋体"/>
                <w:bCs/>
                <w:kern w:val="0"/>
                <w:sz w:val="22"/>
                <w:szCs w:val="22"/>
                <w:highlight w:val="none"/>
                <w:lang w:val="en-US" w:eastAsia="zh-CN"/>
              </w:rPr>
              <w:t>全自动智能型水质消毒投加装置</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ED7D31"/>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3</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4</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highlight w:val="none"/>
              </w:rPr>
              <w:t>5</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2245"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总报价：（大写）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合同履约期限（交货期）：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其他承诺（如有）：</w:t>
            </w:r>
          </w:p>
        </w:tc>
      </w:tr>
    </w:tbl>
    <w:p>
      <w:pPr>
        <w:widowControl/>
        <w:tabs>
          <w:tab w:val="left" w:pos="4000"/>
        </w:tabs>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注：总报价包含货物的供应、运输、安装、调试、培训、售后服务、质保期服务、税金等于本项目相关的一切费用。</w:t>
      </w:r>
    </w:p>
    <w:p>
      <w:pPr>
        <w:spacing w:line="480" w:lineRule="auto"/>
        <w:ind w:left="1470" w:leftChars="700" w:firstLine="2520" w:firstLineChars="1050"/>
        <w:rPr>
          <w:rFonts w:hint="eastAsia" w:ascii="宋体" w:hAnsi="宋体" w:eastAsia="宋体" w:cs="宋体"/>
          <w:sz w:val="24"/>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rPr>
          <w:rFonts w:hint="eastAsia" w:ascii="宋体" w:hAnsi="宋体" w:eastAsia="宋体" w:cs="宋体"/>
          <w:highlight w:val="none"/>
        </w:rPr>
      </w:pPr>
      <w:r>
        <w:rPr>
          <w:rFonts w:hint="eastAsia" w:ascii="宋体" w:hAnsi="宋体" w:cs="宋体"/>
          <w:b/>
          <w:kern w:val="0"/>
          <w:sz w:val="24"/>
          <w:highlight w:val="none"/>
          <w:lang w:val="en-US" w:eastAsia="zh-CN"/>
        </w:rPr>
        <w:t>6</w:t>
      </w:r>
      <w:r>
        <w:rPr>
          <w:rFonts w:hint="eastAsia" w:ascii="宋体" w:hAnsi="宋体" w:eastAsia="宋体" w:cs="宋体"/>
          <w:b/>
          <w:kern w:val="0"/>
          <w:sz w:val="24"/>
          <w:highlight w:val="none"/>
        </w:rPr>
        <w:t>．商务条款响应表格式</w:t>
      </w:r>
    </w:p>
    <w:p>
      <w:pPr>
        <w:snapToGrid w:val="0"/>
        <w:ind w:firstLine="562" w:firstLineChars="2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项目名称：</w:t>
      </w:r>
    </w:p>
    <w:p>
      <w:pPr>
        <w:spacing w:line="480" w:lineRule="exact"/>
        <w:rPr>
          <w:rFonts w:hint="eastAsia" w:ascii="宋体" w:hAnsi="宋体" w:eastAsia="宋体" w:cs="宋体"/>
          <w:highlight w:val="none"/>
        </w:rPr>
      </w:pPr>
      <w:r>
        <w:rPr>
          <w:rFonts w:hint="eastAsia" w:ascii="宋体" w:hAnsi="宋体" w:eastAsia="宋体" w:cs="宋体"/>
          <w:sz w:val="24"/>
          <w:highlight w:val="none"/>
        </w:rPr>
        <w:t>项目编号：</w:t>
      </w:r>
    </w:p>
    <w:p>
      <w:pPr>
        <w:pStyle w:val="48"/>
        <w:rPr>
          <w:rFonts w:hint="eastAsia" w:ascii="宋体" w:hAnsi="宋体" w:eastAsia="宋体" w:cs="宋体"/>
          <w:sz w:val="24"/>
          <w:highlight w:val="none"/>
        </w:rPr>
      </w:pPr>
      <w:r>
        <w:rPr>
          <w:rFonts w:hint="eastAsia" w:ascii="宋体" w:hAnsi="宋体" w:eastAsia="宋体" w:cs="宋体"/>
          <w:sz w:val="24"/>
          <w:highlight w:val="none"/>
        </w:rPr>
        <w:t>包号：</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3015"/>
        <w:gridCol w:w="254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64" w:type="dxa"/>
            <w:vAlign w:val="center"/>
          </w:tcPr>
          <w:p>
            <w:pPr>
              <w:snapToGrid w:val="0"/>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3015" w:type="dxa"/>
            <w:vAlign w:val="center"/>
          </w:tcPr>
          <w:p>
            <w:pPr>
              <w:snapToGrid w:val="0"/>
              <w:jc w:val="center"/>
              <w:rPr>
                <w:rFonts w:hint="eastAsia" w:ascii="宋体" w:hAnsi="宋体" w:eastAsia="宋体" w:cs="宋体"/>
                <w:sz w:val="24"/>
                <w:highlight w:val="none"/>
              </w:rPr>
            </w:pPr>
            <w:r>
              <w:rPr>
                <w:rFonts w:hint="eastAsia" w:ascii="宋体" w:hAnsi="宋体" w:eastAsia="宋体" w:cs="宋体"/>
                <w:sz w:val="24"/>
                <w:highlight w:val="none"/>
              </w:rPr>
              <w:t>招标文件商务要求</w:t>
            </w:r>
          </w:p>
        </w:tc>
        <w:tc>
          <w:tcPr>
            <w:tcW w:w="2545" w:type="dxa"/>
            <w:vAlign w:val="center"/>
          </w:tcPr>
          <w:p>
            <w:pPr>
              <w:snapToGrid w:val="0"/>
              <w:jc w:val="center"/>
              <w:rPr>
                <w:rFonts w:hint="eastAsia" w:ascii="宋体" w:hAnsi="宋体" w:eastAsia="宋体" w:cs="宋体"/>
                <w:sz w:val="24"/>
                <w:highlight w:val="none"/>
              </w:rPr>
            </w:pPr>
            <w:r>
              <w:rPr>
                <w:rFonts w:hint="eastAsia" w:ascii="宋体" w:hAnsi="宋体" w:eastAsia="宋体" w:cs="宋体"/>
                <w:sz w:val="24"/>
                <w:highlight w:val="none"/>
              </w:rPr>
              <w:t>投标文件的对应响应</w:t>
            </w:r>
          </w:p>
        </w:tc>
        <w:tc>
          <w:tcPr>
            <w:tcW w:w="1100" w:type="dxa"/>
            <w:vAlign w:val="center"/>
          </w:tcPr>
          <w:p>
            <w:pPr>
              <w:snapToGrid w:val="0"/>
              <w:jc w:val="center"/>
              <w:rPr>
                <w:rFonts w:hint="eastAsia" w:ascii="宋体" w:hAnsi="宋体" w:eastAsia="宋体" w:cs="宋体"/>
                <w:sz w:val="24"/>
                <w:highlight w:val="none"/>
              </w:rPr>
            </w:pPr>
            <w:r>
              <w:rPr>
                <w:rFonts w:hint="eastAsia" w:ascii="宋体" w:hAnsi="宋体" w:eastAsia="宋体" w:cs="宋体"/>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napToGrid w:val="0"/>
              <w:spacing w:line="360" w:lineRule="auto"/>
              <w:jc w:val="left"/>
              <w:rPr>
                <w:rFonts w:hint="eastAsia" w:ascii="宋体" w:hAnsi="宋体" w:eastAsia="宋体" w:cs="宋体"/>
                <w:bCs/>
                <w:kern w:val="0"/>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napToGrid w:val="0"/>
              <w:spacing w:line="360" w:lineRule="auto"/>
              <w:jc w:val="left"/>
              <w:rPr>
                <w:rFonts w:hint="eastAsia" w:ascii="宋体" w:hAnsi="宋体" w:eastAsia="宋体" w:cs="宋体"/>
                <w:bCs/>
                <w:kern w:val="0"/>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napToGrid w:val="0"/>
              <w:spacing w:line="360" w:lineRule="auto"/>
              <w:jc w:val="left"/>
              <w:rPr>
                <w:rFonts w:hint="eastAsia" w:ascii="宋体" w:hAnsi="宋体" w:eastAsia="宋体" w:cs="宋体"/>
                <w:bCs/>
                <w:kern w:val="0"/>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pacing w:line="360" w:lineRule="auto"/>
              <w:rPr>
                <w:rFonts w:hint="eastAsia" w:ascii="宋体" w:hAnsi="宋体" w:eastAsia="宋体" w:cs="宋体"/>
                <w:bCs/>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pacing w:line="360" w:lineRule="auto"/>
              <w:rPr>
                <w:rFonts w:hint="eastAsia" w:ascii="宋体" w:hAnsi="宋体" w:eastAsia="宋体" w:cs="宋体"/>
                <w:bCs/>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napToGrid w:val="0"/>
              <w:spacing w:line="360" w:lineRule="auto"/>
              <w:jc w:val="left"/>
              <w:rPr>
                <w:rFonts w:hint="eastAsia" w:ascii="宋体" w:hAnsi="宋体" w:eastAsia="宋体" w:cs="宋体"/>
                <w:bCs/>
                <w:kern w:val="0"/>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764" w:type="dxa"/>
            <w:vAlign w:val="center"/>
          </w:tcPr>
          <w:p>
            <w:pPr>
              <w:snapToGrid w:val="0"/>
              <w:spacing w:line="360" w:lineRule="auto"/>
              <w:jc w:val="center"/>
              <w:rPr>
                <w:rFonts w:hint="eastAsia" w:ascii="宋体" w:hAnsi="宋体" w:eastAsia="宋体" w:cs="宋体"/>
                <w:sz w:val="24"/>
                <w:highlight w:val="none"/>
              </w:rPr>
            </w:pPr>
          </w:p>
        </w:tc>
        <w:tc>
          <w:tcPr>
            <w:tcW w:w="3015" w:type="dxa"/>
            <w:vAlign w:val="center"/>
          </w:tcPr>
          <w:p>
            <w:pPr>
              <w:spacing w:line="360" w:lineRule="auto"/>
              <w:rPr>
                <w:rFonts w:hint="eastAsia" w:ascii="宋体" w:hAnsi="宋体" w:eastAsia="宋体" w:cs="宋体"/>
                <w:bCs/>
                <w:kern w:val="0"/>
                <w:sz w:val="24"/>
                <w:highlight w:val="none"/>
              </w:rPr>
            </w:pPr>
          </w:p>
        </w:tc>
        <w:tc>
          <w:tcPr>
            <w:tcW w:w="2545" w:type="dxa"/>
            <w:vAlign w:val="center"/>
          </w:tcPr>
          <w:p>
            <w:pPr>
              <w:snapToGrid w:val="0"/>
              <w:jc w:val="center"/>
              <w:rPr>
                <w:rFonts w:hint="eastAsia" w:ascii="宋体" w:hAnsi="宋体" w:eastAsia="宋体" w:cs="宋体"/>
                <w:sz w:val="24"/>
                <w:highlight w:val="none"/>
              </w:rPr>
            </w:pPr>
          </w:p>
        </w:tc>
        <w:tc>
          <w:tcPr>
            <w:tcW w:w="1100" w:type="dxa"/>
            <w:vAlign w:val="center"/>
          </w:tcPr>
          <w:p>
            <w:pPr>
              <w:snapToGrid w:val="0"/>
              <w:jc w:val="center"/>
              <w:rPr>
                <w:rFonts w:hint="eastAsia" w:ascii="宋体" w:hAnsi="宋体" w:eastAsia="宋体" w:cs="宋体"/>
                <w:sz w:val="24"/>
                <w:highlight w:val="none"/>
              </w:rPr>
            </w:pPr>
          </w:p>
        </w:tc>
      </w:tr>
    </w:tbl>
    <w:p>
      <w:pPr>
        <w:snapToGrid w:val="0"/>
        <w:rPr>
          <w:rFonts w:hint="eastAsia" w:ascii="宋体" w:hAnsi="宋体" w:eastAsia="宋体" w:cs="宋体"/>
          <w:sz w:val="24"/>
          <w:highlight w:val="none"/>
          <w:u w:val="singl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p>
    <w:p>
      <w:pPr>
        <w:pStyle w:val="14"/>
        <w:rPr>
          <w:rFonts w:hint="eastAsia" w:ascii="宋体" w:hAnsi="宋体" w:eastAsia="宋体" w:cs="宋体"/>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7</w:t>
      </w:r>
      <w:r>
        <w:rPr>
          <w:rFonts w:hint="eastAsia" w:ascii="宋体" w:hAnsi="宋体" w:eastAsia="宋体" w:cs="宋体"/>
          <w:b/>
          <w:kern w:val="0"/>
          <w:sz w:val="24"/>
          <w:highlight w:val="none"/>
        </w:rPr>
        <w:t>．投标货物技术规范响应及偏离表格式</w:t>
      </w:r>
    </w:p>
    <w:p>
      <w:pPr>
        <w:widowControl/>
        <w:snapToGrid w:val="0"/>
        <w:spacing w:line="360" w:lineRule="auto"/>
        <w:jc w:val="center"/>
        <w:rPr>
          <w:rFonts w:hint="eastAsia" w:ascii="宋体" w:hAnsi="宋体" w:eastAsia="宋体" w:cs="宋体"/>
          <w:b/>
          <w:kern w:val="0"/>
          <w:sz w:val="28"/>
          <w:szCs w:val="28"/>
          <w:highlight w:val="none"/>
        </w:rPr>
      </w:pPr>
    </w:p>
    <w:p>
      <w:pPr>
        <w:widowControl/>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投标货物技术</w:t>
      </w:r>
      <w:r>
        <w:rPr>
          <w:rFonts w:hint="eastAsia" w:ascii="宋体" w:hAnsi="宋体" w:cs="宋体"/>
          <w:b/>
          <w:kern w:val="0"/>
          <w:sz w:val="28"/>
          <w:szCs w:val="28"/>
          <w:highlight w:val="none"/>
          <w:lang w:val="en-US" w:eastAsia="zh-CN"/>
        </w:rPr>
        <w:t>服务</w:t>
      </w:r>
      <w:r>
        <w:rPr>
          <w:rFonts w:hint="eastAsia" w:ascii="宋体" w:hAnsi="宋体" w:eastAsia="宋体" w:cs="宋体"/>
          <w:b/>
          <w:kern w:val="0"/>
          <w:sz w:val="28"/>
          <w:szCs w:val="28"/>
          <w:highlight w:val="none"/>
        </w:rPr>
        <w:t>规范响应及偏离表</w:t>
      </w:r>
    </w:p>
    <w:p>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p>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p>
      <w:pPr>
        <w:pStyle w:val="48"/>
        <w:rPr>
          <w:rFonts w:hint="eastAsia" w:ascii="宋体" w:hAnsi="宋体" w:eastAsia="宋体" w:cs="宋体"/>
          <w:sz w:val="24"/>
          <w:highlight w:val="none"/>
        </w:rPr>
      </w:pPr>
      <w:r>
        <w:rPr>
          <w:rFonts w:hint="eastAsia" w:ascii="宋体" w:hAnsi="宋体" w:eastAsia="宋体" w:cs="宋体"/>
          <w:sz w:val="24"/>
          <w:highlight w:val="none"/>
        </w:rPr>
        <w:t>包号：</w:t>
      </w:r>
    </w:p>
    <w:p>
      <w:pPr>
        <w:pStyle w:val="48"/>
        <w:rPr>
          <w:rFonts w:hint="eastAsia" w:ascii="宋体" w:hAnsi="宋体" w:eastAsia="宋体" w:cs="宋体"/>
          <w:sz w:val="24"/>
          <w:highlight w:val="none"/>
        </w:rPr>
      </w:pPr>
    </w:p>
    <w:tbl>
      <w:tblPr>
        <w:tblStyle w:val="5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276"/>
        <w:gridCol w:w="719"/>
        <w:gridCol w:w="692"/>
        <w:gridCol w:w="1917"/>
        <w:gridCol w:w="1684"/>
        <w:gridCol w:w="1207"/>
        <w:gridCol w:w="7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货物名称</w:t>
            </w: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692"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单位</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招标文件</w:t>
            </w:r>
          </w:p>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规范、要求</w:t>
            </w: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w:t>
            </w:r>
          </w:p>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对应规范</w:t>
            </w: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pPr>
              <w:widowControl/>
              <w:snapToGrid w:val="0"/>
              <w:spacing w:line="360" w:lineRule="auto"/>
              <w:jc w:val="center"/>
              <w:rPr>
                <w:rFonts w:hint="eastAsia" w:ascii="宋体" w:hAnsi="宋体" w:eastAsia="宋体" w:cs="宋体"/>
                <w:kern w:val="0"/>
                <w:sz w:val="28"/>
                <w:szCs w:val="21"/>
                <w:highlight w:val="none"/>
              </w:rPr>
            </w:pPr>
          </w:p>
        </w:tc>
      </w:tr>
    </w:tbl>
    <w:p>
      <w:pPr>
        <w:widowControl/>
        <w:snapToGrid w:val="0"/>
        <w:spacing w:line="360" w:lineRule="auto"/>
        <w:jc w:val="left"/>
        <w:rPr>
          <w:rFonts w:hint="eastAsia" w:ascii="宋体" w:hAnsi="宋体" w:eastAsia="宋体" w:cs="宋体"/>
          <w:kern w:val="0"/>
          <w:sz w:val="28"/>
          <w:szCs w:val="36"/>
          <w:highlight w:val="none"/>
        </w:rPr>
      </w:pPr>
    </w:p>
    <w:p>
      <w:pPr>
        <w:widowControl/>
        <w:snapToGrid w:val="0"/>
        <w:spacing w:line="360" w:lineRule="auto"/>
        <w:jc w:val="left"/>
        <w:rPr>
          <w:rFonts w:hint="eastAsia" w:ascii="宋体" w:hAnsi="宋体" w:eastAsia="宋体" w:cs="宋体"/>
          <w:kern w:val="0"/>
          <w:sz w:val="28"/>
          <w:szCs w:val="28"/>
          <w:highlight w:val="none"/>
        </w:rPr>
      </w:pP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8</w:t>
      </w:r>
      <w:r>
        <w:rPr>
          <w:rFonts w:hint="eastAsia" w:ascii="宋体" w:hAnsi="宋体" w:eastAsia="宋体" w:cs="宋体"/>
          <w:b/>
          <w:kern w:val="0"/>
          <w:sz w:val="24"/>
          <w:highlight w:val="none"/>
        </w:rPr>
        <w:t>．投标货物主要技术指标详细描述或同投标货物型号一致的产品彩页；（格式自拟）</w:t>
      </w:r>
    </w:p>
    <w:p>
      <w:pPr>
        <w:widowControl/>
        <w:snapToGrid w:val="0"/>
        <w:spacing w:line="360" w:lineRule="auto"/>
        <w:jc w:val="left"/>
        <w:rPr>
          <w:rFonts w:hint="eastAsia" w:ascii="宋体" w:hAnsi="宋体" w:eastAsia="宋体" w:cs="宋体"/>
          <w:kern w:val="0"/>
          <w:sz w:val="24"/>
          <w:highlight w:val="none"/>
        </w:rPr>
      </w:pPr>
    </w:p>
    <w:p>
      <w:pPr>
        <w:widowControl/>
        <w:snapToGrid w:val="0"/>
        <w:spacing w:line="360" w:lineRule="auto"/>
        <w:jc w:val="left"/>
        <w:rPr>
          <w:rFonts w:hint="eastAsia" w:ascii="宋体" w:hAnsi="宋体" w:eastAsia="宋体" w:cs="宋体"/>
          <w:kern w:val="0"/>
          <w:sz w:val="24"/>
          <w:highlight w:val="none"/>
        </w:rPr>
      </w:pPr>
    </w:p>
    <w:p>
      <w:pPr>
        <w:pStyle w:val="48"/>
        <w:rPr>
          <w:rFonts w:hint="eastAsia" w:ascii="宋体" w:hAnsi="宋体" w:eastAsia="宋体" w:cs="宋体"/>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.投标文件递交截止日前三年内同类项目合同案例相关证明资料格式</w:t>
      </w:r>
    </w:p>
    <w:p>
      <w:pPr>
        <w:spacing w:line="480" w:lineRule="exact"/>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前三年内同类项目合同案例列表</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2281"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货物名称</w:t>
            </w:r>
          </w:p>
        </w:tc>
        <w:tc>
          <w:tcPr>
            <w:tcW w:w="1355"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31"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10"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839" w:type="dxa"/>
          </w:tcPr>
          <w:p>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pPr>
              <w:spacing w:line="480" w:lineRule="exact"/>
              <w:rPr>
                <w:rFonts w:hint="eastAsia" w:ascii="宋体" w:hAnsi="宋体" w:eastAsia="宋体" w:cs="宋体"/>
                <w:sz w:val="24"/>
                <w:highlight w:val="none"/>
              </w:rPr>
            </w:pPr>
          </w:p>
        </w:tc>
        <w:tc>
          <w:tcPr>
            <w:tcW w:w="2281" w:type="dxa"/>
          </w:tcPr>
          <w:p>
            <w:pPr>
              <w:spacing w:line="480" w:lineRule="exact"/>
              <w:rPr>
                <w:rFonts w:hint="eastAsia" w:ascii="宋体" w:hAnsi="宋体" w:eastAsia="宋体" w:cs="宋体"/>
                <w:sz w:val="24"/>
                <w:highlight w:val="none"/>
              </w:rPr>
            </w:pPr>
          </w:p>
        </w:tc>
        <w:tc>
          <w:tcPr>
            <w:tcW w:w="1355" w:type="dxa"/>
          </w:tcPr>
          <w:p>
            <w:pPr>
              <w:spacing w:line="480" w:lineRule="exact"/>
              <w:rPr>
                <w:rFonts w:hint="eastAsia" w:ascii="宋体" w:hAnsi="宋体" w:eastAsia="宋体" w:cs="宋体"/>
                <w:sz w:val="24"/>
                <w:highlight w:val="none"/>
              </w:rPr>
            </w:pPr>
          </w:p>
        </w:tc>
        <w:tc>
          <w:tcPr>
            <w:tcW w:w="1431" w:type="dxa"/>
          </w:tcPr>
          <w:p>
            <w:pPr>
              <w:spacing w:line="480" w:lineRule="exact"/>
              <w:rPr>
                <w:rFonts w:hint="eastAsia" w:ascii="宋体" w:hAnsi="宋体" w:eastAsia="宋体" w:cs="宋体"/>
                <w:sz w:val="24"/>
                <w:highlight w:val="none"/>
              </w:rPr>
            </w:pPr>
          </w:p>
        </w:tc>
        <w:tc>
          <w:tcPr>
            <w:tcW w:w="1610" w:type="dxa"/>
          </w:tcPr>
          <w:p>
            <w:pPr>
              <w:spacing w:line="480" w:lineRule="exact"/>
              <w:rPr>
                <w:rFonts w:hint="eastAsia" w:ascii="宋体" w:hAnsi="宋体" w:eastAsia="宋体" w:cs="宋体"/>
                <w:sz w:val="24"/>
                <w:highlight w:val="none"/>
              </w:rPr>
            </w:pPr>
          </w:p>
        </w:tc>
        <w:tc>
          <w:tcPr>
            <w:tcW w:w="839" w:type="dxa"/>
          </w:tcPr>
          <w:p>
            <w:pPr>
              <w:spacing w:line="480" w:lineRule="exact"/>
              <w:rPr>
                <w:rFonts w:hint="eastAsia" w:ascii="宋体" w:hAnsi="宋体" w:eastAsia="宋体" w:cs="宋体"/>
                <w:sz w:val="24"/>
                <w:highlight w:val="none"/>
              </w:rPr>
            </w:pPr>
          </w:p>
        </w:tc>
      </w:tr>
    </w:tbl>
    <w:p>
      <w:pPr>
        <w:pStyle w:val="1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注：后附相关证明材料</w:t>
      </w:r>
    </w:p>
    <w:p>
      <w:pPr>
        <w:pStyle w:val="122"/>
        <w:rPr>
          <w:rFonts w:hint="eastAsia" w:ascii="宋体" w:hAnsi="宋体" w:eastAsia="宋体" w:cs="宋体"/>
          <w:sz w:val="24"/>
          <w:szCs w:val="24"/>
          <w:highlight w:val="none"/>
        </w:rPr>
      </w:pPr>
    </w:p>
    <w:p>
      <w:pPr>
        <w:pStyle w:val="122"/>
        <w:rPr>
          <w:rFonts w:hint="eastAsia" w:ascii="宋体" w:hAnsi="宋体" w:eastAsia="宋体" w:cs="宋体"/>
          <w:sz w:val="24"/>
          <w:szCs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eastAsia="宋体" w:cs="宋体"/>
          <w:b/>
          <w:kern w:val="0"/>
          <w:sz w:val="24"/>
          <w:highlight w:val="none"/>
        </w:rPr>
        <w:t>．服务方案及相关承诺；（格式自拟）</w:t>
      </w: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11</w:t>
      </w:r>
      <w:r>
        <w:rPr>
          <w:rFonts w:hint="eastAsia" w:ascii="宋体" w:hAnsi="宋体" w:eastAsia="宋体" w:cs="宋体"/>
          <w:b/>
          <w:kern w:val="0"/>
          <w:sz w:val="24"/>
          <w:highlight w:val="none"/>
        </w:rPr>
        <w:t>. 售后服务方案及相关承诺（格式自拟）</w:t>
      </w: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12</w:t>
      </w:r>
      <w:r>
        <w:rPr>
          <w:rFonts w:hint="eastAsia" w:ascii="宋体" w:hAnsi="宋体" w:eastAsia="宋体" w:cs="宋体"/>
          <w:b/>
          <w:kern w:val="0"/>
          <w:sz w:val="24"/>
          <w:highlight w:val="none"/>
        </w:rPr>
        <w:t>．投标人认为需要提供的其他商务、技术资料；</w:t>
      </w:r>
    </w:p>
    <w:p>
      <w:pPr>
        <w:pStyle w:val="48"/>
        <w:rPr>
          <w:rFonts w:hint="eastAsia" w:ascii="宋体" w:hAnsi="宋体" w:eastAsia="宋体" w:cs="宋体"/>
          <w:b/>
          <w:sz w:val="24"/>
          <w:highlight w:val="none"/>
        </w:rPr>
      </w:pPr>
      <w:r>
        <w:rPr>
          <w:rFonts w:hint="eastAsia" w:ascii="宋体" w:hAnsi="宋体" w:eastAsia="宋体" w:cs="宋体"/>
          <w:sz w:val="24"/>
          <w:highlight w:val="none"/>
        </w:rPr>
        <w:t>（包括采用综合评估法需要提交的其他商务、技术材料）</w:t>
      </w:r>
    </w:p>
    <w:p>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1</w:t>
      </w:r>
      <w:r>
        <w:rPr>
          <w:rFonts w:hint="eastAsia" w:ascii="宋体" w:hAnsi="宋体" w:cs="宋体"/>
          <w:b/>
          <w:sz w:val="24"/>
          <w:highlight w:val="none"/>
          <w:lang w:val="en-US" w:eastAsia="zh-CN"/>
        </w:rPr>
        <w:t>3</w:t>
      </w:r>
      <w:r>
        <w:rPr>
          <w:rFonts w:hint="eastAsia" w:ascii="宋体" w:hAnsi="宋体" w:eastAsia="宋体" w:cs="宋体"/>
          <w:b/>
          <w:kern w:val="0"/>
          <w:sz w:val="24"/>
          <w:highlight w:val="none"/>
        </w:rPr>
        <w:t>．政策性要求（如有）</w:t>
      </w:r>
    </w:p>
    <w:p>
      <w:pPr>
        <w:pStyle w:val="5"/>
        <w:spacing w:line="360" w:lineRule="auto"/>
        <w:jc w:val="center"/>
        <w:rPr>
          <w:rFonts w:hint="eastAsia" w:ascii="宋体" w:hAnsi="宋体" w:eastAsia="宋体" w:cs="宋体"/>
          <w:szCs w:val="21"/>
          <w:highlight w:val="none"/>
        </w:rPr>
      </w:pPr>
      <w:bookmarkStart w:id="70" w:name="_Toc21834"/>
      <w:r>
        <w:rPr>
          <w:rFonts w:hint="eastAsia" w:ascii="宋体" w:hAnsi="宋体" w:eastAsia="宋体" w:cs="宋体"/>
          <w:sz w:val="28"/>
          <w:highlight w:val="none"/>
        </w:rPr>
        <w:t>（一）</w:t>
      </w:r>
      <w:bookmarkEnd w:id="70"/>
      <w:r>
        <w:rPr>
          <w:rFonts w:hint="eastAsia" w:ascii="宋体" w:hAnsi="宋体" w:eastAsia="宋体" w:cs="宋体"/>
          <w:szCs w:val="24"/>
          <w:highlight w:val="none"/>
        </w:rPr>
        <w:t>中小企业声明函（货物）（如不涉及，此表可不提供）</w:t>
      </w:r>
      <w:bookmarkStart w:id="71" w:name="_Toc2785"/>
      <w:bookmarkStart w:id="72" w:name="_Toc7981"/>
      <w:bookmarkStart w:id="73" w:name="_Toc28695"/>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本公司（联合体）郑重声明，根据《政府采购促进中小企业发展管理办法》（财库﹝2020﹞46号）的规定，本公司（联合体）参加</w:t>
      </w:r>
      <w:r>
        <w:rPr>
          <w:rFonts w:hint="eastAsia" w:ascii="宋体" w:hAnsi="宋体" w:eastAsia="宋体" w:cs="宋体"/>
          <w:szCs w:val="21"/>
          <w:highlight w:val="none"/>
          <w:u w:val="single"/>
        </w:rPr>
        <w:t xml:space="preserve">    （采购人名称）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（项目名称）             </w:t>
      </w:r>
      <w:r>
        <w:rPr>
          <w:rFonts w:hint="eastAsia" w:ascii="宋体" w:hAnsi="宋体" w:eastAsia="宋体" w:cs="宋体"/>
          <w:szCs w:val="21"/>
          <w:highlight w:val="none"/>
        </w:rPr>
        <w:t>采购活动，提供的货物全部由符合政策要求的中小企业制造。相关企业（含联合体中的中小企业、签订分包意向协议的中小企业）的具体情况如下：</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1.   （标的名称）</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（采购文件中明确的所属行业）</w:t>
      </w:r>
      <w:r>
        <w:rPr>
          <w:rFonts w:hint="eastAsia" w:ascii="宋体" w:hAnsi="宋体" w:eastAsia="宋体" w:cs="宋体"/>
          <w:szCs w:val="21"/>
          <w:highlight w:val="none"/>
        </w:rPr>
        <w:t>行业；制造商为</w:t>
      </w:r>
      <w:r>
        <w:rPr>
          <w:rFonts w:hint="eastAsia" w:ascii="宋体" w:hAnsi="宋体" w:eastAsia="宋体" w:cs="宋体"/>
          <w:szCs w:val="21"/>
          <w:highlight w:val="none"/>
          <w:u w:val="single"/>
        </w:rPr>
        <w:t xml:space="preserve">    （企业名称）</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 xml:space="preserve">     （中型企业、小型企业、微型企业）</w:t>
      </w:r>
      <w:r>
        <w:rPr>
          <w:rFonts w:hint="eastAsia" w:ascii="宋体" w:hAnsi="宋体" w:eastAsia="宋体" w:cs="宋体"/>
          <w:szCs w:val="21"/>
          <w:highlight w:val="none"/>
        </w:rPr>
        <w:t>；</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（标的名称）</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（采购文件中明确的所属行业）</w:t>
      </w:r>
      <w:r>
        <w:rPr>
          <w:rFonts w:hint="eastAsia" w:ascii="宋体" w:hAnsi="宋体" w:eastAsia="宋体" w:cs="宋体"/>
          <w:szCs w:val="21"/>
          <w:highlight w:val="none"/>
        </w:rPr>
        <w:t>行业；制造商为</w:t>
      </w:r>
      <w:r>
        <w:rPr>
          <w:rFonts w:hint="eastAsia" w:ascii="宋体" w:hAnsi="宋体" w:eastAsia="宋体" w:cs="宋体"/>
          <w:szCs w:val="21"/>
          <w:highlight w:val="none"/>
          <w:u w:val="single"/>
        </w:rPr>
        <w:t xml:space="preserve">     （企业名称）</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 xml:space="preserve">     （中型企业、小型企业、微型企业）</w:t>
      </w:r>
      <w:r>
        <w:rPr>
          <w:rFonts w:hint="eastAsia" w:ascii="宋体" w:hAnsi="宋体" w:eastAsia="宋体" w:cs="宋体"/>
          <w:szCs w:val="21"/>
          <w:highlight w:val="none"/>
        </w:rPr>
        <w:t>；</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本企业对上述声明内容的真实性负责。如有虚假，将依法承担相应责任。  </w:t>
      </w:r>
    </w:p>
    <w:p>
      <w:pPr>
        <w:adjustRightInd w:val="0"/>
        <w:snapToGrid w:val="0"/>
        <w:spacing w:line="360" w:lineRule="auto"/>
        <w:ind w:firstLine="420" w:firstLineChars="200"/>
        <w:rPr>
          <w:rFonts w:hint="eastAsia" w:ascii="宋体" w:hAnsi="宋体" w:eastAsia="宋体" w:cs="宋体"/>
          <w:szCs w:val="21"/>
          <w:highlight w:val="none"/>
        </w:rPr>
      </w:pPr>
    </w:p>
    <w:p>
      <w:pPr>
        <w:pStyle w:val="13"/>
        <w:rPr>
          <w:rFonts w:hint="eastAsia" w:ascii="宋体" w:hAnsi="宋体" w:eastAsia="宋体" w:cs="宋体"/>
          <w:highlight w:val="none"/>
        </w:rPr>
      </w:pP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pPr>
        <w:adjustRightInd w:val="0"/>
        <w:snapToGrid w:val="0"/>
        <w:spacing w:line="360" w:lineRule="auto"/>
        <w:ind w:firstLine="420" w:firstLineChars="200"/>
        <w:rPr>
          <w:rFonts w:hint="eastAsia" w:ascii="宋体" w:hAnsi="宋体" w:eastAsia="宋体" w:cs="宋体"/>
          <w:szCs w:val="21"/>
          <w:highlight w:val="none"/>
        </w:rPr>
      </w:pPr>
    </w:p>
    <w:p>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①从业人员、营业收入、资产总额填报上一年度数据，无上一年度数据的新成立企业可不填报。</w:t>
      </w:r>
    </w:p>
    <w:p>
      <w:pPr>
        <w:snapToGrid w:val="0"/>
        <w:spacing w:line="360" w:lineRule="auto"/>
        <w:ind w:left="420"/>
        <w:rPr>
          <w:rFonts w:hint="eastAsia" w:ascii="宋体" w:hAnsi="宋体" w:eastAsia="宋体" w:cs="宋体"/>
          <w:szCs w:val="21"/>
          <w:highlight w:val="none"/>
        </w:rPr>
      </w:pPr>
      <w:r>
        <w:rPr>
          <w:rFonts w:hint="eastAsia" w:ascii="宋体" w:hAnsi="宋体" w:eastAsia="宋体" w:cs="宋体"/>
          <w:szCs w:val="21"/>
          <w:highlight w:val="none"/>
        </w:rPr>
        <w:t>注：中标人为中小企业的，采购人（采购代理机构）随中标结果同时公告其性质。</w:t>
      </w:r>
    </w:p>
    <w:p>
      <w:pPr>
        <w:tabs>
          <w:tab w:val="left" w:pos="1680"/>
        </w:tabs>
        <w:snapToGrid w:val="0"/>
        <w:spacing w:line="480" w:lineRule="exact"/>
        <w:jc w:val="center"/>
        <w:rPr>
          <w:rFonts w:hint="eastAsia" w:ascii="宋体" w:hAnsi="宋体" w:eastAsia="宋体" w:cs="宋体"/>
          <w:b/>
          <w:kern w:val="0"/>
          <w:sz w:val="28"/>
          <w:szCs w:val="28"/>
          <w:highlight w:val="none"/>
        </w:rPr>
      </w:pPr>
      <w:r>
        <w:rPr>
          <w:rFonts w:hint="eastAsia" w:ascii="宋体" w:hAnsi="宋体" w:eastAsia="宋体" w:cs="宋体"/>
          <w:b/>
          <w:bCs/>
          <w:sz w:val="28"/>
          <w:szCs w:val="28"/>
          <w:highlight w:val="none"/>
        </w:rPr>
        <w:br w:type="page"/>
      </w:r>
      <w:bookmarkEnd w:id="71"/>
      <w:bookmarkEnd w:id="72"/>
      <w:bookmarkEnd w:id="73"/>
      <w:r>
        <w:rPr>
          <w:rFonts w:hint="eastAsia" w:ascii="宋体" w:hAnsi="宋体" w:eastAsia="宋体" w:cs="宋体"/>
          <w:b/>
          <w:bCs/>
          <w:sz w:val="24"/>
          <w:highlight w:val="none"/>
        </w:rPr>
        <w:t>（二）残疾人福利性单位声明函（如不涉及，此表可不提供）</w:t>
      </w:r>
    </w:p>
    <w:p>
      <w:pPr>
        <w:tabs>
          <w:tab w:val="left" w:pos="1680"/>
        </w:tabs>
        <w:snapToGrid w:val="0"/>
        <w:spacing w:line="360" w:lineRule="auto"/>
        <w:jc w:val="center"/>
        <w:rPr>
          <w:rFonts w:hint="eastAsia" w:ascii="宋体" w:hAnsi="宋体" w:eastAsia="宋体" w:cs="宋体"/>
          <w:b/>
          <w:szCs w:val="21"/>
          <w:highlight w:val="none"/>
        </w:rPr>
      </w:pP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pPr>
        <w:spacing w:line="360" w:lineRule="auto"/>
        <w:ind w:firstLine="420" w:firstLineChars="200"/>
        <w:rPr>
          <w:rFonts w:hint="eastAsia" w:ascii="宋体" w:hAnsi="宋体" w:eastAsia="宋体" w:cs="宋体"/>
          <w:szCs w:val="21"/>
          <w:highlight w:val="none"/>
        </w:rPr>
      </w:pPr>
    </w:p>
    <w:p>
      <w:pPr>
        <w:spacing w:line="360" w:lineRule="auto"/>
        <w:ind w:firstLine="420" w:firstLineChars="200"/>
        <w:rPr>
          <w:rFonts w:hint="eastAsia" w:ascii="宋体" w:hAnsi="宋体" w:eastAsia="宋体" w:cs="宋体"/>
          <w:szCs w:val="21"/>
          <w:highlight w:val="none"/>
        </w:rPr>
      </w:pP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pPr>
        <w:spacing w:line="360" w:lineRule="auto"/>
        <w:rPr>
          <w:rFonts w:hint="eastAsia" w:ascii="宋体" w:hAnsi="宋体" w:eastAsia="宋体" w:cs="宋体"/>
          <w:szCs w:val="21"/>
          <w:highlight w:val="none"/>
        </w:rPr>
      </w:pPr>
    </w:p>
    <w:p>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注：中标人为残疾人福利性单位的，采购人（采购代理机构）随中标结果同时公告其性质。</w:t>
      </w:r>
    </w:p>
    <w:p>
      <w:pPr>
        <w:widowControl/>
        <w:snapToGrid w:val="0"/>
        <w:spacing w:line="360" w:lineRule="auto"/>
        <w:ind w:firstLine="480" w:firstLineChars="200"/>
        <w:rPr>
          <w:rFonts w:hint="eastAsia" w:ascii="宋体" w:hAnsi="宋体" w:eastAsia="宋体" w:cs="宋体"/>
          <w:sz w:val="24"/>
          <w:highlight w:val="none"/>
        </w:rPr>
      </w:pPr>
    </w:p>
    <w:p>
      <w:pPr>
        <w:widowControl/>
        <w:snapToGrid w:val="0"/>
        <w:spacing w:line="360" w:lineRule="auto"/>
        <w:ind w:firstLine="480" w:firstLineChars="200"/>
        <w:rPr>
          <w:rFonts w:hint="eastAsia" w:ascii="宋体" w:hAnsi="宋体" w:eastAsia="宋体" w:cs="宋体"/>
          <w:sz w:val="24"/>
          <w:highlight w:val="none"/>
        </w:rPr>
      </w:pPr>
    </w:p>
    <w:p>
      <w:pPr>
        <w:spacing w:line="360" w:lineRule="auto"/>
        <w:jc w:val="center"/>
        <w:rPr>
          <w:rFonts w:hint="eastAsia" w:ascii="宋体" w:hAnsi="宋体" w:eastAsia="宋体" w:cs="宋体"/>
          <w:b/>
          <w:sz w:val="28"/>
          <w:szCs w:val="28"/>
          <w:highlight w:val="none"/>
        </w:rPr>
      </w:pPr>
      <w:bookmarkStart w:id="74" w:name="_Toc6742"/>
      <w:r>
        <w:rPr>
          <w:rFonts w:hint="eastAsia" w:ascii="宋体" w:hAnsi="宋体" w:eastAsia="宋体" w:cs="宋体"/>
          <w:b/>
          <w:bCs/>
          <w:sz w:val="28"/>
          <w:szCs w:val="28"/>
          <w:highlight w:val="none"/>
        </w:rPr>
        <w:br w:type="page"/>
      </w:r>
      <w:bookmarkStart w:id="75" w:name="_Toc1657"/>
      <w:r>
        <w:rPr>
          <w:rFonts w:hint="eastAsia" w:ascii="宋体" w:hAnsi="宋体" w:eastAsia="宋体" w:cs="宋体"/>
          <w:b/>
          <w:bCs/>
          <w:sz w:val="24"/>
          <w:highlight w:val="none"/>
        </w:rPr>
        <w:t>（三）</w:t>
      </w:r>
      <w:r>
        <w:rPr>
          <w:rFonts w:hint="eastAsia" w:ascii="宋体" w:hAnsi="宋体" w:eastAsia="宋体" w:cs="宋体"/>
          <w:b/>
          <w:sz w:val="24"/>
          <w:highlight w:val="none"/>
        </w:rPr>
        <w:t>监狱企业声明函</w:t>
      </w:r>
      <w:r>
        <w:rPr>
          <w:rFonts w:hint="eastAsia" w:ascii="宋体" w:hAnsi="宋体" w:eastAsia="宋体" w:cs="宋体"/>
          <w:b/>
          <w:bCs/>
          <w:sz w:val="24"/>
          <w:highlight w:val="none"/>
        </w:rPr>
        <w:t>（如不涉及，此表可不提供）</w:t>
      </w:r>
    </w:p>
    <w:p>
      <w:pPr>
        <w:tabs>
          <w:tab w:val="left" w:pos="1680"/>
        </w:tabs>
        <w:snapToGrid w:val="0"/>
        <w:spacing w:line="480" w:lineRule="exact"/>
        <w:rPr>
          <w:rFonts w:hint="eastAsia" w:ascii="宋体" w:hAnsi="宋体" w:eastAsia="宋体" w:cs="宋体"/>
          <w:color w:val="000000"/>
          <w:szCs w:val="21"/>
          <w:highlight w:val="none"/>
        </w:rPr>
      </w:pPr>
    </w:p>
    <w:p>
      <w:pPr>
        <w:keepNext/>
        <w:spacing w:line="36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本单位郑重声明，根据《财政部司法部关于政府采购支持监狱企业发展有关问题的通知》(财库〔2014〕68号)规定，本单位为符合条件的监狱企业单位，且本单位参加</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单位的</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项目（项目编号：</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）采购活动提供本单位制造的货物（由本单位承担工程/提供服务），或者提供其他监狱企业单位制造的货物。</w:t>
      </w:r>
    </w:p>
    <w:p>
      <w:pPr>
        <w:keepNext/>
        <w:spacing w:line="36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pPr>
        <w:pStyle w:val="122"/>
        <w:snapToGrid w:val="0"/>
        <w:spacing w:line="480" w:lineRule="exact"/>
        <w:ind w:firstLine="600" w:firstLineChars="200"/>
        <w:rPr>
          <w:rFonts w:hint="eastAsia" w:ascii="宋体" w:hAnsi="宋体" w:eastAsia="宋体" w:cs="宋体"/>
          <w:highlight w:val="none"/>
        </w:rPr>
      </w:pPr>
    </w:p>
    <w:p>
      <w:pPr>
        <w:pStyle w:val="122"/>
        <w:snapToGrid w:val="0"/>
        <w:spacing w:line="480" w:lineRule="exact"/>
        <w:ind w:firstLine="600" w:firstLineChars="200"/>
        <w:rPr>
          <w:rFonts w:hint="eastAsia" w:ascii="宋体" w:hAnsi="宋体" w:eastAsia="宋体" w:cs="宋体"/>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pPr>
        <w:pStyle w:val="122"/>
        <w:snapToGrid w:val="0"/>
        <w:spacing w:line="480" w:lineRule="exact"/>
        <w:ind w:firstLine="422" w:firstLineChars="200"/>
        <w:rPr>
          <w:rFonts w:hint="eastAsia" w:ascii="宋体" w:hAnsi="宋体" w:eastAsia="宋体" w:cs="宋体"/>
          <w:b/>
          <w:color w:val="000000"/>
          <w:sz w:val="21"/>
          <w:szCs w:val="21"/>
          <w:highlight w:val="none"/>
        </w:rPr>
      </w:pPr>
    </w:p>
    <w:p>
      <w:pPr>
        <w:pStyle w:val="122"/>
        <w:snapToGrid w:val="0"/>
        <w:spacing w:line="480" w:lineRule="exact"/>
        <w:jc w:val="both"/>
        <w:rPr>
          <w:rFonts w:hint="eastAsia" w:ascii="宋体" w:hAnsi="宋体" w:eastAsia="宋体" w:cs="宋体"/>
          <w:color w:val="000000"/>
          <w:highlight w:val="none"/>
        </w:rPr>
      </w:pPr>
      <w:r>
        <w:rPr>
          <w:rFonts w:hint="eastAsia" w:ascii="宋体" w:hAnsi="宋体" w:eastAsia="宋体" w:cs="宋体"/>
          <w:color w:val="000000"/>
          <w:sz w:val="21"/>
          <w:szCs w:val="21"/>
          <w:highlight w:val="none"/>
        </w:rPr>
        <w:t>附：由省级以上监狱管理局、戒毒管理局（含新疆生产建设兵团）出具的属于监狱企业的证明文件的扫描件。</w:t>
      </w:r>
    </w:p>
    <w:p>
      <w:pPr>
        <w:keepLines/>
        <w:tabs>
          <w:tab w:val="left" w:pos="567"/>
        </w:tabs>
        <w:snapToGrid w:val="0"/>
        <w:spacing w:line="360" w:lineRule="auto"/>
        <w:jc w:val="left"/>
        <w:rPr>
          <w:rFonts w:hint="eastAsia" w:ascii="宋体" w:hAnsi="宋体" w:eastAsia="宋体" w:cs="宋体"/>
          <w:sz w:val="24"/>
          <w:highlight w:val="none"/>
        </w:rPr>
      </w:pPr>
      <w:r>
        <w:rPr>
          <w:rFonts w:hint="eastAsia" w:ascii="宋体" w:hAnsi="宋体" w:eastAsia="宋体" w:cs="宋体"/>
          <w:bCs/>
          <w:szCs w:val="21"/>
          <w:highlight w:val="none"/>
        </w:rPr>
        <w:t>注：中标人为监狱企业的，采购人（采购代理机构）随中标结果同时公告其性质。</w:t>
      </w:r>
      <w:r>
        <w:rPr>
          <w:rFonts w:hint="eastAsia" w:ascii="宋体" w:hAnsi="宋体" w:eastAsia="宋体" w:cs="宋体"/>
          <w:bCs/>
          <w:sz w:val="28"/>
          <w:szCs w:val="28"/>
          <w:highlight w:val="none"/>
        </w:rPr>
        <w:br w:type="page"/>
      </w:r>
      <w:r>
        <w:rPr>
          <w:rFonts w:hint="eastAsia" w:ascii="宋体" w:hAnsi="宋体" w:eastAsia="宋体" w:cs="宋体"/>
          <w:b/>
          <w:bCs/>
          <w:sz w:val="28"/>
          <w:szCs w:val="28"/>
          <w:highlight w:val="none"/>
        </w:rPr>
        <w:t>（四）</w:t>
      </w:r>
      <w:bookmarkEnd w:id="75"/>
      <w:r>
        <w:rPr>
          <w:rFonts w:hint="eastAsia" w:ascii="宋体" w:hAnsi="宋体" w:eastAsia="宋体" w:cs="宋体"/>
          <w:b/>
          <w:bCs/>
          <w:sz w:val="24"/>
          <w:highlight w:val="none"/>
        </w:rPr>
        <w:t>环保节能产品证明材料</w:t>
      </w:r>
      <w:r>
        <w:rPr>
          <w:rFonts w:hint="eastAsia" w:ascii="宋体" w:hAnsi="宋体" w:eastAsia="宋体" w:cs="宋体"/>
          <w:b/>
          <w:kern w:val="0"/>
          <w:sz w:val="24"/>
          <w:highlight w:val="none"/>
        </w:rPr>
        <w:t>（如不涉及，此函可不提供）</w:t>
      </w:r>
    </w:p>
    <w:p>
      <w:pPr>
        <w:keepLines/>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（1）强制节能产品明细表格式（以包为单位分别填写，如本项目所投产品中不涉及强制节能产品，此表可不提供）</w:t>
      </w:r>
    </w:p>
    <w:p>
      <w:pPr>
        <w:keepLines/>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55"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955"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955"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637"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节能产品认证证书号</w:t>
            </w:r>
          </w:p>
        </w:tc>
        <w:tc>
          <w:tcPr>
            <w:tcW w:w="1860"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850" w:type="dxa"/>
            <w:vAlign w:val="center"/>
          </w:tcPr>
          <w:p>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1637" w:type="dxa"/>
          </w:tcPr>
          <w:p>
            <w:pPr>
              <w:keepLines/>
              <w:spacing w:line="360" w:lineRule="exact"/>
              <w:rPr>
                <w:rFonts w:hint="eastAsia" w:ascii="宋体" w:hAnsi="宋体" w:eastAsia="宋体" w:cs="宋体"/>
                <w:b/>
                <w:sz w:val="24"/>
                <w:highlight w:val="none"/>
              </w:rPr>
            </w:pPr>
          </w:p>
        </w:tc>
        <w:tc>
          <w:tcPr>
            <w:tcW w:w="1860" w:type="dxa"/>
          </w:tcPr>
          <w:p>
            <w:pPr>
              <w:keepLines/>
              <w:spacing w:line="360" w:lineRule="exact"/>
              <w:rPr>
                <w:rFonts w:hint="eastAsia" w:ascii="宋体" w:hAnsi="宋体" w:eastAsia="宋体" w:cs="宋体"/>
                <w:b/>
                <w:sz w:val="24"/>
                <w:highlight w:val="none"/>
              </w:rPr>
            </w:pPr>
          </w:p>
        </w:tc>
        <w:tc>
          <w:tcPr>
            <w:tcW w:w="1850" w:type="dxa"/>
          </w:tcPr>
          <w:p>
            <w:pPr>
              <w:keepLines/>
              <w:spacing w:line="360" w:lineRule="exact"/>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1637" w:type="dxa"/>
          </w:tcPr>
          <w:p>
            <w:pPr>
              <w:keepLines/>
              <w:spacing w:line="360" w:lineRule="exact"/>
              <w:rPr>
                <w:rFonts w:hint="eastAsia" w:ascii="宋体" w:hAnsi="宋体" w:eastAsia="宋体" w:cs="宋体"/>
                <w:b/>
                <w:sz w:val="24"/>
                <w:highlight w:val="none"/>
              </w:rPr>
            </w:pPr>
          </w:p>
        </w:tc>
        <w:tc>
          <w:tcPr>
            <w:tcW w:w="1860" w:type="dxa"/>
          </w:tcPr>
          <w:p>
            <w:pPr>
              <w:keepLines/>
              <w:spacing w:line="360" w:lineRule="exact"/>
              <w:rPr>
                <w:rFonts w:hint="eastAsia" w:ascii="宋体" w:hAnsi="宋体" w:eastAsia="宋体" w:cs="宋体"/>
                <w:b/>
                <w:sz w:val="24"/>
                <w:highlight w:val="none"/>
              </w:rPr>
            </w:pPr>
          </w:p>
        </w:tc>
        <w:tc>
          <w:tcPr>
            <w:tcW w:w="1850" w:type="dxa"/>
          </w:tcPr>
          <w:p>
            <w:pPr>
              <w:keepLines/>
              <w:spacing w:line="360" w:lineRule="exact"/>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955" w:type="dxa"/>
          </w:tcPr>
          <w:p>
            <w:pPr>
              <w:keepLines/>
              <w:spacing w:line="360" w:lineRule="exact"/>
              <w:rPr>
                <w:rFonts w:hint="eastAsia" w:ascii="宋体" w:hAnsi="宋体" w:eastAsia="宋体" w:cs="宋体"/>
                <w:b/>
                <w:sz w:val="24"/>
                <w:highlight w:val="none"/>
              </w:rPr>
            </w:pPr>
          </w:p>
        </w:tc>
        <w:tc>
          <w:tcPr>
            <w:tcW w:w="1637" w:type="dxa"/>
          </w:tcPr>
          <w:p>
            <w:pPr>
              <w:keepLines/>
              <w:spacing w:line="360" w:lineRule="exact"/>
              <w:rPr>
                <w:rFonts w:hint="eastAsia" w:ascii="宋体" w:hAnsi="宋体" w:eastAsia="宋体" w:cs="宋体"/>
                <w:b/>
                <w:sz w:val="24"/>
                <w:highlight w:val="none"/>
              </w:rPr>
            </w:pPr>
          </w:p>
        </w:tc>
        <w:tc>
          <w:tcPr>
            <w:tcW w:w="1860" w:type="dxa"/>
          </w:tcPr>
          <w:p>
            <w:pPr>
              <w:keepLines/>
              <w:spacing w:line="360" w:lineRule="exact"/>
              <w:rPr>
                <w:rFonts w:hint="eastAsia" w:ascii="宋体" w:hAnsi="宋体" w:eastAsia="宋体" w:cs="宋体"/>
                <w:b/>
                <w:sz w:val="24"/>
                <w:highlight w:val="none"/>
              </w:rPr>
            </w:pPr>
          </w:p>
        </w:tc>
        <w:tc>
          <w:tcPr>
            <w:tcW w:w="1850" w:type="dxa"/>
          </w:tcPr>
          <w:p>
            <w:pPr>
              <w:keepLines/>
              <w:spacing w:line="360" w:lineRule="exact"/>
              <w:rPr>
                <w:rFonts w:hint="eastAsia" w:ascii="宋体" w:hAnsi="宋体" w:eastAsia="宋体" w:cs="宋体"/>
                <w:b/>
                <w:sz w:val="24"/>
                <w:highlight w:val="none"/>
              </w:rPr>
            </w:pPr>
          </w:p>
        </w:tc>
      </w:tr>
    </w:tbl>
    <w:p>
      <w:pPr>
        <w:keepLines/>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pPr>
        <w:keepLines/>
        <w:tabs>
          <w:tab w:val="left" w:pos="1680"/>
        </w:tabs>
        <w:snapToGrid w:val="0"/>
        <w:spacing w:line="360" w:lineRule="auto"/>
        <w:rPr>
          <w:rFonts w:hint="eastAsia" w:ascii="宋体" w:hAnsi="宋体" w:eastAsia="宋体" w:cs="宋体"/>
          <w:bCs/>
          <w:sz w:val="32"/>
          <w:szCs w:val="32"/>
          <w:highlight w:val="none"/>
        </w:rPr>
      </w:pPr>
    </w:p>
    <w:p>
      <w:pPr>
        <w:keepLines/>
        <w:tabs>
          <w:tab w:val="left" w:pos="1680"/>
        </w:tabs>
        <w:snapToGrid w:val="0"/>
        <w:spacing w:line="360" w:lineRule="auto"/>
        <w:rPr>
          <w:rFonts w:hint="eastAsia" w:ascii="宋体" w:hAnsi="宋体" w:eastAsia="宋体" w:cs="宋体"/>
          <w:bCs/>
          <w:sz w:val="32"/>
          <w:szCs w:val="32"/>
          <w:highlight w:val="none"/>
        </w:rPr>
      </w:pPr>
    </w:p>
    <w:p>
      <w:pPr>
        <w:keepLines/>
        <w:tabs>
          <w:tab w:val="left" w:pos="1680"/>
        </w:tabs>
        <w:snapToGrid w:val="0"/>
        <w:spacing w:line="360" w:lineRule="exact"/>
        <w:rPr>
          <w:rFonts w:hint="eastAsia" w:ascii="宋体" w:hAnsi="宋体" w:eastAsia="宋体" w:cs="宋体"/>
          <w:bCs/>
          <w:sz w:val="32"/>
          <w:szCs w:val="32"/>
          <w:highlight w:val="none"/>
        </w:rPr>
      </w:pPr>
    </w:p>
    <w:p>
      <w:pPr>
        <w:keepLines/>
        <w:tabs>
          <w:tab w:val="left" w:pos="1680"/>
        </w:tabs>
        <w:snapToGrid w:val="0"/>
        <w:spacing w:line="360" w:lineRule="auto"/>
        <w:rPr>
          <w:rFonts w:hint="eastAsia" w:ascii="宋体" w:hAnsi="宋体" w:eastAsia="宋体" w:cs="宋体"/>
          <w:bCs/>
          <w:sz w:val="24"/>
          <w:highlight w:val="none"/>
        </w:rPr>
      </w:pPr>
    </w:p>
    <w:p>
      <w:pPr>
        <w:keepLines/>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pPr>
        <w:keepLine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1．采购货物中如含有强制节能产品的，须如实填写强制节能产品明细表；</w:t>
      </w:r>
    </w:p>
    <w:p>
      <w:pPr>
        <w:keepLine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提供所投产品获得国家确定的认证机构出具的、处于有效期之内的产品认证证书。</w:t>
      </w:r>
    </w:p>
    <w:p>
      <w:pPr>
        <w:spacing w:line="360" w:lineRule="auto"/>
        <w:jc w:val="center"/>
        <w:rPr>
          <w:rFonts w:hint="eastAsia" w:ascii="宋体" w:hAnsi="宋体" w:eastAsia="宋体" w:cs="宋体"/>
          <w:b/>
          <w:sz w:val="24"/>
          <w:szCs w:val="22"/>
          <w:highlight w:val="none"/>
        </w:rPr>
      </w:pPr>
    </w:p>
    <w:p>
      <w:pPr>
        <w:pStyle w:val="4"/>
        <w:spacing w:line="360" w:lineRule="auto"/>
        <w:jc w:val="center"/>
        <w:rPr>
          <w:rFonts w:hint="eastAsia" w:ascii="宋体" w:hAnsi="宋体" w:eastAsia="宋体" w:cs="宋体"/>
          <w:sz w:val="24"/>
          <w:szCs w:val="24"/>
          <w:highlight w:val="none"/>
        </w:rPr>
      </w:pPr>
      <w:r>
        <w:rPr>
          <w:rFonts w:hint="eastAsia" w:ascii="宋体" w:hAnsi="宋体" w:eastAsia="宋体" w:cs="宋体"/>
          <w:sz w:val="28"/>
          <w:szCs w:val="28"/>
          <w:highlight w:val="none"/>
        </w:rPr>
        <w:br w:type="page"/>
      </w:r>
      <w:bookmarkStart w:id="76" w:name="_Toc13850"/>
      <w:r>
        <w:rPr>
          <w:rFonts w:hint="eastAsia" w:ascii="宋体" w:hAnsi="宋体" w:eastAsia="宋体" w:cs="宋体"/>
          <w:sz w:val="24"/>
          <w:szCs w:val="24"/>
          <w:highlight w:val="none"/>
        </w:rPr>
        <w:t>（五）</w:t>
      </w:r>
      <w:bookmarkEnd w:id="76"/>
      <w:r>
        <w:rPr>
          <w:rFonts w:hint="eastAsia" w:ascii="宋体" w:hAnsi="宋体" w:eastAsia="宋体" w:cs="宋体"/>
          <w:sz w:val="24"/>
          <w:szCs w:val="24"/>
          <w:highlight w:val="none"/>
        </w:rPr>
        <w:t>非强制节能产品、环保标志产品明细表格式（以包为单位分别填写，如本项目所投产品中不涉及非强制节能产品、环保标志产品，此表可不提供）</w:t>
      </w:r>
    </w:p>
    <w:p>
      <w:pPr>
        <w:tabs>
          <w:tab w:val="left" w:pos="1680"/>
        </w:tabs>
        <w:snapToGrid w:val="0"/>
        <w:spacing w:line="360" w:lineRule="auto"/>
        <w:jc w:val="center"/>
        <w:rPr>
          <w:rFonts w:hint="eastAsia" w:ascii="宋体" w:hAnsi="宋体" w:eastAsia="宋体" w:cs="宋体"/>
          <w:b/>
          <w:sz w:val="24"/>
          <w:highlight w:val="none"/>
        </w:rPr>
      </w:pPr>
    </w:p>
    <w:p>
      <w:pPr>
        <w:keepLines/>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pPr>
        <w:tabs>
          <w:tab w:val="left" w:pos="1680"/>
        </w:tabs>
        <w:snapToGrid w:val="0"/>
        <w:spacing w:line="360" w:lineRule="auto"/>
        <w:jc w:val="center"/>
        <w:rPr>
          <w:rFonts w:hint="eastAsia" w:ascii="宋体" w:hAnsi="宋体" w:eastAsia="宋体" w:cs="宋体"/>
          <w:sz w:val="24"/>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55"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955"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955"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637"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节能产品认证证书号</w:t>
            </w:r>
          </w:p>
        </w:tc>
        <w:tc>
          <w:tcPr>
            <w:tcW w:w="1860"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850"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1637" w:type="dxa"/>
          </w:tcPr>
          <w:p>
            <w:pPr>
              <w:spacing w:line="360" w:lineRule="auto"/>
              <w:rPr>
                <w:rFonts w:hint="eastAsia" w:ascii="宋体" w:hAnsi="宋体" w:eastAsia="宋体" w:cs="宋体"/>
                <w:b/>
                <w:sz w:val="24"/>
                <w:highlight w:val="none"/>
              </w:rPr>
            </w:pPr>
          </w:p>
        </w:tc>
        <w:tc>
          <w:tcPr>
            <w:tcW w:w="1860" w:type="dxa"/>
          </w:tcPr>
          <w:p>
            <w:pPr>
              <w:spacing w:line="360" w:lineRule="auto"/>
              <w:rPr>
                <w:rFonts w:hint="eastAsia" w:ascii="宋体" w:hAnsi="宋体" w:eastAsia="宋体" w:cs="宋体"/>
                <w:b/>
                <w:sz w:val="24"/>
                <w:highlight w:val="none"/>
              </w:rPr>
            </w:pPr>
          </w:p>
        </w:tc>
        <w:tc>
          <w:tcPr>
            <w:tcW w:w="1850" w:type="dxa"/>
          </w:tcPr>
          <w:p>
            <w:pPr>
              <w:spacing w:line="360" w:lineRule="auto"/>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1637" w:type="dxa"/>
          </w:tcPr>
          <w:p>
            <w:pPr>
              <w:spacing w:line="360" w:lineRule="auto"/>
              <w:rPr>
                <w:rFonts w:hint="eastAsia" w:ascii="宋体" w:hAnsi="宋体" w:eastAsia="宋体" w:cs="宋体"/>
                <w:b/>
                <w:sz w:val="24"/>
                <w:highlight w:val="none"/>
              </w:rPr>
            </w:pPr>
          </w:p>
        </w:tc>
        <w:tc>
          <w:tcPr>
            <w:tcW w:w="1860" w:type="dxa"/>
          </w:tcPr>
          <w:p>
            <w:pPr>
              <w:spacing w:line="360" w:lineRule="auto"/>
              <w:rPr>
                <w:rFonts w:hint="eastAsia" w:ascii="宋体" w:hAnsi="宋体" w:eastAsia="宋体" w:cs="宋体"/>
                <w:b/>
                <w:sz w:val="24"/>
                <w:highlight w:val="none"/>
              </w:rPr>
            </w:pPr>
          </w:p>
        </w:tc>
        <w:tc>
          <w:tcPr>
            <w:tcW w:w="1850" w:type="dxa"/>
          </w:tcPr>
          <w:p>
            <w:pPr>
              <w:spacing w:line="360" w:lineRule="auto"/>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955" w:type="dxa"/>
          </w:tcPr>
          <w:p>
            <w:pPr>
              <w:spacing w:line="360" w:lineRule="auto"/>
              <w:rPr>
                <w:rFonts w:hint="eastAsia" w:ascii="宋体" w:hAnsi="宋体" w:eastAsia="宋体" w:cs="宋体"/>
                <w:b/>
                <w:sz w:val="24"/>
                <w:highlight w:val="none"/>
              </w:rPr>
            </w:pPr>
          </w:p>
        </w:tc>
        <w:tc>
          <w:tcPr>
            <w:tcW w:w="1637" w:type="dxa"/>
          </w:tcPr>
          <w:p>
            <w:pPr>
              <w:spacing w:line="360" w:lineRule="auto"/>
              <w:rPr>
                <w:rFonts w:hint="eastAsia" w:ascii="宋体" w:hAnsi="宋体" w:eastAsia="宋体" w:cs="宋体"/>
                <w:b/>
                <w:sz w:val="24"/>
                <w:highlight w:val="none"/>
              </w:rPr>
            </w:pPr>
          </w:p>
        </w:tc>
        <w:tc>
          <w:tcPr>
            <w:tcW w:w="1860" w:type="dxa"/>
          </w:tcPr>
          <w:p>
            <w:pPr>
              <w:spacing w:line="360" w:lineRule="auto"/>
              <w:rPr>
                <w:rFonts w:hint="eastAsia" w:ascii="宋体" w:hAnsi="宋体" w:eastAsia="宋体" w:cs="宋体"/>
                <w:b/>
                <w:sz w:val="24"/>
                <w:highlight w:val="none"/>
              </w:rPr>
            </w:pPr>
          </w:p>
        </w:tc>
        <w:tc>
          <w:tcPr>
            <w:tcW w:w="1850" w:type="dxa"/>
          </w:tcPr>
          <w:p>
            <w:pPr>
              <w:spacing w:line="360" w:lineRule="auto"/>
              <w:rPr>
                <w:rFonts w:hint="eastAsia" w:ascii="宋体" w:hAnsi="宋体" w:eastAsia="宋体" w:cs="宋体"/>
                <w:b/>
                <w:sz w:val="24"/>
                <w:highlight w:val="none"/>
              </w:rPr>
            </w:pPr>
          </w:p>
        </w:tc>
      </w:tr>
    </w:tbl>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投报节能产品政府采购品目清单中强制性采购产品以外的其它节能产品，将给予适当加分。</w:t>
      </w:r>
    </w:p>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pPr>
        <w:spacing w:line="360" w:lineRule="auto"/>
        <w:jc w:val="center"/>
        <w:rPr>
          <w:rFonts w:hint="eastAsia" w:ascii="宋体" w:hAnsi="宋体" w:eastAsia="宋体" w:cs="宋体"/>
          <w:b/>
          <w:sz w:val="24"/>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894"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745"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894"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注册商标</w:t>
            </w:r>
          </w:p>
        </w:tc>
        <w:tc>
          <w:tcPr>
            <w:tcW w:w="894"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729"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环境标志产品认证证书号</w:t>
            </w:r>
          </w:p>
        </w:tc>
        <w:tc>
          <w:tcPr>
            <w:tcW w:w="1766"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259"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745"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1729" w:type="dxa"/>
          </w:tcPr>
          <w:p>
            <w:pPr>
              <w:widowControl/>
              <w:spacing w:line="360" w:lineRule="auto"/>
              <w:jc w:val="center"/>
              <w:rPr>
                <w:rFonts w:hint="eastAsia" w:ascii="宋体" w:hAnsi="宋体" w:eastAsia="宋体" w:cs="宋体"/>
                <w:b/>
                <w:sz w:val="24"/>
                <w:highlight w:val="none"/>
              </w:rPr>
            </w:pPr>
          </w:p>
        </w:tc>
        <w:tc>
          <w:tcPr>
            <w:tcW w:w="1766" w:type="dxa"/>
          </w:tcPr>
          <w:p>
            <w:pPr>
              <w:spacing w:line="360" w:lineRule="auto"/>
              <w:rPr>
                <w:rFonts w:hint="eastAsia" w:ascii="宋体" w:hAnsi="宋体" w:eastAsia="宋体" w:cs="宋体"/>
                <w:b/>
                <w:sz w:val="24"/>
                <w:highlight w:val="none"/>
              </w:rPr>
            </w:pPr>
          </w:p>
        </w:tc>
        <w:tc>
          <w:tcPr>
            <w:tcW w:w="1259" w:type="dxa"/>
          </w:tcPr>
          <w:p>
            <w:pPr>
              <w:spacing w:line="360" w:lineRule="auto"/>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745"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1729" w:type="dxa"/>
          </w:tcPr>
          <w:p>
            <w:pPr>
              <w:widowControl/>
              <w:spacing w:line="360" w:lineRule="auto"/>
              <w:jc w:val="center"/>
              <w:rPr>
                <w:rFonts w:hint="eastAsia" w:ascii="宋体" w:hAnsi="宋体" w:eastAsia="宋体" w:cs="宋体"/>
                <w:b/>
                <w:sz w:val="24"/>
                <w:highlight w:val="none"/>
              </w:rPr>
            </w:pPr>
          </w:p>
        </w:tc>
        <w:tc>
          <w:tcPr>
            <w:tcW w:w="1766" w:type="dxa"/>
          </w:tcPr>
          <w:p>
            <w:pPr>
              <w:spacing w:line="360" w:lineRule="auto"/>
              <w:rPr>
                <w:rFonts w:hint="eastAsia" w:ascii="宋体" w:hAnsi="宋体" w:eastAsia="宋体" w:cs="宋体"/>
                <w:b/>
                <w:sz w:val="24"/>
                <w:highlight w:val="none"/>
              </w:rPr>
            </w:pPr>
          </w:p>
        </w:tc>
        <w:tc>
          <w:tcPr>
            <w:tcW w:w="1259" w:type="dxa"/>
          </w:tcPr>
          <w:p>
            <w:pPr>
              <w:spacing w:line="360" w:lineRule="auto"/>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745"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894" w:type="dxa"/>
          </w:tcPr>
          <w:p>
            <w:pPr>
              <w:widowControl/>
              <w:spacing w:line="360" w:lineRule="auto"/>
              <w:jc w:val="center"/>
              <w:rPr>
                <w:rFonts w:hint="eastAsia" w:ascii="宋体" w:hAnsi="宋体" w:eastAsia="宋体" w:cs="宋体"/>
                <w:b/>
                <w:sz w:val="24"/>
                <w:highlight w:val="none"/>
              </w:rPr>
            </w:pPr>
          </w:p>
        </w:tc>
        <w:tc>
          <w:tcPr>
            <w:tcW w:w="1729" w:type="dxa"/>
          </w:tcPr>
          <w:p>
            <w:pPr>
              <w:widowControl/>
              <w:spacing w:line="360" w:lineRule="auto"/>
              <w:jc w:val="center"/>
              <w:rPr>
                <w:rFonts w:hint="eastAsia" w:ascii="宋体" w:hAnsi="宋体" w:eastAsia="宋体" w:cs="宋体"/>
                <w:b/>
                <w:sz w:val="24"/>
                <w:highlight w:val="none"/>
              </w:rPr>
            </w:pPr>
          </w:p>
        </w:tc>
        <w:tc>
          <w:tcPr>
            <w:tcW w:w="1766" w:type="dxa"/>
          </w:tcPr>
          <w:p>
            <w:pPr>
              <w:spacing w:line="360" w:lineRule="auto"/>
              <w:rPr>
                <w:rFonts w:hint="eastAsia" w:ascii="宋体" w:hAnsi="宋体" w:eastAsia="宋体" w:cs="宋体"/>
                <w:b/>
                <w:sz w:val="24"/>
                <w:highlight w:val="none"/>
              </w:rPr>
            </w:pPr>
          </w:p>
        </w:tc>
        <w:tc>
          <w:tcPr>
            <w:tcW w:w="1259" w:type="dxa"/>
          </w:tcPr>
          <w:p>
            <w:pPr>
              <w:spacing w:line="360" w:lineRule="auto"/>
              <w:rPr>
                <w:rFonts w:hint="eastAsia" w:ascii="宋体" w:hAnsi="宋体" w:eastAsia="宋体" w:cs="宋体"/>
                <w:b/>
                <w:sz w:val="24"/>
                <w:highlight w:val="none"/>
              </w:rPr>
            </w:pPr>
          </w:p>
        </w:tc>
      </w:tr>
    </w:tbl>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投报环境标志产品政府采购品目清单中的产品，将给予适当加分。</w:t>
      </w:r>
    </w:p>
    <w:p>
      <w:pPr>
        <w:widowControl/>
        <w:snapToGrid w:val="0"/>
        <w:spacing w:line="360" w:lineRule="auto"/>
        <w:jc w:val="left"/>
        <w:rPr>
          <w:rFonts w:hint="eastAsia" w:ascii="宋体" w:hAnsi="宋体" w:eastAsia="宋体" w:cs="宋体"/>
          <w:kern w:val="0"/>
          <w:sz w:val="24"/>
          <w:highlight w:val="none"/>
        </w:rPr>
      </w:pPr>
    </w:p>
    <w:p>
      <w:pPr>
        <w:pStyle w:val="122"/>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1．所报货物中如含有非强制节能、环境标志产品的，请如实填写产品明细表；</w:t>
      </w:r>
    </w:p>
    <w:p>
      <w:pPr>
        <w:pStyle w:val="12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提供所报产品获得国家确定的认证机构出具的、处于有效期之内的产品认证证书。</w:t>
      </w:r>
    </w:p>
    <w:p>
      <w:pPr>
        <w:spacing w:line="360" w:lineRule="auto"/>
        <w:ind w:firstLine="480" w:firstLineChars="200"/>
        <w:rPr>
          <w:rFonts w:hint="eastAsia" w:ascii="宋体" w:hAnsi="宋体" w:eastAsia="宋体" w:cs="宋体"/>
          <w:sz w:val="24"/>
          <w:highlight w:val="none"/>
          <w:lang w:eastAsia="en-US"/>
        </w:rPr>
      </w:pPr>
    </w:p>
    <w:p>
      <w:pPr>
        <w:pStyle w:val="4"/>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77" w:name="_Toc20954"/>
      <w:r>
        <w:rPr>
          <w:rFonts w:hint="eastAsia" w:ascii="宋体" w:hAnsi="宋体" w:eastAsia="宋体" w:cs="宋体"/>
          <w:sz w:val="28"/>
          <w:szCs w:val="28"/>
          <w:highlight w:val="none"/>
        </w:rPr>
        <w:t>（六）政府优先采购产品明细表（如不涉及，此表可不提供）</w:t>
      </w:r>
      <w:bookmarkEnd w:id="77"/>
    </w:p>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政府优先采购产品明细表</w:t>
      </w: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13"/>
        <w:gridCol w:w="1009"/>
        <w:gridCol w:w="1483"/>
        <w:gridCol w:w="2270"/>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产品名称</w:t>
            </w: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制造商</w:t>
            </w: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产品型号</w:t>
            </w:r>
          </w:p>
        </w:tc>
        <w:tc>
          <w:tcPr>
            <w:tcW w:w="12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产品认证证书号</w:t>
            </w: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12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12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rPr>
            </w:pPr>
          </w:p>
        </w:tc>
      </w:tr>
    </w:tbl>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en-US"/>
        </w:rPr>
        <w:t>1.</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“品目清单”中政府优先采购产品的将给予适当加分</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lang w:eastAsia="en-US"/>
        </w:rPr>
      </w:pPr>
    </w:p>
    <w:p>
      <w:pPr>
        <w:spacing w:line="360" w:lineRule="auto"/>
        <w:ind w:firstLine="480" w:firstLineChars="200"/>
        <w:rPr>
          <w:rFonts w:hint="eastAsia" w:ascii="宋体" w:hAnsi="宋体" w:eastAsia="宋体" w:cs="宋体"/>
          <w:sz w:val="24"/>
          <w:highlight w:val="none"/>
          <w:lang w:eastAsia="en-US"/>
        </w:rPr>
      </w:pPr>
    </w:p>
    <w:p>
      <w:pPr>
        <w:spacing w:line="360" w:lineRule="auto"/>
        <w:ind w:firstLine="480" w:firstLineChars="200"/>
        <w:rPr>
          <w:rFonts w:hint="eastAsia" w:ascii="宋体" w:hAnsi="宋体" w:eastAsia="宋体" w:cs="宋体"/>
          <w:sz w:val="24"/>
          <w:highlight w:val="none"/>
          <w:lang w:eastAsia="en-US"/>
        </w:rPr>
      </w:pP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pPr>
        <w:spacing w:line="360" w:lineRule="auto"/>
        <w:jc w:val="center"/>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p>
    <w:p>
      <w:pPr>
        <w:pStyle w:val="4"/>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78" w:name="_Toc25123"/>
      <w:r>
        <w:rPr>
          <w:rFonts w:hint="eastAsia" w:ascii="宋体" w:hAnsi="宋体" w:eastAsia="宋体" w:cs="宋体"/>
          <w:sz w:val="28"/>
          <w:szCs w:val="28"/>
          <w:highlight w:val="none"/>
        </w:rPr>
        <w:t>（七）正版软件承诺（如不涉及，此表可不提供）</w:t>
      </w:r>
      <w:bookmarkEnd w:id="78"/>
    </w:p>
    <w:p>
      <w:pPr>
        <w:spacing w:line="360" w:lineRule="auto"/>
        <w:jc w:val="center"/>
        <w:rPr>
          <w:rFonts w:hint="eastAsia" w:ascii="宋体" w:hAnsi="宋体" w:eastAsia="宋体" w:cs="宋体"/>
          <w:b/>
          <w:sz w:val="24"/>
          <w:szCs w:val="22"/>
          <w:highlight w:val="none"/>
        </w:rPr>
      </w:pPr>
      <w:r>
        <w:rPr>
          <w:rFonts w:hint="eastAsia" w:ascii="宋体" w:hAnsi="宋体" w:eastAsia="宋体" w:cs="宋体"/>
          <w:b/>
          <w:sz w:val="24"/>
          <w:szCs w:val="22"/>
          <w:highlight w:val="none"/>
        </w:rPr>
        <w:t>正版软件承诺</w:t>
      </w:r>
    </w:p>
    <w:p>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本</w:t>
      </w:r>
      <w:r>
        <w:rPr>
          <w:rFonts w:hint="eastAsia" w:ascii="宋体" w:hAnsi="宋体" w:eastAsia="宋体" w:cs="宋体"/>
          <w:sz w:val="24"/>
          <w:highlight w:val="none"/>
        </w:rPr>
        <w:t>投标人</w:t>
      </w:r>
      <w:r>
        <w:rPr>
          <w:rFonts w:hint="eastAsia" w:ascii="宋体" w:hAnsi="宋体" w:eastAsia="宋体" w:cs="宋体"/>
          <w:sz w:val="24"/>
          <w:highlight w:val="none"/>
          <w:lang w:eastAsia="en-US"/>
        </w:rPr>
        <w:t>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eastAsia="en-US"/>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eastAsia="en-US"/>
        </w:rPr>
        <w:t>（项目编号）项目的采购活动，本公司承诺</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的计算机产品预装正版操作系统，</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的硬件产品内的预装软件为正版软件。</w:t>
      </w:r>
    </w:p>
    <w:p>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如上述声明不真实，愿意按照政府采购有关法律法规的规定接受处罚。</w:t>
      </w:r>
    </w:p>
    <w:p>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特此声明</w:t>
      </w:r>
    </w:p>
    <w:p>
      <w:pPr>
        <w:spacing w:line="360" w:lineRule="auto"/>
        <w:ind w:firstLine="480" w:firstLineChars="200"/>
        <w:rPr>
          <w:rFonts w:hint="eastAsia" w:ascii="宋体" w:hAnsi="宋体" w:eastAsia="宋体" w:cs="宋体"/>
          <w:sz w:val="24"/>
          <w:highlight w:val="none"/>
          <w:lang w:eastAsia="en-US"/>
        </w:rPr>
      </w:pP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pPr>
        <w:widowControl/>
        <w:snapToGrid w:val="0"/>
        <w:spacing w:line="360" w:lineRule="auto"/>
        <w:ind w:firstLine="480" w:firstLineChars="200"/>
        <w:rPr>
          <w:rFonts w:hint="eastAsia" w:ascii="宋体" w:hAnsi="宋体" w:eastAsia="宋体" w:cs="宋体"/>
          <w:sz w:val="24"/>
          <w:highlight w:val="none"/>
        </w:rPr>
      </w:pPr>
    </w:p>
    <w:p>
      <w:pPr>
        <w:keepLines/>
        <w:tabs>
          <w:tab w:val="left" w:pos="1680"/>
        </w:tabs>
        <w:snapToGrid w:val="0"/>
        <w:spacing w:line="360" w:lineRule="auto"/>
        <w:jc w:val="center"/>
        <w:outlineLvl w:val="2"/>
        <w:rPr>
          <w:rFonts w:hint="eastAsia" w:ascii="宋体" w:hAnsi="宋体" w:eastAsia="宋体" w:cs="宋体"/>
          <w:b/>
          <w:bCs/>
          <w:sz w:val="24"/>
          <w:highlight w:val="none"/>
        </w:rPr>
      </w:pPr>
      <w:r>
        <w:rPr>
          <w:rFonts w:hint="eastAsia" w:ascii="宋体" w:hAnsi="宋体" w:eastAsia="宋体" w:cs="宋体"/>
          <w:b/>
          <w:bCs/>
          <w:sz w:val="28"/>
          <w:szCs w:val="28"/>
          <w:highlight w:val="none"/>
        </w:rPr>
        <w:br w:type="page"/>
      </w:r>
      <w:bookmarkStart w:id="79" w:name="_Toc7258"/>
      <w:r>
        <w:rPr>
          <w:rFonts w:hint="eastAsia" w:ascii="宋体" w:hAnsi="宋体" w:eastAsia="宋体" w:cs="宋体"/>
          <w:b/>
          <w:bCs/>
          <w:sz w:val="28"/>
          <w:szCs w:val="28"/>
          <w:highlight w:val="none"/>
        </w:rPr>
        <w:t>（八）网络安全专用产品（如不涉及，此表可不提供）</w:t>
      </w:r>
      <w:bookmarkEnd w:id="79"/>
    </w:p>
    <w:tbl>
      <w:tblPr>
        <w:tblStyle w:val="5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3"/>
        <w:gridCol w:w="1560"/>
        <w:gridCol w:w="1234"/>
        <w:gridCol w:w="1322"/>
        <w:gridCol w:w="1553"/>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263"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1560"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1234"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注册商标</w:t>
            </w:r>
          </w:p>
        </w:tc>
        <w:tc>
          <w:tcPr>
            <w:tcW w:w="1322"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553"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合格或许可证号</w:t>
            </w:r>
          </w:p>
        </w:tc>
        <w:tc>
          <w:tcPr>
            <w:tcW w:w="1259" w:type="dxa"/>
            <w:vAlign w:val="center"/>
          </w:tcPr>
          <w:p>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pPr>
              <w:wordWrap w:val="0"/>
              <w:topLinePunct/>
              <w:jc w:val="center"/>
              <w:rPr>
                <w:rFonts w:hint="eastAsia" w:ascii="宋体" w:hAnsi="宋体" w:eastAsia="宋体" w:cs="宋体"/>
                <w:b/>
                <w:sz w:val="24"/>
                <w:highlight w:val="none"/>
              </w:rPr>
            </w:pPr>
          </w:p>
        </w:tc>
        <w:tc>
          <w:tcPr>
            <w:tcW w:w="1263" w:type="dxa"/>
            <w:vAlign w:val="center"/>
          </w:tcPr>
          <w:p>
            <w:pPr>
              <w:wordWrap w:val="0"/>
              <w:topLinePunct/>
              <w:jc w:val="center"/>
              <w:rPr>
                <w:rFonts w:hint="eastAsia" w:ascii="宋体" w:hAnsi="宋体" w:eastAsia="宋体" w:cs="宋体"/>
                <w:b/>
                <w:sz w:val="24"/>
                <w:highlight w:val="none"/>
              </w:rPr>
            </w:pPr>
          </w:p>
        </w:tc>
        <w:tc>
          <w:tcPr>
            <w:tcW w:w="1560" w:type="dxa"/>
            <w:vAlign w:val="center"/>
          </w:tcPr>
          <w:p>
            <w:pPr>
              <w:wordWrap w:val="0"/>
              <w:topLinePunct/>
              <w:jc w:val="center"/>
              <w:rPr>
                <w:rFonts w:hint="eastAsia" w:ascii="宋体" w:hAnsi="宋体" w:eastAsia="宋体" w:cs="宋体"/>
                <w:b/>
                <w:sz w:val="24"/>
                <w:highlight w:val="none"/>
              </w:rPr>
            </w:pPr>
          </w:p>
        </w:tc>
        <w:tc>
          <w:tcPr>
            <w:tcW w:w="1234" w:type="dxa"/>
            <w:vAlign w:val="center"/>
          </w:tcPr>
          <w:p>
            <w:pPr>
              <w:wordWrap w:val="0"/>
              <w:topLinePunct/>
              <w:jc w:val="center"/>
              <w:rPr>
                <w:rFonts w:hint="eastAsia" w:ascii="宋体" w:hAnsi="宋体" w:eastAsia="宋体" w:cs="宋体"/>
                <w:b/>
                <w:sz w:val="24"/>
                <w:highlight w:val="none"/>
              </w:rPr>
            </w:pPr>
          </w:p>
        </w:tc>
        <w:tc>
          <w:tcPr>
            <w:tcW w:w="1322" w:type="dxa"/>
            <w:vAlign w:val="center"/>
          </w:tcPr>
          <w:p>
            <w:pPr>
              <w:wordWrap w:val="0"/>
              <w:topLinePunct/>
              <w:jc w:val="center"/>
              <w:rPr>
                <w:rFonts w:hint="eastAsia" w:ascii="宋体" w:hAnsi="宋体" w:eastAsia="宋体" w:cs="宋体"/>
                <w:b/>
                <w:sz w:val="24"/>
                <w:highlight w:val="none"/>
              </w:rPr>
            </w:pPr>
          </w:p>
        </w:tc>
        <w:tc>
          <w:tcPr>
            <w:tcW w:w="1553" w:type="dxa"/>
            <w:vAlign w:val="center"/>
          </w:tcPr>
          <w:p>
            <w:pPr>
              <w:wordWrap w:val="0"/>
              <w:topLinePunct/>
              <w:jc w:val="center"/>
              <w:rPr>
                <w:rFonts w:hint="eastAsia" w:ascii="宋体" w:hAnsi="宋体" w:eastAsia="宋体" w:cs="宋体"/>
                <w:b/>
                <w:sz w:val="24"/>
                <w:highlight w:val="none"/>
              </w:rPr>
            </w:pPr>
          </w:p>
        </w:tc>
        <w:tc>
          <w:tcPr>
            <w:tcW w:w="1259" w:type="dxa"/>
            <w:vAlign w:val="center"/>
          </w:tcPr>
          <w:p>
            <w:pPr>
              <w:wordWrap w:val="0"/>
              <w:topLinePunct/>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pPr>
              <w:wordWrap w:val="0"/>
              <w:topLinePunct/>
              <w:jc w:val="center"/>
              <w:rPr>
                <w:rFonts w:hint="eastAsia" w:ascii="宋体" w:hAnsi="宋体" w:eastAsia="宋体" w:cs="宋体"/>
                <w:b/>
                <w:sz w:val="24"/>
                <w:highlight w:val="none"/>
              </w:rPr>
            </w:pPr>
          </w:p>
        </w:tc>
        <w:tc>
          <w:tcPr>
            <w:tcW w:w="1263" w:type="dxa"/>
            <w:vAlign w:val="center"/>
          </w:tcPr>
          <w:p>
            <w:pPr>
              <w:wordWrap w:val="0"/>
              <w:topLinePunct/>
              <w:jc w:val="center"/>
              <w:rPr>
                <w:rFonts w:hint="eastAsia" w:ascii="宋体" w:hAnsi="宋体" w:eastAsia="宋体" w:cs="宋体"/>
                <w:b/>
                <w:sz w:val="24"/>
                <w:highlight w:val="none"/>
              </w:rPr>
            </w:pPr>
          </w:p>
        </w:tc>
        <w:tc>
          <w:tcPr>
            <w:tcW w:w="1560" w:type="dxa"/>
            <w:vAlign w:val="center"/>
          </w:tcPr>
          <w:p>
            <w:pPr>
              <w:wordWrap w:val="0"/>
              <w:topLinePunct/>
              <w:jc w:val="center"/>
              <w:rPr>
                <w:rFonts w:hint="eastAsia" w:ascii="宋体" w:hAnsi="宋体" w:eastAsia="宋体" w:cs="宋体"/>
                <w:b/>
                <w:sz w:val="24"/>
                <w:highlight w:val="none"/>
              </w:rPr>
            </w:pPr>
          </w:p>
        </w:tc>
        <w:tc>
          <w:tcPr>
            <w:tcW w:w="1234" w:type="dxa"/>
            <w:vAlign w:val="center"/>
          </w:tcPr>
          <w:p>
            <w:pPr>
              <w:wordWrap w:val="0"/>
              <w:topLinePunct/>
              <w:jc w:val="center"/>
              <w:rPr>
                <w:rFonts w:hint="eastAsia" w:ascii="宋体" w:hAnsi="宋体" w:eastAsia="宋体" w:cs="宋体"/>
                <w:b/>
                <w:sz w:val="24"/>
                <w:highlight w:val="none"/>
              </w:rPr>
            </w:pPr>
          </w:p>
        </w:tc>
        <w:tc>
          <w:tcPr>
            <w:tcW w:w="1322" w:type="dxa"/>
            <w:vAlign w:val="center"/>
          </w:tcPr>
          <w:p>
            <w:pPr>
              <w:wordWrap w:val="0"/>
              <w:topLinePunct/>
              <w:jc w:val="center"/>
              <w:rPr>
                <w:rFonts w:hint="eastAsia" w:ascii="宋体" w:hAnsi="宋体" w:eastAsia="宋体" w:cs="宋体"/>
                <w:b/>
                <w:sz w:val="24"/>
                <w:highlight w:val="none"/>
              </w:rPr>
            </w:pPr>
          </w:p>
        </w:tc>
        <w:tc>
          <w:tcPr>
            <w:tcW w:w="1553" w:type="dxa"/>
            <w:vAlign w:val="center"/>
          </w:tcPr>
          <w:p>
            <w:pPr>
              <w:wordWrap w:val="0"/>
              <w:topLinePunct/>
              <w:jc w:val="center"/>
              <w:rPr>
                <w:rFonts w:hint="eastAsia" w:ascii="宋体" w:hAnsi="宋体" w:eastAsia="宋体" w:cs="宋体"/>
                <w:b/>
                <w:sz w:val="24"/>
                <w:highlight w:val="none"/>
              </w:rPr>
            </w:pPr>
          </w:p>
        </w:tc>
        <w:tc>
          <w:tcPr>
            <w:tcW w:w="1259" w:type="dxa"/>
            <w:vAlign w:val="center"/>
          </w:tcPr>
          <w:p>
            <w:pPr>
              <w:wordWrap w:val="0"/>
              <w:topLinePunct/>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pPr>
              <w:wordWrap w:val="0"/>
              <w:topLinePunct/>
              <w:jc w:val="center"/>
              <w:rPr>
                <w:rFonts w:hint="eastAsia" w:ascii="宋体" w:hAnsi="宋体" w:eastAsia="宋体" w:cs="宋体"/>
                <w:b/>
                <w:sz w:val="24"/>
                <w:highlight w:val="none"/>
              </w:rPr>
            </w:pPr>
          </w:p>
        </w:tc>
        <w:tc>
          <w:tcPr>
            <w:tcW w:w="1263" w:type="dxa"/>
            <w:vAlign w:val="center"/>
          </w:tcPr>
          <w:p>
            <w:pPr>
              <w:wordWrap w:val="0"/>
              <w:topLinePunct/>
              <w:jc w:val="center"/>
              <w:rPr>
                <w:rFonts w:hint="eastAsia" w:ascii="宋体" w:hAnsi="宋体" w:eastAsia="宋体" w:cs="宋体"/>
                <w:b/>
                <w:sz w:val="24"/>
                <w:highlight w:val="none"/>
              </w:rPr>
            </w:pPr>
          </w:p>
        </w:tc>
        <w:tc>
          <w:tcPr>
            <w:tcW w:w="1560" w:type="dxa"/>
            <w:vAlign w:val="center"/>
          </w:tcPr>
          <w:p>
            <w:pPr>
              <w:wordWrap w:val="0"/>
              <w:topLinePunct/>
              <w:jc w:val="center"/>
              <w:rPr>
                <w:rFonts w:hint="eastAsia" w:ascii="宋体" w:hAnsi="宋体" w:eastAsia="宋体" w:cs="宋体"/>
                <w:b/>
                <w:sz w:val="24"/>
                <w:highlight w:val="none"/>
              </w:rPr>
            </w:pPr>
          </w:p>
        </w:tc>
        <w:tc>
          <w:tcPr>
            <w:tcW w:w="1234" w:type="dxa"/>
            <w:vAlign w:val="center"/>
          </w:tcPr>
          <w:p>
            <w:pPr>
              <w:wordWrap w:val="0"/>
              <w:topLinePunct/>
              <w:jc w:val="center"/>
              <w:rPr>
                <w:rFonts w:hint="eastAsia" w:ascii="宋体" w:hAnsi="宋体" w:eastAsia="宋体" w:cs="宋体"/>
                <w:b/>
                <w:sz w:val="24"/>
                <w:highlight w:val="none"/>
              </w:rPr>
            </w:pPr>
          </w:p>
        </w:tc>
        <w:tc>
          <w:tcPr>
            <w:tcW w:w="1322" w:type="dxa"/>
            <w:vAlign w:val="center"/>
          </w:tcPr>
          <w:p>
            <w:pPr>
              <w:wordWrap w:val="0"/>
              <w:topLinePunct/>
              <w:jc w:val="center"/>
              <w:rPr>
                <w:rFonts w:hint="eastAsia" w:ascii="宋体" w:hAnsi="宋体" w:eastAsia="宋体" w:cs="宋体"/>
                <w:b/>
                <w:sz w:val="24"/>
                <w:highlight w:val="none"/>
              </w:rPr>
            </w:pPr>
          </w:p>
        </w:tc>
        <w:tc>
          <w:tcPr>
            <w:tcW w:w="1553" w:type="dxa"/>
            <w:vAlign w:val="center"/>
          </w:tcPr>
          <w:p>
            <w:pPr>
              <w:wordWrap w:val="0"/>
              <w:topLinePunct/>
              <w:jc w:val="center"/>
              <w:rPr>
                <w:rFonts w:hint="eastAsia" w:ascii="宋体" w:hAnsi="宋体" w:eastAsia="宋体" w:cs="宋体"/>
                <w:b/>
                <w:sz w:val="24"/>
                <w:highlight w:val="none"/>
              </w:rPr>
            </w:pPr>
          </w:p>
        </w:tc>
        <w:tc>
          <w:tcPr>
            <w:tcW w:w="1259" w:type="dxa"/>
            <w:vAlign w:val="center"/>
          </w:tcPr>
          <w:p>
            <w:pPr>
              <w:wordWrap w:val="0"/>
              <w:topLinePunct/>
              <w:jc w:val="center"/>
              <w:rPr>
                <w:rFonts w:hint="eastAsia" w:ascii="宋体" w:hAnsi="宋体" w:eastAsia="宋体" w:cs="宋体"/>
                <w:b/>
                <w:sz w:val="24"/>
                <w:highlight w:val="none"/>
              </w:rPr>
            </w:pPr>
          </w:p>
        </w:tc>
      </w:tr>
    </w:tbl>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采购标的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pPr>
        <w:pStyle w:val="4"/>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80" w:name="_Toc11116"/>
      <w:r>
        <w:rPr>
          <w:rFonts w:hint="eastAsia" w:ascii="宋体" w:hAnsi="宋体" w:eastAsia="宋体" w:cs="宋体"/>
          <w:sz w:val="28"/>
          <w:szCs w:val="28"/>
          <w:highlight w:val="none"/>
        </w:rPr>
        <w:t>（九）创新产品或创新服务明细表（如不涉及，此表可不提供）</w:t>
      </w:r>
      <w:bookmarkEnd w:id="80"/>
    </w:p>
    <w:p>
      <w:pPr>
        <w:spacing w:line="360" w:lineRule="auto"/>
        <w:jc w:val="center"/>
        <w:rPr>
          <w:rFonts w:hint="eastAsia" w:ascii="宋体" w:hAnsi="宋体" w:eastAsia="宋体" w:cs="宋体"/>
          <w:b/>
          <w:sz w:val="24"/>
          <w:szCs w:val="22"/>
          <w:highlight w:val="none"/>
        </w:rPr>
      </w:pPr>
      <w:r>
        <w:rPr>
          <w:rFonts w:hint="eastAsia" w:ascii="宋体" w:hAnsi="宋体" w:eastAsia="宋体" w:cs="宋体"/>
          <w:b/>
          <w:sz w:val="24"/>
          <w:szCs w:val="22"/>
          <w:highlight w:val="none"/>
        </w:rPr>
        <w:t>创新产品或创新服务明细表</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货币：人民币/元</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42"/>
        <w:gridCol w:w="1012"/>
        <w:gridCol w:w="1348"/>
        <w:gridCol w:w="1100"/>
        <w:gridCol w:w="898"/>
        <w:gridCol w:w="97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38" w:type="pct"/>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序号</w:t>
            </w:r>
          </w:p>
        </w:tc>
        <w:tc>
          <w:tcPr>
            <w:tcW w:w="732" w:type="pct"/>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货物名称</w:t>
            </w:r>
          </w:p>
        </w:tc>
        <w:tc>
          <w:tcPr>
            <w:tcW w:w="552" w:type="pct"/>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品牌</w:t>
            </w:r>
          </w:p>
        </w:tc>
        <w:tc>
          <w:tcPr>
            <w:tcW w:w="735" w:type="pct"/>
            <w:tcBorders>
              <w:bottom w:val="single" w:color="auto" w:sz="4" w:space="0"/>
            </w:tcBorders>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规格型号</w:t>
            </w:r>
          </w:p>
        </w:tc>
        <w:tc>
          <w:tcPr>
            <w:tcW w:w="600" w:type="pct"/>
            <w:tcBorders>
              <w:bottom w:val="single" w:color="auto" w:sz="4" w:space="0"/>
            </w:tcBorders>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产地及厂家</w:t>
            </w:r>
          </w:p>
        </w:tc>
        <w:tc>
          <w:tcPr>
            <w:tcW w:w="490" w:type="pct"/>
            <w:tcBorders>
              <w:bottom w:val="single" w:color="auto" w:sz="4" w:space="0"/>
            </w:tcBorders>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数量</w:t>
            </w:r>
          </w:p>
        </w:tc>
        <w:tc>
          <w:tcPr>
            <w:tcW w:w="532" w:type="pct"/>
            <w:tcBorders>
              <w:bottom w:val="single" w:color="auto" w:sz="4" w:space="0"/>
            </w:tcBorders>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单价</w:t>
            </w:r>
          </w:p>
        </w:tc>
        <w:tc>
          <w:tcPr>
            <w:tcW w:w="918" w:type="pct"/>
            <w:tcBorders>
              <w:bottom w:val="single" w:color="auto" w:sz="4" w:space="0"/>
            </w:tcBorders>
            <w:vAlign w:val="center"/>
          </w:tcPr>
          <w:p>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pPr>
              <w:jc w:val="center"/>
              <w:rPr>
                <w:rFonts w:hint="eastAsia" w:ascii="宋体" w:hAnsi="宋体" w:eastAsia="宋体" w:cs="宋体"/>
                <w:bCs/>
                <w:sz w:val="24"/>
                <w:szCs w:val="22"/>
                <w:highlight w:val="none"/>
              </w:rPr>
            </w:pPr>
          </w:p>
        </w:tc>
        <w:tc>
          <w:tcPr>
            <w:tcW w:w="732" w:type="pct"/>
            <w:vAlign w:val="center"/>
          </w:tcPr>
          <w:p>
            <w:pPr>
              <w:jc w:val="center"/>
              <w:rPr>
                <w:rFonts w:hint="eastAsia" w:ascii="宋体" w:hAnsi="宋体" w:eastAsia="宋体" w:cs="宋体"/>
                <w:bCs/>
                <w:sz w:val="24"/>
                <w:szCs w:val="22"/>
                <w:highlight w:val="none"/>
              </w:rPr>
            </w:pPr>
          </w:p>
        </w:tc>
        <w:tc>
          <w:tcPr>
            <w:tcW w:w="552" w:type="pct"/>
            <w:vAlign w:val="center"/>
          </w:tcPr>
          <w:p>
            <w:pPr>
              <w:jc w:val="center"/>
              <w:rPr>
                <w:rFonts w:hint="eastAsia" w:ascii="宋体" w:hAnsi="宋体" w:eastAsia="宋体" w:cs="宋体"/>
                <w:bCs/>
                <w:sz w:val="24"/>
                <w:szCs w:val="22"/>
                <w:highlight w:val="none"/>
              </w:rPr>
            </w:pPr>
          </w:p>
        </w:tc>
        <w:tc>
          <w:tcPr>
            <w:tcW w:w="735" w:type="pct"/>
            <w:tcBorders>
              <w:top w:val="single" w:color="auto" w:sz="4" w:space="0"/>
              <w:bottom w:val="single" w:color="auto" w:sz="4" w:space="0"/>
            </w:tcBorders>
            <w:vAlign w:val="center"/>
          </w:tcPr>
          <w:p>
            <w:pPr>
              <w:jc w:val="center"/>
              <w:rPr>
                <w:rFonts w:hint="eastAsia" w:ascii="宋体" w:hAnsi="宋体" w:eastAsia="宋体" w:cs="宋体"/>
                <w:bCs/>
                <w:sz w:val="24"/>
                <w:szCs w:val="22"/>
                <w:highlight w:val="none"/>
                <w:vertAlign w:val="superscript"/>
              </w:rPr>
            </w:pPr>
          </w:p>
        </w:tc>
        <w:tc>
          <w:tcPr>
            <w:tcW w:w="600" w:type="pct"/>
            <w:tcBorders>
              <w:top w:val="single" w:color="auto" w:sz="4" w:space="0"/>
              <w:bottom w:val="single" w:color="auto" w:sz="4" w:space="0"/>
            </w:tcBorders>
            <w:vAlign w:val="center"/>
          </w:tcPr>
          <w:p>
            <w:pPr>
              <w:jc w:val="center"/>
              <w:rPr>
                <w:rFonts w:hint="eastAsia" w:ascii="宋体" w:hAnsi="宋体" w:eastAsia="宋体" w:cs="宋体"/>
                <w:bCs/>
                <w:sz w:val="24"/>
                <w:szCs w:val="22"/>
                <w:highlight w:val="none"/>
                <w:vertAlign w:val="superscript"/>
              </w:rPr>
            </w:pPr>
          </w:p>
        </w:tc>
        <w:tc>
          <w:tcPr>
            <w:tcW w:w="490" w:type="pct"/>
            <w:tcBorders>
              <w:top w:val="single" w:color="auto" w:sz="4" w:space="0"/>
            </w:tcBorders>
            <w:vAlign w:val="center"/>
          </w:tcPr>
          <w:p>
            <w:pPr>
              <w:jc w:val="center"/>
              <w:rPr>
                <w:rFonts w:hint="eastAsia" w:ascii="宋体" w:hAnsi="宋体" w:eastAsia="宋体" w:cs="宋体"/>
                <w:bCs/>
                <w:sz w:val="24"/>
                <w:szCs w:val="22"/>
                <w:highlight w:val="none"/>
              </w:rPr>
            </w:pPr>
          </w:p>
        </w:tc>
        <w:tc>
          <w:tcPr>
            <w:tcW w:w="532" w:type="pct"/>
            <w:tcBorders>
              <w:top w:val="single" w:color="auto" w:sz="4" w:space="0"/>
            </w:tcBorders>
            <w:vAlign w:val="center"/>
          </w:tcPr>
          <w:p>
            <w:pPr>
              <w:jc w:val="center"/>
              <w:rPr>
                <w:rFonts w:hint="eastAsia" w:ascii="宋体" w:hAnsi="宋体" w:eastAsia="宋体" w:cs="宋体"/>
                <w:bCs/>
                <w:sz w:val="24"/>
                <w:szCs w:val="22"/>
                <w:highlight w:val="none"/>
              </w:rPr>
            </w:pPr>
          </w:p>
        </w:tc>
        <w:tc>
          <w:tcPr>
            <w:tcW w:w="918" w:type="pct"/>
            <w:tcBorders>
              <w:top w:val="single" w:color="auto" w:sz="4" w:space="0"/>
            </w:tcBorders>
            <w:vAlign w:val="center"/>
          </w:tcPr>
          <w:p>
            <w:pPr>
              <w:jc w:val="center"/>
              <w:rPr>
                <w:rFonts w:hint="eastAsia" w:ascii="宋体" w:hAnsi="宋体" w:eastAsia="宋体" w:cs="宋体"/>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pPr>
              <w:jc w:val="center"/>
              <w:rPr>
                <w:rFonts w:hint="eastAsia" w:ascii="宋体" w:hAnsi="宋体" w:eastAsia="宋体" w:cs="宋体"/>
                <w:bCs/>
                <w:sz w:val="24"/>
                <w:szCs w:val="22"/>
                <w:highlight w:val="none"/>
              </w:rPr>
            </w:pPr>
          </w:p>
        </w:tc>
        <w:tc>
          <w:tcPr>
            <w:tcW w:w="732" w:type="pct"/>
            <w:vAlign w:val="center"/>
          </w:tcPr>
          <w:p>
            <w:pPr>
              <w:jc w:val="center"/>
              <w:rPr>
                <w:rFonts w:hint="eastAsia" w:ascii="宋体" w:hAnsi="宋体" w:eastAsia="宋体" w:cs="宋体"/>
                <w:bCs/>
                <w:sz w:val="24"/>
                <w:szCs w:val="22"/>
                <w:highlight w:val="none"/>
              </w:rPr>
            </w:pPr>
          </w:p>
        </w:tc>
        <w:tc>
          <w:tcPr>
            <w:tcW w:w="552" w:type="pct"/>
            <w:vAlign w:val="center"/>
          </w:tcPr>
          <w:p>
            <w:pPr>
              <w:jc w:val="center"/>
              <w:rPr>
                <w:rFonts w:hint="eastAsia" w:ascii="宋体" w:hAnsi="宋体" w:eastAsia="宋体" w:cs="宋体"/>
                <w:bCs/>
                <w:sz w:val="24"/>
                <w:szCs w:val="22"/>
                <w:highlight w:val="none"/>
              </w:rPr>
            </w:pPr>
          </w:p>
        </w:tc>
        <w:tc>
          <w:tcPr>
            <w:tcW w:w="735" w:type="pct"/>
            <w:tcBorders>
              <w:top w:val="single" w:color="auto" w:sz="4" w:space="0"/>
              <w:bottom w:val="single" w:color="auto" w:sz="4" w:space="0"/>
            </w:tcBorders>
            <w:vAlign w:val="center"/>
          </w:tcPr>
          <w:p>
            <w:pPr>
              <w:jc w:val="center"/>
              <w:rPr>
                <w:rFonts w:hint="eastAsia" w:ascii="宋体" w:hAnsi="宋体" w:eastAsia="宋体" w:cs="宋体"/>
                <w:bCs/>
                <w:sz w:val="24"/>
                <w:szCs w:val="22"/>
                <w:highlight w:val="none"/>
                <w:vertAlign w:val="superscript"/>
              </w:rPr>
            </w:pPr>
          </w:p>
        </w:tc>
        <w:tc>
          <w:tcPr>
            <w:tcW w:w="600" w:type="pct"/>
            <w:tcBorders>
              <w:top w:val="single" w:color="auto" w:sz="4" w:space="0"/>
              <w:bottom w:val="single" w:color="auto" w:sz="4" w:space="0"/>
            </w:tcBorders>
            <w:vAlign w:val="center"/>
          </w:tcPr>
          <w:p>
            <w:pPr>
              <w:jc w:val="center"/>
              <w:rPr>
                <w:rFonts w:hint="eastAsia" w:ascii="宋体" w:hAnsi="宋体" w:eastAsia="宋体" w:cs="宋体"/>
                <w:bCs/>
                <w:sz w:val="24"/>
                <w:szCs w:val="22"/>
                <w:highlight w:val="none"/>
                <w:vertAlign w:val="superscript"/>
              </w:rPr>
            </w:pPr>
          </w:p>
        </w:tc>
        <w:tc>
          <w:tcPr>
            <w:tcW w:w="490" w:type="pct"/>
            <w:tcBorders>
              <w:top w:val="single" w:color="auto" w:sz="4" w:space="0"/>
            </w:tcBorders>
            <w:vAlign w:val="center"/>
          </w:tcPr>
          <w:p>
            <w:pPr>
              <w:jc w:val="center"/>
              <w:rPr>
                <w:rFonts w:hint="eastAsia" w:ascii="宋体" w:hAnsi="宋体" w:eastAsia="宋体" w:cs="宋体"/>
                <w:bCs/>
                <w:sz w:val="24"/>
                <w:szCs w:val="22"/>
                <w:highlight w:val="none"/>
              </w:rPr>
            </w:pPr>
          </w:p>
        </w:tc>
        <w:tc>
          <w:tcPr>
            <w:tcW w:w="532" w:type="pct"/>
            <w:tcBorders>
              <w:top w:val="single" w:color="auto" w:sz="4" w:space="0"/>
            </w:tcBorders>
            <w:vAlign w:val="center"/>
          </w:tcPr>
          <w:p>
            <w:pPr>
              <w:jc w:val="center"/>
              <w:rPr>
                <w:rFonts w:hint="eastAsia" w:ascii="宋体" w:hAnsi="宋体" w:eastAsia="宋体" w:cs="宋体"/>
                <w:bCs/>
                <w:sz w:val="24"/>
                <w:szCs w:val="22"/>
                <w:highlight w:val="none"/>
              </w:rPr>
            </w:pPr>
          </w:p>
        </w:tc>
        <w:tc>
          <w:tcPr>
            <w:tcW w:w="918" w:type="pct"/>
            <w:tcBorders>
              <w:top w:val="single" w:color="auto" w:sz="4" w:space="0"/>
            </w:tcBorders>
            <w:vAlign w:val="center"/>
          </w:tcPr>
          <w:p>
            <w:pPr>
              <w:jc w:val="center"/>
              <w:rPr>
                <w:rFonts w:hint="eastAsia" w:ascii="宋体" w:hAnsi="宋体" w:eastAsia="宋体" w:cs="宋体"/>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pPr>
              <w:rPr>
                <w:rFonts w:hint="eastAsia" w:ascii="宋体" w:hAnsi="宋体" w:eastAsia="宋体" w:cs="宋体"/>
                <w:bCs/>
                <w:sz w:val="24"/>
                <w:szCs w:val="22"/>
                <w:highlight w:val="none"/>
              </w:rPr>
            </w:pPr>
            <w:r>
              <w:rPr>
                <w:rFonts w:hint="eastAsia" w:ascii="宋体" w:hAnsi="宋体" w:eastAsia="宋体" w:cs="宋体"/>
                <w:bCs/>
                <w:sz w:val="24"/>
                <w:szCs w:val="22"/>
                <w:highlight w:val="none"/>
              </w:rPr>
              <w:t>创新产品或创新服务价格合计：</w:t>
            </w:r>
          </w:p>
        </w:tc>
      </w:tr>
    </w:tbl>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（1）投标人如实填写表格，无相应内容可填的，填写“无”、“未测试”、“没有相应指标”等明确的回答文字，或用“/”来表示。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（2）投标人投报产品包含创新产品或创新服务，需填写此表后，提供《山西省创新产品和服务推荐清单》。</w:t>
      </w:r>
    </w:p>
    <w:p>
      <w:pPr>
        <w:spacing w:line="360" w:lineRule="auto"/>
        <w:ind w:firstLine="2640" w:firstLineChars="1100"/>
        <w:rPr>
          <w:rFonts w:hint="eastAsia" w:ascii="宋体" w:hAnsi="宋体" w:eastAsia="宋体" w:cs="宋体"/>
          <w:sz w:val="24"/>
          <w:highlight w:val="none"/>
        </w:rPr>
      </w:pPr>
    </w:p>
    <w:p>
      <w:pPr>
        <w:spacing w:line="360" w:lineRule="auto"/>
        <w:ind w:firstLine="2640" w:firstLineChars="11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（加盖公章）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4"/>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End w:id="74"/>
      <w:r>
        <w:rPr>
          <w:rFonts w:hint="eastAsia" w:ascii="宋体" w:hAnsi="宋体" w:eastAsia="宋体" w:cs="宋体"/>
          <w:kern w:val="0"/>
          <w:sz w:val="28"/>
          <w:szCs w:val="28"/>
          <w:highlight w:val="none"/>
        </w:rPr>
        <w:t>（十）</w:t>
      </w:r>
      <w:r>
        <w:rPr>
          <w:rFonts w:hint="eastAsia" w:ascii="宋体" w:hAnsi="宋体" w:eastAsia="宋体" w:cs="宋体"/>
          <w:sz w:val="28"/>
          <w:szCs w:val="28"/>
          <w:highlight w:val="none"/>
        </w:rPr>
        <w:t>关于符合本国产品标准的声明函（如不涉及，此表可不提供）</w:t>
      </w:r>
    </w:p>
    <w:p>
      <w:pPr>
        <w:pStyle w:val="49"/>
        <w:wordWrap/>
        <w:spacing w:before="0" w:beforeAutospacing="0" w:after="0" w:afterAutospacing="0" w:line="360" w:lineRule="auto"/>
        <w:ind w:firstLine="420"/>
        <w:textAlignment w:val="baseline"/>
        <w:rPr>
          <w:rFonts w:hint="eastAsia" w:ascii="宋体" w:hAnsi="宋体" w:eastAsia="宋体" w:cs="宋体"/>
          <w:highlight w:val="none"/>
          <w:shd w:val="clear" w:color="auto" w:fill="FFFFFF"/>
        </w:rPr>
      </w:pPr>
    </w:p>
    <w:p>
      <w:pPr>
        <w:pStyle w:val="49"/>
        <w:wordWrap/>
        <w:spacing w:before="0" w:beforeAutospacing="0" w:after="0" w:afterAutospacing="0" w:line="360" w:lineRule="auto"/>
        <w:ind w:firstLine="420"/>
        <w:textAlignment w:val="baseline"/>
        <w:rPr>
          <w:rFonts w:hint="eastAsia" w:ascii="宋体" w:hAnsi="宋体" w:eastAsia="宋体" w:cs="宋体"/>
          <w:highlight w:val="none"/>
        </w:rPr>
      </w:pPr>
      <w:r>
        <w:rPr>
          <w:rFonts w:hint="eastAsia" w:ascii="宋体" w:hAnsi="宋体" w:eastAsia="宋体" w:cs="宋体"/>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9"/>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1.</w:t>
      </w:r>
      <w:r>
        <w:rPr>
          <w:rStyle w:val="61"/>
          <w:rFonts w:hint="eastAsia" w:ascii="宋体" w:hAnsi="宋体" w:eastAsia="宋体" w:cs="宋体"/>
          <w:i w:val="0"/>
          <w:iCs w:val="0"/>
          <w:highlight w:val="none"/>
          <w:u w:val="single"/>
          <w:shd w:val="clear" w:color="auto" w:fill="FFFFFF"/>
        </w:rPr>
        <w:t>（产品名称1）</w:t>
      </w:r>
      <w:r>
        <w:rPr>
          <w:rStyle w:val="61"/>
          <w:rFonts w:hint="eastAsia" w:ascii="宋体" w:hAnsi="宋体" w:eastAsia="宋体" w:cs="宋体"/>
          <w:i w:val="0"/>
          <w:iCs w:val="0"/>
          <w:highlight w:val="none"/>
          <w:shd w:val="clear" w:color="auto" w:fill="FFFFFF"/>
          <w:vertAlign w:val="superscript"/>
        </w:rPr>
        <w:t>1</w:t>
      </w:r>
      <w:r>
        <w:rPr>
          <w:rFonts w:hint="eastAsia" w:ascii="宋体" w:hAnsi="宋体" w:eastAsia="宋体" w:cs="宋体"/>
          <w:i w:val="0"/>
          <w:iCs w:val="0"/>
          <w:highlight w:val="none"/>
          <w:shd w:val="clear" w:color="auto" w:fill="FFFFFF"/>
        </w:rPr>
        <w:t>，生产厂为</w:t>
      </w:r>
      <w:r>
        <w:rPr>
          <w:rStyle w:val="61"/>
          <w:rFonts w:hint="eastAsia" w:ascii="宋体" w:hAnsi="宋体" w:eastAsia="宋体" w:cs="宋体"/>
          <w:i w:val="0"/>
          <w:iCs w:val="0"/>
          <w:highlight w:val="none"/>
          <w:u w:val="single"/>
          <w:shd w:val="clear" w:color="auto" w:fill="FFFFFF"/>
        </w:rPr>
        <w:t>（厂名）</w:t>
      </w:r>
      <w:r>
        <w:rPr>
          <w:rStyle w:val="61"/>
          <w:rFonts w:hint="eastAsia" w:ascii="宋体" w:hAnsi="宋体" w:eastAsia="宋体" w:cs="宋体"/>
          <w:i w:val="0"/>
          <w:iCs w:val="0"/>
          <w:highlight w:val="none"/>
          <w:shd w:val="clear" w:color="auto" w:fill="FFFFFF"/>
          <w:vertAlign w:val="superscript"/>
        </w:rPr>
        <w:t>2</w:t>
      </w:r>
      <w:r>
        <w:rPr>
          <w:rFonts w:hint="eastAsia" w:ascii="宋体" w:hAnsi="宋体" w:eastAsia="宋体" w:cs="宋体"/>
          <w:i w:val="0"/>
          <w:iCs w:val="0"/>
          <w:highlight w:val="none"/>
          <w:shd w:val="clear" w:color="auto" w:fill="FFFFFF"/>
        </w:rPr>
        <w:t>，厂址为</w:t>
      </w:r>
      <w:r>
        <w:rPr>
          <w:rStyle w:val="61"/>
          <w:rFonts w:hint="eastAsia" w:ascii="宋体" w:hAnsi="宋体" w:eastAsia="宋体" w:cs="宋体"/>
          <w:i w:val="0"/>
          <w:iCs w:val="0"/>
          <w:highlight w:val="none"/>
          <w:u w:val="single"/>
          <w:shd w:val="clear" w:color="auto" w:fill="FFFFFF"/>
        </w:rPr>
        <w:t>（生产厂址）</w:t>
      </w:r>
      <w:r>
        <w:rPr>
          <w:rFonts w:hint="eastAsia" w:ascii="宋体" w:hAnsi="宋体" w:eastAsia="宋体" w:cs="宋体"/>
          <w:i w:val="0"/>
          <w:iCs w:val="0"/>
          <w:highlight w:val="none"/>
          <w:shd w:val="clear" w:color="auto" w:fill="FFFFFF"/>
        </w:rPr>
        <w:t>。</w:t>
      </w:r>
      <w:r>
        <w:rPr>
          <w:rStyle w:val="61"/>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的中国境内生产的组件成本占比≥</w:t>
      </w:r>
      <w:r>
        <w:rPr>
          <w:rFonts w:hint="eastAsia" w:ascii="宋体" w:hAnsi="宋体" w:eastAsia="宋体" w:cs="宋体"/>
          <w:i w:val="0"/>
          <w:iCs w:val="0"/>
          <w:highlight w:val="none"/>
          <w:u w:val="single"/>
          <w:shd w:val="clear" w:color="auto" w:fill="FFFFFF"/>
        </w:rPr>
        <w:t>（规定比例）</w:t>
      </w:r>
      <w:r>
        <w:rPr>
          <w:rStyle w:val="61"/>
          <w:rFonts w:hint="eastAsia" w:ascii="宋体" w:hAnsi="宋体" w:eastAsia="宋体" w:cs="宋体"/>
          <w:i w:val="0"/>
          <w:iCs w:val="0"/>
          <w:color w:val="333333"/>
          <w:highlight w:val="none"/>
          <w:shd w:val="clear" w:color="auto" w:fill="FFFFFF"/>
          <w:vertAlign w:val="superscript"/>
        </w:rPr>
        <w:t>3</w:t>
      </w:r>
      <w:r>
        <w:rPr>
          <w:rFonts w:hint="eastAsia" w:ascii="宋体" w:hAnsi="宋体" w:eastAsia="宋体" w:cs="宋体"/>
          <w:i w:val="0"/>
          <w:iCs w:val="0"/>
          <w:highlight w:val="none"/>
          <w:shd w:val="clear" w:color="auto" w:fill="FFFFFF"/>
        </w:rPr>
        <w:t>。</w:t>
      </w:r>
      <w:r>
        <w:rPr>
          <w:rStyle w:val="61"/>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w:t>
      </w:r>
      <w:r>
        <w:rPr>
          <w:rStyle w:val="61"/>
          <w:rFonts w:hint="eastAsia" w:ascii="宋体" w:hAnsi="宋体" w:eastAsia="宋体" w:cs="宋体"/>
          <w:i w:val="0"/>
          <w:iCs w:val="0"/>
          <w:highlight w:val="none"/>
          <w:u w:val="single"/>
          <w:shd w:val="clear" w:color="auto" w:fill="FFFFFF"/>
        </w:rPr>
        <w:t>（关键组件）</w:t>
      </w:r>
      <w:r>
        <w:rPr>
          <w:rStyle w:val="61"/>
          <w:rFonts w:hint="eastAsia" w:ascii="宋体" w:hAnsi="宋体" w:eastAsia="宋体" w:cs="宋体"/>
          <w:i w:val="0"/>
          <w:iCs w:val="0"/>
          <w:color w:val="333333"/>
          <w:highlight w:val="none"/>
          <w:shd w:val="clear" w:color="auto" w:fill="FFFFFF"/>
          <w:vertAlign w:val="superscript"/>
        </w:rPr>
        <w:t>4</w:t>
      </w:r>
      <w:r>
        <w:rPr>
          <w:rFonts w:hint="eastAsia" w:ascii="宋体" w:hAnsi="宋体" w:eastAsia="宋体" w:cs="宋体"/>
          <w:i w:val="0"/>
          <w:iCs w:val="0"/>
          <w:highlight w:val="none"/>
          <w:shd w:val="clear" w:color="auto" w:fill="FFFFFF"/>
        </w:rPr>
        <w:t>在中国境内生产。</w:t>
      </w:r>
      <w:r>
        <w:rPr>
          <w:rStyle w:val="61"/>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（关键工序）</w:t>
      </w:r>
      <w:r>
        <w:rPr>
          <w:rStyle w:val="61"/>
          <w:rFonts w:hint="eastAsia" w:ascii="宋体" w:hAnsi="宋体" w:eastAsia="宋体" w:cs="宋体"/>
          <w:i w:val="0"/>
          <w:iCs w:val="0"/>
          <w:color w:val="333333"/>
          <w:highlight w:val="none"/>
          <w:shd w:val="clear" w:color="auto" w:fill="FFFFFF"/>
          <w:vertAlign w:val="superscript"/>
        </w:rPr>
        <w:t>5</w:t>
      </w:r>
      <w:r>
        <w:rPr>
          <w:rFonts w:hint="eastAsia" w:ascii="宋体" w:hAnsi="宋体" w:eastAsia="宋体" w:cs="宋体"/>
          <w:i w:val="0"/>
          <w:iCs w:val="0"/>
          <w:highlight w:val="none"/>
          <w:shd w:val="clear" w:color="auto" w:fill="FFFFFF"/>
        </w:rPr>
        <w:t>在中国境内完成。</w:t>
      </w:r>
    </w:p>
    <w:p>
      <w:pPr>
        <w:pStyle w:val="49"/>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2.</w:t>
      </w:r>
      <w:r>
        <w:rPr>
          <w:rStyle w:val="61"/>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，生产厂为</w:t>
      </w:r>
      <w:r>
        <w:rPr>
          <w:rStyle w:val="61"/>
          <w:rFonts w:hint="eastAsia" w:ascii="宋体" w:hAnsi="宋体" w:eastAsia="宋体" w:cs="宋体"/>
          <w:i w:val="0"/>
          <w:iCs w:val="0"/>
          <w:highlight w:val="none"/>
          <w:u w:val="single"/>
          <w:shd w:val="clear" w:color="auto" w:fill="FFFFFF"/>
        </w:rPr>
        <w:t>（厂名）</w:t>
      </w:r>
      <w:r>
        <w:rPr>
          <w:rFonts w:hint="eastAsia" w:ascii="宋体" w:hAnsi="宋体" w:eastAsia="宋体" w:cs="宋体"/>
          <w:i w:val="0"/>
          <w:iCs w:val="0"/>
          <w:highlight w:val="none"/>
          <w:shd w:val="clear" w:color="auto" w:fill="FFFFFF"/>
        </w:rPr>
        <w:t>，厂址为</w:t>
      </w:r>
      <w:r>
        <w:rPr>
          <w:rStyle w:val="61"/>
          <w:rFonts w:hint="eastAsia" w:ascii="宋体" w:hAnsi="宋体" w:eastAsia="宋体" w:cs="宋体"/>
          <w:i w:val="0"/>
          <w:iCs w:val="0"/>
          <w:highlight w:val="none"/>
          <w:u w:val="single"/>
          <w:shd w:val="clear" w:color="auto" w:fill="FFFFFF"/>
        </w:rPr>
        <w:t>（生产厂址）</w:t>
      </w:r>
      <w:r>
        <w:rPr>
          <w:rFonts w:hint="eastAsia" w:ascii="宋体" w:hAnsi="宋体" w:eastAsia="宋体" w:cs="宋体"/>
          <w:i w:val="0"/>
          <w:iCs w:val="0"/>
          <w:highlight w:val="none"/>
          <w:shd w:val="clear" w:color="auto" w:fill="FFFFFF"/>
        </w:rPr>
        <w:t>。</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的中国境内生产的组件成本占比≥</w:t>
      </w:r>
      <w:r>
        <w:rPr>
          <w:rFonts w:hint="eastAsia" w:ascii="宋体" w:hAnsi="宋体" w:eastAsia="宋体" w:cs="宋体"/>
          <w:i w:val="0"/>
          <w:iCs w:val="0"/>
          <w:highlight w:val="none"/>
          <w:u w:val="single"/>
          <w:shd w:val="clear" w:color="auto" w:fill="FFFFFF"/>
        </w:rPr>
        <w:t>（规定比例）</w:t>
      </w:r>
      <w:r>
        <w:rPr>
          <w:rFonts w:hint="eastAsia" w:ascii="宋体" w:hAnsi="宋体" w:eastAsia="宋体" w:cs="宋体"/>
          <w:i w:val="0"/>
          <w:iCs w:val="0"/>
          <w:highlight w:val="none"/>
          <w:shd w:val="clear" w:color="auto" w:fill="FFFFFF"/>
        </w:rPr>
        <w:t>。</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（关键组件）</w:t>
      </w:r>
      <w:r>
        <w:rPr>
          <w:rFonts w:hint="eastAsia" w:ascii="宋体" w:hAnsi="宋体" w:eastAsia="宋体" w:cs="宋体"/>
          <w:i w:val="0"/>
          <w:iCs w:val="0"/>
          <w:highlight w:val="none"/>
          <w:shd w:val="clear" w:color="auto" w:fill="FFFFFF"/>
        </w:rPr>
        <w:t>在中国境内生产。</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（关键工序）</w:t>
      </w:r>
      <w:r>
        <w:rPr>
          <w:rFonts w:hint="eastAsia" w:ascii="宋体" w:hAnsi="宋体" w:eastAsia="宋体" w:cs="宋体"/>
          <w:i w:val="0"/>
          <w:iCs w:val="0"/>
          <w:highlight w:val="none"/>
          <w:shd w:val="clear" w:color="auto" w:fill="FFFFFF"/>
        </w:rPr>
        <w:t>在中国境内完成。</w:t>
      </w:r>
    </w:p>
    <w:p>
      <w:pPr>
        <w:pStyle w:val="49"/>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w:t>
      </w:r>
    </w:p>
    <w:p>
      <w:pPr>
        <w:pStyle w:val="49"/>
        <w:wordWrap/>
        <w:spacing w:before="0" w:beforeAutospacing="0" w:after="0" w:afterAutospacing="0" w:line="360" w:lineRule="auto"/>
        <w:ind w:firstLine="420"/>
        <w:textAlignment w:val="baseline"/>
        <w:rPr>
          <w:rFonts w:hint="eastAsia" w:ascii="宋体" w:hAnsi="宋体" w:eastAsia="宋体" w:cs="宋体"/>
          <w:highlight w:val="none"/>
        </w:rPr>
      </w:pPr>
      <w:r>
        <w:rPr>
          <w:rFonts w:hint="eastAsia" w:ascii="宋体" w:hAnsi="宋体" w:eastAsia="宋体" w:cs="宋体"/>
          <w:highlight w:val="none"/>
          <w:shd w:val="clear" w:color="auto" w:fill="FFFFFF"/>
        </w:rPr>
        <w:t>本公司（单位）对上述声明内容的真实性负责。如有虚假，愿承担相应法律责任。</w:t>
      </w:r>
    </w:p>
    <w:p>
      <w:pPr>
        <w:tabs>
          <w:tab w:val="left" w:pos="4620"/>
        </w:tabs>
        <w:spacing w:line="360" w:lineRule="auto"/>
        <w:ind w:firstLine="4252" w:firstLineChars="1772"/>
        <w:rPr>
          <w:rFonts w:hint="eastAsia" w:ascii="宋体" w:hAnsi="宋体" w:eastAsia="宋体" w:cs="宋体"/>
          <w:sz w:val="24"/>
          <w:highlight w:val="none"/>
        </w:rPr>
      </w:pPr>
    </w:p>
    <w:p>
      <w:pPr>
        <w:tabs>
          <w:tab w:val="left" w:pos="4620"/>
        </w:tabs>
        <w:spacing w:line="360" w:lineRule="auto"/>
        <w:ind w:firstLine="4252" w:firstLineChars="1772"/>
        <w:rPr>
          <w:rFonts w:hint="eastAsia" w:ascii="宋体" w:hAnsi="宋体" w:eastAsia="宋体" w:cs="宋体"/>
          <w:sz w:val="24"/>
          <w:highlight w:val="none"/>
          <w:u w:val="single"/>
        </w:rPr>
      </w:pPr>
      <w:r>
        <w:rPr>
          <w:rFonts w:hint="eastAsia" w:ascii="宋体" w:hAnsi="宋体" w:eastAsia="宋体" w:cs="宋体"/>
          <w:sz w:val="24"/>
          <w:highlight w:val="none"/>
        </w:rPr>
        <w:t>公司（单位）名称（盖章）：</w:t>
      </w:r>
      <w:r>
        <w:rPr>
          <w:rFonts w:hint="eastAsia" w:ascii="宋体" w:hAnsi="宋体" w:eastAsia="宋体" w:cs="宋体"/>
          <w:sz w:val="24"/>
          <w:highlight w:val="none"/>
          <w:u w:val="single"/>
        </w:rPr>
        <w:t>　        </w:t>
      </w:r>
    </w:p>
    <w:p>
      <w:pPr>
        <w:tabs>
          <w:tab w:val="left" w:pos="4620"/>
        </w:tabs>
        <w:spacing w:line="360" w:lineRule="auto"/>
        <w:ind w:firstLine="4252" w:firstLineChars="1772"/>
        <w:rPr>
          <w:rFonts w:hint="eastAsia" w:ascii="宋体" w:hAnsi="宋体" w:eastAsia="宋体" w:cs="宋体"/>
          <w:sz w:val="24"/>
          <w:highlight w:val="none"/>
          <w:shd w:val="clear" w:color="auto" w:fill="FFFFFF"/>
        </w:rPr>
      </w:pPr>
      <w:r>
        <w:rPr>
          <w:rFonts w:hint="eastAsia" w:ascii="宋体" w:hAnsi="宋体" w:eastAsia="宋体" w:cs="宋体"/>
          <w:sz w:val="24"/>
          <w:highlight w:val="none"/>
        </w:rPr>
        <w:t>日期：</w:t>
      </w: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1.产品如有型号，请在“产品名称”栏一并填写。</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2.生产厂名与厂址应与生产厂营业执照载明的相关信息保持一致。</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3.该产品的中国境内生产的组件成本占比相关要求实施前，“规定比例”栏可不填，下同。</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4.该产品的关键组件要求实施前，“关键组件”栏可不填，下同。</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5.该产品的关键工序要求实施前，“关键工序”栏可不填，下同。</w:t>
      </w:r>
    </w:p>
    <w:p>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6、风险提示：随中标、成交结果同时公告中标</w:t>
      </w:r>
      <w:r>
        <w:rPr>
          <w:rFonts w:hint="eastAsia"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提供的《声明函》或有关证明文件。投标人提供虚假《声明函》、虚假证明文件谋取中标、成交的，依照《中华人民共和国政府采购法》等法律法规规定追究相应责任。</w:t>
      </w:r>
    </w:p>
    <w:p>
      <w:pPr>
        <w:widowControl/>
        <w:jc w:val="left"/>
        <w:rPr>
          <w:rFonts w:hint="eastAsia" w:ascii="宋体" w:hAnsi="宋体" w:eastAsia="宋体" w:cs="宋体"/>
          <w:kern w:val="0"/>
          <w:szCs w:val="21"/>
          <w:highlight w:val="none"/>
        </w:rPr>
      </w:pPr>
      <w:r>
        <w:rPr>
          <w:rFonts w:hint="eastAsia" w:ascii="宋体" w:hAnsi="宋体" w:eastAsia="宋体" w:cs="宋体"/>
          <w:highlight w:val="none"/>
        </w:rPr>
        <w:br w:type="page"/>
      </w:r>
    </w:p>
    <w:p>
      <w:pPr>
        <w:widowControl/>
        <w:snapToGrid w:val="0"/>
        <w:spacing w:line="360" w:lineRule="auto"/>
        <w:rPr>
          <w:rFonts w:hint="eastAsia" w:ascii="宋体" w:hAnsi="宋体" w:eastAsia="宋体" w:cs="宋体"/>
          <w:b/>
          <w:kern w:val="0"/>
          <w:sz w:val="24"/>
          <w:highlight w:val="none"/>
        </w:rPr>
      </w:pPr>
    </w:p>
    <w:p>
      <w:pPr>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相关附件</w:t>
      </w:r>
    </w:p>
    <w:p>
      <w:pPr>
        <w:rPr>
          <w:rFonts w:hint="eastAsia" w:ascii="宋体" w:hAnsi="宋体" w:eastAsia="宋体" w:cs="宋体"/>
          <w:b/>
          <w:bCs/>
          <w:sz w:val="30"/>
          <w:szCs w:val="30"/>
          <w:highlight w:val="none"/>
        </w:rPr>
      </w:pPr>
      <w:r>
        <w:rPr>
          <w:rFonts w:hint="eastAsia" w:ascii="宋体" w:hAnsi="宋体" w:eastAsia="宋体" w:cs="宋体"/>
          <w:b/>
          <w:sz w:val="28"/>
          <w:szCs w:val="28"/>
          <w:highlight w:val="none"/>
        </w:rPr>
        <w:t>附件1：</w:t>
      </w:r>
      <w:r>
        <w:rPr>
          <w:rFonts w:hint="eastAsia" w:ascii="宋体" w:hAnsi="宋体" w:eastAsia="宋体" w:cs="宋体"/>
          <w:b/>
          <w:bCs/>
          <w:sz w:val="30"/>
          <w:szCs w:val="30"/>
          <w:highlight w:val="none"/>
        </w:rPr>
        <w:t>质疑函范本</w:t>
      </w:r>
    </w:p>
    <w:p>
      <w:pPr>
        <w:adjustRightInd w:val="0"/>
        <w:snapToGrid w:val="0"/>
        <w:spacing w:beforeLines="100"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w:t>
      </w:r>
      <w:r>
        <w:rPr>
          <w:rFonts w:hint="eastAsia" w:ascii="宋体" w:hAnsi="宋体" w:cs="宋体"/>
          <w:bCs/>
          <w:sz w:val="24"/>
          <w:highlight w:val="none"/>
          <w:lang w:eastAsia="zh-CN"/>
        </w:rPr>
        <w:t>投标人</w:t>
      </w:r>
      <w:r>
        <w:rPr>
          <w:rFonts w:hint="eastAsia" w:ascii="宋体" w:hAnsi="宋体" w:eastAsia="宋体" w:cs="宋体"/>
          <w:bCs/>
          <w:sz w:val="24"/>
          <w:highlight w:val="none"/>
        </w:rPr>
        <w:t>基本信息</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w:t>
      </w:r>
      <w:r>
        <w:rPr>
          <w:rFonts w:hint="eastAsia" w:ascii="宋体" w:hAnsi="宋体" w:cs="宋体"/>
          <w:sz w:val="24"/>
          <w:highlight w:val="none"/>
          <w:lang w:eastAsia="zh-CN"/>
        </w:rPr>
        <w:t>投标人</w:t>
      </w:r>
      <w:r>
        <w:rPr>
          <w:rFonts w:hint="eastAsia" w:ascii="宋体" w:hAnsi="宋体" w:eastAsia="宋体" w:cs="宋体"/>
          <w:sz w:val="24"/>
          <w:highlight w:val="none"/>
        </w:rPr>
        <w:t>：</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地址：邮编：</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联系人：联系电话：</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质疑项目的编号：包号：</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p>
    <w:p>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p>
    <w:p>
      <w:pPr>
        <w:adjustRightInd w:val="0"/>
        <w:snapToGrid w:val="0"/>
        <w:spacing w:line="360" w:lineRule="auto"/>
        <w:rPr>
          <w:rFonts w:hint="eastAsia" w:ascii="宋体" w:hAnsi="宋体" w:eastAsia="宋体" w:cs="宋体"/>
          <w:sz w:val="24"/>
          <w:highlight w:val="none"/>
          <w:u w:val="dotted"/>
        </w:rPr>
      </w:pP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p>
    <w:p>
      <w:pPr>
        <w:adjustRightInd w:val="0"/>
        <w:snapToGrid w:val="0"/>
        <w:spacing w:line="360" w:lineRule="auto"/>
        <w:rPr>
          <w:rFonts w:hint="eastAsia" w:ascii="宋体" w:hAnsi="宋体" w:eastAsia="宋体" w:cs="宋体"/>
          <w:sz w:val="24"/>
          <w:highlight w:val="none"/>
          <w:u w:val="dotted"/>
        </w:rPr>
      </w:pPr>
    </w:p>
    <w:p>
      <w:pPr>
        <w:spacing w:line="360" w:lineRule="auto"/>
        <w:ind w:firstLine="2160" w:firstLineChars="900"/>
        <w:rPr>
          <w:rFonts w:hint="eastAsia" w:ascii="宋体" w:hAnsi="宋体" w:eastAsia="宋体" w:cs="宋体"/>
          <w:sz w:val="24"/>
          <w:highlight w:val="none"/>
        </w:rPr>
      </w:pPr>
      <w:r>
        <w:rPr>
          <w:rFonts w:hint="eastAsia" w:ascii="宋体" w:hAnsi="宋体" w:eastAsia="宋体" w:cs="宋体"/>
          <w:sz w:val="24"/>
          <w:highlight w:val="none"/>
        </w:rPr>
        <w:t>签字(签章)：  公章：</w:t>
      </w:r>
    </w:p>
    <w:p>
      <w:pPr>
        <w:spacing w:line="360" w:lineRule="auto"/>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日      期：</w:t>
      </w:r>
    </w:p>
    <w:p>
      <w:pPr>
        <w:jc w:val="center"/>
        <w:rPr>
          <w:rFonts w:hint="eastAsia" w:ascii="宋体" w:hAnsi="宋体" w:eastAsia="宋体" w:cs="宋体"/>
          <w:b/>
          <w:sz w:val="30"/>
          <w:szCs w:val="30"/>
          <w:highlight w:val="none"/>
        </w:rPr>
      </w:pPr>
    </w:p>
    <w:p>
      <w:pPr>
        <w:jc w:val="center"/>
        <w:rPr>
          <w:rFonts w:hint="eastAsia" w:ascii="宋体" w:hAnsi="宋体" w:eastAsia="宋体" w:cs="宋体"/>
          <w:b/>
          <w:sz w:val="30"/>
          <w:szCs w:val="30"/>
          <w:highlight w:val="none"/>
        </w:rPr>
      </w:pPr>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质疑函制作说明</w:t>
      </w:r>
    </w:p>
    <w:p>
      <w:pPr>
        <w:jc w:val="center"/>
        <w:rPr>
          <w:rFonts w:hint="eastAsia" w:ascii="宋体" w:hAnsi="宋体" w:eastAsia="宋体" w:cs="宋体"/>
          <w:b/>
          <w:sz w:val="24"/>
          <w:highlight w:val="none"/>
        </w:rPr>
      </w:pP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1.投标人提出质疑时，应提交质疑函和必要的证明材料。</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w:t>
      </w:r>
      <w:r>
        <w:rPr>
          <w:rFonts w:hint="eastAsia" w:ascii="宋体" w:hAnsi="宋体" w:cs="宋体"/>
          <w:sz w:val="24"/>
          <w:highlight w:val="none"/>
          <w:lang w:eastAsia="zh-CN"/>
        </w:rPr>
        <w:t>投标人</w:t>
      </w:r>
      <w:r>
        <w:rPr>
          <w:rFonts w:hint="eastAsia" w:ascii="宋体" w:hAnsi="宋体" w:eastAsia="宋体" w:cs="宋体"/>
          <w:sz w:val="24"/>
          <w:highlight w:val="none"/>
        </w:rPr>
        <w:t>若委托代理人进行质疑的，质疑函应按要求列明“授权代表”的有关内容，并在附件中提交由质疑</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签署的授权委托书。授权委托书应载明代理人的姓名或者名称、代理事项、具体权限、期限和相关事项。</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w:t>
      </w:r>
      <w:r>
        <w:rPr>
          <w:rFonts w:hint="eastAsia" w:ascii="宋体" w:hAnsi="宋体" w:cs="宋体"/>
          <w:sz w:val="24"/>
          <w:highlight w:val="none"/>
          <w:lang w:eastAsia="zh-CN"/>
        </w:rPr>
        <w:t>投标人</w:t>
      </w:r>
      <w:r>
        <w:rPr>
          <w:rFonts w:hint="eastAsia" w:ascii="宋体" w:hAnsi="宋体" w:eastAsia="宋体" w:cs="宋体"/>
          <w:sz w:val="24"/>
          <w:highlight w:val="none"/>
        </w:rPr>
        <w:t>若对项目的某一分包进行质疑，质疑函中应列明具体分包号。</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w:t>
      </w:r>
      <w:r>
        <w:rPr>
          <w:rFonts w:hint="eastAsia" w:ascii="宋体" w:hAnsi="宋体" w:cs="宋体"/>
          <w:sz w:val="24"/>
          <w:highlight w:val="none"/>
          <w:lang w:eastAsia="zh-CN"/>
        </w:rPr>
        <w:t>投标人</w:t>
      </w:r>
      <w:r>
        <w:rPr>
          <w:rFonts w:hint="eastAsia" w:ascii="宋体" w:hAnsi="宋体" w:eastAsia="宋体" w:cs="宋体"/>
          <w:sz w:val="24"/>
          <w:highlight w:val="none"/>
        </w:rPr>
        <w:t>为自然人的，质疑函应由本人签字；质疑</w:t>
      </w:r>
      <w:r>
        <w:rPr>
          <w:rFonts w:hint="eastAsia" w:ascii="宋体" w:hAnsi="宋体" w:cs="宋体"/>
          <w:sz w:val="24"/>
          <w:highlight w:val="none"/>
          <w:lang w:eastAsia="zh-CN"/>
        </w:rPr>
        <w:t>投标人</w:t>
      </w:r>
      <w:r>
        <w:rPr>
          <w:rFonts w:hint="eastAsia" w:ascii="宋体" w:hAnsi="宋体" w:eastAsia="宋体" w:cs="宋体"/>
          <w:sz w:val="24"/>
          <w:highlight w:val="none"/>
        </w:rPr>
        <w:t>为法人或者其他组织的，质疑函应由法定代表人、主要负责人，或者其授权代表签字或者盖章，并加盖公章。</w:t>
      </w: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rPr>
          <w:rFonts w:hint="eastAsia" w:ascii="宋体" w:hAnsi="宋体" w:eastAsia="宋体" w:cs="宋体"/>
          <w:b/>
          <w:bCs/>
          <w:sz w:val="30"/>
          <w:szCs w:val="30"/>
          <w:highlight w:val="none"/>
        </w:rPr>
      </w:pPr>
    </w:p>
    <w:p>
      <w:pPr>
        <w:rPr>
          <w:rFonts w:hint="eastAsia" w:ascii="宋体" w:hAnsi="宋体" w:eastAsia="宋体" w:cs="宋体"/>
          <w:b/>
          <w:sz w:val="30"/>
          <w:szCs w:val="30"/>
          <w:highlight w:val="none"/>
        </w:rPr>
      </w:pPr>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p>
    <w:p>
      <w:pPr>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投诉人：</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pPr>
        <w:tabs>
          <w:tab w:val="left" w:pos="651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法定代表人/主要负责人：</w:t>
      </w:r>
    </w:p>
    <w:p>
      <w:pPr>
        <w:tabs>
          <w:tab w:val="left" w:pos="6510"/>
        </w:tabs>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联系电话：</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授权代表：联系电话</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地     址：邮编：</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被投诉人1：</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联系人：联系电话：</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被投诉人2</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相关</w:t>
      </w:r>
      <w:r>
        <w:rPr>
          <w:rFonts w:hint="eastAsia" w:ascii="宋体" w:hAnsi="宋体" w:cs="宋体"/>
          <w:sz w:val="24"/>
          <w:highlight w:val="none"/>
          <w:lang w:eastAsia="zh-CN"/>
        </w:rPr>
        <w:t>投标人</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联系人：联系电话：</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采购项目编号：包号：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采购人名称：</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采购代理机构名称：</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三、质疑基本情况</w:t>
      </w:r>
    </w:p>
    <w:p>
      <w:pPr>
        <w:spacing w:line="360" w:lineRule="auto"/>
        <w:ind w:firstLine="480" w:firstLineChars="200"/>
        <w:rPr>
          <w:rFonts w:hint="eastAsia" w:ascii="宋体" w:hAnsi="宋体" w:eastAsia="宋体" w:cs="宋体"/>
          <w:sz w:val="24"/>
          <w:highlight w:val="none"/>
          <w:u w:val="dotted"/>
        </w:rPr>
      </w:pPr>
      <w:r>
        <w:rPr>
          <w:rFonts w:hint="eastAsia" w:ascii="宋体" w:hAnsi="宋体" w:eastAsia="宋体" w:cs="宋体"/>
          <w:sz w:val="24"/>
          <w:highlight w:val="none"/>
        </w:rPr>
        <w:t>投诉人于  年  月  日,向提出质疑，质疑事项为：</w:t>
      </w:r>
    </w:p>
    <w:p>
      <w:pPr>
        <w:spacing w:line="360" w:lineRule="auto"/>
        <w:rPr>
          <w:rFonts w:hint="eastAsia" w:ascii="宋体" w:hAnsi="宋体" w:eastAsia="宋体" w:cs="宋体"/>
          <w:sz w:val="24"/>
          <w:highlight w:val="none"/>
          <w:u w:val="dotted"/>
        </w:rPr>
      </w:pP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u w:val="dotted"/>
        </w:rPr>
        <w:t>采购人/采购代理机构</w:t>
      </w:r>
      <w:r>
        <w:rPr>
          <w:rFonts w:hint="eastAsia" w:ascii="宋体" w:hAnsi="宋体" w:eastAsia="宋体" w:cs="宋体"/>
          <w:sz w:val="24"/>
          <w:highlight w:val="none"/>
        </w:rPr>
        <w:t>于  年  月  日,就质疑事项作出了答复/没有在法定期限内作出答复。</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投诉事项 1：</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事实依据：</w:t>
      </w:r>
    </w:p>
    <w:p>
      <w:pPr>
        <w:spacing w:line="360" w:lineRule="auto"/>
        <w:rPr>
          <w:rFonts w:hint="eastAsia" w:ascii="宋体" w:hAnsi="宋体" w:eastAsia="宋体" w:cs="宋体"/>
          <w:sz w:val="24"/>
          <w:highlight w:val="none"/>
          <w:u w:val="dotted"/>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法律依据：</w:t>
      </w:r>
    </w:p>
    <w:p>
      <w:pPr>
        <w:spacing w:line="360" w:lineRule="auto"/>
        <w:rPr>
          <w:rFonts w:hint="eastAsia" w:ascii="宋体" w:hAnsi="宋体" w:eastAsia="宋体" w:cs="宋体"/>
          <w:sz w:val="24"/>
          <w:highlight w:val="none"/>
          <w:u w:val="dotted"/>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投诉事项2</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请求：</w:t>
      </w:r>
    </w:p>
    <w:p>
      <w:pPr>
        <w:spacing w:line="360" w:lineRule="auto"/>
        <w:rPr>
          <w:rFonts w:hint="eastAsia" w:ascii="宋体" w:hAnsi="宋体" w:eastAsia="宋体" w:cs="宋体"/>
          <w:sz w:val="24"/>
          <w:highlight w:val="none"/>
          <w:u w:val="single"/>
        </w:rPr>
      </w:pPr>
    </w:p>
    <w:p>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签字(签章)： 公章：</w:t>
      </w:r>
    </w:p>
    <w:p>
      <w:pPr>
        <w:spacing w:line="360" w:lineRule="auto"/>
        <w:rPr>
          <w:rFonts w:hint="eastAsia" w:ascii="宋体" w:hAnsi="宋体" w:eastAsia="宋体" w:cs="宋体"/>
          <w:sz w:val="24"/>
          <w:highlight w:val="none"/>
        </w:rPr>
      </w:pPr>
    </w:p>
    <w:p>
      <w:pPr>
        <w:spacing w:line="360" w:lineRule="auto"/>
        <w:ind w:firstLine="2400" w:firstLineChars="1000"/>
        <w:rPr>
          <w:rFonts w:hint="eastAsia" w:ascii="宋体" w:hAnsi="宋体" w:eastAsia="宋体" w:cs="宋体"/>
          <w:b/>
          <w:sz w:val="24"/>
          <w:highlight w:val="none"/>
        </w:rPr>
      </w:pPr>
      <w:r>
        <w:rPr>
          <w:rFonts w:hint="eastAsia" w:ascii="宋体" w:hAnsi="宋体" w:eastAsia="宋体" w:cs="宋体"/>
          <w:sz w:val="24"/>
          <w:highlight w:val="none"/>
        </w:rPr>
        <w:t>日       期：</w:t>
      </w: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jc w:val="center"/>
        <w:rPr>
          <w:rFonts w:hint="eastAsia" w:ascii="宋体" w:hAnsi="宋体" w:eastAsia="宋体" w:cs="宋体"/>
          <w:b/>
          <w:sz w:val="30"/>
          <w:szCs w:val="30"/>
          <w:highlight w:val="none"/>
        </w:rPr>
      </w:pPr>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投诉书制作说明</w:t>
      </w:r>
    </w:p>
    <w:p>
      <w:pPr>
        <w:rPr>
          <w:rFonts w:hint="eastAsia" w:ascii="宋体" w:hAnsi="宋体" w:eastAsia="宋体" w:cs="宋体"/>
          <w:b/>
          <w:sz w:val="24"/>
          <w:highlight w:val="none"/>
        </w:rPr>
      </w:pP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w:t>
      </w:r>
      <w:r>
        <w:rPr>
          <w:rFonts w:hint="eastAsia" w:ascii="宋体" w:hAnsi="宋体" w:cs="宋体"/>
          <w:sz w:val="24"/>
          <w:highlight w:val="none"/>
          <w:lang w:eastAsia="zh-CN"/>
        </w:rPr>
        <w:t>投标人</w:t>
      </w:r>
      <w:r>
        <w:rPr>
          <w:rFonts w:hint="eastAsia" w:ascii="宋体" w:hAnsi="宋体" w:eastAsia="宋体" w:cs="宋体"/>
          <w:sz w:val="24"/>
          <w:highlight w:val="none"/>
        </w:rPr>
        <w:t>数量提供投诉书副本。</w:t>
      </w:r>
    </w:p>
    <w:p>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spacing w:line="520" w:lineRule="atLeast"/>
        <w:jc w:val="left"/>
        <w:rPr>
          <w:rFonts w:hint="eastAsia" w:ascii="宋体" w:hAnsi="宋体" w:eastAsia="宋体" w:cs="宋体"/>
          <w:kern w:val="0"/>
          <w:sz w:val="24"/>
          <w:highlight w:val="none"/>
        </w:rPr>
      </w:pP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rPr>
      </w:pPr>
    </w:p>
    <w:p>
      <w:pPr>
        <w:widowControl/>
        <w:snapToGrid w:val="0"/>
        <w:spacing w:line="360" w:lineRule="auto"/>
        <w:rPr>
          <w:rFonts w:hint="eastAsia" w:ascii="宋体" w:hAnsi="宋体" w:eastAsia="宋体" w:cs="宋体"/>
          <w:kern w:val="0"/>
          <w:sz w:val="24"/>
          <w:highlight w:val="none"/>
        </w:rPr>
      </w:pPr>
    </w:p>
    <w:sectPr>
      <w:headerReference r:id="rId10" w:type="first"/>
      <w:footerReference r:id="rId12" w:type="first"/>
      <w:footerReference r:id="rId11" w:type="default"/>
      <w:pgSz w:w="11906" w:h="16838"/>
      <w:pgMar w:top="1440" w:right="1474" w:bottom="1440"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double" w:color="auto" w:sz="4" w:space="1"/>
      </w:pBdr>
      <w:tabs>
        <w:tab w:val="center" w:pos="4535"/>
        <w:tab w:val="right" w:pos="9071"/>
        <w:tab w:val="clear" w:pos="4153"/>
        <w:tab w:val="clear" w:pos="8306"/>
      </w:tabs>
      <w:jc w:val="center"/>
      <w:rPr>
        <w:rFonts w:ascii="宋体" w:hAnsi="宋体"/>
        <w:b/>
        <w:bCs/>
        <w:sz w:val="21"/>
        <w:szCs w:val="21"/>
      </w:rPr>
    </w:pPr>
    <w:r>
      <w:rPr>
        <w:rFonts w:hint="eastAsia" w:ascii="宋体" w:hAnsi="宋体" w:cs="宋体"/>
        <w:b/>
        <w:lang w:val="zh-CN"/>
      </w:rPr>
      <w:t>山西君铎工程咨询有限公司</w:t>
    </w:r>
    <w:r>
      <w:rPr>
        <w:rFonts w:ascii="宋体" w:hAnsi="宋体"/>
        <w:b/>
      </w:rPr>
      <w:tab/>
    </w:r>
    <w:r>
      <w:rPr>
        <w:rFonts w:hint="eastAsia" w:ascii="宋体" w:hAnsi="宋体"/>
        <w:b/>
      </w:rPr>
      <w:t>第</w:t>
    </w: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rPr>
      <w:t>2</w:t>
    </w:r>
    <w:r>
      <w:rPr>
        <w:rFonts w:ascii="宋体" w:hAnsi="宋体"/>
        <w:b/>
      </w:rPr>
      <w:fldChar w:fldCharType="end"/>
    </w:r>
    <w:r>
      <w:rPr>
        <w:rFonts w:hint="eastAsia" w:ascii="宋体" w:hAnsi="宋体"/>
        <w:b/>
      </w:rPr>
      <w:t>页共</w:t>
    </w:r>
    <w:r>
      <w:rPr>
        <w:rFonts w:ascii="宋体" w:hAnsi="宋体"/>
        <w:b/>
      </w:rPr>
      <w:t>53</w:t>
    </w:r>
    <w:r>
      <w:rPr>
        <w:rFonts w:hint="eastAsia" w:ascii="宋体" w:hAnsi="宋体"/>
        <w:b/>
      </w:rPr>
      <w:t>页</w:t>
    </w:r>
    <w:r>
      <w:rPr>
        <w:rFonts w:ascii="宋体" w:hAnsi="宋体"/>
        <w:b/>
      </w:rPr>
      <w:tab/>
    </w:r>
    <w:r>
      <w:rPr>
        <w:rFonts w:hint="eastAsia" w:ascii="宋体" w:hAnsi="宋体" w:cs="宋体"/>
        <w:b/>
        <w:lang w:val="zh-CN"/>
      </w:rPr>
      <w:t>太原市新晋祠路147号尚德峰国际12层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47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4"/>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D1sPnSAQAApA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lonfXoPNabde0yMwzs34NbM94CXifYgg0lfJEQwjuqer+qKIRKeHlWrqioxxDE2O4hfPDz3&#10;AeJ74QxJRkMDji+ryk4fIY6pc0qqZt2d0jqPUFvSI+q6ervOL64hRNcWiyQWY7fJisN+mKjtXXtG&#10;Zj3uQEMtrjwl+oNFidO6zEaYjf1sHH1Qhw6bXOZ64G+PEdvJXaYKI+xUGIeXeU6LlrbjXz9nPfxc&#10;2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PWw+dIBAACkAwAADgAAAAAAAAABACAAAAAi&#10;AQAAZHJzL2Uyb0RvYy54bWxQSwUGAAAAAAYABgBZAQAAZgUAAAAA&#10;">
              <v:fill on="f" focussize="0,0"/>
              <v:stroke on="f" weight="1.2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106</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56</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7"/>
      <w:keepNext/>
      <w:pBdr>
        <w:bottom w:val="none" w:color="auto" w:sz="0" w:space="0"/>
      </w:pBdr>
      <w:jc w:val="both"/>
      <w:rPr>
        <w:rFonts w:ascii="仿宋_GB2312" w:eastAsia="仿宋_GB2312"/>
        <w:b/>
        <w:bCs/>
        <w:sz w:val="21"/>
        <w:szCs w:val="21"/>
      </w:rPr>
    </w:pPr>
    <w:r>
      <w:rPr>
        <w:rFonts w:hint="eastAsia" w:ascii="仿宋" w:hAnsi="仿宋" w:eastAsia="仿宋" w:cs="仿宋"/>
        <w:b/>
        <w:bCs/>
        <w:sz w:val="21"/>
        <w:szCs w:val="21"/>
      </w:rPr>
      <w:t xml:space="preserve">                      </w:t>
    </w:r>
    <w:r>
      <w:rPr>
        <w:rFonts w:hint="eastAsia" w:ascii="宋体" w:hAnsi="宋体" w:cs="仿宋_GB2312"/>
        <w:b/>
        <w:b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7"/>
      <w:keepNext/>
      <w:pBdr>
        <w:bottom w:val="thickThinSmallGap" w:color="auto" w:sz="24" w:space="0"/>
      </w:pBdr>
      <w:tabs>
        <w:tab w:val="right" w:pos="9071"/>
      </w:tabs>
      <w:wordWrap w:val="0"/>
      <w:jc w:val="both"/>
      <w:rPr>
        <w:rFonts w:hint="eastAsia" w:ascii="仿宋_GB2312" w:eastAsia="宋体" w:cs="仿宋_GB2312"/>
        <w:b/>
        <w:bCs/>
        <w:sz w:val="21"/>
        <w:szCs w:val="21"/>
        <w:lang w:eastAsia="zh-CN"/>
      </w:rPr>
    </w:pPr>
    <w:r>
      <w:rPr>
        <w:rFonts w:ascii="仿宋_GB2312" w:hAnsi="宋体" w:eastAsia="仿宋_GB2312"/>
        <w:b/>
        <w:sz w:val="21"/>
      </w:rPr>
      <w:drawing>
        <wp:inline distT="0" distB="0" distL="114300" distR="114300">
          <wp:extent cx="553085" cy="276225"/>
          <wp:effectExtent l="0" t="0" r="1841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53085" cy="276225"/>
                  </a:xfrm>
                  <a:prstGeom prst="rect">
                    <a:avLst/>
                  </a:prstGeom>
                  <a:noFill/>
                  <a:ln>
                    <a:noFill/>
                  </a:ln>
                </pic:spPr>
              </pic:pic>
            </a:graphicData>
          </a:graphic>
        </wp:inline>
      </w:drawing>
    </w:r>
    <w:r>
      <w:rPr>
        <w:rFonts w:ascii="仿宋_GB2312" w:eastAsia="仿宋_GB2312" w:cs="仿宋_GB2312"/>
        <w:b/>
        <w:bCs/>
        <w:sz w:val="21"/>
        <w:szCs w:val="21"/>
      </w:rPr>
      <w:tab/>
    </w:r>
    <w:r>
      <w:rPr>
        <w:rFonts w:hint="eastAsia" w:ascii="宋体" w:hAnsi="宋体" w:cs="宋体"/>
        <w:b/>
        <w:snapToGrid w:val="0"/>
        <w:sz w:val="18"/>
        <w:szCs w:val="18"/>
      </w:rPr>
      <w:t>校舍外墙粉刷装饰工程</w:t>
    </w:r>
    <w:r>
      <w:rPr>
        <w:rFonts w:hint="eastAsia" w:ascii="宋体" w:hAnsi="宋体" w:cs="仿宋_GB2312"/>
        <w:b/>
        <w:bCs/>
        <w:sz w:val="18"/>
        <w:szCs w:val="18"/>
      </w:rPr>
      <w:t>竞争性</w:t>
    </w:r>
    <w:r>
      <w:rPr>
        <w:rFonts w:hint="eastAsia" w:ascii="宋体" w:hAnsi="宋体" w:cs="仿宋_GB2312"/>
        <w:b/>
        <w:bCs/>
        <w:sz w:val="18"/>
        <w:szCs w:val="18"/>
        <w:lang w:eastAsia="zh-CN"/>
      </w:rPr>
      <w:t>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double" w:color="auto" w:sz="8" w:space="0"/>
        <w:right w:val="none" w:color="auto" w:sz="0" w:space="0"/>
      </w:pBdr>
      <w:rPr>
        <w:rFonts w:hint="eastAsia" w:ascii="仿宋" w:hAnsi="仿宋" w:eastAsia="仿宋" w:cs="仿宋"/>
        <w:b/>
        <w:bCs/>
        <w:lang w:val="en-US"/>
      </w:rPr>
    </w:pPr>
    <w:r>
      <w:rPr>
        <w:rFonts w:hint="eastAsia" w:ascii="仿宋" w:hAnsi="仿宋" w:eastAsia="仿宋" w:cs="仿宋"/>
        <w:b/>
        <w:bCs/>
        <w:lang w:val="en-US" w:eastAsia="zh-CN"/>
      </w:rPr>
      <w:t>太原市第十六中学校消防设施维修检测及消防器材零星采购项目框架协议                          询比采购文件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F9704"/>
    <w:multiLevelType w:val="singleLevel"/>
    <w:tmpl w:val="93FF9704"/>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1D49785"/>
    <w:multiLevelType w:val="singleLevel"/>
    <w:tmpl w:val="D1D49785"/>
    <w:lvl w:ilvl="0" w:tentative="0">
      <w:start w:val="1"/>
      <w:numFmt w:val="chineseCounting"/>
      <w:pStyle w:val="234"/>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lvlText w:val="图%1. "/>
      <w:lvlJc w:val="left"/>
      <w:pPr>
        <w:tabs>
          <w:tab w:val="left" w:pos="777"/>
        </w:tabs>
        <w:ind w:left="777" w:hanging="420"/>
      </w:pPr>
      <w:rPr>
        <w:rFonts w:cs="Times New Roman"/>
      </w:rPr>
    </w:lvl>
  </w:abstractNum>
  <w:abstractNum w:abstractNumId="9">
    <w:nsid w:val="2F5C15CC"/>
    <w:multiLevelType w:val="multilevel"/>
    <w:tmpl w:val="2F5C15CC"/>
    <w:lvl w:ilvl="0" w:tentative="0">
      <w:start w:val="1"/>
      <w:numFmt w:val="decimal"/>
      <w:lvlText w:val="（%1）"/>
      <w:lvlJc w:val="left"/>
      <w:pPr>
        <w:ind w:left="420" w:hanging="420"/>
      </w:pPr>
      <w:rPr>
        <w:rFonts w:hint="default" w:ascii="仿宋" w:hAnsi="仿宋" w:eastAsia="仿宋" w:cs="仿宋"/>
        <w:spacing w:val="-3"/>
        <w:w w:val="100"/>
        <w:sz w:val="26"/>
        <w:szCs w:val="26"/>
      </w:rPr>
    </w:lvl>
    <w:lvl w:ilvl="1" w:tentative="0">
      <w:start w:val="1"/>
      <w:numFmt w:val="lowerLetter"/>
      <w:pStyle w:val="230"/>
      <w:lvlText w:val="%2)"/>
      <w:lvlJc w:val="left"/>
      <w:pPr>
        <w:ind w:left="840" w:hanging="420"/>
      </w:pPr>
    </w:lvl>
    <w:lvl w:ilvl="2" w:tentative="0">
      <w:start w:val="1"/>
      <w:numFmt w:val="lowerRoman"/>
      <w:lvlText w:val="%3."/>
      <w:lvlJc w:val="right"/>
      <w:pPr>
        <w:ind w:left="1260" w:hanging="420"/>
      </w:pPr>
    </w:lvl>
    <w:lvl w:ilvl="3" w:tentative="0">
      <w:start w:val="1"/>
      <w:numFmt w:val="decimal"/>
      <w:pStyle w:val="235"/>
      <w:lvlText w:val="%4."/>
      <w:lvlJc w:val="left"/>
      <w:pPr>
        <w:ind w:left="1680" w:hanging="420"/>
      </w:pPr>
    </w:lvl>
    <w:lvl w:ilvl="4" w:tentative="0">
      <w:start w:val="1"/>
      <w:numFmt w:val="lowerLetter"/>
      <w:pStyle w:val="238"/>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425CB3"/>
    <w:multiLevelType w:val="singleLevel"/>
    <w:tmpl w:val="37425CB3"/>
    <w:lvl w:ilvl="0" w:tentative="0">
      <w:start w:val="1"/>
      <w:numFmt w:val="chineseCounting"/>
      <w:pStyle w:val="240"/>
      <w:suff w:val="nothing"/>
      <w:lvlText w:val="%1、"/>
      <w:lvlJc w:val="left"/>
      <w:rPr>
        <w:rFonts w:hint="eastAsia"/>
      </w:rPr>
    </w:lvl>
  </w:abstractNum>
  <w:abstractNum w:abstractNumId="11">
    <w:nsid w:val="6E62075F"/>
    <w:multiLevelType w:val="multilevel"/>
    <w:tmpl w:val="6E62075F"/>
    <w:lvl w:ilvl="0" w:tentative="0">
      <w:start w:val="1"/>
      <w:numFmt w:val="decimal"/>
      <w:pStyle w:val="207"/>
      <w:lvlText w:val="（%1）"/>
      <w:lvlJc w:val="left"/>
      <w:pPr>
        <w:ind w:left="420" w:hanging="420"/>
      </w:pPr>
      <w:rPr>
        <w:rFonts w:hint="default" w:ascii="仿宋" w:hAnsi="仿宋" w:eastAsia="仿宋" w:cs="仿宋"/>
        <w:spacing w:val="-3"/>
        <w:w w:val="100"/>
        <w:sz w:val="26"/>
        <w:szCs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9"/>
  </w:num>
  <w:num w:numId="3">
    <w:abstractNumId w:val="3"/>
  </w:num>
  <w:num w:numId="4">
    <w:abstractNumId w:val="10"/>
  </w:num>
  <w:num w:numId="5">
    <w:abstractNumId w:val="8"/>
  </w:num>
  <w:num w:numId="6">
    <w:abstractNumId w:val="0"/>
  </w:num>
  <w:num w:numId="7">
    <w:abstractNumId w:val="12"/>
  </w:num>
  <w:num w:numId="8">
    <w:abstractNumId w:val="2"/>
  </w:num>
  <w:num w:numId="9">
    <w:abstractNumId w:val="7"/>
  </w:num>
  <w:num w:numId="10">
    <w:abstractNumId w:val="5"/>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8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YjIzMmI0Y2JlZTBhOWFiOTEwN2ZiMGI2ZTEwYjMifQ=="/>
  </w:docVars>
  <w:rsids>
    <w:rsidRoot w:val="001516FC"/>
    <w:rsid w:val="00001B9A"/>
    <w:rsid w:val="00002127"/>
    <w:rsid w:val="00002A35"/>
    <w:rsid w:val="000068EA"/>
    <w:rsid w:val="00007710"/>
    <w:rsid w:val="00010E35"/>
    <w:rsid w:val="00013973"/>
    <w:rsid w:val="00013D5F"/>
    <w:rsid w:val="00015A3B"/>
    <w:rsid w:val="000177DD"/>
    <w:rsid w:val="00017810"/>
    <w:rsid w:val="00022640"/>
    <w:rsid w:val="000230AE"/>
    <w:rsid w:val="000241FA"/>
    <w:rsid w:val="000315AA"/>
    <w:rsid w:val="0003221E"/>
    <w:rsid w:val="000326AC"/>
    <w:rsid w:val="000340B1"/>
    <w:rsid w:val="000373CC"/>
    <w:rsid w:val="00043D00"/>
    <w:rsid w:val="0004478F"/>
    <w:rsid w:val="000457E7"/>
    <w:rsid w:val="000479C6"/>
    <w:rsid w:val="000617C5"/>
    <w:rsid w:val="000622EC"/>
    <w:rsid w:val="000624ED"/>
    <w:rsid w:val="000659DC"/>
    <w:rsid w:val="000665C7"/>
    <w:rsid w:val="00067455"/>
    <w:rsid w:val="00067516"/>
    <w:rsid w:val="00072119"/>
    <w:rsid w:val="00072762"/>
    <w:rsid w:val="00074A34"/>
    <w:rsid w:val="00074B5E"/>
    <w:rsid w:val="00074C12"/>
    <w:rsid w:val="00075618"/>
    <w:rsid w:val="00077ED2"/>
    <w:rsid w:val="000802B9"/>
    <w:rsid w:val="00081607"/>
    <w:rsid w:val="00083ECC"/>
    <w:rsid w:val="000856BE"/>
    <w:rsid w:val="00090C03"/>
    <w:rsid w:val="00091898"/>
    <w:rsid w:val="0009467E"/>
    <w:rsid w:val="00094E34"/>
    <w:rsid w:val="000958F5"/>
    <w:rsid w:val="00095DCA"/>
    <w:rsid w:val="000A3783"/>
    <w:rsid w:val="000A4000"/>
    <w:rsid w:val="000A5D81"/>
    <w:rsid w:val="000B0211"/>
    <w:rsid w:val="000B0F5F"/>
    <w:rsid w:val="000B14B7"/>
    <w:rsid w:val="000B1F78"/>
    <w:rsid w:val="000B3B93"/>
    <w:rsid w:val="000B4E9A"/>
    <w:rsid w:val="000C026F"/>
    <w:rsid w:val="000C2118"/>
    <w:rsid w:val="000C45C3"/>
    <w:rsid w:val="000C5526"/>
    <w:rsid w:val="000D315C"/>
    <w:rsid w:val="000D40AC"/>
    <w:rsid w:val="000D41FD"/>
    <w:rsid w:val="000D4A15"/>
    <w:rsid w:val="000E24E1"/>
    <w:rsid w:val="000E4B16"/>
    <w:rsid w:val="000E4E93"/>
    <w:rsid w:val="000E7456"/>
    <w:rsid w:val="000E7BAF"/>
    <w:rsid w:val="000F0C71"/>
    <w:rsid w:val="000F18CC"/>
    <w:rsid w:val="000F3596"/>
    <w:rsid w:val="000F5679"/>
    <w:rsid w:val="000F6417"/>
    <w:rsid w:val="00100C86"/>
    <w:rsid w:val="001010AE"/>
    <w:rsid w:val="001036D2"/>
    <w:rsid w:val="001048EB"/>
    <w:rsid w:val="00105142"/>
    <w:rsid w:val="00105D35"/>
    <w:rsid w:val="001068E2"/>
    <w:rsid w:val="00106C1B"/>
    <w:rsid w:val="00106D0B"/>
    <w:rsid w:val="00106F61"/>
    <w:rsid w:val="001076CB"/>
    <w:rsid w:val="00107899"/>
    <w:rsid w:val="001078AC"/>
    <w:rsid w:val="001100DB"/>
    <w:rsid w:val="001107F0"/>
    <w:rsid w:val="00114447"/>
    <w:rsid w:val="00114F5A"/>
    <w:rsid w:val="0011541A"/>
    <w:rsid w:val="00115733"/>
    <w:rsid w:val="00115DE7"/>
    <w:rsid w:val="00117737"/>
    <w:rsid w:val="00122010"/>
    <w:rsid w:val="00122585"/>
    <w:rsid w:val="0012333F"/>
    <w:rsid w:val="00123881"/>
    <w:rsid w:val="00127D8D"/>
    <w:rsid w:val="001300B4"/>
    <w:rsid w:val="001333B6"/>
    <w:rsid w:val="0013346A"/>
    <w:rsid w:val="00134DD7"/>
    <w:rsid w:val="00135E5B"/>
    <w:rsid w:val="00136677"/>
    <w:rsid w:val="0014477B"/>
    <w:rsid w:val="00144B19"/>
    <w:rsid w:val="00144D3D"/>
    <w:rsid w:val="00144FC7"/>
    <w:rsid w:val="001450E0"/>
    <w:rsid w:val="00145E61"/>
    <w:rsid w:val="001516FC"/>
    <w:rsid w:val="001531D8"/>
    <w:rsid w:val="00153C3E"/>
    <w:rsid w:val="001544E8"/>
    <w:rsid w:val="00154C89"/>
    <w:rsid w:val="00155FFF"/>
    <w:rsid w:val="001566F8"/>
    <w:rsid w:val="00156C17"/>
    <w:rsid w:val="001627F4"/>
    <w:rsid w:val="001629F4"/>
    <w:rsid w:val="00163728"/>
    <w:rsid w:val="001649B5"/>
    <w:rsid w:val="00165319"/>
    <w:rsid w:val="001658E8"/>
    <w:rsid w:val="00165D36"/>
    <w:rsid w:val="001676DE"/>
    <w:rsid w:val="00167A85"/>
    <w:rsid w:val="00171CAA"/>
    <w:rsid w:val="0017423B"/>
    <w:rsid w:val="001754C1"/>
    <w:rsid w:val="0017606C"/>
    <w:rsid w:val="00177797"/>
    <w:rsid w:val="0018028D"/>
    <w:rsid w:val="00180AD6"/>
    <w:rsid w:val="00182258"/>
    <w:rsid w:val="001838C6"/>
    <w:rsid w:val="001868B0"/>
    <w:rsid w:val="001877F3"/>
    <w:rsid w:val="001904B4"/>
    <w:rsid w:val="0019079B"/>
    <w:rsid w:val="00192791"/>
    <w:rsid w:val="00196267"/>
    <w:rsid w:val="00197344"/>
    <w:rsid w:val="0019742F"/>
    <w:rsid w:val="001A0684"/>
    <w:rsid w:val="001A119A"/>
    <w:rsid w:val="001A3E43"/>
    <w:rsid w:val="001A443E"/>
    <w:rsid w:val="001A5975"/>
    <w:rsid w:val="001A5BD3"/>
    <w:rsid w:val="001A6039"/>
    <w:rsid w:val="001A6969"/>
    <w:rsid w:val="001A7261"/>
    <w:rsid w:val="001B055F"/>
    <w:rsid w:val="001B1418"/>
    <w:rsid w:val="001B2C35"/>
    <w:rsid w:val="001B2F0C"/>
    <w:rsid w:val="001B3C8F"/>
    <w:rsid w:val="001B3D0C"/>
    <w:rsid w:val="001B3D42"/>
    <w:rsid w:val="001B57CF"/>
    <w:rsid w:val="001B5EE7"/>
    <w:rsid w:val="001B6E6B"/>
    <w:rsid w:val="001B7AE2"/>
    <w:rsid w:val="001B7AF1"/>
    <w:rsid w:val="001C07E0"/>
    <w:rsid w:val="001C0A62"/>
    <w:rsid w:val="001C2D1C"/>
    <w:rsid w:val="001C2F00"/>
    <w:rsid w:val="001C385D"/>
    <w:rsid w:val="001C3DCE"/>
    <w:rsid w:val="001C5B85"/>
    <w:rsid w:val="001C7B13"/>
    <w:rsid w:val="001C7FA7"/>
    <w:rsid w:val="001D19EA"/>
    <w:rsid w:val="001D221C"/>
    <w:rsid w:val="001D2485"/>
    <w:rsid w:val="001D2905"/>
    <w:rsid w:val="001D297F"/>
    <w:rsid w:val="001D3156"/>
    <w:rsid w:val="001D519B"/>
    <w:rsid w:val="001D7BA0"/>
    <w:rsid w:val="001E18BA"/>
    <w:rsid w:val="001E23F9"/>
    <w:rsid w:val="001E5873"/>
    <w:rsid w:val="001E6D04"/>
    <w:rsid w:val="001E6D65"/>
    <w:rsid w:val="001E7715"/>
    <w:rsid w:val="001F2E4F"/>
    <w:rsid w:val="001F3874"/>
    <w:rsid w:val="001F45BB"/>
    <w:rsid w:val="001F4E01"/>
    <w:rsid w:val="001F5306"/>
    <w:rsid w:val="001F682B"/>
    <w:rsid w:val="002001FC"/>
    <w:rsid w:val="002007AF"/>
    <w:rsid w:val="00200BDC"/>
    <w:rsid w:val="00201904"/>
    <w:rsid w:val="00202AEB"/>
    <w:rsid w:val="00206618"/>
    <w:rsid w:val="00207526"/>
    <w:rsid w:val="0020772A"/>
    <w:rsid w:val="00210512"/>
    <w:rsid w:val="002125D1"/>
    <w:rsid w:val="00212BC0"/>
    <w:rsid w:val="00213F33"/>
    <w:rsid w:val="0021442F"/>
    <w:rsid w:val="002150B7"/>
    <w:rsid w:val="00215BA9"/>
    <w:rsid w:val="00217D57"/>
    <w:rsid w:val="00220721"/>
    <w:rsid w:val="00221D64"/>
    <w:rsid w:val="00223E38"/>
    <w:rsid w:val="002252E8"/>
    <w:rsid w:val="0022575E"/>
    <w:rsid w:val="00225C05"/>
    <w:rsid w:val="00226A6E"/>
    <w:rsid w:val="002309DD"/>
    <w:rsid w:val="002312B5"/>
    <w:rsid w:val="002328F3"/>
    <w:rsid w:val="00232A02"/>
    <w:rsid w:val="00232B66"/>
    <w:rsid w:val="00233C93"/>
    <w:rsid w:val="00235271"/>
    <w:rsid w:val="00235E9D"/>
    <w:rsid w:val="0024090C"/>
    <w:rsid w:val="00241347"/>
    <w:rsid w:val="00241E02"/>
    <w:rsid w:val="00243234"/>
    <w:rsid w:val="002433BA"/>
    <w:rsid w:val="00245293"/>
    <w:rsid w:val="00251C9C"/>
    <w:rsid w:val="00251D14"/>
    <w:rsid w:val="002521EE"/>
    <w:rsid w:val="002526A2"/>
    <w:rsid w:val="002530B9"/>
    <w:rsid w:val="002543FF"/>
    <w:rsid w:val="00257575"/>
    <w:rsid w:val="002613B3"/>
    <w:rsid w:val="0026243A"/>
    <w:rsid w:val="0026316F"/>
    <w:rsid w:val="0026453D"/>
    <w:rsid w:val="0026480D"/>
    <w:rsid w:val="00264E02"/>
    <w:rsid w:val="002656F4"/>
    <w:rsid w:val="00266F52"/>
    <w:rsid w:val="002671A8"/>
    <w:rsid w:val="00267318"/>
    <w:rsid w:val="002717D3"/>
    <w:rsid w:val="002722A2"/>
    <w:rsid w:val="00274A80"/>
    <w:rsid w:val="00275420"/>
    <w:rsid w:val="00275F8C"/>
    <w:rsid w:val="0027675D"/>
    <w:rsid w:val="002841E4"/>
    <w:rsid w:val="002845A8"/>
    <w:rsid w:val="0028727A"/>
    <w:rsid w:val="00290E33"/>
    <w:rsid w:val="00291ECE"/>
    <w:rsid w:val="00292C44"/>
    <w:rsid w:val="0029326C"/>
    <w:rsid w:val="002940AF"/>
    <w:rsid w:val="002952FC"/>
    <w:rsid w:val="0029547F"/>
    <w:rsid w:val="002A00B2"/>
    <w:rsid w:val="002A0471"/>
    <w:rsid w:val="002A32B6"/>
    <w:rsid w:val="002A6839"/>
    <w:rsid w:val="002A6BAA"/>
    <w:rsid w:val="002A6D2F"/>
    <w:rsid w:val="002B20E0"/>
    <w:rsid w:val="002B5451"/>
    <w:rsid w:val="002B5BD3"/>
    <w:rsid w:val="002B5E91"/>
    <w:rsid w:val="002B7348"/>
    <w:rsid w:val="002B7810"/>
    <w:rsid w:val="002C0815"/>
    <w:rsid w:val="002C14C6"/>
    <w:rsid w:val="002C23E6"/>
    <w:rsid w:val="002C278C"/>
    <w:rsid w:val="002C3E2E"/>
    <w:rsid w:val="002C6415"/>
    <w:rsid w:val="002C6EA2"/>
    <w:rsid w:val="002C748C"/>
    <w:rsid w:val="002D1117"/>
    <w:rsid w:val="002D2307"/>
    <w:rsid w:val="002D4CD6"/>
    <w:rsid w:val="002D4D20"/>
    <w:rsid w:val="002D6EEE"/>
    <w:rsid w:val="002D75C6"/>
    <w:rsid w:val="002E2C0B"/>
    <w:rsid w:val="002E315F"/>
    <w:rsid w:val="002E38D0"/>
    <w:rsid w:val="002E478A"/>
    <w:rsid w:val="002E7B93"/>
    <w:rsid w:val="002F31A9"/>
    <w:rsid w:val="002F707C"/>
    <w:rsid w:val="003004DA"/>
    <w:rsid w:val="003014C5"/>
    <w:rsid w:val="00302AB0"/>
    <w:rsid w:val="003035B4"/>
    <w:rsid w:val="00304857"/>
    <w:rsid w:val="00304F57"/>
    <w:rsid w:val="00305CE7"/>
    <w:rsid w:val="00306AAF"/>
    <w:rsid w:val="00307F8D"/>
    <w:rsid w:val="0031241B"/>
    <w:rsid w:val="00312874"/>
    <w:rsid w:val="00312DBB"/>
    <w:rsid w:val="0031393E"/>
    <w:rsid w:val="00313BEF"/>
    <w:rsid w:val="00314E60"/>
    <w:rsid w:val="00315162"/>
    <w:rsid w:val="0032131F"/>
    <w:rsid w:val="00323213"/>
    <w:rsid w:val="003237D1"/>
    <w:rsid w:val="00325510"/>
    <w:rsid w:val="0032571C"/>
    <w:rsid w:val="0032644B"/>
    <w:rsid w:val="003274F1"/>
    <w:rsid w:val="00327865"/>
    <w:rsid w:val="00330DC7"/>
    <w:rsid w:val="0033461A"/>
    <w:rsid w:val="003347C9"/>
    <w:rsid w:val="003359EA"/>
    <w:rsid w:val="003415F1"/>
    <w:rsid w:val="003433E9"/>
    <w:rsid w:val="0034439F"/>
    <w:rsid w:val="00345004"/>
    <w:rsid w:val="003450BE"/>
    <w:rsid w:val="003523C7"/>
    <w:rsid w:val="00355A56"/>
    <w:rsid w:val="003564F6"/>
    <w:rsid w:val="003603F5"/>
    <w:rsid w:val="0036083E"/>
    <w:rsid w:val="003612E4"/>
    <w:rsid w:val="00361478"/>
    <w:rsid w:val="0036236F"/>
    <w:rsid w:val="00363714"/>
    <w:rsid w:val="00363E67"/>
    <w:rsid w:val="00367836"/>
    <w:rsid w:val="00370AA5"/>
    <w:rsid w:val="003727A1"/>
    <w:rsid w:val="00372C95"/>
    <w:rsid w:val="003803BC"/>
    <w:rsid w:val="00380891"/>
    <w:rsid w:val="003817E3"/>
    <w:rsid w:val="00383D6C"/>
    <w:rsid w:val="00386134"/>
    <w:rsid w:val="003905E3"/>
    <w:rsid w:val="00390771"/>
    <w:rsid w:val="00391917"/>
    <w:rsid w:val="00392FAB"/>
    <w:rsid w:val="00394153"/>
    <w:rsid w:val="00395721"/>
    <w:rsid w:val="0039729B"/>
    <w:rsid w:val="00397AF2"/>
    <w:rsid w:val="003A10CA"/>
    <w:rsid w:val="003A2BD0"/>
    <w:rsid w:val="003A415B"/>
    <w:rsid w:val="003A7225"/>
    <w:rsid w:val="003B00FB"/>
    <w:rsid w:val="003B0759"/>
    <w:rsid w:val="003B07BA"/>
    <w:rsid w:val="003B0A5C"/>
    <w:rsid w:val="003B2D32"/>
    <w:rsid w:val="003B5DE4"/>
    <w:rsid w:val="003B72FF"/>
    <w:rsid w:val="003C3583"/>
    <w:rsid w:val="003C3EBD"/>
    <w:rsid w:val="003C458B"/>
    <w:rsid w:val="003C48B6"/>
    <w:rsid w:val="003C4A85"/>
    <w:rsid w:val="003C4F2A"/>
    <w:rsid w:val="003C50EA"/>
    <w:rsid w:val="003C5B3E"/>
    <w:rsid w:val="003C690E"/>
    <w:rsid w:val="003C7927"/>
    <w:rsid w:val="003D05DB"/>
    <w:rsid w:val="003D200A"/>
    <w:rsid w:val="003D44EC"/>
    <w:rsid w:val="003D62E2"/>
    <w:rsid w:val="003D6FE2"/>
    <w:rsid w:val="003E0E9F"/>
    <w:rsid w:val="003E16AD"/>
    <w:rsid w:val="003E393E"/>
    <w:rsid w:val="003E4E11"/>
    <w:rsid w:val="003E52B2"/>
    <w:rsid w:val="003E5B9C"/>
    <w:rsid w:val="003E7B47"/>
    <w:rsid w:val="003E7BC3"/>
    <w:rsid w:val="003E7FF9"/>
    <w:rsid w:val="003F20D3"/>
    <w:rsid w:val="003F21E0"/>
    <w:rsid w:val="003F2E7B"/>
    <w:rsid w:val="004025A8"/>
    <w:rsid w:val="004031DC"/>
    <w:rsid w:val="0040419B"/>
    <w:rsid w:val="0040578A"/>
    <w:rsid w:val="00406747"/>
    <w:rsid w:val="00406FA5"/>
    <w:rsid w:val="004109B2"/>
    <w:rsid w:val="00411225"/>
    <w:rsid w:val="004122C2"/>
    <w:rsid w:val="0041384D"/>
    <w:rsid w:val="00415644"/>
    <w:rsid w:val="0041612E"/>
    <w:rsid w:val="004176C0"/>
    <w:rsid w:val="00417C01"/>
    <w:rsid w:val="004202DF"/>
    <w:rsid w:val="00425C5F"/>
    <w:rsid w:val="00427CEE"/>
    <w:rsid w:val="004314A2"/>
    <w:rsid w:val="00431756"/>
    <w:rsid w:val="00431F20"/>
    <w:rsid w:val="0043297B"/>
    <w:rsid w:val="0043472C"/>
    <w:rsid w:val="00435232"/>
    <w:rsid w:val="00435DB8"/>
    <w:rsid w:val="0043717A"/>
    <w:rsid w:val="00440CFF"/>
    <w:rsid w:val="0044128A"/>
    <w:rsid w:val="00442F59"/>
    <w:rsid w:val="00444E0B"/>
    <w:rsid w:val="00444F86"/>
    <w:rsid w:val="00446B56"/>
    <w:rsid w:val="004503FC"/>
    <w:rsid w:val="00450825"/>
    <w:rsid w:val="004509F7"/>
    <w:rsid w:val="0045108E"/>
    <w:rsid w:val="004511C1"/>
    <w:rsid w:val="00453AB3"/>
    <w:rsid w:val="00453E6D"/>
    <w:rsid w:val="00454435"/>
    <w:rsid w:val="0045500D"/>
    <w:rsid w:val="004557E1"/>
    <w:rsid w:val="0046109C"/>
    <w:rsid w:val="004613A3"/>
    <w:rsid w:val="0046314D"/>
    <w:rsid w:val="00463685"/>
    <w:rsid w:val="00464446"/>
    <w:rsid w:val="004646A5"/>
    <w:rsid w:val="00464DA8"/>
    <w:rsid w:val="00470CDC"/>
    <w:rsid w:val="00470F32"/>
    <w:rsid w:val="00471B5E"/>
    <w:rsid w:val="004726E3"/>
    <w:rsid w:val="0047316B"/>
    <w:rsid w:val="00475970"/>
    <w:rsid w:val="00476349"/>
    <w:rsid w:val="00477565"/>
    <w:rsid w:val="004777E1"/>
    <w:rsid w:val="00480BEB"/>
    <w:rsid w:val="00480D4C"/>
    <w:rsid w:val="00481E93"/>
    <w:rsid w:val="00482094"/>
    <w:rsid w:val="00482F98"/>
    <w:rsid w:val="0048356D"/>
    <w:rsid w:val="00483A70"/>
    <w:rsid w:val="00483AFB"/>
    <w:rsid w:val="0048509B"/>
    <w:rsid w:val="004869FC"/>
    <w:rsid w:val="004870DB"/>
    <w:rsid w:val="00494394"/>
    <w:rsid w:val="0049451A"/>
    <w:rsid w:val="00494F06"/>
    <w:rsid w:val="00496D9B"/>
    <w:rsid w:val="00497EFD"/>
    <w:rsid w:val="004A1094"/>
    <w:rsid w:val="004A20B6"/>
    <w:rsid w:val="004A25A4"/>
    <w:rsid w:val="004A3DC6"/>
    <w:rsid w:val="004A5EDA"/>
    <w:rsid w:val="004A6C79"/>
    <w:rsid w:val="004A7C6C"/>
    <w:rsid w:val="004B2946"/>
    <w:rsid w:val="004B3D82"/>
    <w:rsid w:val="004B5FB0"/>
    <w:rsid w:val="004B64C6"/>
    <w:rsid w:val="004C3B03"/>
    <w:rsid w:val="004C5ABC"/>
    <w:rsid w:val="004D0757"/>
    <w:rsid w:val="004D2CB1"/>
    <w:rsid w:val="004D3978"/>
    <w:rsid w:val="004D67C8"/>
    <w:rsid w:val="004D7595"/>
    <w:rsid w:val="004D79BB"/>
    <w:rsid w:val="004E188C"/>
    <w:rsid w:val="004E301B"/>
    <w:rsid w:val="004E5BB6"/>
    <w:rsid w:val="004E6430"/>
    <w:rsid w:val="004F276C"/>
    <w:rsid w:val="004F34D3"/>
    <w:rsid w:val="004F466F"/>
    <w:rsid w:val="004F5F49"/>
    <w:rsid w:val="004F6976"/>
    <w:rsid w:val="004F6D36"/>
    <w:rsid w:val="005002E3"/>
    <w:rsid w:val="00501EE6"/>
    <w:rsid w:val="0050203F"/>
    <w:rsid w:val="00503405"/>
    <w:rsid w:val="00503D56"/>
    <w:rsid w:val="0050751F"/>
    <w:rsid w:val="005077CA"/>
    <w:rsid w:val="00507D87"/>
    <w:rsid w:val="00510C9A"/>
    <w:rsid w:val="00511355"/>
    <w:rsid w:val="00512AD9"/>
    <w:rsid w:val="00513C62"/>
    <w:rsid w:val="005140E4"/>
    <w:rsid w:val="00515BBA"/>
    <w:rsid w:val="005179BF"/>
    <w:rsid w:val="005203C7"/>
    <w:rsid w:val="005239D4"/>
    <w:rsid w:val="00524A51"/>
    <w:rsid w:val="00524EA7"/>
    <w:rsid w:val="005260ED"/>
    <w:rsid w:val="0052618E"/>
    <w:rsid w:val="00526B2F"/>
    <w:rsid w:val="00527040"/>
    <w:rsid w:val="005276BC"/>
    <w:rsid w:val="00527858"/>
    <w:rsid w:val="00530B29"/>
    <w:rsid w:val="00531434"/>
    <w:rsid w:val="005322BA"/>
    <w:rsid w:val="005335BA"/>
    <w:rsid w:val="00535A89"/>
    <w:rsid w:val="00535ED4"/>
    <w:rsid w:val="005410A1"/>
    <w:rsid w:val="00542F72"/>
    <w:rsid w:val="005436A3"/>
    <w:rsid w:val="00543D9D"/>
    <w:rsid w:val="00544796"/>
    <w:rsid w:val="00545662"/>
    <w:rsid w:val="00546863"/>
    <w:rsid w:val="00546E41"/>
    <w:rsid w:val="00547510"/>
    <w:rsid w:val="0055047D"/>
    <w:rsid w:val="0055055E"/>
    <w:rsid w:val="00550A6D"/>
    <w:rsid w:val="00551DD6"/>
    <w:rsid w:val="00553BB0"/>
    <w:rsid w:val="00555C1D"/>
    <w:rsid w:val="00556426"/>
    <w:rsid w:val="00557FBC"/>
    <w:rsid w:val="005600DC"/>
    <w:rsid w:val="00560FD6"/>
    <w:rsid w:val="00561425"/>
    <w:rsid w:val="00562510"/>
    <w:rsid w:val="0056345F"/>
    <w:rsid w:val="00563FBF"/>
    <w:rsid w:val="005668F2"/>
    <w:rsid w:val="00567397"/>
    <w:rsid w:val="00572054"/>
    <w:rsid w:val="0057252F"/>
    <w:rsid w:val="00572AB2"/>
    <w:rsid w:val="00573272"/>
    <w:rsid w:val="00575102"/>
    <w:rsid w:val="005752D4"/>
    <w:rsid w:val="00575D46"/>
    <w:rsid w:val="00580B6A"/>
    <w:rsid w:val="0058227A"/>
    <w:rsid w:val="00582611"/>
    <w:rsid w:val="005826B6"/>
    <w:rsid w:val="00582B45"/>
    <w:rsid w:val="0058586F"/>
    <w:rsid w:val="00586334"/>
    <w:rsid w:val="005876FA"/>
    <w:rsid w:val="005912F1"/>
    <w:rsid w:val="00591AE1"/>
    <w:rsid w:val="0059225B"/>
    <w:rsid w:val="005922F9"/>
    <w:rsid w:val="00592DBF"/>
    <w:rsid w:val="005933BE"/>
    <w:rsid w:val="0059644F"/>
    <w:rsid w:val="00597EDD"/>
    <w:rsid w:val="005A04E0"/>
    <w:rsid w:val="005A06B1"/>
    <w:rsid w:val="005A27B5"/>
    <w:rsid w:val="005A319E"/>
    <w:rsid w:val="005A76D6"/>
    <w:rsid w:val="005B154B"/>
    <w:rsid w:val="005B2A16"/>
    <w:rsid w:val="005B335B"/>
    <w:rsid w:val="005B39D2"/>
    <w:rsid w:val="005B3A7C"/>
    <w:rsid w:val="005C2C87"/>
    <w:rsid w:val="005C69E4"/>
    <w:rsid w:val="005C6DBC"/>
    <w:rsid w:val="005C789E"/>
    <w:rsid w:val="005D016D"/>
    <w:rsid w:val="005D0AF6"/>
    <w:rsid w:val="005D2AEF"/>
    <w:rsid w:val="005D314F"/>
    <w:rsid w:val="005D3442"/>
    <w:rsid w:val="005D43B1"/>
    <w:rsid w:val="005D5BBA"/>
    <w:rsid w:val="005D5CCD"/>
    <w:rsid w:val="005E1DAA"/>
    <w:rsid w:val="005E23C1"/>
    <w:rsid w:val="005E24F5"/>
    <w:rsid w:val="005E414E"/>
    <w:rsid w:val="005E794B"/>
    <w:rsid w:val="005F3C99"/>
    <w:rsid w:val="005F522C"/>
    <w:rsid w:val="005F58CE"/>
    <w:rsid w:val="005F677A"/>
    <w:rsid w:val="005F7328"/>
    <w:rsid w:val="0060038E"/>
    <w:rsid w:val="0060238C"/>
    <w:rsid w:val="0060657E"/>
    <w:rsid w:val="006077AC"/>
    <w:rsid w:val="00610277"/>
    <w:rsid w:val="006119D3"/>
    <w:rsid w:val="00612E6C"/>
    <w:rsid w:val="0061355E"/>
    <w:rsid w:val="00615107"/>
    <w:rsid w:val="00621043"/>
    <w:rsid w:val="00621902"/>
    <w:rsid w:val="0062267B"/>
    <w:rsid w:val="00623313"/>
    <w:rsid w:val="0062340C"/>
    <w:rsid w:val="006244E3"/>
    <w:rsid w:val="006249C6"/>
    <w:rsid w:val="00625876"/>
    <w:rsid w:val="00627DB3"/>
    <w:rsid w:val="00631DCE"/>
    <w:rsid w:val="0063291D"/>
    <w:rsid w:val="00634164"/>
    <w:rsid w:val="006360ED"/>
    <w:rsid w:val="00636C40"/>
    <w:rsid w:val="006376C4"/>
    <w:rsid w:val="00637998"/>
    <w:rsid w:val="006379CE"/>
    <w:rsid w:val="006410D5"/>
    <w:rsid w:val="0064282F"/>
    <w:rsid w:val="0064378A"/>
    <w:rsid w:val="00643DC5"/>
    <w:rsid w:val="00643E36"/>
    <w:rsid w:val="006441F9"/>
    <w:rsid w:val="00646223"/>
    <w:rsid w:val="00647E07"/>
    <w:rsid w:val="00650721"/>
    <w:rsid w:val="0065141D"/>
    <w:rsid w:val="0065195E"/>
    <w:rsid w:val="00652204"/>
    <w:rsid w:val="00653A12"/>
    <w:rsid w:val="00653C09"/>
    <w:rsid w:val="006544CE"/>
    <w:rsid w:val="00655C3F"/>
    <w:rsid w:val="00656284"/>
    <w:rsid w:val="00656E53"/>
    <w:rsid w:val="00660493"/>
    <w:rsid w:val="00660FCF"/>
    <w:rsid w:val="006648E9"/>
    <w:rsid w:val="00665D9C"/>
    <w:rsid w:val="00666222"/>
    <w:rsid w:val="00667C65"/>
    <w:rsid w:val="006700D2"/>
    <w:rsid w:val="00670BBA"/>
    <w:rsid w:val="00670DC2"/>
    <w:rsid w:val="00671CEB"/>
    <w:rsid w:val="006730A7"/>
    <w:rsid w:val="00674A15"/>
    <w:rsid w:val="00680C59"/>
    <w:rsid w:val="00682038"/>
    <w:rsid w:val="006820DA"/>
    <w:rsid w:val="006844D0"/>
    <w:rsid w:val="00684636"/>
    <w:rsid w:val="00684ABF"/>
    <w:rsid w:val="00685D52"/>
    <w:rsid w:val="006864A9"/>
    <w:rsid w:val="00687AD4"/>
    <w:rsid w:val="006920F5"/>
    <w:rsid w:val="006A0822"/>
    <w:rsid w:val="006A0B0C"/>
    <w:rsid w:val="006A1720"/>
    <w:rsid w:val="006A1D3C"/>
    <w:rsid w:val="006A2A2A"/>
    <w:rsid w:val="006A393D"/>
    <w:rsid w:val="006A3F02"/>
    <w:rsid w:val="006A5DC7"/>
    <w:rsid w:val="006A6389"/>
    <w:rsid w:val="006A6C7E"/>
    <w:rsid w:val="006A7FE5"/>
    <w:rsid w:val="006B0307"/>
    <w:rsid w:val="006B0710"/>
    <w:rsid w:val="006B1083"/>
    <w:rsid w:val="006B2298"/>
    <w:rsid w:val="006B63B3"/>
    <w:rsid w:val="006B67CB"/>
    <w:rsid w:val="006C0487"/>
    <w:rsid w:val="006C0AD6"/>
    <w:rsid w:val="006C3556"/>
    <w:rsid w:val="006C36A5"/>
    <w:rsid w:val="006C3A21"/>
    <w:rsid w:val="006C582E"/>
    <w:rsid w:val="006C636D"/>
    <w:rsid w:val="006C6654"/>
    <w:rsid w:val="006C74AE"/>
    <w:rsid w:val="006D264E"/>
    <w:rsid w:val="006D341A"/>
    <w:rsid w:val="006D4DC2"/>
    <w:rsid w:val="006D550A"/>
    <w:rsid w:val="006D6D10"/>
    <w:rsid w:val="006D6E3B"/>
    <w:rsid w:val="006E0181"/>
    <w:rsid w:val="006E089A"/>
    <w:rsid w:val="006E1AEC"/>
    <w:rsid w:val="006E3447"/>
    <w:rsid w:val="006E3CD8"/>
    <w:rsid w:val="006E6E44"/>
    <w:rsid w:val="006E73F3"/>
    <w:rsid w:val="006F0D78"/>
    <w:rsid w:val="006F339A"/>
    <w:rsid w:val="006F39FC"/>
    <w:rsid w:val="006F5716"/>
    <w:rsid w:val="006F5E29"/>
    <w:rsid w:val="006F6E95"/>
    <w:rsid w:val="007003D1"/>
    <w:rsid w:val="00703311"/>
    <w:rsid w:val="00704020"/>
    <w:rsid w:val="00704A6F"/>
    <w:rsid w:val="00706563"/>
    <w:rsid w:val="00706586"/>
    <w:rsid w:val="007075DB"/>
    <w:rsid w:val="00713C76"/>
    <w:rsid w:val="0071416D"/>
    <w:rsid w:val="0071579C"/>
    <w:rsid w:val="0071697A"/>
    <w:rsid w:val="00716E20"/>
    <w:rsid w:val="00720ED7"/>
    <w:rsid w:val="00723DDA"/>
    <w:rsid w:val="007246F7"/>
    <w:rsid w:val="007259EE"/>
    <w:rsid w:val="0074078E"/>
    <w:rsid w:val="007417AA"/>
    <w:rsid w:val="00742A12"/>
    <w:rsid w:val="00743B06"/>
    <w:rsid w:val="00745473"/>
    <w:rsid w:val="00747E38"/>
    <w:rsid w:val="00747F31"/>
    <w:rsid w:val="00753028"/>
    <w:rsid w:val="00754AFC"/>
    <w:rsid w:val="00754CC3"/>
    <w:rsid w:val="00754D12"/>
    <w:rsid w:val="007553A9"/>
    <w:rsid w:val="00755DB9"/>
    <w:rsid w:val="00756465"/>
    <w:rsid w:val="007565BF"/>
    <w:rsid w:val="0075779B"/>
    <w:rsid w:val="00761CF5"/>
    <w:rsid w:val="00763A4C"/>
    <w:rsid w:val="00766BB9"/>
    <w:rsid w:val="0076709E"/>
    <w:rsid w:val="00767C18"/>
    <w:rsid w:val="00770EFA"/>
    <w:rsid w:val="00773484"/>
    <w:rsid w:val="0077396F"/>
    <w:rsid w:val="00773B2A"/>
    <w:rsid w:val="0077519E"/>
    <w:rsid w:val="00775657"/>
    <w:rsid w:val="007760BB"/>
    <w:rsid w:val="007766D8"/>
    <w:rsid w:val="0077691C"/>
    <w:rsid w:val="0077701E"/>
    <w:rsid w:val="00781818"/>
    <w:rsid w:val="00784D72"/>
    <w:rsid w:val="00791538"/>
    <w:rsid w:val="0079183E"/>
    <w:rsid w:val="00791E53"/>
    <w:rsid w:val="00792C98"/>
    <w:rsid w:val="00794FFB"/>
    <w:rsid w:val="00797A6A"/>
    <w:rsid w:val="007A0E26"/>
    <w:rsid w:val="007A4C24"/>
    <w:rsid w:val="007A611A"/>
    <w:rsid w:val="007A7523"/>
    <w:rsid w:val="007B060A"/>
    <w:rsid w:val="007B1356"/>
    <w:rsid w:val="007B1567"/>
    <w:rsid w:val="007B2E33"/>
    <w:rsid w:val="007B534A"/>
    <w:rsid w:val="007B6634"/>
    <w:rsid w:val="007B6718"/>
    <w:rsid w:val="007B6886"/>
    <w:rsid w:val="007B7A39"/>
    <w:rsid w:val="007C0D5B"/>
    <w:rsid w:val="007C1961"/>
    <w:rsid w:val="007C41C6"/>
    <w:rsid w:val="007C424D"/>
    <w:rsid w:val="007C44F5"/>
    <w:rsid w:val="007C4F06"/>
    <w:rsid w:val="007C5097"/>
    <w:rsid w:val="007C5DC0"/>
    <w:rsid w:val="007C6163"/>
    <w:rsid w:val="007C7994"/>
    <w:rsid w:val="007D32B2"/>
    <w:rsid w:val="007D3E44"/>
    <w:rsid w:val="007D40D6"/>
    <w:rsid w:val="007D4382"/>
    <w:rsid w:val="007D4C2A"/>
    <w:rsid w:val="007D7275"/>
    <w:rsid w:val="007E3508"/>
    <w:rsid w:val="007E3A30"/>
    <w:rsid w:val="007E3F41"/>
    <w:rsid w:val="007E43DC"/>
    <w:rsid w:val="007F0643"/>
    <w:rsid w:val="007F1B47"/>
    <w:rsid w:val="007F1EB4"/>
    <w:rsid w:val="007F330C"/>
    <w:rsid w:val="007F3501"/>
    <w:rsid w:val="007F420C"/>
    <w:rsid w:val="007F5024"/>
    <w:rsid w:val="00800174"/>
    <w:rsid w:val="008001F1"/>
    <w:rsid w:val="008010F5"/>
    <w:rsid w:val="00802B86"/>
    <w:rsid w:val="0080355D"/>
    <w:rsid w:val="008076BD"/>
    <w:rsid w:val="00812CF4"/>
    <w:rsid w:val="00814843"/>
    <w:rsid w:val="0081605F"/>
    <w:rsid w:val="00816071"/>
    <w:rsid w:val="00820A86"/>
    <w:rsid w:val="00822061"/>
    <w:rsid w:val="00822C6A"/>
    <w:rsid w:val="00824525"/>
    <w:rsid w:val="00825996"/>
    <w:rsid w:val="00826B25"/>
    <w:rsid w:val="00830AD4"/>
    <w:rsid w:val="00830F28"/>
    <w:rsid w:val="008322F9"/>
    <w:rsid w:val="00832856"/>
    <w:rsid w:val="00833507"/>
    <w:rsid w:val="0083460D"/>
    <w:rsid w:val="00836198"/>
    <w:rsid w:val="00836F81"/>
    <w:rsid w:val="00842E0B"/>
    <w:rsid w:val="00845AB1"/>
    <w:rsid w:val="00846737"/>
    <w:rsid w:val="00850AA9"/>
    <w:rsid w:val="00850E2B"/>
    <w:rsid w:val="008519AC"/>
    <w:rsid w:val="008526D1"/>
    <w:rsid w:val="00852C75"/>
    <w:rsid w:val="00852DE3"/>
    <w:rsid w:val="00853AEA"/>
    <w:rsid w:val="00855926"/>
    <w:rsid w:val="00857C10"/>
    <w:rsid w:val="00863014"/>
    <w:rsid w:val="0086535A"/>
    <w:rsid w:val="008653B3"/>
    <w:rsid w:val="00866EC3"/>
    <w:rsid w:val="00870ED6"/>
    <w:rsid w:val="008710F5"/>
    <w:rsid w:val="008712F4"/>
    <w:rsid w:val="00871854"/>
    <w:rsid w:val="00873E31"/>
    <w:rsid w:val="0088341B"/>
    <w:rsid w:val="00887D45"/>
    <w:rsid w:val="00890BC9"/>
    <w:rsid w:val="008917AA"/>
    <w:rsid w:val="008935A8"/>
    <w:rsid w:val="0089369D"/>
    <w:rsid w:val="00893F8B"/>
    <w:rsid w:val="00894752"/>
    <w:rsid w:val="008957F3"/>
    <w:rsid w:val="0089619F"/>
    <w:rsid w:val="00897751"/>
    <w:rsid w:val="008A0CCE"/>
    <w:rsid w:val="008A1A8A"/>
    <w:rsid w:val="008A1DD2"/>
    <w:rsid w:val="008A3521"/>
    <w:rsid w:val="008A3AB7"/>
    <w:rsid w:val="008A3CC9"/>
    <w:rsid w:val="008A5F04"/>
    <w:rsid w:val="008A603A"/>
    <w:rsid w:val="008B1B2E"/>
    <w:rsid w:val="008B1C54"/>
    <w:rsid w:val="008B1E9E"/>
    <w:rsid w:val="008B2256"/>
    <w:rsid w:val="008B2743"/>
    <w:rsid w:val="008B3306"/>
    <w:rsid w:val="008B493C"/>
    <w:rsid w:val="008B5AA7"/>
    <w:rsid w:val="008B755B"/>
    <w:rsid w:val="008B7E8D"/>
    <w:rsid w:val="008C47D2"/>
    <w:rsid w:val="008C67E6"/>
    <w:rsid w:val="008C7B38"/>
    <w:rsid w:val="008C7ECA"/>
    <w:rsid w:val="008D0C4C"/>
    <w:rsid w:val="008D1147"/>
    <w:rsid w:val="008D2006"/>
    <w:rsid w:val="008D4ED8"/>
    <w:rsid w:val="008D6F59"/>
    <w:rsid w:val="008E25D4"/>
    <w:rsid w:val="008E27BF"/>
    <w:rsid w:val="008E27DC"/>
    <w:rsid w:val="008E2FF1"/>
    <w:rsid w:val="008E49CD"/>
    <w:rsid w:val="008E689F"/>
    <w:rsid w:val="008E7598"/>
    <w:rsid w:val="008F04A0"/>
    <w:rsid w:val="008F09CE"/>
    <w:rsid w:val="008F5F72"/>
    <w:rsid w:val="00901AD2"/>
    <w:rsid w:val="0090260A"/>
    <w:rsid w:val="00902FD5"/>
    <w:rsid w:val="009033FC"/>
    <w:rsid w:val="00903D07"/>
    <w:rsid w:val="00903F2B"/>
    <w:rsid w:val="00904FD2"/>
    <w:rsid w:val="00906F7B"/>
    <w:rsid w:val="00912910"/>
    <w:rsid w:val="0091480F"/>
    <w:rsid w:val="00914813"/>
    <w:rsid w:val="00914E61"/>
    <w:rsid w:val="00916EB2"/>
    <w:rsid w:val="00921104"/>
    <w:rsid w:val="00924EE0"/>
    <w:rsid w:val="00925719"/>
    <w:rsid w:val="00927702"/>
    <w:rsid w:val="0093010C"/>
    <w:rsid w:val="00932FDB"/>
    <w:rsid w:val="0093457B"/>
    <w:rsid w:val="0093513C"/>
    <w:rsid w:val="009351F9"/>
    <w:rsid w:val="0093581B"/>
    <w:rsid w:val="00936226"/>
    <w:rsid w:val="00937706"/>
    <w:rsid w:val="00941A6D"/>
    <w:rsid w:val="0094235E"/>
    <w:rsid w:val="00943882"/>
    <w:rsid w:val="00945E4D"/>
    <w:rsid w:val="009463C1"/>
    <w:rsid w:val="00946D29"/>
    <w:rsid w:val="00950ADA"/>
    <w:rsid w:val="00952918"/>
    <w:rsid w:val="009552FD"/>
    <w:rsid w:val="00963D90"/>
    <w:rsid w:val="00967055"/>
    <w:rsid w:val="00967A8F"/>
    <w:rsid w:val="0097149B"/>
    <w:rsid w:val="00973436"/>
    <w:rsid w:val="0097416F"/>
    <w:rsid w:val="009748CA"/>
    <w:rsid w:val="00981AD4"/>
    <w:rsid w:val="00983255"/>
    <w:rsid w:val="009861A6"/>
    <w:rsid w:val="00987431"/>
    <w:rsid w:val="00990452"/>
    <w:rsid w:val="009928B6"/>
    <w:rsid w:val="00992FC3"/>
    <w:rsid w:val="00997ACD"/>
    <w:rsid w:val="00997F71"/>
    <w:rsid w:val="009A1594"/>
    <w:rsid w:val="009A39E8"/>
    <w:rsid w:val="009A3CCD"/>
    <w:rsid w:val="009A3DCB"/>
    <w:rsid w:val="009A3DFE"/>
    <w:rsid w:val="009A75D2"/>
    <w:rsid w:val="009B341E"/>
    <w:rsid w:val="009B3FF3"/>
    <w:rsid w:val="009B47C9"/>
    <w:rsid w:val="009B485D"/>
    <w:rsid w:val="009B64ED"/>
    <w:rsid w:val="009B7063"/>
    <w:rsid w:val="009C026D"/>
    <w:rsid w:val="009C037F"/>
    <w:rsid w:val="009C5143"/>
    <w:rsid w:val="009D1C06"/>
    <w:rsid w:val="009D2617"/>
    <w:rsid w:val="009D3C3D"/>
    <w:rsid w:val="009D5964"/>
    <w:rsid w:val="009D6860"/>
    <w:rsid w:val="009D6CF0"/>
    <w:rsid w:val="009D79E6"/>
    <w:rsid w:val="009E1605"/>
    <w:rsid w:val="009E2FE2"/>
    <w:rsid w:val="009E301B"/>
    <w:rsid w:val="009E7612"/>
    <w:rsid w:val="009E7A90"/>
    <w:rsid w:val="009F1479"/>
    <w:rsid w:val="009F36E3"/>
    <w:rsid w:val="009F41B5"/>
    <w:rsid w:val="009F4ECE"/>
    <w:rsid w:val="009F5862"/>
    <w:rsid w:val="009F76D7"/>
    <w:rsid w:val="00A00D2A"/>
    <w:rsid w:val="00A03850"/>
    <w:rsid w:val="00A05169"/>
    <w:rsid w:val="00A06013"/>
    <w:rsid w:val="00A06EAF"/>
    <w:rsid w:val="00A10ED1"/>
    <w:rsid w:val="00A13D2B"/>
    <w:rsid w:val="00A13DFD"/>
    <w:rsid w:val="00A143B5"/>
    <w:rsid w:val="00A1527E"/>
    <w:rsid w:val="00A16757"/>
    <w:rsid w:val="00A1732A"/>
    <w:rsid w:val="00A21E45"/>
    <w:rsid w:val="00A23FE0"/>
    <w:rsid w:val="00A2443A"/>
    <w:rsid w:val="00A257CC"/>
    <w:rsid w:val="00A270B1"/>
    <w:rsid w:val="00A27400"/>
    <w:rsid w:val="00A27E54"/>
    <w:rsid w:val="00A30925"/>
    <w:rsid w:val="00A319B1"/>
    <w:rsid w:val="00A322EB"/>
    <w:rsid w:val="00A3295D"/>
    <w:rsid w:val="00A3358D"/>
    <w:rsid w:val="00A33B0F"/>
    <w:rsid w:val="00A33FD7"/>
    <w:rsid w:val="00A34A40"/>
    <w:rsid w:val="00A35856"/>
    <w:rsid w:val="00A35E8D"/>
    <w:rsid w:val="00A36382"/>
    <w:rsid w:val="00A36EDE"/>
    <w:rsid w:val="00A374AF"/>
    <w:rsid w:val="00A42591"/>
    <w:rsid w:val="00A42AB3"/>
    <w:rsid w:val="00A44F32"/>
    <w:rsid w:val="00A45E49"/>
    <w:rsid w:val="00A46912"/>
    <w:rsid w:val="00A478F4"/>
    <w:rsid w:val="00A51397"/>
    <w:rsid w:val="00A51E00"/>
    <w:rsid w:val="00A5271B"/>
    <w:rsid w:val="00A54560"/>
    <w:rsid w:val="00A5513A"/>
    <w:rsid w:val="00A554F8"/>
    <w:rsid w:val="00A5562C"/>
    <w:rsid w:val="00A55FEA"/>
    <w:rsid w:val="00A569AF"/>
    <w:rsid w:val="00A609FE"/>
    <w:rsid w:val="00A62090"/>
    <w:rsid w:val="00A62320"/>
    <w:rsid w:val="00A628D4"/>
    <w:rsid w:val="00A64C6C"/>
    <w:rsid w:val="00A67AE2"/>
    <w:rsid w:val="00A67AE7"/>
    <w:rsid w:val="00A70C9D"/>
    <w:rsid w:val="00A70CAC"/>
    <w:rsid w:val="00A710F1"/>
    <w:rsid w:val="00A7249E"/>
    <w:rsid w:val="00A734F1"/>
    <w:rsid w:val="00A747B3"/>
    <w:rsid w:val="00A757DC"/>
    <w:rsid w:val="00A80A73"/>
    <w:rsid w:val="00A81F80"/>
    <w:rsid w:val="00A8629D"/>
    <w:rsid w:val="00A86F92"/>
    <w:rsid w:val="00A873FA"/>
    <w:rsid w:val="00A8751D"/>
    <w:rsid w:val="00A928DC"/>
    <w:rsid w:val="00A93AC8"/>
    <w:rsid w:val="00A9423B"/>
    <w:rsid w:val="00A95187"/>
    <w:rsid w:val="00A95A9A"/>
    <w:rsid w:val="00A95F77"/>
    <w:rsid w:val="00A96849"/>
    <w:rsid w:val="00A979D3"/>
    <w:rsid w:val="00AA0120"/>
    <w:rsid w:val="00AA0547"/>
    <w:rsid w:val="00AA100E"/>
    <w:rsid w:val="00AA137D"/>
    <w:rsid w:val="00AA231A"/>
    <w:rsid w:val="00AA2D70"/>
    <w:rsid w:val="00AA2E66"/>
    <w:rsid w:val="00AA32E1"/>
    <w:rsid w:val="00AA3BBB"/>
    <w:rsid w:val="00AA4A64"/>
    <w:rsid w:val="00AA7128"/>
    <w:rsid w:val="00AB1B74"/>
    <w:rsid w:val="00AB1BF6"/>
    <w:rsid w:val="00AB738C"/>
    <w:rsid w:val="00AB740A"/>
    <w:rsid w:val="00AC13BF"/>
    <w:rsid w:val="00AC1516"/>
    <w:rsid w:val="00AC2E3B"/>
    <w:rsid w:val="00AC4014"/>
    <w:rsid w:val="00AC631C"/>
    <w:rsid w:val="00AC7F9E"/>
    <w:rsid w:val="00AD10CD"/>
    <w:rsid w:val="00AD3901"/>
    <w:rsid w:val="00AD3C71"/>
    <w:rsid w:val="00AD4498"/>
    <w:rsid w:val="00AD4A65"/>
    <w:rsid w:val="00AD6A02"/>
    <w:rsid w:val="00AD7813"/>
    <w:rsid w:val="00AD7B31"/>
    <w:rsid w:val="00AE0572"/>
    <w:rsid w:val="00AE07C5"/>
    <w:rsid w:val="00AE1888"/>
    <w:rsid w:val="00AE255A"/>
    <w:rsid w:val="00AE3147"/>
    <w:rsid w:val="00AE3AC7"/>
    <w:rsid w:val="00AE5052"/>
    <w:rsid w:val="00AE7B09"/>
    <w:rsid w:val="00AF133B"/>
    <w:rsid w:val="00AF3EEA"/>
    <w:rsid w:val="00AF4678"/>
    <w:rsid w:val="00AF53E3"/>
    <w:rsid w:val="00AF5B1C"/>
    <w:rsid w:val="00AF6E3E"/>
    <w:rsid w:val="00AF7355"/>
    <w:rsid w:val="00B018DD"/>
    <w:rsid w:val="00B02D2C"/>
    <w:rsid w:val="00B03713"/>
    <w:rsid w:val="00B03DE8"/>
    <w:rsid w:val="00B07655"/>
    <w:rsid w:val="00B1174C"/>
    <w:rsid w:val="00B11D93"/>
    <w:rsid w:val="00B136E0"/>
    <w:rsid w:val="00B14CDB"/>
    <w:rsid w:val="00B14E5A"/>
    <w:rsid w:val="00B15019"/>
    <w:rsid w:val="00B15BBA"/>
    <w:rsid w:val="00B15E69"/>
    <w:rsid w:val="00B15FD1"/>
    <w:rsid w:val="00B16360"/>
    <w:rsid w:val="00B174F0"/>
    <w:rsid w:val="00B20ADC"/>
    <w:rsid w:val="00B24585"/>
    <w:rsid w:val="00B312D6"/>
    <w:rsid w:val="00B31AA0"/>
    <w:rsid w:val="00B33E40"/>
    <w:rsid w:val="00B35E41"/>
    <w:rsid w:val="00B3763B"/>
    <w:rsid w:val="00B4034C"/>
    <w:rsid w:val="00B41D57"/>
    <w:rsid w:val="00B42D42"/>
    <w:rsid w:val="00B43059"/>
    <w:rsid w:val="00B430F5"/>
    <w:rsid w:val="00B43D2E"/>
    <w:rsid w:val="00B450A7"/>
    <w:rsid w:val="00B45FFF"/>
    <w:rsid w:val="00B5255F"/>
    <w:rsid w:val="00B54DDE"/>
    <w:rsid w:val="00B55043"/>
    <w:rsid w:val="00B6070D"/>
    <w:rsid w:val="00B617CF"/>
    <w:rsid w:val="00B62054"/>
    <w:rsid w:val="00B62D34"/>
    <w:rsid w:val="00B634A1"/>
    <w:rsid w:val="00B63734"/>
    <w:rsid w:val="00B641BD"/>
    <w:rsid w:val="00B65DBF"/>
    <w:rsid w:val="00B670CA"/>
    <w:rsid w:val="00B71440"/>
    <w:rsid w:val="00B735FA"/>
    <w:rsid w:val="00B737E9"/>
    <w:rsid w:val="00B73FDD"/>
    <w:rsid w:val="00B77229"/>
    <w:rsid w:val="00B801F2"/>
    <w:rsid w:val="00B80BBF"/>
    <w:rsid w:val="00B81E03"/>
    <w:rsid w:val="00B82152"/>
    <w:rsid w:val="00B82778"/>
    <w:rsid w:val="00B83880"/>
    <w:rsid w:val="00B86D66"/>
    <w:rsid w:val="00B86E12"/>
    <w:rsid w:val="00B87477"/>
    <w:rsid w:val="00B9083E"/>
    <w:rsid w:val="00B91573"/>
    <w:rsid w:val="00B916AA"/>
    <w:rsid w:val="00B942AF"/>
    <w:rsid w:val="00B944F9"/>
    <w:rsid w:val="00B94CF4"/>
    <w:rsid w:val="00B94EB7"/>
    <w:rsid w:val="00B96010"/>
    <w:rsid w:val="00B971C0"/>
    <w:rsid w:val="00B974AD"/>
    <w:rsid w:val="00B97AD0"/>
    <w:rsid w:val="00BA2B47"/>
    <w:rsid w:val="00BA6FB8"/>
    <w:rsid w:val="00BB1549"/>
    <w:rsid w:val="00BB40DA"/>
    <w:rsid w:val="00BB5333"/>
    <w:rsid w:val="00BB5942"/>
    <w:rsid w:val="00BB6BC1"/>
    <w:rsid w:val="00BC025A"/>
    <w:rsid w:val="00BC067D"/>
    <w:rsid w:val="00BC2FB0"/>
    <w:rsid w:val="00BC4AE5"/>
    <w:rsid w:val="00BC4D06"/>
    <w:rsid w:val="00BC6936"/>
    <w:rsid w:val="00BC6E64"/>
    <w:rsid w:val="00BC73A9"/>
    <w:rsid w:val="00BC74B7"/>
    <w:rsid w:val="00BC779D"/>
    <w:rsid w:val="00BD01CB"/>
    <w:rsid w:val="00BD2A08"/>
    <w:rsid w:val="00BD44D0"/>
    <w:rsid w:val="00BD4CBE"/>
    <w:rsid w:val="00BD6B9A"/>
    <w:rsid w:val="00BE2906"/>
    <w:rsid w:val="00BE2B75"/>
    <w:rsid w:val="00BE3E38"/>
    <w:rsid w:val="00BE6398"/>
    <w:rsid w:val="00BE65CF"/>
    <w:rsid w:val="00BE6BEB"/>
    <w:rsid w:val="00BE7D96"/>
    <w:rsid w:val="00BF04A3"/>
    <w:rsid w:val="00BF1C0C"/>
    <w:rsid w:val="00BF53A5"/>
    <w:rsid w:val="00BF706B"/>
    <w:rsid w:val="00C00838"/>
    <w:rsid w:val="00C01828"/>
    <w:rsid w:val="00C022E8"/>
    <w:rsid w:val="00C05F72"/>
    <w:rsid w:val="00C06685"/>
    <w:rsid w:val="00C06B76"/>
    <w:rsid w:val="00C072BA"/>
    <w:rsid w:val="00C12820"/>
    <w:rsid w:val="00C1382C"/>
    <w:rsid w:val="00C13ADA"/>
    <w:rsid w:val="00C143DF"/>
    <w:rsid w:val="00C145E9"/>
    <w:rsid w:val="00C17FDF"/>
    <w:rsid w:val="00C21064"/>
    <w:rsid w:val="00C223BA"/>
    <w:rsid w:val="00C24926"/>
    <w:rsid w:val="00C2793A"/>
    <w:rsid w:val="00C314F7"/>
    <w:rsid w:val="00C357E8"/>
    <w:rsid w:val="00C35AA8"/>
    <w:rsid w:val="00C3687B"/>
    <w:rsid w:val="00C36CB8"/>
    <w:rsid w:val="00C40A16"/>
    <w:rsid w:val="00C41608"/>
    <w:rsid w:val="00C4182C"/>
    <w:rsid w:val="00C41DD2"/>
    <w:rsid w:val="00C4207F"/>
    <w:rsid w:val="00C42559"/>
    <w:rsid w:val="00C42936"/>
    <w:rsid w:val="00C4337A"/>
    <w:rsid w:val="00C43A30"/>
    <w:rsid w:val="00C440D3"/>
    <w:rsid w:val="00C444D5"/>
    <w:rsid w:val="00C4609F"/>
    <w:rsid w:val="00C46F64"/>
    <w:rsid w:val="00C470AC"/>
    <w:rsid w:val="00C47EF7"/>
    <w:rsid w:val="00C505F4"/>
    <w:rsid w:val="00C50612"/>
    <w:rsid w:val="00C512D9"/>
    <w:rsid w:val="00C5174B"/>
    <w:rsid w:val="00C517F2"/>
    <w:rsid w:val="00C52B6C"/>
    <w:rsid w:val="00C52C3D"/>
    <w:rsid w:val="00C530BF"/>
    <w:rsid w:val="00C541C5"/>
    <w:rsid w:val="00C54D22"/>
    <w:rsid w:val="00C5545C"/>
    <w:rsid w:val="00C55A83"/>
    <w:rsid w:val="00C55CEF"/>
    <w:rsid w:val="00C5605A"/>
    <w:rsid w:val="00C5746F"/>
    <w:rsid w:val="00C577F7"/>
    <w:rsid w:val="00C62A44"/>
    <w:rsid w:val="00C63BBB"/>
    <w:rsid w:val="00C67ECD"/>
    <w:rsid w:val="00C709DD"/>
    <w:rsid w:val="00C721A7"/>
    <w:rsid w:val="00C7371E"/>
    <w:rsid w:val="00C74091"/>
    <w:rsid w:val="00C755B3"/>
    <w:rsid w:val="00C75D1A"/>
    <w:rsid w:val="00C80091"/>
    <w:rsid w:val="00C80711"/>
    <w:rsid w:val="00C82CF5"/>
    <w:rsid w:val="00C83370"/>
    <w:rsid w:val="00C835F2"/>
    <w:rsid w:val="00C851E9"/>
    <w:rsid w:val="00C85BFA"/>
    <w:rsid w:val="00C87D5D"/>
    <w:rsid w:val="00C9057A"/>
    <w:rsid w:val="00C90A98"/>
    <w:rsid w:val="00C92421"/>
    <w:rsid w:val="00C93768"/>
    <w:rsid w:val="00C947B5"/>
    <w:rsid w:val="00C94A97"/>
    <w:rsid w:val="00C94B61"/>
    <w:rsid w:val="00C95C45"/>
    <w:rsid w:val="00CA00FF"/>
    <w:rsid w:val="00CA2C1A"/>
    <w:rsid w:val="00CA4071"/>
    <w:rsid w:val="00CA40D2"/>
    <w:rsid w:val="00CA6C02"/>
    <w:rsid w:val="00CB0853"/>
    <w:rsid w:val="00CB1C57"/>
    <w:rsid w:val="00CB4244"/>
    <w:rsid w:val="00CB49A8"/>
    <w:rsid w:val="00CB4CAB"/>
    <w:rsid w:val="00CB5029"/>
    <w:rsid w:val="00CB508B"/>
    <w:rsid w:val="00CB5B5E"/>
    <w:rsid w:val="00CB5E9B"/>
    <w:rsid w:val="00CB6277"/>
    <w:rsid w:val="00CB668E"/>
    <w:rsid w:val="00CB7B8E"/>
    <w:rsid w:val="00CC03AA"/>
    <w:rsid w:val="00CC1B81"/>
    <w:rsid w:val="00CC1FA6"/>
    <w:rsid w:val="00CC2616"/>
    <w:rsid w:val="00CC318B"/>
    <w:rsid w:val="00CC34D8"/>
    <w:rsid w:val="00CC3EB8"/>
    <w:rsid w:val="00CC7EF4"/>
    <w:rsid w:val="00CD0731"/>
    <w:rsid w:val="00CD45DC"/>
    <w:rsid w:val="00CD5497"/>
    <w:rsid w:val="00CD583B"/>
    <w:rsid w:val="00CE0ACB"/>
    <w:rsid w:val="00CE28CF"/>
    <w:rsid w:val="00CE5488"/>
    <w:rsid w:val="00CE688D"/>
    <w:rsid w:val="00CF1366"/>
    <w:rsid w:val="00CF1E3D"/>
    <w:rsid w:val="00CF348F"/>
    <w:rsid w:val="00CF3C9B"/>
    <w:rsid w:val="00CF3D08"/>
    <w:rsid w:val="00CF4819"/>
    <w:rsid w:val="00CF55F9"/>
    <w:rsid w:val="00CF58BD"/>
    <w:rsid w:val="00CF794B"/>
    <w:rsid w:val="00D00D1F"/>
    <w:rsid w:val="00D0398A"/>
    <w:rsid w:val="00D04E5A"/>
    <w:rsid w:val="00D07F2F"/>
    <w:rsid w:val="00D07FE1"/>
    <w:rsid w:val="00D1408A"/>
    <w:rsid w:val="00D14C70"/>
    <w:rsid w:val="00D16BBC"/>
    <w:rsid w:val="00D2641B"/>
    <w:rsid w:val="00D2726E"/>
    <w:rsid w:val="00D306F8"/>
    <w:rsid w:val="00D351FB"/>
    <w:rsid w:val="00D40BA4"/>
    <w:rsid w:val="00D42127"/>
    <w:rsid w:val="00D423DE"/>
    <w:rsid w:val="00D425B6"/>
    <w:rsid w:val="00D428D9"/>
    <w:rsid w:val="00D4350B"/>
    <w:rsid w:val="00D4407A"/>
    <w:rsid w:val="00D45523"/>
    <w:rsid w:val="00D47486"/>
    <w:rsid w:val="00D47CAD"/>
    <w:rsid w:val="00D52507"/>
    <w:rsid w:val="00D5495B"/>
    <w:rsid w:val="00D604AB"/>
    <w:rsid w:val="00D61425"/>
    <w:rsid w:val="00D61527"/>
    <w:rsid w:val="00D61DF1"/>
    <w:rsid w:val="00D6203F"/>
    <w:rsid w:val="00D65498"/>
    <w:rsid w:val="00D660B2"/>
    <w:rsid w:val="00D7149B"/>
    <w:rsid w:val="00D7149F"/>
    <w:rsid w:val="00D722DA"/>
    <w:rsid w:val="00D7240F"/>
    <w:rsid w:val="00D7423E"/>
    <w:rsid w:val="00D755E2"/>
    <w:rsid w:val="00D75929"/>
    <w:rsid w:val="00D76D19"/>
    <w:rsid w:val="00D80796"/>
    <w:rsid w:val="00D81792"/>
    <w:rsid w:val="00D81951"/>
    <w:rsid w:val="00D81D4D"/>
    <w:rsid w:val="00D82776"/>
    <w:rsid w:val="00D83E19"/>
    <w:rsid w:val="00D84463"/>
    <w:rsid w:val="00D84EFF"/>
    <w:rsid w:val="00D850BA"/>
    <w:rsid w:val="00D905A3"/>
    <w:rsid w:val="00D90E7A"/>
    <w:rsid w:val="00D93494"/>
    <w:rsid w:val="00D94724"/>
    <w:rsid w:val="00D94C43"/>
    <w:rsid w:val="00D95A96"/>
    <w:rsid w:val="00D9663A"/>
    <w:rsid w:val="00D97415"/>
    <w:rsid w:val="00DA2505"/>
    <w:rsid w:val="00DA33FD"/>
    <w:rsid w:val="00DA43A3"/>
    <w:rsid w:val="00DA4DE8"/>
    <w:rsid w:val="00DA4FDB"/>
    <w:rsid w:val="00DB3501"/>
    <w:rsid w:val="00DB37E7"/>
    <w:rsid w:val="00DB4445"/>
    <w:rsid w:val="00DB471C"/>
    <w:rsid w:val="00DB535E"/>
    <w:rsid w:val="00DB6097"/>
    <w:rsid w:val="00DB6C2B"/>
    <w:rsid w:val="00DB6FC2"/>
    <w:rsid w:val="00DB7414"/>
    <w:rsid w:val="00DC1038"/>
    <w:rsid w:val="00DC15BE"/>
    <w:rsid w:val="00DC1E6D"/>
    <w:rsid w:val="00DC25DC"/>
    <w:rsid w:val="00DC2F65"/>
    <w:rsid w:val="00DC5193"/>
    <w:rsid w:val="00DC6936"/>
    <w:rsid w:val="00DD0B33"/>
    <w:rsid w:val="00DD0DCD"/>
    <w:rsid w:val="00DD192F"/>
    <w:rsid w:val="00DD2D27"/>
    <w:rsid w:val="00DD7228"/>
    <w:rsid w:val="00DD72B5"/>
    <w:rsid w:val="00DE1113"/>
    <w:rsid w:val="00DE1B02"/>
    <w:rsid w:val="00DE2977"/>
    <w:rsid w:val="00DE3B94"/>
    <w:rsid w:val="00DE4DBB"/>
    <w:rsid w:val="00DE764A"/>
    <w:rsid w:val="00DE7EB9"/>
    <w:rsid w:val="00DF00A1"/>
    <w:rsid w:val="00DF0885"/>
    <w:rsid w:val="00DF1C5F"/>
    <w:rsid w:val="00DF46E4"/>
    <w:rsid w:val="00DF6276"/>
    <w:rsid w:val="00DF66F0"/>
    <w:rsid w:val="00E00929"/>
    <w:rsid w:val="00E021B8"/>
    <w:rsid w:val="00E047D5"/>
    <w:rsid w:val="00E053A5"/>
    <w:rsid w:val="00E05507"/>
    <w:rsid w:val="00E05884"/>
    <w:rsid w:val="00E05E30"/>
    <w:rsid w:val="00E075FE"/>
    <w:rsid w:val="00E126B0"/>
    <w:rsid w:val="00E12ECA"/>
    <w:rsid w:val="00E20922"/>
    <w:rsid w:val="00E2095C"/>
    <w:rsid w:val="00E209A9"/>
    <w:rsid w:val="00E22C75"/>
    <w:rsid w:val="00E238AA"/>
    <w:rsid w:val="00E2557F"/>
    <w:rsid w:val="00E25A62"/>
    <w:rsid w:val="00E25D42"/>
    <w:rsid w:val="00E25DAD"/>
    <w:rsid w:val="00E25ED1"/>
    <w:rsid w:val="00E26991"/>
    <w:rsid w:val="00E2738F"/>
    <w:rsid w:val="00E318EC"/>
    <w:rsid w:val="00E32EA9"/>
    <w:rsid w:val="00E33459"/>
    <w:rsid w:val="00E35E18"/>
    <w:rsid w:val="00E443F8"/>
    <w:rsid w:val="00E44F07"/>
    <w:rsid w:val="00E4530A"/>
    <w:rsid w:val="00E45D0A"/>
    <w:rsid w:val="00E47300"/>
    <w:rsid w:val="00E508CC"/>
    <w:rsid w:val="00E51807"/>
    <w:rsid w:val="00E51DCE"/>
    <w:rsid w:val="00E521C4"/>
    <w:rsid w:val="00E54D24"/>
    <w:rsid w:val="00E55DA7"/>
    <w:rsid w:val="00E56F4D"/>
    <w:rsid w:val="00E570F3"/>
    <w:rsid w:val="00E57283"/>
    <w:rsid w:val="00E57880"/>
    <w:rsid w:val="00E60247"/>
    <w:rsid w:val="00E60FF9"/>
    <w:rsid w:val="00E6551B"/>
    <w:rsid w:val="00E66F3E"/>
    <w:rsid w:val="00E67AB2"/>
    <w:rsid w:val="00E70AEF"/>
    <w:rsid w:val="00E750BA"/>
    <w:rsid w:val="00E80443"/>
    <w:rsid w:val="00E80A23"/>
    <w:rsid w:val="00E84DE4"/>
    <w:rsid w:val="00E87147"/>
    <w:rsid w:val="00E87C87"/>
    <w:rsid w:val="00E87E0D"/>
    <w:rsid w:val="00E9074B"/>
    <w:rsid w:val="00E90B14"/>
    <w:rsid w:val="00E90DA1"/>
    <w:rsid w:val="00E91404"/>
    <w:rsid w:val="00E92F46"/>
    <w:rsid w:val="00E937CA"/>
    <w:rsid w:val="00E938FF"/>
    <w:rsid w:val="00EA1276"/>
    <w:rsid w:val="00EA2B53"/>
    <w:rsid w:val="00EA2E4C"/>
    <w:rsid w:val="00EA312F"/>
    <w:rsid w:val="00EA316A"/>
    <w:rsid w:val="00EA3EC6"/>
    <w:rsid w:val="00EA6B69"/>
    <w:rsid w:val="00EA79F1"/>
    <w:rsid w:val="00EB1D7A"/>
    <w:rsid w:val="00EB39DD"/>
    <w:rsid w:val="00EB51D2"/>
    <w:rsid w:val="00EB5EE7"/>
    <w:rsid w:val="00EB753A"/>
    <w:rsid w:val="00EC1AEF"/>
    <w:rsid w:val="00EC1D3A"/>
    <w:rsid w:val="00EC2B2D"/>
    <w:rsid w:val="00EC4671"/>
    <w:rsid w:val="00EC4EC3"/>
    <w:rsid w:val="00EC5850"/>
    <w:rsid w:val="00EE2022"/>
    <w:rsid w:val="00EE21BD"/>
    <w:rsid w:val="00EE51C1"/>
    <w:rsid w:val="00EE5230"/>
    <w:rsid w:val="00EE7A7D"/>
    <w:rsid w:val="00EE7D3B"/>
    <w:rsid w:val="00EF22B7"/>
    <w:rsid w:val="00EF3FA1"/>
    <w:rsid w:val="00EF41B8"/>
    <w:rsid w:val="00EF4E91"/>
    <w:rsid w:val="00EF545D"/>
    <w:rsid w:val="00EF5A2A"/>
    <w:rsid w:val="00EF7903"/>
    <w:rsid w:val="00F00A67"/>
    <w:rsid w:val="00F0274F"/>
    <w:rsid w:val="00F0394E"/>
    <w:rsid w:val="00F04192"/>
    <w:rsid w:val="00F043D5"/>
    <w:rsid w:val="00F0442C"/>
    <w:rsid w:val="00F04B3B"/>
    <w:rsid w:val="00F051F5"/>
    <w:rsid w:val="00F139A9"/>
    <w:rsid w:val="00F15B8F"/>
    <w:rsid w:val="00F20119"/>
    <w:rsid w:val="00F209BD"/>
    <w:rsid w:val="00F20FD5"/>
    <w:rsid w:val="00F2137B"/>
    <w:rsid w:val="00F222D2"/>
    <w:rsid w:val="00F23A27"/>
    <w:rsid w:val="00F23ABA"/>
    <w:rsid w:val="00F25072"/>
    <w:rsid w:val="00F26F1D"/>
    <w:rsid w:val="00F3043B"/>
    <w:rsid w:val="00F309F4"/>
    <w:rsid w:val="00F33CC3"/>
    <w:rsid w:val="00F34B68"/>
    <w:rsid w:val="00F36365"/>
    <w:rsid w:val="00F378B1"/>
    <w:rsid w:val="00F4065C"/>
    <w:rsid w:val="00F424EA"/>
    <w:rsid w:val="00F4294B"/>
    <w:rsid w:val="00F44833"/>
    <w:rsid w:val="00F50293"/>
    <w:rsid w:val="00F53E57"/>
    <w:rsid w:val="00F55090"/>
    <w:rsid w:val="00F55B96"/>
    <w:rsid w:val="00F56E28"/>
    <w:rsid w:val="00F60A34"/>
    <w:rsid w:val="00F612BF"/>
    <w:rsid w:val="00F61C24"/>
    <w:rsid w:val="00F61CC9"/>
    <w:rsid w:val="00F65F88"/>
    <w:rsid w:val="00F6653D"/>
    <w:rsid w:val="00F674D4"/>
    <w:rsid w:val="00F7035C"/>
    <w:rsid w:val="00F712AC"/>
    <w:rsid w:val="00F71302"/>
    <w:rsid w:val="00F72245"/>
    <w:rsid w:val="00F72995"/>
    <w:rsid w:val="00F72D19"/>
    <w:rsid w:val="00F74219"/>
    <w:rsid w:val="00F744BD"/>
    <w:rsid w:val="00F7451A"/>
    <w:rsid w:val="00F82AA7"/>
    <w:rsid w:val="00F832C3"/>
    <w:rsid w:val="00F84796"/>
    <w:rsid w:val="00F8480B"/>
    <w:rsid w:val="00F8702A"/>
    <w:rsid w:val="00F932A3"/>
    <w:rsid w:val="00F93DD2"/>
    <w:rsid w:val="00F94866"/>
    <w:rsid w:val="00F94BEF"/>
    <w:rsid w:val="00F94C0A"/>
    <w:rsid w:val="00F96288"/>
    <w:rsid w:val="00F9717C"/>
    <w:rsid w:val="00F97BC0"/>
    <w:rsid w:val="00FA0DF5"/>
    <w:rsid w:val="00FA27EC"/>
    <w:rsid w:val="00FA3025"/>
    <w:rsid w:val="00FA4761"/>
    <w:rsid w:val="00FA5695"/>
    <w:rsid w:val="00FA667A"/>
    <w:rsid w:val="00FB00DE"/>
    <w:rsid w:val="00FB0DD8"/>
    <w:rsid w:val="00FB14A7"/>
    <w:rsid w:val="00FB16B6"/>
    <w:rsid w:val="00FB25B1"/>
    <w:rsid w:val="00FB2A37"/>
    <w:rsid w:val="00FB2BD5"/>
    <w:rsid w:val="00FB49B2"/>
    <w:rsid w:val="00FB4F85"/>
    <w:rsid w:val="00FC327D"/>
    <w:rsid w:val="00FC43C2"/>
    <w:rsid w:val="00FC66E7"/>
    <w:rsid w:val="00FC7550"/>
    <w:rsid w:val="00FC779B"/>
    <w:rsid w:val="00FD1988"/>
    <w:rsid w:val="00FD21A8"/>
    <w:rsid w:val="00FD2887"/>
    <w:rsid w:val="00FD416D"/>
    <w:rsid w:val="00FD5399"/>
    <w:rsid w:val="00FD57D8"/>
    <w:rsid w:val="00FD6327"/>
    <w:rsid w:val="00FE018E"/>
    <w:rsid w:val="00FE0ACC"/>
    <w:rsid w:val="00FE36D2"/>
    <w:rsid w:val="00FE41AB"/>
    <w:rsid w:val="00FE4820"/>
    <w:rsid w:val="00FE4A51"/>
    <w:rsid w:val="00FE4AA7"/>
    <w:rsid w:val="00FE4DD2"/>
    <w:rsid w:val="00FE636A"/>
    <w:rsid w:val="00FE65D3"/>
    <w:rsid w:val="00FE6991"/>
    <w:rsid w:val="00FF17BB"/>
    <w:rsid w:val="00FF6D77"/>
    <w:rsid w:val="00FF7626"/>
    <w:rsid w:val="01026394"/>
    <w:rsid w:val="0113359B"/>
    <w:rsid w:val="011473B7"/>
    <w:rsid w:val="013347FC"/>
    <w:rsid w:val="01395070"/>
    <w:rsid w:val="01455EB6"/>
    <w:rsid w:val="01657C13"/>
    <w:rsid w:val="016A347B"/>
    <w:rsid w:val="0177780C"/>
    <w:rsid w:val="017C1262"/>
    <w:rsid w:val="0188180F"/>
    <w:rsid w:val="01A356F0"/>
    <w:rsid w:val="01B4154F"/>
    <w:rsid w:val="01B42264"/>
    <w:rsid w:val="01B61473"/>
    <w:rsid w:val="01B64D30"/>
    <w:rsid w:val="01B71D86"/>
    <w:rsid w:val="01D76BCB"/>
    <w:rsid w:val="01E06145"/>
    <w:rsid w:val="01E95C87"/>
    <w:rsid w:val="01EB25B8"/>
    <w:rsid w:val="01FF5E32"/>
    <w:rsid w:val="02001A3E"/>
    <w:rsid w:val="020F62BB"/>
    <w:rsid w:val="022A2815"/>
    <w:rsid w:val="022A287C"/>
    <w:rsid w:val="02566BBE"/>
    <w:rsid w:val="025F75AC"/>
    <w:rsid w:val="02727A51"/>
    <w:rsid w:val="02731135"/>
    <w:rsid w:val="02733DB9"/>
    <w:rsid w:val="029B2D02"/>
    <w:rsid w:val="02AC29E7"/>
    <w:rsid w:val="02BF568E"/>
    <w:rsid w:val="02DF0237"/>
    <w:rsid w:val="02E57EAA"/>
    <w:rsid w:val="02E66D81"/>
    <w:rsid w:val="02EC733B"/>
    <w:rsid w:val="02EE3798"/>
    <w:rsid w:val="03007DE6"/>
    <w:rsid w:val="03065636"/>
    <w:rsid w:val="030D1630"/>
    <w:rsid w:val="031418F0"/>
    <w:rsid w:val="03157416"/>
    <w:rsid w:val="031D3F4B"/>
    <w:rsid w:val="03226A84"/>
    <w:rsid w:val="0338682A"/>
    <w:rsid w:val="03396CB0"/>
    <w:rsid w:val="034B1806"/>
    <w:rsid w:val="0351617A"/>
    <w:rsid w:val="03572251"/>
    <w:rsid w:val="0363387A"/>
    <w:rsid w:val="0363749D"/>
    <w:rsid w:val="037468D2"/>
    <w:rsid w:val="037607C0"/>
    <w:rsid w:val="0397603C"/>
    <w:rsid w:val="039D18E6"/>
    <w:rsid w:val="039F70F5"/>
    <w:rsid w:val="03B309BF"/>
    <w:rsid w:val="03B37C04"/>
    <w:rsid w:val="03BA1195"/>
    <w:rsid w:val="03BD5AE4"/>
    <w:rsid w:val="03CF75C5"/>
    <w:rsid w:val="03E921F1"/>
    <w:rsid w:val="03E94B2B"/>
    <w:rsid w:val="03F21355"/>
    <w:rsid w:val="03FD4E60"/>
    <w:rsid w:val="0402322C"/>
    <w:rsid w:val="041B6CAE"/>
    <w:rsid w:val="04210DFC"/>
    <w:rsid w:val="04276E45"/>
    <w:rsid w:val="04493317"/>
    <w:rsid w:val="044D4291"/>
    <w:rsid w:val="046066CC"/>
    <w:rsid w:val="046C4372"/>
    <w:rsid w:val="047D2BD6"/>
    <w:rsid w:val="047E3DDB"/>
    <w:rsid w:val="04937FEC"/>
    <w:rsid w:val="049745E6"/>
    <w:rsid w:val="04AD2CBA"/>
    <w:rsid w:val="04B9539C"/>
    <w:rsid w:val="04BA6A55"/>
    <w:rsid w:val="04C722BE"/>
    <w:rsid w:val="04D53301"/>
    <w:rsid w:val="04E50550"/>
    <w:rsid w:val="04EA2A9E"/>
    <w:rsid w:val="04EA49D7"/>
    <w:rsid w:val="04ED2CAB"/>
    <w:rsid w:val="04F33787"/>
    <w:rsid w:val="04F632D3"/>
    <w:rsid w:val="04FC698D"/>
    <w:rsid w:val="04FE2375"/>
    <w:rsid w:val="05025B78"/>
    <w:rsid w:val="0528244F"/>
    <w:rsid w:val="05305319"/>
    <w:rsid w:val="053D0CC2"/>
    <w:rsid w:val="05427E50"/>
    <w:rsid w:val="056359EB"/>
    <w:rsid w:val="05701819"/>
    <w:rsid w:val="05896E14"/>
    <w:rsid w:val="058A0A88"/>
    <w:rsid w:val="059134CC"/>
    <w:rsid w:val="05A13249"/>
    <w:rsid w:val="05B61A8D"/>
    <w:rsid w:val="05D1525D"/>
    <w:rsid w:val="05F44087"/>
    <w:rsid w:val="061C2963"/>
    <w:rsid w:val="061D6CB7"/>
    <w:rsid w:val="06214714"/>
    <w:rsid w:val="06253E14"/>
    <w:rsid w:val="06520F24"/>
    <w:rsid w:val="06550D6F"/>
    <w:rsid w:val="06637B0A"/>
    <w:rsid w:val="067E0385"/>
    <w:rsid w:val="068A1EE8"/>
    <w:rsid w:val="06966E13"/>
    <w:rsid w:val="06B02BE4"/>
    <w:rsid w:val="06B64A6C"/>
    <w:rsid w:val="06CB5BD4"/>
    <w:rsid w:val="06D23B5E"/>
    <w:rsid w:val="06DC5936"/>
    <w:rsid w:val="06F358D4"/>
    <w:rsid w:val="06F40D2D"/>
    <w:rsid w:val="06F85085"/>
    <w:rsid w:val="06F957DE"/>
    <w:rsid w:val="06FD25B9"/>
    <w:rsid w:val="071242C0"/>
    <w:rsid w:val="0717096E"/>
    <w:rsid w:val="071F2345"/>
    <w:rsid w:val="072132C6"/>
    <w:rsid w:val="07341101"/>
    <w:rsid w:val="07375BAD"/>
    <w:rsid w:val="073B2ACB"/>
    <w:rsid w:val="074F1952"/>
    <w:rsid w:val="0768220B"/>
    <w:rsid w:val="076D5A73"/>
    <w:rsid w:val="077C7A64"/>
    <w:rsid w:val="077F71CD"/>
    <w:rsid w:val="078806DB"/>
    <w:rsid w:val="07975C67"/>
    <w:rsid w:val="07B5607B"/>
    <w:rsid w:val="07BF43FE"/>
    <w:rsid w:val="07D958E5"/>
    <w:rsid w:val="07E1506B"/>
    <w:rsid w:val="07E53F4E"/>
    <w:rsid w:val="07E74EE4"/>
    <w:rsid w:val="07F827F0"/>
    <w:rsid w:val="07FB5FE8"/>
    <w:rsid w:val="08006A2F"/>
    <w:rsid w:val="08333360"/>
    <w:rsid w:val="084560A8"/>
    <w:rsid w:val="08466AE7"/>
    <w:rsid w:val="086329D2"/>
    <w:rsid w:val="086A2F11"/>
    <w:rsid w:val="086F122C"/>
    <w:rsid w:val="08833DF0"/>
    <w:rsid w:val="088455D1"/>
    <w:rsid w:val="08CB683E"/>
    <w:rsid w:val="08E66160"/>
    <w:rsid w:val="09102B5A"/>
    <w:rsid w:val="091C444F"/>
    <w:rsid w:val="091D7619"/>
    <w:rsid w:val="0935731C"/>
    <w:rsid w:val="0938239A"/>
    <w:rsid w:val="093D0B2B"/>
    <w:rsid w:val="09412960"/>
    <w:rsid w:val="09412E4A"/>
    <w:rsid w:val="0948254F"/>
    <w:rsid w:val="095E2B42"/>
    <w:rsid w:val="0966724E"/>
    <w:rsid w:val="09703594"/>
    <w:rsid w:val="097413E6"/>
    <w:rsid w:val="09A3577C"/>
    <w:rsid w:val="09AE4D7F"/>
    <w:rsid w:val="09B50CFC"/>
    <w:rsid w:val="09B533FA"/>
    <w:rsid w:val="09B806E3"/>
    <w:rsid w:val="09E729C3"/>
    <w:rsid w:val="09F5092B"/>
    <w:rsid w:val="0A002BCE"/>
    <w:rsid w:val="0A036E58"/>
    <w:rsid w:val="0A0C44DD"/>
    <w:rsid w:val="0A122403"/>
    <w:rsid w:val="0A1B0F91"/>
    <w:rsid w:val="0A1F3AE5"/>
    <w:rsid w:val="0A4A0883"/>
    <w:rsid w:val="0A4A4BFF"/>
    <w:rsid w:val="0A4D36EF"/>
    <w:rsid w:val="0A585D05"/>
    <w:rsid w:val="0A663A0B"/>
    <w:rsid w:val="0A7D3C48"/>
    <w:rsid w:val="0A8C4462"/>
    <w:rsid w:val="0A9637BC"/>
    <w:rsid w:val="0AA36050"/>
    <w:rsid w:val="0AA87667"/>
    <w:rsid w:val="0AAF446E"/>
    <w:rsid w:val="0AB343F0"/>
    <w:rsid w:val="0ACC123A"/>
    <w:rsid w:val="0ACD691B"/>
    <w:rsid w:val="0AE2585A"/>
    <w:rsid w:val="0AF0486A"/>
    <w:rsid w:val="0B103806"/>
    <w:rsid w:val="0B1F52D6"/>
    <w:rsid w:val="0B353684"/>
    <w:rsid w:val="0B38749D"/>
    <w:rsid w:val="0B41221F"/>
    <w:rsid w:val="0B4B7E79"/>
    <w:rsid w:val="0B5029E9"/>
    <w:rsid w:val="0B6947A3"/>
    <w:rsid w:val="0B7C44D7"/>
    <w:rsid w:val="0B7D193A"/>
    <w:rsid w:val="0B964DCF"/>
    <w:rsid w:val="0B9B048F"/>
    <w:rsid w:val="0BA650B0"/>
    <w:rsid w:val="0BB04180"/>
    <w:rsid w:val="0BB33761"/>
    <w:rsid w:val="0BC70C25"/>
    <w:rsid w:val="0BD049D6"/>
    <w:rsid w:val="0BEF4CA9"/>
    <w:rsid w:val="0C060244"/>
    <w:rsid w:val="0C094933"/>
    <w:rsid w:val="0C1C7246"/>
    <w:rsid w:val="0C37664F"/>
    <w:rsid w:val="0C3D37F5"/>
    <w:rsid w:val="0C4A4B62"/>
    <w:rsid w:val="0C4F4380"/>
    <w:rsid w:val="0C540B73"/>
    <w:rsid w:val="0C5D43C4"/>
    <w:rsid w:val="0C6838CF"/>
    <w:rsid w:val="0C6D40EC"/>
    <w:rsid w:val="0C7168EE"/>
    <w:rsid w:val="0CB31B7F"/>
    <w:rsid w:val="0CD10852"/>
    <w:rsid w:val="0CD940F9"/>
    <w:rsid w:val="0CEA1C33"/>
    <w:rsid w:val="0CEE4F60"/>
    <w:rsid w:val="0CF305F1"/>
    <w:rsid w:val="0D076022"/>
    <w:rsid w:val="0D081E40"/>
    <w:rsid w:val="0D141481"/>
    <w:rsid w:val="0D494CC1"/>
    <w:rsid w:val="0D4E6F1E"/>
    <w:rsid w:val="0D5059EA"/>
    <w:rsid w:val="0D562B05"/>
    <w:rsid w:val="0D5713D6"/>
    <w:rsid w:val="0D5B453C"/>
    <w:rsid w:val="0D5D716A"/>
    <w:rsid w:val="0D610F98"/>
    <w:rsid w:val="0D6202F7"/>
    <w:rsid w:val="0D665B4B"/>
    <w:rsid w:val="0D6C49CD"/>
    <w:rsid w:val="0D7D0092"/>
    <w:rsid w:val="0D8C34F6"/>
    <w:rsid w:val="0D8F1F8E"/>
    <w:rsid w:val="0D9D7E2D"/>
    <w:rsid w:val="0DA41AC3"/>
    <w:rsid w:val="0DD2455E"/>
    <w:rsid w:val="0DDE23FC"/>
    <w:rsid w:val="0DEE0E3A"/>
    <w:rsid w:val="0DF90060"/>
    <w:rsid w:val="0E260B56"/>
    <w:rsid w:val="0E2A646C"/>
    <w:rsid w:val="0E35096D"/>
    <w:rsid w:val="0E39045D"/>
    <w:rsid w:val="0E5B25EF"/>
    <w:rsid w:val="0E5B6625"/>
    <w:rsid w:val="0E746889"/>
    <w:rsid w:val="0E8B6F12"/>
    <w:rsid w:val="0E901E9A"/>
    <w:rsid w:val="0EB33187"/>
    <w:rsid w:val="0EBD1572"/>
    <w:rsid w:val="0EC42A86"/>
    <w:rsid w:val="0ECA7541"/>
    <w:rsid w:val="0EE04D7C"/>
    <w:rsid w:val="0EF22FAB"/>
    <w:rsid w:val="0EF51B20"/>
    <w:rsid w:val="0EFB5BA4"/>
    <w:rsid w:val="0F11131D"/>
    <w:rsid w:val="0F127011"/>
    <w:rsid w:val="0F127FC0"/>
    <w:rsid w:val="0F4001FD"/>
    <w:rsid w:val="0F4119EA"/>
    <w:rsid w:val="0F4C0412"/>
    <w:rsid w:val="0F552F32"/>
    <w:rsid w:val="0F5F7E6B"/>
    <w:rsid w:val="0F647E61"/>
    <w:rsid w:val="0F734F9B"/>
    <w:rsid w:val="0F776271"/>
    <w:rsid w:val="0F825E34"/>
    <w:rsid w:val="0F8F385D"/>
    <w:rsid w:val="0F9D2C6D"/>
    <w:rsid w:val="0F9D38B8"/>
    <w:rsid w:val="0FA617E8"/>
    <w:rsid w:val="0FAD1102"/>
    <w:rsid w:val="0FB87AA7"/>
    <w:rsid w:val="0FCF5C3E"/>
    <w:rsid w:val="0FD146C5"/>
    <w:rsid w:val="0FE51099"/>
    <w:rsid w:val="0FE82963"/>
    <w:rsid w:val="100434ED"/>
    <w:rsid w:val="101933BF"/>
    <w:rsid w:val="102007D4"/>
    <w:rsid w:val="10314227"/>
    <w:rsid w:val="10576F9B"/>
    <w:rsid w:val="106F5DD9"/>
    <w:rsid w:val="10707DED"/>
    <w:rsid w:val="10710382"/>
    <w:rsid w:val="107B0A99"/>
    <w:rsid w:val="10811B51"/>
    <w:rsid w:val="10891318"/>
    <w:rsid w:val="108B5960"/>
    <w:rsid w:val="108F369D"/>
    <w:rsid w:val="10A342B4"/>
    <w:rsid w:val="10A53609"/>
    <w:rsid w:val="10A73DA4"/>
    <w:rsid w:val="10CA5CE4"/>
    <w:rsid w:val="10EA2A39"/>
    <w:rsid w:val="10F1501F"/>
    <w:rsid w:val="110C00AB"/>
    <w:rsid w:val="1117403A"/>
    <w:rsid w:val="11414DF3"/>
    <w:rsid w:val="117B3C36"/>
    <w:rsid w:val="118F0639"/>
    <w:rsid w:val="11985505"/>
    <w:rsid w:val="119A56B6"/>
    <w:rsid w:val="11A141A9"/>
    <w:rsid w:val="11BE797B"/>
    <w:rsid w:val="11C35C56"/>
    <w:rsid w:val="11C81E80"/>
    <w:rsid w:val="11D370A7"/>
    <w:rsid w:val="11DC2360"/>
    <w:rsid w:val="11E46932"/>
    <w:rsid w:val="11EA4A32"/>
    <w:rsid w:val="11F535FE"/>
    <w:rsid w:val="12130FC5"/>
    <w:rsid w:val="121623F7"/>
    <w:rsid w:val="12185038"/>
    <w:rsid w:val="12216172"/>
    <w:rsid w:val="12281CBC"/>
    <w:rsid w:val="122867E3"/>
    <w:rsid w:val="12356FC0"/>
    <w:rsid w:val="123A54B8"/>
    <w:rsid w:val="123F3E65"/>
    <w:rsid w:val="1250377D"/>
    <w:rsid w:val="12541D09"/>
    <w:rsid w:val="12657834"/>
    <w:rsid w:val="12766AD6"/>
    <w:rsid w:val="1285312B"/>
    <w:rsid w:val="12A941DE"/>
    <w:rsid w:val="12CB2F94"/>
    <w:rsid w:val="130452CF"/>
    <w:rsid w:val="13060C1B"/>
    <w:rsid w:val="132A0CBC"/>
    <w:rsid w:val="13300548"/>
    <w:rsid w:val="133534B2"/>
    <w:rsid w:val="133B4C77"/>
    <w:rsid w:val="134B3B75"/>
    <w:rsid w:val="13511DA5"/>
    <w:rsid w:val="1360718B"/>
    <w:rsid w:val="137B5074"/>
    <w:rsid w:val="138F513F"/>
    <w:rsid w:val="13905C3E"/>
    <w:rsid w:val="139660E0"/>
    <w:rsid w:val="13A97E33"/>
    <w:rsid w:val="13B161D1"/>
    <w:rsid w:val="13B708B9"/>
    <w:rsid w:val="13C0543A"/>
    <w:rsid w:val="13C62672"/>
    <w:rsid w:val="13D257FD"/>
    <w:rsid w:val="13D42FA3"/>
    <w:rsid w:val="13D5296B"/>
    <w:rsid w:val="13D970BE"/>
    <w:rsid w:val="13DB5D0F"/>
    <w:rsid w:val="13DD3A82"/>
    <w:rsid w:val="13F041CD"/>
    <w:rsid w:val="13F60B9E"/>
    <w:rsid w:val="140B60A8"/>
    <w:rsid w:val="14163C6B"/>
    <w:rsid w:val="141E04FD"/>
    <w:rsid w:val="143020F5"/>
    <w:rsid w:val="14360905"/>
    <w:rsid w:val="143D4E8F"/>
    <w:rsid w:val="14464516"/>
    <w:rsid w:val="146432F4"/>
    <w:rsid w:val="146E1CBF"/>
    <w:rsid w:val="146E79EA"/>
    <w:rsid w:val="147935DF"/>
    <w:rsid w:val="147E34A9"/>
    <w:rsid w:val="1486146A"/>
    <w:rsid w:val="148D1503"/>
    <w:rsid w:val="148D505F"/>
    <w:rsid w:val="14CC4C3E"/>
    <w:rsid w:val="14D74116"/>
    <w:rsid w:val="14EF2E55"/>
    <w:rsid w:val="14FA65CF"/>
    <w:rsid w:val="14FC0CD7"/>
    <w:rsid w:val="151A0E0E"/>
    <w:rsid w:val="15214F1A"/>
    <w:rsid w:val="152534E9"/>
    <w:rsid w:val="1534372C"/>
    <w:rsid w:val="153C7797"/>
    <w:rsid w:val="153F4003"/>
    <w:rsid w:val="15445A89"/>
    <w:rsid w:val="154D47EE"/>
    <w:rsid w:val="154F0198"/>
    <w:rsid w:val="155C7A6B"/>
    <w:rsid w:val="155D53FF"/>
    <w:rsid w:val="15642450"/>
    <w:rsid w:val="15663FDE"/>
    <w:rsid w:val="156D3A4A"/>
    <w:rsid w:val="1585667E"/>
    <w:rsid w:val="15866987"/>
    <w:rsid w:val="158E167D"/>
    <w:rsid w:val="158F0F7F"/>
    <w:rsid w:val="1595422E"/>
    <w:rsid w:val="159B25D8"/>
    <w:rsid w:val="159D20D5"/>
    <w:rsid w:val="15A80D6D"/>
    <w:rsid w:val="15B64A89"/>
    <w:rsid w:val="15C04E67"/>
    <w:rsid w:val="15C727F2"/>
    <w:rsid w:val="15DE0225"/>
    <w:rsid w:val="15EA6956"/>
    <w:rsid w:val="15FD7FC2"/>
    <w:rsid w:val="162C6AF9"/>
    <w:rsid w:val="16302145"/>
    <w:rsid w:val="1637002D"/>
    <w:rsid w:val="163A1216"/>
    <w:rsid w:val="163B3A75"/>
    <w:rsid w:val="164F609E"/>
    <w:rsid w:val="16750B10"/>
    <w:rsid w:val="16933CF2"/>
    <w:rsid w:val="16A833A8"/>
    <w:rsid w:val="16B26082"/>
    <w:rsid w:val="16B36C25"/>
    <w:rsid w:val="16B70AB9"/>
    <w:rsid w:val="16B73C96"/>
    <w:rsid w:val="16B936DB"/>
    <w:rsid w:val="16C536D8"/>
    <w:rsid w:val="16D6663E"/>
    <w:rsid w:val="16DE6045"/>
    <w:rsid w:val="16F340A6"/>
    <w:rsid w:val="16F47617"/>
    <w:rsid w:val="17005FBC"/>
    <w:rsid w:val="17081314"/>
    <w:rsid w:val="17086E79"/>
    <w:rsid w:val="170B0EEA"/>
    <w:rsid w:val="1718638B"/>
    <w:rsid w:val="17320640"/>
    <w:rsid w:val="174B0F3E"/>
    <w:rsid w:val="17506B0A"/>
    <w:rsid w:val="176410F3"/>
    <w:rsid w:val="177B148E"/>
    <w:rsid w:val="178070FD"/>
    <w:rsid w:val="178B0C16"/>
    <w:rsid w:val="17AA0EA9"/>
    <w:rsid w:val="17AD6B97"/>
    <w:rsid w:val="17AF4F55"/>
    <w:rsid w:val="17B82E66"/>
    <w:rsid w:val="17D1317C"/>
    <w:rsid w:val="17D27772"/>
    <w:rsid w:val="17E05DED"/>
    <w:rsid w:val="17EB28DA"/>
    <w:rsid w:val="17F26ECC"/>
    <w:rsid w:val="17FB1EAE"/>
    <w:rsid w:val="180C3847"/>
    <w:rsid w:val="180D5BDE"/>
    <w:rsid w:val="18147058"/>
    <w:rsid w:val="18185587"/>
    <w:rsid w:val="181E33A1"/>
    <w:rsid w:val="182D77D4"/>
    <w:rsid w:val="18590B71"/>
    <w:rsid w:val="186305B5"/>
    <w:rsid w:val="186662F2"/>
    <w:rsid w:val="1867123B"/>
    <w:rsid w:val="186F0547"/>
    <w:rsid w:val="18803DEB"/>
    <w:rsid w:val="18824183"/>
    <w:rsid w:val="189701DE"/>
    <w:rsid w:val="18A5168B"/>
    <w:rsid w:val="18A62B93"/>
    <w:rsid w:val="18A961DF"/>
    <w:rsid w:val="18B34FA3"/>
    <w:rsid w:val="18BB684E"/>
    <w:rsid w:val="18C6435F"/>
    <w:rsid w:val="18D53F72"/>
    <w:rsid w:val="18DA0A8E"/>
    <w:rsid w:val="19093C03"/>
    <w:rsid w:val="190A1374"/>
    <w:rsid w:val="19197809"/>
    <w:rsid w:val="193266CA"/>
    <w:rsid w:val="193463F1"/>
    <w:rsid w:val="193878CF"/>
    <w:rsid w:val="19400E38"/>
    <w:rsid w:val="195769BD"/>
    <w:rsid w:val="19577E2E"/>
    <w:rsid w:val="196B4AD4"/>
    <w:rsid w:val="19752810"/>
    <w:rsid w:val="197A13BB"/>
    <w:rsid w:val="197C2AA7"/>
    <w:rsid w:val="19943B09"/>
    <w:rsid w:val="19963BF9"/>
    <w:rsid w:val="19AA437B"/>
    <w:rsid w:val="19C37774"/>
    <w:rsid w:val="19C60B17"/>
    <w:rsid w:val="19C86B39"/>
    <w:rsid w:val="19D723D4"/>
    <w:rsid w:val="19D93928"/>
    <w:rsid w:val="19E266D9"/>
    <w:rsid w:val="19F31E08"/>
    <w:rsid w:val="19F93196"/>
    <w:rsid w:val="1A311E73"/>
    <w:rsid w:val="1A313F19"/>
    <w:rsid w:val="1A426422"/>
    <w:rsid w:val="1A492E84"/>
    <w:rsid w:val="1A6E7D9F"/>
    <w:rsid w:val="1A73358A"/>
    <w:rsid w:val="1A862C7C"/>
    <w:rsid w:val="1A89451A"/>
    <w:rsid w:val="1A911FDC"/>
    <w:rsid w:val="1AA55D3E"/>
    <w:rsid w:val="1AA80E44"/>
    <w:rsid w:val="1AB05757"/>
    <w:rsid w:val="1AC740AA"/>
    <w:rsid w:val="1ACD2659"/>
    <w:rsid w:val="1AE6411F"/>
    <w:rsid w:val="1AF04599"/>
    <w:rsid w:val="1B037F4C"/>
    <w:rsid w:val="1B0B06A1"/>
    <w:rsid w:val="1B0D74A2"/>
    <w:rsid w:val="1B12015C"/>
    <w:rsid w:val="1B20669F"/>
    <w:rsid w:val="1B28788F"/>
    <w:rsid w:val="1B2939A3"/>
    <w:rsid w:val="1B2B5EC1"/>
    <w:rsid w:val="1B426994"/>
    <w:rsid w:val="1B5C3C47"/>
    <w:rsid w:val="1B693C84"/>
    <w:rsid w:val="1B8563DF"/>
    <w:rsid w:val="1BA31284"/>
    <w:rsid w:val="1BC47653"/>
    <w:rsid w:val="1BDF0435"/>
    <w:rsid w:val="1BEA548C"/>
    <w:rsid w:val="1BFB31F6"/>
    <w:rsid w:val="1C00080C"/>
    <w:rsid w:val="1C1D4385"/>
    <w:rsid w:val="1C2B3B01"/>
    <w:rsid w:val="1C6546EE"/>
    <w:rsid w:val="1C6C700D"/>
    <w:rsid w:val="1C6F16B0"/>
    <w:rsid w:val="1C8807CA"/>
    <w:rsid w:val="1C8B56E4"/>
    <w:rsid w:val="1C8E479F"/>
    <w:rsid w:val="1CAA3E1F"/>
    <w:rsid w:val="1CAF6E03"/>
    <w:rsid w:val="1CBB46EB"/>
    <w:rsid w:val="1CC61A56"/>
    <w:rsid w:val="1CC87964"/>
    <w:rsid w:val="1CCE26B8"/>
    <w:rsid w:val="1CE31607"/>
    <w:rsid w:val="1CE356EF"/>
    <w:rsid w:val="1CE87AF9"/>
    <w:rsid w:val="1CEB6DC6"/>
    <w:rsid w:val="1CF013A0"/>
    <w:rsid w:val="1CF97A6A"/>
    <w:rsid w:val="1D144E9D"/>
    <w:rsid w:val="1D145CEF"/>
    <w:rsid w:val="1D3335A9"/>
    <w:rsid w:val="1D3F0E99"/>
    <w:rsid w:val="1D4A2099"/>
    <w:rsid w:val="1D7007B3"/>
    <w:rsid w:val="1D8B5C02"/>
    <w:rsid w:val="1D8C151B"/>
    <w:rsid w:val="1DA11B7B"/>
    <w:rsid w:val="1DB02E37"/>
    <w:rsid w:val="1DB95792"/>
    <w:rsid w:val="1DC0450D"/>
    <w:rsid w:val="1DCF7104"/>
    <w:rsid w:val="1E0F11DA"/>
    <w:rsid w:val="1E165C30"/>
    <w:rsid w:val="1E200537"/>
    <w:rsid w:val="1E3977AF"/>
    <w:rsid w:val="1E4C162B"/>
    <w:rsid w:val="1E682698"/>
    <w:rsid w:val="1E686C73"/>
    <w:rsid w:val="1E926904"/>
    <w:rsid w:val="1E9F255E"/>
    <w:rsid w:val="1EAE489C"/>
    <w:rsid w:val="1EB04050"/>
    <w:rsid w:val="1EB06519"/>
    <w:rsid w:val="1EB36FF4"/>
    <w:rsid w:val="1ECB3353"/>
    <w:rsid w:val="1ED847E6"/>
    <w:rsid w:val="1EEC5078"/>
    <w:rsid w:val="1F035894"/>
    <w:rsid w:val="1F0F7F3D"/>
    <w:rsid w:val="1F1153BA"/>
    <w:rsid w:val="1F3A6CFF"/>
    <w:rsid w:val="1F3E3285"/>
    <w:rsid w:val="1F4D7114"/>
    <w:rsid w:val="1F5F1E65"/>
    <w:rsid w:val="1F604EB3"/>
    <w:rsid w:val="1F615A67"/>
    <w:rsid w:val="1F733CD6"/>
    <w:rsid w:val="1F810443"/>
    <w:rsid w:val="1F9A63A2"/>
    <w:rsid w:val="1FA96268"/>
    <w:rsid w:val="1FB1438B"/>
    <w:rsid w:val="1FB5190D"/>
    <w:rsid w:val="1FC83EB3"/>
    <w:rsid w:val="1FDB73ED"/>
    <w:rsid w:val="2002647C"/>
    <w:rsid w:val="20034A7D"/>
    <w:rsid w:val="201769FD"/>
    <w:rsid w:val="20337402"/>
    <w:rsid w:val="203660D8"/>
    <w:rsid w:val="204809D3"/>
    <w:rsid w:val="20552DF5"/>
    <w:rsid w:val="205E1D30"/>
    <w:rsid w:val="20653333"/>
    <w:rsid w:val="207B4BA8"/>
    <w:rsid w:val="20880AF3"/>
    <w:rsid w:val="20B118AB"/>
    <w:rsid w:val="20B57751"/>
    <w:rsid w:val="20C649DD"/>
    <w:rsid w:val="20CE19CA"/>
    <w:rsid w:val="20D300C2"/>
    <w:rsid w:val="20DD111C"/>
    <w:rsid w:val="20DD6A14"/>
    <w:rsid w:val="20F621DE"/>
    <w:rsid w:val="20FD10FA"/>
    <w:rsid w:val="211D03FB"/>
    <w:rsid w:val="211D7A3F"/>
    <w:rsid w:val="21225039"/>
    <w:rsid w:val="213C3D37"/>
    <w:rsid w:val="213F2708"/>
    <w:rsid w:val="215A00E8"/>
    <w:rsid w:val="215A451A"/>
    <w:rsid w:val="21661111"/>
    <w:rsid w:val="21707F49"/>
    <w:rsid w:val="217F58F7"/>
    <w:rsid w:val="21821CC3"/>
    <w:rsid w:val="2191470F"/>
    <w:rsid w:val="21921F06"/>
    <w:rsid w:val="219A0AF0"/>
    <w:rsid w:val="21A13A5B"/>
    <w:rsid w:val="21B5791C"/>
    <w:rsid w:val="21CC405F"/>
    <w:rsid w:val="21E008B2"/>
    <w:rsid w:val="21F030D1"/>
    <w:rsid w:val="2204688E"/>
    <w:rsid w:val="2235161E"/>
    <w:rsid w:val="22355BCC"/>
    <w:rsid w:val="223C00C4"/>
    <w:rsid w:val="2259182F"/>
    <w:rsid w:val="225B36AB"/>
    <w:rsid w:val="22606DFF"/>
    <w:rsid w:val="22667F03"/>
    <w:rsid w:val="226D1939"/>
    <w:rsid w:val="22715E88"/>
    <w:rsid w:val="22833F45"/>
    <w:rsid w:val="22A45C83"/>
    <w:rsid w:val="22BA6A00"/>
    <w:rsid w:val="22C2681B"/>
    <w:rsid w:val="22CC1ECF"/>
    <w:rsid w:val="22CD0E39"/>
    <w:rsid w:val="22D20E98"/>
    <w:rsid w:val="22D7213E"/>
    <w:rsid w:val="22E5498D"/>
    <w:rsid w:val="22E961CD"/>
    <w:rsid w:val="22EB3FC4"/>
    <w:rsid w:val="22FD3CF7"/>
    <w:rsid w:val="23005595"/>
    <w:rsid w:val="23020545"/>
    <w:rsid w:val="23077BDC"/>
    <w:rsid w:val="230C189F"/>
    <w:rsid w:val="23115084"/>
    <w:rsid w:val="23195B11"/>
    <w:rsid w:val="231D62E6"/>
    <w:rsid w:val="23260C4C"/>
    <w:rsid w:val="23375796"/>
    <w:rsid w:val="233E60B2"/>
    <w:rsid w:val="23442BAE"/>
    <w:rsid w:val="23583318"/>
    <w:rsid w:val="237755C0"/>
    <w:rsid w:val="239E5F7C"/>
    <w:rsid w:val="23A3724B"/>
    <w:rsid w:val="23BA0AFE"/>
    <w:rsid w:val="23C60706"/>
    <w:rsid w:val="23D96059"/>
    <w:rsid w:val="23E43C2A"/>
    <w:rsid w:val="23E93F81"/>
    <w:rsid w:val="23F956CF"/>
    <w:rsid w:val="242D596D"/>
    <w:rsid w:val="2434111D"/>
    <w:rsid w:val="243B3073"/>
    <w:rsid w:val="244176EE"/>
    <w:rsid w:val="245C32BD"/>
    <w:rsid w:val="246A716A"/>
    <w:rsid w:val="246F28F2"/>
    <w:rsid w:val="24761A2D"/>
    <w:rsid w:val="2477539B"/>
    <w:rsid w:val="247B1377"/>
    <w:rsid w:val="247F2600"/>
    <w:rsid w:val="24AC7783"/>
    <w:rsid w:val="24B0415B"/>
    <w:rsid w:val="24B93C4E"/>
    <w:rsid w:val="24C4172F"/>
    <w:rsid w:val="24C525F3"/>
    <w:rsid w:val="24D40A88"/>
    <w:rsid w:val="24D524CF"/>
    <w:rsid w:val="24E65A5E"/>
    <w:rsid w:val="24F5375A"/>
    <w:rsid w:val="24F56F3E"/>
    <w:rsid w:val="250A51D3"/>
    <w:rsid w:val="25145328"/>
    <w:rsid w:val="252B253D"/>
    <w:rsid w:val="25407ECB"/>
    <w:rsid w:val="254C6870"/>
    <w:rsid w:val="255C4982"/>
    <w:rsid w:val="256570B8"/>
    <w:rsid w:val="256C21D6"/>
    <w:rsid w:val="257476D5"/>
    <w:rsid w:val="258A3C4D"/>
    <w:rsid w:val="258C05A9"/>
    <w:rsid w:val="25951944"/>
    <w:rsid w:val="25AB4F95"/>
    <w:rsid w:val="25B0699F"/>
    <w:rsid w:val="25B52667"/>
    <w:rsid w:val="25BE1E3F"/>
    <w:rsid w:val="25CD0F29"/>
    <w:rsid w:val="25CE7631"/>
    <w:rsid w:val="25D056B4"/>
    <w:rsid w:val="25D56858"/>
    <w:rsid w:val="25EB4EA4"/>
    <w:rsid w:val="25EF4F13"/>
    <w:rsid w:val="25FC2044"/>
    <w:rsid w:val="261849A4"/>
    <w:rsid w:val="263C4B36"/>
    <w:rsid w:val="26446E8E"/>
    <w:rsid w:val="2652562D"/>
    <w:rsid w:val="26584F04"/>
    <w:rsid w:val="265C0D35"/>
    <w:rsid w:val="268D0EEE"/>
    <w:rsid w:val="268F3C12"/>
    <w:rsid w:val="26914E82"/>
    <w:rsid w:val="26A4798B"/>
    <w:rsid w:val="26A86AE9"/>
    <w:rsid w:val="26A96697"/>
    <w:rsid w:val="26AC4BA6"/>
    <w:rsid w:val="26B02B33"/>
    <w:rsid w:val="26BB1EFF"/>
    <w:rsid w:val="26C75D8F"/>
    <w:rsid w:val="26C81DFB"/>
    <w:rsid w:val="26DB1FEE"/>
    <w:rsid w:val="26E700E8"/>
    <w:rsid w:val="26EB755E"/>
    <w:rsid w:val="272C6959"/>
    <w:rsid w:val="273505C8"/>
    <w:rsid w:val="274A5031"/>
    <w:rsid w:val="275A4B42"/>
    <w:rsid w:val="276508F7"/>
    <w:rsid w:val="276F5E13"/>
    <w:rsid w:val="277D71B5"/>
    <w:rsid w:val="279640AC"/>
    <w:rsid w:val="279D0FCE"/>
    <w:rsid w:val="27A26C1B"/>
    <w:rsid w:val="27AC64B6"/>
    <w:rsid w:val="27AE284A"/>
    <w:rsid w:val="27B150B0"/>
    <w:rsid w:val="27BA3F65"/>
    <w:rsid w:val="27BF7AFA"/>
    <w:rsid w:val="27C1133E"/>
    <w:rsid w:val="27E42543"/>
    <w:rsid w:val="27E92A9C"/>
    <w:rsid w:val="28055100"/>
    <w:rsid w:val="28121594"/>
    <w:rsid w:val="28155927"/>
    <w:rsid w:val="281950A5"/>
    <w:rsid w:val="283535EA"/>
    <w:rsid w:val="285C50B8"/>
    <w:rsid w:val="288578C0"/>
    <w:rsid w:val="2888144E"/>
    <w:rsid w:val="28890B3D"/>
    <w:rsid w:val="28920A3E"/>
    <w:rsid w:val="28942A08"/>
    <w:rsid w:val="28980A8C"/>
    <w:rsid w:val="28A53C30"/>
    <w:rsid w:val="28AA1112"/>
    <w:rsid w:val="28AF0F29"/>
    <w:rsid w:val="28B135BA"/>
    <w:rsid w:val="28B946BA"/>
    <w:rsid w:val="28CF0010"/>
    <w:rsid w:val="28CF4E6A"/>
    <w:rsid w:val="28D2422F"/>
    <w:rsid w:val="28E53D65"/>
    <w:rsid w:val="28F14AFE"/>
    <w:rsid w:val="28F419C3"/>
    <w:rsid w:val="28F65471"/>
    <w:rsid w:val="29086F52"/>
    <w:rsid w:val="291122AA"/>
    <w:rsid w:val="291A6A49"/>
    <w:rsid w:val="292813A2"/>
    <w:rsid w:val="29362051"/>
    <w:rsid w:val="29451F54"/>
    <w:rsid w:val="29472B94"/>
    <w:rsid w:val="29484978"/>
    <w:rsid w:val="2980636E"/>
    <w:rsid w:val="29835009"/>
    <w:rsid w:val="29842A7C"/>
    <w:rsid w:val="2989080C"/>
    <w:rsid w:val="29946A38"/>
    <w:rsid w:val="29975E41"/>
    <w:rsid w:val="299E348B"/>
    <w:rsid w:val="299F3927"/>
    <w:rsid w:val="29A1545C"/>
    <w:rsid w:val="29A9603F"/>
    <w:rsid w:val="29BF06C8"/>
    <w:rsid w:val="29D878DC"/>
    <w:rsid w:val="29DE5984"/>
    <w:rsid w:val="29DE711E"/>
    <w:rsid w:val="29E67293"/>
    <w:rsid w:val="29F56101"/>
    <w:rsid w:val="29FB1F57"/>
    <w:rsid w:val="2A1410D6"/>
    <w:rsid w:val="2A187669"/>
    <w:rsid w:val="2A246C48"/>
    <w:rsid w:val="2A283640"/>
    <w:rsid w:val="2A4A2C16"/>
    <w:rsid w:val="2A593C60"/>
    <w:rsid w:val="2A6B7306"/>
    <w:rsid w:val="2A786BC3"/>
    <w:rsid w:val="2A7E4AB2"/>
    <w:rsid w:val="2A8E3994"/>
    <w:rsid w:val="2AA45B13"/>
    <w:rsid w:val="2AC0077D"/>
    <w:rsid w:val="2AC26E2F"/>
    <w:rsid w:val="2AE85548"/>
    <w:rsid w:val="2AF035A6"/>
    <w:rsid w:val="2AF14141"/>
    <w:rsid w:val="2AF60F41"/>
    <w:rsid w:val="2B0573AE"/>
    <w:rsid w:val="2B084FE7"/>
    <w:rsid w:val="2B0C416F"/>
    <w:rsid w:val="2B3B51D7"/>
    <w:rsid w:val="2B406E77"/>
    <w:rsid w:val="2B437973"/>
    <w:rsid w:val="2B4451D2"/>
    <w:rsid w:val="2B525DFF"/>
    <w:rsid w:val="2B5E20DE"/>
    <w:rsid w:val="2B6B15C0"/>
    <w:rsid w:val="2B7050B6"/>
    <w:rsid w:val="2B725B05"/>
    <w:rsid w:val="2B7A2827"/>
    <w:rsid w:val="2B977110"/>
    <w:rsid w:val="2BC36034"/>
    <w:rsid w:val="2BD17ACF"/>
    <w:rsid w:val="2BD60C3A"/>
    <w:rsid w:val="2BF95101"/>
    <w:rsid w:val="2BFA3401"/>
    <w:rsid w:val="2C056DE6"/>
    <w:rsid w:val="2C1F5998"/>
    <w:rsid w:val="2C2371EB"/>
    <w:rsid w:val="2C4604BD"/>
    <w:rsid w:val="2C5801F0"/>
    <w:rsid w:val="2C5E20C2"/>
    <w:rsid w:val="2C681FC8"/>
    <w:rsid w:val="2C716705"/>
    <w:rsid w:val="2C7B2D8A"/>
    <w:rsid w:val="2C7B4659"/>
    <w:rsid w:val="2C82701B"/>
    <w:rsid w:val="2CA30956"/>
    <w:rsid w:val="2CA528E3"/>
    <w:rsid w:val="2CA85296"/>
    <w:rsid w:val="2CBB46B5"/>
    <w:rsid w:val="2CBD7D14"/>
    <w:rsid w:val="2CDE24A4"/>
    <w:rsid w:val="2CF235FA"/>
    <w:rsid w:val="2CF4583C"/>
    <w:rsid w:val="2CFD6C66"/>
    <w:rsid w:val="2D097662"/>
    <w:rsid w:val="2D17219F"/>
    <w:rsid w:val="2D18600E"/>
    <w:rsid w:val="2D202C25"/>
    <w:rsid w:val="2D2417C1"/>
    <w:rsid w:val="2D2D51D9"/>
    <w:rsid w:val="2D361AC0"/>
    <w:rsid w:val="2D380DD8"/>
    <w:rsid w:val="2D766B80"/>
    <w:rsid w:val="2D7A0CE6"/>
    <w:rsid w:val="2D807DFD"/>
    <w:rsid w:val="2D86558F"/>
    <w:rsid w:val="2D8868B3"/>
    <w:rsid w:val="2D9044A2"/>
    <w:rsid w:val="2DA91AF5"/>
    <w:rsid w:val="2DBB0A37"/>
    <w:rsid w:val="2DBB4E4C"/>
    <w:rsid w:val="2DBD030B"/>
    <w:rsid w:val="2DBF3DA9"/>
    <w:rsid w:val="2DCC5130"/>
    <w:rsid w:val="2DD07382"/>
    <w:rsid w:val="2DE47F8D"/>
    <w:rsid w:val="2DEA1AA1"/>
    <w:rsid w:val="2DEE4968"/>
    <w:rsid w:val="2E0657A8"/>
    <w:rsid w:val="2E0C11E8"/>
    <w:rsid w:val="2E246FB8"/>
    <w:rsid w:val="2E253E0B"/>
    <w:rsid w:val="2E261D0E"/>
    <w:rsid w:val="2E4A115F"/>
    <w:rsid w:val="2E6526A9"/>
    <w:rsid w:val="2E692241"/>
    <w:rsid w:val="2E751EAC"/>
    <w:rsid w:val="2E772B3A"/>
    <w:rsid w:val="2E7B0DB2"/>
    <w:rsid w:val="2E80101E"/>
    <w:rsid w:val="2E8C0FA8"/>
    <w:rsid w:val="2EA87E19"/>
    <w:rsid w:val="2EF7784D"/>
    <w:rsid w:val="2EFB570F"/>
    <w:rsid w:val="2F104DB2"/>
    <w:rsid w:val="2F1704AF"/>
    <w:rsid w:val="2F477003"/>
    <w:rsid w:val="2F487E7B"/>
    <w:rsid w:val="2F6A0D67"/>
    <w:rsid w:val="2F9506C7"/>
    <w:rsid w:val="2FB24F03"/>
    <w:rsid w:val="2FBE28E6"/>
    <w:rsid w:val="2FC040E2"/>
    <w:rsid w:val="2FC400E6"/>
    <w:rsid w:val="2FC811E9"/>
    <w:rsid w:val="2FD836F5"/>
    <w:rsid w:val="2FE32801"/>
    <w:rsid w:val="30006C9E"/>
    <w:rsid w:val="30021CCD"/>
    <w:rsid w:val="3008000E"/>
    <w:rsid w:val="3015351D"/>
    <w:rsid w:val="30241CB9"/>
    <w:rsid w:val="302E5C02"/>
    <w:rsid w:val="303201B8"/>
    <w:rsid w:val="30416492"/>
    <w:rsid w:val="30610DAB"/>
    <w:rsid w:val="307C6734"/>
    <w:rsid w:val="307F5D4C"/>
    <w:rsid w:val="30834489"/>
    <w:rsid w:val="30864293"/>
    <w:rsid w:val="308E66F4"/>
    <w:rsid w:val="309366AE"/>
    <w:rsid w:val="30991634"/>
    <w:rsid w:val="30A64C0F"/>
    <w:rsid w:val="30B838E5"/>
    <w:rsid w:val="30BD1619"/>
    <w:rsid w:val="30D92FEC"/>
    <w:rsid w:val="30ED7B4B"/>
    <w:rsid w:val="30F47947"/>
    <w:rsid w:val="30F5600E"/>
    <w:rsid w:val="31036B1D"/>
    <w:rsid w:val="31050064"/>
    <w:rsid w:val="3115220C"/>
    <w:rsid w:val="31192BFA"/>
    <w:rsid w:val="311D1646"/>
    <w:rsid w:val="31444AF4"/>
    <w:rsid w:val="314744EF"/>
    <w:rsid w:val="3150491A"/>
    <w:rsid w:val="315414FD"/>
    <w:rsid w:val="31772EC7"/>
    <w:rsid w:val="31886E82"/>
    <w:rsid w:val="318B33B6"/>
    <w:rsid w:val="318F1FBE"/>
    <w:rsid w:val="319A726C"/>
    <w:rsid w:val="319E1DF4"/>
    <w:rsid w:val="31A17DF8"/>
    <w:rsid w:val="31AF2660"/>
    <w:rsid w:val="31B001F6"/>
    <w:rsid w:val="31B4661E"/>
    <w:rsid w:val="31B67773"/>
    <w:rsid w:val="31B77767"/>
    <w:rsid w:val="31BB1005"/>
    <w:rsid w:val="31CC3212"/>
    <w:rsid w:val="31D27480"/>
    <w:rsid w:val="31DF7927"/>
    <w:rsid w:val="31ED71F0"/>
    <w:rsid w:val="31F77B64"/>
    <w:rsid w:val="31FC147B"/>
    <w:rsid w:val="32052D4B"/>
    <w:rsid w:val="32061B91"/>
    <w:rsid w:val="320B59E4"/>
    <w:rsid w:val="32130E41"/>
    <w:rsid w:val="32153829"/>
    <w:rsid w:val="321D101F"/>
    <w:rsid w:val="32272EED"/>
    <w:rsid w:val="32287B80"/>
    <w:rsid w:val="323C1AE3"/>
    <w:rsid w:val="32425283"/>
    <w:rsid w:val="3254607F"/>
    <w:rsid w:val="32594268"/>
    <w:rsid w:val="325B0810"/>
    <w:rsid w:val="32624A13"/>
    <w:rsid w:val="32625925"/>
    <w:rsid w:val="326276D3"/>
    <w:rsid w:val="32655415"/>
    <w:rsid w:val="326979CB"/>
    <w:rsid w:val="326A4966"/>
    <w:rsid w:val="326D2393"/>
    <w:rsid w:val="32752290"/>
    <w:rsid w:val="329C5424"/>
    <w:rsid w:val="32C25277"/>
    <w:rsid w:val="32C417C5"/>
    <w:rsid w:val="32DB1DF4"/>
    <w:rsid w:val="32E32E4B"/>
    <w:rsid w:val="32E44202"/>
    <w:rsid w:val="32E97489"/>
    <w:rsid w:val="32EB3F5A"/>
    <w:rsid w:val="32EC3D98"/>
    <w:rsid w:val="32F1407E"/>
    <w:rsid w:val="32F41DF8"/>
    <w:rsid w:val="32F81778"/>
    <w:rsid w:val="331544AF"/>
    <w:rsid w:val="332B0AFE"/>
    <w:rsid w:val="334F56CA"/>
    <w:rsid w:val="336523F9"/>
    <w:rsid w:val="337C6524"/>
    <w:rsid w:val="33A47B1A"/>
    <w:rsid w:val="33AC0274"/>
    <w:rsid w:val="33B148A6"/>
    <w:rsid w:val="33B51A84"/>
    <w:rsid w:val="33BF3B31"/>
    <w:rsid w:val="33D158C0"/>
    <w:rsid w:val="33D20D58"/>
    <w:rsid w:val="33D37F3D"/>
    <w:rsid w:val="33E04D53"/>
    <w:rsid w:val="33E13178"/>
    <w:rsid w:val="33EC1B85"/>
    <w:rsid w:val="33F842B3"/>
    <w:rsid w:val="34017ED3"/>
    <w:rsid w:val="340D3FED"/>
    <w:rsid w:val="34190265"/>
    <w:rsid w:val="341D189C"/>
    <w:rsid w:val="341E3ACD"/>
    <w:rsid w:val="3423175B"/>
    <w:rsid w:val="34481F5E"/>
    <w:rsid w:val="34536D08"/>
    <w:rsid w:val="34683799"/>
    <w:rsid w:val="346E2F65"/>
    <w:rsid w:val="3475396F"/>
    <w:rsid w:val="34844022"/>
    <w:rsid w:val="349853FF"/>
    <w:rsid w:val="3498562E"/>
    <w:rsid w:val="349A0BA9"/>
    <w:rsid w:val="34A54FF1"/>
    <w:rsid w:val="34AC534F"/>
    <w:rsid w:val="34C42040"/>
    <w:rsid w:val="34CA77B1"/>
    <w:rsid w:val="34E61D44"/>
    <w:rsid w:val="34EE34A0"/>
    <w:rsid w:val="34F37911"/>
    <w:rsid w:val="35066A3B"/>
    <w:rsid w:val="35067908"/>
    <w:rsid w:val="35076310"/>
    <w:rsid w:val="3509652C"/>
    <w:rsid w:val="350A2B1E"/>
    <w:rsid w:val="350C7DCA"/>
    <w:rsid w:val="351948E5"/>
    <w:rsid w:val="351E048B"/>
    <w:rsid w:val="352358DC"/>
    <w:rsid w:val="357A1BBA"/>
    <w:rsid w:val="357B19A4"/>
    <w:rsid w:val="358D0F0B"/>
    <w:rsid w:val="35973DF6"/>
    <w:rsid w:val="359E0601"/>
    <w:rsid w:val="35A25D24"/>
    <w:rsid w:val="35B91D00"/>
    <w:rsid w:val="35C652A3"/>
    <w:rsid w:val="35D50D51"/>
    <w:rsid w:val="35DA1C76"/>
    <w:rsid w:val="35E0728C"/>
    <w:rsid w:val="35E313F0"/>
    <w:rsid w:val="35E94C78"/>
    <w:rsid w:val="35F36723"/>
    <w:rsid w:val="35FA5CAD"/>
    <w:rsid w:val="360867E3"/>
    <w:rsid w:val="360A7D81"/>
    <w:rsid w:val="361231BE"/>
    <w:rsid w:val="36191067"/>
    <w:rsid w:val="36223259"/>
    <w:rsid w:val="36543C17"/>
    <w:rsid w:val="36556ADB"/>
    <w:rsid w:val="3672559D"/>
    <w:rsid w:val="36907D19"/>
    <w:rsid w:val="36B31352"/>
    <w:rsid w:val="36BD442F"/>
    <w:rsid w:val="36D27A70"/>
    <w:rsid w:val="37076A9B"/>
    <w:rsid w:val="37272C99"/>
    <w:rsid w:val="372955E9"/>
    <w:rsid w:val="372C319C"/>
    <w:rsid w:val="374B7C21"/>
    <w:rsid w:val="375A59F8"/>
    <w:rsid w:val="376679EE"/>
    <w:rsid w:val="37674F60"/>
    <w:rsid w:val="377744E3"/>
    <w:rsid w:val="377D0DE1"/>
    <w:rsid w:val="3784725B"/>
    <w:rsid w:val="379540A7"/>
    <w:rsid w:val="37C17049"/>
    <w:rsid w:val="37CE19BF"/>
    <w:rsid w:val="37E67063"/>
    <w:rsid w:val="38185828"/>
    <w:rsid w:val="381F54C3"/>
    <w:rsid w:val="383D2BEB"/>
    <w:rsid w:val="38567A25"/>
    <w:rsid w:val="386C414F"/>
    <w:rsid w:val="387169A3"/>
    <w:rsid w:val="388176C5"/>
    <w:rsid w:val="3894622B"/>
    <w:rsid w:val="38A0587E"/>
    <w:rsid w:val="38AA544C"/>
    <w:rsid w:val="38BD3037"/>
    <w:rsid w:val="38C764E2"/>
    <w:rsid w:val="38D01112"/>
    <w:rsid w:val="38D328E4"/>
    <w:rsid w:val="38D9744D"/>
    <w:rsid w:val="38DC2EE8"/>
    <w:rsid w:val="38EC22C0"/>
    <w:rsid w:val="38F50BB0"/>
    <w:rsid w:val="38F96C02"/>
    <w:rsid w:val="39012A56"/>
    <w:rsid w:val="390D05A1"/>
    <w:rsid w:val="391726D1"/>
    <w:rsid w:val="392B3DF9"/>
    <w:rsid w:val="3964610A"/>
    <w:rsid w:val="396C04F2"/>
    <w:rsid w:val="396D55F7"/>
    <w:rsid w:val="39840A65"/>
    <w:rsid w:val="399F30A0"/>
    <w:rsid w:val="39B33CF8"/>
    <w:rsid w:val="39D07243"/>
    <w:rsid w:val="39E64392"/>
    <w:rsid w:val="39EC1291"/>
    <w:rsid w:val="39EE7A9E"/>
    <w:rsid w:val="3A0D33E1"/>
    <w:rsid w:val="3A1D4425"/>
    <w:rsid w:val="3A2404D7"/>
    <w:rsid w:val="3A285511"/>
    <w:rsid w:val="3A2F07E2"/>
    <w:rsid w:val="3A342C47"/>
    <w:rsid w:val="3A35277D"/>
    <w:rsid w:val="3A3B1CF2"/>
    <w:rsid w:val="3A3D063A"/>
    <w:rsid w:val="3A431C35"/>
    <w:rsid w:val="3A5D7DC9"/>
    <w:rsid w:val="3A6853C7"/>
    <w:rsid w:val="3A745C62"/>
    <w:rsid w:val="3A77442C"/>
    <w:rsid w:val="3A781D0E"/>
    <w:rsid w:val="3A900B55"/>
    <w:rsid w:val="3AAE4628"/>
    <w:rsid w:val="3AAF2386"/>
    <w:rsid w:val="3ABA7710"/>
    <w:rsid w:val="3ABC078C"/>
    <w:rsid w:val="3AEF0371"/>
    <w:rsid w:val="3AF455B0"/>
    <w:rsid w:val="3AF50414"/>
    <w:rsid w:val="3AFC6E57"/>
    <w:rsid w:val="3AFE35CF"/>
    <w:rsid w:val="3B0F3A36"/>
    <w:rsid w:val="3B2958BE"/>
    <w:rsid w:val="3B381919"/>
    <w:rsid w:val="3B40257B"/>
    <w:rsid w:val="3B462BF9"/>
    <w:rsid w:val="3B4F5C63"/>
    <w:rsid w:val="3B543D4D"/>
    <w:rsid w:val="3B547717"/>
    <w:rsid w:val="3B567820"/>
    <w:rsid w:val="3B572AFC"/>
    <w:rsid w:val="3B6049CB"/>
    <w:rsid w:val="3B6B6844"/>
    <w:rsid w:val="3B6C297A"/>
    <w:rsid w:val="3B7C6206"/>
    <w:rsid w:val="3B8263EE"/>
    <w:rsid w:val="3B9A1D4C"/>
    <w:rsid w:val="3B9D432D"/>
    <w:rsid w:val="3BAB3E99"/>
    <w:rsid w:val="3BB645EB"/>
    <w:rsid w:val="3BBA01EB"/>
    <w:rsid w:val="3BC13C92"/>
    <w:rsid w:val="3BE236DE"/>
    <w:rsid w:val="3BE41159"/>
    <w:rsid w:val="3BE46009"/>
    <w:rsid w:val="3BF21AC7"/>
    <w:rsid w:val="3C0812EB"/>
    <w:rsid w:val="3C1D7D4D"/>
    <w:rsid w:val="3C1F2BFB"/>
    <w:rsid w:val="3C2F3253"/>
    <w:rsid w:val="3C492848"/>
    <w:rsid w:val="3C4E1CF2"/>
    <w:rsid w:val="3C6A2EEF"/>
    <w:rsid w:val="3C6B7ACC"/>
    <w:rsid w:val="3C762246"/>
    <w:rsid w:val="3C834E15"/>
    <w:rsid w:val="3C9115B1"/>
    <w:rsid w:val="3C940DD1"/>
    <w:rsid w:val="3CA60E9D"/>
    <w:rsid w:val="3CAA3895"/>
    <w:rsid w:val="3CB52AF5"/>
    <w:rsid w:val="3CBD2815"/>
    <w:rsid w:val="3CBE3A21"/>
    <w:rsid w:val="3CD20737"/>
    <w:rsid w:val="3CE05DC4"/>
    <w:rsid w:val="3CF8135F"/>
    <w:rsid w:val="3CFC621C"/>
    <w:rsid w:val="3CFF3AC4"/>
    <w:rsid w:val="3D02400E"/>
    <w:rsid w:val="3D0E3B21"/>
    <w:rsid w:val="3D197BB5"/>
    <w:rsid w:val="3D1F4F02"/>
    <w:rsid w:val="3D2B045E"/>
    <w:rsid w:val="3D361E88"/>
    <w:rsid w:val="3D4445A5"/>
    <w:rsid w:val="3D736D63"/>
    <w:rsid w:val="3D85696B"/>
    <w:rsid w:val="3DC772B9"/>
    <w:rsid w:val="3DD1570D"/>
    <w:rsid w:val="3DDC3A87"/>
    <w:rsid w:val="3E030016"/>
    <w:rsid w:val="3E065707"/>
    <w:rsid w:val="3E1219F1"/>
    <w:rsid w:val="3E3A5AE0"/>
    <w:rsid w:val="3E3C34CE"/>
    <w:rsid w:val="3E3E00DD"/>
    <w:rsid w:val="3E4C4B0E"/>
    <w:rsid w:val="3E50174F"/>
    <w:rsid w:val="3E5A3259"/>
    <w:rsid w:val="3E5C0316"/>
    <w:rsid w:val="3E6E3E90"/>
    <w:rsid w:val="3E862568"/>
    <w:rsid w:val="3EA13331"/>
    <w:rsid w:val="3EC05BD5"/>
    <w:rsid w:val="3EC42C39"/>
    <w:rsid w:val="3EEF26F1"/>
    <w:rsid w:val="3EF47905"/>
    <w:rsid w:val="3F0709CF"/>
    <w:rsid w:val="3F1855D9"/>
    <w:rsid w:val="3F2301EA"/>
    <w:rsid w:val="3F2A1772"/>
    <w:rsid w:val="3F3D012F"/>
    <w:rsid w:val="3F486FD4"/>
    <w:rsid w:val="3F4C690D"/>
    <w:rsid w:val="3F5121A6"/>
    <w:rsid w:val="3F6A5E19"/>
    <w:rsid w:val="3F906E4B"/>
    <w:rsid w:val="3F9F1F66"/>
    <w:rsid w:val="3FCD4934"/>
    <w:rsid w:val="3FE32673"/>
    <w:rsid w:val="3FE361D0"/>
    <w:rsid w:val="3FE73AD8"/>
    <w:rsid w:val="3FE87FDB"/>
    <w:rsid w:val="3FED2DDB"/>
    <w:rsid w:val="3FF32608"/>
    <w:rsid w:val="3FF40A7F"/>
    <w:rsid w:val="3FF6563C"/>
    <w:rsid w:val="3FF65832"/>
    <w:rsid w:val="3FFB5841"/>
    <w:rsid w:val="400B33AE"/>
    <w:rsid w:val="4012396E"/>
    <w:rsid w:val="401C1A53"/>
    <w:rsid w:val="402E4650"/>
    <w:rsid w:val="403A57EB"/>
    <w:rsid w:val="403B3CFB"/>
    <w:rsid w:val="403D755F"/>
    <w:rsid w:val="403E42C4"/>
    <w:rsid w:val="40420B44"/>
    <w:rsid w:val="40644F5E"/>
    <w:rsid w:val="40694322"/>
    <w:rsid w:val="406E7B8B"/>
    <w:rsid w:val="407E40B4"/>
    <w:rsid w:val="409969B6"/>
    <w:rsid w:val="40A610D2"/>
    <w:rsid w:val="40A77BE8"/>
    <w:rsid w:val="40B25CC9"/>
    <w:rsid w:val="40CA3013"/>
    <w:rsid w:val="40E40065"/>
    <w:rsid w:val="4110479E"/>
    <w:rsid w:val="41190079"/>
    <w:rsid w:val="411E780E"/>
    <w:rsid w:val="412165CA"/>
    <w:rsid w:val="412600C3"/>
    <w:rsid w:val="41326F3F"/>
    <w:rsid w:val="413275CF"/>
    <w:rsid w:val="41546D80"/>
    <w:rsid w:val="416C412F"/>
    <w:rsid w:val="416D7B42"/>
    <w:rsid w:val="41732898"/>
    <w:rsid w:val="417D6F99"/>
    <w:rsid w:val="41822A20"/>
    <w:rsid w:val="41860C99"/>
    <w:rsid w:val="418F04C5"/>
    <w:rsid w:val="41A36C7A"/>
    <w:rsid w:val="41A628BB"/>
    <w:rsid w:val="41A94BE2"/>
    <w:rsid w:val="41AC096A"/>
    <w:rsid w:val="41B95694"/>
    <w:rsid w:val="41BA1C65"/>
    <w:rsid w:val="41D01F06"/>
    <w:rsid w:val="41EA1493"/>
    <w:rsid w:val="41EA6CFB"/>
    <w:rsid w:val="42016538"/>
    <w:rsid w:val="420348A2"/>
    <w:rsid w:val="42070365"/>
    <w:rsid w:val="420E47DF"/>
    <w:rsid w:val="421B164C"/>
    <w:rsid w:val="421C7275"/>
    <w:rsid w:val="421E283A"/>
    <w:rsid w:val="421E44F4"/>
    <w:rsid w:val="423050F8"/>
    <w:rsid w:val="42395247"/>
    <w:rsid w:val="424741EF"/>
    <w:rsid w:val="424961B9"/>
    <w:rsid w:val="424B6411"/>
    <w:rsid w:val="424F7440"/>
    <w:rsid w:val="425176DC"/>
    <w:rsid w:val="42557B31"/>
    <w:rsid w:val="42580B73"/>
    <w:rsid w:val="425B5FCD"/>
    <w:rsid w:val="425C3DBA"/>
    <w:rsid w:val="4278084D"/>
    <w:rsid w:val="428C0CFF"/>
    <w:rsid w:val="42927B60"/>
    <w:rsid w:val="42994780"/>
    <w:rsid w:val="429A1DCC"/>
    <w:rsid w:val="429A6E42"/>
    <w:rsid w:val="42AB03C4"/>
    <w:rsid w:val="42B15B0D"/>
    <w:rsid w:val="42B6230E"/>
    <w:rsid w:val="42BD02CF"/>
    <w:rsid w:val="42D261AF"/>
    <w:rsid w:val="42DD6902"/>
    <w:rsid w:val="42DE0FF8"/>
    <w:rsid w:val="43077BF5"/>
    <w:rsid w:val="430A7D4C"/>
    <w:rsid w:val="43116FDF"/>
    <w:rsid w:val="43280ACE"/>
    <w:rsid w:val="432A10C9"/>
    <w:rsid w:val="4342053A"/>
    <w:rsid w:val="434F0845"/>
    <w:rsid w:val="43607AA0"/>
    <w:rsid w:val="437A49AC"/>
    <w:rsid w:val="437B6846"/>
    <w:rsid w:val="43821B7C"/>
    <w:rsid w:val="43843600"/>
    <w:rsid w:val="43947908"/>
    <w:rsid w:val="439508F1"/>
    <w:rsid w:val="439671DC"/>
    <w:rsid w:val="439763D1"/>
    <w:rsid w:val="439B1BD6"/>
    <w:rsid w:val="43A152E1"/>
    <w:rsid w:val="43B527EA"/>
    <w:rsid w:val="43CA157C"/>
    <w:rsid w:val="43CD2DF2"/>
    <w:rsid w:val="43EE526A"/>
    <w:rsid w:val="43F46FFC"/>
    <w:rsid w:val="441550E8"/>
    <w:rsid w:val="44220E7C"/>
    <w:rsid w:val="442719E2"/>
    <w:rsid w:val="442D3C97"/>
    <w:rsid w:val="4432571E"/>
    <w:rsid w:val="44450152"/>
    <w:rsid w:val="444C1F91"/>
    <w:rsid w:val="445760A9"/>
    <w:rsid w:val="44580936"/>
    <w:rsid w:val="445E078E"/>
    <w:rsid w:val="44641580"/>
    <w:rsid w:val="446C1819"/>
    <w:rsid w:val="44811BF6"/>
    <w:rsid w:val="4487554F"/>
    <w:rsid w:val="44896CFB"/>
    <w:rsid w:val="448F752A"/>
    <w:rsid w:val="44924DA7"/>
    <w:rsid w:val="449556E6"/>
    <w:rsid w:val="449B7D57"/>
    <w:rsid w:val="44AA1C0A"/>
    <w:rsid w:val="44B27A36"/>
    <w:rsid w:val="44B553B7"/>
    <w:rsid w:val="44BA15F0"/>
    <w:rsid w:val="44D87F96"/>
    <w:rsid w:val="44E64193"/>
    <w:rsid w:val="450D45D2"/>
    <w:rsid w:val="451A4F5C"/>
    <w:rsid w:val="452B5505"/>
    <w:rsid w:val="45311038"/>
    <w:rsid w:val="4537679D"/>
    <w:rsid w:val="45451E05"/>
    <w:rsid w:val="45501DCD"/>
    <w:rsid w:val="455A2B65"/>
    <w:rsid w:val="456D7390"/>
    <w:rsid w:val="45A93428"/>
    <w:rsid w:val="45CB3C1A"/>
    <w:rsid w:val="45D267E9"/>
    <w:rsid w:val="46133B1F"/>
    <w:rsid w:val="46176FF5"/>
    <w:rsid w:val="463112A1"/>
    <w:rsid w:val="46591650"/>
    <w:rsid w:val="465E3AC4"/>
    <w:rsid w:val="466C3F07"/>
    <w:rsid w:val="46803289"/>
    <w:rsid w:val="46945C37"/>
    <w:rsid w:val="46A2058E"/>
    <w:rsid w:val="46A63E69"/>
    <w:rsid w:val="46C44AED"/>
    <w:rsid w:val="46CC3BF2"/>
    <w:rsid w:val="46CE5E75"/>
    <w:rsid w:val="46D24C32"/>
    <w:rsid w:val="46D549D6"/>
    <w:rsid w:val="46E464B1"/>
    <w:rsid w:val="46EC64E9"/>
    <w:rsid w:val="470628CB"/>
    <w:rsid w:val="470C2E09"/>
    <w:rsid w:val="471A0124"/>
    <w:rsid w:val="47321912"/>
    <w:rsid w:val="473635B9"/>
    <w:rsid w:val="47413903"/>
    <w:rsid w:val="4750541F"/>
    <w:rsid w:val="47597AD1"/>
    <w:rsid w:val="476451F1"/>
    <w:rsid w:val="47795A16"/>
    <w:rsid w:val="477D2FA6"/>
    <w:rsid w:val="47854BA2"/>
    <w:rsid w:val="4799373F"/>
    <w:rsid w:val="479C383A"/>
    <w:rsid w:val="47D14C87"/>
    <w:rsid w:val="47DE6A2D"/>
    <w:rsid w:val="47E30E5E"/>
    <w:rsid w:val="47EC5231"/>
    <w:rsid w:val="480D5AB8"/>
    <w:rsid w:val="483139AC"/>
    <w:rsid w:val="483A7445"/>
    <w:rsid w:val="484B5F3E"/>
    <w:rsid w:val="485A1BA7"/>
    <w:rsid w:val="485F04C9"/>
    <w:rsid w:val="48636F40"/>
    <w:rsid w:val="48710218"/>
    <w:rsid w:val="487F189B"/>
    <w:rsid w:val="48A44ECA"/>
    <w:rsid w:val="48AE6D76"/>
    <w:rsid w:val="48B00D40"/>
    <w:rsid w:val="48B74986"/>
    <w:rsid w:val="48B873E7"/>
    <w:rsid w:val="48DD765B"/>
    <w:rsid w:val="48F62005"/>
    <w:rsid w:val="490C3672"/>
    <w:rsid w:val="491A08B0"/>
    <w:rsid w:val="49241182"/>
    <w:rsid w:val="4943641F"/>
    <w:rsid w:val="494C6DFB"/>
    <w:rsid w:val="4983508B"/>
    <w:rsid w:val="4996235C"/>
    <w:rsid w:val="499D0F1C"/>
    <w:rsid w:val="49A809E1"/>
    <w:rsid w:val="49AB78D4"/>
    <w:rsid w:val="49AF724A"/>
    <w:rsid w:val="49C168C7"/>
    <w:rsid w:val="49DB003F"/>
    <w:rsid w:val="49ED18AF"/>
    <w:rsid w:val="4A034234"/>
    <w:rsid w:val="4A0C7D5B"/>
    <w:rsid w:val="4A0D2C2D"/>
    <w:rsid w:val="4A113A61"/>
    <w:rsid w:val="4A1E5F6B"/>
    <w:rsid w:val="4A241124"/>
    <w:rsid w:val="4A2F5158"/>
    <w:rsid w:val="4A4000B3"/>
    <w:rsid w:val="4A5A0321"/>
    <w:rsid w:val="4A6C1445"/>
    <w:rsid w:val="4A6C563D"/>
    <w:rsid w:val="4A767BAB"/>
    <w:rsid w:val="4A7853B9"/>
    <w:rsid w:val="4A8B0C8E"/>
    <w:rsid w:val="4A8C758B"/>
    <w:rsid w:val="4A8F7847"/>
    <w:rsid w:val="4AA20D18"/>
    <w:rsid w:val="4AB60E99"/>
    <w:rsid w:val="4ABB488B"/>
    <w:rsid w:val="4AE419C4"/>
    <w:rsid w:val="4AEE43B0"/>
    <w:rsid w:val="4B0F758D"/>
    <w:rsid w:val="4B181824"/>
    <w:rsid w:val="4B2940EF"/>
    <w:rsid w:val="4B2A14C4"/>
    <w:rsid w:val="4B2B7E32"/>
    <w:rsid w:val="4B346979"/>
    <w:rsid w:val="4B425E9C"/>
    <w:rsid w:val="4B454995"/>
    <w:rsid w:val="4B653894"/>
    <w:rsid w:val="4B6A027E"/>
    <w:rsid w:val="4B8849F7"/>
    <w:rsid w:val="4B885FA4"/>
    <w:rsid w:val="4B887D52"/>
    <w:rsid w:val="4BA25FB0"/>
    <w:rsid w:val="4BB9178E"/>
    <w:rsid w:val="4BBE19C6"/>
    <w:rsid w:val="4BC148B0"/>
    <w:rsid w:val="4BC44B03"/>
    <w:rsid w:val="4BC61928"/>
    <w:rsid w:val="4BC80BED"/>
    <w:rsid w:val="4BCB5E91"/>
    <w:rsid w:val="4BD3449D"/>
    <w:rsid w:val="4C0475C6"/>
    <w:rsid w:val="4C147838"/>
    <w:rsid w:val="4C1F2BC2"/>
    <w:rsid w:val="4C2D4456"/>
    <w:rsid w:val="4C2E66D4"/>
    <w:rsid w:val="4C3561D9"/>
    <w:rsid w:val="4C4B6478"/>
    <w:rsid w:val="4C4F0870"/>
    <w:rsid w:val="4C5C53A5"/>
    <w:rsid w:val="4C6073EB"/>
    <w:rsid w:val="4C772E46"/>
    <w:rsid w:val="4C7A4D8F"/>
    <w:rsid w:val="4C7C6940"/>
    <w:rsid w:val="4C7F5ABB"/>
    <w:rsid w:val="4C820910"/>
    <w:rsid w:val="4C973B41"/>
    <w:rsid w:val="4CA83983"/>
    <w:rsid w:val="4CB64CC6"/>
    <w:rsid w:val="4CC248BC"/>
    <w:rsid w:val="4CD0188E"/>
    <w:rsid w:val="4CE03208"/>
    <w:rsid w:val="4CF27851"/>
    <w:rsid w:val="4D0B58DC"/>
    <w:rsid w:val="4D202CAD"/>
    <w:rsid w:val="4D341814"/>
    <w:rsid w:val="4D347246"/>
    <w:rsid w:val="4D4238CC"/>
    <w:rsid w:val="4D4D1E00"/>
    <w:rsid w:val="4D534390"/>
    <w:rsid w:val="4D5A74CD"/>
    <w:rsid w:val="4D5B11C3"/>
    <w:rsid w:val="4D6C7200"/>
    <w:rsid w:val="4D7E765F"/>
    <w:rsid w:val="4D935EF6"/>
    <w:rsid w:val="4D991938"/>
    <w:rsid w:val="4D9F3679"/>
    <w:rsid w:val="4DA22C22"/>
    <w:rsid w:val="4DA41FFF"/>
    <w:rsid w:val="4DA90E86"/>
    <w:rsid w:val="4DB04403"/>
    <w:rsid w:val="4DB539B8"/>
    <w:rsid w:val="4DB928D3"/>
    <w:rsid w:val="4DD159FA"/>
    <w:rsid w:val="4DF34FC7"/>
    <w:rsid w:val="4E13390E"/>
    <w:rsid w:val="4E1C3676"/>
    <w:rsid w:val="4E252216"/>
    <w:rsid w:val="4E2D798E"/>
    <w:rsid w:val="4E5B5D72"/>
    <w:rsid w:val="4E661607"/>
    <w:rsid w:val="4E6E7536"/>
    <w:rsid w:val="4E797764"/>
    <w:rsid w:val="4E837930"/>
    <w:rsid w:val="4E872466"/>
    <w:rsid w:val="4E9B1B9C"/>
    <w:rsid w:val="4EA026A4"/>
    <w:rsid w:val="4EA41FCE"/>
    <w:rsid w:val="4EB46120"/>
    <w:rsid w:val="4EB60AC7"/>
    <w:rsid w:val="4EC63853"/>
    <w:rsid w:val="4ECA4BD3"/>
    <w:rsid w:val="4ED432AF"/>
    <w:rsid w:val="4ED81DCC"/>
    <w:rsid w:val="4EEA49EE"/>
    <w:rsid w:val="4EFF0BA7"/>
    <w:rsid w:val="4F1B1A9B"/>
    <w:rsid w:val="4F270AD2"/>
    <w:rsid w:val="4F3930C1"/>
    <w:rsid w:val="4F440F80"/>
    <w:rsid w:val="4F500A8E"/>
    <w:rsid w:val="4F5839F6"/>
    <w:rsid w:val="4F697E9B"/>
    <w:rsid w:val="4F6A3CC7"/>
    <w:rsid w:val="4F6B4B63"/>
    <w:rsid w:val="4F730D1A"/>
    <w:rsid w:val="4F7D47B6"/>
    <w:rsid w:val="4F9A349C"/>
    <w:rsid w:val="4F9D5C1A"/>
    <w:rsid w:val="4FAB0B6E"/>
    <w:rsid w:val="4FB4561D"/>
    <w:rsid w:val="4FB85BAA"/>
    <w:rsid w:val="4FBE3141"/>
    <w:rsid w:val="4FD72953"/>
    <w:rsid w:val="4FDE24B2"/>
    <w:rsid w:val="50044B0C"/>
    <w:rsid w:val="5007020E"/>
    <w:rsid w:val="500D0826"/>
    <w:rsid w:val="5023254C"/>
    <w:rsid w:val="502D2C76"/>
    <w:rsid w:val="503A35E5"/>
    <w:rsid w:val="504D6505"/>
    <w:rsid w:val="505017E5"/>
    <w:rsid w:val="505E4442"/>
    <w:rsid w:val="50746AF7"/>
    <w:rsid w:val="507D1C6A"/>
    <w:rsid w:val="509A4E37"/>
    <w:rsid w:val="50A524AB"/>
    <w:rsid w:val="50AE50FD"/>
    <w:rsid w:val="50B43398"/>
    <w:rsid w:val="50BE2864"/>
    <w:rsid w:val="50BF16B8"/>
    <w:rsid w:val="50C926E5"/>
    <w:rsid w:val="50D514A0"/>
    <w:rsid w:val="50DB4F93"/>
    <w:rsid w:val="50DC33FB"/>
    <w:rsid w:val="50DD28EE"/>
    <w:rsid w:val="50DE6667"/>
    <w:rsid w:val="50EB3D0E"/>
    <w:rsid w:val="50EF4B73"/>
    <w:rsid w:val="50FE2865"/>
    <w:rsid w:val="51112598"/>
    <w:rsid w:val="51181B78"/>
    <w:rsid w:val="511D163F"/>
    <w:rsid w:val="513021C5"/>
    <w:rsid w:val="51327A4F"/>
    <w:rsid w:val="5136326D"/>
    <w:rsid w:val="514209A3"/>
    <w:rsid w:val="5147420C"/>
    <w:rsid w:val="51555A3D"/>
    <w:rsid w:val="515626A1"/>
    <w:rsid w:val="5180409A"/>
    <w:rsid w:val="51813C24"/>
    <w:rsid w:val="5182766F"/>
    <w:rsid w:val="51836CB2"/>
    <w:rsid w:val="518B246C"/>
    <w:rsid w:val="51AB241A"/>
    <w:rsid w:val="51B178D7"/>
    <w:rsid w:val="51B45C54"/>
    <w:rsid w:val="51BE30D9"/>
    <w:rsid w:val="51C42E00"/>
    <w:rsid w:val="51D76AA5"/>
    <w:rsid w:val="51D830B6"/>
    <w:rsid w:val="51E25EDD"/>
    <w:rsid w:val="51E65C94"/>
    <w:rsid w:val="521A121E"/>
    <w:rsid w:val="52302EF2"/>
    <w:rsid w:val="5246001F"/>
    <w:rsid w:val="52532208"/>
    <w:rsid w:val="52643179"/>
    <w:rsid w:val="527959D7"/>
    <w:rsid w:val="52980E9C"/>
    <w:rsid w:val="52992845"/>
    <w:rsid w:val="52A73A14"/>
    <w:rsid w:val="52B10802"/>
    <w:rsid w:val="52BE22AC"/>
    <w:rsid w:val="52CD15D1"/>
    <w:rsid w:val="52E01B54"/>
    <w:rsid w:val="52E01B8C"/>
    <w:rsid w:val="52E5263E"/>
    <w:rsid w:val="52EC34A3"/>
    <w:rsid w:val="5306340C"/>
    <w:rsid w:val="530E63CF"/>
    <w:rsid w:val="53105918"/>
    <w:rsid w:val="531D3C2E"/>
    <w:rsid w:val="531F6D51"/>
    <w:rsid w:val="53290E40"/>
    <w:rsid w:val="532E7431"/>
    <w:rsid w:val="533C1422"/>
    <w:rsid w:val="533D3818"/>
    <w:rsid w:val="534419C3"/>
    <w:rsid w:val="53476D02"/>
    <w:rsid w:val="53482A54"/>
    <w:rsid w:val="534A6A87"/>
    <w:rsid w:val="535844AE"/>
    <w:rsid w:val="536174AC"/>
    <w:rsid w:val="53901D3A"/>
    <w:rsid w:val="53907F8B"/>
    <w:rsid w:val="539A3F7A"/>
    <w:rsid w:val="53A878C8"/>
    <w:rsid w:val="53B06098"/>
    <w:rsid w:val="53B316E5"/>
    <w:rsid w:val="53C17C7A"/>
    <w:rsid w:val="53C50672"/>
    <w:rsid w:val="53CD7CD2"/>
    <w:rsid w:val="53D5465E"/>
    <w:rsid w:val="54010677"/>
    <w:rsid w:val="540E1011"/>
    <w:rsid w:val="5416572D"/>
    <w:rsid w:val="541C1CEE"/>
    <w:rsid w:val="54217DA0"/>
    <w:rsid w:val="54324CFF"/>
    <w:rsid w:val="543F566E"/>
    <w:rsid w:val="54484893"/>
    <w:rsid w:val="544A604F"/>
    <w:rsid w:val="546E12C1"/>
    <w:rsid w:val="546E1AAF"/>
    <w:rsid w:val="547C241E"/>
    <w:rsid w:val="548B2661"/>
    <w:rsid w:val="548C2372"/>
    <w:rsid w:val="548C5566"/>
    <w:rsid w:val="548D3AA9"/>
    <w:rsid w:val="54996B2C"/>
    <w:rsid w:val="54A14178"/>
    <w:rsid w:val="54BD28FE"/>
    <w:rsid w:val="54DC6468"/>
    <w:rsid w:val="54DC71CD"/>
    <w:rsid w:val="54EB0EB9"/>
    <w:rsid w:val="54F10959"/>
    <w:rsid w:val="54F568B8"/>
    <w:rsid w:val="54F774D3"/>
    <w:rsid w:val="550D1BFF"/>
    <w:rsid w:val="551929A0"/>
    <w:rsid w:val="551C1721"/>
    <w:rsid w:val="552A1E7A"/>
    <w:rsid w:val="553C6E48"/>
    <w:rsid w:val="55420FE4"/>
    <w:rsid w:val="5543561E"/>
    <w:rsid w:val="55452810"/>
    <w:rsid w:val="55576C7D"/>
    <w:rsid w:val="55580900"/>
    <w:rsid w:val="55632A07"/>
    <w:rsid w:val="556C5AC4"/>
    <w:rsid w:val="55764667"/>
    <w:rsid w:val="5591185C"/>
    <w:rsid w:val="55941C35"/>
    <w:rsid w:val="55A547A9"/>
    <w:rsid w:val="55A94B7D"/>
    <w:rsid w:val="55BE7F85"/>
    <w:rsid w:val="55D903A7"/>
    <w:rsid w:val="55EF3DB3"/>
    <w:rsid w:val="560001DD"/>
    <w:rsid w:val="56050ADF"/>
    <w:rsid w:val="56094016"/>
    <w:rsid w:val="560D64C1"/>
    <w:rsid w:val="560E354A"/>
    <w:rsid w:val="56292132"/>
    <w:rsid w:val="5633031C"/>
    <w:rsid w:val="563F1955"/>
    <w:rsid w:val="5658074D"/>
    <w:rsid w:val="567B4D02"/>
    <w:rsid w:val="56841F5C"/>
    <w:rsid w:val="5686792A"/>
    <w:rsid w:val="5689497F"/>
    <w:rsid w:val="569B0A1E"/>
    <w:rsid w:val="569B2844"/>
    <w:rsid w:val="56AA7E40"/>
    <w:rsid w:val="56C14945"/>
    <w:rsid w:val="56D70F61"/>
    <w:rsid w:val="56D71B8E"/>
    <w:rsid w:val="56DA167E"/>
    <w:rsid w:val="56DC53F6"/>
    <w:rsid w:val="56E72986"/>
    <w:rsid w:val="56F06A47"/>
    <w:rsid w:val="56F13DAB"/>
    <w:rsid w:val="56F51310"/>
    <w:rsid w:val="57037506"/>
    <w:rsid w:val="57266BFB"/>
    <w:rsid w:val="57283155"/>
    <w:rsid w:val="572F1EA4"/>
    <w:rsid w:val="573334AC"/>
    <w:rsid w:val="57350051"/>
    <w:rsid w:val="573E0456"/>
    <w:rsid w:val="57444BB0"/>
    <w:rsid w:val="574532C8"/>
    <w:rsid w:val="576A01EF"/>
    <w:rsid w:val="57741544"/>
    <w:rsid w:val="57832C40"/>
    <w:rsid w:val="579B0BC9"/>
    <w:rsid w:val="57A001D2"/>
    <w:rsid w:val="57A96A78"/>
    <w:rsid w:val="57B01610"/>
    <w:rsid w:val="57B5525F"/>
    <w:rsid w:val="57B8376D"/>
    <w:rsid w:val="57C71C02"/>
    <w:rsid w:val="57D921BB"/>
    <w:rsid w:val="57DA2E75"/>
    <w:rsid w:val="57DB0E4A"/>
    <w:rsid w:val="57EE4085"/>
    <w:rsid w:val="57F178E2"/>
    <w:rsid w:val="580E0441"/>
    <w:rsid w:val="581B5AAA"/>
    <w:rsid w:val="58247CF3"/>
    <w:rsid w:val="583077A8"/>
    <w:rsid w:val="58325E7E"/>
    <w:rsid w:val="585600BE"/>
    <w:rsid w:val="586C32FD"/>
    <w:rsid w:val="586C4558"/>
    <w:rsid w:val="587825C3"/>
    <w:rsid w:val="587D3583"/>
    <w:rsid w:val="588B2DFC"/>
    <w:rsid w:val="589D1E9C"/>
    <w:rsid w:val="58AF1500"/>
    <w:rsid w:val="58B435B9"/>
    <w:rsid w:val="58B45590"/>
    <w:rsid w:val="58DD4EB3"/>
    <w:rsid w:val="58EE2027"/>
    <w:rsid w:val="59011144"/>
    <w:rsid w:val="5901414A"/>
    <w:rsid w:val="5918259E"/>
    <w:rsid w:val="5922383E"/>
    <w:rsid w:val="59232842"/>
    <w:rsid w:val="593B60AA"/>
    <w:rsid w:val="59412DE1"/>
    <w:rsid w:val="59616B10"/>
    <w:rsid w:val="59682444"/>
    <w:rsid w:val="596C68E5"/>
    <w:rsid w:val="597868C2"/>
    <w:rsid w:val="59985966"/>
    <w:rsid w:val="599F33EF"/>
    <w:rsid w:val="59A246D5"/>
    <w:rsid w:val="59AA1518"/>
    <w:rsid w:val="59B2596F"/>
    <w:rsid w:val="59CA59DA"/>
    <w:rsid w:val="59D20856"/>
    <w:rsid w:val="59D840C1"/>
    <w:rsid w:val="59DC0F71"/>
    <w:rsid w:val="59E16582"/>
    <w:rsid w:val="59F71085"/>
    <w:rsid w:val="5A054C64"/>
    <w:rsid w:val="5A061DB8"/>
    <w:rsid w:val="5A115ED1"/>
    <w:rsid w:val="5A247938"/>
    <w:rsid w:val="5A28132D"/>
    <w:rsid w:val="5A4C4641"/>
    <w:rsid w:val="5A4C4E80"/>
    <w:rsid w:val="5A56726E"/>
    <w:rsid w:val="5A5D5A42"/>
    <w:rsid w:val="5A6529A8"/>
    <w:rsid w:val="5A736072"/>
    <w:rsid w:val="5A863F1D"/>
    <w:rsid w:val="5A944992"/>
    <w:rsid w:val="5A985AD8"/>
    <w:rsid w:val="5AA83A7A"/>
    <w:rsid w:val="5AB37B07"/>
    <w:rsid w:val="5ABE5DDA"/>
    <w:rsid w:val="5AC112B7"/>
    <w:rsid w:val="5AD55868"/>
    <w:rsid w:val="5ADD430A"/>
    <w:rsid w:val="5ADE4C04"/>
    <w:rsid w:val="5AE539AA"/>
    <w:rsid w:val="5AE60B2D"/>
    <w:rsid w:val="5AFA4724"/>
    <w:rsid w:val="5AFC6D35"/>
    <w:rsid w:val="5AFF7905"/>
    <w:rsid w:val="5B100FE8"/>
    <w:rsid w:val="5B1677A6"/>
    <w:rsid w:val="5B172EA1"/>
    <w:rsid w:val="5B1909C7"/>
    <w:rsid w:val="5B1A6EEC"/>
    <w:rsid w:val="5B244340"/>
    <w:rsid w:val="5B30538B"/>
    <w:rsid w:val="5B423B22"/>
    <w:rsid w:val="5B4D0671"/>
    <w:rsid w:val="5B5F5692"/>
    <w:rsid w:val="5B645DB9"/>
    <w:rsid w:val="5B6836FC"/>
    <w:rsid w:val="5B9F3195"/>
    <w:rsid w:val="5BB22BCA"/>
    <w:rsid w:val="5BB350D3"/>
    <w:rsid w:val="5BCB07B9"/>
    <w:rsid w:val="5C0820E5"/>
    <w:rsid w:val="5C182A2D"/>
    <w:rsid w:val="5C205D85"/>
    <w:rsid w:val="5C277B30"/>
    <w:rsid w:val="5C652D4F"/>
    <w:rsid w:val="5C692DFB"/>
    <w:rsid w:val="5C7C0323"/>
    <w:rsid w:val="5C7E07EA"/>
    <w:rsid w:val="5C8320E4"/>
    <w:rsid w:val="5C8852BB"/>
    <w:rsid w:val="5C9D7A7A"/>
    <w:rsid w:val="5CA00900"/>
    <w:rsid w:val="5CBB785C"/>
    <w:rsid w:val="5CC130C4"/>
    <w:rsid w:val="5CC13E28"/>
    <w:rsid w:val="5CDE1CC1"/>
    <w:rsid w:val="5CE15514"/>
    <w:rsid w:val="5CE26B1F"/>
    <w:rsid w:val="5CE62B2B"/>
    <w:rsid w:val="5CED210B"/>
    <w:rsid w:val="5CF42506"/>
    <w:rsid w:val="5CFD1C22"/>
    <w:rsid w:val="5CFD5D49"/>
    <w:rsid w:val="5D0C5002"/>
    <w:rsid w:val="5D105083"/>
    <w:rsid w:val="5D3C099D"/>
    <w:rsid w:val="5D437CB5"/>
    <w:rsid w:val="5D454D39"/>
    <w:rsid w:val="5D5C3A10"/>
    <w:rsid w:val="5D6056A3"/>
    <w:rsid w:val="5D681E2B"/>
    <w:rsid w:val="5D8D744A"/>
    <w:rsid w:val="5D9D1CB8"/>
    <w:rsid w:val="5DC9521E"/>
    <w:rsid w:val="5DD21301"/>
    <w:rsid w:val="5DE019B7"/>
    <w:rsid w:val="5DE465A7"/>
    <w:rsid w:val="5DEF4196"/>
    <w:rsid w:val="5DF71A7D"/>
    <w:rsid w:val="5E007C1C"/>
    <w:rsid w:val="5E0F4D4B"/>
    <w:rsid w:val="5E361890"/>
    <w:rsid w:val="5E3B5434"/>
    <w:rsid w:val="5E3D420D"/>
    <w:rsid w:val="5E471144"/>
    <w:rsid w:val="5E622685"/>
    <w:rsid w:val="5E7B54F5"/>
    <w:rsid w:val="5E7D5156"/>
    <w:rsid w:val="5E844D55"/>
    <w:rsid w:val="5E9159B0"/>
    <w:rsid w:val="5E9465B6"/>
    <w:rsid w:val="5E9A1E1F"/>
    <w:rsid w:val="5E9D190F"/>
    <w:rsid w:val="5EAA5DDA"/>
    <w:rsid w:val="5ECB1D84"/>
    <w:rsid w:val="5ECE157C"/>
    <w:rsid w:val="5ED779D7"/>
    <w:rsid w:val="5EE56C2D"/>
    <w:rsid w:val="5EFE1852"/>
    <w:rsid w:val="5F2B3792"/>
    <w:rsid w:val="5F357D7B"/>
    <w:rsid w:val="5F383FC8"/>
    <w:rsid w:val="5F3D09FC"/>
    <w:rsid w:val="5F42093F"/>
    <w:rsid w:val="5F521C60"/>
    <w:rsid w:val="5F530220"/>
    <w:rsid w:val="5F552269"/>
    <w:rsid w:val="5F5652DD"/>
    <w:rsid w:val="5F5E0E54"/>
    <w:rsid w:val="5F7535C7"/>
    <w:rsid w:val="5F775CBC"/>
    <w:rsid w:val="5FA356F6"/>
    <w:rsid w:val="5FA40A7B"/>
    <w:rsid w:val="5FA5345F"/>
    <w:rsid w:val="5FA628C6"/>
    <w:rsid w:val="5FBD5D3B"/>
    <w:rsid w:val="5FC30F01"/>
    <w:rsid w:val="5FCF5BFD"/>
    <w:rsid w:val="5FD66302"/>
    <w:rsid w:val="5FDE73BF"/>
    <w:rsid w:val="5FE64E7D"/>
    <w:rsid w:val="5FF53622"/>
    <w:rsid w:val="600159C2"/>
    <w:rsid w:val="601E25DC"/>
    <w:rsid w:val="60381E9F"/>
    <w:rsid w:val="603B318E"/>
    <w:rsid w:val="60416E8C"/>
    <w:rsid w:val="60432042"/>
    <w:rsid w:val="604B5101"/>
    <w:rsid w:val="604C539B"/>
    <w:rsid w:val="604F6C5D"/>
    <w:rsid w:val="606C1831"/>
    <w:rsid w:val="60727485"/>
    <w:rsid w:val="60856E73"/>
    <w:rsid w:val="609D3493"/>
    <w:rsid w:val="609E130C"/>
    <w:rsid w:val="60A35EE8"/>
    <w:rsid w:val="60AF0445"/>
    <w:rsid w:val="60B544BC"/>
    <w:rsid w:val="60B72CDB"/>
    <w:rsid w:val="60C82547"/>
    <w:rsid w:val="60DB4382"/>
    <w:rsid w:val="60E4448C"/>
    <w:rsid w:val="610A2B60"/>
    <w:rsid w:val="61140169"/>
    <w:rsid w:val="611C11BC"/>
    <w:rsid w:val="611D39BB"/>
    <w:rsid w:val="612507BA"/>
    <w:rsid w:val="612B61A3"/>
    <w:rsid w:val="612E62A0"/>
    <w:rsid w:val="613308F5"/>
    <w:rsid w:val="61412A26"/>
    <w:rsid w:val="614B38A4"/>
    <w:rsid w:val="615564D1"/>
    <w:rsid w:val="615C63B0"/>
    <w:rsid w:val="615F2A54"/>
    <w:rsid w:val="615F4C5A"/>
    <w:rsid w:val="61617E42"/>
    <w:rsid w:val="616552DD"/>
    <w:rsid w:val="61770BCF"/>
    <w:rsid w:val="61795EDC"/>
    <w:rsid w:val="618127D9"/>
    <w:rsid w:val="61834DEC"/>
    <w:rsid w:val="6198128F"/>
    <w:rsid w:val="61A0578B"/>
    <w:rsid w:val="61A129F7"/>
    <w:rsid w:val="61B7023A"/>
    <w:rsid w:val="61C55405"/>
    <w:rsid w:val="61C6117D"/>
    <w:rsid w:val="61CD1AB7"/>
    <w:rsid w:val="61E42010"/>
    <w:rsid w:val="61E525A6"/>
    <w:rsid w:val="61F07FA8"/>
    <w:rsid w:val="61FE6804"/>
    <w:rsid w:val="62036E28"/>
    <w:rsid w:val="621974FF"/>
    <w:rsid w:val="62226AB8"/>
    <w:rsid w:val="624932D1"/>
    <w:rsid w:val="62535A1A"/>
    <w:rsid w:val="625433CF"/>
    <w:rsid w:val="626F35C2"/>
    <w:rsid w:val="626F5572"/>
    <w:rsid w:val="62791F17"/>
    <w:rsid w:val="627B51F9"/>
    <w:rsid w:val="628F6062"/>
    <w:rsid w:val="629348FB"/>
    <w:rsid w:val="62A57F72"/>
    <w:rsid w:val="62AD2620"/>
    <w:rsid w:val="62B461AD"/>
    <w:rsid w:val="62C1790A"/>
    <w:rsid w:val="62C5329C"/>
    <w:rsid w:val="62CB35BF"/>
    <w:rsid w:val="62D26D7C"/>
    <w:rsid w:val="62EE7583"/>
    <w:rsid w:val="63087FC2"/>
    <w:rsid w:val="63115637"/>
    <w:rsid w:val="63124547"/>
    <w:rsid w:val="63173685"/>
    <w:rsid w:val="63177443"/>
    <w:rsid w:val="631A319B"/>
    <w:rsid w:val="634E10A9"/>
    <w:rsid w:val="636A45CE"/>
    <w:rsid w:val="636E62C8"/>
    <w:rsid w:val="639055F2"/>
    <w:rsid w:val="63B601E3"/>
    <w:rsid w:val="63C67212"/>
    <w:rsid w:val="63D9397B"/>
    <w:rsid w:val="63E861DD"/>
    <w:rsid w:val="63FA6ABD"/>
    <w:rsid w:val="640146EE"/>
    <w:rsid w:val="64145435"/>
    <w:rsid w:val="641461CF"/>
    <w:rsid w:val="641B4B2B"/>
    <w:rsid w:val="6424218B"/>
    <w:rsid w:val="642C1870"/>
    <w:rsid w:val="643F0D73"/>
    <w:rsid w:val="64416899"/>
    <w:rsid w:val="64441B82"/>
    <w:rsid w:val="64445E97"/>
    <w:rsid w:val="64471DB5"/>
    <w:rsid w:val="645102A7"/>
    <w:rsid w:val="64513ED4"/>
    <w:rsid w:val="64591EA1"/>
    <w:rsid w:val="646961C6"/>
    <w:rsid w:val="646E78D8"/>
    <w:rsid w:val="648C1AF2"/>
    <w:rsid w:val="64A2021B"/>
    <w:rsid w:val="64A357A5"/>
    <w:rsid w:val="64C25F72"/>
    <w:rsid w:val="64C465A4"/>
    <w:rsid w:val="64C816F1"/>
    <w:rsid w:val="64CA5274"/>
    <w:rsid w:val="64DE2012"/>
    <w:rsid w:val="64EF09EB"/>
    <w:rsid w:val="6521589F"/>
    <w:rsid w:val="65242DAF"/>
    <w:rsid w:val="65246F9E"/>
    <w:rsid w:val="65257F68"/>
    <w:rsid w:val="65270184"/>
    <w:rsid w:val="65366BBA"/>
    <w:rsid w:val="653E61D3"/>
    <w:rsid w:val="65466A80"/>
    <w:rsid w:val="65483659"/>
    <w:rsid w:val="655E7AA7"/>
    <w:rsid w:val="657C3F50"/>
    <w:rsid w:val="658156F8"/>
    <w:rsid w:val="65951811"/>
    <w:rsid w:val="65960E66"/>
    <w:rsid w:val="65A34851"/>
    <w:rsid w:val="65A73937"/>
    <w:rsid w:val="65A82ABD"/>
    <w:rsid w:val="65AA135E"/>
    <w:rsid w:val="65B80FE8"/>
    <w:rsid w:val="65B9763E"/>
    <w:rsid w:val="65BB7186"/>
    <w:rsid w:val="65DA292A"/>
    <w:rsid w:val="65DC6686"/>
    <w:rsid w:val="65F72C0B"/>
    <w:rsid w:val="6602597D"/>
    <w:rsid w:val="661974A0"/>
    <w:rsid w:val="663066AA"/>
    <w:rsid w:val="663C2E09"/>
    <w:rsid w:val="664B5439"/>
    <w:rsid w:val="668F5FE1"/>
    <w:rsid w:val="66A1445D"/>
    <w:rsid w:val="66A952F2"/>
    <w:rsid w:val="66CC6ABC"/>
    <w:rsid w:val="66CF0385"/>
    <w:rsid w:val="66D47C1B"/>
    <w:rsid w:val="66E83943"/>
    <w:rsid w:val="66E91249"/>
    <w:rsid w:val="670B7901"/>
    <w:rsid w:val="67195A90"/>
    <w:rsid w:val="671C1627"/>
    <w:rsid w:val="67230A4F"/>
    <w:rsid w:val="6723158E"/>
    <w:rsid w:val="67252DF1"/>
    <w:rsid w:val="67284FC8"/>
    <w:rsid w:val="672C6957"/>
    <w:rsid w:val="673E2874"/>
    <w:rsid w:val="675265E4"/>
    <w:rsid w:val="675E6122"/>
    <w:rsid w:val="676029FF"/>
    <w:rsid w:val="676254A4"/>
    <w:rsid w:val="676B07FC"/>
    <w:rsid w:val="67712A9D"/>
    <w:rsid w:val="67762F18"/>
    <w:rsid w:val="67921BBD"/>
    <w:rsid w:val="67C57E67"/>
    <w:rsid w:val="67C9579C"/>
    <w:rsid w:val="67E92D4F"/>
    <w:rsid w:val="67F450A0"/>
    <w:rsid w:val="67F85E08"/>
    <w:rsid w:val="68080747"/>
    <w:rsid w:val="680C3FD1"/>
    <w:rsid w:val="681708B9"/>
    <w:rsid w:val="68282249"/>
    <w:rsid w:val="68297D70"/>
    <w:rsid w:val="68503944"/>
    <w:rsid w:val="686E62F9"/>
    <w:rsid w:val="686F60CA"/>
    <w:rsid w:val="68781AE2"/>
    <w:rsid w:val="6883338F"/>
    <w:rsid w:val="68833924"/>
    <w:rsid w:val="688B28A7"/>
    <w:rsid w:val="688F19B6"/>
    <w:rsid w:val="68B52E6B"/>
    <w:rsid w:val="68F02EE7"/>
    <w:rsid w:val="68F106C2"/>
    <w:rsid w:val="68F23442"/>
    <w:rsid w:val="68F4037D"/>
    <w:rsid w:val="690B41A6"/>
    <w:rsid w:val="690C4D72"/>
    <w:rsid w:val="69270753"/>
    <w:rsid w:val="698F33C5"/>
    <w:rsid w:val="69AB1384"/>
    <w:rsid w:val="69C62824"/>
    <w:rsid w:val="69C77840"/>
    <w:rsid w:val="69D3205D"/>
    <w:rsid w:val="69D664CD"/>
    <w:rsid w:val="69DE5947"/>
    <w:rsid w:val="69E46D19"/>
    <w:rsid w:val="69F03E09"/>
    <w:rsid w:val="6A531FC9"/>
    <w:rsid w:val="6A5850ED"/>
    <w:rsid w:val="6A6E725A"/>
    <w:rsid w:val="6A773014"/>
    <w:rsid w:val="6A845731"/>
    <w:rsid w:val="6AA6164F"/>
    <w:rsid w:val="6AA858C3"/>
    <w:rsid w:val="6AAB3E09"/>
    <w:rsid w:val="6AD05C51"/>
    <w:rsid w:val="6AD13FA2"/>
    <w:rsid w:val="6AD420EE"/>
    <w:rsid w:val="6AEF34F2"/>
    <w:rsid w:val="6AFC24E4"/>
    <w:rsid w:val="6B014FD4"/>
    <w:rsid w:val="6B016D82"/>
    <w:rsid w:val="6B254524"/>
    <w:rsid w:val="6B2A452A"/>
    <w:rsid w:val="6B4155CC"/>
    <w:rsid w:val="6B5415A7"/>
    <w:rsid w:val="6B5E3D9E"/>
    <w:rsid w:val="6B62302D"/>
    <w:rsid w:val="6B786386"/>
    <w:rsid w:val="6BA325D3"/>
    <w:rsid w:val="6BB169FA"/>
    <w:rsid w:val="6BC45B5B"/>
    <w:rsid w:val="6BCC7390"/>
    <w:rsid w:val="6BCE3782"/>
    <w:rsid w:val="6BDE0817"/>
    <w:rsid w:val="6BE4292B"/>
    <w:rsid w:val="6BE91CF0"/>
    <w:rsid w:val="6C213531"/>
    <w:rsid w:val="6C290BE5"/>
    <w:rsid w:val="6C4755B5"/>
    <w:rsid w:val="6C485021"/>
    <w:rsid w:val="6C545752"/>
    <w:rsid w:val="6C600E73"/>
    <w:rsid w:val="6C6E6699"/>
    <w:rsid w:val="6C731F01"/>
    <w:rsid w:val="6C76578A"/>
    <w:rsid w:val="6C845EBC"/>
    <w:rsid w:val="6C9222F1"/>
    <w:rsid w:val="6CB73B9C"/>
    <w:rsid w:val="6CBB5C40"/>
    <w:rsid w:val="6CBD6329"/>
    <w:rsid w:val="6CC938CF"/>
    <w:rsid w:val="6CCA6B95"/>
    <w:rsid w:val="6CD93D16"/>
    <w:rsid w:val="6CE6676D"/>
    <w:rsid w:val="6CE93F71"/>
    <w:rsid w:val="6CF3253E"/>
    <w:rsid w:val="6CF86FC2"/>
    <w:rsid w:val="6D0C5172"/>
    <w:rsid w:val="6D0E2A37"/>
    <w:rsid w:val="6D1F5B6A"/>
    <w:rsid w:val="6D2A0812"/>
    <w:rsid w:val="6D5F3715"/>
    <w:rsid w:val="6D7B2E1B"/>
    <w:rsid w:val="6D8D60DA"/>
    <w:rsid w:val="6DB150D8"/>
    <w:rsid w:val="6DDD2361"/>
    <w:rsid w:val="6DF22170"/>
    <w:rsid w:val="6DF80910"/>
    <w:rsid w:val="6DFB4F9E"/>
    <w:rsid w:val="6DFE66EE"/>
    <w:rsid w:val="6E0B682D"/>
    <w:rsid w:val="6E1405F0"/>
    <w:rsid w:val="6E25015A"/>
    <w:rsid w:val="6E2561D5"/>
    <w:rsid w:val="6E4113DB"/>
    <w:rsid w:val="6E49729F"/>
    <w:rsid w:val="6E6164B5"/>
    <w:rsid w:val="6E67065D"/>
    <w:rsid w:val="6E7D7592"/>
    <w:rsid w:val="6E82143B"/>
    <w:rsid w:val="6E8F685A"/>
    <w:rsid w:val="6E9E6C4E"/>
    <w:rsid w:val="6EA33880"/>
    <w:rsid w:val="6EAA2FD1"/>
    <w:rsid w:val="6EB8054A"/>
    <w:rsid w:val="6EC425A0"/>
    <w:rsid w:val="6EC67E1E"/>
    <w:rsid w:val="6ECE4523"/>
    <w:rsid w:val="6ED15B19"/>
    <w:rsid w:val="6EE14D69"/>
    <w:rsid w:val="6EE175F6"/>
    <w:rsid w:val="6EF7795F"/>
    <w:rsid w:val="6EF90976"/>
    <w:rsid w:val="6F201503"/>
    <w:rsid w:val="6F3E67F6"/>
    <w:rsid w:val="6F4255E5"/>
    <w:rsid w:val="6F4D07E7"/>
    <w:rsid w:val="6F4E0E08"/>
    <w:rsid w:val="6F552484"/>
    <w:rsid w:val="6F590F9A"/>
    <w:rsid w:val="6F6E56EE"/>
    <w:rsid w:val="6F742686"/>
    <w:rsid w:val="6F8112BF"/>
    <w:rsid w:val="6F8142E8"/>
    <w:rsid w:val="6F822CAA"/>
    <w:rsid w:val="6F942142"/>
    <w:rsid w:val="6F9A3F5D"/>
    <w:rsid w:val="6FA83C70"/>
    <w:rsid w:val="6FB203E3"/>
    <w:rsid w:val="6FD62EAD"/>
    <w:rsid w:val="6FDD7D5D"/>
    <w:rsid w:val="6FE31A98"/>
    <w:rsid w:val="6FE42FF4"/>
    <w:rsid w:val="6FE56CCD"/>
    <w:rsid w:val="6FEC2350"/>
    <w:rsid w:val="6FFA07CD"/>
    <w:rsid w:val="700F65B1"/>
    <w:rsid w:val="70185601"/>
    <w:rsid w:val="70293003"/>
    <w:rsid w:val="70335C2F"/>
    <w:rsid w:val="703D1A66"/>
    <w:rsid w:val="704C496B"/>
    <w:rsid w:val="706109EE"/>
    <w:rsid w:val="706252BB"/>
    <w:rsid w:val="70651263"/>
    <w:rsid w:val="706B6064"/>
    <w:rsid w:val="706E1E73"/>
    <w:rsid w:val="70797034"/>
    <w:rsid w:val="708E362C"/>
    <w:rsid w:val="70AB7EBB"/>
    <w:rsid w:val="70AF7167"/>
    <w:rsid w:val="70B675DD"/>
    <w:rsid w:val="70BA1EAD"/>
    <w:rsid w:val="70BF74C3"/>
    <w:rsid w:val="70C46777"/>
    <w:rsid w:val="70EC6AAA"/>
    <w:rsid w:val="70EE256C"/>
    <w:rsid w:val="70F40C0D"/>
    <w:rsid w:val="70F809BC"/>
    <w:rsid w:val="710E0482"/>
    <w:rsid w:val="7125466D"/>
    <w:rsid w:val="712A510B"/>
    <w:rsid w:val="71392364"/>
    <w:rsid w:val="713A12C1"/>
    <w:rsid w:val="713E488C"/>
    <w:rsid w:val="71415561"/>
    <w:rsid w:val="714640A3"/>
    <w:rsid w:val="71534870"/>
    <w:rsid w:val="716100AF"/>
    <w:rsid w:val="716E7508"/>
    <w:rsid w:val="71762335"/>
    <w:rsid w:val="718D50B2"/>
    <w:rsid w:val="71A57C2C"/>
    <w:rsid w:val="71AA058E"/>
    <w:rsid w:val="71AA6B8E"/>
    <w:rsid w:val="71BD454A"/>
    <w:rsid w:val="71BF78E4"/>
    <w:rsid w:val="71C64881"/>
    <w:rsid w:val="71DB5236"/>
    <w:rsid w:val="71E071B7"/>
    <w:rsid w:val="71E76CD1"/>
    <w:rsid w:val="71EB3256"/>
    <w:rsid w:val="71F47640"/>
    <w:rsid w:val="71F65AD4"/>
    <w:rsid w:val="71F97F09"/>
    <w:rsid w:val="71FB318C"/>
    <w:rsid w:val="720553A9"/>
    <w:rsid w:val="72361A07"/>
    <w:rsid w:val="7236407E"/>
    <w:rsid w:val="724E4AFF"/>
    <w:rsid w:val="72540163"/>
    <w:rsid w:val="72597081"/>
    <w:rsid w:val="72663411"/>
    <w:rsid w:val="728602FC"/>
    <w:rsid w:val="728E37CE"/>
    <w:rsid w:val="729606F7"/>
    <w:rsid w:val="7299672B"/>
    <w:rsid w:val="72A6078D"/>
    <w:rsid w:val="72A64D89"/>
    <w:rsid w:val="72AB217A"/>
    <w:rsid w:val="72D74F98"/>
    <w:rsid w:val="72D869DA"/>
    <w:rsid w:val="72D903DE"/>
    <w:rsid w:val="72D908F5"/>
    <w:rsid w:val="72DB0748"/>
    <w:rsid w:val="72DE70C1"/>
    <w:rsid w:val="72E94CCB"/>
    <w:rsid w:val="730206BF"/>
    <w:rsid w:val="731246FA"/>
    <w:rsid w:val="73213C2B"/>
    <w:rsid w:val="73267420"/>
    <w:rsid w:val="733D0A01"/>
    <w:rsid w:val="73423B21"/>
    <w:rsid w:val="735D64C7"/>
    <w:rsid w:val="73614861"/>
    <w:rsid w:val="73630278"/>
    <w:rsid w:val="7366631C"/>
    <w:rsid w:val="738844E4"/>
    <w:rsid w:val="739509AF"/>
    <w:rsid w:val="73994BA5"/>
    <w:rsid w:val="73A548CD"/>
    <w:rsid w:val="73AE6778"/>
    <w:rsid w:val="73BB5AAB"/>
    <w:rsid w:val="73BF4F98"/>
    <w:rsid w:val="73CB6C54"/>
    <w:rsid w:val="73CD1EF7"/>
    <w:rsid w:val="73E00E62"/>
    <w:rsid w:val="73E82648"/>
    <w:rsid w:val="7410076D"/>
    <w:rsid w:val="741471DB"/>
    <w:rsid w:val="7419338E"/>
    <w:rsid w:val="744301AD"/>
    <w:rsid w:val="7480340D"/>
    <w:rsid w:val="7482737C"/>
    <w:rsid w:val="74934EEE"/>
    <w:rsid w:val="74A2095C"/>
    <w:rsid w:val="74B32897"/>
    <w:rsid w:val="74B44378"/>
    <w:rsid w:val="74BE1905"/>
    <w:rsid w:val="74C07CAE"/>
    <w:rsid w:val="74D32DDC"/>
    <w:rsid w:val="74E36979"/>
    <w:rsid w:val="74E521FD"/>
    <w:rsid w:val="74EB6AD9"/>
    <w:rsid w:val="74EE5ACA"/>
    <w:rsid w:val="751D6B13"/>
    <w:rsid w:val="752A71AE"/>
    <w:rsid w:val="7540263A"/>
    <w:rsid w:val="75480ED2"/>
    <w:rsid w:val="75483F2B"/>
    <w:rsid w:val="756F6066"/>
    <w:rsid w:val="758317AD"/>
    <w:rsid w:val="75837AB8"/>
    <w:rsid w:val="75840CDB"/>
    <w:rsid w:val="758A319A"/>
    <w:rsid w:val="75D6166F"/>
    <w:rsid w:val="75E07011"/>
    <w:rsid w:val="75FE5368"/>
    <w:rsid w:val="75FF6F29"/>
    <w:rsid w:val="761B1298"/>
    <w:rsid w:val="761E3068"/>
    <w:rsid w:val="762A2C8E"/>
    <w:rsid w:val="762D3121"/>
    <w:rsid w:val="76342701"/>
    <w:rsid w:val="76392BDB"/>
    <w:rsid w:val="76397D18"/>
    <w:rsid w:val="763A3641"/>
    <w:rsid w:val="764A16E1"/>
    <w:rsid w:val="768014A2"/>
    <w:rsid w:val="769E4D37"/>
    <w:rsid w:val="76A20275"/>
    <w:rsid w:val="76AA0ABE"/>
    <w:rsid w:val="76AA52BD"/>
    <w:rsid w:val="76C43A85"/>
    <w:rsid w:val="76CD6578"/>
    <w:rsid w:val="76DB5DA8"/>
    <w:rsid w:val="770519A8"/>
    <w:rsid w:val="770E7677"/>
    <w:rsid w:val="771F0CBB"/>
    <w:rsid w:val="772D6C2E"/>
    <w:rsid w:val="7760701D"/>
    <w:rsid w:val="77731AA5"/>
    <w:rsid w:val="7778661E"/>
    <w:rsid w:val="7782124A"/>
    <w:rsid w:val="77866F8C"/>
    <w:rsid w:val="7797523E"/>
    <w:rsid w:val="779C70B1"/>
    <w:rsid w:val="77A962C9"/>
    <w:rsid w:val="77D65415"/>
    <w:rsid w:val="77DF17FF"/>
    <w:rsid w:val="77E048EF"/>
    <w:rsid w:val="77EC2028"/>
    <w:rsid w:val="782D7408"/>
    <w:rsid w:val="782E021C"/>
    <w:rsid w:val="78312F3D"/>
    <w:rsid w:val="784B203D"/>
    <w:rsid w:val="786A065C"/>
    <w:rsid w:val="788944C1"/>
    <w:rsid w:val="78915BE9"/>
    <w:rsid w:val="78A709A4"/>
    <w:rsid w:val="78B6564F"/>
    <w:rsid w:val="78B96EEE"/>
    <w:rsid w:val="78E24251"/>
    <w:rsid w:val="78F14F60"/>
    <w:rsid w:val="78FF3F8C"/>
    <w:rsid w:val="79134EC5"/>
    <w:rsid w:val="791F31F5"/>
    <w:rsid w:val="79292867"/>
    <w:rsid w:val="792A1421"/>
    <w:rsid w:val="792A3948"/>
    <w:rsid w:val="79305402"/>
    <w:rsid w:val="793E06DC"/>
    <w:rsid w:val="794C346C"/>
    <w:rsid w:val="797562A8"/>
    <w:rsid w:val="7984574E"/>
    <w:rsid w:val="79856DD0"/>
    <w:rsid w:val="79876FEC"/>
    <w:rsid w:val="79982722"/>
    <w:rsid w:val="799D236B"/>
    <w:rsid w:val="79A75D0B"/>
    <w:rsid w:val="79A80D6F"/>
    <w:rsid w:val="79AC25AE"/>
    <w:rsid w:val="79B853F7"/>
    <w:rsid w:val="79BF22E2"/>
    <w:rsid w:val="79D815F5"/>
    <w:rsid w:val="79D868E4"/>
    <w:rsid w:val="79EE3F60"/>
    <w:rsid w:val="7A062657"/>
    <w:rsid w:val="7A184059"/>
    <w:rsid w:val="7A20151A"/>
    <w:rsid w:val="7A24483B"/>
    <w:rsid w:val="7A2834C9"/>
    <w:rsid w:val="7A3E4CD1"/>
    <w:rsid w:val="7A4F18B8"/>
    <w:rsid w:val="7A5549F4"/>
    <w:rsid w:val="7A5B2C12"/>
    <w:rsid w:val="7A635307"/>
    <w:rsid w:val="7A6A66F1"/>
    <w:rsid w:val="7A7514BC"/>
    <w:rsid w:val="7A87203F"/>
    <w:rsid w:val="7A8E436A"/>
    <w:rsid w:val="7A9E283F"/>
    <w:rsid w:val="7AAF1529"/>
    <w:rsid w:val="7AB865AB"/>
    <w:rsid w:val="7ABE10C0"/>
    <w:rsid w:val="7AC31793"/>
    <w:rsid w:val="7AE000C0"/>
    <w:rsid w:val="7AE52C46"/>
    <w:rsid w:val="7B026076"/>
    <w:rsid w:val="7B027C2C"/>
    <w:rsid w:val="7B036F2D"/>
    <w:rsid w:val="7B046186"/>
    <w:rsid w:val="7B20027E"/>
    <w:rsid w:val="7B25086A"/>
    <w:rsid w:val="7B2A2985"/>
    <w:rsid w:val="7B4E7E93"/>
    <w:rsid w:val="7B537B58"/>
    <w:rsid w:val="7B5A49B8"/>
    <w:rsid w:val="7B6C264E"/>
    <w:rsid w:val="7B883084"/>
    <w:rsid w:val="7B8A32BE"/>
    <w:rsid w:val="7B8B2344"/>
    <w:rsid w:val="7BA479E1"/>
    <w:rsid w:val="7BA9149B"/>
    <w:rsid w:val="7BAE0B39"/>
    <w:rsid w:val="7BB229D4"/>
    <w:rsid w:val="7BC65BA9"/>
    <w:rsid w:val="7BC92FD6"/>
    <w:rsid w:val="7BD5403F"/>
    <w:rsid w:val="7BDD1F8F"/>
    <w:rsid w:val="7BDF27F5"/>
    <w:rsid w:val="7BE73D72"/>
    <w:rsid w:val="7C04568B"/>
    <w:rsid w:val="7C105077"/>
    <w:rsid w:val="7C133289"/>
    <w:rsid w:val="7C1515CB"/>
    <w:rsid w:val="7C1936C7"/>
    <w:rsid w:val="7C5115A1"/>
    <w:rsid w:val="7C6A497F"/>
    <w:rsid w:val="7C6F7820"/>
    <w:rsid w:val="7C7575D0"/>
    <w:rsid w:val="7C7E46D6"/>
    <w:rsid w:val="7C7F52F3"/>
    <w:rsid w:val="7C900DCC"/>
    <w:rsid w:val="7C92311B"/>
    <w:rsid w:val="7C95557C"/>
    <w:rsid w:val="7CB059F6"/>
    <w:rsid w:val="7CB531C4"/>
    <w:rsid w:val="7CB6373B"/>
    <w:rsid w:val="7CBC51FE"/>
    <w:rsid w:val="7CC47637"/>
    <w:rsid w:val="7CF31AF4"/>
    <w:rsid w:val="7D173F02"/>
    <w:rsid w:val="7D296128"/>
    <w:rsid w:val="7D2C0E5B"/>
    <w:rsid w:val="7D2C732A"/>
    <w:rsid w:val="7D3A4C98"/>
    <w:rsid w:val="7D416C77"/>
    <w:rsid w:val="7D43264B"/>
    <w:rsid w:val="7D496A92"/>
    <w:rsid w:val="7D4A0EA6"/>
    <w:rsid w:val="7D4B1AA1"/>
    <w:rsid w:val="7D4B67F5"/>
    <w:rsid w:val="7D5B609A"/>
    <w:rsid w:val="7D633F4F"/>
    <w:rsid w:val="7D6A601E"/>
    <w:rsid w:val="7D6E0D19"/>
    <w:rsid w:val="7DA474E7"/>
    <w:rsid w:val="7DBB6758"/>
    <w:rsid w:val="7DBF70DD"/>
    <w:rsid w:val="7DC23446"/>
    <w:rsid w:val="7DD45B5F"/>
    <w:rsid w:val="7DE60785"/>
    <w:rsid w:val="7DE8525B"/>
    <w:rsid w:val="7E0E63BD"/>
    <w:rsid w:val="7E1075B0"/>
    <w:rsid w:val="7E1370A0"/>
    <w:rsid w:val="7E293656"/>
    <w:rsid w:val="7E3F7E95"/>
    <w:rsid w:val="7E404A21"/>
    <w:rsid w:val="7E565A4B"/>
    <w:rsid w:val="7E5971A9"/>
    <w:rsid w:val="7E617E0B"/>
    <w:rsid w:val="7E9B5AE7"/>
    <w:rsid w:val="7EB81511"/>
    <w:rsid w:val="7EC67F4B"/>
    <w:rsid w:val="7ED76B56"/>
    <w:rsid w:val="7EDC56E4"/>
    <w:rsid w:val="7EE437DA"/>
    <w:rsid w:val="7F08297D"/>
    <w:rsid w:val="7F1135E0"/>
    <w:rsid w:val="7F1C6F81"/>
    <w:rsid w:val="7F2C4864"/>
    <w:rsid w:val="7F3563D6"/>
    <w:rsid w:val="7F435B4E"/>
    <w:rsid w:val="7F49147B"/>
    <w:rsid w:val="7F4B474E"/>
    <w:rsid w:val="7F4E65E2"/>
    <w:rsid w:val="7F7465EF"/>
    <w:rsid w:val="7F7C7D0A"/>
    <w:rsid w:val="7F7E0DE1"/>
    <w:rsid w:val="7FD0249F"/>
    <w:rsid w:val="7FD72BF9"/>
    <w:rsid w:val="7FDC12CB"/>
    <w:rsid w:val="7FDE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4"/>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5"/>
    <w:qFormat/>
    <w:uiPriority w:val="0"/>
    <w:pPr>
      <w:keepNext/>
      <w:keepLines/>
      <w:spacing w:before="260" w:after="260" w:line="416" w:lineRule="auto"/>
      <w:outlineLvl w:val="2"/>
    </w:pPr>
    <w:rPr>
      <w:b/>
      <w:bCs/>
      <w:sz w:val="32"/>
      <w:szCs w:val="32"/>
    </w:rPr>
  </w:style>
  <w:style w:type="paragraph" w:styleId="5">
    <w:name w:val="heading 4"/>
    <w:basedOn w:val="1"/>
    <w:next w:val="1"/>
    <w:link w:val="173"/>
    <w:qFormat/>
    <w:uiPriority w:val="0"/>
    <w:pPr>
      <w:keepNext/>
      <w:keepLines/>
      <w:spacing w:before="280" w:after="290" w:line="376" w:lineRule="auto"/>
      <w:outlineLvl w:val="3"/>
    </w:pPr>
    <w:rPr>
      <w:rFonts w:ascii="Calibri Light" w:hAnsi="Calibri Light"/>
      <w:b/>
      <w:bCs/>
      <w:sz w:val="24"/>
      <w:szCs w:val="28"/>
    </w:rPr>
  </w:style>
  <w:style w:type="paragraph" w:styleId="6">
    <w:name w:val="heading 5"/>
    <w:basedOn w:val="1"/>
    <w:next w:val="1"/>
    <w:link w:val="77"/>
    <w:qFormat/>
    <w:uiPriority w:val="0"/>
    <w:pPr>
      <w:keepNext/>
      <w:keepLines/>
      <w:adjustRightInd w:val="0"/>
      <w:spacing w:before="280" w:after="290" w:line="376" w:lineRule="atLeast"/>
      <w:textAlignment w:val="baseline"/>
      <w:outlineLvl w:val="4"/>
    </w:pPr>
    <w:rPr>
      <w:rFonts w:ascii="Times New Roman" w:hAnsi="Times New Roman"/>
      <w:b/>
      <w:kern w:val="0"/>
      <w:sz w:val="28"/>
      <w:szCs w:val="20"/>
    </w:rPr>
  </w:style>
  <w:style w:type="paragraph" w:styleId="7">
    <w:name w:val="heading 6"/>
    <w:basedOn w:val="1"/>
    <w:next w:val="1"/>
    <w:link w:val="7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9"/>
    <w:qFormat/>
    <w:uiPriority w:val="0"/>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9">
    <w:name w:val="heading 8"/>
    <w:basedOn w:val="1"/>
    <w:next w:val="1"/>
    <w:link w:val="8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table of authorities"/>
    <w:basedOn w:val="1"/>
    <w:next w:val="1"/>
    <w:unhideWhenUsed/>
    <w:qFormat/>
    <w:uiPriority w:val="99"/>
    <w:pPr>
      <w:ind w:left="420"/>
    </w:pPr>
  </w:style>
  <w:style w:type="paragraph" w:styleId="14">
    <w:name w:val="Normal Indent"/>
    <w:basedOn w:val="1"/>
    <w:link w:val="82"/>
    <w:unhideWhenUsed/>
    <w:qFormat/>
    <w:uiPriority w:val="0"/>
    <w:pPr>
      <w:spacing w:line="360" w:lineRule="auto"/>
      <w:ind w:firstLine="454"/>
    </w:pPr>
    <w:rPr>
      <w:sz w:val="24"/>
      <w:szCs w:val="20"/>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3"/>
    <w:qFormat/>
    <w:uiPriority w:val="0"/>
    <w:pPr>
      <w:shd w:val="clear" w:color="auto" w:fill="000080"/>
    </w:pPr>
  </w:style>
  <w:style w:type="paragraph" w:styleId="17">
    <w:name w:val="toa heading"/>
    <w:basedOn w:val="1"/>
    <w:next w:val="1"/>
    <w:qFormat/>
    <w:uiPriority w:val="99"/>
    <w:pPr>
      <w:spacing w:before="120"/>
    </w:pPr>
    <w:rPr>
      <w:rFonts w:ascii="Arial" w:hAnsi="Arial" w:cs="Arial"/>
      <w:sz w:val="24"/>
    </w:rPr>
  </w:style>
  <w:style w:type="paragraph" w:styleId="18">
    <w:name w:val="annotation text"/>
    <w:basedOn w:val="1"/>
    <w:next w:val="19"/>
    <w:link w:val="84"/>
    <w:qFormat/>
    <w:uiPriority w:val="0"/>
    <w:pPr>
      <w:jc w:val="left"/>
    </w:pPr>
  </w:style>
  <w:style w:type="paragraph" w:styleId="19">
    <w:name w:val="Body Text 3"/>
    <w:basedOn w:val="1"/>
    <w:next w:val="20"/>
    <w:link w:val="182"/>
    <w:qFormat/>
    <w:uiPriority w:val="0"/>
    <w:pPr>
      <w:widowControl/>
      <w:spacing w:line="440" w:lineRule="exact"/>
      <w:jc w:val="left"/>
    </w:pPr>
    <w:rPr>
      <w:rFonts w:ascii="宋体" w:hAnsi="宋体"/>
      <w:kern w:val="0"/>
      <w:szCs w:val="21"/>
    </w:rPr>
  </w:style>
  <w:style w:type="paragraph" w:styleId="20">
    <w:name w:val="Balloon Text"/>
    <w:basedOn w:val="1"/>
    <w:next w:val="1"/>
    <w:link w:val="90"/>
    <w:unhideWhenUsed/>
    <w:qFormat/>
    <w:uiPriority w:val="0"/>
    <w:rPr>
      <w:sz w:val="18"/>
      <w:szCs w:val="18"/>
    </w:rPr>
  </w:style>
  <w:style w:type="paragraph" w:styleId="21">
    <w:name w:val="Salutation"/>
    <w:basedOn w:val="1"/>
    <w:next w:val="1"/>
    <w:link w:val="181"/>
    <w:qFormat/>
    <w:uiPriority w:val="0"/>
    <w:pPr>
      <w:jc w:val="left"/>
    </w:pPr>
    <w:rPr>
      <w:sz w:val="28"/>
      <w:szCs w:val="20"/>
    </w:rPr>
  </w:style>
  <w:style w:type="paragraph" w:styleId="22">
    <w:name w:val="Body Text"/>
    <w:basedOn w:val="1"/>
    <w:next w:val="1"/>
    <w:link w:val="85"/>
    <w:unhideWhenUsed/>
    <w:qFormat/>
    <w:uiPriority w:val="0"/>
    <w:pPr>
      <w:spacing w:after="120"/>
    </w:pPr>
  </w:style>
  <w:style w:type="paragraph" w:styleId="23">
    <w:name w:val="Body Text Indent"/>
    <w:basedOn w:val="1"/>
    <w:link w:val="86"/>
    <w:qFormat/>
    <w:uiPriority w:val="0"/>
    <w:pPr>
      <w:ind w:firstLine="560" w:firstLineChars="200"/>
    </w:pPr>
    <w:rPr>
      <w:sz w:val="24"/>
    </w:rPr>
  </w:style>
  <w:style w:type="paragraph" w:styleId="24">
    <w:name w:val="List 2"/>
    <w:basedOn w:val="1"/>
    <w:qFormat/>
    <w:uiPriority w:val="0"/>
    <w:pPr>
      <w:ind w:left="100" w:leftChars="200" w:hanging="200" w:hangingChars="200"/>
    </w:pPr>
    <w:rPr>
      <w:rFonts w:ascii="Times New Roman" w:hAnsi="Times New Roman"/>
    </w:rPr>
  </w:style>
  <w:style w:type="paragraph" w:styleId="25">
    <w:name w:val="List Continue"/>
    <w:basedOn w:val="1"/>
    <w:unhideWhenUsed/>
    <w:qFormat/>
    <w:uiPriority w:val="0"/>
    <w:pPr>
      <w:widowControl/>
      <w:spacing w:after="119" w:line="351" w:lineRule="atLeast"/>
      <w:ind w:firstLine="419"/>
    </w:pPr>
    <w:rPr>
      <w:rFonts w:ascii="仿宋_GB2312" w:eastAsia="仿宋_GB2312"/>
      <w:color w:val="000000"/>
      <w:sz w:val="28"/>
    </w:rPr>
  </w:style>
  <w:style w:type="paragraph" w:styleId="26">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27">
    <w:name w:val="HTML Address"/>
    <w:basedOn w:val="1"/>
    <w:link w:val="185"/>
    <w:qFormat/>
    <w:uiPriority w:val="0"/>
    <w:pPr>
      <w:spacing w:line="360" w:lineRule="auto"/>
    </w:pPr>
    <w:rPr>
      <w:rFonts w:ascii="宋体" w:hAnsi="Times New Roman"/>
      <w:i/>
      <w:iCs/>
      <w:kern w:val="21"/>
      <w:sz w:val="20"/>
      <w:szCs w:val="21"/>
    </w:r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30">
    <w:name w:val="Plain Text"/>
    <w:basedOn w:val="1"/>
    <w:link w:val="87"/>
    <w:unhideWhenUsed/>
    <w:qFormat/>
    <w:uiPriority w:val="0"/>
    <w:rPr>
      <w:rFonts w:ascii="宋体" w:hAnsi="Courier New"/>
      <w:szCs w:val="20"/>
    </w:rPr>
  </w:style>
  <w:style w:type="paragraph" w:styleId="31">
    <w:name w:val="toc 8"/>
    <w:basedOn w:val="1"/>
    <w:next w:val="1"/>
    <w:unhideWhenUsed/>
    <w:qFormat/>
    <w:uiPriority w:val="39"/>
    <w:pPr>
      <w:ind w:left="2940" w:leftChars="1400"/>
    </w:pPr>
    <w:rPr>
      <w:rFonts w:ascii="等线" w:hAnsi="等线" w:eastAsia="等线"/>
      <w:szCs w:val="22"/>
    </w:rPr>
  </w:style>
  <w:style w:type="paragraph" w:styleId="32">
    <w:name w:val="Date"/>
    <w:basedOn w:val="1"/>
    <w:next w:val="1"/>
    <w:link w:val="88"/>
    <w:qFormat/>
    <w:uiPriority w:val="0"/>
  </w:style>
  <w:style w:type="paragraph" w:styleId="33">
    <w:name w:val="Body Text Indent 2"/>
    <w:basedOn w:val="1"/>
    <w:link w:val="89"/>
    <w:unhideWhenUsed/>
    <w:qFormat/>
    <w:uiPriority w:val="0"/>
    <w:pPr>
      <w:spacing w:after="120" w:line="480" w:lineRule="auto"/>
      <w:ind w:left="420" w:leftChars="200"/>
    </w:pPr>
  </w:style>
  <w:style w:type="paragraph" w:styleId="34">
    <w:name w:val="footer"/>
    <w:basedOn w:val="1"/>
    <w:next w:val="1"/>
    <w:link w:val="91"/>
    <w:qFormat/>
    <w:uiPriority w:val="99"/>
    <w:pPr>
      <w:tabs>
        <w:tab w:val="center" w:pos="4153"/>
        <w:tab w:val="right" w:pos="8306"/>
      </w:tabs>
      <w:snapToGrid w:val="0"/>
      <w:jc w:val="left"/>
    </w:pPr>
    <w:rPr>
      <w:sz w:val="18"/>
      <w:szCs w:val="18"/>
    </w:rPr>
  </w:style>
  <w:style w:type="paragraph" w:styleId="35">
    <w:name w:val="header"/>
    <w:basedOn w:val="1"/>
    <w:next w:val="18"/>
    <w:link w:val="9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rPr>
      <w:rFonts w:ascii="Times New Roman" w:hAnsi="Times New Roman"/>
    </w:rPr>
  </w:style>
  <w:style w:type="paragraph" w:styleId="37">
    <w:name w:val="toc 4"/>
    <w:basedOn w:val="1"/>
    <w:next w:val="1"/>
    <w:unhideWhenUsed/>
    <w:qFormat/>
    <w:uiPriority w:val="39"/>
    <w:pPr>
      <w:ind w:left="1260" w:leftChars="600"/>
    </w:pPr>
  </w:style>
  <w:style w:type="paragraph" w:styleId="38">
    <w:name w:val="Subtitle"/>
    <w:basedOn w:val="1"/>
    <w:next w:val="1"/>
    <w:link w:val="93"/>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9">
    <w:name w:val="List"/>
    <w:basedOn w:val="1"/>
    <w:qFormat/>
    <w:uiPriority w:val="0"/>
    <w:pPr>
      <w:ind w:left="200" w:hanging="200" w:hangingChars="200"/>
    </w:pPr>
    <w:rPr>
      <w:rFonts w:ascii="Times New Roman" w:hAnsi="Times New Roman"/>
    </w:rPr>
  </w:style>
  <w:style w:type="paragraph" w:styleId="40">
    <w:name w:val="footnote text"/>
    <w:basedOn w:val="1"/>
    <w:link w:val="190"/>
    <w:qFormat/>
    <w:uiPriority w:val="0"/>
    <w:pPr>
      <w:snapToGrid w:val="0"/>
      <w:spacing w:line="360" w:lineRule="auto"/>
      <w:jc w:val="left"/>
    </w:pPr>
    <w:rPr>
      <w:rFonts w:ascii="宋体" w:hAnsi="Times New Roman"/>
      <w:kern w:val="21"/>
      <w:sz w:val="18"/>
      <w:szCs w:val="18"/>
    </w:rPr>
  </w:style>
  <w:style w:type="paragraph" w:styleId="41">
    <w:name w:val="toc 6"/>
    <w:basedOn w:val="1"/>
    <w:next w:val="1"/>
    <w:unhideWhenUsed/>
    <w:qFormat/>
    <w:uiPriority w:val="39"/>
    <w:pPr>
      <w:ind w:left="2100" w:leftChars="1000"/>
    </w:pPr>
    <w:rPr>
      <w:rFonts w:ascii="等线" w:hAnsi="等线" w:eastAsia="等线"/>
      <w:szCs w:val="22"/>
    </w:rPr>
  </w:style>
  <w:style w:type="paragraph" w:styleId="42">
    <w:name w:val="List 5"/>
    <w:basedOn w:val="1"/>
    <w:qFormat/>
    <w:uiPriority w:val="0"/>
    <w:pPr>
      <w:ind w:left="100" w:leftChars="800" w:hanging="200" w:hangingChars="200"/>
    </w:pPr>
    <w:rPr>
      <w:rFonts w:ascii="Times New Roman" w:hAnsi="Times New Roman"/>
    </w:rPr>
  </w:style>
  <w:style w:type="paragraph" w:styleId="43">
    <w:name w:val="Body Text Indent 3"/>
    <w:basedOn w:val="1"/>
    <w:link w:val="191"/>
    <w:qFormat/>
    <w:uiPriority w:val="0"/>
    <w:pPr>
      <w:widowControl/>
      <w:spacing w:line="360" w:lineRule="atLeast"/>
      <w:ind w:left="420"/>
      <w:jc w:val="left"/>
    </w:pPr>
    <w:rPr>
      <w:rFonts w:ascii="宋体" w:hAnsi="宋体"/>
      <w:kern w:val="0"/>
      <w:szCs w:val="21"/>
    </w:rPr>
  </w:style>
  <w:style w:type="paragraph" w:styleId="44">
    <w:name w:val="toc 2"/>
    <w:basedOn w:val="1"/>
    <w:next w:val="1"/>
    <w:qFormat/>
    <w:uiPriority w:val="39"/>
    <w:pPr>
      <w:ind w:left="420" w:leftChars="200"/>
    </w:pPr>
    <w:rPr>
      <w:rFonts w:ascii="Times New Roman" w:hAnsi="Times New Roman"/>
    </w:rPr>
  </w:style>
  <w:style w:type="paragraph" w:styleId="45">
    <w:name w:val="toc 9"/>
    <w:basedOn w:val="1"/>
    <w:next w:val="1"/>
    <w:unhideWhenUsed/>
    <w:qFormat/>
    <w:uiPriority w:val="39"/>
    <w:pPr>
      <w:ind w:left="3360" w:leftChars="1600"/>
    </w:pPr>
    <w:rPr>
      <w:rFonts w:ascii="等线" w:hAnsi="等线" w:eastAsia="等线"/>
      <w:szCs w:val="22"/>
    </w:rPr>
  </w:style>
  <w:style w:type="paragraph" w:styleId="46">
    <w:name w:val="Body Text 2"/>
    <w:basedOn w:val="1"/>
    <w:link w:val="94"/>
    <w:unhideWhenUsed/>
    <w:qFormat/>
    <w:uiPriority w:val="0"/>
    <w:pPr>
      <w:spacing w:after="120" w:line="480" w:lineRule="auto"/>
    </w:pPr>
  </w:style>
  <w:style w:type="paragraph" w:styleId="47">
    <w:name w:val="List 4"/>
    <w:basedOn w:val="1"/>
    <w:qFormat/>
    <w:uiPriority w:val="0"/>
    <w:pPr>
      <w:ind w:left="100" w:leftChars="600" w:hanging="200" w:hangingChars="200"/>
    </w:pPr>
    <w:rPr>
      <w:rFonts w:ascii="Times New Roman" w:hAnsi="Times New Roman"/>
    </w:rPr>
  </w:style>
  <w:style w:type="paragraph" w:styleId="48">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9">
    <w:name w:val="Normal (Web)"/>
    <w:basedOn w:val="1"/>
    <w:link w:val="96"/>
    <w:qFormat/>
    <w:uiPriority w:val="99"/>
    <w:pPr>
      <w:widowControl/>
      <w:wordWrap w:val="0"/>
      <w:spacing w:before="100" w:beforeAutospacing="1" w:after="100" w:afterAutospacing="1"/>
      <w:jc w:val="left"/>
    </w:pPr>
    <w:rPr>
      <w:rFonts w:ascii="宋体" w:hAnsi="宋体" w:cs="宋体"/>
      <w:kern w:val="0"/>
      <w:sz w:val="24"/>
    </w:rPr>
  </w:style>
  <w:style w:type="paragraph" w:styleId="50">
    <w:name w:val="index 1"/>
    <w:basedOn w:val="1"/>
    <w:next w:val="1"/>
    <w:qFormat/>
    <w:uiPriority w:val="0"/>
    <w:pPr>
      <w:spacing w:line="360" w:lineRule="auto"/>
    </w:pPr>
    <w:rPr>
      <w:rFonts w:ascii="Times New Roman" w:hAnsi="Times New Roman"/>
      <w:szCs w:val="20"/>
    </w:rPr>
  </w:style>
  <w:style w:type="paragraph" w:styleId="51">
    <w:name w:val="Title"/>
    <w:basedOn w:val="1"/>
    <w:next w:val="1"/>
    <w:link w:val="97"/>
    <w:qFormat/>
    <w:uiPriority w:val="0"/>
    <w:pPr>
      <w:spacing w:before="240" w:after="60"/>
      <w:jc w:val="center"/>
      <w:outlineLvl w:val="0"/>
    </w:pPr>
    <w:rPr>
      <w:rFonts w:ascii="Cambria" w:hAnsi="Cambria"/>
      <w:b/>
      <w:bCs/>
      <w:sz w:val="32"/>
      <w:szCs w:val="32"/>
    </w:rPr>
  </w:style>
  <w:style w:type="paragraph" w:styleId="52">
    <w:name w:val="annotation subject"/>
    <w:basedOn w:val="18"/>
    <w:next w:val="18"/>
    <w:link w:val="195"/>
    <w:qFormat/>
    <w:uiPriority w:val="0"/>
    <w:rPr>
      <w:rFonts w:ascii="Times New Roman" w:hAnsi="Times New Roman"/>
      <w:b/>
      <w:bCs/>
    </w:rPr>
  </w:style>
  <w:style w:type="paragraph" w:styleId="53">
    <w:name w:val="Body Text First Indent"/>
    <w:basedOn w:val="22"/>
    <w:link w:val="98"/>
    <w:unhideWhenUsed/>
    <w:qFormat/>
    <w:uiPriority w:val="0"/>
    <w:pPr>
      <w:ind w:firstLine="420" w:firstLineChars="100"/>
    </w:pPr>
  </w:style>
  <w:style w:type="paragraph" w:styleId="54">
    <w:name w:val="Body Text First Indent 2"/>
    <w:basedOn w:val="23"/>
    <w:link w:val="174"/>
    <w:unhideWhenUsed/>
    <w:qFormat/>
    <w:uiPriority w:val="99"/>
    <w:pPr>
      <w:spacing w:after="120"/>
      <w:ind w:left="420" w:leftChars="200" w:firstLine="420"/>
    </w:pPr>
    <w:rPr>
      <w:rFonts w:ascii="Times New Roman" w:hAnsi="Times New Roman"/>
      <w:sz w:val="21"/>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kern w:val="0"/>
    </w:rPr>
  </w:style>
  <w:style w:type="character" w:styleId="59">
    <w:name w:val="page number"/>
    <w:basedOn w:val="57"/>
    <w:qFormat/>
    <w:uiPriority w:val="99"/>
  </w:style>
  <w:style w:type="character" w:styleId="60">
    <w:name w:val="FollowedHyperlink"/>
    <w:basedOn w:val="57"/>
    <w:unhideWhenUsed/>
    <w:qFormat/>
    <w:uiPriority w:val="99"/>
    <w:rPr>
      <w:color w:val="156356"/>
      <w:u w:val="none"/>
    </w:rPr>
  </w:style>
  <w:style w:type="character" w:styleId="61">
    <w:name w:val="Emphasis"/>
    <w:qFormat/>
    <w:uiPriority w:val="0"/>
    <w:rPr>
      <w:i/>
      <w:iCs/>
    </w:rPr>
  </w:style>
  <w:style w:type="character" w:styleId="62">
    <w:name w:val="HTML Definition"/>
    <w:qFormat/>
    <w:uiPriority w:val="0"/>
    <w:rPr>
      <w:i/>
      <w:iCs/>
    </w:rPr>
  </w:style>
  <w:style w:type="character" w:styleId="63">
    <w:name w:val="HTML Typewriter"/>
    <w:qFormat/>
    <w:uiPriority w:val="0"/>
    <w:rPr>
      <w:rFonts w:ascii="Courier New" w:hAnsi="Courier New"/>
      <w:sz w:val="20"/>
      <w:szCs w:val="20"/>
    </w:rPr>
  </w:style>
  <w:style w:type="character" w:styleId="64">
    <w:name w:val="HTML Acronym"/>
    <w:basedOn w:val="57"/>
    <w:qFormat/>
    <w:uiPriority w:val="0"/>
    <w:rPr>
      <w:rFonts w:hint="default"/>
      <w:sz w:val="24"/>
    </w:rPr>
  </w:style>
  <w:style w:type="character" w:styleId="65">
    <w:name w:val="HTML Variable"/>
    <w:qFormat/>
    <w:uiPriority w:val="0"/>
    <w:rPr>
      <w:i/>
      <w:iCs/>
    </w:rPr>
  </w:style>
  <w:style w:type="character" w:styleId="66">
    <w:name w:val="Hyperlink"/>
    <w:qFormat/>
    <w:uiPriority w:val="99"/>
    <w:rPr>
      <w:color w:val="0368A8"/>
      <w:kern w:val="0"/>
      <w:u w:val="none"/>
    </w:rPr>
  </w:style>
  <w:style w:type="character" w:styleId="67">
    <w:name w:val="HTML Code"/>
    <w:qFormat/>
    <w:uiPriority w:val="0"/>
    <w:rPr>
      <w:rFonts w:ascii="Courier New" w:hAnsi="Courier New"/>
      <w:sz w:val="20"/>
      <w:szCs w:val="20"/>
    </w:rPr>
  </w:style>
  <w:style w:type="character" w:styleId="68">
    <w:name w:val="annotation reference"/>
    <w:qFormat/>
    <w:uiPriority w:val="0"/>
    <w:rPr>
      <w:rFonts w:hint="default"/>
      <w:sz w:val="21"/>
      <w:szCs w:val="21"/>
    </w:rPr>
  </w:style>
  <w:style w:type="character" w:styleId="69">
    <w:name w:val="HTML Cite"/>
    <w:qFormat/>
    <w:uiPriority w:val="0"/>
    <w:rPr>
      <w:i/>
      <w:iCs/>
    </w:rPr>
  </w:style>
  <w:style w:type="character" w:styleId="70">
    <w:name w:val="footnote reference"/>
    <w:qFormat/>
    <w:uiPriority w:val="0"/>
    <w:rPr>
      <w:vertAlign w:val="superscript"/>
    </w:rPr>
  </w:style>
  <w:style w:type="character" w:styleId="71">
    <w:name w:val="HTML Keyboard"/>
    <w:qFormat/>
    <w:uiPriority w:val="0"/>
    <w:rPr>
      <w:rFonts w:ascii="Courier New" w:hAnsi="Courier New"/>
      <w:sz w:val="20"/>
      <w:szCs w:val="20"/>
    </w:rPr>
  </w:style>
  <w:style w:type="character" w:styleId="72">
    <w:name w:val="HTML Sample"/>
    <w:qFormat/>
    <w:uiPriority w:val="0"/>
    <w:rPr>
      <w:rFonts w:ascii="Courier New" w:hAnsi="Courier New"/>
    </w:rPr>
  </w:style>
  <w:style w:type="character" w:customStyle="1" w:styleId="73">
    <w:name w:val="标题 1 Char"/>
    <w:link w:val="2"/>
    <w:qFormat/>
    <w:uiPriority w:val="0"/>
    <w:rPr>
      <w:rFonts w:ascii="Times New Roman" w:hAnsi="Times New Roman" w:eastAsia="宋体" w:cs="Times New Roman"/>
      <w:b/>
      <w:bCs/>
      <w:kern w:val="44"/>
      <w:sz w:val="44"/>
      <w:szCs w:val="44"/>
    </w:rPr>
  </w:style>
  <w:style w:type="character" w:customStyle="1" w:styleId="74">
    <w:name w:val="标题 2 Char"/>
    <w:link w:val="3"/>
    <w:qFormat/>
    <w:uiPriority w:val="0"/>
    <w:rPr>
      <w:rFonts w:ascii="Calibri Light" w:hAnsi="Calibri Light" w:eastAsia="宋体" w:cs="Times New Roman"/>
      <w:b/>
      <w:bCs/>
      <w:sz w:val="32"/>
      <w:szCs w:val="32"/>
    </w:rPr>
  </w:style>
  <w:style w:type="character" w:customStyle="1" w:styleId="75">
    <w:name w:val="标题 3 Char"/>
    <w:link w:val="4"/>
    <w:qFormat/>
    <w:uiPriority w:val="9"/>
    <w:rPr>
      <w:rFonts w:ascii="Times New Roman" w:hAnsi="Times New Roman" w:eastAsia="宋体" w:cs="Times New Roman"/>
      <w:b/>
      <w:bCs/>
      <w:sz w:val="32"/>
      <w:szCs w:val="32"/>
    </w:rPr>
  </w:style>
  <w:style w:type="character" w:customStyle="1" w:styleId="76">
    <w:name w:val="标题 4 Char1"/>
    <w:link w:val="5"/>
    <w:qFormat/>
    <w:uiPriority w:val="0"/>
    <w:rPr>
      <w:rFonts w:ascii="Calibri Light" w:hAnsi="Calibri Light"/>
      <w:b/>
      <w:bCs/>
      <w:kern w:val="2"/>
      <w:sz w:val="24"/>
      <w:szCs w:val="28"/>
    </w:rPr>
  </w:style>
  <w:style w:type="character" w:customStyle="1" w:styleId="77">
    <w:name w:val="标题 5 Char"/>
    <w:basedOn w:val="57"/>
    <w:link w:val="6"/>
    <w:qFormat/>
    <w:uiPriority w:val="0"/>
    <w:rPr>
      <w:b/>
      <w:sz w:val="28"/>
    </w:rPr>
  </w:style>
  <w:style w:type="character" w:customStyle="1" w:styleId="78">
    <w:name w:val="标题 6 Char"/>
    <w:basedOn w:val="57"/>
    <w:link w:val="7"/>
    <w:qFormat/>
    <w:uiPriority w:val="0"/>
    <w:rPr>
      <w:rFonts w:ascii="Arial" w:hAnsi="Arial" w:eastAsia="黑体"/>
      <w:b/>
      <w:sz w:val="24"/>
    </w:rPr>
  </w:style>
  <w:style w:type="character" w:customStyle="1" w:styleId="79">
    <w:name w:val="标题 7 Char"/>
    <w:basedOn w:val="57"/>
    <w:link w:val="8"/>
    <w:qFormat/>
    <w:uiPriority w:val="0"/>
    <w:rPr>
      <w:b/>
      <w:sz w:val="24"/>
    </w:rPr>
  </w:style>
  <w:style w:type="character" w:customStyle="1" w:styleId="80">
    <w:name w:val="标题 8 Char"/>
    <w:basedOn w:val="57"/>
    <w:link w:val="9"/>
    <w:qFormat/>
    <w:uiPriority w:val="0"/>
    <w:rPr>
      <w:rFonts w:ascii="Arial" w:hAnsi="Arial" w:eastAsia="黑体"/>
      <w:sz w:val="24"/>
    </w:rPr>
  </w:style>
  <w:style w:type="character" w:customStyle="1" w:styleId="81">
    <w:name w:val="标题 9 Char"/>
    <w:basedOn w:val="57"/>
    <w:link w:val="10"/>
    <w:qFormat/>
    <w:uiPriority w:val="0"/>
    <w:rPr>
      <w:rFonts w:ascii="Arial" w:hAnsi="Arial" w:eastAsia="黑体"/>
      <w:sz w:val="21"/>
    </w:rPr>
  </w:style>
  <w:style w:type="character" w:customStyle="1" w:styleId="82">
    <w:name w:val="正文缩进 Char"/>
    <w:link w:val="14"/>
    <w:qFormat/>
    <w:uiPriority w:val="0"/>
    <w:rPr>
      <w:rFonts w:ascii="Calibri" w:hAnsi="Calibri"/>
      <w:kern w:val="2"/>
      <w:sz w:val="24"/>
    </w:rPr>
  </w:style>
  <w:style w:type="character" w:customStyle="1" w:styleId="83">
    <w:name w:val="文档结构图 Char"/>
    <w:link w:val="16"/>
    <w:qFormat/>
    <w:uiPriority w:val="0"/>
    <w:rPr>
      <w:rFonts w:ascii="Times New Roman" w:hAnsi="Times New Roman" w:eastAsia="宋体" w:cs="Times New Roman"/>
      <w:szCs w:val="24"/>
      <w:shd w:val="clear" w:color="auto" w:fill="000080"/>
    </w:rPr>
  </w:style>
  <w:style w:type="character" w:customStyle="1" w:styleId="84">
    <w:name w:val="批注文字 Char"/>
    <w:link w:val="18"/>
    <w:qFormat/>
    <w:uiPriority w:val="0"/>
    <w:rPr>
      <w:rFonts w:ascii="Times New Roman" w:hAnsi="Times New Roman" w:eastAsia="宋体" w:cs="Times New Roman"/>
      <w:szCs w:val="24"/>
    </w:rPr>
  </w:style>
  <w:style w:type="character" w:customStyle="1" w:styleId="85">
    <w:name w:val="正文文本 Char"/>
    <w:link w:val="22"/>
    <w:qFormat/>
    <w:uiPriority w:val="0"/>
    <w:rPr>
      <w:rFonts w:ascii="Times New Roman" w:hAnsi="Times New Roman" w:eastAsia="宋体" w:cs="Times New Roman"/>
      <w:szCs w:val="24"/>
    </w:rPr>
  </w:style>
  <w:style w:type="character" w:customStyle="1" w:styleId="86">
    <w:name w:val="正文文本缩进 Char"/>
    <w:link w:val="23"/>
    <w:qFormat/>
    <w:uiPriority w:val="0"/>
    <w:rPr>
      <w:rFonts w:ascii="Times New Roman" w:hAnsi="Times New Roman" w:eastAsia="宋体" w:cs="Times New Roman"/>
      <w:sz w:val="24"/>
      <w:szCs w:val="24"/>
    </w:rPr>
  </w:style>
  <w:style w:type="character" w:customStyle="1" w:styleId="87">
    <w:name w:val="纯文本 Char"/>
    <w:link w:val="30"/>
    <w:qFormat/>
    <w:uiPriority w:val="0"/>
    <w:rPr>
      <w:rFonts w:ascii="宋体" w:hAnsi="Courier New" w:eastAsia="宋体" w:cs="Times New Roman"/>
      <w:szCs w:val="20"/>
    </w:rPr>
  </w:style>
  <w:style w:type="character" w:customStyle="1" w:styleId="88">
    <w:name w:val="日期 Char"/>
    <w:link w:val="32"/>
    <w:qFormat/>
    <w:uiPriority w:val="0"/>
    <w:rPr>
      <w:rFonts w:ascii="Times New Roman" w:hAnsi="Times New Roman" w:eastAsia="宋体" w:cs="Times New Roman"/>
      <w:szCs w:val="24"/>
    </w:rPr>
  </w:style>
  <w:style w:type="character" w:customStyle="1" w:styleId="89">
    <w:name w:val="正文文本缩进 2 Char"/>
    <w:link w:val="33"/>
    <w:qFormat/>
    <w:uiPriority w:val="0"/>
    <w:rPr>
      <w:rFonts w:ascii="Times New Roman" w:hAnsi="Times New Roman" w:eastAsia="宋体" w:cs="Times New Roman"/>
      <w:szCs w:val="24"/>
    </w:rPr>
  </w:style>
  <w:style w:type="character" w:customStyle="1" w:styleId="90">
    <w:name w:val="批注框文本 Char1"/>
    <w:link w:val="20"/>
    <w:qFormat/>
    <w:uiPriority w:val="99"/>
    <w:rPr>
      <w:rFonts w:ascii="Times New Roman" w:hAnsi="Times New Roman" w:eastAsia="宋体" w:cs="Times New Roman"/>
      <w:sz w:val="18"/>
      <w:szCs w:val="18"/>
    </w:rPr>
  </w:style>
  <w:style w:type="character" w:customStyle="1" w:styleId="91">
    <w:name w:val="页脚 Char1"/>
    <w:link w:val="34"/>
    <w:qFormat/>
    <w:uiPriority w:val="99"/>
    <w:rPr>
      <w:rFonts w:ascii="Times New Roman" w:hAnsi="Times New Roman" w:eastAsia="宋体" w:cs="Times New Roman"/>
      <w:sz w:val="18"/>
      <w:szCs w:val="18"/>
    </w:rPr>
  </w:style>
  <w:style w:type="character" w:customStyle="1" w:styleId="92">
    <w:name w:val="页眉 Char1"/>
    <w:link w:val="35"/>
    <w:qFormat/>
    <w:uiPriority w:val="0"/>
    <w:rPr>
      <w:rFonts w:ascii="Times New Roman" w:hAnsi="Times New Roman" w:eastAsia="宋体" w:cs="Times New Roman"/>
      <w:sz w:val="18"/>
      <w:szCs w:val="18"/>
    </w:rPr>
  </w:style>
  <w:style w:type="character" w:customStyle="1" w:styleId="93">
    <w:name w:val="副标题 Char"/>
    <w:link w:val="38"/>
    <w:qFormat/>
    <w:uiPriority w:val="11"/>
    <w:rPr>
      <w:rFonts w:ascii="Cambria" w:hAnsi="Cambria" w:eastAsia="宋体" w:cs="Times New Roman"/>
      <w:b/>
      <w:bCs/>
      <w:kern w:val="28"/>
      <w:sz w:val="28"/>
      <w:szCs w:val="32"/>
    </w:rPr>
  </w:style>
  <w:style w:type="character" w:customStyle="1" w:styleId="94">
    <w:name w:val="正文文本 2 Char"/>
    <w:link w:val="46"/>
    <w:qFormat/>
    <w:uiPriority w:val="0"/>
    <w:rPr>
      <w:rFonts w:ascii="Times New Roman" w:hAnsi="Times New Roman" w:eastAsia="宋体" w:cs="Times New Roman"/>
      <w:szCs w:val="24"/>
    </w:rPr>
  </w:style>
  <w:style w:type="character" w:customStyle="1" w:styleId="95">
    <w:name w:val="HTML 预设格式 Char"/>
    <w:link w:val="48"/>
    <w:qFormat/>
    <w:uiPriority w:val="0"/>
    <w:rPr>
      <w:rFonts w:ascii="Arial" w:hAnsi="Arial" w:eastAsia="宋体" w:cs="Arial"/>
      <w:kern w:val="0"/>
      <w:szCs w:val="21"/>
    </w:rPr>
  </w:style>
  <w:style w:type="character" w:customStyle="1" w:styleId="96">
    <w:name w:val="普通(网站) Char"/>
    <w:link w:val="49"/>
    <w:qFormat/>
    <w:uiPriority w:val="0"/>
    <w:rPr>
      <w:rFonts w:ascii="宋体" w:hAnsi="宋体" w:cs="宋体"/>
      <w:sz w:val="24"/>
      <w:szCs w:val="24"/>
    </w:rPr>
  </w:style>
  <w:style w:type="character" w:customStyle="1" w:styleId="97">
    <w:name w:val="标题 Char"/>
    <w:link w:val="51"/>
    <w:qFormat/>
    <w:uiPriority w:val="0"/>
    <w:rPr>
      <w:rFonts w:ascii="Cambria" w:hAnsi="Cambria" w:eastAsia="宋体" w:cs="Times New Roman"/>
      <w:b/>
      <w:bCs/>
      <w:sz w:val="32"/>
      <w:szCs w:val="32"/>
    </w:rPr>
  </w:style>
  <w:style w:type="character" w:customStyle="1" w:styleId="98">
    <w:name w:val="正文首行缩进 Char"/>
    <w:link w:val="53"/>
    <w:qFormat/>
    <w:uiPriority w:val="0"/>
    <w:rPr>
      <w:rFonts w:ascii="Times New Roman" w:hAnsi="Times New Roman" w:eastAsia="宋体" w:cs="Times New Roman"/>
      <w:szCs w:val="24"/>
    </w:rPr>
  </w:style>
  <w:style w:type="paragraph" w:customStyle="1" w:styleId="9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0">
    <w:name w:val="Style1"/>
    <w:basedOn w:val="1"/>
    <w:qFormat/>
    <w:uiPriority w:val="99"/>
    <w:pPr>
      <w:tabs>
        <w:tab w:val="left" w:pos="-720"/>
      </w:tabs>
      <w:spacing w:after="120"/>
    </w:pPr>
    <w:rPr>
      <w:spacing w:val="-3"/>
      <w:sz w:val="24"/>
      <w:szCs w:val="20"/>
      <w:lang w:val="en-AU" w:eastAsia="en-US"/>
    </w:rPr>
  </w:style>
  <w:style w:type="paragraph" w:customStyle="1" w:styleId="101">
    <w:name w:val="列出段落11"/>
    <w:basedOn w:val="1"/>
    <w:qFormat/>
    <w:uiPriority w:val="0"/>
    <w:pPr>
      <w:ind w:firstLine="420" w:firstLineChars="200"/>
    </w:pPr>
    <w:rPr>
      <w:szCs w:val="22"/>
    </w:rPr>
  </w:style>
  <w:style w:type="paragraph" w:customStyle="1" w:styleId="102">
    <w:name w:val="_Style 1"/>
    <w:basedOn w:val="1"/>
    <w:qFormat/>
    <w:uiPriority w:val="34"/>
  </w:style>
  <w:style w:type="paragraph" w:customStyle="1" w:styleId="103">
    <w:name w:val="p1"/>
    <w:basedOn w:val="1"/>
    <w:qFormat/>
    <w:uiPriority w:val="0"/>
    <w:pPr>
      <w:widowControl/>
      <w:jc w:val="left"/>
    </w:pPr>
    <w:rPr>
      <w:rFonts w:ascii="Arial" w:hAnsi="Arial" w:eastAsia="等线" w:cs="Arial"/>
      <w:color w:val="333333"/>
      <w:kern w:val="0"/>
      <w:sz w:val="20"/>
      <w:szCs w:val="20"/>
    </w:rPr>
  </w:style>
  <w:style w:type="paragraph" w:customStyle="1" w:styleId="104">
    <w:name w:val="列出段落2"/>
    <w:basedOn w:val="1"/>
    <w:qFormat/>
    <w:uiPriority w:val="0"/>
    <w:pPr>
      <w:ind w:firstLine="420" w:firstLineChars="200"/>
    </w:pPr>
  </w:style>
  <w:style w:type="paragraph" w:customStyle="1" w:styleId="105">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06">
    <w:name w:val="列出段落1"/>
    <w:basedOn w:val="1"/>
    <w:qFormat/>
    <w:uiPriority w:val="1"/>
    <w:pPr>
      <w:ind w:firstLine="420" w:firstLineChars="200"/>
    </w:pPr>
  </w:style>
  <w:style w:type="paragraph" w:customStyle="1" w:styleId="107">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108">
    <w:name w:val="Char Char Char Char"/>
    <w:basedOn w:val="16"/>
    <w:qFormat/>
    <w:uiPriority w:val="0"/>
    <w:pPr>
      <w:adjustRightInd w:val="0"/>
      <w:snapToGrid w:val="0"/>
      <w:spacing w:line="360" w:lineRule="auto"/>
    </w:pPr>
    <w:rPr>
      <w:rFonts w:ascii="Tahoma" w:hAnsi="Tahoma"/>
      <w:sz w:val="24"/>
    </w:rPr>
  </w:style>
  <w:style w:type="paragraph" w:customStyle="1" w:styleId="109">
    <w:name w:val="2级正文"/>
    <w:basedOn w:val="1"/>
    <w:qFormat/>
    <w:uiPriority w:val="0"/>
    <w:pPr>
      <w:ind w:left="721" w:hanging="420"/>
      <w:jc w:val="left"/>
    </w:pPr>
    <w:rPr>
      <w:rFonts w:ascii="宋体" w:hAnsi="宋体" w:cs="宋体"/>
      <w:szCs w:val="21"/>
    </w:rPr>
  </w:style>
  <w:style w:type="paragraph" w:customStyle="1" w:styleId="110">
    <w:name w:val="彩色列表 - 着色 11"/>
    <w:basedOn w:val="1"/>
    <w:qFormat/>
    <w:uiPriority w:val="34"/>
    <w:pPr>
      <w:ind w:firstLine="420" w:firstLineChars="200"/>
    </w:pPr>
  </w:style>
  <w:style w:type="paragraph" w:customStyle="1" w:styleId="111">
    <w:name w:val="列出段落3"/>
    <w:basedOn w:val="1"/>
    <w:qFormat/>
    <w:uiPriority w:val="0"/>
    <w:pPr>
      <w:ind w:firstLine="420" w:firstLineChars="200"/>
    </w:pPr>
    <w:rPr>
      <w:szCs w:val="22"/>
    </w:rPr>
  </w:style>
  <w:style w:type="paragraph" w:customStyle="1" w:styleId="112">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13">
    <w:name w:val="型号"/>
    <w:basedOn w:val="1"/>
    <w:qFormat/>
    <w:uiPriority w:val="0"/>
    <w:pPr>
      <w:ind w:left="357"/>
      <w:jc w:val="left"/>
    </w:pPr>
    <w:rPr>
      <w:rFonts w:ascii="宋体" w:hAnsi="宋体"/>
      <w:sz w:val="18"/>
      <w:szCs w:val="18"/>
    </w:rPr>
  </w:style>
  <w:style w:type="paragraph" w:customStyle="1" w:styleId="1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6">
    <w:name w:val="Char Char"/>
    <w:basedOn w:val="1"/>
    <w:qFormat/>
    <w:uiPriority w:val="0"/>
    <w:rPr>
      <w:rFonts w:eastAsia="Times New Roman"/>
      <w:kern w:val="0"/>
      <w:sz w:val="20"/>
      <w:szCs w:val="20"/>
    </w:rPr>
  </w:style>
  <w:style w:type="paragraph" w:customStyle="1" w:styleId="117">
    <w:name w:val="样式"/>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118">
    <w:name w:val="正文－恩普"/>
    <w:basedOn w:val="14"/>
    <w:qFormat/>
    <w:uiPriority w:val="0"/>
    <w:pPr>
      <w:widowControl/>
      <w:spacing w:afterLines="50"/>
      <w:ind w:firstLine="480" w:firstLineChars="200"/>
      <w:jc w:val="left"/>
    </w:pPr>
    <w:rPr>
      <w:kern w:val="0"/>
    </w:rPr>
  </w:style>
  <w:style w:type="paragraph" w:customStyle="1" w:styleId="119">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120">
    <w:name w:val="彩色列表 - 着色 1"/>
    <w:basedOn w:val="1"/>
    <w:qFormat/>
    <w:uiPriority w:val="34"/>
    <w:pPr>
      <w:ind w:firstLine="420" w:firstLineChars="200"/>
    </w:pPr>
    <w:rPr>
      <w:szCs w:val="22"/>
    </w:rPr>
  </w:style>
  <w:style w:type="paragraph" w:customStyle="1" w:styleId="121">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2">
    <w:name w:val="样式1"/>
    <w:basedOn w:val="1"/>
    <w:qFormat/>
    <w:uiPriority w:val="0"/>
    <w:pPr>
      <w:jc w:val="center"/>
    </w:pPr>
    <w:rPr>
      <w:rFonts w:ascii="宋体" w:hAnsi="宋体"/>
      <w:sz w:val="30"/>
      <w:szCs w:val="28"/>
    </w:rPr>
  </w:style>
  <w:style w:type="paragraph" w:customStyle="1" w:styleId="12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24">
    <w:name w:val="UserStyle_38"/>
    <w:basedOn w:val="125"/>
    <w:qFormat/>
    <w:uiPriority w:val="0"/>
    <w:pPr>
      <w:spacing w:line="416" w:lineRule="atLeast"/>
    </w:pPr>
    <w:rPr>
      <w:rFonts w:ascii="宋体" w:hAnsi="宋体"/>
      <w:b w:val="0"/>
      <w:bCs w:val="0"/>
      <w:color w:val="000000"/>
      <w:sz w:val="21"/>
    </w:rPr>
  </w:style>
  <w:style w:type="paragraph" w:customStyle="1" w:styleId="125">
    <w:name w:val="Heading2"/>
    <w:basedOn w:val="1"/>
    <w:next w:val="1"/>
    <w:qFormat/>
    <w:uiPriority w:val="0"/>
    <w:pPr>
      <w:keepNext/>
      <w:keepLines/>
      <w:spacing w:before="260" w:after="260" w:line="416" w:lineRule="auto"/>
      <w:textAlignment w:val="baseline"/>
    </w:pPr>
    <w:rPr>
      <w:rFonts w:ascii="Calibri Light" w:hAnsi="Calibri Light"/>
      <w:b/>
      <w:bCs/>
      <w:kern w:val="0"/>
      <w:sz w:val="32"/>
      <w:szCs w:val="32"/>
    </w:rPr>
  </w:style>
  <w:style w:type="character" w:customStyle="1" w:styleId="126">
    <w:name w:val="页脚 Char"/>
    <w:qFormat/>
    <w:uiPriority w:val="99"/>
    <w:rPr>
      <w:rFonts w:ascii="Times New Roman" w:hAnsi="Times New Roman"/>
      <w:kern w:val="2"/>
      <w:sz w:val="18"/>
      <w:szCs w:val="18"/>
    </w:rPr>
  </w:style>
  <w:style w:type="character" w:customStyle="1" w:styleId="127">
    <w:name w:val="apple-converted-space"/>
    <w:basedOn w:val="57"/>
    <w:qFormat/>
    <w:uiPriority w:val="0"/>
  </w:style>
  <w:style w:type="character" w:customStyle="1" w:styleId="128">
    <w:name w:val="font112"/>
    <w:basedOn w:val="57"/>
    <w:qFormat/>
    <w:uiPriority w:val="0"/>
    <w:rPr>
      <w:rFonts w:hint="default" w:ascii="Times New Roman" w:hAnsi="Times New Roman" w:cs="Times New Roman"/>
      <w:color w:val="FF0000"/>
      <w:sz w:val="20"/>
      <w:szCs w:val="20"/>
      <w:u w:val="none"/>
    </w:rPr>
  </w:style>
  <w:style w:type="character" w:customStyle="1" w:styleId="129">
    <w:name w:val="fontstyle01"/>
    <w:qFormat/>
    <w:uiPriority w:val="0"/>
    <w:rPr>
      <w:rFonts w:hint="eastAsia" w:ascii="宋体" w:hAnsi="宋体" w:eastAsia="宋体"/>
      <w:color w:val="000000"/>
      <w:sz w:val="22"/>
      <w:szCs w:val="22"/>
    </w:rPr>
  </w:style>
  <w:style w:type="character" w:customStyle="1" w:styleId="130">
    <w:name w:val="px_10"/>
    <w:basedOn w:val="57"/>
    <w:qFormat/>
    <w:uiPriority w:val="0"/>
  </w:style>
  <w:style w:type="character" w:customStyle="1" w:styleId="131">
    <w:name w:val="font11"/>
    <w:qFormat/>
    <w:uiPriority w:val="0"/>
    <w:rPr>
      <w:rFonts w:hint="eastAsia" w:ascii="宋体" w:hAnsi="宋体" w:eastAsia="宋体" w:cs="宋体"/>
      <w:color w:val="000000"/>
      <w:kern w:val="0"/>
      <w:sz w:val="18"/>
      <w:szCs w:val="18"/>
      <w:u w:val="none"/>
    </w:rPr>
  </w:style>
  <w:style w:type="character" w:customStyle="1" w:styleId="132">
    <w:name w:val="font31"/>
    <w:basedOn w:val="57"/>
    <w:qFormat/>
    <w:uiPriority w:val="0"/>
    <w:rPr>
      <w:rFonts w:hint="eastAsia" w:ascii="宋体" w:hAnsi="宋体" w:eastAsia="宋体" w:cs="宋体"/>
      <w:color w:val="FF0000"/>
      <w:sz w:val="20"/>
      <w:szCs w:val="20"/>
      <w:u w:val="none"/>
    </w:rPr>
  </w:style>
  <w:style w:type="character" w:customStyle="1" w:styleId="133">
    <w:name w:val="font01"/>
    <w:qFormat/>
    <w:uiPriority w:val="0"/>
    <w:rPr>
      <w:rFonts w:hint="eastAsia" w:ascii="宋体" w:hAnsi="宋体" w:eastAsia="宋体" w:cs="宋体"/>
      <w:color w:val="FF0000"/>
      <w:kern w:val="0"/>
      <w:sz w:val="18"/>
      <w:szCs w:val="18"/>
      <w:u w:val="none"/>
    </w:rPr>
  </w:style>
  <w:style w:type="character" w:customStyle="1" w:styleId="134">
    <w:name w:val="15"/>
    <w:basedOn w:val="57"/>
    <w:qFormat/>
    <w:uiPriority w:val="0"/>
  </w:style>
  <w:style w:type="character" w:customStyle="1" w:styleId="135">
    <w:name w:val="批注框文本 Char"/>
    <w:qFormat/>
    <w:uiPriority w:val="0"/>
    <w:rPr>
      <w:rFonts w:ascii="Times New Roman" w:hAnsi="Times New Roman"/>
      <w:kern w:val="2"/>
      <w:sz w:val="18"/>
      <w:szCs w:val="18"/>
    </w:rPr>
  </w:style>
  <w:style w:type="character" w:customStyle="1" w:styleId="136">
    <w:name w:val="apple-style-span"/>
    <w:basedOn w:val="57"/>
    <w:qFormat/>
    <w:uiPriority w:val="0"/>
  </w:style>
  <w:style w:type="character" w:customStyle="1" w:styleId="137">
    <w:name w:val="font41"/>
    <w:basedOn w:val="57"/>
    <w:qFormat/>
    <w:uiPriority w:val="0"/>
    <w:rPr>
      <w:rFonts w:hint="default" w:ascii="Times New Roman" w:hAnsi="Times New Roman" w:cs="Times New Roman"/>
      <w:color w:val="000000"/>
      <w:sz w:val="22"/>
      <w:szCs w:val="22"/>
      <w:u w:val="none"/>
    </w:rPr>
  </w:style>
  <w:style w:type="character" w:customStyle="1" w:styleId="138">
    <w:name w:val="font61"/>
    <w:basedOn w:val="57"/>
    <w:qFormat/>
    <w:uiPriority w:val="0"/>
    <w:rPr>
      <w:rFonts w:hint="eastAsia" w:ascii="宋体" w:hAnsi="宋体" w:eastAsia="宋体" w:cs="宋体"/>
      <w:color w:val="000000"/>
      <w:sz w:val="22"/>
      <w:szCs w:val="22"/>
      <w:u w:val="none"/>
    </w:rPr>
  </w:style>
  <w:style w:type="character" w:customStyle="1" w:styleId="139">
    <w:name w:val="页眉 Char"/>
    <w:qFormat/>
    <w:uiPriority w:val="0"/>
    <w:rPr>
      <w:rFonts w:ascii="Times New Roman" w:hAnsi="Times New Roman" w:eastAsia="宋体" w:cs="Times New Roman"/>
      <w:sz w:val="18"/>
      <w:szCs w:val="18"/>
    </w:rPr>
  </w:style>
  <w:style w:type="character" w:customStyle="1" w:styleId="140">
    <w:name w:val="font21"/>
    <w:basedOn w:val="57"/>
    <w:qFormat/>
    <w:uiPriority w:val="0"/>
    <w:rPr>
      <w:rFonts w:hint="eastAsia" w:ascii="宋体" w:hAnsi="宋体" w:eastAsia="宋体" w:cs="宋体"/>
      <w:color w:val="000000"/>
      <w:sz w:val="20"/>
      <w:szCs w:val="20"/>
      <w:u w:val="none"/>
    </w:rPr>
  </w:style>
  <w:style w:type="character" w:customStyle="1" w:styleId="141">
    <w:name w:val="NormalCharacter"/>
    <w:qFormat/>
    <w:uiPriority w:val="0"/>
  </w:style>
  <w:style w:type="character" w:customStyle="1" w:styleId="142">
    <w:name w:val="font171"/>
    <w:basedOn w:val="57"/>
    <w:qFormat/>
    <w:uiPriority w:val="0"/>
    <w:rPr>
      <w:rFonts w:hint="default" w:ascii="Times New Roman" w:hAnsi="Times New Roman" w:cs="Times New Roman"/>
      <w:b/>
      <w:bCs/>
      <w:color w:val="000000"/>
      <w:sz w:val="20"/>
      <w:szCs w:val="20"/>
      <w:u w:val="none"/>
    </w:rPr>
  </w:style>
  <w:style w:type="character" w:customStyle="1" w:styleId="143">
    <w:name w:val="font51"/>
    <w:basedOn w:val="57"/>
    <w:qFormat/>
    <w:uiPriority w:val="0"/>
    <w:rPr>
      <w:rFonts w:hint="eastAsia" w:ascii="宋体" w:hAnsi="宋体" w:eastAsia="宋体" w:cs="宋体"/>
      <w:b/>
      <w:bCs/>
      <w:color w:val="000000"/>
      <w:sz w:val="20"/>
      <w:szCs w:val="20"/>
      <w:u w:val="none"/>
    </w:rPr>
  </w:style>
  <w:style w:type="character" w:customStyle="1" w:styleId="144">
    <w:name w:val="font91"/>
    <w:basedOn w:val="57"/>
    <w:qFormat/>
    <w:uiPriority w:val="0"/>
    <w:rPr>
      <w:rFonts w:ascii="方正书宋_GBK" w:hAnsi="方正书宋_GBK" w:eastAsia="方正书宋_GBK" w:cs="方正书宋_GBK"/>
      <w:color w:val="000000"/>
      <w:sz w:val="20"/>
      <w:szCs w:val="20"/>
      <w:u w:val="none"/>
    </w:rPr>
  </w:style>
  <w:style w:type="character" w:customStyle="1" w:styleId="145">
    <w:name w:val="font111"/>
    <w:basedOn w:val="57"/>
    <w:qFormat/>
    <w:uiPriority w:val="0"/>
    <w:rPr>
      <w:rFonts w:hint="eastAsia" w:ascii="宋体" w:hAnsi="宋体" w:eastAsia="宋体" w:cs="宋体"/>
      <w:color w:val="000000"/>
      <w:sz w:val="20"/>
      <w:szCs w:val="20"/>
      <w:u w:val="none"/>
    </w:rPr>
  </w:style>
  <w:style w:type="character" w:customStyle="1" w:styleId="146">
    <w:name w:val="font181"/>
    <w:basedOn w:val="57"/>
    <w:qFormat/>
    <w:uiPriority w:val="0"/>
    <w:rPr>
      <w:rFonts w:hint="eastAsia" w:ascii="宋体" w:hAnsi="宋体" w:eastAsia="宋体" w:cs="宋体"/>
      <w:color w:val="FF0000"/>
      <w:sz w:val="20"/>
      <w:szCs w:val="20"/>
      <w:u w:val="none"/>
    </w:rPr>
  </w:style>
  <w:style w:type="character" w:customStyle="1" w:styleId="147">
    <w:name w:val="font191"/>
    <w:basedOn w:val="57"/>
    <w:qFormat/>
    <w:uiPriority w:val="0"/>
    <w:rPr>
      <w:rFonts w:hint="eastAsia" w:ascii="宋体" w:hAnsi="宋体" w:eastAsia="宋体" w:cs="宋体"/>
      <w:b/>
      <w:bCs/>
      <w:color w:val="FF0000"/>
      <w:sz w:val="20"/>
      <w:szCs w:val="20"/>
      <w:u w:val="none"/>
    </w:rPr>
  </w:style>
  <w:style w:type="character" w:customStyle="1" w:styleId="148">
    <w:name w:val="font211"/>
    <w:basedOn w:val="57"/>
    <w:qFormat/>
    <w:uiPriority w:val="0"/>
    <w:rPr>
      <w:rFonts w:hint="eastAsia" w:ascii="宋体" w:hAnsi="宋体" w:eastAsia="宋体" w:cs="宋体"/>
      <w:color w:val="FFFF00"/>
      <w:sz w:val="20"/>
      <w:szCs w:val="20"/>
      <w:u w:val="none"/>
    </w:rPr>
  </w:style>
  <w:style w:type="character" w:customStyle="1" w:styleId="149">
    <w:name w:val="font231"/>
    <w:basedOn w:val="57"/>
    <w:qFormat/>
    <w:uiPriority w:val="0"/>
    <w:rPr>
      <w:rFonts w:hint="eastAsia" w:ascii="宋体" w:hAnsi="宋体" w:eastAsia="宋体" w:cs="宋体"/>
      <w:color w:val="000000"/>
      <w:sz w:val="18"/>
      <w:szCs w:val="18"/>
      <w:u w:val="none"/>
    </w:rPr>
  </w:style>
  <w:style w:type="character" w:customStyle="1" w:styleId="150">
    <w:name w:val="font241"/>
    <w:basedOn w:val="57"/>
    <w:qFormat/>
    <w:uiPriority w:val="0"/>
    <w:rPr>
      <w:rFonts w:hint="eastAsia" w:ascii="宋体" w:hAnsi="宋体" w:eastAsia="宋体" w:cs="宋体"/>
      <w:b/>
      <w:bCs/>
      <w:color w:val="000000"/>
      <w:sz w:val="18"/>
      <w:szCs w:val="18"/>
      <w:u w:val="none"/>
    </w:rPr>
  </w:style>
  <w:style w:type="character" w:customStyle="1" w:styleId="151">
    <w:name w:val="font222"/>
    <w:basedOn w:val="57"/>
    <w:qFormat/>
    <w:uiPriority w:val="0"/>
    <w:rPr>
      <w:rFonts w:ascii="宋体" w:hAnsi="宋体" w:eastAsia="宋体" w:cs="宋体"/>
      <w:color w:val="FF0000"/>
      <w:sz w:val="18"/>
      <w:szCs w:val="18"/>
      <w:u w:val="none"/>
    </w:rPr>
  </w:style>
  <w:style w:type="character" w:customStyle="1" w:styleId="152">
    <w:name w:val="font251"/>
    <w:basedOn w:val="57"/>
    <w:qFormat/>
    <w:uiPriority w:val="0"/>
    <w:rPr>
      <w:rFonts w:hint="eastAsia" w:ascii="宋体" w:hAnsi="宋体" w:eastAsia="宋体" w:cs="宋体"/>
      <w:color w:val="FF0000"/>
      <w:sz w:val="18"/>
      <w:szCs w:val="18"/>
      <w:u w:val="none"/>
    </w:rPr>
  </w:style>
  <w:style w:type="character" w:customStyle="1" w:styleId="153">
    <w:name w:val="font261"/>
    <w:basedOn w:val="57"/>
    <w:qFormat/>
    <w:uiPriority w:val="0"/>
    <w:rPr>
      <w:rFonts w:hint="eastAsia" w:ascii="宋体" w:hAnsi="宋体" w:eastAsia="宋体" w:cs="宋体"/>
      <w:color w:val="FF0000"/>
      <w:sz w:val="22"/>
      <w:szCs w:val="22"/>
      <w:u w:val="none"/>
    </w:rPr>
  </w:style>
  <w:style w:type="character" w:customStyle="1" w:styleId="154">
    <w:name w:val="font101"/>
    <w:basedOn w:val="57"/>
    <w:qFormat/>
    <w:uiPriority w:val="0"/>
    <w:rPr>
      <w:rFonts w:hint="eastAsia" w:ascii="宋体" w:hAnsi="宋体" w:eastAsia="宋体" w:cs="宋体"/>
      <w:color w:val="000000"/>
      <w:sz w:val="22"/>
      <w:szCs w:val="22"/>
      <w:u w:val="none"/>
    </w:rPr>
  </w:style>
  <w:style w:type="character" w:customStyle="1" w:styleId="155">
    <w:name w:val="font271"/>
    <w:basedOn w:val="57"/>
    <w:qFormat/>
    <w:uiPriority w:val="0"/>
    <w:rPr>
      <w:rFonts w:ascii="宋体" w:hAnsi="宋体" w:eastAsia="宋体" w:cs="宋体"/>
      <w:color w:val="FF0000"/>
      <w:sz w:val="22"/>
      <w:szCs w:val="22"/>
      <w:u w:val="none"/>
    </w:rPr>
  </w:style>
  <w:style w:type="character" w:customStyle="1" w:styleId="156">
    <w:name w:val="font201"/>
    <w:basedOn w:val="57"/>
    <w:qFormat/>
    <w:uiPriority w:val="0"/>
    <w:rPr>
      <w:rFonts w:hint="default" w:ascii="方正书宋_GBK" w:hAnsi="方正书宋_GBK" w:eastAsia="方正书宋_GBK" w:cs="方正书宋_GBK"/>
      <w:color w:val="000000"/>
      <w:sz w:val="20"/>
      <w:szCs w:val="20"/>
      <w:u w:val="none"/>
    </w:rPr>
  </w:style>
  <w:style w:type="character" w:customStyle="1" w:styleId="157">
    <w:name w:val="UserStyle_0"/>
    <w:link w:val="158"/>
    <w:qFormat/>
    <w:uiPriority w:val="0"/>
    <w:rPr>
      <w:rFonts w:ascii="Times New Roman" w:hAnsi="Times New Roman"/>
      <w:kern w:val="2"/>
      <w:sz w:val="24"/>
      <w:szCs w:val="24"/>
      <w:lang w:val="en-US" w:eastAsia="zh-CN" w:bidi="ar-SA"/>
    </w:rPr>
  </w:style>
  <w:style w:type="paragraph" w:customStyle="1" w:styleId="158">
    <w:name w:val="BodyTextIndent"/>
    <w:basedOn w:val="1"/>
    <w:link w:val="157"/>
    <w:qFormat/>
    <w:uiPriority w:val="0"/>
    <w:pPr>
      <w:ind w:firstLine="560" w:firstLineChars="200"/>
      <w:textAlignment w:val="baseline"/>
    </w:pPr>
    <w:rPr>
      <w:rFonts w:ascii="Times New Roman" w:hAnsi="Times New Roman"/>
      <w:sz w:val="24"/>
    </w:rPr>
  </w:style>
  <w:style w:type="character" w:customStyle="1" w:styleId="159">
    <w:name w:val="label"/>
    <w:basedOn w:val="57"/>
    <w:qFormat/>
    <w:uiPriority w:val="0"/>
    <w:rPr>
      <w:color w:val="999999"/>
    </w:rPr>
  </w:style>
  <w:style w:type="character" w:customStyle="1" w:styleId="160">
    <w:name w:val="layui-laypage-curr"/>
    <w:basedOn w:val="57"/>
    <w:qFormat/>
    <w:uiPriority w:val="0"/>
  </w:style>
  <w:style w:type="paragraph" w:customStyle="1" w:styleId="161">
    <w:name w:val="BodyText"/>
    <w:basedOn w:val="1"/>
    <w:next w:val="1"/>
    <w:qFormat/>
    <w:uiPriority w:val="0"/>
    <w:pPr>
      <w:spacing w:after="120"/>
    </w:pPr>
    <w:rPr>
      <w:rFonts w:ascii="Times New Roman" w:hAnsi="Times New Roman"/>
    </w:rPr>
  </w:style>
  <w:style w:type="paragraph" w:customStyle="1" w:styleId="162">
    <w:name w:val="一级条标题"/>
    <w:basedOn w:val="1"/>
    <w:next w:val="1"/>
    <w:link w:val="163"/>
    <w:qFormat/>
    <w:uiPriority w:val="0"/>
    <w:pPr>
      <w:widowControl/>
      <w:ind w:left="3990"/>
      <w:outlineLvl w:val="2"/>
    </w:pPr>
    <w:rPr>
      <w:rFonts w:ascii="黑体" w:hAnsi="Times New Roman" w:eastAsia="黑体"/>
      <w:kern w:val="0"/>
      <w:szCs w:val="22"/>
    </w:rPr>
  </w:style>
  <w:style w:type="character" w:customStyle="1" w:styleId="163">
    <w:name w:val="一级条标题 Char Char"/>
    <w:link w:val="162"/>
    <w:qFormat/>
    <w:uiPriority w:val="0"/>
    <w:rPr>
      <w:rFonts w:ascii="黑体" w:eastAsia="黑体"/>
      <w:sz w:val="21"/>
      <w:szCs w:val="22"/>
    </w:rPr>
  </w:style>
  <w:style w:type="paragraph" w:styleId="164">
    <w:name w:val="List Paragraph"/>
    <w:basedOn w:val="1"/>
    <w:link w:val="165"/>
    <w:unhideWhenUsed/>
    <w:qFormat/>
    <w:uiPriority w:val="1"/>
    <w:pPr>
      <w:ind w:firstLine="420" w:firstLineChars="200"/>
    </w:pPr>
  </w:style>
  <w:style w:type="character" w:customStyle="1" w:styleId="165">
    <w:name w:val="列出段落 Char"/>
    <w:link w:val="164"/>
    <w:qFormat/>
    <w:uiPriority w:val="1"/>
    <w:rPr>
      <w:rFonts w:ascii="Calibri" w:hAnsi="Calibri"/>
      <w:kern w:val="2"/>
      <w:sz w:val="21"/>
      <w:szCs w:val="24"/>
    </w:rPr>
  </w:style>
  <w:style w:type="paragraph" w:customStyle="1" w:styleId="166">
    <w:name w:val="正文2"/>
    <w:basedOn w:val="1"/>
    <w:qFormat/>
    <w:uiPriority w:val="0"/>
    <w:pPr>
      <w:spacing w:before="156" w:line="360" w:lineRule="auto"/>
      <w:ind w:firstLine="510" w:firstLineChars="200"/>
    </w:pPr>
    <w:rPr>
      <w:sz w:val="24"/>
      <w:szCs w:val="20"/>
    </w:rPr>
  </w:style>
  <w:style w:type="paragraph" w:customStyle="1" w:styleId="167">
    <w:name w:val="_Style 24"/>
    <w:basedOn w:val="16"/>
    <w:qFormat/>
    <w:uiPriority w:val="0"/>
    <w:pPr>
      <w:shd w:val="clear" w:color="auto" w:fill="auto"/>
    </w:pPr>
    <w:rPr>
      <w:rFonts w:ascii="宋体" w:eastAsia="华文中宋"/>
      <w:sz w:val="18"/>
      <w:szCs w:val="18"/>
      <w:shd w:val="clear" w:color="auto" w:fill="000080"/>
    </w:rPr>
  </w:style>
  <w:style w:type="paragraph" w:customStyle="1" w:styleId="168">
    <w:name w:val="Char"/>
    <w:basedOn w:val="1"/>
    <w:qFormat/>
    <w:uiPriority w:val="0"/>
    <w:pPr>
      <w:keepNext/>
      <w:keepLines/>
      <w:pageBreakBefore/>
      <w:tabs>
        <w:tab w:val="left" w:pos="845"/>
      </w:tabs>
      <w:ind w:left="845" w:hanging="420"/>
    </w:pPr>
    <w:rPr>
      <w:rFonts w:ascii="Times New Roman" w:hAnsi="Times New Roman"/>
    </w:rPr>
  </w:style>
  <w:style w:type="paragraph" w:customStyle="1" w:styleId="169">
    <w:name w:val="Char Char Char"/>
    <w:basedOn w:val="1"/>
    <w:qFormat/>
    <w:uiPriority w:val="0"/>
    <w:rPr>
      <w:rFonts w:ascii="Tahoma" w:hAnsi="Tahoma"/>
      <w:sz w:val="24"/>
      <w:szCs w:val="20"/>
    </w:rPr>
  </w:style>
  <w:style w:type="paragraph" w:customStyle="1" w:styleId="170">
    <w:name w:val="Table Text"/>
    <w:basedOn w:val="1"/>
    <w:semiHidden/>
    <w:qFormat/>
    <w:uiPriority w:val="0"/>
    <w:rPr>
      <w:rFonts w:ascii="宋体" w:hAnsi="宋体" w:cs="宋体"/>
      <w:sz w:val="14"/>
      <w:szCs w:val="14"/>
      <w:lang w:eastAsia="en-US"/>
    </w:rPr>
  </w:style>
  <w:style w:type="table" w:customStyle="1" w:styleId="171">
    <w:name w:val="Table Normal"/>
    <w:basedOn w:val="55"/>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72">
    <w:name w:val="批注文字 Char2"/>
    <w:qFormat/>
    <w:uiPriority w:val="0"/>
  </w:style>
  <w:style w:type="character" w:customStyle="1" w:styleId="173">
    <w:name w:val="标题 4 Char"/>
    <w:basedOn w:val="57"/>
    <w:link w:val="5"/>
    <w:qFormat/>
    <w:uiPriority w:val="0"/>
    <w:rPr>
      <w:rFonts w:asciiTheme="majorHAnsi" w:hAnsiTheme="majorHAnsi" w:eastAsiaTheme="majorEastAsia" w:cstheme="majorBidi"/>
      <w:b/>
      <w:bCs/>
      <w:kern w:val="2"/>
      <w:sz w:val="28"/>
      <w:szCs w:val="28"/>
    </w:rPr>
  </w:style>
  <w:style w:type="character" w:customStyle="1" w:styleId="174">
    <w:name w:val="正文首行缩进 2 Char"/>
    <w:basedOn w:val="86"/>
    <w:link w:val="54"/>
    <w:qFormat/>
    <w:uiPriority w:val="99"/>
    <w:rPr>
      <w:kern w:val="2"/>
      <w:sz w:val="21"/>
    </w:rPr>
  </w:style>
  <w:style w:type="character" w:customStyle="1" w:styleId="175">
    <w:name w:val="正文文本缩进 Char2"/>
    <w:qFormat/>
    <w:uiPriority w:val="0"/>
    <w:rPr>
      <w:rFonts w:hint="default"/>
      <w:kern w:val="2"/>
      <w:sz w:val="32"/>
      <w:szCs w:val="24"/>
    </w:rPr>
  </w:style>
  <w:style w:type="character" w:customStyle="1" w:styleId="176">
    <w:name w:val="标题 1 Char1"/>
    <w:qFormat/>
    <w:uiPriority w:val="0"/>
    <w:rPr>
      <w:rFonts w:hint="default" w:eastAsia="宋体"/>
      <w:b/>
      <w:bCs/>
      <w:kern w:val="44"/>
      <w:sz w:val="44"/>
      <w:szCs w:val="44"/>
      <w:lang w:val="en-US" w:eastAsia="zh-CN" w:bidi="ar-SA"/>
    </w:rPr>
  </w:style>
  <w:style w:type="character" w:customStyle="1" w:styleId="177">
    <w:name w:val="标题 2 Char2"/>
    <w:qFormat/>
    <w:uiPriority w:val="0"/>
    <w:rPr>
      <w:rFonts w:hint="default" w:ascii="Arial" w:hAnsi="Arial" w:eastAsia="黑体"/>
      <w:b/>
      <w:kern w:val="2"/>
      <w:sz w:val="32"/>
      <w:lang w:val="en-US" w:eastAsia="zh-CN" w:bidi="ar-SA"/>
    </w:rPr>
  </w:style>
  <w:style w:type="character" w:customStyle="1" w:styleId="178">
    <w:name w:val="标题 3 Char2"/>
    <w:qFormat/>
    <w:uiPriority w:val="0"/>
    <w:rPr>
      <w:b/>
      <w:sz w:val="24"/>
    </w:rPr>
  </w:style>
  <w:style w:type="character" w:customStyle="1" w:styleId="179">
    <w:name w:val="正文缩进 Char2"/>
    <w:qFormat/>
    <w:uiPriority w:val="0"/>
    <w:rPr>
      <w:rFonts w:hint="default"/>
      <w:kern w:val="2"/>
      <w:sz w:val="21"/>
      <w:szCs w:val="24"/>
    </w:rPr>
  </w:style>
  <w:style w:type="character" w:customStyle="1" w:styleId="180">
    <w:name w:val="正文文本 Char1"/>
    <w:qFormat/>
    <w:uiPriority w:val="0"/>
    <w:rPr>
      <w:rFonts w:hint="default"/>
      <w:kern w:val="2"/>
      <w:sz w:val="21"/>
      <w:szCs w:val="24"/>
    </w:rPr>
  </w:style>
  <w:style w:type="character" w:customStyle="1" w:styleId="181">
    <w:name w:val="称呼 Char"/>
    <w:basedOn w:val="57"/>
    <w:link w:val="21"/>
    <w:qFormat/>
    <w:uiPriority w:val="0"/>
    <w:rPr>
      <w:rFonts w:ascii="Calibri" w:hAnsi="Calibri"/>
      <w:kern w:val="2"/>
      <w:sz w:val="28"/>
    </w:rPr>
  </w:style>
  <w:style w:type="character" w:customStyle="1" w:styleId="182">
    <w:name w:val="正文文本 3 Char"/>
    <w:basedOn w:val="57"/>
    <w:link w:val="19"/>
    <w:qFormat/>
    <w:uiPriority w:val="0"/>
    <w:rPr>
      <w:rFonts w:ascii="宋体" w:hAnsi="宋体"/>
      <w:sz w:val="21"/>
      <w:szCs w:val="21"/>
    </w:rPr>
  </w:style>
  <w:style w:type="character" w:customStyle="1" w:styleId="183">
    <w:name w:val="批注框文本 Char2"/>
    <w:qFormat/>
    <w:uiPriority w:val="0"/>
    <w:rPr>
      <w:kern w:val="2"/>
      <w:sz w:val="18"/>
      <w:szCs w:val="18"/>
    </w:rPr>
  </w:style>
  <w:style w:type="character" w:customStyle="1" w:styleId="184">
    <w:name w:val="HTML 地址 Char1"/>
    <w:link w:val="27"/>
    <w:qFormat/>
    <w:uiPriority w:val="0"/>
    <w:rPr>
      <w:rFonts w:ascii="宋体"/>
      <w:i/>
      <w:iCs/>
      <w:kern w:val="21"/>
      <w:szCs w:val="21"/>
    </w:rPr>
  </w:style>
  <w:style w:type="character" w:customStyle="1" w:styleId="185">
    <w:name w:val="HTML 地址 Char"/>
    <w:basedOn w:val="57"/>
    <w:link w:val="27"/>
    <w:qFormat/>
    <w:uiPriority w:val="0"/>
    <w:rPr>
      <w:rFonts w:ascii="Calibri" w:hAnsi="Calibri"/>
      <w:i/>
      <w:iCs/>
      <w:kern w:val="2"/>
      <w:sz w:val="21"/>
      <w:szCs w:val="24"/>
    </w:rPr>
  </w:style>
  <w:style w:type="character" w:customStyle="1" w:styleId="186">
    <w:name w:val="纯文本 Char2"/>
    <w:qFormat/>
    <w:uiPriority w:val="0"/>
    <w:rPr>
      <w:rFonts w:ascii="宋体" w:hAnsi="Courier New" w:cs="Courier New"/>
      <w:kern w:val="2"/>
      <w:sz w:val="21"/>
      <w:szCs w:val="21"/>
    </w:rPr>
  </w:style>
  <w:style w:type="character" w:customStyle="1" w:styleId="187">
    <w:name w:val="页脚 Char2"/>
    <w:qFormat/>
    <w:uiPriority w:val="99"/>
    <w:rPr>
      <w:rFonts w:hint="default" w:eastAsia="宋体"/>
      <w:kern w:val="2"/>
      <w:sz w:val="18"/>
      <w:szCs w:val="18"/>
      <w:lang w:val="en-US" w:eastAsia="zh-CN" w:bidi="ar-SA"/>
    </w:rPr>
  </w:style>
  <w:style w:type="character" w:customStyle="1" w:styleId="188">
    <w:name w:val="页眉 Char2"/>
    <w:qFormat/>
    <w:uiPriority w:val="99"/>
    <w:rPr>
      <w:rFonts w:hint="default"/>
      <w:kern w:val="2"/>
      <w:sz w:val="18"/>
      <w:szCs w:val="18"/>
    </w:rPr>
  </w:style>
  <w:style w:type="character" w:customStyle="1" w:styleId="189">
    <w:name w:val="脚注文本 Char1"/>
    <w:link w:val="40"/>
    <w:qFormat/>
    <w:uiPriority w:val="0"/>
    <w:rPr>
      <w:rFonts w:ascii="宋体"/>
      <w:kern w:val="21"/>
      <w:sz w:val="18"/>
      <w:szCs w:val="18"/>
    </w:rPr>
  </w:style>
  <w:style w:type="character" w:customStyle="1" w:styleId="190">
    <w:name w:val="脚注文本 Char"/>
    <w:basedOn w:val="57"/>
    <w:link w:val="40"/>
    <w:semiHidden/>
    <w:qFormat/>
    <w:uiPriority w:val="0"/>
    <w:rPr>
      <w:rFonts w:ascii="Calibri" w:hAnsi="Calibri"/>
      <w:kern w:val="2"/>
      <w:sz w:val="18"/>
      <w:szCs w:val="18"/>
    </w:rPr>
  </w:style>
  <w:style w:type="character" w:customStyle="1" w:styleId="191">
    <w:name w:val="正文文本缩进 3 Char"/>
    <w:basedOn w:val="57"/>
    <w:link w:val="43"/>
    <w:qFormat/>
    <w:uiPriority w:val="0"/>
    <w:rPr>
      <w:rFonts w:ascii="宋体" w:hAnsi="宋体"/>
      <w:sz w:val="21"/>
      <w:szCs w:val="21"/>
    </w:rPr>
  </w:style>
  <w:style w:type="character" w:customStyle="1" w:styleId="192">
    <w:name w:val="HTML 预设格式 Char2"/>
    <w:qFormat/>
    <w:uiPriority w:val="0"/>
    <w:rPr>
      <w:rFonts w:hint="default" w:ascii="宋体" w:hAnsi="宋体"/>
      <w:sz w:val="24"/>
      <w:szCs w:val="24"/>
    </w:rPr>
  </w:style>
  <w:style w:type="character" w:customStyle="1" w:styleId="193">
    <w:name w:val="标题 Char2"/>
    <w:qFormat/>
    <w:uiPriority w:val="0"/>
    <w:rPr>
      <w:b/>
      <w:sz w:val="32"/>
    </w:rPr>
  </w:style>
  <w:style w:type="character" w:customStyle="1" w:styleId="194">
    <w:name w:val="批注主题 Char1"/>
    <w:link w:val="52"/>
    <w:qFormat/>
    <w:uiPriority w:val="0"/>
    <w:rPr>
      <w:b/>
      <w:bCs/>
      <w:kern w:val="2"/>
      <w:sz w:val="21"/>
      <w:szCs w:val="24"/>
    </w:rPr>
  </w:style>
  <w:style w:type="character" w:customStyle="1" w:styleId="195">
    <w:name w:val="批注主题 Char"/>
    <w:basedOn w:val="84"/>
    <w:link w:val="52"/>
    <w:qFormat/>
    <w:uiPriority w:val="0"/>
    <w:rPr>
      <w:rFonts w:ascii="Calibri" w:hAnsi="Calibri"/>
      <w:b/>
      <w:bCs/>
      <w:kern w:val="2"/>
      <w:sz w:val="21"/>
    </w:rPr>
  </w:style>
  <w:style w:type="character" w:customStyle="1" w:styleId="196">
    <w:name w:val="zizicopy1"/>
    <w:qFormat/>
    <w:uiPriority w:val="0"/>
    <w:rPr>
      <w:rFonts w:hint="default"/>
      <w:color w:val="E8E8E8"/>
      <w:spacing w:val="14"/>
      <w:sz w:val="18"/>
      <w:szCs w:val="18"/>
    </w:rPr>
  </w:style>
  <w:style w:type="paragraph" w:customStyle="1" w:styleId="197">
    <w:name w:val="style7"/>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98">
    <w:name w:val="Char11"/>
    <w:basedOn w:val="1"/>
    <w:qFormat/>
    <w:uiPriority w:val="0"/>
    <w:pPr>
      <w:widowControl/>
      <w:spacing w:after="160" w:line="240" w:lineRule="exact"/>
      <w:jc w:val="left"/>
    </w:pPr>
    <w:rPr>
      <w:rFonts w:ascii="Verdana" w:hAnsi="Verdana" w:eastAsia="楷体_GB2312"/>
      <w:kern w:val="0"/>
      <w:sz w:val="18"/>
      <w:szCs w:val="20"/>
      <w:lang w:eastAsia="en-US"/>
    </w:rPr>
  </w:style>
  <w:style w:type="paragraph" w:customStyle="1" w:styleId="199">
    <w:name w:val="Char2"/>
    <w:basedOn w:val="1"/>
    <w:qFormat/>
    <w:uiPriority w:val="0"/>
    <w:rPr>
      <w:rFonts w:ascii="Times New Roman" w:hAnsi="Times New Roman"/>
      <w:sz w:val="24"/>
      <w:szCs w:val="20"/>
    </w:rPr>
  </w:style>
  <w:style w:type="paragraph" w:customStyle="1" w:styleId="200">
    <w:name w:val="_Style 4"/>
    <w:basedOn w:val="1"/>
    <w:qFormat/>
    <w:uiPriority w:val="0"/>
    <w:pPr>
      <w:ind w:firstLine="420" w:firstLineChars="200"/>
    </w:pPr>
    <w:rPr>
      <w:rFonts w:ascii="Times New Roman" w:hAnsi="Times New Roman"/>
    </w:rPr>
  </w:style>
  <w:style w:type="paragraph" w:customStyle="1" w:styleId="201">
    <w:name w:val="标"/>
    <w:basedOn w:val="1"/>
    <w:qFormat/>
    <w:uiPriority w:val="0"/>
    <w:pPr>
      <w:widowControl/>
      <w:snapToGrid w:val="0"/>
      <w:spacing w:line="240" w:lineRule="atLeast"/>
      <w:jc w:val="center"/>
    </w:pPr>
    <w:rPr>
      <w:rFonts w:ascii="黑体" w:hAnsi="Times New Roman" w:eastAsia="黑体"/>
      <w:kern w:val="0"/>
      <w:sz w:val="30"/>
      <w:szCs w:val="20"/>
    </w:rPr>
  </w:style>
  <w:style w:type="paragraph" w:customStyle="1" w:styleId="202">
    <w:name w:val="Char Char1"/>
    <w:basedOn w:val="1"/>
    <w:qFormat/>
    <w:uiPriority w:val="0"/>
    <w:rPr>
      <w:rFonts w:ascii="Times New Roman" w:hAnsi="Times New Roman"/>
      <w:szCs w:val="21"/>
    </w:rPr>
  </w:style>
  <w:style w:type="paragraph" w:customStyle="1" w:styleId="203">
    <w:name w:val="Char Char Char2 Char Char Char Char"/>
    <w:basedOn w:val="1"/>
    <w:qFormat/>
    <w:uiPriority w:val="0"/>
    <w:pPr>
      <w:spacing w:line="360" w:lineRule="auto"/>
      <w:ind w:firstLine="200" w:firstLineChars="200"/>
    </w:pPr>
    <w:rPr>
      <w:rFonts w:ascii="宋体" w:hAnsi="宋体" w:cs="宋体"/>
      <w:sz w:val="24"/>
    </w:rPr>
  </w:style>
  <w:style w:type="paragraph" w:customStyle="1" w:styleId="204">
    <w:name w:val="列出段落4"/>
    <w:basedOn w:val="1"/>
    <w:qFormat/>
    <w:uiPriority w:val="0"/>
    <w:pPr>
      <w:ind w:firstLine="420" w:firstLineChars="200"/>
    </w:pPr>
    <w:rPr>
      <w:rFonts w:ascii="Times New Roman" w:hAnsi="Times New Roman"/>
    </w:rPr>
  </w:style>
  <w:style w:type="paragraph" w:customStyle="1" w:styleId="205">
    <w:name w:val="xl23"/>
    <w:basedOn w:val="1"/>
    <w:qFormat/>
    <w:uiPriority w:val="0"/>
    <w:pPr>
      <w:widowControl/>
      <w:spacing w:before="100" w:beforeAutospacing="1" w:after="100" w:afterAutospacing="1" w:line="360" w:lineRule="auto"/>
      <w:textAlignment w:val="top"/>
    </w:pPr>
    <w:rPr>
      <w:rFonts w:ascii="Times New Roman" w:hAnsi="Times New Roman"/>
      <w:kern w:val="0"/>
      <w:sz w:val="24"/>
    </w:rPr>
  </w:style>
  <w:style w:type="paragraph" w:customStyle="1" w:styleId="206">
    <w:name w:val="Char Char Char Char11"/>
    <w:basedOn w:val="1"/>
    <w:qFormat/>
    <w:uiPriority w:val="0"/>
    <w:rPr>
      <w:rFonts w:ascii="Times New Roman" w:hAnsi="Times New Roman"/>
      <w:szCs w:val="20"/>
    </w:rPr>
  </w:style>
  <w:style w:type="paragraph" w:customStyle="1" w:styleId="207">
    <w:name w:val="图1"/>
    <w:basedOn w:val="1"/>
    <w:next w:val="1"/>
    <w:qFormat/>
    <w:uiPriority w:val="0"/>
    <w:pPr>
      <w:numPr>
        <w:ilvl w:val="0"/>
        <w:numId w:val="1"/>
      </w:numPr>
      <w:tabs>
        <w:tab w:val="left" w:pos="777"/>
      </w:tabs>
      <w:spacing w:beforeLines="50" w:line="360" w:lineRule="auto"/>
      <w:ind w:left="4420" w:hanging="748"/>
      <w:jc w:val="center"/>
    </w:pPr>
    <w:rPr>
      <w:rFonts w:ascii="Times New Roman" w:hAnsi="Times New Roman"/>
      <w:kern w:val="0"/>
      <w:sz w:val="24"/>
    </w:rPr>
  </w:style>
  <w:style w:type="paragraph" w:customStyle="1" w:styleId="208">
    <w:name w:val="简单回函地址"/>
    <w:basedOn w:val="1"/>
    <w:qFormat/>
    <w:uiPriority w:val="0"/>
    <w:rPr>
      <w:rFonts w:ascii="Times New Roman" w:hAnsi="Times New Roman"/>
    </w:rPr>
  </w:style>
  <w:style w:type="paragraph" w:customStyle="1" w:styleId="209">
    <w:name w:val="Char1"/>
    <w:basedOn w:val="1"/>
    <w:qFormat/>
    <w:uiPriority w:val="0"/>
    <w:rPr>
      <w:rFonts w:ascii="Times New Roman" w:hAnsi="Times New Roman"/>
    </w:rPr>
  </w:style>
  <w:style w:type="character" w:customStyle="1" w:styleId="210">
    <w:name w:val="0h Char"/>
    <w:link w:val="211"/>
    <w:qFormat/>
    <w:uiPriority w:val="0"/>
    <w:rPr>
      <w:rFonts w:ascii="仿宋_GB2312" w:hAnsi="宋体" w:eastAsia="仿宋_GB2312"/>
      <w:sz w:val="28"/>
      <w:szCs w:val="28"/>
    </w:rPr>
  </w:style>
  <w:style w:type="paragraph" w:customStyle="1" w:styleId="211">
    <w:name w:val="0h"/>
    <w:basedOn w:val="1"/>
    <w:link w:val="210"/>
    <w:qFormat/>
    <w:uiPriority w:val="0"/>
    <w:pPr>
      <w:adjustRightInd w:val="0"/>
      <w:spacing w:line="360" w:lineRule="auto"/>
      <w:ind w:firstLine="200" w:firstLineChars="200"/>
      <w:textAlignment w:val="baseline"/>
    </w:pPr>
    <w:rPr>
      <w:rFonts w:ascii="仿宋_GB2312" w:hAnsi="宋体" w:eastAsia="仿宋_GB2312"/>
      <w:kern w:val="0"/>
      <w:sz w:val="28"/>
      <w:szCs w:val="28"/>
    </w:rPr>
  </w:style>
  <w:style w:type="paragraph" w:customStyle="1" w:styleId="212">
    <w:name w:val="List Paragraph1"/>
    <w:basedOn w:val="1"/>
    <w:qFormat/>
    <w:uiPriority w:val="99"/>
    <w:pPr>
      <w:ind w:firstLine="420" w:firstLineChars="200"/>
    </w:pPr>
  </w:style>
  <w:style w:type="character" w:customStyle="1" w:styleId="213">
    <w:name w:val="font81"/>
    <w:qFormat/>
    <w:uiPriority w:val="0"/>
    <w:rPr>
      <w:rFonts w:hint="default" w:ascii="Times New Roman" w:hAnsi="Times New Roman" w:cs="Times New Roman"/>
      <w:color w:val="000000"/>
      <w:sz w:val="21"/>
      <w:szCs w:val="21"/>
      <w:u w:val="none"/>
    </w:rPr>
  </w:style>
  <w:style w:type="character" w:customStyle="1" w:styleId="214">
    <w:name w:val="fontstyle21"/>
    <w:qFormat/>
    <w:uiPriority w:val="0"/>
    <w:rPr>
      <w:rFonts w:hint="default" w:ascii="宋体" w:hAnsi="宋体" w:eastAsia="宋体" w:cs="宋体"/>
      <w:color w:val="000000"/>
      <w:sz w:val="20"/>
      <w:szCs w:val="20"/>
    </w:rPr>
  </w:style>
  <w:style w:type="character" w:customStyle="1" w:styleId="215">
    <w:name w:val="fontstyle31"/>
    <w:qFormat/>
    <w:uiPriority w:val="0"/>
    <w:rPr>
      <w:rFonts w:hint="default" w:ascii="Calibri" w:hAnsi="Calibri" w:cs="Calibri"/>
      <w:color w:val="000000"/>
      <w:sz w:val="20"/>
      <w:szCs w:val="20"/>
    </w:rPr>
  </w:style>
  <w:style w:type="paragraph" w:customStyle="1" w:styleId="216">
    <w:name w:val="Char Char Char2 Char Char Char Char1"/>
    <w:basedOn w:val="1"/>
    <w:qFormat/>
    <w:uiPriority w:val="0"/>
    <w:pPr>
      <w:spacing w:line="360" w:lineRule="auto"/>
      <w:ind w:firstLine="200" w:firstLineChars="200"/>
    </w:pPr>
    <w:rPr>
      <w:rFonts w:ascii="宋体" w:hAnsi="宋体" w:cs="宋体"/>
      <w:sz w:val="24"/>
    </w:rPr>
  </w:style>
  <w:style w:type="paragraph" w:customStyle="1" w:styleId="217">
    <w:name w:val="Char12"/>
    <w:basedOn w:val="1"/>
    <w:qFormat/>
    <w:uiPriority w:val="0"/>
    <w:rPr>
      <w:rFonts w:ascii="Times New Roman" w:hAnsi="Times New Roman"/>
    </w:rPr>
  </w:style>
  <w:style w:type="character" w:customStyle="1" w:styleId="218">
    <w:name w:val="unnamed11"/>
    <w:qFormat/>
    <w:uiPriority w:val="0"/>
    <w:rPr>
      <w:color w:val="000000"/>
      <w:sz w:val="20"/>
      <w:szCs w:val="20"/>
    </w:rPr>
  </w:style>
  <w:style w:type="character" w:customStyle="1" w:styleId="219">
    <w:name w:val="纯文本 Char1"/>
    <w:qFormat/>
    <w:uiPriority w:val="0"/>
    <w:rPr>
      <w:rFonts w:hint="default" w:ascii="宋体" w:hAnsi="Courier New" w:cs="Courier New"/>
      <w:kern w:val="2"/>
      <w:sz w:val="21"/>
      <w:szCs w:val="21"/>
    </w:rPr>
  </w:style>
  <w:style w:type="paragraph" w:customStyle="1" w:styleId="220">
    <w:name w:val="正文缩进1"/>
    <w:basedOn w:val="1"/>
    <w:qFormat/>
    <w:uiPriority w:val="0"/>
    <w:pPr>
      <w:ind w:firstLine="420"/>
    </w:pPr>
    <w:rPr>
      <w:rFonts w:ascii="Times New Roman" w:hAnsi="Times New Roman"/>
      <w:szCs w:val="20"/>
    </w:rPr>
  </w:style>
  <w:style w:type="paragraph" w:customStyle="1" w:styleId="221">
    <w:name w:val="p15"/>
    <w:basedOn w:val="1"/>
    <w:qFormat/>
    <w:uiPriority w:val="0"/>
    <w:pPr>
      <w:widowControl/>
    </w:pPr>
    <w:rPr>
      <w:rFonts w:ascii="Times New Roman" w:hAnsi="Times New Roman"/>
      <w:kern w:val="0"/>
      <w:szCs w:val="21"/>
    </w:rPr>
  </w:style>
  <w:style w:type="paragraph" w:customStyle="1" w:styleId="222">
    <w:name w:val="Char Char Char Char1"/>
    <w:basedOn w:val="1"/>
    <w:qFormat/>
    <w:uiPriority w:val="0"/>
    <w:pPr>
      <w:widowControl/>
      <w:spacing w:after="160" w:line="240" w:lineRule="exact"/>
      <w:jc w:val="left"/>
    </w:pPr>
    <w:rPr>
      <w:rFonts w:ascii="Times New Roman" w:hAnsi="Times New Roman"/>
      <w:kern w:val="0"/>
      <w:sz w:val="24"/>
    </w:rPr>
  </w:style>
  <w:style w:type="paragraph" w:customStyle="1" w:styleId="223">
    <w:name w:val="正文缩进2"/>
    <w:basedOn w:val="1"/>
    <w:qFormat/>
    <w:uiPriority w:val="0"/>
    <w:pPr>
      <w:ind w:firstLine="200" w:firstLineChars="200"/>
    </w:pPr>
    <w:rPr>
      <w:rFonts w:ascii="Times New Roman" w:hAnsi="Times New Roman"/>
      <w:szCs w:val="20"/>
    </w:rPr>
  </w:style>
  <w:style w:type="paragraph" w:customStyle="1" w:styleId="224">
    <w:name w:val="Table Paragraph"/>
    <w:basedOn w:val="1"/>
    <w:qFormat/>
    <w:uiPriority w:val="1"/>
    <w:pPr>
      <w:jc w:val="left"/>
    </w:pPr>
    <w:rPr>
      <w:kern w:val="0"/>
      <w:sz w:val="22"/>
      <w:szCs w:val="22"/>
      <w:lang w:eastAsia="en-US"/>
    </w:rPr>
  </w:style>
  <w:style w:type="paragraph" w:customStyle="1" w:styleId="225">
    <w:name w:val="Body text|1"/>
    <w:basedOn w:val="1"/>
    <w:qFormat/>
    <w:uiPriority w:val="0"/>
    <w:pPr>
      <w:spacing w:line="329" w:lineRule="auto"/>
    </w:pPr>
    <w:rPr>
      <w:rFonts w:ascii="Times New Roman" w:hAnsi="Times New Roman"/>
      <w:sz w:val="20"/>
      <w:szCs w:val="20"/>
      <w:lang w:val="zh-TW" w:eastAsia="zh-TW" w:bidi="zh-TW"/>
    </w:rPr>
  </w:style>
  <w:style w:type="paragraph" w:customStyle="1" w:styleId="226">
    <w:name w:val="Other|1"/>
    <w:basedOn w:val="1"/>
    <w:qFormat/>
    <w:uiPriority w:val="0"/>
    <w:pPr>
      <w:spacing w:line="329" w:lineRule="auto"/>
    </w:pPr>
    <w:rPr>
      <w:rFonts w:ascii="Times New Roman" w:hAnsi="Times New Roman"/>
      <w:sz w:val="20"/>
      <w:szCs w:val="20"/>
      <w:lang w:val="zh-TW" w:eastAsia="zh-TW" w:bidi="zh-TW"/>
    </w:rPr>
  </w:style>
  <w:style w:type="paragraph" w:customStyle="1" w:styleId="227">
    <w:name w:val="Table caption|1"/>
    <w:basedOn w:val="1"/>
    <w:qFormat/>
    <w:uiPriority w:val="0"/>
    <w:pPr>
      <w:spacing w:after="40" w:line="360" w:lineRule="auto"/>
    </w:pPr>
    <w:rPr>
      <w:rFonts w:ascii="Times New Roman" w:hAnsi="Times New Roman"/>
      <w:sz w:val="20"/>
      <w:szCs w:val="20"/>
      <w:lang w:val="zh-TW" w:eastAsia="zh-TW" w:bidi="zh-TW"/>
    </w:rPr>
  </w:style>
  <w:style w:type="paragraph" w:customStyle="1" w:styleId="228">
    <w:name w:val="Other|2"/>
    <w:basedOn w:val="1"/>
    <w:qFormat/>
    <w:uiPriority w:val="0"/>
    <w:pPr>
      <w:spacing w:before="90" w:line="360" w:lineRule="auto"/>
      <w:jc w:val="right"/>
    </w:pPr>
    <w:rPr>
      <w:rFonts w:ascii="Times New Roman" w:hAnsi="Times New Roman"/>
      <w:sz w:val="18"/>
      <w:szCs w:val="18"/>
      <w:lang w:val="zh-TW" w:eastAsia="zh-TW" w:bidi="zh-TW"/>
    </w:rPr>
  </w:style>
  <w:style w:type="paragraph" w:customStyle="1" w:styleId="229">
    <w:name w:val="Body text|3"/>
    <w:basedOn w:val="1"/>
    <w:qFormat/>
    <w:uiPriority w:val="0"/>
    <w:pPr>
      <w:spacing w:after="140"/>
      <w:jc w:val="center"/>
    </w:pPr>
    <w:rPr>
      <w:rFonts w:ascii="Times New Roman" w:hAnsi="Times New Roman"/>
      <w:sz w:val="16"/>
      <w:szCs w:val="16"/>
      <w:lang w:val="zh-TW" w:eastAsia="zh-TW" w:bidi="zh-TW"/>
    </w:rPr>
  </w:style>
  <w:style w:type="paragraph" w:customStyle="1" w:styleId="230">
    <w:name w:val="章标题"/>
    <w:next w:val="231"/>
    <w:link w:val="233"/>
    <w:qFormat/>
    <w:uiPriority w:val="0"/>
    <w:pPr>
      <w:numPr>
        <w:ilvl w:val="1"/>
        <w:numId w:val="2"/>
      </w:numPr>
      <w:spacing w:beforeLines="50" w:afterLines="50"/>
      <w:jc w:val="both"/>
      <w:outlineLvl w:val="1"/>
    </w:pPr>
    <w:rPr>
      <w:rFonts w:ascii="黑体" w:hAnsi="Times New Roman" w:eastAsia="黑体" w:cs="Times New Roman"/>
      <w:sz w:val="21"/>
      <w:szCs w:val="21"/>
      <w:lang w:val="en-US" w:eastAsia="zh-CN" w:bidi="ar-SA"/>
    </w:rPr>
  </w:style>
  <w:style w:type="paragraph" w:customStyle="1" w:styleId="231">
    <w:name w:val="段"/>
    <w:link w:val="232"/>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232">
    <w:name w:val="段 Char Char"/>
    <w:link w:val="231"/>
    <w:qFormat/>
    <w:uiPriority w:val="0"/>
    <w:rPr>
      <w:rFonts w:ascii="宋体"/>
      <w:sz w:val="21"/>
      <w:szCs w:val="21"/>
    </w:rPr>
  </w:style>
  <w:style w:type="character" w:customStyle="1" w:styleId="233">
    <w:name w:val="章标题 Char Char"/>
    <w:link w:val="230"/>
    <w:qFormat/>
    <w:uiPriority w:val="0"/>
    <w:rPr>
      <w:rFonts w:ascii="黑体" w:eastAsia="黑体"/>
      <w:sz w:val="21"/>
      <w:szCs w:val="21"/>
    </w:rPr>
  </w:style>
  <w:style w:type="paragraph" w:customStyle="1" w:styleId="234">
    <w:name w:val="正文表标题"/>
    <w:next w:val="231"/>
    <w:qFormat/>
    <w:uiPriority w:val="0"/>
    <w:pPr>
      <w:numPr>
        <w:ilvl w:val="0"/>
        <w:numId w:val="3"/>
      </w:numPr>
      <w:jc w:val="center"/>
    </w:pPr>
    <w:rPr>
      <w:rFonts w:ascii="黑体" w:hAnsi="Times New Roman" w:eastAsia="黑体" w:cs="黑体"/>
      <w:sz w:val="21"/>
      <w:szCs w:val="21"/>
      <w:lang w:val="en-US" w:eastAsia="zh-CN" w:bidi="ar-SA"/>
    </w:rPr>
  </w:style>
  <w:style w:type="paragraph" w:customStyle="1" w:styleId="235">
    <w:name w:val="二级条标题"/>
    <w:basedOn w:val="162"/>
    <w:next w:val="231"/>
    <w:link w:val="236"/>
    <w:qFormat/>
    <w:uiPriority w:val="0"/>
    <w:pPr>
      <w:numPr>
        <w:ilvl w:val="3"/>
        <w:numId w:val="2"/>
      </w:numPr>
      <w:outlineLvl w:val="3"/>
    </w:pPr>
    <w:rPr>
      <w:szCs w:val="21"/>
    </w:rPr>
  </w:style>
  <w:style w:type="character" w:customStyle="1" w:styleId="236">
    <w:name w:val="二级条标题 Char Char"/>
    <w:link w:val="235"/>
    <w:qFormat/>
    <w:uiPriority w:val="0"/>
    <w:rPr>
      <w:rFonts w:ascii="黑体" w:eastAsia="黑体"/>
      <w:sz w:val="21"/>
      <w:szCs w:val="21"/>
    </w:rPr>
  </w:style>
  <w:style w:type="paragraph" w:customStyle="1" w:styleId="237">
    <w:name w:val="附录图标题"/>
    <w:next w:val="231"/>
    <w:qFormat/>
    <w:uiPriority w:val="0"/>
    <w:pPr>
      <w:jc w:val="center"/>
    </w:pPr>
    <w:rPr>
      <w:rFonts w:ascii="黑体" w:hAnsi="Times New Roman" w:eastAsia="黑体" w:cs="黑体"/>
      <w:sz w:val="21"/>
      <w:szCs w:val="21"/>
      <w:lang w:val="en-US" w:eastAsia="zh-CN" w:bidi="ar-SA"/>
    </w:rPr>
  </w:style>
  <w:style w:type="paragraph" w:customStyle="1" w:styleId="238">
    <w:name w:val="三级条标题"/>
    <w:basedOn w:val="235"/>
    <w:next w:val="231"/>
    <w:link w:val="239"/>
    <w:qFormat/>
    <w:uiPriority w:val="0"/>
    <w:pPr>
      <w:numPr>
        <w:ilvl w:val="4"/>
      </w:numPr>
      <w:outlineLvl w:val="4"/>
    </w:pPr>
  </w:style>
  <w:style w:type="character" w:customStyle="1" w:styleId="239">
    <w:name w:val="三级条标题 Char Char"/>
    <w:link w:val="238"/>
    <w:qFormat/>
    <w:uiPriority w:val="0"/>
    <w:rPr>
      <w:rFonts w:ascii="黑体" w:eastAsia="黑体"/>
      <w:sz w:val="21"/>
      <w:szCs w:val="21"/>
    </w:rPr>
  </w:style>
  <w:style w:type="paragraph" w:customStyle="1" w:styleId="240">
    <w:name w:val="正文图标题"/>
    <w:next w:val="231"/>
    <w:qFormat/>
    <w:uiPriority w:val="0"/>
    <w:pPr>
      <w:numPr>
        <w:ilvl w:val="0"/>
        <w:numId w:val="4"/>
      </w:numPr>
      <w:jc w:val="center"/>
    </w:pPr>
    <w:rPr>
      <w:rFonts w:ascii="黑体" w:hAnsi="Times New Roman" w:eastAsia="黑体" w:cs="黑体"/>
      <w:sz w:val="21"/>
      <w:szCs w:val="21"/>
      <w:lang w:val="en-US" w:eastAsia="zh-CN" w:bidi="ar-SA"/>
    </w:rPr>
  </w:style>
  <w:style w:type="paragraph" w:customStyle="1" w:styleId="241">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42">
    <w:name w:val="三级无标题条"/>
    <w:basedOn w:val="1"/>
    <w:qFormat/>
    <w:uiPriority w:val="0"/>
    <w:pPr>
      <w:numPr>
        <w:ilvl w:val="4"/>
        <w:numId w:val="5"/>
      </w:numPr>
      <w:tabs>
        <w:tab w:val="left" w:pos="777"/>
      </w:tabs>
    </w:pPr>
    <w:rPr>
      <w:rFonts w:ascii="Times New Roman" w:hAnsi="Times New Roman"/>
    </w:rPr>
  </w:style>
  <w:style w:type="paragraph" w:customStyle="1" w:styleId="243">
    <w:name w:val="正文文本1"/>
    <w:basedOn w:val="1"/>
    <w:link w:val="244"/>
    <w:qFormat/>
    <w:uiPriority w:val="0"/>
    <w:pPr>
      <w:shd w:val="clear" w:color="auto" w:fill="FFFFFF"/>
    </w:pPr>
    <w:rPr>
      <w:rFonts w:ascii="Times New Roman" w:hAnsi="Times New Roman" w:eastAsia="Times New Roman"/>
      <w:sz w:val="20"/>
      <w:szCs w:val="20"/>
    </w:rPr>
  </w:style>
  <w:style w:type="character" w:customStyle="1" w:styleId="244">
    <w:name w:val="正文文本_"/>
    <w:link w:val="243"/>
    <w:qFormat/>
    <w:uiPriority w:val="0"/>
    <w:rPr>
      <w:rFonts w:eastAsia="Times New Roman"/>
      <w:kern w:val="2"/>
      <w:shd w:val="clear" w:color="auto" w:fill="FFFFFF"/>
    </w:rPr>
  </w:style>
  <w:style w:type="character" w:customStyle="1" w:styleId="245">
    <w:name w:val="正文文本 + MingLiU"/>
    <w:qFormat/>
    <w:uiPriority w:val="0"/>
    <w:rPr>
      <w:rFonts w:ascii="MingLiU" w:hAnsi="MingLiU" w:eastAsia="MingLiU" w:cs="MingLiU"/>
      <w:color w:val="000000"/>
      <w:spacing w:val="-10"/>
      <w:w w:val="100"/>
      <w:position w:val="0"/>
      <w:sz w:val="25"/>
      <w:szCs w:val="25"/>
      <w:shd w:val="clear" w:color="auto" w:fill="FFFFFF"/>
      <w:lang w:val="en-US"/>
    </w:rPr>
  </w:style>
  <w:style w:type="paragraph" w:customStyle="1" w:styleId="246">
    <w:name w:val="附录表标题"/>
    <w:next w:val="2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7">
    <w:name w:val="列表段落1"/>
    <w:basedOn w:val="1"/>
    <w:qFormat/>
    <w:uiPriority w:val="0"/>
    <w:pPr>
      <w:ind w:firstLine="420" w:firstLineChars="200"/>
    </w:pPr>
    <w:rPr>
      <w:rFonts w:ascii="Times New Roman" w:hAnsi="Times New Roman"/>
    </w:rPr>
  </w:style>
  <w:style w:type="paragraph" w:customStyle="1" w:styleId="248">
    <w:name w:val="正文缩进21"/>
    <w:basedOn w:val="1"/>
    <w:qFormat/>
    <w:uiPriority w:val="0"/>
    <w:pPr>
      <w:ind w:firstLine="200" w:firstLineChars="200"/>
    </w:pPr>
    <w:rPr>
      <w:rFonts w:ascii="Times New Roman" w:hAnsi="Times New Roman"/>
      <w:szCs w:val="20"/>
    </w:rPr>
  </w:style>
  <w:style w:type="paragraph" w:customStyle="1" w:styleId="249">
    <w:name w:val="TOC Heading"/>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50">
    <w:name w:val="普通文字1 Char1"/>
    <w:qFormat/>
    <w:uiPriority w:val="0"/>
    <w:rPr>
      <w:rFonts w:ascii="宋体" w:hAnsi="Courier New" w:eastAsia="宋体"/>
      <w:kern w:val="2"/>
      <w:sz w:val="21"/>
      <w:lang w:val="en-US" w:eastAsia="zh-CN" w:bidi="ar-SA"/>
    </w:rPr>
  </w:style>
  <w:style w:type="character" w:customStyle="1" w:styleId="251">
    <w:name w:val="EmailStyle75"/>
    <w:qFormat/>
    <w:uiPriority w:val="99"/>
    <w:rPr>
      <w:rFonts w:ascii="Arial" w:hAnsi="Arial" w:eastAsia="宋体" w:cs="Arial"/>
      <w:color w:val="auto"/>
      <w:sz w:val="20"/>
      <w:szCs w:val="20"/>
    </w:rPr>
  </w:style>
  <w:style w:type="character" w:customStyle="1" w:styleId="252">
    <w:name w:val="正文缩进 Char Char"/>
    <w:link w:val="253"/>
    <w:qFormat/>
    <w:uiPriority w:val="0"/>
    <w:rPr>
      <w:rFonts w:ascii="宋体"/>
      <w:color w:val="000000"/>
      <w:kern w:val="28"/>
      <w:sz w:val="28"/>
    </w:rPr>
  </w:style>
  <w:style w:type="paragraph" w:customStyle="1" w:styleId="253">
    <w:name w:val="正文缩进3"/>
    <w:basedOn w:val="1"/>
    <w:link w:val="252"/>
    <w:qFormat/>
    <w:uiPriority w:val="0"/>
    <w:pPr>
      <w:widowControl/>
      <w:adjustRightInd w:val="0"/>
      <w:snapToGrid w:val="0"/>
      <w:spacing w:line="480" w:lineRule="exact"/>
      <w:ind w:firstLine="567"/>
    </w:pPr>
    <w:rPr>
      <w:rFonts w:ascii="宋体" w:hAnsi="Times New Roman"/>
      <w:color w:val="000000"/>
      <w:kern w:val="28"/>
      <w:sz w:val="28"/>
      <w:szCs w:val="20"/>
    </w:rPr>
  </w:style>
  <w:style w:type="character" w:customStyle="1" w:styleId="254">
    <w:name w:val="标题 2 Char Char"/>
    <w:qFormat/>
    <w:uiPriority w:val="0"/>
    <w:rPr>
      <w:rFonts w:ascii="Arial" w:hAnsi="Arial" w:eastAsia="黑体"/>
      <w:b/>
      <w:bCs/>
      <w:kern w:val="2"/>
      <w:sz w:val="32"/>
      <w:szCs w:val="32"/>
      <w:lang w:val="en-US" w:eastAsia="zh-CN" w:bidi="ar-SA"/>
    </w:rPr>
  </w:style>
  <w:style w:type="character" w:customStyle="1" w:styleId="255">
    <w:name w:val="正文小标题 Char"/>
    <w:link w:val="256"/>
    <w:qFormat/>
    <w:uiPriority w:val="0"/>
    <w:rPr>
      <w:rFonts w:ascii="宋体" w:hAnsi="宋体"/>
      <w:b/>
      <w:color w:val="000000"/>
      <w:sz w:val="24"/>
      <w:szCs w:val="21"/>
    </w:rPr>
  </w:style>
  <w:style w:type="paragraph" w:customStyle="1" w:styleId="256">
    <w:name w:val="正文小标题"/>
    <w:basedOn w:val="1"/>
    <w:next w:val="14"/>
    <w:link w:val="255"/>
    <w:qFormat/>
    <w:uiPriority w:val="0"/>
    <w:pPr>
      <w:adjustRightInd w:val="0"/>
      <w:snapToGrid w:val="0"/>
      <w:spacing w:beforeLines="100" w:afterLines="100" w:line="360" w:lineRule="auto"/>
      <w:jc w:val="left"/>
    </w:pPr>
    <w:rPr>
      <w:rFonts w:ascii="宋体" w:hAnsi="宋体"/>
      <w:b/>
      <w:color w:val="000000"/>
      <w:kern w:val="0"/>
      <w:sz w:val="24"/>
      <w:szCs w:val="21"/>
    </w:rPr>
  </w:style>
  <w:style w:type="character" w:customStyle="1" w:styleId="257">
    <w:name w:val="正文重点 Char"/>
    <w:link w:val="258"/>
    <w:qFormat/>
    <w:uiPriority w:val="0"/>
    <w:rPr>
      <w:b/>
      <w:sz w:val="24"/>
    </w:rPr>
  </w:style>
  <w:style w:type="paragraph" w:customStyle="1" w:styleId="258">
    <w:name w:val="正文重点"/>
    <w:basedOn w:val="1"/>
    <w:link w:val="257"/>
    <w:qFormat/>
    <w:uiPriority w:val="0"/>
    <w:pPr>
      <w:adjustRightInd w:val="0"/>
      <w:spacing w:line="360" w:lineRule="auto"/>
      <w:ind w:firstLine="482" w:firstLineChars="200"/>
      <w:jc w:val="left"/>
      <w:textAlignment w:val="baseline"/>
    </w:pPr>
    <w:rPr>
      <w:rFonts w:ascii="Times New Roman" w:hAnsi="Times New Roman"/>
      <w:b/>
      <w:kern w:val="0"/>
      <w:sz w:val="24"/>
      <w:szCs w:val="20"/>
    </w:rPr>
  </w:style>
  <w:style w:type="character" w:customStyle="1" w:styleId="259">
    <w:name w:val="批注文字 Char1"/>
    <w:qFormat/>
    <w:uiPriority w:val="99"/>
    <w:rPr>
      <w:kern w:val="2"/>
      <w:sz w:val="21"/>
      <w:szCs w:val="24"/>
    </w:rPr>
  </w:style>
  <w:style w:type="character" w:customStyle="1" w:styleId="260">
    <w:name w:val="个人撰写风格"/>
    <w:qFormat/>
    <w:uiPriority w:val="0"/>
    <w:rPr>
      <w:rFonts w:ascii="Arial" w:hAnsi="Arial" w:eastAsia="宋体" w:cs="Arial"/>
      <w:color w:val="auto"/>
      <w:sz w:val="20"/>
    </w:rPr>
  </w:style>
  <w:style w:type="character" w:customStyle="1" w:styleId="261">
    <w:name w:val="列表段落 字符"/>
    <w:qFormat/>
    <w:uiPriority w:val="34"/>
    <w:rPr>
      <w:rFonts w:ascii="Calibri" w:hAnsi="Calibri" w:eastAsia="宋体"/>
      <w:kern w:val="2"/>
      <w:sz w:val="21"/>
      <w:szCs w:val="22"/>
      <w:lang w:val="en-US" w:eastAsia="zh-CN" w:bidi="ar-SA"/>
    </w:rPr>
  </w:style>
  <w:style w:type="character" w:customStyle="1" w:styleId="262">
    <w:name w:val="c21"/>
    <w:qFormat/>
    <w:uiPriority w:val="0"/>
    <w:rPr>
      <w:rFonts w:hint="default" w:ascii="ˎ̥" w:hAnsi="ˎ̥"/>
      <w:color w:val="000000"/>
      <w:sz w:val="20"/>
      <w:szCs w:val="20"/>
      <w:u w:val="none"/>
    </w:rPr>
  </w:style>
  <w:style w:type="character" w:customStyle="1" w:styleId="263">
    <w:name w:val="msoins"/>
    <w:qFormat/>
    <w:uiPriority w:val="0"/>
  </w:style>
  <w:style w:type="character" w:customStyle="1" w:styleId="264">
    <w:name w:val="标题 3 Char1"/>
    <w:qFormat/>
    <w:uiPriority w:val="0"/>
    <w:rPr>
      <w:rFonts w:ascii="宋体" w:eastAsia="宋体"/>
      <w:b/>
      <w:sz w:val="24"/>
      <w:u w:val="single"/>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个人答复风格"/>
    <w:qFormat/>
    <w:uiPriority w:val="0"/>
    <w:rPr>
      <w:rFonts w:ascii="Arial" w:hAnsi="Arial" w:eastAsia="宋体" w:cs="Arial"/>
      <w:color w:val="auto"/>
      <w:sz w:val="20"/>
    </w:rPr>
  </w:style>
  <w:style w:type="character" w:customStyle="1" w:styleId="267">
    <w:name w:val="street-address"/>
    <w:basedOn w:val="57"/>
    <w:qFormat/>
    <w:uiPriority w:val="0"/>
    <w:rPr>
      <w:rFonts w:hint="default"/>
      <w:sz w:val="24"/>
    </w:rPr>
  </w:style>
  <w:style w:type="character" w:customStyle="1" w:styleId="268">
    <w:name w:val="正文标题 Char"/>
    <w:link w:val="269"/>
    <w:qFormat/>
    <w:uiPriority w:val="0"/>
    <w:rPr>
      <w:rFonts w:ascii="宋体" w:hAnsi="宋体"/>
      <w:b/>
      <w:color w:val="000000"/>
      <w:sz w:val="24"/>
      <w:szCs w:val="24"/>
    </w:rPr>
  </w:style>
  <w:style w:type="paragraph" w:customStyle="1" w:styleId="269">
    <w:name w:val="正文标题"/>
    <w:basedOn w:val="1"/>
    <w:link w:val="268"/>
    <w:qFormat/>
    <w:uiPriority w:val="0"/>
    <w:pPr>
      <w:spacing w:line="360" w:lineRule="auto"/>
      <w:jc w:val="center"/>
    </w:pPr>
    <w:rPr>
      <w:rFonts w:ascii="宋体" w:hAnsi="宋体"/>
      <w:b/>
      <w:color w:val="000000"/>
      <w:kern w:val="0"/>
      <w:sz w:val="24"/>
    </w:rPr>
  </w:style>
  <w:style w:type="character" w:customStyle="1" w:styleId="270">
    <w:name w:val="locality"/>
    <w:basedOn w:val="57"/>
    <w:qFormat/>
    <w:uiPriority w:val="0"/>
    <w:rPr>
      <w:rFonts w:hint="default"/>
      <w:sz w:val="24"/>
    </w:rPr>
  </w:style>
  <w:style w:type="character" w:customStyle="1" w:styleId="271">
    <w:name w:val="正文大标题 Char"/>
    <w:link w:val="272"/>
    <w:qFormat/>
    <w:uiPriority w:val="0"/>
    <w:rPr>
      <w:rFonts w:ascii="宋体" w:hAnsi="宋体"/>
      <w:b/>
      <w:color w:val="000000"/>
      <w:sz w:val="28"/>
      <w:szCs w:val="21"/>
    </w:rPr>
  </w:style>
  <w:style w:type="paragraph" w:customStyle="1" w:styleId="272">
    <w:name w:val="正文大标题"/>
    <w:basedOn w:val="256"/>
    <w:next w:val="14"/>
    <w:link w:val="271"/>
    <w:qFormat/>
    <w:uiPriority w:val="0"/>
    <w:pPr>
      <w:spacing w:before="312" w:after="312"/>
      <w:jc w:val="center"/>
    </w:pPr>
    <w:rPr>
      <w:sz w:val="28"/>
    </w:rPr>
  </w:style>
  <w:style w:type="character" w:customStyle="1" w:styleId="273">
    <w:name w:val="Char Char11"/>
    <w:qFormat/>
    <w:uiPriority w:val="0"/>
    <w:rPr>
      <w:rFonts w:ascii="宋体" w:eastAsia="宋体"/>
      <w:b/>
      <w:sz w:val="24"/>
      <w:u w:val="single"/>
      <w:lang w:val="en-US" w:eastAsia="zh-CN" w:bidi="ar-SA"/>
    </w:rPr>
  </w:style>
  <w:style w:type="character" w:customStyle="1" w:styleId="274">
    <w:name w:val="正文文本缩进 Char1"/>
    <w:link w:val="275"/>
    <w:qFormat/>
    <w:uiPriority w:val="0"/>
    <w:rPr>
      <w:rFonts w:ascii="宋体" w:hAnsi="宋体"/>
      <w:sz w:val="24"/>
      <w:szCs w:val="24"/>
    </w:rPr>
  </w:style>
  <w:style w:type="paragraph" w:customStyle="1" w:styleId="275">
    <w:name w:val="正文文本缩进1"/>
    <w:basedOn w:val="1"/>
    <w:link w:val="274"/>
    <w:qFormat/>
    <w:uiPriority w:val="0"/>
    <w:pPr>
      <w:spacing w:line="480" w:lineRule="exact"/>
      <w:ind w:firstLine="480" w:firstLineChars="200"/>
    </w:pPr>
    <w:rPr>
      <w:rFonts w:ascii="宋体" w:hAnsi="宋体"/>
      <w:kern w:val="0"/>
      <w:sz w:val="24"/>
    </w:rPr>
  </w:style>
  <w:style w:type="character" w:customStyle="1" w:styleId="276">
    <w:name w:val="EmailStyle74"/>
    <w:qFormat/>
    <w:uiPriority w:val="99"/>
    <w:rPr>
      <w:rFonts w:ascii="Arial" w:hAnsi="Arial" w:eastAsia="宋体" w:cs="Arial"/>
      <w:color w:val="auto"/>
      <w:sz w:val="20"/>
      <w:szCs w:val="20"/>
    </w:rPr>
  </w:style>
  <w:style w:type="character" w:customStyle="1" w:styleId="277">
    <w:name w:val="正文缩进 Char1"/>
    <w:qFormat/>
    <w:uiPriority w:val="0"/>
    <w:rPr>
      <w:rFonts w:ascii="宋体" w:eastAsia="宋体"/>
      <w:kern w:val="2"/>
      <w:sz w:val="24"/>
      <w:szCs w:val="24"/>
      <w:lang w:val="en-US" w:eastAsia="zh-CN" w:bidi="ar-SA"/>
    </w:rPr>
  </w:style>
  <w:style w:type="character" w:customStyle="1" w:styleId="278">
    <w:name w:val="txt"/>
    <w:basedOn w:val="57"/>
    <w:qFormat/>
    <w:uiPriority w:val="0"/>
    <w:rPr>
      <w:rFonts w:hint="default"/>
      <w:sz w:val="24"/>
    </w:rPr>
  </w:style>
  <w:style w:type="character" w:customStyle="1" w:styleId="279">
    <w:name w:val="三级条标题 Char"/>
    <w:qFormat/>
    <w:uiPriority w:val="0"/>
  </w:style>
  <w:style w:type="character" w:customStyle="1" w:styleId="280">
    <w:name w:val="章标题 Char"/>
    <w:qFormat/>
    <w:uiPriority w:val="0"/>
    <w:rPr>
      <w:rFonts w:ascii="黑体" w:eastAsia="黑体" w:cs="黑体"/>
      <w:sz w:val="21"/>
      <w:szCs w:val="21"/>
      <w:lang w:val="en-US" w:eastAsia="zh-CN" w:bidi="ar-SA"/>
    </w:rPr>
  </w:style>
  <w:style w:type="character" w:customStyle="1" w:styleId="281">
    <w:name w:val="发布"/>
    <w:qFormat/>
    <w:uiPriority w:val="0"/>
    <w:rPr>
      <w:rFonts w:ascii="黑体" w:eastAsia="黑体"/>
      <w:spacing w:val="22"/>
      <w:w w:val="100"/>
      <w:position w:val="3"/>
      <w:sz w:val="28"/>
    </w:rPr>
  </w:style>
  <w:style w:type="character" w:customStyle="1" w:styleId="282">
    <w:name w:val="正文表格 Char"/>
    <w:link w:val="283"/>
    <w:qFormat/>
    <w:uiPriority w:val="0"/>
    <w:rPr>
      <w:rFonts w:ascii="宋体" w:hAnsi="宋体"/>
      <w:color w:val="000000"/>
      <w:szCs w:val="21"/>
    </w:rPr>
  </w:style>
  <w:style w:type="paragraph" w:customStyle="1" w:styleId="283">
    <w:name w:val="正文表格"/>
    <w:basedOn w:val="1"/>
    <w:link w:val="282"/>
    <w:qFormat/>
    <w:uiPriority w:val="0"/>
    <w:pPr>
      <w:adjustRightInd w:val="0"/>
      <w:snapToGrid w:val="0"/>
      <w:spacing w:line="360" w:lineRule="auto"/>
      <w:jc w:val="left"/>
    </w:pPr>
    <w:rPr>
      <w:rFonts w:ascii="宋体" w:hAnsi="宋体"/>
      <w:color w:val="000000"/>
      <w:kern w:val="0"/>
      <w:sz w:val="20"/>
      <w:szCs w:val="21"/>
    </w:rPr>
  </w:style>
  <w:style w:type="character" w:customStyle="1" w:styleId="284">
    <w:name w:val="标题 3 Char Char"/>
    <w:qFormat/>
    <w:uiPriority w:val="0"/>
    <w:rPr>
      <w:rFonts w:eastAsia="宋体"/>
      <w:b/>
      <w:bCs/>
      <w:kern w:val="2"/>
      <w:sz w:val="32"/>
      <w:szCs w:val="32"/>
      <w:lang w:val="en-US" w:eastAsia="zh-CN" w:bidi="ar-SA"/>
    </w:rPr>
  </w:style>
  <w:style w:type="character" w:customStyle="1" w:styleId="285">
    <w:name w:val="中等深浅网格 1 - 强调文字颜色 2 Char"/>
    <w:qFormat/>
    <w:uiPriority w:val="0"/>
    <w:rPr>
      <w:kern w:val="2"/>
      <w:sz w:val="21"/>
      <w:szCs w:val="24"/>
    </w:rPr>
  </w:style>
  <w:style w:type="character" w:customStyle="1" w:styleId="286">
    <w:name w:val="一级条标题 Char"/>
    <w:qFormat/>
    <w:uiPriority w:val="0"/>
  </w:style>
  <w:style w:type="character" w:customStyle="1" w:styleId="287">
    <w:name w:val="Subtle Emphasis"/>
    <w:qFormat/>
    <w:uiPriority w:val="19"/>
    <w:rPr>
      <w:i/>
      <w:iCs/>
      <w:color w:val="404040"/>
    </w:rPr>
  </w:style>
  <w:style w:type="character" w:customStyle="1" w:styleId="288">
    <w:name w:val="二级条标题 + 宋体 Char"/>
    <w:link w:val="289"/>
    <w:qFormat/>
    <w:locked/>
    <w:uiPriority w:val="99"/>
    <w:rPr>
      <w:rFonts w:ascii="宋体" w:hAnsi="宋体" w:eastAsia="黑体" w:cs="宋体"/>
      <w:kern w:val="24"/>
      <w:szCs w:val="21"/>
    </w:rPr>
  </w:style>
  <w:style w:type="paragraph" w:customStyle="1" w:styleId="289">
    <w:name w:val="二级条标题 + 宋体"/>
    <w:basedOn w:val="235"/>
    <w:link w:val="288"/>
    <w:qFormat/>
    <w:uiPriority w:val="99"/>
    <w:pPr>
      <w:numPr>
        <w:ilvl w:val="0"/>
        <w:numId w:val="0"/>
      </w:numPr>
    </w:pPr>
    <w:rPr>
      <w:rFonts w:ascii="宋体" w:hAnsi="宋体" w:cs="宋体"/>
      <w:kern w:val="24"/>
      <w:sz w:val="20"/>
    </w:rPr>
  </w:style>
  <w:style w:type="character" w:customStyle="1" w:styleId="290">
    <w:name w:val="注释 Char"/>
    <w:link w:val="291"/>
    <w:qFormat/>
    <w:uiPriority w:val="0"/>
    <w:rPr>
      <w:rFonts w:ascii="宋体" w:hAnsi="宋体"/>
      <w:szCs w:val="21"/>
    </w:rPr>
  </w:style>
  <w:style w:type="paragraph" w:customStyle="1" w:styleId="291">
    <w:name w:val="注释"/>
    <w:basedOn w:val="1"/>
    <w:link w:val="290"/>
    <w:qFormat/>
    <w:uiPriority w:val="0"/>
    <w:pPr>
      <w:adjustRightInd w:val="0"/>
      <w:snapToGrid w:val="0"/>
      <w:spacing w:line="360" w:lineRule="auto"/>
      <w:ind w:left="420" w:hanging="420" w:hangingChars="200"/>
      <w:jc w:val="left"/>
    </w:pPr>
    <w:rPr>
      <w:rFonts w:ascii="宋体" w:hAnsi="宋体"/>
      <w:kern w:val="0"/>
      <w:sz w:val="20"/>
      <w:szCs w:val="21"/>
    </w:rPr>
  </w:style>
  <w:style w:type="character" w:customStyle="1" w:styleId="292">
    <w:name w:val="black1"/>
    <w:qFormat/>
    <w:uiPriority w:val="0"/>
    <w:rPr>
      <w:color w:val="000000"/>
    </w:rPr>
  </w:style>
  <w:style w:type="character" w:customStyle="1" w:styleId="293">
    <w:name w:val="二级条标题 Char"/>
    <w:qFormat/>
    <w:uiPriority w:val="0"/>
    <w:rPr>
      <w:rFonts w:ascii="黑体" w:eastAsia="黑体" w:cs="黑体"/>
      <w:sz w:val="21"/>
      <w:szCs w:val="21"/>
      <w:lang w:val="en-US" w:eastAsia="zh-CN" w:bidi="ar-SA"/>
    </w:rPr>
  </w:style>
  <w:style w:type="character" w:customStyle="1" w:styleId="294">
    <w:name w:val="title4"/>
    <w:qFormat/>
    <w:uiPriority w:val="0"/>
    <w:rPr>
      <w:b/>
      <w:bCs/>
      <w:color w:val="1D87B3"/>
      <w:sz w:val="15"/>
      <w:szCs w:val="15"/>
    </w:rPr>
  </w:style>
  <w:style w:type="character" w:customStyle="1" w:styleId="295">
    <w:name w:val="chanpin1"/>
    <w:qFormat/>
    <w:uiPriority w:val="0"/>
    <w:rPr>
      <w:rFonts w:hint="default" w:ascii="ˎ̥" w:hAnsi="ˎ̥"/>
      <w:color w:val="000000"/>
      <w:sz w:val="20"/>
      <w:szCs w:val="20"/>
      <w:u w:val="none"/>
    </w:rPr>
  </w:style>
  <w:style w:type="character" w:customStyle="1" w:styleId="296">
    <w:name w:val="chanpin拷贝"/>
    <w:basedOn w:val="57"/>
    <w:qFormat/>
    <w:uiPriority w:val="0"/>
    <w:rPr>
      <w:rFonts w:hint="default"/>
      <w:sz w:val="24"/>
    </w:rPr>
  </w:style>
  <w:style w:type="character" w:customStyle="1" w:styleId="297">
    <w:name w:val="标题 字符"/>
    <w:qFormat/>
    <w:uiPriority w:val="10"/>
    <w:rPr>
      <w:rFonts w:hint="default" w:ascii="等线 Light" w:hAnsi="等线 Light" w:cs="Times New Roman"/>
      <w:b/>
      <w:bCs/>
      <w:kern w:val="2"/>
      <w:sz w:val="32"/>
      <w:szCs w:val="32"/>
    </w:rPr>
  </w:style>
  <w:style w:type="paragraph" w:customStyle="1" w:styleId="298">
    <w:name w:val="二级无标题条"/>
    <w:basedOn w:val="1"/>
    <w:qFormat/>
    <w:uiPriority w:val="0"/>
    <w:pPr>
      <w:spacing w:line="360" w:lineRule="auto"/>
      <w:ind w:left="284"/>
    </w:pPr>
    <w:rPr>
      <w:rFonts w:ascii="宋体" w:hAnsi="Times New Roman"/>
      <w:snapToGrid w:val="0"/>
      <w:kern w:val="21"/>
      <w:szCs w:val="21"/>
    </w:rPr>
  </w:style>
  <w:style w:type="paragraph" w:styleId="29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标准正文"/>
    <w:basedOn w:val="1"/>
    <w:qFormat/>
    <w:uiPriority w:val="0"/>
    <w:pPr>
      <w:adjustRightInd w:val="0"/>
      <w:spacing w:line="360" w:lineRule="atLeast"/>
      <w:ind w:firstLine="425"/>
      <w:jc w:val="left"/>
      <w:textAlignment w:val="baseline"/>
    </w:pPr>
    <w:rPr>
      <w:rFonts w:ascii="宋体" w:hAnsi="Times New Roman"/>
      <w:spacing w:val="-4"/>
      <w:kern w:val="21"/>
      <w:sz w:val="24"/>
      <w:szCs w:val="21"/>
    </w:rPr>
  </w:style>
  <w:style w:type="paragraph" w:customStyle="1" w:styleId="30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2">
    <w:name w:val="其他发布部门"/>
    <w:basedOn w:val="303"/>
    <w:qFormat/>
    <w:uiPriority w:val="0"/>
    <w:pPr>
      <w:spacing w:line="0" w:lineRule="atLeast"/>
    </w:pPr>
    <w:rPr>
      <w:rFonts w:ascii="黑体" w:eastAsia="黑体"/>
      <w:b w:val="0"/>
    </w:rPr>
  </w:style>
  <w:style w:type="paragraph" w:customStyle="1" w:styleId="303">
    <w:name w:val="发布部门"/>
    <w:next w:val="231"/>
    <w:qFormat/>
    <w:uiPriority w:val="0"/>
    <w:pPr>
      <w:jc w:val="center"/>
    </w:pPr>
    <w:rPr>
      <w:rFonts w:ascii="宋体" w:hAnsi="Times New Roman" w:eastAsia="宋体" w:cs="Times New Roman"/>
      <w:b/>
      <w:spacing w:val="20"/>
      <w:w w:val="135"/>
      <w:sz w:val="36"/>
      <w:lang w:val="en-US" w:eastAsia="zh-CN" w:bidi="ar-SA"/>
    </w:rPr>
  </w:style>
  <w:style w:type="paragraph" w:customStyle="1" w:styleId="304">
    <w:name w:val="正文须知-3级"/>
    <w:basedOn w:val="1"/>
    <w:qFormat/>
    <w:uiPriority w:val="0"/>
    <w:pPr>
      <w:tabs>
        <w:tab w:val="left" w:pos="6238"/>
      </w:tabs>
      <w:adjustRightInd w:val="0"/>
      <w:snapToGrid w:val="0"/>
      <w:spacing w:line="300" w:lineRule="auto"/>
      <w:ind w:left="6238" w:hanging="355" w:hangingChars="355"/>
    </w:pPr>
    <w:rPr>
      <w:rFonts w:ascii="宋体"/>
      <w:sz w:val="24"/>
      <w:szCs w:val="21"/>
    </w:rPr>
  </w:style>
  <w:style w:type="paragraph" w:customStyle="1" w:styleId="305">
    <w:name w:val="xl51"/>
    <w:basedOn w:val="1"/>
    <w:qFormat/>
    <w:uiPriority w:val="0"/>
    <w:pPr>
      <w:widowControl/>
      <w:pBdr>
        <w:top w:val="single" w:color="auto" w:sz="4" w:space="0"/>
        <w:left w:val="single" w:color="auto" w:sz="4" w:space="0"/>
        <w:bottom w:val="single" w:color="auto" w:sz="4" w:space="0"/>
        <w:right w:val="single" w:color="auto" w:sz="4" w:space="0"/>
      </w:pBdr>
      <w:tabs>
        <w:tab w:val="left" w:pos="777"/>
      </w:tabs>
      <w:spacing w:before="100" w:beforeAutospacing="1" w:after="100" w:afterAutospacing="1" w:line="360" w:lineRule="auto"/>
      <w:ind w:left="777" w:hanging="420"/>
      <w:textAlignment w:val="top"/>
    </w:pPr>
    <w:rPr>
      <w:rFonts w:ascii="Arial Unicode MS" w:hAnsi="Arial Unicode MS" w:eastAsia="Arial Unicode MS" w:cs="Arial Unicode MS"/>
      <w:b/>
      <w:bCs/>
      <w:color w:val="000000"/>
      <w:kern w:val="0"/>
      <w:sz w:val="20"/>
      <w:szCs w:val="20"/>
    </w:rPr>
  </w:style>
  <w:style w:type="paragraph" w:customStyle="1" w:styleId="306">
    <w:name w:val="样式 宋体 五号 行距: 单倍行距"/>
    <w:basedOn w:val="1"/>
    <w:qFormat/>
    <w:uiPriority w:val="0"/>
    <w:pPr>
      <w:adjustRightInd w:val="0"/>
      <w:spacing w:line="360" w:lineRule="auto"/>
      <w:jc w:val="left"/>
      <w:textAlignment w:val="baseline"/>
    </w:pPr>
    <w:rPr>
      <w:rFonts w:ascii="宋体" w:hAnsi="宋体"/>
      <w:kern w:val="0"/>
      <w:szCs w:val="20"/>
    </w:rPr>
  </w:style>
  <w:style w:type="paragraph" w:customStyle="1" w:styleId="307">
    <w:name w:val="正文文本样式 加粗"/>
    <w:basedOn w:val="308"/>
    <w:qFormat/>
    <w:uiPriority w:val="0"/>
    <w:rPr>
      <w:b/>
    </w:rPr>
  </w:style>
  <w:style w:type="paragraph" w:customStyle="1" w:styleId="308">
    <w:name w:val="正文文本样式"/>
    <w:basedOn w:val="1"/>
    <w:qFormat/>
    <w:uiPriority w:val="0"/>
    <w:pPr>
      <w:spacing w:line="360" w:lineRule="auto"/>
      <w:ind w:firstLine="482"/>
    </w:pPr>
    <w:rPr>
      <w:rFonts w:ascii="Times New Roman" w:hAnsi="Times New Roman" w:cs="宋体"/>
      <w:sz w:val="24"/>
      <w:szCs w:val="20"/>
    </w:rPr>
  </w:style>
  <w:style w:type="paragraph" w:customStyle="1" w:styleId="309">
    <w:name w:val="Char Char Char1 Char"/>
    <w:basedOn w:val="1"/>
    <w:qFormat/>
    <w:uiPriority w:val="0"/>
    <w:pPr>
      <w:spacing w:line="360" w:lineRule="auto"/>
    </w:pPr>
    <w:rPr>
      <w:rFonts w:ascii="Tahoma" w:hAnsi="Tahoma"/>
      <w:sz w:val="24"/>
      <w:szCs w:val="20"/>
    </w:rPr>
  </w:style>
  <w:style w:type="paragraph" w:customStyle="1" w:styleId="310">
    <w:name w:val="示例"/>
    <w:next w:val="231"/>
    <w:qFormat/>
    <w:uiPriority w:val="0"/>
    <w:pPr>
      <w:tabs>
        <w:tab w:val="left" w:pos="600"/>
        <w:tab w:val="left" w:pos="816"/>
      </w:tabs>
      <w:ind w:firstLine="419" w:firstLineChars="233"/>
      <w:jc w:val="both"/>
    </w:pPr>
    <w:rPr>
      <w:rFonts w:ascii="宋体" w:hAnsi="Times New Roman" w:eastAsia="宋体" w:cs="Times New Roman"/>
      <w:sz w:val="18"/>
      <w:lang w:val="en-US" w:eastAsia="zh-CN" w:bidi="ar-SA"/>
    </w:rPr>
  </w:style>
  <w:style w:type="paragraph" w:customStyle="1" w:styleId="3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13">
    <w:name w:val="标准书眉_偶数页"/>
    <w:basedOn w:val="301"/>
    <w:next w:val="1"/>
    <w:qFormat/>
    <w:uiPriority w:val="0"/>
    <w:pPr>
      <w:jc w:val="left"/>
    </w:pPr>
  </w:style>
  <w:style w:type="paragraph" w:customStyle="1" w:styleId="31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top"/>
    </w:pPr>
    <w:rPr>
      <w:rFonts w:ascii="Arial Unicode MS" w:hAnsi="Arial Unicode MS" w:eastAsia="Arial Unicode MS" w:cs="Arial Unicode MS"/>
      <w:b/>
      <w:bCs/>
      <w:color w:val="000000"/>
      <w:kern w:val="0"/>
      <w:sz w:val="20"/>
      <w:szCs w:val="20"/>
    </w:rPr>
  </w:style>
  <w:style w:type="paragraph" w:customStyle="1" w:styleId="315">
    <w:name w:val="四级无标题条"/>
    <w:basedOn w:val="1"/>
    <w:qFormat/>
    <w:uiPriority w:val="0"/>
    <w:pPr>
      <w:spacing w:line="360" w:lineRule="auto"/>
    </w:pPr>
    <w:rPr>
      <w:rFonts w:ascii="宋体" w:hAnsi="Times New Roman"/>
      <w:snapToGrid w:val="0"/>
      <w:kern w:val="21"/>
      <w:szCs w:val="21"/>
    </w:rPr>
  </w:style>
  <w:style w:type="paragraph" w:customStyle="1" w:styleId="316">
    <w:name w:val="Char Char4"/>
    <w:basedOn w:val="1"/>
    <w:qFormat/>
    <w:uiPriority w:val="0"/>
    <w:pPr>
      <w:widowControl/>
      <w:spacing w:line="400" w:lineRule="exact"/>
      <w:jc w:val="center"/>
    </w:pPr>
    <w:rPr>
      <w:rFonts w:ascii="Times New Roman" w:hAnsi="Times New Roman"/>
    </w:rPr>
  </w:style>
  <w:style w:type="paragraph" w:customStyle="1" w:styleId="317">
    <w:name w:val="xl37"/>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19">
    <w:name w:val="缺省文本"/>
    <w:basedOn w:val="1"/>
    <w:qFormat/>
    <w:uiPriority w:val="0"/>
    <w:pPr>
      <w:autoSpaceDE w:val="0"/>
      <w:autoSpaceDN w:val="0"/>
      <w:adjustRightInd w:val="0"/>
      <w:spacing w:line="360" w:lineRule="auto"/>
      <w:jc w:val="left"/>
    </w:pPr>
    <w:rPr>
      <w:rFonts w:ascii="Times New Roman" w:hAnsi="Times New Roman"/>
      <w:kern w:val="0"/>
      <w:sz w:val="24"/>
    </w:rPr>
  </w:style>
  <w:style w:type="paragraph" w:customStyle="1" w:styleId="32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rPr>
  </w:style>
  <w:style w:type="paragraph" w:customStyle="1" w:styleId="321">
    <w:name w:val="项目编号2"/>
    <w:basedOn w:val="322"/>
    <w:qFormat/>
    <w:uiPriority w:val="0"/>
  </w:style>
  <w:style w:type="paragraph" w:customStyle="1" w:styleId="322">
    <w:name w:val="项目编号1"/>
    <w:basedOn w:val="1"/>
    <w:qFormat/>
    <w:uiPriority w:val="0"/>
    <w:pPr>
      <w:spacing w:before="100" w:beforeAutospacing="1" w:after="100" w:afterAutospacing="1" w:line="360" w:lineRule="auto"/>
    </w:pPr>
    <w:rPr>
      <w:rFonts w:ascii="Times New Roman" w:hAnsi="Times New Roman"/>
      <w:sz w:val="24"/>
    </w:rPr>
  </w:style>
  <w:style w:type="paragraph" w:customStyle="1" w:styleId="323">
    <w:name w:val="Char Char Char Char Char Char Char Char Char Char Char Char Char Char Char Char Char Char Char Char Char Char Char Char Char Char Char Char Char Char Char Char Char"/>
    <w:basedOn w:val="1"/>
    <w:unhideWhenUsed/>
    <w:qFormat/>
    <w:uiPriority w:val="0"/>
    <w:pPr>
      <w:widowControl/>
      <w:spacing w:after="160" w:line="240" w:lineRule="exact"/>
      <w:jc w:val="left"/>
    </w:pPr>
    <w:rPr>
      <w:rFonts w:ascii="Times New Roman" w:hAnsi="Times New Roman"/>
      <w:szCs w:val="20"/>
    </w:rPr>
  </w:style>
  <w:style w:type="paragraph" w:customStyle="1" w:styleId="3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b/>
      <w:bCs/>
      <w:color w:val="000000"/>
      <w:kern w:val="0"/>
      <w:sz w:val="16"/>
      <w:szCs w:val="16"/>
    </w:rPr>
  </w:style>
  <w:style w:type="paragraph" w:customStyle="1" w:styleId="3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26">
    <w:name w:val="图表脚注"/>
    <w:next w:val="2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27">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28">
    <w:name w:val="xl36"/>
    <w:basedOn w:val="1"/>
    <w:qFormat/>
    <w:uiPriority w:val="0"/>
    <w:pPr>
      <w:widowControl/>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29">
    <w:name w:val="参考文献、索引标题"/>
    <w:basedOn w:val="330"/>
    <w:next w:val="1"/>
    <w:qFormat/>
    <w:uiPriority w:val="0"/>
    <w:pPr>
      <w:spacing w:after="200"/>
    </w:pPr>
    <w:rPr>
      <w:sz w:val="21"/>
    </w:rPr>
  </w:style>
  <w:style w:type="paragraph" w:customStyle="1" w:styleId="33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16"/>
      <w:szCs w:val="16"/>
    </w:rPr>
  </w:style>
  <w:style w:type="paragraph" w:customStyle="1" w:styleId="33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0"/>
      <w:szCs w:val="20"/>
    </w:rPr>
  </w:style>
  <w:style w:type="paragraph" w:customStyle="1" w:styleId="335">
    <w:name w:val="Header or footer|1"/>
    <w:basedOn w:val="1"/>
    <w:qFormat/>
    <w:uiPriority w:val="0"/>
    <w:pPr>
      <w:spacing w:line="360" w:lineRule="auto"/>
    </w:pPr>
    <w:rPr>
      <w:rFonts w:ascii="宋体" w:hAnsi="宋体" w:cs="宋体"/>
      <w:sz w:val="20"/>
      <w:szCs w:val="20"/>
    </w:rPr>
  </w:style>
  <w:style w:type="paragraph" w:customStyle="1" w:styleId="336">
    <w:name w:val="标准书眉一"/>
    <w:qFormat/>
    <w:uiPriority w:val="0"/>
    <w:pPr>
      <w:jc w:val="both"/>
    </w:pPr>
    <w:rPr>
      <w:rFonts w:ascii="Times New Roman" w:hAnsi="Times New Roman" w:eastAsia="宋体" w:cs="Times New Roman"/>
      <w:lang w:val="en-US" w:eastAsia="zh-CN" w:bidi="ar-SA"/>
    </w:rPr>
  </w:style>
  <w:style w:type="paragraph" w:customStyle="1" w:styleId="337">
    <w:name w:val="附录四级条标题"/>
    <w:basedOn w:val="338"/>
    <w:next w:val="231"/>
    <w:qFormat/>
    <w:uiPriority w:val="0"/>
    <w:pPr>
      <w:tabs>
        <w:tab w:val="left" w:pos="1140"/>
      </w:tabs>
      <w:ind w:left="710"/>
      <w:outlineLvl w:val="5"/>
    </w:pPr>
  </w:style>
  <w:style w:type="paragraph" w:customStyle="1" w:styleId="338">
    <w:name w:val="附录三级条标题"/>
    <w:basedOn w:val="339"/>
    <w:next w:val="231"/>
    <w:qFormat/>
    <w:uiPriority w:val="0"/>
    <w:pPr>
      <w:tabs>
        <w:tab w:val="left" w:pos="1140"/>
      </w:tabs>
      <w:ind w:left="710"/>
      <w:outlineLvl w:val="4"/>
    </w:pPr>
  </w:style>
  <w:style w:type="paragraph" w:customStyle="1" w:styleId="339">
    <w:name w:val="附录二级条标题"/>
    <w:basedOn w:val="340"/>
    <w:next w:val="231"/>
    <w:qFormat/>
    <w:uiPriority w:val="0"/>
    <w:pPr>
      <w:tabs>
        <w:tab w:val="left" w:pos="1140"/>
      </w:tabs>
      <w:ind w:left="710"/>
      <w:outlineLvl w:val="3"/>
    </w:pPr>
  </w:style>
  <w:style w:type="paragraph" w:customStyle="1" w:styleId="340">
    <w:name w:val="附录一级条标题"/>
    <w:basedOn w:val="341"/>
    <w:next w:val="231"/>
    <w:qFormat/>
    <w:uiPriority w:val="0"/>
    <w:pPr>
      <w:tabs>
        <w:tab w:val="left" w:pos="1140"/>
      </w:tabs>
      <w:autoSpaceDN w:val="0"/>
      <w:spacing w:beforeLines="0" w:afterLines="0"/>
      <w:ind w:left="710"/>
      <w:outlineLvl w:val="2"/>
    </w:pPr>
  </w:style>
  <w:style w:type="paragraph" w:customStyle="1" w:styleId="341">
    <w:name w:val="附录章标题"/>
    <w:next w:val="231"/>
    <w:qFormat/>
    <w:uiPriority w:val="0"/>
    <w:pPr>
      <w:tabs>
        <w:tab w:val="left" w:pos="1140"/>
      </w:tabs>
      <w:wordWrap w:val="0"/>
      <w:overflowPunct w:val="0"/>
      <w:autoSpaceDE w:val="0"/>
      <w:spacing w:beforeLines="50" w:afterLines="50"/>
      <w:ind w:left="710"/>
      <w:jc w:val="both"/>
      <w:textAlignment w:val="baseline"/>
      <w:outlineLvl w:val="1"/>
    </w:pPr>
    <w:rPr>
      <w:rFonts w:ascii="黑体" w:hAnsi="Times New Roman" w:eastAsia="黑体" w:cs="Times New Roman"/>
      <w:kern w:val="21"/>
      <w:sz w:val="21"/>
      <w:lang w:val="en-US" w:eastAsia="zh-CN" w:bidi="ar-SA"/>
    </w:rPr>
  </w:style>
  <w:style w:type="paragraph" w:customStyle="1" w:styleId="342">
    <w:name w:val="Char Char Char Char Char Char Char Char Char Char"/>
    <w:basedOn w:val="1"/>
    <w:qFormat/>
    <w:uiPriority w:val="0"/>
    <w:pPr>
      <w:spacing w:line="360" w:lineRule="auto"/>
    </w:pPr>
    <w:rPr>
      <w:rFonts w:ascii="宋体" w:hAnsi="宋体" w:cs="Courier New"/>
      <w:sz w:val="32"/>
      <w:szCs w:val="32"/>
    </w:rPr>
  </w:style>
  <w:style w:type="paragraph" w:customStyle="1" w:styleId="343">
    <w:name w:val="Picture caption|2"/>
    <w:basedOn w:val="1"/>
    <w:qFormat/>
    <w:uiPriority w:val="0"/>
    <w:pPr>
      <w:spacing w:line="360" w:lineRule="auto"/>
    </w:pPr>
    <w:rPr>
      <w:rFonts w:ascii="宋体" w:hAnsi="宋体" w:cs="宋体"/>
      <w:sz w:val="56"/>
      <w:szCs w:val="56"/>
    </w:rPr>
  </w:style>
  <w:style w:type="paragraph" w:customStyle="1" w:styleId="344">
    <w:name w:val="五级无标题条"/>
    <w:basedOn w:val="1"/>
    <w:qFormat/>
    <w:uiPriority w:val="0"/>
    <w:pPr>
      <w:spacing w:line="360" w:lineRule="auto"/>
    </w:pPr>
    <w:rPr>
      <w:rFonts w:ascii="宋体" w:hAnsi="Times New Roman"/>
      <w:snapToGrid w:val="0"/>
      <w:kern w:val="21"/>
      <w:szCs w:val="21"/>
    </w:rPr>
  </w:style>
  <w:style w:type="paragraph" w:customStyle="1" w:styleId="345">
    <w:name w:val="22222222222222"/>
    <w:basedOn w:val="1"/>
    <w:qFormat/>
    <w:uiPriority w:val="0"/>
    <w:pPr>
      <w:widowControl/>
      <w:adjustRightInd w:val="0"/>
      <w:spacing w:line="360" w:lineRule="auto"/>
      <w:ind w:firstLine="480" w:firstLineChars="200"/>
      <w:jc w:val="left"/>
    </w:pPr>
    <w:rPr>
      <w:rFonts w:ascii="Times New Roman" w:hAnsi="Times New Roman"/>
      <w:color w:val="FF0000"/>
      <w:kern w:val="0"/>
      <w:sz w:val="24"/>
      <w:szCs w:val="20"/>
    </w:rPr>
  </w:style>
  <w:style w:type="paragraph" w:customStyle="1" w:styleId="346">
    <w:name w:val="Char1 Char Char Char1"/>
    <w:basedOn w:val="1"/>
    <w:qFormat/>
    <w:uiPriority w:val="0"/>
    <w:pPr>
      <w:spacing w:line="360" w:lineRule="auto"/>
    </w:pPr>
    <w:rPr>
      <w:rFonts w:ascii="Tahoma" w:hAnsi="Tahoma" w:cs="仿宋_GB2312"/>
      <w:sz w:val="24"/>
      <w:szCs w:val="28"/>
    </w:rPr>
  </w:style>
  <w:style w:type="paragraph" w:customStyle="1" w:styleId="347">
    <w:name w:val="四级条标题"/>
    <w:basedOn w:val="238"/>
    <w:next w:val="1"/>
    <w:qFormat/>
    <w:uiPriority w:val="0"/>
    <w:pPr>
      <w:numPr>
        <w:ilvl w:val="0"/>
        <w:numId w:val="0"/>
      </w:numPr>
      <w:spacing w:beforeLines="50" w:afterLines="50" w:line="460" w:lineRule="exact"/>
      <w:ind w:hanging="840"/>
    </w:pPr>
    <w:rPr>
      <w:rFonts w:ascii="宋体" w:eastAsia="宋体"/>
      <w:sz w:val="28"/>
      <w:szCs w:val="20"/>
    </w:rPr>
  </w:style>
  <w:style w:type="paragraph" w:customStyle="1" w:styleId="348">
    <w:name w:val="附录标识"/>
    <w:basedOn w:val="330"/>
    <w:qFormat/>
    <w:uiPriority w:val="0"/>
    <w:pPr>
      <w:tabs>
        <w:tab w:val="left" w:pos="6405"/>
      </w:tabs>
      <w:spacing w:after="200"/>
    </w:pPr>
    <w:rPr>
      <w:sz w:val="21"/>
    </w:rPr>
  </w:style>
  <w:style w:type="paragraph" w:customStyle="1" w:styleId="3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50">
    <w:name w:val="实施日期"/>
    <w:basedOn w:val="351"/>
    <w:qFormat/>
    <w:uiPriority w:val="0"/>
    <w:pPr>
      <w:jc w:val="right"/>
    </w:pPr>
  </w:style>
  <w:style w:type="paragraph" w:customStyle="1" w:styleId="351">
    <w:name w:val="发布日期"/>
    <w:qFormat/>
    <w:uiPriority w:val="0"/>
    <w:pPr>
      <w:jc w:val="both"/>
    </w:pPr>
    <w:rPr>
      <w:rFonts w:ascii="Times New Roman" w:hAnsi="Times New Roman" w:eastAsia="黑体" w:cs="Times New Roman"/>
      <w:sz w:val="28"/>
      <w:lang w:val="en-US" w:eastAsia="zh-CN" w:bidi="ar-SA"/>
    </w:rPr>
  </w:style>
  <w:style w:type="paragraph" w:customStyle="1" w:styleId="352">
    <w:name w:val="正文须知-1级"/>
    <w:basedOn w:val="1"/>
    <w:next w:val="1"/>
    <w:qFormat/>
    <w:uiPriority w:val="0"/>
    <w:pPr>
      <w:adjustRightInd w:val="0"/>
      <w:snapToGrid w:val="0"/>
      <w:spacing w:line="300" w:lineRule="auto"/>
    </w:pPr>
    <w:rPr>
      <w:rFonts w:ascii="宋体"/>
      <w:sz w:val="24"/>
      <w:szCs w:val="21"/>
    </w:rPr>
  </w:style>
  <w:style w:type="paragraph" w:customStyle="1" w:styleId="3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color w:val="FF6600"/>
      <w:kern w:val="0"/>
      <w:sz w:val="20"/>
      <w:szCs w:val="20"/>
    </w:rPr>
  </w:style>
  <w:style w:type="paragraph" w:customStyle="1" w:styleId="35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color w:val="000000"/>
      <w:kern w:val="0"/>
      <w:sz w:val="20"/>
      <w:szCs w:val="20"/>
    </w:rPr>
  </w:style>
  <w:style w:type="paragraph" w:customStyle="1" w:styleId="356">
    <w:name w:val="样式 标题 2 + 宋体 五号 行距: 单倍行距"/>
    <w:basedOn w:val="3"/>
    <w:qFormat/>
    <w:uiPriority w:val="0"/>
    <w:pPr>
      <w:tabs>
        <w:tab w:val="left" w:pos="1188"/>
      </w:tabs>
      <w:adjustRightInd w:val="0"/>
      <w:spacing w:line="240" w:lineRule="auto"/>
      <w:ind w:left="1000" w:hanging="370"/>
      <w:jc w:val="left"/>
      <w:textAlignment w:val="baseline"/>
    </w:pPr>
    <w:rPr>
      <w:rFonts w:ascii="宋体" w:hAnsi="宋体"/>
      <w:kern w:val="0"/>
      <w:sz w:val="21"/>
      <w:szCs w:val="20"/>
    </w:rPr>
  </w:style>
  <w:style w:type="paragraph" w:customStyle="1" w:styleId="357">
    <w:name w:val="font7"/>
    <w:basedOn w:val="1"/>
    <w:qFormat/>
    <w:uiPriority w:val="0"/>
    <w:pPr>
      <w:widowControl/>
      <w:spacing w:before="100" w:beforeAutospacing="1" w:after="100" w:afterAutospacing="1" w:line="360" w:lineRule="auto"/>
      <w:jc w:val="left"/>
    </w:pPr>
    <w:rPr>
      <w:rFonts w:ascii="Times New Roman" w:hAnsi="Times New Roman" w:eastAsia="Arial Unicode MS"/>
      <w:b/>
      <w:bCs/>
      <w:color w:val="000000"/>
      <w:kern w:val="0"/>
      <w:sz w:val="20"/>
      <w:szCs w:val="20"/>
    </w:rPr>
  </w:style>
  <w:style w:type="paragraph" w:customStyle="1" w:styleId="358">
    <w:name w:val="注："/>
    <w:next w:val="231"/>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35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22"/>
      <w:szCs w:val="22"/>
    </w:rPr>
  </w:style>
  <w:style w:type="paragraph" w:customStyle="1" w:styleId="360">
    <w:name w:val="项目符号1"/>
    <w:basedOn w:val="308"/>
    <w:qFormat/>
    <w:uiPriority w:val="0"/>
  </w:style>
  <w:style w:type="paragraph" w:customStyle="1" w:styleId="361">
    <w:name w:val="Char3 Char Char Char"/>
    <w:basedOn w:val="1"/>
    <w:qFormat/>
    <w:uiPriority w:val="0"/>
    <w:pPr>
      <w:spacing w:line="360" w:lineRule="auto"/>
    </w:pPr>
    <w:rPr>
      <w:rFonts w:ascii="Tahoma" w:hAnsi="Tahoma"/>
      <w:sz w:val="24"/>
      <w:szCs w:val="20"/>
    </w:rPr>
  </w:style>
  <w:style w:type="paragraph" w:customStyle="1" w:styleId="362">
    <w:name w:val="font6"/>
    <w:basedOn w:val="1"/>
    <w:qFormat/>
    <w:uiPriority w:val="0"/>
    <w:pPr>
      <w:widowControl/>
      <w:spacing w:before="100" w:beforeAutospacing="1" w:after="100" w:afterAutospacing="1" w:line="360" w:lineRule="auto"/>
      <w:jc w:val="left"/>
    </w:pPr>
    <w:rPr>
      <w:rFonts w:ascii="宋体" w:hAnsi="宋体" w:cs="宋体"/>
      <w:kern w:val="0"/>
      <w:sz w:val="20"/>
      <w:szCs w:val="20"/>
    </w:rPr>
  </w:style>
  <w:style w:type="paragraph" w:customStyle="1" w:styleId="363">
    <w:name w:val="font5"/>
    <w:basedOn w:val="1"/>
    <w:qFormat/>
    <w:uiPriority w:val="0"/>
    <w:pPr>
      <w:widowControl/>
      <w:spacing w:before="100" w:beforeAutospacing="1" w:after="100" w:afterAutospacing="1" w:line="360" w:lineRule="auto"/>
      <w:jc w:val="left"/>
    </w:pPr>
    <w:rPr>
      <w:rFonts w:ascii="宋体" w:hAnsi="宋体" w:cs="宋体"/>
      <w:kern w:val="0"/>
      <w:sz w:val="18"/>
      <w:szCs w:val="18"/>
    </w:rPr>
  </w:style>
  <w:style w:type="paragraph" w:customStyle="1" w:styleId="36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65">
    <w:name w:val="font8"/>
    <w:basedOn w:val="1"/>
    <w:qFormat/>
    <w:uiPriority w:val="0"/>
    <w:pPr>
      <w:widowControl/>
      <w:spacing w:before="100" w:beforeAutospacing="1" w:after="100" w:afterAutospacing="1" w:line="360" w:lineRule="auto"/>
      <w:jc w:val="left"/>
    </w:pPr>
    <w:rPr>
      <w:rFonts w:ascii="Times New Roman" w:hAnsi="Times New Roman"/>
      <w:kern w:val="0"/>
      <w:sz w:val="36"/>
      <w:szCs w:val="36"/>
    </w:rPr>
  </w:style>
  <w:style w:type="paragraph" w:customStyle="1" w:styleId="366">
    <w:name w:val="xl35"/>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67">
    <w:name w:val="目次、标准名称标题"/>
    <w:basedOn w:val="330"/>
    <w:next w:val="231"/>
    <w:qFormat/>
    <w:uiPriority w:val="0"/>
    <w:pPr>
      <w:spacing w:line="460" w:lineRule="exact"/>
    </w:pPr>
  </w:style>
  <w:style w:type="paragraph" w:customStyle="1" w:styleId="36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2"/>
      <w:szCs w:val="22"/>
    </w:rPr>
  </w:style>
  <w:style w:type="paragraph" w:customStyle="1" w:styleId="369">
    <w:name w:val="正文列项_字母"/>
    <w:basedOn w:val="1"/>
    <w:qFormat/>
    <w:uiPriority w:val="0"/>
    <w:pPr>
      <w:autoSpaceDE w:val="0"/>
      <w:autoSpaceDN w:val="0"/>
      <w:spacing w:line="460" w:lineRule="exact"/>
      <w:ind w:left="480" w:leftChars="300" w:hanging="180" w:hangingChars="180"/>
      <w:outlineLvl w:val="6"/>
    </w:pPr>
    <w:rPr>
      <w:rFonts w:ascii="宋体" w:hAnsi="Times New Roman"/>
      <w:kern w:val="0"/>
      <w:sz w:val="28"/>
      <w:szCs w:val="20"/>
    </w:rPr>
  </w:style>
  <w:style w:type="paragraph" w:customStyle="1" w:styleId="3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71">
    <w:name w:val="Picture caption|1"/>
    <w:basedOn w:val="1"/>
    <w:qFormat/>
    <w:uiPriority w:val="0"/>
    <w:pPr>
      <w:spacing w:line="360" w:lineRule="auto"/>
    </w:pPr>
    <w:rPr>
      <w:rFonts w:ascii="宋体" w:hAnsi="宋体" w:cs="宋体"/>
      <w:sz w:val="20"/>
      <w:szCs w:val="20"/>
      <w:lang w:val="zh-TW" w:eastAsia="zh-TW" w:bidi="zh-TW"/>
    </w:rPr>
  </w:style>
  <w:style w:type="paragraph" w:customStyle="1" w:styleId="372">
    <w:name w:val="xl46"/>
    <w:basedOn w:val="1"/>
    <w:qFormat/>
    <w:uiPriority w:val="0"/>
    <w:pPr>
      <w:widowControl/>
      <w:pBdr>
        <w:top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73">
    <w:name w:val="封面标准号2"/>
    <w:basedOn w:val="374"/>
    <w:qFormat/>
    <w:uiPriority w:val="0"/>
    <w:pPr>
      <w:adjustRightInd w:val="0"/>
      <w:spacing w:before="357" w:line="280" w:lineRule="exact"/>
    </w:pPr>
  </w:style>
  <w:style w:type="paragraph" w:customStyle="1" w:styleId="3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75">
    <w:name w:val="项目编号3"/>
    <w:basedOn w:val="308"/>
    <w:uiPriority w:val="0"/>
    <w:pPr>
      <w:ind w:left="780" w:hanging="360"/>
    </w:pPr>
  </w:style>
  <w:style w:type="paragraph" w:customStyle="1" w:styleId="376">
    <w:name w:val="background1"/>
    <w:basedOn w:val="1"/>
    <w:uiPriority w:val="0"/>
    <w:pPr>
      <w:widowControl/>
      <w:spacing w:before="100" w:beforeAutospacing="1" w:after="100" w:afterAutospacing="1" w:line="360" w:lineRule="auto"/>
      <w:jc w:val="left"/>
    </w:pPr>
    <w:rPr>
      <w:rFonts w:ascii="宋体" w:hAnsi="宋体" w:cs="宋体"/>
      <w:kern w:val="0"/>
      <w:sz w:val="24"/>
    </w:rPr>
  </w:style>
  <w:style w:type="paragraph" w:customStyle="1" w:styleId="377">
    <w:name w:val="1名"/>
    <w:basedOn w:val="1"/>
    <w:qFormat/>
    <w:uiPriority w:val="0"/>
    <w:pPr>
      <w:tabs>
        <w:tab w:val="left" w:pos="360"/>
      </w:tabs>
      <w:spacing w:before="120" w:line="360" w:lineRule="auto"/>
    </w:pPr>
    <w:rPr>
      <w:rFonts w:ascii="宋体" w:hAnsi="Times New Roman"/>
      <w:sz w:val="28"/>
      <w:szCs w:val="20"/>
    </w:rPr>
  </w:style>
  <w:style w:type="paragraph" w:customStyle="1" w:styleId="37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79">
    <w:name w:val="字元 字元"/>
    <w:basedOn w:val="1"/>
    <w:qFormat/>
    <w:uiPriority w:val="0"/>
    <w:pPr>
      <w:spacing w:line="360" w:lineRule="auto"/>
    </w:pPr>
    <w:rPr>
      <w:rFonts w:ascii="Tahoma" w:hAnsi="Tahoma"/>
      <w:sz w:val="24"/>
      <w:szCs w:val="20"/>
    </w:rPr>
  </w:style>
  <w:style w:type="paragraph" w:customStyle="1" w:styleId="3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8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2"/>
      <w:szCs w:val="22"/>
    </w:rPr>
  </w:style>
  <w:style w:type="paragraph" w:customStyle="1" w:styleId="384">
    <w:name w:val="1 Char Char Char Char"/>
    <w:basedOn w:val="1"/>
    <w:qFormat/>
    <w:uiPriority w:val="0"/>
    <w:pPr>
      <w:spacing w:line="360" w:lineRule="auto"/>
    </w:pPr>
    <w:rPr>
      <w:rFonts w:ascii="Tahoma" w:hAnsi="Tahoma"/>
      <w:sz w:val="24"/>
      <w:szCs w:val="20"/>
    </w:rPr>
  </w:style>
  <w:style w:type="paragraph" w:customStyle="1" w:styleId="385">
    <w:name w:val="图中文字"/>
    <w:basedOn w:val="1"/>
    <w:qFormat/>
    <w:uiPriority w:val="0"/>
    <w:pPr>
      <w:adjustRightInd w:val="0"/>
      <w:snapToGrid w:val="0"/>
      <w:spacing w:line="0" w:lineRule="atLeast"/>
      <w:jc w:val="center"/>
    </w:pPr>
    <w:rPr>
      <w:rFonts w:ascii="Times New Roman" w:hAnsi="Times New Roman"/>
      <w:sz w:val="24"/>
      <w:szCs w:val="20"/>
    </w:rPr>
  </w:style>
  <w:style w:type="paragraph" w:customStyle="1" w:styleId="38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87">
    <w:name w:val="列项——"/>
    <w:qFormat/>
    <w:uiPriority w:val="0"/>
    <w:pPr>
      <w:widowControl w:val="0"/>
      <w:tabs>
        <w:tab w:val="left" w:pos="768"/>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88">
    <w:name w:val="表格文字"/>
    <w:basedOn w:val="23"/>
    <w:qFormat/>
    <w:uiPriority w:val="0"/>
    <w:pPr>
      <w:spacing w:before="20" w:after="20"/>
      <w:ind w:firstLine="0" w:firstLineChars="0"/>
    </w:pPr>
    <w:rPr>
      <w:rFonts w:ascii="Century Gothic" w:hAnsi="Century Gothic"/>
      <w:sz w:val="20"/>
      <w:szCs w:val="20"/>
    </w:rPr>
  </w:style>
  <w:style w:type="paragraph" w:customStyle="1" w:styleId="389">
    <w:name w:val="正文 + 楷体_GB2312"/>
    <w:basedOn w:val="1"/>
    <w:qFormat/>
    <w:uiPriority w:val="0"/>
    <w:pPr>
      <w:widowControl/>
      <w:spacing w:line="360" w:lineRule="auto"/>
      <w:jc w:val="left"/>
    </w:pPr>
    <w:rPr>
      <w:rFonts w:ascii="楷体_GB2312" w:hAnsi="Times New Roman" w:eastAsia="楷体_GB2312" w:cs="Arial"/>
      <w:kern w:val="0"/>
      <w:sz w:val="24"/>
    </w:rPr>
  </w:style>
  <w:style w:type="paragraph" w:customStyle="1" w:styleId="390">
    <w:name w:val="Char Char Char Char Char Char Char"/>
    <w:basedOn w:val="1"/>
    <w:qFormat/>
    <w:uiPriority w:val="0"/>
    <w:pPr>
      <w:snapToGrid w:val="0"/>
      <w:spacing w:line="360" w:lineRule="auto"/>
      <w:ind w:firstLine="200" w:firstLineChars="200"/>
    </w:pPr>
    <w:rPr>
      <w:rFonts w:ascii="Times New Roman" w:hAnsi="Times New Roman" w:eastAsia="仿宋_GB2312"/>
      <w:sz w:val="24"/>
    </w:rPr>
  </w:style>
  <w:style w:type="paragraph" w:customStyle="1" w:styleId="391">
    <w:name w:val="defaul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92">
    <w:name w:val="Char2 Char Char Char Char Char Char"/>
    <w:basedOn w:val="1"/>
    <w:qFormat/>
    <w:uiPriority w:val="0"/>
    <w:pPr>
      <w:widowControl/>
      <w:spacing w:line="400" w:lineRule="exact"/>
      <w:jc w:val="center"/>
    </w:pPr>
    <w:rPr>
      <w:rFonts w:ascii="Times New Roman" w:hAnsi="Times New Roman"/>
    </w:rPr>
  </w:style>
  <w:style w:type="paragraph" w:customStyle="1" w:styleId="39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32"/>
      <w:szCs w:val="32"/>
    </w:rPr>
  </w:style>
  <w:style w:type="paragraph" w:customStyle="1" w:styleId="394">
    <w:name w:val="无标题条"/>
    <w:next w:val="231"/>
    <w:qFormat/>
    <w:uiPriority w:val="0"/>
    <w:pPr>
      <w:jc w:val="both"/>
    </w:pPr>
    <w:rPr>
      <w:rFonts w:ascii="Times New Roman" w:hAnsi="Times New Roman" w:eastAsia="宋体" w:cs="Times New Roman"/>
      <w:sz w:val="21"/>
      <w:lang w:val="en-US" w:eastAsia="zh-CN" w:bidi="ar-SA"/>
    </w:rPr>
  </w:style>
  <w:style w:type="paragraph" w:customStyle="1" w:styleId="395">
    <w:name w:val="正文 + 宋体"/>
    <w:basedOn w:val="1"/>
    <w:qFormat/>
    <w:uiPriority w:val="0"/>
    <w:pPr>
      <w:widowControl/>
      <w:spacing w:line="360" w:lineRule="auto"/>
      <w:ind w:left="360" w:hanging="360"/>
      <w:jc w:val="left"/>
    </w:pPr>
    <w:rPr>
      <w:rFonts w:ascii="宋体" w:hAnsi="宋体" w:cs="宋体"/>
      <w:b/>
      <w:bCs/>
      <w:color w:val="000000"/>
      <w:kern w:val="0"/>
      <w:sz w:val="18"/>
      <w:szCs w:val="18"/>
    </w:rPr>
  </w:style>
  <w:style w:type="paragraph" w:customStyle="1" w:styleId="396">
    <w:name w:val="Heading #6|1"/>
    <w:basedOn w:val="1"/>
    <w:qFormat/>
    <w:uiPriority w:val="0"/>
    <w:pPr>
      <w:spacing w:line="360" w:lineRule="auto"/>
      <w:outlineLvl w:val="5"/>
    </w:pPr>
    <w:rPr>
      <w:rFonts w:ascii="宋体" w:hAnsi="宋体" w:cs="宋体"/>
      <w:sz w:val="32"/>
      <w:szCs w:val="32"/>
      <w:lang w:val="zh-TW" w:eastAsia="zh-TW" w:bidi="zh-TW"/>
    </w:rPr>
  </w:style>
  <w:style w:type="paragraph" w:customStyle="1" w:styleId="397">
    <w:name w:val="封面标准代替信息"/>
    <w:basedOn w:val="373"/>
    <w:qFormat/>
    <w:uiPriority w:val="0"/>
    <w:pPr>
      <w:spacing w:before="57"/>
    </w:pPr>
    <w:rPr>
      <w:rFonts w:ascii="宋体"/>
      <w:sz w:val="21"/>
    </w:rPr>
  </w:style>
  <w:style w:type="paragraph" w:customStyle="1" w:styleId="398">
    <w:name w:val="五级条标题"/>
    <w:basedOn w:val="347"/>
    <w:next w:val="1"/>
    <w:qFormat/>
    <w:uiPriority w:val="0"/>
    <w:pPr>
      <w:numPr>
        <w:ilvl w:val="5"/>
      </w:numPr>
      <w:ind w:hanging="840"/>
      <w:outlineLvl w:val="5"/>
    </w:pPr>
  </w:style>
  <w:style w:type="paragraph" w:customStyle="1" w:styleId="39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4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0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0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4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Times New Roman" w:hAnsi="Times New Roman" w:eastAsia="Arial Unicode MS"/>
      <w:color w:val="000000"/>
      <w:kern w:val="0"/>
      <w:sz w:val="20"/>
      <w:szCs w:val="20"/>
    </w:rPr>
  </w:style>
  <w:style w:type="paragraph" w:customStyle="1" w:styleId="404">
    <w:name w:val="正文列项_数字"/>
    <w:basedOn w:val="1"/>
    <w:qFormat/>
    <w:uiPriority w:val="0"/>
    <w:pPr>
      <w:autoSpaceDE w:val="0"/>
      <w:autoSpaceDN w:val="0"/>
      <w:spacing w:line="460" w:lineRule="exact"/>
      <w:ind w:left="680" w:leftChars="530" w:hanging="150" w:hangingChars="150"/>
      <w:outlineLvl w:val="7"/>
    </w:pPr>
    <w:rPr>
      <w:rFonts w:ascii="宋体" w:hAnsi="Times New Roman"/>
      <w:kern w:val="0"/>
      <w:sz w:val="28"/>
      <w:szCs w:val="20"/>
    </w:rPr>
  </w:style>
  <w:style w:type="paragraph" w:customStyle="1" w:styleId="40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06">
    <w:name w:val="列项·"/>
    <w:qFormat/>
    <w:uiPriority w:val="0"/>
    <w:pPr>
      <w:tabs>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407">
    <w:name w:val="文档正文"/>
    <w:basedOn w:val="1"/>
    <w:qFormat/>
    <w:uiPriority w:val="0"/>
    <w:pPr>
      <w:snapToGrid w:val="0"/>
      <w:spacing w:before="120" w:after="120" w:line="180" w:lineRule="auto"/>
    </w:pPr>
    <w:rPr>
      <w:rFonts w:ascii="Arial" w:hAnsi="Arial"/>
      <w:szCs w:val="20"/>
    </w:rPr>
  </w:style>
  <w:style w:type="paragraph" w:customStyle="1" w:styleId="40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Times New Roman" w:hAnsi="Times New Roman" w:eastAsia="Arial Unicode MS"/>
      <w:color w:val="000000"/>
      <w:kern w:val="0"/>
      <w:sz w:val="20"/>
      <w:szCs w:val="20"/>
    </w:rPr>
  </w:style>
  <w:style w:type="paragraph" w:customStyle="1" w:styleId="409">
    <w:name w:val="_Style 209"/>
    <w:basedOn w:val="1"/>
    <w:next w:val="1"/>
    <w:qFormat/>
    <w:uiPriority w:val="99"/>
    <w:pPr>
      <w:spacing w:line="360" w:lineRule="auto"/>
    </w:pPr>
    <w:rPr>
      <w:rFonts w:ascii="Times New Roman" w:hAnsi="Times New Roman"/>
    </w:rPr>
  </w:style>
  <w:style w:type="paragraph" w:customStyle="1" w:styleId="4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11">
    <w:name w:val="附录五级条标题"/>
    <w:basedOn w:val="337"/>
    <w:next w:val="231"/>
    <w:qFormat/>
    <w:uiPriority w:val="0"/>
    <w:pPr>
      <w:ind w:left="710"/>
      <w:outlineLvl w:val="6"/>
    </w:pPr>
  </w:style>
  <w:style w:type="paragraph" w:customStyle="1" w:styleId="412">
    <w:name w:val="默认段落字体 Para Char Char Char Char"/>
    <w:basedOn w:val="1"/>
    <w:qFormat/>
    <w:uiPriority w:val="0"/>
    <w:pPr>
      <w:spacing w:line="360" w:lineRule="auto"/>
    </w:pPr>
    <w:rPr>
      <w:rFonts w:ascii="Arial" w:hAnsi="Arial" w:cs="Arial"/>
      <w:szCs w:val="21"/>
    </w:rPr>
  </w:style>
  <w:style w:type="paragraph" w:customStyle="1" w:styleId="413">
    <w:name w:val="图文"/>
    <w:basedOn w:val="1"/>
    <w:qFormat/>
    <w:uiPriority w:val="0"/>
    <w:pPr>
      <w:adjustRightInd w:val="0"/>
      <w:snapToGrid w:val="0"/>
      <w:spacing w:after="50" w:line="360" w:lineRule="auto"/>
    </w:pPr>
    <w:rPr>
      <w:rFonts w:ascii="Times New Roman" w:hAnsi="Times New Roman"/>
      <w:sz w:val="24"/>
    </w:rPr>
  </w:style>
  <w:style w:type="paragraph" w:customStyle="1" w:styleId="4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Arial Unicode MS" w:hAnsi="Arial Unicode MS" w:eastAsia="Arial Unicode MS" w:cs="Arial Unicode MS"/>
      <w:b/>
      <w:bCs/>
      <w:color w:val="000000"/>
      <w:kern w:val="0"/>
      <w:sz w:val="20"/>
      <w:szCs w:val="20"/>
    </w:rPr>
  </w:style>
  <w:style w:type="paragraph" w:customStyle="1" w:styleId="415">
    <w:name w:val="标题1-附件"/>
    <w:basedOn w:val="2"/>
    <w:qFormat/>
    <w:uiPriority w:val="0"/>
    <w:pPr>
      <w:autoSpaceDE w:val="0"/>
      <w:autoSpaceDN w:val="0"/>
      <w:adjustRightInd w:val="0"/>
      <w:spacing w:before="240" w:after="120" w:line="300" w:lineRule="auto"/>
      <w:jc w:val="left"/>
    </w:pPr>
    <w:rPr>
      <w:rFonts w:ascii="宋体" w:hAnsi="Times New Roman"/>
      <w:bCs w:val="0"/>
      <w:sz w:val="24"/>
      <w:szCs w:val="24"/>
    </w:rPr>
  </w:style>
  <w:style w:type="paragraph" w:customStyle="1" w:styleId="41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b/>
      <w:bCs/>
      <w:color w:val="000000"/>
      <w:kern w:val="0"/>
      <w:sz w:val="20"/>
      <w:szCs w:val="20"/>
    </w:rPr>
  </w:style>
  <w:style w:type="paragraph" w:customStyle="1" w:styleId="4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18">
    <w:name w:val="font9"/>
    <w:basedOn w:val="1"/>
    <w:qFormat/>
    <w:uiPriority w:val="0"/>
    <w:pPr>
      <w:widowControl/>
      <w:spacing w:before="100" w:beforeAutospacing="1" w:after="100" w:afterAutospacing="1" w:line="360" w:lineRule="auto"/>
      <w:jc w:val="left"/>
    </w:pPr>
    <w:rPr>
      <w:rFonts w:hint="eastAsia" w:ascii="宋体" w:hAnsi="宋体" w:cs="Arial Unicode MS"/>
      <w:color w:val="000000"/>
      <w:kern w:val="0"/>
      <w:sz w:val="20"/>
      <w:szCs w:val="20"/>
    </w:rPr>
  </w:style>
  <w:style w:type="paragraph" w:customStyle="1" w:styleId="41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20">
    <w:name w:val="一级无标题条"/>
    <w:basedOn w:val="1"/>
    <w:qFormat/>
    <w:uiPriority w:val="0"/>
    <w:pPr>
      <w:spacing w:line="360" w:lineRule="auto"/>
    </w:pPr>
    <w:rPr>
      <w:rFonts w:ascii="宋体" w:hAnsi="Times New Roman"/>
      <w:snapToGrid w:val="0"/>
      <w:kern w:val="21"/>
      <w:szCs w:val="21"/>
    </w:rPr>
  </w:style>
  <w:style w:type="paragraph" w:customStyle="1" w:styleId="42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422">
    <w:name w:val="正文须知-2级"/>
    <w:basedOn w:val="1"/>
    <w:qFormat/>
    <w:uiPriority w:val="0"/>
    <w:pPr>
      <w:tabs>
        <w:tab w:val="left" w:pos="5812"/>
      </w:tabs>
      <w:adjustRightInd w:val="0"/>
      <w:snapToGrid w:val="0"/>
      <w:spacing w:line="300" w:lineRule="auto"/>
      <w:ind w:left="5812" w:hanging="567"/>
    </w:pPr>
    <w:rPr>
      <w:rFonts w:ascii="宋体"/>
      <w:sz w:val="24"/>
      <w:szCs w:val="21"/>
    </w:rPr>
  </w:style>
  <w:style w:type="paragraph" w:customStyle="1" w:styleId="423">
    <w:name w:val="Char Char Char1 Char Char Char1 Char Char Char Char Char Char1 Char Char Char1 Char"/>
    <w:basedOn w:val="1"/>
    <w:qFormat/>
    <w:uiPriority w:val="0"/>
    <w:rPr>
      <w:rFonts w:hint="eastAsia" w:ascii="Times New Roman" w:hAnsi="Times New Roman" w:eastAsia="仿宋_GB2312"/>
      <w:sz w:val="30"/>
      <w:szCs w:val="20"/>
    </w:rPr>
  </w:style>
  <w:style w:type="paragraph" w:customStyle="1" w:styleId="42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2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kern w:val="0"/>
      <w:sz w:val="20"/>
      <w:szCs w:val="20"/>
    </w:rPr>
  </w:style>
  <w:style w:type="paragraph" w:customStyle="1" w:styleId="426">
    <w:name w:val="样式2"/>
    <w:basedOn w:val="50"/>
    <w:qFormat/>
    <w:uiPriority w:val="0"/>
    <w:pPr>
      <w:jc w:val="center"/>
    </w:pPr>
    <w:rPr>
      <w:sz w:val="24"/>
    </w:rPr>
  </w:style>
  <w:style w:type="paragraph" w:customStyle="1" w:styleId="42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8">
    <w:name w:val="Revision"/>
    <w:qFormat/>
    <w:uiPriority w:val="0"/>
    <w:rPr>
      <w:rFonts w:ascii="Times New Roman" w:hAnsi="Times New Roman" w:eastAsia="宋体" w:cs="Times New Roman"/>
      <w:kern w:val="2"/>
      <w:sz w:val="21"/>
      <w:szCs w:val="24"/>
      <w:lang w:val="en-US" w:eastAsia="zh-CN" w:bidi="ar-SA"/>
    </w:rPr>
  </w:style>
  <w:style w:type="paragraph" w:customStyle="1" w:styleId="429">
    <w:name w:val="样式 样式 样式 样式 标题 2 + 宋体 五号 非加粗 黑色 + 段前: 6 磅 段后: 0 磅 行距: 单倍行距 + 段前:..."/>
    <w:basedOn w:val="1"/>
    <w:qFormat/>
    <w:uiPriority w:val="0"/>
    <w:pPr>
      <w:keepNext/>
      <w:keepLines/>
      <w:spacing w:before="240"/>
      <w:outlineLvl w:val="1"/>
    </w:pPr>
    <w:rPr>
      <w:rFonts w:ascii="Times New Roman" w:hAnsi="Times New Roman" w:eastAsia="微软雅黑"/>
      <w:b/>
      <w:bCs/>
      <w:kern w:val="0"/>
      <w:sz w:val="20"/>
      <w:szCs w:val="20"/>
    </w:rPr>
  </w:style>
  <w:style w:type="paragraph" w:customStyle="1" w:styleId="430">
    <w:name w:val="封面正文"/>
    <w:qFormat/>
    <w:uiPriority w:val="0"/>
    <w:pPr>
      <w:jc w:val="both"/>
    </w:pPr>
    <w:rPr>
      <w:rFonts w:ascii="Times New Roman" w:hAnsi="Times New Roman" w:eastAsia="宋体" w:cs="Times New Roman"/>
      <w:lang w:val="en-US" w:eastAsia="zh-CN" w:bidi="ar-SA"/>
    </w:rPr>
  </w:style>
  <w:style w:type="paragraph" w:customStyle="1" w:styleId="431">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4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3">
    <w:name w:val="Header or footer|2"/>
    <w:basedOn w:val="1"/>
    <w:qFormat/>
    <w:uiPriority w:val="0"/>
    <w:pPr>
      <w:spacing w:line="360" w:lineRule="auto"/>
    </w:pPr>
    <w:rPr>
      <w:rFonts w:ascii="Times New Roman" w:hAnsi="Times New Roman"/>
      <w:sz w:val="20"/>
      <w:szCs w:val="20"/>
    </w:rPr>
  </w:style>
  <w:style w:type="paragraph" w:customStyle="1" w:styleId="434">
    <w:name w:val="条文脚注"/>
    <w:basedOn w:val="40"/>
    <w:qFormat/>
    <w:uiPriority w:val="0"/>
    <w:pPr>
      <w:ind w:left="780" w:leftChars="200" w:hanging="360" w:hangingChars="200"/>
      <w:jc w:val="both"/>
    </w:pPr>
    <w:rPr>
      <w:rFonts w:hAnsi="等线" w:eastAsia="等线"/>
    </w:rPr>
  </w:style>
  <w:style w:type="paragraph" w:customStyle="1" w:styleId="435">
    <w:name w:val="_Style 411"/>
    <w:basedOn w:val="1"/>
    <w:next w:val="1"/>
    <w:unhideWhenUsed/>
    <w:qFormat/>
    <w:uiPriority w:val="1"/>
    <w:pPr>
      <w:tabs>
        <w:tab w:val="left" w:pos="334"/>
      </w:tabs>
      <w:adjustRightInd w:val="0"/>
      <w:snapToGrid w:val="0"/>
      <w:spacing w:line="360" w:lineRule="auto"/>
      <w:ind w:firstLine="422" w:firstLineChars="200"/>
      <w:jc w:val="left"/>
    </w:pPr>
    <w:rPr>
      <w:rFonts w:ascii="仿宋_GB2312" w:eastAsia="仿宋_GB2312"/>
      <w:b/>
    </w:rPr>
  </w:style>
  <w:style w:type="character" w:customStyle="1" w:styleId="436">
    <w:name w:val="标题 Char1"/>
    <w:qFormat/>
    <w:uiPriority w:val="10"/>
    <w:rPr>
      <w:rFonts w:hint="default" w:ascii="Cambria" w:hAnsi="Cambria" w:eastAsia="宋体" w:cs="Times New Roman"/>
      <w:b/>
      <w:bCs/>
      <w:sz w:val="32"/>
      <w:szCs w:val="32"/>
    </w:rPr>
  </w:style>
  <w:style w:type="paragraph" w:customStyle="1" w:styleId="437">
    <w:name w:val="正文+宋体"/>
    <w:basedOn w:val="122"/>
    <w:qFormat/>
    <w:uiPriority w:val="0"/>
    <w:pPr>
      <w:widowControl/>
      <w:adjustRightInd w:val="0"/>
      <w:snapToGrid w:val="0"/>
      <w:spacing w:after="160" w:line="600" w:lineRule="exact"/>
      <w:ind w:firstLine="600" w:firstLineChars="200"/>
      <w:jc w:val="left"/>
    </w:pPr>
    <w:rPr>
      <w:rFonts w:eastAsia="楷体_GB2312"/>
      <w:spacing w:val="10"/>
      <w:kern w:val="0"/>
      <w:sz w:val="28"/>
      <w:lang w:eastAsia="en-US"/>
    </w:rPr>
  </w:style>
  <w:style w:type="paragraph" w:customStyle="1" w:styleId="438">
    <w:name w:val="No Spacing_ad81b47b-6779-4c76-b471-79375858c8cb"/>
    <w:basedOn w:val="1"/>
    <w:qFormat/>
    <w:uiPriority w:val="0"/>
    <w:pPr>
      <w:ind w:firstLine="200" w:firstLineChars="200"/>
    </w:pPr>
    <w:rPr>
      <w:rFonts w:ascii="Times New Roman" w:hAnsi="Times New Roman"/>
    </w:rPr>
  </w:style>
  <w:style w:type="paragraph" w:customStyle="1" w:styleId="439">
    <w:name w:val="样式 居中"/>
    <w:basedOn w:val="1"/>
    <w:qFormat/>
    <w:uiPriority w:val="0"/>
    <w:pPr>
      <w:snapToGrid w:val="0"/>
      <w:jc w:val="center"/>
    </w:pPr>
    <w:rPr>
      <w:rFonts w:ascii="Times New Roman" w:hAnsi="Times New Roman" w:eastAsia="仿宋" w:cs="宋体"/>
      <w:szCs w:val="20"/>
    </w:rPr>
  </w:style>
  <w:style w:type="paragraph" w:customStyle="1" w:styleId="440">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1">
    <w:name w:val="表格"/>
    <w:basedOn w:val="1"/>
    <w:qFormat/>
    <w:uiPriority w:val="0"/>
    <w:pPr>
      <w:jc w:val="center"/>
    </w:pPr>
    <w:rPr>
      <w:rFonts w:ascii="Times New Roman" w:hAnsi="Times New Roman"/>
      <w:sz w:val="24"/>
      <w:szCs w:val="21"/>
    </w:rPr>
  </w:style>
  <w:style w:type="paragraph" w:customStyle="1" w:styleId="442">
    <w:name w:val="4号正文"/>
    <w:basedOn w:val="1"/>
    <w:qFormat/>
    <w:uiPriority w:val="0"/>
    <w:pPr>
      <w:snapToGrid w:val="0"/>
      <w:spacing w:line="560" w:lineRule="exact"/>
      <w:ind w:firstLine="560"/>
    </w:pPr>
    <w:rPr>
      <w:rFonts w:ascii="宋体" w:hAnsi="宋体"/>
      <w:snapToGrid w:val="0"/>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54F54-C4E9-44DD-9EFD-26A7FCF174BF}">
  <ds:schemaRefs/>
</ds:datastoreItem>
</file>

<file path=docProps/app.xml><?xml version="1.0" encoding="utf-8"?>
<Properties xmlns="http://schemas.openxmlformats.org/officeDocument/2006/extended-properties" xmlns:vt="http://schemas.openxmlformats.org/officeDocument/2006/docPropsVTypes">
  <Template>Normal</Template>
  <Pages>105</Pages>
  <Words>9317</Words>
  <Characters>10142</Characters>
  <Lines>450</Lines>
  <Paragraphs>126</Paragraphs>
  <TotalTime>12</TotalTime>
  <ScaleCrop>false</ScaleCrop>
  <LinksUpToDate>false</LinksUpToDate>
  <CharactersWithSpaces>10313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2017-11-15T14:55:00Z</dcterms:created>
  <dc:creator>lenovn</dc:creator>
  <cp:lastModifiedBy>国燚2号新机</cp:lastModifiedBy>
  <cp:lastPrinted>2021-07-28T06:38:00Z</cp:lastPrinted>
  <dcterms:modified xsi:type="dcterms:W3CDTF">2026-04-29T11:44:25Z</dcterms:modified>
  <cp:revision>4318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2065896CB4B14348A7BE632556EFA6CE_13</vt:lpwstr>
  </property>
  <property fmtid="{D5CDD505-2E9C-101B-9397-08002B2CF9AE}" pid="4" name="KSOTemplateDocerSaveRecord">
    <vt:lpwstr>eyJoZGlkIjoiNmZkNzU2M2YxNmZiODYyYmUzYjAxZmI5NWU5YTAxYTkiLCJ1c2VySWQiOiIxMjQ0NTI2MDMwIn0=</vt:lpwstr>
  </property>
</Properties>
</file>