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F6970">
      <w:pPr>
        <w:widowControl/>
        <w:spacing w:line="360" w:lineRule="auto"/>
        <w:rPr>
          <w:rFonts w:hint="eastAsia" w:ascii="宋体" w:hAnsi="宋体" w:eastAsia="宋体" w:cs="宋体"/>
          <w:b/>
          <w:sz w:val="52"/>
          <w:szCs w:val="52"/>
          <w:highlight w:val="none"/>
        </w:rPr>
      </w:pPr>
    </w:p>
    <w:p w14:paraId="21A841F9">
      <w:pPr>
        <w:widowControl/>
        <w:spacing w:line="360" w:lineRule="auto"/>
        <w:jc w:val="center"/>
        <w:rPr>
          <w:rFonts w:hint="eastAsia" w:ascii="宋体" w:hAnsi="宋体" w:eastAsia="宋体" w:cs="宋体"/>
          <w:sz w:val="28"/>
          <w:szCs w:val="36"/>
          <w:highlight w:val="none"/>
          <w:lang w:eastAsia="zh-CN"/>
        </w:rPr>
      </w:pPr>
      <w:r>
        <w:rPr>
          <w:rFonts w:hint="eastAsia" w:ascii="宋体" w:hAnsi="宋体" w:cs="宋体"/>
          <w:b/>
          <w:sz w:val="72"/>
          <w:szCs w:val="72"/>
          <w:highlight w:val="none"/>
          <w:lang w:eastAsia="zh-CN"/>
        </w:rPr>
        <w:t>新疆维吾尔自治区某厅某单位大载重无人机及相关配件采购项目（二次）</w:t>
      </w:r>
    </w:p>
    <w:p w14:paraId="08432D17">
      <w:pPr>
        <w:spacing w:line="400" w:lineRule="atLeast"/>
        <w:jc w:val="center"/>
        <w:rPr>
          <w:rFonts w:hint="eastAsia" w:ascii="宋体" w:hAnsi="宋体" w:eastAsia="宋体" w:cs="宋体"/>
          <w:b/>
          <w:sz w:val="52"/>
          <w:szCs w:val="52"/>
          <w:highlight w:val="none"/>
        </w:rPr>
      </w:pPr>
    </w:p>
    <w:p w14:paraId="1C167DED">
      <w:pPr>
        <w:spacing w:line="400" w:lineRule="atLeast"/>
        <w:jc w:val="center"/>
        <w:rPr>
          <w:rFonts w:hint="eastAsia" w:ascii="宋体" w:hAnsi="宋体" w:eastAsia="宋体" w:cs="宋体"/>
          <w:bCs/>
          <w:sz w:val="32"/>
          <w:szCs w:val="32"/>
          <w:highlight w:val="none"/>
        </w:rPr>
      </w:pPr>
      <w:r>
        <w:rPr>
          <w:rFonts w:hint="eastAsia" w:ascii="宋体" w:hAnsi="宋体" w:eastAsia="宋体" w:cs="宋体"/>
          <w:b/>
          <w:sz w:val="52"/>
          <w:szCs w:val="52"/>
          <w:highlight w:val="none"/>
        </w:rPr>
        <w:t>公开招标文件</w:t>
      </w:r>
    </w:p>
    <w:p w14:paraId="7B2AD7AD">
      <w:pPr>
        <w:spacing w:line="360" w:lineRule="auto"/>
        <w:ind w:left="1080" w:leftChars="257" w:hanging="540"/>
        <w:jc w:val="center"/>
        <w:rPr>
          <w:rFonts w:hint="eastAsia" w:ascii="宋体" w:hAnsi="宋体" w:eastAsia="宋体" w:cs="宋体"/>
          <w:bCs/>
          <w:sz w:val="32"/>
          <w:szCs w:val="32"/>
          <w:highlight w:val="none"/>
        </w:rPr>
      </w:pPr>
    </w:p>
    <w:p w14:paraId="1DF86B5A">
      <w:pPr>
        <w:spacing w:line="360" w:lineRule="auto"/>
        <w:ind w:left="1080" w:leftChars="257" w:hanging="540"/>
        <w:jc w:val="center"/>
        <w:rPr>
          <w:rFonts w:hint="eastAsia" w:ascii="宋体" w:hAnsi="宋体" w:eastAsia="宋体" w:cs="宋体"/>
          <w:bCs/>
          <w:sz w:val="32"/>
          <w:szCs w:val="32"/>
          <w:highlight w:val="none"/>
        </w:rPr>
      </w:pPr>
      <w:r>
        <w:rPr>
          <w:rFonts w:hint="eastAsia" w:ascii="宋体" w:hAnsi="宋体" w:eastAsia="宋体" w:cs="宋体"/>
          <w:bCs/>
          <w:sz w:val="32"/>
          <w:szCs w:val="32"/>
          <w:highlight w:val="none"/>
        </w:rPr>
        <w:t>（项目编号：</w:t>
      </w:r>
      <w:r>
        <w:rPr>
          <w:rFonts w:hint="eastAsia" w:ascii="宋体" w:hAnsi="宋体" w:cs="宋体"/>
          <w:bCs/>
          <w:sz w:val="32"/>
          <w:szCs w:val="32"/>
          <w:highlight w:val="none"/>
          <w:lang w:eastAsia="zh-CN"/>
        </w:rPr>
        <w:t>XJHCRH-2026-104-1</w:t>
      </w:r>
      <w:r>
        <w:rPr>
          <w:rFonts w:hint="eastAsia" w:ascii="宋体" w:hAnsi="宋体" w:eastAsia="宋体" w:cs="宋体"/>
          <w:bCs/>
          <w:sz w:val="32"/>
          <w:szCs w:val="32"/>
          <w:highlight w:val="none"/>
        </w:rPr>
        <w:t>）</w:t>
      </w:r>
    </w:p>
    <w:p w14:paraId="45432750">
      <w:pPr>
        <w:spacing w:line="360" w:lineRule="auto"/>
        <w:ind w:left="1080" w:leftChars="257" w:hanging="540"/>
        <w:jc w:val="center"/>
        <w:rPr>
          <w:rFonts w:hint="eastAsia" w:ascii="宋体" w:hAnsi="宋体" w:eastAsia="宋体" w:cs="宋体"/>
          <w:b/>
          <w:sz w:val="32"/>
          <w:szCs w:val="32"/>
          <w:highlight w:val="none"/>
        </w:rPr>
      </w:pPr>
    </w:p>
    <w:p w14:paraId="0E5E6F41">
      <w:pPr>
        <w:spacing w:line="360" w:lineRule="auto"/>
        <w:ind w:firstLine="837" w:firstLineChars="299"/>
        <w:jc w:val="left"/>
        <w:rPr>
          <w:rFonts w:hint="eastAsia" w:ascii="宋体" w:hAnsi="宋体" w:eastAsia="宋体" w:cs="宋体"/>
          <w:sz w:val="28"/>
          <w:szCs w:val="28"/>
          <w:highlight w:val="none"/>
        </w:rPr>
      </w:pPr>
    </w:p>
    <w:p w14:paraId="5A4695BD">
      <w:pPr>
        <w:spacing w:line="360" w:lineRule="auto"/>
        <w:ind w:firstLine="837" w:firstLineChars="299"/>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2F0ECB7">
      <w:pPr>
        <w:spacing w:line="360" w:lineRule="auto"/>
        <w:ind w:firstLine="837" w:firstLineChars="299"/>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采 购 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lang w:eastAsia="zh-CN"/>
        </w:rPr>
        <w:t>新疆维吾尔自治区某厅某单位</w:t>
      </w:r>
      <w:r>
        <w:rPr>
          <w:rFonts w:hint="eastAsia" w:ascii="宋体" w:hAnsi="宋体" w:eastAsia="宋体" w:cs="宋体"/>
          <w:sz w:val="28"/>
          <w:szCs w:val="28"/>
          <w:highlight w:val="none"/>
          <w:u w:val="single"/>
          <w:lang w:val="en-US" w:eastAsia="zh-CN"/>
        </w:rPr>
        <w:t xml:space="preserve">  </w:t>
      </w:r>
    </w:p>
    <w:p w14:paraId="4BBF1EA0">
      <w:pPr>
        <w:spacing w:line="360" w:lineRule="auto"/>
        <w:ind w:firstLine="837" w:firstLineChars="299"/>
        <w:rPr>
          <w:rFonts w:hint="eastAsia" w:ascii="宋体" w:hAnsi="宋体" w:eastAsia="宋体" w:cs="宋体"/>
          <w:color w:val="auto"/>
          <w:sz w:val="28"/>
          <w:szCs w:val="28"/>
          <w:highlight w:val="none"/>
          <w:u w:val="single"/>
        </w:rPr>
      </w:pPr>
      <w:r>
        <w:rPr>
          <w:rFonts w:hint="eastAsia" w:ascii="宋体" w:hAnsi="宋体" w:eastAsia="宋体" w:cs="宋体"/>
          <w:sz w:val="28"/>
          <w:szCs w:val="28"/>
          <w:highlight w:val="none"/>
        </w:rPr>
        <w:t>联 系 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叶尔多斯</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28829124">
      <w:pPr>
        <w:spacing w:line="360" w:lineRule="auto"/>
        <w:ind w:firstLine="837" w:firstLineChars="29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0991-7506631</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14:paraId="09A96B8D">
      <w:pPr>
        <w:spacing w:line="360" w:lineRule="auto"/>
        <w:ind w:firstLine="837" w:firstLineChars="29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采购机构：</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lang w:eastAsia="zh-CN"/>
        </w:rPr>
        <w:t>新疆宏成润和工程管理有限公司</w:t>
      </w:r>
      <w:r>
        <w:rPr>
          <w:rFonts w:hint="eastAsia" w:ascii="宋体" w:hAnsi="宋体" w:eastAsia="宋体" w:cs="宋体"/>
          <w:sz w:val="28"/>
          <w:szCs w:val="28"/>
          <w:highlight w:val="none"/>
          <w:u w:val="single"/>
          <w:lang w:val="en-US" w:eastAsia="zh-CN"/>
        </w:rPr>
        <w:t xml:space="preserve">    </w:t>
      </w:r>
    </w:p>
    <w:p w14:paraId="01E76EDC">
      <w:pPr>
        <w:spacing w:line="360" w:lineRule="auto"/>
        <w:ind w:firstLine="837" w:firstLineChars="299"/>
        <w:rPr>
          <w:rFonts w:hint="eastAsia" w:ascii="宋体" w:hAnsi="宋体" w:eastAsia="宋体" w:cs="宋体"/>
          <w:sz w:val="28"/>
          <w:szCs w:val="28"/>
          <w:highlight w:val="none"/>
        </w:rPr>
      </w:pPr>
      <w:r>
        <w:rPr>
          <w:rFonts w:hint="eastAsia" w:ascii="宋体" w:hAnsi="宋体" w:eastAsia="宋体" w:cs="宋体"/>
          <w:sz w:val="28"/>
          <w:szCs w:val="28"/>
          <w:highlight w:val="none"/>
        </w:rPr>
        <w:t>联 系 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刘阳阳                </w:t>
      </w:r>
    </w:p>
    <w:p w14:paraId="4A1580C1">
      <w:pPr>
        <w:spacing w:line="360" w:lineRule="auto"/>
        <w:ind w:firstLine="837" w:firstLineChars="299"/>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lang w:eastAsia="zh-CN"/>
        </w:rPr>
        <w:t xml:space="preserve"> </w:t>
      </w:r>
      <w:r>
        <w:rPr>
          <w:rFonts w:hint="eastAsia" w:ascii="宋体" w:hAnsi="宋体" w:cs="宋体"/>
          <w:sz w:val="28"/>
          <w:szCs w:val="28"/>
          <w:highlight w:val="none"/>
          <w:u w:val="single"/>
          <w:lang w:val="en-US" w:eastAsia="zh-CN"/>
        </w:rPr>
        <w:t>0991-3555533</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p>
    <w:p w14:paraId="52C6FAE4">
      <w:pPr>
        <w:spacing w:line="360" w:lineRule="auto"/>
        <w:ind w:left="1080" w:leftChars="257" w:hanging="540"/>
        <w:jc w:val="center"/>
        <w:rPr>
          <w:rFonts w:hint="eastAsia" w:ascii="宋体" w:hAnsi="宋体" w:eastAsia="宋体" w:cs="宋体"/>
          <w:sz w:val="28"/>
          <w:szCs w:val="28"/>
          <w:highlight w:val="none"/>
        </w:rPr>
      </w:pPr>
    </w:p>
    <w:p w14:paraId="22993526">
      <w:pPr>
        <w:spacing w:line="360" w:lineRule="auto"/>
        <w:ind w:left="1378" w:leftChars="656" w:firstLine="677" w:firstLineChars="242"/>
        <w:jc w:val="both"/>
        <w:rPr>
          <w:rFonts w:hint="eastAsia" w:ascii="宋体" w:hAnsi="宋体" w:eastAsia="宋体" w:cs="宋体"/>
          <w:highlight w:val="none"/>
        </w:rPr>
      </w:pPr>
      <w:r>
        <w:rPr>
          <w:rFonts w:hint="eastAsia" w:ascii="宋体" w:hAnsi="宋体" w:eastAsia="宋体" w:cs="宋体"/>
          <w:sz w:val="28"/>
          <w:szCs w:val="28"/>
          <w:highlight w:val="none"/>
        </w:rPr>
        <w:t>发出日期：</w:t>
      </w:r>
      <w:r>
        <w:rPr>
          <w:rFonts w:hint="eastAsia" w:ascii="宋体" w:hAnsi="宋体" w:eastAsia="宋体" w:cs="宋体"/>
          <w:sz w:val="28"/>
          <w:szCs w:val="28"/>
          <w:highlight w:val="none"/>
          <w:u w:val="single"/>
          <w:lang w:eastAsia="zh-CN"/>
        </w:rPr>
        <w:t>2026</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4</w:t>
      </w:r>
      <w:r>
        <w:rPr>
          <w:rFonts w:hint="eastAsia" w:ascii="宋体" w:hAnsi="宋体" w:eastAsia="宋体" w:cs="宋体"/>
          <w:sz w:val="28"/>
          <w:szCs w:val="28"/>
          <w:highlight w:val="none"/>
          <w:u w:val="single"/>
        </w:rPr>
        <w:t xml:space="preserve">月  </w:t>
      </w:r>
      <w:r>
        <w:rPr>
          <w:rFonts w:hint="eastAsia" w:ascii="宋体" w:hAnsi="宋体" w:eastAsia="宋体" w:cs="宋体"/>
          <w:b/>
          <w:sz w:val="52"/>
          <w:highlight w:val="none"/>
        </w:rPr>
        <w:br w:type="page"/>
      </w:r>
    </w:p>
    <w:sdt>
      <w:sdtPr>
        <w:rPr>
          <w:rFonts w:hint="eastAsia" w:ascii="宋体" w:hAnsi="宋体" w:eastAsia="宋体" w:cs="宋体"/>
          <w:kern w:val="2"/>
          <w:sz w:val="36"/>
          <w:szCs w:val="44"/>
          <w:highlight w:val="none"/>
          <w:lang w:val="en-US" w:eastAsia="zh-CN" w:bidi="ar-SA"/>
        </w:rPr>
        <w:id w:val="147467147"/>
        <w15:color w:val="DBDBDB"/>
        <w:docPartObj>
          <w:docPartGallery w:val="Table of Contents"/>
          <w:docPartUnique/>
        </w:docPartObj>
      </w:sdtPr>
      <w:sdtEndPr>
        <w:rPr>
          <w:rFonts w:hint="eastAsia" w:ascii="宋体" w:hAnsi="宋体" w:eastAsia="宋体" w:cs="宋体"/>
          <w:kern w:val="2"/>
          <w:sz w:val="21"/>
          <w:szCs w:val="24"/>
          <w:highlight w:val="none"/>
          <w:lang w:val="en-US" w:eastAsia="zh-CN" w:bidi="ar-SA"/>
        </w:rPr>
      </w:sdtEndPr>
      <w:sdtContent>
        <w:p w14:paraId="5D37D8ED">
          <w:pPr>
            <w:spacing w:before="0" w:beforeLines="0" w:after="0" w:afterLines="0" w:line="240" w:lineRule="auto"/>
            <w:ind w:left="0" w:leftChars="0" w:right="0" w:rightChars="0" w:firstLine="0" w:firstLineChars="0"/>
            <w:jc w:val="center"/>
            <w:rPr>
              <w:rFonts w:hint="eastAsia" w:ascii="宋体" w:hAnsi="宋体" w:eastAsia="宋体" w:cs="宋体"/>
              <w:sz w:val="36"/>
              <w:szCs w:val="44"/>
              <w:highlight w:val="none"/>
            </w:rPr>
          </w:pPr>
          <w:r>
            <w:rPr>
              <w:rFonts w:hint="eastAsia" w:ascii="宋体" w:hAnsi="宋体" w:eastAsia="宋体" w:cs="宋体"/>
              <w:sz w:val="36"/>
              <w:szCs w:val="44"/>
              <w:highlight w:val="none"/>
            </w:rPr>
            <w:t>目录</w:t>
          </w:r>
        </w:p>
        <w:p w14:paraId="0F5AEF42">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highlight w:val="none"/>
            </w:rPr>
          </w:pP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TOC \o "1-1" \h \u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HYPERLINK \l _Toc17888 </w:instrText>
          </w:r>
          <w:r>
            <w:rPr>
              <w:rFonts w:hint="eastAsia" w:ascii="宋体" w:hAnsi="宋体" w:eastAsia="宋体" w:cs="宋体"/>
              <w:sz w:val="32"/>
              <w:szCs w:val="40"/>
              <w:highlight w:val="none"/>
            </w:rPr>
            <w:fldChar w:fldCharType="separate"/>
          </w:r>
          <w:r>
            <w:rPr>
              <w:rFonts w:hint="eastAsia" w:ascii="宋体" w:hAnsi="宋体" w:eastAsia="宋体" w:cs="宋体"/>
              <w:kern w:val="0"/>
              <w:sz w:val="32"/>
              <w:szCs w:val="32"/>
              <w:highlight w:val="none"/>
            </w:rPr>
            <w:t>第1章</w:t>
          </w:r>
          <w:r>
            <w:rPr>
              <w:rFonts w:hint="eastAsia" w:ascii="宋体" w:hAnsi="宋体" w:eastAsia="宋体" w:cs="宋体"/>
              <w:sz w:val="32"/>
              <w:szCs w:val="40"/>
              <w:highlight w:val="none"/>
            </w:rPr>
            <w:t>投标邀请</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_Toc17888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3</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6CEB4156">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highlight w:val="none"/>
            </w:rPr>
          </w:pP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HYPERLINK \l _Toc30615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第</w:t>
          </w:r>
          <w:r>
            <w:rPr>
              <w:rFonts w:hint="eastAsia" w:ascii="宋体" w:hAnsi="宋体" w:eastAsia="宋体" w:cs="宋体"/>
              <w:sz w:val="32"/>
              <w:szCs w:val="40"/>
              <w:highlight w:val="none"/>
              <w:lang w:val="en-US" w:eastAsia="zh-CN"/>
            </w:rPr>
            <w:t>2</w:t>
          </w:r>
          <w:r>
            <w:rPr>
              <w:rFonts w:hint="eastAsia" w:ascii="宋体" w:hAnsi="宋体" w:eastAsia="宋体" w:cs="宋体"/>
              <w:sz w:val="32"/>
              <w:szCs w:val="40"/>
              <w:highlight w:val="none"/>
            </w:rPr>
            <w:t>章投标人须知</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_Toc30615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6</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27ED43A8">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highlight w:val="none"/>
            </w:rPr>
          </w:pP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HYPERLINK \l _Toc8716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第</w:t>
          </w:r>
          <w:r>
            <w:rPr>
              <w:rFonts w:hint="eastAsia" w:ascii="宋体" w:hAnsi="宋体" w:eastAsia="宋体" w:cs="宋体"/>
              <w:sz w:val="32"/>
              <w:szCs w:val="40"/>
              <w:highlight w:val="none"/>
              <w:lang w:val="en-US" w:eastAsia="zh-CN"/>
            </w:rPr>
            <w:t>3</w:t>
          </w:r>
          <w:r>
            <w:rPr>
              <w:rFonts w:hint="eastAsia" w:ascii="宋体" w:hAnsi="宋体" w:eastAsia="宋体" w:cs="宋体"/>
              <w:sz w:val="32"/>
              <w:szCs w:val="40"/>
              <w:highlight w:val="none"/>
            </w:rPr>
            <w:t>章</w:t>
          </w:r>
          <w:r>
            <w:rPr>
              <w:rFonts w:hint="eastAsia" w:ascii="宋体" w:hAnsi="宋体" w:eastAsia="宋体" w:cs="宋体"/>
              <w:sz w:val="32"/>
              <w:szCs w:val="40"/>
              <w:highlight w:val="none"/>
              <w:lang w:val="en-US" w:eastAsia="zh-CN"/>
            </w:rPr>
            <w:t>总则</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_Toc8716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11</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64469E0C">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highlight w:val="none"/>
            </w:rPr>
          </w:pP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HYPERLINK \l _Toc30798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52"/>
              <w:highlight w:val="none"/>
            </w:rPr>
            <w:t>第</w:t>
          </w:r>
          <w:r>
            <w:rPr>
              <w:rFonts w:hint="eastAsia" w:ascii="宋体" w:hAnsi="宋体" w:eastAsia="宋体" w:cs="宋体"/>
              <w:sz w:val="32"/>
              <w:szCs w:val="52"/>
              <w:highlight w:val="none"/>
              <w:lang w:val="en-US" w:eastAsia="zh-CN"/>
            </w:rPr>
            <w:t>4</w:t>
          </w:r>
          <w:r>
            <w:rPr>
              <w:rFonts w:hint="eastAsia" w:ascii="宋体" w:hAnsi="宋体" w:eastAsia="宋体" w:cs="宋体"/>
              <w:sz w:val="32"/>
              <w:szCs w:val="52"/>
              <w:highlight w:val="none"/>
            </w:rPr>
            <w:t>章投标文件格式</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_Toc30798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36</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47BB4489">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highlight w:val="none"/>
            </w:rPr>
          </w:pP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HYPERLINK \l _Toc30551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第5章 项目服务需求及技术规格</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_Toc30551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55</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407458FC">
          <w:pPr>
            <w:pStyle w:val="21"/>
            <w:keepNext w:val="0"/>
            <w:keepLines w:val="0"/>
            <w:pageBreakBefore w:val="0"/>
            <w:widowControl w:val="0"/>
            <w:tabs>
              <w:tab w:val="right" w:leader="dot" w:pos="8312"/>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40"/>
              <w:highlight w:val="none"/>
            </w:rPr>
          </w:pP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HYPERLINK \l _Toc11459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4"/>
              <w:highlight w:val="none"/>
            </w:rPr>
            <w:t>第6章评标方法和标准</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_Toc11459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58</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2BFCE793">
          <w:pPr>
            <w:keepNext w:val="0"/>
            <w:keepLines w:val="0"/>
            <w:pageBreakBefore w:val="0"/>
            <w:widowControl w:val="0"/>
            <w:kinsoku/>
            <w:wordWrap/>
            <w:overflowPunct/>
            <w:topLinePunct w:val="0"/>
            <w:autoSpaceDE/>
            <w:autoSpaceDN/>
            <w:bidi w:val="0"/>
            <w:adjustRightInd/>
            <w:snapToGrid/>
            <w:spacing w:line="720" w:lineRule="auto"/>
            <w:ind w:left="1080" w:leftChars="257" w:hanging="54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sz w:val="32"/>
              <w:szCs w:val="40"/>
              <w:highlight w:val="none"/>
            </w:rPr>
            <w:fldChar w:fldCharType="end"/>
          </w:r>
        </w:p>
      </w:sdtContent>
    </w:sdt>
    <w:p w14:paraId="3F74B4FE">
      <w:pPr>
        <w:spacing w:line="360" w:lineRule="auto"/>
        <w:ind w:left="1080" w:leftChars="257" w:hanging="540"/>
        <w:jc w:val="center"/>
        <w:rPr>
          <w:rFonts w:hint="eastAsia" w:ascii="宋体" w:hAnsi="宋体" w:eastAsia="宋体" w:cs="宋体"/>
          <w:kern w:val="2"/>
          <w:sz w:val="21"/>
          <w:szCs w:val="24"/>
          <w:highlight w:val="none"/>
          <w:lang w:val="en-US" w:eastAsia="zh-CN" w:bidi="ar-SA"/>
        </w:rPr>
      </w:pPr>
    </w:p>
    <w:p w14:paraId="163387D8">
      <w:pPr>
        <w:pStyle w:val="40"/>
        <w:tabs>
          <w:tab w:val="left" w:pos="0"/>
        </w:tabs>
        <w:spacing w:before="0" w:after="0" w:line="360" w:lineRule="auto"/>
        <w:ind w:left="630"/>
        <w:rPr>
          <w:rFonts w:hint="eastAsia" w:ascii="宋体" w:hAnsi="宋体" w:eastAsia="宋体" w:cs="宋体"/>
          <w:kern w:val="0"/>
          <w:szCs w:val="21"/>
          <w:highlight w:val="none"/>
        </w:rPr>
      </w:pPr>
      <w:bookmarkStart w:id="0" w:name="_Toc17888"/>
    </w:p>
    <w:p w14:paraId="37EB914E">
      <w:pPr>
        <w:pStyle w:val="40"/>
        <w:tabs>
          <w:tab w:val="left" w:pos="0"/>
        </w:tabs>
        <w:spacing w:before="0" w:after="0" w:line="360" w:lineRule="auto"/>
        <w:ind w:left="630"/>
        <w:rPr>
          <w:rFonts w:hint="eastAsia" w:ascii="宋体" w:hAnsi="宋体" w:eastAsia="宋体" w:cs="宋体"/>
          <w:kern w:val="0"/>
          <w:szCs w:val="21"/>
          <w:highlight w:val="none"/>
        </w:rPr>
      </w:pPr>
    </w:p>
    <w:p w14:paraId="446E3043">
      <w:pPr>
        <w:pStyle w:val="40"/>
        <w:tabs>
          <w:tab w:val="left" w:pos="0"/>
        </w:tabs>
        <w:spacing w:before="0" w:after="0" w:line="360" w:lineRule="auto"/>
        <w:ind w:left="630"/>
        <w:rPr>
          <w:rFonts w:hint="eastAsia" w:ascii="宋体" w:hAnsi="宋体" w:eastAsia="宋体" w:cs="宋体"/>
          <w:kern w:val="0"/>
          <w:szCs w:val="21"/>
          <w:highlight w:val="none"/>
        </w:rPr>
      </w:pPr>
    </w:p>
    <w:p w14:paraId="18740799">
      <w:pPr>
        <w:pStyle w:val="40"/>
        <w:tabs>
          <w:tab w:val="left" w:pos="0"/>
        </w:tabs>
        <w:spacing w:before="0" w:after="0" w:line="360" w:lineRule="auto"/>
        <w:ind w:left="630"/>
        <w:rPr>
          <w:rFonts w:hint="eastAsia" w:ascii="宋体" w:hAnsi="宋体" w:eastAsia="宋体" w:cs="宋体"/>
          <w:kern w:val="0"/>
          <w:szCs w:val="21"/>
          <w:highlight w:val="none"/>
        </w:rPr>
      </w:pPr>
    </w:p>
    <w:p w14:paraId="40EDF84F">
      <w:pPr>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325872DB">
      <w:pPr>
        <w:pStyle w:val="40"/>
        <w:tabs>
          <w:tab w:val="left" w:pos="0"/>
        </w:tabs>
        <w:spacing w:before="0" w:after="0" w:line="360" w:lineRule="auto"/>
        <w:ind w:left="630"/>
        <w:rPr>
          <w:rFonts w:hint="eastAsia" w:ascii="宋体" w:hAnsi="宋体" w:eastAsia="宋体" w:cs="宋体"/>
          <w:kern w:val="0"/>
          <w:szCs w:val="21"/>
          <w:highlight w:val="none"/>
        </w:rPr>
      </w:pPr>
      <w:r>
        <w:rPr>
          <w:rFonts w:hint="eastAsia" w:ascii="宋体" w:hAnsi="宋体" w:eastAsia="宋体" w:cs="宋体"/>
          <w:kern w:val="0"/>
          <w:szCs w:val="21"/>
          <w:highlight w:val="none"/>
        </w:rPr>
        <w:t>第1章</w:t>
      </w:r>
      <w:r>
        <w:rPr>
          <w:rFonts w:hint="eastAsia" w:ascii="宋体" w:hAnsi="宋体" w:eastAsia="宋体" w:cs="宋体"/>
          <w:highlight w:val="none"/>
        </w:rPr>
        <w:t>投标邀请</w:t>
      </w:r>
      <w:bookmarkEnd w:id="0"/>
    </w:p>
    <w:p w14:paraId="27840C44">
      <w:pPr>
        <w:widowControl/>
        <w:spacing w:line="360" w:lineRule="auto"/>
        <w:jc w:val="center"/>
        <w:rPr>
          <w:rFonts w:hint="eastAsia" w:ascii="宋体" w:hAnsi="宋体" w:eastAsia="宋体" w:cs="宋体"/>
          <w:b/>
          <w:bCs/>
          <w:color w:val="000000"/>
          <w:kern w:val="0"/>
          <w:sz w:val="28"/>
          <w:szCs w:val="28"/>
          <w:highlight w:val="none"/>
        </w:rPr>
      </w:pPr>
      <w:r>
        <w:rPr>
          <w:rFonts w:hint="eastAsia" w:ascii="宋体" w:hAnsi="宋体" w:cs="宋体"/>
          <w:b/>
          <w:bCs/>
          <w:color w:val="000000"/>
          <w:sz w:val="28"/>
          <w:szCs w:val="28"/>
          <w:highlight w:val="none"/>
          <w:lang w:val="en-US" w:eastAsia="zh-CN"/>
        </w:rPr>
        <w:t>新疆维吾尔自治区某厅某单位大载重无人机及相关配件采购项目（二次）</w:t>
      </w:r>
      <w:r>
        <w:rPr>
          <w:rFonts w:hint="eastAsia" w:ascii="宋体" w:hAnsi="宋体" w:eastAsia="宋体" w:cs="宋体"/>
          <w:b/>
          <w:bCs/>
          <w:color w:val="000000"/>
          <w:kern w:val="0"/>
          <w:sz w:val="28"/>
          <w:szCs w:val="28"/>
          <w:highlight w:val="none"/>
        </w:rPr>
        <w:t>招标公告</w:t>
      </w:r>
    </w:p>
    <w:p w14:paraId="2A29B2C3">
      <w:pPr>
        <w:pBdr>
          <w:top w:val="single" w:color="000000" w:sz="4" w:space="1"/>
          <w:left w:val="single" w:color="000000" w:sz="4" w:space="4"/>
          <w:bottom w:val="single" w:color="000000" w:sz="4" w:space="1"/>
          <w:right w:val="single" w:color="000000" w:sz="4" w:space="4"/>
        </w:pBdr>
        <w:jc w:val="left"/>
        <w:rPr>
          <w:rFonts w:hint="eastAsia" w:ascii="宋体" w:hAnsi="宋体" w:eastAsia="宋体" w:cs="宋体"/>
          <w:b/>
          <w:bCs/>
          <w:sz w:val="24"/>
          <w:highlight w:val="none"/>
        </w:rPr>
      </w:pPr>
      <w:r>
        <w:rPr>
          <w:rFonts w:hint="eastAsia" w:ascii="宋体" w:hAnsi="宋体" w:eastAsia="宋体" w:cs="宋体"/>
          <w:b/>
          <w:bCs/>
          <w:sz w:val="24"/>
          <w:highlight w:val="none"/>
        </w:rPr>
        <w:t>项目概况</w:t>
      </w:r>
    </w:p>
    <w:p w14:paraId="0DAA57BD">
      <w:pPr>
        <w:pBdr>
          <w:top w:val="single" w:color="000000" w:sz="4" w:space="1"/>
          <w:left w:val="single" w:color="000000" w:sz="4" w:space="4"/>
          <w:bottom w:val="single" w:color="000000" w:sz="4" w:space="1"/>
          <w:right w:val="single" w:color="000000" w:sz="4" w:space="4"/>
        </w:pBdr>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新疆维吾尔自治区某厅某单位大载重无人机及相关配件采购项目（二次）</w:t>
      </w:r>
      <w:r>
        <w:rPr>
          <w:rFonts w:hint="eastAsia" w:ascii="宋体" w:hAnsi="宋体" w:eastAsia="宋体" w:cs="宋体"/>
          <w:sz w:val="24"/>
          <w:highlight w:val="none"/>
        </w:rPr>
        <w:t>的潜在投标人应在政采云平台获取招标文件，并于</w:t>
      </w:r>
      <w:r>
        <w:rPr>
          <w:rFonts w:hint="eastAsia" w:ascii="宋体" w:hAnsi="宋体" w:eastAsia="宋体" w:cs="宋体"/>
          <w:kern w:val="0"/>
          <w:sz w:val="24"/>
          <w:highlight w:val="none"/>
          <w:lang w:eastAsia="zh-CN"/>
        </w:rPr>
        <w:t>2026</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 xml:space="preserve"> </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11</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1</w:t>
      </w:r>
      <w:r>
        <w:rPr>
          <w:rFonts w:hint="eastAsia" w:ascii="宋体" w:hAnsi="宋体" w:cs="宋体"/>
          <w:kern w:val="0"/>
          <w:sz w:val="24"/>
          <w:highlight w:val="none"/>
          <w:lang w:val="en-US" w:eastAsia="zh-CN"/>
        </w:rPr>
        <w:t>6</w:t>
      </w:r>
      <w:r>
        <w:rPr>
          <w:rFonts w:hint="eastAsia" w:ascii="宋体" w:hAnsi="宋体" w:eastAsia="宋体" w:cs="宋体"/>
          <w:kern w:val="0"/>
          <w:sz w:val="24"/>
          <w:highlight w:val="none"/>
        </w:rPr>
        <w:t>点</w:t>
      </w:r>
      <w:r>
        <w:rPr>
          <w:rFonts w:hint="eastAsia" w:ascii="宋体" w:hAnsi="宋体" w:cs="宋体"/>
          <w:kern w:val="0"/>
          <w:sz w:val="24"/>
          <w:highlight w:val="none"/>
          <w:lang w:val="en-US" w:eastAsia="zh-CN"/>
        </w:rPr>
        <w:t>00</w:t>
      </w:r>
      <w:r>
        <w:rPr>
          <w:rFonts w:hint="eastAsia" w:ascii="宋体" w:hAnsi="宋体" w:eastAsia="宋体" w:cs="宋体"/>
          <w:kern w:val="0"/>
          <w:sz w:val="24"/>
          <w:highlight w:val="none"/>
        </w:rPr>
        <w:t xml:space="preserve"> 分（北京时间）</w:t>
      </w:r>
      <w:r>
        <w:rPr>
          <w:rFonts w:hint="eastAsia" w:ascii="宋体" w:hAnsi="宋体" w:eastAsia="宋体" w:cs="宋体"/>
          <w:sz w:val="24"/>
          <w:highlight w:val="none"/>
        </w:rPr>
        <w:t>前上传投标文件。</w:t>
      </w:r>
    </w:p>
    <w:p w14:paraId="0B85EA57">
      <w:pPr>
        <w:spacing w:line="360" w:lineRule="auto"/>
        <w:rPr>
          <w:rFonts w:hint="eastAsia" w:ascii="宋体" w:hAnsi="宋体" w:eastAsia="宋体" w:cs="宋体"/>
          <w:highlight w:val="none"/>
        </w:rPr>
      </w:pPr>
    </w:p>
    <w:p w14:paraId="002CC3CC">
      <w:pPr>
        <w:pStyle w:val="49"/>
        <w:spacing w:line="36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一、项目基本情况</w:t>
      </w:r>
    </w:p>
    <w:p w14:paraId="33580EB3">
      <w:pPr>
        <w:pStyle w:val="49"/>
        <w:spacing w:line="360" w:lineRule="exact"/>
        <w:ind w:firstLine="48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1.项目编</w:t>
      </w:r>
      <w:r>
        <w:rPr>
          <w:rFonts w:hint="eastAsia" w:ascii="宋体" w:hAnsi="宋体" w:eastAsia="宋体" w:cs="宋体"/>
          <w:color w:val="000000"/>
          <w:highlight w:val="none"/>
          <w:lang w:val="en-US" w:eastAsia="zh-CN"/>
        </w:rPr>
        <w:t>号：</w:t>
      </w:r>
      <w:r>
        <w:rPr>
          <w:rFonts w:hint="eastAsia" w:cs="宋体"/>
          <w:color w:val="000000"/>
          <w:highlight w:val="none"/>
          <w:lang w:val="en-US" w:eastAsia="zh-CN"/>
        </w:rPr>
        <w:t>XJHCRH-2026-104-1</w:t>
      </w:r>
    </w:p>
    <w:p w14:paraId="35397F69">
      <w:pPr>
        <w:pStyle w:val="49"/>
        <w:spacing w:line="360" w:lineRule="exact"/>
        <w:ind w:firstLine="48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2.项目名称：</w:t>
      </w:r>
      <w:r>
        <w:rPr>
          <w:rFonts w:hint="eastAsia" w:cs="宋体"/>
          <w:color w:val="000000"/>
          <w:highlight w:val="none"/>
          <w:lang w:eastAsia="zh-CN"/>
        </w:rPr>
        <w:t>新疆维吾尔自治区某厅某单位大载重无人机及相关配件采购项目（二次）</w:t>
      </w:r>
    </w:p>
    <w:p w14:paraId="163BAD32">
      <w:pPr>
        <w:pStyle w:val="49"/>
        <w:spacing w:line="360" w:lineRule="exact"/>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3.采购方式：公开招标</w:t>
      </w:r>
    </w:p>
    <w:p w14:paraId="6FF479E9">
      <w:pPr>
        <w:pStyle w:val="49"/>
        <w:spacing w:line="360" w:lineRule="exact"/>
        <w:ind w:firstLine="480" w:firstLineChars="200"/>
        <w:rPr>
          <w:rFonts w:hint="eastAsia" w:ascii="宋体" w:hAnsi="宋体" w:eastAsia="宋体" w:cs="宋体"/>
          <w:b/>
          <w:bCs/>
          <w:color w:val="000000"/>
          <w:highlight w:val="none"/>
        </w:rPr>
      </w:pPr>
      <w:r>
        <w:rPr>
          <w:rFonts w:hint="eastAsia" w:ascii="宋体" w:hAnsi="宋体" w:eastAsia="宋体" w:cs="宋体"/>
          <w:color w:val="000000"/>
          <w:highlight w:val="none"/>
        </w:rPr>
        <w:t>4.预算金额（万元）：</w:t>
      </w:r>
      <w:r>
        <w:rPr>
          <w:rFonts w:hint="eastAsia" w:ascii="宋体" w:hAnsi="宋体" w:eastAsia="宋体" w:cs="宋体"/>
          <w:color w:val="000000"/>
          <w:highlight w:val="none"/>
          <w:lang w:val="en-US" w:eastAsia="zh-CN"/>
        </w:rPr>
        <w:t>18</w:t>
      </w:r>
      <w:r>
        <w:rPr>
          <w:rFonts w:hint="eastAsia" w:ascii="宋体" w:hAnsi="宋体" w:eastAsia="宋体" w:cs="宋体"/>
          <w:color w:val="000000"/>
          <w:highlight w:val="none"/>
        </w:rPr>
        <w:t>万元；</w:t>
      </w:r>
    </w:p>
    <w:p w14:paraId="0F0D0CAE">
      <w:pPr>
        <w:pStyle w:val="49"/>
        <w:spacing w:line="360" w:lineRule="exact"/>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5.最高限价（万元）：</w:t>
      </w:r>
      <w:r>
        <w:rPr>
          <w:rFonts w:hint="eastAsia" w:ascii="宋体" w:hAnsi="宋体" w:eastAsia="宋体" w:cs="宋体"/>
          <w:color w:val="000000"/>
          <w:highlight w:val="none"/>
          <w:lang w:val="en-US" w:eastAsia="zh-CN"/>
        </w:rPr>
        <w:t>18</w:t>
      </w:r>
      <w:r>
        <w:rPr>
          <w:rFonts w:hint="eastAsia" w:ascii="宋体" w:hAnsi="宋体" w:eastAsia="宋体" w:cs="宋体"/>
          <w:color w:val="000000"/>
          <w:highlight w:val="none"/>
        </w:rPr>
        <w:t>万元；</w:t>
      </w:r>
    </w:p>
    <w:p w14:paraId="3C74CC1D">
      <w:pPr>
        <w:ind w:firstLine="480" w:firstLineChars="200"/>
        <w:rPr>
          <w:rFonts w:hint="eastAsia" w:ascii="宋体" w:hAnsi="宋体" w:eastAsia="宋体" w:cs="宋体"/>
          <w:color w:val="FF0000"/>
          <w:kern w:val="0"/>
          <w:sz w:val="24"/>
          <w:highlight w:val="none"/>
          <w:lang w:val="en-US" w:eastAsia="zh-CN"/>
        </w:rPr>
      </w:pPr>
      <w:r>
        <w:rPr>
          <w:rFonts w:hint="eastAsia" w:ascii="宋体" w:hAnsi="宋体" w:eastAsia="宋体" w:cs="宋体"/>
          <w:color w:val="000000"/>
          <w:kern w:val="0"/>
          <w:sz w:val="24"/>
          <w:highlight w:val="none"/>
        </w:rPr>
        <w:t>6.采购需求：本项目不分包，</w:t>
      </w:r>
      <w:bookmarkStart w:id="405" w:name="_GoBack"/>
      <w:bookmarkEnd w:id="405"/>
      <w:r>
        <w:rPr>
          <w:rFonts w:hint="eastAsia" w:ascii="宋体" w:hAnsi="宋体" w:eastAsia="宋体" w:cs="宋体"/>
          <w:color w:val="000000"/>
          <w:kern w:val="0"/>
          <w:sz w:val="24"/>
          <w:highlight w:val="none"/>
        </w:rPr>
        <w:t>本项目主要</w:t>
      </w:r>
      <w:r>
        <w:rPr>
          <w:rFonts w:hint="eastAsia" w:ascii="宋体" w:hAnsi="宋体" w:eastAsia="宋体" w:cs="宋体"/>
          <w:color w:val="000000"/>
          <w:kern w:val="0"/>
          <w:sz w:val="24"/>
          <w:highlight w:val="none"/>
          <w:lang w:val="en-US" w:eastAsia="zh-CN"/>
        </w:rPr>
        <w:t>采购</w:t>
      </w:r>
      <w:r>
        <w:rPr>
          <w:rFonts w:hint="eastAsia" w:ascii="宋体" w:hAnsi="宋体" w:cs="宋体"/>
          <w:color w:val="000000"/>
          <w:kern w:val="0"/>
          <w:sz w:val="24"/>
          <w:highlight w:val="none"/>
          <w:lang w:eastAsia="zh-CN"/>
        </w:rPr>
        <w:t>大载重无人机及相关配件采购</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具体以招标文件要求为准。</w:t>
      </w:r>
    </w:p>
    <w:p w14:paraId="4BE5D459">
      <w:pPr>
        <w:pStyle w:val="49"/>
        <w:spacing w:line="3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000000"/>
          <w:highlight w:val="none"/>
        </w:rPr>
        <w:t>7.</w:t>
      </w:r>
      <w:r>
        <w:rPr>
          <w:rFonts w:hint="eastAsia" w:ascii="宋体" w:hAnsi="宋体" w:eastAsia="宋体" w:cs="宋体"/>
          <w:color w:val="000000"/>
          <w:highlight w:val="none"/>
          <w:lang w:val="en-US" w:eastAsia="zh-CN"/>
        </w:rPr>
        <w:t>交货期</w:t>
      </w:r>
      <w:r>
        <w:rPr>
          <w:rFonts w:hint="eastAsia" w:ascii="宋体" w:hAnsi="宋体" w:eastAsia="宋体" w:cs="宋体"/>
          <w:color w:val="auto"/>
          <w:highlight w:val="none"/>
          <w:lang w:val="en-US" w:eastAsia="zh-CN"/>
        </w:rPr>
        <w:t>：</w:t>
      </w:r>
      <w:r>
        <w:rPr>
          <w:rFonts w:hint="eastAsia" w:cs="宋体"/>
          <w:color w:val="auto"/>
          <w:kern w:val="0"/>
          <w:sz w:val="24"/>
          <w:highlight w:val="none"/>
          <w:lang w:eastAsia="zh-CN" w:bidi="ar"/>
        </w:rPr>
        <w:t>自合同签订后15日历日完成安装调试。</w:t>
      </w:r>
    </w:p>
    <w:p w14:paraId="5B345A29">
      <w:pPr>
        <w:pStyle w:val="49"/>
        <w:spacing w:line="360" w:lineRule="exact"/>
        <w:ind w:firstLine="480" w:firstLineChars="200"/>
        <w:rPr>
          <w:rFonts w:hint="eastAsia" w:ascii="宋体" w:hAnsi="宋体" w:eastAsia="宋体" w:cs="宋体"/>
          <w:color w:val="000000"/>
          <w:highlight w:val="none"/>
          <w:lang w:val="en-US" w:eastAsia="zh-CN"/>
        </w:rPr>
      </w:pPr>
      <w:r>
        <w:rPr>
          <w:rFonts w:hint="eastAsia" w:ascii="宋体" w:hAnsi="宋体" w:eastAsia="宋体" w:cs="宋体"/>
          <w:color w:val="auto"/>
          <w:highlight w:val="none"/>
          <w:lang w:val="en-US" w:eastAsia="zh-CN"/>
        </w:rPr>
        <w:t>8.本项目不接受进</w:t>
      </w:r>
      <w:r>
        <w:rPr>
          <w:rFonts w:hint="eastAsia" w:ascii="宋体" w:hAnsi="宋体" w:eastAsia="宋体" w:cs="宋体"/>
          <w:color w:val="000000"/>
          <w:highlight w:val="none"/>
          <w:lang w:val="en-US" w:eastAsia="zh-CN"/>
        </w:rPr>
        <w:t>口产品投标。</w:t>
      </w:r>
    </w:p>
    <w:p w14:paraId="7D221010">
      <w:pPr>
        <w:pStyle w:val="49"/>
        <w:spacing w:line="360" w:lineRule="exact"/>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9.</w:t>
      </w:r>
      <w:r>
        <w:rPr>
          <w:rFonts w:hint="eastAsia" w:ascii="宋体" w:hAnsi="宋体" w:eastAsia="宋体" w:cs="宋体"/>
          <w:color w:val="000000"/>
          <w:highlight w:val="none"/>
        </w:rPr>
        <w:t>本项目不接受联合体投标。</w:t>
      </w:r>
    </w:p>
    <w:p w14:paraId="3EB09C2B">
      <w:pPr>
        <w:pStyle w:val="49"/>
        <w:spacing w:line="360" w:lineRule="exact"/>
        <w:rPr>
          <w:rFonts w:hint="eastAsia" w:ascii="宋体" w:hAnsi="宋体" w:eastAsia="宋体" w:cs="宋体"/>
          <w:b/>
          <w:bCs/>
          <w:color w:val="000000"/>
          <w:highlight w:val="none"/>
        </w:rPr>
      </w:pPr>
      <w:bookmarkStart w:id="1" w:name="_Toc28359090"/>
      <w:bookmarkEnd w:id="1"/>
      <w:bookmarkStart w:id="2" w:name="_Toc35393799"/>
      <w:bookmarkEnd w:id="2"/>
      <w:bookmarkStart w:id="3" w:name="_Toc35393630"/>
      <w:bookmarkEnd w:id="3"/>
      <w:bookmarkStart w:id="4" w:name="_Toc28359013"/>
      <w:bookmarkEnd w:id="4"/>
      <w:r>
        <w:rPr>
          <w:rFonts w:hint="eastAsia" w:ascii="宋体" w:hAnsi="宋体" w:eastAsia="宋体" w:cs="宋体"/>
          <w:b/>
          <w:bCs/>
          <w:color w:val="000000"/>
          <w:highlight w:val="none"/>
        </w:rPr>
        <w:t>二、投标供应商资格要求：</w:t>
      </w:r>
    </w:p>
    <w:p w14:paraId="436B4594">
      <w:pPr>
        <w:pStyle w:val="49"/>
        <w:spacing w:line="360" w:lineRule="exact"/>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1.满足《中华人民共和国政府采购法》第二十二条要求：</w:t>
      </w:r>
    </w:p>
    <w:p w14:paraId="39F1343B">
      <w:pPr>
        <w:pStyle w:val="49"/>
        <w:spacing w:line="360" w:lineRule="exact"/>
        <w:ind w:firstLine="240" w:firstLineChars="100"/>
        <w:rPr>
          <w:rFonts w:hint="eastAsia" w:ascii="宋体" w:hAnsi="宋体" w:eastAsia="宋体" w:cs="宋体"/>
          <w:color w:val="000000"/>
          <w:highlight w:val="none"/>
        </w:rPr>
      </w:pPr>
      <w:r>
        <w:rPr>
          <w:rFonts w:hint="eastAsia" w:ascii="宋体" w:hAnsi="宋体" w:eastAsia="宋体" w:cs="宋体"/>
          <w:color w:val="000000"/>
          <w:highlight w:val="none"/>
        </w:rPr>
        <w:t>（1）具有独立承担民事责任的能力；</w:t>
      </w:r>
    </w:p>
    <w:p w14:paraId="6B364E06">
      <w:pPr>
        <w:pStyle w:val="49"/>
        <w:spacing w:line="360" w:lineRule="exact"/>
        <w:ind w:firstLine="240" w:firstLineChars="100"/>
        <w:rPr>
          <w:rFonts w:hint="eastAsia" w:ascii="宋体" w:hAnsi="宋体" w:eastAsia="宋体" w:cs="宋体"/>
          <w:color w:val="000000"/>
          <w:highlight w:val="none"/>
        </w:rPr>
      </w:pPr>
      <w:r>
        <w:rPr>
          <w:rFonts w:hint="eastAsia" w:ascii="宋体" w:hAnsi="宋体" w:eastAsia="宋体" w:cs="宋体"/>
          <w:color w:val="000000"/>
          <w:highlight w:val="none"/>
        </w:rPr>
        <w:t>（2）具有健全的财务会计制度；</w:t>
      </w:r>
    </w:p>
    <w:p w14:paraId="60E715D2">
      <w:pPr>
        <w:pStyle w:val="49"/>
        <w:spacing w:line="360" w:lineRule="exact"/>
        <w:ind w:firstLine="240" w:firstLineChars="100"/>
        <w:rPr>
          <w:rFonts w:hint="eastAsia" w:ascii="宋体" w:hAnsi="宋体" w:eastAsia="宋体" w:cs="宋体"/>
          <w:color w:val="000000"/>
          <w:highlight w:val="none"/>
        </w:rPr>
      </w:pPr>
      <w:r>
        <w:rPr>
          <w:rFonts w:hint="eastAsia" w:ascii="宋体" w:hAnsi="宋体" w:eastAsia="宋体" w:cs="宋体"/>
          <w:color w:val="000000"/>
          <w:highlight w:val="none"/>
        </w:rPr>
        <w:t>（3）具有履行合同所必需的设备和专业技术能力；</w:t>
      </w:r>
    </w:p>
    <w:p w14:paraId="0A5337B2">
      <w:pPr>
        <w:pStyle w:val="49"/>
        <w:spacing w:line="360" w:lineRule="exact"/>
        <w:ind w:firstLine="240" w:firstLineChars="100"/>
        <w:rPr>
          <w:rFonts w:hint="eastAsia" w:ascii="宋体" w:hAnsi="宋体" w:eastAsia="宋体" w:cs="宋体"/>
          <w:color w:val="000000"/>
          <w:highlight w:val="none"/>
        </w:rPr>
      </w:pPr>
      <w:r>
        <w:rPr>
          <w:rFonts w:hint="eastAsia" w:ascii="宋体" w:hAnsi="宋体" w:eastAsia="宋体" w:cs="宋体"/>
          <w:color w:val="000000"/>
          <w:highlight w:val="none"/>
        </w:rPr>
        <w:t>（4）有依法缴纳税收和社会保障资金的良好记录；</w:t>
      </w:r>
    </w:p>
    <w:p w14:paraId="32697262">
      <w:pPr>
        <w:pStyle w:val="49"/>
        <w:spacing w:line="360" w:lineRule="exact"/>
        <w:ind w:firstLine="240" w:firstLineChars="100"/>
        <w:rPr>
          <w:rFonts w:hint="eastAsia" w:ascii="宋体" w:hAnsi="宋体" w:eastAsia="宋体" w:cs="宋体"/>
          <w:color w:val="000000"/>
          <w:highlight w:val="none"/>
        </w:rPr>
      </w:pPr>
      <w:r>
        <w:rPr>
          <w:rFonts w:hint="eastAsia" w:ascii="宋体" w:hAnsi="宋体" w:eastAsia="宋体" w:cs="宋体"/>
          <w:color w:val="000000"/>
          <w:highlight w:val="none"/>
        </w:rPr>
        <w:t>（5）参加政府采购活动前三年内，在经营活动中没有重大违法记录；</w:t>
      </w:r>
    </w:p>
    <w:p w14:paraId="25C02EB0">
      <w:pPr>
        <w:pStyle w:val="49"/>
        <w:spacing w:line="360" w:lineRule="exact"/>
        <w:ind w:firstLine="240" w:firstLineChars="100"/>
        <w:rPr>
          <w:rFonts w:hint="eastAsia" w:ascii="宋体" w:hAnsi="宋体" w:eastAsia="宋体" w:cs="宋体"/>
          <w:color w:val="000000"/>
          <w:highlight w:val="none"/>
        </w:rPr>
      </w:pPr>
      <w:r>
        <w:rPr>
          <w:rFonts w:hint="eastAsia" w:ascii="宋体" w:hAnsi="宋体" w:eastAsia="宋体" w:cs="宋体"/>
          <w:color w:val="000000"/>
          <w:highlight w:val="none"/>
        </w:rPr>
        <w:t>（6）法律、行政法规规定的其他条件。</w:t>
      </w:r>
    </w:p>
    <w:p w14:paraId="2F20F3CC">
      <w:pPr>
        <w:pStyle w:val="49"/>
        <w:spacing w:line="360" w:lineRule="exact"/>
        <w:ind w:firstLine="480" w:firstLineChars="200"/>
        <w:rPr>
          <w:rFonts w:hint="eastAsia" w:ascii="宋体" w:hAnsi="宋体" w:eastAsia="宋体" w:cs="宋体"/>
          <w:highlight w:val="none"/>
        </w:rPr>
      </w:pPr>
      <w:r>
        <w:rPr>
          <w:rFonts w:hint="eastAsia" w:ascii="宋体" w:hAnsi="宋体" w:eastAsia="宋体" w:cs="宋体"/>
          <w:color w:val="000000"/>
          <w:highlight w:val="none"/>
        </w:rPr>
        <w:t>2.</w:t>
      </w:r>
      <w:r>
        <w:rPr>
          <w:rFonts w:hint="eastAsia" w:ascii="宋体" w:hAnsi="宋体" w:eastAsia="宋体" w:cs="宋体"/>
          <w:highlight w:val="none"/>
        </w:rPr>
        <w:t>参与政府采购活动供应商在前3年内未被“信用中国”网站（www.creditchina.gov.cn）、“中国政府采购网”(www.ccgp.gov.cn)列入失信被执行人、</w:t>
      </w:r>
      <w:r>
        <w:rPr>
          <w:rFonts w:hint="eastAsia" w:ascii="宋体" w:hAnsi="宋体" w:eastAsia="宋体" w:cs="宋体"/>
          <w:highlight w:val="none"/>
          <w:lang w:eastAsia="zh-CN"/>
        </w:rPr>
        <w:t>重大税收违法失信主体</w:t>
      </w:r>
      <w:r>
        <w:rPr>
          <w:rFonts w:hint="eastAsia" w:ascii="宋体" w:hAnsi="宋体" w:eastAsia="宋体" w:cs="宋体"/>
          <w:highlight w:val="none"/>
        </w:rPr>
        <w:t>、政府采购严重失信行为记录名单（提供网页截图）；（以招标代理或招标人查询为准）；</w:t>
      </w:r>
    </w:p>
    <w:p w14:paraId="31B687AE">
      <w:pPr>
        <w:pStyle w:val="49"/>
        <w:spacing w:line="36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三、获取采购文件</w:t>
      </w:r>
    </w:p>
    <w:p w14:paraId="323F8F82">
      <w:pPr>
        <w:spacing w:line="360" w:lineRule="exact"/>
        <w:ind w:firstLine="480" w:firstLineChars="2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sz w:val="24"/>
          <w:highlight w:val="none"/>
        </w:rPr>
        <w:t>获取</w:t>
      </w:r>
      <w:r>
        <w:rPr>
          <w:rFonts w:hint="eastAsia" w:ascii="宋体" w:hAnsi="宋体" w:eastAsia="宋体" w:cs="宋体"/>
          <w:color w:val="000000"/>
          <w:kern w:val="0"/>
          <w:sz w:val="24"/>
          <w:szCs w:val="24"/>
          <w:highlight w:val="none"/>
          <w:lang w:val="en-US" w:eastAsia="zh-CN" w:bidi="ar-SA"/>
        </w:rPr>
        <w:t>时间：2026年</w:t>
      </w:r>
      <w:r>
        <w:rPr>
          <w:rFonts w:hint="eastAsia" w:ascii="宋体" w:hAnsi="宋体" w:cs="宋体"/>
          <w:color w:val="000000"/>
          <w:kern w:val="0"/>
          <w:sz w:val="24"/>
          <w:szCs w:val="24"/>
          <w:highlight w:val="none"/>
          <w:lang w:val="en-US" w:eastAsia="zh-CN" w:bidi="ar-SA"/>
        </w:rPr>
        <w:t>4</w:t>
      </w:r>
      <w:r>
        <w:rPr>
          <w:rFonts w:hint="eastAsia" w:ascii="宋体" w:hAnsi="宋体" w:eastAsia="宋体" w:cs="宋体"/>
          <w:color w:val="000000"/>
          <w:kern w:val="0"/>
          <w:sz w:val="24"/>
          <w:szCs w:val="24"/>
          <w:highlight w:val="none"/>
          <w:lang w:val="en-US" w:eastAsia="zh-CN" w:bidi="ar-SA"/>
        </w:rPr>
        <w:t>月</w:t>
      </w:r>
      <w:r>
        <w:rPr>
          <w:rFonts w:hint="eastAsia" w:ascii="宋体" w:hAnsi="宋体" w:cs="宋体"/>
          <w:color w:val="000000"/>
          <w:kern w:val="0"/>
          <w:sz w:val="24"/>
          <w:szCs w:val="24"/>
          <w:highlight w:val="none"/>
          <w:lang w:val="en-US" w:eastAsia="zh-CN" w:bidi="ar-SA"/>
        </w:rPr>
        <w:t>21</w:t>
      </w:r>
      <w:r>
        <w:rPr>
          <w:rFonts w:hint="eastAsia" w:ascii="宋体" w:hAnsi="宋体" w:eastAsia="宋体" w:cs="宋体"/>
          <w:color w:val="000000"/>
          <w:kern w:val="0"/>
          <w:sz w:val="24"/>
          <w:szCs w:val="24"/>
          <w:highlight w:val="none"/>
          <w:lang w:val="en-US" w:eastAsia="zh-CN" w:bidi="ar-SA"/>
        </w:rPr>
        <w:t>日至2026年</w:t>
      </w:r>
      <w:r>
        <w:rPr>
          <w:rFonts w:hint="eastAsia" w:ascii="宋体" w:hAnsi="宋体" w:cs="宋体"/>
          <w:color w:val="000000"/>
          <w:kern w:val="0"/>
          <w:sz w:val="24"/>
          <w:szCs w:val="24"/>
          <w:highlight w:val="none"/>
          <w:lang w:val="en-US" w:eastAsia="zh-CN" w:bidi="ar-SA"/>
        </w:rPr>
        <w:t>4</w:t>
      </w:r>
      <w:r>
        <w:rPr>
          <w:rFonts w:hint="eastAsia" w:ascii="宋体" w:hAnsi="宋体" w:eastAsia="宋体" w:cs="宋体"/>
          <w:color w:val="000000"/>
          <w:kern w:val="0"/>
          <w:sz w:val="24"/>
          <w:szCs w:val="24"/>
          <w:highlight w:val="none"/>
          <w:lang w:val="en-US" w:eastAsia="zh-CN" w:bidi="ar-SA"/>
        </w:rPr>
        <w:t>月</w:t>
      </w:r>
      <w:r>
        <w:rPr>
          <w:rFonts w:hint="eastAsia" w:ascii="宋体" w:hAnsi="宋体" w:cs="宋体"/>
          <w:color w:val="000000"/>
          <w:kern w:val="0"/>
          <w:sz w:val="24"/>
          <w:szCs w:val="24"/>
          <w:highlight w:val="none"/>
          <w:lang w:val="en-US" w:eastAsia="zh-CN" w:bidi="ar-SA"/>
        </w:rPr>
        <w:t>28</w:t>
      </w:r>
      <w:r>
        <w:rPr>
          <w:rFonts w:hint="eastAsia" w:ascii="宋体" w:hAnsi="宋体" w:eastAsia="宋体" w:cs="宋体"/>
          <w:color w:val="000000"/>
          <w:kern w:val="0"/>
          <w:sz w:val="24"/>
          <w:szCs w:val="24"/>
          <w:highlight w:val="none"/>
          <w:lang w:val="en-US" w:eastAsia="zh-CN" w:bidi="ar-SA"/>
        </w:rPr>
        <w:t>日</w:t>
      </w:r>
    </w:p>
    <w:p w14:paraId="267E802B">
      <w:pPr>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获取方式：供应商登陆新疆政府采购网 (ccgp-xinjiang.gov.cn)见此项目公告附件下载。</w:t>
      </w:r>
    </w:p>
    <w:p w14:paraId="3D469FFB">
      <w:pPr>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获取地点：供应商登陆新疆政府采购网 (ccgp-xinjiang.gov.cn)见此项目公告附件下载。</w:t>
      </w:r>
    </w:p>
    <w:p w14:paraId="0A4EB88E">
      <w:pPr>
        <w:spacing w:line="360" w:lineRule="exact"/>
        <w:rPr>
          <w:rFonts w:hint="eastAsia" w:ascii="宋体" w:hAnsi="宋体" w:eastAsia="宋体" w:cs="宋体"/>
          <w:b/>
          <w:bCs/>
          <w:color w:val="000000"/>
          <w:kern w:val="0"/>
          <w:sz w:val="24"/>
          <w:szCs w:val="24"/>
          <w:highlight w:val="none"/>
          <w:lang w:val="en-US" w:eastAsia="zh-CN" w:bidi="ar-SA"/>
        </w:rPr>
      </w:pPr>
      <w:bookmarkStart w:id="5" w:name="_Toc28359082"/>
      <w:bookmarkEnd w:id="5"/>
      <w:bookmarkStart w:id="6" w:name="_Toc35393624"/>
      <w:bookmarkEnd w:id="6"/>
      <w:bookmarkStart w:id="7" w:name="_Toc2532"/>
      <w:bookmarkEnd w:id="7"/>
      <w:bookmarkStart w:id="8" w:name="_Toc2422"/>
      <w:bookmarkEnd w:id="8"/>
      <w:bookmarkStart w:id="9" w:name="_Toc952"/>
      <w:bookmarkEnd w:id="9"/>
      <w:bookmarkStart w:id="10" w:name="_Toc28359005"/>
      <w:bookmarkEnd w:id="10"/>
      <w:bookmarkStart w:id="11" w:name="_Toc9047"/>
      <w:bookmarkEnd w:id="11"/>
      <w:bookmarkStart w:id="12" w:name="_Toc35393793"/>
      <w:bookmarkEnd w:id="12"/>
      <w:r>
        <w:rPr>
          <w:rFonts w:hint="eastAsia" w:ascii="宋体" w:hAnsi="宋体" w:eastAsia="宋体" w:cs="宋体"/>
          <w:b/>
          <w:bCs/>
          <w:color w:val="000000"/>
          <w:kern w:val="0"/>
          <w:sz w:val="24"/>
          <w:szCs w:val="24"/>
          <w:highlight w:val="none"/>
          <w:lang w:val="en-US" w:eastAsia="zh-CN" w:bidi="ar-SA"/>
        </w:rPr>
        <w:t>四、项目内容及需求：</w:t>
      </w:r>
    </w:p>
    <w:p w14:paraId="2D3994AE">
      <w:pPr>
        <w:spacing w:line="3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1、采购人的具体采购需求：</w:t>
      </w:r>
      <w:r>
        <w:rPr>
          <w:rFonts w:hint="eastAsia" w:ascii="宋体" w:hAnsi="宋体" w:eastAsia="宋体" w:cs="宋体"/>
          <w:b/>
          <w:bCs/>
          <w:sz w:val="24"/>
          <w:highlight w:val="none"/>
        </w:rPr>
        <w:t>详见</w:t>
      </w:r>
      <w:r>
        <w:rPr>
          <w:rFonts w:hint="eastAsia" w:ascii="宋体" w:hAnsi="宋体" w:eastAsia="宋体" w:cs="宋体"/>
          <w:b/>
          <w:bCs/>
          <w:sz w:val="24"/>
          <w:highlight w:val="none"/>
          <w:lang w:val="en-US" w:eastAsia="zh-CN"/>
        </w:rPr>
        <w:t>招标</w:t>
      </w:r>
      <w:r>
        <w:rPr>
          <w:rFonts w:hint="eastAsia" w:ascii="宋体" w:hAnsi="宋体" w:eastAsia="宋体" w:cs="宋体"/>
          <w:b/>
          <w:bCs/>
          <w:sz w:val="24"/>
          <w:highlight w:val="none"/>
        </w:rPr>
        <w:t xml:space="preserve">文件第5章项目服务需求及技术规格。 </w:t>
      </w:r>
    </w:p>
    <w:p w14:paraId="073B5A92">
      <w:pPr>
        <w:spacing w:line="3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rPr>
        <w:t>2、本项目属于政府采购项</w:t>
      </w:r>
      <w:r>
        <w:rPr>
          <w:rFonts w:hint="eastAsia" w:ascii="宋体" w:hAnsi="宋体" w:eastAsia="宋体" w:cs="宋体"/>
          <w:color w:val="auto"/>
          <w:sz w:val="24"/>
          <w:highlight w:val="none"/>
        </w:rPr>
        <w:t>目</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货物采购。</w:t>
      </w:r>
    </w:p>
    <w:p w14:paraId="0451C1CA">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 </w:t>
      </w:r>
    </w:p>
    <w:p w14:paraId="74AD791C">
      <w:pPr>
        <w:spacing w:line="360" w:lineRule="exact"/>
        <w:ind w:firstLine="480" w:firstLineChars="200"/>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本项目是否专门面向中小微企业采购：</w:t>
      </w:r>
      <w:r>
        <w:rPr>
          <w:rFonts w:hint="eastAsia" w:ascii="宋体" w:hAnsi="宋体" w:eastAsia="宋体" w:cs="宋体"/>
          <w:b/>
          <w:bCs/>
          <w:color w:val="auto"/>
          <w:sz w:val="24"/>
          <w:highlight w:val="none"/>
          <w:u w:val="single"/>
          <w:lang w:val="en-US" w:eastAsia="zh-CN"/>
        </w:rPr>
        <w:t>否</w:t>
      </w:r>
    </w:p>
    <w:p w14:paraId="0F088BC9">
      <w:pPr>
        <w:spacing w:line="360" w:lineRule="exact"/>
        <w:ind w:firstLine="480" w:firstLineChars="200"/>
        <w:rPr>
          <w:rFonts w:hint="eastAsia" w:ascii="宋体" w:hAnsi="宋体" w:eastAsia="宋体" w:cs="宋体"/>
          <w:b/>
          <w:sz w:val="24"/>
          <w:highlight w:val="none"/>
          <w:lang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本项目采购标的对应的中小企业划分标准</w:t>
      </w:r>
      <w:r>
        <w:rPr>
          <w:rFonts w:hint="eastAsia" w:ascii="宋体" w:hAnsi="宋体" w:eastAsia="宋体" w:cs="宋体"/>
          <w:b/>
          <w:bCs/>
          <w:color w:val="auto"/>
          <w:sz w:val="24"/>
          <w:highlight w:val="none"/>
        </w:rPr>
        <w:t>所属行业：</w:t>
      </w:r>
      <w:r>
        <w:rPr>
          <w:rFonts w:hint="eastAsia" w:ascii="宋体" w:hAnsi="宋体" w:eastAsia="宋体" w:cs="宋体"/>
          <w:b/>
          <w:bCs/>
          <w:color w:val="auto"/>
          <w:sz w:val="24"/>
          <w:highlight w:val="none"/>
          <w:lang w:val="en-US" w:eastAsia="zh-CN"/>
        </w:rPr>
        <w:t>工业</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行业划分标准按《国民经济行业分类》执行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中小企业划分标准按《中小企</w:t>
      </w:r>
      <w:r>
        <w:rPr>
          <w:rFonts w:hint="eastAsia" w:ascii="宋体" w:hAnsi="宋体" w:eastAsia="宋体" w:cs="宋体"/>
          <w:sz w:val="24"/>
          <w:highlight w:val="none"/>
        </w:rPr>
        <w:t>业划型标准规定》（工信部联企业[2011]300号）文件规定执行</w:t>
      </w:r>
      <w:r>
        <w:rPr>
          <w:rFonts w:hint="eastAsia" w:ascii="宋体" w:hAnsi="宋体" w:eastAsia="宋体" w:cs="宋体"/>
          <w:sz w:val="24"/>
          <w:highlight w:val="none"/>
          <w:lang w:eastAsia="zh-CN"/>
        </w:rPr>
        <w:t>）</w:t>
      </w:r>
    </w:p>
    <w:p w14:paraId="1EEA9022">
      <w:pPr>
        <w:spacing w:line="360" w:lineRule="exact"/>
        <w:rPr>
          <w:rFonts w:hint="eastAsia" w:ascii="宋体" w:hAnsi="宋体" w:eastAsia="宋体" w:cs="宋体"/>
          <w:b/>
          <w:sz w:val="24"/>
          <w:highlight w:val="none"/>
        </w:rPr>
      </w:pPr>
      <w:r>
        <w:rPr>
          <w:rFonts w:hint="eastAsia" w:ascii="宋体" w:hAnsi="宋体" w:eastAsia="宋体" w:cs="宋体"/>
          <w:b/>
          <w:sz w:val="24"/>
          <w:highlight w:val="none"/>
          <w:lang w:val="en-US" w:eastAsia="zh-CN"/>
        </w:rPr>
        <w:t>五</w:t>
      </w:r>
      <w:r>
        <w:rPr>
          <w:rFonts w:hint="eastAsia" w:ascii="宋体" w:hAnsi="宋体" w:eastAsia="宋体" w:cs="宋体"/>
          <w:b/>
          <w:sz w:val="24"/>
          <w:highlight w:val="none"/>
        </w:rPr>
        <w:t>、提交投标文件截止时间、开标时间和地点</w:t>
      </w:r>
    </w:p>
    <w:p w14:paraId="3CE39957">
      <w:pPr>
        <w:spacing w:line="360" w:lineRule="exact"/>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提交</w:t>
      </w:r>
      <w:r>
        <w:rPr>
          <w:rFonts w:hint="eastAsia" w:ascii="宋体" w:hAnsi="宋体" w:eastAsia="宋体" w:cs="宋体"/>
          <w:kern w:val="0"/>
          <w:sz w:val="24"/>
          <w:highlight w:val="none"/>
        </w:rPr>
        <w:t>投标文件截止时间：</w:t>
      </w:r>
      <w:r>
        <w:rPr>
          <w:rFonts w:hint="eastAsia" w:ascii="宋体" w:hAnsi="宋体" w:cs="宋体"/>
          <w:kern w:val="0"/>
          <w:sz w:val="24"/>
          <w:highlight w:val="none"/>
          <w:lang w:eastAsia="zh-CN"/>
        </w:rPr>
        <w:t>2026年 5月11日16点00 分（北京时间）</w:t>
      </w:r>
    </w:p>
    <w:p w14:paraId="414DF71C">
      <w:pPr>
        <w:spacing w:line="360" w:lineRule="exact"/>
        <w:ind w:firstLine="480" w:firstLineChars="200"/>
        <w:rPr>
          <w:rFonts w:hint="eastAsia" w:ascii="宋体" w:hAnsi="宋体" w:eastAsia="宋体" w:cs="宋体"/>
          <w:kern w:val="0"/>
          <w:sz w:val="22"/>
          <w:szCs w:val="22"/>
          <w:highlight w:val="none"/>
        </w:rPr>
      </w:pPr>
      <w:r>
        <w:rPr>
          <w:rFonts w:hint="eastAsia" w:ascii="宋体" w:hAnsi="宋体" w:eastAsia="宋体" w:cs="宋体"/>
          <w:kern w:val="0"/>
          <w:sz w:val="24"/>
          <w:highlight w:val="none"/>
        </w:rPr>
        <w:t>投标地点：</w:t>
      </w:r>
      <w:r>
        <w:rPr>
          <w:rFonts w:hint="eastAsia" w:ascii="宋体" w:hAnsi="宋体" w:eastAsia="宋体" w:cs="宋体"/>
          <w:kern w:val="0"/>
          <w:sz w:val="22"/>
          <w:szCs w:val="22"/>
          <w:highlight w:val="none"/>
        </w:rPr>
        <w:t>政采云平台（https://login.zcygov.cn/user-login/#/login）</w:t>
      </w:r>
    </w:p>
    <w:p w14:paraId="308BCF96">
      <w:pPr>
        <w:spacing w:line="360"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开标时间：</w:t>
      </w:r>
      <w:r>
        <w:rPr>
          <w:rFonts w:hint="eastAsia" w:ascii="宋体" w:hAnsi="宋体" w:cs="宋体"/>
          <w:kern w:val="0"/>
          <w:sz w:val="24"/>
          <w:highlight w:val="none"/>
          <w:lang w:eastAsia="zh-CN"/>
        </w:rPr>
        <w:t>2026年 5月11日16点00 分（北京时间）</w:t>
      </w:r>
    </w:p>
    <w:p w14:paraId="3EC02AA2">
      <w:pPr>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开标地点：</w:t>
      </w:r>
      <w:r>
        <w:rPr>
          <w:rFonts w:hint="eastAsia" w:ascii="宋体" w:hAnsi="宋体" w:eastAsia="宋体" w:cs="宋体"/>
          <w:kern w:val="0"/>
          <w:sz w:val="24"/>
          <w:highlight w:val="none"/>
        </w:rPr>
        <w:t>政采云平台</w:t>
      </w:r>
      <w:r>
        <w:rPr>
          <w:rFonts w:hint="eastAsia" w:ascii="宋体" w:hAnsi="宋体" w:eastAsia="宋体" w:cs="宋体"/>
          <w:sz w:val="22"/>
          <w:szCs w:val="22"/>
          <w:highlight w:val="none"/>
        </w:rPr>
        <w:t>（https://login.zcygov.cn/user-login/#/login）</w:t>
      </w:r>
    </w:p>
    <w:p w14:paraId="65506E44">
      <w:pPr>
        <w:spacing w:line="360" w:lineRule="exact"/>
        <w:rPr>
          <w:rFonts w:hint="eastAsia" w:ascii="宋体" w:hAnsi="宋体" w:eastAsia="宋体" w:cs="宋体"/>
          <w:b/>
          <w:sz w:val="24"/>
          <w:highlight w:val="none"/>
        </w:rPr>
      </w:pPr>
      <w:r>
        <w:rPr>
          <w:rFonts w:hint="eastAsia" w:ascii="宋体" w:hAnsi="宋体" w:eastAsia="宋体" w:cs="宋体"/>
          <w:b/>
          <w:sz w:val="24"/>
          <w:highlight w:val="none"/>
          <w:lang w:val="en-US" w:eastAsia="zh-CN"/>
        </w:rPr>
        <w:t>六</w:t>
      </w:r>
      <w:r>
        <w:rPr>
          <w:rFonts w:hint="eastAsia" w:ascii="宋体" w:hAnsi="宋体" w:eastAsia="宋体" w:cs="宋体"/>
          <w:b/>
          <w:sz w:val="24"/>
          <w:highlight w:val="none"/>
        </w:rPr>
        <w:t>、公告期限</w:t>
      </w:r>
    </w:p>
    <w:p w14:paraId="2DB935A4">
      <w:pPr>
        <w:spacing w:line="3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招标公告及招标文件公告期限为自本公告发布之日起5个工作日。</w:t>
      </w:r>
    </w:p>
    <w:p w14:paraId="12A39411">
      <w:pPr>
        <w:spacing w:line="360" w:lineRule="exact"/>
        <w:rPr>
          <w:rFonts w:hint="eastAsia" w:ascii="宋体" w:hAnsi="宋体" w:eastAsia="宋体" w:cs="宋体"/>
          <w:b/>
          <w:sz w:val="24"/>
          <w:highlight w:val="none"/>
        </w:rPr>
      </w:pPr>
      <w:r>
        <w:rPr>
          <w:rFonts w:hint="eastAsia" w:ascii="宋体" w:hAnsi="宋体" w:eastAsia="宋体" w:cs="宋体"/>
          <w:b/>
          <w:sz w:val="24"/>
          <w:highlight w:val="none"/>
          <w:lang w:val="en-US" w:eastAsia="zh-CN"/>
        </w:rPr>
        <w:t>七</w:t>
      </w:r>
      <w:r>
        <w:rPr>
          <w:rFonts w:hint="eastAsia" w:ascii="宋体" w:hAnsi="宋体" w:eastAsia="宋体" w:cs="宋体"/>
          <w:b/>
          <w:sz w:val="24"/>
          <w:highlight w:val="none"/>
        </w:rPr>
        <w:t>、其它补充事宜</w:t>
      </w:r>
    </w:p>
    <w:p w14:paraId="33AE8931">
      <w:pPr>
        <w:spacing w:line="360" w:lineRule="exact"/>
        <w:ind w:firstLine="540"/>
        <w:rPr>
          <w:rFonts w:hint="eastAsia" w:ascii="宋体" w:hAnsi="宋体" w:eastAsia="宋体" w:cs="宋体"/>
          <w:sz w:val="24"/>
          <w:highlight w:val="none"/>
        </w:rPr>
      </w:pPr>
      <w:r>
        <w:rPr>
          <w:rFonts w:hint="eastAsia" w:ascii="宋体" w:hAnsi="宋体" w:eastAsia="宋体" w:cs="宋体"/>
          <w:sz w:val="24"/>
          <w:highlight w:val="none"/>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23087570">
      <w:pPr>
        <w:spacing w:line="360" w:lineRule="exact"/>
        <w:ind w:firstLine="540"/>
        <w:rPr>
          <w:rFonts w:hint="eastAsia" w:ascii="宋体" w:hAnsi="宋体" w:eastAsia="宋体" w:cs="宋体"/>
          <w:sz w:val="24"/>
          <w:highlight w:val="none"/>
        </w:rPr>
      </w:pPr>
      <w:r>
        <w:rPr>
          <w:rFonts w:hint="eastAsia" w:ascii="宋体" w:hAnsi="宋体" w:eastAsia="宋体" w:cs="宋体"/>
          <w:sz w:val="24"/>
          <w:highlight w:val="none"/>
        </w:rPr>
        <w:t>（1）新疆CA服务热线0991-2819290</w:t>
      </w:r>
    </w:p>
    <w:p w14:paraId="6BD4208E">
      <w:pPr>
        <w:spacing w:line="360" w:lineRule="exact"/>
        <w:ind w:firstLine="540"/>
        <w:rPr>
          <w:rFonts w:hint="eastAsia" w:ascii="宋体" w:hAnsi="宋体" w:eastAsia="宋体" w:cs="宋体"/>
          <w:sz w:val="24"/>
          <w:highlight w:val="none"/>
        </w:rPr>
      </w:pPr>
      <w:r>
        <w:rPr>
          <w:rFonts w:hint="eastAsia" w:ascii="宋体" w:hAnsi="宋体" w:eastAsia="宋体" w:cs="宋体"/>
          <w:sz w:val="24"/>
          <w:highlight w:val="none"/>
        </w:rPr>
        <w:t>（2）翔晟CA服务热线025-66085508（总部24小时电话）</w:t>
      </w:r>
    </w:p>
    <w:p w14:paraId="3034616A">
      <w:pPr>
        <w:spacing w:line="360" w:lineRule="exact"/>
        <w:ind w:firstLine="540"/>
        <w:rPr>
          <w:rFonts w:hint="eastAsia" w:ascii="宋体" w:hAnsi="宋体" w:eastAsia="宋体" w:cs="宋体"/>
          <w:sz w:val="24"/>
          <w:highlight w:val="none"/>
        </w:rPr>
      </w:pPr>
      <w:r>
        <w:rPr>
          <w:rFonts w:hint="eastAsia" w:ascii="宋体" w:hAnsi="宋体" w:eastAsia="宋体" w:cs="宋体"/>
          <w:sz w:val="24"/>
          <w:highlight w:val="none"/>
        </w:rPr>
        <w:t>2.本项目实行网上投标，采用电子投标文件(供应商须使用CA加密设备通过政采云电子投标客户端制作投标文件)。若供应商参与投标，自行承担投标一切费用。</w:t>
      </w:r>
    </w:p>
    <w:p w14:paraId="2690E0B1">
      <w:pPr>
        <w:spacing w:line="360" w:lineRule="exact"/>
        <w:ind w:firstLine="540"/>
        <w:rPr>
          <w:rFonts w:hint="eastAsia" w:ascii="宋体" w:hAnsi="宋体" w:eastAsia="宋体" w:cs="宋体"/>
          <w:sz w:val="24"/>
          <w:highlight w:val="none"/>
        </w:rPr>
      </w:pPr>
      <w:r>
        <w:rPr>
          <w:rFonts w:hint="eastAsia" w:ascii="宋体" w:hAnsi="宋体" w:eastAsia="宋体" w:cs="宋体"/>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28505D54">
      <w:pPr>
        <w:spacing w:line="360" w:lineRule="exact"/>
        <w:ind w:firstLine="540"/>
        <w:rPr>
          <w:rFonts w:hint="eastAsia" w:ascii="宋体" w:hAnsi="宋体" w:eastAsia="宋体" w:cs="宋体"/>
          <w:sz w:val="24"/>
          <w:highlight w:val="none"/>
        </w:rPr>
      </w:pPr>
      <w:r>
        <w:rPr>
          <w:rFonts w:hint="eastAsia" w:ascii="宋体" w:hAnsi="宋体" w:eastAsia="宋体" w:cs="宋体"/>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F8EC9AB">
      <w:pPr>
        <w:spacing w:line="360" w:lineRule="exact"/>
        <w:ind w:firstLine="540"/>
        <w:rPr>
          <w:rFonts w:hint="eastAsia" w:ascii="宋体" w:hAnsi="宋体" w:eastAsia="宋体" w:cs="宋体"/>
          <w:sz w:val="24"/>
          <w:highlight w:val="none"/>
        </w:rPr>
      </w:pPr>
      <w:r>
        <w:rPr>
          <w:rFonts w:hint="eastAsia" w:ascii="宋体" w:hAnsi="宋体" w:eastAsia="宋体" w:cs="宋体"/>
          <w:sz w:val="24"/>
          <w:highlight w:val="none"/>
        </w:rPr>
        <w:t>5.供应商在开标时须使用制作加密电子投标文件所使用的CA锁及电脑，电脑须提前配置好浏览器（建议使用360浏览器或谷歌浏览器），以便开标时解锁。</w:t>
      </w:r>
    </w:p>
    <w:p w14:paraId="789D175E">
      <w:pPr>
        <w:spacing w:line="360" w:lineRule="exact"/>
        <w:ind w:firstLine="540"/>
        <w:rPr>
          <w:rFonts w:hint="eastAsia" w:ascii="宋体" w:hAnsi="宋体" w:eastAsia="宋体" w:cs="宋体"/>
          <w:sz w:val="24"/>
          <w:highlight w:val="none"/>
        </w:rPr>
      </w:pPr>
      <w:r>
        <w:rPr>
          <w:rFonts w:hint="eastAsia" w:ascii="宋体" w:hAnsi="宋体" w:eastAsia="宋体" w:cs="宋体"/>
          <w:sz w:val="24"/>
          <w:highlight w:val="none"/>
        </w:rPr>
        <w:t>6.投标保证金缴纳及确认时间：凡拟参加本次招标项目的供应商，必须在开标前将投标保证金汇入指定账户。否则，届时其投标将被拒绝。</w:t>
      </w:r>
    </w:p>
    <w:p w14:paraId="5B20540C">
      <w:pPr>
        <w:pStyle w:val="43"/>
        <w:keepNext w:val="0"/>
        <w:keepLines w:val="0"/>
        <w:widowControl/>
        <w:numPr>
          <w:ilvl w:val="0"/>
          <w:numId w:val="0"/>
        </w:numPr>
        <w:shd w:val="clear" w:color="auto" w:fill="FFFFFF"/>
        <w:tabs>
          <w:tab w:val="left" w:pos="864"/>
        </w:tabs>
        <w:wordWrap w:val="0"/>
        <w:spacing w:line="3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F205ECF">
      <w:pPr>
        <w:spacing w:line="360" w:lineRule="exact"/>
        <w:ind w:firstLine="540"/>
        <w:rPr>
          <w:rFonts w:hint="eastAsia" w:ascii="宋体" w:hAnsi="宋体" w:eastAsia="宋体" w:cs="宋体"/>
          <w:b/>
          <w:bCs/>
          <w:color w:val="auto"/>
          <w:sz w:val="24"/>
          <w:highlight w:val="none"/>
          <w:lang w:val="en-US" w:eastAsia="zh-CN"/>
        </w:rPr>
      </w:pPr>
      <w:bookmarkStart w:id="13" w:name="_Toc35393636"/>
      <w:bookmarkEnd w:id="13"/>
      <w:bookmarkStart w:id="14" w:name="_Toc28359095"/>
      <w:bookmarkEnd w:id="14"/>
      <w:bookmarkStart w:id="15" w:name="_Toc35393805"/>
      <w:bookmarkEnd w:id="15"/>
      <w:bookmarkStart w:id="16" w:name="_Toc28359018"/>
      <w:bookmarkEnd w:id="16"/>
      <w:r>
        <w:rPr>
          <w:rFonts w:hint="eastAsia" w:ascii="宋体" w:hAnsi="宋体" w:eastAsia="宋体" w:cs="宋体"/>
          <w:b/>
          <w:bCs/>
          <w:color w:val="auto"/>
          <w:sz w:val="24"/>
          <w:highlight w:val="none"/>
          <w:lang w:val="en-US" w:eastAsia="zh-CN"/>
        </w:rPr>
        <w:t>8.在评审过程中评标委员会如要求投标人对投标文件内容进行澄清，将通过在线发布澄清函或视频会议方式进行，请各投标人在开标前做好人员、网络、设备准备工作，澄清函回复时间及视频会议房间信息将适时告知投标授权代表，投标代表务必于开标当日保持手机联系畅通。</w:t>
      </w:r>
    </w:p>
    <w:p w14:paraId="14EDDE63">
      <w:pPr>
        <w:widowControl/>
        <w:spacing w:line="360" w:lineRule="auto"/>
        <w:ind w:firstLine="482" w:firstLineChars="200"/>
        <w:jc w:val="left"/>
        <w:rPr>
          <w:rFonts w:hint="eastAsia" w:ascii="宋体" w:hAnsi="宋体" w:eastAsia="宋体" w:cs="宋体"/>
          <w:b/>
          <w:bCs/>
          <w:color w:val="000000"/>
          <w:kern w:val="0"/>
          <w:sz w:val="24"/>
          <w:highlight w:val="none"/>
        </w:rPr>
      </w:pP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、凡对本次采购提出询问，请按以下方式联系</w:t>
      </w:r>
      <w:r>
        <w:rPr>
          <w:rFonts w:hint="eastAsia" w:ascii="宋体" w:hAnsi="宋体" w:eastAsia="宋体" w:cs="宋体"/>
          <w:b/>
          <w:bCs/>
          <w:color w:val="000000"/>
          <w:kern w:val="0"/>
          <w:sz w:val="24"/>
          <w:highlight w:val="none"/>
        </w:rPr>
        <w:t>。</w:t>
      </w:r>
    </w:p>
    <w:p w14:paraId="00B69A73">
      <w:pPr>
        <w:spacing w:line="360" w:lineRule="auto"/>
        <w:ind w:firstLine="480" w:firstLineChars="200"/>
        <w:rPr>
          <w:rFonts w:hint="eastAsia" w:ascii="宋体" w:hAnsi="宋体" w:eastAsia="宋体" w:cs="宋体"/>
          <w:sz w:val="24"/>
          <w:highlight w:val="none"/>
          <w:lang w:eastAsia="zh-CN"/>
        </w:rPr>
      </w:pPr>
      <w:bookmarkStart w:id="17" w:name="_Toc507399903"/>
      <w:bookmarkEnd w:id="17"/>
      <w:bookmarkStart w:id="18" w:name="_Toc15034"/>
      <w:bookmarkEnd w:id="18"/>
      <w:bookmarkStart w:id="19" w:name="_Toc518923125"/>
      <w:bookmarkEnd w:id="19"/>
      <w:bookmarkStart w:id="20" w:name="_Toc7955"/>
      <w:bookmarkEnd w:id="20"/>
      <w:bookmarkStart w:id="21" w:name="_Toc216582823"/>
      <w:bookmarkEnd w:id="21"/>
      <w:bookmarkStart w:id="22" w:name="_Toc30910"/>
      <w:bookmarkEnd w:id="22"/>
      <w:bookmarkStart w:id="23" w:name="_Toc28647"/>
      <w:bookmarkEnd w:id="23"/>
      <w:r>
        <w:rPr>
          <w:rFonts w:hint="eastAsia" w:ascii="宋体" w:hAnsi="宋体" w:eastAsia="宋体" w:cs="宋体"/>
          <w:sz w:val="24"/>
          <w:highlight w:val="none"/>
        </w:rPr>
        <w:t>采购人名称：</w:t>
      </w:r>
      <w:r>
        <w:rPr>
          <w:rFonts w:hint="eastAsia" w:ascii="宋体" w:hAnsi="宋体" w:cs="宋体"/>
          <w:sz w:val="24"/>
          <w:highlight w:val="none"/>
          <w:lang w:eastAsia="zh-CN"/>
        </w:rPr>
        <w:t>新疆维吾尔自治区某厅某单位</w:t>
      </w:r>
    </w:p>
    <w:p w14:paraId="40D1DF8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sz w:val="24"/>
          <w:highlight w:val="none"/>
        </w:rPr>
        <w:t>地    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新疆乌鲁木齐市会展北路3333号</w:t>
      </w:r>
    </w:p>
    <w:p w14:paraId="6B30C92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eastAsia="zh-CN"/>
        </w:rPr>
        <w:t>叶尔多斯</w:t>
      </w:r>
    </w:p>
    <w:p w14:paraId="57A5BC7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电 话：</w:t>
      </w:r>
      <w:r>
        <w:rPr>
          <w:rFonts w:hint="eastAsia" w:ascii="宋体" w:hAnsi="宋体" w:eastAsia="宋体" w:cs="宋体"/>
          <w:color w:val="auto"/>
          <w:sz w:val="24"/>
          <w:highlight w:val="none"/>
          <w:lang w:eastAsia="zh-CN"/>
        </w:rPr>
        <w:t>0991-7506631</w:t>
      </w:r>
    </w:p>
    <w:p w14:paraId="33E8B466">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采购机构：</w:t>
      </w:r>
      <w:r>
        <w:rPr>
          <w:rFonts w:hint="eastAsia" w:ascii="宋体" w:hAnsi="宋体" w:eastAsia="宋体" w:cs="宋体"/>
          <w:sz w:val="24"/>
          <w:highlight w:val="none"/>
          <w:lang w:eastAsia="zh-CN"/>
        </w:rPr>
        <w:t>新疆宏成润和工程管理有限公司</w:t>
      </w:r>
    </w:p>
    <w:p w14:paraId="23BFD2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采购机构地址：</w:t>
      </w:r>
      <w:r>
        <w:rPr>
          <w:rFonts w:hint="eastAsia" w:ascii="宋体" w:hAnsi="宋体" w:eastAsia="宋体" w:cs="宋体"/>
          <w:sz w:val="24"/>
          <w:highlight w:val="none"/>
          <w:lang w:eastAsia="zh-CN"/>
        </w:rPr>
        <w:t>新疆乌鲁木齐市水磨沟区西虹东路64号锦城大厦9层</w:t>
      </w:r>
      <w:r>
        <w:rPr>
          <w:rFonts w:hint="eastAsia" w:ascii="宋体" w:hAnsi="宋体" w:eastAsia="宋体" w:cs="宋体"/>
          <w:sz w:val="24"/>
          <w:highlight w:val="none"/>
        </w:rPr>
        <w:t xml:space="preserve"> </w:t>
      </w:r>
    </w:p>
    <w:p w14:paraId="63DA1337">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联 系 人：</w:t>
      </w:r>
      <w:r>
        <w:rPr>
          <w:rFonts w:hint="eastAsia" w:ascii="宋体" w:hAnsi="宋体" w:eastAsia="宋体" w:cs="宋体"/>
          <w:sz w:val="24"/>
          <w:highlight w:val="none"/>
          <w:lang w:val="en-US" w:eastAsia="zh-CN"/>
        </w:rPr>
        <w:t>刘阳阳</w:t>
      </w:r>
    </w:p>
    <w:p w14:paraId="1F0528E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 系 电 话</w:t>
      </w:r>
      <w:r>
        <w:rPr>
          <w:rFonts w:hint="eastAsia" w:ascii="宋体" w:hAnsi="宋体" w:cs="宋体"/>
          <w:sz w:val="24"/>
          <w:highlight w:val="none"/>
          <w:lang w:eastAsia="zh-CN"/>
        </w:rPr>
        <w:t>：</w:t>
      </w:r>
      <w:r>
        <w:rPr>
          <w:rFonts w:hint="eastAsia" w:ascii="宋体" w:hAnsi="宋体" w:cs="宋体"/>
          <w:sz w:val="24"/>
          <w:highlight w:val="none"/>
          <w:lang w:val="en-US" w:eastAsia="zh-CN"/>
        </w:rPr>
        <w:t>0991-3555533</w:t>
      </w:r>
      <w:r>
        <w:rPr>
          <w:rFonts w:hint="eastAsia" w:ascii="宋体" w:hAnsi="宋体" w:eastAsia="宋体" w:cs="宋体"/>
          <w:sz w:val="24"/>
          <w:highlight w:val="none"/>
        </w:rPr>
        <w:br w:type="page"/>
      </w:r>
    </w:p>
    <w:p w14:paraId="313C944F">
      <w:pPr>
        <w:pStyle w:val="40"/>
        <w:tabs>
          <w:tab w:val="left" w:pos="0"/>
        </w:tabs>
        <w:spacing w:before="0" w:after="0" w:line="360" w:lineRule="auto"/>
        <w:rPr>
          <w:rFonts w:hint="eastAsia" w:ascii="宋体" w:hAnsi="宋体" w:eastAsia="宋体" w:cs="宋体"/>
          <w:highlight w:val="none"/>
        </w:rPr>
      </w:pPr>
      <w:bookmarkStart w:id="24" w:name="_Toc30615"/>
      <w:r>
        <w:rPr>
          <w:rFonts w:hint="eastAsia" w:ascii="宋体" w:hAnsi="宋体" w:eastAsia="宋体" w:cs="宋体"/>
          <w:highlight w:val="none"/>
        </w:rPr>
        <w:t>第</w:t>
      </w:r>
      <w:r>
        <w:rPr>
          <w:rFonts w:hint="eastAsia" w:ascii="宋体" w:hAnsi="宋体" w:eastAsia="宋体" w:cs="宋体"/>
          <w:highlight w:val="none"/>
          <w:lang w:val="en-US" w:eastAsia="zh-CN"/>
        </w:rPr>
        <w:t>2</w:t>
      </w:r>
      <w:r>
        <w:rPr>
          <w:rFonts w:hint="eastAsia" w:ascii="宋体" w:hAnsi="宋体" w:eastAsia="宋体" w:cs="宋体"/>
          <w:highlight w:val="none"/>
        </w:rPr>
        <w:t>章投标人须知</w:t>
      </w:r>
      <w:bookmarkEnd w:id="24"/>
    </w:p>
    <w:p w14:paraId="016667DD">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本表是本招标项目的具体资料，是对投标人须知的具体补充和修改，如有矛盾，应</w:t>
      </w:r>
      <w:r>
        <w:rPr>
          <w:rFonts w:hint="eastAsia" w:ascii="宋体" w:hAnsi="宋体" w:eastAsia="宋体" w:cs="宋体"/>
          <w:b/>
          <w:sz w:val="24"/>
          <w:highlight w:val="none"/>
        </w:rPr>
        <w:t>以本</w:t>
      </w:r>
      <w:r>
        <w:rPr>
          <w:rFonts w:hint="eastAsia" w:ascii="宋体" w:hAnsi="宋体" w:eastAsia="宋体" w:cs="宋体"/>
          <w:b/>
          <w:sz w:val="24"/>
          <w:highlight w:val="none"/>
          <w:lang w:val="en-US" w:eastAsia="zh-CN"/>
        </w:rPr>
        <w:t>须知</w:t>
      </w:r>
      <w:r>
        <w:rPr>
          <w:rFonts w:hint="eastAsia" w:ascii="宋体" w:hAnsi="宋体" w:eastAsia="宋体" w:cs="宋体"/>
          <w:b/>
          <w:sz w:val="24"/>
          <w:highlight w:val="none"/>
        </w:rPr>
        <w:t>表为准</w:t>
      </w:r>
      <w:r>
        <w:rPr>
          <w:rFonts w:hint="eastAsia" w:ascii="宋体" w:hAnsi="宋体" w:eastAsia="宋体" w:cs="宋体"/>
          <w:sz w:val="24"/>
          <w:highlight w:val="none"/>
        </w:rPr>
        <w:t>。</w:t>
      </w:r>
    </w:p>
    <w:tbl>
      <w:tblPr>
        <w:tblStyle w:val="30"/>
        <w:tblW w:w="97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25"/>
        <w:gridCol w:w="8364"/>
      </w:tblGrid>
      <w:tr w14:paraId="2344FD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1425" w:type="dxa"/>
            <w:tcBorders>
              <w:tl2br w:val="nil"/>
              <w:tr2bl w:val="nil"/>
            </w:tcBorders>
          </w:tcPr>
          <w:p w14:paraId="08353AEF">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条款号</w:t>
            </w:r>
          </w:p>
        </w:tc>
        <w:tc>
          <w:tcPr>
            <w:tcW w:w="8364" w:type="dxa"/>
            <w:tcBorders>
              <w:tl2br w:val="nil"/>
              <w:tr2bl w:val="nil"/>
            </w:tcBorders>
          </w:tcPr>
          <w:p w14:paraId="3AB48F3B">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内容</w:t>
            </w:r>
          </w:p>
        </w:tc>
      </w:tr>
      <w:tr w14:paraId="76591F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14D95C28">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w:t>
            </w:r>
          </w:p>
        </w:tc>
        <w:tc>
          <w:tcPr>
            <w:tcW w:w="8364" w:type="dxa"/>
            <w:tcBorders>
              <w:tl2br w:val="nil"/>
              <w:tr2bl w:val="nil"/>
            </w:tcBorders>
            <w:vAlign w:val="center"/>
          </w:tcPr>
          <w:p w14:paraId="5FEADA4D">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bookmarkStart w:id="25" w:name="OLE_LINK9"/>
            <w:r>
              <w:rPr>
                <w:rFonts w:hint="eastAsia" w:ascii="宋体" w:hAnsi="宋体" w:eastAsia="宋体" w:cs="宋体"/>
                <w:color w:val="auto"/>
                <w:kern w:val="0"/>
                <w:sz w:val="24"/>
                <w:highlight w:val="none"/>
                <w:lang w:bidi="ar"/>
              </w:rPr>
              <w:t>采购人</w:t>
            </w:r>
            <w:bookmarkEnd w:id="25"/>
            <w:r>
              <w:rPr>
                <w:rFonts w:hint="eastAsia" w:ascii="宋体" w:hAnsi="宋体" w:eastAsia="宋体" w:cs="宋体"/>
                <w:color w:val="auto"/>
                <w:kern w:val="0"/>
                <w:sz w:val="24"/>
                <w:highlight w:val="none"/>
                <w:lang w:bidi="ar"/>
              </w:rPr>
              <w:t>信息：</w:t>
            </w:r>
          </w:p>
          <w:p w14:paraId="290C3B8D">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单位名称：</w:t>
            </w:r>
            <w:r>
              <w:rPr>
                <w:rFonts w:hint="eastAsia" w:ascii="宋体" w:hAnsi="宋体" w:cs="宋体"/>
                <w:color w:val="auto"/>
                <w:kern w:val="0"/>
                <w:sz w:val="24"/>
                <w:highlight w:val="none"/>
                <w:lang w:val="en-US" w:eastAsia="zh-CN" w:bidi="ar"/>
              </w:rPr>
              <w:t>新疆维吾尔自治区某厅某单位</w:t>
            </w:r>
          </w:p>
          <w:p w14:paraId="4DDAE980">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单位地址：</w:t>
            </w:r>
            <w:r>
              <w:rPr>
                <w:rFonts w:hint="eastAsia" w:ascii="宋体" w:hAnsi="宋体" w:eastAsia="宋体" w:cs="宋体"/>
                <w:color w:val="auto"/>
                <w:sz w:val="24"/>
                <w:highlight w:val="none"/>
                <w:lang w:val="en-US" w:eastAsia="zh-CN"/>
              </w:rPr>
              <w:t>新疆乌鲁木齐市会展北路3333号</w:t>
            </w:r>
          </w:p>
          <w:p w14:paraId="23C931B6">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联系人：</w:t>
            </w:r>
            <w:r>
              <w:rPr>
                <w:rFonts w:hint="eastAsia" w:ascii="宋体" w:hAnsi="宋体" w:eastAsia="宋体" w:cs="宋体"/>
                <w:color w:val="auto"/>
                <w:kern w:val="0"/>
                <w:sz w:val="24"/>
                <w:highlight w:val="none"/>
                <w:lang w:val="en-US" w:eastAsia="zh-CN" w:bidi="ar"/>
              </w:rPr>
              <w:t>叶尔多斯</w:t>
            </w:r>
          </w:p>
          <w:p w14:paraId="2501BDA7">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联系电话：</w:t>
            </w:r>
            <w:r>
              <w:rPr>
                <w:rFonts w:hint="eastAsia" w:ascii="宋体" w:hAnsi="宋体" w:eastAsia="宋体" w:cs="宋体"/>
                <w:color w:val="auto"/>
                <w:kern w:val="0"/>
                <w:sz w:val="24"/>
                <w:highlight w:val="none"/>
                <w:lang w:eastAsia="zh-CN" w:bidi="ar"/>
              </w:rPr>
              <w:t>0991-7506631</w:t>
            </w:r>
          </w:p>
        </w:tc>
      </w:tr>
      <w:tr w14:paraId="38147A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jc w:val="center"/>
        </w:trPr>
        <w:tc>
          <w:tcPr>
            <w:tcW w:w="1425" w:type="dxa"/>
            <w:tcBorders>
              <w:tl2br w:val="nil"/>
              <w:tr2bl w:val="nil"/>
            </w:tcBorders>
            <w:vAlign w:val="center"/>
          </w:tcPr>
          <w:p w14:paraId="77F31338">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p>
        </w:tc>
        <w:tc>
          <w:tcPr>
            <w:tcW w:w="8364" w:type="dxa"/>
            <w:tcBorders>
              <w:tl2br w:val="nil"/>
              <w:tr2bl w:val="nil"/>
            </w:tcBorders>
            <w:vAlign w:val="center"/>
          </w:tcPr>
          <w:p w14:paraId="005FC4F9">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采购代理机构信息：</w:t>
            </w:r>
          </w:p>
          <w:p w14:paraId="3702D4D5">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单位名称：</w:t>
            </w:r>
            <w:r>
              <w:rPr>
                <w:rFonts w:hint="eastAsia" w:ascii="宋体" w:hAnsi="宋体" w:eastAsia="宋体" w:cs="宋体"/>
                <w:color w:val="auto"/>
                <w:kern w:val="0"/>
                <w:sz w:val="24"/>
                <w:highlight w:val="none"/>
                <w:lang w:eastAsia="zh-CN" w:bidi="ar"/>
              </w:rPr>
              <w:t>新疆宏成润和工程管理有限公司</w:t>
            </w:r>
            <w:r>
              <w:rPr>
                <w:rFonts w:hint="eastAsia" w:ascii="宋体" w:hAnsi="宋体" w:eastAsia="宋体" w:cs="宋体"/>
                <w:color w:val="auto"/>
                <w:kern w:val="0"/>
                <w:sz w:val="24"/>
                <w:highlight w:val="none"/>
                <w:lang w:bidi="ar"/>
              </w:rPr>
              <w:t xml:space="preserve"> </w:t>
            </w:r>
          </w:p>
          <w:p w14:paraId="5AE25FD6">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单位地址：</w:t>
            </w:r>
            <w:r>
              <w:rPr>
                <w:rFonts w:hint="eastAsia" w:ascii="宋体" w:hAnsi="宋体" w:eastAsia="宋体" w:cs="宋体"/>
                <w:color w:val="auto"/>
                <w:kern w:val="0"/>
                <w:sz w:val="24"/>
                <w:highlight w:val="none"/>
                <w:lang w:eastAsia="zh-CN" w:bidi="ar"/>
              </w:rPr>
              <w:t>新疆乌鲁木齐市水磨沟区西虹东路64号锦城大厦9层</w:t>
            </w:r>
            <w:r>
              <w:rPr>
                <w:rFonts w:hint="eastAsia" w:ascii="宋体" w:hAnsi="宋体" w:eastAsia="宋体" w:cs="宋体"/>
                <w:color w:val="auto"/>
                <w:kern w:val="0"/>
                <w:sz w:val="24"/>
                <w:highlight w:val="none"/>
                <w:lang w:bidi="ar"/>
              </w:rPr>
              <w:t xml:space="preserve">     </w:t>
            </w:r>
          </w:p>
          <w:p w14:paraId="595C7840">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联系人：</w:t>
            </w:r>
            <w:r>
              <w:rPr>
                <w:rFonts w:hint="eastAsia" w:ascii="宋体" w:hAnsi="宋体" w:eastAsia="宋体" w:cs="宋体"/>
                <w:color w:val="auto"/>
                <w:kern w:val="0"/>
                <w:sz w:val="24"/>
                <w:highlight w:val="none"/>
                <w:lang w:val="en-US" w:eastAsia="zh-CN" w:bidi="ar"/>
              </w:rPr>
              <w:t>刘阳阳</w:t>
            </w:r>
            <w:r>
              <w:rPr>
                <w:rFonts w:hint="eastAsia" w:ascii="宋体" w:hAnsi="宋体" w:eastAsia="宋体" w:cs="宋体"/>
                <w:color w:val="auto"/>
                <w:kern w:val="0"/>
                <w:sz w:val="24"/>
                <w:highlight w:val="none"/>
                <w:lang w:bidi="ar"/>
              </w:rPr>
              <w:t xml:space="preserve"> </w:t>
            </w:r>
          </w:p>
          <w:p w14:paraId="3CED9907">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联系电话：</w:t>
            </w:r>
            <w:r>
              <w:rPr>
                <w:rFonts w:hint="eastAsia" w:ascii="宋体" w:hAnsi="宋体" w:cs="宋体"/>
                <w:color w:val="auto"/>
                <w:kern w:val="0"/>
                <w:sz w:val="24"/>
                <w:highlight w:val="none"/>
                <w:lang w:val="en-US" w:eastAsia="zh-CN" w:bidi="ar"/>
              </w:rPr>
              <w:t>0991-3555533</w:t>
            </w:r>
            <w:r>
              <w:rPr>
                <w:rFonts w:hint="eastAsia" w:ascii="宋体" w:hAnsi="宋体" w:eastAsia="宋体" w:cs="宋体"/>
                <w:color w:val="auto"/>
                <w:kern w:val="0"/>
                <w:sz w:val="24"/>
                <w:highlight w:val="none"/>
                <w:lang w:bidi="ar"/>
              </w:rPr>
              <w:t xml:space="preserve">    </w:t>
            </w:r>
          </w:p>
          <w:p w14:paraId="6F22E3F9">
            <w:pPr>
              <w:keepNext w:val="0"/>
              <w:keepLines w:val="0"/>
              <w:widowControl/>
              <w:suppressLineNumbers w:val="0"/>
              <w:adjustRightInd w:val="0"/>
              <w:snapToGrid w:val="0"/>
              <w:spacing w:before="0" w:beforeAutospacing="0" w:after="0" w:afterAutospacing="0" w:line="40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电子邮箱：</w:t>
            </w:r>
            <w:r>
              <w:rPr>
                <w:rFonts w:hint="eastAsia" w:ascii="宋体" w:hAnsi="宋体" w:cs="宋体"/>
                <w:color w:val="auto"/>
                <w:kern w:val="0"/>
                <w:sz w:val="24"/>
                <w:highlight w:val="none"/>
                <w:lang w:val="en-US" w:eastAsia="zh-CN" w:bidi="ar"/>
              </w:rPr>
              <w:t>1483649836</w:t>
            </w:r>
            <w:r>
              <w:rPr>
                <w:rFonts w:hint="eastAsia" w:ascii="宋体" w:hAnsi="宋体" w:eastAsia="宋体" w:cs="宋体"/>
                <w:color w:val="auto"/>
                <w:kern w:val="0"/>
                <w:sz w:val="24"/>
                <w:highlight w:val="none"/>
                <w:lang w:bidi="ar"/>
              </w:rPr>
              <w:t xml:space="preserve">@qq.com    </w:t>
            </w:r>
          </w:p>
        </w:tc>
      </w:tr>
      <w:tr w14:paraId="21D628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1425" w:type="dxa"/>
            <w:tcBorders>
              <w:bottom w:val="single" w:color="auto" w:sz="4" w:space="0"/>
              <w:tl2br w:val="nil"/>
              <w:tr2bl w:val="nil"/>
            </w:tcBorders>
            <w:vAlign w:val="center"/>
          </w:tcPr>
          <w:p w14:paraId="4339136B">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1.3</w:t>
            </w:r>
            <w:r>
              <w:rPr>
                <w:rFonts w:hint="eastAsia" w:ascii="宋体" w:hAnsi="宋体" w:eastAsia="宋体" w:cs="宋体"/>
                <w:color w:val="auto"/>
                <w:kern w:val="0"/>
                <w:sz w:val="24"/>
                <w:highlight w:val="none"/>
                <w:lang w:val="en-US" w:eastAsia="zh-CN" w:bidi="ar"/>
              </w:rPr>
              <w:t>▲</w:t>
            </w:r>
          </w:p>
        </w:tc>
        <w:tc>
          <w:tcPr>
            <w:tcW w:w="8364" w:type="dxa"/>
            <w:tcBorders>
              <w:bottom w:val="single" w:color="auto" w:sz="4" w:space="0"/>
              <w:tl2br w:val="nil"/>
              <w:tr2bl w:val="nil"/>
            </w:tcBorders>
            <w:vAlign w:val="center"/>
          </w:tcPr>
          <w:p w14:paraId="42D211A7">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合格投标人资格要求：（满足《中华人民共和国政府采购法》第二十二条规定）；</w:t>
            </w:r>
          </w:p>
          <w:p w14:paraId="37145B8B">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1.独立承担民事责任能力的企业、事业、自然人，提供营业执照等经营性证件；</w:t>
            </w:r>
          </w:p>
          <w:p w14:paraId="65AD32D7">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2.法人身份证明或法人授权委托书（含法人身份证复印件）和被授权人身份有效证件；</w:t>
            </w:r>
          </w:p>
          <w:p w14:paraId="71324B73">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3.近两年任意一年完整的财务审计报告（新成立公司提供开标前三个月内任意一个月有效银行资信证明）；</w:t>
            </w:r>
          </w:p>
          <w:p w14:paraId="2F542B1B">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4.投标企业依法缴纳近6个月任意一个月社会保险的凭据；</w:t>
            </w:r>
          </w:p>
          <w:p w14:paraId="79160FE0">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5.投标企业提供税务部门出具的近</w:t>
            </w:r>
            <w:r>
              <w:rPr>
                <w:rFonts w:hint="eastAsia" w:ascii="宋体" w:hAnsi="宋体" w:eastAsia="宋体" w:cs="宋体"/>
                <w:bCs w:val="0"/>
                <w:color w:val="auto"/>
                <w:sz w:val="24"/>
                <w:szCs w:val="24"/>
                <w:highlight w:val="none"/>
                <w:lang w:val="en-US" w:eastAsia="zh-CN" w:bidi="ar"/>
              </w:rPr>
              <w:t>6</w:t>
            </w:r>
            <w:r>
              <w:rPr>
                <w:rFonts w:hint="eastAsia" w:ascii="宋体" w:hAnsi="宋体" w:eastAsia="宋体" w:cs="宋体"/>
                <w:bCs w:val="0"/>
                <w:color w:val="auto"/>
                <w:sz w:val="24"/>
                <w:szCs w:val="24"/>
                <w:highlight w:val="none"/>
                <w:lang w:bidi="ar"/>
              </w:rPr>
              <w:t>个月任意一个月的完税证明；</w:t>
            </w:r>
          </w:p>
          <w:p w14:paraId="6D79CF24">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6.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57A9A95E">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7.提供针对本次项目《反商业贿赂承诺书》；</w:t>
            </w:r>
          </w:p>
          <w:p w14:paraId="39EDB50A">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8.缴纳投标保证金有效凭证；</w:t>
            </w:r>
          </w:p>
          <w:p w14:paraId="6BE7F1A8">
            <w:pPr>
              <w:pStyle w:val="111"/>
              <w:keepNext w:val="0"/>
              <w:keepLines w:val="0"/>
              <w:widowControl w:val="0"/>
              <w:suppressLineNumbers w:val="0"/>
              <w:spacing w:beforeAutospacing="0" w:afterAutospacing="0"/>
              <w:ind w:left="0" w:right="0"/>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bidi="ar"/>
              </w:rPr>
              <w:t>9.本项目不接受联合体投标。</w:t>
            </w:r>
          </w:p>
        </w:tc>
      </w:tr>
      <w:tr w14:paraId="37EC9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425" w:type="dxa"/>
            <w:tcBorders>
              <w:top w:val="single" w:color="auto" w:sz="4" w:space="0"/>
              <w:tl2br w:val="nil"/>
              <w:tr2bl w:val="nil"/>
            </w:tcBorders>
            <w:vAlign w:val="center"/>
          </w:tcPr>
          <w:p w14:paraId="57ACBC9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1.4</w:t>
            </w:r>
          </w:p>
        </w:tc>
        <w:tc>
          <w:tcPr>
            <w:tcW w:w="8364" w:type="dxa"/>
            <w:tcBorders>
              <w:top w:val="single" w:color="auto" w:sz="4" w:space="0"/>
              <w:tl2br w:val="nil"/>
              <w:tr2bl w:val="nil"/>
            </w:tcBorders>
            <w:vAlign w:val="center"/>
          </w:tcPr>
          <w:p w14:paraId="17521530">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是否允许采购进口产品：否</w:t>
            </w:r>
          </w:p>
        </w:tc>
      </w:tr>
      <w:tr w14:paraId="3B4F61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02BD4E3A">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1.5.1</w:t>
            </w:r>
          </w:p>
        </w:tc>
        <w:tc>
          <w:tcPr>
            <w:tcW w:w="8364" w:type="dxa"/>
            <w:tcBorders>
              <w:tl2br w:val="nil"/>
              <w:tr2bl w:val="nil"/>
            </w:tcBorders>
            <w:vAlign w:val="center"/>
          </w:tcPr>
          <w:p w14:paraId="222EB299">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（采购标的）所属行业：行业划分标准所属行业为</w:t>
            </w:r>
            <w:r>
              <w:rPr>
                <w:rFonts w:hint="eastAsia" w:ascii="宋体" w:hAnsi="宋体" w:eastAsia="宋体" w:cs="宋体"/>
                <w:b/>
                <w:bCs/>
                <w:color w:val="auto"/>
                <w:kern w:val="0"/>
                <w:sz w:val="24"/>
                <w:highlight w:val="none"/>
                <w:lang w:bidi="ar"/>
              </w:rPr>
              <w:t>工业</w:t>
            </w:r>
            <w:r>
              <w:rPr>
                <w:rFonts w:hint="eastAsia" w:ascii="宋体" w:hAnsi="宋体" w:eastAsia="宋体" w:cs="宋体"/>
                <w:color w:val="auto"/>
                <w:kern w:val="0"/>
                <w:sz w:val="24"/>
                <w:highlight w:val="none"/>
                <w:lang w:bidi="ar"/>
              </w:rPr>
              <w:t>。</w:t>
            </w:r>
          </w:p>
        </w:tc>
      </w:tr>
      <w:tr w14:paraId="541D04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2142DB4D">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1.5.2</w:t>
            </w:r>
          </w:p>
        </w:tc>
        <w:tc>
          <w:tcPr>
            <w:tcW w:w="8364" w:type="dxa"/>
            <w:tcBorders>
              <w:tl2br w:val="nil"/>
              <w:tr2bl w:val="nil"/>
            </w:tcBorders>
            <w:vAlign w:val="center"/>
          </w:tcPr>
          <w:p w14:paraId="042336E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☑本项目不专门面向中小企业预留采购份额</w:t>
            </w:r>
            <w:r>
              <w:rPr>
                <w:rFonts w:hint="eastAsia" w:ascii="宋体" w:hAnsi="宋体" w:eastAsia="宋体" w:cs="宋体"/>
                <w:b/>
                <w:bCs/>
                <w:color w:val="auto"/>
                <w:kern w:val="0"/>
                <w:sz w:val="24"/>
                <w:highlight w:val="none"/>
                <w:lang w:bidi="ar"/>
              </w:rPr>
              <w:t>。</w:t>
            </w:r>
          </w:p>
          <w:p w14:paraId="4F92A10E">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□本项目专门面向中小企业。即:提供的货物</w:t>
            </w:r>
            <w:bookmarkStart w:id="26" w:name="OLE_LINK18"/>
            <w:bookmarkStart w:id="27" w:name="OLE_LINK2"/>
            <w:r>
              <w:rPr>
                <w:rFonts w:hint="eastAsia" w:ascii="宋体" w:hAnsi="宋体" w:eastAsia="宋体" w:cs="宋体"/>
                <w:color w:val="auto"/>
                <w:kern w:val="0"/>
                <w:sz w:val="24"/>
                <w:highlight w:val="none"/>
                <w:lang w:bidi="ar"/>
              </w:rPr>
              <w:t>或承建（承接）</w:t>
            </w:r>
            <w:bookmarkEnd w:id="26"/>
            <w:r>
              <w:rPr>
                <w:rFonts w:hint="eastAsia" w:ascii="宋体" w:hAnsi="宋体" w:eastAsia="宋体" w:cs="宋体"/>
                <w:color w:val="auto"/>
                <w:kern w:val="0"/>
                <w:sz w:val="24"/>
                <w:highlight w:val="none"/>
                <w:lang w:bidi="ar"/>
              </w:rPr>
              <w:t>企业</w:t>
            </w:r>
            <w:bookmarkEnd w:id="27"/>
            <w:r>
              <w:rPr>
                <w:rFonts w:hint="eastAsia" w:ascii="宋体" w:hAnsi="宋体" w:eastAsia="宋体" w:cs="宋体"/>
                <w:color w:val="auto"/>
                <w:kern w:val="0"/>
                <w:sz w:val="24"/>
                <w:highlight w:val="none"/>
                <w:lang w:bidi="ar"/>
              </w:rPr>
              <w:t>全部由符合政策要求的</w:t>
            </w:r>
            <w:r>
              <w:rPr>
                <w:rFonts w:hint="eastAsia" w:ascii="宋体" w:hAnsi="宋体" w:eastAsia="宋体" w:cs="宋体"/>
                <w:b/>
                <w:bCs/>
                <w:color w:val="auto"/>
                <w:kern w:val="0"/>
                <w:sz w:val="24"/>
                <w:highlight w:val="none"/>
                <w:lang w:bidi="ar"/>
              </w:rPr>
              <w:t>□中小□小微</w:t>
            </w:r>
            <w:r>
              <w:rPr>
                <w:rFonts w:hint="eastAsia" w:ascii="宋体" w:hAnsi="宋体" w:eastAsia="宋体" w:cs="宋体"/>
                <w:color w:val="auto"/>
                <w:kern w:val="0"/>
                <w:sz w:val="24"/>
                <w:highlight w:val="none"/>
                <w:lang w:bidi="ar"/>
              </w:rPr>
              <w:t>企业制造或承建（承接）。</w:t>
            </w:r>
          </w:p>
          <w:p w14:paraId="414F6B9F">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□本项目预留部分采购项目预算专门面向中小企业采购。对于预留份额，提供的货物或承建（承接）企业由符合政策要求的中小企业制造或承建（承接）。预留份额通过以下措施进行:</w:t>
            </w:r>
            <w:r>
              <w:rPr>
                <w:rFonts w:hint="eastAsia" w:ascii="宋体" w:hAnsi="宋体" w:eastAsia="宋体" w:cs="宋体"/>
                <w:b/>
                <w:bCs/>
                <w:color w:val="auto"/>
                <w:kern w:val="0"/>
                <w:sz w:val="24"/>
                <w:highlight w:val="none"/>
                <w:lang w:bidi="ar"/>
              </w:rPr>
              <w:t>要求获得采购合同的投标人将本采购包金额的至少</w:t>
            </w:r>
            <w:r>
              <w:rPr>
                <w:rFonts w:hint="eastAsia" w:ascii="宋体" w:hAnsi="宋体" w:eastAsia="宋体" w:cs="宋体"/>
                <w:b/>
                <w:bCs/>
                <w:color w:val="auto"/>
                <w:kern w:val="0"/>
                <w:sz w:val="24"/>
                <w:highlight w:val="none"/>
                <w:lang w:val="en-US" w:eastAsia="zh-CN" w:bidi="ar"/>
              </w:rPr>
              <w:t>30</w:t>
            </w:r>
            <w:r>
              <w:rPr>
                <w:rFonts w:hint="eastAsia" w:ascii="宋体" w:hAnsi="宋体" w:eastAsia="宋体" w:cs="宋体"/>
                <w:b/>
                <w:bCs/>
                <w:color w:val="auto"/>
                <w:kern w:val="0"/>
                <w:sz w:val="24"/>
                <w:highlight w:val="none"/>
                <w:lang w:bidi="ar"/>
              </w:rPr>
              <w:t>%分包给一家或者多家中小企业，这其中预留给小微企业的比例至少</w:t>
            </w:r>
            <w:r>
              <w:rPr>
                <w:rFonts w:hint="eastAsia" w:ascii="宋体" w:hAnsi="宋体" w:eastAsia="宋体" w:cs="宋体"/>
                <w:b/>
                <w:bCs/>
                <w:color w:val="auto"/>
                <w:kern w:val="0"/>
                <w:sz w:val="24"/>
                <w:highlight w:val="none"/>
                <w:lang w:val="en-US" w:eastAsia="zh-CN" w:bidi="ar"/>
              </w:rPr>
              <w:t>60</w:t>
            </w:r>
            <w:r>
              <w:rPr>
                <w:rFonts w:hint="eastAsia" w:ascii="宋体" w:hAnsi="宋体" w:eastAsia="宋体" w:cs="宋体"/>
                <w:b/>
                <w:bCs/>
                <w:color w:val="auto"/>
                <w:kern w:val="0"/>
                <w:sz w:val="24"/>
                <w:highlight w:val="none"/>
                <w:lang w:bidi="ar"/>
              </w:rPr>
              <w:t>%，须提供《拟分包情况说明》，监狱和戒毒企业、残疾人福利性单位视同小型、微型企业（格式详见招标文件）。</w:t>
            </w:r>
          </w:p>
          <w:p w14:paraId="41A292FE">
            <w:pPr>
              <w:pStyle w:val="25"/>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（1）符合中小企业政府采购政策的证明材料：供应商《中小企业声明函》或残疾人福利性单位声明函或监狱企业证明文件；</w:t>
            </w:r>
          </w:p>
          <w:p w14:paraId="232E3330">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392A1319">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2、政府采购强制采购：标记★符号的节能产品：</w:t>
            </w:r>
          </w:p>
          <w:p w14:paraId="51DF9F5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符合《节能产品政府采购品目清单》内并获得认证的强制采购节能产品。</w:t>
            </w:r>
          </w:p>
          <w:p w14:paraId="5E833233">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3、政府采购优先采购：(1)非标记★符号的节能产品；(2)环境标志产品；</w:t>
            </w:r>
          </w:p>
          <w:p w14:paraId="2BE23F4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采购产品为《节能产品政府采购品目清单》内并获得认证非标记★符号的节能产品及《环境标志产品政府采购品目清单》内并获得认证的产品：</w:t>
            </w:r>
          </w:p>
          <w:p w14:paraId="0D64D0FC">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b/>
                <w:bCs/>
                <w:color w:val="auto"/>
                <w:kern w:val="0"/>
                <w:sz w:val="24"/>
                <w:highlight w:val="none"/>
                <w:lang w:bidi="ar"/>
              </w:rPr>
            </w:pPr>
            <w:r>
              <w:rPr>
                <w:rFonts w:hint="eastAsia" w:ascii="宋体" w:hAnsi="宋体" w:eastAsia="宋体" w:cs="宋体"/>
                <w:color w:val="auto"/>
                <w:sz w:val="24"/>
                <w:highlight w:val="none"/>
              </w:rPr>
              <w:t>投标文件中对所供产品为节能、环境标志产品清单中的产品，须在节能、环境标志产品优惠明细表中列明并按要求提供证明材料，否则不予认定。</w:t>
            </w:r>
          </w:p>
        </w:tc>
      </w:tr>
      <w:tr w14:paraId="5F6024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425" w:type="dxa"/>
            <w:tcBorders>
              <w:tl2br w:val="nil"/>
              <w:tr2bl w:val="nil"/>
            </w:tcBorders>
            <w:vAlign w:val="center"/>
          </w:tcPr>
          <w:p w14:paraId="4DB7216D">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1.6</w:t>
            </w:r>
          </w:p>
        </w:tc>
        <w:tc>
          <w:tcPr>
            <w:tcW w:w="8364" w:type="dxa"/>
            <w:tcBorders>
              <w:tl2br w:val="nil"/>
              <w:tr2bl w:val="nil"/>
            </w:tcBorders>
            <w:vAlign w:val="center"/>
          </w:tcPr>
          <w:p w14:paraId="28A9B518">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是否允许联合体投标：否</w:t>
            </w:r>
          </w:p>
        </w:tc>
      </w:tr>
      <w:tr w14:paraId="3BD46F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206A7177">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1.7</w:t>
            </w:r>
          </w:p>
        </w:tc>
        <w:tc>
          <w:tcPr>
            <w:tcW w:w="8364" w:type="dxa"/>
            <w:tcBorders>
              <w:tl2br w:val="nil"/>
              <w:tr2bl w:val="nil"/>
            </w:tcBorders>
            <w:vAlign w:val="center"/>
          </w:tcPr>
          <w:p w14:paraId="58B5247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联合体的其他资格要求：无</w:t>
            </w:r>
          </w:p>
        </w:tc>
      </w:tr>
      <w:tr w14:paraId="5DE2DD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3EAC9906">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1.8</w:t>
            </w:r>
            <w:r>
              <w:rPr>
                <w:rFonts w:hint="eastAsia" w:ascii="宋体" w:hAnsi="宋体" w:eastAsia="宋体" w:cs="宋体"/>
                <w:color w:val="auto"/>
                <w:kern w:val="0"/>
                <w:sz w:val="24"/>
                <w:highlight w:val="none"/>
                <w:lang w:val="en-US" w:eastAsia="zh-CN" w:bidi="ar"/>
              </w:rPr>
              <w:t>▲</w:t>
            </w:r>
          </w:p>
        </w:tc>
        <w:tc>
          <w:tcPr>
            <w:tcW w:w="8364" w:type="dxa"/>
            <w:tcBorders>
              <w:tl2br w:val="nil"/>
              <w:tr2bl w:val="nil"/>
            </w:tcBorders>
            <w:vAlign w:val="center"/>
          </w:tcPr>
          <w:p w14:paraId="388438D4">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预算金额：</w:t>
            </w:r>
            <w:r>
              <w:rPr>
                <w:rFonts w:hint="eastAsia" w:ascii="宋体" w:hAnsi="宋体" w:eastAsia="宋体" w:cs="宋体"/>
                <w:color w:val="auto"/>
                <w:sz w:val="24"/>
                <w:highlight w:val="none"/>
                <w:lang w:val="en-US" w:eastAsia="zh-CN"/>
              </w:rPr>
              <w:t>180</w:t>
            </w:r>
            <w:r>
              <w:rPr>
                <w:rFonts w:hint="eastAsia" w:ascii="宋体" w:hAnsi="宋体" w:eastAsia="宋体" w:cs="宋体"/>
                <w:color w:val="auto"/>
                <w:sz w:val="24"/>
                <w:highlight w:val="none"/>
              </w:rPr>
              <w:t>000.00元</w:t>
            </w:r>
            <w:r>
              <w:rPr>
                <w:rFonts w:hint="eastAsia" w:ascii="宋体" w:hAnsi="宋体" w:eastAsia="宋体" w:cs="宋体"/>
                <w:color w:val="auto"/>
                <w:kern w:val="0"/>
                <w:sz w:val="24"/>
                <w:highlight w:val="none"/>
                <w:lang w:bidi="ar"/>
              </w:rPr>
              <w:t>；</w:t>
            </w:r>
          </w:p>
          <w:p w14:paraId="56701243">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最高限价：</w:t>
            </w:r>
            <w:r>
              <w:rPr>
                <w:rFonts w:hint="eastAsia" w:ascii="宋体" w:hAnsi="宋体" w:eastAsia="宋体" w:cs="宋体"/>
                <w:color w:val="auto"/>
                <w:sz w:val="24"/>
                <w:highlight w:val="none"/>
                <w:lang w:val="en-US" w:eastAsia="zh-CN"/>
              </w:rPr>
              <w:t>180</w:t>
            </w:r>
            <w:r>
              <w:rPr>
                <w:rFonts w:hint="eastAsia" w:ascii="宋体" w:hAnsi="宋体" w:eastAsia="宋体" w:cs="宋体"/>
                <w:color w:val="auto"/>
                <w:sz w:val="24"/>
                <w:highlight w:val="none"/>
              </w:rPr>
              <w:t>000.00元</w:t>
            </w:r>
            <w:r>
              <w:rPr>
                <w:rFonts w:hint="eastAsia" w:ascii="宋体" w:hAnsi="宋体" w:eastAsia="宋体" w:cs="宋体"/>
                <w:color w:val="auto"/>
                <w:kern w:val="0"/>
                <w:sz w:val="24"/>
                <w:highlight w:val="none"/>
                <w:lang w:bidi="ar"/>
              </w:rPr>
              <w:t>。</w:t>
            </w:r>
          </w:p>
          <w:p w14:paraId="449BC9B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供货期：自合同签订后</w:t>
            </w:r>
            <w:r>
              <w:rPr>
                <w:rFonts w:hint="eastAsia" w:ascii="宋体" w:hAnsi="宋体" w:cs="宋体"/>
                <w:color w:val="auto"/>
                <w:kern w:val="0"/>
                <w:sz w:val="24"/>
                <w:highlight w:val="none"/>
                <w:lang w:val="en-US" w:eastAsia="zh-CN" w:bidi="ar"/>
              </w:rPr>
              <w:t>15日历日</w:t>
            </w:r>
            <w:r>
              <w:rPr>
                <w:rFonts w:hint="eastAsia" w:ascii="宋体" w:hAnsi="宋体" w:eastAsia="宋体" w:cs="宋体"/>
                <w:color w:val="auto"/>
                <w:kern w:val="0"/>
                <w:sz w:val="24"/>
                <w:highlight w:val="none"/>
                <w:lang w:bidi="ar"/>
              </w:rPr>
              <w:t>完成安装调试</w:t>
            </w:r>
          </w:p>
          <w:p w14:paraId="78BD4C10">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质保期：</w:t>
            </w:r>
            <w:r>
              <w:rPr>
                <w:rFonts w:hint="eastAsia" w:ascii="宋体" w:hAnsi="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年</w:t>
            </w:r>
          </w:p>
          <w:p w14:paraId="1B6CC311">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采购需求：具体参数详见采购文件中的采购需求部分。</w:t>
            </w:r>
          </w:p>
        </w:tc>
      </w:tr>
      <w:tr w14:paraId="376A3C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0" w:hRule="atLeast"/>
          <w:jc w:val="center"/>
        </w:trPr>
        <w:tc>
          <w:tcPr>
            <w:tcW w:w="1425" w:type="dxa"/>
            <w:tcBorders>
              <w:tl2br w:val="nil"/>
              <w:tr2bl w:val="nil"/>
            </w:tcBorders>
            <w:vAlign w:val="center"/>
          </w:tcPr>
          <w:p w14:paraId="444B8227">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1.9</w:t>
            </w:r>
          </w:p>
        </w:tc>
        <w:tc>
          <w:tcPr>
            <w:tcW w:w="8364" w:type="dxa"/>
            <w:tcBorders>
              <w:tl2br w:val="nil"/>
              <w:tr2bl w:val="nil"/>
            </w:tcBorders>
            <w:vAlign w:val="center"/>
          </w:tcPr>
          <w:p w14:paraId="3E1836E3">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是否组织现场考察或者召开答疑会：否</w:t>
            </w:r>
          </w:p>
          <w:p w14:paraId="7157C833">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组织现场考察或者召开答疑会相关要求：</w:t>
            </w:r>
          </w:p>
          <w:p w14:paraId="6D57BBC9">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不召开</w:t>
            </w:r>
          </w:p>
          <w:p w14:paraId="5B5B6E0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□将在招标文件提供期限截止后以书面形式通知所有获取招标文件的潜在投标人</w:t>
            </w:r>
          </w:p>
        </w:tc>
      </w:tr>
      <w:tr w14:paraId="1025BB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730D0ACF">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1.10</w:t>
            </w:r>
          </w:p>
        </w:tc>
        <w:tc>
          <w:tcPr>
            <w:tcW w:w="8364" w:type="dxa"/>
            <w:tcBorders>
              <w:tl2br w:val="nil"/>
              <w:tr2bl w:val="nil"/>
            </w:tcBorders>
            <w:vAlign w:val="center"/>
          </w:tcPr>
          <w:p w14:paraId="28BED875">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如投标人对多个包进行投标，可以中标</w:t>
            </w:r>
            <w:r>
              <w:rPr>
                <w:rFonts w:hint="eastAsia" w:ascii="宋体" w:hAnsi="宋体" w:eastAsia="宋体" w:cs="宋体"/>
                <w:color w:val="auto"/>
                <w:kern w:val="0"/>
                <w:sz w:val="24"/>
                <w:highlight w:val="none"/>
                <w:u w:val="single"/>
                <w:lang w:bidi="ar"/>
              </w:rPr>
              <w:t>多个</w:t>
            </w:r>
            <w:r>
              <w:rPr>
                <w:rFonts w:hint="eastAsia" w:ascii="宋体" w:hAnsi="宋体" w:eastAsia="宋体" w:cs="宋体"/>
                <w:color w:val="auto"/>
                <w:kern w:val="0"/>
                <w:sz w:val="24"/>
                <w:highlight w:val="none"/>
                <w:lang w:bidi="ar"/>
              </w:rPr>
              <w:t>包。</w:t>
            </w:r>
          </w:p>
        </w:tc>
      </w:tr>
      <w:tr w14:paraId="44B066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8" w:hRule="atLeast"/>
          <w:jc w:val="center"/>
        </w:trPr>
        <w:tc>
          <w:tcPr>
            <w:tcW w:w="1425" w:type="dxa"/>
            <w:tcBorders>
              <w:tl2br w:val="nil"/>
              <w:tr2bl w:val="nil"/>
            </w:tcBorders>
            <w:vAlign w:val="center"/>
          </w:tcPr>
          <w:p w14:paraId="51A5B16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1.11</w:t>
            </w:r>
            <w:r>
              <w:rPr>
                <w:rFonts w:hint="eastAsia" w:ascii="宋体" w:hAnsi="宋体" w:eastAsia="宋体" w:cs="宋体"/>
                <w:color w:val="auto"/>
                <w:kern w:val="0"/>
                <w:sz w:val="24"/>
                <w:highlight w:val="none"/>
                <w:lang w:val="en-US" w:eastAsia="zh-CN" w:bidi="ar"/>
              </w:rPr>
              <w:t>▲</w:t>
            </w:r>
          </w:p>
        </w:tc>
        <w:tc>
          <w:tcPr>
            <w:tcW w:w="8364" w:type="dxa"/>
            <w:tcBorders>
              <w:tl2br w:val="nil"/>
              <w:tr2bl w:val="nil"/>
            </w:tcBorders>
            <w:vAlign w:val="center"/>
          </w:tcPr>
          <w:p w14:paraId="2B1B62A5">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保证金形式：银行汇票、银行电汇、转账、本票或者金融机构、担保机构出具的保函等非现金形式提交。</w:t>
            </w:r>
          </w:p>
          <w:p w14:paraId="28DE021F">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保证金数额：</w:t>
            </w:r>
            <w:r>
              <w:rPr>
                <w:rFonts w:hint="eastAsia" w:ascii="宋体" w:hAnsi="宋体" w:cs="宋体"/>
                <w:b/>
                <w:bCs/>
                <w:color w:val="auto"/>
                <w:kern w:val="0"/>
                <w:sz w:val="24"/>
                <w:highlight w:val="none"/>
                <w:lang w:val="en-US" w:eastAsia="zh-CN" w:bidi="ar"/>
              </w:rPr>
              <w:t>18</w:t>
            </w:r>
            <w:r>
              <w:rPr>
                <w:rFonts w:hint="eastAsia" w:ascii="宋体" w:hAnsi="宋体" w:eastAsia="宋体" w:cs="宋体"/>
                <w:b/>
                <w:bCs/>
                <w:color w:val="auto"/>
                <w:kern w:val="0"/>
                <w:sz w:val="24"/>
                <w:highlight w:val="none"/>
                <w:lang w:bidi="ar"/>
              </w:rPr>
              <w:t>00元（</w:t>
            </w:r>
            <w:r>
              <w:rPr>
                <w:rFonts w:hint="eastAsia" w:ascii="宋体" w:hAnsi="宋体" w:cs="宋体"/>
                <w:b/>
                <w:bCs/>
                <w:color w:val="auto"/>
                <w:kern w:val="0"/>
                <w:sz w:val="24"/>
                <w:highlight w:val="none"/>
                <w:lang w:val="en-US" w:eastAsia="zh-CN" w:bidi="ar"/>
              </w:rPr>
              <w:t>壹仟捌佰元整</w:t>
            </w:r>
            <w:r>
              <w:rPr>
                <w:rFonts w:hint="eastAsia" w:ascii="宋体" w:hAnsi="宋体" w:eastAsia="宋体" w:cs="宋体"/>
                <w:b/>
                <w:bCs/>
                <w:color w:val="auto"/>
                <w:kern w:val="0"/>
                <w:sz w:val="24"/>
                <w:highlight w:val="none"/>
                <w:lang w:bidi="ar"/>
              </w:rPr>
              <w:t>）</w:t>
            </w:r>
          </w:p>
          <w:p w14:paraId="304B73B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投标保证金收款人：</w:t>
            </w:r>
            <w:r>
              <w:rPr>
                <w:rFonts w:hint="eastAsia" w:ascii="宋体" w:hAnsi="宋体" w:eastAsia="宋体" w:cs="宋体"/>
                <w:color w:val="auto"/>
                <w:kern w:val="0"/>
                <w:sz w:val="24"/>
                <w:highlight w:val="none"/>
                <w:lang w:eastAsia="zh-CN" w:bidi="ar"/>
              </w:rPr>
              <w:t>新疆宏成润和工程管理有限公司</w:t>
            </w:r>
          </w:p>
          <w:p w14:paraId="08B5790D">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开户行：乌鲁木齐银行股份有限公司乌鲁木齐龙盛街支行</w:t>
            </w:r>
          </w:p>
          <w:p w14:paraId="71AD847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银行账号：0000020070110050045822</w:t>
            </w:r>
          </w:p>
          <w:p w14:paraId="0FFD62CD">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行号：313881000867     </w:t>
            </w:r>
          </w:p>
          <w:p w14:paraId="4D933388">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以电汇或银行转账形式缴纳保证金的投标人注意事项：</w:t>
            </w:r>
          </w:p>
          <w:p w14:paraId="4E6462D2">
            <w:pPr>
              <w:keepNext w:val="0"/>
              <w:keepLines w:val="0"/>
              <w:widowControl/>
              <w:numPr>
                <w:ilvl w:val="0"/>
                <w:numId w:val="5"/>
              </w:numPr>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若采用银行汇票、银行电汇、转账、本票时，在汇款附言（或银行摘要）中，</w:t>
            </w:r>
            <w:r>
              <w:rPr>
                <w:rFonts w:hint="eastAsia" w:ascii="宋体" w:hAnsi="宋体" w:eastAsia="宋体" w:cs="宋体"/>
                <w:b/>
                <w:bCs/>
                <w:color w:val="auto"/>
                <w:kern w:val="0"/>
                <w:sz w:val="24"/>
                <w:highlight w:val="none"/>
                <w:lang w:bidi="ar"/>
              </w:rPr>
              <w:t>标明项目名称或项目编号。</w:t>
            </w:r>
            <w:r>
              <w:rPr>
                <w:rFonts w:hint="eastAsia" w:ascii="宋体" w:hAnsi="宋体" w:eastAsia="宋体" w:cs="宋体"/>
                <w:color w:val="auto"/>
                <w:kern w:val="0"/>
                <w:sz w:val="24"/>
                <w:highlight w:val="none"/>
                <w:lang w:bidi="ar"/>
              </w:rPr>
              <w:t>（否则视为无效打款）</w:t>
            </w:r>
          </w:p>
          <w:p w14:paraId="1461097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(2)若采用金融机构、担保机构出具的保函形式递交时，须出具对本项目（项目名称）的保函，提供原件的扫描件于投标文件中，否则视为无效。保函有效期不少于投标有效期。</w:t>
            </w:r>
          </w:p>
          <w:p w14:paraId="1AB527A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本项目不需要换取收据，银行汇款凭证用于投标保证金证明。如因投标人自身原因打款不成功的，代理公司不承担任何责任。</w:t>
            </w:r>
          </w:p>
          <w:p w14:paraId="19EE6034">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中标人应在与采购人签订合同之日起5个工作日内，将合同上传至政府采购网，并及时与交易中心联系，经交易中心核实后原账户返回。</w:t>
            </w:r>
          </w:p>
          <w:p w14:paraId="248FB7F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未中标投标人的投标保证金将在中标通知书发出之日暨中标结果公告公布之日起5个工作日内无息原账户返还。</w:t>
            </w:r>
          </w:p>
          <w:p w14:paraId="2937E99F">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备注：投标保证金缴纳截止时间同开标时间一致。</w:t>
            </w:r>
          </w:p>
        </w:tc>
      </w:tr>
      <w:tr w14:paraId="10887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7E457DD3">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1.12</w:t>
            </w:r>
          </w:p>
        </w:tc>
        <w:tc>
          <w:tcPr>
            <w:tcW w:w="8364" w:type="dxa"/>
            <w:tcBorders>
              <w:tl2br w:val="nil"/>
              <w:tr2bl w:val="nil"/>
            </w:tcBorders>
            <w:vAlign w:val="center"/>
          </w:tcPr>
          <w:p w14:paraId="218044C2">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投标有效期：90日历日</w:t>
            </w:r>
          </w:p>
        </w:tc>
      </w:tr>
      <w:tr w14:paraId="4D1F8D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81C494C">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p>
        </w:tc>
        <w:tc>
          <w:tcPr>
            <w:tcW w:w="8364" w:type="dxa"/>
            <w:tcBorders>
              <w:tl2br w:val="nil"/>
              <w:tr2bl w:val="nil"/>
            </w:tcBorders>
            <w:vAlign w:val="center"/>
          </w:tcPr>
          <w:p w14:paraId="7C23D681">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☑采用不见面开标（电子标）：</w:t>
            </w:r>
          </w:p>
          <w:p w14:paraId="3AEF2F0A">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highlight w:val="none"/>
              </w:rPr>
            </w:pPr>
            <w:r>
              <w:rPr>
                <w:rFonts w:hint="eastAsia" w:ascii="宋体" w:hAnsi="宋体" w:eastAsia="宋体" w:cs="宋体"/>
                <w:color w:val="auto"/>
                <w:sz w:val="24"/>
                <w:highlight w:val="none"/>
              </w:rPr>
              <w:t>投标文件制作完成并生成加密标书，在开标前，供应商需将加密的投标文件上传至政采云平台,到达开标时间后,解密投标文件。</w:t>
            </w:r>
          </w:p>
        </w:tc>
      </w:tr>
      <w:tr w14:paraId="6F256A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7F3DA807">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1.14</w:t>
            </w:r>
          </w:p>
        </w:tc>
        <w:tc>
          <w:tcPr>
            <w:tcW w:w="8364" w:type="dxa"/>
            <w:tcBorders>
              <w:tl2br w:val="nil"/>
              <w:tr2bl w:val="nil"/>
            </w:tcBorders>
            <w:vAlign w:val="center"/>
          </w:tcPr>
          <w:p w14:paraId="0AA3CDFE">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投标截止时间：</w:t>
            </w:r>
            <w:r>
              <w:rPr>
                <w:rFonts w:hint="eastAsia" w:ascii="宋体" w:hAnsi="宋体" w:cs="宋体"/>
                <w:kern w:val="0"/>
                <w:sz w:val="24"/>
                <w:highlight w:val="none"/>
                <w:lang w:eastAsia="zh-CN"/>
              </w:rPr>
              <w:t>2026年 5月11日16点00 分（北京时间）</w:t>
            </w:r>
          </w:p>
        </w:tc>
      </w:tr>
      <w:tr w14:paraId="674813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425" w:type="dxa"/>
            <w:tcBorders>
              <w:tl2br w:val="nil"/>
              <w:tr2bl w:val="nil"/>
            </w:tcBorders>
            <w:vAlign w:val="center"/>
          </w:tcPr>
          <w:p w14:paraId="458A84FF">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1.15</w:t>
            </w:r>
          </w:p>
        </w:tc>
        <w:tc>
          <w:tcPr>
            <w:tcW w:w="8364" w:type="dxa"/>
            <w:tcBorders>
              <w:tl2br w:val="nil"/>
              <w:tr2bl w:val="nil"/>
            </w:tcBorders>
            <w:vAlign w:val="center"/>
          </w:tcPr>
          <w:p w14:paraId="2EF9E855">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开标时间：</w:t>
            </w:r>
            <w:r>
              <w:rPr>
                <w:rFonts w:hint="eastAsia" w:ascii="宋体" w:hAnsi="宋体" w:cs="宋体"/>
                <w:kern w:val="0"/>
                <w:sz w:val="24"/>
                <w:highlight w:val="none"/>
                <w:lang w:eastAsia="zh-CN"/>
              </w:rPr>
              <w:t>2026年 5月11日16点00 分（北京时间）</w:t>
            </w:r>
          </w:p>
          <w:p w14:paraId="2C87488D">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开标地点：政采云平台（https://www.zcygov.cn/）不见面开标系统</w:t>
            </w:r>
          </w:p>
        </w:tc>
      </w:tr>
      <w:tr w14:paraId="4C4F4D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1425" w:type="dxa"/>
            <w:tcBorders>
              <w:bottom w:val="single" w:color="auto" w:sz="4" w:space="0"/>
              <w:tl2br w:val="nil"/>
              <w:tr2bl w:val="nil"/>
            </w:tcBorders>
            <w:vAlign w:val="center"/>
          </w:tcPr>
          <w:p w14:paraId="7B959389">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1.16</w:t>
            </w:r>
          </w:p>
        </w:tc>
        <w:tc>
          <w:tcPr>
            <w:tcW w:w="8364" w:type="dxa"/>
            <w:tcBorders>
              <w:bottom w:val="single" w:color="auto" w:sz="4" w:space="0"/>
              <w:tl2br w:val="nil"/>
              <w:tr2bl w:val="nil"/>
            </w:tcBorders>
            <w:vAlign w:val="center"/>
          </w:tcPr>
          <w:p w14:paraId="13F7A5A0">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信用查询时间：公告发布之日起至递交投标截止时间前</w:t>
            </w:r>
          </w:p>
        </w:tc>
      </w:tr>
      <w:tr w14:paraId="5D1721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1425" w:type="dxa"/>
            <w:tcBorders>
              <w:top w:val="single" w:color="auto" w:sz="4" w:space="0"/>
              <w:tl2br w:val="nil"/>
              <w:tr2bl w:val="nil"/>
            </w:tcBorders>
            <w:vAlign w:val="center"/>
          </w:tcPr>
          <w:p w14:paraId="6DBEC602">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1.17</w:t>
            </w:r>
          </w:p>
        </w:tc>
        <w:tc>
          <w:tcPr>
            <w:tcW w:w="8364" w:type="dxa"/>
            <w:tcBorders>
              <w:top w:val="single" w:color="auto" w:sz="4" w:space="0"/>
              <w:tl2br w:val="nil"/>
              <w:tr2bl w:val="nil"/>
            </w:tcBorders>
            <w:vAlign w:val="center"/>
          </w:tcPr>
          <w:p w14:paraId="7797FE3E">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本项目是否允许分包：</w:t>
            </w:r>
          </w:p>
          <w:p w14:paraId="4E322A5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不允许</w:t>
            </w:r>
          </w:p>
          <w:p w14:paraId="74D44C8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允许，具体要求：</w:t>
            </w:r>
          </w:p>
          <w:p w14:paraId="5C72FC3E">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（1）可以分包履行的具体内容：投标人自行拟定；</w:t>
            </w:r>
          </w:p>
          <w:p w14:paraId="2F0DCC44">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highlight w:val="none"/>
              </w:rPr>
            </w:pPr>
            <w:r>
              <w:rPr>
                <w:rFonts w:hint="eastAsia" w:ascii="宋体" w:hAnsi="宋体" w:eastAsia="宋体" w:cs="宋体"/>
                <w:color w:val="auto"/>
                <w:sz w:val="24"/>
                <w:highlight w:val="none"/>
              </w:rPr>
              <w:t>（2）允许分包的金额或者比例：投标人自行拟定；</w:t>
            </w:r>
          </w:p>
        </w:tc>
      </w:tr>
      <w:tr w14:paraId="4E44D0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0356DD42">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1.18</w:t>
            </w:r>
          </w:p>
        </w:tc>
        <w:tc>
          <w:tcPr>
            <w:tcW w:w="8364" w:type="dxa"/>
            <w:tcBorders>
              <w:tl2br w:val="nil"/>
              <w:tr2bl w:val="nil"/>
            </w:tcBorders>
            <w:vAlign w:val="center"/>
          </w:tcPr>
          <w:p w14:paraId="6D4A31E7">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评标方法：综合评分法</w:t>
            </w:r>
          </w:p>
        </w:tc>
      </w:tr>
      <w:tr w14:paraId="63A1F7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7C617C30">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1.19</w:t>
            </w:r>
          </w:p>
        </w:tc>
        <w:tc>
          <w:tcPr>
            <w:tcW w:w="8364" w:type="dxa"/>
            <w:tcBorders>
              <w:tl2br w:val="nil"/>
              <w:tr2bl w:val="nil"/>
            </w:tcBorders>
            <w:vAlign w:val="center"/>
          </w:tcPr>
          <w:p w14:paraId="6ABD50F8">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推荐中标候选投标人的数量：3</w:t>
            </w:r>
          </w:p>
        </w:tc>
      </w:tr>
      <w:tr w14:paraId="415F73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CF020B3">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1.20</w:t>
            </w:r>
          </w:p>
        </w:tc>
        <w:tc>
          <w:tcPr>
            <w:tcW w:w="8364" w:type="dxa"/>
            <w:tcBorders>
              <w:tl2br w:val="nil"/>
              <w:tr2bl w:val="nil"/>
            </w:tcBorders>
            <w:vAlign w:val="center"/>
          </w:tcPr>
          <w:p w14:paraId="5ABC2D98">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采购人是否委托评标委员会直接确定中标人：否</w:t>
            </w:r>
          </w:p>
        </w:tc>
      </w:tr>
      <w:tr w14:paraId="79B8B4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0760B656">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1.21</w:t>
            </w:r>
            <w:r>
              <w:rPr>
                <w:rFonts w:hint="eastAsia" w:ascii="宋体" w:hAnsi="宋体" w:eastAsia="宋体" w:cs="宋体"/>
                <w:color w:val="auto"/>
                <w:kern w:val="0"/>
                <w:sz w:val="24"/>
                <w:highlight w:val="none"/>
                <w:lang w:val="en-US" w:eastAsia="zh-CN" w:bidi="ar"/>
              </w:rPr>
              <w:t>▲</w:t>
            </w:r>
          </w:p>
        </w:tc>
        <w:tc>
          <w:tcPr>
            <w:tcW w:w="8364" w:type="dxa"/>
            <w:tcBorders>
              <w:tl2br w:val="nil"/>
              <w:tr2bl w:val="nil"/>
            </w:tcBorders>
          </w:tcPr>
          <w:p w14:paraId="16C1278D">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r>
              <w:rPr>
                <w:rFonts w:hint="eastAsia" w:ascii="宋体" w:hAnsi="宋体" w:eastAsia="宋体" w:cs="宋体"/>
                <w:color w:val="auto"/>
                <w:sz w:val="24"/>
                <w:highlight w:val="none"/>
                <w:lang w:eastAsia="zh-CN"/>
              </w:rPr>
              <w:t>合同中另行约定</w:t>
            </w:r>
            <w:r>
              <w:rPr>
                <w:rFonts w:hint="eastAsia" w:ascii="宋体" w:hAnsi="宋体" w:eastAsia="宋体" w:cs="宋体"/>
                <w:color w:val="auto"/>
                <w:sz w:val="24"/>
                <w:highlight w:val="none"/>
              </w:rPr>
              <w:t>。</w:t>
            </w:r>
          </w:p>
          <w:p w14:paraId="179D615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提交履约保证金的时间：具体以跟甲方签订合同为准</w:t>
            </w:r>
          </w:p>
          <w:p w14:paraId="123ACAEC">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履约保证金金额：10%（履约保证期结束后退款）</w:t>
            </w:r>
          </w:p>
          <w:p w14:paraId="2B3A3B6B">
            <w:pPr>
              <w:keepNext w:val="0"/>
              <w:keepLines w:val="0"/>
              <w:widowControl/>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履约保证金形式：具体以跟甲方签订合同为准</w:t>
            </w:r>
          </w:p>
        </w:tc>
      </w:tr>
      <w:tr w14:paraId="5C0547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362CB33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1.22</w:t>
            </w:r>
            <w:r>
              <w:rPr>
                <w:rFonts w:hint="eastAsia" w:ascii="宋体" w:hAnsi="宋体" w:eastAsia="宋体" w:cs="宋体"/>
                <w:color w:val="auto"/>
                <w:kern w:val="0"/>
                <w:sz w:val="24"/>
                <w:highlight w:val="none"/>
                <w:lang w:val="en-US" w:eastAsia="zh-CN" w:bidi="ar"/>
              </w:rPr>
              <w:t>▲</w:t>
            </w:r>
          </w:p>
        </w:tc>
        <w:tc>
          <w:tcPr>
            <w:tcW w:w="8364" w:type="dxa"/>
            <w:tcBorders>
              <w:tl2br w:val="nil"/>
              <w:tr2bl w:val="nil"/>
            </w:tcBorders>
          </w:tcPr>
          <w:p w14:paraId="0351337A">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1、是否由中标人缴纳招标代理费：是</w:t>
            </w:r>
          </w:p>
          <w:p w14:paraId="57D51FC7">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招标代理费：参照发改价格[2011]534号及计价格[2002]1980号文件计算的招标代理服务收费标准计取，由中标单位在领取中标通知书时一次性支付。</w:t>
            </w:r>
          </w:p>
          <w:p w14:paraId="14719282">
            <w:pPr>
              <w:keepNext w:val="0"/>
              <w:keepLines w:val="0"/>
              <w:widowControl/>
              <w:numPr>
                <w:ilvl w:val="0"/>
                <w:numId w:val="6"/>
              </w:numPr>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支付形式：支票、电汇等形式</w:t>
            </w:r>
          </w:p>
          <w:p w14:paraId="5458C963">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3、支付时间：在中标人领取中标通知书时，由中标人向采购代理机构一次性支付全部招标代理服务费</w:t>
            </w:r>
            <w:r>
              <w:rPr>
                <w:rFonts w:hint="eastAsia" w:ascii="宋体" w:hAnsi="宋体" w:eastAsia="宋体" w:cs="宋体"/>
                <w:color w:val="auto"/>
                <w:sz w:val="24"/>
                <w:highlight w:val="none"/>
                <w:lang w:eastAsia="zh-CN"/>
              </w:rPr>
              <w:t>。</w:t>
            </w:r>
          </w:p>
        </w:tc>
      </w:tr>
      <w:tr w14:paraId="4F5B7A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8CBA00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1.23</w:t>
            </w:r>
          </w:p>
        </w:tc>
        <w:tc>
          <w:tcPr>
            <w:tcW w:w="8364" w:type="dxa"/>
            <w:tcBorders>
              <w:tl2br w:val="nil"/>
              <w:tr2bl w:val="nil"/>
            </w:tcBorders>
          </w:tcPr>
          <w:p w14:paraId="50CF07E4">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针对同一采购程序环节的质疑次数：</w:t>
            </w:r>
          </w:p>
          <w:p w14:paraId="78C2325C">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52"/>
            </w:r>
            <w:r>
              <w:rPr>
                <w:rFonts w:hint="eastAsia" w:ascii="宋体" w:hAnsi="宋体" w:eastAsia="宋体" w:cs="宋体"/>
                <w:color w:val="auto"/>
                <w:kern w:val="0"/>
                <w:sz w:val="24"/>
                <w:highlight w:val="none"/>
                <w:lang w:bidi="ar"/>
              </w:rPr>
              <w:t>一次性提出</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多次提出</w:t>
            </w:r>
          </w:p>
        </w:tc>
      </w:tr>
      <w:tr w14:paraId="5B3C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50D527A">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1.24</w:t>
            </w:r>
          </w:p>
        </w:tc>
        <w:tc>
          <w:tcPr>
            <w:tcW w:w="8364" w:type="dxa"/>
            <w:tcBorders>
              <w:tl2br w:val="nil"/>
              <w:tr2bl w:val="nil"/>
            </w:tcBorders>
          </w:tcPr>
          <w:p w14:paraId="4601C018">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项目属性：</w:t>
            </w:r>
            <w:r>
              <w:rPr>
                <w:rFonts w:hint="eastAsia" w:ascii="宋体" w:hAnsi="宋体" w:eastAsia="宋体" w:cs="宋体"/>
                <w:b/>
                <w:bCs/>
                <w:color w:val="auto"/>
                <w:kern w:val="0"/>
                <w:sz w:val="24"/>
                <w:highlight w:val="none"/>
                <w:lang w:bidi="ar"/>
              </w:rPr>
              <w:t>货物</w:t>
            </w:r>
          </w:p>
        </w:tc>
      </w:tr>
      <w:tr w14:paraId="001758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8BFC995">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1.26</w:t>
            </w:r>
          </w:p>
        </w:tc>
        <w:tc>
          <w:tcPr>
            <w:tcW w:w="8364" w:type="dxa"/>
            <w:tcBorders>
              <w:tl2br w:val="nil"/>
              <w:tr2bl w:val="nil"/>
            </w:tcBorders>
          </w:tcPr>
          <w:p w14:paraId="7433C4CF">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付款方式：</w:t>
            </w:r>
            <w:r>
              <w:rPr>
                <w:rFonts w:hint="eastAsia" w:ascii="宋体" w:hAnsi="宋体" w:eastAsia="宋体" w:cs="宋体"/>
                <w:color w:val="auto"/>
                <w:kern w:val="0"/>
                <w:sz w:val="24"/>
                <w:highlight w:val="none"/>
                <w:lang w:eastAsia="zh-CN" w:bidi="ar"/>
              </w:rPr>
              <w:t>合同中另行约定</w:t>
            </w:r>
            <w:r>
              <w:rPr>
                <w:rFonts w:hint="eastAsia" w:ascii="宋体" w:hAnsi="宋体" w:eastAsia="宋体" w:cs="宋体"/>
                <w:color w:val="auto"/>
                <w:kern w:val="0"/>
                <w:sz w:val="24"/>
                <w:highlight w:val="none"/>
                <w:lang w:bidi="ar"/>
              </w:rPr>
              <w:t>。</w:t>
            </w:r>
          </w:p>
        </w:tc>
      </w:tr>
      <w:tr w14:paraId="2B6E9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39BABEB9">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1.27</w:t>
            </w:r>
          </w:p>
        </w:tc>
        <w:tc>
          <w:tcPr>
            <w:tcW w:w="8364" w:type="dxa"/>
            <w:tcBorders>
              <w:tl2br w:val="nil"/>
              <w:tr2bl w:val="nil"/>
            </w:tcBorders>
          </w:tcPr>
          <w:p w14:paraId="76EADE79">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评标委员会的组成：评标委员会由招标人的代表和有关技术、经济等方面的专家组成，成员人数为5人以上单数，其中技术、经济等方面的专家不得少于成员总数的2/3。</w:t>
            </w:r>
          </w:p>
          <w:p w14:paraId="69CF7666">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评委确定方式：开标前于政采云专家库随机抽取</w:t>
            </w:r>
          </w:p>
        </w:tc>
      </w:tr>
      <w:tr w14:paraId="3DFD81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BD17FCC">
            <w:pPr>
              <w:keepNext w:val="0"/>
              <w:keepLines w:val="0"/>
              <w:widowControl/>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1.28▲</w:t>
            </w:r>
          </w:p>
        </w:tc>
        <w:tc>
          <w:tcPr>
            <w:tcW w:w="8364" w:type="dxa"/>
            <w:tcBorders>
              <w:tl2br w:val="nil"/>
              <w:tr2bl w:val="nil"/>
            </w:tcBorders>
          </w:tcPr>
          <w:p w14:paraId="14703AC4">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本项目投标人需承诺验收时提供主要标的物第三方检验检测机构出具的检测报告原件</w:t>
            </w:r>
            <w:r>
              <w:rPr>
                <w:rFonts w:hint="eastAsia" w:ascii="宋体" w:hAnsi="宋体" w:eastAsia="宋体" w:cs="宋体"/>
                <w:color w:val="auto"/>
                <w:kern w:val="0"/>
                <w:sz w:val="24"/>
                <w:highlight w:val="none"/>
                <w:lang w:val="en-US" w:eastAsia="zh-CN" w:bidi="ar"/>
              </w:rPr>
              <w:t>或扫描件加盖公章</w:t>
            </w:r>
            <w:r>
              <w:rPr>
                <w:rFonts w:hint="eastAsia" w:ascii="宋体" w:hAnsi="宋体" w:eastAsia="宋体" w:cs="宋体"/>
                <w:color w:val="auto"/>
                <w:kern w:val="0"/>
                <w:sz w:val="24"/>
                <w:highlight w:val="none"/>
                <w:lang w:bidi="ar"/>
              </w:rPr>
              <w:t>备查。提供承诺函。</w:t>
            </w:r>
          </w:p>
        </w:tc>
      </w:tr>
      <w:tr w14:paraId="1ED3EF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9" w:type="dxa"/>
            <w:gridSpan w:val="2"/>
            <w:tcBorders>
              <w:tl2br w:val="nil"/>
              <w:tr2bl w:val="nil"/>
            </w:tcBorders>
          </w:tcPr>
          <w:p w14:paraId="7682F5CD">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适用于本投标人须知额外增加的变动：</w:t>
            </w:r>
          </w:p>
          <w:p w14:paraId="052183DF">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1、关于本项目所有公告、公示在新疆政府采购网发布。</w:t>
            </w:r>
          </w:p>
          <w:p w14:paraId="667EB9D0">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2、请投标单位随时关注本项目的澄清、答疑、变更事项。</w:t>
            </w:r>
          </w:p>
          <w:p w14:paraId="7B22228E">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3、本项目实行电子招投标，供应商须登录政采云平台申请获取招标文件，并通过政采云电子投标客户端制作响应文件，同时自行承担与投标有关的一切费用。</w:t>
            </w:r>
          </w:p>
          <w:p w14:paraId="7FF0EADF">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5C67D22">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5、有意向参与新疆区域电子开评标的供应商，可访问新疆数字证书认证中心官方网站（https://www.xjca.com.cn/）或下载“新疆政务通”APP自行进行申领。如需咨询，请联系新疆CA服务热线0991-2819290。</w:t>
            </w:r>
          </w:p>
          <w:p w14:paraId="446A6000">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05304EBD">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500843F">
            <w:pPr>
              <w:keepNext w:val="0"/>
              <w:keepLines w:val="0"/>
              <w:widowControl/>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7、供应商在开标前须提前配置好电脑浏览器（建议使用360浏览器或谷歌浏览器），开标时请使用制作加密电子响应文件的CA锁进行解密及报价确认。</w:t>
            </w:r>
            <w:r>
              <w:rPr>
                <w:rFonts w:hint="eastAsia" w:ascii="宋体" w:hAnsi="宋体" w:eastAsia="宋体" w:cs="宋体"/>
                <w:b/>
                <w:bCs/>
                <w:color w:val="auto"/>
                <w:kern w:val="0"/>
                <w:sz w:val="24"/>
                <w:highlight w:val="none"/>
                <w:lang w:bidi="ar"/>
              </w:rPr>
              <w:t>本项目投标文件解密时间定为30分钟，如投标人因自身原因导致在规定的时间无法正常解密，视为开标后撤销其投标文件，投标保证金招标人有权不予退还。</w:t>
            </w:r>
          </w:p>
        </w:tc>
      </w:tr>
    </w:tbl>
    <w:p w14:paraId="300FF8E2">
      <w:pPr>
        <w:spacing w:line="360" w:lineRule="auto"/>
        <w:ind w:left="1080" w:leftChars="257" w:hanging="540"/>
        <w:rPr>
          <w:rFonts w:hint="eastAsia" w:ascii="宋体" w:hAnsi="宋体" w:eastAsia="宋体" w:cs="宋体"/>
          <w:sz w:val="24"/>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19EDC138">
      <w:pPr>
        <w:pStyle w:val="40"/>
        <w:tabs>
          <w:tab w:val="left" w:pos="0"/>
        </w:tabs>
        <w:spacing w:before="0" w:after="0" w:line="360" w:lineRule="auto"/>
        <w:rPr>
          <w:rFonts w:hint="eastAsia" w:ascii="宋体" w:hAnsi="宋体" w:eastAsia="宋体" w:cs="宋体"/>
          <w:highlight w:val="none"/>
        </w:rPr>
      </w:pPr>
      <w:bookmarkStart w:id="28" w:name="_Toc20857"/>
      <w:bookmarkEnd w:id="28"/>
      <w:bookmarkStart w:id="29" w:name="_Toc29666"/>
      <w:bookmarkEnd w:id="29"/>
      <w:bookmarkStart w:id="30" w:name="_Toc518923060"/>
      <w:bookmarkEnd w:id="30"/>
      <w:bookmarkStart w:id="31" w:name="_Toc7753"/>
      <w:bookmarkEnd w:id="31"/>
      <w:bookmarkStart w:id="32" w:name="_Toc20390"/>
      <w:bookmarkEnd w:id="32"/>
      <w:bookmarkStart w:id="33" w:name="_Toc9485"/>
      <w:bookmarkEnd w:id="33"/>
      <w:bookmarkStart w:id="34" w:name="_Toc520356143"/>
      <w:bookmarkEnd w:id="34"/>
      <w:bookmarkStart w:id="35" w:name="_Toc31997"/>
      <w:bookmarkEnd w:id="35"/>
      <w:bookmarkStart w:id="36" w:name="_Toc216582805"/>
      <w:bookmarkEnd w:id="36"/>
      <w:bookmarkStart w:id="37" w:name="_Toc24868"/>
      <w:bookmarkEnd w:id="37"/>
      <w:bookmarkStart w:id="38" w:name="_Toc22313"/>
      <w:bookmarkEnd w:id="38"/>
      <w:bookmarkStart w:id="39" w:name="_Toc8716"/>
      <w:r>
        <w:rPr>
          <w:rFonts w:hint="eastAsia" w:ascii="宋体" w:hAnsi="宋体" w:eastAsia="宋体" w:cs="宋体"/>
          <w:highlight w:val="none"/>
        </w:rPr>
        <w:t>第</w:t>
      </w:r>
      <w:r>
        <w:rPr>
          <w:rFonts w:hint="eastAsia" w:ascii="宋体" w:hAnsi="宋体" w:eastAsia="宋体" w:cs="宋体"/>
          <w:highlight w:val="none"/>
          <w:lang w:val="en-US" w:eastAsia="zh-CN"/>
        </w:rPr>
        <w:t>3</w:t>
      </w:r>
      <w:r>
        <w:rPr>
          <w:rFonts w:hint="eastAsia" w:ascii="宋体" w:hAnsi="宋体" w:eastAsia="宋体" w:cs="宋体"/>
          <w:highlight w:val="none"/>
        </w:rPr>
        <w:t>章</w:t>
      </w:r>
      <w:r>
        <w:rPr>
          <w:rFonts w:hint="eastAsia" w:ascii="宋体" w:hAnsi="宋体" w:eastAsia="宋体" w:cs="宋体"/>
          <w:highlight w:val="none"/>
          <w:lang w:val="en-US" w:eastAsia="zh-CN"/>
        </w:rPr>
        <w:t>总则</w:t>
      </w:r>
      <w:bookmarkEnd w:id="39"/>
    </w:p>
    <w:p w14:paraId="1B996A65">
      <w:pPr>
        <w:pStyle w:val="42"/>
        <w:spacing w:before="0" w:after="0" w:line="360" w:lineRule="auto"/>
        <w:rPr>
          <w:rFonts w:hint="eastAsia" w:ascii="宋体" w:hAnsi="宋体" w:eastAsia="宋体" w:cs="宋体"/>
          <w:highlight w:val="none"/>
          <w:u w:val="none"/>
        </w:rPr>
      </w:pPr>
      <w:bookmarkStart w:id="40" w:name="_Toc1000"/>
      <w:bookmarkEnd w:id="40"/>
      <w:bookmarkStart w:id="41" w:name="_Toc518923061"/>
      <w:bookmarkEnd w:id="41"/>
      <w:bookmarkStart w:id="42" w:name="_Toc10238"/>
      <w:bookmarkEnd w:id="42"/>
      <w:bookmarkStart w:id="43" w:name="_Toc1500"/>
      <w:bookmarkEnd w:id="43"/>
      <w:bookmarkStart w:id="44" w:name="_Toc12013"/>
      <w:bookmarkEnd w:id="44"/>
      <w:bookmarkStart w:id="45" w:name="_Toc520356144"/>
      <w:bookmarkEnd w:id="45"/>
      <w:r>
        <w:rPr>
          <w:rFonts w:hint="eastAsia" w:ascii="宋体" w:hAnsi="宋体" w:eastAsia="宋体" w:cs="宋体"/>
          <w:highlight w:val="none"/>
          <w:u w:val="none"/>
        </w:rPr>
        <w:t>1.采购人、采购代理机构及投标人</w:t>
      </w:r>
    </w:p>
    <w:p w14:paraId="18071D84">
      <w:pPr>
        <w:numPr>
          <w:ilvl w:val="1"/>
          <w:numId w:val="7"/>
        </w:numPr>
        <w:tabs>
          <w:tab w:val="clear" w:pos="900"/>
        </w:tabs>
        <w:spacing w:line="360" w:lineRule="auto"/>
        <w:ind w:hanging="898"/>
        <w:rPr>
          <w:rFonts w:hint="eastAsia" w:ascii="宋体" w:hAnsi="宋体" w:eastAsia="宋体" w:cs="宋体"/>
          <w:sz w:val="24"/>
          <w:highlight w:val="none"/>
        </w:rPr>
      </w:pPr>
      <w:r>
        <w:rPr>
          <w:rFonts w:hint="eastAsia" w:ascii="宋体" w:hAnsi="宋体" w:eastAsia="宋体" w:cs="宋体"/>
          <w:sz w:val="24"/>
          <w:highlight w:val="none"/>
        </w:rPr>
        <w:t>采购人：是指依法开展政府采购活动的国家机关、事业单位、团体组织。</w:t>
      </w:r>
    </w:p>
    <w:p w14:paraId="221C99A6">
      <w:pPr>
        <w:tabs>
          <w:tab w:val="left" w:pos="0"/>
        </w:tabs>
        <w:spacing w:line="360" w:lineRule="auto"/>
        <w:ind w:left="900"/>
        <w:rPr>
          <w:rFonts w:hint="eastAsia" w:ascii="宋体" w:hAnsi="宋体" w:eastAsia="宋体" w:cs="宋体"/>
          <w:sz w:val="24"/>
          <w:highlight w:val="none"/>
        </w:rPr>
      </w:pPr>
      <w:r>
        <w:rPr>
          <w:rFonts w:hint="eastAsia" w:ascii="宋体" w:hAnsi="宋体" w:eastAsia="宋体" w:cs="宋体"/>
          <w:sz w:val="24"/>
          <w:highlight w:val="none"/>
        </w:rPr>
        <w:t>本项目的采购人见</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w:t>
      </w:r>
    </w:p>
    <w:p w14:paraId="57E4C049">
      <w:pPr>
        <w:numPr>
          <w:ilvl w:val="1"/>
          <w:numId w:val="7"/>
        </w:numPr>
        <w:tabs>
          <w:tab w:val="clear" w:pos="900"/>
        </w:tabs>
        <w:spacing w:line="360" w:lineRule="auto"/>
        <w:ind w:hanging="898"/>
        <w:rPr>
          <w:rFonts w:hint="eastAsia" w:ascii="宋体" w:hAnsi="宋体" w:eastAsia="宋体" w:cs="宋体"/>
          <w:sz w:val="24"/>
          <w:highlight w:val="none"/>
        </w:rPr>
      </w:pPr>
      <w:r>
        <w:rPr>
          <w:rFonts w:hint="eastAsia" w:ascii="宋体" w:hAnsi="宋体" w:eastAsia="宋体" w:cs="宋体"/>
          <w:sz w:val="24"/>
          <w:highlight w:val="none"/>
        </w:rPr>
        <w:t>采购代理机构：是指集中采购机构或从事采购代理业务的社会中介机构。本项目的采购代理机构见</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w:t>
      </w:r>
    </w:p>
    <w:p w14:paraId="34DD0898">
      <w:pPr>
        <w:numPr>
          <w:ilvl w:val="1"/>
          <w:numId w:val="7"/>
        </w:numPr>
        <w:tabs>
          <w:tab w:val="clear" w:pos="900"/>
        </w:tabs>
        <w:spacing w:line="360" w:lineRule="auto"/>
        <w:ind w:hangingChars="375"/>
        <w:rPr>
          <w:rFonts w:hint="eastAsia" w:ascii="宋体" w:hAnsi="宋体" w:eastAsia="宋体" w:cs="宋体"/>
          <w:sz w:val="24"/>
          <w:highlight w:val="none"/>
        </w:rPr>
      </w:pPr>
      <w:r>
        <w:rPr>
          <w:rFonts w:hint="eastAsia" w:ascii="宋体" w:hAnsi="宋体" w:eastAsia="宋体" w:cs="宋体"/>
          <w:sz w:val="24"/>
          <w:highlight w:val="none"/>
        </w:rPr>
        <w:t>投标人：是指向采购人提供货物、工程或者服务的法人、非法人组织或者自然人。本项目的投标人须满足以下条件：</w:t>
      </w:r>
    </w:p>
    <w:p w14:paraId="6AF64E04">
      <w:pPr>
        <w:spacing w:line="360" w:lineRule="auto"/>
        <w:ind w:left="850" w:hanging="849" w:hangingChars="354"/>
        <w:rPr>
          <w:rFonts w:hint="eastAsia" w:ascii="宋体" w:hAnsi="宋体" w:eastAsia="宋体" w:cs="宋体"/>
          <w:sz w:val="24"/>
          <w:highlight w:val="none"/>
        </w:rPr>
      </w:pPr>
      <w:r>
        <w:rPr>
          <w:rFonts w:hint="eastAsia" w:ascii="宋体" w:hAnsi="宋体" w:eastAsia="宋体" w:cs="宋体"/>
          <w:sz w:val="24"/>
          <w:highlight w:val="none"/>
        </w:rPr>
        <w:t>1.3.1</w:t>
      </w:r>
      <w:r>
        <w:rPr>
          <w:rFonts w:hint="eastAsia" w:ascii="宋体" w:hAnsi="宋体" w:eastAsia="宋体" w:cs="宋体"/>
          <w:sz w:val="24"/>
          <w:highlight w:val="none"/>
        </w:rPr>
        <w:tab/>
      </w:r>
      <w:r>
        <w:rPr>
          <w:rFonts w:hint="eastAsia" w:ascii="宋体" w:hAnsi="宋体" w:eastAsia="宋体" w:cs="宋体"/>
          <w:sz w:val="24"/>
          <w:highlight w:val="none"/>
        </w:rPr>
        <w:t>在中华人民共和国境内注册，能够独立承担民事责任，有生产或供应能力的本国供应商。</w:t>
      </w:r>
    </w:p>
    <w:p w14:paraId="1BBFF29F">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1.3.2  具备《中华人民共和国政府采购法》第二十二条关于供应商条件的规定，遵守本项目采购人本级和上级财政部门政府采购的有关规定。</w:t>
      </w:r>
    </w:p>
    <w:p w14:paraId="5AD4BE3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1.3.3   以采购代理机构认可的方式获得了本项目的招标文件。</w:t>
      </w:r>
    </w:p>
    <w:p w14:paraId="33FE234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1.3.4   符合</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中规定的其他要求。</w:t>
      </w:r>
    </w:p>
    <w:p w14:paraId="12AAB9BF">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1.3.5   若</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中写明专门面向中小企业采购的，如投标人为非中小企业，其投标将被认定为投标无效。</w:t>
      </w:r>
    </w:p>
    <w:p w14:paraId="4622EFB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     如</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中允许联合体投标，对联合体规定如下：</w:t>
      </w:r>
    </w:p>
    <w:p w14:paraId="3389BF28">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1.4.1   两个以上供应商可以组成一个投标联合体，以一个投标人的身份投标。</w:t>
      </w:r>
    </w:p>
    <w:p w14:paraId="5EA84740">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1.4.2   联合体各方均应符合《中华人民共和国政府采购法》第二十二条规定的条件。</w:t>
      </w:r>
    </w:p>
    <w:p w14:paraId="6561FD5F">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1.4.3   采购人根据采购项目对投标人的特殊要求，联合体中至少应当有一方符合相关规定。</w:t>
      </w:r>
    </w:p>
    <w:p w14:paraId="0A46703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1.4.4   联合体各方应签订共同投标协议，明确约定联合体各方承担的工作和相应的责任，并将共同投标协议连同投标文件一并提交招标采购单位。</w:t>
      </w:r>
    </w:p>
    <w:p w14:paraId="35C6C17A">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53D3F700">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1.4.6  联合体中有同类资质的供应商按照联合体分工承担相同工作的，按照资质等级较低的供应商确定资质等级。</w:t>
      </w:r>
    </w:p>
    <w:p w14:paraId="0804D622">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662B9406">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1.4.8   对联合体投标的其他资格要求见</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w:t>
      </w:r>
    </w:p>
    <w:p w14:paraId="37755458">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1.5    单位负责人为同一人或者存在直接控股、管理关系的不同供应商，其相关投标将被认定为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60463579">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 xml:space="preserve">1.6    </w:t>
      </w:r>
      <w:r>
        <w:rPr>
          <w:rFonts w:hint="eastAsia" w:ascii="宋体" w:hAnsi="宋体" w:eastAsia="宋体" w:cs="宋体"/>
          <w:b/>
          <w:sz w:val="24"/>
          <w:highlight w:val="none"/>
        </w:rPr>
        <w:t>为本项目提供过整体设计、规范编制或者项目管理、监理、检测等服务的供应商，不得再参加本项目上述服务以外的其他采购活动。否则其投标将被认定为投标无效。</w:t>
      </w:r>
    </w:p>
    <w:p w14:paraId="417A09B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1.7</w:t>
      </w:r>
      <w:r>
        <w:rPr>
          <w:rFonts w:hint="eastAsia" w:ascii="宋体" w:hAnsi="宋体" w:eastAsia="宋体" w:cs="宋体"/>
          <w:sz w:val="24"/>
          <w:highlight w:val="none"/>
        </w:rPr>
        <w:tab/>
      </w:r>
      <w:r>
        <w:rPr>
          <w:rFonts w:hint="eastAsia" w:ascii="宋体" w:hAnsi="宋体" w:eastAsia="宋体" w:cs="宋体"/>
          <w:sz w:val="24"/>
          <w:highlight w:val="none"/>
        </w:rPr>
        <w:t>投标人在投标过程中不得向采购人提供或给予影响其正常决策行为的任何有价值物品或服务。一经发现，其投标将被认定为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72342EEA">
      <w:pPr>
        <w:pStyle w:val="42"/>
        <w:spacing w:before="0" w:after="0" w:line="360" w:lineRule="auto"/>
        <w:rPr>
          <w:rFonts w:hint="eastAsia" w:ascii="宋体" w:hAnsi="宋体" w:eastAsia="宋体" w:cs="宋体"/>
          <w:highlight w:val="none"/>
          <w:u w:val="none"/>
        </w:rPr>
      </w:pPr>
      <w:bookmarkStart w:id="46" w:name="_Toc2643"/>
      <w:bookmarkEnd w:id="46"/>
      <w:bookmarkStart w:id="47" w:name="_Toc17198"/>
      <w:bookmarkEnd w:id="47"/>
      <w:bookmarkStart w:id="48" w:name="_Toc17203"/>
      <w:bookmarkEnd w:id="48"/>
      <w:bookmarkStart w:id="49" w:name="_Toc518923062"/>
      <w:bookmarkEnd w:id="49"/>
      <w:bookmarkStart w:id="50" w:name="_Toc1409"/>
      <w:bookmarkEnd w:id="50"/>
      <w:r>
        <w:rPr>
          <w:rFonts w:hint="eastAsia" w:ascii="宋体" w:hAnsi="宋体" w:eastAsia="宋体" w:cs="宋体"/>
          <w:highlight w:val="none"/>
          <w:u w:val="none"/>
        </w:rPr>
        <w:t>2.资金来源</w:t>
      </w:r>
    </w:p>
    <w:p w14:paraId="098BCE8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2.1</w:t>
      </w:r>
      <w:r>
        <w:rPr>
          <w:rFonts w:hint="eastAsia" w:ascii="宋体" w:hAnsi="宋体" w:eastAsia="宋体" w:cs="宋体"/>
          <w:sz w:val="24"/>
          <w:highlight w:val="none"/>
        </w:rPr>
        <w:tab/>
      </w:r>
      <w:r>
        <w:rPr>
          <w:rFonts w:hint="eastAsia" w:ascii="宋体" w:hAnsi="宋体" w:eastAsia="宋体" w:cs="宋体"/>
          <w:sz w:val="24"/>
          <w:highlight w:val="none"/>
        </w:rPr>
        <w:t>本项目的采购人已获得足以支付本次招标后所签订的合同项下的资金（包括财政性资金和本项目采购中无法与财政性资金分割的非财政性资金）。</w:t>
      </w:r>
    </w:p>
    <w:p w14:paraId="2580C1DA">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2.2    项目预算金额和分项或分包最高限价</w:t>
      </w:r>
      <w:r>
        <w:rPr>
          <w:rFonts w:hint="eastAsia" w:ascii="宋体" w:hAnsi="宋体" w:eastAsia="宋体" w:cs="宋体"/>
          <w:b/>
          <w:bCs/>
          <w:sz w:val="24"/>
          <w:highlight w:val="none"/>
          <w:u w:val="single"/>
        </w:rPr>
        <w:t>见投标人须知资料表</w:t>
      </w:r>
      <w:r>
        <w:rPr>
          <w:rFonts w:hint="eastAsia" w:ascii="宋体" w:hAnsi="宋体" w:eastAsia="宋体" w:cs="宋体"/>
          <w:sz w:val="24"/>
          <w:highlight w:val="none"/>
        </w:rPr>
        <w:t>。</w:t>
      </w:r>
    </w:p>
    <w:p w14:paraId="4929E26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2.3    投标人报价超过招标文件规定的预算金额或者分项、分包最高限价的，其投标将被认定为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1F972345">
      <w:pPr>
        <w:pStyle w:val="42"/>
        <w:spacing w:before="0" w:after="0" w:line="360" w:lineRule="auto"/>
        <w:rPr>
          <w:rFonts w:hint="eastAsia" w:ascii="宋体" w:hAnsi="宋体" w:eastAsia="宋体" w:cs="宋体"/>
          <w:highlight w:val="none"/>
          <w:u w:val="none"/>
        </w:rPr>
      </w:pPr>
      <w:bookmarkStart w:id="51" w:name="_Toc22756"/>
      <w:bookmarkEnd w:id="51"/>
      <w:bookmarkStart w:id="52" w:name="_Toc520356145"/>
      <w:bookmarkEnd w:id="52"/>
      <w:bookmarkStart w:id="53" w:name="_Toc28166"/>
      <w:bookmarkEnd w:id="53"/>
      <w:bookmarkStart w:id="54" w:name="_Toc518923063"/>
      <w:bookmarkEnd w:id="54"/>
      <w:bookmarkStart w:id="55" w:name="_Toc14892"/>
      <w:bookmarkEnd w:id="55"/>
      <w:bookmarkStart w:id="56" w:name="_Toc23703"/>
      <w:bookmarkEnd w:id="56"/>
      <w:r>
        <w:rPr>
          <w:rFonts w:hint="eastAsia" w:ascii="宋体" w:hAnsi="宋体" w:eastAsia="宋体" w:cs="宋体"/>
          <w:highlight w:val="none"/>
          <w:u w:val="none"/>
        </w:rPr>
        <w:t>3.投标费用</w:t>
      </w:r>
    </w:p>
    <w:p w14:paraId="0B9F518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不论投标的结果如何，投标人应承担所有与准备和参加投标有关的费用。</w:t>
      </w:r>
      <w:r>
        <w:rPr>
          <w:rFonts w:hint="eastAsia" w:ascii="宋体" w:hAnsi="宋体" w:eastAsia="宋体" w:cs="宋体"/>
          <w:b/>
          <w:bCs/>
          <w:color w:val="000000"/>
          <w:sz w:val="24"/>
          <w:highlight w:val="none"/>
          <w:u w:val="single"/>
        </w:rPr>
        <w:t>代理服务费收费标准按照发改价格2015（299）号文件规定收取，由中标单位在领取中标通知书时一次性支付</w:t>
      </w:r>
      <w:r>
        <w:rPr>
          <w:rFonts w:hint="eastAsia" w:ascii="宋体" w:hAnsi="宋体" w:eastAsia="宋体" w:cs="宋体"/>
          <w:b/>
          <w:bCs/>
          <w:color w:val="000000"/>
          <w:sz w:val="24"/>
          <w:highlight w:val="none"/>
        </w:rPr>
        <w:t>。</w:t>
      </w:r>
    </w:p>
    <w:p w14:paraId="0ACF69D4">
      <w:pPr>
        <w:pStyle w:val="42"/>
        <w:spacing w:before="0" w:after="0" w:line="360" w:lineRule="auto"/>
        <w:rPr>
          <w:rFonts w:hint="eastAsia" w:ascii="宋体" w:hAnsi="宋体" w:eastAsia="宋体" w:cs="宋体"/>
          <w:highlight w:val="none"/>
          <w:u w:val="none"/>
        </w:rPr>
      </w:pPr>
      <w:bookmarkStart w:id="57" w:name="_Toc30739"/>
      <w:bookmarkEnd w:id="57"/>
      <w:bookmarkStart w:id="58" w:name="_Toc518923064"/>
      <w:bookmarkEnd w:id="58"/>
      <w:bookmarkStart w:id="59" w:name="_Toc9960"/>
      <w:bookmarkEnd w:id="59"/>
      <w:bookmarkStart w:id="60" w:name="_Toc32365"/>
      <w:bookmarkEnd w:id="60"/>
      <w:bookmarkStart w:id="61" w:name="_Toc26306"/>
      <w:bookmarkEnd w:id="61"/>
      <w:r>
        <w:rPr>
          <w:rFonts w:hint="eastAsia" w:ascii="宋体" w:hAnsi="宋体" w:eastAsia="宋体" w:cs="宋体"/>
          <w:highlight w:val="none"/>
          <w:u w:val="none"/>
        </w:rPr>
        <w:t>4.适用法律</w:t>
      </w:r>
    </w:p>
    <w:p w14:paraId="30FCC36E">
      <w:pPr>
        <w:spacing w:line="360" w:lineRule="auto"/>
        <w:ind w:left="958" w:leftChars="456" w:firstLine="60" w:firstLineChars="25"/>
        <w:rPr>
          <w:rFonts w:hint="eastAsia" w:ascii="宋体" w:hAnsi="宋体" w:eastAsia="宋体" w:cs="宋体"/>
          <w:sz w:val="24"/>
          <w:highlight w:val="none"/>
        </w:rPr>
      </w:pPr>
      <w:r>
        <w:rPr>
          <w:rFonts w:hint="eastAsia" w:ascii="宋体" w:hAnsi="宋体" w:eastAsia="宋体" w:cs="宋体"/>
          <w:sz w:val="24"/>
          <w:highlight w:val="none"/>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4DD3381E">
      <w:pPr>
        <w:spacing w:line="360" w:lineRule="auto"/>
        <w:rPr>
          <w:rFonts w:hint="eastAsia" w:ascii="宋体" w:hAnsi="宋体" w:eastAsia="宋体" w:cs="宋体"/>
          <w:sz w:val="24"/>
          <w:highlight w:val="none"/>
        </w:rPr>
      </w:pPr>
    </w:p>
    <w:p w14:paraId="7F2451ED">
      <w:pPr>
        <w:pStyle w:val="41"/>
        <w:spacing w:before="0" w:line="360" w:lineRule="auto"/>
        <w:ind w:left="1080" w:leftChars="257" w:hanging="540"/>
        <w:rPr>
          <w:rFonts w:hint="eastAsia" w:ascii="宋体" w:hAnsi="宋体" w:eastAsia="宋体" w:cs="宋体"/>
          <w:sz w:val="28"/>
          <w:highlight w:val="none"/>
        </w:rPr>
      </w:pPr>
      <w:bookmarkStart w:id="62" w:name="_Toc216582806"/>
      <w:bookmarkEnd w:id="62"/>
      <w:bookmarkStart w:id="63" w:name="_Toc520356146"/>
      <w:bookmarkEnd w:id="63"/>
      <w:bookmarkStart w:id="64" w:name="_Toc518923065"/>
      <w:bookmarkEnd w:id="64"/>
      <w:bookmarkStart w:id="65" w:name="_Toc30516"/>
      <w:bookmarkEnd w:id="65"/>
      <w:bookmarkStart w:id="66" w:name="_Toc28586"/>
      <w:bookmarkEnd w:id="66"/>
      <w:bookmarkStart w:id="67" w:name="_Toc4348"/>
      <w:bookmarkEnd w:id="67"/>
      <w:bookmarkStart w:id="68" w:name="_Toc809"/>
      <w:bookmarkEnd w:id="68"/>
    </w:p>
    <w:p w14:paraId="08C945FF">
      <w:pPr>
        <w:pStyle w:val="41"/>
        <w:spacing w:before="0" w:line="360" w:lineRule="auto"/>
        <w:ind w:left="1080" w:leftChars="257" w:hanging="540"/>
        <w:rPr>
          <w:rFonts w:hint="eastAsia" w:ascii="宋体" w:hAnsi="宋体" w:eastAsia="宋体" w:cs="宋体"/>
          <w:sz w:val="28"/>
          <w:highlight w:val="none"/>
        </w:rPr>
      </w:pPr>
      <w:r>
        <w:rPr>
          <w:rFonts w:hint="eastAsia" w:ascii="宋体" w:hAnsi="宋体" w:eastAsia="宋体" w:cs="宋体"/>
          <w:sz w:val="28"/>
          <w:highlight w:val="none"/>
        </w:rPr>
        <w:t>二、招标文件</w:t>
      </w:r>
    </w:p>
    <w:p w14:paraId="76210B52">
      <w:pPr>
        <w:pStyle w:val="42"/>
        <w:spacing w:before="0" w:after="0" w:line="360" w:lineRule="auto"/>
        <w:rPr>
          <w:rFonts w:hint="eastAsia" w:ascii="宋体" w:hAnsi="宋体" w:eastAsia="宋体" w:cs="宋体"/>
          <w:highlight w:val="none"/>
          <w:u w:val="none"/>
        </w:rPr>
      </w:pPr>
      <w:bookmarkStart w:id="69" w:name="_Toc520356147"/>
      <w:bookmarkEnd w:id="69"/>
      <w:bookmarkStart w:id="70" w:name="_Toc518923066"/>
      <w:bookmarkEnd w:id="70"/>
      <w:bookmarkStart w:id="71" w:name="_Toc5195"/>
      <w:bookmarkEnd w:id="71"/>
      <w:bookmarkStart w:id="72" w:name="_Toc11127"/>
      <w:bookmarkEnd w:id="72"/>
      <w:bookmarkStart w:id="73" w:name="_Toc22990"/>
      <w:bookmarkEnd w:id="73"/>
      <w:bookmarkStart w:id="74" w:name="_Toc6894"/>
      <w:bookmarkEnd w:id="74"/>
      <w:r>
        <w:rPr>
          <w:rFonts w:hint="eastAsia" w:ascii="宋体" w:hAnsi="宋体" w:eastAsia="宋体" w:cs="宋体"/>
          <w:highlight w:val="none"/>
          <w:u w:val="none"/>
        </w:rPr>
        <w:t>5.招标文件构成</w:t>
      </w:r>
    </w:p>
    <w:p w14:paraId="72D21978">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5.1</w:t>
      </w:r>
      <w:r>
        <w:rPr>
          <w:rFonts w:hint="eastAsia" w:ascii="宋体" w:hAnsi="宋体" w:eastAsia="宋体" w:cs="宋体"/>
          <w:sz w:val="24"/>
          <w:highlight w:val="none"/>
        </w:rPr>
        <w:tab/>
      </w:r>
      <w:r>
        <w:rPr>
          <w:rFonts w:hint="eastAsia" w:ascii="宋体" w:hAnsi="宋体" w:eastAsia="宋体" w:cs="宋体"/>
          <w:sz w:val="24"/>
          <w:highlight w:val="none"/>
        </w:rPr>
        <w:t>招标文件共7章，内容如下：</w:t>
      </w:r>
    </w:p>
    <w:p w14:paraId="3A6189FA">
      <w:pPr>
        <w:spacing w:line="360" w:lineRule="auto"/>
        <w:ind w:left="1079" w:leftChars="428" w:hanging="180" w:hangingChars="75"/>
        <w:rPr>
          <w:rFonts w:hint="eastAsia" w:ascii="宋体" w:hAnsi="宋体" w:eastAsia="宋体" w:cs="宋体"/>
          <w:sz w:val="24"/>
          <w:highlight w:val="none"/>
        </w:rPr>
      </w:pPr>
      <w:r>
        <w:rPr>
          <w:rFonts w:hint="eastAsia" w:ascii="宋体" w:hAnsi="宋体" w:eastAsia="宋体" w:cs="宋体"/>
          <w:sz w:val="24"/>
          <w:highlight w:val="none"/>
        </w:rPr>
        <w:t>第1章  投标邀请</w:t>
      </w:r>
    </w:p>
    <w:p w14:paraId="11EFA12D">
      <w:pPr>
        <w:spacing w:line="360" w:lineRule="auto"/>
        <w:ind w:left="901"/>
        <w:rPr>
          <w:rFonts w:hint="eastAsia" w:ascii="宋体" w:hAnsi="宋体" w:eastAsia="宋体" w:cs="宋体"/>
          <w:sz w:val="24"/>
          <w:highlight w:val="none"/>
        </w:rPr>
      </w:pPr>
      <w:r>
        <w:rPr>
          <w:rFonts w:hint="eastAsia" w:ascii="宋体" w:hAnsi="宋体" w:eastAsia="宋体" w:cs="宋体"/>
          <w:sz w:val="24"/>
          <w:highlight w:val="none"/>
        </w:rPr>
        <w:t>第2章  投标人须知</w:t>
      </w:r>
    </w:p>
    <w:p w14:paraId="37207096">
      <w:pPr>
        <w:spacing w:line="360" w:lineRule="auto"/>
        <w:ind w:left="901" w:leftChars="429"/>
        <w:rPr>
          <w:rFonts w:hint="eastAsia" w:ascii="宋体" w:hAnsi="宋体" w:eastAsia="宋体" w:cs="宋体"/>
          <w:sz w:val="24"/>
          <w:highlight w:val="none"/>
          <w:lang w:val="en-US" w:eastAsia="zh-CN"/>
        </w:rPr>
      </w:pPr>
      <w:r>
        <w:rPr>
          <w:rFonts w:hint="eastAsia" w:ascii="宋体" w:hAnsi="宋体" w:eastAsia="宋体" w:cs="宋体"/>
          <w:sz w:val="24"/>
          <w:highlight w:val="none"/>
        </w:rPr>
        <w:t xml:space="preserve">第3章  </w:t>
      </w:r>
      <w:r>
        <w:rPr>
          <w:rFonts w:hint="eastAsia" w:ascii="宋体" w:hAnsi="宋体" w:eastAsia="宋体" w:cs="宋体"/>
          <w:sz w:val="24"/>
          <w:highlight w:val="none"/>
          <w:lang w:val="en-US" w:eastAsia="zh-CN"/>
        </w:rPr>
        <w:t>总则</w:t>
      </w:r>
    </w:p>
    <w:p w14:paraId="64B9523D">
      <w:pPr>
        <w:spacing w:line="360" w:lineRule="auto"/>
        <w:ind w:left="901" w:leftChars="429"/>
        <w:rPr>
          <w:rFonts w:hint="eastAsia" w:ascii="宋体" w:hAnsi="宋体" w:eastAsia="宋体" w:cs="宋体"/>
          <w:sz w:val="24"/>
          <w:highlight w:val="none"/>
        </w:rPr>
      </w:pPr>
      <w:r>
        <w:rPr>
          <w:rFonts w:hint="eastAsia" w:ascii="宋体" w:hAnsi="宋体" w:eastAsia="宋体" w:cs="宋体"/>
          <w:sz w:val="24"/>
          <w:highlight w:val="none"/>
        </w:rPr>
        <w:t>第4章  投标文件格式</w:t>
      </w:r>
    </w:p>
    <w:p w14:paraId="6A1ED14C">
      <w:pPr>
        <w:spacing w:line="360" w:lineRule="auto"/>
        <w:ind w:left="901" w:leftChars="429"/>
        <w:rPr>
          <w:rFonts w:hint="eastAsia" w:ascii="宋体" w:hAnsi="宋体" w:eastAsia="宋体" w:cs="宋体"/>
          <w:sz w:val="24"/>
          <w:highlight w:val="none"/>
        </w:rPr>
      </w:pPr>
      <w:r>
        <w:rPr>
          <w:rFonts w:hint="eastAsia" w:ascii="宋体" w:hAnsi="宋体" w:eastAsia="宋体" w:cs="宋体"/>
          <w:sz w:val="24"/>
          <w:highlight w:val="none"/>
        </w:rPr>
        <w:t>第5章  项目服务需求及技术规格</w:t>
      </w:r>
    </w:p>
    <w:p w14:paraId="5097E1F2">
      <w:pPr>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第6章  评标方法和标准</w:t>
      </w:r>
    </w:p>
    <w:p w14:paraId="7567E7F0">
      <w:pPr>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第7章  政府采购合同格式</w:t>
      </w:r>
    </w:p>
    <w:p w14:paraId="41BD36BD">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5.2</w:t>
      </w:r>
      <w:r>
        <w:rPr>
          <w:rFonts w:hint="eastAsia" w:ascii="宋体" w:hAnsi="宋体" w:eastAsia="宋体" w:cs="宋体"/>
          <w:sz w:val="24"/>
          <w:highlight w:val="none"/>
        </w:rPr>
        <w:tab/>
      </w:r>
      <w:r>
        <w:rPr>
          <w:rFonts w:hint="eastAsia" w:ascii="宋体" w:hAnsi="宋体" w:eastAsia="宋体" w:cs="宋体"/>
          <w:sz w:val="24"/>
          <w:highlight w:val="none"/>
        </w:rPr>
        <w:t>如本文件的前后内容不一致，以最后描述为准。</w:t>
      </w:r>
    </w:p>
    <w:p w14:paraId="3DC57A4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287331E6">
      <w:pPr>
        <w:pStyle w:val="42"/>
        <w:spacing w:before="0" w:after="0" w:line="360" w:lineRule="auto"/>
        <w:rPr>
          <w:rFonts w:hint="eastAsia" w:ascii="宋体" w:hAnsi="宋体" w:eastAsia="宋体" w:cs="宋体"/>
          <w:highlight w:val="none"/>
          <w:u w:val="none"/>
        </w:rPr>
      </w:pPr>
      <w:bookmarkStart w:id="75" w:name="_Toc25261"/>
      <w:bookmarkEnd w:id="75"/>
      <w:bookmarkStart w:id="76" w:name="_Toc3735"/>
      <w:bookmarkEnd w:id="76"/>
      <w:bookmarkStart w:id="77" w:name="_Toc21314"/>
      <w:bookmarkEnd w:id="77"/>
      <w:bookmarkStart w:id="78" w:name="_Toc21110"/>
      <w:bookmarkEnd w:id="78"/>
      <w:bookmarkStart w:id="79" w:name="_Toc518923067"/>
      <w:bookmarkEnd w:id="79"/>
      <w:bookmarkStart w:id="80" w:name="_Toc520356148"/>
      <w:bookmarkEnd w:id="80"/>
      <w:r>
        <w:rPr>
          <w:rFonts w:hint="eastAsia" w:ascii="宋体" w:hAnsi="宋体" w:eastAsia="宋体" w:cs="宋体"/>
          <w:highlight w:val="none"/>
          <w:u w:val="none"/>
        </w:rPr>
        <w:t>6.招标文件的澄清与修改</w:t>
      </w:r>
    </w:p>
    <w:p w14:paraId="768CBD98">
      <w:pPr>
        <w:pStyle w:val="46"/>
        <w:spacing w:line="360" w:lineRule="auto"/>
        <w:ind w:left="840" w:hanging="840" w:hangingChars="350"/>
        <w:rPr>
          <w:rFonts w:hint="eastAsia" w:ascii="宋体" w:hAnsi="宋体" w:eastAsia="宋体" w:cs="宋体"/>
          <w:szCs w:val="24"/>
          <w:highlight w:val="none"/>
        </w:rPr>
      </w:pPr>
      <w:r>
        <w:rPr>
          <w:rFonts w:hint="eastAsia" w:ascii="宋体" w:hAnsi="宋体" w:eastAsia="宋体" w:cs="宋体"/>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14:paraId="054FEE12">
      <w:pPr>
        <w:pStyle w:val="46"/>
        <w:spacing w:line="360" w:lineRule="auto"/>
        <w:ind w:left="840" w:hanging="840" w:hangingChars="350"/>
        <w:rPr>
          <w:rFonts w:hint="eastAsia" w:ascii="宋体" w:hAnsi="宋体" w:eastAsia="宋体" w:cs="宋体"/>
          <w:szCs w:val="24"/>
          <w:highlight w:val="none"/>
        </w:rPr>
      </w:pPr>
      <w:r>
        <w:rPr>
          <w:rFonts w:hint="eastAsia" w:ascii="宋体" w:hAnsi="宋体" w:eastAsia="宋体" w:cs="宋体"/>
          <w:szCs w:val="24"/>
          <w:highlight w:val="none"/>
        </w:rPr>
        <w:t>6.2</w:t>
      </w:r>
      <w:r>
        <w:rPr>
          <w:rFonts w:hint="eastAsia" w:ascii="宋体" w:hAnsi="宋体" w:eastAsia="宋体" w:cs="宋体"/>
          <w:szCs w:val="24"/>
          <w:highlight w:val="none"/>
        </w:rPr>
        <w:tab/>
      </w:r>
      <w:r>
        <w:rPr>
          <w:rFonts w:hint="eastAsia" w:ascii="宋体" w:hAnsi="宋体" w:eastAsia="宋体" w:cs="宋体"/>
          <w:szCs w:val="24"/>
          <w:highlight w:val="none"/>
        </w:rPr>
        <w:t>采购人可主动地或在解答投标人提出的澄清问题时对招标文件澄清或修改。采购代理机构将以发布澄清（更正）公告的方式，澄清或修改招标文件，澄清或修改内容作为招标文件的组成部分。</w:t>
      </w:r>
    </w:p>
    <w:p w14:paraId="3B3726B1">
      <w:pPr>
        <w:pStyle w:val="46"/>
        <w:spacing w:line="360" w:lineRule="auto"/>
        <w:ind w:left="840" w:hanging="840" w:hangingChars="350"/>
        <w:rPr>
          <w:rFonts w:hint="eastAsia" w:ascii="宋体" w:hAnsi="宋体" w:eastAsia="宋体" w:cs="宋体"/>
          <w:szCs w:val="24"/>
          <w:highlight w:val="none"/>
        </w:rPr>
      </w:pPr>
      <w:r>
        <w:rPr>
          <w:rFonts w:hint="eastAsia" w:ascii="宋体" w:hAnsi="宋体" w:eastAsia="宋体" w:cs="宋体"/>
          <w:szCs w:val="24"/>
          <w:highlight w:val="none"/>
        </w:rPr>
        <w:t>6.3</w:t>
      </w:r>
      <w:r>
        <w:rPr>
          <w:rFonts w:hint="eastAsia" w:ascii="宋体" w:hAnsi="宋体" w:eastAsia="宋体" w:cs="宋体"/>
          <w:szCs w:val="24"/>
          <w:highlight w:val="none"/>
        </w:rPr>
        <w:tab/>
      </w:r>
      <w:r>
        <w:rPr>
          <w:rFonts w:hint="eastAsia" w:ascii="宋体" w:hAnsi="宋体" w:eastAsia="宋体" w:cs="宋体"/>
          <w:szCs w:val="24"/>
          <w:highlight w:val="none"/>
        </w:rPr>
        <w:t>澄清或者修改的内容可能影响投标文件编制的，采购代理机构将以发布澄清（更正）公告的方式告知所有潜在投标人，并对其具有约束力。</w:t>
      </w:r>
    </w:p>
    <w:p w14:paraId="7A17F760">
      <w:pPr>
        <w:pStyle w:val="42"/>
        <w:tabs>
          <w:tab w:val="left" w:pos="900"/>
        </w:tabs>
        <w:spacing w:before="0" w:after="0" w:line="360" w:lineRule="auto"/>
        <w:rPr>
          <w:rFonts w:hint="eastAsia" w:ascii="宋体" w:hAnsi="宋体" w:eastAsia="宋体" w:cs="宋体"/>
          <w:highlight w:val="none"/>
          <w:u w:val="none"/>
        </w:rPr>
      </w:pPr>
      <w:bookmarkStart w:id="81" w:name="_Toc25111"/>
      <w:bookmarkEnd w:id="81"/>
      <w:bookmarkStart w:id="82" w:name="_Toc518923068"/>
      <w:bookmarkEnd w:id="82"/>
      <w:bookmarkStart w:id="83" w:name="_Toc10994"/>
      <w:bookmarkEnd w:id="83"/>
      <w:bookmarkStart w:id="84" w:name="_Toc13430"/>
      <w:bookmarkEnd w:id="84"/>
      <w:bookmarkStart w:id="85" w:name="_Toc17979"/>
      <w:bookmarkEnd w:id="85"/>
      <w:r>
        <w:rPr>
          <w:rFonts w:hint="eastAsia" w:ascii="宋体" w:hAnsi="宋体" w:eastAsia="宋体" w:cs="宋体"/>
          <w:highlight w:val="none"/>
          <w:u w:val="none"/>
        </w:rPr>
        <w:t>7.投标截止时间的顺延</w:t>
      </w:r>
    </w:p>
    <w:p w14:paraId="0D6A5002">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为使投标人准备投标时有足够的时间对招标文件的澄清或者修改部分进行研究，采购人将依法决定是否顺延投标截止时间。</w:t>
      </w:r>
    </w:p>
    <w:p w14:paraId="2E4F73DC">
      <w:pPr>
        <w:spacing w:line="360" w:lineRule="auto"/>
        <w:ind w:left="900" w:hanging="900" w:hangingChars="375"/>
        <w:rPr>
          <w:rFonts w:hint="eastAsia" w:ascii="宋体" w:hAnsi="宋体" w:eastAsia="宋体" w:cs="宋体"/>
          <w:sz w:val="24"/>
          <w:highlight w:val="none"/>
        </w:rPr>
      </w:pPr>
    </w:p>
    <w:p w14:paraId="7C42C61B">
      <w:pPr>
        <w:pStyle w:val="41"/>
        <w:tabs>
          <w:tab w:val="left" w:pos="900"/>
        </w:tabs>
        <w:spacing w:before="0" w:line="360" w:lineRule="auto"/>
        <w:ind w:left="1080" w:leftChars="257" w:hanging="540"/>
        <w:rPr>
          <w:rFonts w:hint="eastAsia" w:ascii="宋体" w:hAnsi="宋体" w:eastAsia="宋体" w:cs="宋体"/>
          <w:sz w:val="28"/>
          <w:highlight w:val="none"/>
        </w:rPr>
      </w:pPr>
      <w:bookmarkStart w:id="86" w:name="_Toc12398"/>
      <w:bookmarkEnd w:id="86"/>
      <w:bookmarkStart w:id="87" w:name="_Toc520356150"/>
      <w:bookmarkEnd w:id="87"/>
      <w:bookmarkStart w:id="88" w:name="_Toc516367020"/>
      <w:bookmarkEnd w:id="88"/>
      <w:bookmarkStart w:id="89" w:name="_Toc10749"/>
      <w:bookmarkEnd w:id="89"/>
      <w:bookmarkStart w:id="90" w:name="_Toc24640"/>
      <w:bookmarkEnd w:id="90"/>
      <w:bookmarkStart w:id="91" w:name="_Toc518923069"/>
      <w:bookmarkEnd w:id="91"/>
      <w:bookmarkStart w:id="92" w:name="_Toc25389"/>
      <w:bookmarkEnd w:id="92"/>
      <w:bookmarkStart w:id="93" w:name="_Toc216582807"/>
      <w:bookmarkEnd w:id="93"/>
      <w:r>
        <w:rPr>
          <w:rFonts w:hint="eastAsia" w:ascii="宋体" w:hAnsi="宋体" w:eastAsia="宋体" w:cs="宋体"/>
          <w:sz w:val="28"/>
          <w:highlight w:val="none"/>
        </w:rPr>
        <w:t>三、投标文件的编制</w:t>
      </w:r>
    </w:p>
    <w:p w14:paraId="411EFCAB">
      <w:pPr>
        <w:pStyle w:val="46"/>
        <w:spacing w:line="360" w:lineRule="auto"/>
        <w:rPr>
          <w:rFonts w:hint="eastAsia" w:ascii="宋体" w:hAnsi="宋体" w:eastAsia="宋体" w:cs="宋体"/>
          <w:highlight w:val="none"/>
        </w:rPr>
      </w:pPr>
    </w:p>
    <w:p w14:paraId="01217040">
      <w:pPr>
        <w:pStyle w:val="42"/>
        <w:tabs>
          <w:tab w:val="left" w:pos="900"/>
        </w:tabs>
        <w:spacing w:before="0" w:after="0" w:line="360" w:lineRule="auto"/>
        <w:rPr>
          <w:rFonts w:hint="eastAsia" w:ascii="宋体" w:hAnsi="宋体" w:eastAsia="宋体" w:cs="宋体"/>
          <w:highlight w:val="none"/>
          <w:u w:val="none"/>
        </w:rPr>
      </w:pPr>
      <w:bookmarkStart w:id="94" w:name="_Toc24990"/>
      <w:bookmarkEnd w:id="94"/>
      <w:bookmarkStart w:id="95" w:name="_Toc25074"/>
      <w:bookmarkEnd w:id="95"/>
      <w:bookmarkStart w:id="96" w:name="_Toc516367021"/>
      <w:bookmarkEnd w:id="96"/>
      <w:bookmarkStart w:id="97" w:name="_Toc518923070"/>
      <w:bookmarkEnd w:id="97"/>
      <w:bookmarkStart w:id="98" w:name="_Toc520356151"/>
      <w:bookmarkEnd w:id="98"/>
      <w:bookmarkStart w:id="99" w:name="_Toc6728"/>
      <w:bookmarkEnd w:id="99"/>
      <w:bookmarkStart w:id="100" w:name="_Toc12703"/>
      <w:bookmarkEnd w:id="100"/>
      <w:r>
        <w:rPr>
          <w:rFonts w:hint="eastAsia" w:ascii="宋体" w:hAnsi="宋体" w:eastAsia="宋体" w:cs="宋体"/>
          <w:highlight w:val="none"/>
          <w:u w:val="none"/>
        </w:rPr>
        <w:t>8.</w:t>
      </w:r>
      <w:r>
        <w:rPr>
          <w:rFonts w:hint="eastAsia" w:ascii="宋体" w:hAnsi="宋体" w:eastAsia="宋体" w:cs="宋体"/>
          <w:highlight w:val="none"/>
          <w:u w:val="none"/>
        </w:rPr>
        <w:tab/>
      </w:r>
      <w:r>
        <w:rPr>
          <w:rFonts w:hint="eastAsia" w:ascii="宋体" w:hAnsi="宋体" w:eastAsia="宋体" w:cs="宋体"/>
          <w:highlight w:val="none"/>
          <w:u w:val="none"/>
        </w:rPr>
        <w:t>投标范围及投标文件中标准</w:t>
      </w:r>
      <w:r>
        <w:rPr>
          <w:rFonts w:hint="eastAsia" w:ascii="宋体" w:hAnsi="宋体" w:eastAsia="宋体" w:cs="宋体"/>
          <w:highlight w:val="none"/>
          <w:u w:val="none"/>
          <w:lang w:eastAsia="zh-CN"/>
        </w:rPr>
        <w:t>、</w:t>
      </w:r>
      <w:r>
        <w:rPr>
          <w:rFonts w:hint="eastAsia" w:ascii="宋体" w:hAnsi="宋体" w:eastAsia="宋体" w:cs="宋体"/>
          <w:highlight w:val="none"/>
          <w:u w:val="none"/>
          <w:lang w:val="en-US" w:eastAsia="zh-CN"/>
        </w:rPr>
        <w:t>语言</w:t>
      </w:r>
      <w:r>
        <w:rPr>
          <w:rFonts w:hint="eastAsia" w:ascii="宋体" w:hAnsi="宋体" w:eastAsia="宋体" w:cs="宋体"/>
          <w:highlight w:val="none"/>
          <w:u w:val="none"/>
        </w:rPr>
        <w:t>和计量单位的使用</w:t>
      </w:r>
    </w:p>
    <w:p w14:paraId="23AADD32">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8.1</w:t>
      </w:r>
      <w:r>
        <w:rPr>
          <w:rFonts w:hint="eastAsia" w:ascii="宋体" w:hAnsi="宋体" w:eastAsia="宋体" w:cs="宋体"/>
          <w:sz w:val="24"/>
          <w:highlight w:val="none"/>
        </w:rPr>
        <w:tab/>
      </w:r>
      <w:r>
        <w:rPr>
          <w:rFonts w:hint="eastAsia" w:ascii="宋体" w:hAnsi="宋体" w:eastAsia="宋体" w:cs="宋体"/>
          <w:sz w:val="24"/>
          <w:highlight w:val="none"/>
        </w:rPr>
        <w:t>项目有分包的，投标人可对招标文件其中一个或几个分包进行投标，除非在</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中另有规定。</w:t>
      </w:r>
    </w:p>
    <w:p w14:paraId="687936C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8.2    投标人应当对所投分包招标文件中“</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需求”所列的所有内容进行投标，如仅响应分包中的部分内容，其投标将被认定为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2C0343A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8.3     无论招标文件第5章</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需求中是否要求，投标人所投</w:t>
      </w:r>
      <w:r>
        <w:rPr>
          <w:rFonts w:hint="eastAsia" w:ascii="宋体" w:hAnsi="宋体" w:eastAsia="宋体" w:cs="宋体"/>
          <w:sz w:val="24"/>
          <w:highlight w:val="none"/>
          <w:lang w:val="en-US" w:eastAsia="zh-CN"/>
        </w:rPr>
        <w:t>产品</w:t>
      </w:r>
      <w:r>
        <w:rPr>
          <w:rFonts w:hint="eastAsia" w:ascii="宋体" w:hAnsi="宋体" w:eastAsia="宋体" w:cs="宋体"/>
          <w:sz w:val="24"/>
          <w:highlight w:val="none"/>
        </w:rPr>
        <w:t>均应符合国家强制性标准。</w:t>
      </w:r>
    </w:p>
    <w:p w14:paraId="5501CAE2">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8.4     投标人提交的投标文件以及投标人与交易中心就有关投标的所有来往通知、函件和文件均应使用简体中文。</w:t>
      </w:r>
    </w:p>
    <w:p w14:paraId="31DD3BA2">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8.5     </w:t>
      </w:r>
      <w:r>
        <w:rPr>
          <w:rFonts w:hint="eastAsia" w:ascii="宋体" w:hAnsi="宋体" w:eastAsia="宋体" w:cs="宋体"/>
          <w:sz w:val="24"/>
          <w:highlight w:val="none"/>
        </w:rPr>
        <w:t>除招标文件中有特殊要求外，投标文件中所使用的计量单位，应采用中华人民共和国法定计量单位。</w:t>
      </w:r>
    </w:p>
    <w:p w14:paraId="002AA13F">
      <w:pPr>
        <w:pStyle w:val="42"/>
        <w:tabs>
          <w:tab w:val="left" w:pos="900"/>
        </w:tabs>
        <w:spacing w:before="0" w:after="0" w:line="360" w:lineRule="auto"/>
        <w:rPr>
          <w:rFonts w:hint="eastAsia" w:ascii="宋体" w:hAnsi="宋体" w:eastAsia="宋体" w:cs="宋体"/>
          <w:highlight w:val="none"/>
          <w:u w:val="none"/>
        </w:rPr>
      </w:pPr>
      <w:bookmarkStart w:id="101" w:name="_Toc520356152"/>
      <w:bookmarkEnd w:id="101"/>
      <w:bookmarkStart w:id="102" w:name="_Ref467306195"/>
      <w:bookmarkEnd w:id="102"/>
      <w:bookmarkStart w:id="103" w:name="_Toc30846"/>
      <w:bookmarkEnd w:id="103"/>
      <w:bookmarkStart w:id="104" w:name="_Toc516367022"/>
      <w:bookmarkEnd w:id="104"/>
      <w:bookmarkStart w:id="105" w:name="_Toc29101"/>
      <w:bookmarkEnd w:id="105"/>
      <w:bookmarkStart w:id="106" w:name="_Toc518923071"/>
      <w:bookmarkEnd w:id="106"/>
      <w:bookmarkStart w:id="107" w:name="_Ref467306676"/>
      <w:bookmarkEnd w:id="107"/>
      <w:bookmarkStart w:id="108" w:name="_Toc15487"/>
      <w:bookmarkEnd w:id="108"/>
      <w:bookmarkStart w:id="109" w:name="_Toc12543"/>
      <w:bookmarkEnd w:id="109"/>
      <w:r>
        <w:rPr>
          <w:rFonts w:hint="eastAsia" w:ascii="宋体" w:hAnsi="宋体" w:eastAsia="宋体" w:cs="宋体"/>
          <w:highlight w:val="none"/>
          <w:u w:val="none"/>
        </w:rPr>
        <w:t>9.投标文件构成</w:t>
      </w:r>
    </w:p>
    <w:p w14:paraId="60887BE9">
      <w:pPr>
        <w:tabs>
          <w:tab w:val="left" w:pos="900"/>
          <w:tab w:val="left" w:pos="5580"/>
        </w:tabs>
        <w:spacing w:line="360" w:lineRule="auto"/>
        <w:ind w:left="960" w:hanging="960" w:hangingChars="400"/>
        <w:jc w:val="both"/>
        <w:rPr>
          <w:rFonts w:hint="eastAsia" w:ascii="宋体" w:hAnsi="宋体" w:eastAsia="宋体" w:cs="宋体"/>
          <w:b w:val="0"/>
          <w:bCs w:val="0"/>
          <w:sz w:val="24"/>
          <w:highlight w:val="none"/>
        </w:rPr>
      </w:pPr>
      <w:bookmarkStart w:id="110" w:name="_Ref467052588"/>
      <w:bookmarkEnd w:id="110"/>
      <w:r>
        <w:rPr>
          <w:rFonts w:hint="eastAsia" w:ascii="宋体" w:hAnsi="宋体" w:eastAsia="宋体" w:cs="宋体"/>
          <w:sz w:val="24"/>
          <w:highlight w:val="none"/>
        </w:rPr>
        <w:t xml:space="preserve">9.1    </w:t>
      </w:r>
      <w:r>
        <w:rPr>
          <w:rFonts w:hint="eastAsia" w:ascii="宋体" w:hAnsi="宋体" w:eastAsia="宋体" w:cs="宋体"/>
          <w:sz w:val="24"/>
          <w:highlight w:val="none"/>
          <w:lang w:val="en-US" w:eastAsia="zh-CN"/>
        </w:rPr>
        <w:t xml:space="preserve"> </w:t>
      </w:r>
      <w:r>
        <w:rPr>
          <w:rFonts w:hint="eastAsia" w:ascii="宋体" w:hAnsi="宋体" w:eastAsia="宋体" w:cs="宋体"/>
          <w:b/>
          <w:bCs/>
          <w:sz w:val="24"/>
          <w:highlight w:val="none"/>
          <w:u w:val="single"/>
        </w:rPr>
        <w:t>投标人应完整地按</w:t>
      </w:r>
      <w:r>
        <w:rPr>
          <w:rFonts w:hint="eastAsia" w:ascii="宋体" w:hAnsi="宋体" w:eastAsia="宋体" w:cs="宋体"/>
          <w:b/>
          <w:bCs/>
          <w:sz w:val="24"/>
          <w:highlight w:val="none"/>
          <w:u w:val="single"/>
          <w:lang w:eastAsia="zh-CN"/>
        </w:rPr>
        <w:t>招标文件</w:t>
      </w:r>
      <w:r>
        <w:rPr>
          <w:rFonts w:hint="eastAsia" w:ascii="宋体" w:hAnsi="宋体" w:eastAsia="宋体" w:cs="宋体"/>
          <w:b/>
          <w:bCs/>
          <w:sz w:val="24"/>
          <w:highlight w:val="none"/>
          <w:u w:val="single"/>
        </w:rPr>
        <w:t>提供的投标文件格式及要求编写投标文件，投标文件应包括“资格证明文件”和“商务及技术文件”两</w:t>
      </w:r>
      <w:r>
        <w:rPr>
          <w:rFonts w:hint="eastAsia" w:ascii="宋体" w:hAnsi="宋体" w:eastAsia="宋体" w:cs="宋体"/>
          <w:b/>
          <w:bCs/>
          <w:sz w:val="24"/>
          <w:highlight w:val="none"/>
          <w:u w:val="thick"/>
        </w:rPr>
        <w:t>部分，</w:t>
      </w:r>
      <w:r>
        <w:rPr>
          <w:rFonts w:hint="eastAsia" w:ascii="宋体" w:hAnsi="宋体" w:eastAsia="宋体" w:cs="宋体"/>
          <w:b/>
          <w:bCs/>
          <w:sz w:val="24"/>
          <w:highlight w:val="none"/>
          <w:u w:val="thick"/>
          <w:lang w:val="en-US" w:eastAsia="zh-CN"/>
        </w:rPr>
        <w:t>投标人要</w:t>
      </w:r>
      <w:r>
        <w:rPr>
          <w:rFonts w:hint="eastAsia" w:ascii="宋体" w:hAnsi="宋体" w:eastAsia="宋体" w:cs="宋体"/>
          <w:b/>
          <w:bCs/>
          <w:sz w:val="24"/>
          <w:highlight w:val="none"/>
          <w:u w:val="thick"/>
        </w:rPr>
        <w:t>严格按照政采云电子投标流程制作并上传电子响应文件（供应商应完整地按</w:t>
      </w:r>
      <w:r>
        <w:rPr>
          <w:rFonts w:hint="eastAsia" w:ascii="宋体" w:hAnsi="宋体" w:eastAsia="宋体" w:cs="宋体"/>
          <w:b/>
          <w:bCs/>
          <w:sz w:val="24"/>
          <w:highlight w:val="none"/>
          <w:u w:val="thick"/>
          <w:lang w:eastAsia="zh-CN"/>
        </w:rPr>
        <w:t>招标文件</w:t>
      </w:r>
      <w:r>
        <w:rPr>
          <w:rFonts w:hint="eastAsia" w:ascii="宋体" w:hAnsi="宋体" w:eastAsia="宋体" w:cs="宋体"/>
          <w:b/>
          <w:bCs/>
          <w:sz w:val="24"/>
          <w:highlight w:val="none"/>
          <w:u w:val="thick"/>
        </w:rPr>
        <w:t>提供的响应文件格式及要求编写响应文件，商务及技术文件</w:t>
      </w:r>
      <w:r>
        <w:rPr>
          <w:rFonts w:hint="eastAsia" w:ascii="宋体" w:hAnsi="宋体" w:eastAsia="宋体" w:cs="宋体"/>
          <w:b/>
          <w:bCs/>
          <w:sz w:val="24"/>
          <w:highlight w:val="none"/>
          <w:u w:val="thick"/>
          <w:lang w:val="en-US" w:eastAsia="zh-CN"/>
        </w:rPr>
        <w:t>按招标文件模板全部上传，</w:t>
      </w:r>
      <w:r>
        <w:rPr>
          <w:rFonts w:hint="eastAsia" w:ascii="宋体" w:hAnsi="宋体" w:eastAsia="宋体" w:cs="宋体"/>
          <w:b/>
          <w:bCs/>
          <w:sz w:val="24"/>
          <w:highlight w:val="none"/>
          <w:u w:val="thick"/>
        </w:rPr>
        <w:t>供应商须在投标截止时间前完成在系统上递交电子响应文件。供应商的电子响应文件是经过CA证书加密后上传提交的，任何单位或个人均无法在投标截止时间(即</w:t>
      </w:r>
      <w:r>
        <w:rPr>
          <w:rFonts w:hint="eastAsia" w:ascii="宋体" w:hAnsi="宋体" w:eastAsia="宋体" w:cs="宋体"/>
          <w:b/>
          <w:bCs/>
          <w:sz w:val="24"/>
          <w:highlight w:val="none"/>
          <w:u w:val="thick"/>
          <w:lang w:val="en-US" w:eastAsia="zh-CN"/>
        </w:rPr>
        <w:t>开标</w:t>
      </w:r>
      <w:r>
        <w:rPr>
          <w:rFonts w:hint="eastAsia" w:ascii="宋体" w:hAnsi="宋体" w:eastAsia="宋体" w:cs="宋体"/>
          <w:b/>
          <w:bCs/>
          <w:sz w:val="24"/>
          <w:highlight w:val="none"/>
          <w:u w:val="thick"/>
        </w:rPr>
        <w:t>时间)之前查看或篡改，不存在泄密风险。</w:t>
      </w:r>
    </w:p>
    <w:p w14:paraId="17C784CB">
      <w:pPr>
        <w:spacing w:line="360" w:lineRule="auto"/>
        <w:ind w:left="900" w:hanging="900" w:hangingChars="375"/>
        <w:rPr>
          <w:rFonts w:hint="eastAsia" w:ascii="宋体" w:hAnsi="宋体" w:eastAsia="宋体" w:cs="宋体"/>
          <w:b/>
          <w:bCs/>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9.2    上述文件应按照招标文件规定的格式填写、签署和盖章。若投标人未依照要求制作投标文件的，未提供响应资料的，则视为不响应招标文件编制投标文件的要求，</w:t>
      </w:r>
      <w:r>
        <w:rPr>
          <w:rFonts w:hint="eastAsia" w:ascii="宋体" w:hAnsi="宋体" w:eastAsia="宋体" w:cs="宋体"/>
          <w:b/>
          <w:bCs/>
          <w:sz w:val="24"/>
          <w:highlight w:val="none"/>
        </w:rPr>
        <w:t>为无效投标。</w:t>
      </w:r>
    </w:p>
    <w:p w14:paraId="436D5CC2">
      <w:pPr>
        <w:spacing w:line="360" w:lineRule="auto"/>
        <w:ind w:left="960" w:leftChars="457" w:firstLine="60" w:firstLineChars="25"/>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注:电子版响应文件内所有资格证明文件，供应商须逐页加盖电子签章.</w:t>
      </w:r>
    </w:p>
    <w:p w14:paraId="3D0E9C9C">
      <w:pPr>
        <w:pStyle w:val="42"/>
        <w:tabs>
          <w:tab w:val="left" w:pos="900"/>
        </w:tabs>
        <w:spacing w:before="0" w:after="0" w:line="360" w:lineRule="auto"/>
        <w:rPr>
          <w:rFonts w:hint="eastAsia" w:ascii="宋体" w:hAnsi="宋体" w:eastAsia="宋体" w:cs="宋体"/>
          <w:highlight w:val="none"/>
          <w:u w:val="none"/>
        </w:rPr>
      </w:pPr>
      <w:bookmarkStart w:id="111" w:name="_Toc15670"/>
      <w:bookmarkEnd w:id="111"/>
      <w:bookmarkStart w:id="112" w:name="_Toc508185920"/>
      <w:bookmarkEnd w:id="112"/>
      <w:bookmarkStart w:id="113" w:name="_Toc1889"/>
      <w:bookmarkEnd w:id="113"/>
      <w:bookmarkStart w:id="114" w:name="_Toc11736"/>
      <w:bookmarkEnd w:id="114"/>
      <w:bookmarkStart w:id="115" w:name="_Toc518923072"/>
      <w:bookmarkEnd w:id="115"/>
      <w:bookmarkStart w:id="116" w:name="_Toc516367023"/>
      <w:bookmarkEnd w:id="116"/>
      <w:bookmarkStart w:id="117" w:name="_Toc520356153"/>
      <w:bookmarkEnd w:id="117"/>
      <w:bookmarkStart w:id="118" w:name="_Toc2671"/>
      <w:bookmarkEnd w:id="118"/>
      <w:r>
        <w:rPr>
          <w:rFonts w:hint="eastAsia" w:ascii="宋体" w:hAnsi="宋体" w:eastAsia="宋体" w:cs="宋体"/>
          <w:highlight w:val="none"/>
          <w:u w:val="none"/>
        </w:rPr>
        <w:t>10.</w:t>
      </w:r>
      <w:r>
        <w:rPr>
          <w:rFonts w:hint="eastAsia" w:ascii="宋体" w:hAnsi="宋体" w:eastAsia="宋体" w:cs="宋体"/>
          <w:highlight w:val="none"/>
          <w:u w:val="none"/>
        </w:rPr>
        <w:tab/>
      </w:r>
      <w:r>
        <w:rPr>
          <w:rFonts w:hint="eastAsia" w:ascii="宋体" w:hAnsi="宋体" w:eastAsia="宋体" w:cs="宋体"/>
          <w:highlight w:val="none"/>
          <w:u w:val="none"/>
        </w:rPr>
        <w:t>证明投标标的的合格性和符合招标文件规定的响应文件</w:t>
      </w:r>
    </w:p>
    <w:p w14:paraId="36B1D75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10.1</w:t>
      </w:r>
      <w:r>
        <w:rPr>
          <w:rFonts w:hint="eastAsia" w:ascii="宋体" w:hAnsi="宋体" w:eastAsia="宋体" w:cs="宋体"/>
          <w:sz w:val="24"/>
          <w:highlight w:val="none"/>
        </w:rPr>
        <w:tab/>
      </w:r>
      <w:r>
        <w:rPr>
          <w:rFonts w:hint="eastAsia" w:ascii="宋体" w:hAnsi="宋体" w:eastAsia="宋体" w:cs="宋体"/>
          <w:sz w:val="24"/>
          <w:highlight w:val="none"/>
        </w:rPr>
        <w:t>投标人应提交证明文件，证明其投标内容符合招标文件规定。该证明文件是投标文件的一部分。</w:t>
      </w:r>
    </w:p>
    <w:p w14:paraId="247D6635">
      <w:pPr>
        <w:spacing w:line="360" w:lineRule="auto"/>
        <w:ind w:left="900" w:hanging="900" w:hangingChars="375"/>
        <w:rPr>
          <w:rFonts w:hint="eastAsia" w:ascii="宋体" w:hAnsi="宋体" w:eastAsia="宋体" w:cs="宋体"/>
          <w:sz w:val="24"/>
          <w:highlight w:val="none"/>
        </w:rPr>
      </w:pPr>
      <w:bookmarkStart w:id="119" w:name="_Ref467306244"/>
      <w:bookmarkEnd w:id="119"/>
      <w:r>
        <w:rPr>
          <w:rFonts w:hint="eastAsia" w:ascii="宋体" w:hAnsi="宋体" w:eastAsia="宋体" w:cs="宋体"/>
          <w:sz w:val="24"/>
          <w:highlight w:val="none"/>
        </w:rPr>
        <w:t>10.2</w:t>
      </w:r>
      <w:r>
        <w:rPr>
          <w:rFonts w:hint="eastAsia" w:ascii="宋体" w:hAnsi="宋体" w:eastAsia="宋体" w:cs="宋体"/>
          <w:sz w:val="24"/>
          <w:highlight w:val="none"/>
        </w:rPr>
        <w:tab/>
      </w:r>
      <w:r>
        <w:rPr>
          <w:rFonts w:hint="eastAsia" w:ascii="宋体" w:hAnsi="宋体" w:eastAsia="宋体" w:cs="宋体"/>
          <w:sz w:val="24"/>
          <w:highlight w:val="none"/>
        </w:rPr>
        <w:t>上款所述的证明文件，可以是文字资料、图纸和数据。</w:t>
      </w:r>
    </w:p>
    <w:p w14:paraId="5B956AA0">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10.2.1</w:t>
      </w:r>
      <w:r>
        <w:rPr>
          <w:rFonts w:hint="eastAsia" w:ascii="宋体" w:hAnsi="宋体" w:eastAsia="宋体" w:cs="宋体"/>
          <w:sz w:val="24"/>
          <w:highlight w:val="none"/>
        </w:rPr>
        <w:tab/>
      </w:r>
      <w:r>
        <w:rPr>
          <w:rFonts w:hint="eastAsia" w:ascii="宋体" w:hAnsi="宋体" w:eastAsia="宋体" w:cs="宋体"/>
          <w:sz w:val="24"/>
          <w:highlight w:val="none"/>
        </w:rPr>
        <w:t>设备主要技术指标的详细说明；</w:t>
      </w:r>
    </w:p>
    <w:p w14:paraId="6C48B7C1">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10.2.2</w:t>
      </w:r>
      <w:r>
        <w:rPr>
          <w:rFonts w:hint="eastAsia" w:ascii="宋体" w:hAnsi="宋体" w:eastAsia="宋体" w:cs="宋体"/>
          <w:sz w:val="24"/>
          <w:highlight w:val="none"/>
        </w:rPr>
        <w:tab/>
      </w:r>
      <w:r>
        <w:rPr>
          <w:rFonts w:hint="eastAsia" w:ascii="宋体" w:hAnsi="宋体" w:eastAsia="宋体" w:cs="宋体"/>
          <w:sz w:val="24"/>
          <w:highlight w:val="none"/>
        </w:rPr>
        <w:t>货物从买方开始使用至招标文件规定的保质期内正常、连续地使用所必须的备件和专用工具清单，包括备件和专用工具的货源及现行价格；</w:t>
      </w:r>
    </w:p>
    <w:p w14:paraId="7341BC4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10.2.3</w:t>
      </w:r>
      <w:r>
        <w:rPr>
          <w:rFonts w:hint="eastAsia" w:ascii="宋体" w:hAnsi="宋体" w:eastAsia="宋体" w:cs="宋体"/>
          <w:sz w:val="24"/>
          <w:highlight w:val="none"/>
        </w:rPr>
        <w:tab/>
      </w:r>
      <w:r>
        <w:rPr>
          <w:rFonts w:hint="eastAsia" w:ascii="宋体" w:hAnsi="宋体" w:eastAsia="宋体" w:cs="宋体"/>
          <w:sz w:val="24"/>
          <w:highlight w:val="none"/>
        </w:rPr>
        <w:t>对照招标文件技术规格，逐条说明所提供货物及伴随的工程和货物已对招标文件的技术规格做出了实质性的响应，或申明与技术规格条文的偏差和例外。</w:t>
      </w:r>
    </w:p>
    <w:p w14:paraId="4341D0C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10.3</w:t>
      </w:r>
      <w:r>
        <w:rPr>
          <w:rFonts w:hint="eastAsia" w:ascii="宋体" w:hAnsi="宋体" w:eastAsia="宋体" w:cs="宋体"/>
          <w:sz w:val="24"/>
          <w:highlight w:val="none"/>
        </w:rPr>
        <w:tab/>
      </w:r>
      <w:r>
        <w:rPr>
          <w:rFonts w:hint="eastAsia" w:ascii="宋体" w:hAnsi="宋体" w:eastAsia="宋体" w:cs="宋体"/>
          <w:b/>
          <w:bCs/>
          <w:sz w:val="24"/>
          <w:highlight w:val="none"/>
        </w:rPr>
        <w:t>供应商在投标中可以选用替代牌号或分类号，但这些替代要实质上相当于技术规格的要求。采购人、采购代理机构承诺不以上述参照品牌型号或分类号作为评标时判定其投标是否有效的标准。</w:t>
      </w:r>
    </w:p>
    <w:p w14:paraId="0153C154">
      <w:pPr>
        <w:pStyle w:val="42"/>
        <w:spacing w:before="0" w:after="0" w:line="360" w:lineRule="auto"/>
        <w:rPr>
          <w:rFonts w:hint="eastAsia" w:ascii="宋体" w:hAnsi="宋体" w:eastAsia="宋体" w:cs="宋体"/>
          <w:highlight w:val="none"/>
          <w:u w:val="none"/>
        </w:rPr>
      </w:pPr>
      <w:bookmarkStart w:id="120" w:name="_Toc32744"/>
      <w:bookmarkEnd w:id="120"/>
      <w:bookmarkStart w:id="121" w:name="_Toc518923073"/>
      <w:bookmarkEnd w:id="121"/>
      <w:bookmarkStart w:id="122" w:name="_Toc16574"/>
      <w:bookmarkEnd w:id="122"/>
      <w:bookmarkStart w:id="123" w:name="_Toc13028"/>
      <w:bookmarkEnd w:id="123"/>
      <w:bookmarkStart w:id="124" w:name="_Toc8529"/>
      <w:bookmarkEnd w:id="124"/>
      <w:r>
        <w:rPr>
          <w:rFonts w:hint="eastAsia" w:ascii="宋体" w:hAnsi="宋体" w:eastAsia="宋体" w:cs="宋体"/>
          <w:highlight w:val="none"/>
          <w:u w:val="none"/>
        </w:rPr>
        <w:t>11.投标报价</w:t>
      </w:r>
    </w:p>
    <w:p w14:paraId="74A94556">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11.1</w:t>
      </w:r>
      <w:r>
        <w:rPr>
          <w:rFonts w:hint="eastAsia" w:ascii="宋体" w:hAnsi="宋体" w:eastAsia="宋体" w:cs="宋体"/>
          <w:sz w:val="24"/>
          <w:highlight w:val="none"/>
        </w:rPr>
        <w:tab/>
      </w:r>
      <w:r>
        <w:rPr>
          <w:rFonts w:hint="eastAsia" w:ascii="宋体" w:hAnsi="宋体" w:eastAsia="宋体" w:cs="宋体"/>
          <w:sz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1D86E2E7">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11.2</w:t>
      </w:r>
      <w:r>
        <w:rPr>
          <w:rFonts w:hint="eastAsia" w:ascii="宋体" w:hAnsi="宋体" w:eastAsia="宋体" w:cs="宋体"/>
          <w:sz w:val="24"/>
          <w:highlight w:val="none"/>
        </w:rPr>
        <w:tab/>
      </w:r>
      <w:r>
        <w:rPr>
          <w:rFonts w:hint="eastAsia" w:ascii="宋体" w:hAnsi="宋体" w:eastAsia="宋体" w:cs="宋体"/>
          <w:sz w:val="24"/>
          <w:highlight w:val="none"/>
        </w:rPr>
        <w:t>投标人应在投标分项报价表上标明分项服务的价格（如适用）和总价，并由法定代表人或其委托代理人签署。</w:t>
      </w:r>
    </w:p>
    <w:p w14:paraId="7DE4435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11.3</w:t>
      </w:r>
      <w:r>
        <w:rPr>
          <w:rFonts w:hint="eastAsia" w:ascii="宋体" w:hAnsi="宋体" w:eastAsia="宋体" w:cs="宋体"/>
          <w:sz w:val="24"/>
          <w:highlight w:val="none"/>
        </w:rPr>
        <w:tab/>
      </w:r>
      <w:r>
        <w:rPr>
          <w:rFonts w:hint="eastAsia" w:ascii="宋体" w:hAnsi="宋体" w:eastAsia="宋体" w:cs="宋体"/>
          <w:sz w:val="24"/>
          <w:highlight w:val="none"/>
        </w:rPr>
        <w:t>投标分项报价表上的价格应按下列方式填写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按响应文件第二部分格式填写</w:t>
      </w:r>
      <w:r>
        <w:rPr>
          <w:rFonts w:hint="eastAsia" w:ascii="宋体" w:hAnsi="宋体" w:eastAsia="宋体" w:cs="宋体"/>
          <w:sz w:val="24"/>
          <w:highlight w:val="none"/>
          <w:lang w:eastAsia="zh-CN"/>
        </w:rPr>
        <w:t>）</w:t>
      </w:r>
      <w:r>
        <w:rPr>
          <w:rFonts w:hint="eastAsia" w:ascii="宋体" w:hAnsi="宋体" w:eastAsia="宋体" w:cs="宋体"/>
          <w:sz w:val="24"/>
          <w:highlight w:val="none"/>
        </w:rPr>
        <w:t>：</w:t>
      </w:r>
    </w:p>
    <w:p w14:paraId="56591516">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11.3.1  投标货物（包括备品备件、专用工具等）的出厂价（包括已在中国国内的进口货物完税后的仓库交货价、展室交货价或货架交货价），投标货物安装、调试、检验、技术服务和培训等费用；</w:t>
      </w:r>
    </w:p>
    <w:p w14:paraId="3E3C441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11.3.2  货物运至最终目的地的运输费和保险费用。</w:t>
      </w:r>
    </w:p>
    <w:p w14:paraId="2AC787F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11.4</w:t>
      </w:r>
      <w:r>
        <w:rPr>
          <w:rFonts w:hint="eastAsia" w:ascii="宋体" w:hAnsi="宋体" w:eastAsia="宋体" w:cs="宋体"/>
          <w:sz w:val="24"/>
          <w:highlight w:val="none"/>
        </w:rPr>
        <w:tab/>
      </w:r>
      <w:r>
        <w:rPr>
          <w:rFonts w:hint="eastAsia" w:ascii="宋体" w:hAnsi="宋体" w:eastAsia="宋体" w:cs="宋体"/>
          <w:sz w:val="24"/>
          <w:highlight w:val="none"/>
        </w:rPr>
        <w:t>投标人所报的各分项投标报价在合同履行过程中是固定不变的，不得以任何理由予以变更。任何包含价格调整要求的投标，将被认定为</w:t>
      </w:r>
      <w:r>
        <w:rPr>
          <w:rFonts w:hint="eastAsia" w:ascii="宋体" w:hAnsi="宋体" w:eastAsia="宋体" w:cs="宋体"/>
          <w:b/>
          <w:bCs/>
          <w:sz w:val="24"/>
          <w:highlight w:val="none"/>
        </w:rPr>
        <w:t>投标无效。</w:t>
      </w:r>
    </w:p>
    <w:p w14:paraId="492B6363">
      <w:pPr>
        <w:pStyle w:val="67"/>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11.5</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每种货物只能有一个投标报价。采购人不接受具有附加条件的报价。</w:t>
      </w:r>
    </w:p>
    <w:p w14:paraId="64833E4B">
      <w:pPr>
        <w:pStyle w:val="42"/>
        <w:spacing w:before="0" w:after="0" w:line="360" w:lineRule="auto"/>
        <w:rPr>
          <w:rFonts w:hint="eastAsia" w:ascii="宋体" w:hAnsi="宋体" w:eastAsia="宋体" w:cs="宋体"/>
          <w:highlight w:val="none"/>
          <w:u w:val="none"/>
        </w:rPr>
      </w:pPr>
      <w:bookmarkStart w:id="125" w:name="_Ref467306513"/>
      <w:bookmarkEnd w:id="125"/>
      <w:bookmarkStart w:id="126" w:name="_Toc19591"/>
      <w:bookmarkEnd w:id="126"/>
      <w:bookmarkStart w:id="127" w:name="_Toc18305"/>
      <w:bookmarkEnd w:id="127"/>
      <w:bookmarkStart w:id="128" w:name="_Toc24515"/>
      <w:bookmarkEnd w:id="128"/>
      <w:bookmarkStart w:id="129" w:name="_Toc520356156"/>
      <w:bookmarkEnd w:id="129"/>
      <w:bookmarkStart w:id="130" w:name="_Toc518923074"/>
      <w:bookmarkEnd w:id="130"/>
      <w:bookmarkStart w:id="131" w:name="_Toc16199"/>
      <w:bookmarkEnd w:id="131"/>
      <w:r>
        <w:rPr>
          <w:rFonts w:hint="eastAsia" w:ascii="宋体" w:hAnsi="宋体" w:eastAsia="宋体" w:cs="宋体"/>
          <w:highlight w:val="none"/>
          <w:u w:val="none"/>
        </w:rPr>
        <w:t>12.投标保证金</w:t>
      </w:r>
    </w:p>
    <w:p w14:paraId="081198ED">
      <w:pPr>
        <w:spacing w:line="360" w:lineRule="auto"/>
        <w:ind w:left="900" w:hanging="900" w:hangingChars="375"/>
        <w:rPr>
          <w:rFonts w:hint="eastAsia" w:ascii="宋体" w:hAnsi="宋体" w:eastAsia="宋体" w:cs="宋体"/>
          <w:sz w:val="24"/>
          <w:highlight w:val="none"/>
        </w:rPr>
      </w:pPr>
      <w:bookmarkStart w:id="132" w:name="_Ref467306302"/>
      <w:bookmarkEnd w:id="132"/>
      <w:r>
        <w:rPr>
          <w:rFonts w:hint="eastAsia" w:ascii="宋体" w:hAnsi="宋体" w:eastAsia="宋体" w:cs="宋体"/>
          <w:sz w:val="24"/>
          <w:highlight w:val="none"/>
        </w:rPr>
        <w:t>12.1</w:t>
      </w:r>
      <w:r>
        <w:rPr>
          <w:rFonts w:hint="eastAsia" w:ascii="宋体" w:hAnsi="宋体" w:eastAsia="宋体" w:cs="宋体"/>
          <w:sz w:val="24"/>
          <w:highlight w:val="none"/>
        </w:rPr>
        <w:tab/>
      </w:r>
      <w:r>
        <w:rPr>
          <w:rFonts w:hint="eastAsia" w:ascii="宋体" w:hAnsi="宋体" w:eastAsia="宋体" w:cs="宋体"/>
          <w:sz w:val="24"/>
          <w:highlight w:val="none"/>
        </w:rPr>
        <w:t>投标人应提交</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中规定的投标保证金，并作为其投标的一部分。</w:t>
      </w:r>
    </w:p>
    <w:p w14:paraId="525E29A1">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12.2</w:t>
      </w:r>
      <w:r>
        <w:rPr>
          <w:rFonts w:hint="eastAsia" w:ascii="宋体" w:hAnsi="宋体" w:eastAsia="宋体" w:cs="宋体"/>
          <w:sz w:val="24"/>
          <w:highlight w:val="none"/>
        </w:rPr>
        <w:tab/>
      </w:r>
      <w:r>
        <w:rPr>
          <w:rFonts w:hint="eastAsia" w:ascii="宋体" w:hAnsi="宋体" w:eastAsia="宋体" w:cs="宋体"/>
          <w:sz w:val="24"/>
          <w:highlight w:val="none"/>
        </w:rPr>
        <w:t>投标人存在下列情形的，投标保证金不予退还：</w:t>
      </w:r>
    </w:p>
    <w:p w14:paraId="31A9A5F6">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（1）在投标有效期内，撤销投标的；</w:t>
      </w:r>
    </w:p>
    <w:p w14:paraId="17CD5784">
      <w:pPr>
        <w:pStyle w:val="51"/>
        <w:tabs>
          <w:tab w:val="left" w:pos="2240"/>
        </w:tabs>
        <w:spacing w:line="360" w:lineRule="auto"/>
        <w:ind w:left="1079" w:leftChars="371" w:hanging="300" w:hangingChars="125"/>
        <w:rPr>
          <w:rFonts w:hint="eastAsia" w:ascii="宋体" w:hAnsi="宋体" w:eastAsia="宋体" w:cs="宋体"/>
          <w:sz w:val="24"/>
          <w:highlight w:val="none"/>
        </w:rPr>
      </w:pPr>
      <w:r>
        <w:rPr>
          <w:rFonts w:hint="eastAsia" w:ascii="宋体" w:hAnsi="宋体" w:eastAsia="宋体" w:cs="宋体"/>
          <w:sz w:val="24"/>
          <w:highlight w:val="none"/>
        </w:rPr>
        <w:t>（2）中标后不按本须知第30条的规定与采购人签订合同的；</w:t>
      </w:r>
    </w:p>
    <w:p w14:paraId="21355907">
      <w:pPr>
        <w:pStyle w:val="51"/>
        <w:tabs>
          <w:tab w:val="left" w:pos="2240"/>
        </w:tabs>
        <w:spacing w:line="360" w:lineRule="auto"/>
        <w:ind w:left="1079" w:leftChars="371" w:hanging="300" w:hangingChars="125"/>
        <w:rPr>
          <w:rFonts w:hint="eastAsia" w:ascii="宋体" w:hAnsi="宋体" w:eastAsia="宋体" w:cs="宋体"/>
          <w:sz w:val="24"/>
          <w:highlight w:val="none"/>
        </w:rPr>
      </w:pPr>
      <w:r>
        <w:rPr>
          <w:rFonts w:hint="eastAsia" w:ascii="宋体" w:hAnsi="宋体" w:eastAsia="宋体" w:cs="宋体"/>
          <w:sz w:val="24"/>
          <w:highlight w:val="none"/>
        </w:rPr>
        <w:t>（3）中标后不按本须知第31条的规定提交履约保证金的；</w:t>
      </w:r>
    </w:p>
    <w:p w14:paraId="095F5036">
      <w:pPr>
        <w:pStyle w:val="51"/>
        <w:tabs>
          <w:tab w:val="left" w:pos="2240"/>
        </w:tabs>
        <w:spacing w:line="360" w:lineRule="auto"/>
        <w:ind w:left="1079" w:leftChars="371" w:hanging="300" w:hangingChars="125"/>
        <w:rPr>
          <w:rFonts w:hint="eastAsia" w:ascii="宋体" w:hAnsi="宋体" w:eastAsia="宋体" w:cs="宋体"/>
          <w:sz w:val="24"/>
          <w:highlight w:val="none"/>
        </w:rPr>
      </w:pPr>
      <w:r>
        <w:rPr>
          <w:rFonts w:hint="eastAsia" w:ascii="宋体" w:hAnsi="宋体" w:eastAsia="宋体" w:cs="宋体"/>
          <w:sz w:val="24"/>
          <w:highlight w:val="none"/>
        </w:rPr>
        <w:t>（4）中标后不按本须知第32条的规定缴纳中标服务费的；</w:t>
      </w:r>
    </w:p>
    <w:p w14:paraId="6FE6752A">
      <w:pPr>
        <w:pStyle w:val="51"/>
        <w:tabs>
          <w:tab w:val="left" w:pos="2240"/>
        </w:tabs>
        <w:spacing w:line="360" w:lineRule="auto"/>
        <w:ind w:left="1079" w:leftChars="371" w:hanging="300" w:hangingChars="125"/>
        <w:rPr>
          <w:rFonts w:hint="eastAsia" w:ascii="宋体" w:hAnsi="宋体" w:eastAsia="宋体" w:cs="宋体"/>
          <w:sz w:val="24"/>
          <w:highlight w:val="none"/>
        </w:rPr>
      </w:pPr>
      <w:r>
        <w:rPr>
          <w:rFonts w:hint="eastAsia" w:ascii="宋体" w:hAnsi="宋体" w:eastAsia="宋体" w:cs="宋体"/>
          <w:sz w:val="24"/>
          <w:highlight w:val="none"/>
        </w:rPr>
        <w:t>（5）存在其他违法违规行为的。</w:t>
      </w:r>
    </w:p>
    <w:p w14:paraId="2A4AFDAE">
      <w:pPr>
        <w:spacing w:line="360" w:lineRule="auto"/>
        <w:ind w:left="900" w:hanging="900" w:hangingChars="375"/>
        <w:rPr>
          <w:rFonts w:hint="eastAsia" w:ascii="宋体" w:hAnsi="宋体" w:eastAsia="宋体" w:cs="宋体"/>
          <w:sz w:val="24"/>
          <w:highlight w:val="none"/>
        </w:rPr>
      </w:pPr>
      <w:bookmarkStart w:id="133" w:name="_Ref467306336"/>
      <w:bookmarkEnd w:id="133"/>
      <w:r>
        <w:rPr>
          <w:rFonts w:hint="eastAsia" w:ascii="宋体" w:hAnsi="宋体" w:eastAsia="宋体" w:cs="宋体"/>
          <w:sz w:val="24"/>
          <w:highlight w:val="none"/>
        </w:rPr>
        <w:t>12.3</w:t>
      </w:r>
      <w:r>
        <w:rPr>
          <w:rFonts w:hint="eastAsia" w:ascii="宋体" w:hAnsi="宋体" w:eastAsia="宋体" w:cs="宋体"/>
          <w:sz w:val="24"/>
          <w:highlight w:val="none"/>
        </w:rPr>
        <w:tab/>
      </w:r>
      <w:r>
        <w:rPr>
          <w:rFonts w:hint="eastAsia" w:ascii="宋体" w:hAnsi="宋体" w:eastAsia="宋体" w:cs="宋体"/>
          <w:sz w:val="24"/>
          <w:highlight w:val="none"/>
        </w:rPr>
        <w:t>政府采购信用担保试点范围内的项目，接受符合财政部门规定的政府采购投标担保函原件</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盖章复印件</w:t>
      </w:r>
      <w:r>
        <w:rPr>
          <w:rFonts w:hint="eastAsia" w:ascii="宋体" w:hAnsi="宋体" w:eastAsia="宋体" w:cs="宋体"/>
          <w:sz w:val="24"/>
          <w:highlight w:val="none"/>
          <w:lang w:eastAsia="zh-CN"/>
        </w:rPr>
        <w:t>）</w:t>
      </w:r>
      <w:r>
        <w:rPr>
          <w:rFonts w:hint="eastAsia" w:ascii="宋体" w:hAnsi="宋体" w:eastAsia="宋体" w:cs="宋体"/>
          <w:sz w:val="24"/>
          <w:highlight w:val="none"/>
        </w:rPr>
        <w:t>。</w:t>
      </w:r>
    </w:p>
    <w:p w14:paraId="78576391">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12.4</w:t>
      </w:r>
      <w:r>
        <w:rPr>
          <w:rFonts w:hint="eastAsia" w:ascii="宋体" w:hAnsi="宋体" w:eastAsia="宋体" w:cs="宋体"/>
          <w:sz w:val="24"/>
          <w:highlight w:val="none"/>
        </w:rPr>
        <w:tab/>
      </w:r>
      <w:r>
        <w:rPr>
          <w:rFonts w:hint="eastAsia" w:ascii="宋体" w:hAnsi="宋体" w:eastAsia="宋体" w:cs="宋体"/>
          <w:sz w:val="24"/>
          <w:highlight w:val="none"/>
        </w:rPr>
        <w:t>投标人未按本须知第12.1和12.3条规定提交投标保证金的，其投标将被认定为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4F7671B">
      <w:pPr>
        <w:spacing w:line="360" w:lineRule="auto"/>
        <w:rPr>
          <w:rFonts w:hint="eastAsia" w:ascii="宋体" w:hAnsi="宋体" w:eastAsia="宋体" w:cs="宋体"/>
          <w:sz w:val="24"/>
          <w:highlight w:val="none"/>
        </w:rPr>
      </w:pPr>
      <w:r>
        <w:rPr>
          <w:rFonts w:hint="eastAsia" w:ascii="宋体" w:hAnsi="宋体" w:eastAsia="宋体" w:cs="宋体"/>
          <w:sz w:val="24"/>
          <w:highlight w:val="none"/>
        </w:rPr>
        <w:t>12.4.1  采用电汇形式的，一般可以实时入账；</w:t>
      </w:r>
    </w:p>
    <w:p w14:paraId="1F2157C4">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608131D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12.5    联合体投标的，可以由联合体中的一方或者共同提交投标保证金。以一方名义提交投标保证金的，对联合体各方均具有约束力。</w:t>
      </w:r>
    </w:p>
    <w:p w14:paraId="7763AA7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12.6</w:t>
      </w:r>
      <w:r>
        <w:rPr>
          <w:rFonts w:hint="eastAsia" w:ascii="宋体" w:hAnsi="宋体" w:eastAsia="宋体" w:cs="宋体"/>
          <w:sz w:val="24"/>
          <w:highlight w:val="none"/>
        </w:rPr>
        <w:tab/>
      </w:r>
      <w:r>
        <w:rPr>
          <w:rFonts w:hint="eastAsia" w:ascii="宋体" w:hAnsi="宋体" w:eastAsia="宋体" w:cs="宋体"/>
          <w:b/>
          <w:sz w:val="24"/>
          <w:highlight w:val="none"/>
        </w:rPr>
        <w:t>投标保证金的退还</w:t>
      </w:r>
    </w:p>
    <w:p w14:paraId="1A632863">
      <w:pPr>
        <w:spacing w:line="360" w:lineRule="auto"/>
        <w:ind w:left="1020" w:hanging="1020" w:hangingChars="425"/>
        <w:rPr>
          <w:rFonts w:hint="eastAsia" w:ascii="宋体" w:hAnsi="宋体" w:eastAsia="宋体" w:cs="宋体"/>
          <w:sz w:val="24"/>
          <w:highlight w:val="none"/>
        </w:rPr>
      </w:pPr>
      <w:r>
        <w:rPr>
          <w:rFonts w:hint="eastAsia" w:ascii="宋体" w:hAnsi="宋体" w:eastAsia="宋体" w:cs="宋体"/>
          <w:sz w:val="24"/>
          <w:highlight w:val="none"/>
        </w:rPr>
        <w:t>12.6.1  中标人应在与采购人签订合同之日起5个工作日内，及时联系保证金收受机构办理投标保证金无息退还手续。</w:t>
      </w:r>
    </w:p>
    <w:p w14:paraId="75ACA5C9">
      <w:pPr>
        <w:spacing w:line="360" w:lineRule="auto"/>
        <w:ind w:left="1020" w:hanging="1020" w:hangingChars="425"/>
        <w:rPr>
          <w:rFonts w:hint="eastAsia" w:ascii="宋体" w:hAnsi="宋体" w:eastAsia="宋体" w:cs="宋体"/>
          <w:sz w:val="24"/>
          <w:highlight w:val="none"/>
        </w:rPr>
      </w:pPr>
      <w:r>
        <w:rPr>
          <w:rFonts w:hint="eastAsia" w:ascii="宋体" w:hAnsi="宋体" w:eastAsia="宋体" w:cs="宋体"/>
          <w:sz w:val="24"/>
          <w:highlight w:val="none"/>
        </w:rPr>
        <w:t>12.6.2  未中标投标人的投标保证金将在中标通知书发出之日暨中标结果公告公布之日起5个工作日内无息退还</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原账户返还</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若因</w:t>
      </w:r>
      <w:r>
        <w:rPr>
          <w:rFonts w:hint="eastAsia" w:ascii="宋体" w:hAnsi="宋体" w:eastAsia="宋体" w:cs="宋体"/>
          <w:sz w:val="24"/>
          <w:highlight w:val="none"/>
        </w:rPr>
        <w:t>投标人</w:t>
      </w:r>
      <w:r>
        <w:rPr>
          <w:rFonts w:hint="eastAsia" w:ascii="宋体" w:hAnsi="宋体" w:eastAsia="宋体" w:cs="宋体"/>
          <w:sz w:val="24"/>
          <w:highlight w:val="none"/>
          <w:lang w:val="en-US" w:eastAsia="zh-CN"/>
        </w:rPr>
        <w:t>提交投标保证金而在开标当天未递交投标文件，可能造成退还迟缓，请</w:t>
      </w:r>
      <w:r>
        <w:rPr>
          <w:rFonts w:hint="eastAsia" w:ascii="宋体" w:hAnsi="宋体" w:eastAsia="宋体" w:cs="宋体"/>
          <w:sz w:val="24"/>
          <w:highlight w:val="none"/>
        </w:rPr>
        <w:t>及时联系保证金收受机构办理退还投标保证金。</w:t>
      </w:r>
    </w:p>
    <w:p w14:paraId="01121893">
      <w:pPr>
        <w:spacing w:line="360" w:lineRule="auto"/>
        <w:ind w:left="1020" w:hanging="1020" w:hangingChars="425"/>
        <w:rPr>
          <w:rFonts w:hint="eastAsia" w:ascii="宋体" w:hAnsi="宋体" w:eastAsia="宋体" w:cs="宋体"/>
          <w:sz w:val="24"/>
          <w:highlight w:val="none"/>
        </w:rPr>
      </w:pPr>
      <w:r>
        <w:rPr>
          <w:rFonts w:hint="eastAsia" w:ascii="宋体" w:hAnsi="宋体" w:eastAsia="宋体" w:cs="宋体"/>
          <w:sz w:val="24"/>
          <w:highlight w:val="none"/>
        </w:rPr>
        <w:t xml:space="preserve">12.6.3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政府采购投标担保函不予退回。</w:t>
      </w:r>
    </w:p>
    <w:p w14:paraId="7041D167">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12.7    因投标人自身原因导致无法及时退还的，采购人或采购代理机构将不承担相应责任。</w:t>
      </w:r>
    </w:p>
    <w:p w14:paraId="1B6C58CB">
      <w:pPr>
        <w:pStyle w:val="42"/>
        <w:spacing w:before="0" w:after="0" w:line="360" w:lineRule="auto"/>
        <w:rPr>
          <w:rFonts w:hint="eastAsia" w:ascii="宋体" w:hAnsi="宋体" w:eastAsia="宋体" w:cs="宋体"/>
          <w:highlight w:val="none"/>
          <w:u w:val="none"/>
        </w:rPr>
      </w:pPr>
      <w:bookmarkStart w:id="134" w:name="_Toc520356157"/>
      <w:bookmarkEnd w:id="134"/>
      <w:bookmarkStart w:id="135" w:name="_Toc20355"/>
      <w:bookmarkEnd w:id="135"/>
      <w:bookmarkStart w:id="136" w:name="_Toc25375"/>
      <w:bookmarkEnd w:id="136"/>
      <w:bookmarkStart w:id="137" w:name="_Toc12440"/>
      <w:bookmarkEnd w:id="137"/>
      <w:bookmarkStart w:id="138" w:name="_Toc518923076"/>
      <w:bookmarkEnd w:id="138"/>
      <w:bookmarkStart w:id="139" w:name="_Toc19370"/>
      <w:bookmarkEnd w:id="139"/>
      <w:r>
        <w:rPr>
          <w:rFonts w:hint="eastAsia" w:ascii="宋体" w:hAnsi="宋体" w:eastAsia="宋体" w:cs="宋体"/>
          <w:highlight w:val="none"/>
          <w:u w:val="none"/>
        </w:rPr>
        <w:t>13.投标有效期</w:t>
      </w:r>
    </w:p>
    <w:p w14:paraId="5648ECA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13.1</w:t>
      </w:r>
      <w:r>
        <w:rPr>
          <w:rFonts w:hint="eastAsia" w:ascii="宋体" w:hAnsi="宋体" w:eastAsia="宋体" w:cs="宋体"/>
          <w:sz w:val="24"/>
          <w:highlight w:val="none"/>
        </w:rPr>
        <w:tab/>
      </w:r>
      <w:r>
        <w:rPr>
          <w:rFonts w:hint="eastAsia" w:ascii="宋体" w:hAnsi="宋体" w:eastAsia="宋体" w:cs="宋体"/>
          <w:sz w:val="24"/>
          <w:highlight w:val="none"/>
        </w:rPr>
        <w:t>投标应在</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中规定时间内保持有效。投标有效期不满足要求的投标，其投标将被认定为</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60C70D4">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13.2</w:t>
      </w:r>
      <w:r>
        <w:rPr>
          <w:rFonts w:hint="eastAsia" w:ascii="宋体" w:hAnsi="宋体" w:eastAsia="宋体" w:cs="宋体"/>
          <w:sz w:val="24"/>
          <w:highlight w:val="none"/>
        </w:rPr>
        <w:tab/>
      </w:r>
      <w:r>
        <w:rPr>
          <w:rFonts w:hint="eastAsia" w:ascii="宋体" w:hAnsi="宋体" w:eastAsia="宋体" w:cs="宋体"/>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6930FEB0">
      <w:pPr>
        <w:pStyle w:val="42"/>
        <w:spacing w:before="0" w:after="0" w:line="360" w:lineRule="auto"/>
        <w:rPr>
          <w:rFonts w:hint="eastAsia" w:ascii="宋体" w:hAnsi="宋体" w:eastAsia="宋体" w:cs="宋体"/>
          <w:highlight w:val="none"/>
          <w:u w:val="none"/>
        </w:rPr>
      </w:pPr>
      <w:bookmarkStart w:id="140" w:name="_Toc518923077"/>
      <w:bookmarkEnd w:id="140"/>
      <w:bookmarkStart w:id="141" w:name="_Toc520356158"/>
      <w:bookmarkEnd w:id="141"/>
      <w:bookmarkStart w:id="142" w:name="_Toc22262"/>
      <w:bookmarkEnd w:id="142"/>
      <w:bookmarkStart w:id="143" w:name="_Toc27303"/>
      <w:bookmarkEnd w:id="143"/>
      <w:bookmarkStart w:id="144" w:name="_Toc10460"/>
      <w:bookmarkEnd w:id="144"/>
      <w:bookmarkStart w:id="145" w:name="_Toc12950"/>
      <w:bookmarkEnd w:id="145"/>
      <w:r>
        <w:rPr>
          <w:rFonts w:hint="eastAsia" w:ascii="宋体" w:hAnsi="宋体" w:eastAsia="宋体" w:cs="宋体"/>
          <w:highlight w:val="none"/>
          <w:u w:val="none"/>
        </w:rPr>
        <w:t>14.投标文件的签署及规定</w:t>
      </w:r>
    </w:p>
    <w:p w14:paraId="6815D82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14.1</w:t>
      </w:r>
      <w:r>
        <w:rPr>
          <w:rFonts w:hint="eastAsia" w:ascii="宋体" w:hAnsi="宋体" w:eastAsia="宋体" w:cs="宋体"/>
          <w:sz w:val="24"/>
          <w:highlight w:val="none"/>
        </w:rPr>
        <w:tab/>
      </w:r>
      <w:r>
        <w:rPr>
          <w:rFonts w:hint="eastAsia" w:ascii="宋体" w:hAnsi="宋体" w:eastAsia="宋体" w:cs="宋体"/>
          <w:sz w:val="24"/>
          <w:highlight w:val="none"/>
        </w:rPr>
        <w:t>投标人应按</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中的规定，准备和上传投标文件、投标报价一览表。</w:t>
      </w:r>
    </w:p>
    <w:p w14:paraId="15F687B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14.2</w:t>
      </w:r>
      <w:r>
        <w:rPr>
          <w:rFonts w:hint="eastAsia" w:ascii="宋体" w:hAnsi="宋体" w:eastAsia="宋体" w:cs="宋体"/>
          <w:sz w:val="24"/>
          <w:highlight w:val="none"/>
        </w:rPr>
        <w:tab/>
      </w:r>
      <w:r>
        <w:rPr>
          <w:rFonts w:hint="eastAsia" w:ascii="宋体" w:hAnsi="宋体" w:eastAsia="宋体" w:cs="宋体"/>
          <w:sz w:val="24"/>
          <w:highlight w:val="none"/>
        </w:rPr>
        <w:t>投标文件因字迹潦草、表达不清、上传的电子文档无法解密所引起的后果由投标人负责。</w:t>
      </w:r>
    </w:p>
    <w:p w14:paraId="0039B09C">
      <w:pPr>
        <w:spacing w:line="360" w:lineRule="auto"/>
        <w:ind w:left="900" w:hanging="900" w:hangingChars="375"/>
        <w:rPr>
          <w:rFonts w:hint="eastAsia" w:ascii="宋体" w:hAnsi="宋体" w:eastAsia="宋体" w:cs="宋体"/>
          <w:sz w:val="24"/>
          <w:highlight w:val="none"/>
        </w:rPr>
      </w:pPr>
    </w:p>
    <w:p w14:paraId="6EF2AF89">
      <w:pPr>
        <w:pStyle w:val="41"/>
        <w:spacing w:before="0" w:line="360" w:lineRule="auto"/>
        <w:ind w:left="1080" w:leftChars="257" w:hanging="540"/>
        <w:rPr>
          <w:rFonts w:hint="eastAsia" w:ascii="宋体" w:hAnsi="宋体" w:eastAsia="宋体" w:cs="宋体"/>
          <w:sz w:val="24"/>
          <w:highlight w:val="none"/>
        </w:rPr>
      </w:pPr>
      <w:bookmarkStart w:id="146" w:name="_Toc22303"/>
      <w:bookmarkEnd w:id="146"/>
      <w:bookmarkStart w:id="147" w:name="_Toc2659"/>
      <w:bookmarkEnd w:id="147"/>
      <w:bookmarkStart w:id="148" w:name="_Toc3050"/>
      <w:bookmarkEnd w:id="148"/>
      <w:bookmarkStart w:id="149" w:name="_Toc4415"/>
      <w:bookmarkEnd w:id="149"/>
      <w:bookmarkStart w:id="150" w:name="_Toc216582808"/>
      <w:bookmarkEnd w:id="150"/>
      <w:bookmarkStart w:id="151" w:name="_Toc518923078"/>
      <w:bookmarkEnd w:id="151"/>
      <w:bookmarkStart w:id="152" w:name="_Toc520356159"/>
      <w:bookmarkEnd w:id="152"/>
      <w:r>
        <w:rPr>
          <w:rFonts w:hint="eastAsia" w:ascii="宋体" w:hAnsi="宋体" w:eastAsia="宋体" w:cs="宋体"/>
          <w:sz w:val="24"/>
          <w:highlight w:val="none"/>
        </w:rPr>
        <w:t>四、投标文件的递交</w:t>
      </w:r>
    </w:p>
    <w:p w14:paraId="3CFED9D6">
      <w:pPr>
        <w:pStyle w:val="46"/>
        <w:spacing w:line="360" w:lineRule="auto"/>
        <w:rPr>
          <w:rFonts w:hint="eastAsia" w:ascii="宋体" w:hAnsi="宋体" w:eastAsia="宋体" w:cs="宋体"/>
          <w:highlight w:val="none"/>
        </w:rPr>
      </w:pPr>
    </w:p>
    <w:p w14:paraId="7C84E56A">
      <w:pPr>
        <w:pStyle w:val="42"/>
        <w:spacing w:before="0" w:after="0" w:line="360" w:lineRule="auto"/>
        <w:rPr>
          <w:rFonts w:hint="eastAsia" w:ascii="宋体" w:hAnsi="宋体" w:eastAsia="宋体" w:cs="宋体"/>
          <w:highlight w:val="none"/>
          <w:u w:val="none"/>
        </w:rPr>
      </w:pPr>
      <w:bookmarkStart w:id="153" w:name="_Toc25050"/>
      <w:bookmarkEnd w:id="153"/>
      <w:bookmarkStart w:id="154" w:name="_Toc3038"/>
      <w:bookmarkEnd w:id="154"/>
      <w:bookmarkStart w:id="155" w:name="_Toc16644"/>
      <w:bookmarkEnd w:id="155"/>
      <w:bookmarkStart w:id="156" w:name="_Toc13247"/>
      <w:bookmarkEnd w:id="156"/>
      <w:bookmarkStart w:id="157" w:name="_Toc520356160"/>
      <w:bookmarkEnd w:id="157"/>
      <w:bookmarkStart w:id="158" w:name="_Toc518923079"/>
      <w:bookmarkEnd w:id="158"/>
      <w:r>
        <w:rPr>
          <w:rFonts w:hint="eastAsia" w:ascii="宋体" w:hAnsi="宋体" w:eastAsia="宋体" w:cs="宋体"/>
          <w:highlight w:val="none"/>
          <w:u w:val="none"/>
        </w:rPr>
        <w:t>15.投标文件的密封和标记</w:t>
      </w:r>
    </w:p>
    <w:p w14:paraId="45C7FD4A">
      <w:pPr>
        <w:spacing w:line="360" w:lineRule="auto"/>
        <w:ind w:left="900" w:hanging="900" w:hangingChars="375"/>
        <w:jc w:val="both"/>
        <w:rPr>
          <w:rFonts w:hint="eastAsia" w:ascii="宋体" w:hAnsi="宋体" w:eastAsia="宋体" w:cs="宋体"/>
          <w:sz w:val="24"/>
          <w:highlight w:val="none"/>
        </w:rPr>
      </w:pPr>
      <w:r>
        <w:rPr>
          <w:rFonts w:hint="eastAsia" w:ascii="宋体" w:hAnsi="宋体" w:eastAsia="宋体" w:cs="宋体"/>
          <w:sz w:val="24"/>
          <w:highlight w:val="none"/>
        </w:rPr>
        <w:t xml:space="preserve">15.1  </w:t>
      </w:r>
      <w:r>
        <w:rPr>
          <w:rFonts w:hint="eastAsia" w:ascii="宋体" w:hAnsi="宋体" w:eastAsia="宋体" w:cs="宋体"/>
          <w:sz w:val="24"/>
          <w:highlight w:val="none"/>
          <w:lang w:val="en-US" w:eastAsia="zh-CN"/>
        </w:rPr>
        <w:t xml:space="preserve">  </w:t>
      </w:r>
      <w:r>
        <w:rPr>
          <w:rFonts w:hint="eastAsia" w:ascii="宋体" w:hAnsi="宋体" w:eastAsia="宋体" w:cs="宋体"/>
          <w:b/>
          <w:bCs/>
          <w:sz w:val="24"/>
          <w:highlight w:val="none"/>
        </w:rPr>
        <w:t>投标人应</w:t>
      </w:r>
      <w:r>
        <w:rPr>
          <w:rFonts w:hint="eastAsia" w:ascii="宋体" w:hAnsi="宋体" w:eastAsia="宋体" w:cs="宋体"/>
          <w:b/>
          <w:bCs/>
          <w:sz w:val="24"/>
          <w:highlight w:val="none"/>
          <w:lang w:val="en-US" w:eastAsia="zh-CN"/>
        </w:rPr>
        <w:t>按照招标文件要求</w:t>
      </w:r>
      <w:r>
        <w:rPr>
          <w:rFonts w:hint="eastAsia" w:ascii="宋体" w:hAnsi="宋体" w:eastAsia="宋体" w:cs="宋体"/>
          <w:b/>
          <w:bCs/>
          <w:sz w:val="24"/>
          <w:highlight w:val="none"/>
        </w:rPr>
        <w:t>将投标文件第一部分和第二部分</w:t>
      </w:r>
      <w:r>
        <w:rPr>
          <w:rFonts w:hint="eastAsia" w:ascii="宋体" w:hAnsi="宋体" w:eastAsia="宋体" w:cs="宋体"/>
          <w:b/>
          <w:bCs/>
          <w:sz w:val="24"/>
          <w:highlight w:val="none"/>
          <w:lang w:val="en-US" w:eastAsia="zh-CN"/>
        </w:rPr>
        <w:t>按要求上传至政采云平台</w:t>
      </w:r>
      <w:r>
        <w:rPr>
          <w:rFonts w:hint="eastAsia" w:ascii="宋体" w:hAnsi="宋体" w:eastAsia="宋体" w:cs="宋体"/>
          <w:b/>
          <w:bCs/>
          <w:sz w:val="24"/>
          <w:highlight w:val="none"/>
        </w:rPr>
        <w:t>，并在每部分标明“第一部分资格证明文件”或“第二部分商务及技术文件”字样。电子版投标文件必须通过新疆CA数字证书编制、上传至新疆政府采购网政采云平台。（为方便评审及进行资格审查，供应商应按</w:t>
      </w:r>
      <w:r>
        <w:rPr>
          <w:rFonts w:hint="eastAsia" w:ascii="宋体" w:hAnsi="宋体" w:eastAsia="宋体" w:cs="宋体"/>
          <w:b/>
          <w:bCs/>
          <w:sz w:val="24"/>
          <w:highlight w:val="none"/>
          <w:lang w:eastAsia="zh-CN"/>
        </w:rPr>
        <w:t>招标文件</w:t>
      </w:r>
      <w:r>
        <w:rPr>
          <w:rFonts w:hint="eastAsia" w:ascii="宋体" w:hAnsi="宋体" w:eastAsia="宋体" w:cs="宋体"/>
          <w:b/>
          <w:bCs/>
          <w:sz w:val="24"/>
          <w:highlight w:val="none"/>
        </w:rPr>
        <w:t>提供的响应文件格式及要求编写响应文件，商务及技术文件按招标文件模板全部上传，供应商须在投标截止时间前完成在系统上递交电子响应文件。供应商的电子响应文件是经过CA证书加密后上传提交的，任何单位或个人均无法在投标截止时间(即</w:t>
      </w:r>
      <w:r>
        <w:rPr>
          <w:rFonts w:hint="eastAsia" w:ascii="宋体" w:hAnsi="宋体" w:eastAsia="宋体" w:cs="宋体"/>
          <w:b/>
          <w:bCs/>
          <w:sz w:val="24"/>
          <w:highlight w:val="none"/>
          <w:lang w:val="en-US" w:eastAsia="zh-CN"/>
        </w:rPr>
        <w:t>开标</w:t>
      </w:r>
      <w:r>
        <w:rPr>
          <w:rFonts w:hint="eastAsia" w:ascii="宋体" w:hAnsi="宋体" w:eastAsia="宋体" w:cs="宋体"/>
          <w:b/>
          <w:bCs/>
          <w:sz w:val="24"/>
          <w:highlight w:val="none"/>
        </w:rPr>
        <w:t>时间)之前查看或篡改，不存在泄密风险。（严格按照政采云电子投标流程制作并上传电子响应文件）</w:t>
      </w:r>
    </w:p>
    <w:p w14:paraId="7C32AA66">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15.2   所有电子投标文件封皮应（按响应文件格式填写）：</w:t>
      </w:r>
    </w:p>
    <w:p w14:paraId="10F4DD87">
      <w:pPr>
        <w:spacing w:line="360" w:lineRule="auto"/>
        <w:ind w:left="898" w:leftChars="399" w:hanging="60" w:hangingChars="25"/>
        <w:rPr>
          <w:rFonts w:hint="eastAsia" w:ascii="宋体" w:hAnsi="宋体" w:eastAsia="宋体" w:cs="宋体"/>
          <w:sz w:val="24"/>
          <w:highlight w:val="none"/>
        </w:rPr>
      </w:pPr>
      <w:r>
        <w:rPr>
          <w:rFonts w:hint="eastAsia" w:ascii="宋体" w:hAnsi="宋体" w:eastAsia="宋体" w:cs="宋体"/>
          <w:sz w:val="24"/>
          <w:highlight w:val="none"/>
        </w:rPr>
        <w:t>注明招标公告或投标邀请书中指明的项目名称、招标编号、投标人名称的字样。</w:t>
      </w:r>
    </w:p>
    <w:p w14:paraId="138F9E8A">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15.3    如果投标人未按上述要求标记的，其投标文件将</w:t>
      </w:r>
      <w:r>
        <w:rPr>
          <w:rFonts w:hint="eastAsia" w:ascii="宋体" w:hAnsi="宋体" w:eastAsia="宋体" w:cs="宋体"/>
          <w:b/>
          <w:bCs/>
          <w:sz w:val="24"/>
          <w:highlight w:val="none"/>
        </w:rPr>
        <w:t>被拒绝接收。</w:t>
      </w:r>
    </w:p>
    <w:p w14:paraId="51652892">
      <w:pPr>
        <w:pStyle w:val="42"/>
        <w:spacing w:before="0" w:after="0" w:line="360" w:lineRule="auto"/>
        <w:rPr>
          <w:rFonts w:hint="eastAsia" w:ascii="宋体" w:hAnsi="宋体" w:eastAsia="宋体" w:cs="宋体"/>
          <w:b w:val="0"/>
          <w:kern w:val="2"/>
          <w:sz w:val="24"/>
          <w:szCs w:val="24"/>
          <w:highlight w:val="none"/>
          <w:u w:val="none"/>
          <w:lang w:val="en-US" w:eastAsia="zh-CN" w:bidi="ar-SA"/>
        </w:rPr>
      </w:pPr>
      <w:bookmarkStart w:id="159" w:name="_Toc520356161"/>
      <w:bookmarkEnd w:id="159"/>
      <w:bookmarkStart w:id="160" w:name="_Toc28971"/>
      <w:bookmarkEnd w:id="160"/>
      <w:bookmarkStart w:id="161" w:name="_Toc518923080"/>
      <w:bookmarkEnd w:id="161"/>
      <w:bookmarkStart w:id="162" w:name="_Toc25787"/>
      <w:bookmarkEnd w:id="162"/>
      <w:bookmarkStart w:id="163" w:name="_Toc10904"/>
      <w:bookmarkEnd w:id="163"/>
      <w:bookmarkStart w:id="164" w:name="_Toc30117"/>
      <w:bookmarkEnd w:id="164"/>
      <w:r>
        <w:rPr>
          <w:rFonts w:hint="eastAsia" w:ascii="宋体" w:hAnsi="宋体" w:eastAsia="宋体" w:cs="宋体"/>
          <w:b w:val="0"/>
          <w:kern w:val="2"/>
          <w:sz w:val="24"/>
          <w:szCs w:val="24"/>
          <w:highlight w:val="none"/>
          <w:u w:val="none"/>
          <w:lang w:val="en-US" w:eastAsia="zh-CN" w:bidi="ar-SA"/>
        </w:rPr>
        <w:t>15.4    电子投标文件的递交</w:t>
      </w:r>
    </w:p>
    <w:p w14:paraId="30E52F0C">
      <w:pPr>
        <w:pStyle w:val="42"/>
        <w:spacing w:before="0" w:after="0" w:line="360" w:lineRule="auto"/>
        <w:ind w:left="958" w:leftChars="456" w:firstLine="0" w:firstLineChars="0"/>
        <w:rPr>
          <w:rFonts w:hint="eastAsia" w:ascii="宋体" w:hAnsi="宋体" w:eastAsia="宋体" w:cs="宋体"/>
          <w:b w:val="0"/>
          <w:kern w:val="2"/>
          <w:sz w:val="24"/>
          <w:szCs w:val="24"/>
          <w:highlight w:val="none"/>
          <w:u w:val="none"/>
          <w:lang w:val="en-US" w:eastAsia="zh-CN" w:bidi="ar-SA"/>
        </w:rPr>
      </w:pPr>
      <w:r>
        <w:rPr>
          <w:rFonts w:hint="eastAsia" w:ascii="宋体" w:hAnsi="宋体" w:eastAsia="宋体" w:cs="宋体"/>
          <w:b w:val="0"/>
          <w:kern w:val="2"/>
          <w:sz w:val="24"/>
          <w:szCs w:val="24"/>
          <w:highlight w:val="none"/>
          <w:u w:val="none"/>
          <w:lang w:val="en-US" w:eastAsia="zh-CN" w:bidi="ar-SA"/>
        </w:rPr>
        <w:t>投标人应当按照采购文件规定，在投标截止时间前制作并上传电子投标文件。</w:t>
      </w:r>
    </w:p>
    <w:p w14:paraId="1664FEA1">
      <w:pPr>
        <w:pStyle w:val="42"/>
        <w:spacing w:before="0" w:after="0" w:line="360" w:lineRule="auto"/>
        <w:rPr>
          <w:rFonts w:hint="eastAsia" w:ascii="宋体" w:hAnsi="宋体" w:eastAsia="宋体" w:cs="宋体"/>
          <w:b w:val="0"/>
          <w:kern w:val="2"/>
          <w:sz w:val="24"/>
          <w:szCs w:val="24"/>
          <w:highlight w:val="none"/>
          <w:u w:val="none"/>
          <w:lang w:val="en-US" w:eastAsia="zh-CN" w:bidi="ar-SA"/>
        </w:rPr>
      </w:pPr>
      <w:r>
        <w:rPr>
          <w:rFonts w:hint="eastAsia" w:ascii="宋体" w:hAnsi="宋体" w:eastAsia="宋体" w:cs="宋体"/>
          <w:b w:val="0"/>
          <w:kern w:val="2"/>
          <w:sz w:val="24"/>
          <w:szCs w:val="24"/>
          <w:highlight w:val="none"/>
          <w:u w:val="none"/>
          <w:lang w:val="en-US" w:eastAsia="zh-CN" w:bidi="ar-SA"/>
        </w:rPr>
        <w:t>15.5    投标截止时间</w:t>
      </w:r>
    </w:p>
    <w:p w14:paraId="0BD88E69">
      <w:pPr>
        <w:pStyle w:val="42"/>
        <w:spacing w:before="0" w:after="0" w:line="360" w:lineRule="auto"/>
        <w:ind w:left="958" w:leftChars="456" w:firstLine="0" w:firstLineChars="0"/>
        <w:rPr>
          <w:rFonts w:hint="eastAsia" w:ascii="宋体" w:hAnsi="宋体" w:eastAsia="宋体" w:cs="宋体"/>
          <w:highlight w:val="none"/>
          <w:u w:val="none"/>
        </w:rPr>
      </w:pPr>
      <w:r>
        <w:rPr>
          <w:rFonts w:hint="eastAsia" w:ascii="宋体" w:hAnsi="宋体" w:eastAsia="宋体" w:cs="宋体"/>
          <w:b w:val="0"/>
          <w:kern w:val="2"/>
          <w:sz w:val="24"/>
          <w:szCs w:val="24"/>
          <w:highlight w:val="none"/>
          <w:u w:val="none"/>
          <w:lang w:val="en-US" w:eastAsia="zh-CN" w:bidi="ar-SA"/>
        </w:rPr>
        <w:t>投标人上传电子投标文件的时间不得迟于招标公告中规定的投标截止时间。投标人应充分考虑到网络环境、网络带宽等风险因素，如因投标人自身原因造成的电子投标文件上传不成功由投标人自行承担全部责任。</w:t>
      </w:r>
    </w:p>
    <w:p w14:paraId="0869FDC4">
      <w:pPr>
        <w:pStyle w:val="42"/>
        <w:spacing w:before="0" w:after="0" w:line="360" w:lineRule="auto"/>
        <w:rPr>
          <w:rFonts w:hint="eastAsia" w:ascii="宋体" w:hAnsi="宋体" w:eastAsia="宋体" w:cs="宋体"/>
          <w:highlight w:val="none"/>
          <w:u w:val="none"/>
        </w:rPr>
      </w:pPr>
      <w:r>
        <w:rPr>
          <w:rFonts w:hint="eastAsia" w:ascii="宋体" w:hAnsi="宋体" w:eastAsia="宋体" w:cs="宋体"/>
          <w:highlight w:val="none"/>
          <w:u w:val="none"/>
        </w:rPr>
        <w:t>16.投标截止</w:t>
      </w:r>
    </w:p>
    <w:p w14:paraId="397B4BB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16.1</w:t>
      </w:r>
      <w:r>
        <w:rPr>
          <w:rFonts w:hint="eastAsia" w:ascii="宋体" w:hAnsi="宋体" w:eastAsia="宋体" w:cs="宋体"/>
          <w:sz w:val="24"/>
          <w:highlight w:val="none"/>
        </w:rPr>
        <w:tab/>
      </w:r>
      <w:r>
        <w:rPr>
          <w:rFonts w:hint="eastAsia" w:ascii="宋体" w:hAnsi="宋体" w:eastAsia="宋体" w:cs="宋体"/>
          <w:sz w:val="24"/>
          <w:highlight w:val="none"/>
        </w:rPr>
        <w:t>投标人应在</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中规定的截止时间前，将投标文件递交到招标公告中规定的地点。</w:t>
      </w:r>
    </w:p>
    <w:p w14:paraId="2943FCA2">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16.2</w:t>
      </w:r>
      <w:r>
        <w:rPr>
          <w:rFonts w:hint="eastAsia" w:ascii="宋体" w:hAnsi="宋体" w:eastAsia="宋体" w:cs="宋体"/>
          <w:sz w:val="24"/>
          <w:highlight w:val="none"/>
        </w:rPr>
        <w:tab/>
      </w:r>
      <w:r>
        <w:rPr>
          <w:rFonts w:hint="eastAsia" w:ascii="宋体" w:hAnsi="宋体" w:eastAsia="宋体" w:cs="宋体"/>
          <w:sz w:val="24"/>
          <w:highlight w:val="none"/>
        </w:rPr>
        <w:t>采购人和采购代理机构有权按本须知的规定，延迟投标截止时间。在此情况下，采购人、采购代理机构和投标人受投标截止时间制约的所有权利和义务均应延长至新的截止时间。</w:t>
      </w:r>
    </w:p>
    <w:p w14:paraId="163BCC5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16.3</w:t>
      </w:r>
      <w:r>
        <w:rPr>
          <w:rFonts w:hint="eastAsia" w:ascii="宋体" w:hAnsi="宋体" w:eastAsia="宋体" w:cs="宋体"/>
          <w:sz w:val="24"/>
          <w:highlight w:val="none"/>
        </w:rPr>
        <w:tab/>
      </w:r>
      <w:r>
        <w:rPr>
          <w:rFonts w:hint="eastAsia" w:ascii="宋体" w:hAnsi="宋体" w:eastAsia="宋体" w:cs="宋体"/>
          <w:sz w:val="24"/>
          <w:highlight w:val="none"/>
        </w:rPr>
        <w:t>采购人和采购代理机构将拒绝接收在投标截止时间后送达的投标文件。</w:t>
      </w:r>
    </w:p>
    <w:p w14:paraId="52B2EFE1">
      <w:pPr>
        <w:pStyle w:val="42"/>
        <w:spacing w:before="0" w:after="0" w:line="360" w:lineRule="auto"/>
        <w:rPr>
          <w:rFonts w:hint="eastAsia" w:ascii="宋体" w:hAnsi="宋体" w:eastAsia="宋体" w:cs="宋体"/>
          <w:highlight w:val="none"/>
          <w:u w:val="none"/>
        </w:rPr>
      </w:pPr>
      <w:bookmarkStart w:id="165" w:name="_Toc520356162"/>
      <w:bookmarkEnd w:id="165"/>
      <w:bookmarkStart w:id="166" w:name="_Toc25814"/>
      <w:bookmarkEnd w:id="166"/>
      <w:bookmarkStart w:id="167" w:name="_Toc326"/>
      <w:bookmarkEnd w:id="167"/>
      <w:bookmarkStart w:id="168" w:name="_Toc13921"/>
      <w:bookmarkEnd w:id="168"/>
      <w:bookmarkStart w:id="169" w:name="_Toc518923081"/>
      <w:bookmarkEnd w:id="169"/>
      <w:bookmarkStart w:id="170" w:name="_Toc22116"/>
      <w:bookmarkEnd w:id="170"/>
      <w:r>
        <w:rPr>
          <w:rFonts w:hint="eastAsia" w:ascii="宋体" w:hAnsi="宋体" w:eastAsia="宋体" w:cs="宋体"/>
          <w:highlight w:val="none"/>
          <w:u w:val="none"/>
        </w:rPr>
        <w:t>17.投标文件的接收、修改与撤回</w:t>
      </w:r>
    </w:p>
    <w:p w14:paraId="35CA505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17.1   在投标截止时间后上传投标文件的，采购人和采购代理机构将拒绝接收。</w:t>
      </w:r>
    </w:p>
    <w:p w14:paraId="5DF1193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17.2上传投标文件以后，如果投标人要进行修改或撤回投标，投标人对投标文件的修改或撤回通知应按本须知规定编制、密封、标记。</w:t>
      </w:r>
    </w:p>
    <w:p w14:paraId="5434B11E">
      <w:pPr>
        <w:spacing w:line="360" w:lineRule="auto"/>
        <w:ind w:left="735" w:leftChars="350" w:firstLine="120" w:firstLineChars="50"/>
        <w:rPr>
          <w:rFonts w:hint="eastAsia" w:ascii="宋体" w:hAnsi="宋体" w:eastAsia="宋体" w:cs="宋体"/>
          <w:sz w:val="24"/>
          <w:highlight w:val="none"/>
        </w:rPr>
      </w:pPr>
      <w:r>
        <w:rPr>
          <w:rFonts w:hint="eastAsia" w:ascii="宋体" w:hAnsi="宋体" w:eastAsia="宋体" w:cs="宋体"/>
          <w:sz w:val="24"/>
          <w:highlight w:val="none"/>
        </w:rPr>
        <w:t>采购人和采购代理机构将予以接收，并视为投标文件的组成部分。</w:t>
      </w:r>
    </w:p>
    <w:p w14:paraId="7FC31FD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17.3</w:t>
      </w:r>
      <w:r>
        <w:rPr>
          <w:rFonts w:hint="eastAsia" w:ascii="宋体" w:hAnsi="宋体" w:eastAsia="宋体" w:cs="宋体"/>
          <w:sz w:val="24"/>
          <w:highlight w:val="none"/>
        </w:rPr>
        <w:tab/>
      </w:r>
      <w:r>
        <w:rPr>
          <w:rFonts w:hint="eastAsia" w:ascii="宋体" w:hAnsi="宋体" w:eastAsia="宋体" w:cs="宋体"/>
          <w:sz w:val="24"/>
          <w:highlight w:val="none"/>
        </w:rPr>
        <w:t>在投标截止期之后，采购人和采购代理机构不接受投标人主动对其投标文件做任何修改。</w:t>
      </w:r>
    </w:p>
    <w:p w14:paraId="12908266">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17.4</w:t>
      </w:r>
      <w:r>
        <w:rPr>
          <w:rFonts w:hint="eastAsia" w:ascii="宋体" w:hAnsi="宋体" w:eastAsia="宋体" w:cs="宋体"/>
          <w:sz w:val="24"/>
          <w:highlight w:val="none"/>
        </w:rPr>
        <w:tab/>
      </w:r>
      <w:r>
        <w:rPr>
          <w:rFonts w:hint="eastAsia" w:ascii="宋体" w:hAnsi="宋体" w:eastAsia="宋体" w:cs="宋体"/>
          <w:sz w:val="24"/>
          <w:highlight w:val="none"/>
        </w:rPr>
        <w:t>采购人和采购代理机构对所接收投标文件概不退回。</w:t>
      </w:r>
    </w:p>
    <w:p w14:paraId="6198796D">
      <w:pPr>
        <w:spacing w:line="360" w:lineRule="auto"/>
        <w:ind w:left="1080" w:leftChars="257" w:hanging="540"/>
        <w:rPr>
          <w:rFonts w:hint="eastAsia" w:ascii="宋体" w:hAnsi="宋体" w:eastAsia="宋体" w:cs="宋体"/>
          <w:sz w:val="24"/>
          <w:highlight w:val="none"/>
        </w:rPr>
      </w:pPr>
    </w:p>
    <w:p w14:paraId="45BB387D">
      <w:pPr>
        <w:spacing w:line="360" w:lineRule="auto"/>
        <w:ind w:left="1080" w:leftChars="257" w:hanging="540"/>
        <w:rPr>
          <w:rFonts w:hint="eastAsia" w:ascii="宋体" w:hAnsi="宋体" w:eastAsia="宋体" w:cs="宋体"/>
          <w:sz w:val="24"/>
          <w:highlight w:val="none"/>
        </w:rPr>
      </w:pPr>
    </w:p>
    <w:p w14:paraId="797D46D8">
      <w:pPr>
        <w:spacing w:line="360" w:lineRule="auto"/>
        <w:ind w:left="1080" w:leftChars="257" w:hanging="540"/>
        <w:rPr>
          <w:rFonts w:hint="eastAsia" w:ascii="宋体" w:hAnsi="宋体" w:eastAsia="宋体" w:cs="宋体"/>
          <w:sz w:val="24"/>
          <w:highlight w:val="none"/>
        </w:rPr>
      </w:pPr>
    </w:p>
    <w:p w14:paraId="01B7B4FE">
      <w:pPr>
        <w:spacing w:line="360" w:lineRule="auto"/>
        <w:ind w:left="1080" w:leftChars="257" w:hanging="540"/>
        <w:rPr>
          <w:rFonts w:hint="eastAsia" w:ascii="宋体" w:hAnsi="宋体" w:eastAsia="宋体" w:cs="宋体"/>
          <w:sz w:val="24"/>
          <w:highlight w:val="none"/>
        </w:rPr>
      </w:pPr>
    </w:p>
    <w:p w14:paraId="17B2642B">
      <w:pPr>
        <w:pStyle w:val="41"/>
        <w:spacing w:before="0" w:line="360" w:lineRule="auto"/>
        <w:rPr>
          <w:rFonts w:hint="eastAsia" w:ascii="宋体" w:hAnsi="宋体" w:eastAsia="宋体" w:cs="宋体"/>
          <w:sz w:val="24"/>
          <w:highlight w:val="none"/>
        </w:rPr>
      </w:pPr>
      <w:bookmarkStart w:id="171" w:name="_Toc10257"/>
      <w:bookmarkEnd w:id="171"/>
      <w:bookmarkStart w:id="172" w:name="_Toc518923082"/>
      <w:bookmarkEnd w:id="172"/>
      <w:bookmarkStart w:id="173" w:name="_Toc6389"/>
      <w:bookmarkEnd w:id="173"/>
      <w:bookmarkStart w:id="174" w:name="_Toc23627"/>
      <w:bookmarkEnd w:id="174"/>
      <w:bookmarkStart w:id="175" w:name="_Toc22845"/>
      <w:bookmarkEnd w:id="175"/>
      <w:bookmarkStart w:id="176" w:name="_Toc520356163"/>
      <w:bookmarkEnd w:id="176"/>
      <w:bookmarkStart w:id="177" w:name="_Toc216582809"/>
      <w:bookmarkEnd w:id="177"/>
      <w:r>
        <w:rPr>
          <w:rFonts w:hint="eastAsia" w:ascii="宋体" w:hAnsi="宋体" w:eastAsia="宋体" w:cs="宋体"/>
          <w:sz w:val="24"/>
          <w:highlight w:val="none"/>
        </w:rPr>
        <w:t>五、开标及评标</w:t>
      </w:r>
    </w:p>
    <w:p w14:paraId="43E4AC1A">
      <w:pPr>
        <w:pStyle w:val="46"/>
        <w:spacing w:line="360" w:lineRule="auto"/>
        <w:rPr>
          <w:rFonts w:hint="eastAsia" w:ascii="宋体" w:hAnsi="宋体" w:eastAsia="宋体" w:cs="宋体"/>
          <w:highlight w:val="none"/>
        </w:rPr>
      </w:pPr>
    </w:p>
    <w:p w14:paraId="19F6308A">
      <w:pPr>
        <w:pStyle w:val="42"/>
        <w:spacing w:before="0" w:after="0" w:line="360" w:lineRule="auto"/>
        <w:rPr>
          <w:rFonts w:hint="eastAsia" w:ascii="宋体" w:hAnsi="宋体" w:eastAsia="宋体" w:cs="宋体"/>
          <w:highlight w:val="none"/>
          <w:u w:val="none"/>
        </w:rPr>
      </w:pPr>
      <w:bookmarkStart w:id="178" w:name="_Toc12598"/>
      <w:bookmarkEnd w:id="178"/>
      <w:bookmarkStart w:id="179" w:name="_Toc16580"/>
      <w:bookmarkEnd w:id="179"/>
      <w:bookmarkStart w:id="180" w:name="_Toc1813"/>
      <w:bookmarkEnd w:id="180"/>
      <w:bookmarkStart w:id="181" w:name="_Toc520356164"/>
      <w:bookmarkEnd w:id="181"/>
      <w:bookmarkStart w:id="182" w:name="_Toc518923083"/>
      <w:bookmarkEnd w:id="182"/>
      <w:bookmarkStart w:id="183" w:name="_Toc8653"/>
      <w:bookmarkEnd w:id="183"/>
      <w:r>
        <w:rPr>
          <w:rFonts w:hint="eastAsia" w:ascii="宋体" w:hAnsi="宋体" w:eastAsia="宋体" w:cs="宋体"/>
          <w:highlight w:val="none"/>
          <w:u w:val="none"/>
        </w:rPr>
        <w:t>18.开标</w:t>
      </w:r>
    </w:p>
    <w:p w14:paraId="0BAC402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18.1    采购人和采购代理机构将按</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中规定的在招标公告中规定的时间和地点组织线上公开开标。投标人应当参加开标活动。</w:t>
      </w:r>
    </w:p>
    <w:p w14:paraId="185D4815">
      <w:pPr>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投标人不足3家的，不得开标。</w:t>
      </w:r>
    </w:p>
    <w:p w14:paraId="5166C1DD">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18.2    投标人须按</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中规定的开标时间和地点，在规定的时间内上传投标文件。开标过程由交易中心组织。“政采云平台不见面开标大厅”系统将自动对项目进行开标，并公布各投标人的《开标一览表》。</w:t>
      </w:r>
    </w:p>
    <w:p w14:paraId="5C2DA215">
      <w:pPr>
        <w:spacing w:line="360" w:lineRule="auto"/>
        <w:ind w:left="960" w:hanging="960" w:hangingChars="40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18.3    投标人在开标过程中涉及到的投标文件解密、</w:t>
      </w:r>
      <w:r>
        <w:rPr>
          <w:rFonts w:hint="eastAsia" w:ascii="宋体" w:hAnsi="宋体" w:eastAsia="宋体" w:cs="宋体"/>
          <w:sz w:val="24"/>
          <w:highlight w:val="none"/>
          <w:lang w:val="en-US" w:eastAsia="zh-CN"/>
        </w:rPr>
        <w:t>报价</w:t>
      </w:r>
      <w:r>
        <w:rPr>
          <w:rFonts w:hint="eastAsia" w:ascii="宋体" w:hAnsi="宋体" w:eastAsia="宋体" w:cs="宋体"/>
          <w:sz w:val="24"/>
          <w:highlight w:val="none"/>
        </w:rPr>
        <w:t>确认等工作，应按照采购文件规定执行。</w:t>
      </w:r>
    </w:p>
    <w:p w14:paraId="1A0F1CFD">
      <w:pPr>
        <w:spacing w:line="360" w:lineRule="auto"/>
        <w:ind w:left="960" w:leftChars="457" w:firstLine="60" w:firstLineChars="25"/>
        <w:rPr>
          <w:rFonts w:hint="eastAsia" w:ascii="宋体" w:hAnsi="宋体" w:eastAsia="宋体" w:cs="宋体"/>
          <w:sz w:val="24"/>
          <w:highlight w:val="none"/>
        </w:rPr>
      </w:pPr>
      <w:r>
        <w:rPr>
          <w:rFonts w:hint="eastAsia" w:ascii="宋体" w:hAnsi="宋体" w:eastAsia="宋体" w:cs="宋体"/>
          <w:b/>
          <w:bCs/>
          <w:sz w:val="24"/>
          <w:highlight w:val="none"/>
        </w:rPr>
        <w:t>采购代理机构在规定的时间对投标文件进行解密，时长为30分钟。</w:t>
      </w:r>
    </w:p>
    <w:p w14:paraId="43857455">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rPr>
        <w:t xml:space="preserve">18.4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开标时，投标人应登录新疆政府采购网政采云平台开标大厅签到并在规定的解锁电子投标文件时间内解锁其电子投标文件。</w:t>
      </w:r>
    </w:p>
    <w:p w14:paraId="051FA437">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18.5    采购人或采购代理机构将对开标过程进行记录，由参加开标的各投标人代表和相关工作人员签字确认，并存档备查。</w:t>
      </w:r>
    </w:p>
    <w:p w14:paraId="67EEC496">
      <w:pPr>
        <w:spacing w:line="360" w:lineRule="auto"/>
        <w:ind w:left="960" w:hanging="960" w:hangingChars="400"/>
        <w:jc w:val="left"/>
        <w:rPr>
          <w:rFonts w:hint="eastAsia" w:ascii="宋体" w:hAnsi="宋体" w:eastAsia="宋体" w:cs="宋体"/>
          <w:highlight w:val="none"/>
        </w:rPr>
      </w:pPr>
      <w:r>
        <w:rPr>
          <w:rFonts w:hint="eastAsia" w:ascii="宋体" w:hAnsi="宋体" w:eastAsia="宋体" w:cs="宋体"/>
          <w:sz w:val="24"/>
          <w:highlight w:val="none"/>
        </w:rPr>
        <w:t>18.6    投标人代表对开标过程和开标记录有疑义，以及认为采购人、采购代理机构相关工作人员有需要回避的情形的，应当场提出询问或者回避申请。</w:t>
      </w:r>
    </w:p>
    <w:p w14:paraId="45246673">
      <w:pPr>
        <w:pStyle w:val="42"/>
        <w:spacing w:before="0" w:after="0" w:line="360" w:lineRule="auto"/>
        <w:rPr>
          <w:rFonts w:hint="eastAsia" w:ascii="宋体" w:hAnsi="宋体" w:eastAsia="宋体" w:cs="宋体"/>
          <w:highlight w:val="none"/>
          <w:u w:val="none"/>
        </w:rPr>
      </w:pPr>
      <w:bookmarkStart w:id="184" w:name="_Toc24828"/>
      <w:bookmarkEnd w:id="184"/>
      <w:bookmarkStart w:id="185" w:name="_Toc518923084"/>
      <w:bookmarkEnd w:id="185"/>
      <w:bookmarkStart w:id="186" w:name="_Toc34"/>
      <w:bookmarkEnd w:id="186"/>
      <w:bookmarkStart w:id="187" w:name="_Toc2093"/>
      <w:bookmarkEnd w:id="187"/>
      <w:bookmarkStart w:id="188" w:name="_Toc24484"/>
      <w:bookmarkEnd w:id="188"/>
      <w:r>
        <w:rPr>
          <w:rFonts w:hint="eastAsia" w:ascii="宋体" w:hAnsi="宋体" w:eastAsia="宋体" w:cs="宋体"/>
          <w:highlight w:val="none"/>
          <w:u w:val="none"/>
        </w:rPr>
        <w:t>19.资格审查及组建评标委员会</w:t>
      </w:r>
    </w:p>
    <w:p w14:paraId="3FCDA8BF">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lang w:val="en-US" w:eastAsia="zh-CN"/>
        </w:rPr>
        <w:t>19</w:t>
      </w:r>
      <w:r>
        <w:rPr>
          <w:rFonts w:hint="eastAsia" w:ascii="宋体" w:hAnsi="宋体" w:eastAsia="宋体" w:cs="宋体"/>
          <w:sz w:val="24"/>
          <w:highlight w:val="none"/>
        </w:rPr>
        <w:t xml:space="preserve">.1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开标后，交易中心将立即组织评标委员会（以下简称评委会）进行评标。</w:t>
      </w:r>
    </w:p>
    <w:p w14:paraId="6672C918">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lang w:val="en-US" w:eastAsia="zh-CN"/>
        </w:rPr>
        <w:t>19</w:t>
      </w:r>
      <w:r>
        <w:rPr>
          <w:rFonts w:hint="eastAsia" w:ascii="宋体" w:hAnsi="宋体" w:eastAsia="宋体" w:cs="宋体"/>
          <w:sz w:val="24"/>
          <w:highlight w:val="none"/>
        </w:rPr>
        <w:t xml:space="preserve">.2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按照《中华人民共和国政府采购法》、《中华人民共和国政府采购法实施条例》及本项目本级和上级财政部门的有关规定依法组建的评标委员会，负责本项目评标工作。评委会由采购人代表和有关技术、经济等方面的专家组成，且人员构成符合政府采购有关规定。</w:t>
      </w:r>
    </w:p>
    <w:p w14:paraId="0953EC36">
      <w:pPr>
        <w:pStyle w:val="46"/>
        <w:spacing w:line="360" w:lineRule="auto"/>
        <w:ind w:left="850" w:leftChars="405" w:firstLine="0"/>
        <w:jc w:val="both"/>
        <w:rPr>
          <w:rFonts w:hint="eastAsia" w:ascii="宋体" w:hAnsi="宋体" w:eastAsia="宋体" w:cs="宋体"/>
          <w:color w:val="auto"/>
          <w:sz w:val="24"/>
          <w:highlight w:val="none"/>
        </w:rPr>
      </w:pPr>
      <w:r>
        <w:rPr>
          <w:rFonts w:hint="eastAsia" w:ascii="宋体" w:hAnsi="宋体" w:eastAsia="宋体" w:cs="宋体"/>
          <w:b/>
          <w:bCs/>
          <w:i/>
          <w:iCs/>
          <w:color w:val="auto"/>
          <w:sz w:val="24"/>
          <w:highlight w:val="none"/>
          <w:u w:val="single"/>
        </w:rPr>
        <w:t>本项目评标委员会成员</w:t>
      </w:r>
      <w:r>
        <w:rPr>
          <w:rFonts w:hint="eastAsia" w:ascii="宋体" w:hAnsi="宋体" w:eastAsia="宋体" w:cs="宋体"/>
          <w:b/>
          <w:bCs/>
          <w:i/>
          <w:iCs/>
          <w:color w:val="auto"/>
          <w:sz w:val="24"/>
          <w:highlight w:val="none"/>
          <w:u w:val="single"/>
          <w:lang w:val="en-US" w:eastAsia="zh-CN"/>
        </w:rPr>
        <w:t>5</w:t>
      </w:r>
      <w:r>
        <w:rPr>
          <w:rFonts w:hint="eastAsia" w:ascii="宋体" w:hAnsi="宋体" w:eastAsia="宋体" w:cs="宋体"/>
          <w:b/>
          <w:bCs/>
          <w:i/>
          <w:iCs/>
          <w:color w:val="auto"/>
          <w:sz w:val="24"/>
          <w:highlight w:val="none"/>
          <w:u w:val="single"/>
        </w:rPr>
        <w:t>名</w:t>
      </w:r>
    </w:p>
    <w:p w14:paraId="5156B20A">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lang w:val="en-US" w:eastAsia="zh-CN"/>
        </w:rPr>
        <w:t>19</w:t>
      </w: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评委会独立工作，负责评审所有投标文件并确定中标侯选人。</w:t>
      </w:r>
    </w:p>
    <w:p w14:paraId="716BF877">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lang w:val="en-US" w:eastAsia="zh-CN"/>
        </w:rPr>
        <w:t>19.4</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投标文件初审分为资格审查和符合性审查。</w:t>
      </w:r>
    </w:p>
    <w:p w14:paraId="76260E89">
      <w:pPr>
        <w:spacing w:line="360" w:lineRule="auto"/>
        <w:ind w:left="960" w:hanging="960" w:hangingChars="400"/>
        <w:rPr>
          <w:rFonts w:hint="eastAsia" w:ascii="宋体" w:hAnsi="宋体" w:eastAsia="宋体" w:cs="宋体"/>
          <w:sz w:val="24"/>
          <w:highlight w:val="none"/>
        </w:rPr>
      </w:pPr>
      <w:r>
        <w:rPr>
          <w:rFonts w:hint="eastAsia" w:ascii="宋体" w:hAnsi="宋体" w:eastAsia="宋体" w:cs="宋体"/>
          <w:sz w:val="24"/>
          <w:highlight w:val="none"/>
          <w:lang w:val="en-US" w:eastAsia="zh-CN"/>
        </w:rPr>
        <w:t>19.4</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资格审查：依据法律法规和招标文件的规定，由采购人对投标文件中的资格证明文件进行审查。资格审查的结论，采购人以书面形式向评委会进行反馈。未通过资格审查的投标人不进入评标；进入评标的投标人不足3家的，不得评标。</w:t>
      </w:r>
    </w:p>
    <w:p w14:paraId="0F2B8C98">
      <w:pPr>
        <w:spacing w:line="360" w:lineRule="auto"/>
        <w:ind w:firstLine="480"/>
        <w:rPr>
          <w:rFonts w:hint="eastAsia" w:ascii="宋体" w:hAnsi="宋体" w:eastAsia="宋体" w:cs="宋体"/>
          <w:b/>
          <w:kern w:val="0"/>
          <w:sz w:val="24"/>
          <w:highlight w:val="none"/>
        </w:rPr>
      </w:pPr>
      <w:r>
        <w:rPr>
          <w:rFonts w:hint="eastAsia" w:ascii="宋体" w:hAnsi="宋体" w:eastAsia="宋体" w:cs="宋体"/>
          <w:b/>
          <w:kern w:val="0"/>
          <w:sz w:val="24"/>
          <w:highlight w:val="none"/>
        </w:rPr>
        <w:t>本项目资格审查资料表应附在投标文件中：</w:t>
      </w:r>
    </w:p>
    <w:p w14:paraId="10B3BB0D">
      <w:pPr>
        <w:pStyle w:val="68"/>
        <w:ind w:firstLine="482"/>
        <w:rPr>
          <w:rFonts w:hint="eastAsia" w:ascii="宋体" w:hAnsi="宋体" w:eastAsia="宋体" w:cs="宋体"/>
          <w:b/>
          <w:bCs/>
          <w:sz w:val="24"/>
          <w:highlight w:val="none"/>
        </w:rPr>
      </w:pPr>
      <w:r>
        <w:rPr>
          <w:rFonts w:hint="eastAsia" w:ascii="宋体" w:hAnsi="宋体" w:eastAsia="宋体" w:cs="宋体"/>
          <w:b/>
          <w:bCs/>
          <w:sz w:val="24"/>
          <w:highlight w:val="none"/>
        </w:rPr>
        <w:t>1.独立承担民事责任能力的企业、事业、自然人，提供营业执照等经营性证件；</w:t>
      </w:r>
    </w:p>
    <w:p w14:paraId="60525D9B">
      <w:pPr>
        <w:pStyle w:val="68"/>
        <w:ind w:firstLine="482"/>
        <w:rPr>
          <w:rFonts w:hint="eastAsia" w:ascii="宋体" w:hAnsi="宋体" w:eastAsia="宋体" w:cs="宋体"/>
          <w:b/>
          <w:bCs/>
          <w:sz w:val="24"/>
          <w:highlight w:val="none"/>
        </w:rPr>
      </w:pPr>
      <w:r>
        <w:rPr>
          <w:rFonts w:hint="eastAsia" w:ascii="宋体" w:hAnsi="宋体" w:eastAsia="宋体" w:cs="宋体"/>
          <w:b/>
          <w:bCs/>
          <w:sz w:val="24"/>
          <w:highlight w:val="none"/>
        </w:rPr>
        <w:t>2.  法人身份证明或法人授权委托书（含法人身份证复印件）和被授权人身份有效证件；</w:t>
      </w:r>
    </w:p>
    <w:p w14:paraId="4C287F17">
      <w:pPr>
        <w:pStyle w:val="68"/>
        <w:ind w:firstLine="482"/>
        <w:rPr>
          <w:rFonts w:hint="eastAsia" w:ascii="宋体" w:hAnsi="宋体" w:eastAsia="宋体" w:cs="宋体"/>
          <w:b/>
          <w:bCs/>
          <w:sz w:val="24"/>
          <w:highlight w:val="none"/>
        </w:rPr>
      </w:pPr>
      <w:r>
        <w:rPr>
          <w:rFonts w:hint="eastAsia" w:ascii="宋体" w:hAnsi="宋体" w:eastAsia="宋体" w:cs="宋体"/>
          <w:b/>
          <w:bCs/>
          <w:sz w:val="24"/>
          <w:highlight w:val="none"/>
        </w:rPr>
        <w:t xml:space="preserve">3.  </w:t>
      </w:r>
      <w:r>
        <w:rPr>
          <w:rFonts w:hint="eastAsia" w:ascii="宋体" w:hAnsi="宋体" w:eastAsia="宋体" w:cs="宋体"/>
          <w:b/>
          <w:bCs/>
          <w:sz w:val="24"/>
          <w:highlight w:val="none"/>
          <w:lang w:eastAsia="zh-CN"/>
        </w:rPr>
        <w:t>近两年任意一年完整的</w:t>
      </w:r>
      <w:r>
        <w:rPr>
          <w:rFonts w:hint="eastAsia" w:ascii="宋体" w:hAnsi="宋体" w:eastAsia="宋体" w:cs="宋体"/>
          <w:b/>
          <w:bCs/>
          <w:sz w:val="24"/>
          <w:highlight w:val="none"/>
        </w:rPr>
        <w:t>财务审计报告（新成立公司提供开标前三个月内任意一个月有效银行资信证明）；</w:t>
      </w:r>
    </w:p>
    <w:p w14:paraId="0B850E3A">
      <w:pPr>
        <w:pStyle w:val="68"/>
        <w:ind w:firstLine="482"/>
        <w:rPr>
          <w:rFonts w:hint="eastAsia" w:ascii="宋体" w:hAnsi="宋体" w:eastAsia="宋体" w:cs="宋体"/>
          <w:b/>
          <w:bCs/>
          <w:sz w:val="24"/>
          <w:highlight w:val="none"/>
        </w:rPr>
      </w:pPr>
      <w:r>
        <w:rPr>
          <w:rFonts w:hint="eastAsia" w:ascii="宋体" w:hAnsi="宋体" w:eastAsia="宋体" w:cs="宋体"/>
          <w:b/>
          <w:bCs/>
          <w:sz w:val="24"/>
          <w:highlight w:val="none"/>
        </w:rPr>
        <w:t>4.  投标企业依法缴纳近 6 个月任意一个月社会保险的凭据；</w:t>
      </w:r>
    </w:p>
    <w:p w14:paraId="51E1B95A">
      <w:pPr>
        <w:pStyle w:val="68"/>
        <w:ind w:firstLine="482"/>
        <w:rPr>
          <w:rFonts w:hint="eastAsia" w:ascii="宋体" w:hAnsi="宋体" w:eastAsia="宋体" w:cs="宋体"/>
          <w:b/>
          <w:bCs/>
          <w:sz w:val="24"/>
          <w:highlight w:val="none"/>
        </w:rPr>
      </w:pPr>
      <w:r>
        <w:rPr>
          <w:rFonts w:hint="eastAsia" w:ascii="宋体" w:hAnsi="宋体" w:eastAsia="宋体" w:cs="宋体"/>
          <w:b/>
          <w:bCs/>
          <w:sz w:val="24"/>
          <w:highlight w:val="none"/>
        </w:rPr>
        <w:t>5.  投标企业提供税务部门出具的近 6 个月任意一个月的完税证明；</w:t>
      </w:r>
    </w:p>
    <w:p w14:paraId="7A34B911">
      <w:pPr>
        <w:pStyle w:val="68"/>
        <w:ind w:firstLine="482"/>
        <w:rPr>
          <w:rFonts w:hint="eastAsia" w:ascii="宋体" w:hAnsi="宋体" w:eastAsia="宋体" w:cs="宋体"/>
          <w:b/>
          <w:bCs/>
          <w:sz w:val="24"/>
          <w:highlight w:val="none"/>
        </w:rPr>
      </w:pPr>
      <w:r>
        <w:rPr>
          <w:rFonts w:hint="eastAsia" w:ascii="宋体" w:hAnsi="宋体" w:eastAsia="宋体" w:cs="宋体"/>
          <w:b/>
          <w:bCs/>
          <w:sz w:val="24"/>
          <w:highlight w:val="none"/>
        </w:rPr>
        <w:t>6. 参与政府采购活动供应商在前3年内未被“信用中国”网站（www.creditchina.gov.cn）、“中国政府采购网”(www.ccgp.gov.cn)列入失信被执行人、</w:t>
      </w:r>
      <w:r>
        <w:rPr>
          <w:rFonts w:hint="eastAsia" w:ascii="宋体" w:hAnsi="宋体" w:eastAsia="宋体" w:cs="宋体"/>
          <w:b/>
          <w:bCs/>
          <w:sz w:val="24"/>
          <w:highlight w:val="none"/>
          <w:lang w:eastAsia="zh-CN"/>
        </w:rPr>
        <w:t>重大税收违法失信主体</w:t>
      </w:r>
      <w:r>
        <w:rPr>
          <w:rFonts w:hint="eastAsia" w:ascii="宋体" w:hAnsi="宋体" w:eastAsia="宋体" w:cs="宋体"/>
          <w:b/>
          <w:bCs/>
          <w:sz w:val="24"/>
          <w:highlight w:val="none"/>
        </w:rPr>
        <w:t>、政府采购严重失信行为记录名单（提供网页截图）；（以招标代理或招标人查询为准）；</w:t>
      </w:r>
    </w:p>
    <w:p w14:paraId="1334E0F6">
      <w:pPr>
        <w:pStyle w:val="68"/>
        <w:ind w:firstLine="482"/>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7</w:t>
      </w:r>
      <w:r>
        <w:rPr>
          <w:rFonts w:hint="eastAsia" w:ascii="宋体" w:hAnsi="宋体" w:eastAsia="宋体" w:cs="宋体"/>
          <w:b/>
          <w:bCs/>
          <w:sz w:val="24"/>
          <w:highlight w:val="none"/>
        </w:rPr>
        <w:t>.  提供针对本次项目《反商业贿赂承诺书》；</w:t>
      </w:r>
    </w:p>
    <w:p w14:paraId="4610101F">
      <w:pPr>
        <w:pStyle w:val="68"/>
        <w:ind w:firstLine="482"/>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8</w:t>
      </w:r>
      <w:r>
        <w:rPr>
          <w:rFonts w:hint="eastAsia" w:ascii="宋体" w:hAnsi="宋体" w:eastAsia="宋体" w:cs="宋体"/>
          <w:b/>
          <w:bCs/>
          <w:sz w:val="24"/>
          <w:highlight w:val="none"/>
        </w:rPr>
        <w:t>.  缴纳投标保证金有效凭证；</w:t>
      </w:r>
    </w:p>
    <w:p w14:paraId="410BC0AA">
      <w:pPr>
        <w:pStyle w:val="68"/>
        <w:ind w:firstLine="482"/>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9</w:t>
      </w:r>
      <w:r>
        <w:rPr>
          <w:rFonts w:hint="eastAsia" w:ascii="宋体" w:hAnsi="宋体" w:eastAsia="宋体" w:cs="宋体"/>
          <w:b/>
          <w:bCs/>
          <w:sz w:val="24"/>
          <w:highlight w:val="none"/>
        </w:rPr>
        <w:t xml:space="preserve">. </w:t>
      </w:r>
      <w:r>
        <w:rPr>
          <w:rFonts w:hint="eastAsia" w:ascii="宋体" w:hAnsi="宋体" w:eastAsia="宋体" w:cs="宋体"/>
          <w:b/>
          <w:bCs/>
          <w:color w:val="FF0000"/>
          <w:sz w:val="24"/>
          <w:highlight w:val="none"/>
        </w:rPr>
        <w:t xml:space="preserve"> </w:t>
      </w:r>
      <w:r>
        <w:rPr>
          <w:rFonts w:hint="eastAsia" w:ascii="宋体" w:hAnsi="宋体" w:eastAsia="宋体" w:cs="宋体"/>
          <w:b/>
          <w:bCs/>
          <w:sz w:val="24"/>
          <w:highlight w:val="none"/>
        </w:rPr>
        <w:t>本项目不接受联合体投标。</w:t>
      </w:r>
    </w:p>
    <w:p w14:paraId="107FBBB3">
      <w:pPr>
        <w:spacing w:line="360" w:lineRule="auto"/>
        <w:ind w:firstLine="480"/>
        <w:rPr>
          <w:rFonts w:hint="eastAsia" w:ascii="宋体" w:hAnsi="宋体" w:eastAsia="宋体" w:cs="宋体"/>
          <w:b/>
          <w:iCs/>
          <w:color w:val="000000"/>
          <w:sz w:val="24"/>
          <w:highlight w:val="none"/>
        </w:rPr>
      </w:pPr>
      <w:r>
        <w:rPr>
          <w:rFonts w:hint="eastAsia" w:ascii="宋体" w:hAnsi="宋体" w:eastAsia="宋体" w:cs="宋体"/>
          <w:b/>
          <w:iCs/>
          <w:color w:val="000000"/>
          <w:sz w:val="24"/>
          <w:highlight w:val="none"/>
        </w:rPr>
        <w:t>通过资格审查的投标人少于不足三家的，不得评标。</w:t>
      </w:r>
    </w:p>
    <w:p w14:paraId="33D8370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19.</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    采购人或采购代理机构将在投标截止后1小时的期间内查询投标人的信用记录。投标人存在不良信用记录的，其投标将被认定为投标无效。</w:t>
      </w:r>
    </w:p>
    <w:p w14:paraId="20CEA366">
      <w:pPr>
        <w:spacing w:line="360" w:lineRule="auto"/>
        <w:ind w:left="857" w:leftChars="2" w:hanging="853"/>
        <w:rPr>
          <w:rFonts w:hint="eastAsia" w:ascii="宋体" w:hAnsi="宋体" w:eastAsia="宋体" w:cs="宋体"/>
          <w:sz w:val="24"/>
          <w:highlight w:val="none"/>
        </w:rPr>
      </w:pPr>
      <w:r>
        <w:rPr>
          <w:rFonts w:hint="eastAsia" w:ascii="宋体" w:hAnsi="宋体" w:eastAsia="宋体" w:cs="宋体"/>
          <w:sz w:val="24"/>
          <w:highlight w:val="none"/>
        </w:rPr>
        <w:t>19.</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14:paraId="7A29389A">
      <w:pPr>
        <w:spacing w:line="360" w:lineRule="auto"/>
        <w:ind w:left="850" w:leftChars="405"/>
        <w:jc w:val="left"/>
        <w:rPr>
          <w:rFonts w:hint="eastAsia" w:ascii="宋体" w:hAnsi="宋体" w:eastAsia="宋体" w:cs="宋体"/>
          <w:sz w:val="24"/>
          <w:highlight w:val="none"/>
        </w:rPr>
      </w:pPr>
      <w:r>
        <w:rPr>
          <w:rFonts w:hint="eastAsia" w:ascii="宋体" w:hAnsi="宋体" w:eastAsia="宋体" w:cs="宋体"/>
          <w:sz w:val="24"/>
          <w:highlight w:val="none"/>
        </w:rPr>
        <w:t>以联合体形式参加投标的，联合体任何成员存在以上不良信用记录的，联合体投标将被认定为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13DA5AF8">
      <w:pPr>
        <w:pStyle w:val="46"/>
        <w:spacing w:line="360" w:lineRule="auto"/>
        <w:ind w:left="850" w:hanging="849" w:hangingChars="354"/>
        <w:jc w:val="both"/>
        <w:rPr>
          <w:rFonts w:hint="eastAsia" w:ascii="宋体" w:hAnsi="宋体" w:eastAsia="宋体" w:cs="宋体"/>
          <w:highlight w:val="none"/>
        </w:rPr>
      </w:pPr>
      <w:r>
        <w:rPr>
          <w:rFonts w:hint="eastAsia" w:ascii="宋体" w:hAnsi="宋体" w:eastAsia="宋体" w:cs="宋体"/>
          <w:highlight w:val="none"/>
        </w:rPr>
        <w:t>19.</w:t>
      </w:r>
      <w:r>
        <w:rPr>
          <w:rFonts w:hint="eastAsia" w:ascii="宋体" w:hAnsi="宋体" w:eastAsia="宋体" w:cs="宋体"/>
          <w:highlight w:val="none"/>
          <w:lang w:val="en-US" w:eastAsia="zh-CN"/>
        </w:rPr>
        <w:t>5</w:t>
      </w:r>
      <w:r>
        <w:rPr>
          <w:rFonts w:hint="eastAsia" w:ascii="宋体" w:hAnsi="宋体" w:eastAsia="宋体" w:cs="宋体"/>
          <w:highlight w:val="none"/>
        </w:rPr>
        <w:t>.2 查询及记录方式：投标人不良信用记录以采购人或采购代理机构查询结果为准。</w:t>
      </w:r>
    </w:p>
    <w:p w14:paraId="171842BF">
      <w:pPr>
        <w:pStyle w:val="46"/>
        <w:spacing w:line="360" w:lineRule="auto"/>
        <w:ind w:left="850" w:leftChars="405" w:firstLine="0"/>
        <w:jc w:val="both"/>
        <w:rPr>
          <w:rFonts w:hint="eastAsia" w:ascii="宋体" w:hAnsi="宋体" w:eastAsia="宋体" w:cs="宋体"/>
          <w:highlight w:val="none"/>
        </w:rPr>
      </w:pPr>
      <w:r>
        <w:rPr>
          <w:rFonts w:hint="eastAsia" w:ascii="宋体" w:hAnsi="宋体" w:eastAsia="宋体" w:cs="宋体"/>
          <w:highlight w:val="none"/>
        </w:rPr>
        <w:t>在本招标文件规定的查询时间之后，网站信息发生的任何变更均不再作为评标依据。</w:t>
      </w:r>
    </w:p>
    <w:p w14:paraId="419AA640">
      <w:pPr>
        <w:pStyle w:val="46"/>
        <w:spacing w:line="360" w:lineRule="auto"/>
        <w:ind w:left="850" w:leftChars="405" w:firstLine="0"/>
        <w:jc w:val="both"/>
        <w:rPr>
          <w:rFonts w:hint="eastAsia" w:ascii="宋体" w:hAnsi="宋体" w:eastAsia="宋体" w:cs="宋体"/>
          <w:sz w:val="24"/>
          <w:highlight w:val="none"/>
        </w:rPr>
      </w:pPr>
      <w:r>
        <w:rPr>
          <w:rFonts w:hint="eastAsia" w:ascii="宋体" w:hAnsi="宋体" w:eastAsia="宋体" w:cs="宋体"/>
          <w:highlight w:val="none"/>
        </w:rPr>
        <w:t>投标人自行提供的与网站信息不一致的其他证明材料亦不作为资格审查的依据。</w:t>
      </w:r>
      <w:r>
        <w:rPr>
          <w:rFonts w:hint="eastAsia" w:ascii="宋体" w:hAnsi="宋体" w:eastAsia="宋体" w:cs="宋体"/>
          <w:sz w:val="24"/>
          <w:highlight w:val="none"/>
        </w:rPr>
        <w:t xml:space="preserve"> </w:t>
      </w:r>
    </w:p>
    <w:p w14:paraId="4D833D61">
      <w:pPr>
        <w:pStyle w:val="42"/>
        <w:spacing w:before="0" w:after="0" w:line="360" w:lineRule="auto"/>
        <w:rPr>
          <w:rFonts w:hint="eastAsia" w:ascii="宋体" w:hAnsi="宋体" w:eastAsia="宋体" w:cs="宋体"/>
          <w:highlight w:val="none"/>
          <w:u w:val="none"/>
        </w:rPr>
      </w:pPr>
      <w:bookmarkStart w:id="189" w:name="_Toc6842"/>
      <w:bookmarkEnd w:id="189"/>
      <w:bookmarkStart w:id="190" w:name="_Toc22894"/>
      <w:bookmarkEnd w:id="190"/>
      <w:bookmarkStart w:id="191" w:name="_Toc23348"/>
      <w:bookmarkEnd w:id="191"/>
      <w:bookmarkStart w:id="192" w:name="_Toc518923085"/>
      <w:bookmarkEnd w:id="192"/>
      <w:bookmarkStart w:id="193" w:name="_Toc28541"/>
      <w:bookmarkEnd w:id="193"/>
      <w:r>
        <w:rPr>
          <w:rFonts w:hint="eastAsia" w:ascii="宋体" w:hAnsi="宋体" w:eastAsia="宋体" w:cs="宋体"/>
          <w:highlight w:val="none"/>
          <w:u w:val="none"/>
        </w:rPr>
        <w:t>20.投标文件的符合性审查与澄清</w:t>
      </w:r>
    </w:p>
    <w:p w14:paraId="0C0B1D7C">
      <w:pPr>
        <w:spacing w:line="360" w:lineRule="auto"/>
        <w:ind w:left="900" w:hanging="900" w:hangingChars="375"/>
        <w:rPr>
          <w:rFonts w:hint="eastAsia" w:ascii="宋体" w:hAnsi="宋体" w:eastAsia="宋体" w:cs="宋体"/>
          <w:sz w:val="24"/>
          <w:highlight w:val="none"/>
        </w:rPr>
      </w:pPr>
      <w:bookmarkStart w:id="194" w:name="_Hlt522424701"/>
      <w:bookmarkEnd w:id="194"/>
      <w:r>
        <w:rPr>
          <w:rFonts w:hint="eastAsia" w:ascii="宋体" w:hAnsi="宋体" w:eastAsia="宋体" w:cs="宋体"/>
          <w:sz w:val="24"/>
          <w:highlight w:val="none"/>
        </w:rPr>
        <w:t>20.1   符合性审查是指依据招标文件的规定，从投标文件的有效性和完整性对招标文件的响应程度进行审查，以确定是否对招标文件的实质性要求做出响应。</w:t>
      </w:r>
    </w:p>
    <w:p w14:paraId="14814E28">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20.2</w:t>
      </w:r>
      <w:r>
        <w:rPr>
          <w:rFonts w:hint="eastAsia" w:ascii="宋体" w:hAnsi="宋体" w:eastAsia="宋体" w:cs="宋体"/>
          <w:sz w:val="24"/>
          <w:highlight w:val="none"/>
        </w:rPr>
        <w:tab/>
      </w:r>
      <w:r>
        <w:rPr>
          <w:rFonts w:hint="eastAsia" w:ascii="宋体" w:hAnsi="宋体" w:eastAsia="宋体" w:cs="宋体"/>
          <w:sz w:val="24"/>
          <w:highlight w:val="none"/>
        </w:rPr>
        <w:t>投标文件的澄清</w:t>
      </w:r>
    </w:p>
    <w:p w14:paraId="5319000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5C67725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20.2.2  投标人的澄清、说明或补正将作为投标文件的一部分。</w:t>
      </w:r>
    </w:p>
    <w:p w14:paraId="01FED408">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20.3   投标文件报价出现前后不一致的，按照下列规定修正：</w:t>
      </w:r>
    </w:p>
    <w:p w14:paraId="180A4E9B">
      <w:pPr>
        <w:spacing w:line="360" w:lineRule="auto"/>
        <w:ind w:left="1020" w:hanging="1020" w:hangingChars="425"/>
        <w:rPr>
          <w:rFonts w:hint="eastAsia" w:ascii="宋体" w:hAnsi="宋体" w:eastAsia="宋体" w:cs="宋体"/>
          <w:sz w:val="24"/>
          <w:highlight w:val="none"/>
        </w:rPr>
      </w:pPr>
      <w:r>
        <w:rPr>
          <w:rFonts w:hint="eastAsia" w:ascii="宋体" w:hAnsi="宋体" w:eastAsia="宋体" w:cs="宋体"/>
          <w:sz w:val="24"/>
          <w:highlight w:val="none"/>
        </w:rPr>
        <w:t>（一）投标文件中开标一览表（报价表）内容与投标文件中相应内容不一致的，以开标一览表（报价表）为准；</w:t>
      </w:r>
    </w:p>
    <w:p w14:paraId="5784147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（二）大写金额和小写金额不一致的，以大写金额为准；</w:t>
      </w:r>
    </w:p>
    <w:p w14:paraId="5D12A291">
      <w:pPr>
        <w:spacing w:line="360" w:lineRule="auto"/>
        <w:ind w:left="1020" w:hanging="1020" w:hangingChars="425"/>
        <w:rPr>
          <w:rFonts w:hint="eastAsia" w:ascii="宋体" w:hAnsi="宋体" w:eastAsia="宋体" w:cs="宋体"/>
          <w:sz w:val="24"/>
          <w:highlight w:val="none"/>
        </w:rPr>
      </w:pPr>
      <w:r>
        <w:rPr>
          <w:rFonts w:hint="eastAsia" w:ascii="宋体" w:hAnsi="宋体" w:eastAsia="宋体" w:cs="宋体"/>
          <w:sz w:val="24"/>
          <w:highlight w:val="none"/>
        </w:rPr>
        <w:t>（三）单价金额小数点或者百分比有明显错位的，以开标一览表的总价为准，并修改单价；</w:t>
      </w:r>
    </w:p>
    <w:p w14:paraId="22FAADA9">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（四）总价金额与按单价汇总金额不一致的，以单价金额计算结果为准。</w:t>
      </w:r>
    </w:p>
    <w:p w14:paraId="29107388">
      <w:pPr>
        <w:spacing w:line="360" w:lineRule="auto"/>
        <w:ind w:left="898" w:leftChars="342" w:hanging="180" w:hangingChars="7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同时出现两种以上不一致的，按照前款规定的顺序修正。修正后的报价按照第20.2条的规定经投标人确认后产生约束力，投标人不确认的，将被认定为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4B9021A1">
      <w:pPr>
        <w:spacing w:line="360" w:lineRule="auto"/>
        <w:ind w:left="735" w:leftChars="350" w:firstLine="120" w:firstLineChars="50"/>
        <w:rPr>
          <w:rFonts w:hint="eastAsia" w:ascii="宋体" w:hAnsi="宋体" w:eastAsia="宋体" w:cs="宋体"/>
          <w:sz w:val="24"/>
          <w:highlight w:val="none"/>
        </w:rPr>
      </w:pPr>
      <w:r>
        <w:rPr>
          <w:rFonts w:hint="eastAsia" w:ascii="宋体" w:hAnsi="宋体" w:eastAsia="宋体" w:cs="宋体"/>
          <w:sz w:val="24"/>
          <w:highlight w:val="none"/>
        </w:rPr>
        <w:t>对不同文字文本投标文件的解释发生异议的，以中文文本为准。</w:t>
      </w:r>
    </w:p>
    <w:p w14:paraId="139FBA9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20.4   如一个分包内只有一种产品，不同投标人所投产品为同一品牌的，按如下方式处理：</w:t>
      </w:r>
    </w:p>
    <w:p w14:paraId="273B1AE9">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w:t>
      </w:r>
    </w:p>
    <w:p w14:paraId="2A26A8BF">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20.4.2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18A7A704">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20.5   如一个分包内包含多种产品的，采购人或采购代理机构将在投标人须知资料表中载明核心产品，多家投标人提供的核心产品品牌相同的，按第20.4条规定处理。</w:t>
      </w:r>
    </w:p>
    <w:p w14:paraId="1F4AD343">
      <w:pPr>
        <w:spacing w:line="360" w:lineRule="auto"/>
        <w:ind w:left="900" w:hanging="900" w:hangingChars="375"/>
        <w:jc w:val="both"/>
        <w:rPr>
          <w:rFonts w:hint="eastAsia" w:ascii="宋体" w:hAnsi="宋体" w:eastAsia="宋体" w:cs="宋体"/>
          <w:color w:val="auto"/>
          <w:sz w:val="24"/>
          <w:highlight w:val="none"/>
        </w:rPr>
      </w:pPr>
      <w:bookmarkStart w:id="195" w:name="_Toc18231"/>
      <w:bookmarkEnd w:id="195"/>
      <w:bookmarkStart w:id="196" w:name="_Toc518923086"/>
      <w:bookmarkEnd w:id="196"/>
      <w:bookmarkStart w:id="197" w:name="_Toc19998"/>
      <w:bookmarkEnd w:id="197"/>
      <w:bookmarkStart w:id="198" w:name="_Toc29689"/>
      <w:bookmarkEnd w:id="198"/>
      <w:bookmarkStart w:id="199" w:name="_Toc8603"/>
      <w:bookmarkEnd w:id="199"/>
      <w:r>
        <w:rPr>
          <w:rFonts w:hint="eastAsia" w:ascii="宋体" w:hAnsi="宋体" w:eastAsia="宋体" w:cs="宋体"/>
          <w:sz w:val="24"/>
          <w:highlight w:val="none"/>
        </w:rPr>
        <w:t xml:space="preserve">20.6   </w:t>
      </w:r>
      <w:r>
        <w:rPr>
          <w:rFonts w:hint="eastAsia" w:ascii="宋体" w:hAnsi="宋体" w:eastAsia="宋体" w:cs="宋体"/>
          <w:sz w:val="24"/>
          <w:highlight w:val="none"/>
          <w:lang w:val="en-US" w:eastAsia="zh-CN"/>
        </w:rPr>
        <w:t xml:space="preserve"> </w:t>
      </w:r>
      <w:r>
        <w:rPr>
          <w:rFonts w:hint="eastAsia" w:ascii="宋体" w:hAnsi="宋体" w:eastAsia="宋体" w:cs="宋体"/>
          <w:b/>
          <w:bCs/>
          <w:color w:val="auto"/>
          <w:sz w:val="24"/>
          <w:highlight w:val="none"/>
        </w:rPr>
        <w:t>投标人所投产品如被列入财政部与国家主管部门颁发的节能产品目录或环境标志产品目录或无线局域网产品目录，应提供相关证明，</w:t>
      </w:r>
      <w:r>
        <w:rPr>
          <w:rFonts w:hint="eastAsia" w:ascii="宋体" w:hAnsi="宋体" w:eastAsia="宋体" w:cs="宋体"/>
          <w:color w:val="auto"/>
          <w:sz w:val="24"/>
          <w:highlight w:val="none"/>
        </w:rPr>
        <w:t>在评标时予以优先采购，具体优先采购办法见第六章评标方法和标准。</w:t>
      </w:r>
    </w:p>
    <w:p w14:paraId="1604F77F">
      <w:pPr>
        <w:spacing w:line="360" w:lineRule="auto"/>
        <w:ind w:left="958" w:leftChars="456" w:firstLine="60" w:firstLineChars="25"/>
        <w:jc w:val="both"/>
        <w:rPr>
          <w:rFonts w:hint="eastAsia" w:ascii="宋体" w:hAnsi="宋体" w:eastAsia="宋体" w:cs="宋体"/>
          <w:sz w:val="24"/>
          <w:highlight w:val="none"/>
        </w:rPr>
      </w:pPr>
      <w:r>
        <w:rPr>
          <w:rFonts w:hint="eastAsia" w:ascii="宋体" w:hAnsi="宋体" w:eastAsia="宋体" w:cs="宋体"/>
          <w:b/>
          <w:bCs/>
          <w:color w:val="auto"/>
          <w:sz w:val="24"/>
          <w:highlight w:val="none"/>
        </w:rPr>
        <w:t>如采购人所采购产品为政府强制采购的节能产品，投标人所投产品不具备依据国家确定的认证机构出具的、处于有效期之内的节能产品认证证书，</w:t>
      </w:r>
      <w:r>
        <w:rPr>
          <w:rFonts w:hint="eastAsia" w:ascii="宋体" w:hAnsi="宋体" w:eastAsia="宋体" w:cs="宋体"/>
          <w:sz w:val="24"/>
          <w:highlight w:val="none"/>
        </w:rPr>
        <w:t>否则其投标将被认定为</w:t>
      </w:r>
      <w:r>
        <w:rPr>
          <w:rFonts w:hint="eastAsia" w:ascii="宋体" w:hAnsi="宋体" w:eastAsia="宋体" w:cs="宋体"/>
          <w:b/>
          <w:bCs/>
          <w:sz w:val="24"/>
          <w:highlight w:val="none"/>
        </w:rPr>
        <w:t>投标无效。</w:t>
      </w:r>
    </w:p>
    <w:p w14:paraId="4590B345">
      <w:pPr>
        <w:pStyle w:val="42"/>
        <w:spacing w:before="0" w:after="0" w:line="360" w:lineRule="auto"/>
        <w:rPr>
          <w:rFonts w:hint="eastAsia" w:ascii="宋体" w:hAnsi="宋体" w:eastAsia="宋体" w:cs="宋体"/>
          <w:highlight w:val="none"/>
          <w:u w:val="none"/>
        </w:rPr>
      </w:pPr>
      <w:r>
        <w:rPr>
          <w:rFonts w:hint="eastAsia" w:ascii="宋体" w:hAnsi="宋体" w:eastAsia="宋体" w:cs="宋体"/>
          <w:highlight w:val="none"/>
          <w:u w:val="none"/>
        </w:rPr>
        <w:t>21.投标偏离</w:t>
      </w:r>
    </w:p>
    <w:p w14:paraId="480DD02F">
      <w:pPr>
        <w:spacing w:line="360" w:lineRule="auto"/>
        <w:ind w:left="958" w:leftChars="456" w:firstLine="0" w:firstLineChars="0"/>
        <w:rPr>
          <w:rFonts w:hint="eastAsia" w:ascii="宋体" w:hAnsi="宋体" w:eastAsia="宋体" w:cs="宋体"/>
          <w:sz w:val="24"/>
          <w:highlight w:val="none"/>
        </w:rPr>
      </w:pPr>
      <w:r>
        <w:rPr>
          <w:rFonts w:hint="eastAsia" w:ascii="宋体" w:hAnsi="宋体" w:eastAsia="宋体" w:cs="宋体"/>
          <w:sz w:val="24"/>
          <w:highlight w:val="none"/>
        </w:rPr>
        <w:t>在详细评标之前，评委会将首先审查每份投标文件是否实质性响应了招标文件的要求。实质性响应的投标应该是与招标文件要求的全部条款、条件和规格相符，没有重大偏离或保留的投标。</w:t>
      </w:r>
    </w:p>
    <w:p w14:paraId="11D21340">
      <w:pPr>
        <w:spacing w:line="360" w:lineRule="auto"/>
        <w:ind w:left="926" w:leftChars="441" w:firstLine="79" w:firstLineChars="33"/>
        <w:rPr>
          <w:rFonts w:hint="eastAsia" w:ascii="宋体" w:hAnsi="宋体" w:eastAsia="宋体" w:cs="宋体"/>
          <w:sz w:val="24"/>
          <w:highlight w:val="none"/>
        </w:rPr>
      </w:pPr>
      <w:r>
        <w:rPr>
          <w:rFonts w:hint="eastAsia" w:ascii="宋体" w:hAnsi="宋体" w:eastAsia="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w:t>
      </w:r>
    </w:p>
    <w:p w14:paraId="521581A4">
      <w:pPr>
        <w:spacing w:line="360" w:lineRule="auto"/>
        <w:ind w:left="926" w:leftChars="441" w:firstLine="79" w:firstLineChars="33"/>
        <w:rPr>
          <w:rFonts w:hint="eastAsia" w:ascii="宋体" w:hAnsi="宋体" w:eastAsia="宋体" w:cs="宋体"/>
          <w:sz w:val="24"/>
          <w:highlight w:val="none"/>
        </w:rPr>
      </w:pPr>
      <w:r>
        <w:rPr>
          <w:rFonts w:hint="eastAsia" w:ascii="宋体" w:hAnsi="宋体" w:eastAsia="宋体" w:cs="宋体"/>
          <w:sz w:val="24"/>
          <w:highlight w:val="none"/>
        </w:rPr>
        <w:t>重大偏离的认定需经过评委会以少数服从多数的原则作出结论。评委决定投标文件的响应性只根据投标文件本身的内容，而不寻求外部的证据。</w:t>
      </w:r>
    </w:p>
    <w:p w14:paraId="312BE65A">
      <w:pPr>
        <w:pStyle w:val="42"/>
        <w:spacing w:before="0" w:after="0" w:line="360" w:lineRule="auto"/>
        <w:rPr>
          <w:rFonts w:hint="eastAsia" w:ascii="宋体" w:hAnsi="宋体" w:eastAsia="宋体" w:cs="宋体"/>
          <w:highlight w:val="none"/>
          <w:u w:val="none"/>
        </w:rPr>
      </w:pPr>
      <w:bookmarkStart w:id="200" w:name="_Toc31259"/>
      <w:bookmarkEnd w:id="200"/>
      <w:bookmarkStart w:id="201" w:name="_Toc31087"/>
      <w:bookmarkEnd w:id="201"/>
      <w:bookmarkStart w:id="202" w:name="_Toc25255"/>
      <w:bookmarkEnd w:id="202"/>
      <w:bookmarkStart w:id="203" w:name="_Toc16356"/>
      <w:bookmarkEnd w:id="203"/>
      <w:bookmarkStart w:id="204" w:name="_Toc518923087"/>
      <w:bookmarkEnd w:id="204"/>
      <w:r>
        <w:rPr>
          <w:rFonts w:hint="eastAsia" w:ascii="宋体" w:hAnsi="宋体" w:eastAsia="宋体" w:cs="宋体"/>
          <w:highlight w:val="none"/>
          <w:u w:val="none"/>
        </w:rPr>
        <w:t>22.投标无效</w:t>
      </w:r>
    </w:p>
    <w:p w14:paraId="33ED02F7">
      <w:pPr>
        <w:spacing w:line="360" w:lineRule="auto"/>
        <w:ind w:left="852" w:leftChars="-23" w:hanging="900" w:hangingChars="375"/>
        <w:rPr>
          <w:rFonts w:hint="eastAsia" w:ascii="宋体" w:hAnsi="宋体" w:eastAsia="宋体" w:cs="宋体"/>
          <w:sz w:val="24"/>
          <w:highlight w:val="none"/>
        </w:rPr>
      </w:pPr>
      <w:r>
        <w:rPr>
          <w:rFonts w:hint="eastAsia" w:ascii="宋体" w:hAnsi="宋体" w:eastAsia="宋体" w:cs="宋体"/>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sz w:val="24"/>
          <w:highlight w:val="none"/>
        </w:rPr>
        <w:t>投标无效</w:t>
      </w:r>
      <w:r>
        <w:rPr>
          <w:rFonts w:hint="eastAsia" w:ascii="宋体" w:hAnsi="宋体" w:eastAsia="宋体" w:cs="宋体"/>
          <w:sz w:val="24"/>
          <w:highlight w:val="none"/>
        </w:rPr>
        <w:t>。投标人不得通过修正或撤销不符合要求的偏离从而使其投标成为实质上响应的投标。</w:t>
      </w:r>
    </w:p>
    <w:p w14:paraId="34B66A02">
      <w:pPr>
        <w:spacing w:line="360" w:lineRule="auto"/>
        <w:ind w:left="792" w:leftChars="377"/>
        <w:rPr>
          <w:rFonts w:hint="eastAsia" w:ascii="宋体" w:hAnsi="宋体" w:eastAsia="宋体" w:cs="宋体"/>
          <w:sz w:val="24"/>
          <w:highlight w:val="none"/>
        </w:rPr>
      </w:pPr>
      <w:r>
        <w:rPr>
          <w:rFonts w:hint="eastAsia" w:ascii="宋体" w:hAnsi="宋体" w:eastAsia="宋体" w:cs="宋体"/>
          <w:sz w:val="24"/>
          <w:highlight w:val="none"/>
        </w:rPr>
        <w:t>评标委员会决定投标的响应性只根据招标文件要求、投标文件内容及财政主管部门指定相关信息发布媒体。</w:t>
      </w:r>
    </w:p>
    <w:p w14:paraId="165463F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22.2</w:t>
      </w:r>
      <w:r>
        <w:rPr>
          <w:rFonts w:hint="eastAsia" w:ascii="宋体" w:hAnsi="宋体" w:eastAsia="宋体" w:cs="宋体"/>
          <w:sz w:val="24"/>
          <w:highlight w:val="none"/>
        </w:rPr>
        <w:tab/>
      </w:r>
      <w:r>
        <w:rPr>
          <w:rFonts w:hint="eastAsia" w:ascii="宋体" w:hAnsi="宋体" w:eastAsia="宋体" w:cs="宋体"/>
          <w:b/>
          <w:bCs/>
          <w:sz w:val="24"/>
          <w:highlight w:val="none"/>
        </w:rPr>
        <w:t>如发现下列情况之一的，其投标将被认定为投标无效：</w:t>
      </w:r>
      <w:r>
        <w:rPr>
          <w:rFonts w:hint="eastAsia" w:ascii="宋体" w:hAnsi="宋体" w:eastAsia="宋体" w:cs="宋体"/>
          <w:sz w:val="24"/>
          <w:highlight w:val="none"/>
        </w:rPr>
        <w:t>（</w:t>
      </w:r>
      <w:r>
        <w:rPr>
          <w:rFonts w:hint="eastAsia" w:ascii="宋体" w:hAnsi="宋体" w:eastAsia="宋体" w:cs="宋体"/>
          <w:bCs/>
          <w:sz w:val="24"/>
          <w:highlight w:val="none"/>
        </w:rPr>
        <w:t>以下情形应当在招标文件中规定，并以醒目的方式标明）</w:t>
      </w:r>
    </w:p>
    <w:p w14:paraId="239A98C8">
      <w:pPr>
        <w:numPr>
          <w:ilvl w:val="0"/>
          <w:numId w:val="8"/>
        </w:numPr>
        <w:tabs>
          <w:tab w:val="clear" w:pos="1571"/>
        </w:tabs>
        <w:spacing w:line="360" w:lineRule="auto"/>
        <w:ind w:left="1230" w:hanging="180"/>
        <w:rPr>
          <w:rFonts w:hint="eastAsia" w:ascii="宋体" w:hAnsi="宋体" w:eastAsia="宋体" w:cs="宋体"/>
          <w:b/>
          <w:bCs/>
          <w:sz w:val="24"/>
          <w:highlight w:val="none"/>
        </w:rPr>
      </w:pPr>
      <w:r>
        <w:rPr>
          <w:rFonts w:hint="eastAsia" w:ascii="宋体" w:hAnsi="宋体" w:eastAsia="宋体" w:cs="宋体"/>
          <w:b/>
          <w:bCs/>
          <w:sz w:val="24"/>
          <w:highlight w:val="none"/>
        </w:rPr>
        <w:t>未按招标文件规定的形式和金额提交投标保证金的；</w:t>
      </w:r>
    </w:p>
    <w:p w14:paraId="320421FA">
      <w:pPr>
        <w:numPr>
          <w:ilvl w:val="0"/>
          <w:numId w:val="8"/>
        </w:numPr>
        <w:tabs>
          <w:tab w:val="clear" w:pos="1571"/>
        </w:tabs>
        <w:spacing w:line="360" w:lineRule="auto"/>
        <w:ind w:left="1230" w:hanging="180"/>
        <w:rPr>
          <w:rFonts w:hint="eastAsia" w:ascii="宋体" w:hAnsi="宋体" w:eastAsia="宋体" w:cs="宋体"/>
          <w:b/>
          <w:bCs/>
          <w:sz w:val="24"/>
          <w:highlight w:val="none"/>
        </w:rPr>
      </w:pPr>
      <w:r>
        <w:rPr>
          <w:rFonts w:hint="eastAsia" w:ascii="宋体" w:hAnsi="宋体" w:eastAsia="宋体" w:cs="宋体"/>
          <w:b/>
          <w:bCs/>
          <w:sz w:val="24"/>
          <w:highlight w:val="none"/>
        </w:rPr>
        <w:t>未按照招标文件规定要求签署、盖章的；</w:t>
      </w:r>
    </w:p>
    <w:p w14:paraId="664C673F">
      <w:pPr>
        <w:numPr>
          <w:ilvl w:val="0"/>
          <w:numId w:val="8"/>
        </w:numPr>
        <w:tabs>
          <w:tab w:val="clear" w:pos="1571"/>
        </w:tabs>
        <w:spacing w:line="360" w:lineRule="auto"/>
        <w:ind w:left="1230" w:hanging="180"/>
        <w:rPr>
          <w:rFonts w:hint="eastAsia" w:ascii="宋体" w:hAnsi="宋体" w:eastAsia="宋体" w:cs="宋体"/>
          <w:b/>
          <w:bCs/>
          <w:sz w:val="24"/>
          <w:highlight w:val="none"/>
        </w:rPr>
      </w:pPr>
      <w:r>
        <w:rPr>
          <w:rFonts w:hint="eastAsia" w:ascii="宋体" w:hAnsi="宋体" w:eastAsia="宋体" w:cs="宋体"/>
          <w:b/>
          <w:bCs/>
          <w:sz w:val="24"/>
          <w:highlight w:val="none"/>
        </w:rPr>
        <w:t>未满足招标文件中技术条款的实质性要求；</w:t>
      </w:r>
    </w:p>
    <w:p w14:paraId="188A95EA">
      <w:pPr>
        <w:numPr>
          <w:ilvl w:val="0"/>
          <w:numId w:val="8"/>
        </w:numPr>
        <w:tabs>
          <w:tab w:val="clear" w:pos="1571"/>
        </w:tabs>
        <w:spacing w:line="360" w:lineRule="auto"/>
        <w:ind w:left="1230" w:hanging="180"/>
        <w:rPr>
          <w:rFonts w:hint="eastAsia" w:ascii="宋体" w:hAnsi="宋体" w:eastAsia="宋体" w:cs="宋体"/>
          <w:b/>
          <w:bCs/>
          <w:sz w:val="24"/>
          <w:highlight w:val="none"/>
        </w:rPr>
      </w:pPr>
      <w:r>
        <w:rPr>
          <w:rFonts w:hint="eastAsia" w:ascii="宋体" w:hAnsi="宋体" w:eastAsia="宋体" w:cs="宋体"/>
          <w:b/>
          <w:bCs/>
          <w:sz w:val="24"/>
          <w:highlight w:val="none"/>
        </w:rPr>
        <w:t>与其他投标人串通投标，或者与招标人串通投标；</w:t>
      </w:r>
    </w:p>
    <w:p w14:paraId="521AE113">
      <w:pPr>
        <w:numPr>
          <w:ilvl w:val="0"/>
          <w:numId w:val="8"/>
        </w:numPr>
        <w:tabs>
          <w:tab w:val="clear" w:pos="1571"/>
        </w:tabs>
        <w:spacing w:line="360" w:lineRule="auto"/>
        <w:ind w:left="1230" w:hanging="180"/>
        <w:rPr>
          <w:rFonts w:hint="eastAsia" w:ascii="宋体" w:hAnsi="宋体" w:eastAsia="宋体" w:cs="宋体"/>
          <w:b/>
          <w:bCs/>
          <w:sz w:val="24"/>
          <w:highlight w:val="none"/>
        </w:rPr>
      </w:pPr>
      <w:r>
        <w:rPr>
          <w:rFonts w:hint="eastAsia" w:ascii="宋体" w:hAnsi="宋体" w:eastAsia="宋体" w:cs="宋体"/>
          <w:b/>
          <w:bCs/>
          <w:sz w:val="24"/>
          <w:highlight w:val="none"/>
        </w:rPr>
        <w:t>属于招标文件规定的其他投标无效情形；</w:t>
      </w:r>
    </w:p>
    <w:p w14:paraId="21F7AD86">
      <w:pPr>
        <w:numPr>
          <w:ilvl w:val="0"/>
          <w:numId w:val="8"/>
        </w:numPr>
        <w:tabs>
          <w:tab w:val="clear" w:pos="1571"/>
        </w:tabs>
        <w:spacing w:line="360" w:lineRule="auto"/>
        <w:ind w:left="1230" w:hanging="180"/>
        <w:rPr>
          <w:rFonts w:hint="eastAsia" w:ascii="宋体" w:hAnsi="宋体" w:eastAsia="宋体" w:cs="宋体"/>
          <w:b/>
          <w:bCs/>
          <w:sz w:val="24"/>
          <w:highlight w:val="none"/>
        </w:rPr>
      </w:pPr>
      <w:r>
        <w:rPr>
          <w:rFonts w:hint="eastAsia" w:ascii="宋体" w:hAnsi="宋体" w:eastAsia="宋体" w:cs="宋体"/>
          <w:b/>
          <w:bCs/>
          <w:sz w:val="24"/>
          <w:highlight w:val="none"/>
        </w:rPr>
        <w:t>评标委员会认为投标人的报价明显低于其他通过符合性检查投标人的报价，有可能影响履约的，且投标人未按照规定证明其报价合理性的；</w:t>
      </w:r>
    </w:p>
    <w:p w14:paraId="5673E77B">
      <w:pPr>
        <w:numPr>
          <w:ilvl w:val="0"/>
          <w:numId w:val="8"/>
        </w:numPr>
        <w:tabs>
          <w:tab w:val="clear" w:pos="1571"/>
        </w:tabs>
        <w:spacing w:line="360" w:lineRule="auto"/>
        <w:ind w:left="1230" w:hanging="180"/>
        <w:rPr>
          <w:rFonts w:hint="eastAsia" w:ascii="宋体" w:hAnsi="宋体" w:eastAsia="宋体" w:cs="宋体"/>
          <w:b/>
          <w:bCs/>
          <w:sz w:val="24"/>
          <w:highlight w:val="none"/>
        </w:rPr>
      </w:pPr>
      <w:r>
        <w:rPr>
          <w:rFonts w:hint="eastAsia" w:ascii="宋体" w:hAnsi="宋体" w:eastAsia="宋体" w:cs="宋体"/>
          <w:b/>
          <w:bCs/>
          <w:sz w:val="24"/>
          <w:highlight w:val="none"/>
        </w:rPr>
        <w:t>投标文件含有采购人不能接受的附加条件的；</w:t>
      </w:r>
    </w:p>
    <w:p w14:paraId="2DD9A40A">
      <w:pPr>
        <w:numPr>
          <w:ilvl w:val="0"/>
          <w:numId w:val="8"/>
        </w:numPr>
        <w:tabs>
          <w:tab w:val="clear" w:pos="1571"/>
        </w:tabs>
        <w:spacing w:line="360" w:lineRule="auto"/>
        <w:ind w:left="1230" w:hanging="180"/>
        <w:rPr>
          <w:rFonts w:hint="eastAsia" w:ascii="宋体" w:hAnsi="宋体" w:eastAsia="宋体" w:cs="宋体"/>
          <w:b/>
          <w:bCs/>
          <w:sz w:val="24"/>
          <w:highlight w:val="none"/>
        </w:rPr>
      </w:pPr>
      <w:r>
        <w:rPr>
          <w:rFonts w:hint="eastAsia" w:ascii="宋体" w:hAnsi="宋体" w:eastAsia="宋体" w:cs="宋体"/>
          <w:b/>
          <w:bCs/>
          <w:sz w:val="24"/>
          <w:highlight w:val="none"/>
        </w:rPr>
        <w:t>不符合法规和招标文件中规定的其他实质性要求的。</w:t>
      </w:r>
    </w:p>
    <w:p w14:paraId="389DB8E4">
      <w:pPr>
        <w:spacing w:line="360" w:lineRule="auto"/>
        <w:rPr>
          <w:rFonts w:hint="eastAsia" w:ascii="宋体" w:hAnsi="宋体" w:eastAsia="宋体" w:cs="宋体"/>
          <w:b/>
          <w:kern w:val="0"/>
          <w:sz w:val="24"/>
          <w:szCs w:val="20"/>
          <w:highlight w:val="none"/>
        </w:rPr>
      </w:pPr>
      <w:bookmarkStart w:id="205" w:name="_Toc518923088"/>
      <w:bookmarkEnd w:id="205"/>
      <w:bookmarkStart w:id="206" w:name="_Toc20835"/>
      <w:bookmarkEnd w:id="206"/>
      <w:r>
        <w:rPr>
          <w:rFonts w:hint="eastAsia" w:ascii="宋体" w:hAnsi="宋体" w:eastAsia="宋体" w:cs="宋体"/>
          <w:b/>
          <w:kern w:val="0"/>
          <w:sz w:val="24"/>
          <w:szCs w:val="20"/>
          <w:highlight w:val="none"/>
        </w:rPr>
        <w:t>23.比较与评价</w:t>
      </w:r>
    </w:p>
    <w:p w14:paraId="43CD12C8">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23.1</w:t>
      </w:r>
      <w:r>
        <w:rPr>
          <w:rFonts w:hint="eastAsia" w:ascii="宋体" w:hAnsi="宋体" w:eastAsia="宋体" w:cs="宋体"/>
          <w:sz w:val="24"/>
          <w:highlight w:val="none"/>
        </w:rPr>
        <w:tab/>
      </w:r>
      <w:r>
        <w:rPr>
          <w:rFonts w:hint="eastAsia" w:ascii="宋体" w:hAnsi="宋体" w:eastAsia="宋体" w:cs="宋体"/>
          <w:sz w:val="24"/>
          <w:highlight w:val="none"/>
        </w:rPr>
        <w:t>经符合性审查合格的投标文件，评标委员会将根据招标文件确定的评标方法和标准，对其技术部分和商务部分作进一步的比较和评价。</w:t>
      </w:r>
    </w:p>
    <w:p w14:paraId="6AF059A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 xml:space="preserve">23.2  </w:t>
      </w:r>
      <w:r>
        <w:rPr>
          <w:rFonts w:hint="eastAsia" w:ascii="宋体" w:hAnsi="宋体" w:eastAsia="宋体" w:cs="宋体"/>
          <w:sz w:val="24"/>
          <w:highlight w:val="none"/>
        </w:rPr>
        <w:tab/>
      </w:r>
      <w:r>
        <w:rPr>
          <w:rFonts w:hint="eastAsia" w:ascii="宋体" w:hAnsi="宋体" w:eastAsia="宋体" w:cs="宋体"/>
          <w:sz w:val="24"/>
          <w:highlight w:val="none"/>
        </w:rPr>
        <w:t>评标严格按照招标文件的要求和条件进行。根据实际情况，在</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中规定采用下列一种评标方法，详细评标标准见招标文件第六章：</w:t>
      </w:r>
    </w:p>
    <w:p w14:paraId="17D7D25A">
      <w:pPr>
        <w:pStyle w:val="51"/>
        <w:spacing w:line="360" w:lineRule="auto"/>
        <w:ind w:left="899" w:leftChars="342" w:hanging="181"/>
        <w:rPr>
          <w:rFonts w:hint="eastAsia" w:ascii="宋体" w:hAnsi="宋体" w:eastAsia="宋体" w:cs="宋体"/>
          <w:sz w:val="24"/>
          <w:szCs w:val="24"/>
          <w:highlight w:val="none"/>
        </w:rPr>
      </w:pPr>
      <w:r>
        <w:rPr>
          <w:rFonts w:hint="eastAsia" w:ascii="宋体" w:hAnsi="宋体" w:eastAsia="宋体" w:cs="宋体"/>
          <w:sz w:val="24"/>
          <w:szCs w:val="24"/>
          <w:highlight w:val="none"/>
        </w:rPr>
        <w:t>（1）最低评标价法，是指投标文件满足招标文件全部实质性要求，且投标报价最低的投标人为中标候选人的评标方法。</w:t>
      </w:r>
    </w:p>
    <w:p w14:paraId="46AA448D">
      <w:pPr>
        <w:pStyle w:val="51"/>
        <w:spacing w:line="360" w:lineRule="auto"/>
        <w:ind w:left="898" w:leftChars="342" w:hanging="180"/>
        <w:rPr>
          <w:rFonts w:hint="eastAsia" w:ascii="宋体" w:hAnsi="宋体" w:eastAsia="宋体" w:cs="宋体"/>
          <w:sz w:val="24"/>
          <w:szCs w:val="24"/>
          <w:highlight w:val="none"/>
        </w:rPr>
      </w:pPr>
      <w:r>
        <w:rPr>
          <w:rFonts w:hint="eastAsia" w:ascii="宋体" w:hAnsi="宋体" w:eastAsia="宋体" w:cs="宋体"/>
          <w:sz w:val="24"/>
          <w:szCs w:val="24"/>
          <w:highlight w:val="none"/>
        </w:rPr>
        <w:t>（2）综合评分法，是指投标文件满足招标文件全部实质性要求，且按照评审因素的量化指标评审得分最高的投标人为中标候选人的评标方法。</w:t>
      </w:r>
    </w:p>
    <w:p w14:paraId="04009603">
      <w:pPr>
        <w:pStyle w:val="51"/>
        <w:ind w:left="898" w:leftChars="342" w:hanging="180"/>
        <w:rPr>
          <w:rFonts w:hint="eastAsia" w:ascii="宋体" w:hAnsi="宋体" w:eastAsia="宋体" w:cs="宋体"/>
          <w:b/>
          <w:bCs/>
          <w:i/>
          <w:iCs/>
          <w:sz w:val="24"/>
          <w:szCs w:val="24"/>
          <w:highlight w:val="none"/>
          <w:u w:val="single"/>
        </w:rPr>
      </w:pPr>
      <w:r>
        <w:rPr>
          <w:rFonts w:hint="eastAsia" w:ascii="宋体" w:hAnsi="宋体" w:eastAsia="宋体" w:cs="宋体"/>
          <w:b/>
          <w:bCs/>
          <w:i/>
          <w:iCs/>
          <w:sz w:val="24"/>
          <w:szCs w:val="24"/>
          <w:highlight w:val="none"/>
          <w:u w:val="single"/>
        </w:rPr>
        <w:t>本项目采用招标方式：公开招标</w:t>
      </w:r>
    </w:p>
    <w:p w14:paraId="7E645AFF">
      <w:pPr>
        <w:pStyle w:val="51"/>
        <w:ind w:left="898" w:leftChars="342" w:hanging="180"/>
        <w:rPr>
          <w:rFonts w:hint="eastAsia" w:ascii="宋体" w:hAnsi="宋体" w:eastAsia="宋体" w:cs="宋体"/>
          <w:b/>
          <w:bCs/>
          <w:i/>
          <w:iCs/>
          <w:sz w:val="24"/>
          <w:szCs w:val="24"/>
          <w:highlight w:val="none"/>
          <w:u w:val="single"/>
        </w:rPr>
      </w:pPr>
      <w:r>
        <w:rPr>
          <w:rFonts w:hint="eastAsia" w:ascii="宋体" w:hAnsi="宋体" w:eastAsia="宋体" w:cs="宋体"/>
          <w:b/>
          <w:bCs/>
          <w:i/>
          <w:iCs/>
          <w:sz w:val="24"/>
          <w:szCs w:val="24"/>
          <w:highlight w:val="none"/>
          <w:u w:val="single"/>
        </w:rPr>
        <w:t>评分方法：综合评分法。</w:t>
      </w:r>
    </w:p>
    <w:p w14:paraId="3415712D">
      <w:pPr>
        <w:pStyle w:val="51"/>
        <w:ind w:left="898" w:leftChars="342" w:hanging="180"/>
        <w:rPr>
          <w:rFonts w:hint="eastAsia" w:ascii="宋体" w:hAnsi="宋体" w:eastAsia="宋体" w:cs="宋体"/>
          <w:b/>
          <w:bCs/>
          <w:i/>
          <w:iCs/>
          <w:sz w:val="24"/>
          <w:szCs w:val="24"/>
          <w:highlight w:val="none"/>
          <w:u w:val="single"/>
        </w:rPr>
      </w:pPr>
      <w:r>
        <w:rPr>
          <w:rFonts w:hint="eastAsia" w:ascii="宋体" w:hAnsi="宋体" w:eastAsia="宋体" w:cs="宋体"/>
          <w:b/>
          <w:bCs/>
          <w:i/>
          <w:iCs/>
          <w:sz w:val="24"/>
          <w:szCs w:val="24"/>
          <w:highlight w:val="none"/>
          <w:u w:val="single"/>
        </w:rPr>
        <w:t>本项目采用政采云线上电子招投标及评标。</w:t>
      </w:r>
    </w:p>
    <w:p w14:paraId="749CF15C">
      <w:pPr>
        <w:spacing w:line="360" w:lineRule="auto"/>
        <w:ind w:left="720" w:hanging="720" w:hangingChars="300"/>
        <w:rPr>
          <w:rFonts w:hint="eastAsia" w:ascii="宋体" w:hAnsi="宋体" w:eastAsia="宋体" w:cs="宋体"/>
          <w:sz w:val="24"/>
          <w:highlight w:val="none"/>
        </w:rPr>
      </w:pPr>
      <w:bookmarkStart w:id="207" w:name="_Toc46"/>
      <w:bookmarkEnd w:id="207"/>
      <w:bookmarkStart w:id="208" w:name="sendNo"/>
      <w:bookmarkEnd w:id="208"/>
      <w:bookmarkStart w:id="209" w:name="_Toc15234"/>
      <w:bookmarkEnd w:id="209"/>
      <w:r>
        <w:rPr>
          <w:rFonts w:hint="eastAsia" w:ascii="宋体" w:hAnsi="宋体" w:eastAsia="宋体" w:cs="宋体"/>
          <w:sz w:val="24"/>
          <w:highlight w:val="none"/>
        </w:rPr>
        <w:t>23.3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后参与评审。具体办法详见招标文件第6章。</w:t>
      </w:r>
    </w:p>
    <w:p w14:paraId="1DEA4746">
      <w:pPr>
        <w:pStyle w:val="42"/>
        <w:spacing w:before="0" w:after="0" w:line="360" w:lineRule="auto"/>
        <w:rPr>
          <w:rFonts w:hint="eastAsia" w:ascii="宋体" w:hAnsi="宋体" w:eastAsia="宋体" w:cs="宋体"/>
          <w:highlight w:val="none"/>
          <w:u w:val="none"/>
        </w:rPr>
      </w:pPr>
      <w:bookmarkStart w:id="210" w:name="_Toc5823"/>
      <w:bookmarkEnd w:id="210"/>
      <w:bookmarkStart w:id="211" w:name="_Toc21286"/>
      <w:bookmarkEnd w:id="211"/>
      <w:bookmarkStart w:id="212" w:name="_Toc518923089"/>
      <w:bookmarkEnd w:id="212"/>
      <w:bookmarkStart w:id="213" w:name="_Toc520356168"/>
      <w:bookmarkEnd w:id="213"/>
      <w:bookmarkStart w:id="214" w:name="_Toc21639"/>
      <w:bookmarkEnd w:id="214"/>
      <w:bookmarkStart w:id="215" w:name="_Toc24032"/>
      <w:bookmarkEnd w:id="215"/>
      <w:r>
        <w:rPr>
          <w:rFonts w:hint="eastAsia" w:ascii="宋体" w:hAnsi="宋体" w:eastAsia="宋体" w:cs="宋体"/>
          <w:highlight w:val="none"/>
          <w:u w:val="none"/>
        </w:rPr>
        <w:t>24.废标</w:t>
      </w:r>
    </w:p>
    <w:p w14:paraId="10DA3706">
      <w:pPr>
        <w:spacing w:line="360" w:lineRule="auto"/>
        <w:ind w:left="898" w:leftChars="399" w:hanging="60" w:hangingChars="25"/>
        <w:rPr>
          <w:rFonts w:hint="eastAsia" w:ascii="宋体" w:hAnsi="宋体" w:eastAsia="宋体" w:cs="宋体"/>
          <w:sz w:val="24"/>
          <w:highlight w:val="none"/>
        </w:rPr>
      </w:pPr>
      <w:r>
        <w:rPr>
          <w:rFonts w:hint="eastAsia" w:ascii="宋体" w:hAnsi="宋体" w:eastAsia="宋体" w:cs="宋体"/>
          <w:sz w:val="24"/>
          <w:highlight w:val="none"/>
        </w:rPr>
        <w:t>出现下列情形之一，将导致项目废标：</w:t>
      </w:r>
    </w:p>
    <w:p w14:paraId="10679567">
      <w:pPr>
        <w:spacing w:line="360" w:lineRule="auto"/>
        <w:ind w:left="898" w:leftChars="342" w:hanging="180" w:hangingChars="75"/>
        <w:rPr>
          <w:rFonts w:hint="eastAsia" w:ascii="宋体" w:hAnsi="宋体" w:eastAsia="宋体" w:cs="宋体"/>
          <w:sz w:val="24"/>
          <w:highlight w:val="none"/>
        </w:rPr>
      </w:pPr>
      <w:r>
        <w:rPr>
          <w:rFonts w:hint="eastAsia" w:ascii="宋体" w:hAnsi="宋体" w:eastAsia="宋体" w:cs="宋体"/>
          <w:sz w:val="24"/>
          <w:highlight w:val="none"/>
        </w:rPr>
        <w:t>（1）符合专业条件的供应商或者对招标文件做实质性响应的供应商不足三家；</w:t>
      </w:r>
    </w:p>
    <w:p w14:paraId="005D77D0">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（2）出现影响采购公正的违法、违规行为的；</w:t>
      </w:r>
    </w:p>
    <w:p w14:paraId="139F68A8">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（3）投标人的报价均超过了采购预算，采购人不能支付的；</w:t>
      </w:r>
    </w:p>
    <w:p w14:paraId="383972E5">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（4）因重大变故，采购任务取消的。</w:t>
      </w:r>
    </w:p>
    <w:p w14:paraId="6A28EB4E">
      <w:pPr>
        <w:pStyle w:val="42"/>
        <w:spacing w:before="0" w:after="0" w:line="360" w:lineRule="auto"/>
        <w:rPr>
          <w:rFonts w:hint="eastAsia" w:ascii="宋体" w:hAnsi="宋体" w:eastAsia="宋体" w:cs="宋体"/>
          <w:highlight w:val="none"/>
          <w:u w:val="none"/>
        </w:rPr>
      </w:pPr>
      <w:bookmarkStart w:id="216" w:name="_Toc23660"/>
      <w:bookmarkEnd w:id="216"/>
      <w:bookmarkStart w:id="217" w:name="_Toc32068"/>
      <w:bookmarkEnd w:id="217"/>
      <w:bookmarkStart w:id="218" w:name="_Toc10697"/>
      <w:bookmarkEnd w:id="218"/>
      <w:bookmarkStart w:id="219" w:name="_Toc518923090"/>
      <w:bookmarkEnd w:id="219"/>
      <w:bookmarkStart w:id="220" w:name="_Toc9809"/>
      <w:bookmarkEnd w:id="220"/>
      <w:r>
        <w:rPr>
          <w:rFonts w:hint="eastAsia" w:ascii="宋体" w:hAnsi="宋体" w:eastAsia="宋体" w:cs="宋体"/>
          <w:highlight w:val="none"/>
          <w:u w:val="none"/>
        </w:rPr>
        <w:t>25.保密原则</w:t>
      </w:r>
    </w:p>
    <w:p w14:paraId="7E6C8A0D">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25.1</w:t>
      </w:r>
      <w:r>
        <w:rPr>
          <w:rFonts w:hint="eastAsia" w:ascii="宋体" w:hAnsi="宋体" w:eastAsia="宋体" w:cs="宋体"/>
          <w:sz w:val="24"/>
          <w:highlight w:val="none"/>
        </w:rPr>
        <w:tab/>
      </w:r>
      <w:r>
        <w:rPr>
          <w:rFonts w:hint="eastAsia" w:ascii="宋体" w:hAnsi="宋体" w:eastAsia="宋体" w:cs="宋体"/>
          <w:sz w:val="24"/>
          <w:highlight w:val="none"/>
        </w:rPr>
        <w:t>评标将在严格保密的情况下进行。</w:t>
      </w:r>
    </w:p>
    <w:p w14:paraId="09F9690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25.2</w:t>
      </w:r>
      <w:r>
        <w:rPr>
          <w:rFonts w:hint="eastAsia" w:ascii="宋体" w:hAnsi="宋体" w:eastAsia="宋体" w:cs="宋体"/>
          <w:sz w:val="24"/>
          <w:highlight w:val="none"/>
        </w:rPr>
        <w:tab/>
      </w:r>
      <w:r>
        <w:rPr>
          <w:rFonts w:hint="eastAsia" w:ascii="宋体" w:hAnsi="宋体" w:eastAsia="宋体" w:cs="宋体"/>
          <w:sz w:val="24"/>
          <w:highlight w:val="none"/>
        </w:rPr>
        <w:t>政府采购评审专家应当遵守评审工作纪律，不得泄露评审文件、评审情况和评审中获悉的商业秘密。</w:t>
      </w:r>
    </w:p>
    <w:p w14:paraId="0D01A90A">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25.</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公开开标后，直至向中标的投标人授予合同时止，凡是与审查、澄清、评价和比较投标的有关资料以及授标建议等，采购人、评委、交易中心均不得向投标人或与评标无关的其他人员透露。</w:t>
      </w:r>
    </w:p>
    <w:p w14:paraId="31B54D3E">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25.</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在评标过程中，投标人不得以任何行为影响评标过程，否则其投标文件将被作为无效投标文件。</w:t>
      </w:r>
    </w:p>
    <w:p w14:paraId="285D686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25.</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在评标期间，交易中心将设专门人员与投标人联系。</w:t>
      </w:r>
    </w:p>
    <w:p w14:paraId="4798242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25.</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交易中心和评标委员会不向未中标的投标人解释未中标原因，也不公布评标过程中的相关细节。</w:t>
      </w:r>
    </w:p>
    <w:p w14:paraId="7B4DABCA">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25.</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采用综合评分法的项目，未中标的投标人如需了解自己的评标得分及排序情况，可于中标结果公告期限届满之日起7个工作日内，由其法定代表人或授权代表携带本人有效身份证件到交易中心登记查询，逾期将不予受理。</w:t>
      </w:r>
    </w:p>
    <w:p w14:paraId="61925077">
      <w:pPr>
        <w:spacing w:line="360" w:lineRule="auto"/>
        <w:ind w:left="1080" w:leftChars="257" w:hanging="540"/>
        <w:rPr>
          <w:rFonts w:hint="eastAsia" w:ascii="宋体" w:hAnsi="宋体" w:eastAsia="宋体" w:cs="宋体"/>
          <w:sz w:val="24"/>
          <w:highlight w:val="none"/>
        </w:rPr>
      </w:pPr>
    </w:p>
    <w:p w14:paraId="7FEEFF64">
      <w:pPr>
        <w:pStyle w:val="41"/>
        <w:spacing w:before="0" w:line="360" w:lineRule="auto"/>
        <w:rPr>
          <w:rFonts w:hint="eastAsia" w:ascii="宋体" w:hAnsi="宋体" w:eastAsia="宋体" w:cs="宋体"/>
          <w:sz w:val="24"/>
          <w:highlight w:val="none"/>
        </w:rPr>
      </w:pPr>
      <w:bookmarkStart w:id="221" w:name="_Toc10964"/>
      <w:bookmarkEnd w:id="221"/>
      <w:bookmarkStart w:id="222" w:name="_Toc518923091"/>
      <w:bookmarkEnd w:id="222"/>
      <w:bookmarkStart w:id="223" w:name="_Toc15684"/>
      <w:bookmarkEnd w:id="223"/>
      <w:bookmarkStart w:id="224" w:name="_Toc905"/>
      <w:bookmarkEnd w:id="224"/>
      <w:bookmarkStart w:id="225" w:name="_Toc216582810"/>
      <w:bookmarkEnd w:id="225"/>
      <w:bookmarkStart w:id="226" w:name="_Toc30573"/>
      <w:bookmarkEnd w:id="226"/>
      <w:r>
        <w:rPr>
          <w:rFonts w:hint="eastAsia" w:ascii="宋体" w:hAnsi="宋体" w:eastAsia="宋体" w:cs="宋体"/>
          <w:sz w:val="24"/>
          <w:highlight w:val="none"/>
        </w:rPr>
        <w:t>六、确定中标</w:t>
      </w:r>
    </w:p>
    <w:p w14:paraId="4D802C1C">
      <w:pPr>
        <w:pStyle w:val="46"/>
        <w:spacing w:line="360" w:lineRule="auto"/>
        <w:rPr>
          <w:rFonts w:hint="eastAsia" w:ascii="宋体" w:hAnsi="宋体" w:eastAsia="宋体" w:cs="宋体"/>
          <w:highlight w:val="none"/>
        </w:rPr>
      </w:pPr>
    </w:p>
    <w:p w14:paraId="040257BE">
      <w:pPr>
        <w:pStyle w:val="42"/>
        <w:spacing w:before="0" w:after="0" w:line="360" w:lineRule="auto"/>
        <w:rPr>
          <w:rFonts w:hint="eastAsia" w:ascii="宋体" w:hAnsi="宋体" w:eastAsia="宋体" w:cs="宋体"/>
          <w:highlight w:val="none"/>
          <w:u w:val="none"/>
        </w:rPr>
      </w:pPr>
      <w:bookmarkStart w:id="227" w:name="_Toc520356170"/>
      <w:bookmarkEnd w:id="227"/>
      <w:bookmarkStart w:id="228" w:name="_Ref467307010"/>
      <w:bookmarkEnd w:id="228"/>
      <w:bookmarkStart w:id="229" w:name="_Toc32578"/>
      <w:bookmarkEnd w:id="229"/>
      <w:bookmarkStart w:id="230" w:name="_Toc30436"/>
      <w:bookmarkEnd w:id="230"/>
      <w:bookmarkStart w:id="231" w:name="_Toc11388"/>
      <w:bookmarkEnd w:id="231"/>
      <w:bookmarkStart w:id="232" w:name="_Toc518923092"/>
      <w:bookmarkEnd w:id="232"/>
      <w:bookmarkStart w:id="233" w:name="_Toc5793"/>
      <w:bookmarkEnd w:id="233"/>
      <w:r>
        <w:rPr>
          <w:rFonts w:hint="eastAsia" w:ascii="宋体" w:hAnsi="宋体" w:eastAsia="宋体" w:cs="宋体"/>
          <w:highlight w:val="none"/>
          <w:u w:val="none"/>
        </w:rPr>
        <w:t>26.中标候选人的确定原则及标准</w:t>
      </w:r>
    </w:p>
    <w:p w14:paraId="6A4F9F7A">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除第28条规定外，对实质上响应招标文件的投标人按下列方法进行排序，确定中标候选人：</w:t>
      </w:r>
    </w:p>
    <w:p w14:paraId="2EEFF4BA">
      <w:pPr>
        <w:spacing w:line="360" w:lineRule="auto"/>
        <w:ind w:left="901"/>
        <w:rPr>
          <w:rFonts w:hint="eastAsia" w:ascii="宋体" w:hAnsi="宋体" w:eastAsia="宋体" w:cs="宋体"/>
          <w:sz w:val="24"/>
          <w:highlight w:val="none"/>
        </w:rPr>
      </w:pPr>
      <w:r>
        <w:rPr>
          <w:rFonts w:hint="eastAsia" w:ascii="宋体" w:hAnsi="宋体" w:eastAsia="宋体" w:cs="宋体"/>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52843C1B">
      <w:pPr>
        <w:spacing w:line="360" w:lineRule="auto"/>
        <w:ind w:left="901"/>
        <w:rPr>
          <w:rFonts w:hint="eastAsia" w:ascii="宋体" w:hAnsi="宋体" w:eastAsia="宋体" w:cs="宋体"/>
          <w:sz w:val="24"/>
          <w:highlight w:val="none"/>
        </w:rPr>
      </w:pPr>
      <w:r>
        <w:rPr>
          <w:rFonts w:hint="eastAsia" w:ascii="宋体" w:hAnsi="宋体" w:eastAsia="宋体" w:cs="宋体"/>
          <w:sz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42CF0371">
      <w:pPr>
        <w:pStyle w:val="42"/>
        <w:spacing w:before="0" w:after="0" w:line="360" w:lineRule="auto"/>
        <w:rPr>
          <w:rFonts w:hint="eastAsia" w:ascii="宋体" w:hAnsi="宋体" w:eastAsia="宋体" w:cs="宋体"/>
          <w:highlight w:val="none"/>
          <w:u w:val="none"/>
        </w:rPr>
      </w:pPr>
      <w:bookmarkStart w:id="234" w:name="_Toc32655"/>
      <w:bookmarkEnd w:id="234"/>
      <w:bookmarkStart w:id="235" w:name="_Toc520356171"/>
      <w:bookmarkEnd w:id="235"/>
      <w:bookmarkStart w:id="236" w:name="_Toc518923093"/>
      <w:bookmarkEnd w:id="236"/>
      <w:bookmarkStart w:id="237" w:name="_Toc10555"/>
      <w:bookmarkEnd w:id="237"/>
      <w:bookmarkStart w:id="238" w:name="_Toc3646"/>
      <w:bookmarkEnd w:id="238"/>
      <w:bookmarkStart w:id="239" w:name="_Toc30599"/>
      <w:bookmarkEnd w:id="239"/>
      <w:r>
        <w:rPr>
          <w:rFonts w:hint="eastAsia" w:ascii="宋体" w:hAnsi="宋体" w:eastAsia="宋体" w:cs="宋体"/>
          <w:highlight w:val="none"/>
          <w:u w:val="none"/>
        </w:rPr>
        <w:t>27.确定中标候选人和中标人</w:t>
      </w:r>
    </w:p>
    <w:p w14:paraId="7C9F015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中标候选人的选取原则和数量见招标文件规定。</w:t>
      </w:r>
    </w:p>
    <w:p w14:paraId="5204AE83">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 xml:space="preserve">.2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采购人应根据评委会推荐的中标候选人确定中标人。</w:t>
      </w:r>
    </w:p>
    <w:p w14:paraId="23BC7709">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 xml:space="preserve">   交易</w:t>
      </w:r>
      <w:r>
        <w:rPr>
          <w:rFonts w:hint="eastAsia" w:ascii="宋体" w:hAnsi="宋体" w:eastAsia="宋体" w:cs="宋体"/>
          <w:sz w:val="24"/>
          <w:highlight w:val="none"/>
        </w:rPr>
        <w:t>中心将在“新疆政府采购网”发布中标公告，公告期限为1个工作日。</w:t>
      </w:r>
    </w:p>
    <w:p w14:paraId="6131177E">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 xml:space="preserve">.4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若有充分证据证明，中标人出现下列情况之一的，一经查实，将被取消中标资格：</w:t>
      </w:r>
    </w:p>
    <w:p w14:paraId="2861168A">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.4.1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提供虚假材料谋取中标的。</w:t>
      </w:r>
    </w:p>
    <w:p w14:paraId="17EC850E">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.4.2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向采购人、</w:t>
      </w:r>
      <w:r>
        <w:rPr>
          <w:rFonts w:hint="eastAsia" w:ascii="宋体" w:hAnsi="宋体" w:eastAsia="宋体" w:cs="宋体"/>
          <w:sz w:val="24"/>
          <w:highlight w:val="none"/>
          <w:lang w:val="en-US" w:eastAsia="zh-CN"/>
        </w:rPr>
        <w:t>交易</w:t>
      </w:r>
      <w:r>
        <w:rPr>
          <w:rFonts w:hint="eastAsia" w:ascii="宋体" w:hAnsi="宋体" w:eastAsia="宋体" w:cs="宋体"/>
          <w:sz w:val="24"/>
          <w:highlight w:val="none"/>
        </w:rPr>
        <w:t>中心行贿或者提供其他不正当利益的。</w:t>
      </w:r>
    </w:p>
    <w:p w14:paraId="02D0F381">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.4.3</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恶意竞争，投标总报价明显低于其自身合理成本且又无法提供证明的。</w:t>
      </w:r>
    </w:p>
    <w:p w14:paraId="01571CC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.4.4</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属于本文件规定的无效条件，但在评标过程中又未被评委会发现的。</w:t>
      </w:r>
    </w:p>
    <w:p w14:paraId="4B754D7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.4.5</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与采购人或者其他供应商恶意串通的。</w:t>
      </w:r>
    </w:p>
    <w:p w14:paraId="0939EE26">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.4.6</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采取不正当手段诋毁、排挤其他供应商的。</w:t>
      </w:r>
    </w:p>
    <w:p w14:paraId="4485A6E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 xml:space="preserve">.5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有下列情形之一的，视为投标人串通投标，投标无效：</w:t>
      </w:r>
    </w:p>
    <w:p w14:paraId="5C7CE98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.5.1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不同投标人的投标文件由同一单位或者个人编制；</w:t>
      </w:r>
    </w:p>
    <w:p w14:paraId="59ED91F9">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.5.2</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不同投标人委托同一单位或者个人办理投标事宜；</w:t>
      </w:r>
    </w:p>
    <w:p w14:paraId="4C6E317E">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 xml:space="preserve">.5.3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不同投标人的投标文件载明的项目管理成员或者联系人员为同一人；</w:t>
      </w:r>
    </w:p>
    <w:p w14:paraId="7A66A23F">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.5.4</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不同投标人的投标文件异常一致或者投标报价呈规律性差异；</w:t>
      </w:r>
    </w:p>
    <w:p w14:paraId="4C1B987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.5.5</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不同投标人的投标文件相互混装；</w:t>
      </w:r>
    </w:p>
    <w:p w14:paraId="47AE526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27</w:t>
      </w:r>
      <w:r>
        <w:rPr>
          <w:rFonts w:hint="eastAsia" w:ascii="宋体" w:hAnsi="宋体" w:eastAsia="宋体" w:cs="宋体"/>
          <w:sz w:val="24"/>
          <w:highlight w:val="none"/>
        </w:rPr>
        <w:t>.5.6</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不同投标人的投标保证金从同一单位或者个人的账户转出。</w:t>
      </w:r>
    </w:p>
    <w:p w14:paraId="5ACC6D92">
      <w:pPr>
        <w:pStyle w:val="42"/>
        <w:tabs>
          <w:tab w:val="left" w:pos="900"/>
        </w:tabs>
        <w:spacing w:before="0" w:after="0" w:line="360" w:lineRule="auto"/>
        <w:rPr>
          <w:rFonts w:hint="eastAsia" w:ascii="宋体" w:hAnsi="宋体" w:eastAsia="宋体" w:cs="宋体"/>
          <w:highlight w:val="none"/>
          <w:u w:val="none"/>
        </w:rPr>
      </w:pPr>
      <w:bookmarkStart w:id="240" w:name="_Toc1426"/>
      <w:bookmarkEnd w:id="240"/>
      <w:bookmarkStart w:id="241" w:name="_Toc520356173"/>
      <w:bookmarkEnd w:id="241"/>
      <w:bookmarkStart w:id="242" w:name="_Toc31903"/>
      <w:bookmarkEnd w:id="242"/>
      <w:bookmarkStart w:id="243" w:name="_Ref467306874"/>
      <w:bookmarkEnd w:id="243"/>
      <w:bookmarkStart w:id="244" w:name="_Toc17138"/>
      <w:bookmarkEnd w:id="244"/>
      <w:bookmarkStart w:id="245" w:name="_Toc19263"/>
      <w:bookmarkEnd w:id="245"/>
      <w:bookmarkStart w:id="246" w:name="_Toc518923094"/>
      <w:bookmarkEnd w:id="246"/>
      <w:r>
        <w:rPr>
          <w:rFonts w:hint="eastAsia" w:ascii="宋体" w:hAnsi="宋体" w:eastAsia="宋体" w:cs="宋体"/>
          <w:highlight w:val="none"/>
          <w:u w:val="none"/>
        </w:rPr>
        <w:t>28.采购任务取消</w:t>
      </w:r>
    </w:p>
    <w:p w14:paraId="52E0B4CC">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因重大变故采购任务取消时，采购人有权拒绝任何投标人中标，且对受影响的投标人不承担任何责任。</w:t>
      </w:r>
    </w:p>
    <w:p w14:paraId="52A1880C">
      <w:pPr>
        <w:pStyle w:val="42"/>
        <w:spacing w:before="0" w:after="0" w:line="360" w:lineRule="auto"/>
        <w:rPr>
          <w:rFonts w:hint="eastAsia" w:ascii="宋体" w:hAnsi="宋体" w:eastAsia="宋体" w:cs="宋体"/>
          <w:highlight w:val="none"/>
          <w:u w:val="none"/>
        </w:rPr>
      </w:pPr>
      <w:bookmarkStart w:id="247" w:name="_Toc518923095"/>
      <w:bookmarkEnd w:id="247"/>
      <w:bookmarkStart w:id="248" w:name="_Toc29889"/>
      <w:bookmarkEnd w:id="248"/>
      <w:bookmarkStart w:id="249" w:name="_Toc18072"/>
      <w:bookmarkEnd w:id="249"/>
      <w:bookmarkStart w:id="250" w:name="_Toc32362"/>
      <w:bookmarkEnd w:id="250"/>
      <w:bookmarkStart w:id="251" w:name="_Toc14874"/>
      <w:bookmarkEnd w:id="251"/>
      <w:r>
        <w:rPr>
          <w:rFonts w:hint="eastAsia" w:ascii="宋体" w:hAnsi="宋体" w:eastAsia="宋体" w:cs="宋体"/>
          <w:highlight w:val="none"/>
          <w:u w:val="none"/>
          <w:lang w:eastAsia="zh-CN"/>
        </w:rPr>
        <w:t>2</w:t>
      </w:r>
      <w:r>
        <w:rPr>
          <w:rFonts w:hint="eastAsia" w:ascii="宋体" w:hAnsi="宋体" w:eastAsia="宋体" w:cs="宋体"/>
          <w:highlight w:val="none"/>
          <w:u w:val="none"/>
          <w:lang w:val="en-US" w:eastAsia="zh-CN"/>
        </w:rPr>
        <w:t>9</w:t>
      </w:r>
      <w:r>
        <w:rPr>
          <w:rFonts w:hint="eastAsia" w:ascii="宋体" w:hAnsi="宋体" w:eastAsia="宋体" w:cs="宋体"/>
          <w:highlight w:val="none"/>
          <w:u w:val="none"/>
        </w:rPr>
        <w:t>.中标通知书和招标结果通知书</w:t>
      </w:r>
    </w:p>
    <w:p w14:paraId="2CE779C8">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.1</w:t>
      </w:r>
      <w:r>
        <w:rPr>
          <w:rFonts w:hint="eastAsia" w:ascii="宋体" w:hAnsi="宋体" w:eastAsia="宋体" w:cs="宋体"/>
          <w:sz w:val="24"/>
          <w:highlight w:val="none"/>
        </w:rPr>
        <w:tab/>
      </w:r>
      <w:r>
        <w:rPr>
          <w:rFonts w:hint="eastAsia" w:ascii="宋体" w:hAnsi="宋体" w:eastAsia="宋体" w:cs="宋体"/>
          <w:sz w:val="24"/>
          <w:highlight w:val="none"/>
        </w:rPr>
        <w:t>在投标有效期内，中标人确定后，采购人或者采购代理机构发布中标公告，同时以书面形式向中标人发出中标通知书；</w:t>
      </w:r>
    </w:p>
    <w:p w14:paraId="1A3B9FBA">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.2</w:t>
      </w:r>
      <w:r>
        <w:rPr>
          <w:rFonts w:hint="eastAsia" w:ascii="宋体" w:hAnsi="宋体" w:eastAsia="宋体" w:cs="宋体"/>
          <w:sz w:val="24"/>
          <w:highlight w:val="none"/>
        </w:rPr>
        <w:tab/>
      </w:r>
      <w:r>
        <w:rPr>
          <w:rFonts w:hint="eastAsia" w:ascii="宋体" w:hAnsi="宋体" w:eastAsia="宋体" w:cs="宋体"/>
          <w:sz w:val="24"/>
          <w:highlight w:val="none"/>
        </w:rPr>
        <w:t>中标通知书是合同的组成部分；</w:t>
      </w:r>
    </w:p>
    <w:p w14:paraId="3B5C88D1">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lang w:eastAsia="zh-CN"/>
        </w:rPr>
        <w:t>2</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.3    招标结果通知书和中标通知书同时发出。招标结果通知书中将告知未通过资格审查的投标人未通过的原因</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政采云平台发送短信方式</w:t>
      </w:r>
      <w:r>
        <w:rPr>
          <w:rFonts w:hint="eastAsia" w:ascii="宋体" w:hAnsi="宋体" w:eastAsia="宋体" w:cs="宋体"/>
          <w:sz w:val="24"/>
          <w:highlight w:val="none"/>
          <w:lang w:eastAsia="zh-CN"/>
        </w:rPr>
        <w:t>）</w:t>
      </w:r>
      <w:r>
        <w:rPr>
          <w:rFonts w:hint="eastAsia" w:ascii="宋体" w:hAnsi="宋体" w:eastAsia="宋体" w:cs="宋体"/>
          <w:sz w:val="24"/>
          <w:highlight w:val="none"/>
        </w:rPr>
        <w:t>；采用综合评分法评审的，还将告知未中标人本人的评审得分和排序（政采云平台发送短信方式）。</w:t>
      </w:r>
    </w:p>
    <w:p w14:paraId="32DA31E5">
      <w:pPr>
        <w:pStyle w:val="42"/>
        <w:spacing w:before="0" w:after="0" w:line="360" w:lineRule="auto"/>
        <w:rPr>
          <w:rFonts w:hint="eastAsia" w:ascii="宋体" w:hAnsi="宋体" w:eastAsia="宋体" w:cs="宋体"/>
          <w:highlight w:val="none"/>
          <w:u w:val="none"/>
        </w:rPr>
      </w:pPr>
      <w:bookmarkStart w:id="252" w:name="_Ref467307062"/>
      <w:bookmarkEnd w:id="252"/>
      <w:bookmarkStart w:id="253" w:name="_Ref467307204"/>
      <w:bookmarkEnd w:id="253"/>
      <w:bookmarkStart w:id="254" w:name="_Toc520356175"/>
      <w:bookmarkEnd w:id="254"/>
      <w:bookmarkStart w:id="255" w:name="_Ref467306978"/>
      <w:bookmarkEnd w:id="255"/>
      <w:bookmarkStart w:id="256" w:name="_Toc16952"/>
      <w:bookmarkEnd w:id="256"/>
      <w:bookmarkStart w:id="257" w:name="_Toc169"/>
      <w:bookmarkEnd w:id="257"/>
      <w:bookmarkStart w:id="258" w:name="_Toc13825"/>
      <w:bookmarkEnd w:id="258"/>
      <w:bookmarkStart w:id="259" w:name="_Toc518923096"/>
      <w:bookmarkEnd w:id="259"/>
      <w:bookmarkStart w:id="260" w:name="_Ref467306377"/>
      <w:bookmarkEnd w:id="260"/>
      <w:bookmarkStart w:id="261" w:name="_Toc10798"/>
      <w:bookmarkEnd w:id="261"/>
      <w:r>
        <w:rPr>
          <w:rFonts w:hint="eastAsia" w:ascii="宋体" w:hAnsi="宋体" w:eastAsia="宋体" w:cs="宋体"/>
          <w:highlight w:val="none"/>
          <w:u w:val="none"/>
        </w:rPr>
        <w:t>30.签订合同</w:t>
      </w:r>
    </w:p>
    <w:p w14:paraId="4E11D73B">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30.1</w:t>
      </w:r>
      <w:r>
        <w:rPr>
          <w:rFonts w:hint="eastAsia" w:ascii="宋体" w:hAnsi="宋体" w:eastAsia="宋体" w:cs="宋体"/>
          <w:sz w:val="24"/>
          <w:highlight w:val="none"/>
        </w:rPr>
        <w:tab/>
      </w:r>
      <w:r>
        <w:rPr>
          <w:rFonts w:hint="eastAsia" w:ascii="宋体" w:hAnsi="宋体" w:eastAsia="宋体" w:cs="宋体"/>
          <w:sz w:val="24"/>
          <w:highlight w:val="none"/>
        </w:rPr>
        <w:t>中标人应当在中标通知书发出之日起三十日内，按照招标文件确定的事项与采购人签订政府采购合同。</w:t>
      </w:r>
    </w:p>
    <w:p w14:paraId="0374626A">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30.2</w:t>
      </w:r>
      <w:r>
        <w:rPr>
          <w:rFonts w:hint="eastAsia" w:ascii="宋体" w:hAnsi="宋体" w:eastAsia="宋体" w:cs="宋体"/>
          <w:sz w:val="24"/>
          <w:highlight w:val="none"/>
        </w:rPr>
        <w:tab/>
      </w:r>
      <w:r>
        <w:rPr>
          <w:rFonts w:hint="eastAsia" w:ascii="宋体" w:hAnsi="宋体" w:eastAsia="宋体" w:cs="宋体"/>
          <w:sz w:val="24"/>
          <w:highlight w:val="none"/>
        </w:rPr>
        <w:t>招标文件、中标人的投标文件及招标过程中有关澄清、承诺文件均应作为合同附件。</w:t>
      </w:r>
    </w:p>
    <w:p w14:paraId="152BCD37">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30.3   中标人拒绝与采购人签订合同的，采购人可以按照评审报告推荐的中标候选人名单排序，确定下一中标候选人为中标人，也可以重新开展政府采购活动。</w:t>
      </w:r>
    </w:p>
    <w:p w14:paraId="7582DA6D">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30.4   当出现法规规定的</w:t>
      </w:r>
      <w:r>
        <w:rPr>
          <w:rFonts w:hint="eastAsia" w:ascii="宋体" w:hAnsi="宋体" w:eastAsia="宋体" w:cs="宋体"/>
          <w:b/>
          <w:sz w:val="24"/>
          <w:highlight w:val="none"/>
        </w:rPr>
        <w:t>中标无效或中标结果无效</w:t>
      </w:r>
      <w:r>
        <w:rPr>
          <w:rFonts w:hint="eastAsia" w:ascii="宋体" w:hAnsi="宋体" w:eastAsia="宋体" w:cs="宋体"/>
          <w:sz w:val="24"/>
          <w:highlight w:val="none"/>
        </w:rPr>
        <w:t>情形时，采购人可与排名下一位的中标候选人另行签订合同，或依法重新开展采购活动。</w:t>
      </w:r>
    </w:p>
    <w:p w14:paraId="5D36E00D">
      <w:pPr>
        <w:spacing w:line="360" w:lineRule="auto"/>
        <w:ind w:left="720" w:hanging="720" w:hangingChars="300"/>
        <w:rPr>
          <w:rFonts w:hint="eastAsia" w:ascii="宋体" w:hAnsi="宋体" w:eastAsia="宋体" w:cs="宋体"/>
          <w:highlight w:val="none"/>
        </w:rPr>
      </w:pPr>
      <w:r>
        <w:rPr>
          <w:rFonts w:hint="eastAsia" w:ascii="宋体" w:hAnsi="宋体" w:eastAsia="宋体" w:cs="宋体"/>
          <w:sz w:val="24"/>
          <w:highlight w:val="none"/>
          <w:lang w:val="en-US" w:eastAsia="zh-CN"/>
        </w:rPr>
        <w:t xml:space="preserve">30.5  </w:t>
      </w:r>
      <w:r>
        <w:rPr>
          <w:rFonts w:hint="eastAsia" w:ascii="宋体" w:hAnsi="宋体" w:eastAsia="宋体" w:cs="宋体"/>
          <w:sz w:val="24"/>
          <w:highlight w:val="none"/>
        </w:rPr>
        <w:t>签订合同后，中标人不得将货物及其他相关服务进行转包。未经采购人同意，中标人也不得采用分包的形式履行合同，否则采购人有权终止合同。转包或分包造成采购人损失的，中标人应承担相应赔偿责任。</w:t>
      </w:r>
    </w:p>
    <w:p w14:paraId="35A9D10B">
      <w:pPr>
        <w:pStyle w:val="42"/>
        <w:spacing w:before="0" w:after="0" w:line="360" w:lineRule="auto"/>
        <w:rPr>
          <w:rFonts w:hint="eastAsia" w:ascii="宋体" w:hAnsi="宋体" w:eastAsia="宋体" w:cs="宋体"/>
          <w:highlight w:val="none"/>
          <w:u w:val="none"/>
        </w:rPr>
      </w:pPr>
      <w:bookmarkStart w:id="262" w:name="_Toc32554"/>
      <w:bookmarkEnd w:id="262"/>
      <w:bookmarkStart w:id="263" w:name="_Toc8276"/>
      <w:bookmarkEnd w:id="263"/>
      <w:bookmarkStart w:id="264" w:name="_Toc31416"/>
      <w:bookmarkEnd w:id="264"/>
      <w:bookmarkStart w:id="265" w:name="_Toc518923097"/>
      <w:bookmarkEnd w:id="265"/>
      <w:bookmarkStart w:id="266" w:name="_Toc4302"/>
      <w:bookmarkEnd w:id="266"/>
      <w:r>
        <w:rPr>
          <w:rFonts w:hint="eastAsia" w:ascii="宋体" w:hAnsi="宋体" w:eastAsia="宋体" w:cs="宋体"/>
          <w:highlight w:val="none"/>
          <w:u w:val="none"/>
        </w:rPr>
        <w:t>31.履约保证金</w:t>
      </w:r>
    </w:p>
    <w:p w14:paraId="543B71B8">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31.1</w:t>
      </w:r>
      <w:r>
        <w:rPr>
          <w:rFonts w:hint="eastAsia" w:ascii="宋体" w:hAnsi="宋体" w:eastAsia="宋体" w:cs="宋体"/>
          <w:sz w:val="24"/>
          <w:highlight w:val="none"/>
        </w:rPr>
        <w:tab/>
      </w:r>
      <w:r>
        <w:rPr>
          <w:rFonts w:hint="eastAsia" w:ascii="宋体" w:hAnsi="宋体" w:eastAsia="宋体" w:cs="宋体"/>
          <w:sz w:val="24"/>
          <w:highlight w:val="none"/>
        </w:rPr>
        <w:t>中标人应按照</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规定向采购人缴纳履约保证金（如采用保函形式，格式见本章附件1）。</w:t>
      </w:r>
    </w:p>
    <w:p w14:paraId="03290C6B">
      <w:pPr>
        <w:pStyle w:val="42"/>
        <w:spacing w:before="0" w:after="0" w:line="360" w:lineRule="auto"/>
        <w:rPr>
          <w:rFonts w:hint="eastAsia" w:ascii="宋体" w:hAnsi="宋体" w:eastAsia="宋体" w:cs="宋体"/>
          <w:highlight w:val="none"/>
          <w:u w:val="none"/>
        </w:rPr>
      </w:pPr>
      <w:bookmarkStart w:id="267" w:name="_Toc8476"/>
      <w:bookmarkEnd w:id="267"/>
      <w:bookmarkStart w:id="268" w:name="_Toc8478"/>
      <w:bookmarkEnd w:id="268"/>
      <w:bookmarkStart w:id="269" w:name="_Toc17150"/>
      <w:bookmarkEnd w:id="269"/>
      <w:bookmarkStart w:id="270" w:name="_Toc26060"/>
      <w:bookmarkEnd w:id="270"/>
      <w:bookmarkStart w:id="271" w:name="_Toc518923098"/>
      <w:bookmarkEnd w:id="271"/>
      <w:r>
        <w:rPr>
          <w:rFonts w:hint="eastAsia" w:ascii="宋体" w:hAnsi="宋体" w:eastAsia="宋体" w:cs="宋体"/>
          <w:highlight w:val="none"/>
          <w:u w:val="none"/>
        </w:rPr>
        <w:t>32.中标服务费</w:t>
      </w:r>
    </w:p>
    <w:p w14:paraId="4E7D074F">
      <w:pPr>
        <w:spacing w:line="360" w:lineRule="auto"/>
        <w:ind w:left="840" w:leftChars="200" w:hanging="420" w:hangingChars="175"/>
        <w:rPr>
          <w:rFonts w:hint="eastAsia" w:ascii="宋体" w:hAnsi="宋体" w:eastAsia="宋体" w:cs="宋体"/>
          <w:sz w:val="24"/>
          <w:highlight w:val="none"/>
        </w:rPr>
      </w:pPr>
      <w:r>
        <w:rPr>
          <w:rFonts w:hint="eastAsia" w:ascii="宋体" w:hAnsi="宋体" w:eastAsia="宋体" w:cs="宋体"/>
          <w:sz w:val="24"/>
          <w:highlight w:val="none"/>
        </w:rPr>
        <w:t>本项目由</w:t>
      </w:r>
      <w:r>
        <w:rPr>
          <w:rFonts w:hint="eastAsia" w:ascii="宋体" w:hAnsi="宋体" w:cs="宋体"/>
          <w:sz w:val="24"/>
          <w:highlight w:val="none"/>
          <w:lang w:val="en-US" w:eastAsia="zh-CN"/>
        </w:rPr>
        <w:t>中标（成交）供应商按照相关规定支付</w:t>
      </w:r>
      <w:r>
        <w:rPr>
          <w:rFonts w:hint="eastAsia" w:ascii="宋体" w:hAnsi="宋体" w:eastAsia="宋体" w:cs="宋体"/>
          <w:sz w:val="24"/>
          <w:highlight w:val="none"/>
        </w:rPr>
        <w:t>。</w:t>
      </w:r>
    </w:p>
    <w:p w14:paraId="263E60CB">
      <w:pPr>
        <w:pStyle w:val="42"/>
        <w:spacing w:before="0" w:after="0" w:line="360" w:lineRule="auto"/>
        <w:rPr>
          <w:rFonts w:hint="eastAsia" w:ascii="宋体" w:hAnsi="宋体" w:eastAsia="宋体" w:cs="宋体"/>
          <w:highlight w:val="none"/>
          <w:u w:val="none"/>
        </w:rPr>
      </w:pPr>
      <w:bookmarkStart w:id="272" w:name="_Toc31411"/>
      <w:bookmarkEnd w:id="272"/>
      <w:bookmarkStart w:id="273" w:name="_Toc518923099"/>
      <w:bookmarkEnd w:id="273"/>
      <w:bookmarkStart w:id="274" w:name="_Toc10203"/>
      <w:bookmarkEnd w:id="274"/>
      <w:bookmarkStart w:id="275" w:name="_Toc30165"/>
      <w:bookmarkEnd w:id="275"/>
      <w:bookmarkStart w:id="276" w:name="_Toc16784"/>
      <w:bookmarkEnd w:id="276"/>
      <w:r>
        <w:rPr>
          <w:rFonts w:hint="eastAsia" w:ascii="宋体" w:hAnsi="宋体" w:eastAsia="宋体" w:cs="宋体"/>
          <w:highlight w:val="none"/>
          <w:u w:val="none"/>
        </w:rPr>
        <w:t>33.政府采购信用担保</w:t>
      </w:r>
    </w:p>
    <w:p w14:paraId="7640656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33.1   本项目是否属于信用担保试点范围见</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w:t>
      </w:r>
    </w:p>
    <w:p w14:paraId="36337527">
      <w:pPr>
        <w:spacing w:line="360" w:lineRule="auto"/>
        <w:ind w:left="850" w:hanging="849" w:hangingChars="354"/>
        <w:rPr>
          <w:rFonts w:hint="eastAsia" w:ascii="宋体" w:hAnsi="宋体" w:eastAsia="宋体" w:cs="宋体"/>
          <w:sz w:val="24"/>
          <w:highlight w:val="none"/>
        </w:rPr>
      </w:pPr>
      <w:r>
        <w:rPr>
          <w:rFonts w:hint="eastAsia" w:ascii="宋体" w:hAnsi="宋体" w:eastAsia="宋体" w:cs="宋体"/>
          <w:sz w:val="24"/>
          <w:highlight w:val="none"/>
        </w:rPr>
        <w:t>33.2   如属于政府采购信用担保试点范围内，中小型企业投标人可以自由按照财政部门的规定，采用投标担保、履约担保和融资担保。</w:t>
      </w:r>
    </w:p>
    <w:p w14:paraId="4044BD43">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33.2.1 投标人递交的投标担保函和履约担保函应符合本招标文件的规定。</w:t>
      </w:r>
    </w:p>
    <w:p w14:paraId="61B76D2E">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33.2.2 中标人可以采取融资担保的形式为政府采购项目履约进行融资。</w:t>
      </w:r>
    </w:p>
    <w:p w14:paraId="3FEBBE05">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33.2.3 合格的政府采购专业信用担保机构见</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w:t>
      </w:r>
    </w:p>
    <w:p w14:paraId="00D9764F">
      <w:pPr>
        <w:pStyle w:val="42"/>
        <w:spacing w:before="0" w:after="0" w:line="360" w:lineRule="auto"/>
        <w:rPr>
          <w:rFonts w:hint="eastAsia" w:ascii="宋体" w:hAnsi="宋体" w:eastAsia="宋体" w:cs="宋体"/>
          <w:highlight w:val="none"/>
          <w:u w:val="none"/>
        </w:rPr>
      </w:pPr>
      <w:bookmarkStart w:id="277" w:name="_Toc518923100"/>
      <w:bookmarkEnd w:id="277"/>
      <w:bookmarkStart w:id="278" w:name="_Toc28987"/>
      <w:bookmarkEnd w:id="278"/>
      <w:bookmarkStart w:id="279" w:name="_Toc23516"/>
      <w:bookmarkEnd w:id="279"/>
      <w:bookmarkStart w:id="280" w:name="_Toc4701"/>
      <w:bookmarkEnd w:id="280"/>
      <w:bookmarkStart w:id="281" w:name="_Toc32108"/>
      <w:bookmarkEnd w:id="281"/>
      <w:r>
        <w:rPr>
          <w:rFonts w:hint="eastAsia" w:ascii="宋体" w:hAnsi="宋体" w:eastAsia="宋体" w:cs="宋体"/>
          <w:highlight w:val="none"/>
          <w:u w:val="none"/>
        </w:rPr>
        <w:t>34.廉洁自律规定</w:t>
      </w:r>
    </w:p>
    <w:p w14:paraId="2EFFC886">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34.1   采购代理机构工作人员不得以不正当手段获取政府采购代理业务，不得与采购人、供应商恶意串通操纵政府采购活动。</w:t>
      </w:r>
    </w:p>
    <w:p w14:paraId="713FA7D9">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34.2   采购代理机构工作人员不得接受采购人或者供应商组织的宴请、旅游、娱乐，不得收受礼品、现金、有价证券等，不得向采购人或者供应商报销应当由个人承担的费用。</w:t>
      </w:r>
    </w:p>
    <w:p w14:paraId="67C516C2">
      <w:pPr>
        <w:spacing w:line="360" w:lineRule="auto"/>
        <w:ind w:left="900" w:hanging="900" w:hangingChars="375"/>
        <w:rPr>
          <w:rFonts w:hint="eastAsia" w:ascii="宋体" w:hAnsi="宋体" w:eastAsia="宋体" w:cs="宋体"/>
          <w:sz w:val="24"/>
          <w:highlight w:val="none"/>
        </w:rPr>
      </w:pPr>
      <w:r>
        <w:rPr>
          <w:rFonts w:hint="eastAsia" w:ascii="宋体" w:hAnsi="宋体" w:eastAsia="宋体" w:cs="宋体"/>
          <w:sz w:val="24"/>
          <w:highlight w:val="none"/>
        </w:rPr>
        <w:t>34.3   为强化采购代理机构内部监督机制，供应商可按</w:t>
      </w:r>
      <w:r>
        <w:rPr>
          <w:rFonts w:hint="eastAsia" w:ascii="宋体" w:hAnsi="宋体" w:eastAsia="宋体" w:cs="宋体"/>
          <w:b/>
          <w:bCs/>
          <w:sz w:val="24"/>
          <w:highlight w:val="none"/>
          <w:u w:val="single"/>
        </w:rPr>
        <w:t>投标人须知资料表</w:t>
      </w:r>
      <w:r>
        <w:rPr>
          <w:rFonts w:hint="eastAsia" w:ascii="宋体" w:hAnsi="宋体" w:eastAsia="宋体" w:cs="宋体"/>
          <w:sz w:val="24"/>
          <w:highlight w:val="none"/>
        </w:rPr>
        <w:t>中的监督电话和信箱，反映采购代理机构的廉洁自律等问题。</w:t>
      </w:r>
    </w:p>
    <w:p w14:paraId="27251196">
      <w:pPr>
        <w:pStyle w:val="42"/>
        <w:spacing w:before="0" w:after="0" w:line="360" w:lineRule="auto"/>
        <w:rPr>
          <w:rFonts w:hint="eastAsia" w:ascii="宋体" w:hAnsi="宋体" w:eastAsia="宋体" w:cs="宋体"/>
          <w:highlight w:val="none"/>
          <w:u w:val="none"/>
        </w:rPr>
      </w:pPr>
      <w:bookmarkStart w:id="282" w:name="_Toc404"/>
      <w:bookmarkEnd w:id="282"/>
      <w:bookmarkStart w:id="283" w:name="_Toc518923101"/>
      <w:bookmarkEnd w:id="283"/>
      <w:bookmarkStart w:id="284" w:name="_Toc30899"/>
      <w:bookmarkEnd w:id="284"/>
      <w:bookmarkStart w:id="285" w:name="_Toc21055"/>
      <w:bookmarkEnd w:id="285"/>
      <w:bookmarkStart w:id="286" w:name="_Toc743"/>
      <w:bookmarkEnd w:id="286"/>
      <w:r>
        <w:rPr>
          <w:rFonts w:hint="eastAsia" w:ascii="宋体" w:hAnsi="宋体" w:eastAsia="宋体" w:cs="宋体"/>
          <w:highlight w:val="none"/>
          <w:u w:val="none"/>
        </w:rPr>
        <w:t>35.人员回避</w:t>
      </w:r>
    </w:p>
    <w:p w14:paraId="4D739E20">
      <w:pPr>
        <w:spacing w:line="360" w:lineRule="auto"/>
        <w:ind w:left="958" w:leftChars="456" w:firstLine="60" w:firstLineChars="25"/>
        <w:rPr>
          <w:rFonts w:hint="eastAsia" w:ascii="宋体" w:hAnsi="宋体" w:eastAsia="宋体" w:cs="宋体"/>
          <w:sz w:val="24"/>
          <w:highlight w:val="none"/>
        </w:rPr>
      </w:pPr>
      <w:r>
        <w:rPr>
          <w:rFonts w:hint="eastAsia" w:ascii="宋体" w:hAnsi="宋体" w:eastAsia="宋体" w:cs="宋体"/>
          <w:sz w:val="24"/>
          <w:highlight w:val="none"/>
        </w:rPr>
        <w:t>投标人认为采购人员及其相关人员有法律法规所列与其他供应商有利害关系的，可以向采购人或采购代理机构书面提出回避申请，并说明理由。</w:t>
      </w:r>
    </w:p>
    <w:p w14:paraId="0EC62824">
      <w:pPr>
        <w:pStyle w:val="42"/>
        <w:spacing w:before="0" w:after="0" w:line="360" w:lineRule="auto"/>
        <w:rPr>
          <w:rFonts w:hint="eastAsia" w:ascii="宋体" w:hAnsi="宋体" w:eastAsia="宋体" w:cs="宋体"/>
          <w:highlight w:val="none"/>
          <w:u w:val="none"/>
        </w:rPr>
      </w:pPr>
      <w:bookmarkStart w:id="287" w:name="_Toc518923102"/>
      <w:bookmarkEnd w:id="287"/>
      <w:bookmarkStart w:id="288" w:name="_Toc12494"/>
      <w:bookmarkEnd w:id="288"/>
      <w:bookmarkStart w:id="289" w:name="_Toc31346"/>
      <w:bookmarkEnd w:id="289"/>
      <w:bookmarkStart w:id="290" w:name="_Toc24931"/>
      <w:bookmarkEnd w:id="290"/>
      <w:bookmarkStart w:id="291" w:name="_Toc14752"/>
      <w:bookmarkEnd w:id="291"/>
      <w:r>
        <w:rPr>
          <w:rFonts w:hint="eastAsia" w:ascii="宋体" w:hAnsi="宋体" w:eastAsia="宋体" w:cs="宋体"/>
          <w:highlight w:val="none"/>
          <w:u w:val="none"/>
        </w:rPr>
        <w:t>36.质疑与接收</w:t>
      </w:r>
    </w:p>
    <w:p w14:paraId="5100E2C9">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4D5918AF">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36.2  质疑函必须按照本招标文件中《质疑函范本》要求的格式、内容和要求进行填写。供应商如组成联合体参加投标，则《质疑函范本》中要求签字、盖章、加盖公章之处，联合体各方均须按要求签字、盖章、加盖公章。</w:t>
      </w:r>
      <w:r>
        <w:rPr>
          <w:rFonts w:hint="eastAsia" w:ascii="宋体" w:hAnsi="宋体" w:eastAsia="宋体" w:cs="宋体"/>
          <w:b/>
          <w:bCs/>
          <w:sz w:val="24"/>
          <w:highlight w:val="none"/>
        </w:rPr>
        <w:t>质疑供应商应在法定质疑期内以纸质形式提出质疑，针对同一采购程序环节的质疑应一次性提出。</w:t>
      </w:r>
    </w:p>
    <w:p w14:paraId="219EB2D1">
      <w:pPr>
        <w:spacing w:line="360" w:lineRule="auto"/>
        <w:ind w:left="851" w:leftChars="405" w:hanging="1"/>
        <w:rPr>
          <w:rFonts w:hint="eastAsia" w:ascii="宋体" w:hAnsi="宋体" w:eastAsia="宋体" w:cs="宋体"/>
          <w:sz w:val="24"/>
          <w:highlight w:val="none"/>
        </w:rPr>
      </w:pPr>
      <w:r>
        <w:rPr>
          <w:rFonts w:hint="eastAsia" w:ascii="宋体" w:hAnsi="宋体" w:eastAsia="宋体" w:cs="宋体"/>
          <w:sz w:val="24"/>
          <w:highlight w:val="none"/>
        </w:rPr>
        <w:t>超出法定质疑期的、重复提出的、分次提出的或内容、形式不符合《政府采购质疑和投诉办法》的，质疑供应商将依法承担不利后果。</w:t>
      </w:r>
    </w:p>
    <w:p w14:paraId="2993BDFA">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36.3  采购代理机构质疑函接收部门、联系电话和通讯地址, 见</w:t>
      </w:r>
      <w:r>
        <w:rPr>
          <w:rFonts w:hint="eastAsia" w:ascii="宋体" w:hAnsi="宋体" w:eastAsia="宋体" w:cs="宋体"/>
          <w:sz w:val="24"/>
          <w:highlight w:val="none"/>
          <w:u w:val="single"/>
        </w:rPr>
        <w:t>投标人须知资料表。</w:t>
      </w:r>
    </w:p>
    <w:p w14:paraId="39A5757C">
      <w:pPr>
        <w:spacing w:line="360" w:lineRule="auto"/>
        <w:ind w:left="851" w:leftChars="68" w:hanging="708" w:hangingChars="295"/>
        <w:rPr>
          <w:rFonts w:hint="eastAsia" w:ascii="宋体" w:hAnsi="宋体" w:eastAsia="宋体" w:cs="宋体"/>
          <w:b/>
          <w:bCs/>
          <w:sz w:val="24"/>
          <w:highlight w:val="none"/>
          <w:lang w:eastAsia="zh-CN"/>
        </w:rPr>
      </w:pPr>
      <w:r>
        <w:rPr>
          <w:rFonts w:hint="eastAsia" w:ascii="宋体" w:hAnsi="宋体" w:eastAsia="宋体" w:cs="宋体"/>
          <w:sz w:val="24"/>
          <w:highlight w:val="none"/>
        </w:rPr>
        <w:t>36.4  质疑的提出：一次提出全部质疑</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供应商应当在法定质疑期内一次性提出针对同一采购程序环节的质疑。供应商如在法定期限内对同一采购程序环节提出多次质疑的，采购人、</w:t>
      </w:r>
      <w:r>
        <w:rPr>
          <w:rFonts w:hint="eastAsia" w:ascii="宋体" w:hAnsi="宋体" w:eastAsia="宋体" w:cs="宋体"/>
          <w:b/>
          <w:bCs/>
          <w:sz w:val="24"/>
          <w:highlight w:val="none"/>
          <w:lang w:val="en-US" w:eastAsia="zh-CN"/>
        </w:rPr>
        <w:t>交易</w:t>
      </w:r>
      <w:r>
        <w:rPr>
          <w:rFonts w:hint="eastAsia" w:ascii="宋体" w:hAnsi="宋体" w:eastAsia="宋体" w:cs="宋体"/>
          <w:b/>
          <w:bCs/>
          <w:sz w:val="24"/>
          <w:highlight w:val="none"/>
        </w:rPr>
        <w:t>中心将只对供应商第一次质疑作出答复。</w:t>
      </w:r>
      <w:r>
        <w:rPr>
          <w:rFonts w:hint="eastAsia" w:ascii="宋体" w:hAnsi="宋体" w:eastAsia="宋体" w:cs="宋体"/>
          <w:b/>
          <w:bCs/>
          <w:sz w:val="24"/>
          <w:highlight w:val="none"/>
          <w:lang w:eastAsia="zh-CN"/>
        </w:rPr>
        <w:t>）</w:t>
      </w:r>
    </w:p>
    <w:p w14:paraId="335DB85E">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36.5  本采购文件中所称质疑及答复，是指参加本次采购活动的供应商对政府采购活动中的采购文件、采购过程和成交结果向采购方提出质疑，采购方答复质疑的行为。</w:t>
      </w:r>
    </w:p>
    <w:p w14:paraId="5ADC843F">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5510B126">
      <w:pPr>
        <w:spacing w:line="360" w:lineRule="auto"/>
        <w:ind w:left="851" w:leftChars="296" w:hanging="229" w:hangingChars="95"/>
        <w:rPr>
          <w:rFonts w:hint="eastAsia" w:ascii="宋体" w:hAnsi="宋体" w:eastAsia="宋体" w:cs="宋体"/>
          <w:b/>
          <w:bCs/>
          <w:sz w:val="24"/>
          <w:highlight w:val="none"/>
        </w:rPr>
      </w:pPr>
      <w:r>
        <w:rPr>
          <w:rFonts w:hint="eastAsia" w:ascii="宋体" w:hAnsi="宋体" w:eastAsia="宋体" w:cs="宋体"/>
          <w:b/>
          <w:bCs/>
          <w:sz w:val="24"/>
          <w:highlight w:val="none"/>
        </w:rPr>
        <w:t>（一）对可以质疑的采购文件提出质疑的，为收到采购文件之日或者采购文件公告期限届满之日；</w:t>
      </w:r>
    </w:p>
    <w:p w14:paraId="6646DB52">
      <w:pPr>
        <w:spacing w:line="360" w:lineRule="auto"/>
        <w:ind w:left="851" w:leftChars="296" w:hanging="229" w:hangingChars="95"/>
        <w:rPr>
          <w:rFonts w:hint="eastAsia" w:ascii="宋体" w:hAnsi="宋体" w:eastAsia="宋体" w:cs="宋体"/>
          <w:b/>
          <w:bCs/>
          <w:sz w:val="24"/>
          <w:highlight w:val="none"/>
        </w:rPr>
      </w:pPr>
      <w:r>
        <w:rPr>
          <w:rFonts w:hint="eastAsia" w:ascii="宋体" w:hAnsi="宋体" w:eastAsia="宋体" w:cs="宋体"/>
          <w:b/>
          <w:bCs/>
          <w:sz w:val="24"/>
          <w:highlight w:val="none"/>
        </w:rPr>
        <w:t>（二）对采购过程提出质疑的，为各采购程序环节结束之日；</w:t>
      </w:r>
    </w:p>
    <w:p w14:paraId="2C5ECE74">
      <w:pPr>
        <w:spacing w:line="360" w:lineRule="auto"/>
        <w:ind w:left="851" w:leftChars="296" w:hanging="229" w:hangingChars="95"/>
        <w:rPr>
          <w:rFonts w:hint="eastAsia" w:ascii="宋体" w:hAnsi="宋体" w:eastAsia="宋体" w:cs="宋体"/>
          <w:sz w:val="24"/>
          <w:highlight w:val="none"/>
        </w:rPr>
      </w:pPr>
      <w:r>
        <w:rPr>
          <w:rFonts w:hint="eastAsia" w:ascii="宋体" w:hAnsi="宋体" w:eastAsia="宋体" w:cs="宋体"/>
          <w:b/>
          <w:bCs/>
          <w:sz w:val="24"/>
          <w:highlight w:val="none"/>
        </w:rPr>
        <w:t>（三）对成交结果提出质疑的，为成交结果公告期限届满之日。</w:t>
      </w:r>
    </w:p>
    <w:p w14:paraId="71F78D81">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2CE11D73">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EFDDD8A">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36.9  提出质疑应当符合下列条件：</w:t>
      </w:r>
    </w:p>
    <w:p w14:paraId="1CDE1CA5">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（一）质疑主体应当符合有关规定；</w:t>
      </w:r>
    </w:p>
    <w:p w14:paraId="35EFC2E3">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（二）在质疑法定期限内提出；</w:t>
      </w:r>
    </w:p>
    <w:p w14:paraId="07E14CFC">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（三）属于可以提出质疑的政府采购事项受理范围和本项目采购人的管辖权范围；</w:t>
      </w:r>
    </w:p>
    <w:p w14:paraId="40E4F8F4">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（四）政府采购法律、法规、规章规定的其他条件。</w:t>
      </w:r>
    </w:p>
    <w:p w14:paraId="0E9F502D">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7DC6051">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37.1  质疑人所提供的证明材料应当具有真实性、合法性以及与质疑事项的关联性和证明力，否则不能作为认定该质疑事项成立的依据。</w:t>
      </w:r>
    </w:p>
    <w:p w14:paraId="28D1F784">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37.2  质疑人提出质疑时应当提交质疑函。质疑函包括下列内容：</w:t>
      </w:r>
    </w:p>
    <w:p w14:paraId="5E52C77B">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（一）提出质疑的质疑人的名称、地址、邮编、联系人及联系电话等；</w:t>
      </w:r>
    </w:p>
    <w:p w14:paraId="42A7507C">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（二）质疑项目的名称、编号；</w:t>
      </w:r>
    </w:p>
    <w:p w14:paraId="53E6E642">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（三）质疑事项；</w:t>
      </w:r>
    </w:p>
    <w:p w14:paraId="7435A986">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（四）事实依据和证明材料；</w:t>
      </w:r>
    </w:p>
    <w:p w14:paraId="71D65E41">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（五）法律依据；</w:t>
      </w:r>
    </w:p>
    <w:p w14:paraId="1DEDC684">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（六）提出质疑的日期。</w:t>
      </w:r>
    </w:p>
    <w:p w14:paraId="0578928D">
      <w:pPr>
        <w:spacing w:line="360" w:lineRule="auto"/>
        <w:ind w:left="861" w:leftChars="410" w:firstLine="12" w:firstLineChars="5"/>
        <w:rPr>
          <w:rFonts w:hint="eastAsia" w:ascii="宋体" w:hAnsi="宋体" w:eastAsia="宋体" w:cs="宋体"/>
          <w:sz w:val="24"/>
          <w:highlight w:val="none"/>
        </w:rPr>
      </w:pPr>
      <w:r>
        <w:rPr>
          <w:rFonts w:hint="eastAsia" w:ascii="宋体" w:hAnsi="宋体" w:eastAsia="宋体" w:cs="宋体"/>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64E0BB0">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37.3  质疑人可以委托代理人进行质疑。代理人应当提交授权委托书。授权委托书应当载明委托代理的具体权限、期限和相关事项。</w:t>
      </w:r>
    </w:p>
    <w:p w14:paraId="409E9E81">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37.4、质疑的审查和受理</w:t>
      </w:r>
    </w:p>
    <w:p w14:paraId="39140346">
      <w:pPr>
        <w:spacing w:line="360" w:lineRule="auto"/>
        <w:ind w:left="861" w:leftChars="410" w:firstLine="12" w:firstLineChars="5"/>
        <w:rPr>
          <w:rFonts w:hint="eastAsia" w:ascii="宋体" w:hAnsi="宋体" w:eastAsia="宋体" w:cs="宋体"/>
          <w:sz w:val="24"/>
          <w:highlight w:val="none"/>
        </w:rPr>
      </w:pPr>
      <w:r>
        <w:rPr>
          <w:rFonts w:hint="eastAsia" w:ascii="宋体" w:hAnsi="宋体" w:eastAsia="宋体" w:cs="宋体"/>
          <w:sz w:val="24"/>
          <w:highlight w:val="none"/>
        </w:rPr>
        <w:t>采购方在收到质疑函后应当及时审查是否符合质疑受理条件，对符合质疑受理条件的，及时予以受理。</w:t>
      </w:r>
    </w:p>
    <w:p w14:paraId="214757F7">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37.5  对不符合质疑受理条件的，分别按照下列不同情形予以处理：</w:t>
      </w:r>
    </w:p>
    <w:p w14:paraId="6294E804">
      <w:pPr>
        <w:spacing w:line="360" w:lineRule="auto"/>
        <w:ind w:left="854" w:leftChars="68" w:hanging="711" w:hangingChars="29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（一）质疑函内容不符合规定的，告知质疑人进行修改并重新提出质疑。修改后质疑事项仍不具体、不明确或者最终递交质疑函的时间超过质疑法定期限的，不予受理；</w:t>
      </w:r>
    </w:p>
    <w:p w14:paraId="20C6F850">
      <w:pPr>
        <w:spacing w:line="360" w:lineRule="auto"/>
        <w:ind w:left="854" w:leftChars="68" w:hanging="711" w:hangingChars="29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（二）质疑主体不符合有关规定的，告知质疑人不予受理；</w:t>
      </w:r>
    </w:p>
    <w:p w14:paraId="2515AE9A">
      <w:pPr>
        <w:spacing w:line="360" w:lineRule="auto"/>
        <w:ind w:left="854" w:leftChars="68" w:hanging="711" w:hangingChars="29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（三）超过质疑法定期限提出质疑的，告知质疑人不予受理；</w:t>
      </w:r>
    </w:p>
    <w:p w14:paraId="7BB36775">
      <w:pPr>
        <w:spacing w:line="360" w:lineRule="auto"/>
        <w:ind w:left="854" w:leftChars="68" w:hanging="711" w:hangingChars="29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（四）对不属于可以提出质疑的政府采购事项提出质疑的，告知质疑人不予受理；</w:t>
      </w:r>
    </w:p>
    <w:p w14:paraId="4E05563D">
      <w:pPr>
        <w:spacing w:line="360" w:lineRule="auto"/>
        <w:ind w:left="854" w:leftChars="68" w:hanging="711" w:hangingChars="29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（五）质疑不属于本项目采购方管辖的，告知质疑人向有管辖权的采购人提出质疑；</w:t>
      </w:r>
    </w:p>
    <w:p w14:paraId="00AA6CB2">
      <w:pPr>
        <w:spacing w:line="360" w:lineRule="auto"/>
        <w:ind w:left="854" w:leftChars="68" w:hanging="711" w:hangingChars="29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（六）质疑不符合其他条件的，告知质疑人不予受理。</w:t>
      </w:r>
    </w:p>
    <w:p w14:paraId="5652A3A0">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lang w:val="en-US" w:eastAsia="zh-CN"/>
        </w:rPr>
        <w:t>说明：</w:t>
      </w:r>
      <w:r>
        <w:rPr>
          <w:rFonts w:hint="eastAsia" w:ascii="宋体" w:hAnsi="宋体" w:eastAsia="宋体" w:cs="宋体"/>
          <w:b/>
          <w:bCs/>
          <w:color w:val="auto"/>
          <w:sz w:val="24"/>
          <w:highlight w:val="none"/>
        </w:rPr>
        <w:t>供应商提出书面质疑必须有理、有据，不得捏造事实、提供虚假材料进行恶意质疑。否则，一经查实，</w:t>
      </w:r>
      <w:r>
        <w:rPr>
          <w:rFonts w:hint="eastAsia" w:ascii="宋体" w:hAnsi="宋体" w:eastAsia="宋体" w:cs="宋体"/>
          <w:b/>
          <w:bCs/>
          <w:color w:val="auto"/>
          <w:sz w:val="24"/>
          <w:highlight w:val="none"/>
          <w:lang w:val="en-US" w:eastAsia="zh-CN"/>
        </w:rPr>
        <w:t>交易</w:t>
      </w:r>
      <w:r>
        <w:rPr>
          <w:rFonts w:hint="eastAsia" w:ascii="宋体" w:hAnsi="宋体" w:eastAsia="宋体" w:cs="宋体"/>
          <w:b/>
          <w:bCs/>
          <w:color w:val="auto"/>
          <w:sz w:val="24"/>
          <w:highlight w:val="none"/>
        </w:rPr>
        <w:t>中心有权依据政府采购的有关规定，报请政府采购监管部门对该供应商进行相应的行政处罚和记录该供应商的失信信息。</w:t>
      </w:r>
    </w:p>
    <w:p w14:paraId="4EA35C0D">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37.6、质疑的处理和答复</w:t>
      </w:r>
    </w:p>
    <w:p w14:paraId="37385427">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 xml:space="preserve">37.7 </w:t>
      </w:r>
      <w:r>
        <w:rPr>
          <w:rFonts w:hint="eastAsia" w:ascii="宋体" w:hAnsi="宋体" w:eastAsia="宋体" w:cs="宋体"/>
          <w:sz w:val="24"/>
          <w:highlight w:val="none"/>
          <w:lang w:val="en-US" w:eastAsia="zh-CN"/>
        </w:rPr>
        <w:t xml:space="preserve"> 代理机构</w:t>
      </w:r>
      <w:r>
        <w:rPr>
          <w:rFonts w:hint="eastAsia" w:ascii="宋体" w:hAnsi="宋体" w:eastAsia="宋体" w:cs="宋体"/>
          <w:sz w:val="24"/>
          <w:highlight w:val="none"/>
        </w:rPr>
        <w:t>受理质疑后，将及时把质疑函发送给</w:t>
      </w:r>
      <w:r>
        <w:rPr>
          <w:rFonts w:hint="eastAsia" w:ascii="宋体" w:hAnsi="宋体" w:eastAsia="宋体" w:cs="宋体"/>
          <w:sz w:val="24"/>
          <w:highlight w:val="none"/>
          <w:lang w:val="en-US" w:eastAsia="zh-CN"/>
        </w:rPr>
        <w:t>采购人核实</w:t>
      </w:r>
      <w:r>
        <w:rPr>
          <w:rFonts w:hint="eastAsia" w:ascii="宋体" w:hAnsi="宋体" w:eastAsia="宋体" w:cs="宋体"/>
          <w:sz w:val="24"/>
          <w:highlight w:val="none"/>
        </w:rPr>
        <w:t>。</w:t>
      </w:r>
    </w:p>
    <w:p w14:paraId="6E913F7D">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37.8  对评审过程、成交结果提出质疑的，采购方可以组织原评审委员会协助答复质疑。</w:t>
      </w:r>
    </w:p>
    <w:p w14:paraId="53221A1D">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38.   质疑处理过程中，质疑人书面申请撤回质疑的，将终止质疑处理程序。</w:t>
      </w:r>
    </w:p>
    <w:p w14:paraId="2153101C">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38.1  采购方将在正式受理质疑后7个工作日内作出答复。</w:t>
      </w:r>
    </w:p>
    <w:p w14:paraId="74BDCC83">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38.</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 xml:space="preserve">  采购方经调查、论证、核实，认定质疑不能成立的，继续开展采购活动；认定质疑成立的，按照以下情况处理：</w:t>
      </w:r>
    </w:p>
    <w:p w14:paraId="09D30114">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7F301EFA">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二）对采购过程、成交结果提出的质疑未对成交结果构成影响的，继续开展采购活动；对成交结果构成影响但合格报价方仍≥3家时，依法从合格的成交候选人中另行确定成交报价方，否则将重新开展采购活动。</w:t>
      </w:r>
    </w:p>
    <w:p w14:paraId="1A124BCE">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38.</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 采购方将书面答复质疑，质疑答复包括下列内容：</w:t>
      </w:r>
    </w:p>
    <w:p w14:paraId="6B456044">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（一）质疑人名称；</w:t>
      </w:r>
    </w:p>
    <w:p w14:paraId="67C9F748">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（二）收到质疑函的日期、质疑项目名称及编号;</w:t>
      </w:r>
    </w:p>
    <w:p w14:paraId="0E9B1B1E">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(三)  质疑事项、质疑答复的具体内容、事实依据和法律依据；</w:t>
      </w:r>
    </w:p>
    <w:p w14:paraId="78DF147D">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（四）告知质疑人依法投诉的权利；</w:t>
      </w:r>
    </w:p>
    <w:p w14:paraId="42168FE0">
      <w:pPr>
        <w:spacing w:line="360" w:lineRule="auto"/>
        <w:ind w:left="850" w:leftChars="296" w:hanging="228" w:hangingChars="95"/>
        <w:rPr>
          <w:rFonts w:hint="eastAsia" w:ascii="宋体" w:hAnsi="宋体" w:eastAsia="宋体" w:cs="宋体"/>
          <w:sz w:val="24"/>
          <w:highlight w:val="none"/>
        </w:rPr>
      </w:pPr>
      <w:r>
        <w:rPr>
          <w:rFonts w:hint="eastAsia" w:ascii="宋体" w:hAnsi="宋体" w:eastAsia="宋体" w:cs="宋体"/>
          <w:sz w:val="24"/>
          <w:highlight w:val="none"/>
        </w:rPr>
        <w:t>（五）质疑答复日期。</w:t>
      </w:r>
    </w:p>
    <w:p w14:paraId="3FB8ED14">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 xml:space="preserve"> 投诉 </w:t>
      </w:r>
    </w:p>
    <w:p w14:paraId="7312F244">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rPr>
        <w:t>质疑供应商对</w:t>
      </w:r>
      <w:r>
        <w:rPr>
          <w:rFonts w:hint="eastAsia" w:ascii="宋体" w:hAnsi="宋体" w:eastAsia="宋体" w:cs="宋体"/>
          <w:sz w:val="24"/>
          <w:highlight w:val="none"/>
          <w:lang w:val="en-US" w:eastAsia="zh-CN"/>
        </w:rPr>
        <w:t>质疑</w:t>
      </w:r>
      <w:r>
        <w:rPr>
          <w:rFonts w:hint="eastAsia" w:ascii="宋体" w:hAnsi="宋体" w:eastAsia="宋体" w:cs="宋体"/>
          <w:sz w:val="24"/>
          <w:highlight w:val="none"/>
        </w:rPr>
        <w:t>答复不满意，或者</w:t>
      </w:r>
      <w:r>
        <w:rPr>
          <w:rFonts w:hint="eastAsia" w:ascii="宋体" w:hAnsi="宋体" w:eastAsia="宋体" w:cs="宋体"/>
          <w:sz w:val="24"/>
          <w:highlight w:val="none"/>
          <w:lang w:val="en-US" w:eastAsia="zh-CN"/>
        </w:rPr>
        <w:t>采购人、代理机构</w:t>
      </w:r>
      <w:r>
        <w:rPr>
          <w:rFonts w:hint="eastAsia" w:ascii="宋体" w:hAnsi="宋体" w:eastAsia="宋体" w:cs="宋体"/>
          <w:sz w:val="24"/>
          <w:highlight w:val="none"/>
        </w:rPr>
        <w:t xml:space="preserve">未在规定时间内作出答复的，可以在答复期满后十五个工作日内向同级财政部门提起投诉。 </w:t>
      </w:r>
    </w:p>
    <w:p w14:paraId="27A6C748">
      <w:pPr>
        <w:spacing w:line="360" w:lineRule="auto"/>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br w:type="page"/>
      </w:r>
    </w:p>
    <w:p w14:paraId="49A348DC">
      <w:pPr>
        <w:spacing w:line="240" w:lineRule="atLeast"/>
        <w:ind w:left="861" w:leftChars="410" w:firstLine="2573" w:firstLineChars="80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质疑函范本</w:t>
      </w:r>
    </w:p>
    <w:p w14:paraId="2B6CEFFE">
      <w:pPr>
        <w:spacing w:line="240" w:lineRule="atLeast"/>
        <w:ind w:left="851" w:leftChars="68" w:hanging="708" w:hangingChars="295"/>
        <w:rPr>
          <w:rFonts w:hint="eastAsia" w:ascii="宋体" w:hAnsi="宋体" w:eastAsia="宋体" w:cs="宋体"/>
          <w:sz w:val="24"/>
          <w:highlight w:val="none"/>
        </w:rPr>
      </w:pPr>
    </w:p>
    <w:p w14:paraId="4104947B">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一、质疑供应商基本信息</w:t>
      </w:r>
    </w:p>
    <w:p w14:paraId="5DFFEB1C">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质疑供应商：</w:t>
      </w:r>
    </w:p>
    <w:p w14:paraId="5336C5A8">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地址：邮编：</w:t>
      </w:r>
    </w:p>
    <w:p w14:paraId="0EDF4E8B">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联系人：联系电话：</w:t>
      </w:r>
    </w:p>
    <w:p w14:paraId="00BDB868">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授权代表：</w:t>
      </w:r>
    </w:p>
    <w:p w14:paraId="5DD5FBE7">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联系电话：</w:t>
      </w:r>
    </w:p>
    <w:p w14:paraId="16F22E47">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地址： 邮编：</w:t>
      </w:r>
    </w:p>
    <w:p w14:paraId="274622C5">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二、质疑项目基本情况</w:t>
      </w:r>
    </w:p>
    <w:p w14:paraId="41D50B0F">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质疑项目的名称：</w:t>
      </w:r>
    </w:p>
    <w:p w14:paraId="7B90FB83">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质疑项目的编号：包号：</w:t>
      </w:r>
    </w:p>
    <w:p w14:paraId="482E372F">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采购人名称：</w:t>
      </w:r>
    </w:p>
    <w:p w14:paraId="2DFB053F">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采购文件获取日期：</w:t>
      </w:r>
    </w:p>
    <w:p w14:paraId="553A799D">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三、质疑事项具体内容</w:t>
      </w:r>
    </w:p>
    <w:p w14:paraId="4E957F1C">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质疑事项1：</w:t>
      </w:r>
    </w:p>
    <w:p w14:paraId="0167D8BC">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事实依据：</w:t>
      </w:r>
    </w:p>
    <w:p w14:paraId="766BD338">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法律依据：</w:t>
      </w:r>
    </w:p>
    <w:p w14:paraId="224179C7">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质疑事项2</w:t>
      </w:r>
    </w:p>
    <w:p w14:paraId="7DE57B70">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w:t>
      </w:r>
    </w:p>
    <w:p w14:paraId="0FD1750D">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四、与质疑事项相关的质疑请求</w:t>
      </w:r>
    </w:p>
    <w:p w14:paraId="22A19C1A">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请求：</w:t>
      </w:r>
    </w:p>
    <w:p w14:paraId="6C3530A3">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 xml:space="preserve">签字(签章)：                   公章：                      </w:t>
      </w:r>
    </w:p>
    <w:p w14:paraId="22CA3B53">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7DC6179D">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质疑函制作说明：</w:t>
      </w:r>
    </w:p>
    <w:p w14:paraId="4EAEFB27">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229F4434">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22DBD3">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47640054">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4A4B5FF1">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47DB15BB">
      <w:pPr>
        <w:spacing w:line="240" w:lineRule="atLeast"/>
        <w:ind w:left="851" w:leftChars="68" w:hanging="708" w:hangingChars="295"/>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06156728">
      <w:pPr>
        <w:pStyle w:val="41"/>
        <w:spacing w:before="0" w:line="400" w:lineRule="atLeast"/>
        <w:jc w:val="both"/>
        <w:rPr>
          <w:rFonts w:hint="eastAsia" w:ascii="宋体" w:hAnsi="宋体" w:eastAsia="宋体" w:cs="宋体"/>
          <w:highlight w:val="none"/>
        </w:rPr>
      </w:pPr>
      <w:bookmarkStart w:id="292" w:name="_Toc518923103"/>
      <w:bookmarkEnd w:id="292"/>
      <w:bookmarkStart w:id="293" w:name="_Toc10881"/>
      <w:bookmarkEnd w:id="293"/>
      <w:bookmarkStart w:id="294" w:name="_Toc28552"/>
      <w:bookmarkEnd w:id="294"/>
      <w:bookmarkStart w:id="295" w:name="_Toc23883"/>
      <w:bookmarkEnd w:id="295"/>
      <w:bookmarkStart w:id="296" w:name="_Toc15732"/>
      <w:bookmarkEnd w:id="296"/>
      <w:r>
        <w:rPr>
          <w:rFonts w:hint="eastAsia" w:ascii="宋体" w:hAnsi="宋体" w:eastAsia="宋体" w:cs="宋体"/>
          <w:highlight w:val="none"/>
        </w:rPr>
        <w:br w:type="page"/>
      </w:r>
      <w:r>
        <w:rPr>
          <w:rFonts w:hint="eastAsia" w:ascii="宋体" w:hAnsi="宋体" w:eastAsia="宋体" w:cs="宋体"/>
          <w:szCs w:val="24"/>
          <w:highlight w:val="none"/>
        </w:rPr>
        <w:t>附件1：履约保证金保函（格式）</w:t>
      </w:r>
    </w:p>
    <w:p w14:paraId="3BE5BF75">
      <w:pPr>
        <w:pStyle w:val="51"/>
        <w:spacing w:line="400" w:lineRule="atLeast"/>
        <w:ind w:left="1080" w:leftChars="257" w:hanging="540"/>
        <w:rPr>
          <w:rFonts w:hint="eastAsia" w:ascii="宋体" w:hAnsi="宋体" w:eastAsia="宋体" w:cs="宋体"/>
          <w:b/>
          <w:sz w:val="24"/>
          <w:highlight w:val="none"/>
        </w:rPr>
      </w:pPr>
      <w:r>
        <w:rPr>
          <w:rFonts w:hint="eastAsia" w:ascii="宋体" w:hAnsi="宋体" w:eastAsia="宋体" w:cs="宋体"/>
          <w:b/>
          <w:sz w:val="24"/>
          <w:highlight w:val="none"/>
        </w:rPr>
        <w:t>（中标后开具）</w:t>
      </w:r>
    </w:p>
    <w:p w14:paraId="46634E24">
      <w:pPr>
        <w:pStyle w:val="51"/>
        <w:spacing w:line="400" w:lineRule="atLeast"/>
        <w:ind w:left="1080" w:leftChars="257" w:hanging="540"/>
        <w:rPr>
          <w:rFonts w:hint="eastAsia" w:ascii="宋体" w:hAnsi="宋体" w:eastAsia="宋体" w:cs="宋体"/>
          <w:b/>
          <w:sz w:val="24"/>
          <w:highlight w:val="none"/>
        </w:rPr>
      </w:pPr>
    </w:p>
    <w:p w14:paraId="2D7FFFB4">
      <w:pPr>
        <w:pStyle w:val="51"/>
        <w:spacing w:line="400" w:lineRule="atLeast"/>
        <w:rPr>
          <w:rFonts w:hint="eastAsia" w:ascii="宋体" w:hAnsi="宋体" w:eastAsia="宋体" w:cs="宋体"/>
          <w:sz w:val="24"/>
          <w:highlight w:val="none"/>
        </w:rPr>
      </w:pPr>
      <w:r>
        <w:rPr>
          <w:rFonts w:hint="eastAsia" w:ascii="宋体" w:hAnsi="宋体" w:eastAsia="宋体" w:cs="宋体"/>
          <w:sz w:val="24"/>
          <w:highlight w:val="none"/>
        </w:rPr>
        <w:t>致: (</w:t>
      </w:r>
      <w:r>
        <w:rPr>
          <w:rFonts w:hint="eastAsia" w:ascii="宋体" w:hAnsi="宋体" w:eastAsia="宋体" w:cs="宋体"/>
          <w:i/>
          <w:sz w:val="24"/>
          <w:highlight w:val="none"/>
          <w:u w:val="single"/>
        </w:rPr>
        <w:t>买方名称</w:t>
      </w:r>
      <w:r>
        <w:rPr>
          <w:rFonts w:hint="eastAsia" w:ascii="宋体" w:hAnsi="宋体" w:eastAsia="宋体" w:cs="宋体"/>
          <w:sz w:val="24"/>
          <w:highlight w:val="none"/>
        </w:rPr>
        <w:t>)</w:t>
      </w:r>
    </w:p>
    <w:p w14:paraId="7944D7A9">
      <w:pPr>
        <w:pStyle w:val="51"/>
        <w:spacing w:line="400" w:lineRule="atLeast"/>
        <w:ind w:left="1080" w:leftChars="257" w:hanging="540"/>
        <w:jc w:val="center"/>
        <w:rPr>
          <w:rFonts w:hint="eastAsia" w:ascii="宋体" w:hAnsi="宋体" w:eastAsia="宋体" w:cs="宋体"/>
          <w:sz w:val="24"/>
          <w:highlight w:val="none"/>
        </w:rPr>
      </w:pPr>
      <w:r>
        <w:rPr>
          <w:rFonts w:hint="eastAsia" w:ascii="宋体" w:hAnsi="宋体" w:eastAsia="宋体" w:cs="宋体"/>
          <w:sz w:val="24"/>
          <w:highlight w:val="none"/>
        </w:rPr>
        <w:t>合同履约保函</w:t>
      </w:r>
    </w:p>
    <w:p w14:paraId="36E93AC5">
      <w:pPr>
        <w:pStyle w:val="51"/>
        <w:spacing w:line="400" w:lineRule="atLeast"/>
        <w:ind w:left="1080" w:leftChars="257" w:hanging="540"/>
        <w:jc w:val="center"/>
        <w:rPr>
          <w:rFonts w:hint="eastAsia" w:ascii="宋体" w:hAnsi="宋体" w:eastAsia="宋体" w:cs="宋体"/>
          <w:sz w:val="24"/>
          <w:highlight w:val="none"/>
        </w:rPr>
      </w:pPr>
    </w:p>
    <w:p w14:paraId="50DEF1FD">
      <w:pPr>
        <w:pStyle w:val="51"/>
        <w:spacing w:line="400" w:lineRule="atLeas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本保函作为贵方与(</w:t>
      </w:r>
      <w:r>
        <w:rPr>
          <w:rFonts w:hint="eastAsia" w:ascii="宋体" w:hAnsi="宋体" w:eastAsia="宋体" w:cs="宋体"/>
          <w:i/>
          <w:sz w:val="24"/>
          <w:highlight w:val="none"/>
          <w:u w:val="single"/>
        </w:rPr>
        <w:t>卖方名称</w:t>
      </w:r>
      <w:r>
        <w:rPr>
          <w:rFonts w:hint="eastAsia" w:ascii="宋体" w:hAnsi="宋体" w:eastAsia="宋体" w:cs="宋体"/>
          <w:sz w:val="24"/>
          <w:highlight w:val="none"/>
        </w:rPr>
        <w:t>)(以下简称卖方)于年月日就项目(以下简称项目)项下提供(</w:t>
      </w:r>
      <w:r>
        <w:rPr>
          <w:rFonts w:hint="eastAsia" w:ascii="宋体" w:hAnsi="宋体" w:eastAsia="宋体" w:cs="宋体"/>
          <w:i/>
          <w:sz w:val="24"/>
          <w:highlight w:val="none"/>
          <w:u w:val="single"/>
        </w:rPr>
        <w:t>服务名称</w:t>
      </w:r>
      <w:r>
        <w:rPr>
          <w:rFonts w:hint="eastAsia" w:ascii="宋体" w:hAnsi="宋体" w:eastAsia="宋体" w:cs="宋体"/>
          <w:sz w:val="24"/>
          <w:highlight w:val="none"/>
        </w:rPr>
        <w:t>)(以下简称服务)签订的(</w:t>
      </w:r>
      <w:r>
        <w:rPr>
          <w:rFonts w:hint="eastAsia" w:ascii="宋体" w:hAnsi="宋体" w:eastAsia="宋体" w:cs="宋体"/>
          <w:i/>
          <w:sz w:val="24"/>
          <w:highlight w:val="none"/>
          <w:u w:val="single"/>
        </w:rPr>
        <w:t>合同号</w:t>
      </w:r>
      <w:r>
        <w:rPr>
          <w:rFonts w:hint="eastAsia" w:ascii="宋体" w:hAnsi="宋体" w:eastAsia="宋体" w:cs="宋体"/>
          <w:sz w:val="24"/>
          <w:highlight w:val="none"/>
        </w:rPr>
        <w:t>)号合同的履约保函。</w:t>
      </w:r>
    </w:p>
    <w:p w14:paraId="2DD7DC7A">
      <w:pPr>
        <w:pStyle w:val="51"/>
        <w:spacing w:line="400" w:lineRule="atLeast"/>
        <w:ind w:firstLine="540" w:firstLineChars="225"/>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i/>
          <w:sz w:val="24"/>
          <w:highlight w:val="none"/>
          <w:u w:val="single"/>
        </w:rPr>
        <w:t>出具保函的银行名称</w:t>
      </w:r>
      <w:r>
        <w:rPr>
          <w:rFonts w:hint="eastAsia" w:ascii="宋体" w:hAnsi="宋体" w:eastAsia="宋体" w:cs="宋体"/>
          <w:sz w:val="24"/>
          <w:highlight w:val="none"/>
        </w:rPr>
        <w:t>)(以下简称银行)无条件地、不可撤销地具结保证本行、其继承人和受让人无追索地向贵方以(</w:t>
      </w:r>
      <w:r>
        <w:rPr>
          <w:rFonts w:hint="eastAsia" w:ascii="宋体" w:hAnsi="宋体" w:eastAsia="宋体" w:cs="宋体"/>
          <w:i/>
          <w:sz w:val="24"/>
          <w:highlight w:val="none"/>
          <w:u w:val="single"/>
        </w:rPr>
        <w:t>货币名称</w:t>
      </w:r>
      <w:r>
        <w:rPr>
          <w:rFonts w:hint="eastAsia" w:ascii="宋体" w:hAnsi="宋体" w:eastAsia="宋体" w:cs="宋体"/>
          <w:sz w:val="24"/>
          <w:highlight w:val="none"/>
        </w:rPr>
        <w:t>)支付总额不超过(</w:t>
      </w:r>
      <w:r>
        <w:rPr>
          <w:rFonts w:hint="eastAsia" w:ascii="宋体" w:hAnsi="宋体" w:eastAsia="宋体" w:cs="宋体"/>
          <w:i/>
          <w:sz w:val="24"/>
          <w:highlight w:val="none"/>
          <w:u w:val="single"/>
        </w:rPr>
        <w:t>货币数量</w:t>
      </w:r>
      <w:r>
        <w:rPr>
          <w:rFonts w:hint="eastAsia" w:ascii="宋体" w:hAnsi="宋体" w:eastAsia="宋体" w:cs="宋体"/>
          <w:sz w:val="24"/>
          <w:highlight w:val="none"/>
        </w:rPr>
        <w:t>),即相当于合同价格的%,并以此约定如下:</w:t>
      </w:r>
    </w:p>
    <w:p w14:paraId="7B491515">
      <w:pPr>
        <w:pStyle w:val="51"/>
        <w:spacing w:line="400" w:lineRule="atLeast"/>
        <w:ind w:left="540" w:leftChars="257"/>
        <w:rPr>
          <w:rFonts w:hint="eastAsia" w:ascii="宋体" w:hAnsi="宋体" w:eastAsia="宋体" w:cs="宋体"/>
          <w:sz w:val="24"/>
          <w:highlight w:val="none"/>
        </w:rPr>
      </w:pPr>
      <w:r>
        <w:rPr>
          <w:rFonts w:hint="eastAsia" w:ascii="宋体" w:hAnsi="宋体" w:eastAsia="宋体" w:cs="宋体"/>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0FF4A6D1">
      <w:pPr>
        <w:pStyle w:val="51"/>
        <w:spacing w:line="400" w:lineRule="atLeast"/>
        <w:ind w:left="540"/>
        <w:rPr>
          <w:rFonts w:hint="eastAsia" w:ascii="宋体" w:hAnsi="宋体" w:eastAsia="宋体" w:cs="宋体"/>
          <w:sz w:val="24"/>
          <w:highlight w:val="none"/>
        </w:rPr>
      </w:pPr>
      <w:r>
        <w:rPr>
          <w:rFonts w:hint="eastAsia" w:ascii="宋体" w:hAnsi="宋体" w:eastAsia="宋体" w:cs="宋体"/>
          <w:sz w:val="24"/>
          <w:highlight w:val="none"/>
        </w:rPr>
        <w:t>2.本保函项下的任何支付应为免税和净值。对于现有或将来的税收、关税、收费、费用扣减或预提税款，不论这些款项是何种性质和由谁征收，都不应从本保函项下的支付中扣除。</w:t>
      </w:r>
    </w:p>
    <w:p w14:paraId="6A899F76">
      <w:pPr>
        <w:pStyle w:val="51"/>
        <w:spacing w:line="400" w:lineRule="atLeast"/>
        <w:ind w:left="540"/>
        <w:rPr>
          <w:rFonts w:hint="eastAsia" w:ascii="宋体" w:hAnsi="宋体" w:eastAsia="宋体" w:cs="宋体"/>
          <w:sz w:val="24"/>
          <w:highlight w:val="none"/>
        </w:rPr>
      </w:pPr>
      <w:r>
        <w:rPr>
          <w:rFonts w:hint="eastAsia" w:ascii="宋体" w:hAnsi="宋体" w:eastAsia="宋体" w:cs="宋体"/>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A5245C8">
      <w:pPr>
        <w:pStyle w:val="51"/>
        <w:spacing w:line="400" w:lineRule="atLeast"/>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4.本保函在本合同规定的保证期期满前完全有效。</w:t>
      </w:r>
    </w:p>
    <w:p w14:paraId="52EDAA17">
      <w:pPr>
        <w:pStyle w:val="51"/>
        <w:spacing w:line="400" w:lineRule="atLeast"/>
        <w:ind w:left="1080" w:leftChars="257" w:hanging="540"/>
        <w:rPr>
          <w:rFonts w:hint="eastAsia" w:ascii="宋体" w:hAnsi="宋体" w:eastAsia="宋体" w:cs="宋体"/>
          <w:sz w:val="24"/>
          <w:highlight w:val="none"/>
        </w:rPr>
      </w:pPr>
    </w:p>
    <w:p w14:paraId="507D75B2">
      <w:pPr>
        <w:pStyle w:val="51"/>
        <w:spacing w:line="400" w:lineRule="atLeast"/>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谨启</w:t>
      </w:r>
    </w:p>
    <w:p w14:paraId="56194CBD">
      <w:pPr>
        <w:pStyle w:val="51"/>
        <w:spacing w:line="400" w:lineRule="atLeast"/>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出具保函银行名称：</w:t>
      </w:r>
    </w:p>
    <w:p w14:paraId="60F66207">
      <w:pPr>
        <w:pStyle w:val="51"/>
        <w:spacing w:line="400" w:lineRule="atLeast"/>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签字人姓名和职务：</w:t>
      </w:r>
    </w:p>
    <w:p w14:paraId="0CE5F931">
      <w:pPr>
        <w:pStyle w:val="51"/>
        <w:spacing w:line="400" w:lineRule="atLeast"/>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签字人签名：</w:t>
      </w:r>
    </w:p>
    <w:p w14:paraId="4780999B">
      <w:pPr>
        <w:pStyle w:val="51"/>
        <w:spacing w:line="400" w:lineRule="atLeast"/>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公章：</w:t>
      </w:r>
    </w:p>
    <w:p w14:paraId="285527ED">
      <w:pPr>
        <w:pStyle w:val="41"/>
        <w:spacing w:before="0" w:line="400" w:lineRule="atLeast"/>
        <w:ind w:left="1080" w:leftChars="257" w:hanging="540"/>
        <w:rPr>
          <w:rFonts w:hint="eastAsia" w:ascii="宋体" w:hAnsi="宋体" w:eastAsia="宋体" w:cs="宋体"/>
          <w:highlight w:val="none"/>
        </w:rPr>
      </w:pPr>
      <w:bookmarkStart w:id="297" w:name="_Toc6418"/>
      <w:bookmarkEnd w:id="297"/>
      <w:bookmarkStart w:id="298" w:name="_Toc26765"/>
      <w:bookmarkEnd w:id="298"/>
      <w:bookmarkStart w:id="299" w:name="_Toc27788"/>
      <w:bookmarkEnd w:id="299"/>
      <w:bookmarkStart w:id="300" w:name="_Toc518923104"/>
      <w:bookmarkEnd w:id="300"/>
      <w:bookmarkStart w:id="301" w:name="_Toc18040"/>
      <w:bookmarkEnd w:id="301"/>
      <w:r>
        <w:rPr>
          <w:rFonts w:hint="eastAsia" w:ascii="宋体" w:hAnsi="宋体" w:eastAsia="宋体" w:cs="宋体"/>
          <w:highlight w:val="none"/>
        </w:rPr>
        <w:br w:type="page"/>
      </w:r>
      <w:r>
        <w:rPr>
          <w:rFonts w:hint="eastAsia" w:ascii="宋体" w:hAnsi="宋体" w:eastAsia="宋体" w:cs="宋体"/>
          <w:szCs w:val="24"/>
          <w:highlight w:val="none"/>
        </w:rPr>
        <w:t>附件2：履约担保函格式</w:t>
      </w:r>
    </w:p>
    <w:p w14:paraId="45846B82">
      <w:pPr>
        <w:pStyle w:val="41"/>
        <w:spacing w:before="0" w:line="360" w:lineRule="auto"/>
        <w:ind w:left="1080" w:leftChars="257" w:hanging="540"/>
        <w:rPr>
          <w:rFonts w:hint="eastAsia" w:ascii="宋体" w:hAnsi="宋体" w:eastAsia="宋体" w:cs="宋体"/>
          <w:szCs w:val="24"/>
          <w:highlight w:val="none"/>
        </w:rPr>
      </w:pPr>
      <w:bookmarkStart w:id="302" w:name="_Toc515904842"/>
      <w:bookmarkEnd w:id="302"/>
      <w:bookmarkStart w:id="303" w:name="_Toc765"/>
      <w:bookmarkEnd w:id="303"/>
      <w:bookmarkStart w:id="304" w:name="_Toc30995"/>
      <w:bookmarkEnd w:id="304"/>
      <w:bookmarkStart w:id="305" w:name="_Toc13619"/>
      <w:bookmarkEnd w:id="305"/>
      <w:bookmarkStart w:id="306" w:name="_Toc518923105"/>
      <w:bookmarkEnd w:id="306"/>
      <w:bookmarkStart w:id="307" w:name="_Toc21521"/>
      <w:bookmarkEnd w:id="307"/>
      <w:r>
        <w:rPr>
          <w:rFonts w:hint="eastAsia" w:ascii="宋体" w:hAnsi="宋体" w:eastAsia="宋体" w:cs="宋体"/>
          <w:szCs w:val="24"/>
          <w:highlight w:val="none"/>
        </w:rPr>
        <w:t>（采用政府采购信用担保形式时使用）</w:t>
      </w:r>
    </w:p>
    <w:p w14:paraId="20704E55">
      <w:pPr>
        <w:spacing w:line="240" w:lineRule="atLeast"/>
        <w:jc w:val="center"/>
        <w:rPr>
          <w:rFonts w:hint="eastAsia" w:ascii="宋体" w:hAnsi="宋体" w:eastAsia="宋体" w:cs="宋体"/>
          <w:sz w:val="24"/>
          <w:highlight w:val="none"/>
        </w:rPr>
      </w:pPr>
      <w:r>
        <w:rPr>
          <w:rFonts w:hint="eastAsia" w:ascii="宋体" w:hAnsi="宋体" w:eastAsia="宋体" w:cs="宋体"/>
          <w:sz w:val="24"/>
          <w:highlight w:val="none"/>
        </w:rPr>
        <w:t>政府采购履约担保函（项目用）</w:t>
      </w:r>
    </w:p>
    <w:p w14:paraId="3EADD4D6">
      <w:pPr>
        <w:spacing w:line="240" w:lineRule="atLeast"/>
        <w:rPr>
          <w:rFonts w:hint="eastAsia" w:ascii="宋体" w:hAnsi="宋体" w:eastAsia="宋体" w:cs="宋体"/>
          <w:sz w:val="24"/>
          <w:highlight w:val="none"/>
        </w:rPr>
      </w:pPr>
      <w:r>
        <w:rPr>
          <w:rFonts w:hint="eastAsia" w:ascii="宋体" w:hAnsi="宋体" w:eastAsia="宋体" w:cs="宋体"/>
          <w:sz w:val="24"/>
          <w:highlight w:val="none"/>
        </w:rPr>
        <w:t>编号：</w:t>
      </w:r>
    </w:p>
    <w:p w14:paraId="2F0B0982">
      <w:pPr>
        <w:spacing w:line="240" w:lineRule="atLeast"/>
        <w:rPr>
          <w:rFonts w:hint="eastAsia" w:ascii="宋体" w:hAnsi="宋体" w:eastAsia="宋体" w:cs="宋体"/>
          <w:sz w:val="24"/>
          <w:highlight w:val="none"/>
        </w:rPr>
      </w:pPr>
      <w:r>
        <w:rPr>
          <w:rFonts w:hint="eastAsia" w:ascii="宋体" w:hAnsi="宋体" w:eastAsia="宋体" w:cs="宋体"/>
          <w:sz w:val="24"/>
          <w:highlight w:val="none"/>
        </w:rPr>
        <w:t>（采购人）：</w:t>
      </w:r>
    </w:p>
    <w:p w14:paraId="23870AD0">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鉴于你方与（以下简称供应商）于年月日签定编号为的《政府采购合同》（以下简称主合同），且依据该合同的约定，供应商应在年</w:t>
      </w:r>
    </w:p>
    <w:p w14:paraId="6D095592">
      <w:pPr>
        <w:spacing w:line="240" w:lineRule="atLeast"/>
        <w:rPr>
          <w:rFonts w:hint="eastAsia" w:ascii="宋体" w:hAnsi="宋体" w:eastAsia="宋体" w:cs="宋体"/>
          <w:sz w:val="24"/>
          <w:highlight w:val="none"/>
        </w:rPr>
      </w:pPr>
      <w:r>
        <w:rPr>
          <w:rFonts w:hint="eastAsia" w:ascii="宋体" w:hAnsi="宋体" w:eastAsia="宋体" w:cs="宋体"/>
          <w:sz w:val="24"/>
          <w:highlight w:val="none"/>
        </w:rPr>
        <w:t>月日前向你方交纳履约保证金，且可以履约担保函的形式交纳履约保证金。应供应商的申请，我方以保证的方式向你方提供如下履约保证金担保：</w:t>
      </w:r>
    </w:p>
    <w:p w14:paraId="710A86FA">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一、保证责任的情形及保证金额</w:t>
      </w:r>
    </w:p>
    <w:p w14:paraId="65D2C424">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（一）在供应商出现下列情形之一时，我方承担保证责任：</w:t>
      </w:r>
    </w:p>
    <w:p w14:paraId="1E2BA047">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1．将中标项目转让给他人，或者在投标文件中未说明，且未经采购招标机构人同意，将中标项目分包给他人的；</w:t>
      </w:r>
    </w:p>
    <w:p w14:paraId="0CEEC759">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2．主合同约定的应当缴纳履约保证金的情形: </w:t>
      </w:r>
    </w:p>
    <w:p w14:paraId="04321B70">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（1）未按主合同约定的质量、数量和期限供应货物/提供服务/完成工程的；</w:t>
      </w:r>
    </w:p>
    <w:p w14:paraId="697BFB6A">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p>
    <w:p w14:paraId="65400AE0">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（二）我方的保证范围是主合同约定的合同价款总额的%数额为元（大写），币种为。（即主合同履约保证金金额）</w:t>
      </w:r>
    </w:p>
    <w:p w14:paraId="5B1A9F65">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二、保证的方式及保证期间</w:t>
      </w:r>
    </w:p>
    <w:p w14:paraId="1A41B459">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我方保证的方式为：连带责任保证。</w:t>
      </w:r>
    </w:p>
    <w:p w14:paraId="492934A6">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我方保证的期间为：自本合同生效之日起至供应商按照主合同约定的供货/完工期限届满后日内。</w:t>
      </w:r>
    </w:p>
    <w:p w14:paraId="419CCB0D">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如果供应商未按主合同约定向贵方供应货物/提供服务/完成工程的，由我方在保证金额内向你方支付上述款项。</w:t>
      </w:r>
    </w:p>
    <w:p w14:paraId="60BDFDED">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三、承担保证责任的程序</w:t>
      </w:r>
    </w:p>
    <w:p w14:paraId="4CCE22BB">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304EA170">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7C60CD9A">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2．我方收到你方的书面索赔通知及相应证明材料，在工作日内进行核定后按照本保函的承诺承担保证责任。</w:t>
      </w:r>
    </w:p>
    <w:p w14:paraId="1276DB41">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四、保证责任的终止</w:t>
      </w:r>
    </w:p>
    <w:p w14:paraId="3D673568">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795B9FE">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2．我方按照本保函向你方履行了保证责任后，自我方向你方支付款项（支付款项从我方账户划出）之日起，保证责任即终止。</w:t>
      </w:r>
    </w:p>
    <w:p w14:paraId="5759814B">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3．按照法律法规的规定或出现应终止我方保证责任的其它情形的，我方在本保函项下的保证责任亦终止。</w:t>
      </w:r>
    </w:p>
    <w:p w14:paraId="4025E6D2">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44318E5">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五、免责条款</w:t>
      </w:r>
    </w:p>
    <w:p w14:paraId="35D1AE3F">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1．因你方违反主合同约定致使供应商不能履行义务的，我方不承担保证责任。</w:t>
      </w:r>
    </w:p>
    <w:p w14:paraId="48A27184">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2．依照法律法规的规定或你方与供应商的另行约定，全部或者部分免除供应商应缴纳的保证金义务的，我方亦免除相应的保证责任。</w:t>
      </w:r>
    </w:p>
    <w:p w14:paraId="73400825">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3．因不可抗力造成供应商不能履行供货义务的，我方不承担保证责任。</w:t>
      </w:r>
    </w:p>
    <w:p w14:paraId="1D6F0CAA">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六、争议的解决</w:t>
      </w:r>
    </w:p>
    <w:p w14:paraId="0CFA25F3">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因本保函发生的纠纷，由你我双方协商解决，协商不成的，通过诉讼程序解决，诉讼管辖地法院为法院。</w:t>
      </w:r>
    </w:p>
    <w:p w14:paraId="09F829C2">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七、保函的生效</w:t>
      </w:r>
    </w:p>
    <w:p w14:paraId="029AA908">
      <w:pPr>
        <w:spacing w:line="2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本保函自我方加盖公章之日起生效。</w:t>
      </w:r>
    </w:p>
    <w:p w14:paraId="7B1B160C">
      <w:pPr>
        <w:spacing w:line="240" w:lineRule="atLeast"/>
        <w:rPr>
          <w:rFonts w:hint="eastAsia" w:ascii="宋体" w:hAnsi="宋体" w:eastAsia="宋体" w:cs="宋体"/>
          <w:sz w:val="24"/>
          <w:highlight w:val="none"/>
        </w:rPr>
      </w:pPr>
    </w:p>
    <w:p w14:paraId="3C669BE5">
      <w:pPr>
        <w:spacing w:line="240" w:lineRule="atLeast"/>
        <w:ind w:firstLine="6240" w:firstLineChars="2600"/>
        <w:rPr>
          <w:rFonts w:hint="eastAsia" w:ascii="宋体" w:hAnsi="宋体" w:eastAsia="宋体" w:cs="宋体"/>
          <w:sz w:val="24"/>
          <w:highlight w:val="none"/>
        </w:rPr>
      </w:pPr>
      <w:r>
        <w:rPr>
          <w:rFonts w:hint="eastAsia" w:ascii="宋体" w:hAnsi="宋体" w:eastAsia="宋体" w:cs="宋体"/>
          <w:sz w:val="24"/>
          <w:highlight w:val="none"/>
        </w:rPr>
        <w:t>保证人：（公章）</w:t>
      </w:r>
    </w:p>
    <w:p w14:paraId="32FED68B">
      <w:pPr>
        <w:spacing w:line="240" w:lineRule="atLeast"/>
        <w:ind w:firstLine="6480" w:firstLineChars="2700"/>
        <w:rPr>
          <w:rFonts w:hint="eastAsia" w:ascii="宋体" w:hAnsi="宋体" w:eastAsia="宋体" w:cs="宋体"/>
          <w:sz w:val="24"/>
          <w:highlight w:val="none"/>
        </w:rPr>
      </w:pPr>
      <w:r>
        <w:rPr>
          <w:rFonts w:hint="eastAsia" w:ascii="宋体" w:hAnsi="宋体" w:eastAsia="宋体" w:cs="宋体"/>
          <w:sz w:val="24"/>
          <w:highlight w:val="none"/>
        </w:rPr>
        <w:t>年 月 日</w:t>
      </w:r>
    </w:p>
    <w:p w14:paraId="6ACF7E89">
      <w:pPr>
        <w:pStyle w:val="46"/>
        <w:spacing w:line="360" w:lineRule="auto"/>
        <w:ind w:firstLine="0"/>
        <w:rPr>
          <w:rFonts w:hint="eastAsia" w:ascii="宋体" w:hAnsi="宋体" w:eastAsia="宋体" w:cs="宋体"/>
          <w:b/>
          <w:highlight w:val="none"/>
        </w:rPr>
      </w:pPr>
      <w:r>
        <w:rPr>
          <w:rFonts w:hint="eastAsia" w:ascii="宋体" w:hAnsi="宋体" w:eastAsia="宋体" w:cs="宋体"/>
          <w:b/>
          <w:highlight w:val="none"/>
        </w:rPr>
        <w:br w:type="page"/>
      </w:r>
    </w:p>
    <w:p w14:paraId="41022C1A">
      <w:pPr>
        <w:pStyle w:val="40"/>
        <w:spacing w:before="0" w:after="0" w:line="360" w:lineRule="auto"/>
        <w:rPr>
          <w:rFonts w:hint="eastAsia" w:ascii="宋体" w:hAnsi="宋体" w:eastAsia="宋体" w:cs="宋体"/>
          <w:highlight w:val="none"/>
        </w:rPr>
      </w:pPr>
      <w:bookmarkStart w:id="308" w:name="_Toc518923106"/>
      <w:bookmarkEnd w:id="308"/>
      <w:bookmarkStart w:id="309" w:name="_Toc6923"/>
      <w:bookmarkEnd w:id="309"/>
      <w:bookmarkStart w:id="310" w:name="_Toc12170"/>
      <w:bookmarkEnd w:id="310"/>
      <w:bookmarkStart w:id="311" w:name="_Toc22884"/>
      <w:bookmarkEnd w:id="311"/>
      <w:bookmarkStart w:id="312" w:name="_Toc216582812"/>
      <w:bookmarkEnd w:id="312"/>
      <w:bookmarkStart w:id="313" w:name="_Toc26371"/>
      <w:bookmarkEnd w:id="313"/>
    </w:p>
    <w:p w14:paraId="53F1B8ED">
      <w:pPr>
        <w:pStyle w:val="40"/>
        <w:spacing w:before="0" w:after="0" w:line="360" w:lineRule="auto"/>
        <w:rPr>
          <w:rFonts w:hint="eastAsia" w:ascii="宋体" w:hAnsi="宋体" w:eastAsia="宋体" w:cs="宋体"/>
          <w:highlight w:val="none"/>
        </w:rPr>
      </w:pPr>
    </w:p>
    <w:p w14:paraId="40009AB5">
      <w:pPr>
        <w:pStyle w:val="40"/>
        <w:spacing w:before="0" w:after="0" w:line="360" w:lineRule="auto"/>
        <w:rPr>
          <w:rFonts w:hint="eastAsia" w:ascii="宋体" w:hAnsi="宋体" w:eastAsia="宋体" w:cs="宋体"/>
          <w:highlight w:val="none"/>
        </w:rPr>
      </w:pPr>
    </w:p>
    <w:p w14:paraId="3CA2F7F5">
      <w:pPr>
        <w:pStyle w:val="40"/>
        <w:spacing w:before="0" w:after="0" w:line="360" w:lineRule="auto"/>
        <w:rPr>
          <w:rFonts w:hint="eastAsia" w:ascii="宋体" w:hAnsi="宋体" w:eastAsia="宋体" w:cs="宋体"/>
          <w:highlight w:val="none"/>
        </w:rPr>
      </w:pPr>
    </w:p>
    <w:p w14:paraId="11611FC9">
      <w:pPr>
        <w:pStyle w:val="40"/>
        <w:spacing w:before="0" w:after="0" w:line="360" w:lineRule="auto"/>
        <w:rPr>
          <w:rFonts w:hint="eastAsia" w:ascii="宋体" w:hAnsi="宋体" w:eastAsia="宋体" w:cs="宋体"/>
          <w:highlight w:val="none"/>
        </w:rPr>
      </w:pPr>
    </w:p>
    <w:p w14:paraId="79955876">
      <w:pPr>
        <w:pStyle w:val="40"/>
        <w:spacing w:before="0" w:after="0" w:line="360" w:lineRule="auto"/>
        <w:rPr>
          <w:rFonts w:hint="eastAsia" w:ascii="宋体" w:hAnsi="宋体" w:eastAsia="宋体" w:cs="宋体"/>
          <w:highlight w:val="none"/>
        </w:rPr>
      </w:pPr>
    </w:p>
    <w:p w14:paraId="6D011466">
      <w:pPr>
        <w:pStyle w:val="40"/>
        <w:spacing w:before="0" w:after="0" w:line="360" w:lineRule="auto"/>
        <w:rPr>
          <w:rFonts w:hint="eastAsia" w:ascii="宋体" w:hAnsi="宋体" w:eastAsia="宋体" w:cs="宋体"/>
          <w:highlight w:val="none"/>
        </w:rPr>
      </w:pPr>
    </w:p>
    <w:p w14:paraId="6A0A2919">
      <w:pPr>
        <w:pStyle w:val="40"/>
        <w:spacing w:before="0" w:after="0" w:line="360" w:lineRule="auto"/>
        <w:rPr>
          <w:rFonts w:hint="eastAsia" w:ascii="宋体" w:hAnsi="宋体" w:eastAsia="宋体" w:cs="宋体"/>
          <w:highlight w:val="none"/>
        </w:rPr>
      </w:pPr>
    </w:p>
    <w:p w14:paraId="6892A41D">
      <w:pPr>
        <w:pStyle w:val="40"/>
        <w:spacing w:before="0" w:after="0" w:line="360" w:lineRule="auto"/>
        <w:rPr>
          <w:rFonts w:hint="eastAsia" w:ascii="宋体" w:hAnsi="宋体" w:eastAsia="宋体" w:cs="宋体"/>
          <w:sz w:val="56"/>
          <w:szCs w:val="36"/>
          <w:highlight w:val="none"/>
        </w:rPr>
      </w:pPr>
      <w:bookmarkStart w:id="314" w:name="_Toc30798"/>
      <w:r>
        <w:rPr>
          <w:rFonts w:hint="eastAsia" w:ascii="宋体" w:hAnsi="宋体" w:eastAsia="宋体" w:cs="宋体"/>
          <w:sz w:val="56"/>
          <w:szCs w:val="36"/>
          <w:highlight w:val="none"/>
        </w:rPr>
        <w:t>第</w:t>
      </w:r>
      <w:r>
        <w:rPr>
          <w:rFonts w:hint="eastAsia" w:ascii="宋体" w:hAnsi="宋体" w:eastAsia="宋体" w:cs="宋体"/>
          <w:sz w:val="56"/>
          <w:szCs w:val="36"/>
          <w:highlight w:val="none"/>
          <w:lang w:val="en-US" w:eastAsia="zh-CN"/>
        </w:rPr>
        <w:t>4</w:t>
      </w:r>
      <w:r>
        <w:rPr>
          <w:rFonts w:hint="eastAsia" w:ascii="宋体" w:hAnsi="宋体" w:eastAsia="宋体" w:cs="宋体"/>
          <w:sz w:val="56"/>
          <w:szCs w:val="36"/>
          <w:highlight w:val="none"/>
        </w:rPr>
        <w:t>章投标文件格式</w:t>
      </w:r>
      <w:bookmarkEnd w:id="314"/>
    </w:p>
    <w:p w14:paraId="2E936B8C">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F6942B5">
      <w:pPr>
        <w:pStyle w:val="95"/>
        <w:spacing w:line="380" w:lineRule="exact"/>
        <w:jc w:val="center"/>
        <w:rPr>
          <w:rFonts w:hint="eastAsia" w:ascii="宋体" w:hAnsi="宋体" w:eastAsia="宋体" w:cs="宋体"/>
          <w:sz w:val="28"/>
          <w:szCs w:val="28"/>
          <w:highlight w:val="none"/>
        </w:rPr>
      </w:pPr>
    </w:p>
    <w:p w14:paraId="0F3C99B1">
      <w:pPr>
        <w:pStyle w:val="95"/>
        <w:spacing w:line="380" w:lineRule="exact"/>
        <w:jc w:val="center"/>
        <w:rPr>
          <w:rFonts w:hint="eastAsia" w:ascii="宋体" w:hAnsi="宋体" w:eastAsia="宋体" w:cs="宋体"/>
          <w:sz w:val="28"/>
          <w:szCs w:val="28"/>
          <w:highlight w:val="none"/>
        </w:rPr>
      </w:pPr>
    </w:p>
    <w:p w14:paraId="5A662AD7">
      <w:pPr>
        <w:jc w:val="center"/>
        <w:rPr>
          <w:rFonts w:hint="eastAsia" w:ascii="宋体" w:hAnsi="宋体" w:eastAsia="宋体" w:cs="宋体"/>
          <w:b/>
          <w:bCs/>
          <w:color w:val="000000"/>
          <w:sz w:val="44"/>
          <w:szCs w:val="44"/>
          <w:highlight w:val="none"/>
        </w:rPr>
      </w:pPr>
      <w:r>
        <w:rPr>
          <w:rFonts w:hint="eastAsia" w:ascii="宋体" w:hAnsi="宋体" w:eastAsia="宋体" w:cs="宋体"/>
          <w:b/>
          <w:bCs/>
          <w:color w:val="000000"/>
          <w:sz w:val="44"/>
          <w:szCs w:val="44"/>
          <w:highlight w:val="none"/>
        </w:rPr>
        <w:t>响  应  文  件</w:t>
      </w:r>
    </w:p>
    <w:p w14:paraId="4C8F37B3">
      <w:pPr>
        <w:pStyle w:val="95"/>
        <w:spacing w:line="380" w:lineRule="exact"/>
        <w:jc w:val="center"/>
        <w:rPr>
          <w:rFonts w:hint="eastAsia" w:ascii="宋体" w:hAnsi="宋体" w:eastAsia="宋体" w:cs="宋体"/>
          <w:sz w:val="28"/>
          <w:szCs w:val="28"/>
          <w:highlight w:val="none"/>
        </w:rPr>
      </w:pPr>
    </w:p>
    <w:p w14:paraId="78003D51">
      <w:pPr>
        <w:pStyle w:val="95"/>
        <w:spacing w:line="380" w:lineRule="exact"/>
        <w:jc w:val="center"/>
        <w:rPr>
          <w:rFonts w:hint="eastAsia" w:ascii="宋体" w:hAnsi="宋体" w:eastAsia="宋体" w:cs="宋体"/>
          <w:sz w:val="28"/>
          <w:szCs w:val="28"/>
          <w:highlight w:val="none"/>
        </w:rPr>
      </w:pPr>
    </w:p>
    <w:p w14:paraId="5E8111B9">
      <w:pPr>
        <w:pStyle w:val="95"/>
        <w:spacing w:line="380" w:lineRule="exact"/>
        <w:jc w:val="center"/>
        <w:rPr>
          <w:rFonts w:hint="eastAsia" w:ascii="宋体" w:hAnsi="宋体" w:eastAsia="宋体" w:cs="宋体"/>
          <w:sz w:val="28"/>
          <w:szCs w:val="28"/>
          <w:highlight w:val="none"/>
        </w:rPr>
      </w:pPr>
    </w:p>
    <w:p w14:paraId="1FCAC37D">
      <w:pPr>
        <w:pStyle w:val="95"/>
        <w:spacing w:line="380" w:lineRule="exact"/>
        <w:jc w:val="center"/>
        <w:rPr>
          <w:rFonts w:hint="eastAsia" w:ascii="宋体" w:hAnsi="宋体" w:eastAsia="宋体" w:cs="宋体"/>
          <w:sz w:val="28"/>
          <w:szCs w:val="28"/>
          <w:highlight w:val="none"/>
        </w:rPr>
      </w:pPr>
    </w:p>
    <w:p w14:paraId="13850D0C">
      <w:pPr>
        <w:pStyle w:val="95"/>
        <w:spacing w:line="380" w:lineRule="exact"/>
        <w:jc w:val="center"/>
        <w:rPr>
          <w:rFonts w:hint="eastAsia" w:ascii="宋体" w:hAnsi="宋体" w:eastAsia="宋体" w:cs="宋体"/>
          <w:sz w:val="28"/>
          <w:szCs w:val="28"/>
          <w:highlight w:val="none"/>
        </w:rPr>
      </w:pPr>
    </w:p>
    <w:p w14:paraId="3F5F029F">
      <w:pPr>
        <w:pStyle w:val="95"/>
        <w:spacing w:line="380" w:lineRule="exact"/>
        <w:jc w:val="center"/>
        <w:rPr>
          <w:rFonts w:hint="eastAsia" w:ascii="宋体" w:hAnsi="宋体" w:eastAsia="宋体" w:cs="宋体"/>
          <w:sz w:val="28"/>
          <w:szCs w:val="28"/>
          <w:highlight w:val="none"/>
        </w:rPr>
      </w:pPr>
    </w:p>
    <w:p w14:paraId="3C0EB858">
      <w:pPr>
        <w:ind w:left="1918" w:leftChars="342" w:right="980" w:hanging="1200" w:hangingChars="5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7964DE2E">
      <w:pPr>
        <w:rPr>
          <w:rFonts w:hint="eastAsia" w:ascii="宋体" w:hAnsi="宋体" w:eastAsia="宋体" w:cs="宋体"/>
          <w:color w:val="000000"/>
          <w:sz w:val="24"/>
          <w:highlight w:val="none"/>
        </w:rPr>
      </w:pPr>
      <w:r>
        <w:rPr>
          <w:rFonts w:hint="eastAsia" w:ascii="宋体" w:hAnsi="宋体" w:eastAsia="宋体" w:cs="宋体"/>
          <w:color w:val="000000"/>
          <w:sz w:val="18"/>
          <w:szCs w:val="22"/>
          <w:highlight w:val="none"/>
        </w:rPr>
        <w:t xml:space="preserve">             </w:t>
      </w:r>
    </w:p>
    <w:p w14:paraId="7019C580">
      <w:pPr>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    项目编号： </w:t>
      </w:r>
      <w:r>
        <w:rPr>
          <w:rFonts w:hint="eastAsia" w:ascii="宋体" w:hAnsi="宋体" w:eastAsia="宋体" w:cs="宋体"/>
          <w:color w:val="000000"/>
          <w:sz w:val="24"/>
          <w:highlight w:val="none"/>
          <w:u w:val="single"/>
        </w:rPr>
        <w:t xml:space="preserve">                          </w:t>
      </w:r>
    </w:p>
    <w:p w14:paraId="19A61CF1">
      <w:pPr>
        <w:rPr>
          <w:rFonts w:hint="eastAsia" w:ascii="宋体" w:hAnsi="宋体" w:eastAsia="宋体" w:cs="宋体"/>
          <w:color w:val="000000"/>
          <w:sz w:val="18"/>
          <w:szCs w:val="22"/>
          <w:highlight w:val="none"/>
        </w:rPr>
      </w:pPr>
      <w:r>
        <w:rPr>
          <w:rFonts w:hint="eastAsia" w:ascii="宋体" w:hAnsi="宋体" w:eastAsia="宋体" w:cs="宋体"/>
          <w:color w:val="000000"/>
          <w:sz w:val="18"/>
          <w:szCs w:val="22"/>
          <w:highlight w:val="none"/>
        </w:rPr>
        <w:t xml:space="preserve">  </w:t>
      </w:r>
    </w:p>
    <w:p w14:paraId="5C42CE50">
      <w:pPr>
        <w:rPr>
          <w:rFonts w:hint="eastAsia" w:ascii="宋体" w:hAnsi="宋体" w:eastAsia="宋体" w:cs="宋体"/>
          <w:color w:val="000000"/>
          <w:sz w:val="18"/>
          <w:szCs w:val="22"/>
          <w:highlight w:val="none"/>
        </w:rPr>
      </w:pPr>
    </w:p>
    <w:p w14:paraId="40F85E03">
      <w:pPr>
        <w:rPr>
          <w:rFonts w:hint="eastAsia" w:ascii="宋体" w:hAnsi="宋体" w:eastAsia="宋体" w:cs="宋体"/>
          <w:color w:val="000000"/>
          <w:sz w:val="18"/>
          <w:szCs w:val="22"/>
          <w:highlight w:val="none"/>
        </w:rPr>
      </w:pPr>
    </w:p>
    <w:p w14:paraId="26424CE8">
      <w:pPr>
        <w:rPr>
          <w:rFonts w:hint="eastAsia" w:ascii="宋体" w:hAnsi="宋体" w:eastAsia="宋体" w:cs="宋体"/>
          <w:color w:val="000000"/>
          <w:sz w:val="18"/>
          <w:szCs w:val="22"/>
          <w:highlight w:val="none"/>
        </w:rPr>
      </w:pPr>
    </w:p>
    <w:p w14:paraId="3BD93A44">
      <w:pPr>
        <w:rPr>
          <w:rFonts w:hint="eastAsia" w:ascii="宋体" w:hAnsi="宋体" w:eastAsia="宋体" w:cs="宋体"/>
          <w:color w:val="000000"/>
          <w:sz w:val="18"/>
          <w:szCs w:val="22"/>
          <w:highlight w:val="none"/>
        </w:rPr>
      </w:pPr>
    </w:p>
    <w:p w14:paraId="3A5D8B82">
      <w:pPr>
        <w:rPr>
          <w:rFonts w:hint="eastAsia" w:ascii="宋体" w:hAnsi="宋体" w:eastAsia="宋体" w:cs="宋体"/>
          <w:bCs/>
          <w:color w:val="000000"/>
          <w:sz w:val="28"/>
          <w:szCs w:val="28"/>
          <w:highlight w:val="none"/>
        </w:rPr>
      </w:pPr>
    </w:p>
    <w:p w14:paraId="2EFAFBC7">
      <w:pPr>
        <w:rPr>
          <w:rFonts w:hint="eastAsia" w:ascii="宋体" w:hAnsi="宋体" w:eastAsia="宋体" w:cs="宋体"/>
          <w:bCs/>
          <w:color w:val="000000"/>
          <w:sz w:val="28"/>
          <w:szCs w:val="28"/>
          <w:highlight w:val="none"/>
        </w:rPr>
      </w:pPr>
    </w:p>
    <w:p w14:paraId="5AFA4C10">
      <w:pPr>
        <w:rPr>
          <w:rFonts w:hint="eastAsia" w:ascii="宋体" w:hAnsi="宋体" w:eastAsia="宋体" w:cs="宋体"/>
          <w:sz w:val="20"/>
          <w:szCs w:val="22"/>
          <w:highlight w:val="none"/>
        </w:rPr>
      </w:pPr>
      <w:r>
        <w:rPr>
          <w:rFonts w:hint="eastAsia" w:ascii="宋体" w:hAnsi="宋体" w:eastAsia="宋体" w:cs="宋体"/>
          <w:color w:val="000000"/>
          <w:sz w:val="24"/>
          <w:highlight w:val="none"/>
        </w:rPr>
        <w:t xml:space="preserve">      供应商：</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1855EF4E">
      <w:pPr>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011E83FF">
      <w:pPr>
        <w:ind w:firstLine="600" w:firstLineChars="250"/>
        <w:rPr>
          <w:rFonts w:hint="eastAsia" w:ascii="宋体" w:hAnsi="宋体" w:eastAsia="宋体" w:cs="宋体"/>
          <w:color w:val="000000"/>
          <w:sz w:val="24"/>
          <w:highlight w:val="none"/>
        </w:rPr>
      </w:pPr>
    </w:p>
    <w:p w14:paraId="7AE3A7BA">
      <w:pPr>
        <w:ind w:firstLine="600" w:firstLineChars="250"/>
        <w:rPr>
          <w:rFonts w:hint="eastAsia" w:ascii="宋体" w:hAnsi="宋体" w:eastAsia="宋体" w:cs="宋体"/>
          <w:color w:val="000000"/>
          <w:sz w:val="24"/>
          <w:highlight w:val="none"/>
        </w:rPr>
      </w:pPr>
    </w:p>
    <w:p w14:paraId="2B4DDBD0">
      <w:pPr>
        <w:ind w:firstLine="600" w:firstLineChars="250"/>
        <w:rPr>
          <w:rFonts w:hint="eastAsia" w:ascii="宋体" w:hAnsi="宋体" w:eastAsia="宋体" w:cs="宋体"/>
          <w:color w:val="000000"/>
          <w:sz w:val="24"/>
          <w:highlight w:val="none"/>
        </w:rPr>
      </w:pPr>
    </w:p>
    <w:p w14:paraId="160D19E1">
      <w:pPr>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法定代表人（授权人）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（签字或盖章）</w:t>
      </w:r>
    </w:p>
    <w:p w14:paraId="159B3B05">
      <w:pPr>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14:paraId="5776CB0F">
      <w:pPr>
        <w:pStyle w:val="12"/>
        <w:tabs>
          <w:tab w:val="left" w:pos="567"/>
        </w:tabs>
        <w:rPr>
          <w:rFonts w:hint="eastAsia" w:ascii="宋体" w:hAnsi="宋体" w:eastAsia="宋体" w:cs="宋体"/>
          <w:color w:val="000000"/>
          <w:highlight w:val="none"/>
          <w:lang w:eastAsia="zh-CN"/>
        </w:rPr>
      </w:pPr>
    </w:p>
    <w:p w14:paraId="3DEC4D52">
      <w:pPr>
        <w:rPr>
          <w:rFonts w:hint="eastAsia" w:ascii="宋体" w:hAnsi="宋体" w:eastAsia="宋体" w:cs="宋体"/>
          <w:color w:val="000000"/>
          <w:highlight w:val="none"/>
        </w:rPr>
      </w:pPr>
    </w:p>
    <w:p w14:paraId="06C094BF">
      <w:pPr>
        <w:pStyle w:val="12"/>
        <w:tabs>
          <w:tab w:val="left" w:pos="567"/>
        </w:tabs>
        <w:rPr>
          <w:rFonts w:hint="eastAsia" w:ascii="宋体" w:hAnsi="宋体" w:eastAsia="宋体" w:cs="宋体"/>
          <w:color w:val="000000"/>
          <w:highlight w:val="none"/>
          <w:lang w:eastAsia="zh-CN"/>
        </w:rPr>
      </w:pPr>
    </w:p>
    <w:p w14:paraId="64DEDE05">
      <w:pPr>
        <w:rPr>
          <w:rFonts w:hint="eastAsia" w:ascii="宋体" w:hAnsi="宋体" w:eastAsia="宋体" w:cs="宋体"/>
          <w:highlight w:val="none"/>
        </w:rPr>
      </w:pPr>
    </w:p>
    <w:p w14:paraId="49F3D36F">
      <w:pPr>
        <w:pStyle w:val="12"/>
        <w:tabs>
          <w:tab w:val="left" w:pos="567"/>
        </w:tabs>
        <w:jc w:val="center"/>
        <w:rPr>
          <w:rFonts w:hint="eastAsia" w:ascii="宋体" w:hAnsi="宋体" w:eastAsia="宋体" w:cs="宋体"/>
          <w:highlight w:val="none"/>
          <w:lang w:eastAsia="zh-CN"/>
        </w:rPr>
      </w:pPr>
      <w:r>
        <w:rPr>
          <w:rFonts w:hint="eastAsia" w:ascii="宋体" w:hAnsi="宋体" w:eastAsia="宋体" w:cs="宋体"/>
          <w:color w:val="000000"/>
          <w:sz w:val="24"/>
          <w:szCs w:val="24"/>
          <w:highlight w:val="none"/>
          <w:lang w:eastAsia="zh-CN"/>
        </w:rPr>
        <w:t>年    月    日</w:t>
      </w:r>
    </w:p>
    <w:p w14:paraId="1A0FAEF8">
      <w:pPr>
        <w:rPr>
          <w:rFonts w:hint="eastAsia" w:ascii="宋体" w:hAnsi="宋体" w:eastAsia="宋体" w:cs="宋体"/>
          <w:highlight w:val="none"/>
        </w:rPr>
      </w:pPr>
    </w:p>
    <w:p w14:paraId="1864C94D">
      <w:pPr>
        <w:pStyle w:val="12"/>
        <w:tabs>
          <w:tab w:val="left" w:pos="567"/>
        </w:tabs>
        <w:rPr>
          <w:rFonts w:hint="eastAsia" w:ascii="宋体" w:hAnsi="宋体" w:eastAsia="宋体" w:cs="宋体"/>
          <w:highlight w:val="none"/>
          <w:lang w:eastAsia="zh-CN"/>
        </w:rPr>
      </w:pPr>
    </w:p>
    <w:p w14:paraId="436FE367">
      <w:pPr>
        <w:rPr>
          <w:rFonts w:hint="eastAsia" w:ascii="宋体" w:hAnsi="宋体" w:eastAsia="宋体" w:cs="宋体"/>
          <w:highlight w:val="none"/>
        </w:rPr>
      </w:pPr>
    </w:p>
    <w:p w14:paraId="0C178D58">
      <w:pPr>
        <w:pStyle w:val="12"/>
        <w:tabs>
          <w:tab w:val="left" w:pos="567"/>
        </w:tabs>
        <w:rPr>
          <w:rFonts w:hint="eastAsia" w:ascii="宋体" w:hAnsi="宋体" w:eastAsia="宋体" w:cs="宋体"/>
          <w:highlight w:val="none"/>
          <w:lang w:eastAsia="zh-CN"/>
        </w:rPr>
      </w:pPr>
    </w:p>
    <w:p w14:paraId="40CFCB48">
      <w:pPr>
        <w:rPr>
          <w:rFonts w:hint="eastAsia" w:ascii="宋体" w:hAnsi="宋体" w:eastAsia="宋体" w:cs="宋体"/>
          <w:highlight w:val="none"/>
        </w:rPr>
      </w:pPr>
    </w:p>
    <w:p w14:paraId="10464102">
      <w:pPr>
        <w:pStyle w:val="12"/>
        <w:tabs>
          <w:tab w:val="left" w:pos="567"/>
        </w:tabs>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14:paraId="6C60FE2E">
      <w:pPr>
        <w:spacing w:line="360" w:lineRule="auto"/>
        <w:ind w:left="735" w:leftChars="350" w:firstLine="120" w:firstLineChars="50"/>
        <w:rPr>
          <w:rFonts w:hint="eastAsia" w:ascii="宋体" w:hAnsi="宋体" w:eastAsia="宋体" w:cs="宋体"/>
          <w:sz w:val="24"/>
          <w:highlight w:val="none"/>
        </w:rPr>
      </w:pPr>
    </w:p>
    <w:p w14:paraId="11C1E9C0">
      <w:pPr>
        <w:pStyle w:val="3"/>
        <w:numPr>
          <w:ilvl w:val="1"/>
          <w:numId w:val="0"/>
        </w:numPr>
        <w:spacing w:before="0" w:line="360" w:lineRule="auto"/>
        <w:ind w:leftChars="0"/>
        <w:jc w:val="center"/>
        <w:rPr>
          <w:rFonts w:hint="eastAsia" w:ascii="宋体" w:hAnsi="宋体" w:eastAsia="宋体" w:cs="宋体"/>
          <w:sz w:val="24"/>
          <w:highlight w:val="none"/>
        </w:rPr>
      </w:pPr>
      <w:bookmarkStart w:id="315" w:name="_Toc494296984"/>
      <w:bookmarkEnd w:id="315"/>
      <w:bookmarkStart w:id="316" w:name="_Toc21953"/>
      <w:bookmarkEnd w:id="316"/>
      <w:bookmarkStart w:id="317" w:name="_Toc636"/>
      <w:bookmarkEnd w:id="317"/>
      <w:bookmarkStart w:id="318" w:name="_Toc10789"/>
      <w:bookmarkEnd w:id="318"/>
      <w:bookmarkStart w:id="319" w:name="_Toc518923107"/>
      <w:bookmarkEnd w:id="319"/>
      <w:bookmarkStart w:id="320" w:name="_Hlt520356241"/>
      <w:bookmarkEnd w:id="320"/>
      <w:bookmarkStart w:id="321" w:name="_Toc21715"/>
      <w:bookmarkEnd w:id="321"/>
      <w:bookmarkStart w:id="322" w:name="_Toc15142"/>
      <w:bookmarkEnd w:id="322"/>
      <w:bookmarkStart w:id="323" w:name="_Toc17893"/>
      <w:bookmarkEnd w:id="323"/>
      <w:bookmarkStart w:id="324" w:name="_Toc22141"/>
      <w:r>
        <w:rPr>
          <w:rFonts w:hint="eastAsia" w:ascii="宋体" w:hAnsi="宋体" w:eastAsia="宋体" w:cs="宋体"/>
          <w:sz w:val="24"/>
          <w:highlight w:val="none"/>
        </w:rPr>
        <w:t>第一部分</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资格证明文件</w:t>
      </w:r>
      <w:bookmarkEnd w:id="324"/>
    </w:p>
    <w:p w14:paraId="72EAC47A">
      <w:pPr>
        <w:spacing w:line="360" w:lineRule="auto"/>
        <w:ind w:left="619" w:hanging="619" w:hangingChars="295"/>
        <w:jc w:val="center"/>
        <w:rPr>
          <w:rFonts w:hint="eastAsia" w:ascii="宋体" w:hAnsi="宋体" w:eastAsia="宋体" w:cs="宋体"/>
          <w:szCs w:val="21"/>
          <w:highlight w:val="none"/>
        </w:rPr>
      </w:pPr>
    </w:p>
    <w:p w14:paraId="6AEEA0CB">
      <w:pPr>
        <w:spacing w:line="360" w:lineRule="auto"/>
        <w:ind w:firstLine="48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1、法人或者非法人组织的营业执照等证明文件复印件（须加盖本单位章）或自然人的身份证明复印件;</w:t>
      </w:r>
    </w:p>
    <w:p w14:paraId="1D0C1C52">
      <w:pPr>
        <w:spacing w:line="360" w:lineRule="auto"/>
        <w:ind w:firstLine="48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lang w:val="en-US" w:eastAsia="zh-CN"/>
        </w:rPr>
        <w:t>2</w:t>
      </w:r>
      <w:r>
        <w:rPr>
          <w:rFonts w:hint="eastAsia" w:ascii="宋体" w:hAnsi="宋体" w:eastAsia="宋体" w:cs="宋体"/>
          <w:bCs/>
          <w:iCs/>
          <w:sz w:val="24"/>
          <w:szCs w:val="24"/>
          <w:highlight w:val="none"/>
        </w:rPr>
        <w:t>、法定代表人授权委托书（自然人投标的无需提供，投标人为法人的提供法人证明书；</w:t>
      </w:r>
    </w:p>
    <w:p w14:paraId="10FE469E">
      <w:pPr>
        <w:spacing w:line="360" w:lineRule="auto"/>
        <w:ind w:firstLine="48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lang w:val="en-US" w:eastAsia="zh-CN"/>
        </w:rPr>
        <w:t>3</w:t>
      </w:r>
      <w:r>
        <w:rPr>
          <w:rFonts w:hint="eastAsia" w:ascii="宋体" w:hAnsi="宋体" w:eastAsia="宋体" w:cs="宋体"/>
          <w:bCs/>
          <w:iCs/>
          <w:sz w:val="24"/>
          <w:szCs w:val="24"/>
          <w:highlight w:val="none"/>
        </w:rPr>
        <w:t>、近两年任意一年完整的财务审计报告（新成立公司提供开标前三个月内任意一个月有效银行资信证明）；</w:t>
      </w:r>
    </w:p>
    <w:p w14:paraId="51FA7DEE">
      <w:pPr>
        <w:spacing w:line="360" w:lineRule="auto"/>
        <w:ind w:firstLine="48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lang w:val="en-US" w:eastAsia="zh-CN"/>
        </w:rPr>
        <w:t>4</w:t>
      </w:r>
      <w:r>
        <w:rPr>
          <w:rFonts w:hint="eastAsia" w:ascii="宋体" w:hAnsi="宋体" w:eastAsia="宋体" w:cs="宋体"/>
          <w:bCs/>
          <w:iCs/>
          <w:sz w:val="24"/>
          <w:szCs w:val="24"/>
          <w:highlight w:val="none"/>
        </w:rPr>
        <w:t>、投标企业依法缴纳近 6 个月任意一个月社会保险的凭据；</w:t>
      </w:r>
    </w:p>
    <w:p w14:paraId="0E9AB139">
      <w:pPr>
        <w:spacing w:line="360" w:lineRule="auto"/>
        <w:ind w:firstLine="48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lang w:val="en-US" w:eastAsia="zh-CN"/>
        </w:rPr>
        <w:t>5</w:t>
      </w:r>
      <w:r>
        <w:rPr>
          <w:rFonts w:hint="eastAsia" w:ascii="宋体" w:hAnsi="宋体" w:eastAsia="宋体" w:cs="宋体"/>
          <w:bCs/>
          <w:iCs/>
          <w:sz w:val="24"/>
          <w:szCs w:val="24"/>
          <w:highlight w:val="none"/>
        </w:rPr>
        <w:t>、投标企业提供税务部门出具的近 6 个月任意一个月的完税证明；</w:t>
      </w:r>
    </w:p>
    <w:p w14:paraId="4EFBA24E">
      <w:pPr>
        <w:spacing w:line="360" w:lineRule="auto"/>
        <w:ind w:firstLine="48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lang w:val="en-US" w:eastAsia="zh-CN"/>
        </w:rPr>
        <w:t>6</w:t>
      </w:r>
      <w:r>
        <w:rPr>
          <w:rFonts w:hint="eastAsia" w:ascii="宋体" w:hAnsi="宋体" w:eastAsia="宋体" w:cs="宋体"/>
          <w:bCs/>
          <w:iCs/>
          <w:sz w:val="24"/>
          <w:szCs w:val="24"/>
          <w:highlight w:val="none"/>
        </w:rPr>
        <w:t>、参与政府采购活动供应商在前3年内未被“信用中国”网站（www.creditchina.gov.cn）、“中国政府采购网”(www.ccgp.gov.cn)列入失信被执行人、</w:t>
      </w:r>
      <w:r>
        <w:rPr>
          <w:rFonts w:hint="eastAsia" w:ascii="宋体" w:hAnsi="宋体" w:eastAsia="宋体" w:cs="宋体"/>
          <w:bCs/>
          <w:iCs/>
          <w:sz w:val="24"/>
          <w:szCs w:val="24"/>
          <w:highlight w:val="none"/>
          <w:lang w:eastAsia="zh-CN"/>
        </w:rPr>
        <w:t>重大税收违法失信主体</w:t>
      </w:r>
      <w:r>
        <w:rPr>
          <w:rFonts w:hint="eastAsia" w:ascii="宋体" w:hAnsi="宋体" w:eastAsia="宋体" w:cs="宋体"/>
          <w:bCs/>
          <w:iCs/>
          <w:sz w:val="24"/>
          <w:szCs w:val="24"/>
          <w:highlight w:val="none"/>
        </w:rPr>
        <w:t>、政府采购严重失信行为记录名单（提供网页截图）；（以招标代理或招标人查询为准）；</w:t>
      </w:r>
    </w:p>
    <w:p w14:paraId="546FF21F">
      <w:pPr>
        <w:spacing w:line="360" w:lineRule="auto"/>
        <w:ind w:firstLine="480"/>
        <w:rPr>
          <w:rFonts w:hint="eastAsia" w:ascii="宋体" w:hAnsi="宋体" w:eastAsia="宋体" w:cs="宋体"/>
          <w:bCs/>
          <w:iCs/>
          <w:sz w:val="24"/>
          <w:szCs w:val="24"/>
          <w:highlight w:val="none"/>
          <w:lang w:eastAsia="zh-CN"/>
        </w:rPr>
      </w:pPr>
      <w:r>
        <w:rPr>
          <w:rFonts w:hint="eastAsia" w:ascii="宋体" w:hAnsi="宋体" w:eastAsia="宋体" w:cs="宋体"/>
          <w:bCs/>
          <w:iCs/>
          <w:sz w:val="24"/>
          <w:szCs w:val="24"/>
          <w:highlight w:val="none"/>
          <w:lang w:val="en-US" w:eastAsia="zh-CN"/>
        </w:rPr>
        <w:t>7</w:t>
      </w:r>
      <w:r>
        <w:rPr>
          <w:rFonts w:hint="eastAsia" w:ascii="宋体" w:hAnsi="宋体" w:eastAsia="宋体" w:cs="宋体"/>
          <w:bCs/>
          <w:iCs/>
          <w:sz w:val="24"/>
          <w:szCs w:val="24"/>
          <w:highlight w:val="none"/>
        </w:rPr>
        <w:t>、提供针对本次项目《反商业贿赂承诺书》</w:t>
      </w:r>
      <w:r>
        <w:rPr>
          <w:rFonts w:hint="eastAsia" w:ascii="宋体" w:hAnsi="宋体" w:eastAsia="宋体" w:cs="宋体"/>
          <w:bCs/>
          <w:iCs/>
          <w:sz w:val="24"/>
          <w:szCs w:val="24"/>
          <w:highlight w:val="none"/>
          <w:lang w:eastAsia="zh-CN"/>
        </w:rPr>
        <w:t>；</w:t>
      </w:r>
    </w:p>
    <w:p w14:paraId="0254D316">
      <w:pPr>
        <w:spacing w:line="360" w:lineRule="auto"/>
        <w:ind w:firstLine="480"/>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lang w:val="en-US" w:eastAsia="zh-CN"/>
        </w:rPr>
        <w:t>8</w:t>
      </w:r>
      <w:r>
        <w:rPr>
          <w:rFonts w:hint="eastAsia" w:ascii="宋体" w:hAnsi="宋体" w:eastAsia="宋体" w:cs="宋体"/>
          <w:bCs/>
          <w:iCs/>
          <w:sz w:val="24"/>
          <w:szCs w:val="24"/>
          <w:highlight w:val="none"/>
        </w:rPr>
        <w:t>、缴纳投标保证金有效凭证；</w:t>
      </w:r>
    </w:p>
    <w:p w14:paraId="183D9348">
      <w:pPr>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、本项目不接受联合体投标。</w:t>
      </w:r>
    </w:p>
    <w:p w14:paraId="536FEBC0">
      <w:pPr>
        <w:rPr>
          <w:rFonts w:hint="eastAsia" w:ascii="宋体" w:hAnsi="宋体" w:eastAsia="宋体" w:cs="宋体"/>
          <w:sz w:val="24"/>
          <w:highlight w:val="none"/>
        </w:rPr>
      </w:pPr>
      <w:r>
        <w:rPr>
          <w:rFonts w:hint="eastAsia" w:ascii="宋体" w:hAnsi="宋体" w:eastAsia="宋体" w:cs="宋体"/>
          <w:highlight w:val="none"/>
        </w:rPr>
        <w:br w:type="page"/>
      </w:r>
    </w:p>
    <w:p w14:paraId="7796FEF2">
      <w:pPr>
        <w:pStyle w:val="41"/>
        <w:spacing w:before="0" w:line="240" w:lineRule="auto"/>
        <w:ind w:firstLine="482"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、独立承担民事责任能力的企业、事业、自然人，提供营业执照等经营性证件；</w:t>
      </w:r>
    </w:p>
    <w:p w14:paraId="26696B10">
      <w:pPr>
        <w:pStyle w:val="51"/>
        <w:tabs>
          <w:tab w:val="left" w:pos="5580"/>
        </w:tabs>
        <w:spacing w:line="360" w:lineRule="auto"/>
        <w:ind w:left="1679" w:leftChars="228" w:hanging="1200" w:hangingChars="5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说明：法人或者非法人组织营业执照等证明文件复印件（须加盖本单位章）或自然人的身份证明复印件;</w:t>
      </w:r>
    </w:p>
    <w:p w14:paraId="7F8C790F">
      <w:pPr>
        <w:pStyle w:val="51"/>
        <w:tabs>
          <w:tab w:val="left" w:pos="5580"/>
        </w:tabs>
        <w:spacing w:line="360" w:lineRule="auto"/>
        <w:rPr>
          <w:rFonts w:hint="eastAsia" w:ascii="宋体" w:hAnsi="宋体" w:eastAsia="宋体" w:cs="宋体"/>
          <w:color w:val="000000"/>
          <w:sz w:val="24"/>
          <w:highlight w:val="none"/>
        </w:rPr>
      </w:pPr>
    </w:p>
    <w:p w14:paraId="7CE001C5">
      <w:pPr>
        <w:pStyle w:val="51"/>
        <w:numPr>
          <w:ilvl w:val="0"/>
          <w:numId w:val="0"/>
        </w:numPr>
        <w:tabs>
          <w:tab w:val="left" w:pos="5580"/>
        </w:tabs>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2、</w:t>
      </w:r>
      <w:r>
        <w:rPr>
          <w:rFonts w:hint="eastAsia" w:ascii="宋体" w:hAnsi="宋体" w:eastAsia="宋体" w:cs="宋体"/>
          <w:b/>
          <w:kern w:val="0"/>
          <w:sz w:val="24"/>
          <w:highlight w:val="none"/>
        </w:rPr>
        <w:t>法人身份证明或法人授权委托书（含法人身份证复印件）和被授权人身份有效证件；</w:t>
      </w:r>
    </w:p>
    <w:p w14:paraId="6572A85D">
      <w:pPr>
        <w:pStyle w:val="51"/>
        <w:tabs>
          <w:tab w:val="left" w:pos="5580"/>
        </w:tabs>
        <w:spacing w:line="360" w:lineRule="auto"/>
        <w:ind w:left="479" w:leftChars="22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说明：含法人身份证复印件和被授权人身份有效证件（身份证复印件）;</w:t>
      </w:r>
    </w:p>
    <w:p w14:paraId="7524E35F">
      <w:pPr>
        <w:pStyle w:val="51"/>
        <w:tabs>
          <w:tab w:val="left" w:pos="5580"/>
        </w:tabs>
        <w:spacing w:line="360" w:lineRule="auto"/>
        <w:ind w:left="479" w:leftChars="228" w:firstLine="480" w:firstLineChars="200"/>
        <w:rPr>
          <w:rFonts w:hint="eastAsia" w:ascii="宋体" w:hAnsi="宋体" w:eastAsia="宋体" w:cs="宋体"/>
          <w:color w:val="000000"/>
          <w:sz w:val="24"/>
          <w:highlight w:val="none"/>
        </w:rPr>
      </w:pPr>
    </w:p>
    <w:p w14:paraId="406A0247">
      <w:pPr>
        <w:pStyle w:val="42"/>
        <w:spacing w:before="0" w:after="0" w:line="360" w:lineRule="auto"/>
        <w:jc w:val="center"/>
        <w:rPr>
          <w:rFonts w:hint="eastAsia" w:ascii="宋体" w:hAnsi="宋体" w:eastAsia="宋体" w:cs="宋体"/>
          <w:highlight w:val="none"/>
          <w:u w:val="none"/>
        </w:rPr>
      </w:pPr>
      <w:bookmarkStart w:id="325" w:name="_Toc3323"/>
      <w:bookmarkEnd w:id="325"/>
      <w:r>
        <w:rPr>
          <w:rFonts w:hint="eastAsia" w:ascii="宋体" w:hAnsi="宋体" w:eastAsia="宋体" w:cs="宋体"/>
          <w:highlight w:val="none"/>
          <w:u w:val="none"/>
        </w:rPr>
        <w:t>法定代表人（或企业负责人）授权委托书</w:t>
      </w:r>
    </w:p>
    <w:p w14:paraId="2D132750">
      <w:pPr>
        <w:pStyle w:val="42"/>
        <w:spacing w:before="0" w:after="0" w:line="360" w:lineRule="auto"/>
        <w:jc w:val="center"/>
        <w:rPr>
          <w:rFonts w:hint="eastAsia" w:ascii="宋体" w:hAnsi="宋体" w:eastAsia="宋体" w:cs="宋体"/>
          <w:highlight w:val="none"/>
        </w:rPr>
      </w:pPr>
      <w:bookmarkStart w:id="326" w:name="_Toc18132"/>
      <w:bookmarkEnd w:id="326"/>
      <w:r>
        <w:rPr>
          <w:rFonts w:hint="eastAsia" w:ascii="宋体" w:hAnsi="宋体" w:eastAsia="宋体" w:cs="宋体"/>
          <w:highlight w:val="none"/>
        </w:rPr>
        <w:t>本授权书声明：</w:t>
      </w:r>
    </w:p>
    <w:p w14:paraId="65BA1876">
      <w:pPr>
        <w:pStyle w:val="51"/>
        <w:tabs>
          <w:tab w:val="left" w:pos="5580"/>
        </w:tabs>
        <w:spacing w:line="360" w:lineRule="auto"/>
        <w:ind w:firstLine="720" w:firstLineChars="300"/>
        <w:rPr>
          <w:rFonts w:hint="eastAsia" w:ascii="宋体" w:hAnsi="宋体" w:eastAsia="宋体" w:cs="宋体"/>
          <w:sz w:val="24"/>
          <w:highlight w:val="none"/>
        </w:rPr>
      </w:pPr>
    </w:p>
    <w:p w14:paraId="09FE8BF2">
      <w:pPr>
        <w:pStyle w:val="51"/>
        <w:tabs>
          <w:tab w:val="left" w:pos="5580"/>
        </w:tabs>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注册于</w:t>
      </w:r>
      <w:r>
        <w:rPr>
          <w:rFonts w:hint="eastAsia" w:ascii="宋体" w:hAnsi="宋体" w:eastAsia="宋体" w:cs="宋体"/>
          <w:sz w:val="24"/>
          <w:highlight w:val="none"/>
          <w:u w:val="single"/>
        </w:rPr>
        <w:t>（国家或地区的名称）</w:t>
      </w:r>
      <w:r>
        <w:rPr>
          <w:rFonts w:hint="eastAsia" w:ascii="宋体" w:hAnsi="宋体" w:eastAsia="宋体" w:cs="宋体"/>
          <w:sz w:val="24"/>
          <w:highlight w:val="none"/>
        </w:rPr>
        <w:t>的（</w:t>
      </w:r>
      <w:r>
        <w:rPr>
          <w:rFonts w:hint="eastAsia" w:ascii="宋体" w:hAnsi="宋体" w:eastAsia="宋体" w:cs="宋体"/>
          <w:i/>
          <w:sz w:val="24"/>
          <w:highlight w:val="none"/>
          <w:u w:val="single"/>
        </w:rPr>
        <w:t>投标人</w:t>
      </w:r>
      <w:r>
        <w:rPr>
          <w:rFonts w:hint="eastAsia" w:ascii="宋体" w:hAnsi="宋体" w:eastAsia="宋体" w:cs="宋体"/>
          <w:sz w:val="24"/>
          <w:highlight w:val="none"/>
        </w:rPr>
        <w:t>）的在下面签字的（</w:t>
      </w:r>
      <w:r>
        <w:rPr>
          <w:rFonts w:hint="eastAsia" w:ascii="宋体" w:hAnsi="宋体" w:eastAsia="宋体" w:cs="宋体"/>
          <w:i/>
          <w:sz w:val="24"/>
          <w:highlight w:val="none"/>
          <w:u w:val="single"/>
        </w:rPr>
        <w:t>法人代表姓名、职务；或企业负责人</w:t>
      </w:r>
      <w:r>
        <w:rPr>
          <w:rFonts w:hint="eastAsia" w:ascii="宋体" w:hAnsi="宋体" w:eastAsia="宋体" w:cs="宋体"/>
          <w:sz w:val="24"/>
          <w:highlight w:val="none"/>
        </w:rPr>
        <w:t>）代表我单位授权（</w:t>
      </w:r>
      <w:r>
        <w:rPr>
          <w:rFonts w:hint="eastAsia" w:ascii="宋体" w:hAnsi="宋体" w:eastAsia="宋体" w:cs="宋体"/>
          <w:i/>
          <w:sz w:val="24"/>
          <w:highlight w:val="none"/>
          <w:u w:val="single"/>
        </w:rPr>
        <w:t>单位名称</w:t>
      </w:r>
      <w:r>
        <w:rPr>
          <w:rFonts w:hint="eastAsia" w:ascii="宋体" w:hAnsi="宋体" w:eastAsia="宋体" w:cs="宋体"/>
          <w:sz w:val="24"/>
          <w:highlight w:val="none"/>
        </w:rPr>
        <w:t>）的在下面签字的（</w:t>
      </w:r>
      <w:r>
        <w:rPr>
          <w:rFonts w:hint="eastAsia" w:ascii="宋体" w:hAnsi="宋体" w:eastAsia="宋体" w:cs="宋体"/>
          <w:i/>
          <w:sz w:val="24"/>
          <w:highlight w:val="none"/>
          <w:u w:val="single"/>
        </w:rPr>
        <w:t>被授权人的姓名、职务</w:t>
      </w:r>
      <w:r>
        <w:rPr>
          <w:rFonts w:hint="eastAsia" w:ascii="宋体" w:hAnsi="宋体" w:eastAsia="宋体" w:cs="宋体"/>
          <w:sz w:val="24"/>
          <w:highlight w:val="none"/>
        </w:rPr>
        <w:t>）为我单位的合法代理人，就（</w:t>
      </w:r>
      <w:r>
        <w:rPr>
          <w:rFonts w:hint="eastAsia" w:ascii="宋体" w:hAnsi="宋体" w:eastAsia="宋体" w:cs="宋体"/>
          <w:i/>
          <w:sz w:val="24"/>
          <w:highlight w:val="none"/>
          <w:u w:val="single"/>
        </w:rPr>
        <w:t>项目名称</w:t>
      </w:r>
      <w:r>
        <w:rPr>
          <w:rFonts w:hint="eastAsia" w:ascii="宋体" w:hAnsi="宋体" w:eastAsia="宋体" w:cs="宋体"/>
          <w:sz w:val="24"/>
          <w:highlight w:val="none"/>
        </w:rPr>
        <w:t>）的标，以我单位名义处理一切与之有关的事务。</w:t>
      </w:r>
    </w:p>
    <w:p w14:paraId="0AF128E2">
      <w:pPr>
        <w:pStyle w:val="51"/>
        <w:tabs>
          <w:tab w:val="left" w:pos="5580"/>
        </w:tabs>
        <w:spacing w:line="360" w:lineRule="auto"/>
        <w:ind w:firstLine="720" w:firstLineChars="300"/>
        <w:rPr>
          <w:rFonts w:hint="eastAsia" w:ascii="宋体" w:hAnsi="宋体" w:eastAsia="宋体" w:cs="宋体"/>
          <w:sz w:val="24"/>
          <w:highlight w:val="none"/>
        </w:rPr>
      </w:pPr>
    </w:p>
    <w:p w14:paraId="237DD9D4">
      <w:pPr>
        <w:pStyle w:val="51"/>
        <w:tabs>
          <w:tab w:val="left" w:pos="5580"/>
        </w:tabs>
        <w:spacing w:line="360" w:lineRule="auto"/>
        <w:ind w:left="-540" w:leftChars="-257" w:firstLine="900" w:firstLineChars="375"/>
        <w:rPr>
          <w:rFonts w:hint="eastAsia" w:ascii="宋体" w:hAnsi="宋体" w:eastAsia="宋体" w:cs="宋体"/>
          <w:sz w:val="24"/>
          <w:highlight w:val="none"/>
        </w:rPr>
      </w:pPr>
      <w:r>
        <w:rPr>
          <w:rFonts w:hint="eastAsia" w:ascii="宋体" w:hAnsi="宋体" w:eastAsia="宋体" w:cs="宋体"/>
          <w:sz w:val="24"/>
          <w:highlight w:val="none"/>
        </w:rPr>
        <w:t>本授权书于</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日签字生效,特此声明。</w:t>
      </w:r>
    </w:p>
    <w:p w14:paraId="724DF0C0">
      <w:pPr>
        <w:pStyle w:val="51"/>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投</w:t>
      </w:r>
      <w:r>
        <w:rPr>
          <w:rFonts w:hint="eastAsia" w:ascii="宋体" w:hAnsi="宋体" w:eastAsia="宋体" w:cs="宋体"/>
          <w:sz w:val="24"/>
          <w:highlight w:val="none"/>
        </w:rPr>
        <w:t xml:space="preserve">标人（盖单位章）; </w:t>
      </w:r>
    </w:p>
    <w:p w14:paraId="4BF51A31">
      <w:pPr>
        <w:pStyle w:val="51"/>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法定代表人（或企业负责人）（签字或签章）</w:t>
      </w:r>
      <w:r>
        <w:rPr>
          <w:rFonts w:hint="eastAsia" w:ascii="宋体" w:hAnsi="宋体" w:eastAsia="宋体" w:cs="宋体"/>
          <w:sz w:val="24"/>
          <w:highlight w:val="none"/>
        </w:rPr>
        <w:t>：</w:t>
      </w:r>
    </w:p>
    <w:p w14:paraId="3311C665">
      <w:pPr>
        <w:pStyle w:val="51"/>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身份证号码：</w:t>
      </w:r>
    </w:p>
    <w:p w14:paraId="7B9F2A1C">
      <w:pPr>
        <w:pStyle w:val="51"/>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委托代理人：</w:t>
      </w:r>
    </w:p>
    <w:p w14:paraId="439C8DF9">
      <w:pPr>
        <w:pStyle w:val="51"/>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身份证号码：</w:t>
      </w:r>
    </w:p>
    <w:p w14:paraId="3A40D400">
      <w:pPr>
        <w:pStyle w:val="51"/>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详细通讯地址</w:t>
      </w:r>
      <w:r>
        <w:rPr>
          <w:rFonts w:hint="eastAsia" w:ascii="宋体" w:hAnsi="宋体" w:eastAsia="宋体" w:cs="宋体"/>
          <w:sz w:val="24"/>
          <w:highlight w:val="none"/>
        </w:rPr>
        <w:t>：</w:t>
      </w:r>
    </w:p>
    <w:p w14:paraId="623B3B06">
      <w:pPr>
        <w:pStyle w:val="51"/>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邮政编码</w:t>
      </w:r>
      <w:r>
        <w:rPr>
          <w:rFonts w:hint="eastAsia" w:ascii="宋体" w:hAnsi="宋体" w:eastAsia="宋体" w:cs="宋体"/>
          <w:sz w:val="24"/>
          <w:highlight w:val="none"/>
        </w:rPr>
        <w:t>：</w:t>
      </w:r>
    </w:p>
    <w:p w14:paraId="68ABF61C">
      <w:pPr>
        <w:pStyle w:val="51"/>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传真</w:t>
      </w:r>
      <w:r>
        <w:rPr>
          <w:rFonts w:hint="eastAsia" w:ascii="宋体" w:hAnsi="宋体" w:eastAsia="宋体" w:cs="宋体"/>
          <w:sz w:val="24"/>
          <w:highlight w:val="none"/>
        </w:rPr>
        <w:t>：</w:t>
      </w:r>
    </w:p>
    <w:p w14:paraId="2DBDCB9C">
      <w:pPr>
        <w:pStyle w:val="51"/>
        <w:tabs>
          <w:tab w:val="left" w:pos="5580"/>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电话</w:t>
      </w:r>
      <w:r>
        <w:rPr>
          <w:rFonts w:hint="eastAsia" w:ascii="宋体" w:hAnsi="宋体" w:eastAsia="宋体" w:cs="宋体"/>
          <w:sz w:val="24"/>
          <w:highlight w:val="none"/>
        </w:rPr>
        <w:t>：</w:t>
      </w:r>
    </w:p>
    <w:tbl>
      <w:tblPr>
        <w:tblStyle w:val="29"/>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3C15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26D228A9">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p>
          <w:p w14:paraId="33D86517">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37B8EE5C">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5D7372C6">
            <w:pPr>
              <w:keepNext w:val="0"/>
              <w:keepLines w:val="0"/>
              <w:widowControl/>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授权委托人身份证正面</w:t>
            </w:r>
          </w:p>
          <w:p w14:paraId="37CA1ACA">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2F271489">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20BF15F9">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7193F7C6">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tc>
        <w:tc>
          <w:tcPr>
            <w:tcW w:w="4201" w:type="dxa"/>
            <w:noWrap w:val="0"/>
            <w:vAlign w:val="top"/>
          </w:tcPr>
          <w:p w14:paraId="4E10EE47">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p>
          <w:p w14:paraId="59EBA44A">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65EB1F3C">
            <w:pPr>
              <w:keepNext w:val="0"/>
              <w:keepLines w:val="0"/>
              <w:widowControl/>
              <w:suppressLineNumbers w:val="0"/>
              <w:spacing w:before="0" w:beforeAutospacing="0" w:after="0" w:afterAutospacing="0"/>
              <w:ind w:left="0" w:right="0"/>
              <w:jc w:val="center"/>
              <w:rPr>
                <w:rFonts w:hint="eastAsia" w:ascii="宋体" w:hAnsi="宋体" w:eastAsia="宋体" w:cs="宋体"/>
                <w:szCs w:val="21"/>
                <w:highlight w:val="none"/>
              </w:rPr>
            </w:pPr>
          </w:p>
          <w:p w14:paraId="69FF3709">
            <w:pPr>
              <w:keepNext w:val="0"/>
              <w:keepLines w:val="0"/>
              <w:widowControl/>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授权委托人身份证反面</w:t>
            </w:r>
          </w:p>
          <w:p w14:paraId="2B27A366">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1CD06F49">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19CD1B8C">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5332B70F">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tc>
      </w:tr>
    </w:tbl>
    <w:p w14:paraId="18A5C75D">
      <w:pPr>
        <w:pStyle w:val="46"/>
        <w:ind w:firstLine="0"/>
        <w:rPr>
          <w:rFonts w:hint="eastAsia" w:ascii="宋体" w:hAnsi="宋体" w:eastAsia="宋体" w:cs="宋体"/>
          <w:highlight w:val="none"/>
        </w:rPr>
      </w:pPr>
    </w:p>
    <w:tbl>
      <w:tblPr>
        <w:tblStyle w:val="29"/>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4845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7D4D244D">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p>
          <w:p w14:paraId="21B44188">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257268B5">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4A74E5A6">
            <w:pPr>
              <w:keepNext w:val="0"/>
              <w:keepLines w:val="0"/>
              <w:widowControl/>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法定代表人身份证正面</w:t>
            </w:r>
          </w:p>
          <w:p w14:paraId="63CB6E2E">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510B14C0">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57E63A82">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6BE1D4B8">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tc>
        <w:tc>
          <w:tcPr>
            <w:tcW w:w="4201" w:type="dxa"/>
            <w:noWrap w:val="0"/>
            <w:vAlign w:val="top"/>
          </w:tcPr>
          <w:p w14:paraId="1D92FA34">
            <w:pPr>
              <w:keepNext w:val="0"/>
              <w:keepLines w:val="0"/>
              <w:widowControl/>
              <w:suppressLineNumbers w:val="0"/>
              <w:spacing w:before="0" w:beforeAutospacing="0" w:after="0" w:afterAutospacing="0"/>
              <w:ind w:left="0" w:right="0"/>
              <w:jc w:val="left"/>
              <w:rPr>
                <w:rFonts w:hint="eastAsia" w:ascii="宋体" w:hAnsi="宋体" w:eastAsia="宋体" w:cs="宋体"/>
                <w:szCs w:val="21"/>
                <w:highlight w:val="none"/>
              </w:rPr>
            </w:pPr>
          </w:p>
          <w:p w14:paraId="26FE50E9">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1E711BBA">
            <w:pPr>
              <w:keepNext w:val="0"/>
              <w:keepLines w:val="0"/>
              <w:widowControl/>
              <w:suppressLineNumbers w:val="0"/>
              <w:spacing w:before="0" w:beforeAutospacing="0" w:after="0" w:afterAutospacing="0"/>
              <w:ind w:left="0" w:right="0"/>
              <w:jc w:val="center"/>
              <w:rPr>
                <w:rFonts w:hint="eastAsia" w:ascii="宋体" w:hAnsi="宋体" w:eastAsia="宋体" w:cs="宋体"/>
                <w:szCs w:val="21"/>
                <w:highlight w:val="none"/>
              </w:rPr>
            </w:pPr>
          </w:p>
          <w:p w14:paraId="51115AFA">
            <w:pPr>
              <w:keepNext w:val="0"/>
              <w:keepLines w:val="0"/>
              <w:widowControl/>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法定代表人身份证反面</w:t>
            </w:r>
          </w:p>
          <w:p w14:paraId="4430AC50">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1988BC9E">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34780B2E">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p w14:paraId="788EDB58">
            <w:pPr>
              <w:keepNext w:val="0"/>
              <w:keepLines w:val="0"/>
              <w:widowControl/>
              <w:suppressLineNumbers w:val="0"/>
              <w:spacing w:before="0" w:beforeAutospacing="0" w:after="0" w:afterAutospacing="0"/>
              <w:ind w:left="0" w:right="0"/>
              <w:rPr>
                <w:rFonts w:hint="eastAsia" w:ascii="宋体" w:hAnsi="宋体" w:eastAsia="宋体" w:cs="宋体"/>
                <w:szCs w:val="21"/>
                <w:highlight w:val="none"/>
              </w:rPr>
            </w:pPr>
          </w:p>
        </w:tc>
      </w:tr>
    </w:tbl>
    <w:p w14:paraId="6C75238D">
      <w:pPr>
        <w:pStyle w:val="46"/>
        <w:spacing w:line="360" w:lineRule="auto"/>
        <w:ind w:firstLine="0"/>
        <w:rPr>
          <w:rFonts w:hint="eastAsia" w:ascii="宋体" w:hAnsi="宋体" w:eastAsia="宋体" w:cs="宋体"/>
          <w:highlight w:val="none"/>
        </w:rPr>
      </w:pPr>
    </w:p>
    <w:p w14:paraId="0BE07FEF">
      <w:pPr>
        <w:pStyle w:val="46"/>
        <w:spacing w:line="360" w:lineRule="auto"/>
        <w:ind w:firstLine="0"/>
        <w:rPr>
          <w:rFonts w:hint="eastAsia" w:ascii="宋体" w:hAnsi="宋体" w:eastAsia="宋体" w:cs="宋体"/>
          <w:color w:val="000000"/>
          <w:highlight w:val="none"/>
        </w:rPr>
      </w:pPr>
    </w:p>
    <w:p w14:paraId="4FABB487">
      <w:pPr>
        <w:pStyle w:val="46"/>
        <w:spacing w:line="360" w:lineRule="auto"/>
        <w:rPr>
          <w:rFonts w:hint="eastAsia" w:ascii="宋体" w:hAnsi="宋体" w:eastAsia="宋体" w:cs="宋体"/>
          <w:color w:val="000000"/>
          <w:highlight w:val="none"/>
        </w:rPr>
      </w:pPr>
    </w:p>
    <w:p w14:paraId="7BB5AF0E">
      <w:pPr>
        <w:spacing w:line="360" w:lineRule="auto"/>
        <w:rPr>
          <w:rFonts w:hint="eastAsia" w:ascii="宋体" w:hAnsi="宋体" w:eastAsia="宋体" w:cs="宋体"/>
          <w:b/>
          <w:bCs/>
          <w:sz w:val="24"/>
          <w:highlight w:val="none"/>
        </w:rPr>
      </w:pPr>
      <w:bookmarkStart w:id="327" w:name="_Toc130"/>
      <w:bookmarkEnd w:id="327"/>
      <w:bookmarkStart w:id="328" w:name="_Toc11020"/>
      <w:bookmarkEnd w:id="328"/>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近两年任意一年完整的</w:t>
      </w:r>
      <w:r>
        <w:rPr>
          <w:rFonts w:hint="eastAsia" w:ascii="宋体" w:hAnsi="宋体" w:eastAsia="宋体" w:cs="宋体"/>
          <w:b/>
          <w:bCs/>
          <w:sz w:val="24"/>
          <w:highlight w:val="none"/>
        </w:rPr>
        <w:t>财务审计报告（新成立公司提供开标前三个月内任意一个月有效银行资信证明）；</w:t>
      </w:r>
    </w:p>
    <w:p w14:paraId="0B06069C">
      <w:pPr>
        <w:pStyle w:val="46"/>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说明：</w:t>
      </w:r>
    </w:p>
    <w:p w14:paraId="3638D071">
      <w:pPr>
        <w:pStyle w:val="46"/>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1）如提供本单位会计师事务所出具的财务审计报告书影印件须加盖本单位章。</w:t>
      </w:r>
    </w:p>
    <w:p w14:paraId="1F5CBC96">
      <w:pPr>
        <w:pStyle w:val="46"/>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2）如提供银行出具的证明文件。银行证明文件需提供银行在开标日前三个月内开具证明文件的复印件并盖单位章。银行出具的证明文件应能说明该投标人与银行之间业务往来正常，企业信誉良好等。</w:t>
      </w:r>
    </w:p>
    <w:p w14:paraId="4429D28B">
      <w:pPr>
        <w:pStyle w:val="51"/>
        <w:tabs>
          <w:tab w:val="left" w:pos="5580"/>
        </w:tabs>
        <w:spacing w:line="360" w:lineRule="auto"/>
        <w:ind w:left="1080" w:leftChars="257" w:hanging="540"/>
        <w:rPr>
          <w:rFonts w:hint="eastAsia" w:ascii="宋体" w:hAnsi="宋体" w:eastAsia="宋体" w:cs="宋体"/>
          <w:color w:val="000000"/>
          <w:sz w:val="24"/>
          <w:highlight w:val="none"/>
        </w:rPr>
      </w:pPr>
    </w:p>
    <w:p w14:paraId="3089BCDD">
      <w:pPr>
        <w:tabs>
          <w:tab w:val="left" w:pos="5580"/>
        </w:tabs>
        <w:spacing w:line="360" w:lineRule="auto"/>
        <w:ind w:left="540" w:firstLine="480" w:firstLineChars="200"/>
        <w:rPr>
          <w:rFonts w:hint="eastAsia" w:ascii="宋体" w:hAnsi="宋体" w:eastAsia="宋体" w:cs="宋体"/>
          <w:bCs/>
          <w:color w:val="000000"/>
          <w:sz w:val="24"/>
          <w:highlight w:val="none"/>
        </w:rPr>
      </w:pPr>
    </w:p>
    <w:p w14:paraId="46C9C0F7">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.投标企业依法缴纳近 6 个月任意一个月社会保险的凭据；</w:t>
      </w:r>
    </w:p>
    <w:p w14:paraId="04E38DF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说明：复印件上应加盖本单位章。</w:t>
      </w:r>
    </w:p>
    <w:p w14:paraId="1D9279F7">
      <w:pPr>
        <w:pStyle w:val="51"/>
        <w:tabs>
          <w:tab w:val="left" w:pos="5580"/>
        </w:tabs>
        <w:spacing w:line="360" w:lineRule="auto"/>
        <w:ind w:left="1080" w:leftChars="257" w:hanging="540"/>
        <w:rPr>
          <w:rFonts w:hint="eastAsia" w:ascii="宋体" w:hAnsi="宋体" w:eastAsia="宋体" w:cs="宋体"/>
          <w:color w:val="000000"/>
          <w:sz w:val="24"/>
          <w:highlight w:val="none"/>
        </w:rPr>
      </w:pPr>
    </w:p>
    <w:p w14:paraId="37545982">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5</w:t>
      </w:r>
      <w:r>
        <w:rPr>
          <w:rFonts w:hint="eastAsia" w:ascii="宋体" w:hAnsi="宋体" w:eastAsia="宋体" w:cs="宋体"/>
          <w:b/>
          <w:bCs/>
          <w:sz w:val="24"/>
          <w:highlight w:val="none"/>
        </w:rPr>
        <w:t>.投标企业提供税务部门出具的近 6 个月任意一个月的完税证明；</w:t>
      </w:r>
    </w:p>
    <w:p w14:paraId="209EFC4C">
      <w:pPr>
        <w:pStyle w:val="51"/>
        <w:tabs>
          <w:tab w:val="left" w:pos="5580"/>
        </w:tabs>
        <w:spacing w:line="240" w:lineRule="atLeas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p w14:paraId="359013D4">
      <w:pPr>
        <w:pStyle w:val="51"/>
        <w:numPr>
          <w:ilvl w:val="0"/>
          <w:numId w:val="9"/>
        </w:numPr>
        <w:tabs>
          <w:tab w:val="left" w:pos="5580"/>
        </w:tabs>
        <w:spacing w:line="240" w:lineRule="atLeas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投标企业提供税务部门出具的近6个月任意一个月的完税证明”：</w:t>
      </w:r>
    </w:p>
    <w:p w14:paraId="0DA485DF">
      <w:pPr>
        <w:pStyle w:val="51"/>
        <w:tabs>
          <w:tab w:val="left" w:pos="5580"/>
        </w:tabs>
        <w:spacing w:line="240" w:lineRule="atLeas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①若供应商某月税收为零申报，须提供当月加盖税务局公章的无欠税证明或“国家税务总局电子税务局</w:t>
      </w:r>
      <w:r>
        <w:rPr>
          <w:rFonts w:hint="eastAsia" w:ascii="宋体" w:hAnsi="宋体" w:eastAsia="宋体" w:cs="宋体"/>
          <w:kern w:val="0"/>
          <w:sz w:val="18"/>
          <w:szCs w:val="18"/>
          <w:highlight w:val="none"/>
        </w:rPr>
        <w:t>（12366.chinatax.gov.cn/bsfw/onlinetaxation/main）”</w:t>
      </w:r>
      <w:r>
        <w:rPr>
          <w:rFonts w:hint="eastAsia" w:ascii="宋体" w:hAnsi="宋体" w:eastAsia="宋体" w:cs="宋体"/>
          <w:kern w:val="0"/>
          <w:sz w:val="24"/>
          <w:szCs w:val="24"/>
          <w:highlight w:val="none"/>
        </w:rPr>
        <w:t>的申报结果查询截图。</w:t>
      </w:r>
    </w:p>
    <w:p w14:paraId="1C4437D9">
      <w:pPr>
        <w:pStyle w:val="51"/>
        <w:tabs>
          <w:tab w:val="left" w:pos="5580"/>
        </w:tabs>
        <w:spacing w:line="240" w:lineRule="atLeast"/>
        <w:ind w:firstLine="480" w:firstLineChars="200"/>
        <w:rPr>
          <w:rFonts w:hint="eastAsia" w:ascii="宋体" w:hAnsi="宋体" w:eastAsia="宋体" w:cs="宋体"/>
          <w:color w:val="000000"/>
          <w:sz w:val="24"/>
          <w:highlight w:val="none"/>
        </w:rPr>
      </w:pPr>
      <w:r>
        <w:rPr>
          <w:rFonts w:hint="eastAsia" w:ascii="宋体" w:hAnsi="宋体" w:eastAsia="宋体" w:cs="宋体"/>
          <w:kern w:val="0"/>
          <w:sz w:val="24"/>
          <w:szCs w:val="24"/>
          <w:highlight w:val="none"/>
        </w:rPr>
        <w:t>②完税证明中“税种”非养老保险、医疗保险、失业保险、工伤保险和生育保险。请各投标人注意！</w:t>
      </w:r>
    </w:p>
    <w:p w14:paraId="05CC21FA">
      <w:pPr>
        <w:pStyle w:val="51"/>
        <w:tabs>
          <w:tab w:val="left" w:pos="5580"/>
        </w:tabs>
        <w:spacing w:line="240" w:lineRule="atLeas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2）复印件上应加盖本单位章。</w:t>
      </w:r>
    </w:p>
    <w:p w14:paraId="3611CFE0">
      <w:pPr>
        <w:tabs>
          <w:tab w:val="left" w:pos="5580"/>
        </w:tabs>
        <w:spacing w:line="360" w:lineRule="auto"/>
        <w:ind w:left="1080" w:leftChars="257" w:hanging="540"/>
        <w:rPr>
          <w:rFonts w:hint="eastAsia" w:ascii="宋体" w:hAnsi="宋体" w:eastAsia="宋体" w:cs="宋体"/>
          <w:color w:val="000000"/>
          <w:sz w:val="24"/>
          <w:highlight w:val="none"/>
        </w:rPr>
      </w:pPr>
    </w:p>
    <w:p w14:paraId="4388F212">
      <w:pPr>
        <w:tabs>
          <w:tab w:val="left" w:pos="5580"/>
        </w:tabs>
        <w:spacing w:line="240" w:lineRule="atLeas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.参与政府采购活动供应商在前3年内未被“信用中国”网站（www.creditchina.gov.cn）、“中国政府采购网”(www.ccgp.gov.cn)列入失信被执行人、</w:t>
      </w:r>
      <w:r>
        <w:rPr>
          <w:rFonts w:hint="eastAsia" w:ascii="宋体" w:hAnsi="宋体" w:eastAsia="宋体" w:cs="宋体"/>
          <w:b/>
          <w:bCs/>
          <w:sz w:val="24"/>
          <w:highlight w:val="none"/>
          <w:lang w:eastAsia="zh-CN"/>
        </w:rPr>
        <w:t>重大税收违法失信主体</w:t>
      </w:r>
      <w:r>
        <w:rPr>
          <w:rFonts w:hint="eastAsia" w:ascii="宋体" w:hAnsi="宋体" w:eastAsia="宋体" w:cs="宋体"/>
          <w:b/>
          <w:bCs/>
          <w:sz w:val="24"/>
          <w:highlight w:val="none"/>
        </w:rPr>
        <w:t>、政府采购严重失信行为记录名单（提供网页截图）；（以招标代理或招标人查询为准）</w:t>
      </w:r>
    </w:p>
    <w:p w14:paraId="20FFCD64">
      <w:pPr>
        <w:pStyle w:val="51"/>
        <w:tabs>
          <w:tab w:val="left" w:pos="5580"/>
        </w:tabs>
        <w:spacing w:line="240" w:lineRule="atLeas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说明：</w:t>
      </w:r>
      <w:r>
        <w:rPr>
          <w:rFonts w:hint="eastAsia" w:ascii="宋体" w:hAnsi="宋体" w:eastAsia="宋体" w:cs="宋体"/>
          <w:color w:val="000000"/>
          <w:sz w:val="24"/>
          <w:highlight w:val="none"/>
          <w:lang w:val="en-US" w:eastAsia="zh-CN"/>
        </w:rPr>
        <w:t>1、网页截图：3张，</w:t>
      </w:r>
    </w:p>
    <w:p w14:paraId="06D0833E">
      <w:pPr>
        <w:pStyle w:val="51"/>
        <w:numPr>
          <w:ilvl w:val="0"/>
          <w:numId w:val="10"/>
        </w:numPr>
        <w:tabs>
          <w:tab w:val="left" w:pos="5580"/>
        </w:tabs>
        <w:spacing w:line="240" w:lineRule="atLeast"/>
        <w:ind w:firstLine="1205" w:firstLineChars="500"/>
        <w:rPr>
          <w:rFonts w:hint="eastAsia" w:ascii="宋体" w:hAnsi="宋体" w:eastAsia="宋体" w:cs="宋体"/>
          <w:b/>
          <w:bCs/>
          <w:sz w:val="24"/>
          <w:highlight w:val="none"/>
        </w:rPr>
      </w:pPr>
      <w:r>
        <w:rPr>
          <w:rFonts w:hint="eastAsia" w:ascii="宋体" w:hAnsi="宋体" w:eastAsia="宋体" w:cs="宋体"/>
          <w:b/>
          <w:bCs/>
          <w:sz w:val="24"/>
          <w:highlight w:val="none"/>
        </w:rPr>
        <w:t>列入失信被执行人(信用中国</w:t>
      </w:r>
      <w:r>
        <w:rPr>
          <w:rFonts w:hint="eastAsia" w:ascii="宋体" w:hAnsi="宋体" w:eastAsia="宋体" w:cs="宋体"/>
          <w:b/>
          <w:bCs/>
          <w:sz w:val="24"/>
          <w:highlight w:val="none"/>
          <w:lang w:val="en-US" w:eastAsia="zh-CN"/>
        </w:rPr>
        <w:t>首页-专项查询</w:t>
      </w:r>
      <w:r>
        <w:rPr>
          <w:rFonts w:hint="eastAsia" w:ascii="宋体" w:hAnsi="宋体" w:eastAsia="宋体" w:cs="宋体"/>
          <w:b/>
          <w:bCs/>
          <w:sz w:val="24"/>
          <w:highlight w:val="none"/>
        </w:rPr>
        <w:t>-重点领域严重失</w:t>
      </w:r>
      <w:r>
        <w:rPr>
          <w:rFonts w:hint="eastAsia" w:ascii="宋体" w:hAnsi="宋体" w:eastAsia="宋体" w:cs="宋体"/>
          <w:b/>
          <w:bCs/>
          <w:sz w:val="24"/>
          <w:highlight w:val="none"/>
          <w:lang w:val="en-US" w:eastAsia="zh-CN"/>
        </w:rPr>
        <w:t xml:space="preserve">   </w:t>
      </w:r>
    </w:p>
    <w:p w14:paraId="201BE41B">
      <w:pPr>
        <w:pStyle w:val="51"/>
        <w:numPr>
          <w:ilvl w:val="0"/>
          <w:numId w:val="0"/>
        </w:numPr>
        <w:tabs>
          <w:tab w:val="left" w:pos="5580"/>
        </w:tabs>
        <w:spacing w:line="240" w:lineRule="atLeast"/>
        <w:ind w:left="1676" w:leftChars="798" w:firstLine="0" w:firstLineChars="0"/>
        <w:rPr>
          <w:rFonts w:hint="eastAsia" w:ascii="宋体" w:hAnsi="宋体" w:eastAsia="宋体" w:cs="宋体"/>
          <w:b/>
          <w:bCs/>
          <w:sz w:val="24"/>
          <w:highlight w:val="none"/>
        </w:rPr>
      </w:pPr>
      <w:r>
        <w:rPr>
          <w:rFonts w:hint="eastAsia" w:ascii="宋体" w:hAnsi="宋体" w:eastAsia="宋体" w:cs="宋体"/>
          <w:b/>
          <w:bCs/>
          <w:sz w:val="24"/>
          <w:highlight w:val="none"/>
        </w:rPr>
        <w:t>信主体名单查询-失信被执行人</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跳转中国执行信息公开网</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rPr>
        <w:t>搜索栏输入单位全称-截图)</w:t>
      </w:r>
    </w:p>
    <w:p w14:paraId="28EA47EF">
      <w:pPr>
        <w:pStyle w:val="51"/>
        <w:numPr>
          <w:ilvl w:val="0"/>
          <w:numId w:val="0"/>
        </w:numPr>
        <w:tabs>
          <w:tab w:val="left" w:pos="5580"/>
        </w:tabs>
        <w:spacing w:line="240" w:lineRule="atLeast"/>
        <w:ind w:left="1679" w:leftChars="570" w:hanging="482" w:hangingChars="200"/>
        <w:rPr>
          <w:rFonts w:hint="eastAsia" w:ascii="宋体" w:hAnsi="宋体" w:eastAsia="宋体" w:cs="宋体"/>
          <w:color w:val="000000"/>
          <w:sz w:val="24"/>
          <w:highlight w:val="none"/>
        </w:rPr>
      </w:pP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2</w:t>
      </w:r>
      <w:r>
        <w:rPr>
          <w:rFonts w:hint="eastAsia" w:ascii="宋体" w:hAnsi="宋体" w:eastAsia="宋体" w:cs="宋体"/>
          <w:b/>
          <w:bCs/>
          <w:sz w:val="24"/>
          <w:highlight w:val="none"/>
          <w:lang w:eastAsia="zh-CN"/>
        </w:rPr>
        <w:t>）重大税收违法失信主体</w:t>
      </w:r>
      <w:r>
        <w:rPr>
          <w:rFonts w:hint="eastAsia" w:ascii="宋体" w:hAnsi="宋体" w:eastAsia="宋体" w:cs="宋体"/>
          <w:b/>
          <w:bCs/>
          <w:sz w:val="24"/>
          <w:highlight w:val="none"/>
        </w:rPr>
        <w:t>(信用中国</w:t>
      </w:r>
      <w:r>
        <w:rPr>
          <w:rFonts w:hint="eastAsia" w:ascii="宋体" w:hAnsi="宋体" w:eastAsia="宋体" w:cs="宋体"/>
          <w:b/>
          <w:bCs/>
          <w:sz w:val="24"/>
          <w:highlight w:val="none"/>
          <w:lang w:val="en-US" w:eastAsia="zh-CN"/>
        </w:rPr>
        <w:t>首页-专项查询</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重大税收违法失信主体</w:t>
      </w:r>
      <w:r>
        <w:rPr>
          <w:rFonts w:hint="eastAsia" w:ascii="宋体" w:hAnsi="宋体" w:eastAsia="宋体" w:cs="宋体"/>
          <w:b/>
          <w:bCs/>
          <w:sz w:val="24"/>
          <w:highlight w:val="none"/>
        </w:rPr>
        <w:t>-搜索栏输入单位全称-截图)</w:t>
      </w:r>
    </w:p>
    <w:p w14:paraId="5B4EE1DA">
      <w:pPr>
        <w:pStyle w:val="51"/>
        <w:numPr>
          <w:ilvl w:val="0"/>
          <w:numId w:val="0"/>
        </w:numPr>
        <w:tabs>
          <w:tab w:val="left" w:pos="5580"/>
        </w:tabs>
        <w:spacing w:line="240" w:lineRule="atLeast"/>
        <w:ind w:firstLine="1205" w:firstLineChars="500"/>
        <w:rPr>
          <w:rFonts w:hint="eastAsia" w:ascii="宋体" w:hAnsi="宋体" w:eastAsia="宋体" w:cs="宋体"/>
          <w:color w:val="000000"/>
          <w:sz w:val="24"/>
          <w:highlight w:val="none"/>
        </w:rPr>
      </w:pP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中国政府采购网严重违法失信行为记录名单</w:t>
      </w:r>
    </w:p>
    <w:p w14:paraId="7B44ECB4">
      <w:pPr>
        <w:pStyle w:val="51"/>
        <w:tabs>
          <w:tab w:val="left" w:pos="5580"/>
        </w:tabs>
        <w:spacing w:line="240" w:lineRule="atLeast"/>
        <w:ind w:left="1677" w:leftChars="570" w:hanging="480" w:hanging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2、提供截图</w:t>
      </w:r>
      <w:r>
        <w:rPr>
          <w:rFonts w:hint="eastAsia" w:ascii="宋体" w:hAnsi="宋体" w:eastAsia="宋体" w:cs="宋体"/>
          <w:color w:val="000000"/>
          <w:sz w:val="24"/>
          <w:highlight w:val="none"/>
        </w:rPr>
        <w:t>按照招标文件的规定加盖单位章。</w:t>
      </w:r>
    </w:p>
    <w:p w14:paraId="55195541">
      <w:pPr>
        <w:rPr>
          <w:rFonts w:hint="eastAsia" w:ascii="宋体" w:hAnsi="宋体" w:eastAsia="宋体" w:cs="宋体"/>
          <w:highlight w:val="none"/>
        </w:rPr>
      </w:pPr>
    </w:p>
    <w:p w14:paraId="4C27C3F2">
      <w:pPr>
        <w:spacing w:line="360" w:lineRule="auto"/>
        <w:rPr>
          <w:rFonts w:hint="eastAsia" w:ascii="宋体" w:hAnsi="宋体" w:eastAsia="宋体" w:cs="宋体"/>
          <w:b/>
          <w:bCs/>
          <w:highlight w:val="none"/>
          <w:lang w:val="en-US" w:eastAsia="zh-CN"/>
        </w:rPr>
      </w:pPr>
    </w:p>
    <w:p w14:paraId="1499FAF4">
      <w:pPr>
        <w:spacing w:line="360" w:lineRule="auto"/>
        <w:rPr>
          <w:rFonts w:hint="eastAsia" w:ascii="宋体" w:hAnsi="宋体" w:eastAsia="宋体" w:cs="宋体"/>
          <w:b/>
          <w:bCs/>
          <w:highlight w:val="none"/>
        </w:rPr>
      </w:pPr>
      <w:r>
        <w:rPr>
          <w:rFonts w:hint="eastAsia" w:ascii="宋体" w:hAnsi="宋体" w:eastAsia="宋体" w:cs="宋体"/>
          <w:b/>
          <w:bCs/>
          <w:sz w:val="24"/>
          <w:highlight w:val="none"/>
          <w:lang w:val="en-US" w:eastAsia="zh-CN"/>
        </w:rPr>
        <w:t>7</w:t>
      </w:r>
      <w:r>
        <w:rPr>
          <w:rFonts w:hint="eastAsia" w:ascii="宋体" w:hAnsi="宋体" w:eastAsia="宋体" w:cs="宋体"/>
          <w:b/>
          <w:bCs/>
          <w:sz w:val="24"/>
          <w:highlight w:val="none"/>
        </w:rPr>
        <w:t>.提供针对本次项目《反商业贿赂承诺书》</w:t>
      </w:r>
    </w:p>
    <w:p w14:paraId="4E7E9525">
      <w:pPr>
        <w:pStyle w:val="47"/>
        <w:tabs>
          <w:tab w:val="clear" w:pos="567"/>
        </w:tabs>
        <w:ind w:firstLine="480" w:firstLineChars="200"/>
        <w:rPr>
          <w:rFonts w:hint="eastAsia" w:ascii="宋体" w:hAnsi="宋体" w:eastAsia="宋体" w:cs="宋体"/>
          <w:color w:val="000000"/>
          <w:highlight w:val="none"/>
        </w:rPr>
      </w:pPr>
      <w:r>
        <w:rPr>
          <w:rFonts w:hint="eastAsia" w:ascii="宋体" w:hAnsi="宋体" w:eastAsia="宋体" w:cs="宋体"/>
          <w:color w:val="000000"/>
          <w:highlight w:val="none"/>
        </w:rPr>
        <w:t>说明：承诺书应加盖本单位章</w:t>
      </w:r>
    </w:p>
    <w:p w14:paraId="04C6EDCE">
      <w:pPr>
        <w:spacing w:line="360" w:lineRule="auto"/>
        <w:rPr>
          <w:rFonts w:hint="eastAsia" w:ascii="宋体" w:hAnsi="宋体" w:eastAsia="宋体" w:cs="宋体"/>
          <w:b/>
          <w:bCs/>
          <w:sz w:val="24"/>
          <w:highlight w:val="none"/>
        </w:rPr>
      </w:pPr>
      <w:bookmarkStart w:id="329" w:name="_Toc39671745"/>
      <w:bookmarkEnd w:id="329"/>
      <w:bookmarkStart w:id="330" w:name="_Toc19464"/>
      <w:bookmarkEnd w:id="330"/>
      <w:bookmarkStart w:id="331" w:name="_Toc21096"/>
      <w:bookmarkEnd w:id="331"/>
      <w:bookmarkStart w:id="332" w:name="_Toc22494204"/>
      <w:bookmarkEnd w:id="332"/>
    </w:p>
    <w:p w14:paraId="2DDF57E6">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8</w:t>
      </w:r>
      <w:r>
        <w:rPr>
          <w:rFonts w:hint="eastAsia" w:ascii="宋体" w:hAnsi="宋体" w:eastAsia="宋体" w:cs="宋体"/>
          <w:b/>
          <w:bCs/>
          <w:sz w:val="24"/>
          <w:highlight w:val="none"/>
        </w:rPr>
        <w:t>.缴纳投标保证金（电汇或转账）凭证复印件加盖公章；</w:t>
      </w:r>
    </w:p>
    <w:p w14:paraId="02FC560D">
      <w:pPr>
        <w:spacing w:line="360" w:lineRule="auto"/>
        <w:ind w:firstLine="480" w:firstLineChars="200"/>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说明:</w:t>
      </w:r>
    </w:p>
    <w:p w14:paraId="7EC84975">
      <w:pPr>
        <w:numPr>
          <w:ilvl w:val="0"/>
          <w:numId w:val="0"/>
        </w:numPr>
        <w:spacing w:line="360" w:lineRule="auto"/>
        <w:ind w:firstLine="480" w:firstLineChars="200"/>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lang w:val="en-US" w:eastAsia="zh-CN"/>
        </w:rPr>
        <w:t>1.</w:t>
      </w:r>
      <w:r>
        <w:rPr>
          <w:rFonts w:hint="eastAsia" w:ascii="宋体" w:hAnsi="宋体" w:eastAsia="宋体" w:cs="宋体"/>
          <w:b w:val="0"/>
          <w:bCs/>
          <w:color w:val="000000"/>
          <w:kern w:val="0"/>
          <w:sz w:val="24"/>
          <w:szCs w:val="20"/>
          <w:highlight w:val="none"/>
        </w:rPr>
        <w:t>供应商可将本项目保证金支付的汇款凭证、支票、汇票、本票或保证金收据(如有)的扫描件作为缴纳凭证装订在本部分，扫描件上应加盖本单位公章</w:t>
      </w:r>
      <w:r>
        <w:rPr>
          <w:rFonts w:hint="eastAsia" w:ascii="宋体" w:hAnsi="宋体" w:eastAsia="宋体" w:cs="宋体"/>
          <w:b w:val="0"/>
          <w:bCs/>
          <w:color w:val="000000"/>
          <w:kern w:val="2"/>
          <w:szCs w:val="24"/>
          <w:highlight w:val="none"/>
        </w:rPr>
        <w:t>（通过银行转账方式缴纳的保证金</w:t>
      </w:r>
      <w:r>
        <w:rPr>
          <w:rFonts w:hint="eastAsia" w:ascii="宋体" w:hAnsi="宋体" w:eastAsia="宋体" w:cs="宋体"/>
          <w:b w:val="0"/>
          <w:bCs/>
          <w:color w:val="000000"/>
          <w:kern w:val="2"/>
          <w:szCs w:val="24"/>
          <w:highlight w:val="none"/>
          <w:lang w:eastAsia="zh-CN"/>
        </w:rPr>
        <w:t>，</w:t>
      </w:r>
      <w:r>
        <w:rPr>
          <w:rFonts w:hint="eastAsia" w:ascii="宋体" w:hAnsi="宋体" w:eastAsia="宋体" w:cs="宋体"/>
          <w:b w:val="0"/>
          <w:bCs/>
          <w:color w:val="000000"/>
          <w:kern w:val="2"/>
          <w:szCs w:val="24"/>
          <w:highlight w:val="none"/>
        </w:rPr>
        <w:t>项目结束后在五个工作日内自动退还。）</w:t>
      </w:r>
    </w:p>
    <w:p w14:paraId="080340E5">
      <w:pPr>
        <w:numPr>
          <w:ilvl w:val="0"/>
          <w:numId w:val="0"/>
        </w:numPr>
        <w:spacing w:line="360" w:lineRule="auto"/>
        <w:ind w:firstLine="480" w:firstLineChars="200"/>
        <w:rPr>
          <w:rFonts w:hint="eastAsia" w:ascii="宋体" w:hAnsi="宋体" w:eastAsia="宋体" w:cs="宋体"/>
          <w:b w:val="0"/>
          <w:bCs/>
          <w:color w:val="000000"/>
          <w:kern w:val="0"/>
          <w:sz w:val="24"/>
          <w:szCs w:val="20"/>
          <w:highlight w:val="none"/>
        </w:rPr>
      </w:pPr>
      <w:r>
        <w:rPr>
          <w:rFonts w:hint="eastAsia" w:ascii="宋体" w:hAnsi="宋体" w:eastAsia="宋体" w:cs="宋体"/>
          <w:b w:val="0"/>
          <w:bCs/>
          <w:color w:val="000000"/>
          <w:kern w:val="0"/>
          <w:sz w:val="24"/>
          <w:szCs w:val="20"/>
          <w:highlight w:val="none"/>
        </w:rPr>
        <w:t>2.使用电子保函、银行保函等其他投标担保函的，应将保函扫描件装订在本部分;扫描件上应加盖本单位公章;</w:t>
      </w:r>
    </w:p>
    <w:p w14:paraId="4B631150">
      <w:pPr>
        <w:spacing w:line="360" w:lineRule="auto"/>
        <w:rPr>
          <w:rFonts w:hint="eastAsia" w:ascii="宋体" w:hAnsi="宋体" w:eastAsia="宋体" w:cs="宋体"/>
          <w:b/>
          <w:color w:val="000000"/>
          <w:kern w:val="0"/>
          <w:sz w:val="24"/>
          <w:szCs w:val="20"/>
          <w:highlight w:val="none"/>
          <w:lang w:val="en-US" w:eastAsia="zh-CN"/>
        </w:rPr>
      </w:pPr>
    </w:p>
    <w:p w14:paraId="5C817CFA">
      <w:pPr>
        <w:spacing w:line="360" w:lineRule="auto"/>
        <w:rPr>
          <w:rFonts w:hint="eastAsia" w:ascii="宋体" w:hAnsi="宋体" w:eastAsia="宋体" w:cs="宋体"/>
          <w:b/>
          <w:color w:val="000000"/>
          <w:kern w:val="0"/>
          <w:sz w:val="24"/>
          <w:szCs w:val="20"/>
          <w:highlight w:val="none"/>
          <w:lang w:val="en-US" w:eastAsia="zh-CN"/>
        </w:rPr>
      </w:pPr>
    </w:p>
    <w:p w14:paraId="3C0778C8">
      <w:pPr>
        <w:spacing w:line="360" w:lineRule="auto"/>
        <w:rPr>
          <w:rFonts w:hint="eastAsia" w:ascii="宋体" w:hAnsi="宋体" w:eastAsia="宋体" w:cs="宋体"/>
          <w:b/>
          <w:color w:val="000000"/>
          <w:kern w:val="0"/>
          <w:sz w:val="24"/>
          <w:szCs w:val="20"/>
          <w:highlight w:val="none"/>
          <w:lang w:val="en-US" w:eastAsia="zh-CN"/>
        </w:rPr>
      </w:pPr>
    </w:p>
    <w:p w14:paraId="1EB588B4">
      <w:pPr>
        <w:spacing w:line="360" w:lineRule="auto"/>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lang w:val="en-US" w:eastAsia="zh-CN"/>
        </w:rPr>
        <w:t>9.</w:t>
      </w:r>
      <w:r>
        <w:rPr>
          <w:rFonts w:hint="eastAsia" w:ascii="宋体" w:hAnsi="宋体" w:eastAsia="宋体" w:cs="宋体"/>
          <w:b/>
          <w:color w:val="000000"/>
          <w:kern w:val="0"/>
          <w:sz w:val="24"/>
          <w:szCs w:val="20"/>
          <w:highlight w:val="none"/>
        </w:rPr>
        <w:t>本项目不接受联合体投标。</w:t>
      </w:r>
    </w:p>
    <w:p w14:paraId="2811AF51">
      <w:pPr>
        <w:spacing w:line="360" w:lineRule="auto"/>
        <w:ind w:firstLine="720" w:firstLineChars="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r>
        <w:rPr>
          <w:rFonts w:hint="eastAsia" w:ascii="宋体" w:hAnsi="宋体" w:eastAsia="宋体" w:cs="宋体"/>
          <w:sz w:val="24"/>
          <w:highlight w:val="none"/>
        </w:rPr>
        <w:t>承诺书</w:t>
      </w:r>
      <w:r>
        <w:rPr>
          <w:rFonts w:hint="eastAsia" w:ascii="宋体" w:hAnsi="宋体" w:eastAsia="宋体" w:cs="宋体"/>
          <w:color w:val="000000"/>
          <w:sz w:val="24"/>
          <w:highlight w:val="none"/>
        </w:rPr>
        <w:t>应加盖本单位章。</w:t>
      </w:r>
    </w:p>
    <w:p w14:paraId="4EA7D037">
      <w:pPr>
        <w:spacing w:line="360" w:lineRule="auto"/>
        <w:ind w:firstLine="480" w:firstLineChars="200"/>
        <w:rPr>
          <w:rFonts w:hint="eastAsia" w:ascii="宋体" w:hAnsi="宋体" w:eastAsia="宋体" w:cs="宋体"/>
          <w:sz w:val="24"/>
          <w:highlight w:val="none"/>
        </w:rPr>
      </w:pPr>
    </w:p>
    <w:p w14:paraId="5A12E297">
      <w:pP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br w:type="page"/>
      </w:r>
    </w:p>
    <w:p w14:paraId="2E999664">
      <w:pPr>
        <w:pStyle w:val="18"/>
        <w:tabs>
          <w:tab w:val="center" w:pos="4140"/>
          <w:tab w:val="right" w:pos="8300"/>
          <w:tab w:val="clear" w:pos="4153"/>
          <w:tab w:val="clear" w:pos="8306"/>
        </w:tabs>
        <w:spacing w:line="360" w:lineRule="auto"/>
        <w:jc w:val="center"/>
        <w:rPr>
          <w:rFonts w:hint="eastAsia" w:ascii="宋体" w:hAnsi="宋体" w:eastAsia="宋体" w:cs="宋体"/>
          <w:b/>
          <w:kern w:val="0"/>
          <w:sz w:val="24"/>
          <w:szCs w:val="20"/>
          <w:highlight w:val="none"/>
          <w:lang w:val="en-US" w:eastAsia="zh-CN" w:bidi="ar-SA"/>
        </w:rPr>
      </w:pPr>
      <w:r>
        <w:rPr>
          <w:rFonts w:hint="eastAsia" w:ascii="宋体" w:hAnsi="宋体" w:eastAsia="宋体" w:cs="宋体"/>
          <w:b/>
          <w:kern w:val="0"/>
          <w:sz w:val="24"/>
          <w:szCs w:val="20"/>
          <w:highlight w:val="none"/>
          <w:lang w:val="en-US" w:eastAsia="zh-CN" w:bidi="ar-SA"/>
        </w:rPr>
        <w:t>第二部分  商务及技术文件</w:t>
      </w:r>
    </w:p>
    <w:p w14:paraId="6FAC1E3D">
      <w:pPr>
        <w:pStyle w:val="16"/>
        <w:spacing w:line="360" w:lineRule="auto"/>
        <w:ind w:left="1080" w:leftChars="257" w:hanging="540"/>
        <w:rPr>
          <w:rFonts w:hint="eastAsia" w:ascii="宋体" w:hAnsi="宋体" w:eastAsia="宋体" w:cs="宋体"/>
          <w:sz w:val="24"/>
          <w:highlight w:val="none"/>
        </w:rPr>
      </w:pPr>
    </w:p>
    <w:p w14:paraId="2C212BD7">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1、投标书</w:t>
      </w:r>
    </w:p>
    <w:p w14:paraId="28099B22">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、开标一览表</w:t>
      </w:r>
    </w:p>
    <w:p w14:paraId="074944F4">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投标分项报价表</w:t>
      </w:r>
    </w:p>
    <w:p w14:paraId="0A96F782">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、技术规格偏离表</w:t>
      </w:r>
    </w:p>
    <w:p w14:paraId="4910AAC6">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、商务条款偏离表</w:t>
      </w:r>
    </w:p>
    <w:p w14:paraId="5A4D16E7">
      <w:pPr>
        <w:pStyle w:val="16"/>
        <w:spacing w:line="360" w:lineRule="auto"/>
        <w:ind w:left="1080" w:leftChars="257" w:hanging="54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246112E0">
      <w:pPr>
        <w:pStyle w:val="16"/>
        <w:spacing w:line="360" w:lineRule="auto"/>
        <w:ind w:left="1155" w:leftChars="371" w:hanging="376" w:hangingChars="15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6-1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中小企业</w:t>
      </w:r>
      <w:r>
        <w:rPr>
          <w:rFonts w:hint="eastAsia" w:ascii="宋体" w:hAnsi="宋体" w:eastAsia="宋体" w:cs="宋体"/>
          <w:sz w:val="24"/>
          <w:highlight w:val="none"/>
        </w:rPr>
        <w:t>声明函》</w:t>
      </w:r>
    </w:p>
    <w:p w14:paraId="07F4B39A">
      <w:pPr>
        <w:pStyle w:val="16"/>
        <w:spacing w:line="360" w:lineRule="auto"/>
        <w:ind w:left="1155" w:leftChars="371" w:hanging="376" w:hangingChars="157"/>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6-2 </w:t>
      </w:r>
      <w:r>
        <w:rPr>
          <w:rFonts w:hint="eastAsia" w:ascii="宋体" w:hAnsi="宋体" w:eastAsia="宋体" w:cs="宋体"/>
          <w:sz w:val="24"/>
          <w:highlight w:val="none"/>
        </w:rPr>
        <w:t>残疾人福利性单位声明函</w:t>
      </w:r>
    </w:p>
    <w:p w14:paraId="36CEBB9E">
      <w:pPr>
        <w:pStyle w:val="16"/>
        <w:spacing w:line="360" w:lineRule="auto"/>
        <w:ind w:left="1155" w:leftChars="371" w:hanging="376" w:hangingChars="15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6-3 《监狱企业声明函》</w:t>
      </w:r>
    </w:p>
    <w:p w14:paraId="7ACC3E55">
      <w:pPr>
        <w:pStyle w:val="16"/>
        <w:spacing w:line="360" w:lineRule="auto"/>
        <w:ind w:left="1155" w:leftChars="371" w:hanging="376" w:hangingChars="15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6-4  节能、环境标志产品</w:t>
      </w:r>
    </w:p>
    <w:p w14:paraId="0274EBAA">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、投标人关联单位的说明（格式自拟）</w:t>
      </w:r>
    </w:p>
    <w:p w14:paraId="0CB5F4BB">
      <w:pPr>
        <w:pStyle w:val="16"/>
        <w:spacing w:line="360" w:lineRule="auto"/>
        <w:ind w:left="1080" w:leftChars="257" w:hanging="54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8、其他有利于供应商的文件或证明材料</w:t>
      </w:r>
    </w:p>
    <w:p w14:paraId="57EB5682">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lang w:val="en-US" w:eastAsia="zh-CN"/>
        </w:rPr>
        <w:t>9、对本项目响应文件（响应文件）中资料真实性的承诺</w:t>
      </w:r>
    </w:p>
    <w:p w14:paraId="4CF53B77">
      <w:pPr>
        <w:spacing w:line="360" w:lineRule="auto"/>
        <w:ind w:left="1080" w:leftChars="257" w:hanging="540"/>
        <w:jc w:val="center"/>
        <w:rPr>
          <w:rFonts w:hint="eastAsia" w:ascii="宋体" w:hAnsi="宋体" w:eastAsia="宋体" w:cs="宋体"/>
          <w:b/>
          <w:bCs/>
          <w:kern w:val="0"/>
          <w:sz w:val="24"/>
          <w:szCs w:val="20"/>
          <w:highlight w:val="none"/>
        </w:rPr>
      </w:pPr>
    </w:p>
    <w:p w14:paraId="273085A9">
      <w:pPr>
        <w:spacing w:line="360" w:lineRule="auto"/>
        <w:ind w:left="1080" w:leftChars="257" w:hanging="540"/>
        <w:jc w:val="center"/>
        <w:rPr>
          <w:rFonts w:hint="eastAsia" w:ascii="宋体" w:hAnsi="宋体" w:eastAsia="宋体" w:cs="宋体"/>
          <w:b/>
          <w:bCs/>
          <w:kern w:val="0"/>
          <w:sz w:val="24"/>
          <w:szCs w:val="20"/>
          <w:highlight w:val="none"/>
        </w:rPr>
      </w:pPr>
    </w:p>
    <w:p w14:paraId="27E72D56">
      <w:pPr>
        <w:spacing w:line="360" w:lineRule="auto"/>
        <w:ind w:left="1080" w:leftChars="257" w:hanging="540"/>
        <w:jc w:val="center"/>
        <w:rPr>
          <w:rFonts w:hint="eastAsia" w:ascii="宋体" w:hAnsi="宋体" w:eastAsia="宋体" w:cs="宋体"/>
          <w:sz w:val="24"/>
          <w:highlight w:val="none"/>
        </w:rPr>
      </w:pPr>
      <w:r>
        <w:rPr>
          <w:rFonts w:hint="eastAsia" w:ascii="宋体" w:hAnsi="宋体" w:eastAsia="宋体" w:cs="宋体"/>
          <w:sz w:val="24"/>
          <w:highlight w:val="none"/>
        </w:rPr>
        <w:br w:type="page"/>
      </w:r>
    </w:p>
    <w:p w14:paraId="24EC8727">
      <w:pPr>
        <w:pStyle w:val="16"/>
        <w:tabs>
          <w:tab w:val="left" w:pos="5580"/>
        </w:tabs>
        <w:spacing w:line="360" w:lineRule="auto"/>
        <w:ind w:left="1080" w:leftChars="257" w:hanging="540"/>
        <w:rPr>
          <w:rFonts w:hint="eastAsia" w:ascii="宋体" w:hAnsi="宋体" w:eastAsia="宋体" w:cs="宋体"/>
          <w:sz w:val="24"/>
          <w:highlight w:val="none"/>
        </w:rPr>
      </w:pPr>
    </w:p>
    <w:p w14:paraId="3053AB9F">
      <w:pPr>
        <w:pStyle w:val="3"/>
        <w:numPr>
          <w:ilvl w:val="1"/>
          <w:numId w:val="0"/>
        </w:numPr>
        <w:spacing w:before="0" w:line="360" w:lineRule="auto"/>
        <w:jc w:val="center"/>
        <w:rPr>
          <w:rFonts w:hint="eastAsia" w:ascii="宋体" w:hAnsi="宋体" w:eastAsia="宋体" w:cs="宋体"/>
          <w:b/>
          <w:kern w:val="0"/>
          <w:sz w:val="24"/>
          <w:szCs w:val="20"/>
          <w:highlight w:val="none"/>
          <w:lang w:val="en-US" w:eastAsia="zh-CN" w:bidi="ar-SA"/>
        </w:rPr>
      </w:pPr>
      <w:bookmarkStart w:id="333" w:name="_Toc9768"/>
      <w:bookmarkStart w:id="334" w:name="_Toc27420"/>
      <w:bookmarkStart w:id="335" w:name="_Toc518923116"/>
      <w:bookmarkStart w:id="336" w:name="_Toc10878"/>
      <w:bookmarkStart w:id="337" w:name="_Toc26126"/>
      <w:r>
        <w:rPr>
          <w:rFonts w:hint="eastAsia" w:ascii="宋体" w:hAnsi="宋体" w:eastAsia="宋体" w:cs="宋体"/>
          <w:b/>
          <w:kern w:val="0"/>
          <w:sz w:val="24"/>
          <w:szCs w:val="20"/>
          <w:highlight w:val="none"/>
          <w:lang w:val="en-US" w:eastAsia="zh-CN" w:bidi="ar-SA"/>
        </w:rPr>
        <w:t>1</w:t>
      </w:r>
      <w:bookmarkStart w:id="338" w:name="_Hlt520355504"/>
      <w:bookmarkEnd w:id="338"/>
      <w:r>
        <w:rPr>
          <w:rFonts w:hint="eastAsia" w:ascii="宋体" w:hAnsi="宋体" w:eastAsia="宋体" w:cs="宋体"/>
          <w:b/>
          <w:kern w:val="0"/>
          <w:sz w:val="24"/>
          <w:szCs w:val="20"/>
          <w:highlight w:val="none"/>
          <w:lang w:val="en-US" w:eastAsia="zh-CN" w:bidi="ar-SA"/>
        </w:rPr>
        <w:t>、投标书</w:t>
      </w:r>
      <w:bookmarkEnd w:id="333"/>
      <w:bookmarkEnd w:id="334"/>
      <w:bookmarkEnd w:id="335"/>
      <w:bookmarkEnd w:id="336"/>
      <w:bookmarkEnd w:id="337"/>
    </w:p>
    <w:p w14:paraId="6A22DA56">
      <w:pPr>
        <w:tabs>
          <w:tab w:val="left" w:pos="5580"/>
        </w:tabs>
        <w:spacing w:line="360" w:lineRule="auto"/>
        <w:ind w:left="1080" w:hanging="1080"/>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color w:val="000000"/>
          <w:sz w:val="24"/>
          <w:highlight w:val="none"/>
          <w:u w:val="single"/>
          <w:lang w:eastAsia="zh-CN"/>
        </w:rPr>
        <w:t>新疆宏成润和工程管理有限公司</w:t>
      </w:r>
    </w:p>
    <w:p w14:paraId="6A793573">
      <w:pPr>
        <w:pStyle w:val="16"/>
        <w:tabs>
          <w:tab w:val="left" w:pos="5580"/>
        </w:tabs>
        <w:spacing w:line="360" w:lineRule="auto"/>
        <w:ind w:left="1080" w:leftChars="257" w:hanging="540"/>
        <w:rPr>
          <w:rFonts w:hint="eastAsia" w:ascii="宋体" w:hAnsi="宋体" w:eastAsia="宋体" w:cs="宋体"/>
          <w:sz w:val="24"/>
          <w:highlight w:val="none"/>
        </w:rPr>
      </w:pPr>
    </w:p>
    <w:p w14:paraId="380A0D13">
      <w:pPr>
        <w:pStyle w:val="16"/>
        <w:tabs>
          <w:tab w:val="left" w:pos="5580"/>
        </w:tabs>
        <w:spacing w:line="360" w:lineRule="auto"/>
        <w:ind w:left="2" w:leftChars="1"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根据贵方(</w:t>
      </w:r>
      <w:r>
        <w:rPr>
          <w:rFonts w:hint="eastAsia" w:ascii="宋体" w:hAnsi="宋体" w:eastAsia="宋体" w:cs="宋体"/>
          <w:i/>
          <w:sz w:val="24"/>
          <w:highlight w:val="none"/>
          <w:u w:val="single"/>
        </w:rPr>
        <w:t>项目名称</w:t>
      </w:r>
      <w:r>
        <w:rPr>
          <w:rFonts w:hint="eastAsia" w:ascii="宋体" w:hAnsi="宋体" w:eastAsia="宋体" w:cs="宋体"/>
          <w:sz w:val="24"/>
          <w:highlight w:val="none"/>
        </w:rPr>
        <w:t>)项目的投标邀请(</w:t>
      </w:r>
      <w:r>
        <w:rPr>
          <w:rFonts w:hint="eastAsia" w:ascii="宋体" w:hAnsi="宋体" w:eastAsia="宋体" w:cs="宋体"/>
          <w:i/>
          <w:sz w:val="24"/>
          <w:highlight w:val="none"/>
          <w:u w:val="single"/>
        </w:rPr>
        <w:t>招标编号</w:t>
      </w:r>
      <w:r>
        <w:rPr>
          <w:rFonts w:hint="eastAsia" w:ascii="宋体" w:hAnsi="宋体" w:eastAsia="宋体" w:cs="宋体"/>
          <w:sz w:val="24"/>
          <w:highlight w:val="none"/>
        </w:rPr>
        <w:t>),签字代表(</w:t>
      </w:r>
      <w:r>
        <w:rPr>
          <w:rFonts w:hint="eastAsia" w:ascii="宋体" w:hAnsi="宋体" w:eastAsia="宋体" w:cs="宋体"/>
          <w:i/>
          <w:sz w:val="24"/>
          <w:highlight w:val="none"/>
          <w:u w:val="single"/>
        </w:rPr>
        <w:t>姓名、职务</w:t>
      </w:r>
      <w:r>
        <w:rPr>
          <w:rFonts w:hint="eastAsia" w:ascii="宋体" w:hAnsi="宋体" w:eastAsia="宋体" w:cs="宋体"/>
          <w:sz w:val="24"/>
          <w:highlight w:val="none"/>
        </w:rPr>
        <w:t>)经正式授权并代表投标人（</w:t>
      </w:r>
      <w:r>
        <w:rPr>
          <w:rFonts w:hint="eastAsia" w:ascii="宋体" w:hAnsi="宋体" w:eastAsia="宋体" w:cs="宋体"/>
          <w:i/>
          <w:sz w:val="24"/>
          <w:highlight w:val="none"/>
          <w:u w:val="single"/>
        </w:rPr>
        <w:t>名称、地址</w:t>
      </w:r>
      <w:r>
        <w:rPr>
          <w:rFonts w:hint="eastAsia" w:ascii="宋体" w:hAnsi="宋体" w:eastAsia="宋体" w:cs="宋体"/>
          <w:sz w:val="24"/>
          <w:highlight w:val="none"/>
        </w:rPr>
        <w:t>）提交电子文档</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份，并以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形式出具的金额为人民币</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元的投标保证金。</w:t>
      </w:r>
    </w:p>
    <w:p w14:paraId="25F88923">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据此，签字代表宣布同意如下：</w:t>
      </w:r>
    </w:p>
    <w:p w14:paraId="0B78157A">
      <w:pPr>
        <w:pStyle w:val="16"/>
        <w:tabs>
          <w:tab w:val="left" w:pos="720"/>
          <w:tab w:val="left" w:pos="900"/>
        </w:tabs>
        <w:spacing w:line="360" w:lineRule="auto"/>
        <w:ind w:left="769" w:leftChars="257" w:hanging="229"/>
        <w:rPr>
          <w:rFonts w:hint="eastAsia" w:ascii="宋体" w:hAnsi="宋体" w:eastAsia="宋体" w:cs="宋体"/>
          <w:sz w:val="24"/>
          <w:highlight w:val="none"/>
          <w:u w:val="single"/>
        </w:rPr>
      </w:pPr>
      <w:r>
        <w:rPr>
          <w:rFonts w:hint="eastAsia" w:ascii="宋体" w:hAnsi="宋体" w:eastAsia="宋体" w:cs="宋体"/>
          <w:sz w:val="24"/>
          <w:highlight w:val="none"/>
        </w:rPr>
        <w:t>（1）附投标价格表中规定的应提供服务的投标总价详见开标一览表。</w:t>
      </w:r>
    </w:p>
    <w:p w14:paraId="29FD1548">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（2）本投标有效期为自投标截止之日起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90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个日历日。</w:t>
      </w:r>
    </w:p>
    <w:p w14:paraId="001667A2">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（3）联合体中的大中型企业和其他自然人、法人或者非法人组织，与联合体中的小型、微型企业之间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w:t>
      </w:r>
      <w:r>
        <w:rPr>
          <w:rFonts w:hint="eastAsia" w:ascii="宋体" w:hAnsi="宋体" w:eastAsia="宋体" w:cs="宋体"/>
          <w:sz w:val="24"/>
          <w:highlight w:val="none"/>
        </w:rPr>
        <w:t>存在、不存在）投资关系（如果联合体的话）。</w:t>
      </w:r>
    </w:p>
    <w:p w14:paraId="020572BC">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（4）已详细审查全部招标文件，包括所有补充通知（如果有的话），完全理解并同意放弃对这方面有不明、误解和质疑的权力。</w:t>
      </w:r>
    </w:p>
    <w:p w14:paraId="3A0ED60F">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（5）在规定的开标时间后，遵守招标文件中有关保证金的规定。</w:t>
      </w:r>
    </w:p>
    <w:p w14:paraId="7C7CD227">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（6）根据投标人须知规定，我方不是为本项目提供整体设计、规范编制或者项目管理、监理、检测等服务的供应商，我方不是采购代理机构的附属机构。</w:t>
      </w:r>
    </w:p>
    <w:p w14:paraId="1FA830B8">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（7）按照贵方可能要求，提供与其投标有关的一切数据或资料，完全理解贵方不一定接受最低价的投标或收到的任何投标。</w:t>
      </w:r>
    </w:p>
    <w:p w14:paraId="5BE51428">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）按照招标文件的规定履行合同责任和义务。</w:t>
      </w:r>
    </w:p>
    <w:p w14:paraId="08F6F91E">
      <w:pPr>
        <w:pStyle w:val="16"/>
        <w:tabs>
          <w:tab w:val="left" w:pos="5580"/>
        </w:tabs>
        <w:spacing w:line="360" w:lineRule="auto"/>
        <w:ind w:left="1080" w:leftChars="257" w:hanging="540"/>
        <w:rPr>
          <w:rFonts w:hint="eastAsia" w:ascii="宋体" w:hAnsi="宋体" w:eastAsia="宋体" w:cs="宋体"/>
          <w:sz w:val="24"/>
          <w:highlight w:val="none"/>
        </w:rPr>
      </w:pPr>
    </w:p>
    <w:p w14:paraId="40730AF8">
      <w:pPr>
        <w:pStyle w:val="16"/>
        <w:tabs>
          <w:tab w:val="left" w:pos="5580"/>
        </w:tabs>
        <w:spacing w:line="360" w:lineRule="auto"/>
        <w:ind w:left="1080" w:leftChars="257" w:hanging="540"/>
        <w:rPr>
          <w:rFonts w:hint="eastAsia" w:ascii="宋体" w:hAnsi="宋体" w:eastAsia="宋体" w:cs="宋体"/>
          <w:sz w:val="24"/>
          <w:highlight w:val="none"/>
          <w:u w:val="single"/>
        </w:rPr>
      </w:pPr>
      <w:r>
        <w:rPr>
          <w:rFonts w:hint="eastAsia" w:ascii="宋体" w:hAnsi="宋体" w:eastAsia="宋体" w:cs="宋体"/>
          <w:sz w:val="24"/>
          <w:highlight w:val="none"/>
        </w:rPr>
        <w:t>法定代表人或其委托代理人签字</w:t>
      </w:r>
      <w:r>
        <w:rPr>
          <w:rFonts w:hint="eastAsia" w:ascii="宋体" w:hAnsi="宋体" w:eastAsia="宋体" w:cs="宋体"/>
          <w:sz w:val="24"/>
          <w:highlight w:val="none"/>
          <w:lang w:val="en-US" w:eastAsia="zh-CN"/>
        </w:rPr>
        <w:t>或签章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15DD4A74">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投标人名称（全称）：</w:t>
      </w:r>
      <w:r>
        <w:rPr>
          <w:rFonts w:hint="eastAsia" w:ascii="宋体" w:hAnsi="宋体" w:eastAsia="宋体" w:cs="宋体"/>
          <w:sz w:val="24"/>
          <w:highlight w:val="none"/>
          <w:u w:val="single"/>
        </w:rPr>
        <w:t xml:space="preserve">                  </w:t>
      </w:r>
    </w:p>
    <w:p w14:paraId="2E8059BF">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投标人开户银行（全称）：</w:t>
      </w:r>
      <w:r>
        <w:rPr>
          <w:rFonts w:hint="eastAsia" w:ascii="宋体" w:hAnsi="宋体" w:eastAsia="宋体" w:cs="宋体"/>
          <w:sz w:val="24"/>
          <w:highlight w:val="none"/>
          <w:u w:val="single"/>
        </w:rPr>
        <w:t xml:space="preserve">                  </w:t>
      </w:r>
    </w:p>
    <w:p w14:paraId="17599F56">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投标人银行帐号：</w:t>
      </w:r>
      <w:r>
        <w:rPr>
          <w:rFonts w:hint="eastAsia" w:ascii="宋体" w:hAnsi="宋体" w:eastAsia="宋体" w:cs="宋体"/>
          <w:sz w:val="24"/>
          <w:highlight w:val="none"/>
          <w:u w:val="single"/>
        </w:rPr>
        <w:t xml:space="preserve">                  </w:t>
      </w:r>
    </w:p>
    <w:p w14:paraId="4DBEBA2D">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投标人单位章：</w:t>
      </w:r>
      <w:r>
        <w:rPr>
          <w:rFonts w:hint="eastAsia" w:ascii="宋体" w:hAnsi="宋体" w:eastAsia="宋体" w:cs="宋体"/>
          <w:sz w:val="24"/>
          <w:highlight w:val="none"/>
          <w:u w:val="single"/>
        </w:rPr>
        <w:t xml:space="preserve">                  </w:t>
      </w:r>
    </w:p>
    <w:p w14:paraId="07A88395">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期：</w:t>
      </w:r>
      <w:r>
        <w:rPr>
          <w:rFonts w:hint="eastAsia" w:ascii="宋体" w:hAnsi="宋体" w:eastAsia="宋体" w:cs="宋体"/>
          <w:sz w:val="24"/>
          <w:highlight w:val="none"/>
          <w:u w:val="single"/>
        </w:rPr>
        <w:t xml:space="preserve">                  </w:t>
      </w:r>
    </w:p>
    <w:p w14:paraId="7924C7DC">
      <w:pPr>
        <w:pStyle w:val="9"/>
        <w:tabs>
          <w:tab w:val="left" w:pos="5580"/>
        </w:tabs>
        <w:spacing w:line="360" w:lineRule="auto"/>
        <w:ind w:left="0" w:leftChars="0" w:firstLine="0" w:firstLineChars="0"/>
        <w:jc w:val="center"/>
        <w:rPr>
          <w:rFonts w:hint="eastAsia" w:ascii="宋体" w:hAnsi="宋体" w:eastAsia="宋体" w:cs="宋体"/>
          <w:highlight w:val="none"/>
        </w:rPr>
      </w:pPr>
      <w:bookmarkStart w:id="339" w:name="_Hlt520355938"/>
      <w:bookmarkEnd w:id="339"/>
      <w:bookmarkStart w:id="340" w:name="_Hlt520356243"/>
      <w:bookmarkEnd w:id="340"/>
      <w:bookmarkStart w:id="341" w:name="_Toc24572"/>
      <w:bookmarkStart w:id="342" w:name="_Toc1893"/>
      <w:bookmarkStart w:id="343" w:name="_Toc518923118"/>
      <w:bookmarkStart w:id="344" w:name="_Toc15261"/>
      <w:bookmarkStart w:id="345" w:name="_Toc2343"/>
      <w:bookmarkStart w:id="346" w:name="_Toc216582815"/>
      <w:r>
        <w:rPr>
          <w:rFonts w:hint="eastAsia" w:ascii="宋体" w:hAnsi="宋体" w:eastAsia="宋体" w:cs="宋体"/>
          <w:highlight w:val="none"/>
        </w:rPr>
        <w:br w:type="page"/>
      </w:r>
      <w:r>
        <w:rPr>
          <w:rFonts w:hint="eastAsia" w:ascii="宋体" w:hAnsi="宋体" w:eastAsia="宋体" w:cs="宋体"/>
          <w:b/>
          <w:highlight w:val="none"/>
          <w:lang w:val="en-US" w:eastAsia="zh-CN"/>
        </w:rPr>
        <w:t>2</w:t>
      </w:r>
      <w:r>
        <w:rPr>
          <w:rFonts w:hint="eastAsia" w:ascii="宋体" w:hAnsi="宋体" w:eastAsia="宋体" w:cs="宋体"/>
          <w:b/>
          <w:highlight w:val="none"/>
        </w:rPr>
        <w:t>、开标一览表</w:t>
      </w:r>
      <w:r>
        <w:rPr>
          <w:rFonts w:hint="eastAsia" w:ascii="宋体" w:hAnsi="宋体" w:eastAsia="宋体" w:cs="宋体"/>
          <w:b/>
          <w:highlight w:val="none"/>
        </w:rPr>
        <w:cr/>
      </w:r>
    </w:p>
    <w:p w14:paraId="3E851082">
      <w:pPr>
        <w:tabs>
          <w:tab w:val="left" w:pos="1800"/>
          <w:tab w:val="left" w:pos="5580"/>
        </w:tabs>
        <w:spacing w:line="360" w:lineRule="auto"/>
        <w:ind w:right="-867" w:rightChars="-413"/>
        <w:rPr>
          <w:rFonts w:hint="eastAsia" w:ascii="宋体" w:hAnsi="宋体" w:eastAsia="宋体" w:cs="宋体"/>
          <w:sz w:val="24"/>
          <w:highlight w:val="none"/>
        </w:rPr>
      </w:pPr>
      <w:r>
        <w:rPr>
          <w:rFonts w:hint="eastAsia" w:ascii="宋体" w:hAnsi="宋体" w:eastAsia="宋体" w:cs="宋体"/>
          <w:sz w:val="24"/>
          <w:highlight w:val="none"/>
        </w:rPr>
        <w:t>项目名称：                招标编号：                报价单位：人民币</w:t>
      </w:r>
      <w:r>
        <w:rPr>
          <w:rFonts w:hint="eastAsia" w:ascii="宋体" w:hAnsi="宋体" w:eastAsia="宋体" w:cs="宋体"/>
          <w:b/>
          <w:sz w:val="24"/>
          <w:highlight w:val="none"/>
        </w:rPr>
        <w:t>元</w:t>
      </w:r>
    </w:p>
    <w:tbl>
      <w:tblPr>
        <w:tblStyle w:val="2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882"/>
        <w:gridCol w:w="1792"/>
        <w:gridCol w:w="1453"/>
        <w:gridCol w:w="1269"/>
        <w:gridCol w:w="1274"/>
      </w:tblGrid>
      <w:tr w14:paraId="392F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noWrap w:val="0"/>
            <w:vAlign w:val="center"/>
          </w:tcPr>
          <w:p w14:paraId="4B475C0B">
            <w:pPr>
              <w:keepNext w:val="0"/>
              <w:keepLines w:val="0"/>
              <w:suppressLineNumbers w:val="0"/>
              <w:tabs>
                <w:tab w:val="left" w:pos="5580"/>
              </w:tabs>
              <w:spacing w:before="0" w:beforeAutospacing="0" w:after="0" w:afterAutospacing="0" w:line="360" w:lineRule="auto"/>
              <w:ind w:left="0" w:right="-199"/>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882" w:type="dxa"/>
            <w:noWrap w:val="0"/>
            <w:vAlign w:val="center"/>
          </w:tcPr>
          <w:p w14:paraId="3E2AB2F5">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投标总价</w:t>
            </w:r>
          </w:p>
        </w:tc>
        <w:tc>
          <w:tcPr>
            <w:tcW w:w="1792" w:type="dxa"/>
            <w:noWrap w:val="0"/>
            <w:vAlign w:val="center"/>
          </w:tcPr>
          <w:p w14:paraId="5B664EC7">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投标保证金缴纳方式</w:t>
            </w:r>
          </w:p>
        </w:tc>
        <w:tc>
          <w:tcPr>
            <w:tcW w:w="1453" w:type="dxa"/>
            <w:noWrap w:val="0"/>
            <w:vAlign w:val="center"/>
          </w:tcPr>
          <w:p w14:paraId="5B43826B">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交货期</w:t>
            </w:r>
          </w:p>
        </w:tc>
        <w:tc>
          <w:tcPr>
            <w:tcW w:w="1269" w:type="dxa"/>
            <w:noWrap w:val="0"/>
            <w:vAlign w:val="center"/>
          </w:tcPr>
          <w:p w14:paraId="7E0049DB">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交货地点</w:t>
            </w:r>
          </w:p>
        </w:tc>
        <w:tc>
          <w:tcPr>
            <w:tcW w:w="1274" w:type="dxa"/>
            <w:noWrap w:val="0"/>
            <w:vAlign w:val="center"/>
          </w:tcPr>
          <w:p w14:paraId="2BBC5B3E">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6E2F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noWrap w:val="0"/>
            <w:vAlign w:val="center"/>
          </w:tcPr>
          <w:p w14:paraId="7B9B9024">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highlight w:val="none"/>
              </w:rPr>
            </w:pPr>
          </w:p>
        </w:tc>
        <w:tc>
          <w:tcPr>
            <w:tcW w:w="1882" w:type="dxa"/>
            <w:noWrap w:val="0"/>
            <w:vAlign w:val="center"/>
          </w:tcPr>
          <w:p w14:paraId="2A2B0AA3">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highlight w:val="none"/>
              </w:rPr>
            </w:pPr>
            <w:r>
              <w:rPr>
                <w:rFonts w:hint="eastAsia" w:ascii="宋体" w:hAnsi="宋体" w:eastAsia="宋体" w:cs="宋体"/>
                <w:sz w:val="24"/>
                <w:highlight w:val="none"/>
              </w:rPr>
              <w:t>大写：</w:t>
            </w:r>
          </w:p>
          <w:p w14:paraId="55365EC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sz w:val="24"/>
                <w:highlight w:val="none"/>
              </w:rPr>
            </w:pPr>
            <w:r>
              <w:rPr>
                <w:rFonts w:hint="eastAsia" w:ascii="宋体" w:hAnsi="宋体" w:eastAsia="宋体" w:cs="宋体"/>
                <w:sz w:val="24"/>
                <w:highlight w:val="none"/>
              </w:rPr>
              <w:t>小写：</w:t>
            </w:r>
          </w:p>
        </w:tc>
        <w:tc>
          <w:tcPr>
            <w:tcW w:w="1792" w:type="dxa"/>
            <w:noWrap w:val="0"/>
            <w:vAlign w:val="center"/>
          </w:tcPr>
          <w:p w14:paraId="3A3916B1">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highlight w:val="none"/>
              </w:rPr>
            </w:pPr>
          </w:p>
        </w:tc>
        <w:tc>
          <w:tcPr>
            <w:tcW w:w="1453" w:type="dxa"/>
            <w:noWrap w:val="0"/>
            <w:vAlign w:val="center"/>
          </w:tcPr>
          <w:p w14:paraId="2D6A4BCF">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highlight w:val="none"/>
              </w:rPr>
            </w:pPr>
          </w:p>
        </w:tc>
        <w:tc>
          <w:tcPr>
            <w:tcW w:w="1269" w:type="dxa"/>
            <w:noWrap w:val="0"/>
            <w:vAlign w:val="center"/>
          </w:tcPr>
          <w:p w14:paraId="6D215497">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highlight w:val="none"/>
              </w:rPr>
            </w:pPr>
          </w:p>
        </w:tc>
        <w:tc>
          <w:tcPr>
            <w:tcW w:w="1274" w:type="dxa"/>
            <w:noWrap w:val="0"/>
            <w:vAlign w:val="center"/>
          </w:tcPr>
          <w:p w14:paraId="376E0EDD">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宋体" w:hAnsi="宋体" w:eastAsia="宋体" w:cs="宋体"/>
                <w:sz w:val="24"/>
                <w:highlight w:val="none"/>
              </w:rPr>
            </w:pPr>
          </w:p>
        </w:tc>
      </w:tr>
    </w:tbl>
    <w:p w14:paraId="652E41B4">
      <w:pPr>
        <w:pStyle w:val="16"/>
        <w:tabs>
          <w:tab w:val="left" w:pos="5580"/>
        </w:tabs>
        <w:spacing w:line="360" w:lineRule="auto"/>
        <w:ind w:left="1080" w:leftChars="257" w:hanging="540"/>
        <w:rPr>
          <w:rFonts w:hint="eastAsia" w:ascii="宋体" w:hAnsi="宋体" w:eastAsia="宋体" w:cs="宋体"/>
          <w:sz w:val="24"/>
          <w:highlight w:val="none"/>
        </w:rPr>
      </w:pPr>
    </w:p>
    <w:p w14:paraId="4C59315B">
      <w:pPr>
        <w:pStyle w:val="16"/>
        <w:tabs>
          <w:tab w:val="left" w:pos="5580"/>
        </w:tabs>
        <w:spacing w:line="360" w:lineRule="auto"/>
        <w:rPr>
          <w:rFonts w:hint="eastAsia" w:ascii="宋体" w:hAnsi="宋体" w:eastAsia="宋体" w:cs="宋体"/>
          <w:sz w:val="24"/>
          <w:highlight w:val="none"/>
          <w:u w:val="single"/>
        </w:rPr>
      </w:pPr>
    </w:p>
    <w:p w14:paraId="68FBFFCD">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投标人名称（单位章）：</w:t>
      </w:r>
      <w:r>
        <w:rPr>
          <w:rFonts w:hint="eastAsia" w:ascii="宋体" w:hAnsi="宋体" w:eastAsia="宋体" w:cs="宋体"/>
          <w:sz w:val="24"/>
          <w:highlight w:val="none"/>
          <w:u w:val="single"/>
        </w:rPr>
        <w:t xml:space="preserve">                       </w:t>
      </w:r>
    </w:p>
    <w:p w14:paraId="27268D03">
      <w:pPr>
        <w:pStyle w:val="16"/>
        <w:tabs>
          <w:tab w:val="left" w:pos="5580"/>
        </w:tabs>
        <w:spacing w:line="360" w:lineRule="auto"/>
        <w:ind w:left="1080" w:leftChars="257" w:hanging="540"/>
        <w:rPr>
          <w:rFonts w:hint="eastAsia" w:ascii="宋体" w:hAnsi="宋体" w:eastAsia="宋体" w:cs="宋体"/>
          <w:sz w:val="24"/>
          <w:highlight w:val="none"/>
          <w:u w:val="single"/>
        </w:rPr>
      </w:pPr>
      <w:r>
        <w:rPr>
          <w:rFonts w:hint="eastAsia" w:ascii="宋体" w:hAnsi="宋体" w:eastAsia="宋体" w:cs="宋体"/>
          <w:sz w:val="24"/>
          <w:highlight w:val="none"/>
        </w:rPr>
        <w:t>法定代表人或其委托代理人(签字</w:t>
      </w:r>
      <w:r>
        <w:rPr>
          <w:rFonts w:hint="eastAsia" w:ascii="宋体" w:hAnsi="宋体" w:eastAsia="宋体" w:cs="宋体"/>
          <w:sz w:val="24"/>
          <w:highlight w:val="none"/>
          <w:lang w:val="en-US" w:eastAsia="zh-CN"/>
        </w:rPr>
        <w:t>或签章</w:t>
      </w:r>
      <w:r>
        <w:rPr>
          <w:rFonts w:hint="eastAsia" w:ascii="宋体" w:hAnsi="宋体" w:eastAsia="宋体" w:cs="宋体"/>
          <w:sz w:val="24"/>
          <w:highlight w:val="none"/>
        </w:rPr>
        <w:t>):</w:t>
      </w:r>
      <w:r>
        <w:rPr>
          <w:rFonts w:hint="eastAsia" w:ascii="宋体" w:hAnsi="宋体" w:eastAsia="宋体" w:cs="宋体"/>
          <w:sz w:val="24"/>
          <w:highlight w:val="none"/>
          <w:u w:val="single"/>
        </w:rPr>
        <w:tab/>
      </w:r>
    </w:p>
    <w:p w14:paraId="0314021B">
      <w:pPr>
        <w:pStyle w:val="16"/>
        <w:tabs>
          <w:tab w:val="left" w:pos="5580"/>
        </w:tabs>
        <w:spacing w:line="360" w:lineRule="auto"/>
        <w:rPr>
          <w:rFonts w:hint="eastAsia" w:ascii="宋体" w:hAnsi="宋体" w:eastAsia="宋体" w:cs="宋体"/>
          <w:b/>
          <w:highlight w:val="none"/>
        </w:rPr>
      </w:pPr>
    </w:p>
    <w:p w14:paraId="2601E539">
      <w:pPr>
        <w:pStyle w:val="16"/>
        <w:tabs>
          <w:tab w:val="left" w:pos="5580"/>
        </w:tabs>
        <w:spacing w:line="360" w:lineRule="auto"/>
        <w:rPr>
          <w:rFonts w:hint="eastAsia" w:ascii="宋体" w:hAnsi="宋体" w:eastAsia="宋体" w:cs="宋体"/>
          <w:sz w:val="24"/>
          <w:highlight w:val="none"/>
          <w:u w:val="single"/>
        </w:rPr>
      </w:pPr>
    </w:p>
    <w:p w14:paraId="5692ADAA">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1、此表应按投标人须知的规定</w:t>
      </w:r>
      <w:r>
        <w:rPr>
          <w:rFonts w:hint="eastAsia" w:ascii="宋体" w:hAnsi="宋体" w:eastAsia="宋体" w:cs="宋体"/>
          <w:sz w:val="24"/>
          <w:highlight w:val="none"/>
          <w:lang w:val="en-US" w:eastAsia="zh-CN"/>
        </w:rPr>
        <w:t>上传</w:t>
      </w:r>
      <w:r>
        <w:rPr>
          <w:rFonts w:hint="eastAsia" w:ascii="宋体" w:hAnsi="宋体" w:eastAsia="宋体" w:cs="宋体"/>
          <w:sz w:val="24"/>
          <w:highlight w:val="none"/>
        </w:rPr>
        <w:t>。</w:t>
      </w:r>
    </w:p>
    <w:p w14:paraId="1216F92C">
      <w:pPr>
        <w:pStyle w:val="16"/>
        <w:numPr>
          <w:ilvl w:val="0"/>
          <w:numId w:val="11"/>
        </w:numPr>
        <w:tabs>
          <w:tab w:val="left" w:pos="5580"/>
        </w:tabs>
        <w:spacing w:line="360" w:lineRule="auto"/>
        <w:ind w:left="1079" w:leftChars="428" w:hanging="180" w:hangingChars="75"/>
        <w:rPr>
          <w:rFonts w:hint="eastAsia" w:ascii="宋体" w:hAnsi="宋体" w:eastAsia="宋体" w:cs="宋体"/>
          <w:sz w:val="24"/>
          <w:highlight w:val="none"/>
        </w:rPr>
      </w:pPr>
      <w:r>
        <w:rPr>
          <w:rFonts w:hint="eastAsia" w:ascii="宋体" w:hAnsi="宋体" w:eastAsia="宋体" w:cs="宋体"/>
          <w:sz w:val="24"/>
          <w:highlight w:val="none"/>
        </w:rPr>
        <w:t>此表中，投标总价应和投标分项报价表的总价相一致。</w:t>
      </w:r>
    </w:p>
    <w:p w14:paraId="49A0AFC6">
      <w:pPr>
        <w:pStyle w:val="9"/>
        <w:rPr>
          <w:rFonts w:hint="eastAsia" w:ascii="宋体" w:hAnsi="宋体" w:eastAsia="宋体" w:cs="宋体"/>
          <w:highlight w:val="none"/>
        </w:rPr>
      </w:pPr>
      <w:r>
        <w:rPr>
          <w:rFonts w:hint="eastAsia" w:ascii="宋体" w:hAnsi="宋体" w:eastAsia="宋体" w:cs="宋体"/>
          <w:highlight w:val="none"/>
        </w:rPr>
        <w:br w:type="page"/>
      </w:r>
    </w:p>
    <w:bookmarkEnd w:id="341"/>
    <w:bookmarkEnd w:id="342"/>
    <w:bookmarkEnd w:id="343"/>
    <w:bookmarkEnd w:id="344"/>
    <w:bookmarkEnd w:id="345"/>
    <w:bookmarkEnd w:id="346"/>
    <w:p w14:paraId="78690487">
      <w:pPr>
        <w:pStyle w:val="3"/>
        <w:numPr>
          <w:ilvl w:val="1"/>
          <w:numId w:val="0"/>
        </w:numPr>
        <w:spacing w:before="0"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投标分项报价表</w:t>
      </w:r>
    </w:p>
    <w:p w14:paraId="66E1B31E">
      <w:pPr>
        <w:pStyle w:val="38"/>
        <w:rPr>
          <w:rFonts w:hint="eastAsia" w:ascii="宋体" w:hAnsi="宋体" w:eastAsia="宋体" w:cs="宋体"/>
          <w:highlight w:val="none"/>
        </w:rPr>
      </w:pPr>
    </w:p>
    <w:p w14:paraId="49776CC7">
      <w:pPr>
        <w:pStyle w:val="51"/>
        <w:spacing w:line="360" w:lineRule="auto"/>
        <w:ind w:left="-141" w:leftChars="-67"/>
        <w:rPr>
          <w:rFonts w:hint="eastAsia" w:ascii="宋体" w:hAnsi="宋体" w:eastAsia="宋体" w:cs="宋体"/>
          <w:sz w:val="24"/>
          <w:highlight w:val="none"/>
        </w:rPr>
      </w:pPr>
      <w:r>
        <w:rPr>
          <w:rFonts w:hint="eastAsia" w:ascii="宋体" w:hAnsi="宋体" w:eastAsia="宋体" w:cs="宋体"/>
          <w:sz w:val="24"/>
          <w:highlight w:val="none"/>
        </w:rPr>
        <w:t>项目名称:              招标编号:            报价单位：人民币元</w:t>
      </w:r>
    </w:p>
    <w:tbl>
      <w:tblPr>
        <w:tblStyle w:val="29"/>
        <w:tblpPr w:leftFromText="180" w:rightFromText="180" w:vertAnchor="text" w:horzAnchor="page" w:tblpXSpec="center" w:tblpY="327"/>
        <w:tblOverlap w:val="never"/>
        <w:tblW w:w="9616" w:type="dxa"/>
        <w:jc w:val="center"/>
        <w:tblLayout w:type="fixed"/>
        <w:tblCellMar>
          <w:top w:w="15" w:type="dxa"/>
          <w:left w:w="15" w:type="dxa"/>
          <w:bottom w:w="0" w:type="dxa"/>
          <w:right w:w="15" w:type="dxa"/>
        </w:tblCellMar>
      </w:tblPr>
      <w:tblGrid>
        <w:gridCol w:w="1080"/>
        <w:gridCol w:w="1080"/>
        <w:gridCol w:w="1080"/>
        <w:gridCol w:w="1080"/>
        <w:gridCol w:w="971"/>
        <w:gridCol w:w="1486"/>
        <w:gridCol w:w="982"/>
        <w:gridCol w:w="982"/>
        <w:gridCol w:w="875"/>
      </w:tblGrid>
      <w:tr w14:paraId="7DF24611">
        <w:tblPrEx>
          <w:tblCellMar>
            <w:top w:w="15" w:type="dxa"/>
            <w:left w:w="15" w:type="dxa"/>
            <w:bottom w:w="0" w:type="dxa"/>
            <w:right w:w="15"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B0D5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4FAF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名称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C6CF5">
            <w:pPr>
              <w:keepNext w:val="0"/>
              <w:keepLines w:val="0"/>
              <w:widowControl/>
              <w:suppressLineNumbers w:val="0"/>
              <w:spacing w:before="0" w:beforeAutospacing="0" w:after="0" w:afterAutospacing="0" w:line="360" w:lineRule="auto"/>
              <w:ind w:left="0" w:right="0" w:firstLine="240" w:firstLineChars="100"/>
              <w:jc w:val="both"/>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品牌</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FA5A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型号</w:t>
            </w: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FBB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数量</w:t>
            </w: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D9C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制造商名称</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738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单价</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DFE0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总价</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E432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14:paraId="4B39DD1D">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5C1E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9050">
            <w:pPr>
              <w:keepNext w:val="0"/>
              <w:keepLines w:val="0"/>
              <w:suppressLineNumbers w:val="0"/>
              <w:spacing w:before="0" w:beforeAutospacing="0" w:after="0" w:afterAutospacing="0" w:line="360" w:lineRule="auto"/>
              <w:ind w:left="0" w:right="0"/>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2E20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E72E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8E1D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C4A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4E8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0230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B38D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02FDD1F3">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F09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27EE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0F43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F77A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2B4F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E236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37C6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0372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D2FA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9F8BD0F">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40C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59B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49F6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BFB1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6F9B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5B95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B6FF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38C4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A4DC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A1EDDFA">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B0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2C40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A55B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1F78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D579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C3C0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1EBA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86C9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7A4F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44F9545C">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2C49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744F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3678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7B06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3B9E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1AC4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A1F8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F173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FEAD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351B069F">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56E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5AE2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6B83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67AF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8C6D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1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565B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798B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A5B1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3E13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p>
        </w:tc>
      </w:tr>
      <w:tr w14:paraId="5EF547AC">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DE611">
            <w:pPr>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highlight w:val="none"/>
              </w:rPr>
            </w:pPr>
          </w:p>
        </w:tc>
        <w:tc>
          <w:tcPr>
            <w:tcW w:w="667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A5AE">
            <w:pPr>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highlight w:val="none"/>
              </w:rPr>
            </w:pPr>
            <w:r>
              <w:rPr>
                <w:rFonts w:hint="eastAsia" w:ascii="宋体" w:hAnsi="宋体" w:eastAsia="宋体" w:cs="宋体"/>
                <w:kern w:val="0"/>
                <w:sz w:val="24"/>
                <w:highlight w:val="none"/>
              </w:rPr>
              <w:t>总价：</w:t>
            </w:r>
          </w:p>
        </w:tc>
        <w:tc>
          <w:tcPr>
            <w:tcW w:w="18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A67EE">
            <w:pPr>
              <w:keepNext w:val="0"/>
              <w:keepLines w:val="0"/>
              <w:suppressLineNumbers w:val="0"/>
              <w:spacing w:before="0" w:beforeAutospacing="0" w:after="0" w:afterAutospacing="0" w:line="360" w:lineRule="auto"/>
              <w:ind w:left="0" w:right="0"/>
              <w:rPr>
                <w:rFonts w:hint="eastAsia" w:ascii="宋体" w:hAnsi="宋体" w:eastAsia="宋体" w:cs="宋体"/>
                <w:sz w:val="22"/>
                <w:szCs w:val="22"/>
                <w:highlight w:val="none"/>
              </w:rPr>
            </w:pPr>
          </w:p>
        </w:tc>
      </w:tr>
    </w:tbl>
    <w:p w14:paraId="03A9504C">
      <w:pPr>
        <w:pStyle w:val="51"/>
        <w:spacing w:line="360" w:lineRule="auto"/>
        <w:ind w:left="-141" w:leftChars="-67"/>
        <w:rPr>
          <w:rFonts w:hint="eastAsia" w:ascii="宋体" w:hAnsi="宋体" w:eastAsia="宋体" w:cs="宋体"/>
          <w:sz w:val="24"/>
          <w:highlight w:val="none"/>
        </w:rPr>
      </w:pPr>
    </w:p>
    <w:p w14:paraId="2D24D0B9">
      <w:pPr>
        <w:rPr>
          <w:rFonts w:hint="eastAsia" w:ascii="宋体" w:hAnsi="宋体" w:eastAsia="宋体" w:cs="宋体"/>
          <w:b/>
          <w:bCs/>
          <w:highlight w:val="none"/>
        </w:rPr>
      </w:pPr>
    </w:p>
    <w:p w14:paraId="18FB76D5">
      <w:pPr>
        <w:pStyle w:val="51"/>
        <w:spacing w:line="360" w:lineRule="auto"/>
        <w:ind w:left="-141" w:leftChars="-67"/>
        <w:rPr>
          <w:rFonts w:hint="eastAsia" w:ascii="宋体" w:hAnsi="宋体" w:eastAsia="宋体" w:cs="宋体"/>
          <w:sz w:val="24"/>
          <w:highlight w:val="none"/>
        </w:rPr>
      </w:pPr>
    </w:p>
    <w:p w14:paraId="34A8C595">
      <w:pPr>
        <w:pStyle w:val="51"/>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法定代表人或其委托代理人（签字或签章）:</w:t>
      </w:r>
      <w:r>
        <w:rPr>
          <w:rFonts w:hint="eastAsia" w:ascii="宋体" w:hAnsi="宋体" w:eastAsia="宋体" w:cs="宋体"/>
          <w:sz w:val="24"/>
          <w:highlight w:val="none"/>
          <w:u w:val="single"/>
        </w:rPr>
        <w:t xml:space="preserve">             </w:t>
      </w:r>
    </w:p>
    <w:p w14:paraId="5A8C237E">
      <w:pPr>
        <w:pStyle w:val="51"/>
        <w:tabs>
          <w:tab w:val="left" w:pos="537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投标人(盖单位章):</w:t>
      </w:r>
      <w:r>
        <w:rPr>
          <w:rFonts w:hint="eastAsia" w:ascii="宋体" w:hAnsi="宋体" w:eastAsia="宋体" w:cs="宋体"/>
          <w:sz w:val="24"/>
          <w:highlight w:val="none"/>
          <w:u w:val="single"/>
        </w:rPr>
        <w:tab/>
      </w:r>
    </w:p>
    <w:p w14:paraId="3822D6A0">
      <w:pPr>
        <w:pStyle w:val="51"/>
        <w:spacing w:line="360" w:lineRule="auto"/>
        <w:ind w:left="1080" w:leftChars="257" w:hanging="540"/>
        <w:rPr>
          <w:rFonts w:hint="eastAsia" w:ascii="宋体" w:hAnsi="宋体" w:eastAsia="宋体" w:cs="宋体"/>
          <w:sz w:val="24"/>
          <w:highlight w:val="none"/>
        </w:rPr>
      </w:pPr>
    </w:p>
    <w:p w14:paraId="74F89FB9">
      <w:pPr>
        <w:pStyle w:val="51"/>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1.如果按单价计算的结果与总价不一致,以单价为准修正总价。</w:t>
      </w:r>
    </w:p>
    <w:p w14:paraId="0197F826">
      <w:pPr>
        <w:pStyle w:val="51"/>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.如果不提供详细分项报价将视为没有实质性响应招标文件</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包括服务内容中货物（或软件）的</w:t>
      </w:r>
      <w:r>
        <w:rPr>
          <w:rFonts w:hint="eastAsia" w:ascii="宋体" w:hAnsi="宋体" w:eastAsia="宋体" w:cs="宋体"/>
          <w:b/>
          <w:bCs/>
          <w:sz w:val="24"/>
          <w:highlight w:val="none"/>
        </w:rPr>
        <w:t>名称、</w:t>
      </w:r>
      <w:r>
        <w:rPr>
          <w:rFonts w:hint="eastAsia" w:ascii="宋体" w:hAnsi="宋体" w:eastAsia="宋体" w:cs="宋体"/>
          <w:b/>
          <w:bCs/>
          <w:sz w:val="24"/>
          <w:highlight w:val="none"/>
          <w:lang w:val="en-US" w:eastAsia="zh-CN"/>
        </w:rPr>
        <w:t>品牌、</w:t>
      </w:r>
      <w:r>
        <w:rPr>
          <w:rFonts w:hint="eastAsia" w:ascii="宋体" w:hAnsi="宋体" w:eastAsia="宋体" w:cs="宋体"/>
          <w:b/>
          <w:bCs/>
          <w:sz w:val="24"/>
          <w:highlight w:val="none"/>
        </w:rPr>
        <w:t>型号、数量、制造商名称、单价、总价需全部完整填写</w:t>
      </w:r>
      <w:r>
        <w:rPr>
          <w:rFonts w:hint="eastAsia" w:ascii="宋体" w:hAnsi="宋体" w:eastAsia="宋体" w:cs="宋体"/>
          <w:b/>
          <w:bCs/>
          <w:sz w:val="24"/>
          <w:highlight w:val="none"/>
          <w:lang w:eastAsia="zh-CN"/>
        </w:rPr>
        <w:t>，若需求清单中含辅材或采购需求定制产品可在“品牌、型号”处填写“定制”</w:t>
      </w:r>
      <w:r>
        <w:rPr>
          <w:rFonts w:hint="eastAsia" w:ascii="宋体" w:hAnsi="宋体" w:eastAsia="宋体" w:cs="宋体"/>
          <w:b/>
          <w:bCs/>
          <w:sz w:val="24"/>
          <w:highlight w:val="none"/>
        </w:rPr>
        <w:t>）</w:t>
      </w:r>
      <w:r>
        <w:rPr>
          <w:rFonts w:hint="eastAsia" w:ascii="宋体" w:hAnsi="宋体" w:eastAsia="宋体" w:cs="宋体"/>
          <w:sz w:val="24"/>
          <w:highlight w:val="none"/>
        </w:rPr>
        <w:t>。</w:t>
      </w:r>
    </w:p>
    <w:p w14:paraId="2F8CAA79">
      <w:pPr>
        <w:pStyle w:val="51"/>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4.如果投标人认为需要，</w:t>
      </w:r>
      <w:r>
        <w:rPr>
          <w:rFonts w:hint="eastAsia" w:ascii="宋体" w:hAnsi="宋体" w:eastAsia="宋体" w:cs="宋体"/>
          <w:sz w:val="24"/>
          <w:highlight w:val="none"/>
          <w:lang w:val="en-US" w:eastAsia="zh-CN"/>
        </w:rPr>
        <w:t>可在不删减原表基础上新增其他内容或</w:t>
      </w:r>
      <w:r>
        <w:rPr>
          <w:rFonts w:hint="eastAsia" w:ascii="宋体" w:hAnsi="宋体" w:eastAsia="宋体" w:cs="宋体"/>
          <w:sz w:val="24"/>
          <w:highlight w:val="none"/>
        </w:rPr>
        <w:t>另页描述。</w:t>
      </w:r>
    </w:p>
    <w:p w14:paraId="23047DDB">
      <w:pPr>
        <w:pStyle w:val="16"/>
        <w:spacing w:line="360" w:lineRule="auto"/>
        <w:ind w:firstLine="480" w:firstLineChars="200"/>
        <w:rPr>
          <w:rFonts w:hint="eastAsia" w:ascii="宋体" w:hAnsi="宋体" w:eastAsia="宋体" w:cs="宋体"/>
          <w:sz w:val="24"/>
          <w:highlight w:val="none"/>
        </w:rPr>
      </w:pPr>
      <w:bookmarkStart w:id="347" w:name="_Toc31304"/>
      <w:bookmarkEnd w:id="347"/>
      <w:r>
        <w:rPr>
          <w:rFonts w:hint="eastAsia" w:ascii="宋体" w:hAnsi="宋体" w:eastAsia="宋体" w:cs="宋体"/>
          <w:sz w:val="24"/>
          <w:highlight w:val="none"/>
        </w:rPr>
        <w:t>5.如果开标一览表（报价表）内容与投标文件中明细表内容不一致的，以开标一览表（报价表）内容为准。</w:t>
      </w:r>
      <w:r>
        <w:rPr>
          <w:rFonts w:hint="eastAsia" w:ascii="宋体" w:hAnsi="宋体" w:eastAsia="宋体" w:cs="宋体"/>
          <w:sz w:val="24"/>
          <w:highlight w:val="none"/>
        </w:rPr>
        <w:br w:type="page"/>
      </w:r>
      <w:r>
        <w:rPr>
          <w:rFonts w:hint="eastAsia" w:ascii="宋体" w:hAnsi="宋体" w:eastAsia="宋体" w:cs="宋体"/>
          <w:sz w:val="24"/>
          <w:highlight w:val="none"/>
        </w:rPr>
        <w:t xml:space="preserve">  </w:t>
      </w:r>
    </w:p>
    <w:p w14:paraId="6189C0E8">
      <w:pPr>
        <w:pStyle w:val="3"/>
        <w:numPr>
          <w:ilvl w:val="1"/>
          <w:numId w:val="0"/>
        </w:numPr>
        <w:spacing w:before="0" w:line="360" w:lineRule="auto"/>
        <w:ind w:leftChars="0"/>
        <w:jc w:val="center"/>
        <w:rPr>
          <w:rFonts w:hint="eastAsia" w:ascii="宋体" w:hAnsi="宋体" w:eastAsia="宋体" w:cs="宋体"/>
          <w:sz w:val="24"/>
          <w:highlight w:val="none"/>
        </w:rPr>
      </w:pPr>
      <w:bookmarkStart w:id="348" w:name="_Toc2103"/>
      <w:bookmarkStart w:id="349" w:name="_Toc16728"/>
      <w:bookmarkStart w:id="350" w:name="_Toc14331"/>
      <w:r>
        <w:rPr>
          <w:rFonts w:hint="eastAsia" w:ascii="宋体" w:hAnsi="宋体" w:eastAsia="宋体" w:cs="宋体"/>
          <w:sz w:val="24"/>
          <w:highlight w:val="none"/>
          <w:lang w:val="en-US" w:eastAsia="zh-CN"/>
        </w:rPr>
        <w:t>4、</w:t>
      </w:r>
      <w:r>
        <w:rPr>
          <w:rFonts w:hint="eastAsia" w:ascii="宋体" w:hAnsi="宋体" w:eastAsia="宋体" w:cs="宋体"/>
          <w:sz w:val="24"/>
          <w:highlight w:val="none"/>
        </w:rPr>
        <w:t>技术规格偏离表</w:t>
      </w:r>
      <w:bookmarkEnd w:id="348"/>
      <w:bookmarkEnd w:id="349"/>
      <w:bookmarkEnd w:id="350"/>
    </w:p>
    <w:p w14:paraId="4F136F63">
      <w:pPr>
        <w:pStyle w:val="16"/>
        <w:spacing w:line="360" w:lineRule="auto"/>
        <w:rPr>
          <w:rFonts w:hint="eastAsia" w:ascii="宋体" w:hAnsi="宋体" w:eastAsia="宋体" w:cs="宋体"/>
          <w:sz w:val="24"/>
          <w:highlight w:val="none"/>
        </w:rPr>
      </w:pPr>
      <w:bookmarkStart w:id="351" w:name="_Toc480"/>
      <w:bookmarkStart w:id="352" w:name="_Toc29458"/>
      <w:bookmarkStart w:id="353" w:name="_Toc17685"/>
      <w:bookmarkStart w:id="354" w:name="_Toc518923120"/>
      <w:bookmarkStart w:id="355" w:name="_Toc26276"/>
      <w:bookmarkStart w:id="356" w:name="_Toc25044"/>
      <w:bookmarkStart w:id="357" w:name="_Toc518923121"/>
      <w:bookmarkStart w:id="358" w:name="_Toc12477"/>
      <w:bookmarkStart w:id="359" w:name="_Toc625"/>
      <w:bookmarkStart w:id="360" w:name="_Toc14769"/>
      <w:r>
        <w:rPr>
          <w:rFonts w:hint="eastAsia" w:ascii="宋体" w:hAnsi="宋体" w:eastAsia="宋体" w:cs="宋体"/>
          <w:sz w:val="24"/>
          <w:highlight w:val="none"/>
        </w:rPr>
        <w:t xml:space="preserve">项目名称:                       招标编号:            </w:t>
      </w:r>
      <w:r>
        <w:rPr>
          <w:rFonts w:hint="eastAsia" w:ascii="宋体" w:hAnsi="宋体" w:eastAsia="宋体" w:cs="宋体"/>
          <w:sz w:val="24"/>
          <w:highlight w:val="none"/>
          <w:lang w:val="en-US" w:eastAsia="zh-CN"/>
        </w:rPr>
        <w:t>包号：</w:t>
      </w:r>
      <w:r>
        <w:rPr>
          <w:rFonts w:hint="eastAsia" w:ascii="宋体" w:hAnsi="宋体" w:eastAsia="宋体" w:cs="宋体"/>
          <w:sz w:val="24"/>
          <w:highlight w:val="none"/>
        </w:rPr>
        <w:t xml:space="preserve">        </w:t>
      </w:r>
    </w:p>
    <w:tbl>
      <w:tblPr>
        <w:tblStyle w:val="29"/>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37"/>
        <w:gridCol w:w="1938"/>
        <w:gridCol w:w="1660"/>
        <w:gridCol w:w="1270"/>
        <w:gridCol w:w="966"/>
      </w:tblGrid>
      <w:tr w14:paraId="15B4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center"/>
          </w:tcPr>
          <w:p w14:paraId="5EB127C4">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537" w:type="dxa"/>
            <w:noWrap w:val="0"/>
            <w:vAlign w:val="center"/>
          </w:tcPr>
          <w:p w14:paraId="528CD400">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1938" w:type="dxa"/>
            <w:noWrap w:val="0"/>
            <w:vAlign w:val="center"/>
          </w:tcPr>
          <w:p w14:paraId="59E83BC0">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招标规格</w:t>
            </w:r>
          </w:p>
        </w:tc>
        <w:tc>
          <w:tcPr>
            <w:tcW w:w="1660" w:type="dxa"/>
            <w:noWrap w:val="0"/>
            <w:vAlign w:val="center"/>
          </w:tcPr>
          <w:p w14:paraId="02249C1D">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投标规格</w:t>
            </w:r>
          </w:p>
        </w:tc>
        <w:tc>
          <w:tcPr>
            <w:tcW w:w="1270" w:type="dxa"/>
            <w:noWrap w:val="0"/>
            <w:vAlign w:val="center"/>
          </w:tcPr>
          <w:p w14:paraId="7E45FB07">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偏离</w:t>
            </w:r>
          </w:p>
        </w:tc>
        <w:tc>
          <w:tcPr>
            <w:tcW w:w="966" w:type="dxa"/>
            <w:noWrap w:val="0"/>
            <w:vAlign w:val="center"/>
          </w:tcPr>
          <w:p w14:paraId="5EAE3B39">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说明</w:t>
            </w:r>
          </w:p>
        </w:tc>
      </w:tr>
      <w:tr w14:paraId="07BA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261484F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0D57B34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2CB26F3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1D36398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1D8C2EF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0738A36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3A23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7C42B99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7A6A7E4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428B4B6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6F1803D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4EFB8D98">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68A7CDA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5014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0C414EE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3EA5518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54E84C9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592D585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58C4560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47452CF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496F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4F75C66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1956A2B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036521FE">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66DDB53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60A2585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5B7EDD6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4966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4E7ABD9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7C1546F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4C2E278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72299AE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4B07D56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6970D60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68A2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03208F4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71234D7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2C0E5EB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39B6351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26384C7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49FDEDA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073E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0F99268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186470D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7061490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50CFC59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1C7497E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5F98F8E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1FCE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6B10118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63E464C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18B9E69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69BB1CB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7B56DBE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3094126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6D46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noWrap w:val="0"/>
            <w:vAlign w:val="top"/>
          </w:tcPr>
          <w:p w14:paraId="6815B69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1B28825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7E1B983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6378AA3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148A656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6C6E506E">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2885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noWrap w:val="0"/>
            <w:vAlign w:val="top"/>
          </w:tcPr>
          <w:p w14:paraId="067E534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54F2E98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1289BF78">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603E80D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7603FCB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1B62C7D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2CAB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noWrap w:val="0"/>
            <w:vAlign w:val="top"/>
          </w:tcPr>
          <w:p w14:paraId="180C72D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537" w:type="dxa"/>
            <w:noWrap w:val="0"/>
            <w:vAlign w:val="top"/>
          </w:tcPr>
          <w:p w14:paraId="0C0E597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938" w:type="dxa"/>
            <w:noWrap w:val="0"/>
            <w:vAlign w:val="top"/>
          </w:tcPr>
          <w:p w14:paraId="50B4105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660" w:type="dxa"/>
            <w:noWrap w:val="0"/>
            <w:vAlign w:val="top"/>
          </w:tcPr>
          <w:p w14:paraId="39DB409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270" w:type="dxa"/>
            <w:noWrap w:val="0"/>
            <w:vAlign w:val="top"/>
          </w:tcPr>
          <w:p w14:paraId="286FBB4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966" w:type="dxa"/>
            <w:noWrap w:val="0"/>
            <w:vAlign w:val="top"/>
          </w:tcPr>
          <w:p w14:paraId="1A1E959E">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bl>
    <w:p w14:paraId="632F9030">
      <w:pPr>
        <w:pStyle w:val="16"/>
        <w:spacing w:line="360" w:lineRule="auto"/>
        <w:ind w:left="1080" w:leftChars="257" w:hanging="540"/>
        <w:rPr>
          <w:rFonts w:hint="eastAsia" w:ascii="宋体" w:hAnsi="宋体" w:eastAsia="宋体" w:cs="宋体"/>
          <w:sz w:val="24"/>
          <w:highlight w:val="none"/>
        </w:rPr>
      </w:pPr>
    </w:p>
    <w:p w14:paraId="6856D695">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注:</w:t>
      </w:r>
    </w:p>
    <w:p w14:paraId="1BAF74DF">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应对照采购文件采购需求中的技术参数</w:t>
      </w:r>
      <w:r>
        <w:rPr>
          <w:rFonts w:hint="eastAsia" w:ascii="宋体" w:hAnsi="宋体" w:eastAsia="宋体" w:cs="宋体"/>
          <w:sz w:val="24"/>
          <w:highlight w:val="none"/>
          <w:lang w:val="en-US" w:eastAsia="zh-CN"/>
        </w:rPr>
        <w:t>及要求</w:t>
      </w:r>
      <w:r>
        <w:rPr>
          <w:rFonts w:hint="eastAsia" w:ascii="宋体" w:hAnsi="宋体" w:eastAsia="宋体" w:cs="宋体"/>
          <w:sz w:val="24"/>
          <w:highlight w:val="none"/>
        </w:rPr>
        <w:t>，说明所提供产品</w:t>
      </w:r>
      <w:r>
        <w:rPr>
          <w:rFonts w:hint="eastAsia" w:ascii="宋体" w:hAnsi="宋体" w:eastAsia="宋体" w:cs="宋体"/>
          <w:sz w:val="24"/>
          <w:highlight w:val="none"/>
          <w:lang w:val="en-US" w:eastAsia="zh-CN"/>
        </w:rPr>
        <w:t>或（工程）服务</w:t>
      </w:r>
      <w:r>
        <w:rPr>
          <w:rFonts w:hint="eastAsia" w:ascii="宋体" w:hAnsi="宋体" w:eastAsia="宋体" w:cs="宋体"/>
          <w:sz w:val="24"/>
          <w:highlight w:val="none"/>
        </w:rPr>
        <w:t>对采购文件的技术参数</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需求</w:t>
      </w:r>
      <w:r>
        <w:rPr>
          <w:rFonts w:hint="eastAsia" w:ascii="宋体" w:hAnsi="宋体" w:eastAsia="宋体" w:cs="宋体"/>
          <w:sz w:val="24"/>
          <w:highlight w:val="none"/>
          <w:lang w:eastAsia="zh-CN"/>
        </w:rPr>
        <w:t>）</w:t>
      </w:r>
      <w:r>
        <w:rPr>
          <w:rFonts w:hint="eastAsia" w:ascii="宋体" w:hAnsi="宋体" w:eastAsia="宋体" w:cs="宋体"/>
          <w:sz w:val="24"/>
          <w:highlight w:val="none"/>
        </w:rPr>
        <w:t>做出响应或偏离</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正偏离/负偏离/无偏离</w:t>
      </w:r>
      <w:r>
        <w:rPr>
          <w:rFonts w:hint="eastAsia" w:ascii="宋体" w:hAnsi="宋体" w:eastAsia="宋体" w:cs="宋体"/>
          <w:sz w:val="24"/>
          <w:highlight w:val="none"/>
          <w:lang w:eastAsia="zh-CN"/>
        </w:rPr>
        <w:t>）</w:t>
      </w:r>
      <w:r>
        <w:rPr>
          <w:rFonts w:hint="eastAsia" w:ascii="宋体" w:hAnsi="宋体" w:eastAsia="宋体" w:cs="宋体"/>
          <w:sz w:val="24"/>
          <w:highlight w:val="none"/>
        </w:rPr>
        <w:t>。</w:t>
      </w:r>
    </w:p>
    <w:p w14:paraId="09929F2B">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2、以上响应/偏离内容</w:t>
      </w:r>
      <w:r>
        <w:rPr>
          <w:rFonts w:hint="eastAsia" w:ascii="宋体" w:hAnsi="宋体" w:eastAsia="宋体" w:cs="宋体"/>
          <w:sz w:val="24"/>
          <w:highlight w:val="none"/>
          <w:lang w:val="en-US" w:eastAsia="zh-CN"/>
        </w:rPr>
        <w:t>投标人认为有必要提供说明或备注</w:t>
      </w:r>
      <w:r>
        <w:rPr>
          <w:rFonts w:hint="eastAsia" w:ascii="宋体" w:hAnsi="宋体" w:eastAsia="宋体" w:cs="宋体"/>
          <w:sz w:val="24"/>
          <w:highlight w:val="none"/>
        </w:rPr>
        <w:t>应在说明栏中注明该条在响应文件中相关部分(或页码)相应的依据;</w:t>
      </w:r>
    </w:p>
    <w:p w14:paraId="24DD5382">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3、供应商所供产品（工程</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服务</w:t>
      </w:r>
      <w:r>
        <w:rPr>
          <w:rFonts w:hint="eastAsia" w:ascii="宋体" w:hAnsi="宋体" w:eastAsia="宋体" w:cs="宋体"/>
          <w:sz w:val="24"/>
          <w:highlight w:val="none"/>
          <w:lang w:val="en-US" w:eastAsia="zh-CN"/>
        </w:rPr>
        <w:t>需求</w:t>
      </w:r>
      <w:r>
        <w:rPr>
          <w:rFonts w:hint="eastAsia" w:ascii="宋体" w:hAnsi="宋体" w:eastAsia="宋体" w:cs="宋体"/>
          <w:sz w:val="24"/>
          <w:highlight w:val="none"/>
        </w:rPr>
        <w:t>）如与采购文件要求的技术规格及配置不一致，则需在上表说明栏中注明:</w:t>
      </w:r>
    </w:p>
    <w:p w14:paraId="07C9097F">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4、如不按要求填写，产生的一切后果由供应商负责。</w:t>
      </w:r>
    </w:p>
    <w:p w14:paraId="2DFBD5AF">
      <w:pPr>
        <w:pStyle w:val="16"/>
        <w:spacing w:line="360" w:lineRule="auto"/>
        <w:rPr>
          <w:rFonts w:hint="eastAsia" w:ascii="宋体" w:hAnsi="宋体" w:eastAsia="宋体" w:cs="宋体"/>
          <w:sz w:val="24"/>
          <w:highlight w:val="none"/>
        </w:rPr>
      </w:pPr>
    </w:p>
    <w:p w14:paraId="6C581A67">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法定代表人或其委托代理人签字或签章: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p>
    <w:p w14:paraId="4DFEF946">
      <w:pPr>
        <w:pStyle w:val="16"/>
        <w:tabs>
          <w:tab w:val="left" w:pos="5370"/>
        </w:tabs>
        <w:spacing w:line="360" w:lineRule="auto"/>
        <w:ind w:left="1080" w:leftChars="257" w:hanging="540"/>
        <w:rPr>
          <w:rFonts w:hint="eastAsia" w:ascii="宋体" w:hAnsi="宋体" w:eastAsia="宋体" w:cs="宋体"/>
          <w:sz w:val="24"/>
          <w:highlight w:val="none"/>
          <w:u w:val="single"/>
        </w:rPr>
      </w:pPr>
      <w:r>
        <w:rPr>
          <w:rFonts w:hint="eastAsia" w:ascii="宋体" w:hAnsi="宋体" w:eastAsia="宋体" w:cs="宋体"/>
          <w:sz w:val="24"/>
          <w:highlight w:val="none"/>
        </w:rPr>
        <w:t>投标人(盖单位章):</w:t>
      </w:r>
      <w:r>
        <w:rPr>
          <w:rFonts w:hint="eastAsia" w:ascii="宋体" w:hAnsi="宋体" w:eastAsia="宋体" w:cs="宋体"/>
          <w:sz w:val="24"/>
          <w:highlight w:val="none"/>
          <w:u w:val="single"/>
        </w:rPr>
        <w:tab/>
      </w:r>
    </w:p>
    <w:p w14:paraId="2C6F254B">
      <w:pPr>
        <w:pStyle w:val="16"/>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u w:val="single"/>
        </w:rPr>
        <w:br w:type="page"/>
      </w:r>
      <w:bookmarkStart w:id="361" w:name="_Toc15309"/>
      <w:bookmarkStart w:id="362" w:name="_Toc8079"/>
      <w:bookmarkStart w:id="363" w:name="_Toc518923119"/>
      <w:bookmarkStart w:id="364" w:name="_Toc20532"/>
      <w:bookmarkStart w:id="365" w:name="_Toc216582818"/>
      <w:bookmarkStart w:id="366" w:name="_Toc24529"/>
      <w:r>
        <w:rPr>
          <w:rFonts w:hint="eastAsia" w:ascii="宋体" w:hAnsi="宋体" w:eastAsia="宋体" w:cs="宋体"/>
          <w:b/>
          <w:kern w:val="0"/>
          <w:sz w:val="24"/>
          <w:szCs w:val="20"/>
          <w:highlight w:val="none"/>
          <w:lang w:val="en-US" w:eastAsia="zh-CN" w:bidi="ar-SA"/>
        </w:rPr>
        <w:t>5、商务条款偏离表</w:t>
      </w:r>
      <w:bookmarkEnd w:id="361"/>
      <w:bookmarkEnd w:id="362"/>
      <w:bookmarkEnd w:id="363"/>
      <w:bookmarkEnd w:id="364"/>
      <w:bookmarkEnd w:id="365"/>
      <w:bookmarkEnd w:id="366"/>
    </w:p>
    <w:p w14:paraId="10DC66B5">
      <w:pPr>
        <w:pStyle w:val="16"/>
        <w:spacing w:line="360" w:lineRule="auto"/>
        <w:ind w:left="1080" w:leftChars="257" w:hanging="540"/>
        <w:rPr>
          <w:rFonts w:hint="eastAsia" w:ascii="宋体" w:hAnsi="宋体" w:eastAsia="宋体" w:cs="宋体"/>
          <w:sz w:val="24"/>
          <w:highlight w:val="none"/>
        </w:rPr>
      </w:pPr>
    </w:p>
    <w:p w14:paraId="0E045BAE">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项目名称:                      招标编号:          </w:t>
      </w:r>
      <w:r>
        <w:rPr>
          <w:rFonts w:hint="eastAsia" w:ascii="宋体" w:hAnsi="宋体" w:eastAsia="宋体" w:cs="宋体"/>
          <w:sz w:val="24"/>
          <w:highlight w:val="none"/>
          <w:lang w:val="en-US" w:eastAsia="zh-CN"/>
        </w:rPr>
        <w:t>包号：</w:t>
      </w:r>
      <w:r>
        <w:rPr>
          <w:rFonts w:hint="eastAsia" w:ascii="宋体" w:hAnsi="宋体" w:eastAsia="宋体" w:cs="宋体"/>
          <w:sz w:val="24"/>
          <w:highlight w:val="none"/>
        </w:rPr>
        <w:t xml:space="preserve">   </w:t>
      </w:r>
    </w:p>
    <w:tbl>
      <w:tblPr>
        <w:tblStyle w:val="29"/>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20"/>
        <w:gridCol w:w="2520"/>
        <w:gridCol w:w="1301"/>
      </w:tblGrid>
      <w:tr w14:paraId="7F6E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57CE3218">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520" w:type="dxa"/>
            <w:noWrap w:val="0"/>
            <w:vAlign w:val="top"/>
          </w:tcPr>
          <w:p w14:paraId="77623DA0">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招标文件的商务条款</w:t>
            </w:r>
          </w:p>
        </w:tc>
        <w:tc>
          <w:tcPr>
            <w:tcW w:w="2520" w:type="dxa"/>
            <w:noWrap w:val="0"/>
            <w:vAlign w:val="top"/>
          </w:tcPr>
          <w:p w14:paraId="5C4158FB">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投标文件的商务条款</w:t>
            </w:r>
          </w:p>
        </w:tc>
        <w:tc>
          <w:tcPr>
            <w:tcW w:w="1301" w:type="dxa"/>
            <w:noWrap w:val="0"/>
            <w:vAlign w:val="top"/>
          </w:tcPr>
          <w:p w14:paraId="34987BA9">
            <w:pPr>
              <w:pStyle w:val="16"/>
              <w:keepNext w:val="0"/>
              <w:keepLines w:val="0"/>
              <w:suppressLineNumbers w:val="0"/>
              <w:spacing w:before="0" w:beforeAutospacing="0" w:after="0" w:afterAutospacing="0" w:line="360" w:lineRule="auto"/>
              <w:ind w:left="0" w:right="0"/>
              <w:jc w:val="center"/>
              <w:rPr>
                <w:rFonts w:hint="eastAsia" w:ascii="宋体" w:hAnsi="宋体" w:eastAsia="宋体" w:cs="宋体"/>
                <w:sz w:val="24"/>
                <w:highlight w:val="none"/>
              </w:rPr>
            </w:pPr>
            <w:r>
              <w:rPr>
                <w:rFonts w:hint="eastAsia" w:ascii="宋体" w:hAnsi="宋体" w:eastAsia="宋体" w:cs="宋体"/>
                <w:sz w:val="24"/>
                <w:highlight w:val="none"/>
              </w:rPr>
              <w:t>说明</w:t>
            </w:r>
          </w:p>
        </w:tc>
      </w:tr>
      <w:tr w14:paraId="4752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552A8D9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3ADB05E5">
            <w:pPr>
              <w:pStyle w:val="16"/>
              <w:keepNext w:val="0"/>
              <w:keepLines w:val="0"/>
              <w:suppressLineNumbers w:val="0"/>
              <w:spacing w:before="0" w:beforeAutospacing="0" w:after="0" w:afterAutospacing="0" w:line="360" w:lineRule="auto"/>
              <w:ind w:left="1080" w:leftChars="257" w:right="0" w:hanging="540"/>
              <w:jc w:val="center"/>
              <w:rPr>
                <w:rFonts w:hint="eastAsia" w:ascii="宋体" w:hAnsi="宋体" w:eastAsia="宋体" w:cs="宋体"/>
                <w:sz w:val="24"/>
                <w:highlight w:val="none"/>
              </w:rPr>
            </w:pPr>
          </w:p>
        </w:tc>
        <w:tc>
          <w:tcPr>
            <w:tcW w:w="2520" w:type="dxa"/>
            <w:noWrap w:val="0"/>
            <w:vAlign w:val="top"/>
          </w:tcPr>
          <w:p w14:paraId="4F8736BF">
            <w:pPr>
              <w:pStyle w:val="16"/>
              <w:keepNext w:val="0"/>
              <w:keepLines w:val="0"/>
              <w:suppressLineNumbers w:val="0"/>
              <w:spacing w:before="0" w:beforeAutospacing="0" w:after="0" w:afterAutospacing="0" w:line="360" w:lineRule="auto"/>
              <w:ind w:left="1080" w:leftChars="257" w:right="0" w:hanging="540"/>
              <w:jc w:val="center"/>
              <w:rPr>
                <w:rFonts w:hint="eastAsia" w:ascii="宋体" w:hAnsi="宋体" w:eastAsia="宋体" w:cs="宋体"/>
                <w:sz w:val="24"/>
                <w:highlight w:val="none"/>
              </w:rPr>
            </w:pPr>
          </w:p>
        </w:tc>
        <w:tc>
          <w:tcPr>
            <w:tcW w:w="1301" w:type="dxa"/>
            <w:noWrap w:val="0"/>
            <w:vAlign w:val="top"/>
          </w:tcPr>
          <w:p w14:paraId="29AD89D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74B3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7D61E7D3">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1A42A70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67E3EFD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301" w:type="dxa"/>
            <w:noWrap w:val="0"/>
            <w:vAlign w:val="top"/>
          </w:tcPr>
          <w:p w14:paraId="51A0161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347D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0C341B5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65C961F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18E8E26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301" w:type="dxa"/>
            <w:noWrap w:val="0"/>
            <w:vAlign w:val="top"/>
          </w:tcPr>
          <w:p w14:paraId="3A3891D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3C61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5F6B981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0588649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4383465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301" w:type="dxa"/>
            <w:noWrap w:val="0"/>
            <w:vAlign w:val="top"/>
          </w:tcPr>
          <w:p w14:paraId="309D502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509A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20BB956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7C550AF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3A37561F">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301" w:type="dxa"/>
            <w:noWrap w:val="0"/>
            <w:vAlign w:val="top"/>
          </w:tcPr>
          <w:p w14:paraId="39B8767C">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63D7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66F8A8B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670D2D0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4B2FB87A">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301" w:type="dxa"/>
            <w:noWrap w:val="0"/>
            <w:vAlign w:val="top"/>
          </w:tcPr>
          <w:p w14:paraId="03C75275">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4005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59DE3EC8">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516A27C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4152161D">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301" w:type="dxa"/>
            <w:noWrap w:val="0"/>
            <w:vAlign w:val="top"/>
          </w:tcPr>
          <w:p w14:paraId="6CCFC84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5005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2096FFF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0B94F68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162EC62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301" w:type="dxa"/>
            <w:noWrap w:val="0"/>
            <w:vAlign w:val="top"/>
          </w:tcPr>
          <w:p w14:paraId="7C3F30A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0F9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2122" w:type="dxa"/>
            <w:noWrap w:val="0"/>
            <w:vAlign w:val="top"/>
          </w:tcPr>
          <w:p w14:paraId="2A993489">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0401F574">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057F2040">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301" w:type="dxa"/>
            <w:noWrap w:val="0"/>
            <w:vAlign w:val="top"/>
          </w:tcPr>
          <w:p w14:paraId="16119CB7">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r w14:paraId="07CC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noWrap w:val="0"/>
            <w:vAlign w:val="top"/>
          </w:tcPr>
          <w:p w14:paraId="2A9AA8E1">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7C3C0CCB">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2520" w:type="dxa"/>
            <w:noWrap w:val="0"/>
            <w:vAlign w:val="top"/>
          </w:tcPr>
          <w:p w14:paraId="2C52D962">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c>
          <w:tcPr>
            <w:tcW w:w="1301" w:type="dxa"/>
            <w:noWrap w:val="0"/>
            <w:vAlign w:val="top"/>
          </w:tcPr>
          <w:p w14:paraId="094D1036">
            <w:pPr>
              <w:pStyle w:val="16"/>
              <w:keepNext w:val="0"/>
              <w:keepLines w:val="0"/>
              <w:suppressLineNumbers w:val="0"/>
              <w:spacing w:before="0" w:beforeAutospacing="0" w:after="0" w:afterAutospacing="0" w:line="360" w:lineRule="auto"/>
              <w:ind w:left="1080" w:leftChars="257" w:right="0" w:hanging="540"/>
              <w:rPr>
                <w:rFonts w:hint="eastAsia" w:ascii="宋体" w:hAnsi="宋体" w:eastAsia="宋体" w:cs="宋体"/>
                <w:sz w:val="24"/>
                <w:highlight w:val="none"/>
              </w:rPr>
            </w:pPr>
          </w:p>
        </w:tc>
      </w:tr>
    </w:tbl>
    <w:p w14:paraId="7BBA8C56">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注:</w:t>
      </w:r>
    </w:p>
    <w:p w14:paraId="7D34BA89">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1、商务条款包括</w:t>
      </w:r>
      <w:r>
        <w:rPr>
          <w:rFonts w:hint="eastAsia" w:ascii="宋体" w:hAnsi="宋体" w:eastAsia="宋体" w:cs="宋体"/>
          <w:sz w:val="24"/>
          <w:highlight w:val="none"/>
          <w:lang w:val="en-US" w:eastAsia="zh-CN"/>
        </w:rPr>
        <w:t>质保期、</w:t>
      </w:r>
      <w:r>
        <w:rPr>
          <w:rFonts w:hint="eastAsia" w:ascii="宋体" w:hAnsi="宋体" w:eastAsia="宋体" w:cs="宋体"/>
          <w:sz w:val="24"/>
          <w:highlight w:val="none"/>
        </w:rPr>
        <w:t>付款方式、</w:t>
      </w:r>
      <w:r>
        <w:rPr>
          <w:rFonts w:hint="eastAsia" w:ascii="宋体" w:hAnsi="宋体" w:eastAsia="宋体" w:cs="宋体"/>
          <w:sz w:val="24"/>
          <w:highlight w:val="none"/>
          <w:lang w:val="en-US" w:eastAsia="zh-CN"/>
        </w:rPr>
        <w:t>履约期限、履约地点</w:t>
      </w:r>
      <w:r>
        <w:rPr>
          <w:rFonts w:hint="eastAsia" w:ascii="宋体" w:hAnsi="宋体" w:eastAsia="宋体" w:cs="宋体"/>
          <w:sz w:val="24"/>
          <w:highlight w:val="none"/>
        </w:rPr>
        <w:t>等内容;</w:t>
      </w:r>
    </w:p>
    <w:p w14:paraId="695686B0">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应对照采购文件要求的商务条款内容，说明已对采购文件要求的商务条款作出了响应或偏离</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正偏离/负偏离/无偏离</w:t>
      </w:r>
      <w:r>
        <w:rPr>
          <w:rFonts w:hint="eastAsia" w:ascii="宋体" w:hAnsi="宋体" w:eastAsia="宋体" w:cs="宋体"/>
          <w:sz w:val="24"/>
          <w:highlight w:val="none"/>
          <w:lang w:eastAsia="zh-CN"/>
        </w:rPr>
        <w:t>）</w:t>
      </w:r>
      <w:r>
        <w:rPr>
          <w:rFonts w:hint="eastAsia" w:ascii="宋体" w:hAnsi="宋体" w:eastAsia="宋体" w:cs="宋体"/>
          <w:sz w:val="24"/>
          <w:highlight w:val="none"/>
        </w:rPr>
        <w:t>;</w:t>
      </w:r>
    </w:p>
    <w:p w14:paraId="662A3B2B">
      <w:pPr>
        <w:pStyle w:val="16"/>
        <w:spacing w:line="360" w:lineRule="auto"/>
        <w:ind w:left="1080" w:leftChars="257" w:hanging="540"/>
        <w:rPr>
          <w:rFonts w:hint="eastAsia" w:ascii="宋体" w:hAnsi="宋体" w:eastAsia="宋体" w:cs="宋体"/>
          <w:sz w:val="24"/>
          <w:highlight w:val="none"/>
          <w:lang w:eastAsia="zh-CN"/>
        </w:rPr>
      </w:pPr>
      <w:r>
        <w:rPr>
          <w:rFonts w:hint="eastAsia" w:ascii="宋体" w:hAnsi="宋体" w:eastAsia="宋体" w:cs="宋体"/>
          <w:sz w:val="24"/>
          <w:highlight w:val="none"/>
        </w:rPr>
        <w:t>3、以上响应/偏离内容投标人认为有必要提供说明或备注应在说明栏中注明该条在响应文件中相关部分(或页码)相应的依据</w:t>
      </w:r>
      <w:r>
        <w:rPr>
          <w:rFonts w:hint="eastAsia" w:ascii="宋体" w:hAnsi="宋体" w:eastAsia="宋体" w:cs="宋体"/>
          <w:sz w:val="24"/>
          <w:highlight w:val="none"/>
          <w:lang w:eastAsia="zh-CN"/>
        </w:rPr>
        <w:t>；</w:t>
      </w:r>
    </w:p>
    <w:p w14:paraId="527B821F">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4、供应商所供产品</w:t>
      </w:r>
      <w:r>
        <w:rPr>
          <w:rFonts w:hint="eastAsia" w:ascii="宋体" w:hAnsi="宋体" w:eastAsia="宋体" w:cs="宋体"/>
          <w:sz w:val="24"/>
          <w:highlight w:val="none"/>
          <w:lang w:val="en-US" w:eastAsia="zh-CN"/>
        </w:rPr>
        <w:t>或服务</w:t>
      </w:r>
      <w:r>
        <w:rPr>
          <w:rFonts w:hint="eastAsia" w:ascii="宋体" w:hAnsi="宋体" w:eastAsia="宋体" w:cs="宋体"/>
          <w:sz w:val="24"/>
          <w:highlight w:val="none"/>
        </w:rPr>
        <w:t>如与采购文件要求的商务条款不一致，则需在上表说明栏中注明:</w:t>
      </w:r>
    </w:p>
    <w:p w14:paraId="44D2843E">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5、如不按要求填写，产生的一切后果由供应商负责。</w:t>
      </w:r>
    </w:p>
    <w:p w14:paraId="2C8E9442">
      <w:pPr>
        <w:pStyle w:val="16"/>
        <w:spacing w:line="360" w:lineRule="auto"/>
        <w:ind w:left="1080" w:leftChars="257" w:hanging="540"/>
        <w:rPr>
          <w:rFonts w:hint="eastAsia" w:ascii="宋体" w:hAnsi="宋体" w:eastAsia="宋体" w:cs="宋体"/>
          <w:sz w:val="24"/>
          <w:highlight w:val="none"/>
        </w:rPr>
      </w:pPr>
    </w:p>
    <w:p w14:paraId="12049257">
      <w:pPr>
        <w:pStyle w:val="16"/>
        <w:spacing w:line="360" w:lineRule="auto"/>
        <w:ind w:left="1080" w:leftChars="257" w:hanging="540"/>
        <w:rPr>
          <w:rFonts w:hint="eastAsia" w:ascii="宋体" w:hAnsi="宋体" w:eastAsia="宋体" w:cs="宋体"/>
          <w:sz w:val="24"/>
          <w:highlight w:val="none"/>
        </w:rPr>
      </w:pPr>
    </w:p>
    <w:p w14:paraId="706D54F9">
      <w:pPr>
        <w:pStyle w:val="16"/>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法定代表人或其委托代理人签字或签章: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p>
    <w:p w14:paraId="2A7F8E0F">
      <w:pPr>
        <w:pStyle w:val="16"/>
        <w:tabs>
          <w:tab w:val="left" w:pos="5370"/>
        </w:tabs>
        <w:spacing w:line="360" w:lineRule="auto"/>
        <w:ind w:left="1080" w:leftChars="257" w:hanging="540"/>
        <w:rPr>
          <w:rFonts w:hint="eastAsia" w:ascii="宋体" w:hAnsi="宋体" w:eastAsia="宋体" w:cs="宋体"/>
          <w:sz w:val="24"/>
          <w:highlight w:val="none"/>
          <w:u w:val="single"/>
        </w:rPr>
      </w:pPr>
      <w:r>
        <w:rPr>
          <w:rFonts w:hint="eastAsia" w:ascii="宋体" w:hAnsi="宋体" w:eastAsia="宋体" w:cs="宋体"/>
          <w:sz w:val="24"/>
          <w:highlight w:val="none"/>
        </w:rPr>
        <w:t>投标人(盖单位章):</w:t>
      </w:r>
      <w:r>
        <w:rPr>
          <w:rFonts w:hint="eastAsia" w:ascii="宋体" w:hAnsi="宋体" w:eastAsia="宋体" w:cs="宋体"/>
          <w:sz w:val="24"/>
          <w:highlight w:val="none"/>
          <w:u w:val="single"/>
        </w:rPr>
        <w:tab/>
      </w:r>
    </w:p>
    <w:p w14:paraId="1C40D39D">
      <w:pPr>
        <w:pStyle w:val="41"/>
        <w:spacing w:before="0" w:line="360" w:lineRule="auto"/>
        <w:jc w:val="both"/>
        <w:rPr>
          <w:rFonts w:hint="eastAsia" w:ascii="宋体" w:hAnsi="宋体" w:eastAsia="宋体" w:cs="宋体"/>
          <w:sz w:val="24"/>
          <w:highlight w:val="none"/>
        </w:rPr>
      </w:pPr>
      <w:r>
        <w:rPr>
          <w:rFonts w:hint="eastAsia" w:ascii="宋体" w:hAnsi="宋体" w:eastAsia="宋体" w:cs="宋体"/>
          <w:highlight w:val="none"/>
          <w:lang w:val="en-US" w:eastAsia="zh-CN"/>
        </w:rPr>
        <w:br w:type="page"/>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符合《政府采购促进中小企业发展暂行办法》、《关于政府采购支持监狱企业发展有关问题的通知》和《三部门联合发布关于促进残疾人就业政府采购政策的通知》价格扣减条件的投标人须提交</w:t>
      </w:r>
      <w:r>
        <w:rPr>
          <w:rFonts w:hint="eastAsia" w:ascii="宋体" w:hAnsi="宋体" w:eastAsia="宋体" w:cs="宋体"/>
          <w:sz w:val="24"/>
          <w:highlight w:val="none"/>
          <w:lang w:eastAsia="zh-CN"/>
        </w:rPr>
        <w:t>）</w:t>
      </w:r>
      <w:r>
        <w:rPr>
          <w:rFonts w:hint="eastAsia" w:ascii="宋体" w:hAnsi="宋体" w:eastAsia="宋体" w:cs="宋体"/>
          <w:sz w:val="24"/>
          <w:highlight w:val="none"/>
        </w:rPr>
        <w:t>《关于调整优化节能产品、环境标志产品政府采购执行机制的通知》（财库〔2019〕9号）</w:t>
      </w:r>
      <w:r>
        <w:rPr>
          <w:rFonts w:hint="eastAsia" w:ascii="宋体" w:hAnsi="宋体" w:eastAsia="宋体" w:cs="宋体"/>
          <w:sz w:val="24"/>
          <w:highlight w:val="none"/>
          <w:lang w:eastAsia="zh-CN"/>
        </w:rPr>
        <w:t>、</w:t>
      </w:r>
      <w:r>
        <w:rPr>
          <w:rFonts w:hint="eastAsia" w:ascii="宋体" w:hAnsi="宋体" w:eastAsia="宋体" w:cs="宋体"/>
          <w:sz w:val="24"/>
          <w:highlight w:val="none"/>
        </w:rPr>
        <w:t>《节能产品政府采购品目清单》（财库〔2019〕19号）、《环境标志产品政府采购品目清单》（财库〔2019〕18号</w:t>
      </w:r>
      <w:r>
        <w:rPr>
          <w:rFonts w:hint="eastAsia" w:ascii="宋体" w:hAnsi="宋体" w:eastAsia="宋体" w:cs="宋体"/>
          <w:sz w:val="24"/>
          <w:highlight w:val="none"/>
          <w:lang w:eastAsia="zh-CN"/>
        </w:rPr>
        <w:t>；</w:t>
      </w:r>
    </w:p>
    <w:p w14:paraId="2FB9215E">
      <w:pPr>
        <w:pStyle w:val="41"/>
        <w:spacing w:before="0" w:line="360" w:lineRule="auto"/>
        <w:ind w:firstLine="720" w:firstLineChars="300"/>
        <w:rPr>
          <w:rFonts w:hint="eastAsia" w:ascii="宋体" w:hAnsi="宋体" w:eastAsia="宋体" w:cs="宋体"/>
          <w:bCs/>
          <w:kern w:val="0"/>
          <w:sz w:val="24"/>
          <w:highlight w:val="none"/>
        </w:rPr>
      </w:pPr>
      <w:r>
        <w:rPr>
          <w:rFonts w:hint="eastAsia" w:ascii="宋体" w:hAnsi="宋体" w:eastAsia="宋体" w:cs="宋体"/>
          <w:b w:val="0"/>
          <w:kern w:val="0"/>
          <w:sz w:val="24"/>
          <w:highlight w:val="none"/>
        </w:rPr>
        <w:t xml:space="preserve">6-1 </w:t>
      </w:r>
      <w:r>
        <w:rPr>
          <w:rFonts w:hint="eastAsia" w:ascii="宋体" w:hAnsi="宋体" w:eastAsia="宋体" w:cs="宋体"/>
          <w:bCs/>
          <w:kern w:val="0"/>
          <w:sz w:val="24"/>
          <w:highlight w:val="none"/>
        </w:rPr>
        <w:t>、中小企业声明函（货物）</w:t>
      </w:r>
    </w:p>
    <w:p w14:paraId="742061A9">
      <w:pPr>
        <w:widowControl/>
        <w:spacing w:before="100" w:beforeAutospacing="1" w:after="100" w:afterAutospacing="1" w:line="330" w:lineRule="atLeast"/>
        <w:ind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本公司郑重声明，根据《政府采购促进中小企业发展管理办法》（财库﹝2020﹞46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14:paraId="7775DDB2">
      <w:pPr>
        <w:widowControl/>
        <w:spacing w:before="100" w:beforeAutospacing="1" w:after="100" w:afterAutospacing="1" w:line="330" w:lineRule="atLeast"/>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u w:val="single"/>
        </w:rPr>
        <w:t>1.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（采购文件中明确的所属行业）</w:t>
      </w:r>
      <w:r>
        <w:rPr>
          <w:rFonts w:hint="eastAsia" w:ascii="宋体" w:hAnsi="宋体" w:eastAsia="宋体" w:cs="宋体"/>
          <w:kern w:val="0"/>
          <w:sz w:val="24"/>
          <w:highlight w:val="none"/>
        </w:rPr>
        <w:t>；制造商为</w:t>
      </w:r>
      <w:r>
        <w:rPr>
          <w:rFonts w:hint="eastAsia" w:ascii="宋体" w:hAnsi="宋体" w:eastAsia="宋体" w:cs="宋体"/>
          <w:kern w:val="0"/>
          <w:sz w:val="24"/>
          <w:highlight w:val="none"/>
          <w:u w:val="single"/>
        </w:rPr>
        <w:t>（企业名称）</w:t>
      </w:r>
      <w:r>
        <w:rPr>
          <w:rFonts w:hint="eastAsia" w:ascii="宋体" w:hAnsi="宋体" w:eastAsia="宋体" w:cs="宋体"/>
          <w:kern w:val="0"/>
          <w:sz w:val="24"/>
          <w:highlight w:val="none"/>
        </w:rPr>
        <w:t>，从业人员人，营业收入为万元，资产总额为万元，属于</w:t>
      </w:r>
      <w:r>
        <w:rPr>
          <w:rFonts w:hint="eastAsia" w:ascii="宋体" w:hAnsi="宋体" w:eastAsia="宋体" w:cs="宋体"/>
          <w:kern w:val="0"/>
          <w:sz w:val="24"/>
          <w:highlight w:val="none"/>
          <w:u w:val="single"/>
        </w:rPr>
        <w:t xml:space="preserve">（中型企业、小型企业、微型企业）； </w:t>
      </w:r>
    </w:p>
    <w:p w14:paraId="19453AA5">
      <w:pPr>
        <w:widowControl/>
        <w:spacing w:before="100" w:beforeAutospacing="1" w:after="100" w:afterAutospacing="1" w:line="330" w:lineRule="atLeast"/>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u w:val="single"/>
        </w:rPr>
        <w:t>2.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（采购文件中明确的所属行业）</w:t>
      </w:r>
      <w:r>
        <w:rPr>
          <w:rFonts w:hint="eastAsia" w:ascii="宋体" w:hAnsi="宋体" w:eastAsia="宋体" w:cs="宋体"/>
          <w:kern w:val="0"/>
          <w:sz w:val="24"/>
          <w:highlight w:val="none"/>
        </w:rPr>
        <w:t>；制造商为</w:t>
      </w:r>
      <w:r>
        <w:rPr>
          <w:rFonts w:hint="eastAsia" w:ascii="宋体" w:hAnsi="宋体" w:eastAsia="宋体" w:cs="宋体"/>
          <w:kern w:val="0"/>
          <w:sz w:val="24"/>
          <w:highlight w:val="none"/>
          <w:u w:val="single"/>
        </w:rPr>
        <w:t>（企业名称）</w:t>
      </w:r>
      <w:r>
        <w:rPr>
          <w:rFonts w:hint="eastAsia" w:ascii="宋体" w:hAnsi="宋体" w:eastAsia="宋体" w:cs="宋体"/>
          <w:kern w:val="0"/>
          <w:sz w:val="24"/>
          <w:highlight w:val="none"/>
        </w:rPr>
        <w:t>，从业人员人，营业收入为万元，资产总额为万元，属于</w:t>
      </w:r>
      <w:r>
        <w:rPr>
          <w:rFonts w:hint="eastAsia" w:ascii="宋体" w:hAnsi="宋体" w:eastAsia="宋体" w:cs="宋体"/>
          <w:kern w:val="0"/>
          <w:sz w:val="24"/>
          <w:highlight w:val="none"/>
          <w:u w:val="single"/>
        </w:rPr>
        <w:t xml:space="preserve">（中型企业、小型企业、微型企业）； </w:t>
      </w:r>
    </w:p>
    <w:p w14:paraId="696FE212">
      <w:pPr>
        <w:widowControl/>
        <w:spacing w:before="100" w:beforeAutospacing="1" w:after="100" w:afterAutospacing="1" w:line="330" w:lineRule="atLeast"/>
        <w:ind w:firstLine="480" w:firstLineChars="200"/>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u w:val="single"/>
        </w:rPr>
        <w:t>……</w:t>
      </w:r>
    </w:p>
    <w:p w14:paraId="6D72B9F1">
      <w:pPr>
        <w:widowControl/>
        <w:spacing w:before="100" w:beforeAutospacing="1" w:after="100" w:afterAutospacing="1" w:line="330" w:lineRule="atLeas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以上企业，不属于大企业的分支机构，不存在控股股东为大企业的情形，也不存在与大企业的负责人为同一人的情形。 </w:t>
      </w:r>
    </w:p>
    <w:p w14:paraId="38B56A33">
      <w:pPr>
        <w:widowControl/>
        <w:spacing w:before="100" w:beforeAutospacing="1" w:after="100" w:afterAutospacing="1" w:line="330" w:lineRule="atLeast"/>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本企业对上述声明内容的真实性负责。如有虚假，将依法承担相应责任。 </w:t>
      </w:r>
    </w:p>
    <w:p w14:paraId="365816DC">
      <w:pPr>
        <w:widowControl/>
        <w:spacing w:before="100" w:beforeAutospacing="1" w:after="100" w:afterAutospacing="1" w:line="330" w:lineRule="atLeast"/>
        <w:ind w:firstLine="240" w:firstLineChars="10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企业名称（盖章）： </w:t>
      </w:r>
    </w:p>
    <w:p w14:paraId="2527EBF3">
      <w:pPr>
        <w:widowControl/>
        <w:spacing w:before="100" w:beforeAutospacing="1" w:after="100" w:afterAutospacing="1" w:line="330" w:lineRule="atLeast"/>
        <w:ind w:firstLine="240" w:firstLineChars="10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日 期备注：</w:t>
      </w:r>
    </w:p>
    <w:p w14:paraId="1BA7086F">
      <w:pPr>
        <w:widowControl/>
        <w:spacing w:before="100" w:beforeAutospacing="1" w:after="100" w:afterAutospacing="1" w:line="330" w:lineRule="atLeas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1、从业人员、营业收入、资产总额填报上一年度数据，无上一年度数据的新成立企业可不填报。</w:t>
      </w:r>
    </w:p>
    <w:p w14:paraId="1C783ADF">
      <w:pPr>
        <w:widowControl/>
        <w:spacing w:line="330" w:lineRule="atLeast"/>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2、中小企业声明函（货物）</w:t>
      </w:r>
      <w:r>
        <w:rPr>
          <w:rFonts w:hint="eastAsia" w:ascii="宋体" w:hAnsi="宋体" w:eastAsia="宋体" w:cs="宋体"/>
          <w:b/>
          <w:bCs/>
          <w:color w:val="auto"/>
          <w:kern w:val="0"/>
          <w:sz w:val="24"/>
          <w:highlight w:val="none"/>
        </w:rPr>
        <w:t>中“标的名称”是指货</w:t>
      </w:r>
      <w:r>
        <w:rPr>
          <w:rFonts w:hint="eastAsia" w:ascii="宋体" w:hAnsi="宋体" w:eastAsia="宋体" w:cs="宋体"/>
          <w:b/>
          <w:bCs/>
          <w:kern w:val="0"/>
          <w:sz w:val="24"/>
          <w:highlight w:val="none"/>
        </w:rPr>
        <w:t>物的具体名称，例如一个项目内有多项货物，分别由不同制造商生产，应分项填写货物名称及制造商信息。</w:t>
      </w:r>
    </w:p>
    <w:p w14:paraId="29DF17C4">
      <w:pPr>
        <w:pStyle w:val="12"/>
        <w:tabs>
          <w:tab w:val="left" w:pos="567"/>
        </w:tabs>
        <w:ind w:firstLine="482" w:firstLineChars="200"/>
        <w:rPr>
          <w:rFonts w:hint="eastAsia" w:ascii="宋体" w:hAnsi="宋体" w:eastAsia="宋体" w:cs="宋体"/>
          <w:b/>
          <w:sz w:val="24"/>
          <w:highlight w:val="none"/>
        </w:rPr>
      </w:pPr>
      <w:r>
        <w:rPr>
          <w:rFonts w:hint="eastAsia" w:ascii="宋体" w:hAnsi="宋体" w:eastAsia="宋体" w:cs="宋体"/>
          <w:b/>
          <w:bCs/>
          <w:kern w:val="0"/>
          <w:sz w:val="24"/>
          <w:highlight w:val="none"/>
          <w:lang w:eastAsia="zh-CN"/>
        </w:rPr>
        <w:t>3、所属行业：工业</w:t>
      </w:r>
      <w:r>
        <w:rPr>
          <w:rFonts w:hint="eastAsia" w:ascii="宋体" w:hAnsi="宋体" w:eastAsia="宋体" w:cs="宋体"/>
          <w:b/>
          <w:bCs/>
          <w:color w:val="000000"/>
          <w:kern w:val="0"/>
          <w:sz w:val="24"/>
          <w:highlight w:val="none"/>
        </w:rPr>
        <w:br w:type="page"/>
      </w:r>
      <w:bookmarkEnd w:id="351"/>
      <w:bookmarkEnd w:id="352"/>
      <w:bookmarkEnd w:id="353"/>
      <w:bookmarkEnd w:id="354"/>
      <w:bookmarkEnd w:id="355"/>
      <w:r>
        <w:rPr>
          <w:rFonts w:hint="eastAsia" w:ascii="宋体" w:hAnsi="宋体" w:eastAsia="宋体" w:cs="宋体"/>
          <w:b/>
          <w:bCs/>
          <w:color w:val="000000"/>
          <w:kern w:val="0"/>
          <w:sz w:val="24"/>
          <w:highlight w:val="none"/>
          <w:lang w:val="en-US" w:eastAsia="zh-CN" w:bidi="ar"/>
        </w:rPr>
        <w:t>6</w:t>
      </w:r>
      <w:r>
        <w:rPr>
          <w:rFonts w:hint="eastAsia" w:ascii="宋体" w:hAnsi="宋体" w:eastAsia="宋体" w:cs="宋体"/>
          <w:b/>
          <w:kern w:val="0"/>
          <w:sz w:val="24"/>
          <w:highlight w:val="none"/>
        </w:rPr>
        <w:t>-2.</w:t>
      </w:r>
      <w:r>
        <w:rPr>
          <w:rFonts w:hint="eastAsia" w:ascii="宋体" w:hAnsi="宋体" w:eastAsia="宋体" w:cs="宋体"/>
          <w:b/>
          <w:bCs/>
          <w:kern w:val="0"/>
          <w:sz w:val="24"/>
          <w:highlight w:val="none"/>
        </w:rPr>
        <w:t>残疾人福利性单位声明函（若无，可不填）</w:t>
      </w:r>
    </w:p>
    <w:p w14:paraId="10BA10A6">
      <w:pPr>
        <w:snapToGrid w:val="0"/>
        <w:spacing w:line="400" w:lineRule="exact"/>
        <w:ind w:firstLine="567"/>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67A8458F">
      <w:pPr>
        <w:snapToGrid w:val="0"/>
        <w:spacing w:line="400" w:lineRule="exact"/>
        <w:ind w:left="1080" w:leftChars="257" w:hanging="54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本单位对上述声明的真实性负责。如有虚假，将依法承担相应责任。</w:t>
      </w:r>
    </w:p>
    <w:p w14:paraId="28EBEF20">
      <w:pPr>
        <w:snapToGrid w:val="0"/>
        <w:spacing w:line="400" w:lineRule="exact"/>
        <w:textAlignment w:val="baseline"/>
        <w:rPr>
          <w:rFonts w:hint="eastAsia" w:ascii="宋体" w:hAnsi="宋体" w:eastAsia="宋体" w:cs="宋体"/>
          <w:kern w:val="0"/>
          <w:sz w:val="24"/>
          <w:highlight w:val="none"/>
        </w:rPr>
      </w:pPr>
    </w:p>
    <w:p w14:paraId="6C47C59A">
      <w:pPr>
        <w:snapToGrid w:val="0"/>
        <w:spacing w:line="400" w:lineRule="exact"/>
        <w:ind w:left="1080" w:leftChars="257" w:hanging="540"/>
        <w:jc w:val="center"/>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26B6C370">
      <w:pPr>
        <w:snapToGrid w:val="0"/>
        <w:spacing w:line="400" w:lineRule="exact"/>
        <w:ind w:left="1080" w:leftChars="257" w:hanging="540"/>
        <w:jc w:val="center"/>
        <w:textAlignment w:val="baseline"/>
        <w:rPr>
          <w:rFonts w:hint="eastAsia" w:ascii="宋体" w:hAnsi="宋体" w:eastAsia="宋体" w:cs="宋体"/>
          <w:kern w:val="0"/>
          <w:sz w:val="24"/>
          <w:highlight w:val="none"/>
        </w:rPr>
      </w:pPr>
    </w:p>
    <w:p w14:paraId="66DBDDA8">
      <w:pPr>
        <w:snapToGrid w:val="0"/>
        <w:spacing w:line="400" w:lineRule="exact"/>
        <w:ind w:left="1080" w:leftChars="257" w:hanging="540"/>
        <w:jc w:val="center"/>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残疾人福利性单位名称（公章）：______________</w:t>
      </w:r>
    </w:p>
    <w:p w14:paraId="72230426">
      <w:pPr>
        <w:pStyle w:val="9"/>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2CDCE4EC">
      <w:pPr>
        <w:pStyle w:val="9"/>
        <w:spacing w:line="400" w:lineRule="exact"/>
        <w:ind w:firstLine="2160" w:firstLineChars="900"/>
        <w:rPr>
          <w:rFonts w:hint="eastAsia" w:ascii="宋体" w:hAnsi="宋体" w:eastAsia="宋体" w:cs="宋体"/>
          <w:szCs w:val="24"/>
          <w:highlight w:val="none"/>
        </w:rPr>
      </w:pPr>
      <w:r>
        <w:rPr>
          <w:rFonts w:hint="eastAsia" w:ascii="宋体" w:hAnsi="宋体" w:eastAsia="宋体" w:cs="宋体"/>
          <w:szCs w:val="24"/>
          <w:highlight w:val="none"/>
        </w:rPr>
        <w:t xml:space="preserve"> 日  期：_____________________</w:t>
      </w:r>
    </w:p>
    <w:p w14:paraId="69CA82E8">
      <w:pPr>
        <w:pStyle w:val="9"/>
        <w:spacing w:line="400" w:lineRule="exact"/>
        <w:ind w:firstLine="0"/>
        <w:rPr>
          <w:rFonts w:hint="eastAsia" w:ascii="宋体" w:hAnsi="宋体" w:eastAsia="宋体" w:cs="宋体"/>
          <w:szCs w:val="24"/>
          <w:highlight w:val="none"/>
        </w:rPr>
      </w:pPr>
    </w:p>
    <w:p w14:paraId="3FDABA9C">
      <w:pPr>
        <w:spacing w:line="400" w:lineRule="exact"/>
        <w:rPr>
          <w:rFonts w:hint="eastAsia" w:ascii="宋体" w:hAnsi="宋体" w:eastAsia="宋体" w:cs="宋体"/>
          <w:sz w:val="24"/>
          <w:highlight w:val="none"/>
        </w:rPr>
      </w:pPr>
    </w:p>
    <w:p w14:paraId="210BB5B0">
      <w:pPr>
        <w:spacing w:after="60" w:afterLines="25" w:line="400" w:lineRule="exact"/>
        <w:ind w:firstLine="482" w:firstLineChars="200"/>
        <w:rPr>
          <w:rFonts w:hint="eastAsia" w:ascii="宋体" w:hAnsi="宋体" w:eastAsia="宋体" w:cs="宋体"/>
          <w:b/>
          <w:sz w:val="24"/>
          <w:highlight w:val="none"/>
        </w:rPr>
      </w:pPr>
    </w:p>
    <w:p w14:paraId="404342DB">
      <w:pPr>
        <w:widowControl/>
        <w:spacing w:before="100" w:beforeAutospacing="1" w:after="100" w:afterAutospacing="1" w:line="400" w:lineRule="exact"/>
        <w:jc w:val="center"/>
        <w:rPr>
          <w:rFonts w:hint="eastAsia" w:ascii="宋体" w:hAnsi="宋体" w:eastAsia="宋体" w:cs="宋体"/>
          <w:b/>
          <w:kern w:val="0"/>
          <w:sz w:val="24"/>
          <w:highlight w:val="none"/>
        </w:rPr>
      </w:pPr>
    </w:p>
    <w:p w14:paraId="6A752A80">
      <w:pPr>
        <w:widowControl/>
        <w:spacing w:before="100" w:beforeAutospacing="1" w:after="100" w:afterAutospacing="1" w:line="400" w:lineRule="exact"/>
        <w:jc w:val="center"/>
        <w:rPr>
          <w:rFonts w:hint="eastAsia" w:ascii="宋体" w:hAnsi="宋体" w:eastAsia="宋体" w:cs="宋体"/>
          <w:b/>
          <w:kern w:val="0"/>
          <w:sz w:val="24"/>
          <w:highlight w:val="none"/>
        </w:rPr>
      </w:pPr>
    </w:p>
    <w:p w14:paraId="7CE613C2">
      <w:pPr>
        <w:widowControl/>
        <w:spacing w:before="100" w:beforeAutospacing="1" w:after="100" w:afterAutospacing="1" w:line="400" w:lineRule="exact"/>
        <w:jc w:val="center"/>
        <w:rPr>
          <w:rFonts w:hint="eastAsia" w:ascii="宋体" w:hAnsi="宋体" w:eastAsia="宋体" w:cs="宋体"/>
          <w:b/>
          <w:kern w:val="0"/>
          <w:sz w:val="24"/>
          <w:highlight w:val="none"/>
        </w:rPr>
      </w:pPr>
    </w:p>
    <w:p w14:paraId="05BE0CCF">
      <w:pPr>
        <w:widowControl/>
        <w:spacing w:before="100" w:beforeAutospacing="1" w:after="100" w:afterAutospacing="1" w:line="400" w:lineRule="exact"/>
        <w:jc w:val="center"/>
        <w:rPr>
          <w:rFonts w:hint="eastAsia" w:ascii="宋体" w:hAnsi="宋体" w:eastAsia="宋体" w:cs="宋体"/>
          <w:b/>
          <w:kern w:val="0"/>
          <w:sz w:val="24"/>
          <w:highlight w:val="none"/>
        </w:rPr>
      </w:pPr>
    </w:p>
    <w:p w14:paraId="424F9651">
      <w:pPr>
        <w:widowControl/>
        <w:spacing w:before="100" w:beforeAutospacing="1" w:after="100" w:afterAutospacing="1" w:line="400" w:lineRule="exact"/>
        <w:jc w:val="center"/>
        <w:rPr>
          <w:rFonts w:hint="eastAsia" w:ascii="宋体" w:hAnsi="宋体" w:eastAsia="宋体" w:cs="宋体"/>
          <w:b/>
          <w:kern w:val="0"/>
          <w:sz w:val="24"/>
          <w:highlight w:val="none"/>
        </w:rPr>
      </w:pPr>
    </w:p>
    <w:p w14:paraId="68A4774F">
      <w:pPr>
        <w:widowControl/>
        <w:spacing w:before="100" w:beforeAutospacing="1" w:after="100" w:afterAutospacing="1" w:line="400" w:lineRule="exact"/>
        <w:rPr>
          <w:rFonts w:hint="eastAsia" w:ascii="宋体" w:hAnsi="宋体" w:eastAsia="宋体" w:cs="宋体"/>
          <w:b/>
          <w:kern w:val="0"/>
          <w:sz w:val="24"/>
          <w:highlight w:val="none"/>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61D6CCC1">
      <w:pPr>
        <w:widowControl/>
        <w:spacing w:before="100" w:beforeAutospacing="1" w:after="100" w:afterAutospacing="1" w:line="400" w:lineRule="exac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6</w:t>
      </w:r>
      <w:r>
        <w:rPr>
          <w:rFonts w:hint="eastAsia" w:ascii="宋体" w:hAnsi="宋体" w:eastAsia="宋体" w:cs="宋体"/>
          <w:b/>
          <w:kern w:val="0"/>
          <w:sz w:val="24"/>
          <w:highlight w:val="none"/>
        </w:rPr>
        <w:t>-3.《监狱企业声明函》（若无，可不填）</w:t>
      </w:r>
    </w:p>
    <w:p w14:paraId="23969FFC">
      <w:pPr>
        <w:spacing w:line="400" w:lineRule="exact"/>
        <w:ind w:left="1080" w:leftChars="257" w:hanging="540"/>
        <w:jc w:val="center"/>
        <w:rPr>
          <w:rFonts w:hint="eastAsia" w:ascii="宋体" w:hAnsi="宋体" w:eastAsia="宋体" w:cs="宋体"/>
          <w:b/>
          <w:kern w:val="0"/>
          <w:sz w:val="24"/>
          <w:highlight w:val="none"/>
        </w:rPr>
      </w:pPr>
    </w:p>
    <w:p w14:paraId="3EA76AA9">
      <w:pPr>
        <w:snapToGrid w:val="0"/>
        <w:spacing w:line="400" w:lineRule="exact"/>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 号）的规定，本公司（联合体）参加</w:t>
      </w:r>
      <w:r>
        <w:rPr>
          <w:rFonts w:hint="eastAsia" w:ascii="宋体" w:hAnsi="宋体" w:eastAsia="宋体" w:cs="宋体"/>
          <w:kern w:val="0"/>
          <w:sz w:val="24"/>
          <w:highlight w:val="none"/>
          <w:u w:val="single"/>
        </w:rPr>
        <w:t xml:space="preserve"> （单位名称）</w:t>
      </w:r>
      <w:r>
        <w:rPr>
          <w:rFonts w:hint="eastAsia" w:ascii="宋体" w:hAnsi="宋体" w:eastAsia="宋体" w:cs="宋体"/>
          <w:kern w:val="0"/>
          <w:sz w:val="24"/>
          <w:highlight w:val="none"/>
        </w:rPr>
        <w:t xml:space="preserve"> 的 </w:t>
      </w:r>
      <w:r>
        <w:rPr>
          <w:rFonts w:hint="eastAsia" w:ascii="宋体" w:hAnsi="宋体" w:eastAsia="宋体" w:cs="宋体"/>
          <w:kern w:val="0"/>
          <w:sz w:val="24"/>
          <w:highlight w:val="none"/>
          <w:u w:val="single"/>
        </w:rPr>
        <w:t>（项目名称）</w:t>
      </w:r>
      <w:r>
        <w:rPr>
          <w:rFonts w:hint="eastAsia" w:ascii="宋体" w:hAnsi="宋体" w:eastAsia="宋体" w:cs="宋体"/>
          <w:kern w:val="0"/>
          <w:sz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37306560">
      <w:pPr>
        <w:snapToGrid w:val="0"/>
        <w:spacing w:line="400" w:lineRule="exac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（标的名称）</w:t>
      </w:r>
      <w:r>
        <w:rPr>
          <w:rFonts w:hint="eastAsia" w:ascii="宋体" w:hAnsi="宋体" w:eastAsia="宋体" w:cs="宋体"/>
          <w:sz w:val="24"/>
          <w:highlight w:val="none"/>
        </w:rPr>
        <w:t>，承接单位为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，属于</w:t>
      </w:r>
      <w:r>
        <w:rPr>
          <w:rFonts w:hint="eastAsia" w:ascii="宋体" w:hAnsi="宋体" w:eastAsia="宋体" w:cs="宋体"/>
          <w:sz w:val="24"/>
          <w:highlight w:val="none"/>
          <w:u w:val="single"/>
        </w:rPr>
        <w:t>监狱企业</w:t>
      </w:r>
      <w:r>
        <w:rPr>
          <w:rFonts w:hint="eastAsia" w:ascii="宋体" w:hAnsi="宋体" w:eastAsia="宋体" w:cs="宋体"/>
          <w:sz w:val="24"/>
          <w:highlight w:val="none"/>
        </w:rPr>
        <w:t>；</w:t>
      </w:r>
    </w:p>
    <w:p w14:paraId="0438E158">
      <w:pPr>
        <w:spacing w:after="60" w:afterLines="25"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u w:val="single"/>
        </w:rPr>
        <w:t>（标的名称）</w:t>
      </w:r>
      <w:r>
        <w:rPr>
          <w:rFonts w:hint="eastAsia" w:ascii="宋体" w:hAnsi="宋体" w:eastAsia="宋体" w:cs="宋体"/>
          <w:sz w:val="24"/>
          <w:highlight w:val="none"/>
        </w:rPr>
        <w:t>，承接单位为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，属于</w:t>
      </w:r>
      <w:r>
        <w:rPr>
          <w:rFonts w:hint="eastAsia" w:ascii="宋体" w:hAnsi="宋体" w:eastAsia="宋体" w:cs="宋体"/>
          <w:sz w:val="24"/>
          <w:highlight w:val="none"/>
          <w:u w:val="single"/>
        </w:rPr>
        <w:t>监狱企业</w:t>
      </w:r>
      <w:r>
        <w:rPr>
          <w:rFonts w:hint="eastAsia" w:ascii="宋体" w:hAnsi="宋体" w:eastAsia="宋体" w:cs="宋体"/>
          <w:sz w:val="24"/>
          <w:highlight w:val="none"/>
        </w:rPr>
        <w:t>。</w:t>
      </w:r>
    </w:p>
    <w:p w14:paraId="75DF2F35">
      <w:pPr>
        <w:spacing w:after="60" w:afterLines="25" w:line="400" w:lineRule="exact"/>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 xml:space="preserve">…… </w:t>
      </w:r>
    </w:p>
    <w:p w14:paraId="7BB79193">
      <w:pPr>
        <w:snapToGrid w:val="0"/>
        <w:spacing w:line="400" w:lineRule="exact"/>
        <w:ind w:firstLine="480" w:firstLineChars="20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本单位对上述声明的真实性负责。如有虚假，依法承担相应责任。</w:t>
      </w:r>
    </w:p>
    <w:p w14:paraId="61BDB40B">
      <w:pPr>
        <w:snapToGrid w:val="0"/>
        <w:spacing w:line="400" w:lineRule="exact"/>
        <w:textAlignment w:val="baseline"/>
        <w:rPr>
          <w:rFonts w:hint="eastAsia" w:ascii="宋体" w:hAnsi="宋体" w:eastAsia="宋体" w:cs="宋体"/>
          <w:kern w:val="0"/>
          <w:sz w:val="24"/>
          <w:highlight w:val="none"/>
        </w:rPr>
      </w:pPr>
    </w:p>
    <w:p w14:paraId="243D2AE3">
      <w:pPr>
        <w:snapToGrid w:val="0"/>
        <w:spacing w:line="400" w:lineRule="exact"/>
        <w:ind w:left="1080" w:leftChars="257" w:hanging="540"/>
        <w:textAlignment w:val="baseline"/>
        <w:rPr>
          <w:rFonts w:hint="eastAsia" w:ascii="宋体" w:hAnsi="宋体" w:eastAsia="宋体" w:cs="宋体"/>
          <w:kern w:val="0"/>
          <w:sz w:val="24"/>
          <w:highlight w:val="none"/>
        </w:rPr>
      </w:pPr>
      <w:r>
        <w:rPr>
          <w:rFonts w:hint="eastAsia" w:ascii="宋体" w:hAnsi="宋体" w:eastAsia="宋体" w:cs="宋体"/>
          <w:sz w:val="24"/>
          <w:highlight w:val="none"/>
        </w:rPr>
        <w:t>附：省级以上监狱管理局、戒毒管理局（含新疆生产建设兵团）出具的监狱企业证明文件。</w:t>
      </w:r>
    </w:p>
    <w:p w14:paraId="050DDDA2">
      <w:pPr>
        <w:snapToGrid w:val="0"/>
        <w:spacing w:line="400" w:lineRule="exact"/>
        <w:ind w:left="1080" w:leftChars="257" w:hanging="540"/>
        <w:textAlignment w:val="baseline"/>
        <w:rPr>
          <w:rFonts w:hint="eastAsia" w:ascii="宋体" w:hAnsi="宋体" w:eastAsia="宋体" w:cs="宋体"/>
          <w:kern w:val="0"/>
          <w:sz w:val="24"/>
          <w:highlight w:val="none"/>
        </w:rPr>
      </w:pPr>
    </w:p>
    <w:p w14:paraId="1F1F6466">
      <w:pPr>
        <w:snapToGrid w:val="0"/>
        <w:spacing w:line="400" w:lineRule="exact"/>
        <w:ind w:left="1080" w:leftChars="257" w:hanging="54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投标人（单位盖章）：________</w:t>
      </w:r>
    </w:p>
    <w:p w14:paraId="652E6931">
      <w:pPr>
        <w:snapToGrid w:val="0"/>
        <w:spacing w:line="400" w:lineRule="exact"/>
        <w:ind w:left="1080" w:leftChars="257" w:hanging="540"/>
        <w:textAlignment w:val="baseline"/>
        <w:rPr>
          <w:rFonts w:hint="eastAsia" w:ascii="宋体" w:hAnsi="宋体" w:eastAsia="宋体" w:cs="宋体"/>
          <w:kern w:val="0"/>
          <w:sz w:val="24"/>
          <w:highlight w:val="none"/>
          <w:u w:val="single"/>
        </w:rPr>
      </w:pPr>
      <w:r>
        <w:rPr>
          <w:rFonts w:hint="eastAsia" w:ascii="宋体" w:hAnsi="宋体" w:eastAsia="宋体" w:cs="宋体"/>
          <w:kern w:val="0"/>
          <w:sz w:val="24"/>
          <w:highlight w:val="none"/>
        </w:rPr>
        <w:t>日  期：_______</w:t>
      </w:r>
    </w:p>
    <w:p w14:paraId="3E6AE58E">
      <w:pPr>
        <w:pStyle w:val="9"/>
        <w:spacing w:line="400" w:lineRule="exact"/>
        <w:rPr>
          <w:rFonts w:hint="eastAsia" w:ascii="宋体" w:hAnsi="宋体" w:eastAsia="宋体" w:cs="宋体"/>
          <w:szCs w:val="24"/>
          <w:highlight w:val="none"/>
        </w:rPr>
      </w:pPr>
    </w:p>
    <w:p w14:paraId="17ADEA54">
      <w:pPr>
        <w:pStyle w:val="9"/>
        <w:spacing w:line="360" w:lineRule="auto"/>
        <w:ind w:firstLine="964" w:firstLineChars="400"/>
        <w:rPr>
          <w:rFonts w:hint="eastAsia" w:ascii="宋体" w:hAnsi="宋体" w:eastAsia="宋体" w:cs="宋体"/>
          <w:b/>
          <w:bCs/>
          <w:highlight w:val="none"/>
        </w:rPr>
      </w:pPr>
    </w:p>
    <w:p w14:paraId="65E678EF">
      <w:pPr>
        <w:pStyle w:val="9"/>
        <w:spacing w:line="360" w:lineRule="auto"/>
        <w:ind w:firstLine="964" w:firstLineChars="400"/>
        <w:rPr>
          <w:rFonts w:hint="eastAsia" w:ascii="宋体" w:hAnsi="宋体" w:eastAsia="宋体" w:cs="宋体"/>
          <w:b/>
          <w:bCs/>
          <w:highlight w:val="none"/>
        </w:rPr>
      </w:pPr>
    </w:p>
    <w:p w14:paraId="29572FAA">
      <w:pPr>
        <w:pStyle w:val="9"/>
        <w:spacing w:line="360" w:lineRule="auto"/>
        <w:ind w:firstLine="964" w:firstLineChars="400"/>
        <w:rPr>
          <w:rFonts w:hint="eastAsia" w:ascii="宋体" w:hAnsi="宋体" w:eastAsia="宋体" w:cs="宋体"/>
          <w:b/>
          <w:bCs/>
          <w:highlight w:val="none"/>
        </w:rPr>
      </w:pPr>
    </w:p>
    <w:p w14:paraId="21A2D515">
      <w:pPr>
        <w:pStyle w:val="9"/>
        <w:spacing w:line="360" w:lineRule="auto"/>
        <w:ind w:firstLine="964" w:firstLineChars="400"/>
        <w:rPr>
          <w:rFonts w:hint="eastAsia" w:ascii="宋体" w:hAnsi="宋体" w:eastAsia="宋体" w:cs="宋体"/>
          <w:b/>
          <w:bCs/>
          <w:highlight w:val="none"/>
        </w:rPr>
      </w:pPr>
    </w:p>
    <w:p w14:paraId="3C0ED844">
      <w:pPr>
        <w:pStyle w:val="9"/>
        <w:spacing w:line="360" w:lineRule="auto"/>
        <w:ind w:firstLine="964" w:firstLineChars="400"/>
        <w:rPr>
          <w:rFonts w:hint="eastAsia" w:ascii="宋体" w:hAnsi="宋体" w:eastAsia="宋体" w:cs="宋体"/>
          <w:b/>
          <w:bCs/>
          <w:highlight w:val="none"/>
        </w:rPr>
      </w:pPr>
    </w:p>
    <w:p w14:paraId="1987F347">
      <w:pPr>
        <w:pStyle w:val="9"/>
        <w:spacing w:line="360" w:lineRule="auto"/>
        <w:ind w:firstLine="964" w:firstLineChars="400"/>
        <w:rPr>
          <w:rFonts w:hint="eastAsia" w:ascii="宋体" w:hAnsi="宋体" w:eastAsia="宋体" w:cs="宋体"/>
          <w:b/>
          <w:bCs/>
          <w:highlight w:val="none"/>
        </w:rPr>
      </w:pPr>
    </w:p>
    <w:p w14:paraId="350B8790">
      <w:pPr>
        <w:pStyle w:val="9"/>
        <w:spacing w:line="360" w:lineRule="auto"/>
        <w:ind w:firstLine="964" w:firstLineChars="400"/>
        <w:rPr>
          <w:rFonts w:hint="eastAsia" w:ascii="宋体" w:hAnsi="宋体" w:eastAsia="宋体" w:cs="宋体"/>
          <w:b/>
          <w:bCs/>
          <w:highlight w:val="none"/>
        </w:rPr>
      </w:pPr>
    </w:p>
    <w:p w14:paraId="50E2507F">
      <w:pPr>
        <w:pStyle w:val="9"/>
        <w:spacing w:line="360" w:lineRule="auto"/>
        <w:ind w:firstLine="964" w:firstLineChars="400"/>
        <w:rPr>
          <w:rFonts w:hint="eastAsia" w:ascii="宋体" w:hAnsi="宋体" w:eastAsia="宋体" w:cs="宋体"/>
          <w:b/>
          <w:bCs/>
          <w:highlight w:val="none"/>
        </w:rPr>
      </w:pPr>
    </w:p>
    <w:p w14:paraId="14C6FE8A">
      <w:pPr>
        <w:pStyle w:val="9"/>
        <w:spacing w:line="360" w:lineRule="auto"/>
        <w:ind w:firstLine="964" w:firstLineChars="400"/>
        <w:rPr>
          <w:rFonts w:hint="eastAsia" w:ascii="宋体" w:hAnsi="宋体" w:eastAsia="宋体" w:cs="宋体"/>
          <w:b/>
          <w:bCs/>
          <w:highlight w:val="none"/>
        </w:rPr>
      </w:pPr>
    </w:p>
    <w:p w14:paraId="13C5E554">
      <w:pPr>
        <w:pStyle w:val="9"/>
        <w:spacing w:line="360" w:lineRule="auto"/>
        <w:ind w:firstLine="964" w:firstLineChars="400"/>
        <w:rPr>
          <w:rFonts w:hint="eastAsia" w:ascii="宋体" w:hAnsi="宋体" w:eastAsia="宋体" w:cs="宋体"/>
          <w:b/>
          <w:bCs/>
          <w:highlight w:val="none"/>
        </w:rPr>
      </w:pPr>
    </w:p>
    <w:p w14:paraId="7ABE2784">
      <w:pPr>
        <w:pStyle w:val="9"/>
        <w:spacing w:line="360" w:lineRule="auto"/>
        <w:ind w:firstLine="964" w:firstLineChars="400"/>
        <w:rPr>
          <w:rFonts w:hint="eastAsia" w:ascii="宋体" w:hAnsi="宋体" w:eastAsia="宋体" w:cs="宋体"/>
          <w:b/>
          <w:bCs/>
          <w:highlight w:val="none"/>
        </w:rPr>
      </w:pPr>
    </w:p>
    <w:p w14:paraId="05555EBE">
      <w:pPr>
        <w:pStyle w:val="9"/>
        <w:spacing w:line="360" w:lineRule="auto"/>
        <w:ind w:firstLine="964" w:firstLineChars="400"/>
        <w:rPr>
          <w:rFonts w:hint="eastAsia" w:ascii="宋体" w:hAnsi="宋体" w:eastAsia="宋体" w:cs="宋体"/>
          <w:b/>
          <w:bCs/>
          <w:highlight w:val="none"/>
        </w:rPr>
      </w:pPr>
    </w:p>
    <w:p w14:paraId="7DDDF7A5">
      <w:pPr>
        <w:pStyle w:val="9"/>
        <w:spacing w:line="360" w:lineRule="auto"/>
        <w:ind w:firstLine="964" w:firstLineChars="400"/>
        <w:rPr>
          <w:rFonts w:hint="eastAsia" w:ascii="宋体" w:hAnsi="宋体" w:eastAsia="宋体" w:cs="宋体"/>
          <w:b/>
          <w:bCs/>
          <w:highlight w:val="none"/>
        </w:rPr>
      </w:pPr>
    </w:p>
    <w:p w14:paraId="640A7066">
      <w:pPr>
        <w:pStyle w:val="9"/>
        <w:spacing w:line="360" w:lineRule="auto"/>
        <w:ind w:firstLine="964" w:firstLineChars="400"/>
        <w:rPr>
          <w:rFonts w:hint="eastAsia" w:ascii="宋体" w:hAnsi="宋体" w:eastAsia="宋体" w:cs="宋体"/>
          <w:b/>
          <w:bCs/>
          <w:highlight w:val="none"/>
        </w:rPr>
      </w:pPr>
    </w:p>
    <w:p w14:paraId="3AD768CD">
      <w:pPr>
        <w:pStyle w:val="9"/>
        <w:spacing w:line="360" w:lineRule="auto"/>
        <w:ind w:firstLine="964" w:firstLineChars="400"/>
        <w:rPr>
          <w:rFonts w:hint="eastAsia" w:ascii="宋体" w:hAnsi="宋体" w:eastAsia="宋体" w:cs="宋体"/>
          <w:b/>
          <w:bCs/>
          <w:highlight w:val="none"/>
        </w:rPr>
      </w:pPr>
    </w:p>
    <w:bookmarkEnd w:id="356"/>
    <w:bookmarkEnd w:id="357"/>
    <w:bookmarkEnd w:id="358"/>
    <w:bookmarkEnd w:id="359"/>
    <w:bookmarkEnd w:id="360"/>
    <w:p w14:paraId="49A5F784">
      <w:pPr>
        <w:widowControl/>
        <w:spacing w:before="100" w:beforeAutospacing="1" w:after="100" w:afterAutospacing="1" w:line="360" w:lineRule="auto"/>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kern w:val="2"/>
          <w:sz w:val="24"/>
          <w:szCs w:val="24"/>
          <w:highlight w:val="none"/>
          <w:lang w:val="en-US" w:eastAsia="zh-CN" w:bidi="ar-SA"/>
        </w:rPr>
        <w:t>6-4、节能、环境</w:t>
      </w:r>
      <w:r>
        <w:rPr>
          <w:rFonts w:hint="eastAsia" w:ascii="宋体" w:hAnsi="宋体" w:eastAsia="宋体" w:cs="宋体"/>
          <w:b/>
          <w:color w:val="auto"/>
          <w:kern w:val="2"/>
          <w:sz w:val="24"/>
          <w:szCs w:val="24"/>
          <w:highlight w:val="none"/>
          <w:lang w:val="en-US" w:eastAsia="zh-CN" w:bidi="ar-SA"/>
        </w:rPr>
        <w:t>标志产品</w:t>
      </w:r>
      <w:r>
        <w:rPr>
          <w:rFonts w:hint="eastAsia" w:ascii="宋体" w:hAnsi="宋体" w:eastAsia="宋体" w:cs="宋体"/>
          <w:b/>
          <w:bCs/>
          <w:color w:val="auto"/>
          <w:kern w:val="0"/>
          <w:sz w:val="24"/>
          <w:highlight w:val="none"/>
          <w:lang w:val="en-US" w:eastAsia="zh-CN"/>
        </w:rPr>
        <w:t>投标人在投标时请参考以下2个文件填写下表：</w:t>
      </w:r>
    </w:p>
    <w:p w14:paraId="318BFC46">
      <w:pPr>
        <w:pStyle w:val="51"/>
        <w:numPr>
          <w:ilvl w:val="0"/>
          <w:numId w:val="0"/>
        </w:numPr>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关于印发环境标志产品政府采购品目清单的通知</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财库〔2019〕18号</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附件：环境标志产品政府采购品目清单</w:t>
      </w:r>
    </w:p>
    <w:p w14:paraId="182AE5F8">
      <w:pPr>
        <w:pStyle w:val="51"/>
        <w:numPr>
          <w:ilvl w:val="0"/>
          <w:numId w:val="0"/>
        </w:numPr>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2.《关于印发节能产品政府采购品目清单的通知》（财库〔2019〕19号）附件：节能产品政府采购品目清单</w:t>
      </w:r>
    </w:p>
    <w:p w14:paraId="6104633D">
      <w:pPr>
        <w:pStyle w:val="51"/>
        <w:spacing w:line="360" w:lineRule="auto"/>
        <w:rPr>
          <w:rFonts w:hint="eastAsia" w:ascii="宋体" w:hAnsi="宋体" w:eastAsia="宋体" w:cs="宋体"/>
          <w:b/>
          <w:bCs/>
          <w:color w:val="auto"/>
          <w:kern w:val="0"/>
          <w:sz w:val="24"/>
          <w:highlight w:val="none"/>
          <w:lang w:val="en-US" w:eastAsia="zh-CN"/>
        </w:rPr>
      </w:pPr>
    </w:p>
    <w:tbl>
      <w:tblPr>
        <w:tblStyle w:val="30"/>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76"/>
        <w:gridCol w:w="1640"/>
        <w:gridCol w:w="3369"/>
        <w:gridCol w:w="927"/>
      </w:tblGrid>
      <w:tr w14:paraId="2A02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3CA100E4">
            <w:pPr>
              <w:pStyle w:val="37"/>
              <w:keepNext w:val="0"/>
              <w:keepLines w:val="0"/>
              <w:suppressLineNumbers w:val="0"/>
              <w:spacing w:beforeAutospacing="0" w:afterAutospacing="0"/>
              <w:ind w:left="0" w:right="0"/>
              <w:jc w:val="center"/>
              <w:rPr>
                <w:rFonts w:hint="eastAsia" w:ascii="宋体" w:hAnsi="宋体" w:eastAsia="宋体" w:cs="宋体"/>
                <w:b/>
                <w:bCs w:val="0"/>
                <w:color w:val="auto"/>
                <w:highlight w:val="none"/>
                <w:vertAlign w:val="baseline"/>
                <w:lang w:val="en-US" w:eastAsia="zh-CN"/>
              </w:rPr>
            </w:pPr>
            <w:r>
              <w:rPr>
                <w:rFonts w:hint="eastAsia" w:ascii="宋体" w:hAnsi="宋体" w:eastAsia="宋体" w:cs="宋体"/>
                <w:b/>
                <w:bCs w:val="0"/>
                <w:color w:val="auto"/>
                <w:highlight w:val="none"/>
                <w:vertAlign w:val="baseline"/>
                <w:lang w:val="en-US" w:eastAsia="zh-CN"/>
              </w:rPr>
              <w:t>序号</w:t>
            </w:r>
          </w:p>
        </w:tc>
        <w:tc>
          <w:tcPr>
            <w:tcW w:w="2376" w:type="dxa"/>
            <w:noWrap w:val="0"/>
            <w:vAlign w:val="center"/>
          </w:tcPr>
          <w:p w14:paraId="3B4D26DC">
            <w:pPr>
              <w:pStyle w:val="37"/>
              <w:keepNext w:val="0"/>
              <w:keepLines w:val="0"/>
              <w:suppressLineNumbers w:val="0"/>
              <w:spacing w:beforeAutospacing="0" w:afterAutospacing="0"/>
              <w:ind w:left="0" w:right="0"/>
              <w:jc w:val="center"/>
              <w:rPr>
                <w:rFonts w:hint="eastAsia" w:ascii="宋体" w:hAnsi="宋体" w:eastAsia="宋体" w:cs="宋体"/>
                <w:b/>
                <w:bCs w:val="0"/>
                <w:color w:val="auto"/>
                <w:highlight w:val="none"/>
                <w:vertAlign w:val="baseline"/>
              </w:rPr>
            </w:pPr>
            <w:r>
              <w:rPr>
                <w:rFonts w:hint="eastAsia" w:ascii="宋体" w:hAnsi="宋体" w:eastAsia="宋体" w:cs="宋体"/>
                <w:b/>
                <w:bCs w:val="0"/>
                <w:color w:val="auto"/>
                <w:highlight w:val="none"/>
                <w:vertAlign w:val="baseline"/>
              </w:rPr>
              <w:t>产品名称(标的名称)</w:t>
            </w:r>
          </w:p>
        </w:tc>
        <w:tc>
          <w:tcPr>
            <w:tcW w:w="1640" w:type="dxa"/>
            <w:noWrap w:val="0"/>
            <w:vAlign w:val="center"/>
          </w:tcPr>
          <w:p w14:paraId="3468BF3D">
            <w:pPr>
              <w:pStyle w:val="37"/>
              <w:keepNext w:val="0"/>
              <w:keepLines w:val="0"/>
              <w:suppressLineNumbers w:val="0"/>
              <w:spacing w:beforeAutospacing="0" w:afterAutospacing="0"/>
              <w:ind w:left="0" w:right="0"/>
              <w:jc w:val="center"/>
              <w:rPr>
                <w:rFonts w:hint="eastAsia" w:ascii="宋体" w:hAnsi="宋体" w:eastAsia="宋体" w:cs="宋体"/>
                <w:b/>
                <w:bCs w:val="0"/>
                <w:color w:val="auto"/>
                <w:highlight w:val="none"/>
                <w:vertAlign w:val="baseline"/>
                <w:lang w:val="en-US" w:eastAsia="zh-CN"/>
              </w:rPr>
            </w:pPr>
            <w:r>
              <w:rPr>
                <w:rFonts w:hint="eastAsia" w:ascii="宋体" w:hAnsi="宋体" w:eastAsia="宋体" w:cs="宋体"/>
                <w:b/>
                <w:bCs w:val="0"/>
                <w:color w:val="auto"/>
                <w:highlight w:val="none"/>
                <w:vertAlign w:val="baseline"/>
                <w:lang w:val="en-US" w:eastAsia="zh-CN"/>
              </w:rPr>
              <w:t>节能认证证书编号</w:t>
            </w:r>
          </w:p>
        </w:tc>
        <w:tc>
          <w:tcPr>
            <w:tcW w:w="3369" w:type="dxa"/>
            <w:noWrap w:val="0"/>
            <w:vAlign w:val="center"/>
          </w:tcPr>
          <w:p w14:paraId="3C07DEA5">
            <w:pPr>
              <w:pStyle w:val="37"/>
              <w:keepNext w:val="0"/>
              <w:keepLines w:val="0"/>
              <w:suppressLineNumbers w:val="0"/>
              <w:spacing w:beforeAutospacing="0" w:afterAutospacing="0"/>
              <w:ind w:left="0" w:right="0"/>
              <w:jc w:val="center"/>
              <w:rPr>
                <w:rFonts w:hint="eastAsia" w:ascii="宋体" w:hAnsi="宋体" w:eastAsia="宋体" w:cs="宋体"/>
                <w:b/>
                <w:bCs w:val="0"/>
                <w:color w:val="auto"/>
                <w:highlight w:val="none"/>
                <w:vertAlign w:val="baseline"/>
                <w:lang w:val="en-US" w:eastAsia="zh-CN"/>
              </w:rPr>
            </w:pPr>
            <w:r>
              <w:rPr>
                <w:rFonts w:hint="eastAsia" w:ascii="宋体" w:hAnsi="宋体" w:eastAsia="宋体" w:cs="宋体"/>
                <w:b/>
                <w:bCs w:val="0"/>
                <w:color w:val="auto"/>
                <w:sz w:val="22"/>
                <w:szCs w:val="18"/>
                <w:highlight w:val="none"/>
                <w:vertAlign w:val="baseline"/>
              </w:rPr>
              <w:t>提供所投产品有效的节能产品认证证书(复印件加盖供应商公章)</w:t>
            </w:r>
            <w:r>
              <w:rPr>
                <w:rFonts w:hint="eastAsia" w:ascii="宋体" w:hAnsi="宋体" w:eastAsia="宋体" w:cs="宋体"/>
                <w:b/>
                <w:bCs w:val="0"/>
                <w:color w:val="auto"/>
                <w:sz w:val="22"/>
                <w:szCs w:val="18"/>
                <w:highlight w:val="none"/>
                <w:vertAlign w:val="baseline"/>
                <w:lang w:val="en-US" w:eastAsia="zh-CN"/>
              </w:rPr>
              <w:t>可附本页后</w:t>
            </w:r>
          </w:p>
        </w:tc>
        <w:tc>
          <w:tcPr>
            <w:tcW w:w="927" w:type="dxa"/>
            <w:noWrap w:val="0"/>
            <w:vAlign w:val="center"/>
          </w:tcPr>
          <w:p w14:paraId="2AB0A1DF">
            <w:pPr>
              <w:pStyle w:val="37"/>
              <w:keepNext w:val="0"/>
              <w:keepLines w:val="0"/>
              <w:suppressLineNumbers w:val="0"/>
              <w:spacing w:beforeAutospacing="0" w:afterAutospacing="0"/>
              <w:ind w:left="0" w:right="0"/>
              <w:jc w:val="center"/>
              <w:rPr>
                <w:rFonts w:hint="eastAsia" w:ascii="宋体" w:hAnsi="宋体" w:eastAsia="宋体" w:cs="宋体"/>
                <w:b/>
                <w:bCs w:val="0"/>
                <w:color w:val="auto"/>
                <w:highlight w:val="none"/>
                <w:vertAlign w:val="baseline"/>
                <w:lang w:val="en-US" w:eastAsia="zh-CN"/>
              </w:rPr>
            </w:pPr>
            <w:r>
              <w:rPr>
                <w:rFonts w:hint="eastAsia" w:ascii="宋体" w:hAnsi="宋体" w:eastAsia="宋体" w:cs="宋体"/>
                <w:b/>
                <w:bCs w:val="0"/>
                <w:color w:val="auto"/>
                <w:highlight w:val="none"/>
                <w:vertAlign w:val="baseline"/>
                <w:lang w:val="en-US" w:eastAsia="zh-CN"/>
              </w:rPr>
              <w:t>备注</w:t>
            </w:r>
          </w:p>
        </w:tc>
      </w:tr>
      <w:tr w14:paraId="7000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D99618B">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2376" w:type="dxa"/>
            <w:noWrap w:val="0"/>
            <w:vAlign w:val="top"/>
          </w:tcPr>
          <w:p w14:paraId="5532A188">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highlight w:val="none"/>
                <w:lang w:val="en-US" w:eastAsia="zh-CN"/>
              </w:rPr>
            </w:pPr>
          </w:p>
        </w:tc>
        <w:tc>
          <w:tcPr>
            <w:tcW w:w="1640" w:type="dxa"/>
            <w:noWrap w:val="0"/>
            <w:vAlign w:val="top"/>
          </w:tcPr>
          <w:p w14:paraId="379C817A">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73EC59F8">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p>
        </w:tc>
        <w:tc>
          <w:tcPr>
            <w:tcW w:w="927" w:type="dxa"/>
            <w:noWrap w:val="0"/>
            <w:vAlign w:val="top"/>
          </w:tcPr>
          <w:p w14:paraId="71DD61D0">
            <w:pPr>
              <w:pStyle w:val="37"/>
              <w:keepNext w:val="0"/>
              <w:keepLines w:val="0"/>
              <w:suppressLineNumbers w:val="0"/>
              <w:spacing w:beforeAutospacing="0" w:afterAutospacing="0"/>
              <w:ind w:left="0" w:right="0"/>
              <w:rPr>
                <w:rFonts w:hint="eastAsia" w:ascii="宋体" w:hAnsi="宋体" w:eastAsia="宋体" w:cs="宋体"/>
                <w:color w:val="auto"/>
                <w:sz w:val="21"/>
                <w:szCs w:val="16"/>
                <w:highlight w:val="none"/>
                <w:vertAlign w:val="baseline"/>
                <w:lang w:val="en-US" w:eastAsia="zh-CN"/>
              </w:rPr>
            </w:pPr>
          </w:p>
        </w:tc>
      </w:tr>
      <w:tr w14:paraId="7C82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A755069">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2376" w:type="dxa"/>
            <w:noWrap w:val="0"/>
            <w:vAlign w:val="top"/>
          </w:tcPr>
          <w:p w14:paraId="2E6CE600">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highlight w:val="none"/>
                <w:lang w:val="en-US" w:eastAsia="zh-CN"/>
              </w:rPr>
            </w:pPr>
          </w:p>
        </w:tc>
        <w:tc>
          <w:tcPr>
            <w:tcW w:w="1640" w:type="dxa"/>
            <w:noWrap w:val="0"/>
            <w:vAlign w:val="top"/>
          </w:tcPr>
          <w:p w14:paraId="5E449423">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eastAsia="zh-CN"/>
              </w:rPr>
            </w:pPr>
          </w:p>
        </w:tc>
        <w:tc>
          <w:tcPr>
            <w:tcW w:w="3369" w:type="dxa"/>
            <w:noWrap w:val="0"/>
            <w:vAlign w:val="top"/>
          </w:tcPr>
          <w:p w14:paraId="6C7CCC11">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4BB7084F">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r w14:paraId="6BC4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noWrap w:val="0"/>
            <w:vAlign w:val="top"/>
          </w:tcPr>
          <w:p w14:paraId="4350372D">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2376" w:type="dxa"/>
            <w:noWrap w:val="0"/>
            <w:vAlign w:val="top"/>
          </w:tcPr>
          <w:p w14:paraId="332C272C">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highlight w:val="none"/>
              </w:rPr>
            </w:pPr>
          </w:p>
        </w:tc>
        <w:tc>
          <w:tcPr>
            <w:tcW w:w="1640" w:type="dxa"/>
            <w:noWrap w:val="0"/>
            <w:vAlign w:val="top"/>
          </w:tcPr>
          <w:p w14:paraId="1815E5B3">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3C3F3CC3">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p>
        </w:tc>
        <w:tc>
          <w:tcPr>
            <w:tcW w:w="927" w:type="dxa"/>
            <w:noWrap w:val="0"/>
            <w:vAlign w:val="top"/>
          </w:tcPr>
          <w:p w14:paraId="2E6C7FDB">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p>
        </w:tc>
      </w:tr>
      <w:tr w14:paraId="7509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8106975">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2376" w:type="dxa"/>
            <w:noWrap w:val="0"/>
            <w:vAlign w:val="top"/>
          </w:tcPr>
          <w:p w14:paraId="0F9D0F98">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highlight w:val="none"/>
                <w:lang w:eastAsia="zh-CN"/>
              </w:rPr>
            </w:pPr>
          </w:p>
        </w:tc>
        <w:tc>
          <w:tcPr>
            <w:tcW w:w="1640" w:type="dxa"/>
            <w:noWrap w:val="0"/>
            <w:vAlign w:val="top"/>
          </w:tcPr>
          <w:p w14:paraId="2D16088D">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48D982C1">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48A71EE7">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r w14:paraId="1FF3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4825926">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5</w:t>
            </w:r>
          </w:p>
        </w:tc>
        <w:tc>
          <w:tcPr>
            <w:tcW w:w="2376" w:type="dxa"/>
            <w:noWrap w:val="0"/>
            <w:vAlign w:val="top"/>
          </w:tcPr>
          <w:p w14:paraId="0A6E1869">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1640" w:type="dxa"/>
            <w:noWrap w:val="0"/>
            <w:vAlign w:val="top"/>
          </w:tcPr>
          <w:p w14:paraId="17CFBC05">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652B477D">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30403572">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r w14:paraId="65EE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79EAC567">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2376" w:type="dxa"/>
            <w:noWrap w:val="0"/>
            <w:vAlign w:val="top"/>
          </w:tcPr>
          <w:p w14:paraId="5616D960">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1640" w:type="dxa"/>
            <w:noWrap w:val="0"/>
            <w:vAlign w:val="top"/>
          </w:tcPr>
          <w:p w14:paraId="0CD1C2E3">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38BBF92F">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15C8C251">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r w14:paraId="7496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228A3DB">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7</w:t>
            </w:r>
          </w:p>
        </w:tc>
        <w:tc>
          <w:tcPr>
            <w:tcW w:w="2376" w:type="dxa"/>
            <w:noWrap w:val="0"/>
            <w:vAlign w:val="top"/>
          </w:tcPr>
          <w:p w14:paraId="47948707">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eastAsia="zh-CN"/>
              </w:rPr>
            </w:pPr>
          </w:p>
        </w:tc>
        <w:tc>
          <w:tcPr>
            <w:tcW w:w="1640" w:type="dxa"/>
            <w:noWrap w:val="0"/>
            <w:vAlign w:val="top"/>
          </w:tcPr>
          <w:p w14:paraId="073414F6">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755D08EB">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77E28D14">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r w14:paraId="234C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5C486F1">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8</w:t>
            </w:r>
          </w:p>
        </w:tc>
        <w:tc>
          <w:tcPr>
            <w:tcW w:w="2376" w:type="dxa"/>
            <w:noWrap w:val="0"/>
            <w:vAlign w:val="top"/>
          </w:tcPr>
          <w:p w14:paraId="4CBF1040">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eastAsia="zh-CN"/>
              </w:rPr>
            </w:pPr>
          </w:p>
        </w:tc>
        <w:tc>
          <w:tcPr>
            <w:tcW w:w="1640" w:type="dxa"/>
            <w:noWrap w:val="0"/>
            <w:vAlign w:val="top"/>
          </w:tcPr>
          <w:p w14:paraId="6C096FEB">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0193132E">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625801B4">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r w14:paraId="4BA7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6427008">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9</w:t>
            </w:r>
          </w:p>
        </w:tc>
        <w:tc>
          <w:tcPr>
            <w:tcW w:w="2376" w:type="dxa"/>
            <w:noWrap w:val="0"/>
            <w:vAlign w:val="top"/>
          </w:tcPr>
          <w:p w14:paraId="2B0540AE">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highlight w:val="none"/>
              </w:rPr>
            </w:pPr>
          </w:p>
        </w:tc>
        <w:tc>
          <w:tcPr>
            <w:tcW w:w="1640" w:type="dxa"/>
            <w:noWrap w:val="0"/>
            <w:vAlign w:val="top"/>
          </w:tcPr>
          <w:p w14:paraId="5FE61FBE">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45DB8413">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06050CD8">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r w14:paraId="015F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02BF7CB">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10</w:t>
            </w:r>
          </w:p>
        </w:tc>
        <w:tc>
          <w:tcPr>
            <w:tcW w:w="2376" w:type="dxa"/>
            <w:noWrap w:val="0"/>
            <w:vAlign w:val="top"/>
          </w:tcPr>
          <w:p w14:paraId="37DE3DA6">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highlight w:val="none"/>
              </w:rPr>
            </w:pPr>
          </w:p>
        </w:tc>
        <w:tc>
          <w:tcPr>
            <w:tcW w:w="1640" w:type="dxa"/>
            <w:noWrap w:val="0"/>
            <w:vAlign w:val="top"/>
          </w:tcPr>
          <w:p w14:paraId="5E9F87C9">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7BE56091">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3C5A4AF9">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r w14:paraId="71BC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305B53A">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11</w:t>
            </w:r>
          </w:p>
        </w:tc>
        <w:tc>
          <w:tcPr>
            <w:tcW w:w="2376" w:type="dxa"/>
            <w:noWrap w:val="0"/>
            <w:vAlign w:val="top"/>
          </w:tcPr>
          <w:p w14:paraId="05D27BA5">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highlight w:val="none"/>
              </w:rPr>
            </w:pPr>
          </w:p>
        </w:tc>
        <w:tc>
          <w:tcPr>
            <w:tcW w:w="1640" w:type="dxa"/>
            <w:noWrap w:val="0"/>
            <w:vAlign w:val="top"/>
          </w:tcPr>
          <w:p w14:paraId="4140A95C">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1A11C61E">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1F3B52A5">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r w14:paraId="370F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863C28A">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12</w:t>
            </w:r>
          </w:p>
        </w:tc>
        <w:tc>
          <w:tcPr>
            <w:tcW w:w="2376" w:type="dxa"/>
            <w:noWrap w:val="0"/>
            <w:vAlign w:val="top"/>
          </w:tcPr>
          <w:p w14:paraId="62AF1399">
            <w:pPr>
              <w:pStyle w:val="37"/>
              <w:keepNext w:val="0"/>
              <w:keepLines w:val="0"/>
              <w:suppressLineNumbers w:val="0"/>
              <w:spacing w:beforeAutospacing="0" w:afterAutospacing="0"/>
              <w:ind w:left="0" w:right="0"/>
              <w:rPr>
                <w:rFonts w:hint="eastAsia" w:ascii="宋体" w:hAnsi="宋体" w:eastAsia="宋体" w:cs="宋体"/>
                <w:b w:val="0"/>
                <w:bCs w:val="0"/>
                <w:color w:val="auto"/>
                <w:sz w:val="19"/>
                <w:szCs w:val="19"/>
                <w:highlight w:val="none"/>
              </w:rPr>
            </w:pPr>
          </w:p>
        </w:tc>
        <w:tc>
          <w:tcPr>
            <w:tcW w:w="1640" w:type="dxa"/>
            <w:noWrap w:val="0"/>
            <w:vAlign w:val="top"/>
          </w:tcPr>
          <w:p w14:paraId="5B79C66C">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3369" w:type="dxa"/>
            <w:noWrap w:val="0"/>
            <w:vAlign w:val="top"/>
          </w:tcPr>
          <w:p w14:paraId="178E4F49">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c>
          <w:tcPr>
            <w:tcW w:w="927" w:type="dxa"/>
            <w:noWrap w:val="0"/>
            <w:vAlign w:val="top"/>
          </w:tcPr>
          <w:p w14:paraId="07B380D5">
            <w:pPr>
              <w:pStyle w:val="37"/>
              <w:keepNext w:val="0"/>
              <w:keepLines w:val="0"/>
              <w:suppressLineNumbers w:val="0"/>
              <w:spacing w:beforeAutospacing="0" w:afterAutospacing="0"/>
              <w:ind w:left="0" w:right="0"/>
              <w:rPr>
                <w:rFonts w:hint="eastAsia" w:ascii="宋体" w:hAnsi="宋体" w:eastAsia="宋体" w:cs="宋体"/>
                <w:color w:val="auto"/>
                <w:highlight w:val="none"/>
                <w:vertAlign w:val="baseline"/>
              </w:rPr>
            </w:pPr>
          </w:p>
        </w:tc>
      </w:tr>
    </w:tbl>
    <w:p w14:paraId="45351B53">
      <w:pPr>
        <w:rPr>
          <w:rFonts w:hint="eastAsia" w:ascii="宋体" w:hAnsi="宋体" w:eastAsia="宋体" w:cs="宋体"/>
          <w:b/>
          <w:bCs/>
          <w:color w:val="auto"/>
          <w:kern w:val="0"/>
          <w:sz w:val="24"/>
          <w:highlight w:val="none"/>
        </w:rPr>
      </w:pPr>
    </w:p>
    <w:p w14:paraId="438AC44C">
      <w:pPr>
        <w:snapToGrid w:val="0"/>
        <w:spacing w:line="400" w:lineRule="exact"/>
        <w:ind w:firstLine="482" w:firstLineChars="200"/>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备注：“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”标注的为政府强制采购产品。以上带“</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”符号的为实质性要求，不满足的将作为无效投标处理（或者无效响应处理</w:t>
      </w:r>
      <w:r>
        <w:rPr>
          <w:rFonts w:hint="eastAsia" w:ascii="宋体" w:hAnsi="宋体" w:eastAsia="宋体" w:cs="宋体"/>
          <w:color w:val="auto"/>
          <w:sz w:val="24"/>
          <w:highlight w:val="none"/>
        </w:rPr>
        <w:t>）。</w:t>
      </w:r>
    </w:p>
    <w:p w14:paraId="44966EA6">
      <w:pPr>
        <w:snapToGrid w:val="0"/>
        <w:spacing w:line="400" w:lineRule="exact"/>
        <w:ind w:firstLine="480" w:firstLineChars="200"/>
        <w:textAlignment w:val="baseline"/>
        <w:rPr>
          <w:rFonts w:hint="eastAsia" w:ascii="宋体" w:hAnsi="宋体" w:eastAsia="宋体" w:cs="宋体"/>
          <w:color w:val="auto"/>
          <w:sz w:val="24"/>
          <w:highlight w:val="none"/>
        </w:rPr>
      </w:pPr>
    </w:p>
    <w:p w14:paraId="64421105">
      <w:pPr>
        <w:numPr>
          <w:ilvl w:val="0"/>
          <w:numId w:val="0"/>
        </w:numPr>
        <w:rPr>
          <w:rFonts w:hint="eastAsia" w:ascii="宋体" w:hAnsi="宋体" w:eastAsia="宋体" w:cs="宋体"/>
          <w:color w:val="auto"/>
          <w:highlight w:val="none"/>
        </w:rPr>
      </w:pPr>
    </w:p>
    <w:p w14:paraId="09CB0DDA">
      <w:pPr>
        <w:pStyle w:val="37"/>
        <w:rPr>
          <w:rFonts w:hint="eastAsia" w:ascii="宋体" w:hAnsi="宋体" w:eastAsia="宋体" w:cs="宋体"/>
          <w:color w:val="auto"/>
          <w:highlight w:val="none"/>
        </w:rPr>
      </w:pPr>
    </w:p>
    <w:p w14:paraId="190FF1DD">
      <w:pPr>
        <w:pStyle w:val="37"/>
        <w:rPr>
          <w:rFonts w:hint="eastAsia" w:ascii="宋体" w:hAnsi="宋体" w:eastAsia="宋体" w:cs="宋体"/>
          <w:color w:val="auto"/>
          <w:highlight w:val="none"/>
        </w:rPr>
      </w:pPr>
    </w:p>
    <w:p w14:paraId="299ED87A">
      <w:pPr>
        <w:pStyle w:val="37"/>
        <w:rPr>
          <w:rFonts w:hint="eastAsia" w:ascii="宋体" w:hAnsi="宋体" w:eastAsia="宋体" w:cs="宋体"/>
          <w:highlight w:val="none"/>
        </w:rPr>
      </w:pPr>
    </w:p>
    <w:p w14:paraId="305E29CA">
      <w:pPr>
        <w:pStyle w:val="16"/>
        <w:spacing w:line="360" w:lineRule="auto"/>
        <w:ind w:left="1080" w:leftChars="257" w:hanging="540"/>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br w:type="page"/>
      </w:r>
      <w:r>
        <w:rPr>
          <w:rFonts w:hint="eastAsia" w:ascii="宋体" w:hAnsi="宋体" w:eastAsia="宋体" w:cs="宋体"/>
          <w:b/>
          <w:bCs/>
          <w:kern w:val="0"/>
          <w:sz w:val="24"/>
          <w:highlight w:val="none"/>
          <w:lang w:val="en-US" w:eastAsia="zh-CN"/>
        </w:rPr>
        <w:t>7、投标人关联单位的说明（格式自拟）</w:t>
      </w:r>
    </w:p>
    <w:p w14:paraId="6A93C5AA">
      <w:pPr>
        <w:pStyle w:val="51"/>
        <w:spacing w:line="360" w:lineRule="auto"/>
        <w:ind w:left="1080" w:leftChars="257" w:hanging="540"/>
        <w:rPr>
          <w:rFonts w:hint="eastAsia" w:ascii="宋体" w:hAnsi="宋体" w:eastAsia="宋体" w:cs="宋体"/>
          <w:b/>
          <w:bCs/>
          <w:kern w:val="0"/>
          <w:sz w:val="24"/>
          <w:highlight w:val="none"/>
        </w:rPr>
      </w:pPr>
    </w:p>
    <w:p w14:paraId="4472C384">
      <w:pPr>
        <w:pStyle w:val="51"/>
        <w:spacing w:line="360" w:lineRule="auto"/>
        <w:ind w:left="1080" w:leftChars="257" w:hanging="540"/>
        <w:rPr>
          <w:rFonts w:hint="eastAsia" w:ascii="宋体" w:hAnsi="宋体" w:eastAsia="宋体" w:cs="宋体"/>
          <w:b w:val="0"/>
          <w:bCs w:val="0"/>
          <w:kern w:val="0"/>
          <w:sz w:val="22"/>
          <w:szCs w:val="18"/>
          <w:highlight w:val="none"/>
        </w:rPr>
      </w:pPr>
      <w:r>
        <w:rPr>
          <w:rFonts w:hint="eastAsia" w:ascii="宋体" w:hAnsi="宋体" w:eastAsia="宋体" w:cs="宋体"/>
          <w:b w:val="0"/>
          <w:bCs w:val="0"/>
          <w:kern w:val="0"/>
          <w:sz w:val="22"/>
          <w:szCs w:val="18"/>
          <w:highlight w:val="none"/>
        </w:rPr>
        <w:t>说明：供应商应当如实披露与本单位存在下列关联关系的单位名称：</w:t>
      </w:r>
    </w:p>
    <w:p w14:paraId="385D911B">
      <w:pPr>
        <w:pStyle w:val="51"/>
        <w:spacing w:line="360" w:lineRule="auto"/>
        <w:ind w:left="1080" w:leftChars="257" w:hanging="540"/>
        <w:rPr>
          <w:rFonts w:hint="eastAsia" w:ascii="宋体" w:hAnsi="宋体" w:eastAsia="宋体" w:cs="宋体"/>
          <w:b w:val="0"/>
          <w:bCs w:val="0"/>
          <w:kern w:val="0"/>
          <w:sz w:val="22"/>
          <w:szCs w:val="18"/>
          <w:highlight w:val="none"/>
        </w:rPr>
      </w:pPr>
      <w:r>
        <w:rPr>
          <w:rFonts w:hint="eastAsia" w:ascii="宋体" w:hAnsi="宋体" w:eastAsia="宋体" w:cs="宋体"/>
          <w:b w:val="0"/>
          <w:bCs w:val="0"/>
          <w:kern w:val="0"/>
          <w:sz w:val="22"/>
          <w:szCs w:val="18"/>
          <w:highlight w:val="none"/>
        </w:rPr>
        <w:t>（1）与供应商单位负责人为同一人的其他单位；</w:t>
      </w:r>
    </w:p>
    <w:p w14:paraId="3B8B4213">
      <w:pPr>
        <w:pStyle w:val="51"/>
        <w:spacing w:line="360" w:lineRule="auto"/>
        <w:ind w:left="1080" w:leftChars="257" w:hanging="540"/>
        <w:rPr>
          <w:rFonts w:hint="eastAsia" w:ascii="宋体" w:hAnsi="宋体" w:eastAsia="宋体" w:cs="宋体"/>
          <w:b w:val="0"/>
          <w:bCs w:val="0"/>
          <w:kern w:val="0"/>
          <w:sz w:val="22"/>
          <w:szCs w:val="18"/>
          <w:highlight w:val="none"/>
        </w:rPr>
      </w:pPr>
      <w:r>
        <w:rPr>
          <w:rFonts w:hint="eastAsia" w:ascii="宋体" w:hAnsi="宋体" w:eastAsia="宋体" w:cs="宋体"/>
          <w:b w:val="0"/>
          <w:bCs w:val="0"/>
          <w:kern w:val="0"/>
          <w:sz w:val="22"/>
          <w:szCs w:val="18"/>
          <w:highlight w:val="none"/>
        </w:rPr>
        <w:t>（2）与供应商存在直接控股、管理关系的其他单位。</w:t>
      </w:r>
    </w:p>
    <w:p w14:paraId="715DF0E1">
      <w:pPr>
        <w:pStyle w:val="16"/>
        <w:spacing w:line="360" w:lineRule="auto"/>
        <w:rPr>
          <w:rFonts w:hint="eastAsia" w:ascii="宋体" w:hAnsi="宋体" w:eastAsia="宋体" w:cs="宋体"/>
          <w:b/>
          <w:bCs/>
          <w:kern w:val="0"/>
          <w:sz w:val="24"/>
          <w:highlight w:val="none"/>
        </w:rPr>
      </w:pPr>
      <w:r>
        <w:rPr>
          <w:rFonts w:hint="eastAsia" w:ascii="宋体" w:hAnsi="宋体" w:eastAsia="宋体" w:cs="宋体"/>
          <w:b/>
          <w:bCs/>
          <w:kern w:val="0"/>
          <w:sz w:val="24"/>
          <w:highlight w:val="none"/>
          <w:lang w:val="en-US" w:eastAsia="zh-CN"/>
        </w:rPr>
        <w:br w:type="page"/>
      </w:r>
      <w:r>
        <w:rPr>
          <w:rFonts w:hint="eastAsia" w:ascii="宋体" w:hAnsi="宋体" w:eastAsia="宋体" w:cs="宋体"/>
          <w:b/>
          <w:bCs/>
          <w:kern w:val="0"/>
          <w:sz w:val="24"/>
          <w:highlight w:val="none"/>
          <w:lang w:val="en-US" w:eastAsia="zh-CN"/>
        </w:rPr>
        <w:t xml:space="preserve">    8、其</w:t>
      </w:r>
      <w:r>
        <w:rPr>
          <w:rFonts w:hint="eastAsia" w:ascii="宋体" w:hAnsi="宋体" w:eastAsia="宋体" w:cs="宋体"/>
          <w:b/>
          <w:bCs/>
          <w:kern w:val="0"/>
          <w:sz w:val="24"/>
          <w:highlight w:val="none"/>
        </w:rPr>
        <w:t>他有利于供应商的文件或证明材料</w:t>
      </w:r>
    </w:p>
    <w:p w14:paraId="05E832CA">
      <w:pPr>
        <w:pStyle w:val="51"/>
        <w:spacing w:line="360" w:lineRule="auto"/>
        <w:ind w:left="1080" w:leftChars="257" w:hanging="540"/>
        <w:rPr>
          <w:rFonts w:hint="eastAsia" w:ascii="宋体" w:hAnsi="宋体" w:eastAsia="宋体" w:cs="宋体"/>
          <w:kern w:val="0"/>
          <w:sz w:val="24"/>
          <w:highlight w:val="none"/>
        </w:rPr>
      </w:pPr>
    </w:p>
    <w:p w14:paraId="6CF701AE">
      <w:pPr>
        <w:pStyle w:val="51"/>
        <w:spacing w:line="360" w:lineRule="auto"/>
        <w:ind w:left="1080" w:leftChars="257" w:hanging="54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注：参照“第六章评分方法和标准”，提供有力于供应商的其他证明文件或实施方案、服务方案</w:t>
      </w:r>
      <w:r>
        <w:rPr>
          <w:rFonts w:hint="eastAsia" w:ascii="宋体" w:hAnsi="宋体" w:eastAsia="宋体" w:cs="宋体"/>
          <w:kern w:val="0"/>
          <w:sz w:val="24"/>
          <w:highlight w:val="none"/>
          <w:lang w:val="en-US" w:eastAsia="zh-CN"/>
        </w:rPr>
        <w:t>等。</w:t>
      </w:r>
    </w:p>
    <w:p w14:paraId="43DAE659">
      <w:pPr>
        <w:spacing w:line="360" w:lineRule="auto"/>
        <w:ind w:left="1080" w:leftChars="257" w:hanging="540"/>
        <w:jc w:val="left"/>
        <w:rPr>
          <w:rFonts w:hint="eastAsia" w:ascii="宋体" w:hAnsi="宋体" w:eastAsia="宋体" w:cs="宋体"/>
          <w:b/>
          <w:bCs/>
          <w:kern w:val="0"/>
          <w:sz w:val="24"/>
          <w:szCs w:val="20"/>
          <w:highlight w:val="none"/>
        </w:rPr>
      </w:pPr>
      <w:r>
        <w:rPr>
          <w:rFonts w:hint="eastAsia" w:ascii="宋体" w:hAnsi="宋体" w:eastAsia="宋体" w:cs="宋体"/>
          <w:kern w:val="0"/>
          <w:sz w:val="24"/>
          <w:highlight w:val="none"/>
          <w:lang w:val="en-US" w:eastAsia="zh-CN"/>
        </w:rPr>
        <w:br w:type="page"/>
      </w:r>
      <w:r>
        <w:rPr>
          <w:rFonts w:hint="eastAsia" w:ascii="宋体" w:hAnsi="宋体" w:eastAsia="宋体" w:cs="宋体"/>
          <w:b/>
          <w:bCs/>
          <w:kern w:val="0"/>
          <w:sz w:val="24"/>
          <w:szCs w:val="20"/>
          <w:highlight w:val="none"/>
          <w:lang w:val="en-US" w:eastAsia="zh-CN"/>
        </w:rPr>
        <w:t>9</w:t>
      </w:r>
      <w:r>
        <w:rPr>
          <w:rFonts w:hint="eastAsia" w:ascii="宋体" w:hAnsi="宋体" w:eastAsia="宋体" w:cs="宋体"/>
          <w:b/>
          <w:bCs/>
          <w:kern w:val="0"/>
          <w:sz w:val="24"/>
          <w:szCs w:val="20"/>
          <w:highlight w:val="none"/>
        </w:rPr>
        <w:t>、对本项目响应文件（响应文件）中资料真实性的承诺</w:t>
      </w:r>
    </w:p>
    <w:p w14:paraId="3DA91D9A">
      <w:pPr>
        <w:spacing w:line="360" w:lineRule="auto"/>
        <w:ind w:left="1080" w:leftChars="257" w:hanging="540"/>
        <w:jc w:val="left"/>
        <w:rPr>
          <w:rFonts w:hint="eastAsia" w:ascii="宋体" w:hAnsi="宋体" w:eastAsia="宋体" w:cs="宋体"/>
          <w:b/>
          <w:bCs/>
          <w:kern w:val="0"/>
          <w:sz w:val="24"/>
          <w:szCs w:val="20"/>
          <w:highlight w:val="none"/>
        </w:rPr>
      </w:pPr>
    </w:p>
    <w:p w14:paraId="48AB5F51">
      <w:pPr>
        <w:spacing w:line="360" w:lineRule="auto"/>
        <w:jc w:val="left"/>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项目名称）评标委员会：</w:t>
      </w:r>
    </w:p>
    <w:p w14:paraId="2A0B0C9A">
      <w:pPr>
        <w:spacing w:line="360" w:lineRule="auto"/>
        <w:ind w:firstLine="480" w:firstLineChars="200"/>
        <w:jc w:val="lef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根据《中华人民共和国政府采购法》、《中华人民共和国政府采购法实施条例》等有关法律、法规的规定和</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项目名称）招标文件的要求，我公司在参加</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项目名称）响应文件（响应文件）中所提供资料真实性作如下承诺：</w:t>
      </w:r>
    </w:p>
    <w:p w14:paraId="0690AB50">
      <w:pPr>
        <w:spacing w:line="360" w:lineRule="auto"/>
        <w:ind w:firstLine="480" w:firstLineChars="200"/>
        <w:jc w:val="lef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我公司将严格按招标文件要求，在编制本响应文件（响应文件）时，对响应文件中所提供的资料全部真实和正确，并对提供的所有资料（资格、其他材料等）的真实性负责！ </w:t>
      </w:r>
    </w:p>
    <w:p w14:paraId="0AB276FD">
      <w:pPr>
        <w:spacing w:line="360" w:lineRule="auto"/>
        <w:ind w:firstLine="480" w:firstLineChars="200"/>
        <w:jc w:val="lef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对提供的全部资料中有存在不真实（伪造或租借等虚假资料）情形，将无条件接受任何处罚，自行承担由此引起的一切责任！</w:t>
      </w:r>
    </w:p>
    <w:p w14:paraId="5ABFD556">
      <w:pPr>
        <w:spacing w:line="360" w:lineRule="auto"/>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特此承诺</w:t>
      </w:r>
    </w:p>
    <w:p w14:paraId="2405B5E5">
      <w:pPr>
        <w:spacing w:line="360" w:lineRule="auto"/>
        <w:ind w:left="1080" w:leftChars="257" w:hanging="540"/>
        <w:jc w:val="center"/>
        <w:rPr>
          <w:rFonts w:hint="eastAsia" w:ascii="宋体" w:hAnsi="宋体" w:eastAsia="宋体" w:cs="宋体"/>
          <w:b/>
          <w:bCs/>
          <w:kern w:val="0"/>
          <w:sz w:val="24"/>
          <w:szCs w:val="20"/>
          <w:highlight w:val="none"/>
        </w:rPr>
      </w:pPr>
    </w:p>
    <w:p w14:paraId="3C15742E">
      <w:pPr>
        <w:widowControl/>
        <w:spacing w:line="560" w:lineRule="exact"/>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供应商（盖单位章）：</w:t>
      </w:r>
    </w:p>
    <w:p w14:paraId="06D5E4B4">
      <w:pPr>
        <w:widowControl/>
        <w:spacing w:line="560" w:lineRule="exact"/>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法定代表人或委托代理人（签字或签章）</w:t>
      </w:r>
      <w:r>
        <w:rPr>
          <w:rFonts w:hint="eastAsia" w:ascii="宋体" w:hAnsi="宋体" w:eastAsia="宋体" w:cs="宋体"/>
          <w:kern w:val="0"/>
          <w:sz w:val="24"/>
          <w:highlight w:val="none"/>
          <w:u w:val="single"/>
        </w:rPr>
        <w:t xml:space="preserve">：        </w:t>
      </w:r>
    </w:p>
    <w:p w14:paraId="13FA91BF">
      <w:pPr>
        <w:widowControl/>
        <w:spacing w:line="560" w:lineRule="exact"/>
        <w:ind w:firstLine="480" w:firstLineChars="20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日期：年 月 日</w:t>
      </w:r>
    </w:p>
    <w:p w14:paraId="23451DD4">
      <w:pPr>
        <w:rPr>
          <w:rFonts w:hint="eastAsia" w:ascii="宋体" w:hAnsi="宋体" w:eastAsia="宋体" w:cs="宋体"/>
          <w:b w:val="0"/>
          <w:sz w:val="52"/>
          <w:highlight w:val="none"/>
        </w:rPr>
      </w:pPr>
      <w:r>
        <w:rPr>
          <w:rFonts w:hint="eastAsia" w:ascii="宋体" w:hAnsi="宋体" w:eastAsia="宋体" w:cs="宋体"/>
          <w:b/>
          <w:sz w:val="44"/>
          <w:szCs w:val="44"/>
          <w:highlight w:val="none"/>
        </w:rPr>
        <w:br w:type="page"/>
      </w:r>
    </w:p>
    <w:p w14:paraId="212E7BBD">
      <w:pPr>
        <w:pStyle w:val="40"/>
        <w:numPr>
          <w:ilvl w:val="0"/>
          <w:numId w:val="12"/>
        </w:numPr>
        <w:tabs>
          <w:tab w:val="left" w:pos="0"/>
        </w:tabs>
        <w:spacing w:before="0" w:after="0" w:line="240" w:lineRule="atLeast"/>
        <w:ind w:left="630"/>
        <w:rPr>
          <w:rFonts w:hint="eastAsia" w:ascii="宋体" w:hAnsi="宋体" w:eastAsia="宋体" w:cs="宋体"/>
          <w:highlight w:val="none"/>
        </w:rPr>
      </w:pPr>
      <w:bookmarkStart w:id="367" w:name="_Toc14452"/>
      <w:bookmarkEnd w:id="367"/>
      <w:bookmarkStart w:id="368" w:name="_Toc7801"/>
      <w:bookmarkEnd w:id="368"/>
      <w:bookmarkStart w:id="369" w:name="_Toc30701"/>
      <w:bookmarkEnd w:id="369"/>
      <w:bookmarkStart w:id="370" w:name="_Toc6254"/>
      <w:bookmarkEnd w:id="370"/>
      <w:bookmarkStart w:id="371" w:name="_Toc6823"/>
      <w:bookmarkEnd w:id="371"/>
      <w:bookmarkStart w:id="372" w:name="_Toc12390"/>
      <w:bookmarkEnd w:id="372"/>
      <w:bookmarkStart w:id="373" w:name="_Toc30551"/>
      <w:r>
        <w:rPr>
          <w:rFonts w:hint="eastAsia" w:ascii="宋体" w:hAnsi="宋体" w:eastAsia="宋体" w:cs="宋体"/>
          <w:highlight w:val="none"/>
        </w:rPr>
        <w:t>项目服务需求及技术规格</w:t>
      </w:r>
      <w:bookmarkEnd w:id="373"/>
    </w:p>
    <w:p w14:paraId="27F65E9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一、</w:t>
      </w:r>
      <w:bookmarkStart w:id="374" w:name="_Toc195844483"/>
      <w:r>
        <w:rPr>
          <w:rFonts w:hint="eastAsia" w:ascii="宋体" w:hAnsi="宋体" w:eastAsia="宋体" w:cs="宋体"/>
          <w:b/>
          <w:bCs/>
          <w:kern w:val="0"/>
          <w:sz w:val="28"/>
          <w:szCs w:val="28"/>
          <w:highlight w:val="none"/>
          <w:lang w:val="en-US" w:eastAsia="zh-CN" w:bidi="ar-SA"/>
        </w:rPr>
        <w:t>项目建设清单及技术参数要求</w:t>
      </w:r>
    </w:p>
    <w:tbl>
      <w:tblPr>
        <w:tblStyle w:val="2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573"/>
        <w:gridCol w:w="409"/>
        <w:gridCol w:w="982"/>
        <w:gridCol w:w="1009"/>
        <w:gridCol w:w="5054"/>
      </w:tblGrid>
      <w:tr w14:paraId="37A77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2" w:type="pct"/>
            <w:tcBorders>
              <w:bottom w:val="single" w:color="000000" w:sz="4" w:space="0"/>
              <w:right w:val="single" w:color="000000" w:sz="4" w:space="0"/>
            </w:tcBorders>
            <w:shd w:val="clear" w:color="auto" w:fill="auto"/>
            <w:vAlign w:val="center"/>
          </w:tcPr>
          <w:p w14:paraId="6A4A7D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类别</w:t>
            </w:r>
          </w:p>
        </w:tc>
        <w:tc>
          <w:tcPr>
            <w:tcW w:w="337" w:type="pct"/>
            <w:tcBorders>
              <w:left w:val="single" w:color="000000" w:sz="4" w:space="0"/>
              <w:bottom w:val="single" w:color="000000" w:sz="4" w:space="0"/>
              <w:right w:val="single" w:color="000000" w:sz="4" w:space="0"/>
            </w:tcBorders>
            <w:shd w:val="clear" w:color="auto" w:fill="auto"/>
            <w:vAlign w:val="center"/>
          </w:tcPr>
          <w:p w14:paraId="274AF0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40" w:type="pct"/>
            <w:tcBorders>
              <w:left w:val="single" w:color="000000" w:sz="4" w:space="0"/>
              <w:bottom w:val="single" w:color="000000" w:sz="4" w:space="0"/>
              <w:right w:val="single" w:color="000000" w:sz="4" w:space="0"/>
            </w:tcBorders>
            <w:shd w:val="clear" w:color="auto" w:fill="auto"/>
            <w:vAlign w:val="center"/>
          </w:tcPr>
          <w:p w14:paraId="1502D3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578" w:type="pct"/>
            <w:tcBorders>
              <w:left w:val="single" w:color="000000" w:sz="4" w:space="0"/>
              <w:bottom w:val="single" w:color="000000" w:sz="4" w:space="0"/>
              <w:right w:val="single" w:color="000000" w:sz="4" w:space="0"/>
            </w:tcBorders>
            <w:shd w:val="clear" w:color="auto" w:fill="auto"/>
            <w:vAlign w:val="center"/>
          </w:tcPr>
          <w:p w14:paraId="1FB99B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594" w:type="pct"/>
            <w:tcBorders>
              <w:left w:val="single" w:color="000000" w:sz="4" w:space="0"/>
              <w:bottom w:val="single" w:color="000000" w:sz="4" w:space="0"/>
              <w:right w:val="single" w:color="000000" w:sz="4" w:space="0"/>
            </w:tcBorders>
            <w:shd w:val="clear" w:color="auto" w:fill="auto"/>
            <w:vAlign w:val="center"/>
          </w:tcPr>
          <w:p w14:paraId="5FD0B4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小计（元）</w:t>
            </w:r>
          </w:p>
        </w:tc>
        <w:tc>
          <w:tcPr>
            <w:tcW w:w="2976" w:type="pct"/>
            <w:tcBorders>
              <w:left w:val="single" w:color="000000" w:sz="4" w:space="0"/>
              <w:bottom w:val="single" w:color="000000" w:sz="4" w:space="0"/>
            </w:tcBorders>
            <w:shd w:val="clear" w:color="auto" w:fill="auto"/>
            <w:vAlign w:val="center"/>
          </w:tcPr>
          <w:p w14:paraId="1B45E8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参数</w:t>
            </w:r>
          </w:p>
        </w:tc>
      </w:tr>
      <w:tr w14:paraId="332C5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340" w:hRule="atLeast"/>
        </w:trPr>
        <w:tc>
          <w:tcPr>
            <w:tcW w:w="272" w:type="pct"/>
            <w:vMerge w:val="restart"/>
            <w:tcBorders>
              <w:top w:val="single" w:color="000000" w:sz="4" w:space="0"/>
              <w:bottom w:val="nil"/>
              <w:right w:val="nil"/>
            </w:tcBorders>
            <w:shd w:val="clear" w:color="auto" w:fill="auto"/>
            <w:vAlign w:val="center"/>
          </w:tcPr>
          <w:p w14:paraId="3A781A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无人机及相关配件、保险（三年）</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13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大载重无人机</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54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9B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55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4DC9447E">
            <w:pPr>
              <w:keepNext w:val="0"/>
              <w:keepLines w:val="0"/>
              <w:widowControl/>
              <w:numPr>
                <w:ilvl w:val="0"/>
                <w:numId w:val="13"/>
              </w:numPr>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空机重量≥55千克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▲2.最大起飞重量≥145千克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3.最大轴距≥1800毫米（对角线）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4.机载电池数量：支持单电、双电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5.最大飞行距离：最大起飞重量下≥双电12千米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6.最大悬停时间：最大起飞重量下≥双电12分钟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7.最大上升速度≥4米/秒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8.最大下降速度≥4米/秒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9.最大飞行海拔高度≥6000米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10.最大飞行高度≥1500米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11.最大抗风速度：≥12米/秒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12.工作温度范围：-20℃至40℃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13.整机防护等级：IP55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14.安全系统类型：前毫米波雷达、下视雷达、激光雷达、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15.降落伞：支持手动开伞和自动开伞，复合民航局《民用无人驾驶航空器降落伞系统规范》(MH/T6140-2026);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★16.空吊系统：</w:t>
            </w:r>
            <w:r>
              <w:rPr>
                <w:rFonts w:hint="eastAsia" w:ascii="微软雅黑" w:hAnsi="微软雅黑" w:eastAsia="微软雅黑" w:cs="微软雅黑"/>
                <w:i w:val="0"/>
                <w:iCs w:val="0"/>
                <w:color w:val="000000"/>
                <w:kern w:val="0"/>
                <w:sz w:val="24"/>
                <w:szCs w:val="24"/>
                <w:highlight w:val="none"/>
                <w:u w:val="none"/>
                <w:lang w:val="en-US" w:eastAsia="zh-CN" w:bidi="ar"/>
              </w:rPr>
              <w:t>①</w:t>
            </w:r>
            <w:r>
              <w:rPr>
                <w:rFonts w:hint="eastAsia" w:ascii="仿宋" w:hAnsi="仿宋" w:eastAsia="仿宋" w:cs="仿宋"/>
                <w:i w:val="0"/>
                <w:iCs w:val="0"/>
                <w:color w:val="000000"/>
                <w:kern w:val="0"/>
                <w:sz w:val="24"/>
                <w:szCs w:val="24"/>
                <w:highlight w:val="none"/>
                <w:u w:val="none"/>
                <w:lang w:val="en-US" w:eastAsia="zh-CN" w:bidi="ar"/>
              </w:rPr>
              <w:t>挂钩续航时间≥6小时；</w:t>
            </w:r>
            <w:r>
              <w:rPr>
                <w:rFonts w:hint="eastAsia" w:ascii="微软雅黑" w:hAnsi="微软雅黑" w:eastAsia="微软雅黑" w:cs="微软雅黑"/>
                <w:i w:val="0"/>
                <w:iCs w:val="0"/>
                <w:color w:val="000000"/>
                <w:kern w:val="0"/>
                <w:sz w:val="24"/>
                <w:szCs w:val="24"/>
                <w:highlight w:val="none"/>
                <w:u w:val="none"/>
                <w:lang w:val="en-US" w:eastAsia="zh-CN" w:bidi="ar"/>
              </w:rPr>
              <w:t>②</w:t>
            </w:r>
            <w:r>
              <w:rPr>
                <w:rFonts w:hint="eastAsia" w:ascii="仿宋" w:hAnsi="仿宋" w:eastAsia="仿宋" w:cs="仿宋"/>
                <w:i w:val="0"/>
                <w:iCs w:val="0"/>
                <w:color w:val="000000"/>
                <w:kern w:val="0"/>
                <w:sz w:val="24"/>
                <w:szCs w:val="24"/>
                <w:highlight w:val="none"/>
                <w:u w:val="none"/>
                <w:lang w:val="en-US" w:eastAsia="zh-CN" w:bidi="ar"/>
              </w:rPr>
              <w:t>线缆长度≥30米；</w:t>
            </w:r>
            <w:r>
              <w:rPr>
                <w:rFonts w:hint="eastAsia" w:ascii="微软雅黑" w:hAnsi="微软雅黑" w:eastAsia="微软雅黑" w:cs="微软雅黑"/>
                <w:i w:val="0"/>
                <w:iCs w:val="0"/>
                <w:color w:val="000000"/>
                <w:kern w:val="0"/>
                <w:sz w:val="24"/>
                <w:szCs w:val="24"/>
                <w:highlight w:val="none"/>
                <w:u w:val="none"/>
                <w:lang w:val="en-US" w:eastAsia="zh-CN" w:bidi="ar"/>
              </w:rPr>
              <w:t>③</w:t>
            </w:r>
            <w:r>
              <w:rPr>
                <w:rFonts w:hint="eastAsia" w:ascii="仿宋" w:hAnsi="仿宋" w:eastAsia="仿宋" w:cs="仿宋"/>
                <w:i w:val="0"/>
                <w:iCs w:val="0"/>
                <w:color w:val="000000"/>
                <w:kern w:val="0"/>
                <w:sz w:val="24"/>
                <w:szCs w:val="24"/>
                <w:highlight w:val="none"/>
                <w:u w:val="none"/>
                <w:lang w:val="en-US" w:eastAsia="zh-CN" w:bidi="ar"/>
              </w:rPr>
              <w:t>最大收放速度≥1.2米/秒；</w:t>
            </w:r>
            <w:r>
              <w:rPr>
                <w:rFonts w:hint="eastAsia" w:ascii="微软雅黑" w:hAnsi="微软雅黑" w:eastAsia="微软雅黑" w:cs="微软雅黑"/>
                <w:i w:val="0"/>
                <w:iCs w:val="0"/>
                <w:color w:val="000000"/>
                <w:kern w:val="0"/>
                <w:sz w:val="24"/>
                <w:szCs w:val="24"/>
                <w:highlight w:val="none"/>
                <w:u w:val="none"/>
                <w:lang w:val="en-US" w:eastAsia="zh-CN" w:bidi="ar"/>
              </w:rPr>
              <w:t>④</w:t>
            </w:r>
            <w:r>
              <w:rPr>
                <w:rFonts w:hint="eastAsia" w:ascii="仿宋" w:hAnsi="仿宋" w:eastAsia="仿宋" w:cs="仿宋"/>
                <w:i w:val="0"/>
                <w:iCs w:val="0"/>
                <w:color w:val="000000"/>
                <w:kern w:val="0"/>
                <w:sz w:val="24"/>
                <w:szCs w:val="24"/>
                <w:highlight w:val="none"/>
                <w:u w:val="none"/>
                <w:lang w:val="en-US" w:eastAsia="zh-CN" w:bidi="ar"/>
              </w:rPr>
              <w:t>支持线缆释放脱困；</w:t>
            </w:r>
            <w:r>
              <w:rPr>
                <w:rFonts w:hint="eastAsia" w:ascii="微软雅黑" w:hAnsi="微软雅黑" w:eastAsia="微软雅黑" w:cs="微软雅黑"/>
                <w:i w:val="0"/>
                <w:iCs w:val="0"/>
                <w:color w:val="000000"/>
                <w:kern w:val="0"/>
                <w:sz w:val="24"/>
                <w:szCs w:val="24"/>
                <w:highlight w:val="none"/>
                <w:u w:val="none"/>
                <w:lang w:val="en-US" w:eastAsia="zh-CN" w:bidi="ar"/>
              </w:rPr>
              <w:t>⑤</w:t>
            </w:r>
            <w:r>
              <w:rPr>
                <w:rFonts w:hint="eastAsia" w:ascii="仿宋" w:hAnsi="仿宋" w:eastAsia="仿宋" w:cs="仿宋"/>
                <w:i w:val="0"/>
                <w:iCs w:val="0"/>
                <w:color w:val="000000"/>
                <w:kern w:val="0"/>
                <w:sz w:val="24"/>
                <w:szCs w:val="24"/>
                <w:highlight w:val="none"/>
                <w:u w:val="none"/>
                <w:lang w:val="en-US" w:eastAsia="zh-CN" w:bidi="ar"/>
              </w:rPr>
              <w:t>支持称重；</w:t>
            </w:r>
            <w:r>
              <w:rPr>
                <w:rFonts w:hint="eastAsia" w:ascii="微软雅黑" w:hAnsi="微软雅黑" w:eastAsia="微软雅黑" w:cs="微软雅黑"/>
                <w:i w:val="0"/>
                <w:iCs w:val="0"/>
                <w:color w:val="000000"/>
                <w:kern w:val="0"/>
                <w:sz w:val="24"/>
                <w:szCs w:val="24"/>
                <w:highlight w:val="none"/>
                <w:u w:val="none"/>
                <w:lang w:val="en-US" w:eastAsia="zh-CN" w:bidi="ar"/>
              </w:rPr>
              <w:t>⑥</w:t>
            </w:r>
            <w:r>
              <w:rPr>
                <w:rFonts w:hint="eastAsia" w:ascii="仿宋" w:hAnsi="仿宋" w:eastAsia="仿宋" w:cs="仿宋"/>
                <w:i w:val="0"/>
                <w:iCs w:val="0"/>
                <w:color w:val="000000"/>
                <w:kern w:val="0"/>
                <w:sz w:val="24"/>
                <w:szCs w:val="24"/>
                <w:highlight w:val="none"/>
                <w:u w:val="none"/>
                <w:lang w:val="en-US" w:eastAsia="zh-CN" w:bidi="ar"/>
              </w:rPr>
              <w:t>支持消摆功能。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17.充电输出通道：①直流充电输出11000W；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备注：上述参数需出具具有检测资质机构出具的检测报告</w:t>
            </w:r>
          </w:p>
          <w:p w14:paraId="0C1721B7">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备注：上述参数需出具具有检测资质机构出具的检测报告</w:t>
            </w:r>
          </w:p>
        </w:tc>
      </w:tr>
      <w:tr w14:paraId="2C6F1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2" w:type="pct"/>
            <w:vMerge w:val="continue"/>
            <w:tcBorders>
              <w:top w:val="single" w:color="000000" w:sz="4" w:space="0"/>
              <w:bottom w:val="nil"/>
              <w:right w:val="nil"/>
            </w:tcBorders>
            <w:shd w:val="clear" w:color="auto" w:fill="auto"/>
            <w:vAlign w:val="center"/>
          </w:tcPr>
          <w:p w14:paraId="78B7B4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39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电池</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2D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70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6F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486D9F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1.重量≤15千克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2.标称电压≥50V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3.循环寿命≥1500次循环/24个月</w:t>
            </w:r>
          </w:p>
        </w:tc>
      </w:tr>
      <w:tr w14:paraId="5EFB2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272" w:type="pct"/>
            <w:vMerge w:val="continue"/>
            <w:tcBorders>
              <w:top w:val="single" w:color="000000" w:sz="4" w:space="0"/>
              <w:bottom w:val="nil"/>
              <w:right w:val="nil"/>
            </w:tcBorders>
            <w:shd w:val="clear" w:color="auto" w:fill="auto"/>
            <w:vAlign w:val="center"/>
          </w:tcPr>
          <w:p w14:paraId="2AD1EF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7C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充电器</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27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98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4F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0DB8A1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1.重量≤14千克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2.输出电压≥60V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3.充电时间：≤10分钟（电量从30%充到90%）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4.保护功能：过温、过压、欠压、短路、风扇堵转</w:t>
            </w:r>
          </w:p>
        </w:tc>
      </w:tr>
      <w:tr w14:paraId="438F6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72" w:type="pct"/>
            <w:vMerge w:val="continue"/>
            <w:tcBorders>
              <w:top w:val="single" w:color="000000" w:sz="4" w:space="0"/>
              <w:bottom w:val="nil"/>
              <w:right w:val="nil"/>
            </w:tcBorders>
            <w:shd w:val="clear" w:color="auto" w:fill="auto"/>
            <w:vAlign w:val="center"/>
          </w:tcPr>
          <w:p w14:paraId="35239BE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25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84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C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64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256F6B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1.保障额度（基础+易损件）：90000元+11000元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2.核心保障范围：机身、降落伞、空吊系统、螺旋桨、脚架等易损件</w:t>
            </w:r>
          </w:p>
        </w:tc>
      </w:tr>
      <w:tr w14:paraId="1BC22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72" w:type="pct"/>
            <w:vMerge w:val="continue"/>
            <w:tcBorders>
              <w:top w:val="single" w:color="000000" w:sz="4" w:space="0"/>
              <w:bottom w:val="nil"/>
              <w:right w:val="nil"/>
            </w:tcBorders>
            <w:shd w:val="clear" w:color="auto" w:fill="auto"/>
            <w:vAlign w:val="center"/>
          </w:tcPr>
          <w:p w14:paraId="1927B4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BB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电池保险</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99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E0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62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bottom w:val="single" w:color="000000" w:sz="4" w:space="0"/>
            </w:tcBorders>
            <w:shd w:val="clear" w:color="auto" w:fill="auto"/>
            <w:vAlign w:val="center"/>
          </w:tcPr>
          <w:p w14:paraId="1987CC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1.保障额度：≥5000元</w:t>
            </w:r>
          </w:p>
        </w:tc>
      </w:tr>
      <w:tr w14:paraId="41838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72" w:type="pct"/>
            <w:tcBorders>
              <w:top w:val="single" w:color="000000" w:sz="4" w:space="0"/>
              <w:right w:val="single" w:color="000000" w:sz="4" w:space="0"/>
            </w:tcBorders>
            <w:shd w:val="clear" w:color="auto" w:fill="auto"/>
            <w:vAlign w:val="center"/>
          </w:tcPr>
          <w:p w14:paraId="7D361B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1156" w:type="pct"/>
            <w:gridSpan w:val="3"/>
            <w:tcBorders>
              <w:top w:val="single" w:color="000000" w:sz="4" w:space="0"/>
              <w:left w:val="single" w:color="000000" w:sz="4" w:space="0"/>
              <w:right w:val="single" w:color="000000" w:sz="4" w:space="0"/>
            </w:tcBorders>
            <w:shd w:val="clear" w:color="auto" w:fill="auto"/>
            <w:vAlign w:val="center"/>
          </w:tcPr>
          <w:p w14:paraId="21189E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594" w:type="pct"/>
            <w:tcBorders>
              <w:top w:val="single" w:color="000000" w:sz="4" w:space="0"/>
              <w:left w:val="single" w:color="000000" w:sz="4" w:space="0"/>
              <w:right w:val="single" w:color="000000" w:sz="4" w:space="0"/>
            </w:tcBorders>
            <w:shd w:val="clear" w:color="auto" w:fill="auto"/>
            <w:vAlign w:val="center"/>
          </w:tcPr>
          <w:p w14:paraId="62910DA5">
            <w:pPr>
              <w:keepNext w:val="0"/>
              <w:keepLines w:val="0"/>
              <w:widowControl/>
              <w:suppressLineNumbers w:val="0"/>
              <w:spacing w:before="0" w:beforeAutospacing="0" w:after="0" w:afterAutospacing="0"/>
              <w:ind w:left="0" w:right="0"/>
              <w:jc w:val="right"/>
              <w:textAlignment w:val="center"/>
              <w:rPr>
                <w:rFonts w:hint="eastAsia" w:ascii="仿宋" w:hAnsi="仿宋" w:eastAsia="仿宋" w:cs="仿宋"/>
                <w:i w:val="0"/>
                <w:iCs w:val="0"/>
                <w:color w:val="000000"/>
                <w:sz w:val="24"/>
                <w:szCs w:val="24"/>
                <w:highlight w:val="none"/>
                <w:u w:val="none"/>
              </w:rPr>
            </w:pPr>
          </w:p>
        </w:tc>
        <w:tc>
          <w:tcPr>
            <w:tcW w:w="2976" w:type="pct"/>
            <w:tcBorders>
              <w:top w:val="single" w:color="000000" w:sz="4" w:space="0"/>
              <w:left w:val="single" w:color="000000" w:sz="4" w:space="0"/>
            </w:tcBorders>
            <w:shd w:val="clear" w:color="auto" w:fill="auto"/>
            <w:vAlign w:val="center"/>
          </w:tcPr>
          <w:p w14:paraId="61767780">
            <w:pPr>
              <w:keepNext w:val="0"/>
              <w:keepLines w:val="0"/>
              <w:suppressLineNumbers w:val="0"/>
              <w:spacing w:before="0" w:beforeAutospacing="0" w:after="0" w:afterAutospacing="0"/>
              <w:ind w:left="0" w:right="0"/>
              <w:rPr>
                <w:rFonts w:hint="eastAsia" w:ascii="仿宋" w:hAnsi="仿宋" w:eastAsia="仿宋" w:cs="仿宋"/>
                <w:i w:val="0"/>
                <w:iCs w:val="0"/>
                <w:color w:val="000000"/>
                <w:sz w:val="24"/>
                <w:szCs w:val="24"/>
                <w:highlight w:val="none"/>
                <w:u w:val="none"/>
              </w:rPr>
            </w:pPr>
          </w:p>
        </w:tc>
      </w:tr>
    </w:tbl>
    <w:p w14:paraId="009FCDA6">
      <w:pPr>
        <w:widowControl/>
        <w:spacing w:line="360" w:lineRule="auto"/>
        <w:ind w:firstLine="562" w:firstLineChars="200"/>
        <w:jc w:val="left"/>
        <w:rPr>
          <w:rFonts w:hint="eastAsia" w:ascii="宋体" w:hAnsi="宋体" w:eastAsia="宋体" w:cs="宋体"/>
          <w:b/>
          <w:bCs/>
          <w:kern w:val="0"/>
          <w:sz w:val="28"/>
          <w:szCs w:val="28"/>
          <w:highlight w:val="none"/>
          <w:lang w:val="en-US" w:eastAsia="zh-CN"/>
        </w:rPr>
      </w:pPr>
    </w:p>
    <w:p w14:paraId="268126E7">
      <w:pPr>
        <w:widowControl/>
        <w:spacing w:line="360" w:lineRule="auto"/>
        <w:ind w:firstLine="562" w:firstLineChars="200"/>
        <w:jc w:val="left"/>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二、</w:t>
      </w:r>
      <w:bookmarkEnd w:id="374"/>
      <w:r>
        <w:rPr>
          <w:rFonts w:hint="eastAsia" w:ascii="宋体" w:hAnsi="宋体" w:eastAsia="宋体" w:cs="宋体"/>
          <w:b/>
          <w:bCs/>
          <w:kern w:val="0"/>
          <w:sz w:val="28"/>
          <w:szCs w:val="28"/>
          <w:highlight w:val="none"/>
          <w:lang w:val="en-US" w:eastAsia="zh-CN"/>
        </w:rPr>
        <w:t>其他</w:t>
      </w:r>
      <w:r>
        <w:rPr>
          <w:rFonts w:hint="eastAsia" w:ascii="宋体" w:hAnsi="宋体" w:eastAsia="宋体" w:cs="宋体"/>
          <w:b/>
          <w:bCs/>
          <w:kern w:val="0"/>
          <w:sz w:val="28"/>
          <w:szCs w:val="28"/>
          <w:highlight w:val="none"/>
        </w:rPr>
        <w:t>项目要求</w:t>
      </w:r>
    </w:p>
    <w:p w14:paraId="3274F101">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货物包装应适用于长途运输和反复装卸，并且乙方应根据货物不同的特性和要求采取防潮、防雨、防锈、防震、防腐等保护措施，以保证货物安全无损地到达甲方指定地点。所供货品须是全新的正品行货，符合国家相关行业标准。相关参数须与甲方采购需求一致，乙方将承担因包装不当导致货物损坏的责任，若所供货品参数及数量与甲方要求不符，甲方有权拒收货物。</w:t>
      </w:r>
    </w:p>
    <w:p w14:paraId="0887EA53">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乙方在交付产品的同时需向甲方提供有关货物的附随资料，包括但不限于：商品目录、安装图纸、使用说明书、质量证明及其他技术资料（如有）。供应商应保证所供货物是近期生产（1年），包装完好。货物出现如破损，影响使用等情况，供应商应立即调换。</w:t>
      </w:r>
    </w:p>
    <w:p w14:paraId="74767E50">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（3）、交货时间：合同签订后15个日历日内。</w:t>
      </w:r>
    </w:p>
    <w:p w14:paraId="6DC6870E">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（4）、交货方式：甲方指定。</w:t>
      </w:r>
    </w:p>
    <w:p w14:paraId="7B86E76D">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（5）、收货地址：新疆维吾尔自治区乌鲁木齐市乌鲁木齐县水西沟镇特警总队训练基地。</w:t>
      </w:r>
    </w:p>
    <w:p w14:paraId="390651B7">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安装调试（如有）：乙方负责在甲方指定的时间内，按照甲方的要求完成货物的安装调试。乙方应严格遵守安全法律法规，采取安全保障措施，保证人员安全。因乙方原因造成的人员伤亡和财产损失，均由乙方承担。</w:t>
      </w:r>
    </w:p>
    <w:p w14:paraId="33702919">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售后服务：货物质保期为1年，自甲方最终验收合格之日起至质保期届满且经甲方确认无任何质量问题时止。长期包含一次7折电池换新。质保期内，乙方应当提供7×24小时电话支持服务。乙方接到甲方保修通知后2个小时内响应，12个小时内排除故障，发生非人为因素损坏，需供应商提供技术及材料保障，和人工维修服务。质保期届满后，乙方对货物提供终身维修服务，且维修时只收取所需维修部件的成本费，服务内容应与质保期内的要求相一致。</w:t>
      </w:r>
    </w:p>
    <w:p w14:paraId="06C5B961">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（8）、供应商负责标准化售后服务，部分产品提供产品合格证书。</w:t>
      </w:r>
    </w:p>
    <w:p w14:paraId="1049EB6B">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（9）、严格按照甲方合同购买清单参数需求进行交付。</w:t>
      </w:r>
    </w:p>
    <w:p w14:paraId="3FA0A33F">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（10）、培训模式：由乙方组织相关培训，甲方定参加培训人数，培训内容购买机型及产品理论培训、实践实操培训；培训地点：甲方培训基地；培训效果：甲方参训人员学会为止。</w:t>
      </w:r>
    </w:p>
    <w:p w14:paraId="7E9330A8">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（11）、付款方式</w:t>
      </w:r>
    </w:p>
    <w:p w14:paraId="0B5A8E2E">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分批次付款：(1)第一笔货款：合同签订生效后5个工作日内，甲方向乙方支付合同总金额50%。(2)第二笔货款：自甲方收到乙方产品且验收合格后5个工作日内，支付合同总金额50%尾款。（如供货商未能及时提供需求方支付所需材料的，造成延期后果的，由供货商承担相关责任及后果）。</w:t>
      </w:r>
    </w:p>
    <w:p w14:paraId="66C54850">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br w:type="page"/>
      </w:r>
    </w:p>
    <w:p w14:paraId="26C71D79">
      <w:pPr>
        <w:spacing w:line="91" w:lineRule="auto"/>
        <w:rPr>
          <w:rFonts w:hint="eastAsia" w:ascii="宋体" w:hAnsi="宋体" w:eastAsia="宋体" w:cs="宋体"/>
          <w:sz w:val="18"/>
          <w:szCs w:val="18"/>
          <w:highlight w:val="none"/>
        </w:rPr>
      </w:pPr>
    </w:p>
    <w:p w14:paraId="4FDFFFEF">
      <w:pPr>
        <w:spacing w:line="360" w:lineRule="auto"/>
        <w:jc w:val="center"/>
        <w:outlineLvl w:val="0"/>
        <w:rPr>
          <w:rFonts w:hint="eastAsia" w:ascii="宋体" w:hAnsi="宋体" w:eastAsia="宋体" w:cs="宋体"/>
          <w:b/>
          <w:color w:val="000000"/>
          <w:sz w:val="28"/>
          <w:szCs w:val="28"/>
          <w:highlight w:val="none"/>
        </w:rPr>
      </w:pPr>
      <w:bookmarkStart w:id="375" w:name="_Toc14323"/>
      <w:bookmarkEnd w:id="375"/>
      <w:bookmarkStart w:id="376" w:name="_Toc518923127"/>
      <w:bookmarkEnd w:id="376"/>
      <w:bookmarkStart w:id="377" w:name="_Toc10220"/>
      <w:bookmarkEnd w:id="377"/>
      <w:bookmarkStart w:id="378" w:name="_Toc507399907"/>
      <w:bookmarkEnd w:id="378"/>
      <w:bookmarkStart w:id="379" w:name="_Toc11459"/>
      <w:r>
        <w:rPr>
          <w:rFonts w:hint="eastAsia" w:ascii="宋体" w:hAnsi="宋体" w:eastAsia="宋体" w:cs="宋体"/>
          <w:b/>
          <w:color w:val="000000"/>
          <w:sz w:val="28"/>
          <w:szCs w:val="28"/>
          <w:highlight w:val="none"/>
        </w:rPr>
        <w:t>第6章评标方法和标准</w:t>
      </w:r>
      <w:bookmarkEnd w:id="379"/>
    </w:p>
    <w:p w14:paraId="7C41A593">
      <w:pPr>
        <w:pStyle w:val="47"/>
        <w:tabs>
          <w:tab w:val="clear" w:pos="567"/>
        </w:tabs>
        <w:spacing w:before="0" w:line="360" w:lineRule="auto"/>
        <w:ind w:firstLine="540" w:firstLineChars="225"/>
        <w:rPr>
          <w:rFonts w:hint="eastAsia" w:ascii="宋体" w:hAnsi="宋体" w:eastAsia="宋体" w:cs="宋体"/>
          <w:bCs/>
          <w:color w:val="000000"/>
          <w:highlight w:val="none"/>
        </w:rPr>
      </w:pPr>
      <w:r>
        <w:rPr>
          <w:rFonts w:hint="eastAsia" w:ascii="宋体" w:hAnsi="宋体" w:eastAsia="宋体" w:cs="宋体"/>
          <w:bCs/>
          <w:color w:val="000000"/>
          <w:highlight w:val="none"/>
        </w:rPr>
        <w:t>本项目将按照招标文件第一章投标人须知中“五开标及评标”、“六确定中标”及本章的规定评标。</w:t>
      </w:r>
    </w:p>
    <w:p w14:paraId="5877E206">
      <w:pPr>
        <w:pStyle w:val="47"/>
        <w:tabs>
          <w:tab w:val="clear" w:pos="567"/>
        </w:tabs>
        <w:spacing w:before="100" w:beforeAutospacing="1" w:after="100" w:afterAutospacing="1" w:line="360" w:lineRule="auto"/>
        <w:ind w:left="1080" w:leftChars="257" w:hanging="540"/>
        <w:rPr>
          <w:rFonts w:hint="eastAsia" w:ascii="宋体" w:hAnsi="宋体" w:eastAsia="宋体" w:cs="宋体"/>
          <w:bCs/>
          <w:i/>
          <w:color w:val="000000"/>
          <w:highlight w:val="none"/>
        </w:rPr>
      </w:pPr>
      <w:r>
        <w:rPr>
          <w:rFonts w:hint="eastAsia" w:ascii="宋体" w:hAnsi="宋体" w:eastAsia="宋体" w:cs="宋体"/>
          <w:bCs/>
          <w:i/>
          <w:color w:val="000000"/>
          <w:highlight w:val="none"/>
        </w:rPr>
        <w:t>（内容要包括投标无效界定和详细评标标准）</w:t>
      </w:r>
    </w:p>
    <w:p w14:paraId="300457B0">
      <w:pPr>
        <w:widowControl/>
        <w:spacing w:line="360" w:lineRule="auto"/>
        <w:ind w:firstLine="480" w:firstLineChars="200"/>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eastAsia="宋体" w:cs="宋体"/>
          <w:bCs/>
          <w:color w:val="000000"/>
          <w:sz w:val="24"/>
          <w:highlight w:val="none"/>
          <w:u w:val="single"/>
        </w:rPr>
        <w:t xml:space="preserve">  10 </w:t>
      </w:r>
      <w:r>
        <w:rPr>
          <w:rFonts w:hint="eastAsia" w:ascii="宋体" w:hAnsi="宋体" w:eastAsia="宋体" w:cs="宋体"/>
          <w:bCs/>
          <w:color w:val="000000"/>
          <w:sz w:val="24"/>
          <w:highlight w:val="none"/>
        </w:rPr>
        <w:t xml:space="preserve"> %后参与评审。对于同时属于小微企业、监狱企业或残疾人福利性单位的，不重复进行投标报价扣除。如有其它政策支持因素（如鼓励创新等）需一并列出。</w:t>
      </w:r>
      <w:r>
        <w:rPr>
          <w:rFonts w:hint="eastAsia" w:ascii="宋体" w:hAnsi="宋体" w:eastAsia="宋体" w:cs="宋体"/>
          <w:bCs/>
          <w:color w:val="000000"/>
          <w:sz w:val="24"/>
          <w:highlight w:val="none"/>
          <w:lang w:eastAsia="zh-CN"/>
        </w:rPr>
        <w:t>（本项目</w:t>
      </w:r>
      <w:r>
        <w:rPr>
          <w:rFonts w:hint="eastAsia" w:ascii="宋体" w:hAnsi="宋体" w:eastAsia="宋体" w:cs="宋体"/>
          <w:bCs/>
          <w:color w:val="000000"/>
          <w:sz w:val="24"/>
          <w:highlight w:val="none"/>
          <w:lang w:val="en-US" w:eastAsia="zh-CN"/>
        </w:rPr>
        <w:t>不专门面向中小企业采购</w:t>
      </w:r>
      <w:r>
        <w:rPr>
          <w:rFonts w:hint="eastAsia" w:ascii="宋体" w:hAnsi="宋体" w:eastAsia="宋体" w:cs="宋体"/>
          <w:bCs/>
          <w:color w:val="000000"/>
          <w:sz w:val="24"/>
          <w:highlight w:val="none"/>
          <w:lang w:eastAsia="zh-CN"/>
        </w:rPr>
        <w:t>）</w:t>
      </w:r>
    </w:p>
    <w:p w14:paraId="319F685E">
      <w:pPr>
        <w:widowControl/>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2.联合协议中约定，小型、微型企业和监狱企业的协议合同金额占到联合体协议合同总金额30%以上的，可给予联合体%的价格扣除。</w:t>
      </w:r>
    </w:p>
    <w:p w14:paraId="6F8F8869">
      <w:pPr>
        <w:widowControl/>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联合体各方均为小型、微型企业和监狱企业的，联合体视同为小型、微型企业和监狱企业。</w:t>
      </w:r>
    </w:p>
    <w:p w14:paraId="144F8610">
      <w:pPr>
        <w:pStyle w:val="47"/>
        <w:tabs>
          <w:tab w:val="clear" w:pos="567"/>
        </w:tabs>
        <w:spacing w:before="0" w:line="360" w:lineRule="auto"/>
        <w:ind w:left="-61" w:leftChars="-29" w:firstLine="540" w:firstLineChars="225"/>
        <w:rPr>
          <w:rFonts w:hint="eastAsia" w:ascii="宋体" w:hAnsi="宋体" w:eastAsia="宋体" w:cs="宋体"/>
          <w:bCs/>
          <w:color w:val="000000"/>
          <w:highlight w:val="none"/>
        </w:rPr>
      </w:pPr>
      <w:r>
        <w:rPr>
          <w:rFonts w:hint="eastAsia" w:ascii="宋体" w:hAnsi="宋体" w:eastAsia="宋体" w:cs="宋体"/>
          <w:bCs/>
          <w:color w:val="000000"/>
          <w:highlight w:val="none"/>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bCs/>
          <w:color w:val="000000"/>
          <w:highlight w:val="none"/>
          <w:u w:val="single"/>
        </w:rPr>
        <w:t>：《财政部、发展改革委、生态环境部、市场监管总局关于优化节能产品、环境标志产品政府采购执行机制的通知》（财库〔2019〕9号）。</w:t>
      </w:r>
    </w:p>
    <w:p w14:paraId="57BBF1C5">
      <w:pPr>
        <w:pStyle w:val="47"/>
        <w:tabs>
          <w:tab w:val="clear" w:pos="567"/>
        </w:tabs>
        <w:spacing w:before="0" w:line="360" w:lineRule="auto"/>
        <w:ind w:left="-181" w:leftChars="-86" w:firstLine="660" w:firstLineChars="275"/>
        <w:rPr>
          <w:rFonts w:hint="eastAsia" w:ascii="宋体" w:hAnsi="宋体" w:eastAsia="宋体" w:cs="宋体"/>
          <w:bCs/>
          <w:color w:val="000000"/>
          <w:highlight w:val="none"/>
        </w:rPr>
      </w:pPr>
      <w:r>
        <w:rPr>
          <w:rFonts w:hint="eastAsia" w:ascii="宋体" w:hAnsi="宋体" w:eastAsia="宋体" w:cs="宋体"/>
          <w:bCs/>
          <w:color w:val="000000"/>
          <w:highlight w:val="none"/>
        </w:rPr>
        <w:t>4.中标候选人并列时的处理方式：</w:t>
      </w:r>
    </w:p>
    <w:p w14:paraId="64E21823">
      <w:pPr>
        <w:pStyle w:val="47"/>
        <w:tabs>
          <w:tab w:val="clear" w:pos="567"/>
        </w:tabs>
        <w:spacing w:before="0" w:line="360" w:lineRule="auto"/>
        <w:ind w:left="-181" w:leftChars="-86" w:firstLine="660" w:firstLineChars="275"/>
        <w:rPr>
          <w:rFonts w:hint="eastAsia" w:ascii="宋体" w:hAnsi="宋体" w:eastAsia="宋体" w:cs="宋体"/>
          <w:bCs/>
          <w:color w:val="000000"/>
          <w:highlight w:val="none"/>
        </w:rPr>
      </w:pPr>
      <w:r>
        <w:rPr>
          <w:rFonts w:hint="eastAsia" w:ascii="宋体" w:hAnsi="宋体" w:eastAsia="宋体" w:cs="宋体"/>
          <w:bCs/>
          <w:color w:val="000000"/>
          <w:highlight w:val="none"/>
        </w:rPr>
        <w:t>采用综合评标法，则：</w:t>
      </w:r>
      <w:r>
        <w:rPr>
          <w:rFonts w:hint="eastAsia" w:ascii="宋体" w:hAnsi="宋体" w:eastAsia="宋体" w:cs="宋体"/>
          <w:bCs/>
          <w:color w:val="000000"/>
          <w:highlight w:val="none"/>
          <w:u w:val="single"/>
        </w:rPr>
        <w:t>评审得分相同的且投标报价不同的，按投标报价低的中标；评审得分相同且投标报价相同的，随机抽取决定</w:t>
      </w:r>
      <w:r>
        <w:rPr>
          <w:rFonts w:hint="eastAsia" w:ascii="宋体" w:hAnsi="宋体" w:eastAsia="宋体" w:cs="宋体"/>
          <w:bCs/>
          <w:color w:val="000000"/>
          <w:highlight w:val="none"/>
        </w:rPr>
        <w:t>。</w:t>
      </w:r>
    </w:p>
    <w:p w14:paraId="1075C7EC">
      <w:pPr>
        <w:rPr>
          <w:rFonts w:hint="eastAsia" w:ascii="宋体" w:hAnsi="宋体" w:eastAsia="宋体" w:cs="宋体"/>
          <w:bCs/>
          <w:color w:val="000000"/>
          <w:highlight w:val="none"/>
        </w:rPr>
      </w:pPr>
      <w:r>
        <w:rPr>
          <w:rFonts w:hint="eastAsia" w:ascii="宋体" w:hAnsi="宋体" w:eastAsia="宋体" w:cs="宋体"/>
          <w:bCs/>
          <w:color w:val="000000"/>
          <w:highlight w:val="none"/>
        </w:rPr>
        <w:br w:type="page"/>
      </w:r>
    </w:p>
    <w:p w14:paraId="491ECFC8">
      <w:pPr>
        <w:numPr>
          <w:ilvl w:val="0"/>
          <w:numId w:val="14"/>
        </w:numPr>
        <w:ind w:firstLine="474" w:firstLineChars="200"/>
        <w:outlineLvl w:val="0"/>
        <w:rPr>
          <w:rFonts w:hint="eastAsia" w:ascii="宋体" w:hAnsi="宋体" w:eastAsia="宋体" w:cs="宋体"/>
          <w:b/>
          <w:color w:val="000000"/>
          <w:spacing w:val="-2"/>
          <w:sz w:val="24"/>
          <w:highlight w:val="none"/>
        </w:rPr>
      </w:pPr>
      <w:bookmarkStart w:id="380" w:name="_Toc21823"/>
      <w:bookmarkEnd w:id="380"/>
      <w:bookmarkStart w:id="381" w:name="_Toc3351"/>
      <w:r>
        <w:rPr>
          <w:rFonts w:hint="eastAsia" w:ascii="宋体" w:hAnsi="宋体" w:eastAsia="宋体" w:cs="宋体"/>
          <w:b/>
          <w:color w:val="000000"/>
          <w:spacing w:val="-2"/>
          <w:sz w:val="24"/>
          <w:highlight w:val="none"/>
        </w:rPr>
        <w:t>评审附表</w:t>
      </w:r>
      <w:bookmarkEnd w:id="381"/>
    </w:p>
    <w:p w14:paraId="4A8E1E55">
      <w:pPr>
        <w:pStyle w:val="40"/>
        <w:rPr>
          <w:rFonts w:hint="eastAsia" w:ascii="宋体" w:hAnsi="宋体" w:eastAsia="宋体" w:cs="宋体"/>
          <w:sz w:val="24"/>
          <w:szCs w:val="16"/>
          <w:highlight w:val="none"/>
        </w:rPr>
      </w:pPr>
      <w:bookmarkStart w:id="382" w:name="_Toc25029"/>
      <w:r>
        <w:rPr>
          <w:rFonts w:hint="eastAsia" w:ascii="宋体" w:hAnsi="宋体" w:eastAsia="宋体" w:cs="宋体"/>
          <w:sz w:val="24"/>
          <w:szCs w:val="16"/>
          <w:highlight w:val="none"/>
          <w:lang w:val="en-US" w:eastAsia="zh-CN"/>
        </w:rPr>
        <w:t>附表一、</w:t>
      </w:r>
      <w:r>
        <w:rPr>
          <w:rFonts w:hint="eastAsia" w:ascii="宋体" w:hAnsi="宋体" w:eastAsia="宋体" w:cs="宋体"/>
          <w:sz w:val="24"/>
          <w:szCs w:val="16"/>
          <w:highlight w:val="none"/>
        </w:rPr>
        <w:t>资格审查表</w:t>
      </w:r>
      <w:bookmarkEnd w:id="382"/>
    </w:p>
    <w:p w14:paraId="14BC03B4">
      <w:pPr>
        <w:rPr>
          <w:rFonts w:hint="eastAsia" w:ascii="宋体" w:hAnsi="宋体" w:eastAsia="宋体" w:cs="宋体"/>
          <w:highlight w:val="none"/>
        </w:rPr>
      </w:pPr>
    </w:p>
    <w:tbl>
      <w:tblPr>
        <w:tblStyle w:val="29"/>
        <w:tblpPr w:leftFromText="180" w:rightFromText="180" w:vertAnchor="text" w:horzAnchor="page" w:tblpXSpec="center" w:tblpY="373"/>
        <w:tblOverlap w:val="never"/>
        <w:tblW w:w="8631" w:type="dxa"/>
        <w:jc w:val="center"/>
        <w:tblLayout w:type="fixed"/>
        <w:tblCellMar>
          <w:top w:w="0" w:type="dxa"/>
          <w:left w:w="108" w:type="dxa"/>
          <w:bottom w:w="0" w:type="dxa"/>
          <w:right w:w="108" w:type="dxa"/>
        </w:tblCellMar>
      </w:tblPr>
      <w:tblGrid>
        <w:gridCol w:w="531"/>
        <w:gridCol w:w="6552"/>
        <w:gridCol w:w="355"/>
        <w:gridCol w:w="329"/>
        <w:gridCol w:w="399"/>
        <w:gridCol w:w="465"/>
      </w:tblGrid>
      <w:tr w14:paraId="2D9A915E">
        <w:tblPrEx>
          <w:tblCellMar>
            <w:top w:w="0" w:type="dxa"/>
            <w:left w:w="108" w:type="dxa"/>
            <w:bottom w:w="0" w:type="dxa"/>
            <w:right w:w="108" w:type="dxa"/>
          </w:tblCellMar>
        </w:tblPrEx>
        <w:trPr>
          <w:trHeight w:val="410"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08ABC8B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序号</w:t>
            </w:r>
          </w:p>
        </w:tc>
        <w:tc>
          <w:tcPr>
            <w:tcW w:w="6552"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14E3FD7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审核项目</w:t>
            </w:r>
          </w:p>
        </w:tc>
        <w:tc>
          <w:tcPr>
            <w:tcW w:w="684" w:type="dxa"/>
            <w:gridSpan w:val="2"/>
            <w:tcBorders>
              <w:top w:val="single" w:color="000000" w:sz="4" w:space="0"/>
              <w:left w:val="nil"/>
              <w:bottom w:val="single" w:color="000000" w:sz="4" w:space="0"/>
              <w:right w:val="single" w:color="000000" w:sz="4" w:space="0"/>
            </w:tcBorders>
            <w:shd w:val="clear" w:color="000000" w:fill="E2EFDA"/>
            <w:vAlign w:val="center"/>
          </w:tcPr>
          <w:p w14:paraId="7E541C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投标人1</w:t>
            </w:r>
          </w:p>
        </w:tc>
        <w:tc>
          <w:tcPr>
            <w:tcW w:w="864" w:type="dxa"/>
            <w:gridSpan w:val="2"/>
            <w:tcBorders>
              <w:top w:val="single" w:color="000000" w:sz="4" w:space="0"/>
              <w:left w:val="nil"/>
              <w:bottom w:val="single" w:color="000000" w:sz="4" w:space="0"/>
              <w:right w:val="single" w:color="000000" w:sz="4" w:space="0"/>
            </w:tcBorders>
            <w:shd w:val="clear" w:color="000000" w:fill="E2EFDA"/>
            <w:vAlign w:val="center"/>
          </w:tcPr>
          <w:p w14:paraId="75E16C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投标人N</w:t>
            </w:r>
          </w:p>
        </w:tc>
      </w:tr>
      <w:tr w14:paraId="3872729A">
        <w:tblPrEx>
          <w:tblCellMar>
            <w:top w:w="0" w:type="dxa"/>
            <w:left w:w="108" w:type="dxa"/>
            <w:bottom w:w="0" w:type="dxa"/>
            <w:right w:w="108" w:type="dxa"/>
          </w:tblCellMar>
        </w:tblPrEx>
        <w:trPr>
          <w:trHeight w:val="90"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vAlign w:val="center"/>
          </w:tcPr>
          <w:p w14:paraId="0AA93D1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Cs w:val="21"/>
                <w:highlight w:val="none"/>
              </w:rPr>
            </w:pPr>
          </w:p>
        </w:tc>
        <w:tc>
          <w:tcPr>
            <w:tcW w:w="6552" w:type="dxa"/>
            <w:vMerge w:val="continue"/>
            <w:tcBorders>
              <w:top w:val="single" w:color="000000" w:sz="4" w:space="0"/>
              <w:left w:val="single" w:color="000000" w:sz="4" w:space="0"/>
              <w:bottom w:val="single" w:color="000000" w:sz="4" w:space="0"/>
              <w:right w:val="single" w:color="000000" w:sz="4" w:space="0"/>
            </w:tcBorders>
            <w:vAlign w:val="center"/>
          </w:tcPr>
          <w:p w14:paraId="408E467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Cs w:val="21"/>
                <w:highlight w:val="none"/>
              </w:rPr>
            </w:pPr>
          </w:p>
        </w:tc>
        <w:tc>
          <w:tcPr>
            <w:tcW w:w="355" w:type="dxa"/>
            <w:tcBorders>
              <w:top w:val="nil"/>
              <w:left w:val="nil"/>
              <w:bottom w:val="single" w:color="000000" w:sz="4" w:space="0"/>
              <w:right w:val="single" w:color="000000" w:sz="4" w:space="0"/>
            </w:tcBorders>
            <w:shd w:val="clear" w:color="000000" w:fill="E2EFDA"/>
            <w:vAlign w:val="center"/>
          </w:tcPr>
          <w:p w14:paraId="2A74E9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是</w:t>
            </w:r>
          </w:p>
        </w:tc>
        <w:tc>
          <w:tcPr>
            <w:tcW w:w="329" w:type="dxa"/>
            <w:tcBorders>
              <w:top w:val="nil"/>
              <w:left w:val="nil"/>
              <w:bottom w:val="single" w:color="000000" w:sz="4" w:space="0"/>
              <w:right w:val="single" w:color="000000" w:sz="4" w:space="0"/>
            </w:tcBorders>
            <w:shd w:val="clear" w:color="000000" w:fill="E2EFDA"/>
            <w:vAlign w:val="center"/>
          </w:tcPr>
          <w:p w14:paraId="0A30574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否</w:t>
            </w:r>
          </w:p>
        </w:tc>
        <w:tc>
          <w:tcPr>
            <w:tcW w:w="399" w:type="dxa"/>
            <w:tcBorders>
              <w:top w:val="nil"/>
              <w:left w:val="nil"/>
              <w:bottom w:val="single" w:color="000000" w:sz="4" w:space="0"/>
              <w:right w:val="single" w:color="000000" w:sz="4" w:space="0"/>
            </w:tcBorders>
            <w:shd w:val="clear" w:color="000000" w:fill="E2EFDA"/>
            <w:vAlign w:val="center"/>
          </w:tcPr>
          <w:p w14:paraId="08B882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是</w:t>
            </w:r>
          </w:p>
        </w:tc>
        <w:tc>
          <w:tcPr>
            <w:tcW w:w="465" w:type="dxa"/>
            <w:tcBorders>
              <w:top w:val="nil"/>
              <w:left w:val="nil"/>
              <w:bottom w:val="single" w:color="000000" w:sz="4" w:space="0"/>
              <w:right w:val="single" w:color="000000" w:sz="4" w:space="0"/>
            </w:tcBorders>
            <w:shd w:val="clear" w:color="000000" w:fill="E2EFDA"/>
            <w:vAlign w:val="center"/>
          </w:tcPr>
          <w:p w14:paraId="3EB3F86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否</w:t>
            </w:r>
          </w:p>
        </w:tc>
      </w:tr>
      <w:tr w14:paraId="1D398E80">
        <w:tblPrEx>
          <w:tblCellMar>
            <w:top w:w="0" w:type="dxa"/>
            <w:left w:w="108" w:type="dxa"/>
            <w:bottom w:w="0" w:type="dxa"/>
            <w:right w:w="108" w:type="dxa"/>
          </w:tblCellMar>
        </w:tblPrEx>
        <w:trPr>
          <w:trHeight w:val="611" w:hRule="atLeast"/>
          <w:jc w:val="center"/>
        </w:trPr>
        <w:tc>
          <w:tcPr>
            <w:tcW w:w="531" w:type="dxa"/>
            <w:tcBorders>
              <w:top w:val="nil"/>
              <w:left w:val="single" w:color="000000" w:sz="4" w:space="0"/>
              <w:bottom w:val="single" w:color="000000" w:sz="4" w:space="0"/>
              <w:right w:val="single" w:color="000000" w:sz="4" w:space="0"/>
            </w:tcBorders>
            <w:vAlign w:val="center"/>
          </w:tcPr>
          <w:p w14:paraId="1A27FE6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6552" w:type="dxa"/>
            <w:tcBorders>
              <w:top w:val="nil"/>
              <w:left w:val="nil"/>
              <w:bottom w:val="single" w:color="000000" w:sz="4" w:space="0"/>
              <w:right w:val="single" w:color="000000" w:sz="4" w:space="0"/>
            </w:tcBorders>
            <w:vAlign w:val="center"/>
          </w:tcPr>
          <w:p w14:paraId="7998000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独立承担民事责任能力的企业、事业、自然人，提供营业执照等经营性证件</w:t>
            </w:r>
            <w:r>
              <w:rPr>
                <w:rFonts w:hint="eastAsia" w:ascii="宋体" w:hAnsi="宋体" w:eastAsia="宋体" w:cs="宋体"/>
                <w:color w:val="000000"/>
                <w:kern w:val="0"/>
                <w:szCs w:val="21"/>
                <w:highlight w:val="none"/>
              </w:rPr>
              <w:t>；提供营业执照复印件加盖公章。</w:t>
            </w:r>
          </w:p>
        </w:tc>
        <w:tc>
          <w:tcPr>
            <w:tcW w:w="355" w:type="dxa"/>
            <w:tcBorders>
              <w:top w:val="nil"/>
              <w:left w:val="nil"/>
              <w:bottom w:val="single" w:color="000000" w:sz="4" w:space="0"/>
              <w:right w:val="single" w:color="000000" w:sz="4" w:space="0"/>
            </w:tcBorders>
            <w:vAlign w:val="center"/>
          </w:tcPr>
          <w:p w14:paraId="3E59980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nil"/>
              <w:left w:val="nil"/>
              <w:bottom w:val="single" w:color="000000" w:sz="4" w:space="0"/>
              <w:right w:val="single" w:color="000000" w:sz="4" w:space="0"/>
            </w:tcBorders>
            <w:vAlign w:val="center"/>
          </w:tcPr>
          <w:p w14:paraId="71F2359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nil"/>
              <w:left w:val="nil"/>
              <w:bottom w:val="single" w:color="000000" w:sz="4" w:space="0"/>
              <w:right w:val="single" w:color="000000" w:sz="4" w:space="0"/>
            </w:tcBorders>
            <w:vAlign w:val="center"/>
          </w:tcPr>
          <w:p w14:paraId="5A04B15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nil"/>
              <w:left w:val="nil"/>
              <w:bottom w:val="single" w:color="000000" w:sz="4" w:space="0"/>
              <w:right w:val="single" w:color="000000" w:sz="4" w:space="0"/>
            </w:tcBorders>
            <w:vAlign w:val="center"/>
          </w:tcPr>
          <w:p w14:paraId="7D3E90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49523719">
        <w:tblPrEx>
          <w:tblCellMar>
            <w:top w:w="0" w:type="dxa"/>
            <w:left w:w="108" w:type="dxa"/>
            <w:bottom w:w="0" w:type="dxa"/>
            <w:right w:w="108" w:type="dxa"/>
          </w:tblCellMar>
        </w:tblPrEx>
        <w:trPr>
          <w:trHeight w:val="668" w:hRule="atLeast"/>
          <w:jc w:val="center"/>
        </w:trPr>
        <w:tc>
          <w:tcPr>
            <w:tcW w:w="531" w:type="dxa"/>
            <w:tcBorders>
              <w:top w:val="nil"/>
              <w:left w:val="single" w:color="000000" w:sz="4" w:space="0"/>
              <w:bottom w:val="single" w:color="000000" w:sz="4" w:space="0"/>
              <w:right w:val="single" w:color="000000" w:sz="4" w:space="0"/>
            </w:tcBorders>
            <w:vAlign w:val="center"/>
          </w:tcPr>
          <w:p w14:paraId="0058F06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6552" w:type="dxa"/>
            <w:tcBorders>
              <w:top w:val="nil"/>
              <w:left w:val="nil"/>
              <w:bottom w:val="single" w:color="000000" w:sz="4" w:space="0"/>
              <w:right w:val="single" w:color="000000" w:sz="4" w:space="0"/>
            </w:tcBorders>
            <w:vAlign w:val="center"/>
          </w:tcPr>
          <w:p w14:paraId="7B2E4B3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法人身份证明或法人授权委托书（含法人身份证复印件）和被授权人身份有效证件</w:t>
            </w:r>
            <w:r>
              <w:rPr>
                <w:rFonts w:hint="eastAsia" w:ascii="宋体" w:hAnsi="宋体" w:eastAsia="宋体" w:cs="宋体"/>
                <w:color w:val="000000"/>
                <w:kern w:val="0"/>
                <w:szCs w:val="21"/>
                <w:highlight w:val="none"/>
              </w:rPr>
              <w:t>;</w:t>
            </w:r>
          </w:p>
        </w:tc>
        <w:tc>
          <w:tcPr>
            <w:tcW w:w="355" w:type="dxa"/>
            <w:tcBorders>
              <w:top w:val="nil"/>
              <w:left w:val="nil"/>
              <w:bottom w:val="single" w:color="000000" w:sz="4" w:space="0"/>
              <w:right w:val="single" w:color="000000" w:sz="4" w:space="0"/>
            </w:tcBorders>
            <w:vAlign w:val="center"/>
          </w:tcPr>
          <w:p w14:paraId="172B9E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nil"/>
              <w:left w:val="nil"/>
              <w:bottom w:val="single" w:color="000000" w:sz="4" w:space="0"/>
              <w:right w:val="single" w:color="000000" w:sz="4" w:space="0"/>
            </w:tcBorders>
            <w:vAlign w:val="center"/>
          </w:tcPr>
          <w:p w14:paraId="5D10CD7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nil"/>
              <w:left w:val="nil"/>
              <w:bottom w:val="single" w:color="000000" w:sz="4" w:space="0"/>
              <w:right w:val="single" w:color="000000" w:sz="4" w:space="0"/>
            </w:tcBorders>
            <w:vAlign w:val="center"/>
          </w:tcPr>
          <w:p w14:paraId="3A6C93B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nil"/>
              <w:left w:val="nil"/>
              <w:bottom w:val="single" w:color="000000" w:sz="4" w:space="0"/>
              <w:right w:val="single" w:color="000000" w:sz="4" w:space="0"/>
            </w:tcBorders>
            <w:vAlign w:val="center"/>
          </w:tcPr>
          <w:p w14:paraId="000910B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0821F5CC">
        <w:tblPrEx>
          <w:tblCellMar>
            <w:top w:w="0" w:type="dxa"/>
            <w:left w:w="108" w:type="dxa"/>
            <w:bottom w:w="0" w:type="dxa"/>
            <w:right w:w="108" w:type="dxa"/>
          </w:tblCellMar>
        </w:tblPrEx>
        <w:trPr>
          <w:trHeight w:val="840" w:hRule="atLeast"/>
          <w:jc w:val="center"/>
        </w:trPr>
        <w:tc>
          <w:tcPr>
            <w:tcW w:w="531" w:type="dxa"/>
            <w:tcBorders>
              <w:top w:val="nil"/>
              <w:left w:val="single" w:color="000000" w:sz="4" w:space="0"/>
              <w:bottom w:val="single" w:color="000000" w:sz="4" w:space="0"/>
              <w:right w:val="single" w:color="000000" w:sz="4" w:space="0"/>
            </w:tcBorders>
            <w:vAlign w:val="center"/>
          </w:tcPr>
          <w:p w14:paraId="557B538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6552" w:type="dxa"/>
            <w:tcBorders>
              <w:top w:val="nil"/>
              <w:left w:val="nil"/>
              <w:bottom w:val="single" w:color="000000" w:sz="4" w:space="0"/>
              <w:right w:val="single" w:color="000000" w:sz="4" w:space="0"/>
            </w:tcBorders>
            <w:vAlign w:val="center"/>
          </w:tcPr>
          <w:p w14:paraId="30372351">
            <w:pPr>
              <w:pStyle w:val="68"/>
              <w:keepNext w:val="0"/>
              <w:keepLines w:val="0"/>
              <w:suppressLineNumbers w:val="0"/>
              <w:spacing w:before="0" w:beforeAutospacing="0" w:after="0" w:afterAutospacing="0"/>
              <w:ind w:left="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近两年任意一年完整的</w:t>
            </w:r>
            <w:r>
              <w:rPr>
                <w:rFonts w:hint="eastAsia" w:ascii="宋体" w:hAnsi="宋体" w:eastAsia="宋体" w:cs="宋体"/>
                <w:kern w:val="0"/>
                <w:szCs w:val="21"/>
                <w:highlight w:val="none"/>
              </w:rPr>
              <w:t>财务审计报告（新成立公司提供开标前三个月内任意一个月有效银行资信证明）；提供复印件加盖公章。</w:t>
            </w:r>
          </w:p>
        </w:tc>
        <w:tc>
          <w:tcPr>
            <w:tcW w:w="355" w:type="dxa"/>
            <w:tcBorders>
              <w:top w:val="nil"/>
              <w:left w:val="nil"/>
              <w:bottom w:val="single" w:color="000000" w:sz="4" w:space="0"/>
              <w:right w:val="single" w:color="000000" w:sz="4" w:space="0"/>
            </w:tcBorders>
            <w:vAlign w:val="center"/>
          </w:tcPr>
          <w:p w14:paraId="58B8E34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nil"/>
              <w:left w:val="nil"/>
              <w:bottom w:val="single" w:color="000000" w:sz="4" w:space="0"/>
              <w:right w:val="single" w:color="000000" w:sz="4" w:space="0"/>
            </w:tcBorders>
            <w:vAlign w:val="center"/>
          </w:tcPr>
          <w:p w14:paraId="4452AB1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nil"/>
              <w:left w:val="nil"/>
              <w:bottom w:val="single" w:color="000000" w:sz="4" w:space="0"/>
              <w:right w:val="single" w:color="000000" w:sz="4" w:space="0"/>
            </w:tcBorders>
            <w:vAlign w:val="center"/>
          </w:tcPr>
          <w:p w14:paraId="12D994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nil"/>
              <w:left w:val="nil"/>
              <w:bottom w:val="single" w:color="000000" w:sz="4" w:space="0"/>
              <w:right w:val="single" w:color="000000" w:sz="4" w:space="0"/>
            </w:tcBorders>
            <w:vAlign w:val="center"/>
          </w:tcPr>
          <w:p w14:paraId="2C5D814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4A04149D">
        <w:tblPrEx>
          <w:tblCellMar>
            <w:top w:w="0" w:type="dxa"/>
            <w:left w:w="108" w:type="dxa"/>
            <w:bottom w:w="0" w:type="dxa"/>
            <w:right w:w="108" w:type="dxa"/>
          </w:tblCellMar>
        </w:tblPrEx>
        <w:trPr>
          <w:trHeight w:val="721" w:hRule="atLeast"/>
          <w:jc w:val="center"/>
        </w:trPr>
        <w:tc>
          <w:tcPr>
            <w:tcW w:w="531" w:type="dxa"/>
            <w:tcBorders>
              <w:top w:val="nil"/>
              <w:left w:val="single" w:color="000000" w:sz="4" w:space="0"/>
              <w:bottom w:val="single" w:color="000000" w:sz="4" w:space="0"/>
              <w:right w:val="single" w:color="000000" w:sz="4" w:space="0"/>
            </w:tcBorders>
            <w:vAlign w:val="center"/>
          </w:tcPr>
          <w:p w14:paraId="47638D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6552" w:type="dxa"/>
            <w:tcBorders>
              <w:top w:val="nil"/>
              <w:left w:val="nil"/>
              <w:bottom w:val="single" w:color="000000" w:sz="4" w:space="0"/>
              <w:right w:val="single" w:color="000000" w:sz="4" w:space="0"/>
            </w:tcBorders>
            <w:vAlign w:val="center"/>
          </w:tcPr>
          <w:p w14:paraId="66C6759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投标企业依法缴纳近 6 个月任意一个月社会保险的凭据；提供复印件加盖公章。</w:t>
            </w:r>
          </w:p>
        </w:tc>
        <w:tc>
          <w:tcPr>
            <w:tcW w:w="355" w:type="dxa"/>
            <w:tcBorders>
              <w:top w:val="nil"/>
              <w:left w:val="nil"/>
              <w:bottom w:val="single" w:color="000000" w:sz="4" w:space="0"/>
              <w:right w:val="single" w:color="000000" w:sz="4" w:space="0"/>
            </w:tcBorders>
            <w:vAlign w:val="center"/>
          </w:tcPr>
          <w:p w14:paraId="5F23881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nil"/>
              <w:left w:val="nil"/>
              <w:bottom w:val="single" w:color="000000" w:sz="4" w:space="0"/>
              <w:right w:val="single" w:color="000000" w:sz="4" w:space="0"/>
            </w:tcBorders>
            <w:vAlign w:val="center"/>
          </w:tcPr>
          <w:p w14:paraId="336C19B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nil"/>
              <w:left w:val="nil"/>
              <w:bottom w:val="single" w:color="000000" w:sz="4" w:space="0"/>
              <w:right w:val="single" w:color="000000" w:sz="4" w:space="0"/>
            </w:tcBorders>
            <w:vAlign w:val="center"/>
          </w:tcPr>
          <w:p w14:paraId="3BCB97F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nil"/>
              <w:left w:val="nil"/>
              <w:bottom w:val="single" w:color="000000" w:sz="4" w:space="0"/>
              <w:right w:val="single" w:color="000000" w:sz="4" w:space="0"/>
            </w:tcBorders>
            <w:vAlign w:val="center"/>
          </w:tcPr>
          <w:p w14:paraId="34C59A8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144D9BA1">
        <w:tblPrEx>
          <w:tblCellMar>
            <w:top w:w="0" w:type="dxa"/>
            <w:left w:w="108" w:type="dxa"/>
            <w:bottom w:w="0" w:type="dxa"/>
            <w:right w:w="108" w:type="dxa"/>
          </w:tblCellMar>
        </w:tblPrEx>
        <w:trPr>
          <w:trHeight w:val="408" w:hRule="atLeast"/>
          <w:jc w:val="center"/>
        </w:trPr>
        <w:tc>
          <w:tcPr>
            <w:tcW w:w="531" w:type="dxa"/>
            <w:tcBorders>
              <w:top w:val="nil"/>
              <w:left w:val="single" w:color="000000" w:sz="4" w:space="0"/>
              <w:bottom w:val="single" w:color="000000" w:sz="4" w:space="0"/>
              <w:right w:val="single" w:color="000000" w:sz="4" w:space="0"/>
            </w:tcBorders>
            <w:vAlign w:val="center"/>
          </w:tcPr>
          <w:p w14:paraId="59F6FB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6552" w:type="dxa"/>
            <w:tcBorders>
              <w:top w:val="nil"/>
              <w:left w:val="nil"/>
              <w:bottom w:val="single" w:color="000000" w:sz="4" w:space="0"/>
              <w:right w:val="single" w:color="000000" w:sz="4" w:space="0"/>
            </w:tcBorders>
            <w:vAlign w:val="center"/>
          </w:tcPr>
          <w:p w14:paraId="1E15112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投标企业提供税务部门出具的近 6 个月任意一个月的完税证明；</w:t>
            </w:r>
          </w:p>
        </w:tc>
        <w:tc>
          <w:tcPr>
            <w:tcW w:w="355" w:type="dxa"/>
            <w:tcBorders>
              <w:top w:val="nil"/>
              <w:left w:val="nil"/>
              <w:bottom w:val="single" w:color="000000" w:sz="4" w:space="0"/>
              <w:right w:val="single" w:color="000000" w:sz="4" w:space="0"/>
            </w:tcBorders>
            <w:vAlign w:val="center"/>
          </w:tcPr>
          <w:p w14:paraId="07A0C09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nil"/>
              <w:left w:val="nil"/>
              <w:bottom w:val="single" w:color="000000" w:sz="4" w:space="0"/>
              <w:right w:val="single" w:color="000000" w:sz="4" w:space="0"/>
            </w:tcBorders>
            <w:vAlign w:val="center"/>
          </w:tcPr>
          <w:p w14:paraId="7DDBA94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nil"/>
              <w:left w:val="nil"/>
              <w:bottom w:val="single" w:color="000000" w:sz="4" w:space="0"/>
              <w:right w:val="single" w:color="000000" w:sz="4" w:space="0"/>
            </w:tcBorders>
            <w:vAlign w:val="center"/>
          </w:tcPr>
          <w:p w14:paraId="742B4C9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nil"/>
              <w:left w:val="nil"/>
              <w:bottom w:val="single" w:color="000000" w:sz="4" w:space="0"/>
              <w:right w:val="single" w:color="000000" w:sz="4" w:space="0"/>
            </w:tcBorders>
            <w:vAlign w:val="center"/>
          </w:tcPr>
          <w:p w14:paraId="34D23D5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03FA26F6">
        <w:tblPrEx>
          <w:tblCellMar>
            <w:top w:w="0" w:type="dxa"/>
            <w:left w:w="108" w:type="dxa"/>
            <w:bottom w:w="0" w:type="dxa"/>
            <w:right w:w="108" w:type="dxa"/>
          </w:tblCellMar>
        </w:tblPrEx>
        <w:trPr>
          <w:trHeight w:val="840" w:hRule="atLeast"/>
          <w:jc w:val="center"/>
        </w:trPr>
        <w:tc>
          <w:tcPr>
            <w:tcW w:w="531" w:type="dxa"/>
            <w:tcBorders>
              <w:top w:val="nil"/>
              <w:left w:val="single" w:color="000000" w:sz="4" w:space="0"/>
              <w:bottom w:val="single" w:color="000000" w:sz="4" w:space="0"/>
              <w:right w:val="single" w:color="000000" w:sz="4" w:space="0"/>
            </w:tcBorders>
            <w:vAlign w:val="center"/>
          </w:tcPr>
          <w:p w14:paraId="67145B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p>
        </w:tc>
        <w:tc>
          <w:tcPr>
            <w:tcW w:w="6552" w:type="dxa"/>
            <w:tcBorders>
              <w:top w:val="nil"/>
              <w:left w:val="nil"/>
              <w:bottom w:val="single" w:color="000000" w:sz="4" w:space="0"/>
              <w:right w:val="single" w:color="000000" w:sz="4" w:space="0"/>
            </w:tcBorders>
            <w:vAlign w:val="center"/>
          </w:tcPr>
          <w:p w14:paraId="72F8A04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Cs w:val="21"/>
                <w:highlight w:val="none"/>
              </w:rPr>
            </w:pPr>
            <w:r>
              <w:rPr>
                <w:rFonts w:hint="eastAsia" w:ascii="宋体" w:hAnsi="宋体" w:eastAsia="宋体" w:cs="宋体"/>
                <w:kern w:val="0"/>
                <w:szCs w:val="21"/>
                <w:highlight w:val="none"/>
              </w:rPr>
              <w:t>参与政府采购活动供应商在前3年内未被“信用中国”网站</w:t>
            </w:r>
            <w:r>
              <w:rPr>
                <w:rFonts w:hint="eastAsia" w:ascii="宋体" w:hAnsi="宋体" w:eastAsia="宋体" w:cs="宋体"/>
                <w:kern w:val="0"/>
                <w:sz w:val="20"/>
                <w:szCs w:val="20"/>
                <w:highlight w:val="none"/>
              </w:rPr>
              <w:t>（www.creditchina.gov.cn）</w:t>
            </w:r>
            <w:r>
              <w:rPr>
                <w:rFonts w:hint="eastAsia" w:ascii="宋体" w:hAnsi="宋体" w:eastAsia="宋体" w:cs="宋体"/>
                <w:kern w:val="0"/>
                <w:szCs w:val="21"/>
                <w:highlight w:val="none"/>
              </w:rPr>
              <w:t>“中国政府采购网”</w:t>
            </w:r>
            <w:r>
              <w:rPr>
                <w:rFonts w:hint="eastAsia" w:ascii="宋体" w:hAnsi="宋体" w:eastAsia="宋体" w:cs="宋体"/>
                <w:kern w:val="0"/>
                <w:sz w:val="20"/>
                <w:szCs w:val="20"/>
                <w:highlight w:val="none"/>
              </w:rPr>
              <w:t>(www.ccgp.gov.cn)</w:t>
            </w:r>
            <w:r>
              <w:rPr>
                <w:rFonts w:hint="eastAsia" w:ascii="宋体" w:hAnsi="宋体" w:eastAsia="宋体" w:cs="宋体"/>
                <w:kern w:val="0"/>
                <w:szCs w:val="21"/>
                <w:highlight w:val="none"/>
              </w:rPr>
              <w:t>列入失信被执行人、</w:t>
            </w:r>
            <w:r>
              <w:rPr>
                <w:rFonts w:hint="eastAsia" w:ascii="宋体" w:hAnsi="宋体" w:eastAsia="宋体" w:cs="宋体"/>
                <w:kern w:val="0"/>
                <w:szCs w:val="21"/>
                <w:highlight w:val="none"/>
                <w:lang w:eastAsia="zh-CN"/>
              </w:rPr>
              <w:t>重大税收违法失信主体</w:t>
            </w:r>
            <w:r>
              <w:rPr>
                <w:rFonts w:hint="eastAsia" w:ascii="宋体" w:hAnsi="宋体" w:eastAsia="宋体" w:cs="宋体"/>
                <w:kern w:val="0"/>
                <w:szCs w:val="21"/>
                <w:highlight w:val="none"/>
              </w:rPr>
              <w:t>、政府采购严重失信行为记录名单（提供网页截图加盖公章）；（以招标代理或招标人查询为准）；</w:t>
            </w:r>
          </w:p>
        </w:tc>
        <w:tc>
          <w:tcPr>
            <w:tcW w:w="355" w:type="dxa"/>
            <w:tcBorders>
              <w:top w:val="nil"/>
              <w:left w:val="nil"/>
              <w:bottom w:val="single" w:color="000000" w:sz="4" w:space="0"/>
              <w:right w:val="single" w:color="000000" w:sz="4" w:space="0"/>
            </w:tcBorders>
            <w:vAlign w:val="center"/>
          </w:tcPr>
          <w:p w14:paraId="292EC0E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nil"/>
              <w:left w:val="nil"/>
              <w:bottom w:val="single" w:color="000000" w:sz="4" w:space="0"/>
              <w:right w:val="single" w:color="000000" w:sz="4" w:space="0"/>
            </w:tcBorders>
            <w:vAlign w:val="center"/>
          </w:tcPr>
          <w:p w14:paraId="47A3393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nil"/>
              <w:left w:val="nil"/>
              <w:bottom w:val="single" w:color="000000" w:sz="4" w:space="0"/>
              <w:right w:val="single" w:color="000000" w:sz="4" w:space="0"/>
            </w:tcBorders>
            <w:vAlign w:val="center"/>
          </w:tcPr>
          <w:p w14:paraId="4B49E0F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nil"/>
              <w:left w:val="nil"/>
              <w:bottom w:val="single" w:color="000000" w:sz="4" w:space="0"/>
              <w:right w:val="single" w:color="000000" w:sz="4" w:space="0"/>
            </w:tcBorders>
            <w:vAlign w:val="center"/>
          </w:tcPr>
          <w:p w14:paraId="25F102A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35EB3BE6">
        <w:tblPrEx>
          <w:tblCellMar>
            <w:top w:w="0" w:type="dxa"/>
            <w:left w:w="108" w:type="dxa"/>
            <w:bottom w:w="0" w:type="dxa"/>
            <w:right w:w="108" w:type="dxa"/>
          </w:tblCellMar>
        </w:tblPrEx>
        <w:trPr>
          <w:trHeight w:val="600" w:hRule="atLeast"/>
          <w:jc w:val="center"/>
        </w:trPr>
        <w:tc>
          <w:tcPr>
            <w:tcW w:w="531" w:type="dxa"/>
            <w:tcBorders>
              <w:top w:val="nil"/>
              <w:left w:val="single" w:color="000000" w:sz="4" w:space="0"/>
              <w:bottom w:val="single" w:color="000000" w:sz="4" w:space="0"/>
              <w:right w:val="single" w:color="000000" w:sz="4" w:space="0"/>
            </w:tcBorders>
            <w:vAlign w:val="center"/>
          </w:tcPr>
          <w:p w14:paraId="53C3625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7</w:t>
            </w:r>
          </w:p>
        </w:tc>
        <w:tc>
          <w:tcPr>
            <w:tcW w:w="6552" w:type="dxa"/>
            <w:tcBorders>
              <w:top w:val="nil"/>
              <w:left w:val="nil"/>
              <w:bottom w:val="single" w:color="000000" w:sz="4" w:space="0"/>
              <w:right w:val="single" w:color="000000" w:sz="4" w:space="0"/>
            </w:tcBorders>
            <w:vAlign w:val="center"/>
          </w:tcPr>
          <w:p w14:paraId="460C64A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提供针对本次项目《反商业贿赂承诺书》加盖公章；</w:t>
            </w:r>
          </w:p>
        </w:tc>
        <w:tc>
          <w:tcPr>
            <w:tcW w:w="355" w:type="dxa"/>
            <w:tcBorders>
              <w:top w:val="nil"/>
              <w:left w:val="nil"/>
              <w:bottom w:val="single" w:color="000000" w:sz="4" w:space="0"/>
              <w:right w:val="single" w:color="000000" w:sz="4" w:space="0"/>
            </w:tcBorders>
            <w:vAlign w:val="center"/>
          </w:tcPr>
          <w:p w14:paraId="70C05E5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nil"/>
              <w:left w:val="nil"/>
              <w:bottom w:val="single" w:color="000000" w:sz="4" w:space="0"/>
              <w:right w:val="single" w:color="000000" w:sz="4" w:space="0"/>
            </w:tcBorders>
            <w:vAlign w:val="center"/>
          </w:tcPr>
          <w:p w14:paraId="53CAD5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nil"/>
              <w:left w:val="nil"/>
              <w:bottom w:val="single" w:color="000000" w:sz="4" w:space="0"/>
              <w:right w:val="single" w:color="000000" w:sz="4" w:space="0"/>
            </w:tcBorders>
            <w:vAlign w:val="center"/>
          </w:tcPr>
          <w:p w14:paraId="040373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nil"/>
              <w:left w:val="nil"/>
              <w:bottom w:val="single" w:color="000000" w:sz="4" w:space="0"/>
              <w:right w:val="single" w:color="000000" w:sz="4" w:space="0"/>
            </w:tcBorders>
            <w:vAlign w:val="center"/>
          </w:tcPr>
          <w:p w14:paraId="301D5D1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78246DD7">
        <w:tblPrEx>
          <w:tblCellMar>
            <w:top w:w="0" w:type="dxa"/>
            <w:left w:w="108" w:type="dxa"/>
            <w:bottom w:w="0" w:type="dxa"/>
            <w:right w:w="108" w:type="dxa"/>
          </w:tblCellMar>
        </w:tblPrEx>
        <w:trPr>
          <w:trHeight w:val="708" w:hRule="atLeast"/>
          <w:jc w:val="center"/>
        </w:trPr>
        <w:tc>
          <w:tcPr>
            <w:tcW w:w="531" w:type="dxa"/>
            <w:tcBorders>
              <w:top w:val="nil"/>
              <w:left w:val="single" w:color="000000" w:sz="4" w:space="0"/>
              <w:bottom w:val="single" w:color="000000" w:sz="4" w:space="0"/>
              <w:right w:val="single" w:color="000000" w:sz="4" w:space="0"/>
            </w:tcBorders>
            <w:vAlign w:val="center"/>
          </w:tcPr>
          <w:p w14:paraId="4CAE79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8</w:t>
            </w:r>
          </w:p>
        </w:tc>
        <w:tc>
          <w:tcPr>
            <w:tcW w:w="6552" w:type="dxa"/>
            <w:tcBorders>
              <w:top w:val="nil"/>
              <w:left w:val="nil"/>
              <w:bottom w:val="single" w:color="000000" w:sz="4" w:space="0"/>
              <w:right w:val="single" w:color="000000" w:sz="4" w:space="0"/>
            </w:tcBorders>
            <w:vAlign w:val="center"/>
          </w:tcPr>
          <w:p w14:paraId="0CCC020B">
            <w:pPr>
              <w:pStyle w:val="54"/>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缴纳投标保证金有效凭证；</w:t>
            </w:r>
          </w:p>
        </w:tc>
        <w:tc>
          <w:tcPr>
            <w:tcW w:w="355" w:type="dxa"/>
            <w:tcBorders>
              <w:top w:val="nil"/>
              <w:left w:val="nil"/>
              <w:bottom w:val="single" w:color="000000" w:sz="4" w:space="0"/>
              <w:right w:val="single" w:color="000000" w:sz="4" w:space="0"/>
            </w:tcBorders>
            <w:vAlign w:val="center"/>
          </w:tcPr>
          <w:p w14:paraId="6BA864B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nil"/>
              <w:left w:val="nil"/>
              <w:bottom w:val="single" w:color="000000" w:sz="4" w:space="0"/>
              <w:right w:val="single" w:color="000000" w:sz="4" w:space="0"/>
            </w:tcBorders>
            <w:vAlign w:val="center"/>
          </w:tcPr>
          <w:p w14:paraId="3ADE805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nil"/>
              <w:left w:val="nil"/>
              <w:bottom w:val="single" w:color="000000" w:sz="4" w:space="0"/>
              <w:right w:val="single" w:color="000000" w:sz="4" w:space="0"/>
            </w:tcBorders>
            <w:vAlign w:val="center"/>
          </w:tcPr>
          <w:p w14:paraId="30C5466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nil"/>
              <w:left w:val="nil"/>
              <w:bottom w:val="single" w:color="000000" w:sz="4" w:space="0"/>
              <w:right w:val="single" w:color="000000" w:sz="4" w:space="0"/>
            </w:tcBorders>
            <w:vAlign w:val="center"/>
          </w:tcPr>
          <w:p w14:paraId="7CAB5CA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76158F7E">
        <w:tblPrEx>
          <w:tblCellMar>
            <w:top w:w="0" w:type="dxa"/>
            <w:left w:w="108" w:type="dxa"/>
            <w:bottom w:w="0" w:type="dxa"/>
            <w:right w:w="108" w:type="dxa"/>
          </w:tblCellMar>
        </w:tblPrEx>
        <w:trPr>
          <w:trHeight w:val="639" w:hRule="atLeast"/>
          <w:jc w:val="center"/>
        </w:trPr>
        <w:tc>
          <w:tcPr>
            <w:tcW w:w="531" w:type="dxa"/>
            <w:tcBorders>
              <w:top w:val="nil"/>
              <w:left w:val="single" w:color="000000" w:sz="4" w:space="0"/>
              <w:bottom w:val="single" w:color="000000" w:sz="4" w:space="0"/>
              <w:right w:val="single" w:color="000000" w:sz="4" w:space="0"/>
            </w:tcBorders>
            <w:vAlign w:val="center"/>
          </w:tcPr>
          <w:p w14:paraId="13D9B0C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9</w:t>
            </w:r>
          </w:p>
        </w:tc>
        <w:tc>
          <w:tcPr>
            <w:tcW w:w="6552" w:type="dxa"/>
            <w:tcBorders>
              <w:top w:val="nil"/>
              <w:left w:val="nil"/>
              <w:bottom w:val="single" w:color="000000" w:sz="4" w:space="0"/>
              <w:right w:val="single" w:color="000000" w:sz="4" w:space="0"/>
            </w:tcBorders>
            <w:vAlign w:val="center"/>
          </w:tcPr>
          <w:p w14:paraId="1FD85EEA">
            <w:pPr>
              <w:pStyle w:val="54"/>
              <w:keepNext w:val="0"/>
              <w:keepLines w:val="0"/>
              <w:suppressLineNumbers w:val="0"/>
              <w:tabs>
                <w:tab w:val="clear" w:pos="4153"/>
                <w:tab w:val="clear" w:pos="8306"/>
              </w:tabs>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本项目不接受联合体投标。</w:t>
            </w:r>
          </w:p>
        </w:tc>
        <w:tc>
          <w:tcPr>
            <w:tcW w:w="355" w:type="dxa"/>
            <w:tcBorders>
              <w:top w:val="nil"/>
              <w:left w:val="nil"/>
              <w:bottom w:val="single" w:color="000000" w:sz="4" w:space="0"/>
              <w:right w:val="single" w:color="000000" w:sz="4" w:space="0"/>
            </w:tcBorders>
            <w:vAlign w:val="center"/>
          </w:tcPr>
          <w:p w14:paraId="4EE333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nil"/>
              <w:left w:val="nil"/>
              <w:bottom w:val="single" w:color="000000" w:sz="4" w:space="0"/>
              <w:right w:val="single" w:color="000000" w:sz="4" w:space="0"/>
            </w:tcBorders>
            <w:vAlign w:val="center"/>
          </w:tcPr>
          <w:p w14:paraId="4F7C730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nil"/>
              <w:left w:val="nil"/>
              <w:bottom w:val="single" w:color="000000" w:sz="4" w:space="0"/>
              <w:right w:val="single" w:color="000000" w:sz="4" w:space="0"/>
            </w:tcBorders>
            <w:vAlign w:val="center"/>
          </w:tcPr>
          <w:p w14:paraId="073DCE0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nil"/>
              <w:left w:val="nil"/>
              <w:bottom w:val="single" w:color="000000" w:sz="4" w:space="0"/>
              <w:right w:val="single" w:color="000000" w:sz="4" w:space="0"/>
            </w:tcBorders>
            <w:vAlign w:val="center"/>
          </w:tcPr>
          <w:p w14:paraId="60D90EB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3FD61DA0">
        <w:tblPrEx>
          <w:tblCellMar>
            <w:top w:w="0" w:type="dxa"/>
            <w:left w:w="108" w:type="dxa"/>
            <w:bottom w:w="0" w:type="dxa"/>
            <w:right w:w="108" w:type="dxa"/>
          </w:tblCellMar>
        </w:tblPrEx>
        <w:trPr>
          <w:trHeight w:val="173" w:hRule="atLeast"/>
          <w:jc w:val="center"/>
        </w:trPr>
        <w:tc>
          <w:tcPr>
            <w:tcW w:w="7083" w:type="dxa"/>
            <w:gridSpan w:val="2"/>
            <w:tcBorders>
              <w:top w:val="single" w:color="000000" w:sz="4" w:space="0"/>
              <w:left w:val="single" w:color="000000" w:sz="4" w:space="0"/>
              <w:bottom w:val="single" w:color="000000" w:sz="4" w:space="0"/>
              <w:right w:val="single" w:color="000000" w:sz="4" w:space="0"/>
            </w:tcBorders>
            <w:vAlign w:val="center"/>
          </w:tcPr>
          <w:p w14:paraId="34A4CE5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Cs w:val="21"/>
                <w:highlight w:val="none"/>
              </w:rPr>
            </w:pPr>
            <w:r>
              <w:rPr>
                <w:rFonts w:hint="eastAsia" w:ascii="宋体" w:hAnsi="宋体" w:eastAsia="宋体" w:cs="宋体"/>
                <w:color w:val="000000"/>
                <w:kern w:val="0"/>
                <w:szCs w:val="21"/>
                <w:highlight w:val="none"/>
              </w:rPr>
              <w:t xml:space="preserve">  </w:t>
            </w:r>
            <w:r>
              <w:rPr>
                <w:rFonts w:hint="eastAsia" w:ascii="宋体" w:hAnsi="宋体" w:eastAsia="宋体" w:cs="宋体"/>
                <w:b/>
                <w:bCs/>
                <w:color w:val="000000"/>
                <w:kern w:val="0"/>
                <w:szCs w:val="21"/>
                <w:highlight w:val="none"/>
              </w:rPr>
              <w:t>结论</w:t>
            </w:r>
          </w:p>
        </w:tc>
        <w:tc>
          <w:tcPr>
            <w:tcW w:w="355" w:type="dxa"/>
            <w:tcBorders>
              <w:top w:val="single" w:color="000000" w:sz="4" w:space="0"/>
              <w:left w:val="nil"/>
              <w:bottom w:val="single" w:color="000000" w:sz="4" w:space="0"/>
              <w:right w:val="single" w:color="000000" w:sz="4" w:space="0"/>
            </w:tcBorders>
            <w:vAlign w:val="center"/>
          </w:tcPr>
          <w:p w14:paraId="2DDF7F6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29" w:type="dxa"/>
            <w:tcBorders>
              <w:top w:val="single" w:color="000000" w:sz="4" w:space="0"/>
              <w:left w:val="nil"/>
              <w:bottom w:val="single" w:color="000000" w:sz="4" w:space="0"/>
              <w:right w:val="single" w:color="000000" w:sz="4" w:space="0"/>
            </w:tcBorders>
            <w:vAlign w:val="center"/>
          </w:tcPr>
          <w:p w14:paraId="4AB6F3E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399" w:type="dxa"/>
            <w:tcBorders>
              <w:top w:val="single" w:color="000000" w:sz="4" w:space="0"/>
              <w:left w:val="nil"/>
              <w:bottom w:val="single" w:color="000000" w:sz="4" w:space="0"/>
              <w:right w:val="single" w:color="000000" w:sz="4" w:space="0"/>
            </w:tcBorders>
            <w:vAlign w:val="center"/>
          </w:tcPr>
          <w:p w14:paraId="5BB60DD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c>
          <w:tcPr>
            <w:tcW w:w="465" w:type="dxa"/>
            <w:tcBorders>
              <w:top w:val="single" w:color="000000" w:sz="4" w:space="0"/>
              <w:left w:val="nil"/>
              <w:bottom w:val="single" w:color="000000" w:sz="4" w:space="0"/>
              <w:right w:val="single" w:color="000000" w:sz="4" w:space="0"/>
            </w:tcBorders>
            <w:vAlign w:val="center"/>
          </w:tcPr>
          <w:p w14:paraId="46760C3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p>
        </w:tc>
      </w:tr>
      <w:tr w14:paraId="4F2381F3">
        <w:tblPrEx>
          <w:tblCellMar>
            <w:top w:w="0" w:type="dxa"/>
            <w:left w:w="108" w:type="dxa"/>
            <w:bottom w:w="0" w:type="dxa"/>
            <w:right w:w="108" w:type="dxa"/>
          </w:tblCellMar>
        </w:tblPrEx>
        <w:trPr>
          <w:trHeight w:val="370" w:hRule="atLeast"/>
          <w:jc w:val="center"/>
        </w:trPr>
        <w:tc>
          <w:tcPr>
            <w:tcW w:w="8631" w:type="dxa"/>
            <w:gridSpan w:val="6"/>
            <w:tcBorders>
              <w:top w:val="single" w:color="000000" w:sz="4" w:space="0"/>
              <w:left w:val="single" w:color="000000" w:sz="4" w:space="0"/>
              <w:bottom w:val="single" w:color="000000" w:sz="4" w:space="0"/>
              <w:right w:val="single" w:color="000000" w:sz="4" w:space="0"/>
            </w:tcBorders>
            <w:vAlign w:val="center"/>
          </w:tcPr>
          <w:p w14:paraId="67495C5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Cs w:val="21"/>
                <w:highlight w:val="none"/>
              </w:rPr>
            </w:pPr>
            <w:r>
              <w:rPr>
                <w:rFonts w:hint="eastAsia" w:ascii="宋体" w:hAnsi="宋体" w:eastAsia="宋体" w:cs="宋体"/>
                <w:b/>
                <w:bCs/>
                <w:color w:val="000000"/>
                <w:sz w:val="20"/>
                <w:szCs w:val="20"/>
                <w:highlight w:val="none"/>
              </w:rPr>
              <w:t>说明： 供应商必须满足资格性审查表内所有条款， 否则被认定为无效响应。</w:t>
            </w:r>
          </w:p>
        </w:tc>
      </w:tr>
    </w:tbl>
    <w:p w14:paraId="30337769">
      <w:pPr>
        <w:rPr>
          <w:rFonts w:hint="eastAsia" w:ascii="宋体" w:hAnsi="宋体" w:eastAsia="宋体" w:cs="宋体"/>
          <w:highlight w:val="none"/>
        </w:rPr>
      </w:pPr>
      <w:r>
        <w:rPr>
          <w:rFonts w:hint="eastAsia" w:ascii="宋体" w:hAnsi="宋体" w:eastAsia="宋体" w:cs="宋体"/>
          <w:highlight w:val="none"/>
        </w:rPr>
        <w:br w:type="page"/>
      </w:r>
    </w:p>
    <w:p w14:paraId="17783024">
      <w:pPr>
        <w:pStyle w:val="47"/>
        <w:tabs>
          <w:tab w:val="clear" w:pos="567"/>
        </w:tabs>
        <w:spacing w:before="0" w:line="240" w:lineRule="auto"/>
        <w:ind w:firstLine="474" w:firstLineChars="200"/>
        <w:jc w:val="center"/>
        <w:rPr>
          <w:rFonts w:hint="eastAsia" w:ascii="宋体" w:hAnsi="宋体" w:eastAsia="宋体" w:cs="宋体"/>
          <w:b/>
          <w:color w:val="000000"/>
          <w:spacing w:val="-2"/>
          <w:highlight w:val="none"/>
        </w:rPr>
      </w:pPr>
      <w:r>
        <w:rPr>
          <w:rFonts w:hint="eastAsia" w:ascii="宋体" w:hAnsi="宋体" w:eastAsia="宋体" w:cs="宋体"/>
          <w:b/>
          <w:color w:val="000000"/>
          <w:spacing w:val="-2"/>
          <w:highlight w:val="none"/>
        </w:rPr>
        <w:t xml:space="preserve">附表一 </w:t>
      </w:r>
      <w:r>
        <w:rPr>
          <w:rFonts w:hint="eastAsia" w:ascii="宋体" w:hAnsi="宋体" w:eastAsia="宋体" w:cs="宋体"/>
          <w:b/>
          <w:color w:val="000000"/>
          <w:spacing w:val="-2"/>
          <w:highlight w:val="none"/>
          <w:lang w:eastAsia="zh-CN"/>
        </w:rPr>
        <w:t>、</w:t>
      </w:r>
      <w:r>
        <w:rPr>
          <w:rFonts w:hint="eastAsia" w:ascii="宋体" w:hAnsi="宋体" w:eastAsia="宋体" w:cs="宋体"/>
          <w:b/>
          <w:color w:val="000000"/>
          <w:spacing w:val="-2"/>
          <w:highlight w:val="none"/>
        </w:rPr>
        <w:t>商务符合性审查表</w:t>
      </w:r>
    </w:p>
    <w:p w14:paraId="3925CBAF">
      <w:pPr>
        <w:rPr>
          <w:rFonts w:hint="eastAsia" w:ascii="宋体" w:hAnsi="宋体" w:eastAsia="宋体" w:cs="宋体"/>
          <w:bCs/>
          <w:color w:val="000000"/>
          <w:highlight w:val="none"/>
        </w:rPr>
      </w:pPr>
    </w:p>
    <w:tbl>
      <w:tblPr>
        <w:tblStyle w:val="29"/>
        <w:tblW w:w="872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6428"/>
        <w:gridCol w:w="743"/>
        <w:gridCol w:w="743"/>
      </w:tblGrid>
      <w:tr w14:paraId="6F4D3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Merge w:val="restart"/>
            <w:vAlign w:val="center"/>
          </w:tcPr>
          <w:p w14:paraId="66D2262C">
            <w:pPr>
              <w:keepNext w:val="0"/>
              <w:keepLines w:val="0"/>
              <w:suppressLineNumbers w:val="0"/>
              <w:spacing w:before="0" w:beforeAutospacing="0" w:after="0" w:afterAutospacing="0"/>
              <w:ind w:left="0" w:right="0"/>
              <w:jc w:val="center"/>
              <w:rPr>
                <w:rFonts w:hint="eastAsia" w:ascii="宋体" w:hAnsi="宋体" w:eastAsia="宋体" w:cs="宋体"/>
                <w:b/>
                <w:bCs w:val="0"/>
                <w:color w:val="000000"/>
                <w:highlight w:val="none"/>
              </w:rPr>
            </w:pPr>
            <w:r>
              <w:rPr>
                <w:rFonts w:hint="eastAsia" w:ascii="宋体" w:hAnsi="宋体" w:eastAsia="宋体" w:cs="宋体"/>
                <w:b/>
                <w:bCs w:val="0"/>
                <w:color w:val="000000"/>
                <w:highlight w:val="none"/>
              </w:rPr>
              <w:t>序号</w:t>
            </w:r>
          </w:p>
        </w:tc>
        <w:tc>
          <w:tcPr>
            <w:tcW w:w="6428" w:type="dxa"/>
            <w:vMerge w:val="restart"/>
            <w:vAlign w:val="center"/>
          </w:tcPr>
          <w:p w14:paraId="1C6FF3FF">
            <w:pPr>
              <w:keepNext w:val="0"/>
              <w:keepLines w:val="0"/>
              <w:suppressLineNumbers w:val="0"/>
              <w:spacing w:before="0" w:beforeAutospacing="0" w:after="0" w:afterAutospacing="0"/>
              <w:ind w:left="0" w:right="0" w:firstLine="480"/>
              <w:jc w:val="center"/>
              <w:rPr>
                <w:rFonts w:hint="eastAsia" w:ascii="宋体" w:hAnsi="宋体" w:eastAsia="宋体" w:cs="宋体"/>
                <w:b/>
                <w:bCs w:val="0"/>
                <w:color w:val="000000"/>
                <w:highlight w:val="none"/>
              </w:rPr>
            </w:pPr>
            <w:r>
              <w:rPr>
                <w:rFonts w:hint="eastAsia" w:ascii="宋体" w:hAnsi="宋体" w:eastAsia="宋体" w:cs="宋体"/>
                <w:b/>
                <w:bCs w:val="0"/>
                <w:color w:val="000000"/>
                <w:highlight w:val="none"/>
              </w:rPr>
              <w:t>审查标准</w:t>
            </w:r>
          </w:p>
        </w:tc>
        <w:tc>
          <w:tcPr>
            <w:tcW w:w="1486" w:type="dxa"/>
            <w:gridSpan w:val="2"/>
            <w:vAlign w:val="center"/>
          </w:tcPr>
          <w:p w14:paraId="617F6E2E">
            <w:pPr>
              <w:keepNext w:val="0"/>
              <w:keepLines w:val="0"/>
              <w:suppressLineNumbers w:val="0"/>
              <w:spacing w:before="0" w:beforeAutospacing="0" w:after="0" w:afterAutospacing="0"/>
              <w:ind w:left="0" w:right="0"/>
              <w:jc w:val="center"/>
              <w:rPr>
                <w:rFonts w:hint="eastAsia" w:ascii="宋体" w:hAnsi="宋体" w:eastAsia="宋体" w:cs="宋体"/>
                <w:b/>
                <w:bCs w:val="0"/>
                <w:color w:val="000000"/>
                <w:highlight w:val="none"/>
                <w:lang w:val="en-US" w:eastAsia="zh-CN"/>
              </w:rPr>
            </w:pPr>
            <w:r>
              <w:rPr>
                <w:rFonts w:hint="eastAsia" w:ascii="宋体" w:hAnsi="宋体" w:eastAsia="宋体" w:cs="宋体"/>
                <w:b/>
                <w:bCs w:val="0"/>
                <w:color w:val="000000"/>
                <w:highlight w:val="none"/>
                <w:lang w:val="en-US" w:eastAsia="zh-CN"/>
              </w:rPr>
              <w:t>投标人</w:t>
            </w:r>
          </w:p>
        </w:tc>
      </w:tr>
      <w:tr w14:paraId="7BF15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Merge w:val="continue"/>
            <w:vAlign w:val="center"/>
          </w:tcPr>
          <w:p w14:paraId="7B8B570A">
            <w:pPr>
              <w:keepNext w:val="0"/>
              <w:keepLines w:val="0"/>
              <w:suppressLineNumbers w:val="0"/>
              <w:spacing w:before="0" w:beforeAutospacing="0" w:after="0" w:afterAutospacing="0"/>
              <w:ind w:left="0" w:right="0"/>
              <w:jc w:val="center"/>
              <w:rPr>
                <w:rFonts w:hint="eastAsia" w:ascii="宋体" w:hAnsi="宋体" w:eastAsia="宋体" w:cs="宋体"/>
                <w:b/>
                <w:bCs w:val="0"/>
                <w:color w:val="000000"/>
                <w:highlight w:val="none"/>
              </w:rPr>
            </w:pPr>
          </w:p>
        </w:tc>
        <w:tc>
          <w:tcPr>
            <w:tcW w:w="6428" w:type="dxa"/>
            <w:vMerge w:val="continue"/>
            <w:vAlign w:val="center"/>
          </w:tcPr>
          <w:p w14:paraId="3D1DEEE9">
            <w:pPr>
              <w:keepNext w:val="0"/>
              <w:keepLines w:val="0"/>
              <w:suppressLineNumbers w:val="0"/>
              <w:spacing w:before="0" w:beforeAutospacing="0" w:after="0" w:afterAutospacing="0"/>
              <w:ind w:left="0" w:right="0" w:firstLine="480"/>
              <w:jc w:val="center"/>
              <w:rPr>
                <w:rFonts w:hint="eastAsia" w:ascii="宋体" w:hAnsi="宋体" w:eastAsia="宋体" w:cs="宋体"/>
                <w:b/>
                <w:bCs w:val="0"/>
                <w:color w:val="000000"/>
                <w:highlight w:val="none"/>
              </w:rPr>
            </w:pPr>
          </w:p>
        </w:tc>
        <w:tc>
          <w:tcPr>
            <w:tcW w:w="743" w:type="dxa"/>
            <w:vAlign w:val="center"/>
          </w:tcPr>
          <w:p w14:paraId="65D377F1">
            <w:pPr>
              <w:keepNext w:val="0"/>
              <w:keepLines w:val="0"/>
              <w:suppressLineNumbers w:val="0"/>
              <w:spacing w:before="0" w:beforeAutospacing="0" w:after="0" w:afterAutospacing="0"/>
              <w:ind w:left="0" w:right="0"/>
              <w:jc w:val="center"/>
              <w:rPr>
                <w:rFonts w:hint="eastAsia" w:ascii="宋体" w:hAnsi="宋体" w:eastAsia="宋体" w:cs="宋体"/>
                <w:b/>
                <w:bCs w:val="0"/>
                <w:color w:val="000000"/>
                <w:highlight w:val="none"/>
                <w:lang w:val="en-US" w:eastAsia="zh-CN"/>
              </w:rPr>
            </w:pPr>
            <w:r>
              <w:rPr>
                <w:rFonts w:hint="eastAsia" w:ascii="宋体" w:hAnsi="宋体" w:eastAsia="宋体" w:cs="宋体"/>
                <w:b/>
                <w:bCs w:val="0"/>
                <w:color w:val="000000"/>
                <w:highlight w:val="none"/>
                <w:lang w:val="en-US" w:eastAsia="zh-CN"/>
              </w:rPr>
              <w:t>是</w:t>
            </w:r>
          </w:p>
        </w:tc>
        <w:tc>
          <w:tcPr>
            <w:tcW w:w="743" w:type="dxa"/>
            <w:vAlign w:val="center"/>
          </w:tcPr>
          <w:p w14:paraId="43D2CDD1">
            <w:pPr>
              <w:keepNext w:val="0"/>
              <w:keepLines w:val="0"/>
              <w:suppressLineNumbers w:val="0"/>
              <w:spacing w:before="0" w:beforeAutospacing="0" w:after="0" w:afterAutospacing="0"/>
              <w:ind w:left="0" w:right="0"/>
              <w:jc w:val="center"/>
              <w:rPr>
                <w:rFonts w:hint="eastAsia" w:ascii="宋体" w:hAnsi="宋体" w:eastAsia="宋体" w:cs="宋体"/>
                <w:b/>
                <w:bCs w:val="0"/>
                <w:color w:val="000000"/>
                <w:highlight w:val="none"/>
                <w:lang w:val="en-US" w:eastAsia="zh-CN"/>
              </w:rPr>
            </w:pPr>
            <w:r>
              <w:rPr>
                <w:rFonts w:hint="eastAsia" w:ascii="宋体" w:hAnsi="宋体" w:eastAsia="宋体" w:cs="宋体"/>
                <w:b/>
                <w:bCs w:val="0"/>
                <w:color w:val="000000"/>
                <w:highlight w:val="none"/>
                <w:lang w:val="en-US" w:eastAsia="zh-CN"/>
              </w:rPr>
              <w:t>否</w:t>
            </w:r>
          </w:p>
        </w:tc>
      </w:tr>
      <w:tr w14:paraId="251B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410FA11">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1</w:t>
            </w:r>
          </w:p>
        </w:tc>
        <w:tc>
          <w:tcPr>
            <w:tcW w:w="6428" w:type="dxa"/>
            <w:vAlign w:val="center"/>
          </w:tcPr>
          <w:p w14:paraId="04D6BDF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highlight w:val="none"/>
              </w:rPr>
            </w:pPr>
            <w:r>
              <w:rPr>
                <w:rFonts w:hint="eastAsia" w:ascii="宋体" w:hAnsi="宋体" w:eastAsia="宋体" w:cs="宋体"/>
                <w:bCs/>
                <w:color w:val="000000"/>
                <w:highlight w:val="none"/>
              </w:rPr>
              <w:t>投标文件</w:t>
            </w:r>
            <w:r>
              <w:rPr>
                <w:rFonts w:hint="eastAsia" w:ascii="宋体" w:hAnsi="宋体" w:eastAsia="宋体" w:cs="宋体"/>
                <w:bCs/>
                <w:color w:val="000000"/>
                <w:kern w:val="0"/>
                <w:highlight w:val="none"/>
              </w:rPr>
              <w:t>是否按招标文件要求编制、</w:t>
            </w:r>
            <w:r>
              <w:rPr>
                <w:rFonts w:hint="eastAsia" w:ascii="宋体" w:hAnsi="宋体" w:eastAsia="宋体" w:cs="宋体"/>
                <w:bCs/>
                <w:color w:val="000000"/>
                <w:spacing w:val="-2"/>
                <w:highlight w:val="none"/>
              </w:rPr>
              <w:t>签署、盖章；</w:t>
            </w:r>
            <w:r>
              <w:rPr>
                <w:rFonts w:hint="eastAsia" w:ascii="宋体" w:hAnsi="宋体" w:eastAsia="宋体" w:cs="宋体"/>
                <w:bCs/>
                <w:color w:val="000000"/>
                <w:kern w:val="0"/>
                <w:highlight w:val="none"/>
              </w:rPr>
              <w:t>内容是否全面或字迹是否模糊、辨认不清的；</w:t>
            </w:r>
          </w:p>
        </w:tc>
        <w:tc>
          <w:tcPr>
            <w:tcW w:w="743" w:type="dxa"/>
            <w:vAlign w:val="center"/>
          </w:tcPr>
          <w:p w14:paraId="1D8C1504">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highlight w:val="none"/>
              </w:rPr>
            </w:pPr>
          </w:p>
        </w:tc>
        <w:tc>
          <w:tcPr>
            <w:tcW w:w="743" w:type="dxa"/>
            <w:vAlign w:val="center"/>
          </w:tcPr>
          <w:p w14:paraId="0AF66C4C">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highlight w:val="none"/>
              </w:rPr>
            </w:pPr>
          </w:p>
        </w:tc>
      </w:tr>
      <w:tr w14:paraId="1D960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0A7FE9DB">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2</w:t>
            </w:r>
          </w:p>
        </w:tc>
        <w:tc>
          <w:tcPr>
            <w:tcW w:w="6428" w:type="dxa"/>
            <w:vAlign w:val="center"/>
          </w:tcPr>
          <w:p w14:paraId="5DB68A49">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投标文件</w:t>
            </w:r>
            <w:r>
              <w:rPr>
                <w:rFonts w:hint="eastAsia" w:ascii="宋体" w:hAnsi="宋体" w:eastAsia="宋体" w:cs="宋体"/>
                <w:bCs/>
                <w:color w:val="000000"/>
                <w:szCs w:val="21"/>
                <w:highlight w:val="none"/>
              </w:rPr>
              <w:t>记载的招标项目完成期限是否未超过招标文件规定的完成期限</w:t>
            </w:r>
            <w:r>
              <w:rPr>
                <w:rFonts w:hint="eastAsia" w:ascii="宋体" w:hAnsi="宋体" w:eastAsia="宋体" w:cs="宋体"/>
                <w:bCs/>
                <w:color w:val="000000"/>
                <w:kern w:val="0"/>
                <w:highlight w:val="none"/>
              </w:rPr>
              <w:t>；</w:t>
            </w:r>
          </w:p>
        </w:tc>
        <w:tc>
          <w:tcPr>
            <w:tcW w:w="743" w:type="dxa"/>
            <w:vAlign w:val="center"/>
          </w:tcPr>
          <w:p w14:paraId="31DEB1F9">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c>
          <w:tcPr>
            <w:tcW w:w="743" w:type="dxa"/>
            <w:vAlign w:val="center"/>
          </w:tcPr>
          <w:p w14:paraId="6B959FAD">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r>
      <w:tr w14:paraId="6C6E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34DCFE4A">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3</w:t>
            </w:r>
          </w:p>
        </w:tc>
        <w:tc>
          <w:tcPr>
            <w:tcW w:w="6428" w:type="dxa"/>
            <w:vAlign w:val="center"/>
          </w:tcPr>
          <w:p w14:paraId="7E31DF0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highlight w:val="none"/>
              </w:rPr>
            </w:pPr>
            <w:r>
              <w:rPr>
                <w:rFonts w:hint="eastAsia" w:ascii="宋体" w:hAnsi="宋体" w:eastAsia="宋体" w:cs="宋体"/>
                <w:bCs/>
                <w:color w:val="000000"/>
                <w:highlight w:val="none"/>
              </w:rPr>
              <w:t>评审小组共同确定没有实质上不响应</w:t>
            </w:r>
            <w:r>
              <w:rPr>
                <w:rFonts w:hint="eastAsia" w:ascii="宋体" w:hAnsi="宋体" w:eastAsia="宋体" w:cs="宋体"/>
                <w:bCs/>
                <w:color w:val="000000"/>
                <w:szCs w:val="21"/>
                <w:highlight w:val="none"/>
              </w:rPr>
              <w:t>招标</w:t>
            </w:r>
            <w:r>
              <w:rPr>
                <w:rFonts w:hint="eastAsia" w:ascii="宋体" w:hAnsi="宋体" w:eastAsia="宋体" w:cs="宋体"/>
                <w:bCs/>
                <w:color w:val="000000"/>
                <w:highlight w:val="none"/>
              </w:rPr>
              <w:t>文件要求的。</w:t>
            </w:r>
          </w:p>
        </w:tc>
        <w:tc>
          <w:tcPr>
            <w:tcW w:w="743" w:type="dxa"/>
            <w:vAlign w:val="center"/>
          </w:tcPr>
          <w:p w14:paraId="21BFAA43">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highlight w:val="none"/>
              </w:rPr>
            </w:pPr>
          </w:p>
        </w:tc>
        <w:tc>
          <w:tcPr>
            <w:tcW w:w="743" w:type="dxa"/>
            <w:vAlign w:val="center"/>
          </w:tcPr>
          <w:p w14:paraId="238CA552">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highlight w:val="none"/>
              </w:rPr>
            </w:pPr>
          </w:p>
        </w:tc>
      </w:tr>
      <w:tr w14:paraId="56427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BC89D65">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4</w:t>
            </w:r>
          </w:p>
        </w:tc>
        <w:tc>
          <w:tcPr>
            <w:tcW w:w="6428" w:type="dxa"/>
            <w:vAlign w:val="center"/>
          </w:tcPr>
          <w:p w14:paraId="1570CACF">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highlight w:val="none"/>
              </w:rPr>
            </w:pPr>
            <w:r>
              <w:rPr>
                <w:rFonts w:hint="eastAsia" w:ascii="宋体" w:hAnsi="宋体" w:eastAsia="宋体" w:cs="宋体"/>
                <w:bCs/>
                <w:color w:val="000000"/>
                <w:highlight w:val="none"/>
              </w:rPr>
              <w:t>投标有效期是否满足</w:t>
            </w:r>
            <w:r>
              <w:rPr>
                <w:rFonts w:hint="eastAsia" w:ascii="宋体" w:hAnsi="宋体" w:eastAsia="宋体" w:cs="宋体"/>
                <w:bCs/>
                <w:color w:val="000000"/>
                <w:szCs w:val="21"/>
                <w:highlight w:val="none"/>
              </w:rPr>
              <w:t>招标</w:t>
            </w:r>
            <w:r>
              <w:rPr>
                <w:rFonts w:hint="eastAsia" w:ascii="宋体" w:hAnsi="宋体" w:eastAsia="宋体" w:cs="宋体"/>
                <w:bCs/>
                <w:color w:val="000000"/>
                <w:highlight w:val="none"/>
              </w:rPr>
              <w:t>文件要求的；</w:t>
            </w:r>
          </w:p>
        </w:tc>
        <w:tc>
          <w:tcPr>
            <w:tcW w:w="743" w:type="dxa"/>
            <w:vAlign w:val="center"/>
          </w:tcPr>
          <w:p w14:paraId="5719377C">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highlight w:val="none"/>
              </w:rPr>
            </w:pPr>
          </w:p>
        </w:tc>
        <w:tc>
          <w:tcPr>
            <w:tcW w:w="743" w:type="dxa"/>
            <w:vAlign w:val="center"/>
          </w:tcPr>
          <w:p w14:paraId="675C65E3">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highlight w:val="none"/>
              </w:rPr>
            </w:pPr>
          </w:p>
        </w:tc>
      </w:tr>
      <w:tr w14:paraId="59764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A908CCE">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5</w:t>
            </w:r>
          </w:p>
        </w:tc>
        <w:tc>
          <w:tcPr>
            <w:tcW w:w="6428" w:type="dxa"/>
            <w:vAlign w:val="center"/>
          </w:tcPr>
          <w:p w14:paraId="06F1B890">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投标报价是否高于采购预算价；</w:t>
            </w:r>
          </w:p>
        </w:tc>
        <w:tc>
          <w:tcPr>
            <w:tcW w:w="743" w:type="dxa"/>
            <w:vAlign w:val="center"/>
          </w:tcPr>
          <w:p w14:paraId="5895756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c>
          <w:tcPr>
            <w:tcW w:w="743" w:type="dxa"/>
            <w:vAlign w:val="center"/>
          </w:tcPr>
          <w:p w14:paraId="661A9824">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r>
      <w:tr w14:paraId="682E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0A66E639">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6</w:t>
            </w:r>
          </w:p>
        </w:tc>
        <w:tc>
          <w:tcPr>
            <w:tcW w:w="6428" w:type="dxa"/>
            <w:vAlign w:val="center"/>
          </w:tcPr>
          <w:p w14:paraId="1EAEB65F">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是否缴纳投标保证金并与</w:t>
            </w:r>
            <w:r>
              <w:rPr>
                <w:rFonts w:hint="eastAsia" w:ascii="宋体" w:hAnsi="宋体" w:eastAsia="宋体" w:cs="宋体"/>
                <w:bCs/>
                <w:color w:val="000000"/>
                <w:szCs w:val="21"/>
                <w:highlight w:val="none"/>
              </w:rPr>
              <w:t>招标</w:t>
            </w:r>
            <w:r>
              <w:rPr>
                <w:rFonts w:hint="eastAsia" w:ascii="宋体" w:hAnsi="宋体" w:eastAsia="宋体" w:cs="宋体"/>
                <w:bCs/>
                <w:color w:val="000000"/>
                <w:kern w:val="0"/>
                <w:highlight w:val="none"/>
              </w:rPr>
              <w:t>文件金额一致</w:t>
            </w:r>
          </w:p>
        </w:tc>
        <w:tc>
          <w:tcPr>
            <w:tcW w:w="743" w:type="dxa"/>
            <w:vAlign w:val="center"/>
          </w:tcPr>
          <w:p w14:paraId="0C69C47C">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c>
          <w:tcPr>
            <w:tcW w:w="743" w:type="dxa"/>
            <w:vAlign w:val="center"/>
          </w:tcPr>
          <w:p w14:paraId="200B021F">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r>
      <w:tr w14:paraId="1D35D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3D348BCD">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7</w:t>
            </w:r>
          </w:p>
        </w:tc>
        <w:tc>
          <w:tcPr>
            <w:tcW w:w="6428" w:type="dxa"/>
            <w:vAlign w:val="center"/>
          </w:tcPr>
          <w:p w14:paraId="4D9F7BB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lang w:val="en-US" w:eastAsia="zh-CN"/>
              </w:rPr>
              <w:t>是否</w:t>
            </w:r>
            <w:r>
              <w:rPr>
                <w:rFonts w:hint="eastAsia" w:ascii="宋体" w:hAnsi="宋体" w:eastAsia="宋体" w:cs="宋体"/>
                <w:bCs/>
                <w:color w:val="000000"/>
                <w:kern w:val="0"/>
                <w:highlight w:val="none"/>
              </w:rPr>
              <w:t>明显不符合技术规格和技术标准</w:t>
            </w:r>
          </w:p>
        </w:tc>
        <w:tc>
          <w:tcPr>
            <w:tcW w:w="743" w:type="dxa"/>
            <w:vAlign w:val="center"/>
          </w:tcPr>
          <w:p w14:paraId="1E09CA15">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c>
          <w:tcPr>
            <w:tcW w:w="743" w:type="dxa"/>
            <w:vAlign w:val="center"/>
          </w:tcPr>
          <w:p w14:paraId="799640E3">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r>
      <w:tr w14:paraId="600E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3462FBB1">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8</w:t>
            </w:r>
          </w:p>
        </w:tc>
        <w:tc>
          <w:tcPr>
            <w:tcW w:w="6428" w:type="dxa"/>
            <w:vAlign w:val="center"/>
          </w:tcPr>
          <w:p w14:paraId="19F4920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商务条款是否有偏离情况的</w:t>
            </w:r>
          </w:p>
        </w:tc>
        <w:tc>
          <w:tcPr>
            <w:tcW w:w="743" w:type="dxa"/>
            <w:vAlign w:val="center"/>
          </w:tcPr>
          <w:p w14:paraId="128392A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c>
          <w:tcPr>
            <w:tcW w:w="743" w:type="dxa"/>
            <w:vAlign w:val="center"/>
          </w:tcPr>
          <w:p w14:paraId="638E01F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r>
      <w:tr w14:paraId="3797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60E8F810">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9</w:t>
            </w:r>
          </w:p>
        </w:tc>
        <w:tc>
          <w:tcPr>
            <w:tcW w:w="6428" w:type="dxa"/>
            <w:vAlign w:val="center"/>
          </w:tcPr>
          <w:p w14:paraId="1E465732">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投标文件是否附有招标人不能接受条件的；</w:t>
            </w:r>
          </w:p>
        </w:tc>
        <w:tc>
          <w:tcPr>
            <w:tcW w:w="743" w:type="dxa"/>
            <w:vAlign w:val="center"/>
          </w:tcPr>
          <w:p w14:paraId="6B5FF36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c>
          <w:tcPr>
            <w:tcW w:w="743" w:type="dxa"/>
            <w:vAlign w:val="center"/>
          </w:tcPr>
          <w:p w14:paraId="5E30BFD5">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r>
      <w:tr w14:paraId="46790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4830A5EC">
            <w:pPr>
              <w:keepNext w:val="0"/>
              <w:keepLines w:val="0"/>
              <w:suppressLineNumbers w:val="0"/>
              <w:spacing w:before="0" w:beforeAutospacing="0" w:after="0" w:afterAutospacing="0"/>
              <w:ind w:left="0" w:right="0"/>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10</w:t>
            </w:r>
          </w:p>
        </w:tc>
        <w:tc>
          <w:tcPr>
            <w:tcW w:w="6428" w:type="dxa"/>
            <w:vAlign w:val="center"/>
          </w:tcPr>
          <w:p w14:paraId="2D90EA6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是否存在法律、法规和招标文件规定的其他无效情形；</w:t>
            </w:r>
          </w:p>
        </w:tc>
        <w:tc>
          <w:tcPr>
            <w:tcW w:w="743" w:type="dxa"/>
            <w:vAlign w:val="center"/>
          </w:tcPr>
          <w:p w14:paraId="6A45C8F7">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c>
          <w:tcPr>
            <w:tcW w:w="743" w:type="dxa"/>
            <w:vAlign w:val="center"/>
          </w:tcPr>
          <w:p w14:paraId="055981C3">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r>
      <w:tr w14:paraId="2CFDB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49" w:hRule="atLeast"/>
          <w:jc w:val="right"/>
        </w:trPr>
        <w:tc>
          <w:tcPr>
            <w:tcW w:w="815" w:type="dxa"/>
            <w:vAlign w:val="center"/>
          </w:tcPr>
          <w:p w14:paraId="138C550B">
            <w:pPr>
              <w:keepNext w:val="0"/>
              <w:keepLines w:val="0"/>
              <w:suppressLineNumbers w:val="0"/>
              <w:spacing w:before="0" w:beforeAutospacing="0" w:after="0" w:afterAutospacing="0"/>
              <w:ind w:left="0" w:right="0"/>
              <w:jc w:val="center"/>
              <w:rPr>
                <w:rFonts w:hint="default" w:ascii="宋体" w:hAnsi="宋体" w:eastAsia="宋体" w:cs="宋体"/>
                <w:bCs/>
                <w:color w:val="000000"/>
                <w:highlight w:val="none"/>
                <w:lang w:val="en-US" w:eastAsia="zh-CN"/>
              </w:rPr>
            </w:pPr>
            <w:r>
              <w:rPr>
                <w:rFonts w:hint="eastAsia" w:ascii="宋体" w:hAnsi="宋体" w:eastAsia="宋体" w:cs="宋体"/>
                <w:bCs/>
                <w:color w:val="000000"/>
                <w:highlight w:val="none"/>
                <w:lang w:val="en-US" w:eastAsia="zh-CN"/>
              </w:rPr>
              <w:t>11</w:t>
            </w:r>
          </w:p>
        </w:tc>
        <w:tc>
          <w:tcPr>
            <w:tcW w:w="6428" w:type="dxa"/>
            <w:vAlign w:val="center"/>
          </w:tcPr>
          <w:p w14:paraId="44958215">
            <w:pPr>
              <w:keepNext w:val="0"/>
              <w:keepLines w:val="0"/>
              <w:suppressLineNumbers w:val="0"/>
              <w:spacing w:before="0" w:beforeAutospacing="0" w:after="0" w:afterAutospacing="0"/>
              <w:ind w:left="0" w:right="0"/>
              <w:jc w:val="left"/>
              <w:rPr>
                <w:rFonts w:hint="eastAsia" w:ascii="宋体" w:hAnsi="宋体" w:eastAsia="宋体" w:cs="宋体"/>
                <w:bCs/>
                <w:color w:val="000000"/>
                <w:highlight w:val="none"/>
              </w:rPr>
            </w:pPr>
            <w:r>
              <w:rPr>
                <w:rFonts w:hint="eastAsia" w:ascii="宋体" w:hAnsi="宋体" w:eastAsia="宋体" w:cs="宋体"/>
                <w:bCs/>
                <w:color w:val="000000"/>
                <w:highlight w:val="none"/>
              </w:rPr>
              <w:t>在评标过程中，</w:t>
            </w:r>
            <w:r>
              <w:rPr>
                <w:rFonts w:hint="eastAsia" w:ascii="宋体" w:hAnsi="宋体" w:cs="宋体"/>
                <w:bCs/>
                <w:color w:val="000000"/>
                <w:highlight w:val="none"/>
                <w:lang w:eastAsia="zh-CN"/>
              </w:rPr>
              <w:t>评审小组</w:t>
            </w:r>
            <w:r>
              <w:rPr>
                <w:rFonts w:hint="eastAsia" w:ascii="宋体" w:hAnsi="宋体" w:eastAsia="宋体" w:cs="宋体"/>
                <w:bCs/>
                <w:color w:val="000000"/>
                <w:highlight w:val="none"/>
              </w:rPr>
              <w:t>若发现供应商的报价明显低于其他</w:t>
            </w:r>
            <w:r>
              <w:rPr>
                <w:rFonts w:hint="eastAsia" w:ascii="宋体" w:hAnsi="宋体" w:cs="宋体"/>
                <w:bCs/>
                <w:color w:val="000000"/>
                <w:highlight w:val="none"/>
                <w:lang w:eastAsia="zh-CN"/>
              </w:rPr>
              <w:t>投标报价</w:t>
            </w:r>
            <w:r>
              <w:rPr>
                <w:rFonts w:hint="eastAsia" w:ascii="宋体" w:hAnsi="宋体" w:eastAsia="宋体" w:cs="宋体"/>
                <w:bCs/>
                <w:color w:val="000000"/>
                <w:highlight w:val="none"/>
              </w:rPr>
              <w:t>，使得其</w:t>
            </w:r>
            <w:r>
              <w:rPr>
                <w:rFonts w:hint="eastAsia" w:ascii="宋体" w:hAnsi="宋体" w:cs="宋体"/>
                <w:bCs/>
                <w:color w:val="000000"/>
                <w:highlight w:val="none"/>
                <w:lang w:eastAsia="zh-CN"/>
              </w:rPr>
              <w:t>投标报价</w:t>
            </w:r>
            <w:r>
              <w:rPr>
                <w:rFonts w:hint="eastAsia" w:ascii="宋体" w:hAnsi="宋体" w:eastAsia="宋体" w:cs="宋体"/>
                <w:bCs/>
                <w:color w:val="000000"/>
                <w:highlight w:val="none"/>
              </w:rPr>
              <w:t>可能低于其个别成本的，应当要求该供应商做出书面说明并提供相关证明材料。供应商不能合理说明或者不能提供相关证明材料的，</w:t>
            </w:r>
            <w:r>
              <w:rPr>
                <w:rFonts w:hint="eastAsia" w:ascii="宋体" w:hAnsi="宋体" w:cs="宋体"/>
                <w:bCs/>
                <w:color w:val="000000"/>
                <w:highlight w:val="none"/>
                <w:lang w:eastAsia="zh-CN"/>
              </w:rPr>
              <w:t>评审小组</w:t>
            </w:r>
            <w:r>
              <w:rPr>
                <w:rFonts w:hint="eastAsia" w:ascii="宋体" w:hAnsi="宋体" w:eastAsia="宋体" w:cs="宋体"/>
                <w:bCs/>
                <w:color w:val="000000"/>
                <w:highlight w:val="none"/>
              </w:rPr>
              <w:t>认定该供应商以低于成本报价竞标，采购人不接受不符合国家有关部门相关规定的</w:t>
            </w:r>
            <w:r>
              <w:rPr>
                <w:rFonts w:hint="eastAsia" w:ascii="宋体" w:hAnsi="宋体" w:cs="宋体"/>
                <w:bCs/>
                <w:color w:val="000000"/>
                <w:highlight w:val="none"/>
                <w:lang w:eastAsia="zh-CN"/>
              </w:rPr>
              <w:t>投标报价</w:t>
            </w:r>
            <w:r>
              <w:rPr>
                <w:rFonts w:hint="eastAsia" w:ascii="宋体" w:hAnsi="宋体" w:eastAsia="宋体" w:cs="宋体"/>
                <w:bCs/>
                <w:color w:val="000000"/>
                <w:highlight w:val="none"/>
              </w:rPr>
              <w:t>或优惠方案，其</w:t>
            </w:r>
            <w:r>
              <w:rPr>
                <w:rFonts w:hint="eastAsia" w:ascii="宋体" w:hAnsi="宋体" w:cs="宋体"/>
                <w:bCs/>
                <w:color w:val="000000"/>
                <w:highlight w:val="none"/>
                <w:lang w:eastAsia="zh-CN"/>
              </w:rPr>
              <w:t>投标报价</w:t>
            </w:r>
            <w:r>
              <w:rPr>
                <w:rFonts w:hint="eastAsia" w:ascii="宋体" w:hAnsi="宋体" w:eastAsia="宋体" w:cs="宋体"/>
                <w:bCs/>
                <w:color w:val="000000"/>
                <w:highlight w:val="none"/>
              </w:rPr>
              <w:t>视为无效报价;</w:t>
            </w:r>
          </w:p>
        </w:tc>
        <w:tc>
          <w:tcPr>
            <w:tcW w:w="743" w:type="dxa"/>
            <w:vAlign w:val="center"/>
          </w:tcPr>
          <w:p w14:paraId="1EFCB52B">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c>
          <w:tcPr>
            <w:tcW w:w="743" w:type="dxa"/>
            <w:vAlign w:val="center"/>
          </w:tcPr>
          <w:p w14:paraId="1D7954F9">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r>
      <w:tr w14:paraId="6A3F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7243" w:type="dxa"/>
            <w:gridSpan w:val="2"/>
            <w:vAlign w:val="bottom"/>
          </w:tcPr>
          <w:p w14:paraId="5E552AC2">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结论：是否通过评审（须填写通过或不通过）</w:t>
            </w:r>
          </w:p>
          <w:p w14:paraId="7452BF44">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r>
              <w:rPr>
                <w:rFonts w:hint="eastAsia" w:ascii="宋体" w:hAnsi="宋体" w:eastAsia="宋体" w:cs="宋体"/>
                <w:bCs/>
                <w:color w:val="000000"/>
                <w:kern w:val="0"/>
                <w:highlight w:val="none"/>
              </w:rPr>
              <w:t xml:space="preserve"> 注： 如有一项不合格， 作废标处理。</w:t>
            </w:r>
          </w:p>
        </w:tc>
        <w:tc>
          <w:tcPr>
            <w:tcW w:w="743" w:type="dxa"/>
            <w:vAlign w:val="center"/>
          </w:tcPr>
          <w:p w14:paraId="754EC9A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c>
          <w:tcPr>
            <w:tcW w:w="743" w:type="dxa"/>
            <w:vAlign w:val="center"/>
          </w:tcPr>
          <w:p w14:paraId="2543D8D1">
            <w:pPr>
              <w:keepNext w:val="0"/>
              <w:keepLines w:val="0"/>
              <w:suppressLineNumbers w:val="0"/>
              <w:spacing w:before="0" w:beforeAutospacing="0" w:after="0" w:afterAutospacing="0"/>
              <w:ind w:left="105" w:right="62" w:hanging="105" w:hangingChars="50"/>
              <w:jc w:val="left"/>
              <w:rPr>
                <w:rFonts w:hint="eastAsia" w:ascii="宋体" w:hAnsi="宋体" w:eastAsia="宋体" w:cs="宋体"/>
                <w:bCs/>
                <w:color w:val="000000"/>
                <w:kern w:val="0"/>
                <w:highlight w:val="none"/>
              </w:rPr>
            </w:pPr>
          </w:p>
        </w:tc>
      </w:tr>
    </w:tbl>
    <w:p w14:paraId="4A41A1D4">
      <w:pPr>
        <w:pStyle w:val="47"/>
        <w:tabs>
          <w:tab w:val="clear" w:pos="567"/>
        </w:tabs>
        <w:spacing w:before="0" w:line="240" w:lineRule="auto"/>
        <w:rPr>
          <w:rFonts w:hint="eastAsia" w:ascii="宋体" w:hAnsi="宋体" w:eastAsia="宋体" w:cs="宋体"/>
          <w:bCs/>
          <w:color w:val="000000"/>
          <w:spacing w:val="-2"/>
          <w:highlight w:val="none"/>
        </w:rPr>
      </w:pPr>
    </w:p>
    <w:p w14:paraId="429CF132">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备注：1.如果投标文件中有一项未通过上述审查标准，评标委员会将认定整个投标文件未响应招标文件而予以废标处理。</w:t>
      </w:r>
    </w:p>
    <w:p w14:paraId="45F32204">
      <w:pPr>
        <w:ind w:firstLine="630" w:firstLineChars="3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2.表中所述分项评审结果分两种：（1）合格用“√”表示；（2）不合格用“×”表示。</w:t>
      </w:r>
    </w:p>
    <w:p w14:paraId="03F888D9">
      <w:pPr>
        <w:pStyle w:val="47"/>
        <w:tabs>
          <w:tab w:val="clear" w:pos="567"/>
        </w:tabs>
        <w:spacing w:before="0" w:line="360" w:lineRule="auto"/>
        <w:rPr>
          <w:rFonts w:hint="eastAsia" w:ascii="宋体" w:hAnsi="宋体" w:eastAsia="宋体" w:cs="宋体"/>
          <w:bCs/>
          <w:color w:val="000000"/>
          <w:highlight w:val="none"/>
        </w:rPr>
      </w:pPr>
    </w:p>
    <w:p w14:paraId="3716222E">
      <w:pPr>
        <w:pStyle w:val="47"/>
        <w:tabs>
          <w:tab w:val="clear" w:pos="567"/>
        </w:tabs>
        <w:spacing w:before="0" w:line="360" w:lineRule="auto"/>
        <w:rPr>
          <w:rFonts w:hint="eastAsia" w:ascii="宋体" w:hAnsi="宋体" w:eastAsia="宋体" w:cs="宋体"/>
          <w:bCs/>
          <w:color w:val="000000"/>
          <w:highlight w:val="none"/>
        </w:rPr>
      </w:pPr>
      <w:r>
        <w:rPr>
          <w:rFonts w:hint="eastAsia" w:ascii="宋体" w:hAnsi="宋体" w:eastAsia="宋体" w:cs="宋体"/>
          <w:bCs/>
          <w:color w:val="000000"/>
          <w:highlight w:val="none"/>
        </w:rPr>
        <w:br w:type="page"/>
      </w:r>
    </w:p>
    <w:p w14:paraId="497E59F8">
      <w:pPr>
        <w:pStyle w:val="47"/>
        <w:tabs>
          <w:tab w:val="clear" w:pos="567"/>
        </w:tabs>
        <w:spacing w:before="0" w:line="240" w:lineRule="auto"/>
        <w:ind w:firstLine="474" w:firstLineChars="200"/>
        <w:jc w:val="center"/>
        <w:rPr>
          <w:rFonts w:hint="eastAsia" w:ascii="宋体" w:hAnsi="宋体" w:eastAsia="宋体" w:cs="宋体"/>
          <w:b/>
          <w:color w:val="000000"/>
          <w:spacing w:val="-2"/>
          <w:highlight w:val="none"/>
        </w:rPr>
      </w:pPr>
      <w:r>
        <w:rPr>
          <w:rFonts w:hint="eastAsia" w:ascii="宋体" w:hAnsi="宋体" w:eastAsia="宋体" w:cs="宋体"/>
          <w:b/>
          <w:color w:val="000000"/>
          <w:spacing w:val="-2"/>
          <w:highlight w:val="none"/>
        </w:rPr>
        <w:t>附表二   综合评分法评分标准</w:t>
      </w:r>
    </w:p>
    <w:p w14:paraId="6F1E1666">
      <w:pPr>
        <w:pStyle w:val="47"/>
        <w:tabs>
          <w:tab w:val="clear" w:pos="567"/>
        </w:tabs>
        <w:spacing w:before="0" w:line="240" w:lineRule="auto"/>
        <w:ind w:firstLine="474" w:firstLineChars="200"/>
        <w:jc w:val="center"/>
        <w:rPr>
          <w:rFonts w:hint="eastAsia" w:ascii="宋体" w:hAnsi="宋体" w:eastAsia="宋体" w:cs="宋体"/>
          <w:b/>
          <w:color w:val="000000"/>
          <w:spacing w:val="-2"/>
          <w:highlight w:val="none"/>
        </w:rPr>
      </w:pPr>
    </w:p>
    <w:tbl>
      <w:tblPr>
        <w:tblStyle w:val="29"/>
        <w:tblpPr w:leftFromText="180" w:rightFromText="180" w:vertAnchor="text" w:horzAnchor="page" w:tblpXSpec="center" w:tblpY="427"/>
        <w:tblOverlap w:val="never"/>
        <w:tblW w:w="9159" w:type="dxa"/>
        <w:jc w:val="center"/>
        <w:tblLayout w:type="fixed"/>
        <w:tblCellMar>
          <w:top w:w="0" w:type="dxa"/>
          <w:left w:w="108" w:type="dxa"/>
          <w:bottom w:w="0" w:type="dxa"/>
          <w:right w:w="108" w:type="dxa"/>
        </w:tblCellMar>
      </w:tblPr>
      <w:tblGrid>
        <w:gridCol w:w="941"/>
        <w:gridCol w:w="856"/>
        <w:gridCol w:w="6606"/>
        <w:gridCol w:w="756"/>
      </w:tblGrid>
      <w:tr w14:paraId="2C338FF3">
        <w:tblPrEx>
          <w:tblCellMar>
            <w:top w:w="0" w:type="dxa"/>
            <w:left w:w="108" w:type="dxa"/>
            <w:bottom w:w="0" w:type="dxa"/>
            <w:right w:w="108" w:type="dxa"/>
          </w:tblCellMar>
        </w:tblPrEx>
        <w:trPr>
          <w:trHeight w:val="569" w:hRule="atLeast"/>
          <w:jc w:val="center"/>
        </w:trPr>
        <w:tc>
          <w:tcPr>
            <w:tcW w:w="1797" w:type="dxa"/>
            <w:gridSpan w:val="2"/>
            <w:tcBorders>
              <w:top w:val="single" w:color="auto" w:sz="4" w:space="0"/>
              <w:left w:val="single" w:color="auto" w:sz="4" w:space="0"/>
              <w:bottom w:val="single" w:color="auto" w:sz="4" w:space="0"/>
              <w:right w:val="single" w:color="auto" w:sz="4" w:space="0"/>
            </w:tcBorders>
            <w:noWrap w:val="0"/>
            <w:vAlign w:val="center"/>
          </w:tcPr>
          <w:p w14:paraId="33343949">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考核项目</w:t>
            </w:r>
          </w:p>
        </w:tc>
        <w:tc>
          <w:tcPr>
            <w:tcW w:w="6606" w:type="dxa"/>
            <w:tcBorders>
              <w:top w:val="single" w:color="auto" w:sz="4" w:space="0"/>
              <w:left w:val="nil"/>
              <w:bottom w:val="single" w:color="auto" w:sz="4" w:space="0"/>
              <w:right w:val="single" w:color="auto" w:sz="4" w:space="0"/>
            </w:tcBorders>
            <w:noWrap w:val="0"/>
            <w:vAlign w:val="center"/>
          </w:tcPr>
          <w:p w14:paraId="39244CC4">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评分标准</w:t>
            </w:r>
          </w:p>
        </w:tc>
        <w:tc>
          <w:tcPr>
            <w:tcW w:w="756" w:type="dxa"/>
            <w:tcBorders>
              <w:top w:val="single" w:color="auto" w:sz="4" w:space="0"/>
              <w:left w:val="nil"/>
              <w:bottom w:val="single" w:color="auto" w:sz="4" w:space="0"/>
              <w:right w:val="single" w:color="auto" w:sz="4" w:space="0"/>
            </w:tcBorders>
            <w:noWrap w:val="0"/>
            <w:vAlign w:val="center"/>
          </w:tcPr>
          <w:p w14:paraId="442DB05D">
            <w:pPr>
              <w:keepNext w:val="0"/>
              <w:keepLines w:val="0"/>
              <w:widowControl/>
              <w:suppressLineNumbers w:val="0"/>
              <w:spacing w:before="0" w:beforeAutospacing="0" w:after="0" w:afterAutospacing="0"/>
              <w:ind w:left="0" w:right="0"/>
              <w:jc w:val="center"/>
              <w:rPr>
                <w:rFonts w:hint="eastAsia" w:ascii="宋体" w:hAnsi="宋体" w:eastAsia="宋体" w:cs="宋体"/>
                <w:b/>
                <w:bCs/>
                <w:color w:val="FF0000"/>
                <w:kern w:val="0"/>
                <w:sz w:val="24"/>
                <w:szCs w:val="24"/>
                <w:highlight w:val="none"/>
              </w:rPr>
            </w:pPr>
            <w:r>
              <w:rPr>
                <w:rFonts w:hint="eastAsia" w:ascii="宋体" w:hAnsi="宋体" w:eastAsia="宋体" w:cs="宋体"/>
                <w:b/>
                <w:bCs/>
                <w:kern w:val="0"/>
                <w:sz w:val="24"/>
                <w:szCs w:val="24"/>
                <w:highlight w:val="none"/>
              </w:rPr>
              <w:t>投标人　</w:t>
            </w:r>
          </w:p>
        </w:tc>
      </w:tr>
      <w:tr w14:paraId="769A4D15">
        <w:tblPrEx>
          <w:tblCellMar>
            <w:top w:w="0" w:type="dxa"/>
            <w:left w:w="108" w:type="dxa"/>
            <w:bottom w:w="0" w:type="dxa"/>
            <w:right w:w="108" w:type="dxa"/>
          </w:tblCellMar>
        </w:tblPrEx>
        <w:trPr>
          <w:trHeight w:val="1495" w:hRule="atLeast"/>
          <w:jc w:val="center"/>
        </w:trPr>
        <w:tc>
          <w:tcPr>
            <w:tcW w:w="941" w:type="dxa"/>
            <w:tcBorders>
              <w:top w:val="nil"/>
              <w:left w:val="single" w:color="auto" w:sz="4" w:space="0"/>
              <w:bottom w:val="single" w:color="auto" w:sz="4" w:space="0"/>
              <w:right w:val="single" w:color="auto" w:sz="4" w:space="0"/>
            </w:tcBorders>
            <w:noWrap w:val="0"/>
            <w:vAlign w:val="center"/>
          </w:tcPr>
          <w:p w14:paraId="0EDD9D4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价格部分（</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分）</w:t>
            </w:r>
          </w:p>
        </w:tc>
        <w:tc>
          <w:tcPr>
            <w:tcW w:w="7462" w:type="dxa"/>
            <w:gridSpan w:val="2"/>
            <w:tcBorders>
              <w:top w:val="single" w:color="auto" w:sz="4" w:space="0"/>
              <w:left w:val="nil"/>
              <w:bottom w:val="single" w:color="auto" w:sz="4" w:space="0"/>
              <w:right w:val="single" w:color="auto" w:sz="4" w:space="0"/>
            </w:tcBorders>
            <w:noWrap w:val="0"/>
            <w:vAlign w:val="center"/>
          </w:tcPr>
          <w:p w14:paraId="061CB17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分。由监标人员负责核准每个合格供应商的价格得分。</w:t>
            </w:r>
          </w:p>
        </w:tc>
        <w:tc>
          <w:tcPr>
            <w:tcW w:w="756" w:type="dxa"/>
            <w:tcBorders>
              <w:top w:val="nil"/>
              <w:left w:val="nil"/>
              <w:bottom w:val="single" w:color="auto" w:sz="4" w:space="0"/>
              <w:right w:val="single" w:color="auto" w:sz="4" w:space="0"/>
            </w:tcBorders>
            <w:noWrap w:val="0"/>
            <w:vAlign w:val="center"/>
          </w:tcPr>
          <w:p w14:paraId="09704AF5">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　</w:t>
            </w:r>
          </w:p>
        </w:tc>
      </w:tr>
      <w:tr w14:paraId="226384F9">
        <w:tblPrEx>
          <w:tblCellMar>
            <w:top w:w="0" w:type="dxa"/>
            <w:left w:w="108" w:type="dxa"/>
            <w:bottom w:w="0" w:type="dxa"/>
            <w:right w:w="108" w:type="dxa"/>
          </w:tblCellMar>
        </w:tblPrEx>
        <w:trPr>
          <w:trHeight w:val="1833" w:hRule="atLeast"/>
          <w:jc w:val="center"/>
        </w:trPr>
        <w:tc>
          <w:tcPr>
            <w:tcW w:w="941" w:type="dxa"/>
            <w:vMerge w:val="restart"/>
            <w:tcBorders>
              <w:top w:val="nil"/>
              <w:left w:val="single" w:color="auto" w:sz="4" w:space="0"/>
              <w:right w:val="single" w:color="auto" w:sz="4" w:space="0"/>
            </w:tcBorders>
            <w:noWrap w:val="0"/>
            <w:vAlign w:val="center"/>
          </w:tcPr>
          <w:p w14:paraId="161C282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技术部分（</w:t>
            </w:r>
            <w:r>
              <w:rPr>
                <w:rFonts w:hint="eastAsia" w:ascii="宋体" w:hAnsi="宋体" w:eastAsia="宋体" w:cs="宋体"/>
                <w:kern w:val="0"/>
                <w:sz w:val="24"/>
                <w:szCs w:val="24"/>
                <w:highlight w:val="none"/>
                <w:lang w:val="en-US" w:eastAsia="zh-CN"/>
              </w:rPr>
              <w:t>60</w:t>
            </w:r>
            <w:r>
              <w:rPr>
                <w:rFonts w:hint="eastAsia" w:ascii="宋体" w:hAnsi="宋体" w:eastAsia="宋体" w:cs="宋体"/>
                <w:kern w:val="0"/>
                <w:sz w:val="24"/>
                <w:szCs w:val="24"/>
                <w:highlight w:val="none"/>
              </w:rPr>
              <w:t>分）</w:t>
            </w:r>
          </w:p>
        </w:tc>
        <w:tc>
          <w:tcPr>
            <w:tcW w:w="856" w:type="dxa"/>
            <w:tcBorders>
              <w:top w:val="nil"/>
              <w:left w:val="nil"/>
              <w:bottom w:val="single" w:color="auto" w:sz="4" w:space="0"/>
              <w:right w:val="single" w:color="auto" w:sz="4" w:space="0"/>
            </w:tcBorders>
            <w:noWrap w:val="0"/>
            <w:vAlign w:val="center"/>
          </w:tcPr>
          <w:p w14:paraId="416B8F65">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产品性能和技术指标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29分</w:t>
            </w:r>
            <w:r>
              <w:rPr>
                <w:rFonts w:hint="eastAsia" w:ascii="宋体" w:hAnsi="宋体" w:cs="宋体"/>
                <w:kern w:val="0"/>
                <w:sz w:val="24"/>
                <w:szCs w:val="24"/>
                <w:highlight w:val="none"/>
                <w:lang w:eastAsia="zh-CN"/>
              </w:rPr>
              <w:t>）</w:t>
            </w:r>
          </w:p>
        </w:tc>
        <w:tc>
          <w:tcPr>
            <w:tcW w:w="6606" w:type="dxa"/>
            <w:tcBorders>
              <w:top w:val="nil"/>
              <w:left w:val="nil"/>
              <w:bottom w:val="single" w:color="auto" w:sz="4" w:space="0"/>
              <w:right w:val="single" w:color="auto" w:sz="4" w:space="0"/>
            </w:tcBorders>
            <w:noWrap w:val="0"/>
            <w:vAlign w:val="center"/>
          </w:tcPr>
          <w:p w14:paraId="16827BD1">
            <w:pPr>
              <w:keepNext w:val="0"/>
              <w:keepLines w:val="0"/>
              <w:widowControl/>
              <w:numPr>
                <w:ilvl w:val="0"/>
                <w:numId w:val="15"/>
              </w:numPr>
              <w:suppressLineNumbers w:val="0"/>
              <w:spacing w:before="0" w:beforeAutospacing="0" w:after="0" w:afterAutospacing="0"/>
              <w:ind w:left="0" w:right="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全部满足第四章《采购需求》技术条款未标“▲”“</w:t>
            </w:r>
            <w:r>
              <w:rPr>
                <w:rFonts w:hint="eastAsia" w:ascii="宋体" w:hAnsi="宋体" w:eastAsia="宋体" w:cs="宋体"/>
                <w:kern w:val="0"/>
                <w:sz w:val="24"/>
                <w:szCs w:val="24"/>
                <w:highlight w:val="none"/>
                <w:lang w:val="en-US" w:eastAsia="zh-CN" w:bidi="ar-SA"/>
              </w:rPr>
              <w:t>★</w:t>
            </w:r>
            <w:r>
              <w:rPr>
                <w:rFonts w:hint="eastAsia" w:ascii="宋体" w:hAnsi="宋体" w:cs="宋体"/>
                <w:kern w:val="0"/>
                <w:sz w:val="24"/>
                <w:szCs w:val="24"/>
                <w:highlight w:val="none"/>
                <w:lang w:val="en-US" w:eastAsia="zh-CN"/>
              </w:rPr>
              <w:t>”参数要求的，得基本分20分；</w:t>
            </w:r>
            <w:r>
              <w:rPr>
                <w:rFonts w:hint="eastAsia" w:ascii="宋体" w:hAnsi="宋体" w:cs="宋体"/>
                <w:kern w:val="0"/>
                <w:sz w:val="24"/>
                <w:szCs w:val="24"/>
                <w:highlight w:val="none"/>
              </w:rPr>
              <w:t>每负偏离一条扣</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分，扣完为止</w:t>
            </w:r>
            <w:r>
              <w:rPr>
                <w:rFonts w:hint="eastAsia" w:ascii="宋体" w:hAnsi="宋体" w:cs="宋体"/>
                <w:kern w:val="0"/>
                <w:sz w:val="24"/>
                <w:szCs w:val="24"/>
                <w:highlight w:val="none"/>
                <w:lang w:eastAsia="zh-CN"/>
              </w:rPr>
              <w:t>。</w:t>
            </w:r>
          </w:p>
          <w:p w14:paraId="660AB647">
            <w:pPr>
              <w:keepNext w:val="0"/>
              <w:keepLines w:val="0"/>
              <w:widowControl/>
              <w:numPr>
                <w:ilvl w:val="0"/>
                <w:numId w:val="15"/>
              </w:numPr>
              <w:suppressLineNumbers w:val="0"/>
              <w:spacing w:before="0" w:beforeAutospacing="0" w:after="0" w:afterAutospacing="0"/>
              <w:ind w:left="0" w:right="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标▲</w:t>
            </w:r>
            <w:r>
              <w:rPr>
                <w:rFonts w:hint="eastAsia" w:ascii="宋体" w:hAnsi="宋体" w:cs="宋体"/>
                <w:kern w:val="0"/>
                <w:sz w:val="24"/>
                <w:szCs w:val="24"/>
                <w:highlight w:val="none"/>
              </w:rPr>
              <w:t>参数</w:t>
            </w:r>
            <w:r>
              <w:rPr>
                <w:rFonts w:hint="eastAsia" w:ascii="宋体" w:hAnsi="宋体" w:cs="宋体"/>
                <w:kern w:val="0"/>
                <w:sz w:val="24"/>
                <w:szCs w:val="24"/>
                <w:highlight w:val="none"/>
                <w:lang w:val="en-US" w:eastAsia="zh-CN"/>
              </w:rPr>
              <w:t>最高得3分，</w:t>
            </w:r>
            <w:r>
              <w:rPr>
                <w:rFonts w:hint="eastAsia" w:ascii="宋体" w:hAnsi="宋体" w:cs="宋体"/>
                <w:kern w:val="0"/>
                <w:sz w:val="24"/>
                <w:szCs w:val="24"/>
                <w:highlight w:val="none"/>
              </w:rPr>
              <w:t>每负偏离一条扣</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分，扣完为止。</w:t>
            </w:r>
          </w:p>
          <w:p w14:paraId="57A51524">
            <w:pPr>
              <w:pStyle w:val="12"/>
              <w:keepNext w:val="0"/>
              <w:keepLines w:val="0"/>
              <w:numPr>
                <w:ilvl w:val="0"/>
                <w:numId w:val="15"/>
              </w:numPr>
              <w:suppressLineNumbers w:val="0"/>
              <w:spacing w:before="0" w:beforeAutospacing="0" w:after="0" w:afterAutospacing="0"/>
              <w:ind w:left="0" w:leftChars="0" w:right="0" w:firstLine="0" w:firstLineChars="0"/>
              <w:rPr>
                <w:rFonts w:hint="default"/>
                <w:highlight w:val="none"/>
                <w:lang w:val="en-US" w:eastAsia="zh-CN"/>
              </w:rPr>
            </w:pPr>
            <w:r>
              <w:rPr>
                <w:rFonts w:hint="eastAsia" w:ascii="宋体" w:hAnsi="宋体" w:eastAsia="宋体" w:cs="宋体"/>
                <w:kern w:val="0"/>
                <w:sz w:val="24"/>
                <w:szCs w:val="24"/>
                <w:highlight w:val="none"/>
                <w:lang w:val="en-US" w:eastAsia="zh-CN" w:bidi="ar-SA"/>
              </w:rPr>
              <w:t>标★参数最高得6分，每负偏离一小项扣1分，扣完为止。</w:t>
            </w:r>
          </w:p>
          <w:p w14:paraId="773AC7CF">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注：技术参数响应指标</w:t>
            </w:r>
            <w:r>
              <w:rPr>
                <w:rFonts w:hint="eastAsia" w:ascii="宋体" w:hAnsi="宋体" w:cs="宋体"/>
                <w:kern w:val="0"/>
                <w:sz w:val="24"/>
                <w:szCs w:val="24"/>
                <w:highlight w:val="none"/>
                <w:lang w:val="en-US" w:eastAsia="zh-CN"/>
              </w:rPr>
              <w:t>包括除</w:t>
            </w:r>
            <w:r>
              <w:rPr>
                <w:rFonts w:hint="eastAsia" w:ascii="宋体" w:hAnsi="宋体" w:cs="宋体"/>
                <w:kern w:val="0"/>
                <w:sz w:val="24"/>
                <w:szCs w:val="24"/>
                <w:highlight w:val="none"/>
              </w:rPr>
              <w:t>投标产品完整检测报告</w:t>
            </w:r>
            <w:r>
              <w:rPr>
                <w:rFonts w:hint="eastAsia" w:ascii="宋体" w:hAnsi="宋体" w:cs="宋体"/>
                <w:kern w:val="0"/>
                <w:sz w:val="24"/>
                <w:szCs w:val="24"/>
                <w:highlight w:val="none"/>
                <w:lang w:val="en-US" w:eastAsia="zh-CN"/>
              </w:rPr>
              <w:t>以外，包括但不限于</w:t>
            </w:r>
            <w:r>
              <w:rPr>
                <w:rFonts w:hint="eastAsia" w:ascii="宋体" w:hAnsi="宋体" w:cs="宋体"/>
                <w:kern w:val="0"/>
                <w:sz w:val="24"/>
                <w:szCs w:val="24"/>
                <w:highlight w:val="none"/>
              </w:rPr>
              <w:t>中文白皮书或官网截图或性能参数说明书为准，同时具备以上材料或有不一致情况时，认定优先级别为：检测报告、官网截图、性能参数说明书、白皮书（须由厂家提供）</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其他响应资料</w:t>
            </w:r>
            <w:r>
              <w:rPr>
                <w:rFonts w:hint="eastAsia" w:ascii="宋体" w:hAnsi="宋体" w:cs="宋体"/>
                <w:kern w:val="0"/>
                <w:sz w:val="24"/>
                <w:szCs w:val="24"/>
                <w:highlight w:val="none"/>
              </w:rPr>
              <w:t>，所提供的真实完整有效证明材料必须由生产企业提供，并对材料的真实性、有效性，完整性负全部责任。所提供材料中如有虚假响应，将按照虚假应标予以废标处理</w:t>
            </w:r>
            <w:r>
              <w:rPr>
                <w:rFonts w:hint="eastAsia" w:ascii="宋体" w:hAnsi="宋体" w:cs="宋体"/>
                <w:kern w:val="0"/>
                <w:sz w:val="24"/>
                <w:szCs w:val="24"/>
                <w:highlight w:val="none"/>
                <w:lang w:eastAsia="zh-CN"/>
              </w:rPr>
              <w:t>。</w:t>
            </w:r>
          </w:p>
        </w:tc>
        <w:tc>
          <w:tcPr>
            <w:tcW w:w="756" w:type="dxa"/>
            <w:tcBorders>
              <w:top w:val="nil"/>
              <w:left w:val="nil"/>
              <w:bottom w:val="single" w:color="auto" w:sz="4" w:space="0"/>
              <w:right w:val="single" w:color="auto" w:sz="4" w:space="0"/>
            </w:tcBorders>
            <w:noWrap w:val="0"/>
            <w:vAlign w:val="top"/>
          </w:tcPr>
          <w:p w14:paraId="50048695">
            <w:pPr>
              <w:keepNext w:val="0"/>
              <w:keepLines w:val="0"/>
              <w:widowControl/>
              <w:suppressLineNumbers w:val="0"/>
              <w:spacing w:before="0" w:beforeAutospacing="0" w:after="0" w:afterAutospacing="0"/>
              <w:ind w:left="0" w:right="0"/>
              <w:jc w:val="left"/>
              <w:rPr>
                <w:rFonts w:hint="eastAsia" w:ascii="宋体" w:hAnsi="宋体" w:eastAsia="宋体" w:cs="宋体"/>
                <w:color w:val="FF0000"/>
                <w:kern w:val="0"/>
                <w:sz w:val="24"/>
                <w:szCs w:val="24"/>
                <w:highlight w:val="none"/>
              </w:rPr>
            </w:pPr>
          </w:p>
        </w:tc>
      </w:tr>
      <w:tr w14:paraId="7B3D7F82">
        <w:tblPrEx>
          <w:tblCellMar>
            <w:top w:w="0" w:type="dxa"/>
            <w:left w:w="108" w:type="dxa"/>
            <w:bottom w:w="0" w:type="dxa"/>
            <w:right w:w="108" w:type="dxa"/>
          </w:tblCellMar>
        </w:tblPrEx>
        <w:trPr>
          <w:trHeight w:val="2971" w:hRule="atLeast"/>
          <w:jc w:val="center"/>
        </w:trPr>
        <w:tc>
          <w:tcPr>
            <w:tcW w:w="941" w:type="dxa"/>
            <w:vMerge w:val="continue"/>
            <w:tcBorders>
              <w:left w:val="single" w:color="auto" w:sz="4" w:space="0"/>
              <w:right w:val="single" w:color="auto" w:sz="4" w:space="0"/>
            </w:tcBorders>
            <w:noWrap w:val="0"/>
            <w:vAlign w:val="center"/>
          </w:tcPr>
          <w:p w14:paraId="17FE1BC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c>
          <w:tcPr>
            <w:tcW w:w="856" w:type="dxa"/>
            <w:tcBorders>
              <w:top w:val="nil"/>
              <w:left w:val="nil"/>
              <w:bottom w:val="single" w:color="auto" w:sz="4" w:space="0"/>
              <w:right w:val="single" w:color="auto" w:sz="4" w:space="0"/>
            </w:tcBorders>
            <w:noWrap w:val="0"/>
            <w:vAlign w:val="center"/>
          </w:tcPr>
          <w:p w14:paraId="3A56C773">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项目服务实施方案（</w:t>
            </w: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分)</w:t>
            </w:r>
          </w:p>
        </w:tc>
        <w:tc>
          <w:tcPr>
            <w:tcW w:w="6606" w:type="dxa"/>
            <w:tcBorders>
              <w:top w:val="nil"/>
              <w:left w:val="nil"/>
              <w:bottom w:val="single" w:color="auto" w:sz="4" w:space="0"/>
              <w:right w:val="single" w:color="auto" w:sz="4" w:space="0"/>
            </w:tcBorders>
            <w:noWrap w:val="0"/>
            <w:vAlign w:val="center"/>
          </w:tcPr>
          <w:p w14:paraId="7E6DE24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根据投标人对本项目实际情况，阐述内容须包括但不限于以下内容：</w:t>
            </w:r>
          </w:p>
          <w:p w14:paraId="0B8D8DDA">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整体</w:t>
            </w:r>
            <w:r>
              <w:rPr>
                <w:rFonts w:hint="eastAsia" w:ascii="宋体" w:hAnsi="宋体" w:eastAsia="宋体" w:cs="宋体"/>
                <w:color w:val="auto"/>
                <w:kern w:val="0"/>
                <w:sz w:val="24"/>
                <w:szCs w:val="24"/>
                <w:highlight w:val="none"/>
                <w:lang w:val="en-US" w:eastAsia="zh-CN"/>
              </w:rPr>
              <w:t>实施</w:t>
            </w:r>
            <w:r>
              <w:rPr>
                <w:rFonts w:hint="eastAsia" w:ascii="宋体" w:hAnsi="宋体" w:eastAsia="宋体" w:cs="宋体"/>
                <w:color w:val="auto"/>
                <w:kern w:val="0"/>
                <w:sz w:val="24"/>
                <w:szCs w:val="24"/>
                <w:highlight w:val="none"/>
              </w:rPr>
              <w:t>方案；</w:t>
            </w:r>
          </w:p>
          <w:p w14:paraId="15F2C35A">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质量保证措施；</w:t>
            </w:r>
          </w:p>
          <w:p w14:paraId="679761B6">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项目实施人员配置方案；</w:t>
            </w:r>
          </w:p>
          <w:p w14:paraId="231164C7">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产品包装运输方案；</w:t>
            </w:r>
          </w:p>
          <w:p w14:paraId="30C3E2AB">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供货、安装</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调试</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方案；</w:t>
            </w:r>
          </w:p>
          <w:p w14:paraId="732B21FA">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6、供货及实施</w:t>
            </w:r>
            <w:r>
              <w:rPr>
                <w:rFonts w:hint="eastAsia" w:ascii="宋体" w:hAnsi="宋体" w:eastAsia="宋体" w:cs="宋体"/>
                <w:color w:val="auto"/>
                <w:kern w:val="0"/>
                <w:sz w:val="24"/>
                <w:szCs w:val="24"/>
                <w:highlight w:val="none"/>
              </w:rPr>
              <w:t>应急管理方案</w:t>
            </w:r>
            <w:r>
              <w:rPr>
                <w:rFonts w:hint="eastAsia" w:ascii="宋体" w:hAnsi="宋体" w:eastAsia="宋体" w:cs="宋体"/>
                <w:color w:val="auto"/>
                <w:kern w:val="0"/>
                <w:sz w:val="24"/>
                <w:szCs w:val="24"/>
                <w:highlight w:val="none"/>
                <w:lang w:eastAsia="zh-CN"/>
              </w:rPr>
              <w:t>；</w:t>
            </w:r>
          </w:p>
          <w:p w14:paraId="2A3320B1">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评标委员会根据各投标人方案内容</w:t>
            </w:r>
            <w:r>
              <w:rPr>
                <w:rFonts w:hint="eastAsia" w:ascii="宋体" w:hAnsi="宋体" w:eastAsia="宋体" w:cs="宋体"/>
                <w:color w:val="auto"/>
                <w:kern w:val="0"/>
                <w:sz w:val="24"/>
                <w:szCs w:val="24"/>
                <w:highlight w:val="none"/>
                <w:lang w:val="en-US" w:eastAsia="zh-CN"/>
              </w:rPr>
              <w:t>完整性和是否符合本项目实际进行评审，评审内容包含以上6项，</w:t>
            </w:r>
            <w:r>
              <w:rPr>
                <w:rFonts w:hint="eastAsia" w:ascii="宋体" w:hAnsi="宋体" w:eastAsia="宋体" w:cs="宋体"/>
                <w:color w:val="auto"/>
                <w:kern w:val="0"/>
                <w:sz w:val="24"/>
                <w:szCs w:val="24"/>
                <w:highlight w:val="none"/>
              </w:rPr>
              <w:t>项目服务实施方案</w:t>
            </w:r>
            <w:r>
              <w:rPr>
                <w:rFonts w:hint="eastAsia" w:ascii="宋体" w:hAnsi="宋体" w:eastAsia="宋体" w:cs="宋体"/>
                <w:color w:val="auto"/>
                <w:kern w:val="0"/>
                <w:sz w:val="24"/>
                <w:szCs w:val="24"/>
                <w:highlight w:val="none"/>
                <w:lang w:val="en-US" w:eastAsia="zh-CN"/>
              </w:rPr>
              <w:t>中6小项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完整且符合项目实际得18分，每缺失1小项内容或内容与项目无关扣3分，</w:t>
            </w:r>
            <w:r>
              <w:rPr>
                <w:rFonts w:hint="eastAsia" w:ascii="宋体" w:hAnsi="宋体" w:eastAsia="宋体" w:cs="宋体"/>
                <w:kern w:val="0"/>
                <w:sz w:val="24"/>
                <w:szCs w:val="24"/>
                <w:highlight w:val="none"/>
                <w:lang w:val="en-US" w:eastAsia="zh-CN"/>
              </w:rPr>
              <w:t>每1小项方案中存在不足或缺陷的，每项扣1分，未提供不得分。 （缺陷是指：与本项目采购标的无关、方案内容前后不一致、前后逻辑错误、涉及的相关规范及标准错误、地点区域错误、内容缺失、只有简单描述无实质性内容）。</w:t>
            </w:r>
          </w:p>
        </w:tc>
        <w:tc>
          <w:tcPr>
            <w:tcW w:w="756" w:type="dxa"/>
            <w:tcBorders>
              <w:top w:val="nil"/>
              <w:left w:val="nil"/>
              <w:bottom w:val="single" w:color="auto" w:sz="4" w:space="0"/>
              <w:right w:val="single" w:color="auto" w:sz="4" w:space="0"/>
            </w:tcBorders>
            <w:noWrap w:val="0"/>
            <w:vAlign w:val="top"/>
          </w:tcPr>
          <w:p w14:paraId="47D659DC">
            <w:pPr>
              <w:keepNext w:val="0"/>
              <w:keepLines w:val="0"/>
              <w:widowControl/>
              <w:suppressLineNumbers w:val="0"/>
              <w:spacing w:before="0" w:beforeAutospacing="0" w:after="0" w:afterAutospacing="0"/>
              <w:ind w:left="0" w:right="0"/>
              <w:jc w:val="left"/>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　</w:t>
            </w:r>
          </w:p>
        </w:tc>
      </w:tr>
      <w:tr w14:paraId="01B6199A">
        <w:tblPrEx>
          <w:tblCellMar>
            <w:top w:w="0" w:type="dxa"/>
            <w:left w:w="108" w:type="dxa"/>
            <w:bottom w:w="0" w:type="dxa"/>
            <w:right w:w="108" w:type="dxa"/>
          </w:tblCellMar>
        </w:tblPrEx>
        <w:trPr>
          <w:trHeight w:val="1833" w:hRule="atLeast"/>
          <w:jc w:val="center"/>
        </w:trPr>
        <w:tc>
          <w:tcPr>
            <w:tcW w:w="941" w:type="dxa"/>
            <w:vMerge w:val="continue"/>
            <w:tcBorders>
              <w:left w:val="single" w:color="auto" w:sz="4" w:space="0"/>
              <w:right w:val="single" w:color="auto" w:sz="4" w:space="0"/>
            </w:tcBorders>
            <w:noWrap w:val="0"/>
            <w:vAlign w:val="center"/>
          </w:tcPr>
          <w:p w14:paraId="6F2FD213">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rPr>
            </w:pPr>
          </w:p>
        </w:tc>
        <w:tc>
          <w:tcPr>
            <w:tcW w:w="856" w:type="dxa"/>
            <w:tcBorders>
              <w:top w:val="nil"/>
              <w:left w:val="nil"/>
              <w:bottom w:val="single" w:color="auto" w:sz="4" w:space="0"/>
              <w:right w:val="single" w:color="auto" w:sz="4" w:space="0"/>
            </w:tcBorders>
            <w:noWrap w:val="0"/>
            <w:vAlign w:val="center"/>
          </w:tcPr>
          <w:p w14:paraId="5D6E16CC">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售后服务</w:t>
            </w:r>
            <w:r>
              <w:rPr>
                <w:rFonts w:hint="eastAsia" w:ascii="宋体" w:hAnsi="宋体" w:eastAsia="宋体" w:cs="宋体"/>
                <w:color w:val="auto"/>
                <w:kern w:val="0"/>
                <w:sz w:val="24"/>
                <w:szCs w:val="24"/>
                <w:highlight w:val="none"/>
                <w:lang w:val="en-US" w:eastAsia="zh-CN"/>
              </w:rPr>
              <w:t>方案（10分）</w:t>
            </w:r>
          </w:p>
        </w:tc>
        <w:tc>
          <w:tcPr>
            <w:tcW w:w="6606" w:type="dxa"/>
            <w:tcBorders>
              <w:top w:val="nil"/>
              <w:left w:val="nil"/>
              <w:bottom w:val="single" w:color="auto" w:sz="4" w:space="0"/>
              <w:right w:val="single" w:color="auto" w:sz="4" w:space="0"/>
            </w:tcBorders>
            <w:noWrap w:val="0"/>
            <w:vAlign w:val="center"/>
          </w:tcPr>
          <w:p w14:paraId="7929427D">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针对本项目制定的合理完善的售后服务方案（包括</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产品的故障处理及响应时间、</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验收</w:t>
            </w:r>
            <w:r>
              <w:rPr>
                <w:rFonts w:hint="eastAsia" w:ascii="宋体" w:hAnsi="宋体" w:eastAsia="宋体" w:cs="宋体"/>
                <w:color w:val="auto"/>
                <w:kern w:val="0"/>
                <w:sz w:val="24"/>
                <w:szCs w:val="24"/>
                <w:highlight w:val="none"/>
                <w:lang w:val="en-US" w:eastAsia="zh-CN"/>
              </w:rPr>
              <w:t>程序</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质保期外服务方式、</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优惠承诺</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售后服务网点证明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5.售后应急预案</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eastAsia="zh-CN"/>
              </w:rPr>
              <w:t>）</w:t>
            </w:r>
          </w:p>
          <w:p w14:paraId="77E9C327">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rPr>
              <w:t>评标委员会根据各投标人售后服务方案内容</w:t>
            </w:r>
            <w:r>
              <w:rPr>
                <w:rFonts w:hint="eastAsia" w:ascii="宋体" w:hAnsi="宋体" w:eastAsia="宋体" w:cs="宋体"/>
                <w:color w:val="auto"/>
                <w:kern w:val="0"/>
                <w:sz w:val="24"/>
                <w:szCs w:val="24"/>
                <w:highlight w:val="none"/>
                <w:lang w:val="en-US" w:eastAsia="zh-CN"/>
              </w:rPr>
              <w:t>完整性及是否符合本项目实际进行评审，评审内容必须包含以上5项，每1小项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符合项目实际得2分，每缺失一项内容或内容与项目无关扣2分。</w:t>
            </w:r>
            <w:r>
              <w:rPr>
                <w:rFonts w:hint="eastAsia" w:ascii="宋体" w:hAnsi="宋体" w:eastAsia="宋体" w:cs="宋体"/>
                <w:kern w:val="0"/>
                <w:sz w:val="24"/>
                <w:szCs w:val="24"/>
                <w:highlight w:val="none"/>
                <w:lang w:val="en-US" w:eastAsia="zh-CN"/>
              </w:rPr>
              <w:t>每1小项方案中存在不足或缺陷的，每项扣1分，未提供不得分。 （缺陷是指：与本项目采购标的无关、方案内容前后不一致、前后逻辑错误、涉及的相关规范及标准错误、地点区域错误、内容缺失、只有简单描述无实质性内容）。</w:t>
            </w:r>
          </w:p>
        </w:tc>
        <w:tc>
          <w:tcPr>
            <w:tcW w:w="756" w:type="dxa"/>
            <w:tcBorders>
              <w:top w:val="nil"/>
              <w:left w:val="nil"/>
              <w:bottom w:val="single" w:color="auto" w:sz="4" w:space="0"/>
              <w:right w:val="single" w:color="auto" w:sz="4" w:space="0"/>
            </w:tcBorders>
            <w:noWrap w:val="0"/>
            <w:vAlign w:val="top"/>
          </w:tcPr>
          <w:p w14:paraId="2C4798DB">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4"/>
                <w:szCs w:val="24"/>
                <w:highlight w:val="none"/>
              </w:rPr>
            </w:pPr>
          </w:p>
        </w:tc>
      </w:tr>
      <w:tr w14:paraId="44ECC0BC">
        <w:tblPrEx>
          <w:tblCellMar>
            <w:top w:w="0" w:type="dxa"/>
            <w:left w:w="108" w:type="dxa"/>
            <w:bottom w:w="0" w:type="dxa"/>
            <w:right w:w="108" w:type="dxa"/>
          </w:tblCellMar>
        </w:tblPrEx>
        <w:trPr>
          <w:trHeight w:val="1377" w:hRule="atLeast"/>
          <w:jc w:val="center"/>
        </w:trPr>
        <w:tc>
          <w:tcPr>
            <w:tcW w:w="941" w:type="dxa"/>
            <w:vMerge w:val="continue"/>
            <w:tcBorders>
              <w:left w:val="single" w:color="auto" w:sz="4" w:space="0"/>
              <w:bottom w:val="single" w:color="auto" w:sz="4" w:space="0"/>
              <w:right w:val="single" w:color="auto" w:sz="4" w:space="0"/>
            </w:tcBorders>
            <w:noWrap w:val="0"/>
            <w:vAlign w:val="center"/>
          </w:tcPr>
          <w:p w14:paraId="5FB88A4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E23A126">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培训方案</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c>
          <w:tcPr>
            <w:tcW w:w="6606" w:type="dxa"/>
            <w:tcBorders>
              <w:top w:val="single" w:color="auto" w:sz="4" w:space="0"/>
              <w:left w:val="single" w:color="auto" w:sz="4" w:space="0"/>
              <w:bottom w:val="single" w:color="auto" w:sz="4" w:space="0"/>
              <w:right w:val="single" w:color="auto" w:sz="4" w:space="0"/>
            </w:tcBorders>
            <w:noWrap w:val="0"/>
            <w:vAlign w:val="center"/>
          </w:tcPr>
          <w:p w14:paraId="494EA71C">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根据各供应商培训方案进行综合评分。方案内容包括但不限于培训目标、培训对象、培训方式、培训内容、培训队伍、培训实施与管理，清晰展示出各培训课程内容、课时内容等。</w:t>
            </w:r>
          </w:p>
          <w:p w14:paraId="5320B93B">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评标委员会根据各供应商方案</w:t>
            </w:r>
            <w:r>
              <w:rPr>
                <w:rFonts w:hint="eastAsia" w:ascii="宋体" w:hAnsi="宋体" w:eastAsia="宋体" w:cs="宋体"/>
                <w:color w:val="auto"/>
                <w:kern w:val="0"/>
                <w:sz w:val="24"/>
                <w:szCs w:val="24"/>
                <w:highlight w:val="none"/>
                <w:lang w:val="en-US" w:eastAsia="zh-CN"/>
              </w:rPr>
              <w:t>完整性及是否符合本项目实际进行评审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评审内容必须包含以上6项，每1小项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符合项目实际得0.5分，每缺失一项内容或内容与项目无关扣0.5分。</w:t>
            </w:r>
          </w:p>
        </w:tc>
        <w:tc>
          <w:tcPr>
            <w:tcW w:w="756" w:type="dxa"/>
            <w:tcBorders>
              <w:top w:val="nil"/>
              <w:left w:val="nil"/>
              <w:bottom w:val="single" w:color="auto" w:sz="4" w:space="0"/>
              <w:right w:val="single" w:color="auto" w:sz="4" w:space="0"/>
            </w:tcBorders>
            <w:noWrap w:val="0"/>
            <w:vAlign w:val="top"/>
          </w:tcPr>
          <w:p w14:paraId="1BD4E8AC">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4"/>
                <w:szCs w:val="24"/>
                <w:highlight w:val="none"/>
              </w:rPr>
            </w:pPr>
          </w:p>
        </w:tc>
      </w:tr>
      <w:tr w14:paraId="3CD174C8">
        <w:tblPrEx>
          <w:tblCellMar>
            <w:top w:w="0" w:type="dxa"/>
            <w:left w:w="108" w:type="dxa"/>
            <w:bottom w:w="0" w:type="dxa"/>
            <w:right w:w="108" w:type="dxa"/>
          </w:tblCellMar>
        </w:tblPrEx>
        <w:trPr>
          <w:trHeight w:val="466" w:hRule="atLeast"/>
          <w:jc w:val="center"/>
        </w:trPr>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3EBF3C9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商务部分（</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分）</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56F84E8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业绩（</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分）</w:t>
            </w:r>
          </w:p>
        </w:tc>
        <w:tc>
          <w:tcPr>
            <w:tcW w:w="6606" w:type="dxa"/>
            <w:tcBorders>
              <w:top w:val="single" w:color="auto" w:sz="4" w:space="0"/>
              <w:left w:val="single" w:color="auto" w:sz="4" w:space="0"/>
              <w:bottom w:val="single" w:color="auto" w:sz="4" w:space="0"/>
              <w:right w:val="single" w:color="auto" w:sz="4" w:space="0"/>
            </w:tcBorders>
            <w:noWrap w:val="0"/>
            <w:vAlign w:val="center"/>
          </w:tcPr>
          <w:p w14:paraId="0218F702">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投标人提供近三年与本项目</w:t>
            </w:r>
            <w:r>
              <w:rPr>
                <w:rFonts w:hint="eastAsia" w:ascii="宋体" w:hAnsi="宋体" w:cs="宋体"/>
                <w:color w:val="auto"/>
                <w:kern w:val="0"/>
                <w:sz w:val="24"/>
                <w:szCs w:val="24"/>
                <w:highlight w:val="none"/>
                <w:lang w:val="en-US" w:eastAsia="zh-CN"/>
              </w:rPr>
              <w:t>类似</w:t>
            </w:r>
            <w:r>
              <w:rPr>
                <w:rFonts w:hint="eastAsia" w:ascii="宋体" w:hAnsi="宋体" w:eastAsia="宋体" w:cs="宋体"/>
                <w:color w:val="auto"/>
                <w:kern w:val="0"/>
                <w:sz w:val="24"/>
                <w:szCs w:val="24"/>
                <w:highlight w:val="none"/>
              </w:rPr>
              <w:t>的项目业绩（</w:t>
            </w:r>
            <w:r>
              <w:rPr>
                <w:rFonts w:hint="eastAsia" w:ascii="宋体" w:hAnsi="宋体" w:eastAsia="宋体" w:cs="宋体"/>
                <w:color w:val="auto"/>
                <w:kern w:val="0"/>
                <w:sz w:val="24"/>
                <w:szCs w:val="24"/>
                <w:highlight w:val="none"/>
                <w:lang w:val="en-US" w:eastAsia="zh-CN"/>
              </w:rPr>
              <w:t>具备</w:t>
            </w:r>
            <w:r>
              <w:rPr>
                <w:rFonts w:hint="eastAsia" w:ascii="宋体" w:hAnsi="宋体" w:eastAsia="宋体" w:cs="宋体"/>
                <w:color w:val="auto"/>
                <w:kern w:val="0"/>
                <w:sz w:val="24"/>
                <w:szCs w:val="24"/>
                <w:highlight w:val="none"/>
              </w:rPr>
              <w:t>中标通知书</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合同</w:t>
            </w:r>
            <w:r>
              <w:rPr>
                <w:rFonts w:hint="eastAsia" w:ascii="宋体" w:hAnsi="宋体" w:eastAsia="宋体" w:cs="宋体"/>
                <w:color w:val="auto"/>
                <w:kern w:val="0"/>
                <w:sz w:val="24"/>
                <w:szCs w:val="24"/>
                <w:highlight w:val="none"/>
                <w:lang w:val="en-US" w:eastAsia="zh-CN"/>
              </w:rPr>
              <w:t>及发票复印件为一个有效业绩，近三年指2023年1月1日至投标截止日，以合同签订时间为准</w:t>
            </w:r>
            <w:r>
              <w:rPr>
                <w:rFonts w:hint="eastAsia" w:ascii="宋体" w:hAnsi="宋体" w:eastAsia="宋体" w:cs="宋体"/>
                <w:color w:val="auto"/>
                <w:kern w:val="0"/>
                <w:sz w:val="24"/>
                <w:szCs w:val="24"/>
                <w:highlight w:val="none"/>
              </w:rPr>
              <w:t>）。提供一份</w:t>
            </w:r>
            <w:r>
              <w:rPr>
                <w:rFonts w:hint="eastAsia" w:ascii="宋体" w:hAnsi="宋体" w:eastAsia="宋体" w:cs="宋体"/>
                <w:color w:val="auto"/>
                <w:kern w:val="0"/>
                <w:sz w:val="24"/>
                <w:szCs w:val="24"/>
                <w:highlight w:val="none"/>
                <w:lang w:val="en-US" w:eastAsia="zh-CN"/>
              </w:rPr>
              <w:t>业绩</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分，最多</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分，未提供不得分。</w:t>
            </w:r>
          </w:p>
        </w:tc>
        <w:tc>
          <w:tcPr>
            <w:tcW w:w="756" w:type="dxa"/>
            <w:tcBorders>
              <w:top w:val="nil"/>
              <w:left w:val="nil"/>
              <w:bottom w:val="single" w:color="auto" w:sz="4" w:space="0"/>
              <w:right w:val="single" w:color="auto" w:sz="4" w:space="0"/>
            </w:tcBorders>
            <w:noWrap w:val="0"/>
            <w:vAlign w:val="top"/>
          </w:tcPr>
          <w:p w14:paraId="584621C3">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4"/>
                <w:szCs w:val="24"/>
                <w:highlight w:val="none"/>
              </w:rPr>
            </w:pPr>
          </w:p>
        </w:tc>
      </w:tr>
      <w:tr w14:paraId="4E4DD887">
        <w:tblPrEx>
          <w:tblCellMar>
            <w:top w:w="0" w:type="dxa"/>
            <w:left w:w="108" w:type="dxa"/>
            <w:bottom w:w="0" w:type="dxa"/>
            <w:right w:w="108" w:type="dxa"/>
          </w:tblCellMar>
        </w:tblPrEx>
        <w:trPr>
          <w:trHeight w:val="693" w:hRule="atLeast"/>
          <w:jc w:val="center"/>
        </w:trPr>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3C53FF08">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0561017">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质保期（</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6606" w:type="dxa"/>
            <w:tcBorders>
              <w:top w:val="single" w:color="auto" w:sz="4" w:space="0"/>
              <w:left w:val="single" w:color="auto" w:sz="4" w:space="0"/>
              <w:bottom w:val="single" w:color="auto" w:sz="4" w:space="0"/>
              <w:right w:val="single" w:color="auto" w:sz="4" w:space="0"/>
            </w:tcBorders>
            <w:noWrap w:val="0"/>
            <w:vAlign w:val="center"/>
          </w:tcPr>
          <w:p w14:paraId="391A665B">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提供</w:t>
            </w:r>
            <w:r>
              <w:rPr>
                <w:rFonts w:hint="eastAsia" w:ascii="宋体" w:hAnsi="宋体" w:eastAsia="宋体" w:cs="宋体"/>
                <w:color w:val="auto"/>
                <w:kern w:val="0"/>
                <w:sz w:val="24"/>
                <w:szCs w:val="24"/>
                <w:highlight w:val="none"/>
                <w:lang w:val="en-US" w:eastAsia="zh-CN"/>
              </w:rPr>
              <w:t>质保</w:t>
            </w:r>
            <w:r>
              <w:rPr>
                <w:rFonts w:hint="eastAsia" w:ascii="宋体" w:hAnsi="宋体" w:eastAsia="宋体" w:cs="宋体"/>
                <w:color w:val="auto"/>
                <w:kern w:val="0"/>
                <w:sz w:val="24"/>
                <w:szCs w:val="24"/>
                <w:highlight w:val="none"/>
                <w:lang w:eastAsia="zh-CN"/>
              </w:rPr>
              <w:t>承诺书，</w:t>
            </w:r>
            <w:r>
              <w:rPr>
                <w:rFonts w:hint="eastAsia" w:ascii="宋体" w:hAnsi="宋体" w:eastAsia="宋体" w:cs="宋体"/>
                <w:color w:val="auto"/>
                <w:kern w:val="0"/>
                <w:sz w:val="24"/>
                <w:szCs w:val="24"/>
                <w:highlight w:val="none"/>
                <w:lang w:val="en-US" w:eastAsia="zh-CN"/>
              </w:rPr>
              <w:t>质保期满足招标文件得1分。</w:t>
            </w:r>
          </w:p>
        </w:tc>
        <w:tc>
          <w:tcPr>
            <w:tcW w:w="756" w:type="dxa"/>
            <w:tcBorders>
              <w:top w:val="single" w:color="auto" w:sz="4" w:space="0"/>
              <w:left w:val="single" w:color="auto" w:sz="4" w:space="0"/>
              <w:bottom w:val="single" w:color="auto" w:sz="4" w:space="0"/>
              <w:right w:val="single" w:color="auto" w:sz="4" w:space="0"/>
            </w:tcBorders>
            <w:noWrap w:val="0"/>
            <w:vAlign w:val="top"/>
          </w:tcPr>
          <w:p w14:paraId="040D00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p>
        </w:tc>
      </w:tr>
      <w:tr w14:paraId="7D28D6D1">
        <w:tblPrEx>
          <w:tblCellMar>
            <w:top w:w="0" w:type="dxa"/>
            <w:left w:w="108" w:type="dxa"/>
            <w:bottom w:w="0" w:type="dxa"/>
            <w:right w:w="108" w:type="dxa"/>
          </w:tblCellMar>
        </w:tblPrEx>
        <w:trPr>
          <w:trHeight w:val="363" w:hRule="atLeast"/>
          <w:jc w:val="center"/>
        </w:trPr>
        <w:tc>
          <w:tcPr>
            <w:tcW w:w="8403" w:type="dxa"/>
            <w:gridSpan w:val="3"/>
            <w:tcBorders>
              <w:top w:val="single" w:color="auto" w:sz="4" w:space="0"/>
              <w:left w:val="single" w:color="auto" w:sz="4" w:space="0"/>
              <w:bottom w:val="single" w:color="auto" w:sz="4" w:space="0"/>
              <w:right w:val="single" w:color="auto" w:sz="4" w:space="0"/>
            </w:tcBorders>
            <w:noWrap/>
            <w:vAlign w:val="center"/>
          </w:tcPr>
          <w:p w14:paraId="622C16D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最后得分</w:t>
            </w:r>
          </w:p>
        </w:tc>
        <w:tc>
          <w:tcPr>
            <w:tcW w:w="756" w:type="dxa"/>
            <w:tcBorders>
              <w:top w:val="single" w:color="auto" w:sz="4" w:space="0"/>
              <w:left w:val="nil"/>
              <w:bottom w:val="single" w:color="auto" w:sz="4" w:space="0"/>
              <w:right w:val="single" w:color="auto" w:sz="4" w:space="0"/>
            </w:tcBorders>
            <w:noWrap/>
            <w:vAlign w:val="center"/>
          </w:tcPr>
          <w:p w14:paraId="33F0B6CB">
            <w:pPr>
              <w:keepNext w:val="0"/>
              <w:keepLines w:val="0"/>
              <w:widowControl/>
              <w:suppressLineNumbers w:val="0"/>
              <w:spacing w:before="0" w:beforeAutospacing="0" w:after="0" w:afterAutospacing="0"/>
              <w:ind w:left="0" w:right="0"/>
              <w:jc w:val="left"/>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　</w:t>
            </w:r>
          </w:p>
        </w:tc>
      </w:tr>
    </w:tbl>
    <w:p w14:paraId="6D9C113C">
      <w:pPr>
        <w:pStyle w:val="47"/>
        <w:tabs>
          <w:tab w:val="clear" w:pos="567"/>
        </w:tabs>
        <w:spacing w:before="0" w:line="240" w:lineRule="auto"/>
        <w:jc w:val="both"/>
        <w:rPr>
          <w:rFonts w:hint="eastAsia" w:ascii="宋体" w:hAnsi="宋体" w:eastAsia="宋体" w:cs="宋体"/>
          <w:b/>
          <w:color w:val="000000"/>
          <w:spacing w:val="-2"/>
          <w:highlight w:val="none"/>
        </w:rPr>
      </w:pPr>
    </w:p>
    <w:p w14:paraId="3C4AE13D">
      <w:pPr>
        <w:pStyle w:val="47"/>
        <w:tabs>
          <w:tab w:val="clear" w:pos="567"/>
        </w:tabs>
        <w:spacing w:before="0" w:line="240" w:lineRule="auto"/>
        <w:ind w:firstLine="474" w:firstLineChars="200"/>
        <w:jc w:val="center"/>
        <w:rPr>
          <w:rFonts w:hint="eastAsia" w:ascii="宋体" w:hAnsi="宋体" w:eastAsia="宋体" w:cs="宋体"/>
          <w:b/>
          <w:color w:val="000000"/>
          <w:spacing w:val="-2"/>
          <w:highlight w:val="none"/>
        </w:rPr>
      </w:pPr>
    </w:p>
    <w:p w14:paraId="4B276D9B">
      <w:pPr>
        <w:rPr>
          <w:rFonts w:hint="eastAsia" w:ascii="宋体" w:hAnsi="宋体" w:eastAsia="宋体" w:cs="宋体"/>
          <w:b/>
          <w:sz w:val="52"/>
          <w:szCs w:val="52"/>
          <w:highlight w:val="none"/>
          <w:lang w:val="en-US" w:eastAsia="zh-CN"/>
        </w:rPr>
      </w:pPr>
      <w:r>
        <w:rPr>
          <w:rFonts w:hint="eastAsia" w:ascii="宋体" w:hAnsi="宋体" w:eastAsia="宋体" w:cs="宋体"/>
          <w:b/>
          <w:sz w:val="52"/>
          <w:szCs w:val="52"/>
          <w:highlight w:val="none"/>
          <w:lang w:val="en-US" w:eastAsia="zh-CN"/>
        </w:rPr>
        <w:br w:type="page"/>
      </w:r>
    </w:p>
    <w:p w14:paraId="745C62AD">
      <w:pPr>
        <w:pStyle w:val="94"/>
        <w:rPr>
          <w:rFonts w:hint="eastAsia" w:ascii="宋体" w:hAnsi="宋体" w:eastAsia="宋体" w:cs="宋体"/>
          <w:highlight w:val="none"/>
        </w:rPr>
      </w:pPr>
      <w:bookmarkStart w:id="383" w:name="_Hlt487972895"/>
      <w:bookmarkEnd w:id="383"/>
      <w:bookmarkStart w:id="384" w:name="_Toc26032"/>
      <w:bookmarkEnd w:id="384"/>
    </w:p>
    <w:p w14:paraId="3EC79B53">
      <w:pPr>
        <w:pStyle w:val="2"/>
        <w:tabs>
          <w:tab w:val="left" w:pos="0"/>
        </w:tabs>
        <w:spacing w:before="0" w:after="0" w:line="360" w:lineRule="auto"/>
        <w:ind w:firstLine="2249" w:firstLineChars="700"/>
        <w:jc w:val="both"/>
        <w:rPr>
          <w:rFonts w:hint="eastAsia" w:ascii="宋体" w:hAnsi="宋体" w:eastAsia="宋体" w:cs="宋体"/>
          <w:highlight w:val="none"/>
        </w:rPr>
      </w:pPr>
      <w:bookmarkStart w:id="385" w:name="_Toc23659"/>
      <w:r>
        <w:rPr>
          <w:rFonts w:hint="eastAsia" w:ascii="宋体" w:hAnsi="宋体" w:eastAsia="宋体" w:cs="宋体"/>
          <w:highlight w:val="none"/>
        </w:rPr>
        <w:t>第7章  政府采购合同</w:t>
      </w:r>
      <w:bookmarkEnd w:id="385"/>
      <w:bookmarkStart w:id="386" w:name="_Toc216513788"/>
      <w:bookmarkStart w:id="387" w:name="_Toc487900382"/>
    </w:p>
    <w:bookmarkEnd w:id="386"/>
    <w:bookmarkEnd w:id="387"/>
    <w:p w14:paraId="507AF289">
      <w:pPr>
        <w:pStyle w:val="9"/>
        <w:spacing w:line="360" w:lineRule="auto"/>
        <w:ind w:left="1080" w:leftChars="257" w:hanging="540"/>
        <w:rPr>
          <w:rFonts w:hint="eastAsia" w:ascii="宋体" w:hAnsi="宋体" w:eastAsia="宋体" w:cs="宋体"/>
          <w:sz w:val="28"/>
          <w:highlight w:val="none"/>
        </w:rPr>
      </w:pPr>
    </w:p>
    <w:p w14:paraId="77C10CBA">
      <w:pPr>
        <w:pStyle w:val="18"/>
        <w:jc w:val="center"/>
        <w:rPr>
          <w:rFonts w:hint="eastAsia" w:ascii="宋体" w:hAnsi="宋体" w:eastAsia="宋体" w:cs="宋体"/>
          <w:b/>
          <w:bCs/>
          <w:sz w:val="24"/>
          <w:highlight w:val="none"/>
        </w:rPr>
      </w:pPr>
      <w:r>
        <w:rPr>
          <w:rFonts w:hint="eastAsia" w:ascii="宋体" w:hAnsi="宋体" w:eastAsia="宋体" w:cs="宋体"/>
          <w:b/>
          <w:bCs/>
          <w:sz w:val="24"/>
          <w:highlight w:val="none"/>
        </w:rPr>
        <w:t>（注：本合同仅为合同的参考文本，合同签订双方可根据项目的具体要求进行修订，但不得偏离实质性条款。）</w:t>
      </w:r>
    </w:p>
    <w:p w14:paraId="29C06F46">
      <w:pPr>
        <w:rPr>
          <w:rFonts w:hint="eastAsia" w:ascii="宋体" w:hAnsi="宋体" w:eastAsia="宋体" w:cs="宋体"/>
          <w:b/>
          <w:bCs/>
          <w:sz w:val="24"/>
          <w:highlight w:val="none"/>
        </w:rPr>
      </w:pPr>
    </w:p>
    <w:p w14:paraId="0E05177C">
      <w:pPr>
        <w:spacing w:line="360" w:lineRule="auto"/>
        <w:ind w:left="-567" w:leftChars="-270" w:firstLine="540"/>
        <w:jc w:val="center"/>
        <w:rPr>
          <w:rFonts w:hint="eastAsia" w:ascii="宋体" w:hAnsi="宋体" w:eastAsia="宋体" w:cs="宋体"/>
          <w:kern w:val="44"/>
          <w:sz w:val="28"/>
          <w:szCs w:val="28"/>
          <w:highlight w:val="none"/>
        </w:rPr>
      </w:pPr>
      <w:r>
        <w:rPr>
          <w:rFonts w:hint="eastAsia" w:ascii="宋体" w:hAnsi="宋体" w:eastAsia="宋体" w:cs="宋体"/>
          <w:kern w:val="44"/>
          <w:sz w:val="28"/>
          <w:szCs w:val="28"/>
          <w:highlight w:val="none"/>
        </w:rPr>
        <w:t>请参照货物类政府采购合同参考范本订立采购合同。</w:t>
      </w:r>
    </w:p>
    <w:p w14:paraId="31551CD3">
      <w:pPr>
        <w:spacing w:line="360" w:lineRule="auto"/>
        <w:rPr>
          <w:rFonts w:hint="eastAsia" w:ascii="宋体" w:hAnsi="宋体" w:eastAsia="宋体" w:cs="宋体"/>
          <w:sz w:val="28"/>
          <w:szCs w:val="28"/>
          <w:highlight w:val="none"/>
        </w:rPr>
      </w:pPr>
    </w:p>
    <w:p w14:paraId="363A627D">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合同编号：</w:t>
      </w:r>
    </w:p>
    <w:p w14:paraId="2B850361">
      <w:pPr>
        <w:spacing w:line="360" w:lineRule="auto"/>
        <w:rPr>
          <w:rFonts w:hint="eastAsia" w:ascii="宋体" w:hAnsi="宋体" w:eastAsia="宋体" w:cs="宋体"/>
          <w:b/>
          <w:bCs/>
          <w:sz w:val="28"/>
          <w:szCs w:val="28"/>
          <w:highlight w:val="none"/>
        </w:rPr>
      </w:pPr>
    </w:p>
    <w:p w14:paraId="779DE5EC">
      <w:pPr>
        <w:spacing w:line="360" w:lineRule="auto"/>
        <w:jc w:val="center"/>
        <w:outlineLvl w:val="0"/>
        <w:rPr>
          <w:rFonts w:hint="eastAsia" w:ascii="宋体" w:hAnsi="宋体" w:eastAsia="宋体" w:cs="宋体"/>
          <w:b/>
          <w:bCs/>
          <w:sz w:val="28"/>
          <w:szCs w:val="28"/>
          <w:highlight w:val="none"/>
        </w:rPr>
      </w:pPr>
      <w:bookmarkStart w:id="388" w:name="_Toc23874"/>
      <w:bookmarkStart w:id="389" w:name="_Toc2691"/>
      <w:bookmarkStart w:id="390" w:name="_Toc12783"/>
      <w:bookmarkStart w:id="391" w:name="_Toc11640"/>
      <w:bookmarkStart w:id="392" w:name="_Toc28076"/>
      <w:bookmarkStart w:id="393" w:name="_Toc13658"/>
      <w:r>
        <w:rPr>
          <w:rFonts w:hint="eastAsia" w:ascii="宋体" w:hAnsi="宋体" w:eastAsia="宋体" w:cs="宋体"/>
          <w:b/>
          <w:bCs/>
          <w:sz w:val="28"/>
          <w:szCs w:val="28"/>
          <w:highlight w:val="none"/>
        </w:rPr>
        <w:t>政府采购合同</w:t>
      </w:r>
      <w:bookmarkEnd w:id="388"/>
      <w:bookmarkEnd w:id="389"/>
      <w:bookmarkEnd w:id="390"/>
      <w:bookmarkEnd w:id="391"/>
      <w:bookmarkEnd w:id="392"/>
      <w:bookmarkEnd w:id="393"/>
    </w:p>
    <w:p w14:paraId="310B16F8">
      <w:pPr>
        <w:pStyle w:val="70"/>
        <w:spacing w:line="360" w:lineRule="auto"/>
        <w:ind w:firstLine="0"/>
        <w:rPr>
          <w:rFonts w:hint="eastAsia" w:ascii="宋体" w:hAnsi="宋体" w:eastAsia="宋体" w:cs="宋体"/>
          <w:sz w:val="28"/>
          <w:szCs w:val="28"/>
          <w:highlight w:val="none"/>
        </w:rPr>
      </w:pPr>
    </w:p>
    <w:p w14:paraId="20A2ED3B">
      <w:pPr>
        <w:pStyle w:val="70"/>
        <w:spacing w:line="360" w:lineRule="auto"/>
        <w:ind w:firstLine="0"/>
        <w:rPr>
          <w:rFonts w:hint="eastAsia" w:ascii="宋体" w:hAnsi="宋体" w:eastAsia="宋体" w:cs="宋体"/>
          <w:sz w:val="28"/>
          <w:szCs w:val="28"/>
          <w:highlight w:val="none"/>
        </w:rPr>
      </w:pPr>
    </w:p>
    <w:p w14:paraId="1E0FB1BB">
      <w:pPr>
        <w:pStyle w:val="70"/>
        <w:spacing w:line="360" w:lineRule="auto"/>
        <w:ind w:firstLine="0"/>
        <w:jc w:val="center"/>
        <w:outlineLvl w:val="0"/>
        <w:rPr>
          <w:rFonts w:hint="eastAsia" w:ascii="宋体" w:hAnsi="宋体" w:eastAsia="宋体" w:cs="宋体"/>
          <w:b/>
          <w:bCs/>
          <w:sz w:val="28"/>
          <w:szCs w:val="28"/>
          <w:highlight w:val="none"/>
        </w:rPr>
      </w:pPr>
      <w:bookmarkStart w:id="394" w:name="_Toc7173"/>
      <w:bookmarkStart w:id="395" w:name="_Toc5404"/>
      <w:bookmarkStart w:id="396" w:name="_Toc30493"/>
      <w:bookmarkStart w:id="397" w:name="_Toc1212"/>
      <w:bookmarkStart w:id="398" w:name="_Toc21311"/>
      <w:bookmarkStart w:id="399" w:name="_Toc23162"/>
      <w:r>
        <w:rPr>
          <w:rFonts w:hint="eastAsia" w:ascii="宋体" w:hAnsi="宋体" w:eastAsia="宋体" w:cs="宋体"/>
          <w:b/>
          <w:bCs/>
          <w:sz w:val="28"/>
          <w:szCs w:val="28"/>
          <w:highlight w:val="none"/>
        </w:rPr>
        <w:t>第一部分合同书</w:t>
      </w:r>
      <w:bookmarkEnd w:id="394"/>
      <w:bookmarkEnd w:id="395"/>
      <w:bookmarkEnd w:id="396"/>
      <w:bookmarkEnd w:id="397"/>
      <w:bookmarkEnd w:id="398"/>
      <w:bookmarkEnd w:id="399"/>
    </w:p>
    <w:p w14:paraId="3DD4C492">
      <w:pPr>
        <w:pStyle w:val="70"/>
        <w:spacing w:line="360" w:lineRule="auto"/>
        <w:ind w:firstLine="0"/>
        <w:rPr>
          <w:rFonts w:hint="eastAsia" w:ascii="宋体" w:hAnsi="宋体" w:eastAsia="宋体" w:cs="宋体"/>
          <w:sz w:val="28"/>
          <w:szCs w:val="28"/>
          <w:highlight w:val="none"/>
        </w:rPr>
      </w:pPr>
    </w:p>
    <w:p w14:paraId="466FB4FC">
      <w:pPr>
        <w:pStyle w:val="70"/>
        <w:spacing w:line="360" w:lineRule="auto"/>
        <w:ind w:firstLine="0"/>
        <w:rPr>
          <w:rFonts w:hint="eastAsia" w:ascii="宋体" w:hAnsi="宋体" w:eastAsia="宋体" w:cs="宋体"/>
          <w:sz w:val="28"/>
          <w:szCs w:val="28"/>
          <w:highlight w:val="none"/>
        </w:rPr>
      </w:pPr>
    </w:p>
    <w:p w14:paraId="124DF8B7">
      <w:pPr>
        <w:spacing w:before="120" w:line="360" w:lineRule="auto"/>
        <w:rPr>
          <w:rFonts w:hint="eastAsia" w:ascii="宋体" w:hAnsi="宋体" w:eastAsia="宋体" w:cs="宋体"/>
          <w:sz w:val="28"/>
          <w:szCs w:val="28"/>
          <w:highlight w:val="none"/>
        </w:rPr>
      </w:pPr>
    </w:p>
    <w:p w14:paraId="23CB5CFD">
      <w:pPr>
        <w:spacing w:line="400" w:lineRule="atLeast"/>
        <w:ind w:firstLine="1120" w:firstLineChars="4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p>
    <w:p w14:paraId="147E5CFB">
      <w:pPr>
        <w:spacing w:line="360" w:lineRule="auto"/>
        <w:ind w:left="2520" w:hanging="2520" w:hangingChars="900"/>
        <w:jc w:val="left"/>
        <w:rPr>
          <w:rFonts w:hint="eastAsia" w:ascii="宋体" w:hAnsi="宋体" w:eastAsia="宋体" w:cs="宋体"/>
          <w:sz w:val="28"/>
          <w:szCs w:val="28"/>
          <w:highlight w:val="none"/>
          <w:u w:val="single"/>
        </w:rPr>
      </w:pPr>
    </w:p>
    <w:p w14:paraId="527FF6A1">
      <w:pPr>
        <w:spacing w:before="120" w:line="360" w:lineRule="auto"/>
        <w:ind w:left="960"/>
        <w:rPr>
          <w:rFonts w:hint="eastAsia" w:ascii="宋体" w:hAnsi="宋体" w:eastAsia="宋体" w:cs="宋体"/>
          <w:sz w:val="28"/>
          <w:szCs w:val="28"/>
          <w:highlight w:val="none"/>
        </w:rPr>
      </w:pPr>
    </w:p>
    <w:p w14:paraId="32DED790">
      <w:pPr>
        <w:spacing w:line="360" w:lineRule="auto"/>
        <w:rPr>
          <w:rFonts w:hint="eastAsia" w:ascii="宋体" w:hAnsi="宋体" w:eastAsia="宋体" w:cs="宋体"/>
          <w:sz w:val="28"/>
          <w:szCs w:val="28"/>
          <w:highlight w:val="none"/>
        </w:rPr>
      </w:pPr>
    </w:p>
    <w:p w14:paraId="34F34775">
      <w:pPr>
        <w:spacing w:before="120"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甲方：</w:t>
      </w:r>
    </w:p>
    <w:p w14:paraId="241B4220">
      <w:pPr>
        <w:spacing w:before="120"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p>
    <w:p w14:paraId="69F6E214">
      <w:pPr>
        <w:spacing w:before="120"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签订地：</w:t>
      </w:r>
    </w:p>
    <w:p w14:paraId="3559A93C">
      <w:pPr>
        <w:spacing w:before="120"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签订日期：</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日</w:t>
      </w:r>
    </w:p>
    <w:p w14:paraId="21DE9A67">
      <w:pPr>
        <w:autoSpaceDE w:val="0"/>
        <w:autoSpaceDN w:val="0"/>
        <w:adjustRightInd w:val="0"/>
        <w:spacing w:line="360" w:lineRule="auto"/>
        <w:ind w:firstLine="640"/>
        <w:jc w:val="center"/>
        <w:rPr>
          <w:rFonts w:hint="eastAsia" w:ascii="宋体" w:hAnsi="宋体" w:eastAsia="宋体" w:cs="宋体"/>
          <w:sz w:val="28"/>
          <w:szCs w:val="28"/>
          <w:highlight w:val="none"/>
        </w:rPr>
        <w:sectPr>
          <w:headerReference r:id="rId6" w:type="default"/>
          <w:footerReference r:id="rId7" w:type="default"/>
          <w:pgSz w:w="11907" w:h="16840"/>
          <w:pgMar w:top="1474" w:right="1814" w:bottom="1474" w:left="1814" w:header="851" w:footer="851" w:gutter="0"/>
          <w:cols w:space="720" w:num="1"/>
          <w:docGrid w:linePitch="462" w:charSpace="0"/>
        </w:sectPr>
      </w:pPr>
    </w:p>
    <w:p w14:paraId="6FB08EC8">
      <w:pPr>
        <w:rPr>
          <w:rFonts w:hint="eastAsia" w:ascii="宋体" w:hAnsi="宋体" w:eastAsia="宋体" w:cs="宋体"/>
          <w:b/>
          <w:bCs/>
          <w:sz w:val="24"/>
          <w:highlight w:val="none"/>
        </w:rPr>
      </w:pPr>
    </w:p>
    <w:p w14:paraId="3F1BB6DA">
      <w:pPr>
        <w:pStyle w:val="12"/>
        <w:tabs>
          <w:tab w:val="left" w:pos="567"/>
        </w:tabs>
        <w:jc w:val="center"/>
        <w:rPr>
          <w:rFonts w:hint="eastAsia" w:ascii="宋体" w:hAnsi="宋体" w:eastAsia="宋体" w:cs="宋体"/>
          <w:b/>
          <w:bCs/>
          <w:spacing w:val="-20"/>
          <w:kern w:val="44"/>
          <w:sz w:val="48"/>
          <w:szCs w:val="48"/>
          <w:highlight w:val="none"/>
          <w:lang w:eastAsia="zh-CN"/>
        </w:rPr>
      </w:pPr>
      <w:bookmarkStart w:id="400" w:name="_Toc3995"/>
    </w:p>
    <w:p w14:paraId="5FCB2B8D">
      <w:pPr>
        <w:pStyle w:val="12"/>
        <w:tabs>
          <w:tab w:val="left" w:pos="567"/>
        </w:tabs>
        <w:jc w:val="center"/>
        <w:rPr>
          <w:rFonts w:hint="eastAsia" w:ascii="宋体" w:hAnsi="宋体" w:eastAsia="宋体" w:cs="宋体"/>
          <w:b/>
          <w:bCs/>
          <w:spacing w:val="-20"/>
          <w:kern w:val="44"/>
          <w:sz w:val="48"/>
          <w:szCs w:val="48"/>
          <w:highlight w:val="none"/>
          <w:lang w:eastAsia="zh-CN"/>
        </w:rPr>
      </w:pPr>
    </w:p>
    <w:p w14:paraId="7E776AF9">
      <w:pPr>
        <w:pStyle w:val="12"/>
        <w:tabs>
          <w:tab w:val="left" w:pos="567"/>
        </w:tabs>
        <w:jc w:val="center"/>
        <w:rPr>
          <w:rFonts w:hint="eastAsia" w:ascii="宋体" w:hAnsi="宋体" w:eastAsia="宋体" w:cs="宋体"/>
          <w:b/>
          <w:bCs/>
          <w:spacing w:val="-20"/>
          <w:kern w:val="44"/>
          <w:sz w:val="48"/>
          <w:szCs w:val="48"/>
          <w:highlight w:val="none"/>
          <w:lang w:eastAsia="zh-CN"/>
        </w:rPr>
      </w:pPr>
    </w:p>
    <w:p w14:paraId="20E1C199">
      <w:pPr>
        <w:pStyle w:val="12"/>
        <w:tabs>
          <w:tab w:val="left" w:pos="567"/>
        </w:tabs>
        <w:jc w:val="center"/>
        <w:rPr>
          <w:rFonts w:hint="eastAsia" w:ascii="宋体" w:hAnsi="宋体" w:eastAsia="宋体" w:cs="宋体"/>
          <w:b/>
          <w:bCs/>
          <w:spacing w:val="-20"/>
          <w:kern w:val="44"/>
          <w:sz w:val="48"/>
          <w:szCs w:val="48"/>
          <w:highlight w:val="none"/>
          <w:lang w:eastAsia="zh-CN"/>
        </w:rPr>
      </w:pPr>
    </w:p>
    <w:p w14:paraId="0BF5A1FB">
      <w:pPr>
        <w:pStyle w:val="12"/>
        <w:tabs>
          <w:tab w:val="left" w:pos="567"/>
        </w:tabs>
        <w:jc w:val="center"/>
        <w:rPr>
          <w:rFonts w:hint="eastAsia" w:ascii="宋体" w:hAnsi="宋体" w:eastAsia="宋体" w:cs="宋体"/>
          <w:b/>
          <w:bCs/>
          <w:spacing w:val="-20"/>
          <w:kern w:val="44"/>
          <w:sz w:val="48"/>
          <w:szCs w:val="48"/>
          <w:highlight w:val="none"/>
          <w:lang w:eastAsia="zh-CN"/>
        </w:rPr>
      </w:pPr>
    </w:p>
    <w:p w14:paraId="67CF3BB6">
      <w:pPr>
        <w:pStyle w:val="12"/>
        <w:tabs>
          <w:tab w:val="left" w:pos="567"/>
        </w:tabs>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政府采购货物买卖合同</w:t>
      </w:r>
    </w:p>
    <w:p w14:paraId="77CBD969">
      <w:pPr>
        <w:pStyle w:val="12"/>
        <w:tabs>
          <w:tab w:val="left" w:pos="567"/>
        </w:tabs>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（试行）</w:t>
      </w:r>
    </w:p>
    <w:p w14:paraId="3B458D5B">
      <w:pPr>
        <w:rPr>
          <w:rFonts w:hint="eastAsia" w:ascii="宋体" w:hAnsi="宋体" w:eastAsia="宋体" w:cs="宋体"/>
          <w:b/>
          <w:bCs/>
          <w:spacing w:val="-20"/>
          <w:kern w:val="44"/>
          <w:sz w:val="40"/>
          <w:szCs w:val="40"/>
          <w:highlight w:val="none"/>
        </w:rPr>
      </w:pPr>
    </w:p>
    <w:p w14:paraId="4D03B7C1">
      <w:pPr>
        <w:rPr>
          <w:rFonts w:hint="eastAsia" w:ascii="宋体" w:hAnsi="宋体" w:eastAsia="宋体" w:cs="宋体"/>
          <w:b/>
          <w:bCs/>
          <w:spacing w:val="-20"/>
          <w:kern w:val="44"/>
          <w:sz w:val="40"/>
          <w:szCs w:val="40"/>
          <w:highlight w:val="none"/>
        </w:rPr>
      </w:pPr>
    </w:p>
    <w:p w14:paraId="41C0E93B">
      <w:pPr>
        <w:rPr>
          <w:rFonts w:hint="eastAsia" w:ascii="宋体" w:hAnsi="宋体" w:eastAsia="宋体" w:cs="宋体"/>
          <w:b/>
          <w:bCs/>
          <w:spacing w:val="-20"/>
          <w:kern w:val="44"/>
          <w:sz w:val="40"/>
          <w:szCs w:val="40"/>
          <w:highlight w:val="none"/>
        </w:rPr>
      </w:pPr>
    </w:p>
    <w:p w14:paraId="4DF61121">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kern w:val="0"/>
          <w:sz w:val="32"/>
          <w:szCs w:val="32"/>
          <w:highlight w:val="none"/>
        </w:rPr>
        <w:t>项目名称：</w:t>
      </w:r>
      <w:r>
        <w:rPr>
          <w:rFonts w:hint="eastAsia" w:ascii="宋体" w:hAnsi="宋体" w:eastAsia="宋体" w:cs="宋体"/>
          <w:sz w:val="32"/>
          <w:szCs w:val="32"/>
          <w:highlight w:val="none"/>
          <w:u w:val="single"/>
        </w:rPr>
        <w:t xml:space="preserve">                             </w:t>
      </w:r>
    </w:p>
    <w:p w14:paraId="41BD39FD">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合同编号：</w:t>
      </w:r>
      <w:r>
        <w:rPr>
          <w:rFonts w:hint="eastAsia" w:ascii="宋体" w:hAnsi="宋体" w:eastAsia="宋体" w:cs="宋体"/>
          <w:sz w:val="32"/>
          <w:szCs w:val="32"/>
          <w:highlight w:val="none"/>
          <w:u w:val="single"/>
        </w:rPr>
        <w:t xml:space="preserve">                             </w:t>
      </w:r>
    </w:p>
    <w:p w14:paraId="063DB8A4">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甲    方：</w:t>
      </w:r>
      <w:r>
        <w:rPr>
          <w:rFonts w:hint="eastAsia" w:ascii="宋体" w:hAnsi="宋体" w:eastAsia="宋体" w:cs="宋体"/>
          <w:sz w:val="32"/>
          <w:szCs w:val="32"/>
          <w:highlight w:val="none"/>
          <w:u w:val="single"/>
        </w:rPr>
        <w:t xml:space="preserve">                             </w:t>
      </w:r>
    </w:p>
    <w:p w14:paraId="505451EB">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乙    方：</w:t>
      </w:r>
      <w:r>
        <w:rPr>
          <w:rFonts w:hint="eastAsia" w:ascii="宋体" w:hAnsi="宋体" w:eastAsia="宋体" w:cs="宋体"/>
          <w:sz w:val="32"/>
          <w:szCs w:val="32"/>
          <w:highlight w:val="none"/>
          <w:u w:val="single"/>
        </w:rPr>
        <w:t xml:space="preserve">                             </w:t>
      </w:r>
    </w:p>
    <w:p w14:paraId="5906932E">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签订时间：</w:t>
      </w:r>
      <w:r>
        <w:rPr>
          <w:rFonts w:hint="eastAsia" w:ascii="宋体" w:hAnsi="宋体" w:eastAsia="宋体" w:cs="宋体"/>
          <w:sz w:val="32"/>
          <w:szCs w:val="32"/>
          <w:highlight w:val="none"/>
          <w:u w:val="single"/>
        </w:rPr>
        <w:t xml:space="preserve">                             </w:t>
      </w:r>
    </w:p>
    <w:p w14:paraId="00896E17">
      <w:pPr>
        <w:rPr>
          <w:rFonts w:hint="eastAsia" w:ascii="宋体" w:hAnsi="宋体" w:eastAsia="宋体" w:cs="宋体"/>
          <w:highlight w:val="none"/>
        </w:rPr>
      </w:pPr>
    </w:p>
    <w:p w14:paraId="3BDA96E2">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6D30B4DD">
      <w:pPr>
        <w:rPr>
          <w:rFonts w:hint="eastAsia" w:ascii="宋体" w:hAnsi="宋体" w:eastAsia="宋体" w:cs="宋体"/>
          <w:sz w:val="44"/>
          <w:szCs w:val="44"/>
          <w:highlight w:val="none"/>
        </w:rPr>
      </w:pPr>
    </w:p>
    <w:p w14:paraId="35CCB572">
      <w:pPr>
        <w:rPr>
          <w:rFonts w:hint="eastAsia" w:ascii="宋体" w:hAnsi="宋体" w:eastAsia="宋体" w:cs="宋体"/>
          <w:sz w:val="44"/>
          <w:szCs w:val="44"/>
          <w:highlight w:val="none"/>
        </w:rPr>
      </w:pPr>
    </w:p>
    <w:p w14:paraId="7C9A4B56">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使 用 说 明</w:t>
      </w:r>
    </w:p>
    <w:p w14:paraId="36106EBF">
      <w:pPr>
        <w:ind w:firstLine="640" w:firstLineChars="200"/>
        <w:rPr>
          <w:rFonts w:hint="eastAsia" w:ascii="宋体" w:hAnsi="宋体" w:eastAsia="宋体" w:cs="宋体"/>
          <w:sz w:val="32"/>
          <w:szCs w:val="32"/>
          <w:highlight w:val="none"/>
        </w:rPr>
      </w:pPr>
    </w:p>
    <w:p w14:paraId="5F2C9317">
      <w:pPr>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1.本合同标准文本适用于购买现成货物的采购项目，不包括需要供应商定制开发、创新研发的货物采购项目。</w:t>
      </w:r>
    </w:p>
    <w:p w14:paraId="637408EA">
      <w:pPr>
        <w:rPr>
          <w:rFonts w:hint="eastAsia" w:ascii="宋体" w:hAnsi="宋体" w:eastAsia="宋体" w:cs="宋体"/>
          <w:sz w:val="44"/>
          <w:szCs w:val="44"/>
          <w:highlight w:val="none"/>
        </w:rPr>
      </w:pPr>
      <w:r>
        <w:rPr>
          <w:rFonts w:hint="eastAsia" w:ascii="宋体" w:hAnsi="宋体" w:eastAsia="宋体" w:cs="宋体"/>
          <w:sz w:val="44"/>
          <w:szCs w:val="44"/>
          <w:highlight w:val="none"/>
        </w:rPr>
        <w:t xml:space="preserve">   </w:t>
      </w:r>
      <w:r>
        <w:rPr>
          <w:rFonts w:hint="eastAsia" w:ascii="宋体" w:hAnsi="宋体" w:eastAsia="宋体" w:cs="宋体"/>
          <w:sz w:val="32"/>
          <w:szCs w:val="32"/>
          <w:highlight w:val="none"/>
        </w:rPr>
        <w:t>2.本合同标准文本为政府采购货物买卖合同编制提供参考，可以结合采购项目具体情况，对文本作必要的调整修订后使用。</w:t>
      </w:r>
    </w:p>
    <w:p w14:paraId="51EB752E">
      <w:pPr>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3.本合同标准文本各条款中，如涉及填写多家供应商、制造商，多种采购标的、分包主要内容等信息的，可根据采购项目具体情况添加信息项。</w:t>
      </w:r>
    </w:p>
    <w:p w14:paraId="1080B45D">
      <w:pPr>
        <w:ind w:firstLine="880" w:firstLineChars="200"/>
        <w:rPr>
          <w:rFonts w:hint="eastAsia" w:ascii="宋体" w:hAnsi="宋体" w:eastAsia="宋体" w:cs="宋体"/>
          <w:sz w:val="44"/>
          <w:szCs w:val="44"/>
          <w:highlight w:val="none"/>
        </w:rPr>
        <w:sectPr>
          <w:headerReference r:id="rId8" w:type="default"/>
          <w:footerReference r:id="rId9" w:type="default"/>
          <w:pgSz w:w="11906" w:h="16838"/>
          <w:pgMar w:top="1440" w:right="1800" w:bottom="1440" w:left="1800" w:header="851" w:footer="992" w:gutter="0"/>
          <w:cols w:space="425" w:num="1"/>
          <w:docGrid w:type="lines" w:linePitch="312" w:charSpace="0"/>
        </w:sectPr>
      </w:pPr>
    </w:p>
    <w:bookmarkEnd w:id="400"/>
    <w:p w14:paraId="7398F340">
      <w:pPr>
        <w:rPr>
          <w:rFonts w:hint="eastAsia" w:ascii="宋体" w:hAnsi="宋体" w:eastAsia="宋体" w:cs="宋体"/>
          <w:highlight w:val="none"/>
        </w:rPr>
      </w:pPr>
      <w:bookmarkStart w:id="401" w:name="_Toc22209"/>
    </w:p>
    <w:p w14:paraId="7A86F47E">
      <w:pPr>
        <w:pStyle w:val="3"/>
        <w:numPr>
          <w:ilvl w:val="1"/>
          <w:numId w:val="0"/>
        </w:numPr>
        <w:adjustRightInd w:val="0"/>
        <w:snapToGrid w:val="0"/>
        <w:spacing w:line="400" w:lineRule="exact"/>
        <w:jc w:val="center"/>
        <w:rPr>
          <w:rFonts w:hint="eastAsia" w:ascii="宋体" w:hAnsi="宋体" w:eastAsia="宋体" w:cs="宋体"/>
          <w:b w:val="0"/>
          <w:sz w:val="28"/>
          <w:szCs w:val="28"/>
          <w:highlight w:val="none"/>
        </w:rPr>
      </w:pPr>
      <w:r>
        <w:rPr>
          <w:rFonts w:hint="eastAsia" w:ascii="宋体" w:hAnsi="宋体" w:eastAsia="宋体" w:cs="宋体"/>
          <w:b w:val="0"/>
          <w:sz w:val="28"/>
          <w:szCs w:val="28"/>
          <w:highlight w:val="none"/>
        </w:rPr>
        <w:t>第一节 政府采购合同协议书</w:t>
      </w:r>
      <w:bookmarkEnd w:id="401"/>
    </w:p>
    <w:p w14:paraId="49B20F80">
      <w:pPr>
        <w:rPr>
          <w:rFonts w:hint="eastAsia" w:ascii="宋体" w:hAnsi="宋体" w:eastAsia="宋体" w:cs="宋体"/>
          <w:highlight w:val="none"/>
        </w:rPr>
      </w:pPr>
    </w:p>
    <w:p w14:paraId="60981B01">
      <w:p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甲方（全称）：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（采购人、受采购人委托签订合同的单位或采购</w:t>
      </w:r>
      <w:r>
        <w:rPr>
          <w:rFonts w:hint="eastAsia" w:ascii="宋体" w:hAnsi="宋体" w:eastAsia="宋体" w:cs="宋体"/>
          <w:szCs w:val="21"/>
          <w:highlight w:val="none"/>
        </w:rPr>
        <w:tab/>
      </w:r>
      <w:r>
        <w:rPr>
          <w:rFonts w:hint="eastAsia" w:ascii="宋体" w:hAnsi="宋体" w:eastAsia="宋体" w:cs="宋体"/>
          <w:szCs w:val="21"/>
          <w:highlight w:val="none"/>
        </w:rPr>
        <w:t xml:space="preserve">                                   文件约定的合同甲方）</w:t>
      </w:r>
    </w:p>
    <w:p w14:paraId="12878E39">
      <w:p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乙方1（全称）：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w:t>
      </w:r>
    </w:p>
    <w:p w14:paraId="537EDB65">
      <w:p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乙方2（全称）：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0A2D1997">
      <w:p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highlight w:val="none"/>
        </w:rPr>
        <w:t>乙方</w:t>
      </w:r>
      <w:r>
        <w:rPr>
          <w:rFonts w:hint="eastAsia" w:ascii="宋体" w:hAnsi="宋体" w:eastAsia="宋体" w:cs="宋体"/>
          <w:szCs w:val="21"/>
          <w:highlight w:val="none"/>
        </w:rPr>
        <w:t>3</w:t>
      </w:r>
      <w:r>
        <w:rPr>
          <w:rFonts w:hint="eastAsia" w:ascii="宋体" w:hAnsi="宋体" w:eastAsia="宋体" w:cs="宋体"/>
          <w:highlight w:val="none"/>
        </w:rPr>
        <w:t>（全称）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71223B9D">
      <w:pPr>
        <w:spacing w:line="400" w:lineRule="exact"/>
        <w:rPr>
          <w:rFonts w:hint="eastAsia" w:ascii="宋体" w:hAnsi="宋体" w:eastAsia="宋体" w:cs="宋体"/>
          <w:highlight w:val="none"/>
        </w:rPr>
      </w:pPr>
    </w:p>
    <w:p w14:paraId="1D09B0BB">
      <w:pPr>
        <w:pStyle w:val="14"/>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 w:val="21"/>
          <w:szCs w:val="21"/>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宋体" w:hAnsi="宋体" w:eastAsia="宋体" w:cs="宋体"/>
          <w:szCs w:val="21"/>
          <w:highlight w:val="none"/>
        </w:rPr>
        <w:t xml:space="preserve">     </w:t>
      </w:r>
    </w:p>
    <w:p w14:paraId="226F7360">
      <w:pPr>
        <w:numPr>
          <w:ilvl w:val="0"/>
          <w:numId w:val="16"/>
        </w:numPr>
        <w:adjustRightInd w:val="0"/>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项目信息</w:t>
      </w:r>
    </w:p>
    <w:p w14:paraId="346DC5C5">
      <w:pPr>
        <w:pStyle w:val="14"/>
        <w:numPr>
          <w:ilvl w:val="0"/>
          <w:numId w:val="17"/>
        </w:numPr>
        <w:adjustRightInd w:val="0"/>
        <w:snapToGrid w:val="0"/>
        <w:spacing w:line="400" w:lineRule="exact"/>
        <w:ind w:firstLine="480" w:firstLineChars="200"/>
        <w:rPr>
          <w:rFonts w:hint="eastAsia" w:ascii="宋体" w:hAnsi="宋体" w:eastAsia="宋体" w:cs="宋体"/>
          <w:szCs w:val="21"/>
          <w:highlight w:val="none"/>
          <w:u w:val="single"/>
        </w:rPr>
      </w:pPr>
      <w:r>
        <w:rPr>
          <w:rFonts w:hint="eastAsia" w:ascii="宋体" w:hAnsi="宋体" w:eastAsia="宋体" w:cs="宋体"/>
          <w:szCs w:val="21"/>
          <w:highlight w:val="none"/>
        </w:rPr>
        <w:t>采购项目名称：</w:t>
      </w:r>
      <w:r>
        <w:rPr>
          <w:rFonts w:hint="eastAsia" w:ascii="宋体" w:hAnsi="宋体" w:eastAsia="宋体" w:cs="宋体"/>
          <w:szCs w:val="21"/>
          <w:highlight w:val="none"/>
          <w:u w:val="single"/>
        </w:rPr>
        <w:t xml:space="preserve">                                          </w:t>
      </w:r>
    </w:p>
    <w:p w14:paraId="154BB484">
      <w:pPr>
        <w:pStyle w:val="14"/>
        <w:numPr>
          <w:ilvl w:val="255"/>
          <w:numId w:val="0"/>
        </w:numPr>
        <w:tabs>
          <w:tab w:val="left" w:pos="999"/>
        </w:tabs>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         采购项目编号：</w:t>
      </w:r>
      <w:r>
        <w:rPr>
          <w:rFonts w:hint="eastAsia" w:ascii="宋体" w:hAnsi="宋体" w:eastAsia="宋体" w:cs="宋体"/>
          <w:szCs w:val="21"/>
          <w:highlight w:val="none"/>
          <w:u w:val="single"/>
        </w:rPr>
        <w:t xml:space="preserve">                                          </w:t>
      </w:r>
    </w:p>
    <w:p w14:paraId="05EF450D">
      <w:pPr>
        <w:pStyle w:val="14"/>
        <w:adjustRightInd w:val="0"/>
        <w:snapToGrid w:val="0"/>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（2）采购计划编号：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F2BE509">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（3）项目内容：</w:t>
      </w:r>
    </w:p>
    <w:p w14:paraId="4CD0CD10">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采购标的及数量（台/套/个/架/组等）：</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0D036ECB">
      <w:pPr>
        <w:numPr>
          <w:ilvl w:val="255"/>
          <w:numId w:val="0"/>
        </w:num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品牌：</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规格型号：</w:t>
      </w:r>
      <w:r>
        <w:rPr>
          <w:rFonts w:hint="eastAsia" w:ascii="宋体" w:hAnsi="宋体" w:eastAsia="宋体" w:cs="宋体"/>
          <w:szCs w:val="21"/>
          <w:highlight w:val="none"/>
          <w:u w:val="single"/>
        </w:rPr>
        <w:t xml:space="preserve">               </w:t>
      </w:r>
    </w:p>
    <w:p w14:paraId="3658C4C0">
      <w:pPr>
        <w:adjustRightInd w:val="0"/>
        <w:snapToGrid w:val="0"/>
        <w:spacing w:line="400" w:lineRule="exact"/>
        <w:ind w:firstLine="945" w:firstLineChars="450"/>
        <w:rPr>
          <w:rFonts w:hint="eastAsia" w:ascii="宋体" w:hAnsi="宋体" w:eastAsia="宋体" w:cs="宋体"/>
          <w:szCs w:val="21"/>
          <w:highlight w:val="none"/>
          <w:u w:val="single"/>
        </w:rPr>
      </w:pPr>
      <w:r>
        <w:rPr>
          <w:rFonts w:hint="eastAsia" w:ascii="宋体" w:hAnsi="宋体" w:eastAsia="宋体" w:cs="宋体"/>
          <w:szCs w:val="21"/>
          <w:highlight w:val="none"/>
        </w:rPr>
        <w:t>采购标的的技术要求、商务要求具体见附件。</w:t>
      </w:r>
    </w:p>
    <w:p w14:paraId="3AB59EED">
      <w:pPr>
        <w:numPr>
          <w:ilvl w:val="255"/>
          <w:numId w:val="0"/>
        </w:numPr>
        <w:adjustRightInd w:val="0"/>
        <w:snapToGrid w:val="0"/>
        <w:spacing w:line="400" w:lineRule="exact"/>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①涉及信息类产品，请填写该产品关键部件的品牌、型号：</w:t>
      </w:r>
    </w:p>
    <w:p w14:paraId="51AB94BD">
      <w:pPr>
        <w:numPr>
          <w:ilvl w:val="255"/>
          <w:numId w:val="0"/>
        </w:numPr>
        <w:adjustRightInd w:val="0"/>
        <w:snapToGrid w:val="0"/>
        <w:spacing w:line="400" w:lineRule="exact"/>
        <w:ind w:firstLine="420" w:firstLineChars="200"/>
        <w:rPr>
          <w:rFonts w:hint="eastAsia" w:ascii="宋体" w:hAnsi="宋体" w:eastAsia="宋体" w:cs="宋体"/>
          <w:kern w:val="0"/>
          <w:szCs w:val="21"/>
          <w:highlight w:val="none"/>
          <w:u w:val="single"/>
        </w:rPr>
      </w:pPr>
      <w:r>
        <w:rPr>
          <w:rFonts w:hint="eastAsia" w:ascii="宋体" w:hAnsi="宋体" w:eastAsia="宋体" w:cs="宋体"/>
          <w:szCs w:val="21"/>
          <w:highlight w:val="none"/>
        </w:rPr>
        <w:t xml:space="preserve">     标的名称：</w:t>
      </w:r>
      <w:r>
        <w:rPr>
          <w:rFonts w:hint="eastAsia" w:ascii="宋体" w:hAnsi="宋体" w:eastAsia="宋体" w:cs="宋体"/>
          <w:kern w:val="0"/>
          <w:szCs w:val="21"/>
          <w:highlight w:val="none"/>
          <w:u w:val="single"/>
        </w:rPr>
        <w:t xml:space="preserve">                         </w:t>
      </w:r>
    </w:p>
    <w:p w14:paraId="2709F233">
      <w:pPr>
        <w:numPr>
          <w:ilvl w:val="255"/>
          <w:numId w:val="0"/>
        </w:num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关键部件：</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 xml:space="preserve"> </w:t>
      </w:r>
      <w:r>
        <w:rPr>
          <w:rFonts w:hint="eastAsia" w:ascii="宋体" w:hAnsi="宋体" w:eastAsia="宋体" w:cs="宋体"/>
          <w:szCs w:val="21"/>
          <w:highlight w:val="none"/>
        </w:rPr>
        <w:t>品牌：</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型号：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31671C79">
      <w:pPr>
        <w:pStyle w:val="94"/>
        <w:ind w:firstLine="42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关键部件</w:t>
      </w:r>
      <w:r>
        <w:rPr>
          <w:rFonts w:hint="eastAsia" w:ascii="宋体" w:hAnsi="宋体" w:eastAsia="宋体" w:cs="宋体"/>
          <w:sz w:val="21"/>
          <w:highlight w:val="none"/>
        </w:rPr>
        <w:t>：</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682B0DBE">
      <w:pPr>
        <w:pStyle w:val="94"/>
        <w:ind w:firstLine="420"/>
        <w:rPr>
          <w:rFonts w:hint="eastAsia"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p>
    <w:p w14:paraId="73EF5059">
      <w:pPr>
        <w:pStyle w:val="94"/>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03FB046F">
      <w:pPr>
        <w:pStyle w:val="94"/>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②涉及车辆采购，请填写是否属于新能源汽车：</w:t>
      </w:r>
    </w:p>
    <w:p w14:paraId="203D17BE">
      <w:pPr>
        <w:pStyle w:val="94"/>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是，《政府采购品目分类目录》底级品目名称：</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数量：</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金额：</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41DA4FBB">
      <w:pPr>
        <w:pStyle w:val="94"/>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否</w:t>
      </w:r>
    </w:p>
    <w:p w14:paraId="28BA51A8">
      <w:pPr>
        <w:pStyle w:val="94"/>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（4）政府采购组织形式：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政府集中采购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部门集中采购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分散采购</w:t>
      </w:r>
    </w:p>
    <w:p w14:paraId="0A802311">
      <w:pPr>
        <w:pStyle w:val="94"/>
        <w:numPr>
          <w:ilvl w:val="255"/>
          <w:numId w:val="0"/>
        </w:numPr>
        <w:snapToGrid w:val="0"/>
        <w:ind w:firstLine="420"/>
        <w:rPr>
          <w:rFonts w:hint="eastAsia" w:ascii="宋体" w:hAnsi="宋体" w:eastAsia="宋体" w:cs="宋体"/>
          <w:sz w:val="21"/>
          <w:highlight w:val="none"/>
        </w:rPr>
      </w:pPr>
      <w:r>
        <w:rPr>
          <w:rFonts w:hint="eastAsia" w:ascii="宋体" w:hAnsi="宋体" w:eastAsia="宋体" w:cs="宋体"/>
          <w:sz w:val="21"/>
          <w:highlight w:val="none"/>
        </w:rPr>
        <w:t>（5）政府采购方式：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公开招标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邀请招标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竞争性谈判 </w:t>
      </w:r>
      <w:r>
        <w:rPr>
          <w:rFonts w:hint="eastAsia" w:ascii="宋体" w:hAnsi="宋体" w:eastAsia="宋体" w:cs="宋体"/>
          <w:sz w:val="21"/>
          <w:highlight w:val="none"/>
        </w:rPr>
        <w:sym w:font="Wingdings" w:char="00A8"/>
      </w:r>
      <w:r>
        <w:rPr>
          <w:rFonts w:hint="eastAsia" w:ascii="宋体" w:hAnsi="宋体" w:eastAsia="宋体" w:cs="宋体"/>
          <w:sz w:val="21"/>
          <w:highlight w:val="none"/>
        </w:rPr>
        <w:t>竞争性磋商</w:t>
      </w:r>
    </w:p>
    <w:p w14:paraId="609B0795">
      <w:pPr>
        <w:pStyle w:val="94"/>
        <w:numPr>
          <w:ilvl w:val="255"/>
          <w:numId w:val="0"/>
        </w:numPr>
        <w:snapToGrid w:val="0"/>
        <w:ind w:firstLine="420"/>
        <w:rPr>
          <w:rFonts w:hint="eastAsia" w:ascii="宋体" w:hAnsi="宋体" w:eastAsia="宋体" w:cs="宋体"/>
          <w:sz w:val="21"/>
          <w:highlight w:val="none"/>
          <w:u w:val="single"/>
        </w:rPr>
      </w:pPr>
      <w:r>
        <w:rPr>
          <w:rFonts w:hint="eastAsia" w:ascii="宋体" w:hAnsi="宋体" w:eastAsia="宋体" w:cs="宋体"/>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询价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单一来源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框架协议 </w:t>
      </w:r>
      <w:r>
        <w:rPr>
          <w:rFonts w:hint="eastAsia" w:ascii="宋体" w:hAnsi="宋体" w:eastAsia="宋体" w:cs="宋体"/>
          <w:sz w:val="21"/>
          <w:highlight w:val="none"/>
        </w:rPr>
        <w:sym w:font="Wingdings" w:char="00A8"/>
      </w:r>
      <w:r>
        <w:rPr>
          <w:rFonts w:hint="eastAsia" w:ascii="宋体" w:hAnsi="宋体" w:eastAsia="宋体" w:cs="宋体"/>
          <w:sz w:val="21"/>
          <w:highlight w:val="none"/>
        </w:rPr>
        <w:t>其他：</w:t>
      </w:r>
      <w:r>
        <w:rPr>
          <w:rFonts w:hint="eastAsia" w:ascii="宋体" w:hAnsi="宋体" w:eastAsia="宋体" w:cs="宋体"/>
          <w:sz w:val="21"/>
          <w:highlight w:val="none"/>
          <w:u w:val="single"/>
        </w:rPr>
        <w:t xml:space="preserve">          </w:t>
      </w:r>
    </w:p>
    <w:p w14:paraId="54761A63">
      <w:pPr>
        <w:pStyle w:val="94"/>
        <w:numPr>
          <w:ilvl w:val="255"/>
          <w:numId w:val="0"/>
        </w:numPr>
        <w:snapToGrid w:val="0"/>
        <w:ind w:firstLine="420"/>
        <w:rPr>
          <w:rFonts w:hint="eastAsia" w:ascii="宋体" w:hAnsi="宋体" w:eastAsia="宋体" w:cs="宋体"/>
          <w:sz w:val="21"/>
          <w:highlight w:val="none"/>
        </w:rPr>
      </w:pPr>
      <w:r>
        <w:rPr>
          <w:rFonts w:hint="eastAsia" w:ascii="宋体" w:hAnsi="宋体" w:eastAsia="宋体" w:cs="宋体"/>
          <w:sz w:val="21"/>
          <w:highlight w:val="none"/>
        </w:rPr>
        <w:t>（注：在框架协议采购的第二阶段，可选择使用该合同文本）</w:t>
      </w:r>
    </w:p>
    <w:p w14:paraId="0AE72ECA">
      <w:pPr>
        <w:pStyle w:val="94"/>
        <w:numPr>
          <w:ilvl w:val="255"/>
          <w:numId w:val="0"/>
        </w:numPr>
        <w:snapToGrid w:val="0"/>
        <w:ind w:firstLine="220" w:firstLineChars="100"/>
        <w:rPr>
          <w:rFonts w:hint="eastAsia" w:ascii="宋体" w:hAnsi="宋体" w:eastAsia="宋体" w:cs="宋体"/>
          <w:kern w:val="2"/>
          <w:sz w:val="21"/>
          <w:highlight w:val="none"/>
        </w:rPr>
      </w:pPr>
      <w:r>
        <w:rPr>
          <w:rFonts w:hint="eastAsia" w:ascii="宋体" w:hAnsi="宋体" w:eastAsia="宋体" w:cs="宋体"/>
          <w:highlight w:val="none"/>
        </w:rPr>
        <w:t xml:space="preserve"> （6）</w:t>
      </w:r>
      <w:r>
        <w:rPr>
          <w:rFonts w:hint="eastAsia" w:ascii="宋体" w:hAnsi="宋体" w:eastAsia="宋体" w:cs="宋体"/>
          <w:kern w:val="2"/>
          <w:sz w:val="21"/>
          <w:highlight w:val="none"/>
        </w:rPr>
        <w:t>中标（成交）采购标的制造商是否为中小企业：</w:t>
      </w:r>
      <w:r>
        <w:rPr>
          <w:rFonts w:hint="eastAsia" w:ascii="宋体" w:hAnsi="宋体" w:eastAsia="宋体" w:cs="宋体"/>
          <w:kern w:val="2"/>
          <w:sz w:val="21"/>
          <w:highlight w:val="none"/>
        </w:rPr>
        <w:sym w:font="Wingdings" w:char="00A8"/>
      </w:r>
      <w:r>
        <w:rPr>
          <w:rFonts w:hint="eastAsia" w:ascii="宋体" w:hAnsi="宋体" w:eastAsia="宋体" w:cs="宋体"/>
          <w:kern w:val="2"/>
          <w:sz w:val="21"/>
          <w:highlight w:val="none"/>
        </w:rPr>
        <w:t xml:space="preserve">是      </w:t>
      </w:r>
      <w:r>
        <w:rPr>
          <w:rFonts w:hint="eastAsia" w:ascii="宋体" w:hAnsi="宋体" w:eastAsia="宋体" w:cs="宋体"/>
          <w:kern w:val="2"/>
          <w:sz w:val="21"/>
          <w:highlight w:val="none"/>
        </w:rPr>
        <w:sym w:font="Wingdings" w:char="00A8"/>
      </w:r>
      <w:r>
        <w:rPr>
          <w:rFonts w:hint="eastAsia" w:ascii="宋体" w:hAnsi="宋体" w:eastAsia="宋体" w:cs="宋体"/>
          <w:kern w:val="2"/>
          <w:sz w:val="21"/>
          <w:highlight w:val="none"/>
        </w:rPr>
        <w:t>否</w:t>
      </w:r>
    </w:p>
    <w:p w14:paraId="7D7B3BDC">
      <w:pPr>
        <w:numPr>
          <w:ilvl w:val="255"/>
          <w:numId w:val="0"/>
        </w:numPr>
        <w:adjustRightInd w:val="0"/>
        <w:snapToGrid w:val="0"/>
        <w:spacing w:line="400" w:lineRule="exact"/>
        <w:rPr>
          <w:rFonts w:hint="eastAsia" w:ascii="宋体" w:hAnsi="宋体" w:eastAsia="宋体" w:cs="宋体"/>
          <w:iCs/>
          <w:szCs w:val="21"/>
          <w:highlight w:val="none"/>
        </w:rPr>
      </w:pPr>
      <w:r>
        <w:rPr>
          <w:rFonts w:hint="eastAsia" w:ascii="宋体" w:hAnsi="宋体" w:eastAsia="宋体" w:cs="宋体"/>
          <w:szCs w:val="21"/>
          <w:highlight w:val="none"/>
        </w:rPr>
        <w:t xml:space="preserve">         本合同是否为专门面向中小企业的采购合同（中小企业预留合同）：</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1F9877FD">
      <w:pPr>
        <w:numPr>
          <w:ilvl w:val="255"/>
          <w:numId w:val="0"/>
        </w:numPr>
        <w:adjustRightInd w:val="0"/>
        <w:snapToGrid w:val="0"/>
        <w:spacing w:line="400" w:lineRule="exact"/>
        <w:rPr>
          <w:rFonts w:hint="eastAsia" w:ascii="宋体" w:hAnsi="宋体" w:eastAsia="宋体" w:cs="宋体"/>
          <w:iCs/>
          <w:szCs w:val="21"/>
          <w:highlight w:val="none"/>
        </w:rPr>
      </w:pPr>
      <w:r>
        <w:rPr>
          <w:rFonts w:hint="eastAsia" w:ascii="宋体" w:hAnsi="宋体" w:eastAsia="宋体" w:cs="宋体"/>
          <w:highlight w:val="none"/>
        </w:rPr>
        <w:t xml:space="preserve">         若本项目不专门面向中小企业采购，是否给予小微企业评审优惠：</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C4827FA">
      <w:pPr>
        <w:numPr>
          <w:ilvl w:val="255"/>
          <w:numId w:val="0"/>
        </w:numPr>
        <w:adjustRightInd w:val="0"/>
        <w:snapToGrid w:val="0"/>
        <w:spacing w:line="400" w:lineRule="exact"/>
        <w:rPr>
          <w:rFonts w:hint="eastAsia" w:ascii="宋体" w:hAnsi="宋体" w:eastAsia="宋体" w:cs="宋体"/>
          <w:iCs/>
          <w:szCs w:val="21"/>
          <w:highlight w:val="none"/>
        </w:rPr>
      </w:pPr>
      <w:r>
        <w:rPr>
          <w:rFonts w:hint="eastAsia" w:ascii="宋体" w:hAnsi="宋体" w:eastAsia="宋体" w:cs="宋体"/>
          <w:highlight w:val="none"/>
        </w:rPr>
        <w:t xml:space="preserve">         中标（成交）采购标的制造商是否为残疾人福利性单位：</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0E39368A">
      <w:pPr>
        <w:snapToGrid w:val="0"/>
        <w:spacing w:line="400" w:lineRule="exact"/>
        <w:rPr>
          <w:rFonts w:hint="eastAsia" w:ascii="宋体" w:hAnsi="宋体" w:eastAsia="宋体" w:cs="宋体"/>
          <w:highlight w:val="none"/>
        </w:rPr>
      </w:pPr>
      <w:r>
        <w:rPr>
          <w:rFonts w:hint="eastAsia" w:ascii="宋体" w:hAnsi="宋体" w:eastAsia="宋体" w:cs="宋体"/>
          <w:highlight w:val="none"/>
        </w:rPr>
        <w:t xml:space="preserve">         中标（成交）采购标的制造商是否为监狱企业：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3B46EE57">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（7）合同是否分包：</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19BE9E33">
      <w:pPr>
        <w:adjustRightInd w:val="0"/>
        <w:snapToGrid w:val="0"/>
        <w:spacing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 xml:space="preserve"> 分包主要内容：</w:t>
      </w:r>
      <w:r>
        <w:rPr>
          <w:rFonts w:hint="eastAsia" w:ascii="宋体" w:hAnsi="宋体" w:eastAsia="宋体" w:cs="宋体"/>
          <w:szCs w:val="21"/>
          <w:highlight w:val="none"/>
          <w:u w:val="single"/>
        </w:rPr>
        <w:t xml:space="preserve">                                            </w:t>
      </w:r>
    </w:p>
    <w:p w14:paraId="17BCAE8F">
      <w:pPr>
        <w:adjustRightInd w:val="0"/>
        <w:snapToGrid w:val="0"/>
        <w:spacing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 xml:space="preserve"> 分包供应商/制造商名称（如供应商和制造商不同，请分别填写）：</w:t>
      </w:r>
    </w:p>
    <w:p w14:paraId="7D5E6160">
      <w:pPr>
        <w:adjustRightInd w:val="0"/>
        <w:snapToGrid w:val="0"/>
        <w:spacing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p>
    <w:p w14:paraId="1894C956">
      <w:pPr>
        <w:adjustRightInd w:val="0"/>
        <w:snapToGrid w:val="0"/>
        <w:spacing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 xml:space="preserve"> 分包供应商/制造商类型（如果供应商和制造商不同，只填写制造商类型）：</w:t>
      </w:r>
    </w:p>
    <w:p w14:paraId="185ECD4F">
      <w:pPr>
        <w:adjustRightInd w:val="0"/>
        <w:snapToGrid w:val="0"/>
        <w:spacing w:line="400" w:lineRule="exact"/>
        <w:ind w:firstLine="840" w:firstLineChars="400"/>
        <w:rPr>
          <w:rFonts w:hint="eastAsia" w:ascii="宋体" w:hAnsi="宋体" w:eastAsia="宋体" w:cs="宋体"/>
          <w:iCs/>
          <w:szCs w:val="21"/>
          <w:highlight w:val="none"/>
        </w:rPr>
      </w:pP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大型企业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中型企业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小微型企业  </w:t>
      </w:r>
    </w:p>
    <w:p w14:paraId="188188EC">
      <w:pPr>
        <w:adjustRightInd w:val="0"/>
        <w:snapToGrid w:val="0"/>
        <w:spacing w:line="400" w:lineRule="exact"/>
        <w:ind w:firstLine="840" w:firstLineChars="400"/>
        <w:rPr>
          <w:rFonts w:hint="eastAsia" w:ascii="宋体" w:hAnsi="宋体" w:eastAsia="宋体" w:cs="宋体"/>
          <w:highlight w:val="none"/>
        </w:rPr>
      </w:pP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残疾人福利性单位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监狱企业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其他</w:t>
      </w:r>
    </w:p>
    <w:p w14:paraId="3CE3C85C">
      <w:pPr>
        <w:numPr>
          <w:ilvl w:val="255"/>
          <w:numId w:val="0"/>
        </w:numPr>
        <w:adjustRightInd w:val="0"/>
        <w:snapToGrid w:val="0"/>
        <w:spacing w:line="400" w:lineRule="exact"/>
        <w:rPr>
          <w:rFonts w:hint="eastAsia" w:ascii="宋体" w:hAnsi="宋体" w:eastAsia="宋体" w:cs="宋体"/>
          <w:iCs/>
          <w:szCs w:val="21"/>
          <w:highlight w:val="none"/>
        </w:rPr>
      </w:pPr>
      <w:r>
        <w:rPr>
          <w:rFonts w:hint="eastAsia" w:ascii="宋体" w:hAnsi="宋体" w:eastAsia="宋体" w:cs="宋体"/>
          <w:szCs w:val="21"/>
          <w:highlight w:val="none"/>
        </w:rPr>
        <w:t xml:space="preserve">    （8）中标（成交）供应商是否为外商投资企业：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65C50716">
      <w:pPr>
        <w:pStyle w:val="94"/>
        <w:tabs>
          <w:tab w:val="left" w:pos="1340"/>
        </w:tabs>
        <w:ind w:firstLine="420"/>
        <w:rPr>
          <w:rFonts w:hint="eastAsia"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hint="eastAsia" w:ascii="宋体" w:hAnsi="宋体" w:eastAsia="宋体" w:cs="宋体"/>
          <w:iCs/>
          <w:sz w:val="21"/>
          <w:highlight w:val="none"/>
        </w:rPr>
        <w:sym w:font="Wingdings" w:char="00A8"/>
      </w:r>
      <w:r>
        <w:rPr>
          <w:rFonts w:hint="eastAsia" w:ascii="宋体" w:hAnsi="宋体" w:eastAsia="宋体" w:cs="宋体"/>
          <w:sz w:val="21"/>
          <w:highlight w:val="none"/>
        </w:rPr>
        <w:t xml:space="preserve">全部由外国投资者投资  </w:t>
      </w:r>
      <w:r>
        <w:rPr>
          <w:rFonts w:hint="eastAsia" w:ascii="宋体" w:hAnsi="宋体" w:eastAsia="宋体" w:cs="宋体"/>
          <w:iCs/>
          <w:sz w:val="21"/>
          <w:highlight w:val="none"/>
        </w:rPr>
        <w:sym w:font="Wingdings" w:char="00A8"/>
      </w:r>
      <w:r>
        <w:rPr>
          <w:rFonts w:hint="eastAsia" w:ascii="宋体" w:hAnsi="宋体" w:eastAsia="宋体" w:cs="宋体"/>
          <w:iCs/>
          <w:sz w:val="21"/>
          <w:highlight w:val="none"/>
        </w:rPr>
        <w:t>部分由外国投资者投资</w:t>
      </w:r>
    </w:p>
    <w:p w14:paraId="6A0B7907">
      <w:pPr>
        <w:numPr>
          <w:ilvl w:val="255"/>
          <w:numId w:val="0"/>
        </w:num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（9）是否涉及进口产品：</w:t>
      </w:r>
    </w:p>
    <w:p w14:paraId="0AD4A6E9">
      <w:pPr>
        <w:numPr>
          <w:ilvl w:val="255"/>
          <w:numId w:val="0"/>
        </w:numPr>
        <w:adjustRightInd w:val="0"/>
        <w:snapToGrid w:val="0"/>
        <w:spacing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是，《政府采购品目分类目录》底级品目名称：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金额：</w:t>
      </w:r>
      <w:r>
        <w:rPr>
          <w:rFonts w:hint="eastAsia" w:ascii="宋体" w:hAnsi="宋体" w:eastAsia="宋体" w:cs="宋体"/>
          <w:szCs w:val="21"/>
          <w:highlight w:val="none"/>
          <w:u w:val="single"/>
        </w:rPr>
        <w:t xml:space="preserve">        </w:t>
      </w:r>
    </w:p>
    <w:p w14:paraId="7E2D3DFE">
      <w:pPr>
        <w:numPr>
          <w:ilvl w:val="255"/>
          <w:numId w:val="0"/>
        </w:numPr>
        <w:adjustRightInd w:val="0"/>
        <w:snapToGrid w:val="0"/>
        <w:spacing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 xml:space="preserve">        国别：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品牌：</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规格型号：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51A16DBF">
      <w:pPr>
        <w:adjustRightInd w:val="0"/>
        <w:snapToGrid w:val="0"/>
        <w:spacing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否</w:t>
      </w:r>
    </w:p>
    <w:p w14:paraId="414F2C6C">
      <w:pPr>
        <w:numPr>
          <w:ilvl w:val="255"/>
          <w:numId w:val="0"/>
        </w:numPr>
        <w:tabs>
          <w:tab w:val="left" w:pos="740"/>
        </w:tabs>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（10）是否涉及节能产品：</w:t>
      </w:r>
    </w:p>
    <w:p w14:paraId="5A9D8BBC">
      <w:pPr>
        <w:numPr>
          <w:ilvl w:val="255"/>
          <w:numId w:val="0"/>
        </w:numPr>
        <w:tabs>
          <w:tab w:val="left" w:pos="740"/>
        </w:tabs>
        <w:adjustRightInd w:val="0"/>
        <w:snapToGrid w:val="0"/>
        <w:spacing w:line="400" w:lineRule="exact"/>
        <w:rPr>
          <w:rFonts w:hint="eastAsia" w:ascii="宋体" w:hAnsi="宋体" w:eastAsia="宋体" w:cs="宋体"/>
          <w:iCs/>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是，《节能产品政府采购品目清单》的底级品目名称：</w:t>
      </w:r>
      <w:r>
        <w:rPr>
          <w:rFonts w:hint="eastAsia" w:ascii="宋体" w:hAnsi="宋体" w:eastAsia="宋体" w:cs="宋体"/>
          <w:szCs w:val="21"/>
          <w:highlight w:val="none"/>
          <w:u w:val="single"/>
        </w:rPr>
        <w:t xml:space="preserve">         </w:t>
      </w:r>
      <w:r>
        <w:rPr>
          <w:rFonts w:hint="eastAsia" w:ascii="宋体" w:hAnsi="宋体" w:eastAsia="宋体" w:cs="宋体"/>
          <w:iCs/>
          <w:szCs w:val="21"/>
          <w:highlight w:val="none"/>
        </w:rPr>
        <w:t xml:space="preserve">     </w:t>
      </w:r>
    </w:p>
    <w:p w14:paraId="5F5EBF94">
      <w:pPr>
        <w:numPr>
          <w:ilvl w:val="255"/>
          <w:numId w:val="0"/>
        </w:numPr>
        <w:tabs>
          <w:tab w:val="left" w:pos="740"/>
        </w:tabs>
        <w:adjustRightInd w:val="0"/>
        <w:snapToGrid w:val="0"/>
        <w:spacing w:line="400" w:lineRule="exact"/>
        <w:rPr>
          <w:rFonts w:hint="eastAsia" w:ascii="宋体" w:hAnsi="宋体" w:eastAsia="宋体" w:cs="宋体"/>
          <w:iCs/>
          <w:szCs w:val="21"/>
          <w:highlight w:val="none"/>
        </w:rPr>
      </w:pP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强制采购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优先采购    </w:t>
      </w:r>
    </w:p>
    <w:p w14:paraId="5901630C">
      <w:pPr>
        <w:numPr>
          <w:ilvl w:val="255"/>
          <w:numId w:val="0"/>
        </w:numPr>
        <w:tabs>
          <w:tab w:val="left" w:pos="740"/>
        </w:tabs>
        <w:adjustRightInd w:val="0"/>
        <w:snapToGrid w:val="0"/>
        <w:spacing w:line="400" w:lineRule="exact"/>
        <w:rPr>
          <w:rFonts w:hint="eastAsia" w:ascii="宋体" w:hAnsi="宋体" w:eastAsia="宋体" w:cs="宋体"/>
          <w:szCs w:val="21"/>
          <w:highlight w:val="none"/>
        </w:rPr>
      </w:pPr>
      <w:r>
        <w:rPr>
          <w:rFonts w:hint="eastAsia" w:ascii="宋体" w:hAnsi="宋体" w:eastAsia="宋体" w:cs="宋体"/>
          <w:iCs/>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否</w:t>
      </w:r>
    </w:p>
    <w:p w14:paraId="1A2C48F2">
      <w:pPr>
        <w:numPr>
          <w:ilvl w:val="255"/>
          <w:numId w:val="0"/>
        </w:numPr>
        <w:tabs>
          <w:tab w:val="left" w:pos="740"/>
        </w:tabs>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          是否涉及环境标志产品：</w:t>
      </w:r>
    </w:p>
    <w:p w14:paraId="61B164AC">
      <w:pPr>
        <w:numPr>
          <w:ilvl w:val="255"/>
          <w:numId w:val="0"/>
        </w:numPr>
        <w:tabs>
          <w:tab w:val="left" w:pos="740"/>
        </w:tabs>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是，《环境标志产品政府采购品目清单》的底级品目名称：</w:t>
      </w:r>
      <w:r>
        <w:rPr>
          <w:rFonts w:hint="eastAsia" w:ascii="宋体" w:hAnsi="宋体" w:eastAsia="宋体" w:cs="宋体"/>
          <w:szCs w:val="21"/>
          <w:highlight w:val="none"/>
          <w:u w:val="single"/>
        </w:rPr>
        <w:t xml:space="preserve">         </w:t>
      </w:r>
      <w:r>
        <w:rPr>
          <w:rFonts w:hint="eastAsia" w:ascii="宋体" w:hAnsi="宋体" w:eastAsia="宋体" w:cs="宋体"/>
          <w:iCs/>
          <w:szCs w:val="21"/>
          <w:highlight w:val="none"/>
        </w:rPr>
        <w:t xml:space="preserve"> </w:t>
      </w:r>
    </w:p>
    <w:p w14:paraId="3D704A09">
      <w:pPr>
        <w:numPr>
          <w:ilvl w:val="255"/>
          <w:numId w:val="0"/>
        </w:numPr>
        <w:tabs>
          <w:tab w:val="left" w:pos="740"/>
        </w:tabs>
        <w:adjustRightInd w:val="0"/>
        <w:snapToGrid w:val="0"/>
        <w:spacing w:line="400" w:lineRule="exact"/>
        <w:rPr>
          <w:rFonts w:hint="eastAsia" w:ascii="宋体" w:hAnsi="宋体" w:eastAsia="宋体" w:cs="宋体"/>
          <w:iCs/>
          <w:szCs w:val="21"/>
          <w:highlight w:val="none"/>
        </w:rPr>
      </w:pP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强制采购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优先采购    </w:t>
      </w:r>
    </w:p>
    <w:p w14:paraId="1B2FA727">
      <w:pPr>
        <w:numPr>
          <w:ilvl w:val="255"/>
          <w:numId w:val="0"/>
        </w:numPr>
        <w:tabs>
          <w:tab w:val="left" w:pos="740"/>
        </w:tabs>
        <w:adjustRightInd w:val="0"/>
        <w:snapToGrid w:val="0"/>
        <w:spacing w:line="400" w:lineRule="exact"/>
        <w:rPr>
          <w:rFonts w:hint="eastAsia" w:ascii="宋体" w:hAnsi="宋体" w:eastAsia="宋体" w:cs="宋体"/>
          <w:szCs w:val="21"/>
          <w:highlight w:val="none"/>
        </w:rPr>
      </w:pPr>
      <w:r>
        <w:rPr>
          <w:rFonts w:hint="eastAsia" w:ascii="宋体" w:hAnsi="宋体" w:eastAsia="宋体" w:cs="宋体"/>
          <w:iCs/>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否</w:t>
      </w:r>
    </w:p>
    <w:p w14:paraId="2D816E21">
      <w:pPr>
        <w:pStyle w:val="94"/>
        <w:numPr>
          <w:ilvl w:val="255"/>
          <w:numId w:val="0"/>
        </w:numPr>
        <w:snapToGrid w:val="0"/>
        <w:rPr>
          <w:rFonts w:hint="eastAsia" w:ascii="宋体" w:hAnsi="宋体" w:eastAsia="宋体" w:cs="宋体"/>
          <w:kern w:val="2"/>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 xml:space="preserve">是否涉及绿色产品： </w:t>
      </w:r>
    </w:p>
    <w:p w14:paraId="2C0460F4">
      <w:pPr>
        <w:pStyle w:val="94"/>
        <w:ind w:firstLine="420" w:firstLineChars="0"/>
        <w:rPr>
          <w:rFonts w:hint="eastAsia" w:ascii="宋体" w:hAnsi="宋体" w:eastAsia="宋体" w:cs="宋体"/>
          <w:highlight w:val="none"/>
          <w:u w:val="single"/>
        </w:rPr>
      </w:pPr>
      <w:r>
        <w:rPr>
          <w:rFonts w:hint="eastAsia" w:ascii="宋体" w:hAnsi="宋体" w:eastAsia="宋体" w:cs="宋体"/>
          <w:kern w:val="2"/>
          <w:sz w:val="21"/>
          <w:highlight w:val="none"/>
        </w:rPr>
        <w:t xml:space="preserve">     </w:t>
      </w:r>
      <w:r>
        <w:rPr>
          <w:rFonts w:hint="eastAsia" w:ascii="宋体" w:hAnsi="宋体" w:eastAsia="宋体" w:cs="宋体"/>
          <w:kern w:val="2"/>
          <w:sz w:val="21"/>
          <w:highlight w:val="none"/>
        </w:rPr>
        <w:sym w:font="Wingdings" w:char="00A8"/>
      </w:r>
      <w:r>
        <w:rPr>
          <w:rFonts w:hint="eastAsia" w:ascii="宋体" w:hAnsi="宋体" w:eastAsia="宋体" w:cs="宋体"/>
          <w:kern w:val="2"/>
          <w:sz w:val="21"/>
          <w:highlight w:val="none"/>
        </w:rPr>
        <w:t>是，绿色产品政府采购相关政策确定的底级品目名称：</w:t>
      </w:r>
      <w:r>
        <w:rPr>
          <w:rFonts w:hint="eastAsia" w:ascii="宋体" w:hAnsi="宋体" w:eastAsia="宋体" w:cs="宋体"/>
          <w:highlight w:val="none"/>
          <w:u w:val="single"/>
        </w:rPr>
        <w:t xml:space="preserve">         </w:t>
      </w:r>
    </w:p>
    <w:p w14:paraId="74B16D3F">
      <w:pPr>
        <w:numPr>
          <w:ilvl w:val="255"/>
          <w:numId w:val="0"/>
        </w:numPr>
        <w:tabs>
          <w:tab w:val="left" w:pos="740"/>
        </w:tabs>
        <w:adjustRightInd w:val="0"/>
        <w:snapToGrid w:val="0"/>
        <w:spacing w:line="400" w:lineRule="exact"/>
        <w:rPr>
          <w:rFonts w:hint="eastAsia" w:ascii="宋体" w:hAnsi="宋体" w:eastAsia="宋体" w:cs="宋体"/>
          <w:iCs/>
          <w:szCs w:val="21"/>
          <w:highlight w:val="none"/>
        </w:rPr>
      </w:pP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强制采购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优先采购    </w:t>
      </w:r>
    </w:p>
    <w:p w14:paraId="76163D05">
      <w:pPr>
        <w:pStyle w:val="94"/>
        <w:ind w:firstLine="420" w:firstLineChars="0"/>
        <w:rPr>
          <w:rFonts w:hint="eastAsia" w:ascii="宋体" w:hAnsi="宋体" w:eastAsia="宋体" w:cs="宋体"/>
          <w:sz w:val="21"/>
          <w:highlight w:val="none"/>
        </w:rPr>
      </w:pPr>
      <w:r>
        <w:rPr>
          <w:rFonts w:hint="eastAsia" w:ascii="宋体" w:hAnsi="宋体" w:eastAsia="宋体" w:cs="宋体"/>
          <w:kern w:val="2"/>
          <w:sz w:val="21"/>
          <w:highlight w:val="none"/>
        </w:rPr>
        <w:t xml:space="preserve">     </w:t>
      </w:r>
      <w:r>
        <w:rPr>
          <w:rFonts w:hint="eastAsia" w:ascii="宋体" w:hAnsi="宋体" w:eastAsia="宋体" w:cs="宋体"/>
          <w:kern w:val="2"/>
          <w:sz w:val="21"/>
          <w:highlight w:val="none"/>
        </w:rPr>
        <w:sym w:font="Wingdings" w:char="00A8"/>
      </w:r>
      <w:r>
        <w:rPr>
          <w:rFonts w:hint="eastAsia" w:ascii="宋体" w:hAnsi="宋体" w:eastAsia="宋体" w:cs="宋体"/>
          <w:kern w:val="2"/>
          <w:sz w:val="21"/>
          <w:highlight w:val="none"/>
        </w:rPr>
        <w:t>否</w:t>
      </w:r>
    </w:p>
    <w:p w14:paraId="682BD201">
      <w:pPr>
        <w:numPr>
          <w:ilvl w:val="255"/>
          <w:numId w:val="0"/>
        </w:num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    （11）涉及商品包装和快递包装的，是否参考《商品包装政府采购需求标准（试行）》、《快递包装政府采购需求标准（试行）》明确产品及相关快递服务的具体包装要求：</w:t>
      </w:r>
    </w:p>
    <w:p w14:paraId="4736E7CB">
      <w:pPr>
        <w:numPr>
          <w:ilvl w:val="255"/>
          <w:numId w:val="0"/>
        </w:numPr>
        <w:adjustRightInd w:val="0"/>
        <w:snapToGrid w:val="0"/>
        <w:spacing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 xml:space="preserve">是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 xml:space="preserve">否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不涉及</w:t>
      </w:r>
    </w:p>
    <w:p w14:paraId="276D0AB2">
      <w:pPr>
        <w:numPr>
          <w:ilvl w:val="0"/>
          <w:numId w:val="16"/>
        </w:numPr>
        <w:adjustRightInd w:val="0"/>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合同金额</w:t>
      </w:r>
    </w:p>
    <w:p w14:paraId="4BE74B50">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（1）合同金额小写：</w:t>
      </w:r>
      <w:r>
        <w:rPr>
          <w:rFonts w:hint="eastAsia" w:ascii="宋体" w:hAnsi="宋体" w:eastAsia="宋体" w:cs="宋体"/>
          <w:szCs w:val="21"/>
          <w:highlight w:val="none"/>
          <w:u w:val="single"/>
        </w:rPr>
        <w:t xml:space="preserve">                           </w:t>
      </w:r>
    </w:p>
    <w:p w14:paraId="63E312B1">
      <w:pPr>
        <w:adjustRightInd w:val="0"/>
        <w:snapToGrid w:val="0"/>
        <w:spacing w:line="400" w:lineRule="exact"/>
        <w:rPr>
          <w:rFonts w:hint="eastAsia" w:ascii="宋体" w:hAnsi="宋体" w:eastAsia="宋体" w:cs="宋体"/>
          <w:szCs w:val="21"/>
          <w:highlight w:val="none"/>
          <w:u w:val="single"/>
        </w:rPr>
      </w:pPr>
      <w:r>
        <w:rPr>
          <w:rFonts w:hint="eastAsia" w:ascii="宋体" w:hAnsi="宋体" w:eastAsia="宋体" w:cs="宋体"/>
          <w:szCs w:val="21"/>
          <w:highlight w:val="none"/>
        </w:rPr>
        <w:t xml:space="preserve">                 大写：</w:t>
      </w:r>
      <w:r>
        <w:rPr>
          <w:rFonts w:hint="eastAsia" w:ascii="宋体" w:hAnsi="宋体" w:eastAsia="宋体" w:cs="宋体"/>
          <w:szCs w:val="21"/>
          <w:highlight w:val="none"/>
          <w:u w:val="single"/>
        </w:rPr>
        <w:t xml:space="preserve">                           </w:t>
      </w:r>
    </w:p>
    <w:p w14:paraId="6DC7E889">
      <w:p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         分包金额（如有）小写：</w:t>
      </w:r>
      <w:r>
        <w:rPr>
          <w:rFonts w:hint="eastAsia" w:ascii="宋体" w:hAnsi="宋体" w:eastAsia="宋体" w:cs="宋体"/>
          <w:szCs w:val="21"/>
          <w:highlight w:val="none"/>
          <w:u w:val="single"/>
        </w:rPr>
        <w:t xml:space="preserve">                   </w:t>
      </w:r>
    </w:p>
    <w:p w14:paraId="2AA40093">
      <w:pPr>
        <w:adjustRightInd w:val="0"/>
        <w:snapToGrid w:val="0"/>
        <w:spacing w:line="400" w:lineRule="exact"/>
        <w:rPr>
          <w:rFonts w:hint="eastAsia" w:ascii="宋体" w:hAnsi="宋体" w:eastAsia="宋体" w:cs="宋体"/>
          <w:szCs w:val="21"/>
          <w:highlight w:val="none"/>
          <w:u w:val="single"/>
        </w:rPr>
      </w:pPr>
      <w:r>
        <w:rPr>
          <w:rFonts w:hint="eastAsia" w:ascii="宋体" w:hAnsi="宋体" w:eastAsia="宋体" w:cs="宋体"/>
          <w:szCs w:val="21"/>
          <w:highlight w:val="none"/>
        </w:rPr>
        <w:t xml:space="preserve">                     大写：</w:t>
      </w:r>
      <w:r>
        <w:rPr>
          <w:rFonts w:hint="eastAsia" w:ascii="宋体" w:hAnsi="宋体" w:eastAsia="宋体" w:cs="宋体"/>
          <w:szCs w:val="21"/>
          <w:highlight w:val="none"/>
          <w:u w:val="single"/>
        </w:rPr>
        <w:t xml:space="preserve">                       </w:t>
      </w:r>
    </w:p>
    <w:p w14:paraId="1AA79A74">
      <w:p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    （注：固定单价合同应填写单价和最高限价）</w:t>
      </w:r>
    </w:p>
    <w:p w14:paraId="3E3A0BB4">
      <w:pPr>
        <w:numPr>
          <w:ilvl w:val="255"/>
          <w:numId w:val="0"/>
        </w:numPr>
        <w:adjustRightInd w:val="0"/>
        <w:snapToGrid w:val="0"/>
        <w:spacing w:line="400" w:lineRule="exact"/>
        <w:rPr>
          <w:rFonts w:hint="eastAsia" w:ascii="宋体" w:hAnsi="宋体" w:eastAsia="宋体" w:cs="宋体"/>
          <w:szCs w:val="21"/>
          <w:highlight w:val="none"/>
        </w:rPr>
      </w:pPr>
      <w:r>
        <w:rPr>
          <w:rFonts w:hint="eastAsia" w:ascii="宋体" w:hAnsi="宋体" w:eastAsia="宋体" w:cs="宋体"/>
          <w:szCs w:val="21"/>
          <w:highlight w:val="none"/>
        </w:rPr>
        <w:t xml:space="preserve">    （2）合同定价方式（采用组合定价方式的，可以勾选多项）：</w:t>
      </w:r>
    </w:p>
    <w:p w14:paraId="003AF892">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固定总价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固定单价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固定费率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成本补偿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绩效激励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其他</w:t>
      </w:r>
      <w:r>
        <w:rPr>
          <w:rFonts w:hint="eastAsia" w:ascii="宋体" w:hAnsi="宋体" w:eastAsia="宋体" w:cs="宋体"/>
          <w:szCs w:val="21"/>
          <w:highlight w:val="none"/>
          <w:u w:val="single"/>
        </w:rPr>
        <w:t xml:space="preserve">       </w:t>
      </w:r>
    </w:p>
    <w:p w14:paraId="1E252DD3">
      <w:pPr>
        <w:pStyle w:val="68"/>
        <w:spacing w:line="400" w:lineRule="exact"/>
        <w:rPr>
          <w:rFonts w:hint="eastAsia" w:ascii="宋体" w:hAnsi="宋体" w:eastAsia="宋体" w:cs="宋体"/>
          <w:highlight w:val="none"/>
        </w:rPr>
      </w:pPr>
      <w:r>
        <w:rPr>
          <w:rFonts w:hint="eastAsia" w:ascii="宋体" w:hAnsi="宋体" w:eastAsia="宋体" w:cs="宋体"/>
          <w:highlight w:val="none"/>
        </w:rPr>
        <w:t>（3）付款方式（按项目实际勾选填写）：</w:t>
      </w:r>
    </w:p>
    <w:p w14:paraId="5272F6E2">
      <w:pPr>
        <w:adjustRightInd w:val="0"/>
        <w:snapToGrid w:val="0"/>
        <w:spacing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全额付款：</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合同中另行约定</w:t>
      </w:r>
      <w:r>
        <w:rPr>
          <w:rFonts w:hint="eastAsia" w:ascii="宋体" w:hAnsi="宋体" w:eastAsia="宋体" w:cs="宋体"/>
          <w:szCs w:val="21"/>
          <w:highlight w:val="none"/>
          <w:u w:val="single"/>
        </w:rPr>
        <w:t xml:space="preserve">                    </w:t>
      </w:r>
    </w:p>
    <w:p w14:paraId="71E9CD95">
      <w:pPr>
        <w:snapToGrid w:val="0"/>
        <w:spacing w:line="400" w:lineRule="exact"/>
        <w:ind w:firstLine="630" w:firstLineChars="300"/>
        <w:rPr>
          <w:rFonts w:hint="eastAsia" w:ascii="宋体" w:hAnsi="宋体" w:eastAsia="宋体" w:cs="宋体"/>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分期付款：</w:t>
      </w:r>
      <w:r>
        <w:rPr>
          <w:rFonts w:hint="eastAsia" w:ascii="宋体" w:hAnsi="宋体" w:eastAsia="宋体" w:cs="宋体"/>
          <w:szCs w:val="21"/>
          <w:highlight w:val="none"/>
          <w:u w:val="single"/>
        </w:rPr>
        <w:t xml:space="preserve">  （应明确分期支付合同款项的各期比例和支付条件，各期支付条件应与分期履约验收情况挂钩） </w:t>
      </w:r>
      <w:r>
        <w:rPr>
          <w:rFonts w:hint="eastAsia" w:ascii="宋体" w:hAnsi="宋体" w:eastAsia="宋体" w:cs="宋体"/>
          <w:szCs w:val="21"/>
          <w:highlight w:val="none"/>
        </w:rPr>
        <w:t>，其中涉及预付款的：</w:t>
      </w:r>
      <w:r>
        <w:rPr>
          <w:rFonts w:hint="eastAsia" w:ascii="宋体" w:hAnsi="宋体" w:eastAsia="宋体" w:cs="宋体"/>
          <w:szCs w:val="21"/>
          <w:highlight w:val="none"/>
          <w:u w:val="single"/>
        </w:rPr>
        <w:t xml:space="preserve"> （应明确预付款的支付比例和支付条件） </w:t>
      </w:r>
    </w:p>
    <w:p w14:paraId="1CBF41EC">
      <w:pPr>
        <w:adjustRightInd w:val="0"/>
        <w:snapToGrid w:val="0"/>
        <w:spacing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成本补偿：</w:t>
      </w:r>
      <w:r>
        <w:rPr>
          <w:rFonts w:hint="eastAsia" w:ascii="宋体" w:hAnsi="宋体" w:eastAsia="宋体" w:cs="宋体"/>
          <w:szCs w:val="21"/>
          <w:highlight w:val="none"/>
          <w:u w:val="single"/>
        </w:rPr>
        <w:t xml:space="preserve">      （应明确按照成本补偿方式的支付方式和支付条件）   </w:t>
      </w:r>
    </w:p>
    <w:p w14:paraId="362BABA9">
      <w:pPr>
        <w:adjustRightInd w:val="0"/>
        <w:snapToGrid w:val="0"/>
        <w:spacing w:line="400" w:lineRule="exact"/>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绩效激励：</w:t>
      </w:r>
      <w:r>
        <w:rPr>
          <w:rFonts w:hint="eastAsia" w:ascii="宋体" w:hAnsi="宋体" w:eastAsia="宋体" w:cs="宋体"/>
          <w:szCs w:val="21"/>
          <w:highlight w:val="none"/>
          <w:u w:val="single"/>
        </w:rPr>
        <w:t xml:space="preserve">      （应明确按照绩效激励方式的支付方式和支付条件）   </w:t>
      </w:r>
    </w:p>
    <w:p w14:paraId="5CDCF1D2">
      <w:pPr>
        <w:numPr>
          <w:ilvl w:val="0"/>
          <w:numId w:val="16"/>
        </w:numPr>
        <w:adjustRightInd w:val="0"/>
        <w:snapToGrid w:val="0"/>
        <w:spacing w:line="400" w:lineRule="exact"/>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rPr>
        <w:t>合同履行</w:t>
      </w:r>
    </w:p>
    <w:p w14:paraId="476C30BC">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F3D317C">
      <w:pPr>
        <w:adjustRightInd w:val="0"/>
        <w:snapToGrid w:val="0"/>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（2）履约地点</w:t>
      </w:r>
      <w:r>
        <w:rPr>
          <w:rFonts w:hint="eastAsia" w:ascii="宋体" w:hAnsi="宋体" w:eastAsia="宋体" w:cs="宋体"/>
          <w:bCs/>
          <w:szCs w:val="21"/>
          <w:highlight w:val="none"/>
        </w:rPr>
        <w:t>：</w:t>
      </w:r>
      <w:r>
        <w:rPr>
          <w:rFonts w:hint="eastAsia" w:ascii="宋体" w:hAnsi="宋体" w:eastAsia="宋体" w:cs="宋体"/>
          <w:szCs w:val="21"/>
          <w:highlight w:val="none"/>
          <w:u w:val="single"/>
        </w:rPr>
        <w:t xml:space="preserve">                             </w:t>
      </w:r>
    </w:p>
    <w:p w14:paraId="0E9FF30E">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（3）履约担保：</w:t>
      </w:r>
      <w:r>
        <w:rPr>
          <w:rFonts w:hint="eastAsia" w:ascii="宋体" w:hAnsi="宋体" w:eastAsia="宋体" w:cs="宋体"/>
          <w:highlight w:val="none"/>
        </w:rPr>
        <w:t>是否收取履约保证金：</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 xml:space="preserve">是    </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否</w:t>
      </w:r>
    </w:p>
    <w:p w14:paraId="2D0BA1BE">
      <w:pPr>
        <w:pStyle w:val="94"/>
        <w:rPr>
          <w:rFonts w:hint="eastAsia" w:ascii="宋体" w:hAnsi="宋体" w:eastAsia="宋体" w:cs="宋体"/>
          <w:sz w:val="21"/>
          <w:highlight w:val="none"/>
        </w:rPr>
      </w:pPr>
      <w:r>
        <w:rPr>
          <w:rFonts w:hint="eastAsia" w:ascii="宋体" w:hAnsi="宋体" w:eastAsia="宋体" w:cs="宋体"/>
          <w:bCs/>
          <w:highlight w:val="none"/>
        </w:rPr>
        <w:t xml:space="preserve">  </w:t>
      </w:r>
      <w:r>
        <w:rPr>
          <w:rFonts w:hint="eastAsia" w:ascii="宋体" w:hAnsi="宋体" w:eastAsia="宋体" w:cs="宋体"/>
          <w:sz w:val="21"/>
          <w:highlight w:val="none"/>
        </w:rPr>
        <w:t xml:space="preserve">  收取履约保证金形式：</w:t>
      </w:r>
      <w:r>
        <w:rPr>
          <w:rFonts w:hint="eastAsia" w:ascii="宋体" w:hAnsi="宋体" w:eastAsia="宋体" w:cs="宋体"/>
          <w:bCs/>
          <w:sz w:val="21"/>
          <w:highlight w:val="none"/>
          <w:u w:val="single"/>
        </w:rPr>
        <w:t xml:space="preserve">                            </w:t>
      </w:r>
    </w:p>
    <w:p w14:paraId="5F2601C4">
      <w:pPr>
        <w:pStyle w:val="94"/>
        <w:ind w:firstLine="420"/>
        <w:rPr>
          <w:rFonts w:hint="eastAsia"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 xml:space="preserve">                            </w:t>
      </w:r>
    </w:p>
    <w:p w14:paraId="5CD562AF">
      <w:pPr>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bCs/>
          <w:szCs w:val="21"/>
          <w:highlight w:val="none"/>
        </w:rPr>
        <w:t xml:space="preserve">    履约担保期限：</w:t>
      </w:r>
      <w:r>
        <w:rPr>
          <w:rFonts w:hint="eastAsia" w:ascii="宋体" w:hAnsi="宋体" w:eastAsia="宋体" w:cs="宋体"/>
          <w:bCs/>
          <w:szCs w:val="21"/>
          <w:highlight w:val="none"/>
          <w:u w:val="single"/>
        </w:rPr>
        <w:t xml:space="preserve">                                  </w:t>
      </w:r>
    </w:p>
    <w:p w14:paraId="241A1D80">
      <w:pPr>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p>
    <w:p w14:paraId="69A8C1A3">
      <w:pPr>
        <w:adjustRightInd w:val="0"/>
        <w:snapToGrid w:val="0"/>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（5）风险处置措施和替代方案：</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szCs w:val="21"/>
          <w:highlight w:val="none"/>
          <w:u w:val="single"/>
        </w:rPr>
        <w:t xml:space="preserve">                                                </w:t>
      </w:r>
    </w:p>
    <w:p w14:paraId="6F49DAEC">
      <w:pPr>
        <w:numPr>
          <w:ilvl w:val="0"/>
          <w:numId w:val="16"/>
        </w:numPr>
        <w:adjustRightInd w:val="0"/>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合同验收</w:t>
      </w:r>
    </w:p>
    <w:p w14:paraId="7DF6A710">
      <w:pPr>
        <w:numPr>
          <w:ilvl w:val="0"/>
          <w:numId w:val="18"/>
        </w:numPr>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验收组织方式：</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 xml:space="preserve">自行组织 </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委托第三方组织</w:t>
      </w:r>
    </w:p>
    <w:p w14:paraId="458AF4B7">
      <w:pPr>
        <w:adjustRightInd w:val="0"/>
        <w:snapToGrid w:val="0"/>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 xml:space="preserve">         验收主体：</w:t>
      </w:r>
      <w:r>
        <w:rPr>
          <w:rFonts w:hint="eastAsia" w:ascii="宋体" w:hAnsi="宋体" w:eastAsia="宋体" w:cs="宋体"/>
          <w:bCs/>
          <w:szCs w:val="21"/>
          <w:highlight w:val="none"/>
          <w:u w:val="single"/>
        </w:rPr>
        <w:t xml:space="preserve">                  </w:t>
      </w:r>
    </w:p>
    <w:p w14:paraId="4C4B9559">
      <w:pPr>
        <w:adjustRightInd w:val="0"/>
        <w:snapToGrid w:val="0"/>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 xml:space="preserve">        是否邀请本项目的其他供应商参加验收：</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否</w:t>
      </w:r>
    </w:p>
    <w:p w14:paraId="6C41CB1E">
      <w:pPr>
        <w:adjustRightInd w:val="0"/>
        <w:snapToGrid w:val="0"/>
        <w:spacing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是否邀请专家参加验收：</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否</w:t>
      </w:r>
    </w:p>
    <w:p w14:paraId="2C9BA256">
      <w:pPr>
        <w:adjustRightInd w:val="0"/>
        <w:snapToGrid w:val="0"/>
        <w:spacing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是否邀请服务对象参加验收：</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否</w:t>
      </w:r>
    </w:p>
    <w:p w14:paraId="00C5AF19">
      <w:pPr>
        <w:adjustRightInd w:val="0"/>
        <w:snapToGrid w:val="0"/>
        <w:spacing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是否邀请第三方检测机构参加验收：</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否</w:t>
      </w:r>
    </w:p>
    <w:p w14:paraId="5A1A168C">
      <w:pPr>
        <w:adjustRightInd w:val="0"/>
        <w:snapToGrid w:val="0"/>
        <w:spacing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是否进行抽查检测：</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是，抽查比例：</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否</w:t>
      </w:r>
    </w:p>
    <w:p w14:paraId="77F2CFC1">
      <w:pPr>
        <w:adjustRightInd w:val="0"/>
        <w:snapToGrid w:val="0"/>
        <w:spacing w:line="400" w:lineRule="exact"/>
        <w:ind w:firstLine="840" w:firstLineChars="400"/>
        <w:rPr>
          <w:rFonts w:hint="eastAsia" w:ascii="宋体" w:hAnsi="宋体" w:eastAsia="宋体" w:cs="宋体"/>
          <w:bCs/>
          <w:szCs w:val="21"/>
          <w:highlight w:val="none"/>
          <w:u w:val="single"/>
        </w:rPr>
      </w:pPr>
      <w:r>
        <w:rPr>
          <w:rFonts w:hint="eastAsia" w:ascii="宋体" w:hAnsi="宋体" w:eastAsia="宋体" w:cs="宋体"/>
          <w:bCs/>
          <w:szCs w:val="21"/>
          <w:highlight w:val="none"/>
        </w:rPr>
        <w:t>是否存在破坏性检测：</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是，</w:t>
      </w:r>
      <w:r>
        <w:rPr>
          <w:rFonts w:hint="eastAsia" w:ascii="宋体" w:hAnsi="宋体" w:eastAsia="宋体" w:cs="宋体"/>
          <w:bCs/>
          <w:szCs w:val="21"/>
          <w:highlight w:val="none"/>
          <w:u w:val="single"/>
        </w:rPr>
        <w:t>（应明确对被破坏的检测产品的处理方式）</w:t>
      </w:r>
    </w:p>
    <w:p w14:paraId="5A53C08F">
      <w:pPr>
        <w:adjustRightInd w:val="0"/>
        <w:snapToGrid w:val="0"/>
        <w:spacing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否</w:t>
      </w:r>
    </w:p>
    <w:p w14:paraId="124698D6">
      <w:pPr>
        <w:adjustRightInd w:val="0"/>
        <w:snapToGrid w:val="0"/>
        <w:spacing w:line="400" w:lineRule="exact"/>
        <w:ind w:firstLine="840" w:firstLineChars="400"/>
        <w:rPr>
          <w:rFonts w:hint="eastAsia" w:ascii="宋体" w:hAnsi="宋体" w:eastAsia="宋体" w:cs="宋体"/>
          <w:bCs/>
          <w:szCs w:val="21"/>
          <w:highlight w:val="none"/>
          <w:u w:val="single"/>
        </w:rPr>
      </w:pPr>
      <w:r>
        <w:rPr>
          <w:rFonts w:hint="eastAsia" w:ascii="宋体" w:hAnsi="宋体" w:eastAsia="宋体" w:cs="宋体"/>
          <w:bCs/>
          <w:szCs w:val="21"/>
          <w:highlight w:val="none"/>
        </w:rPr>
        <w:t>验收组织的其他事项：</w:t>
      </w:r>
      <w:r>
        <w:rPr>
          <w:rFonts w:hint="eastAsia" w:ascii="宋体" w:hAnsi="宋体" w:eastAsia="宋体" w:cs="宋体"/>
          <w:bCs/>
          <w:szCs w:val="21"/>
          <w:highlight w:val="none"/>
          <w:u w:val="single"/>
        </w:rPr>
        <w:t xml:space="preserve">                </w:t>
      </w:r>
    </w:p>
    <w:p w14:paraId="6FB1B6A7">
      <w:pPr>
        <w:adjustRightInd w:val="0"/>
        <w:snapToGrid w:val="0"/>
        <w:spacing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（2）履约验收时间：</w:t>
      </w:r>
      <w:r>
        <w:rPr>
          <w:rFonts w:hint="eastAsia" w:ascii="宋体" w:hAnsi="宋体" w:eastAsia="宋体" w:cs="宋体"/>
          <w:bCs/>
          <w:szCs w:val="21"/>
          <w:highlight w:val="none"/>
          <w:u w:val="single"/>
        </w:rPr>
        <w:t xml:space="preserve">（计划于何时验收/供应商提出验收申请之日起   日内组织验收） </w:t>
      </w:r>
    </w:p>
    <w:p w14:paraId="2145B138">
      <w:pPr>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（3）履约验收方式：</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 xml:space="preserve">一次性验收         </w:t>
      </w:r>
    </w:p>
    <w:p w14:paraId="0763490B">
      <w:pPr>
        <w:adjustRightInd w:val="0"/>
        <w:snapToGrid w:val="0"/>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r>
        <w:rPr>
          <w:rFonts w:hint="eastAsia" w:ascii="宋体" w:hAnsi="宋体" w:eastAsia="宋体" w:cs="宋体"/>
          <w:szCs w:val="21"/>
          <w:highlight w:val="none"/>
        </w:rPr>
        <w:sym w:font="Wingdings" w:char="00A8"/>
      </w:r>
      <w:r>
        <w:rPr>
          <w:rFonts w:hint="eastAsia" w:ascii="宋体" w:hAnsi="宋体" w:eastAsia="宋体" w:cs="宋体"/>
          <w:bCs/>
          <w:szCs w:val="21"/>
          <w:highlight w:val="none"/>
        </w:rPr>
        <w:t>分期/分项验收：</w:t>
      </w:r>
      <w:r>
        <w:rPr>
          <w:rFonts w:hint="eastAsia" w:ascii="宋体" w:hAnsi="宋体" w:eastAsia="宋体" w:cs="宋体"/>
          <w:bCs/>
          <w:szCs w:val="21"/>
          <w:highlight w:val="none"/>
          <w:u w:val="single"/>
        </w:rPr>
        <w:t xml:space="preserve"> （应明确分期/分项验收的工作安排）  </w:t>
      </w:r>
    </w:p>
    <w:p w14:paraId="616D1E76">
      <w:pPr>
        <w:adjustRightInd w:val="0"/>
        <w:snapToGrid w:val="0"/>
        <w:spacing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（4）履约验收程序：</w:t>
      </w:r>
      <w:r>
        <w:rPr>
          <w:rFonts w:hint="eastAsia" w:ascii="宋体" w:hAnsi="宋体" w:eastAsia="宋体" w:cs="宋体"/>
          <w:bCs/>
          <w:szCs w:val="21"/>
          <w:highlight w:val="none"/>
          <w:u w:val="single"/>
        </w:rPr>
        <w:t xml:space="preserve">                                         </w:t>
      </w:r>
    </w:p>
    <w:p w14:paraId="4E518D16">
      <w:pPr>
        <w:adjustRightInd w:val="0"/>
        <w:snapToGrid w:val="0"/>
        <w:spacing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（5）履约验收的内容：</w:t>
      </w:r>
      <w:r>
        <w:rPr>
          <w:rFonts w:hint="eastAsia" w:ascii="宋体" w:hAnsi="宋体" w:eastAsia="宋体" w:cs="宋体"/>
          <w:bCs/>
          <w:szCs w:val="21"/>
          <w:highlight w:val="none"/>
          <w:u w:val="single"/>
        </w:rPr>
        <w:t xml:space="preserve"> （应当包括每一项技术和商务要求的履约情况，特别是落实政府采购扶持中小企业，支持绿色发展和乡村振兴等政策情况）                                      </w:t>
      </w:r>
    </w:p>
    <w:p w14:paraId="045B312C">
      <w:pPr>
        <w:adjustRightInd w:val="0"/>
        <w:snapToGrid w:val="0"/>
        <w:spacing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（6）履约验收标准：</w:t>
      </w:r>
      <w:r>
        <w:rPr>
          <w:rFonts w:hint="eastAsia" w:ascii="宋体" w:hAnsi="宋体" w:eastAsia="宋体" w:cs="宋体"/>
          <w:bCs/>
          <w:szCs w:val="21"/>
          <w:highlight w:val="none"/>
          <w:u w:val="single"/>
        </w:rPr>
        <w:t xml:space="preserve">                                         </w:t>
      </w:r>
    </w:p>
    <w:p w14:paraId="73034309">
      <w:pPr>
        <w:pStyle w:val="94"/>
        <w:ind w:firstLine="420"/>
        <w:rPr>
          <w:rFonts w:hint="eastAsia" w:ascii="宋体" w:hAnsi="宋体" w:eastAsia="宋体" w:cs="宋体"/>
          <w:sz w:val="21"/>
          <w:highlight w:val="none"/>
        </w:rPr>
      </w:pPr>
      <w:r>
        <w:rPr>
          <w:rFonts w:hint="eastAsia" w:ascii="宋体" w:hAnsi="宋体" w:eastAsia="宋体" w:cs="宋体"/>
          <w:bCs/>
          <w:sz w:val="21"/>
          <w:highlight w:val="none"/>
        </w:rPr>
        <w:t>（7）是否以采购活动中供应商提供的样品作为参考：</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 xml:space="preserve">是  </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否</w:t>
      </w:r>
    </w:p>
    <w:p w14:paraId="6E8AA3FE">
      <w:pPr>
        <w:adjustRightInd w:val="0"/>
        <w:snapToGrid w:val="0"/>
        <w:spacing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（产权过户登记等）          </w:t>
      </w:r>
    </w:p>
    <w:p w14:paraId="789543CA">
      <w:pPr>
        <w:numPr>
          <w:ilvl w:val="0"/>
          <w:numId w:val="16"/>
        </w:numPr>
        <w:adjustRightInd w:val="0"/>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组成合同的文件</w:t>
      </w:r>
    </w:p>
    <w:p w14:paraId="7842C694">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本协议书与下列文件一起构成合同文件，如下述文件之间有任何抵触、矛盾或歧义，应按以下顺序解释：</w:t>
      </w:r>
    </w:p>
    <w:p w14:paraId="20DF058D">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（1）政府采购合同协议书及其变更、补充协议</w:t>
      </w:r>
    </w:p>
    <w:p w14:paraId="5F7E01AD">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（2）政府采购合同专用条款</w:t>
      </w:r>
    </w:p>
    <w:p w14:paraId="745F0E6D">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（3）政府采购合同通用条款</w:t>
      </w:r>
    </w:p>
    <w:p w14:paraId="1509545B">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（4）中标（成交）通知书</w:t>
      </w:r>
    </w:p>
    <w:p w14:paraId="6D1D4EDE">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（5）投标（响应）文件</w:t>
      </w:r>
    </w:p>
    <w:p w14:paraId="2D3D3EB0">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（6）采购文件</w:t>
      </w:r>
    </w:p>
    <w:p w14:paraId="1AC139F0">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（7）有关技术文件，图纸</w:t>
      </w:r>
    </w:p>
    <w:p w14:paraId="762240C4">
      <w:pPr>
        <w:pStyle w:val="94"/>
        <w:ind w:firstLine="420"/>
        <w:rPr>
          <w:rFonts w:hint="eastAsia" w:ascii="宋体" w:hAnsi="宋体" w:eastAsia="宋体" w:cs="宋体"/>
          <w:kern w:val="2"/>
          <w:sz w:val="21"/>
          <w:highlight w:val="none"/>
        </w:rPr>
      </w:pPr>
      <w:r>
        <w:rPr>
          <w:rFonts w:hint="eastAsia" w:ascii="宋体" w:hAnsi="宋体" w:eastAsia="宋体" w:cs="宋体"/>
          <w:sz w:val="21"/>
          <w:highlight w:val="none"/>
        </w:rPr>
        <w:t>（8）</w:t>
      </w:r>
      <w:r>
        <w:rPr>
          <w:rFonts w:hint="eastAsia" w:ascii="宋体" w:hAnsi="宋体" w:eastAsia="宋体" w:cs="宋体"/>
          <w:color w:val="000000" w:themeColor="text1"/>
          <w:kern w:val="2"/>
          <w:sz w:val="21"/>
          <w:highlight w:val="none"/>
          <w14:textFill>
            <w14:solidFill>
              <w14:schemeClr w14:val="tx1"/>
            </w14:solidFill>
          </w14:textFill>
        </w:rPr>
        <w:t>国家法律、行政法规和规章制度规定或合同约定的作为合同组成部分的其他文件</w:t>
      </w:r>
    </w:p>
    <w:p w14:paraId="24C8ECE8">
      <w:pPr>
        <w:numPr>
          <w:ilvl w:val="0"/>
          <w:numId w:val="16"/>
        </w:numPr>
        <w:adjustRightInd w:val="0"/>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合同生效</w:t>
      </w:r>
    </w:p>
    <w:p w14:paraId="50EBC688">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本合同自</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生效。</w:t>
      </w:r>
    </w:p>
    <w:p w14:paraId="367F6A8E">
      <w:pPr>
        <w:numPr>
          <w:ilvl w:val="0"/>
          <w:numId w:val="16"/>
        </w:numPr>
        <w:adjustRightInd w:val="0"/>
        <w:snapToGrid w:val="0"/>
        <w:spacing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合同份数</w:t>
      </w:r>
    </w:p>
    <w:p w14:paraId="078FF339">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本合同一式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份，甲方执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份，乙方执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份，均具有同等法律效力。</w:t>
      </w:r>
    </w:p>
    <w:p w14:paraId="0E721AA0">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C29E059">
      <w:pPr>
        <w:adjustRightInd w:val="0"/>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合同订立地点：</w:t>
      </w:r>
      <w:r>
        <w:rPr>
          <w:rFonts w:hint="eastAsia" w:ascii="宋体" w:hAnsi="宋体" w:eastAsia="宋体" w:cs="宋体"/>
          <w:szCs w:val="21"/>
          <w:highlight w:val="none"/>
          <w:u w:val="single"/>
        </w:rPr>
        <w:t xml:space="preserve">                           </w:t>
      </w:r>
    </w:p>
    <w:p w14:paraId="7FAD2864">
      <w:pPr>
        <w:adjustRightInd w:val="0"/>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附件：具体标的及其技术要求和商务要求、联合协议、分包意向协议等。</w:t>
      </w:r>
    </w:p>
    <w:p w14:paraId="2E9AA8A2">
      <w:pPr>
        <w:rPr>
          <w:rFonts w:hint="eastAsia" w:ascii="宋体" w:hAnsi="宋体" w:eastAsia="宋体" w:cs="宋体"/>
          <w:highlight w:val="none"/>
        </w:rPr>
      </w:pPr>
      <w:r>
        <w:rPr>
          <w:rFonts w:hint="eastAsia" w:ascii="宋体" w:hAnsi="宋体" w:eastAsia="宋体" w:cs="宋体"/>
          <w:highlight w:val="none"/>
        </w:rPr>
        <w:t xml:space="preserve">   </w:t>
      </w:r>
    </w:p>
    <w:p w14:paraId="399E5525">
      <w:pPr>
        <w:rPr>
          <w:rFonts w:hint="eastAsia" w:ascii="宋体" w:hAnsi="宋体" w:eastAsia="宋体" w:cs="宋体"/>
          <w:highlight w:val="none"/>
        </w:rPr>
      </w:pPr>
      <w:r>
        <w:rPr>
          <w:rFonts w:hint="eastAsia" w:ascii="宋体" w:hAnsi="宋体" w:eastAsia="宋体" w:cs="宋体"/>
          <w:highlight w:val="none"/>
        </w:rPr>
        <w:br w:type="page"/>
      </w:r>
    </w:p>
    <w:p w14:paraId="4C3F749E">
      <w:pPr>
        <w:pStyle w:val="68"/>
        <w:rPr>
          <w:rFonts w:hint="eastAsia" w:ascii="宋体" w:hAnsi="宋体" w:eastAsia="宋体" w:cs="宋体"/>
          <w:highlight w:val="none"/>
        </w:rPr>
      </w:pPr>
    </w:p>
    <w:tbl>
      <w:tblPr>
        <w:tblStyle w:val="2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78AE5F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760FAA9B">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highlight w:val="none"/>
              </w:rPr>
            </w:pPr>
            <w:r>
              <w:rPr>
                <w:rFonts w:hint="eastAsia" w:ascii="宋体" w:hAnsi="宋体" w:eastAsia="宋体" w:cs="宋体"/>
                <w:szCs w:val="21"/>
                <w:highlight w:val="none"/>
              </w:rPr>
              <w:t>甲方（采购人、受采购人委托签订合同的单位或采购文件约定的合同甲方）</w:t>
            </w:r>
          </w:p>
        </w:tc>
        <w:tc>
          <w:tcPr>
            <w:tcW w:w="4095" w:type="dxa"/>
            <w:gridSpan w:val="2"/>
            <w:tcBorders>
              <w:left w:val="single" w:color="auto" w:sz="2" w:space="0"/>
              <w:bottom w:val="single" w:color="auto" w:sz="2" w:space="0"/>
            </w:tcBorders>
            <w:vAlign w:val="center"/>
          </w:tcPr>
          <w:p w14:paraId="0A43F4A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highlight w:val="none"/>
              </w:rPr>
            </w:pPr>
            <w:r>
              <w:rPr>
                <w:rFonts w:hint="eastAsia" w:ascii="宋体" w:hAnsi="宋体" w:eastAsia="宋体" w:cs="宋体"/>
                <w:szCs w:val="21"/>
                <w:highlight w:val="none"/>
              </w:rPr>
              <w:t>乙方（供应商）</w:t>
            </w:r>
          </w:p>
        </w:tc>
      </w:tr>
      <w:tr w14:paraId="2B5772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19D97C11">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A2B5A96">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A060EDA">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单位名称（公章或合同章）</w:t>
            </w:r>
          </w:p>
        </w:tc>
        <w:tc>
          <w:tcPr>
            <w:tcW w:w="2116" w:type="dxa"/>
            <w:tcBorders>
              <w:top w:val="single" w:color="auto" w:sz="2" w:space="0"/>
              <w:left w:val="single" w:color="auto" w:sz="2" w:space="0"/>
              <w:bottom w:val="single" w:color="auto" w:sz="2" w:space="0"/>
            </w:tcBorders>
            <w:vAlign w:val="center"/>
          </w:tcPr>
          <w:p w14:paraId="336C1B37">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775AA0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06C7D8D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5BDFBEBA">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7ED27EFF">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right w:val="single" w:color="auto" w:sz="2" w:space="0"/>
            </w:tcBorders>
            <w:vAlign w:val="center"/>
          </w:tcPr>
          <w:p w14:paraId="0364D31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6B8B4AA5">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2116" w:type="dxa"/>
            <w:tcBorders>
              <w:top w:val="single" w:color="auto" w:sz="2" w:space="0"/>
              <w:left w:val="single" w:color="auto" w:sz="2" w:space="0"/>
              <w:bottom w:val="single" w:color="auto" w:sz="2" w:space="0"/>
            </w:tcBorders>
            <w:vAlign w:val="center"/>
          </w:tcPr>
          <w:p w14:paraId="694A3A02">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r>
      <w:tr w14:paraId="67F0B4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7AA1208A">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20B5979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2C7256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拥有者性别</w:t>
            </w:r>
          </w:p>
        </w:tc>
        <w:tc>
          <w:tcPr>
            <w:tcW w:w="2116" w:type="dxa"/>
            <w:tcBorders>
              <w:top w:val="single" w:color="auto" w:sz="2" w:space="0"/>
              <w:left w:val="single" w:color="auto" w:sz="2" w:space="0"/>
              <w:bottom w:val="single" w:color="auto" w:sz="2" w:space="0"/>
            </w:tcBorders>
            <w:vAlign w:val="center"/>
          </w:tcPr>
          <w:p w14:paraId="292F4F80">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28A90C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47B1375">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2651B6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0F0AE01">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住  所</w:t>
            </w:r>
          </w:p>
        </w:tc>
        <w:tc>
          <w:tcPr>
            <w:tcW w:w="2116" w:type="dxa"/>
            <w:tcBorders>
              <w:top w:val="single" w:color="auto" w:sz="2" w:space="0"/>
              <w:left w:val="single" w:color="auto" w:sz="2" w:space="0"/>
              <w:bottom w:val="single" w:color="auto" w:sz="2" w:space="0"/>
            </w:tcBorders>
            <w:vAlign w:val="center"/>
          </w:tcPr>
          <w:p w14:paraId="11371155">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61F981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AEF4AD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8D56AC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7CF899F">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2116" w:type="dxa"/>
            <w:tcBorders>
              <w:top w:val="single" w:color="auto" w:sz="2" w:space="0"/>
              <w:left w:val="single" w:color="auto" w:sz="2" w:space="0"/>
              <w:bottom w:val="single" w:color="auto" w:sz="2" w:space="0"/>
            </w:tcBorders>
            <w:vAlign w:val="center"/>
          </w:tcPr>
          <w:p w14:paraId="489E363F">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0C84B7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65EC34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3D98F44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1671C2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38B098E3">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02C2E4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B0629DB">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10AD5E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043AAA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通信地址</w:t>
            </w:r>
          </w:p>
        </w:tc>
        <w:tc>
          <w:tcPr>
            <w:tcW w:w="2116" w:type="dxa"/>
            <w:tcBorders>
              <w:top w:val="single" w:color="auto" w:sz="2" w:space="0"/>
              <w:left w:val="single" w:color="auto" w:sz="2" w:space="0"/>
              <w:bottom w:val="single" w:color="auto" w:sz="2" w:space="0"/>
            </w:tcBorders>
            <w:vAlign w:val="center"/>
          </w:tcPr>
          <w:p w14:paraId="2141D28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41EFB0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5D01C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4BD66A5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E935B77">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5FB22C71">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3271C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5682E76">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61047EE">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6A993C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7067C950">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42612B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F66F5E0">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CDD51A8">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DF56FE2">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3564DDA0">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3460D1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99FB69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246CD1D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E81DE7C">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42C53E9F">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6F0083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F65FA29">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69F0C76">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BA2EA3B">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563700A4">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182620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7A9A467">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40F26AB7">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F35645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58AD573D">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spacing w:val="20"/>
                <w:szCs w:val="21"/>
                <w:highlight w:val="none"/>
              </w:rPr>
            </w:pPr>
          </w:p>
        </w:tc>
      </w:tr>
      <w:tr w14:paraId="052DF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53AD294F">
            <w:pPr>
              <w:pStyle w:val="14"/>
              <w:keepNext w:val="0"/>
              <w:keepLines w:val="0"/>
              <w:suppressLineNumbers w:val="0"/>
              <w:adjustRightInd w:val="0"/>
              <w:snapToGrid w:val="0"/>
              <w:spacing w:before="0" w:beforeLines="50" w:beforeAutospacing="0" w:after="0" w:afterAutospacing="0"/>
              <w:ind w:left="0" w:right="0"/>
              <w:jc w:val="left"/>
              <w:rPr>
                <w:rFonts w:hint="eastAsia" w:ascii="宋体" w:hAnsi="宋体" w:eastAsia="宋体" w:cs="宋体"/>
                <w:spacing w:val="20"/>
                <w:szCs w:val="21"/>
                <w:highlight w:val="none"/>
              </w:rPr>
            </w:pPr>
            <w:r>
              <w:rPr>
                <w:rFonts w:hint="eastAsia" w:ascii="宋体" w:hAnsi="宋体" w:eastAsia="宋体" w:cs="宋体"/>
                <w:szCs w:val="21"/>
                <w:highlight w:val="none"/>
              </w:rPr>
              <w:t>注：涉及联合体或其他合同主体的信息应按上表格式加列。</w:t>
            </w:r>
          </w:p>
        </w:tc>
      </w:tr>
    </w:tbl>
    <w:p w14:paraId="685B3FA4">
      <w:pPr>
        <w:pStyle w:val="3"/>
        <w:numPr>
          <w:ilvl w:val="1"/>
          <w:numId w:val="0"/>
        </w:numPr>
        <w:adjustRightInd w:val="0"/>
        <w:snapToGrid w:val="0"/>
        <w:spacing w:beforeLines="50"/>
        <w:jc w:val="center"/>
        <w:rPr>
          <w:rFonts w:hint="eastAsia" w:ascii="宋体" w:hAnsi="宋体" w:eastAsia="宋体" w:cs="宋体"/>
          <w:sz w:val="28"/>
          <w:szCs w:val="28"/>
          <w:highlight w:val="none"/>
        </w:rPr>
      </w:pPr>
      <w:r>
        <w:rPr>
          <w:rFonts w:hint="eastAsia" w:ascii="宋体" w:hAnsi="宋体" w:eastAsia="宋体" w:cs="宋体"/>
          <w:sz w:val="21"/>
          <w:szCs w:val="21"/>
          <w:highlight w:val="none"/>
          <w:u w:val="single"/>
        </w:rPr>
        <w:br w:type="page"/>
      </w:r>
      <w:bookmarkStart w:id="402" w:name="_Toc27624"/>
      <w:r>
        <w:rPr>
          <w:rFonts w:hint="eastAsia" w:ascii="宋体" w:hAnsi="宋体" w:eastAsia="宋体" w:cs="宋体"/>
          <w:b w:val="0"/>
          <w:sz w:val="28"/>
          <w:szCs w:val="28"/>
          <w:highlight w:val="none"/>
        </w:rPr>
        <w:t>第二节 政府采购合同通用条款</w:t>
      </w:r>
      <w:bookmarkEnd w:id="402"/>
    </w:p>
    <w:p w14:paraId="14D6CC76">
      <w:pPr>
        <w:tabs>
          <w:tab w:val="left" w:pos="8820"/>
          <w:tab w:val="left" w:pos="9345"/>
          <w:tab w:val="left" w:pos="9765"/>
        </w:tabs>
        <w:adjustRightInd w:val="0"/>
        <w:snapToGrid w:val="0"/>
        <w:spacing w:line="400" w:lineRule="exact"/>
        <w:jc w:val="left"/>
        <w:rPr>
          <w:rFonts w:hint="eastAsia" w:ascii="宋体" w:hAnsi="宋体" w:eastAsia="宋体" w:cs="宋体"/>
          <w:b/>
          <w:bCs/>
          <w:sz w:val="24"/>
          <w:highlight w:val="none"/>
        </w:rPr>
      </w:pPr>
      <w:r>
        <w:rPr>
          <w:rFonts w:hint="eastAsia" w:ascii="宋体" w:hAnsi="宋体" w:eastAsia="宋体" w:cs="宋体"/>
          <w:b/>
          <w:sz w:val="24"/>
          <w:highlight w:val="none"/>
        </w:rPr>
        <w:t xml:space="preserve">1. </w:t>
      </w:r>
      <w:r>
        <w:rPr>
          <w:rFonts w:hint="eastAsia" w:ascii="宋体" w:hAnsi="宋体" w:eastAsia="宋体" w:cs="宋体"/>
          <w:b/>
          <w:bCs/>
          <w:sz w:val="24"/>
          <w:highlight w:val="none"/>
        </w:rPr>
        <w:t>定义</w:t>
      </w:r>
    </w:p>
    <w:p w14:paraId="7515262C">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1.1合同当事人</w:t>
      </w:r>
    </w:p>
    <w:p w14:paraId="531066EB">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（1）采购人（以下称甲方）是指使用财政性资金，通过政府采购方式向供应商购买货物及其相关服务的国家机关、事业单位、团体组织。</w:t>
      </w:r>
    </w:p>
    <w:p w14:paraId="0FA0004A">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（2）供应商（以下称乙方）是指参加政府采购活动并且中标（成交），向采购人提供合同约定的货物及其相关服务的法人、非法人组织或者自然人。</w:t>
      </w:r>
    </w:p>
    <w:p w14:paraId="653AE85B">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eastAsia="宋体" w:cs="宋体"/>
          <w:szCs w:val="21"/>
          <w:highlight w:val="none"/>
        </w:rPr>
        <w:t>。</w:t>
      </w:r>
    </w:p>
    <w:p w14:paraId="408749D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1.2本合同下列术语应解释为：</w:t>
      </w:r>
    </w:p>
    <w:p w14:paraId="2D4B9EC4">
      <w:pPr>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eastAsia="宋体" w:cs="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themeColor="text1"/>
          <w:szCs w:val="21"/>
          <w:highlight w:val="none"/>
          <w14:textFill>
            <w14:solidFill>
              <w14:schemeClr w14:val="tx1"/>
            </w14:solidFill>
          </w14:textFill>
        </w:rPr>
        <w:t>国家法律、行政法规和规章制度规定或合同约定的作为合同组成部分的其他文件</w:t>
      </w:r>
      <w:r>
        <w:rPr>
          <w:rFonts w:hint="eastAsia" w:ascii="宋体" w:hAnsi="宋体" w:eastAsia="宋体" w:cs="宋体"/>
          <w:szCs w:val="21"/>
          <w:highlight w:val="none"/>
        </w:rPr>
        <w:t>。</w:t>
      </w:r>
    </w:p>
    <w:p w14:paraId="2465949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（2）“合同价款”系指根据本合同规定乙方在全面履行合同义务后甲方应支付给乙方的价款。</w:t>
      </w:r>
    </w:p>
    <w:p w14:paraId="06492B40">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（3）“货物”系指乙方根据本合同规定须向甲方提供的各种形态和种类的物品，包括原材料、设备、产品（</w:t>
      </w:r>
      <w:r>
        <w:rPr>
          <w:rFonts w:hint="eastAsia" w:ascii="宋体" w:hAnsi="宋体" w:eastAsia="宋体" w:cs="宋体"/>
          <w:color w:val="000000" w:themeColor="text1"/>
          <w:szCs w:val="21"/>
          <w:highlight w:val="none"/>
          <w14:textFill>
            <w14:solidFill>
              <w14:schemeClr w14:val="tx1"/>
            </w14:solidFill>
          </w14:textFill>
        </w:rPr>
        <w:t>包括软件）及相关的其备品备件、工具、手册及其他技术资料和材料等。</w:t>
      </w:r>
    </w:p>
    <w:p w14:paraId="26041F10">
      <w:pPr>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szCs w:val="21"/>
          <w:highlight w:val="none"/>
        </w:rPr>
        <w:t>相关</w:t>
      </w:r>
      <w:r>
        <w:rPr>
          <w:rFonts w:hint="eastAsia" w:ascii="宋体" w:hAnsi="宋体" w:eastAsia="宋体" w:cs="宋体"/>
          <w:color w:val="000000" w:themeColor="text1"/>
          <w:szCs w:val="21"/>
          <w:highlight w:val="none"/>
          <w14:textFill>
            <w14:solidFill>
              <w14:schemeClr w14:val="tx1"/>
            </w14:solidFill>
          </w14:textFill>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1BF43D7">
      <w:pPr>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1760D98B">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szCs w:val="21"/>
          <w:highlight w:val="none"/>
        </w:rPr>
        <w:t>“联合体”系指由两个以上的自然人、法人或者非法人组织组成，以一个供应商的身份共同参加政府采购的主体</w:t>
      </w:r>
      <w:r>
        <w:rPr>
          <w:rFonts w:hint="eastAsia" w:ascii="宋体" w:hAnsi="宋体" w:eastAsia="宋体" w:cs="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34D50634">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（7）其他术语解释，见【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0918376D">
      <w:pPr>
        <w:numPr>
          <w:ilvl w:val="0"/>
          <w:numId w:val="19"/>
        </w:numPr>
        <w:autoSpaceDE w:val="0"/>
        <w:autoSpaceDN w:val="0"/>
        <w:adjustRightInd w:val="0"/>
        <w:snapToGrid w:val="0"/>
        <w:spacing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合同标的及金额</w:t>
      </w:r>
    </w:p>
    <w:p w14:paraId="5254FAD4">
      <w:pPr>
        <w:autoSpaceDE w:val="0"/>
        <w:autoSpaceDN w:val="0"/>
        <w:adjustRightInd w:val="0"/>
        <w:snapToGrid w:val="0"/>
        <w:spacing w:line="400" w:lineRule="exact"/>
        <w:ind w:firstLine="420" w:firstLineChars="200"/>
        <w:jc w:val="left"/>
        <w:rPr>
          <w:rFonts w:hint="eastAsia" w:ascii="宋体" w:hAnsi="宋体" w:eastAsia="宋体" w:cs="宋体"/>
          <w:b/>
          <w:bCs/>
          <w:i/>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 合同标的及金额应与中标（成交）结果一致。乙方为履行本合同而发生的所有费用均应包含在合同价款中，甲方不再另行支付其他任何费用。</w:t>
      </w:r>
    </w:p>
    <w:p w14:paraId="0F4B6F57">
      <w:pPr>
        <w:adjustRightInd w:val="0"/>
        <w:snapToGrid w:val="0"/>
        <w:spacing w:line="400" w:lineRule="exact"/>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 履行合同的时间、地点和方式</w:t>
      </w:r>
    </w:p>
    <w:p w14:paraId="78BCDF52">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3.1 </w:t>
      </w:r>
      <w:r>
        <w:rPr>
          <w:rFonts w:hint="eastAsia" w:ascii="宋体" w:hAnsi="宋体" w:eastAsia="宋体" w:cs="宋体"/>
          <w:szCs w:val="21"/>
          <w:highlight w:val="none"/>
        </w:rPr>
        <w:t>乙方应当在约定的时间、地点，按照约定方式履行合同。</w:t>
      </w:r>
    </w:p>
    <w:p w14:paraId="70B03064">
      <w:pPr>
        <w:autoSpaceDE w:val="0"/>
        <w:autoSpaceDN w:val="0"/>
        <w:adjustRightInd w:val="0"/>
        <w:snapToGrid w:val="0"/>
        <w:spacing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 甲方的权利和义务</w:t>
      </w:r>
    </w:p>
    <w:p w14:paraId="0953368D">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75B02FDD">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258B2111">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 甲方有权要求乙方对缺陷部分予以修复，并按合同约定享有货物保修及其他合同约定的权利。</w:t>
      </w:r>
    </w:p>
    <w:p w14:paraId="14EB502A">
      <w:pPr>
        <w:snapToGrid w:val="0"/>
        <w:spacing w:line="400" w:lineRule="exact"/>
        <w:ind w:firstLine="420" w:firstLineChars="200"/>
        <w:rPr>
          <w:rFonts w:hint="eastAsia" w:ascii="宋体" w:hAnsi="宋体" w:eastAsia="宋体" w:cs="宋体"/>
          <w:highlight w:val="none"/>
        </w:rPr>
      </w:pPr>
      <w:r>
        <w:rPr>
          <w:rFonts w:hint="eastAsia" w:ascii="宋体" w:hAnsi="宋体" w:eastAsia="宋体" w:cs="宋体"/>
          <w:color w:val="000000" w:themeColor="text1"/>
          <w:szCs w:val="21"/>
          <w:highlight w:val="none"/>
          <w14:textFill>
            <w14:solidFill>
              <w14:schemeClr w14:val="tx1"/>
            </w14:solidFill>
          </w14:textFill>
        </w:rPr>
        <w:t>4.4 甲方应当按照合同约定及时对交付的货物进行验收，</w:t>
      </w:r>
      <w:r>
        <w:rPr>
          <w:rFonts w:hint="eastAsia" w:ascii="宋体" w:hAnsi="宋体" w:eastAsia="宋体" w:cs="宋体"/>
          <w:szCs w:val="21"/>
          <w:highlight w:val="none"/>
        </w:rPr>
        <w:t>未</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eastAsia="宋体" w:cs="宋体"/>
          <w:szCs w:val="21"/>
          <w:highlight w:val="none"/>
        </w:rPr>
        <w:t>约定的期限内对乙方履约提出任何异议或者向乙方作出任何说明的，</w:t>
      </w:r>
      <w:r>
        <w:rPr>
          <w:rFonts w:hint="eastAsia" w:ascii="宋体" w:hAnsi="宋体" w:eastAsia="宋体" w:cs="宋体"/>
          <w:color w:val="000000" w:themeColor="text1"/>
          <w:szCs w:val="21"/>
          <w:highlight w:val="none"/>
          <w14:textFill>
            <w14:solidFill>
              <w14:schemeClr w14:val="tx1"/>
            </w14:solidFill>
          </w14:textFill>
        </w:rPr>
        <w:t>视为验收通过。</w:t>
      </w:r>
    </w:p>
    <w:p w14:paraId="14D3B43F">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 甲方应当根据合同约定及时向乙方支付合同价款，不得以内部人员变更、履行内部付款流程等为由，拒绝或迟延支付。</w:t>
      </w:r>
    </w:p>
    <w:p w14:paraId="7DEF20E3">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4.6 国家法律法规规定及</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14:textFill>
            <w14:solidFill>
              <w14:schemeClr w14:val="tx1"/>
            </w14:solidFill>
          </w14:textFill>
        </w:rPr>
        <w:t>约定应由甲方承担的其他义务和责任。</w:t>
      </w:r>
    </w:p>
    <w:p w14:paraId="59E96F29">
      <w:pPr>
        <w:autoSpaceDE w:val="0"/>
        <w:autoSpaceDN w:val="0"/>
        <w:adjustRightInd w:val="0"/>
        <w:snapToGrid w:val="0"/>
        <w:spacing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5. 乙方的权利和义务</w:t>
      </w:r>
    </w:p>
    <w:p w14:paraId="19D0BF53">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 签署合同后，乙方应确定项目负责人（或项目联系人），负责与本合同有关的事务。</w:t>
      </w:r>
    </w:p>
    <w:p w14:paraId="6C6A96D3">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60C9ADD">
      <w:pPr>
        <w:pStyle w:val="12"/>
        <w:tabs>
          <w:tab w:val="left" w:pos="567"/>
        </w:tabs>
        <w:spacing w:line="400" w:lineRule="exact"/>
        <w:ind w:firstLine="369" w:firstLineChars="176"/>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5.3乙方有权根据合同约定向甲方收取合同价款。</w:t>
      </w:r>
    </w:p>
    <w:p w14:paraId="40EA8A5F">
      <w:pPr>
        <w:pStyle w:val="12"/>
        <w:tabs>
          <w:tab w:val="left" w:pos="567"/>
        </w:tabs>
        <w:spacing w:line="400" w:lineRule="exact"/>
        <w:ind w:firstLine="369" w:firstLineChars="176"/>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5.4国家法律法规规定及</w:t>
      </w:r>
      <w:r>
        <w:rPr>
          <w:rFonts w:hint="eastAsia" w:ascii="宋体" w:hAnsi="宋体" w:eastAsia="宋体" w:cs="宋体"/>
          <w:b/>
          <w:bCs/>
          <w:highlight w:val="none"/>
          <w:lang w:eastAsia="zh-CN"/>
        </w:rPr>
        <w:t>【政府采购合同专用条款】</w:t>
      </w:r>
      <w:r>
        <w:rPr>
          <w:rFonts w:hint="eastAsia" w:ascii="宋体" w:hAnsi="宋体" w:eastAsia="宋体" w:cs="宋体"/>
          <w:highlight w:val="none"/>
          <w:lang w:eastAsia="zh-CN"/>
        </w:rPr>
        <w:t>约定应</w:t>
      </w:r>
      <w:r>
        <w:rPr>
          <w:rFonts w:hint="eastAsia" w:ascii="宋体" w:hAnsi="宋体" w:eastAsia="宋体" w:cs="宋体"/>
          <w:color w:val="000000" w:themeColor="text1"/>
          <w:highlight w:val="none"/>
          <w:lang w:eastAsia="zh-CN"/>
          <w14:textFill>
            <w14:solidFill>
              <w14:schemeClr w14:val="tx1"/>
            </w14:solidFill>
          </w14:textFill>
        </w:rPr>
        <w:t>由乙方承担的其他义务和责任。</w:t>
      </w:r>
    </w:p>
    <w:p w14:paraId="11495D62">
      <w:pPr>
        <w:numPr>
          <w:ilvl w:val="0"/>
          <w:numId w:val="20"/>
        </w:numPr>
        <w:autoSpaceDE w:val="0"/>
        <w:autoSpaceDN w:val="0"/>
        <w:adjustRightInd w:val="0"/>
        <w:snapToGrid w:val="0"/>
        <w:spacing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合同履行</w:t>
      </w:r>
    </w:p>
    <w:p w14:paraId="6D9C578D">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14:textFill>
            <w14:solidFill>
              <w14:schemeClr w14:val="tx1"/>
            </w14:solidFill>
          </w14:textFill>
        </w:rPr>
        <w:t>约定顺序履行合同义务；如果没有先后顺序的，应当同时履行。</w:t>
      </w:r>
    </w:p>
    <w:p w14:paraId="65603957">
      <w:pPr>
        <w:autoSpaceDE w:val="0"/>
        <w:autoSpaceDN w:val="0"/>
        <w:adjustRightInd w:val="0"/>
        <w:snapToGrid w:val="0"/>
        <w:spacing w:line="400" w:lineRule="exact"/>
        <w:ind w:firstLine="420" w:firstLineChars="200"/>
        <w:jc w:val="left"/>
        <w:rPr>
          <w:rFonts w:hint="eastAsia" w:ascii="宋体" w:hAnsi="宋体" w:eastAsia="宋体" w:cs="宋体"/>
          <w:highlight w:val="none"/>
        </w:rPr>
      </w:pPr>
      <w:r>
        <w:rPr>
          <w:rFonts w:hint="eastAsia" w:ascii="宋体" w:hAnsi="宋体" w:eastAsia="宋体" w:cs="宋体"/>
          <w:color w:val="000000" w:themeColor="text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6552AB47">
      <w:pPr>
        <w:adjustRightInd w:val="0"/>
        <w:snapToGrid w:val="0"/>
        <w:spacing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7. 货物包装、运输、保险和交付要求</w:t>
      </w:r>
    </w:p>
    <w:p w14:paraId="706384EB">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 本合同</w:t>
      </w:r>
      <w:r>
        <w:rPr>
          <w:rFonts w:hint="eastAsia" w:ascii="宋体" w:hAnsi="宋体" w:eastAsia="宋体" w:cs="宋体"/>
          <w:bCs/>
          <w:color w:val="000000" w:themeColor="text1"/>
          <w:szCs w:val="21"/>
          <w:highlight w:val="none"/>
          <w14:textFill>
            <w14:solidFill>
              <w14:schemeClr w14:val="tx1"/>
            </w14:solidFill>
          </w14:textFill>
        </w:rPr>
        <w:t>涉及商品包装、快递包装的，</w:t>
      </w:r>
      <w:r>
        <w:rPr>
          <w:rFonts w:hint="eastAsia" w:ascii="宋体" w:hAnsi="宋体" w:eastAsia="宋体" w:cs="宋体"/>
          <w:color w:val="000000" w:themeColor="text1"/>
          <w:szCs w:val="21"/>
          <w:highlight w:val="none"/>
          <w14:textFill>
            <w14:solidFill>
              <w14:schemeClr w14:val="tx1"/>
            </w14:solidFill>
          </w14:textFill>
        </w:rPr>
        <w:t>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另有约定外，</w:t>
      </w:r>
      <w:r>
        <w:rPr>
          <w:rFonts w:hint="eastAsia" w:ascii="宋体" w:hAnsi="宋体" w:eastAsia="宋体" w:cs="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约定的</w:t>
      </w:r>
      <w:r>
        <w:rPr>
          <w:rFonts w:hint="eastAsia" w:ascii="宋体" w:hAnsi="宋体" w:eastAsia="宋体" w:cs="宋体"/>
          <w:color w:val="000000" w:themeColor="text1"/>
          <w:szCs w:val="21"/>
          <w:highlight w:val="none"/>
          <w14:textFill>
            <w14:solidFill>
              <w14:schemeClr w14:val="tx1"/>
            </w14:solidFill>
          </w14:textFill>
        </w:rPr>
        <w:t>指定现场。</w:t>
      </w:r>
    </w:p>
    <w:p w14:paraId="5A0ACA52">
      <w:pPr>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 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另有约定外，</w:t>
      </w:r>
      <w:r>
        <w:rPr>
          <w:rFonts w:hint="eastAsia" w:ascii="宋体" w:hAnsi="宋体" w:eastAsia="宋体" w:cs="宋体"/>
          <w:color w:val="000000" w:themeColor="text1"/>
          <w:szCs w:val="21"/>
          <w:highlight w:val="none"/>
          <w14:textFill>
            <w14:solidFill>
              <w14:schemeClr w14:val="tx1"/>
            </w14:solidFill>
          </w14:textFill>
        </w:rPr>
        <w:t>乙方负责办理将货物运抵本合同规定的交货地点，并装卸、交付至甲方的一切运输事项，相关费用应包含在合同价款中。</w:t>
      </w:r>
    </w:p>
    <w:p w14:paraId="30FCA6C1">
      <w:pPr>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 货物保险要求按</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规定执行</w:t>
      </w:r>
      <w:r>
        <w:rPr>
          <w:rFonts w:hint="eastAsia" w:ascii="宋体" w:hAnsi="宋体" w:eastAsia="宋体" w:cs="宋体"/>
          <w:color w:val="000000" w:themeColor="text1"/>
          <w:szCs w:val="21"/>
          <w:highlight w:val="none"/>
          <w14:textFill>
            <w14:solidFill>
              <w14:schemeClr w14:val="tx1"/>
            </w14:solidFill>
          </w14:textFill>
        </w:rPr>
        <w:t>。</w:t>
      </w:r>
    </w:p>
    <w:p w14:paraId="655B31EA">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B15474E">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7.5 </w:t>
      </w:r>
      <w:r>
        <w:rPr>
          <w:rFonts w:hint="eastAsia" w:ascii="宋体" w:hAnsi="宋体" w:eastAsia="宋体" w:cs="宋体"/>
          <w:color w:val="000000"/>
          <w:szCs w:val="21"/>
          <w:highlight w:val="none"/>
        </w:rPr>
        <w:t>乙方在运输到达之前应提前通知甲方，并提示货物运输装卸的注意事项，甲方配合乙方做好货物的接收工作。</w:t>
      </w:r>
    </w:p>
    <w:p w14:paraId="1EFD01DA">
      <w:pPr>
        <w:pStyle w:val="94"/>
        <w:ind w:firstLine="420"/>
        <w:rPr>
          <w:rFonts w:hint="eastAsia" w:ascii="宋体" w:hAnsi="宋体" w:eastAsia="宋体" w:cs="宋体"/>
          <w:sz w:val="21"/>
          <w:highlight w:val="none"/>
        </w:rPr>
      </w:pPr>
      <w:r>
        <w:rPr>
          <w:rFonts w:hint="eastAsia" w:ascii="宋体" w:hAnsi="宋体" w:eastAsia="宋体" w:cs="宋体"/>
          <w:color w:val="000000" w:themeColor="text1"/>
          <w:kern w:val="2"/>
          <w:sz w:val="21"/>
          <w:highlight w:val="none"/>
          <w14:textFill>
            <w14:solidFill>
              <w14:schemeClr w14:val="tx1"/>
            </w14:solidFill>
          </w14:textFill>
        </w:rPr>
        <w:t xml:space="preserve">7.6 </w:t>
      </w:r>
      <w:r>
        <w:rPr>
          <w:rFonts w:hint="eastAsia" w:ascii="宋体" w:hAnsi="宋体" w:eastAsia="宋体" w:cs="宋体"/>
          <w:color w:val="000000"/>
          <w:kern w:val="2"/>
          <w:sz w:val="21"/>
          <w:highlight w:val="none"/>
        </w:rPr>
        <w:t>如因包装、运输问题导致货物</w:t>
      </w:r>
      <w:r>
        <w:rPr>
          <w:rFonts w:hint="eastAsia" w:ascii="宋体" w:hAnsi="宋体" w:eastAsia="宋体" w:cs="宋体"/>
          <w:color w:val="000000" w:themeColor="text1"/>
          <w:kern w:val="2"/>
          <w:sz w:val="21"/>
          <w:highlight w:val="none"/>
          <w14:textFill>
            <w14:solidFill>
              <w14:schemeClr w14:val="tx1"/>
            </w14:solidFill>
          </w14:textFill>
        </w:rPr>
        <w:t>损毁、丢失</w:t>
      </w:r>
      <w:r>
        <w:rPr>
          <w:rFonts w:hint="eastAsia" w:ascii="宋体" w:hAnsi="宋体" w:eastAsia="宋体" w:cs="宋体"/>
          <w:color w:val="000000"/>
          <w:kern w:val="2"/>
          <w:sz w:val="21"/>
          <w:highlight w:val="none"/>
        </w:rPr>
        <w:t>或者品质下降，甲方有权要求降价、换货、拒收部分或整批货物，由此产生的费用和损失，均由乙方承担。</w:t>
      </w:r>
    </w:p>
    <w:p w14:paraId="1840B33E">
      <w:pPr>
        <w:adjustRightInd w:val="0"/>
        <w:snapToGrid w:val="0"/>
        <w:spacing w:line="400" w:lineRule="exact"/>
        <w:jc w:val="left"/>
        <w:rPr>
          <w:rFonts w:hint="eastAsia" w:ascii="宋体" w:hAnsi="宋体" w:eastAsia="宋体" w:cs="宋体"/>
          <w:b/>
          <w:sz w:val="24"/>
          <w:highlight w:val="none"/>
        </w:rPr>
      </w:pPr>
      <w:r>
        <w:rPr>
          <w:rFonts w:hint="eastAsia" w:ascii="宋体" w:hAnsi="宋体" w:eastAsia="宋体" w:cs="宋体"/>
          <w:b/>
          <w:color w:val="000000" w:themeColor="text1"/>
          <w:sz w:val="24"/>
          <w:highlight w:val="none"/>
          <w14:textFill>
            <w14:solidFill>
              <w14:schemeClr w14:val="tx1"/>
            </w14:solidFill>
          </w14:textFill>
        </w:rPr>
        <w:t xml:space="preserve">8. </w:t>
      </w:r>
      <w:r>
        <w:rPr>
          <w:rFonts w:hint="eastAsia" w:ascii="宋体" w:hAnsi="宋体" w:eastAsia="宋体" w:cs="宋体"/>
          <w:b/>
          <w:sz w:val="24"/>
          <w:highlight w:val="none"/>
        </w:rPr>
        <w:t>质量标准和保证</w:t>
      </w:r>
    </w:p>
    <w:p w14:paraId="0A7E386E">
      <w:pPr>
        <w:pStyle w:val="16"/>
        <w:adjustRightInd w:val="0"/>
        <w:snapToGrid w:val="0"/>
        <w:spacing w:line="400" w:lineRule="exact"/>
        <w:ind w:firstLine="420" w:firstLineChars="200"/>
        <w:jc w:val="left"/>
        <w:rPr>
          <w:rFonts w:hint="eastAsia" w:ascii="宋体" w:hAnsi="宋体" w:eastAsia="宋体" w:cs="宋体"/>
          <w:b/>
          <w:highlight w:val="none"/>
        </w:rPr>
      </w:pPr>
      <w:r>
        <w:rPr>
          <w:rFonts w:hint="eastAsia" w:ascii="宋体" w:hAnsi="宋体" w:eastAsia="宋体" w:cs="宋体"/>
          <w:highlight w:val="none"/>
        </w:rPr>
        <w:t>8.1 质量标准</w:t>
      </w:r>
    </w:p>
    <w:p w14:paraId="460BD402">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（1）本合同下提供的货物应符合合同</w:t>
      </w:r>
      <w:r>
        <w:rPr>
          <w:rFonts w:hint="eastAsia" w:ascii="宋体" w:hAnsi="宋体" w:eastAsia="宋体" w:cs="宋体"/>
          <w:color w:val="000000"/>
          <w:szCs w:val="21"/>
          <w:highlight w:val="none"/>
        </w:rPr>
        <w:t>约定的</w:t>
      </w:r>
      <w:r>
        <w:rPr>
          <w:rFonts w:hint="eastAsia" w:ascii="宋体" w:hAnsi="宋体" w:eastAsia="宋体" w:cs="宋体"/>
          <w:szCs w:val="21"/>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95EE51D">
      <w:pPr>
        <w:pStyle w:val="16"/>
        <w:adjustRightInd w:val="0"/>
        <w:snapToGrid w:val="0"/>
        <w:spacing w:line="4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（2）采用中华人民共和国法定计量单位。</w:t>
      </w:r>
    </w:p>
    <w:p w14:paraId="109B2A96">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（3）乙方所提供的货物应符合国家有关安全、环保、卫生的规定。</w:t>
      </w:r>
    </w:p>
    <w:p w14:paraId="4ACA8E7B">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（4）乙方应向甲方提交所提供货物的技术文件，包括相应的中文技术文件，如：产品目录、图纸、操作手册、使用说明、维护手册或服务指南等。上述文件应包装好随货物一同发运。</w:t>
      </w:r>
    </w:p>
    <w:p w14:paraId="0B024ABE">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8.2 保证</w:t>
      </w:r>
    </w:p>
    <w:p w14:paraId="6203C52A">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Cs w:val="21"/>
          <w:highlight w:val="none"/>
        </w:rPr>
        <w:t>【政府采购合同专用条款】</w:t>
      </w:r>
      <w:r>
        <w:rPr>
          <w:rFonts w:hint="eastAsia" w:ascii="宋体" w:hAnsi="宋体" w:eastAsia="宋体" w:cs="宋体"/>
          <w:szCs w:val="21"/>
          <w:highlight w:val="none"/>
        </w:rPr>
        <w:t>规定或乙方书面承诺（两者以较长的为准）的质量保证期内，本保证保持有效。</w:t>
      </w:r>
    </w:p>
    <w:p w14:paraId="2B264EEE">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（2）在质量保证期内所发现的缺陷，甲方应尽快以书面形式通知乙方。</w:t>
      </w:r>
    </w:p>
    <w:p w14:paraId="43EF97B2">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（3）乙方收到通知后，应在</w:t>
      </w:r>
      <w:r>
        <w:rPr>
          <w:rFonts w:hint="eastAsia" w:ascii="宋体" w:hAnsi="宋体" w:eastAsia="宋体" w:cs="宋体"/>
          <w:b/>
          <w:szCs w:val="21"/>
          <w:highlight w:val="none"/>
        </w:rPr>
        <w:t>【政府采购合同专用条款】</w:t>
      </w:r>
      <w:r>
        <w:rPr>
          <w:rFonts w:hint="eastAsia" w:ascii="宋体" w:hAnsi="宋体" w:eastAsia="宋体" w:cs="宋体"/>
          <w:szCs w:val="21"/>
          <w:highlight w:val="none"/>
        </w:rPr>
        <w:t>规定的响应时间内以合理的速度免费维修或更换有缺陷的货物或部件。</w:t>
      </w:r>
    </w:p>
    <w:p w14:paraId="50A5A4A3">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szCs w:val="21"/>
          <w:highlight w:val="none"/>
        </w:rPr>
        <w:t>.1条规定以书面形式</w:t>
      </w:r>
      <w:r>
        <w:rPr>
          <w:rFonts w:hint="eastAsia" w:ascii="宋体" w:hAnsi="宋体" w:eastAsia="宋体" w:cs="宋体"/>
          <w:color w:val="000000" w:themeColor="text1"/>
          <w:szCs w:val="21"/>
          <w:highlight w:val="none"/>
          <w14:textFill>
            <w14:solidFill>
              <w14:schemeClr w14:val="tx1"/>
            </w14:solidFill>
          </w14:textFill>
        </w:rPr>
        <w:t>追究</w:t>
      </w:r>
      <w:r>
        <w:rPr>
          <w:rFonts w:hint="eastAsia" w:ascii="宋体" w:hAnsi="宋体" w:eastAsia="宋体" w:cs="宋体"/>
          <w:szCs w:val="21"/>
          <w:highlight w:val="none"/>
        </w:rPr>
        <w:t>乙方</w:t>
      </w:r>
      <w:r>
        <w:rPr>
          <w:rFonts w:hint="eastAsia" w:ascii="宋体" w:hAnsi="宋体" w:eastAsia="宋体" w:cs="宋体"/>
          <w:color w:val="000000" w:themeColor="text1"/>
          <w:szCs w:val="21"/>
          <w:highlight w:val="none"/>
          <w14:textFill>
            <w14:solidFill>
              <w14:schemeClr w14:val="tx1"/>
            </w14:solidFill>
          </w14:textFill>
        </w:rPr>
        <w:t>的违约责任</w:t>
      </w:r>
      <w:r>
        <w:rPr>
          <w:rFonts w:hint="eastAsia" w:ascii="宋体" w:hAnsi="宋体" w:eastAsia="宋体" w:cs="宋体"/>
          <w:szCs w:val="21"/>
          <w:highlight w:val="none"/>
        </w:rPr>
        <w:t>。</w:t>
      </w:r>
    </w:p>
    <w:p w14:paraId="06982A3B">
      <w:pPr>
        <w:adjustRightInd w:val="0"/>
        <w:snapToGrid w:val="0"/>
        <w:spacing w:line="400" w:lineRule="exact"/>
        <w:ind w:firstLine="420" w:firstLineChars="200"/>
        <w:jc w:val="left"/>
        <w:rPr>
          <w:rFonts w:hint="eastAsia" w:ascii="宋体" w:hAnsi="宋体" w:eastAsia="宋体" w:cs="宋体"/>
          <w:highlight w:val="none"/>
        </w:rPr>
      </w:pPr>
      <w:r>
        <w:rPr>
          <w:rFonts w:hint="eastAsia" w:ascii="宋体" w:hAnsi="宋体" w:eastAsia="宋体" w:cs="宋体"/>
          <w:szCs w:val="21"/>
          <w:highlight w:val="none"/>
        </w:rPr>
        <w:t>（5）乙方在约定的时间内未能弥补缺陷，甲方可采取必要的补救措施，但其风险和费用将由乙方承担，甲方根据合同约定对乙方行使的其他权利不受影响。</w:t>
      </w:r>
    </w:p>
    <w:p w14:paraId="60D463CF">
      <w:pPr>
        <w:adjustRightInd w:val="0"/>
        <w:snapToGrid w:val="0"/>
        <w:spacing w:line="400" w:lineRule="exact"/>
        <w:jc w:val="left"/>
        <w:rPr>
          <w:rFonts w:hint="eastAsia" w:ascii="宋体" w:hAnsi="宋体" w:eastAsia="宋体" w:cs="宋体"/>
          <w:b/>
          <w:bCs/>
          <w:sz w:val="24"/>
          <w:highlight w:val="none"/>
        </w:rPr>
      </w:pPr>
      <w:r>
        <w:rPr>
          <w:rFonts w:hint="eastAsia" w:ascii="宋体" w:hAnsi="宋体" w:eastAsia="宋体" w:cs="宋体"/>
          <w:b/>
          <w:bCs/>
          <w:color w:val="000000" w:themeColor="text1"/>
          <w:sz w:val="24"/>
          <w:highlight w:val="none"/>
          <w14:textFill>
            <w14:solidFill>
              <w14:schemeClr w14:val="tx1"/>
            </w14:solidFill>
          </w14:textFill>
        </w:rPr>
        <w:t>9</w:t>
      </w:r>
      <w:r>
        <w:rPr>
          <w:rFonts w:hint="eastAsia" w:ascii="宋体" w:hAnsi="宋体" w:eastAsia="宋体" w:cs="宋体"/>
          <w:b/>
          <w:bCs/>
          <w:sz w:val="24"/>
          <w:highlight w:val="none"/>
        </w:rPr>
        <w:t>.</w:t>
      </w: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sz w:val="24"/>
          <w:highlight w:val="none"/>
        </w:rPr>
        <w:t>权利瑕疵担保</w:t>
      </w:r>
    </w:p>
    <w:p w14:paraId="4ED6093F">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9.1 乙方保证对其出售的货物享有合法的权利。</w:t>
      </w:r>
    </w:p>
    <w:p w14:paraId="1739046E">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9.2 </w:t>
      </w:r>
      <w:r>
        <w:rPr>
          <w:rFonts w:hint="eastAsia" w:ascii="宋体" w:hAnsi="宋体" w:eastAsia="宋体" w:cs="宋体"/>
          <w:szCs w:val="15"/>
          <w:highlight w:val="none"/>
        </w:rPr>
        <w:t>乙方保证在交付的货物上不存在抵押权等担保物权。</w:t>
      </w:r>
    </w:p>
    <w:p w14:paraId="59E90DFA">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9.3 如甲方使用上述货物构成对第三人侵权的，则由乙方承担全部责任。</w:t>
      </w:r>
    </w:p>
    <w:p w14:paraId="4E920847">
      <w:pPr>
        <w:autoSpaceDE w:val="0"/>
        <w:autoSpaceDN w:val="0"/>
        <w:adjustRightInd w:val="0"/>
        <w:snapToGrid w:val="0"/>
        <w:spacing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10. 知识产权保护</w:t>
      </w:r>
    </w:p>
    <w:p w14:paraId="272B063B">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color w:val="000000" w:themeColor="text1"/>
          <w:szCs w:val="21"/>
          <w:highlight w:val="none"/>
          <w14:textFill>
            <w14:solidFill>
              <w14:schemeClr w14:val="tx1"/>
            </w14:solidFill>
          </w14:textFill>
        </w:rPr>
        <w:t>10.1 乙方对其所销售的货物应当享有知识产权或经权利人合法授权，保证没有侵犯任</w:t>
      </w:r>
      <w:r>
        <w:rPr>
          <w:rFonts w:hint="eastAsia" w:ascii="宋体" w:hAnsi="宋体" w:eastAsia="宋体" w:cs="宋体"/>
          <w:szCs w:val="21"/>
          <w:highlight w:val="none"/>
        </w:rPr>
        <w:t>何第三人的知识产权等权利。</w:t>
      </w:r>
      <w:bookmarkStart w:id="403"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403"/>
      <w:r>
        <w:rPr>
          <w:rFonts w:hint="eastAsia" w:ascii="宋体" w:hAnsi="宋体" w:eastAsia="宋体" w:cs="宋体"/>
          <w:szCs w:val="21"/>
          <w:highlight w:val="none"/>
        </w:rPr>
        <w:t>。</w:t>
      </w:r>
    </w:p>
    <w:p w14:paraId="6BFF31BB">
      <w:pPr>
        <w:autoSpaceDE w:val="0"/>
        <w:autoSpaceDN w:val="0"/>
        <w:adjustRightInd w:val="0"/>
        <w:snapToGrid w:val="0"/>
        <w:spacing w:line="40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11. 保密义务</w:t>
      </w:r>
    </w:p>
    <w:p w14:paraId="6BD37C0C">
      <w:pPr>
        <w:autoSpaceDE w:val="0"/>
        <w:autoSpaceDN w:val="0"/>
        <w:adjustRightInd w:val="0"/>
        <w:snapToGrid w:val="0"/>
        <w:spacing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715D7B05">
      <w:pPr>
        <w:autoSpaceDE w:val="0"/>
        <w:autoSpaceDN w:val="0"/>
        <w:adjustRightInd w:val="0"/>
        <w:snapToGrid w:val="0"/>
        <w:spacing w:line="40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12. 合同价款支付</w:t>
      </w:r>
    </w:p>
    <w:p w14:paraId="6A6F2D2C">
      <w:pPr>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12.1 合同价款支付按照国库集中支付制度及财政管理相关规定执行。</w:t>
      </w:r>
    </w:p>
    <w:p w14:paraId="5FCC8902">
      <w:pPr>
        <w:pStyle w:val="3"/>
        <w:numPr>
          <w:ilvl w:val="1"/>
          <w:numId w:val="0"/>
        </w:numPr>
        <w:spacing w:line="400" w:lineRule="exact"/>
        <w:ind w:left="420" w:leftChars="200"/>
        <w:rPr>
          <w:rFonts w:hint="eastAsia" w:ascii="宋体" w:hAnsi="宋体" w:eastAsia="宋体" w:cs="宋体"/>
          <w:highlight w:val="none"/>
        </w:rPr>
      </w:pPr>
      <w:r>
        <w:rPr>
          <w:rFonts w:hint="eastAsia" w:ascii="宋体" w:hAnsi="宋体" w:eastAsia="宋体" w:cs="宋体"/>
          <w:b w:val="0"/>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sz w:val="21"/>
          <w:szCs w:val="21"/>
          <w:highlight w:val="none"/>
        </w:rPr>
        <w:t>政府采购合同专用条款</w:t>
      </w:r>
      <w:r>
        <w:rPr>
          <w:rFonts w:hint="eastAsia" w:ascii="宋体" w:hAnsi="宋体" w:eastAsia="宋体" w:cs="宋体"/>
          <w:b w:val="0"/>
          <w:sz w:val="21"/>
          <w:szCs w:val="21"/>
          <w:highlight w:val="none"/>
        </w:rPr>
        <w:t>】中约定。</w:t>
      </w:r>
    </w:p>
    <w:p w14:paraId="769E5EED">
      <w:pPr>
        <w:pStyle w:val="12"/>
        <w:tabs>
          <w:tab w:val="left" w:pos="567"/>
        </w:tabs>
        <w:spacing w:line="40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13. 履约保证金</w:t>
      </w:r>
    </w:p>
    <w:p w14:paraId="4F565A7A">
      <w:pPr>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13.1 </w:t>
      </w:r>
      <w:r>
        <w:rPr>
          <w:rFonts w:hint="eastAsia" w:ascii="宋体" w:hAnsi="宋体" w:eastAsia="宋体" w:cs="宋体"/>
          <w:szCs w:val="15"/>
          <w:highlight w:val="none"/>
        </w:rPr>
        <w:t>乙方应当以支票、汇票、本票或者金融机构、担保机构出具的保函等非现金形式提交。</w:t>
      </w:r>
    </w:p>
    <w:p w14:paraId="257B618D">
      <w:pPr>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13.2 如果乙方出现</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约定情形的</w:t>
      </w:r>
      <w:r>
        <w:rPr>
          <w:rFonts w:hint="eastAsia" w:ascii="宋体" w:hAnsi="宋体" w:eastAsia="宋体" w:cs="宋体"/>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020746F3">
      <w:pPr>
        <w:spacing w:line="400" w:lineRule="exact"/>
        <w:ind w:firstLine="420"/>
        <w:rPr>
          <w:rFonts w:hint="eastAsia" w:ascii="宋体" w:hAnsi="宋体" w:eastAsia="宋体" w:cs="宋体"/>
          <w:highlight w:val="none"/>
        </w:rPr>
      </w:pPr>
      <w:r>
        <w:rPr>
          <w:rFonts w:hint="eastAsia" w:ascii="宋体" w:hAnsi="宋体" w:eastAsia="宋体" w:cs="宋体"/>
          <w:szCs w:val="21"/>
          <w:highlight w:val="none"/>
        </w:rPr>
        <w:t>13.3 甲方在项目通过验收后按照</w:t>
      </w:r>
      <w:r>
        <w:rPr>
          <w:rFonts w:hint="eastAsia" w:ascii="宋体" w:hAnsi="宋体" w:eastAsia="宋体" w:cs="宋体"/>
          <w:b/>
          <w:szCs w:val="21"/>
          <w:highlight w:val="none"/>
        </w:rPr>
        <w:t>【政府采购合同专用条款】</w:t>
      </w:r>
      <w:r>
        <w:rPr>
          <w:rFonts w:hint="eastAsia" w:ascii="宋体" w:hAnsi="宋体" w:eastAsia="宋体" w:cs="宋体"/>
          <w:szCs w:val="21"/>
          <w:highlight w:val="none"/>
        </w:rPr>
        <w:t>规定的时间内将履约保证金退还乙方；逾期退还的，乙方可要求甲方支付违约金，违约金按照</w:t>
      </w:r>
      <w:r>
        <w:rPr>
          <w:rFonts w:hint="eastAsia" w:ascii="宋体" w:hAnsi="宋体" w:eastAsia="宋体" w:cs="宋体"/>
          <w:b/>
          <w:szCs w:val="21"/>
          <w:highlight w:val="none"/>
        </w:rPr>
        <w:t>【政府采购合同专用条款】</w:t>
      </w:r>
      <w:r>
        <w:rPr>
          <w:rFonts w:hint="eastAsia" w:ascii="宋体" w:hAnsi="宋体" w:eastAsia="宋体" w:cs="宋体"/>
          <w:szCs w:val="21"/>
          <w:highlight w:val="none"/>
        </w:rPr>
        <w:t>规定支付。</w:t>
      </w:r>
    </w:p>
    <w:p w14:paraId="55AB375B">
      <w:pPr>
        <w:autoSpaceDE w:val="0"/>
        <w:autoSpaceDN w:val="0"/>
        <w:adjustRightInd w:val="0"/>
        <w:snapToGrid w:val="0"/>
        <w:spacing w:line="400" w:lineRule="exact"/>
        <w:jc w:val="left"/>
        <w:rPr>
          <w:rFonts w:hint="eastAsia" w:ascii="宋体" w:hAnsi="宋体" w:eastAsia="宋体" w:cs="宋体"/>
          <w:b/>
          <w:sz w:val="24"/>
          <w:highlight w:val="none"/>
        </w:rPr>
      </w:pPr>
      <w:r>
        <w:rPr>
          <w:rFonts w:hint="eastAsia" w:ascii="宋体" w:hAnsi="宋体" w:eastAsia="宋体" w:cs="宋体"/>
          <w:b/>
          <w:bCs/>
          <w:sz w:val="24"/>
          <w:highlight w:val="none"/>
        </w:rPr>
        <w:t xml:space="preserve">14. </w:t>
      </w:r>
      <w:r>
        <w:rPr>
          <w:rFonts w:hint="eastAsia" w:ascii="宋体" w:hAnsi="宋体" w:eastAsia="宋体" w:cs="宋体"/>
          <w:b/>
          <w:sz w:val="24"/>
          <w:highlight w:val="none"/>
        </w:rPr>
        <w:t>售后服务</w:t>
      </w:r>
    </w:p>
    <w:p w14:paraId="40BB5073">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除项目不涉及或采购活动中明确约定无须承担外，乙方还应提供下列服务：</w:t>
      </w:r>
    </w:p>
    <w:p w14:paraId="1710EA4C">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（1）货物的现场移动、安装、调试、启动监督及技术支持；</w:t>
      </w:r>
    </w:p>
    <w:p w14:paraId="7326A9F8">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（2）提供货物组装和维修所需的专用工具和辅助材料；</w:t>
      </w:r>
    </w:p>
    <w:p w14:paraId="40695075">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szCs w:val="21"/>
          <w:highlight w:val="none"/>
        </w:rPr>
        <w:t>约定的期限内对所有的货物实施运行监督、维修，但前提条件是该服务并不能免除乙方在质量保证期内所承担的义务；</w:t>
      </w:r>
    </w:p>
    <w:p w14:paraId="3CBEE2E2">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（4）在制造商所在地或指定现场就货物的安装、启动、运营、维护、废弃处置等对甲方操作人员进行培训</w:t>
      </w:r>
      <w:r>
        <w:rPr>
          <w:rFonts w:hint="eastAsia" w:ascii="宋体" w:hAnsi="宋体" w:eastAsia="宋体" w:cs="宋体"/>
          <w:szCs w:val="15"/>
          <w:highlight w:val="none"/>
        </w:rPr>
        <w:t>；</w:t>
      </w:r>
    </w:p>
    <w:p w14:paraId="13880EAA">
      <w:pPr>
        <w:pStyle w:val="94"/>
        <w:ind w:firstLine="420"/>
        <w:rPr>
          <w:rFonts w:hint="eastAsia" w:ascii="宋体" w:hAnsi="宋体" w:eastAsia="宋体" w:cs="宋体"/>
          <w:sz w:val="21"/>
          <w:highlight w:val="none"/>
        </w:rPr>
      </w:pPr>
      <w:r>
        <w:rPr>
          <w:rFonts w:hint="eastAsia" w:ascii="宋体" w:hAnsi="宋体" w:eastAsia="宋体" w:cs="宋体"/>
          <w:sz w:val="21"/>
          <w:highlight w:val="none"/>
        </w:rPr>
        <w:t>（5）依照法律、行政法规的规定或者按照</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约定，货物在有效使用年限届满后应予回收的，乙方负有自行或者委托第三人对货物予以回收的义务；</w:t>
      </w:r>
    </w:p>
    <w:p w14:paraId="6B3ADFCB">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b/>
          <w:szCs w:val="21"/>
          <w:highlight w:val="none"/>
        </w:rPr>
        <w:t>【政府采购合同专用条款】</w:t>
      </w:r>
      <w:r>
        <w:rPr>
          <w:rFonts w:hint="eastAsia" w:ascii="宋体" w:hAnsi="宋体" w:eastAsia="宋体" w:cs="宋体"/>
          <w:szCs w:val="21"/>
          <w:highlight w:val="none"/>
        </w:rPr>
        <w:t>规定由乙方提供的其他服务。</w:t>
      </w:r>
    </w:p>
    <w:p w14:paraId="5E95D304">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14.2 乙方提供的售后服务的费用已包含在合同价款中，甲方不再另行支付。</w:t>
      </w:r>
    </w:p>
    <w:p w14:paraId="3BA67311">
      <w:pPr>
        <w:adjustRightInd w:val="0"/>
        <w:snapToGrid w:val="0"/>
        <w:spacing w:line="40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15. 违约责任</w:t>
      </w:r>
    </w:p>
    <w:p w14:paraId="7189323C">
      <w:pPr>
        <w:adjustRightInd w:val="0"/>
        <w:snapToGrid w:val="0"/>
        <w:spacing w:line="40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15.1质量瑕疵的违约责任</w:t>
      </w:r>
    </w:p>
    <w:p w14:paraId="3462D755">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乙方提供的产品不符合合同约定的质量标准或存在产品质量缺陷，甲方有权要求乙方根据</w:t>
      </w:r>
      <w:r>
        <w:rPr>
          <w:rFonts w:hint="eastAsia" w:ascii="宋体" w:hAnsi="宋体" w:eastAsia="宋体" w:cs="宋体"/>
          <w:b/>
          <w:szCs w:val="21"/>
          <w:highlight w:val="none"/>
        </w:rPr>
        <w:t>【政府采购合同专用条款】</w:t>
      </w:r>
      <w:r>
        <w:rPr>
          <w:rFonts w:hint="eastAsia" w:ascii="宋体" w:hAnsi="宋体" w:eastAsia="宋体" w:cs="宋体"/>
          <w:bCs/>
          <w:szCs w:val="21"/>
          <w:highlight w:val="none"/>
        </w:rPr>
        <w:t>要求</w:t>
      </w:r>
      <w:r>
        <w:rPr>
          <w:rFonts w:hint="eastAsia" w:ascii="宋体" w:hAnsi="宋体" w:eastAsia="宋体" w:cs="宋体"/>
          <w:szCs w:val="21"/>
          <w:highlight w:val="none"/>
        </w:rPr>
        <w:t>及时修理、重作、更换，并承担由此给甲方造成的损失。</w:t>
      </w:r>
    </w:p>
    <w:p w14:paraId="13293CC9">
      <w:pPr>
        <w:autoSpaceDE w:val="0"/>
        <w:autoSpaceDN w:val="0"/>
        <w:adjustRightInd w:val="0"/>
        <w:snapToGrid w:val="0"/>
        <w:spacing w:line="40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15.2 迟延交货的违约责任</w:t>
      </w:r>
    </w:p>
    <w:p w14:paraId="2E382A56">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0371097">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Cs w:val="21"/>
          <w:highlight w:val="none"/>
        </w:rPr>
        <w:t>【政府采购合同专用条款】</w:t>
      </w:r>
      <w:r>
        <w:rPr>
          <w:rFonts w:hint="eastAsia" w:ascii="宋体" w:hAnsi="宋体" w:eastAsia="宋体" w:cs="宋体"/>
          <w:szCs w:val="21"/>
          <w:highlight w:val="none"/>
        </w:rPr>
        <w:t>规定执行。如果涉及公共利益，且赔偿金额无法弥补公共利益损失，甲方可要求继续履行或者采取其他补救措施。</w:t>
      </w:r>
    </w:p>
    <w:p w14:paraId="7AB5B1E6">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15.3 迟延支付的违约责任</w:t>
      </w:r>
    </w:p>
    <w:p w14:paraId="051A488C">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甲方存在迟延支付乙方合同款项的，应当承担</w:t>
      </w:r>
      <w:r>
        <w:rPr>
          <w:rFonts w:hint="eastAsia" w:ascii="宋体" w:hAnsi="宋体" w:eastAsia="宋体" w:cs="宋体"/>
          <w:b/>
          <w:bCs/>
          <w:szCs w:val="21"/>
          <w:highlight w:val="none"/>
        </w:rPr>
        <w:t>【政府采购合同专用条款】</w:t>
      </w:r>
      <w:r>
        <w:rPr>
          <w:rFonts w:hint="eastAsia" w:ascii="宋体" w:hAnsi="宋体" w:eastAsia="宋体" w:cs="宋体"/>
          <w:szCs w:val="21"/>
          <w:highlight w:val="none"/>
        </w:rPr>
        <w:t>规定的逾期付款利息。</w:t>
      </w:r>
    </w:p>
    <w:p w14:paraId="549F609D">
      <w:pPr>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bCs/>
          <w:szCs w:val="21"/>
          <w:highlight w:val="none"/>
        </w:rPr>
        <w:t>15.4其他违约责任根据项目实际需要按</w:t>
      </w:r>
      <w:r>
        <w:rPr>
          <w:rFonts w:hint="eastAsia" w:ascii="宋体" w:hAnsi="宋体" w:eastAsia="宋体" w:cs="宋体"/>
          <w:b/>
          <w:bCs/>
          <w:szCs w:val="21"/>
          <w:highlight w:val="none"/>
        </w:rPr>
        <w:t>【政府采购合同专用条款】</w:t>
      </w:r>
      <w:r>
        <w:rPr>
          <w:rFonts w:hint="eastAsia" w:ascii="宋体" w:hAnsi="宋体" w:eastAsia="宋体" w:cs="宋体"/>
          <w:szCs w:val="21"/>
          <w:highlight w:val="none"/>
        </w:rPr>
        <w:t>规定执行。</w:t>
      </w:r>
    </w:p>
    <w:p w14:paraId="7F093FE2">
      <w:pPr>
        <w:numPr>
          <w:ilvl w:val="0"/>
          <w:numId w:val="21"/>
        </w:numPr>
        <w:autoSpaceDE w:val="0"/>
        <w:autoSpaceDN w:val="0"/>
        <w:adjustRightInd w:val="0"/>
        <w:snapToGrid w:val="0"/>
        <w:spacing w:line="400" w:lineRule="exact"/>
        <w:jc w:val="left"/>
        <w:rPr>
          <w:rFonts w:hint="eastAsia" w:ascii="宋体" w:hAnsi="宋体" w:eastAsia="宋体" w:cs="宋体"/>
          <w:b/>
          <w:sz w:val="24"/>
          <w:highlight w:val="none"/>
        </w:rPr>
      </w:pPr>
      <w:r>
        <w:rPr>
          <w:rFonts w:hint="eastAsia" w:ascii="宋体" w:hAnsi="宋体" w:eastAsia="宋体" w:cs="宋体"/>
          <w:b/>
          <w:sz w:val="24"/>
          <w:highlight w:val="none"/>
        </w:rPr>
        <w:t>合同变更、中止与终止</w:t>
      </w:r>
    </w:p>
    <w:p w14:paraId="0D2EDAB2">
      <w:pPr>
        <w:adjustRightInd w:val="0"/>
        <w:snapToGrid w:val="0"/>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 xml:space="preserve">    16.1合同的变更</w:t>
      </w:r>
    </w:p>
    <w:p w14:paraId="544BC3E7">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政府采购合同履行中，在不改变合同其他条款的前提下，甲方可以在合同价款10%的范围内追加与合同标的相同的货物，并就此与乙方协商一致后签订补充协议。</w:t>
      </w:r>
    </w:p>
    <w:p w14:paraId="6097F356">
      <w:pPr>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16.2合同的中止</w:t>
      </w:r>
    </w:p>
    <w:p w14:paraId="58A5BDEE">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（1）合同履行过程中因供应商就采购文件、采购过程或结果提起投诉的，甲方认为有必要的，可以中止合同的履行。</w:t>
      </w:r>
    </w:p>
    <w:p w14:paraId="40B29383">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0F9A7F9">
      <w:pPr>
        <w:pStyle w:val="94"/>
        <w:ind w:firstLine="420"/>
        <w:jc w:val="both"/>
        <w:rPr>
          <w:rFonts w:hint="eastAsia" w:ascii="宋体" w:hAnsi="宋体" w:eastAsia="宋体" w:cs="宋体"/>
          <w:sz w:val="21"/>
          <w:highlight w:val="none"/>
        </w:rPr>
      </w:pPr>
      <w:r>
        <w:rPr>
          <w:rFonts w:hint="eastAsia" w:ascii="宋体" w:hAnsi="宋体" w:eastAsia="宋体" w:cs="宋体"/>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707E96C2">
      <w:pPr>
        <w:snapToGrid w:val="0"/>
        <w:spacing w:line="400" w:lineRule="exact"/>
        <w:ind w:firstLine="420" w:firstLineChars="200"/>
        <w:jc w:val="left"/>
        <w:rPr>
          <w:rFonts w:hint="eastAsia" w:ascii="宋体" w:hAnsi="宋体" w:eastAsia="宋体" w:cs="宋体"/>
          <w:highlight w:val="none"/>
        </w:rPr>
      </w:pPr>
      <w:r>
        <w:rPr>
          <w:rFonts w:hint="eastAsia" w:ascii="宋体" w:hAnsi="宋体" w:eastAsia="宋体" w:cs="宋体"/>
          <w:szCs w:val="21"/>
          <w:highlight w:val="none"/>
        </w:rPr>
        <w:t>（4）甲方不得以行政区划调整、政府换届、机构或者职能调整以及相关责任人更替为由中止合同。</w:t>
      </w:r>
    </w:p>
    <w:p w14:paraId="4DCCA959">
      <w:pPr>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16.3合同的终止</w:t>
      </w:r>
    </w:p>
    <w:p w14:paraId="0EB21A83">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（1）合同因有效期限届满而终止；</w:t>
      </w:r>
    </w:p>
    <w:p w14:paraId="1496F313">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（2）乙方未按合同约定履行，构成根本性违约的，甲方有权终止合同，并追究乙方的违约责任。</w:t>
      </w:r>
    </w:p>
    <w:p w14:paraId="49E3A5EB">
      <w:pPr>
        <w:pStyle w:val="94"/>
        <w:rPr>
          <w:rFonts w:hint="eastAsia" w:ascii="宋体" w:hAnsi="宋体" w:eastAsia="宋体" w:cs="宋体"/>
          <w:highlight w:val="none"/>
        </w:rPr>
      </w:pPr>
      <w:r>
        <w:rPr>
          <w:rFonts w:hint="eastAsia" w:ascii="宋体" w:hAnsi="宋体" w:eastAsia="宋体" w:cs="宋体"/>
          <w:highlight w:val="none"/>
        </w:rPr>
        <w:t xml:space="preserve">16.4 </w:t>
      </w:r>
      <w:r>
        <w:rPr>
          <w:rFonts w:hint="eastAsia" w:ascii="宋体" w:hAnsi="宋体" w:eastAsia="宋体" w:cs="宋体"/>
          <w:kern w:val="2"/>
          <w:sz w:val="21"/>
          <w:highlight w:val="none"/>
        </w:rPr>
        <w:t>涉及国家利益、社会公共利益的情形</w:t>
      </w:r>
    </w:p>
    <w:p w14:paraId="79EE673B">
      <w:pPr>
        <w:pStyle w:val="94"/>
        <w:ind w:firstLine="420"/>
        <w:jc w:val="both"/>
        <w:rPr>
          <w:rFonts w:hint="eastAsia" w:ascii="宋体" w:hAnsi="宋体" w:eastAsia="宋体" w:cs="宋体"/>
          <w:sz w:val="21"/>
          <w:highlight w:val="none"/>
        </w:rPr>
      </w:pPr>
      <w:r>
        <w:rPr>
          <w:rFonts w:hint="eastAsia" w:ascii="宋体" w:hAnsi="宋体" w:eastAsia="宋体" w:cs="宋体"/>
          <w:sz w:val="21"/>
          <w:highlight w:val="none"/>
        </w:rPr>
        <w:t>政府采购合同继续履行将损害国家利益和社会公共利益的，双方当事人应当变更、中止或者终止合同。有过错的一方应当承担赔偿责任，双方都有过错的，各自承担相应的责任。</w:t>
      </w:r>
    </w:p>
    <w:p w14:paraId="0F030A97">
      <w:pPr>
        <w:autoSpaceDE w:val="0"/>
        <w:autoSpaceDN w:val="0"/>
        <w:adjustRightInd w:val="0"/>
        <w:snapToGrid w:val="0"/>
        <w:spacing w:line="40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17. 合同分包</w:t>
      </w:r>
    </w:p>
    <w:p w14:paraId="698937D7">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17.1 乙方不得将合同转包给其他供应商。涉及合同分包的，乙方应根据采购文件和投标（响应）文件规定进行合同分包。</w:t>
      </w:r>
    </w:p>
    <w:p w14:paraId="08C645A2">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17.2 乙方执行政府采购政策向中小企业依法分包的，乙方应当按采购文件和投标（响应）文件签订分包意向协议，分包意向协议属于本合同组成部分。</w:t>
      </w:r>
    </w:p>
    <w:p w14:paraId="2E6DB596">
      <w:pPr>
        <w:autoSpaceDE w:val="0"/>
        <w:autoSpaceDN w:val="0"/>
        <w:adjustRightInd w:val="0"/>
        <w:snapToGrid w:val="0"/>
        <w:spacing w:line="40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18. 不可抗力</w:t>
      </w:r>
    </w:p>
    <w:p w14:paraId="6B501948">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18.1 不可抗力是指合同双方不能预见、不能避免且不能克服的客观情况。</w:t>
      </w:r>
    </w:p>
    <w:p w14:paraId="1EE9AFC8">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18.2 任何一方对由于不可抗力造成的部分或全部不能履行合同不承担违约责任。但迟延履行后发生不可抗力的，不能免除责任。</w:t>
      </w:r>
    </w:p>
    <w:p w14:paraId="0F1F8668">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88DBEE1">
      <w:pPr>
        <w:autoSpaceDE w:val="0"/>
        <w:autoSpaceDN w:val="0"/>
        <w:adjustRightInd w:val="0"/>
        <w:snapToGrid w:val="0"/>
        <w:spacing w:line="40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19. 解决争议的方法</w:t>
      </w:r>
    </w:p>
    <w:p w14:paraId="60731737">
      <w:pPr>
        <w:pStyle w:val="94"/>
        <w:ind w:firstLine="420"/>
        <w:jc w:val="both"/>
        <w:rPr>
          <w:rFonts w:hint="eastAsia" w:ascii="宋体" w:hAnsi="宋体" w:eastAsia="宋体" w:cs="宋体"/>
          <w:sz w:val="21"/>
          <w:highlight w:val="none"/>
        </w:rPr>
      </w:pPr>
      <w:r>
        <w:rPr>
          <w:rFonts w:hint="eastAsia" w:ascii="宋体" w:hAnsi="宋体" w:eastAsia="宋体" w:cs="宋体"/>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812B72D">
      <w:pPr>
        <w:pStyle w:val="94"/>
        <w:ind w:firstLine="420"/>
        <w:jc w:val="both"/>
        <w:rPr>
          <w:rFonts w:hint="eastAsia" w:ascii="宋体" w:hAnsi="宋体" w:eastAsia="宋体" w:cs="宋体"/>
          <w:sz w:val="21"/>
          <w:highlight w:val="none"/>
        </w:rPr>
      </w:pPr>
      <w:r>
        <w:rPr>
          <w:rFonts w:hint="eastAsia" w:ascii="宋体" w:hAnsi="宋体" w:eastAsia="宋体" w:cs="宋体"/>
          <w:sz w:val="21"/>
          <w:highlight w:val="none"/>
        </w:rPr>
        <w:t>19.2 选择仲裁的，应在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63BCF158">
      <w:pPr>
        <w:pStyle w:val="94"/>
        <w:ind w:firstLine="420"/>
        <w:jc w:val="both"/>
        <w:rPr>
          <w:rFonts w:hint="eastAsia" w:ascii="宋体" w:hAnsi="宋体" w:eastAsia="宋体" w:cs="宋体"/>
          <w:sz w:val="21"/>
          <w:highlight w:val="none"/>
        </w:rPr>
      </w:pPr>
      <w:r>
        <w:rPr>
          <w:rFonts w:hint="eastAsia" w:ascii="宋体" w:hAnsi="宋体" w:eastAsia="宋体" w:cs="宋体"/>
          <w:sz w:val="21"/>
          <w:highlight w:val="none"/>
        </w:rPr>
        <w:t>19.3 如甲乙双方有争议的事项不影响合同其他部分的履行，在争议解决期间，合同其他部分应当继续履行。</w:t>
      </w:r>
    </w:p>
    <w:p w14:paraId="0AF7CD04">
      <w:pPr>
        <w:autoSpaceDE w:val="0"/>
        <w:autoSpaceDN w:val="0"/>
        <w:adjustRightInd w:val="0"/>
        <w:snapToGrid w:val="0"/>
        <w:spacing w:line="400" w:lineRule="exact"/>
        <w:jc w:val="left"/>
        <w:rPr>
          <w:rFonts w:hint="eastAsia" w:ascii="宋体" w:hAnsi="宋体" w:eastAsia="宋体" w:cs="宋体"/>
          <w:sz w:val="24"/>
          <w:highlight w:val="none"/>
        </w:rPr>
      </w:pPr>
      <w:r>
        <w:rPr>
          <w:rFonts w:hint="eastAsia" w:ascii="宋体" w:hAnsi="宋体" w:eastAsia="宋体" w:cs="宋体"/>
          <w:b/>
          <w:sz w:val="24"/>
          <w:highlight w:val="none"/>
        </w:rPr>
        <w:t>20. 政府采购政策</w:t>
      </w:r>
    </w:p>
    <w:p w14:paraId="7A899D49">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20.1 </w:t>
      </w:r>
      <w:r>
        <w:rPr>
          <w:rFonts w:hint="eastAsia" w:ascii="宋体" w:hAnsi="宋体" w:eastAsia="宋体" w:cs="宋体"/>
          <w:highlight w:val="none"/>
          <w:lang w:val="en-GB"/>
        </w:rPr>
        <w:t>本合同应当按照规定执行政府采购政策。</w:t>
      </w:r>
    </w:p>
    <w:p w14:paraId="6A7666FF">
      <w:pPr>
        <w:autoSpaceDE w:val="0"/>
        <w:autoSpaceDN w:val="0"/>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20.2 本合同依法执行政府采购政策的方式和内容，属于合同履约验收的范围。</w:t>
      </w:r>
      <w:r>
        <w:rPr>
          <w:rFonts w:hint="eastAsia" w:ascii="宋体" w:hAnsi="宋体" w:eastAsia="宋体" w:cs="宋体"/>
          <w:highlight w:val="none"/>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宋体"/>
          <w:szCs w:val="21"/>
          <w:highlight w:val="none"/>
        </w:rPr>
        <w:t>，有过错的一方应当承担赔偿责任，双方都有过错的，各自承担相应的责任。</w:t>
      </w:r>
    </w:p>
    <w:p w14:paraId="018D1681">
      <w:pPr>
        <w:pStyle w:val="12"/>
        <w:tabs>
          <w:tab w:val="left" w:pos="567"/>
        </w:tabs>
        <w:spacing w:line="400" w:lineRule="exact"/>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2448919">
      <w:pPr>
        <w:autoSpaceDE w:val="0"/>
        <w:autoSpaceDN w:val="0"/>
        <w:adjustRightInd w:val="0"/>
        <w:snapToGrid w:val="0"/>
        <w:spacing w:line="400" w:lineRule="exact"/>
        <w:jc w:val="left"/>
        <w:rPr>
          <w:rFonts w:hint="eastAsia" w:ascii="宋体" w:hAnsi="宋体" w:eastAsia="宋体" w:cs="宋体"/>
          <w:b/>
          <w:sz w:val="24"/>
          <w:highlight w:val="none"/>
        </w:rPr>
      </w:pPr>
      <w:r>
        <w:rPr>
          <w:rFonts w:hint="eastAsia" w:ascii="宋体" w:hAnsi="宋体" w:eastAsia="宋体" w:cs="宋体"/>
          <w:b/>
          <w:sz w:val="24"/>
          <w:highlight w:val="none"/>
        </w:rPr>
        <w:t>21. 法律适用</w:t>
      </w:r>
    </w:p>
    <w:p w14:paraId="1CE07562">
      <w:pPr>
        <w:pStyle w:val="94"/>
        <w:ind w:firstLine="420"/>
        <w:jc w:val="both"/>
        <w:rPr>
          <w:rFonts w:hint="eastAsia" w:ascii="宋体" w:hAnsi="宋体" w:eastAsia="宋体" w:cs="宋体"/>
          <w:sz w:val="21"/>
          <w:highlight w:val="none"/>
        </w:rPr>
      </w:pPr>
      <w:r>
        <w:rPr>
          <w:rFonts w:hint="eastAsia" w:ascii="宋体" w:hAnsi="宋体" w:eastAsia="宋体" w:cs="宋体"/>
          <w:sz w:val="21"/>
          <w:highlight w:val="none"/>
        </w:rPr>
        <w:t>21.1 本合同的订立、生效、解释、履行及与本合同有关的争议解决，均适用法律、行政法规。</w:t>
      </w:r>
    </w:p>
    <w:p w14:paraId="707DBF84">
      <w:pPr>
        <w:pStyle w:val="94"/>
        <w:ind w:firstLine="420"/>
        <w:jc w:val="both"/>
        <w:rPr>
          <w:rFonts w:hint="eastAsia" w:ascii="宋体" w:hAnsi="宋体" w:eastAsia="宋体" w:cs="宋体"/>
          <w:sz w:val="21"/>
          <w:highlight w:val="none"/>
        </w:rPr>
      </w:pPr>
      <w:r>
        <w:rPr>
          <w:rFonts w:hint="eastAsia" w:ascii="宋体" w:hAnsi="宋体" w:eastAsia="宋体" w:cs="宋体"/>
          <w:sz w:val="21"/>
          <w:highlight w:val="none"/>
        </w:rPr>
        <w:t>21.2 本合同条款与法律、行政法规的强制性规定不一致的，双方当事人应按照法律、行政法规的强制性规定修改本合同的相关条款。</w:t>
      </w:r>
    </w:p>
    <w:p w14:paraId="50C6812E">
      <w:pPr>
        <w:numPr>
          <w:ilvl w:val="255"/>
          <w:numId w:val="0"/>
        </w:numPr>
        <w:autoSpaceDE w:val="0"/>
        <w:autoSpaceDN w:val="0"/>
        <w:adjustRightInd w:val="0"/>
        <w:snapToGrid w:val="0"/>
        <w:spacing w:line="400" w:lineRule="exact"/>
        <w:jc w:val="left"/>
        <w:rPr>
          <w:rFonts w:hint="eastAsia" w:ascii="宋体" w:hAnsi="宋体" w:eastAsia="宋体" w:cs="宋体"/>
          <w:b/>
          <w:sz w:val="24"/>
          <w:highlight w:val="none"/>
        </w:rPr>
      </w:pPr>
      <w:r>
        <w:rPr>
          <w:rFonts w:hint="eastAsia" w:ascii="宋体" w:hAnsi="宋体" w:eastAsia="宋体" w:cs="宋体"/>
          <w:b/>
          <w:sz w:val="24"/>
          <w:highlight w:val="none"/>
        </w:rPr>
        <w:t>22. 通知</w:t>
      </w:r>
    </w:p>
    <w:p w14:paraId="3E615753">
      <w:pPr>
        <w:pStyle w:val="94"/>
        <w:ind w:firstLine="420"/>
        <w:jc w:val="both"/>
        <w:rPr>
          <w:rFonts w:hint="eastAsia" w:ascii="宋体" w:hAnsi="宋体" w:eastAsia="宋体" w:cs="宋体"/>
          <w:sz w:val="21"/>
          <w:highlight w:val="none"/>
        </w:rPr>
      </w:pPr>
      <w:r>
        <w:rPr>
          <w:rFonts w:hint="eastAsia" w:ascii="宋体" w:hAnsi="宋体" w:eastAsia="宋体" w:cs="宋体"/>
          <w:sz w:val="21"/>
          <w:highlight w:val="none"/>
        </w:rPr>
        <w:t>22.1 本合同任何一方向对方发出的通知、信件、数据电文等，应当发送至本合同第一部分《政府采购合同协议书》所约定的通讯地址、联系人、联系电话或电子邮箱。</w:t>
      </w:r>
    </w:p>
    <w:p w14:paraId="256AEC2E">
      <w:pPr>
        <w:pStyle w:val="94"/>
        <w:ind w:firstLine="0" w:firstLineChars="0"/>
        <w:jc w:val="both"/>
        <w:rPr>
          <w:rFonts w:hint="eastAsia" w:ascii="宋体" w:hAnsi="宋体" w:eastAsia="宋体" w:cs="宋体"/>
          <w:sz w:val="21"/>
          <w:highlight w:val="none"/>
        </w:rPr>
      </w:pPr>
      <w:r>
        <w:rPr>
          <w:rFonts w:hint="eastAsia" w:ascii="宋体" w:hAnsi="宋体" w:eastAsia="宋体" w:cs="宋体"/>
          <w:sz w:val="21"/>
          <w:highlight w:val="none"/>
        </w:rPr>
        <w:t xml:space="preserve">    22.2 一方当事人变更名称、住所、联系人、联系电话或电子邮箱等信息的，应当在变更后3日内及时书面通知对方，对方实际收到变更通知前的送达仍为有效送达。</w:t>
      </w:r>
    </w:p>
    <w:p w14:paraId="5187FE58">
      <w:pPr>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22.3本合同一方给另一方的通知均应采用书面形式，传真或快递送到本合同中规定的对方的地址和办理签收手续。</w:t>
      </w:r>
    </w:p>
    <w:p w14:paraId="2F62432A">
      <w:pPr>
        <w:adjustRightInd w:val="0"/>
        <w:snapToGrid w:val="0"/>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22.4通知以送达之日或通知书中规定的生效之日起生效，两者中以较迟之日为准。</w:t>
      </w:r>
    </w:p>
    <w:p w14:paraId="106D1433">
      <w:pPr>
        <w:numPr>
          <w:ilvl w:val="0"/>
          <w:numId w:val="22"/>
        </w:numPr>
        <w:adjustRightInd w:val="0"/>
        <w:snapToGrid w:val="0"/>
        <w:spacing w:line="40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合同未尽事项</w:t>
      </w:r>
    </w:p>
    <w:p w14:paraId="4FF7A82A">
      <w:pPr>
        <w:adjustRightInd w:val="0"/>
        <w:snapToGrid w:val="0"/>
        <w:spacing w:line="40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23.1合同未尽事项见</w:t>
      </w:r>
      <w:r>
        <w:rPr>
          <w:rFonts w:hint="eastAsia" w:ascii="宋体" w:hAnsi="宋体" w:eastAsia="宋体" w:cs="宋体"/>
          <w:b/>
          <w:szCs w:val="21"/>
          <w:highlight w:val="none"/>
        </w:rPr>
        <w:t>【政府采购合同专用条款】</w:t>
      </w:r>
      <w:r>
        <w:rPr>
          <w:rFonts w:hint="eastAsia" w:ascii="宋体" w:hAnsi="宋体" w:eastAsia="宋体" w:cs="宋体"/>
          <w:bCs/>
          <w:szCs w:val="21"/>
          <w:highlight w:val="none"/>
        </w:rPr>
        <w:t>。</w:t>
      </w:r>
    </w:p>
    <w:p w14:paraId="31CA4897">
      <w:pPr>
        <w:adjustRightInd w:val="0"/>
        <w:snapToGrid w:val="0"/>
        <w:spacing w:line="400" w:lineRule="exact"/>
        <w:jc w:val="left"/>
        <w:rPr>
          <w:rFonts w:hint="eastAsia" w:ascii="宋体" w:hAnsi="宋体" w:eastAsia="宋体" w:cs="宋体"/>
          <w:sz w:val="28"/>
          <w:szCs w:val="28"/>
          <w:highlight w:val="none"/>
        </w:rPr>
      </w:pPr>
      <w:r>
        <w:rPr>
          <w:rFonts w:hint="eastAsia" w:ascii="宋体" w:hAnsi="宋体" w:eastAsia="宋体" w:cs="宋体"/>
          <w:bCs/>
          <w:szCs w:val="21"/>
          <w:highlight w:val="none"/>
        </w:rPr>
        <w:t xml:space="preserve">    23.2 合同附件与合同正文具有同等的法律效力。</w:t>
      </w:r>
      <w:bookmarkStart w:id="404" w:name="_Toc20313"/>
    </w:p>
    <w:p w14:paraId="62B49A97">
      <w:pPr>
        <w:adjustRightInd w:val="0"/>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80D8171">
      <w:pPr>
        <w:pStyle w:val="3"/>
        <w:numPr>
          <w:ilvl w:val="1"/>
          <w:numId w:val="0"/>
        </w:numPr>
        <w:adjustRightInd w:val="0"/>
        <w:snapToGrid w:val="0"/>
        <w:jc w:val="center"/>
        <w:rPr>
          <w:rFonts w:hint="eastAsia" w:ascii="宋体" w:hAnsi="宋体" w:eastAsia="宋体" w:cs="宋体"/>
          <w:b w:val="0"/>
          <w:sz w:val="28"/>
          <w:szCs w:val="28"/>
          <w:highlight w:val="none"/>
        </w:rPr>
      </w:pPr>
      <w:r>
        <w:rPr>
          <w:rFonts w:hint="eastAsia" w:ascii="宋体" w:hAnsi="宋体" w:eastAsia="宋体" w:cs="宋体"/>
          <w:b w:val="0"/>
          <w:sz w:val="28"/>
          <w:szCs w:val="28"/>
          <w:highlight w:val="none"/>
        </w:rPr>
        <w:t>第三节 政府采购合同专用条款</w:t>
      </w:r>
      <w:bookmarkEnd w:id="404"/>
    </w:p>
    <w:tbl>
      <w:tblPr>
        <w:tblStyle w:val="2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8C3CB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79B4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7C994F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第1.2（6）项</w:t>
            </w:r>
          </w:p>
        </w:tc>
        <w:tc>
          <w:tcPr>
            <w:tcW w:w="1742" w:type="dxa"/>
            <w:vAlign w:val="center"/>
          </w:tcPr>
          <w:p w14:paraId="412AEFE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联合体具体要求</w:t>
            </w:r>
          </w:p>
        </w:tc>
        <w:tc>
          <w:tcPr>
            <w:tcW w:w="5170" w:type="dxa"/>
            <w:vAlign w:val="center"/>
          </w:tcPr>
          <w:p w14:paraId="15C9827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28AF7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C3351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70818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第1.2（7）项</w:t>
            </w:r>
          </w:p>
        </w:tc>
        <w:tc>
          <w:tcPr>
            <w:tcW w:w="1742" w:type="dxa"/>
            <w:vAlign w:val="center"/>
          </w:tcPr>
          <w:p w14:paraId="0B7B5E3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其他术语解释</w:t>
            </w:r>
          </w:p>
        </w:tc>
        <w:tc>
          <w:tcPr>
            <w:tcW w:w="5170" w:type="dxa"/>
            <w:vAlign w:val="center"/>
          </w:tcPr>
          <w:p w14:paraId="2EC467A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12054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2D1D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F29CC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第4.4款</w:t>
            </w:r>
          </w:p>
        </w:tc>
        <w:tc>
          <w:tcPr>
            <w:tcW w:w="1742" w:type="dxa"/>
            <w:vAlign w:val="center"/>
          </w:tcPr>
          <w:p w14:paraId="00F217B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履约验收中甲方提出异议或作出说明的期限</w:t>
            </w:r>
          </w:p>
        </w:tc>
        <w:tc>
          <w:tcPr>
            <w:tcW w:w="5170" w:type="dxa"/>
            <w:vAlign w:val="center"/>
          </w:tcPr>
          <w:p w14:paraId="2E20A48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69C0D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4F81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AB859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第4.6款</w:t>
            </w:r>
          </w:p>
        </w:tc>
        <w:tc>
          <w:tcPr>
            <w:tcW w:w="1742" w:type="dxa"/>
            <w:vAlign w:val="center"/>
          </w:tcPr>
          <w:p w14:paraId="761EF0F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约定甲方承担的其他义务和责任</w:t>
            </w:r>
          </w:p>
        </w:tc>
        <w:tc>
          <w:tcPr>
            <w:tcW w:w="5170" w:type="dxa"/>
            <w:vAlign w:val="center"/>
          </w:tcPr>
          <w:p w14:paraId="4AFCD99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4E8BE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9C2A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73CF21E">
            <w:pPr>
              <w:keepNext w:val="0"/>
              <w:keepLines w:val="0"/>
              <w:suppressLineNumbers w:val="0"/>
              <w:snapToGrid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szCs w:val="21"/>
                <w:highlight w:val="none"/>
              </w:rPr>
              <w:t>第5.4款</w:t>
            </w:r>
          </w:p>
        </w:tc>
        <w:tc>
          <w:tcPr>
            <w:tcW w:w="1742" w:type="dxa"/>
            <w:vAlign w:val="center"/>
          </w:tcPr>
          <w:p w14:paraId="7559635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约定乙方承担的其他义务和责任</w:t>
            </w:r>
          </w:p>
        </w:tc>
        <w:tc>
          <w:tcPr>
            <w:tcW w:w="5170" w:type="dxa"/>
            <w:vAlign w:val="center"/>
          </w:tcPr>
          <w:p w14:paraId="08E75D5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0D6B3F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0F2A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82EEEF0">
            <w:pPr>
              <w:keepNext w:val="0"/>
              <w:keepLines w:val="0"/>
              <w:suppressLineNumbers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第6.1款</w:t>
            </w:r>
          </w:p>
        </w:tc>
        <w:tc>
          <w:tcPr>
            <w:tcW w:w="1742" w:type="dxa"/>
            <w:vAlign w:val="center"/>
          </w:tcPr>
          <w:p w14:paraId="0EF02C3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履行合同义务的顺序</w:t>
            </w:r>
          </w:p>
        </w:tc>
        <w:tc>
          <w:tcPr>
            <w:tcW w:w="5170" w:type="dxa"/>
            <w:vAlign w:val="center"/>
          </w:tcPr>
          <w:p w14:paraId="1B6A656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314DB1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BA8238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1806A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第7.1款</w:t>
            </w:r>
          </w:p>
        </w:tc>
        <w:tc>
          <w:tcPr>
            <w:tcW w:w="1742" w:type="dxa"/>
            <w:vAlign w:val="center"/>
          </w:tcPr>
          <w:p w14:paraId="3518FAF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包装特殊要求</w:t>
            </w:r>
          </w:p>
        </w:tc>
        <w:tc>
          <w:tcPr>
            <w:tcW w:w="5170" w:type="dxa"/>
            <w:vAlign w:val="center"/>
          </w:tcPr>
          <w:p w14:paraId="54EFC70A">
            <w:pPr>
              <w:keepNext w:val="0"/>
              <w:keepLines w:val="0"/>
              <w:suppressLineNumbers w:val="0"/>
              <w:spacing w:before="0" w:beforeAutospacing="0" w:after="0" w:afterAutospacing="0"/>
              <w:ind w:left="0" w:right="0"/>
              <w:rPr>
                <w:rFonts w:hint="eastAsia" w:ascii="宋体" w:hAnsi="宋体" w:eastAsia="宋体" w:cs="宋体"/>
                <w:highlight w:val="none"/>
              </w:rPr>
            </w:pPr>
          </w:p>
        </w:tc>
      </w:tr>
      <w:tr w14:paraId="1D7380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EABE0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p>
        </w:tc>
        <w:tc>
          <w:tcPr>
            <w:tcW w:w="1742" w:type="dxa"/>
            <w:vAlign w:val="center"/>
          </w:tcPr>
          <w:p w14:paraId="05040C5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指定现场</w:t>
            </w:r>
          </w:p>
        </w:tc>
        <w:tc>
          <w:tcPr>
            <w:tcW w:w="5170" w:type="dxa"/>
            <w:vAlign w:val="center"/>
          </w:tcPr>
          <w:p w14:paraId="2E1A8D74">
            <w:pPr>
              <w:keepNext w:val="0"/>
              <w:keepLines w:val="0"/>
              <w:suppressLineNumbers w:val="0"/>
              <w:spacing w:before="0" w:beforeAutospacing="0" w:after="0" w:afterAutospacing="0"/>
              <w:ind w:left="0" w:right="0"/>
              <w:rPr>
                <w:rFonts w:hint="eastAsia" w:ascii="宋体" w:hAnsi="宋体" w:eastAsia="宋体" w:cs="宋体"/>
                <w:highlight w:val="none"/>
              </w:rPr>
            </w:pPr>
          </w:p>
        </w:tc>
      </w:tr>
      <w:tr w14:paraId="2073E6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E8341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20E21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第7.2款</w:t>
            </w:r>
          </w:p>
        </w:tc>
        <w:tc>
          <w:tcPr>
            <w:tcW w:w="1742" w:type="dxa"/>
            <w:vAlign w:val="center"/>
          </w:tcPr>
          <w:p w14:paraId="0475F7D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运输特殊要求</w:t>
            </w:r>
          </w:p>
        </w:tc>
        <w:tc>
          <w:tcPr>
            <w:tcW w:w="5170" w:type="dxa"/>
            <w:vAlign w:val="center"/>
          </w:tcPr>
          <w:p w14:paraId="51ECAA9B">
            <w:pPr>
              <w:keepNext w:val="0"/>
              <w:keepLines w:val="0"/>
              <w:suppressLineNumbers w:val="0"/>
              <w:spacing w:before="0" w:beforeAutospacing="0" w:after="0" w:afterAutospacing="0"/>
              <w:ind w:left="0" w:right="0"/>
              <w:rPr>
                <w:rFonts w:hint="eastAsia" w:ascii="宋体" w:hAnsi="宋体" w:eastAsia="宋体" w:cs="宋体"/>
                <w:highlight w:val="none"/>
              </w:rPr>
            </w:pPr>
          </w:p>
        </w:tc>
      </w:tr>
      <w:tr w14:paraId="00188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476EB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88496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第7.3款</w:t>
            </w:r>
          </w:p>
        </w:tc>
        <w:tc>
          <w:tcPr>
            <w:tcW w:w="1742" w:type="dxa"/>
            <w:vAlign w:val="center"/>
          </w:tcPr>
          <w:p w14:paraId="10C0460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保险要求</w:t>
            </w:r>
          </w:p>
        </w:tc>
        <w:tc>
          <w:tcPr>
            <w:tcW w:w="5170" w:type="dxa"/>
            <w:vAlign w:val="center"/>
          </w:tcPr>
          <w:p w14:paraId="176C4F5B">
            <w:pPr>
              <w:keepNext w:val="0"/>
              <w:keepLines w:val="0"/>
              <w:suppressLineNumbers w:val="0"/>
              <w:spacing w:before="0" w:beforeAutospacing="0" w:after="0" w:afterAutospacing="0"/>
              <w:ind w:left="0" w:right="0"/>
              <w:rPr>
                <w:rFonts w:hint="eastAsia" w:ascii="宋体" w:hAnsi="宋体" w:eastAsia="宋体" w:cs="宋体"/>
                <w:highlight w:val="none"/>
              </w:rPr>
            </w:pPr>
          </w:p>
        </w:tc>
      </w:tr>
      <w:tr w14:paraId="5AAA5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4801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BDAAE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第8.2（1）项</w:t>
            </w:r>
          </w:p>
        </w:tc>
        <w:tc>
          <w:tcPr>
            <w:tcW w:w="1742" w:type="dxa"/>
            <w:vAlign w:val="center"/>
          </w:tcPr>
          <w:p w14:paraId="7E3D874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质量保证期</w:t>
            </w:r>
          </w:p>
        </w:tc>
        <w:tc>
          <w:tcPr>
            <w:tcW w:w="5170" w:type="dxa"/>
            <w:vAlign w:val="center"/>
          </w:tcPr>
          <w:p w14:paraId="4AA10DE8">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eastAsia" w:ascii="宋体" w:hAnsi="宋体" w:eastAsia="宋体" w:cs="宋体"/>
                <w:szCs w:val="21"/>
                <w:highlight w:val="none"/>
              </w:rPr>
            </w:pPr>
          </w:p>
        </w:tc>
      </w:tr>
      <w:tr w14:paraId="74A88C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12D4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D5D2F6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第8.2（3）项</w:t>
            </w:r>
          </w:p>
        </w:tc>
        <w:tc>
          <w:tcPr>
            <w:tcW w:w="1742" w:type="dxa"/>
            <w:vAlign w:val="center"/>
          </w:tcPr>
          <w:p w14:paraId="0A0BFDF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货物质量缺陷</w:t>
            </w:r>
          </w:p>
          <w:p w14:paraId="6B3BFCE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响应时间</w:t>
            </w:r>
          </w:p>
        </w:tc>
        <w:tc>
          <w:tcPr>
            <w:tcW w:w="5170" w:type="dxa"/>
            <w:vAlign w:val="center"/>
          </w:tcPr>
          <w:p w14:paraId="27B1B8C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219AC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14AE1F">
            <w:pPr>
              <w:keepNext w:val="0"/>
              <w:keepLines w:val="0"/>
              <w:suppressLineNumbers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6761EA3">
            <w:pPr>
              <w:pStyle w:val="94"/>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highlight w:val="none"/>
              </w:rPr>
            </w:pPr>
            <w:r>
              <w:rPr>
                <w:rFonts w:hint="eastAsia" w:ascii="宋体" w:hAnsi="宋体" w:eastAsia="宋体" w:cs="宋体"/>
                <w:highlight w:val="none"/>
              </w:rPr>
              <w:t>第11.1款</w:t>
            </w:r>
          </w:p>
        </w:tc>
        <w:tc>
          <w:tcPr>
            <w:tcW w:w="1742" w:type="dxa"/>
            <w:vAlign w:val="center"/>
          </w:tcPr>
          <w:p w14:paraId="740971E5">
            <w:pPr>
              <w:keepNext w:val="0"/>
              <w:keepLines w:val="0"/>
              <w:suppressLineNumbers w:val="0"/>
              <w:adjustRightInd w:val="0"/>
              <w:snapToGrid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其他应当保密的信息</w:t>
            </w:r>
          </w:p>
        </w:tc>
        <w:tc>
          <w:tcPr>
            <w:tcW w:w="5170" w:type="dxa"/>
            <w:vAlign w:val="center"/>
          </w:tcPr>
          <w:p w14:paraId="5DD4911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78E10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B85CF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C8919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第12.2款</w:t>
            </w:r>
          </w:p>
        </w:tc>
        <w:tc>
          <w:tcPr>
            <w:tcW w:w="1742" w:type="dxa"/>
            <w:vAlign w:val="center"/>
          </w:tcPr>
          <w:p w14:paraId="7E5E298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合同价款支付时间</w:t>
            </w:r>
          </w:p>
        </w:tc>
        <w:tc>
          <w:tcPr>
            <w:tcW w:w="5170" w:type="dxa"/>
            <w:vAlign w:val="center"/>
          </w:tcPr>
          <w:p w14:paraId="37869AE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08AAE7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16058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9A44D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第13.2款</w:t>
            </w:r>
          </w:p>
        </w:tc>
        <w:tc>
          <w:tcPr>
            <w:tcW w:w="1742" w:type="dxa"/>
            <w:vAlign w:val="center"/>
          </w:tcPr>
          <w:p w14:paraId="1D25978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履约保证金不予退还的情形</w:t>
            </w:r>
          </w:p>
        </w:tc>
        <w:tc>
          <w:tcPr>
            <w:tcW w:w="5170" w:type="dxa"/>
            <w:vAlign w:val="center"/>
          </w:tcPr>
          <w:p w14:paraId="752F981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2C092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0732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F7982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第13.3款</w:t>
            </w:r>
          </w:p>
        </w:tc>
        <w:tc>
          <w:tcPr>
            <w:tcW w:w="1742" w:type="dxa"/>
            <w:vAlign w:val="center"/>
          </w:tcPr>
          <w:p w14:paraId="1299F8A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履约保证金退还时间及逾期退还的违约金</w:t>
            </w:r>
          </w:p>
        </w:tc>
        <w:tc>
          <w:tcPr>
            <w:tcW w:w="5170" w:type="dxa"/>
            <w:vAlign w:val="center"/>
          </w:tcPr>
          <w:p w14:paraId="5764E9F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3E268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3BF79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D9D02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第14.1（3）项</w:t>
            </w:r>
          </w:p>
        </w:tc>
        <w:tc>
          <w:tcPr>
            <w:tcW w:w="1742" w:type="dxa"/>
            <w:vAlign w:val="center"/>
          </w:tcPr>
          <w:p w14:paraId="4188CC3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运行监督、维修期限</w:t>
            </w:r>
          </w:p>
        </w:tc>
        <w:tc>
          <w:tcPr>
            <w:tcW w:w="5170" w:type="dxa"/>
            <w:vAlign w:val="center"/>
          </w:tcPr>
          <w:p w14:paraId="2CCB1EE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48C502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81FA3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17A7C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第14.1（5）项</w:t>
            </w:r>
          </w:p>
        </w:tc>
        <w:tc>
          <w:tcPr>
            <w:tcW w:w="1742" w:type="dxa"/>
            <w:vAlign w:val="center"/>
          </w:tcPr>
          <w:p w14:paraId="1467144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货物回收的约定</w:t>
            </w:r>
          </w:p>
        </w:tc>
        <w:tc>
          <w:tcPr>
            <w:tcW w:w="5170" w:type="dxa"/>
            <w:vAlign w:val="center"/>
          </w:tcPr>
          <w:p w14:paraId="3A4289A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393807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220D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A2301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第14.1（6）项</w:t>
            </w:r>
          </w:p>
        </w:tc>
        <w:tc>
          <w:tcPr>
            <w:tcW w:w="1742" w:type="dxa"/>
            <w:vAlign w:val="center"/>
          </w:tcPr>
          <w:p w14:paraId="42FCD63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乙方提供的其他服务</w:t>
            </w:r>
          </w:p>
        </w:tc>
        <w:tc>
          <w:tcPr>
            <w:tcW w:w="5170" w:type="dxa"/>
            <w:vAlign w:val="center"/>
          </w:tcPr>
          <w:p w14:paraId="24DE46E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4B6452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D40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734042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第15.1款</w:t>
            </w:r>
          </w:p>
        </w:tc>
        <w:tc>
          <w:tcPr>
            <w:tcW w:w="1742" w:type="dxa"/>
            <w:vAlign w:val="center"/>
          </w:tcPr>
          <w:p w14:paraId="57F91F8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修理、重作、更换相关具体规定</w:t>
            </w:r>
          </w:p>
        </w:tc>
        <w:tc>
          <w:tcPr>
            <w:tcW w:w="5170" w:type="dxa"/>
            <w:vAlign w:val="center"/>
          </w:tcPr>
          <w:p w14:paraId="486DC4D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r w14:paraId="53A74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7475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DB824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第15.2（2）项</w:t>
            </w:r>
          </w:p>
        </w:tc>
        <w:tc>
          <w:tcPr>
            <w:tcW w:w="1742" w:type="dxa"/>
            <w:vAlign w:val="center"/>
          </w:tcPr>
          <w:p w14:paraId="05C6EA7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迟延交货赔偿费</w:t>
            </w:r>
          </w:p>
        </w:tc>
        <w:tc>
          <w:tcPr>
            <w:tcW w:w="5170" w:type="dxa"/>
            <w:vAlign w:val="center"/>
          </w:tcPr>
          <w:p w14:paraId="53AD1FE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u w:val="single"/>
              </w:rPr>
            </w:pPr>
          </w:p>
        </w:tc>
      </w:tr>
      <w:tr w14:paraId="65AF50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91E9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F6993E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第15.3款</w:t>
            </w:r>
          </w:p>
        </w:tc>
        <w:tc>
          <w:tcPr>
            <w:tcW w:w="1742" w:type="dxa"/>
            <w:vAlign w:val="center"/>
          </w:tcPr>
          <w:p w14:paraId="39F7872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逾期付款利息</w:t>
            </w:r>
          </w:p>
        </w:tc>
        <w:tc>
          <w:tcPr>
            <w:tcW w:w="5170" w:type="dxa"/>
            <w:vAlign w:val="center"/>
          </w:tcPr>
          <w:p w14:paraId="19AACDF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u w:val="single"/>
              </w:rPr>
            </w:pPr>
          </w:p>
        </w:tc>
      </w:tr>
      <w:tr w14:paraId="5D17F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7AF6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B4690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第15.4款</w:t>
            </w:r>
          </w:p>
        </w:tc>
        <w:tc>
          <w:tcPr>
            <w:tcW w:w="1742" w:type="dxa"/>
            <w:tcBorders>
              <w:left w:val="single" w:color="auto" w:sz="2" w:space="0"/>
              <w:bottom w:val="single" w:color="auto" w:sz="2" w:space="0"/>
              <w:right w:val="single" w:color="auto" w:sz="2" w:space="0"/>
            </w:tcBorders>
            <w:vAlign w:val="center"/>
          </w:tcPr>
          <w:p w14:paraId="236552D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其他违约责任</w:t>
            </w:r>
          </w:p>
        </w:tc>
        <w:tc>
          <w:tcPr>
            <w:tcW w:w="5170" w:type="dxa"/>
            <w:tcBorders>
              <w:left w:val="single" w:color="auto" w:sz="2" w:space="0"/>
              <w:bottom w:val="single" w:color="auto" w:sz="2" w:space="0"/>
            </w:tcBorders>
            <w:vAlign w:val="center"/>
          </w:tcPr>
          <w:p w14:paraId="3178139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u w:val="single"/>
              </w:rPr>
            </w:pPr>
          </w:p>
        </w:tc>
      </w:tr>
      <w:tr w14:paraId="498BE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0BD50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D561C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4D84B5D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解决争议的方法</w:t>
            </w:r>
          </w:p>
        </w:tc>
        <w:tc>
          <w:tcPr>
            <w:tcW w:w="5170" w:type="dxa"/>
            <w:tcBorders>
              <w:top w:val="single" w:color="auto" w:sz="2" w:space="0"/>
              <w:left w:val="single" w:color="auto" w:sz="2" w:space="0"/>
            </w:tcBorders>
            <w:vAlign w:val="center"/>
          </w:tcPr>
          <w:p w14:paraId="6E3D8F4A">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iCs/>
                <w:szCs w:val="21"/>
                <w:highlight w:val="none"/>
              </w:rPr>
            </w:pPr>
            <w:r>
              <w:rPr>
                <w:rFonts w:hint="eastAsia" w:ascii="宋体" w:hAnsi="宋体" w:eastAsia="宋体" w:cs="宋体"/>
                <w:iCs/>
                <w:szCs w:val="21"/>
                <w:highlight w:val="none"/>
              </w:rPr>
              <w:t>因本合同及合同有关事项发生的争议，按下列第</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种方式解决：</w:t>
            </w:r>
          </w:p>
          <w:p w14:paraId="14DFE194">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iCs/>
                <w:szCs w:val="21"/>
                <w:highlight w:val="none"/>
              </w:rPr>
            </w:pPr>
            <w:r>
              <w:rPr>
                <w:rFonts w:hint="eastAsia" w:ascii="宋体" w:hAnsi="宋体" w:eastAsia="宋体" w:cs="宋体"/>
                <w:iCs/>
                <w:szCs w:val="21"/>
                <w:highlight w:val="none"/>
              </w:rPr>
              <w:t>（1）向</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仲裁委员会申请仲裁，仲裁地点为</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w:t>
            </w:r>
          </w:p>
          <w:p w14:paraId="42E3603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u w:val="single"/>
              </w:rPr>
            </w:pPr>
            <w:r>
              <w:rPr>
                <w:rFonts w:hint="eastAsia" w:ascii="宋体" w:hAnsi="宋体" w:eastAsia="宋体" w:cs="宋体"/>
                <w:iCs/>
                <w:szCs w:val="21"/>
                <w:highlight w:val="none"/>
              </w:rPr>
              <w:t>（2）向</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人民法院起诉。</w:t>
            </w:r>
          </w:p>
        </w:tc>
      </w:tr>
      <w:tr w14:paraId="6EC44F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D6589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169635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第23.1款</w:t>
            </w:r>
          </w:p>
        </w:tc>
        <w:tc>
          <w:tcPr>
            <w:tcW w:w="1742" w:type="dxa"/>
            <w:vAlign w:val="center"/>
          </w:tcPr>
          <w:p w14:paraId="09AE004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bCs/>
                <w:szCs w:val="21"/>
                <w:highlight w:val="none"/>
              </w:rPr>
              <w:t>其他专用条款</w:t>
            </w:r>
          </w:p>
        </w:tc>
        <w:tc>
          <w:tcPr>
            <w:tcW w:w="5170" w:type="dxa"/>
            <w:vAlign w:val="center"/>
          </w:tcPr>
          <w:p w14:paraId="7DA36AE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Cs w:val="21"/>
                <w:highlight w:val="none"/>
              </w:rPr>
            </w:pPr>
          </w:p>
        </w:tc>
      </w:tr>
    </w:tbl>
    <w:p w14:paraId="383F134C">
      <w:pPr>
        <w:rPr>
          <w:rFonts w:hint="eastAsia" w:ascii="宋体" w:hAnsi="宋体" w:eastAsia="宋体" w:cs="宋体"/>
          <w:highlight w:val="none"/>
        </w:rPr>
      </w:pPr>
    </w:p>
    <w:p w14:paraId="4F9A7C63">
      <w:pPr>
        <w:rPr>
          <w:rFonts w:hint="eastAsia" w:ascii="宋体" w:hAnsi="宋体" w:eastAsia="宋体" w:cs="宋体"/>
          <w:b/>
          <w:bCs/>
          <w:sz w:val="44"/>
          <w:szCs w:val="44"/>
          <w:highlight w:val="none"/>
        </w:rPr>
      </w:pPr>
    </w:p>
    <w:p w14:paraId="03C8F4D4">
      <w:pPr>
        <w:rPr>
          <w:rFonts w:hint="eastAsia" w:ascii="宋体" w:hAnsi="宋体" w:eastAsia="宋体" w:cs="宋体"/>
          <w:highlight w:val="none"/>
        </w:rPr>
      </w:pPr>
    </w:p>
    <w:p w14:paraId="42563CBA">
      <w:pPr>
        <w:rPr>
          <w:rFonts w:hint="eastAsia" w:ascii="宋体" w:hAnsi="宋体" w:eastAsia="宋体" w:cs="宋体"/>
          <w:highlight w:val="none"/>
        </w:rPr>
      </w:pPr>
    </w:p>
    <w:p w14:paraId="44FDF793">
      <w:pPr>
        <w:rPr>
          <w:rFonts w:hint="eastAsia" w:ascii="宋体" w:hAnsi="宋体" w:eastAsia="宋体" w:cs="宋体"/>
          <w:highlight w:val="none"/>
        </w:rPr>
      </w:pPr>
    </w:p>
    <w:p w14:paraId="32CB634E">
      <w:pPr>
        <w:rPr>
          <w:rFonts w:hint="eastAsia" w:ascii="宋体" w:hAnsi="宋体" w:eastAsia="宋体" w:cs="宋体"/>
          <w:highlight w:val="none"/>
        </w:rPr>
      </w:pPr>
    </w:p>
    <w:sectPr>
      <w:headerReference r:id="rId10" w:type="default"/>
      <w:footerReference r:id="rId11" w:type="default"/>
      <w:pgSz w:w="11907" w:h="16840"/>
      <w:pgMar w:top="1474" w:right="1814" w:bottom="1474" w:left="175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CDE66C4-44EB-4D41-89EB-DCDEBE861C3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50331CF-B907-4E21-9599-304DEC766EC5}"/>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宋体;SimSun">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embedRegular r:id="rId3" w:fontKey="{3B432748-8BE5-4A1F-9AEC-048110096962}"/>
  </w:font>
  <w:font w:name="微软雅黑">
    <w:panose1 w:val="020B0503020204020204"/>
    <w:charset w:val="86"/>
    <w:family w:val="auto"/>
    <w:pitch w:val="default"/>
    <w:sig w:usb0="80000287" w:usb1="2ACF3C50" w:usb2="00000016" w:usb3="00000000" w:csb0="0004001F" w:csb1="00000000"/>
    <w:embedRegular r:id="rId4" w:fontKey="{03D22225-064B-4C55-B2EF-39E90C203F63}"/>
  </w:font>
  <w:font w:name="WPSEMBED1">
    <w:panose1 w:val="05020102010507070707"/>
    <w:charset w:val="00"/>
    <w:family w:val="auto"/>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904B">
    <w:pPr>
      <w:pStyle w:val="5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079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D079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B531">
    <w:pPr>
      <w:pStyle w:val="18"/>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A2E3C2">
                          <w:pPr>
                            <w:pStyle w:val="18"/>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5A2E3C2">
                    <w:pPr>
                      <w:pStyle w:val="1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DE610">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79CB9F">
                          <w:pPr>
                            <w:pStyle w:val="18"/>
                            <w:jc w:val="center"/>
                          </w:pPr>
                          <w:r>
                            <w:fldChar w:fldCharType="begin"/>
                          </w:r>
                          <w:r>
                            <w:instrText xml:space="preserve">PAGE   \* MERGEFORMAT</w:instrText>
                          </w:r>
                          <w:r>
                            <w:fldChar w:fldCharType="separate"/>
                          </w:r>
                          <w:r>
                            <w:rPr>
                              <w:lang w:val="zh-CN"/>
                            </w:rPr>
                            <w:t>57</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Ki/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Ki/c0BAACnAwAADgAAAAAAAAABACAAAAAeAQAAZHJzL2Uy&#10;b0RvYy54bWxQSwUGAAAAAAYABgBZAQAAXQUAAAAA&#10;">
              <v:fill on="f" focussize="0,0"/>
              <v:stroke on="f"/>
              <v:imagedata o:title=""/>
              <o:lock v:ext="edit" aspectratio="f"/>
              <v:textbox inset="0mm,0mm,0mm,0mm" style="mso-fit-shape-to-text:t;">
                <w:txbxContent>
                  <w:p w14:paraId="1D79CB9F">
                    <w:pPr>
                      <w:pStyle w:val="18"/>
                      <w:jc w:val="center"/>
                    </w:pPr>
                    <w:r>
                      <w:fldChar w:fldCharType="begin"/>
                    </w:r>
                    <w:r>
                      <w:instrText xml:space="preserve">PAGE   \* MERGEFORMAT</w:instrText>
                    </w:r>
                    <w:r>
                      <w:fldChar w:fldCharType="separate"/>
                    </w:r>
                    <w:r>
                      <w:rPr>
                        <w:lang w:val="zh-CN"/>
                      </w:rPr>
                      <w:t>57</w:t>
                    </w:r>
                    <w:r>
                      <w:rPr>
                        <w:lang w:val="zh-CN"/>
                      </w:rPr>
                      <w:fldChar w:fldCharType="end"/>
                    </w:r>
                  </w:p>
                </w:txbxContent>
              </v:textbox>
            </v:shape>
          </w:pict>
        </mc:Fallback>
      </mc:AlternateContent>
    </w:r>
  </w:p>
  <w:p w14:paraId="2397B52D">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07D3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5E59E">
    <w:pPr>
      <w:pStyle w:val="54"/>
      <w:tabs>
        <w:tab w:val="clear" w:pos="4153"/>
        <w:tab w:val="clear"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8296E">
                          <w:pPr>
                            <w:pStyle w:val="1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C8296E">
                    <w:pPr>
                      <w:pStyle w:val="18"/>
                    </w:pPr>
                    <w:r>
                      <w:fldChar w:fldCharType="begin"/>
                    </w:r>
                    <w:r>
                      <w:instrText xml:space="preserve"> PAGE  \* MERGEFORMAT </w:instrText>
                    </w:r>
                    <w:r>
                      <w:fldChar w:fldCharType="separate"/>
                    </w:r>
                    <w:r>
                      <w:t>41</w:t>
                    </w:r>
                    <w:r>
                      <w:fldChar w:fldCharType="end"/>
                    </w:r>
                  </w:p>
                </w:txbxContent>
              </v:textbox>
            </v:shape>
          </w:pict>
        </mc:Fallback>
      </mc:AlternateContent>
    </w:r>
  </w:p>
  <w:p w14:paraId="1D17DF59">
    <w:pPr>
      <w:pStyle w:val="54"/>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B17D">
    <w:pPr>
      <w:pStyle w:val="56"/>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7B55">
    <w:pPr>
      <w:pStyle w:val="20"/>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02CD">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85DD">
    <w:pPr>
      <w:pStyle w:val="56"/>
      <w:tabs>
        <w:tab w:val="clear" w:pos="4153"/>
        <w:tab w:val="clear" w:pos="8306"/>
      </w:tabs>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BD225"/>
    <w:multiLevelType w:val="singleLevel"/>
    <w:tmpl w:val="841BD225"/>
    <w:lvl w:ilvl="0" w:tentative="0">
      <w:start w:val="1"/>
      <w:numFmt w:val="decimal"/>
      <w:lvlText w:val="(%1)"/>
      <w:lvlJc w:val="left"/>
      <w:pPr>
        <w:tabs>
          <w:tab w:val="left" w:pos="312"/>
        </w:tabs>
      </w:pPr>
    </w:lvl>
  </w:abstractNum>
  <w:abstractNum w:abstractNumId="1">
    <w:nsid w:val="8F233F44"/>
    <w:multiLevelType w:val="multilevel"/>
    <w:tmpl w:val="8F233F44"/>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93B87A84"/>
    <w:multiLevelType w:val="singleLevel"/>
    <w:tmpl w:val="93B87A84"/>
    <w:lvl w:ilvl="0" w:tentative="0">
      <w:start w:val="2"/>
      <w:numFmt w:val="decimal"/>
      <w:suff w:val="nothing"/>
      <w:lvlText w:val="%1、"/>
      <w:lvlJc w:val="left"/>
    </w:lvl>
  </w:abstractNum>
  <w:abstractNum w:abstractNumId="3">
    <w:nsid w:val="BD036AB4"/>
    <w:multiLevelType w:val="singleLevel"/>
    <w:tmpl w:val="BD036AB4"/>
    <w:lvl w:ilvl="0" w:tentative="0">
      <w:start w:val="5"/>
      <w:numFmt w:val="decimal"/>
      <w:suff w:val="space"/>
      <w:lvlText w:val="第%1章"/>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353620B"/>
    <w:multiLevelType w:val="singleLevel"/>
    <w:tmpl w:val="C353620B"/>
    <w:lvl w:ilvl="0" w:tentative="0">
      <w:start w:val="1"/>
      <w:numFmt w:val="decimal"/>
      <w:lvlText w:val="%1."/>
      <w:lvlJc w:val="left"/>
      <w:pPr>
        <w:tabs>
          <w:tab w:val="left" w:pos="312"/>
        </w:tabs>
      </w:pPr>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F145420E"/>
    <w:multiLevelType w:val="singleLevel"/>
    <w:tmpl w:val="F145420E"/>
    <w:lvl w:ilvl="0" w:tentative="0">
      <w:start w:val="1"/>
      <w:numFmt w:val="decimal"/>
      <w:suff w:val="nothing"/>
      <w:lvlText w:val="（%1）"/>
      <w:lvlJc w:val="left"/>
    </w:lvl>
  </w:abstractNum>
  <w:abstractNum w:abstractNumId="11">
    <w:nsid w:val="F15E2F75"/>
    <w:multiLevelType w:val="singleLevel"/>
    <w:tmpl w:val="F15E2F75"/>
    <w:lvl w:ilvl="0" w:tentative="0">
      <w:start w:val="2"/>
      <w:numFmt w:val="decimal"/>
      <w:suff w:val="nothing"/>
      <w:lvlText w:val="%1、"/>
      <w:lvlJc w:val="left"/>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0422A1DA"/>
    <w:multiLevelType w:val="singleLevel"/>
    <w:tmpl w:val="0422A1DA"/>
    <w:lvl w:ilvl="0" w:tentative="0">
      <w:start w:val="1"/>
      <w:numFmt w:val="decimal"/>
      <w:suff w:val="nothing"/>
      <w:lvlText w:val="%1）"/>
      <w:lvlJc w:val="left"/>
    </w:lvl>
  </w:abstractNum>
  <w:abstractNum w:abstractNumId="14">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43"/>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5">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16">
    <w:nsid w:val="22624372"/>
    <w:multiLevelType w:val="multilevel"/>
    <w:tmpl w:val="22624372"/>
    <w:lvl w:ilvl="0" w:tentative="0">
      <w:start w:val="1"/>
      <w:numFmt w:val="decimal"/>
      <w:lvlText w:val="%1"/>
      <w:lvlJc w:val="left"/>
      <w:pPr>
        <w:ind w:left="432" w:hanging="432"/>
      </w:pPr>
      <w:rPr>
        <w:rFonts w:hint="eastAsia" w:ascii="宋体" w:hAnsi="宋体" w:eastAsia="宋体"/>
        <w:b/>
        <w:i w:val="0"/>
        <w:color w:val="auto"/>
      </w:rPr>
    </w:lvl>
    <w:lvl w:ilvl="1" w:tentative="0">
      <w:start w:val="1"/>
      <w:numFmt w:val="decimal"/>
      <w:lvlText w:val="%1.%2"/>
      <w:lvlJc w:val="left"/>
      <w:pPr>
        <w:ind w:left="576" w:hanging="576"/>
      </w:pPr>
      <w:rPr>
        <w:rFonts w:hint="eastAsia" w:ascii="宋体" w:hAnsi="宋体" w:eastAsia="宋体"/>
        <w:b/>
        <w:i w:val="0"/>
        <w:color w:val="000000" w:themeColor="text1"/>
        <w14:textFill>
          <w14:solidFill>
            <w14:schemeClr w14:val="tx1"/>
          </w14:solidFill>
        </w14:textFill>
      </w:rPr>
    </w:lvl>
    <w:lvl w:ilvl="2" w:tentative="0">
      <w:start w:val="1"/>
      <w:numFmt w:val="decimal"/>
      <w:lvlText w:val="%1.%2.%3"/>
      <w:lvlJc w:val="left"/>
      <w:pPr>
        <w:ind w:left="1440" w:hanging="720"/>
      </w:pPr>
      <w:rPr>
        <w:rFonts w:hint="eastAsia" w:ascii="宋体" w:hAnsi="宋体" w:eastAsia="宋体"/>
        <w:b/>
        <w:i w:val="0"/>
        <w:color w:val="auto"/>
      </w:rPr>
    </w:lvl>
    <w:lvl w:ilvl="3" w:tentative="0">
      <w:start w:val="1"/>
      <w:numFmt w:val="decimal"/>
      <w:lvlText w:val="%1.%2.%3.%4"/>
      <w:lvlJc w:val="left"/>
      <w:pPr>
        <w:ind w:left="864" w:hanging="864"/>
      </w:pPr>
      <w:rPr>
        <w:rFonts w:hint="eastAsia"/>
      </w:rPr>
    </w:lvl>
    <w:lvl w:ilvl="4" w:tentative="0">
      <w:start w:val="1"/>
      <w:numFmt w:val="decimal"/>
      <w:pStyle w:val="5"/>
      <w:lvlText w:val="%1.%2.%3.%4.%5"/>
      <w:lvlJc w:val="left"/>
      <w:pPr>
        <w:ind w:left="1008" w:hanging="1008"/>
      </w:pPr>
      <w:rPr>
        <w:rFonts w:hint="eastAsia" w:ascii="宋体" w:hAnsi="宋体" w:eastAsia="宋体"/>
        <w:b/>
        <w:i w:val="0"/>
        <w:color w:val="auto"/>
      </w:rPr>
    </w:lvl>
    <w:lvl w:ilvl="5" w:tentative="0">
      <w:start w:val="1"/>
      <w:numFmt w:val="decimal"/>
      <w:pStyle w:val="6"/>
      <w:lvlText w:val="%1.%2.%3.%4.%5.%6"/>
      <w:lvlJc w:val="left"/>
      <w:pPr>
        <w:ind w:left="1152" w:hanging="1152"/>
      </w:pPr>
      <w:rPr>
        <w:rFonts w:hint="eastAsia" w:ascii="宋体" w:hAnsi="宋体" w:eastAsia="宋体"/>
        <w:b/>
        <w:i w:val="0"/>
      </w:rPr>
    </w:lvl>
    <w:lvl w:ilvl="6" w:tentative="0">
      <w:start w:val="1"/>
      <w:numFmt w:val="decimal"/>
      <w:pStyle w:val="7"/>
      <w:lvlText w:val="%1.%2.%3.%4.%5.%6.%7"/>
      <w:lvlJc w:val="left"/>
      <w:pPr>
        <w:ind w:left="1296" w:hanging="1296"/>
      </w:pPr>
      <w:rPr>
        <w:rFonts w:hint="eastAsia" w:ascii="宋体" w:hAnsi="宋体" w:eastAsia="宋体"/>
        <w:b/>
        <w:i w:val="0"/>
        <w:color w:val="auto"/>
      </w:rPr>
    </w:lvl>
    <w:lvl w:ilvl="7" w:tentative="0">
      <w:start w:val="1"/>
      <w:numFmt w:val="decimal"/>
      <w:pStyle w:val="8"/>
      <w:lvlText w:val="%1.%2.%3.%4.%5.%6.%7.%8"/>
      <w:lvlJc w:val="left"/>
      <w:pPr>
        <w:ind w:left="1440" w:hanging="1440"/>
      </w:pPr>
      <w:rPr>
        <w:rFonts w:hint="eastAsia" w:ascii="宋体" w:hAnsi="宋体" w:eastAsia="宋体"/>
        <w:b/>
        <w:i w:val="0"/>
        <w:color w:val="auto"/>
      </w:rPr>
    </w:lvl>
    <w:lvl w:ilvl="8" w:tentative="0">
      <w:start w:val="1"/>
      <w:numFmt w:val="decimal"/>
      <w:lvlText w:val="%1.%2.%3.%4.%5.%6.%7.%8.%9"/>
      <w:lvlJc w:val="left"/>
      <w:pPr>
        <w:ind w:left="1584" w:hanging="1584"/>
      </w:pPr>
      <w:rPr>
        <w:rFonts w:hint="eastAsia" w:ascii="宋体" w:hAnsi="宋体" w:eastAsia="宋体"/>
        <w:b/>
        <w:i w:val="0"/>
      </w:rPr>
    </w:lvl>
  </w:abstractNum>
  <w:abstractNum w:abstractNumId="17">
    <w:nsid w:val="2287FE68"/>
    <w:multiLevelType w:val="singleLevel"/>
    <w:tmpl w:val="2287FE68"/>
    <w:lvl w:ilvl="0" w:tentative="0">
      <w:start w:val="1"/>
      <w:numFmt w:val="decimal"/>
      <w:lvlText w:val="%1."/>
      <w:lvlJc w:val="left"/>
      <w:pPr>
        <w:tabs>
          <w:tab w:val="left" w:pos="312"/>
        </w:tabs>
      </w:pPr>
    </w:lvl>
  </w:abstractNum>
  <w:abstractNum w:abstractNumId="1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2E7DBFFA"/>
    <w:multiLevelType w:val="multilevel"/>
    <w:tmpl w:val="2E7DBFF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0">
    <w:nsid w:val="5B381A00"/>
    <w:multiLevelType w:val="singleLevel"/>
    <w:tmpl w:val="5B381A00"/>
    <w:lvl w:ilvl="0" w:tentative="0">
      <w:start w:val="5"/>
      <w:numFmt w:val="decimal"/>
      <w:lvlText w:val="%1."/>
      <w:lvlJc w:val="left"/>
      <w:pPr>
        <w:tabs>
          <w:tab w:val="left" w:pos="312"/>
        </w:tabs>
      </w:pPr>
    </w:lvl>
  </w:abstractNum>
  <w:abstractNum w:abstractNumId="21">
    <w:nsid w:val="7A0F6431"/>
    <w:multiLevelType w:val="singleLevel"/>
    <w:tmpl w:val="7A0F6431"/>
    <w:lvl w:ilvl="0" w:tentative="0">
      <w:start w:val="1"/>
      <w:numFmt w:val="decimal"/>
      <w:suff w:val="space"/>
      <w:lvlText w:val="%1."/>
      <w:lvlJc w:val="left"/>
    </w:lvl>
  </w:abstractNum>
  <w:num w:numId="1">
    <w:abstractNumId w:val="1"/>
  </w:num>
  <w:num w:numId="2">
    <w:abstractNumId w:val="19"/>
  </w:num>
  <w:num w:numId="3">
    <w:abstractNumId w:val="16"/>
  </w:num>
  <w:num w:numId="4">
    <w:abstractNumId w:val="14"/>
  </w:num>
  <w:num w:numId="5">
    <w:abstractNumId w:val="0"/>
  </w:num>
  <w:num w:numId="6">
    <w:abstractNumId w:val="11"/>
  </w:num>
  <w:num w:numId="7">
    <w:abstractNumId w:val="18"/>
  </w:num>
  <w:num w:numId="8">
    <w:abstractNumId w:val="15"/>
  </w:num>
  <w:num w:numId="9">
    <w:abstractNumId w:val="13"/>
  </w:num>
  <w:num w:numId="10">
    <w:abstractNumId w:val="10"/>
  </w:num>
  <w:num w:numId="11">
    <w:abstractNumId w:val="2"/>
  </w:num>
  <w:num w:numId="12">
    <w:abstractNumId w:val="3"/>
  </w:num>
  <w:num w:numId="13">
    <w:abstractNumId w:val="5"/>
  </w:num>
  <w:num w:numId="14">
    <w:abstractNumId w:val="20"/>
  </w:num>
  <w:num w:numId="15">
    <w:abstractNumId w:val="17"/>
  </w:num>
  <w:num w:numId="16">
    <w:abstractNumId w:val="21"/>
  </w:num>
  <w:num w:numId="17">
    <w:abstractNumId w:val="6"/>
  </w:num>
  <w:num w:numId="18">
    <w:abstractNumId w:val="12"/>
  </w:num>
  <w:num w:numId="19">
    <w:abstractNumId w:val="8"/>
  </w:num>
  <w:num w:numId="20">
    <w:abstractNumId w:val="7"/>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TY2MjE0MWNlYWU0ZjE4NDdlZmNmNWFlMzkzMjIifQ=="/>
  </w:docVars>
  <w:rsids>
    <w:rsidRoot w:val="00172A27"/>
    <w:rsid w:val="00003B9B"/>
    <w:rsid w:val="00047956"/>
    <w:rsid w:val="00071DE8"/>
    <w:rsid w:val="00072B49"/>
    <w:rsid w:val="00087F8A"/>
    <w:rsid w:val="000958F8"/>
    <w:rsid w:val="00097297"/>
    <w:rsid w:val="000A3F7F"/>
    <w:rsid w:val="000E75A9"/>
    <w:rsid w:val="00111428"/>
    <w:rsid w:val="00147688"/>
    <w:rsid w:val="00172A27"/>
    <w:rsid w:val="001820C3"/>
    <w:rsid w:val="001F3FC8"/>
    <w:rsid w:val="002140E6"/>
    <w:rsid w:val="0022707E"/>
    <w:rsid w:val="002332C9"/>
    <w:rsid w:val="00254D85"/>
    <w:rsid w:val="002567B9"/>
    <w:rsid w:val="00260270"/>
    <w:rsid w:val="002965E1"/>
    <w:rsid w:val="00332A75"/>
    <w:rsid w:val="0033617A"/>
    <w:rsid w:val="00346788"/>
    <w:rsid w:val="003B1CE9"/>
    <w:rsid w:val="003B206D"/>
    <w:rsid w:val="003B2D38"/>
    <w:rsid w:val="003B67F2"/>
    <w:rsid w:val="003C7496"/>
    <w:rsid w:val="00420C55"/>
    <w:rsid w:val="0044320F"/>
    <w:rsid w:val="00455DAB"/>
    <w:rsid w:val="00460DA1"/>
    <w:rsid w:val="004D6E8D"/>
    <w:rsid w:val="004E4CBE"/>
    <w:rsid w:val="004E5278"/>
    <w:rsid w:val="005B1DB6"/>
    <w:rsid w:val="00633FC8"/>
    <w:rsid w:val="00635414"/>
    <w:rsid w:val="006D26BB"/>
    <w:rsid w:val="006F2478"/>
    <w:rsid w:val="00705C46"/>
    <w:rsid w:val="007177E5"/>
    <w:rsid w:val="00727416"/>
    <w:rsid w:val="007D6DE3"/>
    <w:rsid w:val="007F6621"/>
    <w:rsid w:val="0082108F"/>
    <w:rsid w:val="00861D8B"/>
    <w:rsid w:val="008A5185"/>
    <w:rsid w:val="008C4971"/>
    <w:rsid w:val="00910084"/>
    <w:rsid w:val="0092308E"/>
    <w:rsid w:val="00962A7C"/>
    <w:rsid w:val="00992579"/>
    <w:rsid w:val="0099760B"/>
    <w:rsid w:val="009A20A2"/>
    <w:rsid w:val="009D72D5"/>
    <w:rsid w:val="00A30986"/>
    <w:rsid w:val="00A75BE1"/>
    <w:rsid w:val="00AD6778"/>
    <w:rsid w:val="00AF67B9"/>
    <w:rsid w:val="00B00DAF"/>
    <w:rsid w:val="00B01E4D"/>
    <w:rsid w:val="00B62ACF"/>
    <w:rsid w:val="00B90B02"/>
    <w:rsid w:val="00BC4328"/>
    <w:rsid w:val="00BF1F52"/>
    <w:rsid w:val="00C24072"/>
    <w:rsid w:val="00C4778E"/>
    <w:rsid w:val="00CB54D5"/>
    <w:rsid w:val="00CD71CF"/>
    <w:rsid w:val="00D23BD1"/>
    <w:rsid w:val="00D40134"/>
    <w:rsid w:val="00DA1DB9"/>
    <w:rsid w:val="00DF74F4"/>
    <w:rsid w:val="00E0240B"/>
    <w:rsid w:val="00E14EA8"/>
    <w:rsid w:val="00E924F4"/>
    <w:rsid w:val="00EA2C60"/>
    <w:rsid w:val="00EF7214"/>
    <w:rsid w:val="00EF7BD5"/>
    <w:rsid w:val="00F069D0"/>
    <w:rsid w:val="00F86B5A"/>
    <w:rsid w:val="00FE00ED"/>
    <w:rsid w:val="01EA7F33"/>
    <w:rsid w:val="026B73D9"/>
    <w:rsid w:val="02986744"/>
    <w:rsid w:val="02DA783B"/>
    <w:rsid w:val="02DF109A"/>
    <w:rsid w:val="02F475DB"/>
    <w:rsid w:val="02F65944"/>
    <w:rsid w:val="03777925"/>
    <w:rsid w:val="040A0414"/>
    <w:rsid w:val="056B5875"/>
    <w:rsid w:val="05CC64B2"/>
    <w:rsid w:val="068A1E91"/>
    <w:rsid w:val="0698079F"/>
    <w:rsid w:val="06F468B0"/>
    <w:rsid w:val="07077B4E"/>
    <w:rsid w:val="070B414B"/>
    <w:rsid w:val="07D8778A"/>
    <w:rsid w:val="08076B08"/>
    <w:rsid w:val="083231D5"/>
    <w:rsid w:val="08407AC7"/>
    <w:rsid w:val="090A0966"/>
    <w:rsid w:val="09AE3B56"/>
    <w:rsid w:val="09F269C1"/>
    <w:rsid w:val="0B0E4E77"/>
    <w:rsid w:val="0B3167D7"/>
    <w:rsid w:val="0B572E41"/>
    <w:rsid w:val="0B6E2CCD"/>
    <w:rsid w:val="0B8C1B1F"/>
    <w:rsid w:val="0B947080"/>
    <w:rsid w:val="0BD8083F"/>
    <w:rsid w:val="0C213E94"/>
    <w:rsid w:val="0C7D46A1"/>
    <w:rsid w:val="0CB56FDE"/>
    <w:rsid w:val="0D426A5B"/>
    <w:rsid w:val="0D774F56"/>
    <w:rsid w:val="0D8E3519"/>
    <w:rsid w:val="0DCC6A42"/>
    <w:rsid w:val="0DD4230C"/>
    <w:rsid w:val="0E0E3C2A"/>
    <w:rsid w:val="0E2A515F"/>
    <w:rsid w:val="0E495D44"/>
    <w:rsid w:val="0E5C71A2"/>
    <w:rsid w:val="0EA76C97"/>
    <w:rsid w:val="0EB05F51"/>
    <w:rsid w:val="0F367973"/>
    <w:rsid w:val="0F6D1EE7"/>
    <w:rsid w:val="0F871D69"/>
    <w:rsid w:val="1006159F"/>
    <w:rsid w:val="108459C8"/>
    <w:rsid w:val="11FC1B6F"/>
    <w:rsid w:val="125D38B0"/>
    <w:rsid w:val="127B613D"/>
    <w:rsid w:val="12CD3A48"/>
    <w:rsid w:val="12F96AC3"/>
    <w:rsid w:val="139F5B8F"/>
    <w:rsid w:val="13AE7D2D"/>
    <w:rsid w:val="13DD0FC7"/>
    <w:rsid w:val="143A711D"/>
    <w:rsid w:val="149F13F6"/>
    <w:rsid w:val="14A44DFE"/>
    <w:rsid w:val="14B04F4C"/>
    <w:rsid w:val="14D67A0C"/>
    <w:rsid w:val="153F3CA0"/>
    <w:rsid w:val="15436193"/>
    <w:rsid w:val="15442E41"/>
    <w:rsid w:val="154D06FF"/>
    <w:rsid w:val="156C41D2"/>
    <w:rsid w:val="157C49A6"/>
    <w:rsid w:val="15B572DC"/>
    <w:rsid w:val="15B81EC8"/>
    <w:rsid w:val="15B8611F"/>
    <w:rsid w:val="15CB2F8C"/>
    <w:rsid w:val="15D7A544"/>
    <w:rsid w:val="1652354B"/>
    <w:rsid w:val="165C77A9"/>
    <w:rsid w:val="16AC1E3F"/>
    <w:rsid w:val="16EC525A"/>
    <w:rsid w:val="172872C1"/>
    <w:rsid w:val="176A4901"/>
    <w:rsid w:val="178C456C"/>
    <w:rsid w:val="17E87966"/>
    <w:rsid w:val="18A3659D"/>
    <w:rsid w:val="18F7531A"/>
    <w:rsid w:val="192A1BE3"/>
    <w:rsid w:val="19564CCF"/>
    <w:rsid w:val="19997E82"/>
    <w:rsid w:val="19DE214F"/>
    <w:rsid w:val="1A1D56CF"/>
    <w:rsid w:val="1A7A062D"/>
    <w:rsid w:val="1A8D24E0"/>
    <w:rsid w:val="1B461699"/>
    <w:rsid w:val="1B4764EF"/>
    <w:rsid w:val="1B5211C1"/>
    <w:rsid w:val="1B7927E1"/>
    <w:rsid w:val="1B9D73B9"/>
    <w:rsid w:val="1BC4566C"/>
    <w:rsid w:val="1C147B1C"/>
    <w:rsid w:val="1CD06AC2"/>
    <w:rsid w:val="1D026BDB"/>
    <w:rsid w:val="1D721D55"/>
    <w:rsid w:val="1E282B09"/>
    <w:rsid w:val="1E5828D6"/>
    <w:rsid w:val="1EF9FA11"/>
    <w:rsid w:val="1F0921D2"/>
    <w:rsid w:val="1F2028AF"/>
    <w:rsid w:val="1F7D8579"/>
    <w:rsid w:val="204F4230"/>
    <w:rsid w:val="2059673D"/>
    <w:rsid w:val="206907CB"/>
    <w:rsid w:val="20751EC0"/>
    <w:rsid w:val="20A15926"/>
    <w:rsid w:val="20B94DE3"/>
    <w:rsid w:val="20F55F28"/>
    <w:rsid w:val="21185C6E"/>
    <w:rsid w:val="217F494B"/>
    <w:rsid w:val="21EB5ABA"/>
    <w:rsid w:val="22034FB2"/>
    <w:rsid w:val="223457F3"/>
    <w:rsid w:val="22524455"/>
    <w:rsid w:val="232703F4"/>
    <w:rsid w:val="23620EA2"/>
    <w:rsid w:val="238F05D9"/>
    <w:rsid w:val="23AB2FAF"/>
    <w:rsid w:val="23AD0250"/>
    <w:rsid w:val="23C433E1"/>
    <w:rsid w:val="24007330"/>
    <w:rsid w:val="24E72569"/>
    <w:rsid w:val="25645A17"/>
    <w:rsid w:val="259D5707"/>
    <w:rsid w:val="25B40F31"/>
    <w:rsid w:val="25D85CBE"/>
    <w:rsid w:val="25F470B8"/>
    <w:rsid w:val="267B24E7"/>
    <w:rsid w:val="26D02111"/>
    <w:rsid w:val="26F45BF2"/>
    <w:rsid w:val="271728B5"/>
    <w:rsid w:val="2763697D"/>
    <w:rsid w:val="27C55C6C"/>
    <w:rsid w:val="27FB010F"/>
    <w:rsid w:val="280B0EA1"/>
    <w:rsid w:val="281C544D"/>
    <w:rsid w:val="28D04E99"/>
    <w:rsid w:val="28E7122C"/>
    <w:rsid w:val="29025168"/>
    <w:rsid w:val="293109EF"/>
    <w:rsid w:val="29BF69CC"/>
    <w:rsid w:val="29DD218D"/>
    <w:rsid w:val="29F558E0"/>
    <w:rsid w:val="2A8233B2"/>
    <w:rsid w:val="2ABC2C3C"/>
    <w:rsid w:val="2B0A4044"/>
    <w:rsid w:val="2B9E0710"/>
    <w:rsid w:val="2BAB655E"/>
    <w:rsid w:val="2BAC7981"/>
    <w:rsid w:val="2BAE55DD"/>
    <w:rsid w:val="2BDF07CB"/>
    <w:rsid w:val="2C1B1019"/>
    <w:rsid w:val="2C241F7B"/>
    <w:rsid w:val="2C87561C"/>
    <w:rsid w:val="2CB55212"/>
    <w:rsid w:val="2CF77A09"/>
    <w:rsid w:val="2D0E7363"/>
    <w:rsid w:val="2D525582"/>
    <w:rsid w:val="2D621327"/>
    <w:rsid w:val="2D722C0A"/>
    <w:rsid w:val="2DA273A4"/>
    <w:rsid w:val="2E0E1929"/>
    <w:rsid w:val="2E204D3E"/>
    <w:rsid w:val="2ED4413B"/>
    <w:rsid w:val="2F2F3359"/>
    <w:rsid w:val="2F6D1592"/>
    <w:rsid w:val="2F6F34DE"/>
    <w:rsid w:val="2F8F4104"/>
    <w:rsid w:val="2FBE1498"/>
    <w:rsid w:val="2FDFA1DF"/>
    <w:rsid w:val="2FF656F1"/>
    <w:rsid w:val="2FFFB5F7"/>
    <w:rsid w:val="303F594F"/>
    <w:rsid w:val="305176A3"/>
    <w:rsid w:val="30955AF8"/>
    <w:rsid w:val="31D518E9"/>
    <w:rsid w:val="31EB6561"/>
    <w:rsid w:val="327360D5"/>
    <w:rsid w:val="329942BA"/>
    <w:rsid w:val="337D76D2"/>
    <w:rsid w:val="33B919C1"/>
    <w:rsid w:val="3411315F"/>
    <w:rsid w:val="3473361C"/>
    <w:rsid w:val="349618B6"/>
    <w:rsid w:val="349B07DD"/>
    <w:rsid w:val="34C96306"/>
    <w:rsid w:val="34CB2295"/>
    <w:rsid w:val="35154F94"/>
    <w:rsid w:val="359336F3"/>
    <w:rsid w:val="35D276CA"/>
    <w:rsid w:val="35D85868"/>
    <w:rsid w:val="35F5520D"/>
    <w:rsid w:val="361956C9"/>
    <w:rsid w:val="36297FEC"/>
    <w:rsid w:val="369B6EA4"/>
    <w:rsid w:val="36A23E1B"/>
    <w:rsid w:val="36B4791F"/>
    <w:rsid w:val="36DB3646"/>
    <w:rsid w:val="37BB6C79"/>
    <w:rsid w:val="37FF6D5D"/>
    <w:rsid w:val="382174C4"/>
    <w:rsid w:val="382900AC"/>
    <w:rsid w:val="385079F0"/>
    <w:rsid w:val="38934DFC"/>
    <w:rsid w:val="38937862"/>
    <w:rsid w:val="38C955EE"/>
    <w:rsid w:val="38EFE013"/>
    <w:rsid w:val="390035D6"/>
    <w:rsid w:val="39833969"/>
    <w:rsid w:val="39E13D03"/>
    <w:rsid w:val="39FFD3B1"/>
    <w:rsid w:val="3A3743D4"/>
    <w:rsid w:val="3A9F5988"/>
    <w:rsid w:val="3AEE1827"/>
    <w:rsid w:val="3B9021F1"/>
    <w:rsid w:val="3BD32D7F"/>
    <w:rsid w:val="3C395948"/>
    <w:rsid w:val="3C6A1A01"/>
    <w:rsid w:val="3C7052B5"/>
    <w:rsid w:val="3C793F97"/>
    <w:rsid w:val="3D795675"/>
    <w:rsid w:val="3DA00390"/>
    <w:rsid w:val="3DA30DA3"/>
    <w:rsid w:val="3DDB1BC5"/>
    <w:rsid w:val="3DDC4234"/>
    <w:rsid w:val="3E5B6C3B"/>
    <w:rsid w:val="3E7506E7"/>
    <w:rsid w:val="3E777C77"/>
    <w:rsid w:val="3EA11923"/>
    <w:rsid w:val="3EBD5124"/>
    <w:rsid w:val="3F023B4A"/>
    <w:rsid w:val="3F6787A7"/>
    <w:rsid w:val="3F8A4D4B"/>
    <w:rsid w:val="403841DB"/>
    <w:rsid w:val="40A62E81"/>
    <w:rsid w:val="40CF315B"/>
    <w:rsid w:val="41175B2C"/>
    <w:rsid w:val="41BC059D"/>
    <w:rsid w:val="42637736"/>
    <w:rsid w:val="427C63D1"/>
    <w:rsid w:val="42DC5FAE"/>
    <w:rsid w:val="42DE2DA6"/>
    <w:rsid w:val="42FF7B29"/>
    <w:rsid w:val="432930C3"/>
    <w:rsid w:val="43403797"/>
    <w:rsid w:val="437A3C0C"/>
    <w:rsid w:val="43BD5CD5"/>
    <w:rsid w:val="44530AC7"/>
    <w:rsid w:val="449066DE"/>
    <w:rsid w:val="44D37B5B"/>
    <w:rsid w:val="45444A71"/>
    <w:rsid w:val="45E76232"/>
    <w:rsid w:val="469868AB"/>
    <w:rsid w:val="469D70A6"/>
    <w:rsid w:val="46AC3A98"/>
    <w:rsid w:val="46DB5DE5"/>
    <w:rsid w:val="4703102D"/>
    <w:rsid w:val="47284BF0"/>
    <w:rsid w:val="4779309D"/>
    <w:rsid w:val="47930183"/>
    <w:rsid w:val="47A86071"/>
    <w:rsid w:val="47F70831"/>
    <w:rsid w:val="47FB2640"/>
    <w:rsid w:val="483C4DEA"/>
    <w:rsid w:val="484653A1"/>
    <w:rsid w:val="48605F4B"/>
    <w:rsid w:val="487C2208"/>
    <w:rsid w:val="499D2B9C"/>
    <w:rsid w:val="49A8035D"/>
    <w:rsid w:val="49FF64EB"/>
    <w:rsid w:val="4AB03658"/>
    <w:rsid w:val="4AF3148F"/>
    <w:rsid w:val="4BD765E4"/>
    <w:rsid w:val="4BFE6FB8"/>
    <w:rsid w:val="4C3A53ED"/>
    <w:rsid w:val="4C4E4BA1"/>
    <w:rsid w:val="4C8C2321"/>
    <w:rsid w:val="4C991FF1"/>
    <w:rsid w:val="4CB8149C"/>
    <w:rsid w:val="4D24384D"/>
    <w:rsid w:val="4D783BDA"/>
    <w:rsid w:val="4D78CE61"/>
    <w:rsid w:val="4DE52D57"/>
    <w:rsid w:val="4DFA56EA"/>
    <w:rsid w:val="4E884D06"/>
    <w:rsid w:val="4F3529EA"/>
    <w:rsid w:val="4F3830FB"/>
    <w:rsid w:val="4FD3437A"/>
    <w:rsid w:val="501E46A8"/>
    <w:rsid w:val="506D618A"/>
    <w:rsid w:val="5086682B"/>
    <w:rsid w:val="50F21B4C"/>
    <w:rsid w:val="50F41D04"/>
    <w:rsid w:val="513E1544"/>
    <w:rsid w:val="514461C7"/>
    <w:rsid w:val="517D2971"/>
    <w:rsid w:val="51A35340"/>
    <w:rsid w:val="522C0F7D"/>
    <w:rsid w:val="52AF94E1"/>
    <w:rsid w:val="52B4142D"/>
    <w:rsid w:val="52E97737"/>
    <w:rsid w:val="53381612"/>
    <w:rsid w:val="534053B7"/>
    <w:rsid w:val="53446002"/>
    <w:rsid w:val="53553EE7"/>
    <w:rsid w:val="53CA7C27"/>
    <w:rsid w:val="54700D83"/>
    <w:rsid w:val="547630C2"/>
    <w:rsid w:val="549223B8"/>
    <w:rsid w:val="55011498"/>
    <w:rsid w:val="55DB7A5E"/>
    <w:rsid w:val="56202860"/>
    <w:rsid w:val="5635189E"/>
    <w:rsid w:val="569F4048"/>
    <w:rsid w:val="576A293C"/>
    <w:rsid w:val="57D02195"/>
    <w:rsid w:val="57EF4CB5"/>
    <w:rsid w:val="57FD5F51"/>
    <w:rsid w:val="58C57884"/>
    <w:rsid w:val="58E701E7"/>
    <w:rsid w:val="5911172D"/>
    <w:rsid w:val="591F781C"/>
    <w:rsid w:val="59C97520"/>
    <w:rsid w:val="59CA516C"/>
    <w:rsid w:val="59E773CD"/>
    <w:rsid w:val="5A0D113D"/>
    <w:rsid w:val="5A226AE0"/>
    <w:rsid w:val="5A7F6420"/>
    <w:rsid w:val="5A8B0281"/>
    <w:rsid w:val="5AE01AED"/>
    <w:rsid w:val="5B0F4C09"/>
    <w:rsid w:val="5C5D0F1E"/>
    <w:rsid w:val="5CBB6C70"/>
    <w:rsid w:val="5D210194"/>
    <w:rsid w:val="5D244222"/>
    <w:rsid w:val="5DE3706A"/>
    <w:rsid w:val="5E8F3317"/>
    <w:rsid w:val="5EE77161"/>
    <w:rsid w:val="5F590A3B"/>
    <w:rsid w:val="5FE64BF0"/>
    <w:rsid w:val="60775610"/>
    <w:rsid w:val="609A3E05"/>
    <w:rsid w:val="612A4ED3"/>
    <w:rsid w:val="614E6EF1"/>
    <w:rsid w:val="61572249"/>
    <w:rsid w:val="61717430"/>
    <w:rsid w:val="61FC694D"/>
    <w:rsid w:val="62437047"/>
    <w:rsid w:val="63112B2D"/>
    <w:rsid w:val="63863C43"/>
    <w:rsid w:val="63A6664F"/>
    <w:rsid w:val="63D02881"/>
    <w:rsid w:val="64016D84"/>
    <w:rsid w:val="645111D2"/>
    <w:rsid w:val="647D1A72"/>
    <w:rsid w:val="65197815"/>
    <w:rsid w:val="65BA0D24"/>
    <w:rsid w:val="661E55AA"/>
    <w:rsid w:val="66823924"/>
    <w:rsid w:val="668F1633"/>
    <w:rsid w:val="66951B01"/>
    <w:rsid w:val="669D5788"/>
    <w:rsid w:val="66AD63BC"/>
    <w:rsid w:val="66CA5EAD"/>
    <w:rsid w:val="66D67563"/>
    <w:rsid w:val="671863B6"/>
    <w:rsid w:val="673F5EBD"/>
    <w:rsid w:val="67410E37"/>
    <w:rsid w:val="67711106"/>
    <w:rsid w:val="67D3133B"/>
    <w:rsid w:val="67E45E05"/>
    <w:rsid w:val="68040309"/>
    <w:rsid w:val="685748DD"/>
    <w:rsid w:val="687A7176"/>
    <w:rsid w:val="68CA3301"/>
    <w:rsid w:val="68D66149"/>
    <w:rsid w:val="691959FB"/>
    <w:rsid w:val="693C36F0"/>
    <w:rsid w:val="693D7FC2"/>
    <w:rsid w:val="69437655"/>
    <w:rsid w:val="69474A62"/>
    <w:rsid w:val="696564FE"/>
    <w:rsid w:val="698C304B"/>
    <w:rsid w:val="69B65D7A"/>
    <w:rsid w:val="69D92A68"/>
    <w:rsid w:val="6A5B4C9F"/>
    <w:rsid w:val="6B0D7067"/>
    <w:rsid w:val="6B2673E1"/>
    <w:rsid w:val="6B4623C2"/>
    <w:rsid w:val="6B637A3C"/>
    <w:rsid w:val="6BFB1A23"/>
    <w:rsid w:val="6BFF1818"/>
    <w:rsid w:val="6C110ACA"/>
    <w:rsid w:val="6C13149C"/>
    <w:rsid w:val="6C2216A6"/>
    <w:rsid w:val="6C282AC3"/>
    <w:rsid w:val="6C8B79CA"/>
    <w:rsid w:val="6C8E7F83"/>
    <w:rsid w:val="6CD34FDC"/>
    <w:rsid w:val="6CFC1CAA"/>
    <w:rsid w:val="6D353F1D"/>
    <w:rsid w:val="6D614A41"/>
    <w:rsid w:val="6DB51873"/>
    <w:rsid w:val="6E185E2D"/>
    <w:rsid w:val="6E3B4E2B"/>
    <w:rsid w:val="6E934A5E"/>
    <w:rsid w:val="6EA6717A"/>
    <w:rsid w:val="6F111D66"/>
    <w:rsid w:val="6F5042AC"/>
    <w:rsid w:val="6F825643"/>
    <w:rsid w:val="6F9FC792"/>
    <w:rsid w:val="702F16FB"/>
    <w:rsid w:val="70323CAF"/>
    <w:rsid w:val="70655672"/>
    <w:rsid w:val="709441AB"/>
    <w:rsid w:val="70962620"/>
    <w:rsid w:val="70B507AF"/>
    <w:rsid w:val="70F324E3"/>
    <w:rsid w:val="71184DC4"/>
    <w:rsid w:val="716540E4"/>
    <w:rsid w:val="717F6BF2"/>
    <w:rsid w:val="71C07C18"/>
    <w:rsid w:val="71D12B19"/>
    <w:rsid w:val="71FE4401"/>
    <w:rsid w:val="720638B1"/>
    <w:rsid w:val="722021E3"/>
    <w:rsid w:val="729329B5"/>
    <w:rsid w:val="729A3E7C"/>
    <w:rsid w:val="7345352C"/>
    <w:rsid w:val="73627339"/>
    <w:rsid w:val="73F76F74"/>
    <w:rsid w:val="746C33D6"/>
    <w:rsid w:val="746E42B5"/>
    <w:rsid w:val="74A40EAA"/>
    <w:rsid w:val="74D75C0D"/>
    <w:rsid w:val="75022074"/>
    <w:rsid w:val="750760C3"/>
    <w:rsid w:val="75A63077"/>
    <w:rsid w:val="75B261CA"/>
    <w:rsid w:val="76EA574E"/>
    <w:rsid w:val="77091334"/>
    <w:rsid w:val="776431E2"/>
    <w:rsid w:val="77AC30B0"/>
    <w:rsid w:val="77BEE99B"/>
    <w:rsid w:val="77FF35A8"/>
    <w:rsid w:val="781C2072"/>
    <w:rsid w:val="78572CA1"/>
    <w:rsid w:val="78582BB4"/>
    <w:rsid w:val="7859644F"/>
    <w:rsid w:val="79912D80"/>
    <w:rsid w:val="79A72A92"/>
    <w:rsid w:val="79AD7E05"/>
    <w:rsid w:val="79C47B90"/>
    <w:rsid w:val="79DA76AC"/>
    <w:rsid w:val="7AF54138"/>
    <w:rsid w:val="7B2A51E2"/>
    <w:rsid w:val="7B311C4E"/>
    <w:rsid w:val="7B3B1E3C"/>
    <w:rsid w:val="7B7FC282"/>
    <w:rsid w:val="7BC81655"/>
    <w:rsid w:val="7BD2072F"/>
    <w:rsid w:val="7BFF93D5"/>
    <w:rsid w:val="7BFFFD80"/>
    <w:rsid w:val="7C4A32C2"/>
    <w:rsid w:val="7D077306"/>
    <w:rsid w:val="7DFBB78E"/>
    <w:rsid w:val="7E0C7BF1"/>
    <w:rsid w:val="7E9795B2"/>
    <w:rsid w:val="7EBE630B"/>
    <w:rsid w:val="7EC724BB"/>
    <w:rsid w:val="7F2C0474"/>
    <w:rsid w:val="7FA6493D"/>
    <w:rsid w:val="7FBFA4DF"/>
    <w:rsid w:val="7FE87412"/>
    <w:rsid w:val="7FEC708A"/>
    <w:rsid w:val="7FEFC782"/>
    <w:rsid w:val="7FF5DE78"/>
    <w:rsid w:val="7FFD58BB"/>
    <w:rsid w:val="8CDF10BC"/>
    <w:rsid w:val="927D3FA2"/>
    <w:rsid w:val="9BF5D7FF"/>
    <w:rsid w:val="9BF95913"/>
    <w:rsid w:val="B6F74296"/>
    <w:rsid w:val="B97E1B2E"/>
    <w:rsid w:val="BABEF770"/>
    <w:rsid w:val="CBFFB997"/>
    <w:rsid w:val="CFE71354"/>
    <w:rsid w:val="D7F6A8D1"/>
    <w:rsid w:val="DAD60305"/>
    <w:rsid w:val="DF8DBC26"/>
    <w:rsid w:val="DFD71BF5"/>
    <w:rsid w:val="DFF9DEEC"/>
    <w:rsid w:val="E8BA93D7"/>
    <w:rsid w:val="F5EE2392"/>
    <w:rsid w:val="F69F50A1"/>
    <w:rsid w:val="F72D6AA6"/>
    <w:rsid w:val="F7BFAF27"/>
    <w:rsid w:val="F7CF3D95"/>
    <w:rsid w:val="F8FD37EA"/>
    <w:rsid w:val="FBFFDFFE"/>
    <w:rsid w:val="FD5C79E7"/>
    <w:rsid w:val="FDFDCEF0"/>
    <w:rsid w:val="FF672D1C"/>
    <w:rsid w:val="FF7E56F9"/>
    <w:rsid w:val="FF979485"/>
    <w:rsid w:val="FFEF37E5"/>
    <w:rsid w:val="FFFF22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99" w:name="heading 3"/>
    <w:lsdException w:uiPriority="99"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iPriority="99" w:semiHidden="0" w:name="toa heading"/>
    <w:lsdException w:qFormat="1" w:unhideWhenUsed="0" w:uiPriority="0"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semiHidden/>
    <w:unhideWhenUsed/>
    <w:qFormat/>
    <w:uiPriority w:val="99"/>
    <w:pPr>
      <w:keepNext/>
      <w:keepLines/>
      <w:numPr>
        <w:ilvl w:val="1"/>
        <w:numId w:val="1"/>
      </w:numPr>
      <w:spacing w:line="560" w:lineRule="exact"/>
      <w:outlineLvl w:val="1"/>
    </w:pPr>
    <w:rPr>
      <w:rFonts w:ascii="Arial" w:hAnsi="Arial" w:eastAsia="楷体_GB2312"/>
      <w:b/>
      <w:sz w:val="32"/>
    </w:rPr>
  </w:style>
  <w:style w:type="paragraph" w:styleId="4">
    <w:name w:val="heading 3"/>
    <w:basedOn w:val="1"/>
    <w:next w:val="1"/>
    <w:semiHidden/>
    <w:unhideWhenUsed/>
    <w:qFormat/>
    <w:uiPriority w:val="99"/>
    <w:pPr>
      <w:keepNext/>
      <w:keepLines/>
      <w:numPr>
        <w:ilvl w:val="2"/>
        <w:numId w:val="2"/>
      </w:numPr>
      <w:autoSpaceDE w:val="0"/>
      <w:autoSpaceDN w:val="0"/>
      <w:adjustRightInd w:val="0"/>
      <w:spacing w:line="560" w:lineRule="exact"/>
      <w:jc w:val="left"/>
      <w:outlineLvl w:val="2"/>
    </w:pPr>
    <w:rPr>
      <w:rFonts w:ascii="宋体" w:hAnsi="宋体" w:eastAsia="楷体"/>
      <w:kern w:val="0"/>
      <w:sz w:val="32"/>
      <w:szCs w:val="20"/>
      <w:u w:val="single"/>
    </w:rPr>
  </w:style>
  <w:style w:type="paragraph" w:styleId="5">
    <w:name w:val="heading 5"/>
    <w:basedOn w:val="1"/>
    <w:next w:val="1"/>
    <w:unhideWhenUsed/>
    <w:qFormat/>
    <w:uiPriority w:val="9"/>
    <w:pPr>
      <w:keepNext/>
      <w:keepLines/>
      <w:numPr>
        <w:ilvl w:val="4"/>
        <w:numId w:val="3"/>
      </w:numPr>
      <w:spacing w:before="120" w:after="120"/>
      <w:outlineLvl w:val="4"/>
    </w:pPr>
    <w:rPr>
      <w:rFonts w:cstheme="majorBidi"/>
      <w:b/>
      <w:color w:val="000000" w:themeColor="text1"/>
      <w:sz w:val="28"/>
      <w:szCs w:val="24"/>
      <w14:textFill>
        <w14:solidFill>
          <w14:schemeClr w14:val="tx1"/>
        </w14:solidFill>
      </w14:textFill>
    </w:rPr>
  </w:style>
  <w:style w:type="paragraph" w:styleId="6">
    <w:name w:val="heading 6"/>
    <w:basedOn w:val="1"/>
    <w:next w:val="1"/>
    <w:unhideWhenUsed/>
    <w:qFormat/>
    <w:uiPriority w:val="9"/>
    <w:pPr>
      <w:keepNext/>
      <w:keepLines/>
      <w:numPr>
        <w:ilvl w:val="5"/>
        <w:numId w:val="3"/>
      </w:numPr>
      <w:spacing w:before="40"/>
      <w:outlineLvl w:val="5"/>
    </w:pPr>
    <w:rPr>
      <w:rFonts w:cstheme="majorBidi"/>
      <w:b/>
      <w:bCs/>
    </w:rPr>
  </w:style>
  <w:style w:type="paragraph" w:styleId="7">
    <w:name w:val="heading 7"/>
    <w:basedOn w:val="1"/>
    <w:next w:val="1"/>
    <w:unhideWhenUsed/>
    <w:qFormat/>
    <w:uiPriority w:val="9"/>
    <w:pPr>
      <w:keepNext/>
      <w:keepLines/>
      <w:numPr>
        <w:ilvl w:val="6"/>
        <w:numId w:val="3"/>
      </w:numPr>
      <w:spacing w:before="80" w:after="8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8">
    <w:name w:val="heading 8"/>
    <w:basedOn w:val="1"/>
    <w:next w:val="1"/>
    <w:unhideWhenUsed/>
    <w:qFormat/>
    <w:uiPriority w:val="9"/>
    <w:pPr>
      <w:keepNext/>
      <w:keepLines/>
      <w:numPr>
        <w:ilvl w:val="7"/>
        <w:numId w:val="3"/>
      </w:numPr>
      <w:spacing w:before="80" w:after="80"/>
      <w:outlineLvl w:val="7"/>
    </w:pPr>
    <w:rPr>
      <w:rFonts w:cstheme="majorBidi"/>
      <w:b/>
      <w:color w:val="595959" w:themeColor="text1" w:themeTint="A6"/>
      <w14:textFill>
        <w14:solidFill>
          <w14:schemeClr w14:val="tx1">
            <w14:lumMod w14:val="65000"/>
            <w14:lumOff w14:val="35000"/>
          </w14:schemeClr>
        </w14:solidFill>
      </w14:textFill>
    </w:rPr>
  </w:style>
  <w:style w:type="character" w:default="1" w:styleId="31">
    <w:name w:val="Default Paragraph Font"/>
    <w:autoRedefine/>
    <w:semiHidden/>
    <w:unhideWhenUsed/>
    <w:qFormat/>
    <w:uiPriority w:val="1"/>
  </w:style>
  <w:style w:type="table" w:default="1" w:styleId="2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9">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unhideWhenUsed/>
    <w:qFormat/>
    <w:uiPriority w:val="99"/>
    <w:pPr>
      <w:spacing w:before="120"/>
    </w:pPr>
    <w:rPr>
      <w:rFonts w:ascii="Cambria" w:hAnsi="Cambria"/>
      <w:sz w:val="24"/>
    </w:rPr>
  </w:style>
  <w:style w:type="paragraph" w:styleId="11">
    <w:name w:val="annotation text"/>
    <w:basedOn w:val="1"/>
    <w:link w:val="99"/>
    <w:autoRedefine/>
    <w:qFormat/>
    <w:uiPriority w:val="99"/>
    <w:pPr>
      <w:jc w:val="left"/>
    </w:pPr>
  </w:style>
  <w:style w:type="paragraph" w:styleId="12">
    <w:name w:val="Body Text"/>
    <w:basedOn w:val="1"/>
    <w:next w:val="13"/>
    <w:semiHidden/>
    <w:qFormat/>
    <w:uiPriority w:val="0"/>
    <w:rPr>
      <w:rFonts w:ascii="Arial" w:hAnsi="Arial" w:eastAsia="Arial" w:cs="Arial"/>
      <w:szCs w:val="21"/>
      <w:lang w:eastAsia="en-US"/>
    </w:rPr>
  </w:style>
  <w:style w:type="paragraph" w:styleId="13">
    <w:name w:val="Body Text First Indent"/>
    <w:basedOn w:val="12"/>
    <w:autoRedefine/>
    <w:qFormat/>
    <w:uiPriority w:val="0"/>
    <w:pPr>
      <w:tabs>
        <w:tab w:val="left" w:pos="567"/>
      </w:tabs>
      <w:autoSpaceDE w:val="0"/>
      <w:autoSpaceDN w:val="0"/>
      <w:adjustRightInd w:val="0"/>
      <w:spacing w:line="360" w:lineRule="auto"/>
      <w:ind w:firstLine="420" w:firstLineChars="200"/>
    </w:pPr>
  </w:style>
  <w:style w:type="paragraph" w:styleId="14">
    <w:name w:val="Body Text Indent"/>
    <w:basedOn w:val="1"/>
    <w:next w:val="1"/>
    <w:qFormat/>
    <w:uiPriority w:val="0"/>
    <w:pPr>
      <w:spacing w:line="360" w:lineRule="auto"/>
      <w:ind w:firstLine="570"/>
    </w:pPr>
    <w:rPr>
      <w:sz w:val="24"/>
    </w:r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ascii="宋体" w:hAnsi="Courier New"/>
      <w:szCs w:val="20"/>
    </w:rPr>
  </w:style>
  <w:style w:type="paragraph" w:styleId="17">
    <w:name w:val="Balloon Text"/>
    <w:basedOn w:val="1"/>
    <w:link w:val="98"/>
    <w:autoRedefine/>
    <w:qFormat/>
    <w:uiPriority w:val="99"/>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0"/>
  </w:style>
  <w:style w:type="paragraph" w:styleId="2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3">
    <w:name w:val="List"/>
    <w:basedOn w:val="1"/>
    <w:qFormat/>
    <w:uiPriority w:val="0"/>
    <w:pPr>
      <w:ind w:left="200" w:hanging="200" w:hangingChars="200"/>
      <w:jc w:val="both"/>
    </w:pPr>
    <w:rPr>
      <w:rFonts w:ascii="Times New Roman" w:hAnsi="Times New Roman"/>
      <w:kern w:val="2"/>
      <w:sz w:val="21"/>
      <w:szCs w:val="20"/>
      <w:lang w:eastAsia="zh-CN"/>
    </w:rPr>
  </w:style>
  <w:style w:type="paragraph" w:styleId="24">
    <w:name w:val="toc 2"/>
    <w:basedOn w:val="1"/>
    <w:next w:val="1"/>
    <w:qFormat/>
    <w:uiPriority w:val="0"/>
    <w:pPr>
      <w:ind w:left="420" w:leftChars="200"/>
    </w:pPr>
  </w:style>
  <w:style w:type="paragraph" w:styleId="25">
    <w:name w:val="HTML Preformatted"/>
    <w:basedOn w:val="1"/>
    <w:qFormat/>
    <w:uiPriority w:val="0"/>
    <w:pPr>
      <w:widowControl/>
      <w:spacing w:line="360" w:lineRule="auto"/>
    </w:pPr>
    <w:rPr>
      <w:rFonts w:ascii="Courier New" w:hAnsi="Courier New"/>
      <w:sz w:val="20"/>
      <w:szCs w:val="20"/>
    </w:rPr>
  </w:style>
  <w:style w:type="paragraph" w:styleId="26">
    <w:name w:val="Normal (Web)"/>
    <w:basedOn w:val="1"/>
    <w:autoRedefine/>
    <w:qFormat/>
    <w:uiPriority w:val="0"/>
    <w:pPr>
      <w:widowControl/>
      <w:jc w:val="left"/>
    </w:pPr>
    <w:rPr>
      <w:rFonts w:ascii="宋体" w:hAnsi="宋体" w:cs="宋体"/>
      <w:kern w:val="0"/>
      <w:sz w:val="24"/>
    </w:rPr>
  </w:style>
  <w:style w:type="paragraph" w:styleId="27">
    <w:name w:val="annotation subject"/>
    <w:basedOn w:val="11"/>
    <w:next w:val="11"/>
    <w:link w:val="100"/>
    <w:qFormat/>
    <w:uiPriority w:val="99"/>
    <w:rPr>
      <w:b/>
      <w:bCs/>
    </w:rPr>
  </w:style>
  <w:style w:type="paragraph" w:styleId="28">
    <w:name w:val="Body Text First Indent 2"/>
    <w:basedOn w:val="14"/>
    <w:next w:val="1"/>
    <w:autoRedefine/>
    <w:unhideWhenUsed/>
    <w:qFormat/>
    <w:uiPriority w:val="99"/>
    <w:pPr>
      <w:ind w:firstLine="420" w:firstLineChars="2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2">
    <w:name w:val="Hyperlink"/>
    <w:basedOn w:val="31"/>
    <w:qFormat/>
    <w:uiPriority w:val="0"/>
    <w:rPr>
      <w:color w:val="0000FF"/>
      <w:u w:val="single"/>
    </w:rPr>
  </w:style>
  <w:style w:type="character" w:styleId="33">
    <w:name w:val="annotation reference"/>
    <w:basedOn w:val="31"/>
    <w:autoRedefine/>
    <w:qFormat/>
    <w:uiPriority w:val="99"/>
    <w:rPr>
      <w:sz w:val="21"/>
      <w:szCs w:val="21"/>
    </w:rPr>
  </w:style>
  <w:style w:type="paragraph" w:customStyle="1" w:styleId="34">
    <w:name w:val="一级条标题"/>
    <w:basedOn w:val="35"/>
    <w:next w:val="36"/>
    <w:qFormat/>
    <w:uiPriority w:val="0"/>
    <w:pPr>
      <w:spacing w:line="240" w:lineRule="auto"/>
      <w:ind w:left="420"/>
      <w:outlineLvl w:val="2"/>
    </w:pPr>
    <w:rPr>
      <w:rFonts w:ascii="Calibri" w:hAnsi="Calibri" w:eastAsia="宋体" w:cs="Times New Roman"/>
    </w:rPr>
  </w:style>
  <w:style w:type="paragraph" w:customStyle="1" w:styleId="3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表格文字"/>
    <w:basedOn w:val="1"/>
    <w:autoRedefine/>
    <w:qFormat/>
    <w:uiPriority w:val="0"/>
    <w:pPr>
      <w:spacing w:before="25" w:after="25"/>
      <w:jc w:val="left"/>
    </w:pPr>
    <w:rPr>
      <w:bCs/>
      <w:spacing w:val="10"/>
      <w:kern w:val="0"/>
      <w:sz w:val="24"/>
      <w:szCs w:val="20"/>
    </w:rPr>
  </w:style>
  <w:style w:type="paragraph" w:customStyle="1" w:styleId="38">
    <w:name w:val="Normal_0"/>
    <w:autoRedefine/>
    <w:qFormat/>
    <w:uiPriority w:val="0"/>
    <w:pPr>
      <w:jc w:val="both"/>
    </w:pPr>
    <w:rPr>
      <w:rFonts w:ascii="Calibri" w:hAnsi="Calibri" w:eastAsia="宋体" w:cs="Times New Roman"/>
      <w:kern w:val="2"/>
      <w:sz w:val="21"/>
      <w:szCs w:val="21"/>
      <w:lang w:val="en-US" w:eastAsia="zh-CN" w:bidi="ar-SA"/>
    </w:rPr>
  </w:style>
  <w:style w:type="paragraph" w:customStyle="1" w:styleId="39">
    <w:name w:val="Default"/>
    <w:next w:val="1"/>
    <w:autoRedefine/>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paragraph" w:customStyle="1" w:styleId="40">
    <w:name w:val="标题 11"/>
    <w:basedOn w:val="1"/>
    <w:autoRedefine/>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41">
    <w:name w:val="标题 21"/>
    <w:basedOn w:val="1"/>
    <w:autoRedefine/>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42">
    <w:name w:val="标题 31"/>
    <w:basedOn w:val="1"/>
    <w:autoRedefine/>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43">
    <w:name w:val="标题 41"/>
    <w:basedOn w:val="1"/>
    <w:autoRedefine/>
    <w:qFormat/>
    <w:uiPriority w:val="0"/>
    <w:pPr>
      <w:keepNext/>
      <w:keepLines/>
      <w:numPr>
        <w:ilvl w:val="3"/>
        <w:numId w:val="4"/>
      </w:numPr>
      <w:ind w:firstLine="0"/>
      <w:outlineLvl w:val="3"/>
    </w:pPr>
    <w:rPr>
      <w:b/>
      <w:bCs/>
      <w:szCs w:val="28"/>
    </w:rPr>
  </w:style>
  <w:style w:type="character" w:customStyle="1" w:styleId="44">
    <w:name w:val="默认段落字体1"/>
    <w:autoRedefine/>
    <w:qFormat/>
    <w:uiPriority w:val="0"/>
  </w:style>
  <w:style w:type="table" w:customStyle="1" w:styleId="45">
    <w:name w:val="普通表格1"/>
    <w:autoRedefine/>
    <w:qFormat/>
    <w:uiPriority w:val="0"/>
    <w:tblPr>
      <w:tblCellMar>
        <w:top w:w="0" w:type="dxa"/>
        <w:left w:w="0" w:type="dxa"/>
        <w:bottom w:w="0" w:type="dxa"/>
        <w:right w:w="0" w:type="dxa"/>
      </w:tblCellMar>
    </w:tblPr>
  </w:style>
  <w:style w:type="paragraph" w:customStyle="1" w:styleId="46">
    <w:name w:val="正文缩进11"/>
    <w:basedOn w:val="1"/>
    <w:autoRedefine/>
    <w:qFormat/>
    <w:uiPriority w:val="0"/>
    <w:pPr>
      <w:autoSpaceDE w:val="0"/>
      <w:autoSpaceDN w:val="0"/>
      <w:ind w:firstLine="420"/>
      <w:jc w:val="left"/>
    </w:pPr>
    <w:rPr>
      <w:rFonts w:ascii="宋体"/>
      <w:kern w:val="0"/>
      <w:sz w:val="24"/>
      <w:szCs w:val="20"/>
    </w:rPr>
  </w:style>
  <w:style w:type="paragraph" w:customStyle="1" w:styleId="47">
    <w:name w:val="正文文本1"/>
    <w:basedOn w:val="1"/>
    <w:autoRedefine/>
    <w:qFormat/>
    <w:uiPriority w:val="0"/>
    <w:pPr>
      <w:tabs>
        <w:tab w:val="left" w:pos="567"/>
      </w:tabs>
      <w:spacing w:before="120" w:line="22" w:lineRule="atLeast"/>
    </w:pPr>
    <w:rPr>
      <w:rFonts w:ascii="宋体" w:hAnsi="宋体"/>
      <w:sz w:val="24"/>
    </w:rPr>
  </w:style>
  <w:style w:type="paragraph" w:customStyle="1" w:styleId="48">
    <w:name w:val="正文文本缩进1"/>
    <w:basedOn w:val="1"/>
    <w:autoRedefine/>
    <w:qFormat/>
    <w:uiPriority w:val="0"/>
    <w:pPr>
      <w:spacing w:line="360" w:lineRule="auto"/>
      <w:ind w:firstLine="570"/>
    </w:pPr>
    <w:rPr>
      <w:sz w:val="24"/>
    </w:rPr>
  </w:style>
  <w:style w:type="paragraph" w:customStyle="1" w:styleId="49">
    <w:name w:val="普通(网站)1"/>
    <w:basedOn w:val="1"/>
    <w:autoRedefine/>
    <w:qFormat/>
    <w:uiPriority w:val="0"/>
    <w:pPr>
      <w:widowControl/>
      <w:jc w:val="left"/>
    </w:pPr>
    <w:rPr>
      <w:rFonts w:ascii="宋体" w:hAnsi="宋体"/>
      <w:kern w:val="0"/>
      <w:sz w:val="24"/>
    </w:rPr>
  </w:style>
  <w:style w:type="paragraph" w:customStyle="1" w:styleId="50">
    <w:name w:val="目录 31"/>
    <w:basedOn w:val="1"/>
    <w:autoRedefine/>
    <w:qFormat/>
    <w:uiPriority w:val="0"/>
    <w:pPr>
      <w:tabs>
        <w:tab w:val="left" w:pos="1260"/>
        <w:tab w:val="right" w:leader="dot" w:pos="8630"/>
      </w:tabs>
      <w:ind w:left="840" w:leftChars="400"/>
    </w:pPr>
  </w:style>
  <w:style w:type="paragraph" w:customStyle="1" w:styleId="51">
    <w:name w:val="纯文本11"/>
    <w:basedOn w:val="1"/>
    <w:autoRedefine/>
    <w:qFormat/>
    <w:uiPriority w:val="0"/>
    <w:rPr>
      <w:rFonts w:ascii="宋体" w:hAnsi="Courier New"/>
      <w:szCs w:val="20"/>
    </w:rPr>
  </w:style>
  <w:style w:type="paragraph" w:customStyle="1" w:styleId="52">
    <w:name w:val="批注框文本1"/>
    <w:basedOn w:val="1"/>
    <w:link w:val="53"/>
    <w:autoRedefine/>
    <w:qFormat/>
    <w:uiPriority w:val="0"/>
    <w:rPr>
      <w:sz w:val="18"/>
      <w:szCs w:val="18"/>
    </w:rPr>
  </w:style>
  <w:style w:type="character" w:customStyle="1" w:styleId="53">
    <w:name w:val="批注框文本 Char"/>
    <w:basedOn w:val="44"/>
    <w:link w:val="52"/>
    <w:autoRedefine/>
    <w:qFormat/>
    <w:uiPriority w:val="0"/>
    <w:rPr>
      <w:kern w:val="2"/>
      <w:sz w:val="18"/>
      <w:szCs w:val="18"/>
    </w:rPr>
  </w:style>
  <w:style w:type="paragraph" w:customStyle="1" w:styleId="54">
    <w:name w:val="页脚1"/>
    <w:basedOn w:val="1"/>
    <w:link w:val="55"/>
    <w:autoRedefine/>
    <w:qFormat/>
    <w:uiPriority w:val="0"/>
    <w:pPr>
      <w:tabs>
        <w:tab w:val="center" w:pos="4153"/>
        <w:tab w:val="right" w:pos="8306"/>
      </w:tabs>
      <w:autoSpaceDE w:val="0"/>
      <w:autoSpaceDN w:val="0"/>
      <w:snapToGrid w:val="0"/>
      <w:jc w:val="left"/>
    </w:pPr>
    <w:rPr>
      <w:rFonts w:ascii="宋体"/>
      <w:kern w:val="0"/>
      <w:sz w:val="18"/>
      <w:szCs w:val="20"/>
    </w:rPr>
  </w:style>
  <w:style w:type="character" w:customStyle="1" w:styleId="55">
    <w:name w:val="页脚 Char"/>
    <w:basedOn w:val="44"/>
    <w:link w:val="54"/>
    <w:autoRedefine/>
    <w:qFormat/>
    <w:uiPriority w:val="0"/>
    <w:rPr>
      <w:rFonts w:ascii="宋体"/>
      <w:sz w:val="18"/>
    </w:rPr>
  </w:style>
  <w:style w:type="paragraph" w:customStyle="1" w:styleId="56">
    <w:name w:val="页眉1"/>
    <w:basedOn w:val="1"/>
    <w:link w:val="57"/>
    <w:autoRedefine/>
    <w:qFormat/>
    <w:uiPriority w:val="0"/>
    <w:pPr>
      <w:pBdr>
        <w:bottom w:val="single" w:color="000000" w:sz="6" w:space="1"/>
      </w:pBdr>
      <w:tabs>
        <w:tab w:val="center" w:pos="4153"/>
        <w:tab w:val="right" w:pos="8306"/>
      </w:tabs>
      <w:snapToGrid w:val="0"/>
      <w:jc w:val="center"/>
    </w:pPr>
    <w:rPr>
      <w:sz w:val="18"/>
      <w:szCs w:val="18"/>
    </w:rPr>
  </w:style>
  <w:style w:type="character" w:customStyle="1" w:styleId="57">
    <w:name w:val="页眉 Char"/>
    <w:basedOn w:val="44"/>
    <w:link w:val="56"/>
    <w:autoRedefine/>
    <w:qFormat/>
    <w:uiPriority w:val="0"/>
    <w:rPr>
      <w:kern w:val="2"/>
      <w:sz w:val="18"/>
      <w:szCs w:val="18"/>
    </w:rPr>
  </w:style>
  <w:style w:type="paragraph" w:customStyle="1" w:styleId="58">
    <w:name w:val="目录 11"/>
    <w:basedOn w:val="1"/>
    <w:autoRedefine/>
    <w:qFormat/>
    <w:uiPriority w:val="0"/>
  </w:style>
  <w:style w:type="paragraph" w:customStyle="1" w:styleId="59">
    <w:name w:val="脚注文本1"/>
    <w:basedOn w:val="1"/>
    <w:autoRedefine/>
    <w:qFormat/>
    <w:uiPriority w:val="0"/>
    <w:pPr>
      <w:snapToGrid w:val="0"/>
    </w:pPr>
    <w:rPr>
      <w:sz w:val="18"/>
    </w:rPr>
  </w:style>
  <w:style w:type="paragraph" w:customStyle="1" w:styleId="60">
    <w:name w:val="目录 21"/>
    <w:basedOn w:val="1"/>
    <w:qFormat/>
    <w:uiPriority w:val="0"/>
    <w:pPr>
      <w:ind w:left="420" w:leftChars="200"/>
    </w:pPr>
  </w:style>
  <w:style w:type="paragraph" w:customStyle="1" w:styleId="61">
    <w:name w:val="正文首行缩进1"/>
    <w:basedOn w:val="47"/>
    <w:autoRedefine/>
    <w:qFormat/>
    <w:uiPriority w:val="0"/>
    <w:pPr>
      <w:tabs>
        <w:tab w:val="clear" w:pos="567"/>
      </w:tabs>
      <w:autoSpaceDE w:val="0"/>
      <w:autoSpaceDN w:val="0"/>
      <w:spacing w:line="360" w:lineRule="auto"/>
      <w:ind w:firstLine="420" w:firstLineChars="200"/>
    </w:pPr>
    <w:rPr>
      <w:rFonts w:ascii="Arial" w:hAnsi="Arial"/>
      <w:szCs w:val="21"/>
    </w:rPr>
  </w:style>
  <w:style w:type="paragraph" w:customStyle="1" w:styleId="62">
    <w:name w:val="正文首行缩进 21"/>
    <w:basedOn w:val="48"/>
    <w:autoRedefine/>
    <w:qFormat/>
    <w:uiPriority w:val="0"/>
    <w:pPr>
      <w:ind w:firstLine="420" w:firstLineChars="200"/>
    </w:pPr>
  </w:style>
  <w:style w:type="table" w:customStyle="1" w:styleId="63">
    <w:name w:val="网格型1"/>
    <w:basedOn w:val="45"/>
    <w:autoRedefine/>
    <w:qFormat/>
    <w:uiPriority w:val="0"/>
    <w:pPr>
      <w:widowControl w:val="0"/>
      <w:jc w:val="both"/>
    </w:pPr>
  </w:style>
  <w:style w:type="character" w:customStyle="1" w:styleId="64">
    <w:name w:val="页码1"/>
    <w:autoRedefine/>
    <w:qFormat/>
    <w:uiPriority w:val="0"/>
  </w:style>
  <w:style w:type="character" w:customStyle="1" w:styleId="65">
    <w:name w:val="超链接1"/>
    <w:basedOn w:val="44"/>
    <w:qFormat/>
    <w:uiPriority w:val="0"/>
    <w:rPr>
      <w:color w:val="0000FF"/>
      <w:u w:val="single"/>
    </w:rPr>
  </w:style>
  <w:style w:type="paragraph" w:customStyle="1" w:styleId="66">
    <w:name w:val="FC正文"/>
    <w:basedOn w:val="1"/>
    <w:autoRedefine/>
    <w:qFormat/>
    <w:uiPriority w:val="0"/>
    <w:pPr>
      <w:snapToGrid w:val="0"/>
      <w:spacing w:line="360" w:lineRule="auto"/>
      <w:ind w:firstLine="200" w:firstLineChars="200"/>
      <w:contextualSpacing/>
    </w:pPr>
    <w:rPr>
      <w:rFonts w:ascii="宋体" w:hAnsi="宋体"/>
    </w:rPr>
  </w:style>
  <w:style w:type="paragraph" w:customStyle="1" w:styleId="67">
    <w:name w:val="样式 正文首行缩进 2 + 首行缩进:  2 字符"/>
    <w:basedOn w:val="1"/>
    <w:autoRedefine/>
    <w:qFormat/>
    <w:uiPriority w:val="0"/>
    <w:pPr>
      <w:spacing w:after="120"/>
      <w:ind w:left="200" w:leftChars="200" w:firstLine="170" w:firstLineChars="170"/>
    </w:pPr>
    <w:rPr>
      <w:szCs w:val="20"/>
    </w:rPr>
  </w:style>
  <w:style w:type="paragraph" w:customStyle="1" w:styleId="68">
    <w:name w:val="列出段落1"/>
    <w:basedOn w:val="1"/>
    <w:qFormat/>
    <w:uiPriority w:val="0"/>
    <w:pPr>
      <w:ind w:firstLine="420" w:firstLineChars="200"/>
    </w:pPr>
  </w:style>
  <w:style w:type="character" w:customStyle="1" w:styleId="69">
    <w:name w:val="font51"/>
    <w:basedOn w:val="44"/>
    <w:autoRedefine/>
    <w:qFormat/>
    <w:uiPriority w:val="0"/>
    <w:rPr>
      <w:rFonts w:hint="eastAsia" w:ascii="宋体" w:hAnsi="宋体" w:eastAsia="宋体"/>
      <w:color w:val="000000"/>
      <w:sz w:val="20"/>
      <w:szCs w:val="20"/>
      <w:u w:val="none"/>
    </w:rPr>
  </w:style>
  <w:style w:type="paragraph" w:customStyle="1" w:styleId="70">
    <w:name w:val="正文缩进1"/>
    <w:basedOn w:val="1"/>
    <w:qFormat/>
    <w:uiPriority w:val="0"/>
    <w:pPr>
      <w:autoSpaceDE w:val="0"/>
      <w:autoSpaceDN w:val="0"/>
      <w:ind w:firstLine="420"/>
      <w:jc w:val="left"/>
    </w:pPr>
    <w:rPr>
      <w:rFonts w:ascii="宋体"/>
      <w:kern w:val="0"/>
      <w:sz w:val="24"/>
      <w:szCs w:val="20"/>
    </w:rPr>
  </w:style>
  <w:style w:type="paragraph" w:customStyle="1" w:styleId="71">
    <w:name w:val="索引 11"/>
    <w:basedOn w:val="1"/>
    <w:next w:val="1"/>
    <w:qFormat/>
    <w:uiPriority w:val="0"/>
    <w:pPr>
      <w:spacing w:line="360" w:lineRule="auto"/>
    </w:pPr>
    <w:rPr>
      <w:rFonts w:ascii="仿宋_GB2312" w:eastAsia="仿宋_GB2312"/>
      <w:sz w:val="24"/>
      <w:szCs w:val="20"/>
    </w:rPr>
  </w:style>
  <w:style w:type="paragraph" w:customStyle="1" w:styleId="72">
    <w:name w:val="纯文本1"/>
    <w:basedOn w:val="1"/>
    <w:autoRedefine/>
    <w:qFormat/>
    <w:uiPriority w:val="0"/>
    <w:rPr>
      <w:rFonts w:ascii="宋体" w:hAnsi="Courier New"/>
      <w:kern w:val="0"/>
      <w:sz w:val="20"/>
      <w:szCs w:val="20"/>
    </w:rPr>
  </w:style>
  <w:style w:type="character" w:customStyle="1" w:styleId="73">
    <w:name w:val="font31"/>
    <w:basedOn w:val="44"/>
    <w:qFormat/>
    <w:uiPriority w:val="0"/>
    <w:rPr>
      <w:rFonts w:hint="eastAsia" w:ascii="宋体" w:hAnsi="宋体" w:eastAsia="宋体"/>
      <w:color w:val="000000"/>
      <w:sz w:val="14"/>
      <w:szCs w:val="14"/>
      <w:u w:val="none"/>
    </w:rPr>
  </w:style>
  <w:style w:type="character" w:customStyle="1" w:styleId="74">
    <w:name w:val="font142"/>
    <w:basedOn w:val="44"/>
    <w:autoRedefine/>
    <w:qFormat/>
    <w:uiPriority w:val="0"/>
    <w:rPr>
      <w:rFonts w:hint="eastAsia" w:ascii="宋体" w:hAnsi="宋体" w:eastAsia="宋体"/>
      <w:color w:val="000000"/>
      <w:sz w:val="14"/>
      <w:szCs w:val="14"/>
      <w:u w:val="none"/>
      <w:vertAlign w:val="superscript"/>
    </w:rPr>
  </w:style>
  <w:style w:type="character" w:customStyle="1" w:styleId="75">
    <w:name w:val="font151"/>
    <w:basedOn w:val="44"/>
    <w:autoRedefine/>
    <w:qFormat/>
    <w:uiPriority w:val="0"/>
    <w:rPr>
      <w:rFonts w:ascii="Arial" w:hAnsi="Arial"/>
      <w:color w:val="000000"/>
      <w:sz w:val="14"/>
      <w:szCs w:val="14"/>
      <w:u w:val="none"/>
    </w:rPr>
  </w:style>
  <w:style w:type="paragraph" w:customStyle="1" w:styleId="76">
    <w:name w:val="列出段落2"/>
    <w:basedOn w:val="1"/>
    <w:autoRedefine/>
    <w:qFormat/>
    <w:uiPriority w:val="0"/>
    <w:pPr>
      <w:ind w:firstLine="420" w:firstLineChars="200"/>
    </w:pPr>
  </w:style>
  <w:style w:type="paragraph" w:customStyle="1" w:styleId="77">
    <w:name w:val="CL标准正文首行缩进2字"/>
    <w:autoRedefine/>
    <w:qFormat/>
    <w:uiPriority w:val="0"/>
    <w:pPr>
      <w:widowControl w:val="0"/>
      <w:spacing w:line="360" w:lineRule="auto"/>
      <w:ind w:firstLine="200"/>
      <w:jc w:val="both"/>
    </w:pPr>
    <w:rPr>
      <w:rFonts w:ascii="Arial" w:hAnsi="Arial" w:eastAsia="宋体" w:cs="Times New Roman"/>
      <w:color w:val="000000"/>
      <w:kern w:val="2"/>
      <w:sz w:val="21"/>
      <w:szCs w:val="21"/>
      <w:lang w:val="en-US" w:eastAsia="zh-CN" w:bidi="ar-SA"/>
    </w:rPr>
  </w:style>
  <w:style w:type="paragraph" w:customStyle="1" w:styleId="78">
    <w:name w:val="*正文"/>
    <w:basedOn w:val="1"/>
    <w:qFormat/>
    <w:uiPriority w:val="0"/>
    <w:pPr>
      <w:autoSpaceDE w:val="0"/>
      <w:autoSpaceDN w:val="0"/>
      <w:spacing w:before="120" w:after="120" w:line="360" w:lineRule="auto"/>
      <w:ind w:firstLine="480" w:firstLineChars="200"/>
      <w:jc w:val="left"/>
    </w:pPr>
    <w:rPr>
      <w:rFonts w:ascii="宋体" w:hAnsi="宋体"/>
      <w:kern w:val="0"/>
    </w:rPr>
  </w:style>
  <w:style w:type="character" w:customStyle="1" w:styleId="79">
    <w:name w:val="font91"/>
    <w:basedOn w:val="44"/>
    <w:autoRedefine/>
    <w:qFormat/>
    <w:uiPriority w:val="0"/>
    <w:rPr>
      <w:rFonts w:ascii="黑体" w:hAnsi="宋体" w:eastAsia="黑体"/>
      <w:b/>
      <w:bCs/>
      <w:color w:val="000000"/>
      <w:sz w:val="18"/>
      <w:szCs w:val="18"/>
      <w:u w:val="none"/>
    </w:rPr>
  </w:style>
  <w:style w:type="character" w:customStyle="1" w:styleId="80">
    <w:name w:val="font101"/>
    <w:basedOn w:val="44"/>
    <w:autoRedefine/>
    <w:qFormat/>
    <w:uiPriority w:val="0"/>
    <w:rPr>
      <w:rFonts w:ascii="黑体" w:hAnsi="宋体" w:eastAsia="黑体"/>
      <w:color w:val="000000"/>
      <w:sz w:val="18"/>
      <w:szCs w:val="18"/>
      <w:u w:val="none"/>
    </w:rPr>
  </w:style>
  <w:style w:type="character" w:customStyle="1" w:styleId="81">
    <w:name w:val="font71"/>
    <w:basedOn w:val="44"/>
    <w:qFormat/>
    <w:uiPriority w:val="0"/>
    <w:rPr>
      <w:rFonts w:ascii="Arial" w:hAnsi="Arial"/>
      <w:color w:val="000000"/>
      <w:sz w:val="20"/>
      <w:szCs w:val="20"/>
      <w:u w:val="none"/>
    </w:rPr>
  </w:style>
  <w:style w:type="character" w:customStyle="1" w:styleId="82">
    <w:name w:val="font61"/>
    <w:basedOn w:val="44"/>
    <w:qFormat/>
    <w:uiPriority w:val="0"/>
    <w:rPr>
      <w:rFonts w:hint="eastAsia" w:ascii="宋体" w:hAnsi="宋体" w:eastAsia="宋体"/>
      <w:color w:val="000000"/>
      <w:sz w:val="22"/>
      <w:szCs w:val="22"/>
      <w:u w:val="none"/>
    </w:rPr>
  </w:style>
  <w:style w:type="character" w:customStyle="1" w:styleId="83">
    <w:name w:val="font81"/>
    <w:basedOn w:val="44"/>
    <w:autoRedefine/>
    <w:qFormat/>
    <w:uiPriority w:val="0"/>
    <w:rPr>
      <w:rFonts w:ascii="Arial" w:hAnsi="Arial"/>
      <w:color w:val="000000"/>
      <w:sz w:val="18"/>
      <w:szCs w:val="18"/>
      <w:u w:val="none"/>
    </w:rPr>
  </w:style>
  <w:style w:type="character" w:customStyle="1" w:styleId="84">
    <w:name w:val="font112"/>
    <w:basedOn w:val="44"/>
    <w:autoRedefine/>
    <w:qFormat/>
    <w:uiPriority w:val="0"/>
    <w:rPr>
      <w:rFonts w:hint="eastAsia" w:ascii="宋体" w:hAnsi="宋体" w:eastAsia="宋体"/>
      <w:color w:val="000000"/>
      <w:sz w:val="18"/>
      <w:szCs w:val="18"/>
      <w:u w:val="none"/>
    </w:rPr>
  </w:style>
  <w:style w:type="character" w:customStyle="1" w:styleId="85">
    <w:name w:val="font121"/>
    <w:basedOn w:val="44"/>
    <w:autoRedefine/>
    <w:qFormat/>
    <w:uiPriority w:val="0"/>
    <w:rPr>
      <w:rFonts w:ascii="Arial" w:hAnsi="Arial"/>
      <w:color w:val="000000"/>
      <w:sz w:val="18"/>
      <w:szCs w:val="18"/>
      <w:u w:val="none"/>
    </w:rPr>
  </w:style>
  <w:style w:type="character" w:customStyle="1" w:styleId="86">
    <w:name w:val="font131"/>
    <w:basedOn w:val="44"/>
    <w:qFormat/>
    <w:uiPriority w:val="0"/>
    <w:rPr>
      <w:rFonts w:hint="eastAsia" w:ascii="宋体" w:hAnsi="宋体" w:eastAsia="宋体"/>
      <w:color w:val="000000"/>
      <w:sz w:val="18"/>
      <w:szCs w:val="18"/>
      <w:u w:val="none"/>
    </w:rPr>
  </w:style>
  <w:style w:type="character" w:customStyle="1" w:styleId="87">
    <w:name w:val="font141"/>
    <w:basedOn w:val="44"/>
    <w:autoRedefine/>
    <w:qFormat/>
    <w:uiPriority w:val="0"/>
    <w:rPr>
      <w:rFonts w:ascii="黑体" w:hAnsi="宋体" w:eastAsia="黑体"/>
      <w:color w:val="000000"/>
      <w:sz w:val="8"/>
      <w:szCs w:val="8"/>
      <w:u w:val="none"/>
    </w:rPr>
  </w:style>
  <w:style w:type="paragraph" w:styleId="88">
    <w:name w:val="List Paragraph"/>
    <w:basedOn w:val="1"/>
    <w:qFormat/>
    <w:uiPriority w:val="0"/>
    <w:pPr>
      <w:ind w:firstLine="420" w:firstLineChars="200"/>
    </w:pPr>
  </w:style>
  <w:style w:type="character" w:customStyle="1" w:styleId="89">
    <w:name w:val="font11"/>
    <w:basedOn w:val="44"/>
    <w:autoRedefine/>
    <w:qFormat/>
    <w:uiPriority w:val="0"/>
    <w:rPr>
      <w:rFonts w:hint="eastAsia" w:ascii="宋体" w:hAnsi="宋体" w:eastAsia="宋体"/>
      <w:color w:val="0D0D0D"/>
      <w:sz w:val="20"/>
      <w:szCs w:val="20"/>
      <w:u w:val="none"/>
    </w:rPr>
  </w:style>
  <w:style w:type="paragraph" w:customStyle="1" w:styleId="90">
    <w:name w:val="Table Text"/>
    <w:basedOn w:val="1"/>
    <w:autoRedefine/>
    <w:semiHidden/>
    <w:qFormat/>
    <w:uiPriority w:val="0"/>
    <w:rPr>
      <w:rFonts w:ascii="黑体" w:hAnsi="黑体" w:eastAsia="黑体"/>
      <w:sz w:val="18"/>
      <w:szCs w:val="18"/>
      <w:lang w:eastAsia="en-US"/>
    </w:rPr>
  </w:style>
  <w:style w:type="table" w:customStyle="1" w:styleId="91">
    <w:name w:val="Table Normal"/>
    <w:autoRedefine/>
    <w:qFormat/>
    <w:uiPriority w:val="0"/>
    <w:tblPr>
      <w:tblCellMar>
        <w:top w:w="0" w:type="dxa"/>
        <w:left w:w="0" w:type="dxa"/>
        <w:bottom w:w="0" w:type="dxa"/>
        <w:right w:w="0" w:type="dxa"/>
      </w:tblCellMar>
    </w:tblPr>
  </w:style>
  <w:style w:type="character" w:customStyle="1" w:styleId="92">
    <w:name w:val="font21"/>
    <w:basedOn w:val="44"/>
    <w:autoRedefine/>
    <w:qFormat/>
    <w:uiPriority w:val="0"/>
    <w:rPr>
      <w:rFonts w:hint="eastAsia" w:ascii="黑体" w:hAnsi="宋体" w:eastAsia="黑体"/>
      <w:color w:val="000000"/>
      <w:sz w:val="18"/>
      <w:szCs w:val="18"/>
      <w:u w:val="none"/>
    </w:rPr>
  </w:style>
  <w:style w:type="character" w:customStyle="1" w:styleId="93">
    <w:name w:val="font41"/>
    <w:basedOn w:val="44"/>
    <w:autoRedefine/>
    <w:qFormat/>
    <w:uiPriority w:val="0"/>
    <w:rPr>
      <w:rFonts w:ascii="Arial" w:hAnsi="Arial"/>
      <w:color w:val="000000"/>
      <w:sz w:val="18"/>
      <w:szCs w:val="18"/>
      <w:u w:val="none"/>
    </w:rPr>
  </w:style>
  <w:style w:type="paragraph" w:customStyle="1" w:styleId="9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5">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首行缩进"/>
    <w:basedOn w:val="1"/>
    <w:qFormat/>
    <w:uiPriority w:val="0"/>
    <w:pPr>
      <w:ind w:firstLine="480" w:firstLineChars="200"/>
    </w:pPr>
    <w:rPr>
      <w:lang w:val="zh-CN"/>
    </w:rPr>
  </w:style>
  <w:style w:type="paragraph" w:customStyle="1" w:styleId="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批注框文本 字符"/>
    <w:basedOn w:val="31"/>
    <w:link w:val="17"/>
    <w:qFormat/>
    <w:uiPriority w:val="99"/>
    <w:rPr>
      <w:rFonts w:ascii="Times New Roman" w:hAnsi="Times New Roman" w:eastAsia="宋体" w:cs="Times New Roman"/>
      <w:kern w:val="2"/>
      <w:sz w:val="18"/>
      <w:szCs w:val="18"/>
    </w:rPr>
  </w:style>
  <w:style w:type="character" w:customStyle="1" w:styleId="99">
    <w:name w:val="批注文字 字符"/>
    <w:basedOn w:val="31"/>
    <w:link w:val="11"/>
    <w:autoRedefine/>
    <w:qFormat/>
    <w:uiPriority w:val="99"/>
    <w:rPr>
      <w:rFonts w:ascii="Times New Roman" w:hAnsi="Times New Roman" w:eastAsia="宋体" w:cs="Times New Roman"/>
      <w:kern w:val="2"/>
      <w:sz w:val="21"/>
      <w:szCs w:val="24"/>
    </w:rPr>
  </w:style>
  <w:style w:type="character" w:customStyle="1" w:styleId="100">
    <w:name w:val="批注主题 字符"/>
    <w:basedOn w:val="99"/>
    <w:link w:val="27"/>
    <w:qFormat/>
    <w:uiPriority w:val="99"/>
    <w:rPr>
      <w:rFonts w:ascii="Times New Roman" w:hAnsi="Times New Roman" w:eastAsia="宋体" w:cs="Times New Roman"/>
      <w:b/>
      <w:bCs/>
      <w:kern w:val="2"/>
      <w:sz w:val="21"/>
      <w:szCs w:val="24"/>
    </w:rPr>
  </w:style>
  <w:style w:type="paragraph" w:customStyle="1" w:styleId="10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02">
    <w:name w:val="_Style 2"/>
    <w:basedOn w:val="2"/>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103">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104">
    <w:name w:val="正"/>
    <w:basedOn w:val="105"/>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105">
    <w:name w:val="正文_1"/>
    <w:next w:val="104"/>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106">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table" w:customStyle="1" w:styleId="107">
    <w:name w:val="网格型4"/>
    <w:basedOn w:val="29"/>
    <w:autoRedefine/>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8">
    <w:name w:val="_正文"/>
    <w:autoRedefine/>
    <w:qFormat/>
    <w:uiPriority w:val="0"/>
    <w:pPr>
      <w:spacing w:line="360" w:lineRule="auto"/>
      <w:ind w:firstLine="200" w:firstLineChars="200"/>
    </w:pPr>
    <w:rPr>
      <w:rFonts w:asciiTheme="minorHAnsi" w:hAnsiTheme="minorHAnsi" w:eastAsiaTheme="minorEastAsia" w:cstheme="minorBidi"/>
      <w:kern w:val="2"/>
      <w:sz w:val="24"/>
      <w:szCs w:val="21"/>
      <w:lang w:val="en-US" w:eastAsia="zh-CN" w:bidi="ar-SA"/>
    </w:rPr>
  </w:style>
  <w:style w:type="paragraph" w:customStyle="1" w:styleId="109">
    <w:name w:val="__正文"/>
    <w:autoRedefine/>
    <w:qFormat/>
    <w:uiPriority w:val="0"/>
    <w:pPr>
      <w:spacing w:line="360" w:lineRule="auto"/>
      <w:ind w:firstLine="200" w:firstLineChars="200"/>
    </w:pPr>
    <w:rPr>
      <w:rFonts w:asciiTheme="minorHAnsi" w:hAnsiTheme="minorHAnsi" w:eastAsiaTheme="minorEastAsia" w:cstheme="minorBidi"/>
      <w:kern w:val="2"/>
      <w:sz w:val="24"/>
      <w:szCs w:val="21"/>
      <w:lang w:val="en-US" w:eastAsia="zh-CN" w:bidi="ar-SA"/>
    </w:rPr>
  </w:style>
  <w:style w:type="paragraph" w:customStyle="1" w:styleId="110">
    <w:name w:val="段落"/>
    <w:basedOn w:val="1"/>
    <w:autoRedefine/>
    <w:qFormat/>
    <w:uiPriority w:val="0"/>
    <w:pPr>
      <w:widowControl/>
      <w:spacing w:before="100" w:beforeAutospacing="1" w:after="100" w:afterAutospacing="1"/>
      <w:ind w:firstLine="200" w:firstLineChars="200"/>
      <w:contextualSpacing/>
      <w:jc w:val="left"/>
    </w:pPr>
    <w:rPr>
      <w:rFonts w:ascii="宋体" w:hAnsi="宋体"/>
      <w:kern w:val="0"/>
      <w14:ligatures w14:val="none"/>
    </w:rPr>
  </w:style>
  <w:style w:type="paragraph" w:customStyle="1" w:styleId="111">
    <w:name w:val="表格文字2"/>
    <w:basedOn w:val="112"/>
    <w:qFormat/>
    <w:uiPriority w:val="99"/>
    <w:pPr>
      <w:spacing w:before="25" w:after="25"/>
      <w:jc w:val="left"/>
    </w:pPr>
    <w:rPr>
      <w:bCs/>
      <w:spacing w:val="10"/>
      <w:kern w:val="0"/>
    </w:rPr>
  </w:style>
  <w:style w:type="paragraph" w:customStyle="1" w:styleId="1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3">
    <w:name w:val="Body Text First Indent1"/>
    <w:basedOn w:val="12"/>
    <w:unhideWhenUsed/>
    <w:qFormat/>
    <w:uiPriority w:val="0"/>
    <w:pPr>
      <w:spacing w:beforeLines="0" w:afterLines="0"/>
      <w:ind w:firstLine="420" w:firstLineChars="100"/>
    </w:pPr>
    <w:rPr>
      <w:rFonts w:hint="eastAsia" w:ascii="Times New Roman" w:eastAsia="宋体"/>
      <w:sz w:val="21"/>
      <w:szCs w:val="20"/>
    </w:rPr>
  </w:style>
  <w:style w:type="character" w:customStyle="1" w:styleId="114">
    <w:name w:val="NormalCharacter"/>
    <w:link w:val="115"/>
    <w:unhideWhenUsed/>
    <w:qFormat/>
    <w:locked/>
    <w:uiPriority w:val="0"/>
    <w:rPr>
      <w:rFonts w:eastAsia="仿宋_GB2312"/>
      <w:sz w:val="32"/>
    </w:rPr>
  </w:style>
  <w:style w:type="paragraph" w:customStyle="1" w:styleId="115">
    <w:name w:val="UserStyle_0"/>
    <w:basedOn w:val="1"/>
    <w:link w:val="114"/>
    <w:unhideWhenUsed/>
    <w:qFormat/>
    <w:uiPriority w:val="0"/>
    <w:pPr>
      <w:keepNext/>
      <w:widowControl/>
      <w:tabs>
        <w:tab w:val="left" w:pos="2940"/>
      </w:tabs>
      <w:ind w:hanging="420"/>
      <w:jc w:val="left"/>
      <w:textAlignment w:val="baseline"/>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4742</Words>
  <Characters>5505</Characters>
  <Lines>1</Lines>
  <Paragraphs>1</Paragraphs>
  <TotalTime>13</TotalTime>
  <ScaleCrop>false</ScaleCrop>
  <LinksUpToDate>false</LinksUpToDate>
  <CharactersWithSpaces>5701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2024-04-28T12:03:00Z</dcterms:created>
  <dc:creator>Shall Chen</dc:creator>
  <cp:lastModifiedBy>刘翔</cp:lastModifiedBy>
  <cp:lastPrinted>2026-03-03T05:39:00Z</cp:lastPrinted>
  <dcterms:modified xsi:type="dcterms:W3CDTF">2026-04-20T04:27:49Z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F64F9EA3473A42F38A7FD0430CF06187_13</vt:lpwstr>
  </property>
  <property fmtid="{D5CDD505-2E9C-101B-9397-08002B2CF9AE}" pid="4" name="KSOTemplateDocerSaveRecord">
    <vt:lpwstr>eyJoZGlkIjoiYmEzZDk4ZGI2ZDI0MmJlYzJiZTVjZDMxMDc2MzE5YTkiLCJ1c2VySWQiOiIyNzYxNjQwNjUifQ==</vt:lpwstr>
  </property>
</Properties>
</file>